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F90F2" w14:textId="77777777" w:rsidR="001254DE" w:rsidRDefault="001254DE" w:rsidP="00C149D9">
      <w:pPr>
        <w:spacing w:line="240" w:lineRule="auto"/>
        <w:ind w:left="1416" w:hanging="1416"/>
        <w:rPr>
          <w:rFonts w:eastAsia="Calibri" w:cs="Calibri"/>
          <w:bCs/>
          <w:sz w:val="16"/>
          <w:szCs w:val="16"/>
          <w:lang w:val="en-US"/>
        </w:rPr>
      </w:pPr>
    </w:p>
    <w:p w14:paraId="30B86630" w14:textId="77777777" w:rsidR="00B845A5" w:rsidRPr="00C149D9" w:rsidRDefault="00B845A5" w:rsidP="00C149D9">
      <w:pPr>
        <w:spacing w:line="240" w:lineRule="auto"/>
        <w:ind w:left="1416" w:hanging="1416"/>
        <w:rPr>
          <w:rFonts w:eastAsia="Calibri" w:cs="Calibri"/>
          <w:bCs/>
          <w:sz w:val="16"/>
          <w:szCs w:val="16"/>
          <w:lang w:val="en-US"/>
        </w:rPr>
      </w:pPr>
    </w:p>
    <w:p w14:paraId="2D3503D9" w14:textId="77777777" w:rsidR="00AF7CB6" w:rsidRPr="002E2489" w:rsidRDefault="00AF7CB6" w:rsidP="00030E2E">
      <w:pPr>
        <w:spacing w:line="240" w:lineRule="auto"/>
        <w:ind w:left="1416" w:hanging="1416"/>
        <w:rPr>
          <w:rFonts w:eastAsia="Calibri" w:cs="Calibri"/>
          <w:b/>
          <w:sz w:val="20"/>
          <w:szCs w:val="20"/>
          <w:lang w:val="en-US"/>
        </w:rPr>
      </w:pPr>
    </w:p>
    <w:p w14:paraId="65E16F73" w14:textId="77777777" w:rsidR="006C37C9" w:rsidRPr="002E2489" w:rsidRDefault="006C37C9" w:rsidP="006C37C9">
      <w:pPr>
        <w:spacing w:line="240" w:lineRule="auto"/>
        <w:rPr>
          <w:rFonts w:eastAsia="Calibri" w:cs="Calibri"/>
          <w:b/>
          <w:sz w:val="20"/>
          <w:szCs w:val="20"/>
          <w:lang w:val="en-US"/>
        </w:rPr>
      </w:pPr>
    </w:p>
    <w:p w14:paraId="147D83E5" w14:textId="77777777" w:rsidR="006C37C9" w:rsidRPr="002E2489" w:rsidRDefault="006C37C9" w:rsidP="006C37C9">
      <w:pPr>
        <w:spacing w:line="240" w:lineRule="auto"/>
        <w:rPr>
          <w:rFonts w:eastAsia="Calibri" w:cs="Calibri"/>
          <w:b/>
          <w:sz w:val="20"/>
          <w:szCs w:val="20"/>
          <w:lang w:val="en-US"/>
        </w:rPr>
      </w:pPr>
    </w:p>
    <w:p w14:paraId="2E3997FF" w14:textId="77777777" w:rsidR="006C37C9" w:rsidRPr="002E2489" w:rsidRDefault="006C37C9" w:rsidP="006C37C9">
      <w:pPr>
        <w:spacing w:line="240" w:lineRule="auto"/>
        <w:jc w:val="center"/>
        <w:rPr>
          <w:rFonts w:eastAsia="Calibri" w:cs="Calibri"/>
          <w:b/>
          <w:sz w:val="20"/>
          <w:szCs w:val="20"/>
          <w:lang w:val="en-US"/>
        </w:rPr>
      </w:pPr>
    </w:p>
    <w:p w14:paraId="7288E721" w14:textId="77777777" w:rsidR="004808FE" w:rsidRPr="002E2489" w:rsidRDefault="004808FE" w:rsidP="006C37C9">
      <w:pPr>
        <w:spacing w:line="240" w:lineRule="auto"/>
        <w:jc w:val="center"/>
        <w:rPr>
          <w:rFonts w:eastAsia="Calibri" w:cs="Calibri"/>
          <w:b/>
          <w:sz w:val="20"/>
          <w:szCs w:val="20"/>
          <w:lang w:val="en-US"/>
        </w:rPr>
      </w:pPr>
    </w:p>
    <w:p w14:paraId="0917C07F" w14:textId="77777777" w:rsidR="006C37C9" w:rsidRPr="002E2489" w:rsidRDefault="006C37C9" w:rsidP="006C37C9">
      <w:pPr>
        <w:spacing w:line="240" w:lineRule="auto"/>
        <w:jc w:val="center"/>
        <w:rPr>
          <w:rFonts w:eastAsia="Calibri" w:cs="Calibri"/>
          <w:b/>
          <w:sz w:val="20"/>
          <w:szCs w:val="20"/>
          <w:lang w:val="en-US"/>
        </w:rPr>
      </w:pPr>
    </w:p>
    <w:p w14:paraId="6F408400" w14:textId="77777777" w:rsidR="006C37C9" w:rsidRPr="00012C3F" w:rsidRDefault="001254DE" w:rsidP="006C37C9">
      <w:pPr>
        <w:spacing w:line="240" w:lineRule="auto"/>
        <w:jc w:val="center"/>
        <w:rPr>
          <w:rFonts w:eastAsia="Calibri" w:cs="Calibri"/>
          <w:b/>
          <w:sz w:val="20"/>
          <w:szCs w:val="20"/>
          <w:lang w:val="en-US"/>
        </w:rPr>
      </w:pPr>
      <w:r w:rsidRPr="00012C3F">
        <w:rPr>
          <w:rFonts w:eastAsia="Calibri" w:cs="Calibri"/>
          <w:b/>
          <w:sz w:val="20"/>
          <w:szCs w:val="20"/>
          <w:lang w:val="en-US"/>
        </w:rPr>
        <w:t>INTER-AMERICAN COURT OF HUMAN RIGHTS</w:t>
      </w:r>
    </w:p>
    <w:p w14:paraId="1914F93A" w14:textId="77777777" w:rsidR="006C37C9" w:rsidRPr="00012C3F" w:rsidRDefault="006C37C9" w:rsidP="006C37C9">
      <w:pPr>
        <w:tabs>
          <w:tab w:val="left" w:pos="720"/>
        </w:tabs>
        <w:spacing w:line="240" w:lineRule="auto"/>
        <w:jc w:val="center"/>
        <w:rPr>
          <w:rFonts w:eastAsia="Calibri" w:cs="Verdana"/>
          <w:b/>
          <w:bCs/>
          <w:caps/>
          <w:snapToGrid w:val="0"/>
          <w:sz w:val="20"/>
          <w:szCs w:val="20"/>
          <w:lang w:val="en-US" w:eastAsia="es-ES"/>
        </w:rPr>
      </w:pPr>
    </w:p>
    <w:p w14:paraId="54A9D80C" w14:textId="77777777" w:rsidR="006C37C9" w:rsidRPr="00012C3F" w:rsidRDefault="006C37C9" w:rsidP="006C37C9">
      <w:pPr>
        <w:spacing w:line="240" w:lineRule="auto"/>
        <w:jc w:val="center"/>
        <w:rPr>
          <w:rFonts w:eastAsia="Calibri" w:cs="Calibri"/>
          <w:b/>
          <w:sz w:val="20"/>
          <w:szCs w:val="20"/>
          <w:lang w:val="en-US"/>
        </w:rPr>
      </w:pPr>
      <w:r w:rsidRPr="00012C3F">
        <w:rPr>
          <w:rFonts w:eastAsia="Calibri" w:cs="Calibri"/>
          <w:b/>
          <w:sz w:val="20"/>
          <w:szCs w:val="20"/>
          <w:lang w:val="en-US"/>
        </w:rPr>
        <w:t>CAS</w:t>
      </w:r>
      <w:r w:rsidR="00F84CA0" w:rsidRPr="00012C3F">
        <w:rPr>
          <w:rFonts w:eastAsia="Calibri" w:cs="Calibri"/>
          <w:b/>
          <w:sz w:val="20"/>
          <w:szCs w:val="20"/>
          <w:lang w:val="en-US"/>
        </w:rPr>
        <w:t>E OF</w:t>
      </w:r>
      <w:r w:rsidRPr="00012C3F">
        <w:rPr>
          <w:rFonts w:eastAsia="Calibri" w:cs="Calibri"/>
          <w:b/>
          <w:sz w:val="20"/>
          <w:szCs w:val="20"/>
          <w:lang w:val="en-US"/>
        </w:rPr>
        <w:t xml:space="preserve"> </w:t>
      </w:r>
      <w:r w:rsidR="000E1C11" w:rsidRPr="00012C3F">
        <w:rPr>
          <w:rFonts w:eastAsia="Calibri" w:cs="Calibri"/>
          <w:b/>
          <w:sz w:val="20"/>
          <w:szCs w:val="20"/>
          <w:lang w:val="en-US"/>
        </w:rPr>
        <w:t>I.V.</w:t>
      </w:r>
      <w:r w:rsidRPr="00012C3F">
        <w:rPr>
          <w:rStyle w:val="Refdenotaalpie"/>
          <w:rFonts w:eastAsia="Calibri" w:cs="Calibri"/>
          <w:b/>
          <w:sz w:val="20"/>
          <w:szCs w:val="20"/>
          <w:lang w:val="en-US"/>
        </w:rPr>
        <w:footnoteReference w:customMarkFollows="1" w:id="1"/>
        <w:t>*</w:t>
      </w:r>
      <w:r w:rsidRPr="00012C3F">
        <w:rPr>
          <w:rFonts w:eastAsia="Calibri" w:cs="Calibri"/>
          <w:b/>
          <w:sz w:val="20"/>
          <w:szCs w:val="20"/>
          <w:lang w:val="en-US"/>
        </w:rPr>
        <w:t xml:space="preserve"> </w:t>
      </w:r>
      <w:r w:rsidR="000E1C11" w:rsidRPr="00012C3F">
        <w:rPr>
          <w:rFonts w:eastAsia="Calibri" w:cs="Calibri"/>
          <w:b/>
          <w:i/>
          <w:sz w:val="20"/>
          <w:szCs w:val="20"/>
          <w:lang w:val="en-US"/>
        </w:rPr>
        <w:t>v.</w:t>
      </w:r>
      <w:r w:rsidRPr="00012C3F">
        <w:rPr>
          <w:rFonts w:eastAsia="Calibri" w:cs="Calibri"/>
          <w:b/>
          <w:sz w:val="20"/>
          <w:szCs w:val="20"/>
          <w:lang w:val="en-US"/>
        </w:rPr>
        <w:t xml:space="preserve"> BOLIVIA</w:t>
      </w:r>
    </w:p>
    <w:p w14:paraId="12D2241F" w14:textId="77777777" w:rsidR="006C37C9" w:rsidRPr="00012C3F" w:rsidRDefault="006C37C9" w:rsidP="006C37C9">
      <w:pPr>
        <w:tabs>
          <w:tab w:val="left" w:pos="720"/>
        </w:tabs>
        <w:spacing w:line="240" w:lineRule="auto"/>
        <w:jc w:val="center"/>
        <w:rPr>
          <w:rFonts w:eastAsia="Calibri" w:cs="Verdana"/>
          <w:b/>
          <w:bCs/>
          <w:caps/>
          <w:snapToGrid w:val="0"/>
          <w:sz w:val="20"/>
          <w:szCs w:val="20"/>
          <w:lang w:val="en-US" w:eastAsia="es-ES"/>
        </w:rPr>
      </w:pPr>
    </w:p>
    <w:p w14:paraId="22C071FC" w14:textId="77777777" w:rsidR="006C37C9" w:rsidRPr="00012C3F" w:rsidRDefault="001254DE" w:rsidP="006C37C9">
      <w:pPr>
        <w:tabs>
          <w:tab w:val="left" w:pos="720"/>
        </w:tabs>
        <w:spacing w:line="240" w:lineRule="auto"/>
        <w:jc w:val="center"/>
        <w:rPr>
          <w:rFonts w:eastAsia="Calibri" w:cs="Verdana"/>
          <w:b/>
          <w:bCs/>
          <w:snapToGrid w:val="0"/>
          <w:sz w:val="20"/>
          <w:szCs w:val="20"/>
          <w:lang w:val="en-US" w:eastAsia="es-ES"/>
        </w:rPr>
      </w:pPr>
      <w:r w:rsidRPr="00012C3F">
        <w:rPr>
          <w:rFonts w:eastAsia="Calibri" w:cs="Verdana"/>
          <w:b/>
          <w:bCs/>
          <w:snapToGrid w:val="0"/>
          <w:sz w:val="20"/>
          <w:szCs w:val="20"/>
          <w:lang w:val="en-US" w:eastAsia="es-ES"/>
        </w:rPr>
        <w:t>JUDGMENT OF</w:t>
      </w:r>
      <w:r w:rsidR="006C37C9" w:rsidRPr="00012C3F">
        <w:rPr>
          <w:rFonts w:eastAsia="Calibri" w:cs="Verdana"/>
          <w:b/>
          <w:bCs/>
          <w:snapToGrid w:val="0"/>
          <w:sz w:val="20"/>
          <w:szCs w:val="20"/>
          <w:lang w:val="en-US" w:eastAsia="es-ES"/>
        </w:rPr>
        <w:t xml:space="preserve"> </w:t>
      </w:r>
      <w:r w:rsidRPr="00012C3F">
        <w:rPr>
          <w:rFonts w:eastAsia="Calibri" w:cs="Verdana"/>
          <w:b/>
          <w:bCs/>
          <w:snapToGrid w:val="0"/>
          <w:sz w:val="20"/>
          <w:szCs w:val="20"/>
          <w:lang w:val="en-US" w:eastAsia="es-ES"/>
        </w:rPr>
        <w:t>NOVEMBER 30,</w:t>
      </w:r>
      <w:r w:rsidR="006C37C9" w:rsidRPr="00012C3F">
        <w:rPr>
          <w:rFonts w:eastAsia="Calibri" w:cs="Verdana"/>
          <w:b/>
          <w:bCs/>
          <w:snapToGrid w:val="0"/>
          <w:sz w:val="20"/>
          <w:szCs w:val="20"/>
          <w:lang w:val="en-US" w:eastAsia="es-ES"/>
        </w:rPr>
        <w:t xml:space="preserve"> 2016</w:t>
      </w:r>
    </w:p>
    <w:p w14:paraId="4BE19747" w14:textId="77777777" w:rsidR="006C37C9" w:rsidRPr="00012C3F" w:rsidRDefault="006C37C9" w:rsidP="006C37C9">
      <w:pPr>
        <w:tabs>
          <w:tab w:val="left" w:pos="720"/>
        </w:tabs>
        <w:spacing w:line="240" w:lineRule="auto"/>
        <w:jc w:val="center"/>
        <w:rPr>
          <w:rFonts w:eastAsia="Calibri" w:cs="Verdana"/>
          <w:b/>
          <w:bCs/>
          <w:caps/>
          <w:snapToGrid w:val="0"/>
          <w:sz w:val="20"/>
          <w:szCs w:val="20"/>
          <w:lang w:val="en-US" w:eastAsia="es-ES"/>
        </w:rPr>
      </w:pPr>
    </w:p>
    <w:p w14:paraId="28756A9E" w14:textId="77777777" w:rsidR="006C37C9" w:rsidRPr="00012C3F" w:rsidRDefault="006C37C9" w:rsidP="006C37C9">
      <w:pPr>
        <w:tabs>
          <w:tab w:val="left" w:pos="720"/>
        </w:tabs>
        <w:spacing w:line="240" w:lineRule="auto"/>
        <w:jc w:val="center"/>
        <w:rPr>
          <w:rFonts w:eastAsia="Calibri" w:cs="Verdana"/>
          <w:b/>
          <w:bCs/>
          <w:caps/>
          <w:snapToGrid w:val="0"/>
          <w:sz w:val="20"/>
          <w:szCs w:val="20"/>
          <w:lang w:val="en-US" w:eastAsia="es-ES"/>
        </w:rPr>
      </w:pPr>
      <w:r w:rsidRPr="00012C3F">
        <w:rPr>
          <w:rFonts w:eastAsia="Calibri" w:cs="Verdana"/>
          <w:b/>
          <w:bCs/>
          <w:i/>
          <w:iCs/>
          <w:snapToGrid w:val="0"/>
          <w:sz w:val="20"/>
          <w:szCs w:val="20"/>
          <w:lang w:val="en-US" w:eastAsia="es-ES"/>
        </w:rPr>
        <w:t>(</w:t>
      </w:r>
      <w:r w:rsidR="001254DE" w:rsidRPr="00012C3F">
        <w:rPr>
          <w:rFonts w:eastAsia="Calibri" w:cs="Verdana"/>
          <w:b/>
          <w:bCs/>
          <w:i/>
          <w:iCs/>
          <w:snapToGrid w:val="0"/>
          <w:sz w:val="20"/>
          <w:szCs w:val="20"/>
          <w:lang w:val="en-US" w:eastAsia="es-ES"/>
        </w:rPr>
        <w:t>Preliminary objections, merits, reparations and costs</w:t>
      </w:r>
      <w:r w:rsidRPr="00012C3F">
        <w:rPr>
          <w:rFonts w:eastAsia="Calibri" w:cs="Verdana"/>
          <w:b/>
          <w:bCs/>
          <w:i/>
          <w:iCs/>
          <w:snapToGrid w:val="0"/>
          <w:sz w:val="20"/>
          <w:szCs w:val="20"/>
          <w:lang w:val="en-US" w:eastAsia="es-ES"/>
        </w:rPr>
        <w:t>)</w:t>
      </w:r>
    </w:p>
    <w:p w14:paraId="3B87F17C" w14:textId="77777777" w:rsidR="006C37C9" w:rsidRPr="00012C3F" w:rsidRDefault="006C37C9" w:rsidP="006C37C9">
      <w:pPr>
        <w:spacing w:before="4" w:line="280" w:lineRule="exact"/>
        <w:rPr>
          <w:rFonts w:ascii="Calibri" w:eastAsia="Calibri" w:hAnsi="Calibri"/>
          <w:sz w:val="28"/>
          <w:szCs w:val="28"/>
          <w:lang w:val="en-US"/>
        </w:rPr>
      </w:pPr>
    </w:p>
    <w:p w14:paraId="694803D3" w14:textId="77777777" w:rsidR="006C37C9" w:rsidRPr="00012C3F" w:rsidRDefault="006C37C9" w:rsidP="006C37C9">
      <w:pPr>
        <w:spacing w:before="4" w:line="280" w:lineRule="exact"/>
        <w:rPr>
          <w:rFonts w:ascii="Calibri" w:eastAsia="Calibri" w:hAnsi="Calibri"/>
          <w:sz w:val="28"/>
          <w:szCs w:val="28"/>
          <w:lang w:val="en-US"/>
        </w:rPr>
      </w:pPr>
    </w:p>
    <w:p w14:paraId="0AC7B76F" w14:textId="77777777" w:rsidR="001254DE" w:rsidRPr="00012C3F" w:rsidRDefault="001254DE" w:rsidP="006C37C9">
      <w:pPr>
        <w:spacing w:before="4" w:line="280" w:lineRule="exact"/>
        <w:rPr>
          <w:rFonts w:ascii="Calibri" w:eastAsia="Calibri" w:hAnsi="Calibri"/>
          <w:sz w:val="28"/>
          <w:szCs w:val="28"/>
          <w:lang w:val="en-US"/>
        </w:rPr>
      </w:pPr>
    </w:p>
    <w:p w14:paraId="2AD4C184" w14:textId="77777777" w:rsidR="006C37C9" w:rsidRPr="00012C3F" w:rsidRDefault="006C37C9" w:rsidP="006C37C9">
      <w:pPr>
        <w:spacing w:before="4" w:line="280" w:lineRule="exact"/>
        <w:rPr>
          <w:rFonts w:ascii="Calibri" w:eastAsia="Calibri" w:hAnsi="Calibri"/>
          <w:sz w:val="28"/>
          <w:szCs w:val="28"/>
          <w:lang w:val="en-US"/>
        </w:rPr>
      </w:pPr>
    </w:p>
    <w:p w14:paraId="3F10B487" w14:textId="77777777" w:rsidR="006C37C9" w:rsidRPr="00012C3F" w:rsidRDefault="006C37C9" w:rsidP="006C37C9">
      <w:pPr>
        <w:spacing w:before="4" w:line="280" w:lineRule="exact"/>
        <w:rPr>
          <w:rFonts w:ascii="Calibri" w:eastAsia="Calibri" w:hAnsi="Calibri"/>
          <w:sz w:val="28"/>
          <w:szCs w:val="28"/>
          <w:lang w:val="en-US"/>
        </w:rPr>
      </w:pPr>
    </w:p>
    <w:p w14:paraId="7EEA7522" w14:textId="77777777" w:rsidR="006C37C9" w:rsidRPr="00012C3F" w:rsidRDefault="001254DE" w:rsidP="006C37C9">
      <w:pPr>
        <w:tabs>
          <w:tab w:val="left" w:pos="720"/>
        </w:tabs>
        <w:spacing w:line="240" w:lineRule="auto"/>
        <w:rPr>
          <w:rFonts w:eastAsia="Verdana" w:cs="Verdana"/>
          <w:sz w:val="20"/>
          <w:szCs w:val="20"/>
          <w:lang w:val="en-US"/>
        </w:rPr>
      </w:pPr>
      <w:r w:rsidRPr="00012C3F">
        <w:rPr>
          <w:rFonts w:eastAsia="Verdana" w:cs="Verdana"/>
          <w:sz w:val="20"/>
          <w:szCs w:val="20"/>
          <w:lang w:val="en-US"/>
        </w:rPr>
        <w:t>In the case of</w:t>
      </w:r>
      <w:r w:rsidR="006C37C9" w:rsidRPr="00012C3F">
        <w:rPr>
          <w:rFonts w:eastAsia="Verdana" w:cs="Verdana"/>
          <w:sz w:val="20"/>
          <w:szCs w:val="20"/>
          <w:lang w:val="en-US"/>
        </w:rPr>
        <w:t xml:space="preserve"> </w:t>
      </w:r>
      <w:r w:rsidR="000E1C11" w:rsidRPr="00012C3F">
        <w:rPr>
          <w:rFonts w:eastAsia="Verdana" w:cs="Verdana"/>
          <w:i/>
          <w:sz w:val="20"/>
          <w:szCs w:val="20"/>
          <w:lang w:val="en-US"/>
        </w:rPr>
        <w:t>I.V.</w:t>
      </w:r>
      <w:r w:rsidR="006C37C9" w:rsidRPr="00012C3F">
        <w:rPr>
          <w:rFonts w:eastAsia="Verdana" w:cs="Verdana"/>
          <w:sz w:val="20"/>
          <w:szCs w:val="20"/>
          <w:lang w:val="en-US"/>
        </w:rPr>
        <w:t>,</w:t>
      </w:r>
    </w:p>
    <w:p w14:paraId="039C8E3E" w14:textId="77777777" w:rsidR="006C37C9" w:rsidRPr="00012C3F" w:rsidRDefault="006C37C9" w:rsidP="006C37C9">
      <w:pPr>
        <w:spacing w:before="4" w:line="240" w:lineRule="exact"/>
        <w:rPr>
          <w:rFonts w:ascii="Calibri" w:eastAsia="Calibri" w:hAnsi="Calibri"/>
          <w:lang w:val="en-US"/>
        </w:rPr>
      </w:pPr>
    </w:p>
    <w:p w14:paraId="2809A1CA" w14:textId="77777777" w:rsidR="006C37C9" w:rsidRPr="00012C3F" w:rsidRDefault="001254DE" w:rsidP="006C37C9">
      <w:pPr>
        <w:tabs>
          <w:tab w:val="left" w:pos="720"/>
        </w:tabs>
        <w:spacing w:line="240" w:lineRule="auto"/>
        <w:rPr>
          <w:rFonts w:eastAsia="Calibri" w:cs="Verdana"/>
          <w:sz w:val="20"/>
          <w:szCs w:val="20"/>
          <w:lang w:val="en-US"/>
        </w:rPr>
      </w:pPr>
      <w:r w:rsidRPr="00012C3F">
        <w:rPr>
          <w:rFonts w:eastAsia="Calibri" w:cs="Verdana"/>
          <w:sz w:val="20"/>
          <w:szCs w:val="20"/>
          <w:lang w:val="en-US"/>
        </w:rPr>
        <w:t>the Inter-American Court of Human Rights</w:t>
      </w:r>
      <w:r w:rsidR="006C37C9" w:rsidRPr="00012C3F">
        <w:rPr>
          <w:rFonts w:eastAsia="Calibri" w:cs="Verdana"/>
          <w:sz w:val="20"/>
          <w:szCs w:val="20"/>
          <w:lang w:val="en-US"/>
        </w:rPr>
        <w:t xml:space="preserve"> (</w:t>
      </w:r>
      <w:r w:rsidRPr="00012C3F">
        <w:rPr>
          <w:rFonts w:eastAsia="Calibri" w:cs="Verdana"/>
          <w:sz w:val="20"/>
          <w:szCs w:val="20"/>
          <w:lang w:val="en-US"/>
        </w:rPr>
        <w:t>hereinafter</w:t>
      </w:r>
      <w:r w:rsidR="006C37C9" w:rsidRPr="00012C3F">
        <w:rPr>
          <w:rFonts w:eastAsia="Calibri" w:cs="Verdana"/>
          <w:sz w:val="20"/>
          <w:szCs w:val="20"/>
          <w:lang w:val="en-US"/>
        </w:rPr>
        <w:t xml:space="preserve"> “</w:t>
      </w:r>
      <w:r w:rsidRPr="00012C3F">
        <w:rPr>
          <w:rFonts w:eastAsia="Calibri" w:cs="Verdana"/>
          <w:sz w:val="20"/>
          <w:szCs w:val="20"/>
          <w:lang w:val="en-US"/>
        </w:rPr>
        <w:t>the Inter-American Court</w:t>
      </w:r>
      <w:r w:rsidR="006C37C9" w:rsidRPr="00012C3F">
        <w:rPr>
          <w:rFonts w:eastAsia="Calibri" w:cs="Verdana"/>
          <w:sz w:val="20"/>
          <w:szCs w:val="20"/>
          <w:lang w:val="en-US"/>
        </w:rPr>
        <w:t>”</w:t>
      </w:r>
      <w:r w:rsidRPr="00012C3F">
        <w:rPr>
          <w:rFonts w:eastAsia="Calibri" w:cs="Verdana"/>
          <w:sz w:val="20"/>
          <w:szCs w:val="20"/>
          <w:lang w:val="en-US"/>
        </w:rPr>
        <w:t xml:space="preserve"> or</w:t>
      </w:r>
      <w:r w:rsidR="006C37C9" w:rsidRPr="00012C3F">
        <w:rPr>
          <w:rFonts w:eastAsia="Calibri" w:cs="Verdana"/>
          <w:sz w:val="20"/>
          <w:szCs w:val="20"/>
          <w:lang w:val="en-US"/>
        </w:rPr>
        <w:t xml:space="preserve"> “</w:t>
      </w:r>
      <w:r w:rsidRPr="00012C3F">
        <w:rPr>
          <w:rFonts w:eastAsia="Calibri" w:cs="Verdana"/>
          <w:sz w:val="20"/>
          <w:szCs w:val="20"/>
          <w:lang w:val="en-US"/>
        </w:rPr>
        <w:t>the Court</w:t>
      </w:r>
      <w:r w:rsidR="006C37C9" w:rsidRPr="00012C3F">
        <w:rPr>
          <w:rFonts w:eastAsia="Calibri" w:cs="Verdana"/>
          <w:sz w:val="20"/>
          <w:szCs w:val="20"/>
          <w:lang w:val="en-US"/>
        </w:rPr>
        <w:t>”</w:t>
      </w:r>
      <w:r w:rsidRPr="00012C3F">
        <w:rPr>
          <w:rFonts w:eastAsia="Calibri" w:cs="Verdana"/>
          <w:sz w:val="20"/>
          <w:szCs w:val="20"/>
          <w:lang w:val="en-US"/>
        </w:rPr>
        <w:t>) composed of the following judges:</w:t>
      </w:r>
    </w:p>
    <w:p w14:paraId="14907DE1" w14:textId="77777777" w:rsidR="001254DE" w:rsidRPr="00012C3F" w:rsidRDefault="001254DE" w:rsidP="006C37C9">
      <w:pPr>
        <w:tabs>
          <w:tab w:val="left" w:pos="720"/>
        </w:tabs>
        <w:spacing w:line="240" w:lineRule="auto"/>
        <w:rPr>
          <w:rFonts w:eastAsia="Calibri" w:cs="Verdana"/>
          <w:sz w:val="20"/>
          <w:szCs w:val="20"/>
          <w:lang w:val="en-US"/>
        </w:rPr>
      </w:pPr>
    </w:p>
    <w:p w14:paraId="0639DCC2" w14:textId="77777777" w:rsidR="006C37C9" w:rsidRPr="00012C3F" w:rsidRDefault="006C37C9" w:rsidP="006C37C9">
      <w:pPr>
        <w:tabs>
          <w:tab w:val="left" w:pos="720"/>
        </w:tabs>
        <w:spacing w:line="240" w:lineRule="auto"/>
        <w:rPr>
          <w:rFonts w:eastAsia="Calibri" w:cs="Verdana"/>
          <w:sz w:val="20"/>
          <w:szCs w:val="20"/>
          <w:lang w:val="en-US"/>
        </w:rPr>
      </w:pPr>
      <w:r w:rsidRPr="00012C3F">
        <w:rPr>
          <w:rFonts w:eastAsia="Calibri" w:cs="Verdana"/>
          <w:sz w:val="20"/>
          <w:szCs w:val="20"/>
          <w:lang w:val="en-US"/>
        </w:rPr>
        <w:t xml:space="preserve">Roberto F. Caldas, </w:t>
      </w:r>
      <w:r w:rsidR="001254DE" w:rsidRPr="00012C3F">
        <w:rPr>
          <w:rFonts w:eastAsia="Calibri" w:cs="Verdana"/>
          <w:sz w:val="20"/>
          <w:szCs w:val="20"/>
          <w:lang w:val="en-US"/>
        </w:rPr>
        <w:t>President</w:t>
      </w:r>
    </w:p>
    <w:p w14:paraId="74D6C4E8" w14:textId="77777777" w:rsidR="006C37C9" w:rsidRPr="00012C3F" w:rsidRDefault="006C37C9" w:rsidP="006C37C9">
      <w:pPr>
        <w:tabs>
          <w:tab w:val="left" w:pos="720"/>
        </w:tabs>
        <w:spacing w:line="240" w:lineRule="auto"/>
        <w:rPr>
          <w:rFonts w:eastAsia="Calibri" w:cs="Verdana"/>
          <w:sz w:val="20"/>
          <w:szCs w:val="20"/>
          <w:lang w:val="en-US"/>
        </w:rPr>
      </w:pPr>
      <w:r w:rsidRPr="00012C3F">
        <w:rPr>
          <w:rFonts w:eastAsia="Calibri" w:cs="Verdana"/>
          <w:sz w:val="20"/>
          <w:szCs w:val="20"/>
          <w:lang w:val="en-US"/>
        </w:rPr>
        <w:t>Eduardo Ferrer Mac-Gregor Poisot, Vice</w:t>
      </w:r>
      <w:r w:rsidR="001254DE" w:rsidRPr="00012C3F">
        <w:rPr>
          <w:rFonts w:eastAsia="Calibri" w:cs="Verdana"/>
          <w:sz w:val="20"/>
          <w:szCs w:val="20"/>
          <w:lang w:val="en-US"/>
        </w:rPr>
        <w:t xml:space="preserve"> President</w:t>
      </w:r>
    </w:p>
    <w:p w14:paraId="6E4CEE97" w14:textId="77777777" w:rsidR="006C37C9" w:rsidRPr="00012C3F" w:rsidRDefault="006C37C9" w:rsidP="006C37C9">
      <w:pPr>
        <w:tabs>
          <w:tab w:val="left" w:pos="720"/>
        </w:tabs>
        <w:spacing w:line="240" w:lineRule="auto"/>
        <w:rPr>
          <w:rFonts w:eastAsia="Calibri" w:cs="Verdana"/>
          <w:sz w:val="20"/>
          <w:szCs w:val="20"/>
          <w:lang w:val="en-US"/>
        </w:rPr>
      </w:pPr>
      <w:r w:rsidRPr="00012C3F">
        <w:rPr>
          <w:rFonts w:eastAsia="Calibri" w:cs="Verdana"/>
          <w:sz w:val="20"/>
          <w:szCs w:val="20"/>
          <w:lang w:val="en-US"/>
        </w:rPr>
        <w:t xml:space="preserve">Eduardo Vio Grossi, </w:t>
      </w:r>
      <w:r w:rsidR="001254DE" w:rsidRPr="00012C3F">
        <w:rPr>
          <w:rFonts w:eastAsia="Calibri" w:cs="Verdana"/>
          <w:sz w:val="20"/>
          <w:szCs w:val="20"/>
          <w:lang w:val="en-US"/>
        </w:rPr>
        <w:t>Judge</w:t>
      </w:r>
    </w:p>
    <w:p w14:paraId="186A0FDE" w14:textId="77777777" w:rsidR="006C37C9" w:rsidRPr="00012C3F" w:rsidRDefault="006C37C9" w:rsidP="006C37C9">
      <w:pPr>
        <w:tabs>
          <w:tab w:val="left" w:pos="720"/>
        </w:tabs>
        <w:spacing w:line="240" w:lineRule="auto"/>
        <w:rPr>
          <w:rFonts w:eastAsia="Calibri" w:cs="Verdana"/>
          <w:sz w:val="20"/>
          <w:szCs w:val="20"/>
          <w:lang w:val="en-US"/>
        </w:rPr>
      </w:pPr>
      <w:r w:rsidRPr="00012C3F">
        <w:rPr>
          <w:rFonts w:eastAsia="Calibri" w:cs="Verdana"/>
          <w:sz w:val="20"/>
          <w:szCs w:val="20"/>
          <w:lang w:val="en-US"/>
        </w:rPr>
        <w:t xml:space="preserve">Humberto Antonio Sierra Porto, </w:t>
      </w:r>
      <w:r w:rsidR="001254DE" w:rsidRPr="00012C3F">
        <w:rPr>
          <w:rFonts w:eastAsia="Calibri" w:cs="Verdana"/>
          <w:sz w:val="20"/>
          <w:szCs w:val="20"/>
          <w:lang w:val="en-US"/>
        </w:rPr>
        <w:t>Judge</w:t>
      </w:r>
    </w:p>
    <w:p w14:paraId="37EF789D" w14:textId="77777777" w:rsidR="006C37C9" w:rsidRPr="00012C3F" w:rsidRDefault="006C37C9" w:rsidP="006C37C9">
      <w:pPr>
        <w:tabs>
          <w:tab w:val="left" w:pos="720"/>
        </w:tabs>
        <w:spacing w:line="240" w:lineRule="auto"/>
        <w:rPr>
          <w:rFonts w:eastAsia="Calibri" w:cs="Verdana"/>
          <w:sz w:val="20"/>
          <w:szCs w:val="20"/>
          <w:lang w:val="en-US"/>
        </w:rPr>
      </w:pPr>
      <w:r w:rsidRPr="00012C3F">
        <w:rPr>
          <w:rFonts w:eastAsia="Calibri" w:cs="Verdana"/>
          <w:sz w:val="20"/>
          <w:szCs w:val="20"/>
          <w:lang w:val="en-US"/>
        </w:rPr>
        <w:t xml:space="preserve">Elizabeth Odio Benito, </w:t>
      </w:r>
      <w:r w:rsidR="001254DE" w:rsidRPr="00012C3F">
        <w:rPr>
          <w:rFonts w:eastAsia="Calibri" w:cs="Verdana"/>
          <w:sz w:val="20"/>
          <w:szCs w:val="20"/>
          <w:lang w:val="en-US"/>
        </w:rPr>
        <w:t>Judge</w:t>
      </w:r>
    </w:p>
    <w:p w14:paraId="78F2E504" w14:textId="77777777" w:rsidR="006C37C9" w:rsidRPr="00012C3F" w:rsidRDefault="006C37C9" w:rsidP="006C37C9">
      <w:pPr>
        <w:tabs>
          <w:tab w:val="left" w:pos="720"/>
        </w:tabs>
        <w:spacing w:line="240" w:lineRule="auto"/>
        <w:rPr>
          <w:rFonts w:eastAsia="Calibri" w:cs="Verdana"/>
          <w:sz w:val="20"/>
          <w:szCs w:val="20"/>
          <w:lang w:val="en-US"/>
        </w:rPr>
      </w:pPr>
      <w:r w:rsidRPr="00012C3F">
        <w:rPr>
          <w:rFonts w:eastAsia="Calibri" w:cs="Verdana"/>
          <w:sz w:val="20"/>
          <w:szCs w:val="20"/>
          <w:lang w:val="en-US"/>
        </w:rPr>
        <w:t xml:space="preserve">Eugenio Raúl Zaffaroni, </w:t>
      </w:r>
      <w:r w:rsidR="001254DE" w:rsidRPr="00012C3F">
        <w:rPr>
          <w:rFonts w:eastAsia="Calibri" w:cs="Verdana"/>
          <w:sz w:val="20"/>
          <w:szCs w:val="20"/>
          <w:lang w:val="en-US"/>
        </w:rPr>
        <w:t>Judge</w:t>
      </w:r>
      <w:r w:rsidRPr="00012C3F">
        <w:rPr>
          <w:rFonts w:eastAsia="Calibri" w:cs="Verdana"/>
          <w:sz w:val="20"/>
          <w:szCs w:val="20"/>
          <w:lang w:val="en-US"/>
        </w:rPr>
        <w:t xml:space="preserve">, </w:t>
      </w:r>
      <w:r w:rsidR="001254DE" w:rsidRPr="00012C3F">
        <w:rPr>
          <w:rFonts w:eastAsia="Calibri" w:cs="Verdana"/>
          <w:sz w:val="20"/>
          <w:szCs w:val="20"/>
          <w:lang w:val="en-US"/>
        </w:rPr>
        <w:t>and</w:t>
      </w:r>
    </w:p>
    <w:p w14:paraId="1948BD52" w14:textId="77777777" w:rsidR="006C37C9" w:rsidRPr="00012C3F" w:rsidRDefault="006C37C9" w:rsidP="006C37C9">
      <w:pPr>
        <w:tabs>
          <w:tab w:val="left" w:pos="720"/>
        </w:tabs>
        <w:spacing w:line="240" w:lineRule="auto"/>
        <w:rPr>
          <w:rFonts w:eastAsia="Calibri" w:cs="Verdana"/>
          <w:sz w:val="20"/>
          <w:szCs w:val="20"/>
          <w:lang w:val="en-US"/>
        </w:rPr>
      </w:pPr>
      <w:r w:rsidRPr="00012C3F">
        <w:rPr>
          <w:rFonts w:eastAsia="Calibri" w:cs="Verdana"/>
          <w:sz w:val="20"/>
          <w:szCs w:val="20"/>
          <w:lang w:val="en-US"/>
        </w:rPr>
        <w:t xml:space="preserve">L. Patricio Pazmiño Freire, </w:t>
      </w:r>
      <w:r w:rsidR="001254DE" w:rsidRPr="00012C3F">
        <w:rPr>
          <w:rFonts w:eastAsia="Calibri" w:cs="Verdana"/>
          <w:sz w:val="20"/>
          <w:szCs w:val="20"/>
          <w:lang w:val="en-US"/>
        </w:rPr>
        <w:t>Judge</w:t>
      </w:r>
      <w:r w:rsidRPr="00012C3F">
        <w:rPr>
          <w:rFonts w:eastAsia="Calibri" w:cs="Verdana"/>
          <w:sz w:val="20"/>
          <w:szCs w:val="20"/>
          <w:lang w:val="en-US"/>
        </w:rPr>
        <w:t>;</w:t>
      </w:r>
    </w:p>
    <w:p w14:paraId="1693B7CD" w14:textId="77777777" w:rsidR="006C37C9" w:rsidRPr="00012C3F" w:rsidRDefault="006C37C9" w:rsidP="006C37C9">
      <w:pPr>
        <w:tabs>
          <w:tab w:val="left" w:pos="720"/>
        </w:tabs>
        <w:spacing w:line="240" w:lineRule="auto"/>
        <w:rPr>
          <w:rFonts w:eastAsia="Calibri" w:cs="Verdana"/>
          <w:sz w:val="20"/>
          <w:szCs w:val="20"/>
          <w:lang w:val="en-US"/>
        </w:rPr>
      </w:pPr>
    </w:p>
    <w:p w14:paraId="3BFEF21D" w14:textId="77777777" w:rsidR="006C37C9" w:rsidRPr="00012C3F" w:rsidRDefault="001254DE" w:rsidP="006C37C9">
      <w:pPr>
        <w:tabs>
          <w:tab w:val="left" w:pos="720"/>
        </w:tabs>
        <w:spacing w:line="240" w:lineRule="auto"/>
        <w:rPr>
          <w:rFonts w:eastAsia="Calibri" w:cs="Verdana"/>
          <w:sz w:val="20"/>
          <w:szCs w:val="20"/>
          <w:lang w:val="en-US"/>
        </w:rPr>
      </w:pPr>
      <w:r w:rsidRPr="00012C3F">
        <w:rPr>
          <w:rFonts w:eastAsia="Calibri" w:cs="Verdana"/>
          <w:sz w:val="20"/>
          <w:szCs w:val="20"/>
          <w:lang w:val="en-US"/>
        </w:rPr>
        <w:t>also present</w:t>
      </w:r>
      <w:r w:rsidR="006C37C9" w:rsidRPr="00012C3F">
        <w:rPr>
          <w:rFonts w:eastAsia="Calibri" w:cs="Verdana"/>
          <w:sz w:val="20"/>
          <w:szCs w:val="20"/>
          <w:lang w:val="en-US"/>
        </w:rPr>
        <w:t>,</w:t>
      </w:r>
    </w:p>
    <w:p w14:paraId="3E9B16AE" w14:textId="77777777" w:rsidR="006C37C9" w:rsidRPr="00012C3F" w:rsidRDefault="006C37C9" w:rsidP="006C37C9">
      <w:pPr>
        <w:tabs>
          <w:tab w:val="left" w:pos="720"/>
        </w:tabs>
        <w:spacing w:line="240" w:lineRule="auto"/>
        <w:rPr>
          <w:rFonts w:eastAsia="Calibri" w:cs="Verdana"/>
          <w:sz w:val="20"/>
          <w:szCs w:val="20"/>
          <w:lang w:val="en-US"/>
        </w:rPr>
      </w:pPr>
    </w:p>
    <w:p w14:paraId="5EC1EA60" w14:textId="77777777" w:rsidR="006C37C9" w:rsidRPr="00012C3F" w:rsidRDefault="006C37C9" w:rsidP="006C37C9">
      <w:pPr>
        <w:tabs>
          <w:tab w:val="left" w:pos="720"/>
        </w:tabs>
        <w:spacing w:line="240" w:lineRule="auto"/>
        <w:rPr>
          <w:rFonts w:eastAsia="Calibri" w:cs="Verdana"/>
          <w:sz w:val="20"/>
          <w:szCs w:val="20"/>
          <w:lang w:val="en-US"/>
        </w:rPr>
      </w:pPr>
      <w:r w:rsidRPr="00012C3F">
        <w:rPr>
          <w:rFonts w:eastAsia="Calibri" w:cs="Verdana"/>
          <w:sz w:val="20"/>
          <w:szCs w:val="20"/>
          <w:lang w:val="en-US"/>
        </w:rPr>
        <w:t xml:space="preserve">Pablo Saavedra Alessandri, </w:t>
      </w:r>
      <w:r w:rsidR="001254DE" w:rsidRPr="00012C3F">
        <w:rPr>
          <w:rFonts w:eastAsia="Calibri" w:cs="Verdana"/>
          <w:sz w:val="20"/>
          <w:szCs w:val="20"/>
          <w:lang w:val="en-US"/>
        </w:rPr>
        <w:t>Secretary</w:t>
      </w:r>
      <w:r w:rsidRPr="00012C3F">
        <w:rPr>
          <w:rFonts w:eastAsia="Calibri" w:cs="Verdana"/>
          <w:sz w:val="20"/>
          <w:szCs w:val="20"/>
          <w:lang w:val="en-US"/>
        </w:rPr>
        <w:t xml:space="preserve">, </w:t>
      </w:r>
      <w:r w:rsidR="001254DE" w:rsidRPr="00012C3F">
        <w:rPr>
          <w:rFonts w:eastAsia="Calibri" w:cs="Verdana"/>
          <w:sz w:val="20"/>
          <w:szCs w:val="20"/>
          <w:lang w:val="en-US"/>
        </w:rPr>
        <w:t>and</w:t>
      </w:r>
    </w:p>
    <w:p w14:paraId="5049448F" w14:textId="77777777" w:rsidR="006C37C9" w:rsidRPr="00012C3F" w:rsidRDefault="006C37C9" w:rsidP="006C37C9">
      <w:pPr>
        <w:tabs>
          <w:tab w:val="left" w:pos="720"/>
        </w:tabs>
        <w:spacing w:line="240" w:lineRule="auto"/>
        <w:rPr>
          <w:rFonts w:eastAsia="Calibri" w:cs="Verdana"/>
          <w:sz w:val="20"/>
          <w:szCs w:val="20"/>
          <w:lang w:val="en-US"/>
        </w:rPr>
      </w:pPr>
      <w:r w:rsidRPr="00012C3F">
        <w:rPr>
          <w:rFonts w:eastAsia="Calibri" w:cs="Verdana"/>
          <w:sz w:val="20"/>
          <w:szCs w:val="20"/>
          <w:lang w:val="en-US" w:eastAsia="es-MX"/>
        </w:rPr>
        <w:t xml:space="preserve">Emilia Segares Rodríguez, </w:t>
      </w:r>
      <w:r w:rsidR="001254DE" w:rsidRPr="00012C3F">
        <w:rPr>
          <w:rFonts w:eastAsia="Calibri" w:cs="Verdana"/>
          <w:sz w:val="20"/>
          <w:szCs w:val="20"/>
          <w:lang w:val="en-US" w:eastAsia="es-MX"/>
        </w:rPr>
        <w:t>Deputy Secretary</w:t>
      </w:r>
      <w:r w:rsidRPr="00012C3F">
        <w:rPr>
          <w:rFonts w:eastAsia="Calibri" w:cs="Verdana"/>
          <w:sz w:val="20"/>
          <w:szCs w:val="20"/>
          <w:lang w:val="en-US" w:eastAsia="es-MX"/>
        </w:rPr>
        <w:t>,</w:t>
      </w:r>
    </w:p>
    <w:p w14:paraId="25D7FA11" w14:textId="77777777" w:rsidR="006C37C9" w:rsidRPr="00012C3F" w:rsidRDefault="006C37C9" w:rsidP="006C37C9">
      <w:pPr>
        <w:tabs>
          <w:tab w:val="left" w:pos="720"/>
        </w:tabs>
        <w:spacing w:line="240" w:lineRule="auto"/>
        <w:rPr>
          <w:rFonts w:eastAsia="Calibri" w:cs="Verdana"/>
          <w:sz w:val="20"/>
          <w:szCs w:val="20"/>
          <w:lang w:val="en-US"/>
        </w:rPr>
      </w:pPr>
    </w:p>
    <w:p w14:paraId="69A12907" w14:textId="77777777" w:rsidR="006C37C9" w:rsidRPr="00012C3F" w:rsidRDefault="001254DE" w:rsidP="006C37C9">
      <w:pPr>
        <w:tabs>
          <w:tab w:val="left" w:pos="720"/>
        </w:tabs>
        <w:spacing w:line="240" w:lineRule="auto"/>
        <w:rPr>
          <w:rFonts w:eastAsia="Calibri" w:cs="Verdana"/>
          <w:sz w:val="20"/>
          <w:szCs w:val="20"/>
          <w:lang w:val="en-US"/>
        </w:rPr>
      </w:pPr>
      <w:r w:rsidRPr="00012C3F">
        <w:rPr>
          <w:rFonts w:eastAsia="Calibri" w:cs="Verdana"/>
          <w:sz w:val="20"/>
          <w:szCs w:val="20"/>
          <w:lang w:val="en-US"/>
        </w:rPr>
        <w:t>pursuant to</w:t>
      </w:r>
      <w:r w:rsidR="006C37C9" w:rsidRPr="00012C3F">
        <w:rPr>
          <w:rFonts w:eastAsia="Calibri" w:cs="Verdana"/>
          <w:sz w:val="20"/>
          <w:szCs w:val="20"/>
          <w:lang w:val="en-US"/>
        </w:rPr>
        <w:t xml:space="preserve"> </w:t>
      </w:r>
      <w:r w:rsidRPr="00012C3F">
        <w:rPr>
          <w:rFonts w:eastAsia="Calibri" w:cs="Verdana"/>
          <w:sz w:val="20"/>
          <w:szCs w:val="20"/>
          <w:lang w:val="en-US"/>
        </w:rPr>
        <w:t>Articles</w:t>
      </w:r>
      <w:r w:rsidR="006C37C9" w:rsidRPr="00012C3F">
        <w:rPr>
          <w:rFonts w:eastAsia="Calibri" w:cs="Verdana"/>
          <w:sz w:val="20"/>
          <w:szCs w:val="20"/>
          <w:lang w:val="en-US"/>
        </w:rPr>
        <w:t xml:space="preserve"> </w:t>
      </w:r>
      <w:r w:rsidRPr="00012C3F">
        <w:rPr>
          <w:rFonts w:eastAsia="Calibri" w:cs="Verdana"/>
          <w:sz w:val="20"/>
          <w:szCs w:val="20"/>
          <w:lang w:val="en-US"/>
        </w:rPr>
        <w:t>62(3)</w:t>
      </w:r>
      <w:r w:rsidR="006C37C9" w:rsidRPr="00012C3F">
        <w:rPr>
          <w:rFonts w:eastAsia="Calibri" w:cs="Verdana"/>
          <w:sz w:val="20"/>
          <w:szCs w:val="20"/>
          <w:lang w:val="en-US"/>
        </w:rPr>
        <w:t xml:space="preserve"> </w:t>
      </w:r>
      <w:r w:rsidRPr="00012C3F">
        <w:rPr>
          <w:rFonts w:eastAsia="Calibri" w:cs="Verdana"/>
          <w:sz w:val="20"/>
          <w:szCs w:val="20"/>
          <w:lang w:val="en-US"/>
        </w:rPr>
        <w:t>and</w:t>
      </w:r>
      <w:r w:rsidR="006C37C9" w:rsidRPr="00012C3F">
        <w:rPr>
          <w:rFonts w:eastAsia="Calibri" w:cs="Verdana"/>
          <w:sz w:val="20"/>
          <w:szCs w:val="20"/>
          <w:lang w:val="en-US"/>
        </w:rPr>
        <w:t xml:space="preserve"> </w:t>
      </w:r>
      <w:r w:rsidRPr="00012C3F">
        <w:rPr>
          <w:rFonts w:eastAsia="Calibri" w:cs="Verdana"/>
          <w:sz w:val="20"/>
          <w:szCs w:val="20"/>
          <w:lang w:val="en-US"/>
        </w:rPr>
        <w:t>63(1) of the American Convention on Human Rights</w:t>
      </w:r>
      <w:r w:rsidR="006C37C9" w:rsidRPr="00012C3F">
        <w:rPr>
          <w:rFonts w:eastAsia="Calibri" w:cs="Verdana"/>
          <w:sz w:val="20"/>
          <w:szCs w:val="20"/>
          <w:lang w:val="en-US"/>
        </w:rPr>
        <w:t xml:space="preserve"> (</w:t>
      </w:r>
      <w:r w:rsidRPr="00012C3F">
        <w:rPr>
          <w:rFonts w:eastAsia="Calibri" w:cs="Verdana"/>
          <w:sz w:val="20"/>
          <w:szCs w:val="20"/>
          <w:lang w:val="en-US"/>
        </w:rPr>
        <w:t>hereinafter</w:t>
      </w:r>
      <w:r w:rsidR="006C37C9" w:rsidRPr="00012C3F">
        <w:rPr>
          <w:rFonts w:eastAsia="Calibri" w:cs="Verdana"/>
          <w:sz w:val="20"/>
          <w:szCs w:val="20"/>
          <w:lang w:val="en-US"/>
        </w:rPr>
        <w:t xml:space="preserve"> “</w:t>
      </w:r>
      <w:r w:rsidRPr="00012C3F">
        <w:rPr>
          <w:rFonts w:eastAsia="Calibri" w:cs="Verdana"/>
          <w:sz w:val="20"/>
          <w:szCs w:val="20"/>
          <w:lang w:val="en-US"/>
        </w:rPr>
        <w:t>the American Convention</w:t>
      </w:r>
      <w:r w:rsidR="006C37C9" w:rsidRPr="00012C3F">
        <w:rPr>
          <w:rFonts w:eastAsia="Calibri" w:cs="Verdana"/>
          <w:sz w:val="20"/>
          <w:szCs w:val="20"/>
          <w:lang w:val="en-US"/>
        </w:rPr>
        <w:t>” o</w:t>
      </w:r>
      <w:r w:rsidRPr="00012C3F">
        <w:rPr>
          <w:rFonts w:eastAsia="Calibri" w:cs="Verdana"/>
          <w:sz w:val="20"/>
          <w:szCs w:val="20"/>
          <w:lang w:val="en-US"/>
        </w:rPr>
        <w:t>r</w:t>
      </w:r>
      <w:r w:rsidR="006C37C9" w:rsidRPr="00012C3F">
        <w:rPr>
          <w:rFonts w:eastAsia="Calibri" w:cs="Verdana"/>
          <w:sz w:val="20"/>
          <w:szCs w:val="20"/>
          <w:lang w:val="en-US"/>
        </w:rPr>
        <w:t xml:space="preserve"> “</w:t>
      </w:r>
      <w:r w:rsidRPr="00012C3F">
        <w:rPr>
          <w:rFonts w:eastAsia="Calibri" w:cs="Verdana"/>
          <w:sz w:val="20"/>
          <w:szCs w:val="20"/>
          <w:lang w:val="en-US"/>
        </w:rPr>
        <w:t>the Convention</w:t>
      </w:r>
      <w:r w:rsidR="006C37C9" w:rsidRPr="00012C3F">
        <w:rPr>
          <w:rFonts w:eastAsia="Calibri" w:cs="Verdana"/>
          <w:sz w:val="20"/>
          <w:szCs w:val="20"/>
          <w:lang w:val="en-US"/>
        </w:rPr>
        <w:t xml:space="preserve">”) </w:t>
      </w:r>
      <w:r w:rsidRPr="00012C3F">
        <w:rPr>
          <w:rFonts w:eastAsia="Calibri" w:cs="Verdana"/>
          <w:sz w:val="20"/>
          <w:szCs w:val="20"/>
          <w:lang w:val="en-US"/>
        </w:rPr>
        <w:t>and</w:t>
      </w:r>
      <w:r w:rsidR="006C37C9" w:rsidRPr="00012C3F">
        <w:rPr>
          <w:rFonts w:eastAsia="Calibri" w:cs="Verdana"/>
          <w:sz w:val="20"/>
          <w:szCs w:val="20"/>
          <w:lang w:val="en-US"/>
        </w:rPr>
        <w:t xml:space="preserve"> </w:t>
      </w:r>
      <w:r w:rsidRPr="00012C3F">
        <w:rPr>
          <w:rFonts w:eastAsia="Calibri" w:cs="Verdana"/>
          <w:sz w:val="20"/>
          <w:szCs w:val="20"/>
          <w:lang w:val="en-US"/>
        </w:rPr>
        <w:t>Articles</w:t>
      </w:r>
      <w:r w:rsidR="006C37C9" w:rsidRPr="00012C3F">
        <w:rPr>
          <w:rFonts w:eastAsia="Calibri" w:cs="Verdana"/>
          <w:sz w:val="20"/>
          <w:szCs w:val="20"/>
          <w:lang w:val="en-US"/>
        </w:rPr>
        <w:t xml:space="preserve"> 31, 32, 42, 65 </w:t>
      </w:r>
      <w:r w:rsidRPr="00012C3F">
        <w:rPr>
          <w:rFonts w:eastAsia="Calibri" w:cs="Verdana"/>
          <w:sz w:val="20"/>
          <w:szCs w:val="20"/>
          <w:lang w:val="en-US"/>
        </w:rPr>
        <w:t>and</w:t>
      </w:r>
      <w:r w:rsidR="006C37C9" w:rsidRPr="00012C3F">
        <w:rPr>
          <w:rFonts w:eastAsia="Calibri" w:cs="Verdana"/>
          <w:sz w:val="20"/>
          <w:szCs w:val="20"/>
          <w:lang w:val="en-US"/>
        </w:rPr>
        <w:t xml:space="preserve"> 67</w:t>
      </w:r>
      <w:r w:rsidRPr="00012C3F">
        <w:rPr>
          <w:rFonts w:eastAsia="Calibri" w:cs="Verdana"/>
          <w:sz w:val="20"/>
          <w:szCs w:val="20"/>
          <w:lang w:val="en-US"/>
        </w:rPr>
        <w:t xml:space="preserve"> of the Rules of Procedure of the Court</w:t>
      </w:r>
      <w:r w:rsidR="006C37C9" w:rsidRPr="00012C3F">
        <w:rPr>
          <w:rFonts w:eastAsia="Calibri" w:cs="Verdana"/>
          <w:sz w:val="20"/>
          <w:szCs w:val="20"/>
          <w:lang w:val="en-US"/>
        </w:rPr>
        <w:t xml:space="preserve"> (</w:t>
      </w:r>
      <w:r w:rsidRPr="00012C3F">
        <w:rPr>
          <w:rFonts w:eastAsia="Calibri" w:cs="Verdana"/>
          <w:sz w:val="20"/>
          <w:szCs w:val="20"/>
          <w:lang w:val="en-US"/>
        </w:rPr>
        <w:t>hereinafter</w:t>
      </w:r>
      <w:r w:rsidR="006C37C9" w:rsidRPr="00012C3F">
        <w:rPr>
          <w:rFonts w:eastAsia="Calibri" w:cs="Verdana"/>
          <w:sz w:val="20"/>
          <w:szCs w:val="20"/>
          <w:lang w:val="en-US"/>
        </w:rPr>
        <w:t xml:space="preserve"> “</w:t>
      </w:r>
      <w:r w:rsidRPr="00012C3F">
        <w:rPr>
          <w:rFonts w:eastAsia="Calibri" w:cs="Verdana"/>
          <w:sz w:val="20"/>
          <w:szCs w:val="20"/>
          <w:lang w:val="en-US"/>
        </w:rPr>
        <w:t>the Rules of Procedure</w:t>
      </w:r>
      <w:r w:rsidR="006C37C9" w:rsidRPr="00012C3F">
        <w:rPr>
          <w:rFonts w:eastAsia="Calibri" w:cs="Verdana"/>
          <w:sz w:val="20"/>
          <w:szCs w:val="20"/>
          <w:lang w:val="en-US"/>
        </w:rPr>
        <w:t>” o</w:t>
      </w:r>
      <w:r w:rsidRPr="00012C3F">
        <w:rPr>
          <w:rFonts w:eastAsia="Calibri" w:cs="Verdana"/>
          <w:sz w:val="20"/>
          <w:szCs w:val="20"/>
          <w:lang w:val="en-US"/>
        </w:rPr>
        <w:t>r</w:t>
      </w:r>
      <w:r w:rsidR="006C37C9" w:rsidRPr="00012C3F">
        <w:rPr>
          <w:rFonts w:eastAsia="Calibri" w:cs="Verdana"/>
          <w:sz w:val="20"/>
          <w:szCs w:val="20"/>
          <w:lang w:val="en-US"/>
        </w:rPr>
        <w:t xml:space="preserve"> “</w:t>
      </w:r>
      <w:r w:rsidRPr="00012C3F">
        <w:rPr>
          <w:rFonts w:eastAsia="Calibri" w:cs="Verdana"/>
          <w:sz w:val="20"/>
          <w:szCs w:val="20"/>
          <w:lang w:val="en-US"/>
        </w:rPr>
        <w:t>the Court’s Rules of Procedure”</w:t>
      </w:r>
      <w:r w:rsidR="006C37C9" w:rsidRPr="00012C3F">
        <w:rPr>
          <w:rFonts w:eastAsia="Calibri" w:cs="Verdana"/>
          <w:sz w:val="20"/>
          <w:szCs w:val="20"/>
          <w:lang w:val="en-US"/>
        </w:rPr>
        <w:t xml:space="preserve">), </w:t>
      </w:r>
      <w:r w:rsidRPr="00012C3F">
        <w:rPr>
          <w:rFonts w:eastAsia="Calibri" w:cs="Verdana"/>
          <w:sz w:val="20"/>
          <w:szCs w:val="20"/>
          <w:lang w:val="en-US"/>
        </w:rPr>
        <w:t xml:space="preserve">delivers this judgment, structured as follows: </w:t>
      </w:r>
    </w:p>
    <w:p w14:paraId="66AFDCFD" w14:textId="77777777" w:rsidR="006C37C9" w:rsidRPr="00012C3F" w:rsidRDefault="006C37C9" w:rsidP="006C37C9">
      <w:pPr>
        <w:spacing w:before="1" w:line="235" w:lineRule="exact"/>
        <w:ind w:left="100" w:right="-1085"/>
        <w:rPr>
          <w:rFonts w:eastAsia="Verdana" w:cs="Verdana"/>
          <w:position w:val="-1"/>
          <w:sz w:val="20"/>
          <w:szCs w:val="20"/>
          <w:lang w:val="en-US"/>
        </w:rPr>
      </w:pPr>
    </w:p>
    <w:p w14:paraId="03BDC1E3" w14:textId="77777777" w:rsidR="006C37C9" w:rsidRPr="00012C3F" w:rsidRDefault="006C37C9" w:rsidP="006C37C9">
      <w:pPr>
        <w:spacing w:before="1" w:line="235" w:lineRule="exact"/>
        <w:ind w:left="100" w:right="-20"/>
        <w:rPr>
          <w:rFonts w:eastAsia="Verdana" w:cs="Verdana"/>
          <w:position w:val="-1"/>
          <w:sz w:val="20"/>
          <w:szCs w:val="20"/>
          <w:lang w:val="en-US"/>
        </w:rPr>
      </w:pPr>
    </w:p>
    <w:p w14:paraId="21C3CB21" w14:textId="77777777" w:rsidR="006C37C9" w:rsidRPr="00012C3F" w:rsidRDefault="006C37C9" w:rsidP="006C37C9">
      <w:pPr>
        <w:rPr>
          <w:rFonts w:eastAsia="Verdana" w:cs="Verdana"/>
          <w:position w:val="-1"/>
          <w:sz w:val="20"/>
          <w:szCs w:val="20"/>
          <w:lang w:val="en-US"/>
        </w:rPr>
      </w:pPr>
      <w:r w:rsidRPr="00012C3F">
        <w:rPr>
          <w:rFonts w:eastAsia="Verdana" w:cs="Verdana"/>
          <w:position w:val="-1"/>
          <w:sz w:val="20"/>
          <w:szCs w:val="20"/>
          <w:lang w:val="en-US"/>
        </w:rPr>
        <w:br w:type="page"/>
      </w:r>
    </w:p>
    <w:sdt>
      <w:sdtPr>
        <w:rPr>
          <w:rFonts w:ascii="Verdana" w:eastAsia="Times New Roman" w:hAnsi="Verdana" w:cs="Times New Roman"/>
          <w:b w:val="0"/>
          <w:bCs w:val="0"/>
          <w:color w:val="auto"/>
          <w:sz w:val="18"/>
          <w:szCs w:val="18"/>
          <w:lang w:val="es-CR" w:eastAsia="es-CR"/>
        </w:rPr>
        <w:id w:val="1293254421"/>
        <w:docPartObj>
          <w:docPartGallery w:val="Table of Contents"/>
          <w:docPartUnique/>
        </w:docPartObj>
      </w:sdtPr>
      <w:sdtEndPr>
        <w:rPr>
          <w:sz w:val="16"/>
          <w:szCs w:val="16"/>
        </w:rPr>
      </w:sdtEndPr>
      <w:sdtContent>
        <w:p w14:paraId="6F546429" w14:textId="77777777" w:rsidR="00E16176" w:rsidRPr="00012C3F" w:rsidRDefault="001254DE" w:rsidP="001254DE">
          <w:pPr>
            <w:pStyle w:val="TtuloTDC"/>
            <w:spacing w:before="0" w:line="240" w:lineRule="auto"/>
            <w:jc w:val="center"/>
            <w:rPr>
              <w:rFonts w:ascii="Verdana" w:hAnsi="Verdana"/>
              <w:color w:val="auto"/>
              <w:sz w:val="16"/>
              <w:szCs w:val="16"/>
            </w:rPr>
          </w:pPr>
          <w:r w:rsidRPr="00012C3F">
            <w:rPr>
              <w:rFonts w:ascii="Verdana" w:hAnsi="Verdana"/>
              <w:color w:val="auto"/>
              <w:sz w:val="16"/>
              <w:szCs w:val="16"/>
            </w:rPr>
            <w:t>TABLE OF CONTENTS</w:t>
          </w:r>
        </w:p>
        <w:p w14:paraId="13937B6C" w14:textId="77777777" w:rsidR="001254DE" w:rsidRPr="00012C3F" w:rsidRDefault="001254DE" w:rsidP="001254DE">
          <w:pPr>
            <w:rPr>
              <w:sz w:val="16"/>
              <w:szCs w:val="16"/>
              <w:lang w:val="en-US" w:eastAsia="ja-JP"/>
            </w:rPr>
          </w:pPr>
        </w:p>
        <w:p w14:paraId="1BF2A1E6" w14:textId="7FEF4237" w:rsidR="00D943BD" w:rsidRPr="00012C3F" w:rsidRDefault="00F76CCA" w:rsidP="00D943BD">
          <w:pPr>
            <w:pStyle w:val="TDC1"/>
            <w:tabs>
              <w:tab w:val="right" w:leader="dot" w:pos="10076"/>
            </w:tabs>
            <w:spacing w:after="0" w:line="240" w:lineRule="auto"/>
            <w:rPr>
              <w:rFonts w:eastAsiaTheme="minorEastAsia" w:cstheme="minorBidi"/>
              <w:noProof/>
              <w:sz w:val="16"/>
              <w:szCs w:val="16"/>
              <w:lang w:val="en-US" w:eastAsia="en-US"/>
            </w:rPr>
          </w:pPr>
          <w:r w:rsidRPr="00012C3F">
            <w:rPr>
              <w:sz w:val="16"/>
              <w:szCs w:val="16"/>
              <w:lang w:val="en-US"/>
            </w:rPr>
            <w:fldChar w:fldCharType="begin"/>
          </w:r>
          <w:r w:rsidR="00E16176" w:rsidRPr="00012C3F">
            <w:rPr>
              <w:sz w:val="16"/>
              <w:szCs w:val="16"/>
              <w:lang w:val="en-US"/>
            </w:rPr>
            <w:instrText xml:space="preserve"> TOC \o "1-3" \h \z \u </w:instrText>
          </w:r>
          <w:r w:rsidRPr="00012C3F">
            <w:rPr>
              <w:sz w:val="16"/>
              <w:szCs w:val="16"/>
              <w:lang w:val="en-US"/>
            </w:rPr>
            <w:fldChar w:fldCharType="separate"/>
          </w:r>
          <w:hyperlink w:anchor="_Toc27486816" w:history="1">
            <w:r w:rsidR="00D943BD" w:rsidRPr="00012C3F">
              <w:rPr>
                <w:rStyle w:val="Hipervnculo"/>
                <w:rFonts w:cs="Verdana"/>
                <w:b/>
                <w:bCs/>
                <w:caps/>
                <w:noProof/>
                <w:snapToGrid w:val="0"/>
                <w:sz w:val="16"/>
                <w:szCs w:val="16"/>
                <w:lang w:val="en-US"/>
              </w:rPr>
              <w:t>I INTRODUCTION OF THE CASE AND PURPOSE OF THE DISPUTE</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_Toc27486816 \h </w:instrText>
            </w:r>
            <w:r w:rsidR="00D943BD" w:rsidRPr="00012C3F">
              <w:rPr>
                <w:noProof/>
                <w:webHidden/>
                <w:sz w:val="16"/>
                <w:szCs w:val="16"/>
              </w:rPr>
            </w:r>
            <w:r w:rsidR="00D943BD" w:rsidRPr="00012C3F">
              <w:rPr>
                <w:noProof/>
                <w:webHidden/>
                <w:sz w:val="16"/>
                <w:szCs w:val="16"/>
              </w:rPr>
              <w:fldChar w:fldCharType="separate"/>
            </w:r>
            <w:r w:rsidR="00C92775">
              <w:rPr>
                <w:noProof/>
                <w:webHidden/>
                <w:sz w:val="16"/>
                <w:szCs w:val="16"/>
              </w:rPr>
              <w:t>4</w:t>
            </w:r>
            <w:r w:rsidR="00D943BD" w:rsidRPr="00012C3F">
              <w:rPr>
                <w:noProof/>
                <w:webHidden/>
                <w:sz w:val="16"/>
                <w:szCs w:val="16"/>
              </w:rPr>
              <w:fldChar w:fldCharType="end"/>
            </w:r>
          </w:hyperlink>
        </w:p>
        <w:p w14:paraId="4639A8DB" w14:textId="15ECA867" w:rsidR="00D943BD" w:rsidRPr="00012C3F" w:rsidRDefault="00C92775" w:rsidP="00D943BD">
          <w:pPr>
            <w:pStyle w:val="TDC1"/>
            <w:tabs>
              <w:tab w:val="right" w:leader="dot" w:pos="10076"/>
            </w:tabs>
            <w:spacing w:after="0" w:line="240" w:lineRule="auto"/>
            <w:rPr>
              <w:rFonts w:eastAsiaTheme="minorEastAsia" w:cstheme="minorBidi"/>
              <w:noProof/>
              <w:sz w:val="16"/>
              <w:szCs w:val="16"/>
              <w:lang w:val="en-US" w:eastAsia="en-US"/>
            </w:rPr>
          </w:pPr>
          <w:hyperlink w:anchor="_Toc27486817" w:history="1">
            <w:r w:rsidR="00D943BD" w:rsidRPr="00012C3F">
              <w:rPr>
                <w:rStyle w:val="Hipervnculo"/>
                <w:rFonts w:cs="Verdana"/>
                <w:b/>
                <w:bCs/>
                <w:caps/>
                <w:noProof/>
                <w:snapToGrid w:val="0"/>
                <w:sz w:val="16"/>
                <w:szCs w:val="16"/>
                <w:lang w:val="en-US"/>
              </w:rPr>
              <w:t>II PROCEEDINGS BEFORE THE COURT</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_Toc27486817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5</w:t>
            </w:r>
            <w:r w:rsidR="00D943BD" w:rsidRPr="00012C3F">
              <w:rPr>
                <w:noProof/>
                <w:webHidden/>
                <w:sz w:val="16"/>
                <w:szCs w:val="16"/>
              </w:rPr>
              <w:fldChar w:fldCharType="end"/>
            </w:r>
          </w:hyperlink>
        </w:p>
        <w:p w14:paraId="2D0FAB28" w14:textId="69F1F1DA" w:rsidR="00D943BD" w:rsidRPr="00012C3F" w:rsidRDefault="00C92775" w:rsidP="00D943BD">
          <w:pPr>
            <w:pStyle w:val="TDC1"/>
            <w:tabs>
              <w:tab w:val="right" w:leader="dot" w:pos="10076"/>
            </w:tabs>
            <w:spacing w:after="0" w:line="240" w:lineRule="auto"/>
            <w:rPr>
              <w:rFonts w:eastAsiaTheme="minorEastAsia" w:cstheme="minorBidi"/>
              <w:noProof/>
              <w:sz w:val="16"/>
              <w:szCs w:val="16"/>
              <w:lang w:val="en-US" w:eastAsia="en-US"/>
            </w:rPr>
          </w:pPr>
          <w:hyperlink w:anchor="_Toc27486818" w:history="1">
            <w:r w:rsidR="00D943BD" w:rsidRPr="00012C3F">
              <w:rPr>
                <w:rStyle w:val="Hipervnculo"/>
                <w:rFonts w:cs="Verdana"/>
                <w:b/>
                <w:bCs/>
                <w:caps/>
                <w:noProof/>
                <w:snapToGrid w:val="0"/>
                <w:sz w:val="16"/>
                <w:szCs w:val="16"/>
                <w:lang w:val="en-US"/>
              </w:rPr>
              <w:t>III JURISDICTION</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_Toc27486818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8</w:t>
            </w:r>
            <w:r w:rsidR="00D943BD" w:rsidRPr="00012C3F">
              <w:rPr>
                <w:noProof/>
                <w:webHidden/>
                <w:sz w:val="16"/>
                <w:szCs w:val="16"/>
              </w:rPr>
              <w:fldChar w:fldCharType="end"/>
            </w:r>
          </w:hyperlink>
        </w:p>
        <w:p w14:paraId="4D25EFF4" w14:textId="5A5B07E1" w:rsidR="00D943BD" w:rsidRPr="00012C3F" w:rsidRDefault="00C92775" w:rsidP="00D943BD">
          <w:pPr>
            <w:pStyle w:val="TDC1"/>
            <w:tabs>
              <w:tab w:val="right" w:leader="dot" w:pos="10076"/>
            </w:tabs>
            <w:spacing w:after="0" w:line="240" w:lineRule="auto"/>
            <w:rPr>
              <w:rFonts w:eastAsiaTheme="minorEastAsia" w:cstheme="minorBidi"/>
              <w:noProof/>
              <w:sz w:val="16"/>
              <w:szCs w:val="16"/>
              <w:lang w:val="en-US" w:eastAsia="en-US"/>
            </w:rPr>
          </w:pPr>
          <w:hyperlink w:anchor="_Toc27486819" w:history="1">
            <w:r w:rsidR="00D943BD" w:rsidRPr="00012C3F">
              <w:rPr>
                <w:rStyle w:val="Hipervnculo"/>
                <w:rFonts w:cs="Verdana"/>
                <w:b/>
                <w:bCs/>
                <w:caps/>
                <w:noProof/>
                <w:snapToGrid w:val="0"/>
                <w:sz w:val="16"/>
                <w:szCs w:val="16"/>
                <w:lang w:val="en-US"/>
              </w:rPr>
              <w:t>IV PRELIMINARY OBJECTIONS</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_Toc27486819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8</w:t>
            </w:r>
            <w:r w:rsidR="00D943BD" w:rsidRPr="00012C3F">
              <w:rPr>
                <w:noProof/>
                <w:webHidden/>
                <w:sz w:val="16"/>
                <w:szCs w:val="16"/>
              </w:rPr>
              <w:fldChar w:fldCharType="end"/>
            </w:r>
          </w:hyperlink>
        </w:p>
        <w:p w14:paraId="437335FD" w14:textId="44035942" w:rsidR="00D943BD" w:rsidRPr="00012C3F" w:rsidRDefault="00C92775" w:rsidP="00D943BD">
          <w:pPr>
            <w:pStyle w:val="TDC2"/>
            <w:rPr>
              <w:rFonts w:eastAsiaTheme="minorEastAsia" w:cstheme="minorBidi"/>
              <w:noProof/>
              <w:sz w:val="16"/>
              <w:szCs w:val="16"/>
              <w:lang w:val="en-US" w:eastAsia="en-US"/>
            </w:rPr>
          </w:pPr>
          <w:hyperlink w:anchor="_Toc27486820" w:history="1">
            <w:r w:rsidR="00D943BD" w:rsidRPr="00012C3F">
              <w:rPr>
                <w:rStyle w:val="Hipervnculo"/>
                <w:rFonts w:eastAsia="MS Mincho"/>
                <w:b/>
                <w:bCs/>
                <w:i/>
                <w:noProof/>
                <w:sz w:val="16"/>
                <w:szCs w:val="16"/>
                <w:lang w:val="en-US"/>
              </w:rPr>
              <w:t>A.</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 xml:space="preserve">Objection concerning the alleged lack of </w:t>
            </w:r>
            <w:r w:rsidR="00D24EFE">
              <w:rPr>
                <w:rStyle w:val="Hipervnculo"/>
                <w:rFonts w:eastAsia="MS Mincho"/>
                <w:b/>
                <w:bCs/>
                <w:i/>
                <w:noProof/>
                <w:sz w:val="16"/>
                <w:szCs w:val="16"/>
                <w:lang w:val="en-US"/>
              </w:rPr>
              <w:t>jurisdiction ratione loci</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_Toc27486820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8</w:t>
            </w:r>
            <w:r w:rsidR="00D943BD" w:rsidRPr="00012C3F">
              <w:rPr>
                <w:noProof/>
                <w:webHidden/>
                <w:sz w:val="16"/>
                <w:szCs w:val="16"/>
              </w:rPr>
              <w:fldChar w:fldCharType="end"/>
            </w:r>
          </w:hyperlink>
        </w:p>
        <w:p w14:paraId="35EAF64A" w14:textId="198AA553" w:rsidR="00D943BD" w:rsidRPr="00012C3F" w:rsidRDefault="00C92775" w:rsidP="00D943BD">
          <w:pPr>
            <w:pStyle w:val="TDC2"/>
            <w:rPr>
              <w:rFonts w:eastAsiaTheme="minorEastAsia" w:cstheme="minorBidi"/>
              <w:noProof/>
              <w:sz w:val="16"/>
              <w:szCs w:val="16"/>
              <w:lang w:val="en-US" w:eastAsia="en-US"/>
            </w:rPr>
          </w:pPr>
          <w:hyperlink w:anchor="_Toc27486821" w:history="1">
            <w:r w:rsidR="00D943BD" w:rsidRPr="00012C3F">
              <w:rPr>
                <w:rStyle w:val="Hipervnculo"/>
                <w:i/>
                <w:noProof/>
                <w:sz w:val="16"/>
                <w:szCs w:val="16"/>
                <w:lang w:val="en-US"/>
              </w:rPr>
              <w:t xml:space="preserve">A.1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Arguments of the State and observations of the Commission and the representative</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_Toc27486821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8</w:t>
            </w:r>
            <w:r w:rsidR="00D943BD" w:rsidRPr="00012C3F">
              <w:rPr>
                <w:noProof/>
                <w:webHidden/>
                <w:sz w:val="16"/>
                <w:szCs w:val="16"/>
              </w:rPr>
              <w:fldChar w:fldCharType="end"/>
            </w:r>
          </w:hyperlink>
        </w:p>
        <w:p w14:paraId="11F74463" w14:textId="33CBEEA9" w:rsidR="00D943BD" w:rsidRPr="00012C3F" w:rsidRDefault="00C92775" w:rsidP="00D943BD">
          <w:pPr>
            <w:pStyle w:val="TDC2"/>
            <w:rPr>
              <w:rFonts w:eastAsiaTheme="minorEastAsia" w:cstheme="minorBidi"/>
              <w:noProof/>
              <w:sz w:val="16"/>
              <w:szCs w:val="16"/>
              <w:lang w:val="en-US" w:eastAsia="en-US"/>
            </w:rPr>
          </w:pPr>
          <w:hyperlink w:anchor="_Toc27486822" w:history="1">
            <w:r w:rsidR="00D943BD" w:rsidRPr="00012C3F">
              <w:rPr>
                <w:rStyle w:val="Hipervnculo"/>
                <w:i/>
                <w:noProof/>
                <w:sz w:val="16"/>
                <w:szCs w:val="16"/>
                <w:lang w:val="en-US"/>
              </w:rPr>
              <w:t xml:space="preserve">A.2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Considerations of the Court</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_Toc27486822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9</w:t>
            </w:r>
            <w:r w:rsidR="00D943BD" w:rsidRPr="00012C3F">
              <w:rPr>
                <w:noProof/>
                <w:webHidden/>
                <w:sz w:val="16"/>
                <w:szCs w:val="16"/>
              </w:rPr>
              <w:fldChar w:fldCharType="end"/>
            </w:r>
          </w:hyperlink>
        </w:p>
        <w:p w14:paraId="560732BA" w14:textId="6D119681" w:rsidR="00D943BD" w:rsidRPr="00012C3F" w:rsidRDefault="00C92775" w:rsidP="00D943BD">
          <w:pPr>
            <w:pStyle w:val="TDC2"/>
            <w:rPr>
              <w:rFonts w:eastAsiaTheme="minorEastAsia" w:cstheme="minorBidi"/>
              <w:noProof/>
              <w:sz w:val="16"/>
              <w:szCs w:val="16"/>
              <w:lang w:val="en-US" w:eastAsia="en-US"/>
            </w:rPr>
          </w:pPr>
          <w:hyperlink w:anchor="_Toc27486823" w:history="1">
            <w:r w:rsidR="00D943BD" w:rsidRPr="00012C3F">
              <w:rPr>
                <w:rStyle w:val="Hipervnculo"/>
                <w:rFonts w:eastAsia="MS Mincho"/>
                <w:b/>
                <w:bCs/>
                <w:i/>
                <w:noProof/>
                <w:sz w:val="16"/>
                <w:szCs w:val="16"/>
                <w:lang w:val="en-US"/>
              </w:rPr>
              <w:t>B.</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Objection concerning the alleged failure to exhaust domestic remedies</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_Toc27486823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9</w:t>
            </w:r>
            <w:r w:rsidR="00D943BD" w:rsidRPr="00012C3F">
              <w:rPr>
                <w:noProof/>
                <w:webHidden/>
                <w:sz w:val="16"/>
                <w:szCs w:val="16"/>
              </w:rPr>
              <w:fldChar w:fldCharType="end"/>
            </w:r>
          </w:hyperlink>
        </w:p>
        <w:p w14:paraId="6D31DC37" w14:textId="46FF72B4" w:rsidR="00D943BD" w:rsidRPr="00012C3F" w:rsidRDefault="00C92775" w:rsidP="00D943BD">
          <w:pPr>
            <w:pStyle w:val="TDC2"/>
            <w:rPr>
              <w:rFonts w:eastAsiaTheme="minorEastAsia" w:cstheme="minorBidi"/>
              <w:noProof/>
              <w:sz w:val="16"/>
              <w:szCs w:val="16"/>
              <w:lang w:val="en-US" w:eastAsia="en-US"/>
            </w:rPr>
          </w:pPr>
          <w:hyperlink w:anchor="_Toc27486824" w:history="1">
            <w:r w:rsidR="00D943BD" w:rsidRPr="00012C3F">
              <w:rPr>
                <w:rStyle w:val="Hipervnculo"/>
                <w:i/>
                <w:noProof/>
                <w:sz w:val="16"/>
                <w:szCs w:val="16"/>
                <w:lang w:val="en-US"/>
              </w:rPr>
              <w:t xml:space="preserve">B.1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Arguments of the State and observations of the Commission and the representative</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_Toc27486824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9</w:t>
            </w:r>
            <w:r w:rsidR="00D943BD" w:rsidRPr="00012C3F">
              <w:rPr>
                <w:noProof/>
                <w:webHidden/>
                <w:sz w:val="16"/>
                <w:szCs w:val="16"/>
              </w:rPr>
              <w:fldChar w:fldCharType="end"/>
            </w:r>
          </w:hyperlink>
        </w:p>
        <w:p w14:paraId="2CDA113C" w14:textId="46BC250B" w:rsidR="00D943BD" w:rsidRPr="00012C3F" w:rsidRDefault="00C92775" w:rsidP="00D943BD">
          <w:pPr>
            <w:pStyle w:val="TDC2"/>
            <w:rPr>
              <w:rFonts w:eastAsiaTheme="minorEastAsia" w:cstheme="minorBidi"/>
              <w:noProof/>
              <w:sz w:val="16"/>
              <w:szCs w:val="16"/>
              <w:lang w:val="en-US" w:eastAsia="en-US"/>
            </w:rPr>
          </w:pPr>
          <w:hyperlink w:anchor="_Toc27486825" w:history="1">
            <w:r w:rsidR="00D943BD" w:rsidRPr="00012C3F">
              <w:rPr>
                <w:rStyle w:val="Hipervnculo"/>
                <w:i/>
                <w:noProof/>
                <w:sz w:val="16"/>
                <w:szCs w:val="16"/>
                <w:lang w:val="en-US"/>
              </w:rPr>
              <w:t xml:space="preserve">B.2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Considerations of the Court</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_Toc27486825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12</w:t>
            </w:r>
            <w:r w:rsidR="00D943BD" w:rsidRPr="00012C3F">
              <w:rPr>
                <w:noProof/>
                <w:webHidden/>
                <w:sz w:val="16"/>
                <w:szCs w:val="16"/>
              </w:rPr>
              <w:fldChar w:fldCharType="end"/>
            </w:r>
          </w:hyperlink>
        </w:p>
        <w:p w14:paraId="44D3E9F6" w14:textId="23212A3C" w:rsidR="00D943BD" w:rsidRPr="00012C3F" w:rsidRDefault="00C92775" w:rsidP="00D943BD">
          <w:pPr>
            <w:pStyle w:val="TDC1"/>
            <w:tabs>
              <w:tab w:val="right" w:leader="dot" w:pos="10076"/>
            </w:tabs>
            <w:spacing w:after="0" w:line="240" w:lineRule="auto"/>
            <w:rPr>
              <w:rFonts w:eastAsiaTheme="minorEastAsia" w:cstheme="minorBidi"/>
              <w:noProof/>
              <w:sz w:val="16"/>
              <w:szCs w:val="16"/>
              <w:lang w:val="en-US" w:eastAsia="en-US"/>
            </w:rPr>
          </w:pPr>
          <w:hyperlink w:anchor="_Toc27486826" w:history="1">
            <w:r w:rsidR="00D943BD" w:rsidRPr="00012C3F">
              <w:rPr>
                <w:rStyle w:val="Hipervnculo"/>
                <w:rFonts w:cs="Verdana"/>
                <w:b/>
                <w:bCs/>
                <w:caps/>
                <w:noProof/>
                <w:snapToGrid w:val="0"/>
                <w:sz w:val="16"/>
                <w:szCs w:val="16"/>
                <w:lang w:val="en-US"/>
              </w:rPr>
              <w:t>V PRELIMINARY CONSIDERATIONS</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_Toc27486826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15</w:t>
            </w:r>
            <w:r w:rsidR="00D943BD" w:rsidRPr="00012C3F">
              <w:rPr>
                <w:noProof/>
                <w:webHidden/>
                <w:sz w:val="16"/>
                <w:szCs w:val="16"/>
              </w:rPr>
              <w:fldChar w:fldCharType="end"/>
            </w:r>
          </w:hyperlink>
        </w:p>
        <w:p w14:paraId="10C360EE" w14:textId="135E5E2E" w:rsidR="00D943BD" w:rsidRPr="00012C3F" w:rsidRDefault="00C92775" w:rsidP="00D943BD">
          <w:pPr>
            <w:pStyle w:val="TDC2"/>
            <w:rPr>
              <w:rFonts w:eastAsiaTheme="minorEastAsia" w:cstheme="minorBidi"/>
              <w:noProof/>
              <w:sz w:val="16"/>
              <w:szCs w:val="16"/>
              <w:lang w:val="en-US" w:eastAsia="en-US"/>
            </w:rPr>
          </w:pPr>
          <w:hyperlink w:anchor="_Toc27486827" w:history="1">
            <w:r w:rsidR="00D943BD" w:rsidRPr="00012C3F">
              <w:rPr>
                <w:rStyle w:val="Hipervnculo"/>
                <w:rFonts w:eastAsia="MS Mincho"/>
                <w:b/>
                <w:bCs/>
                <w:i/>
                <w:noProof/>
                <w:sz w:val="16"/>
                <w:szCs w:val="16"/>
                <w:lang w:val="en-US"/>
              </w:rPr>
              <w:t>A.</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Determination of the presumed victims</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_Toc27486827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15</w:t>
            </w:r>
            <w:r w:rsidR="00D943BD" w:rsidRPr="00012C3F">
              <w:rPr>
                <w:noProof/>
                <w:webHidden/>
                <w:sz w:val="16"/>
                <w:szCs w:val="16"/>
              </w:rPr>
              <w:fldChar w:fldCharType="end"/>
            </w:r>
          </w:hyperlink>
        </w:p>
        <w:p w14:paraId="326A46C8" w14:textId="5CE9A17A" w:rsidR="00D943BD" w:rsidRPr="00012C3F" w:rsidRDefault="00C92775" w:rsidP="00D943BD">
          <w:pPr>
            <w:pStyle w:val="TDC2"/>
            <w:rPr>
              <w:rFonts w:eastAsiaTheme="minorEastAsia" w:cstheme="minorBidi"/>
              <w:noProof/>
              <w:sz w:val="16"/>
              <w:szCs w:val="16"/>
              <w:lang w:val="en-US" w:eastAsia="en-US"/>
            </w:rPr>
          </w:pPr>
          <w:hyperlink w:anchor="_Toc27486828" w:history="1">
            <w:r w:rsidR="00D943BD" w:rsidRPr="00012C3F">
              <w:rPr>
                <w:rStyle w:val="Hipervnculo"/>
                <w:rFonts w:eastAsia="MS Mincho"/>
                <w:b/>
                <w:bCs/>
                <w:i/>
                <w:noProof/>
                <w:sz w:val="16"/>
                <w:szCs w:val="16"/>
                <w:lang w:val="en-US"/>
              </w:rPr>
              <w:t>B.</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The factual framework of the case</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_Toc27486828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16</w:t>
            </w:r>
            <w:r w:rsidR="00D943BD" w:rsidRPr="00012C3F">
              <w:rPr>
                <w:noProof/>
                <w:webHidden/>
                <w:sz w:val="16"/>
                <w:szCs w:val="16"/>
              </w:rPr>
              <w:fldChar w:fldCharType="end"/>
            </w:r>
          </w:hyperlink>
        </w:p>
        <w:p w14:paraId="322A229A" w14:textId="2677EE81" w:rsidR="00D943BD" w:rsidRPr="00012C3F" w:rsidRDefault="00C92775" w:rsidP="00D943BD">
          <w:pPr>
            <w:pStyle w:val="TDC2"/>
            <w:rPr>
              <w:rFonts w:eastAsiaTheme="minorEastAsia" w:cstheme="minorBidi"/>
              <w:noProof/>
              <w:sz w:val="16"/>
              <w:szCs w:val="16"/>
              <w:lang w:val="en-US" w:eastAsia="en-US"/>
            </w:rPr>
          </w:pPr>
          <w:hyperlink w:anchor="_Toc27486829" w:history="1">
            <w:r w:rsidR="00D943BD" w:rsidRPr="00012C3F">
              <w:rPr>
                <w:rStyle w:val="Hipervnculo"/>
                <w:rFonts w:eastAsia="MS Mincho"/>
                <w:b/>
                <w:bCs/>
                <w:i/>
                <w:noProof/>
                <w:sz w:val="16"/>
                <w:szCs w:val="16"/>
                <w:lang w:val="en-US"/>
              </w:rPr>
              <w:t>C.</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Other human rights violations alleged by the representative</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_Toc27486829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16</w:t>
            </w:r>
            <w:r w:rsidR="00D943BD" w:rsidRPr="00012C3F">
              <w:rPr>
                <w:noProof/>
                <w:webHidden/>
                <w:sz w:val="16"/>
                <w:szCs w:val="16"/>
              </w:rPr>
              <w:fldChar w:fldCharType="end"/>
            </w:r>
          </w:hyperlink>
        </w:p>
        <w:p w14:paraId="157E2D6A" w14:textId="090BB2ED" w:rsidR="00D943BD" w:rsidRPr="00012C3F" w:rsidRDefault="00C92775" w:rsidP="00D943BD">
          <w:pPr>
            <w:pStyle w:val="TDC1"/>
            <w:tabs>
              <w:tab w:val="right" w:leader="dot" w:pos="10076"/>
            </w:tabs>
            <w:spacing w:after="0" w:line="240" w:lineRule="auto"/>
            <w:rPr>
              <w:rFonts w:eastAsiaTheme="minorEastAsia" w:cstheme="minorBidi"/>
              <w:noProof/>
              <w:sz w:val="16"/>
              <w:szCs w:val="16"/>
              <w:lang w:val="en-US" w:eastAsia="en-US"/>
            </w:rPr>
          </w:pPr>
          <w:hyperlink w:anchor="_Toc27486830" w:history="1">
            <w:r w:rsidR="00D943BD" w:rsidRPr="00012C3F">
              <w:rPr>
                <w:rStyle w:val="Hipervnculo"/>
                <w:rFonts w:cs="Verdana"/>
                <w:b/>
                <w:bCs/>
                <w:caps/>
                <w:noProof/>
                <w:snapToGrid w:val="0"/>
                <w:sz w:val="16"/>
                <w:szCs w:val="16"/>
                <w:lang w:val="en-US"/>
              </w:rPr>
              <w:t>VI EVIDENCE</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_Toc27486830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17</w:t>
            </w:r>
            <w:r w:rsidR="00D943BD" w:rsidRPr="00012C3F">
              <w:rPr>
                <w:noProof/>
                <w:webHidden/>
                <w:sz w:val="16"/>
                <w:szCs w:val="16"/>
              </w:rPr>
              <w:fldChar w:fldCharType="end"/>
            </w:r>
          </w:hyperlink>
        </w:p>
        <w:p w14:paraId="24A0E937" w14:textId="2EC871CF" w:rsidR="00D943BD" w:rsidRPr="00012C3F" w:rsidRDefault="00C92775" w:rsidP="00D943BD">
          <w:pPr>
            <w:pStyle w:val="TDC2"/>
            <w:rPr>
              <w:rFonts w:eastAsiaTheme="minorEastAsia" w:cstheme="minorBidi"/>
              <w:noProof/>
              <w:sz w:val="16"/>
              <w:szCs w:val="16"/>
              <w:lang w:val="en-US" w:eastAsia="en-US"/>
            </w:rPr>
          </w:pPr>
          <w:hyperlink w:anchor="_Toc27486831" w:history="1">
            <w:r w:rsidR="00D943BD" w:rsidRPr="00012C3F">
              <w:rPr>
                <w:rStyle w:val="Hipervnculo"/>
                <w:rFonts w:eastAsia="MS Mincho"/>
                <w:b/>
                <w:bCs/>
                <w:i/>
                <w:noProof/>
                <w:sz w:val="16"/>
                <w:szCs w:val="16"/>
                <w:lang w:val="en-US"/>
              </w:rPr>
              <w:t>A.</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Documentary, testimonial and expert evidence</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_Toc27486831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17</w:t>
            </w:r>
            <w:r w:rsidR="00D943BD" w:rsidRPr="00012C3F">
              <w:rPr>
                <w:noProof/>
                <w:webHidden/>
                <w:sz w:val="16"/>
                <w:szCs w:val="16"/>
              </w:rPr>
              <w:fldChar w:fldCharType="end"/>
            </w:r>
          </w:hyperlink>
        </w:p>
        <w:p w14:paraId="4C1FB52D" w14:textId="7FB2D229" w:rsidR="00D943BD" w:rsidRPr="00012C3F" w:rsidRDefault="00C92775" w:rsidP="00D943BD">
          <w:pPr>
            <w:pStyle w:val="TDC2"/>
            <w:rPr>
              <w:rFonts w:eastAsiaTheme="minorEastAsia" w:cstheme="minorBidi"/>
              <w:noProof/>
              <w:sz w:val="16"/>
              <w:szCs w:val="16"/>
              <w:lang w:val="en-US" w:eastAsia="en-US"/>
            </w:rPr>
          </w:pPr>
          <w:hyperlink w:anchor="_Toc27486832" w:history="1">
            <w:r w:rsidR="00D943BD" w:rsidRPr="00012C3F">
              <w:rPr>
                <w:rStyle w:val="Hipervnculo"/>
                <w:rFonts w:eastAsia="MS Mincho"/>
                <w:b/>
                <w:bCs/>
                <w:i/>
                <w:noProof/>
                <w:sz w:val="16"/>
                <w:szCs w:val="16"/>
                <w:lang w:val="en-US"/>
              </w:rPr>
              <w:t xml:space="preserve">B. </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Admission of the evidence</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_Toc27486832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17</w:t>
            </w:r>
            <w:r w:rsidR="00D943BD" w:rsidRPr="00012C3F">
              <w:rPr>
                <w:noProof/>
                <w:webHidden/>
                <w:sz w:val="16"/>
                <w:szCs w:val="16"/>
              </w:rPr>
              <w:fldChar w:fldCharType="end"/>
            </w:r>
          </w:hyperlink>
        </w:p>
        <w:p w14:paraId="77766326" w14:textId="3CAC5E02" w:rsidR="00D943BD" w:rsidRPr="00012C3F" w:rsidRDefault="00C92775" w:rsidP="00D943BD">
          <w:pPr>
            <w:pStyle w:val="TDC2"/>
            <w:rPr>
              <w:rFonts w:eastAsiaTheme="minorEastAsia" w:cstheme="minorBidi"/>
              <w:noProof/>
              <w:sz w:val="16"/>
              <w:szCs w:val="16"/>
              <w:lang w:val="en-US" w:eastAsia="en-US"/>
            </w:rPr>
          </w:pPr>
          <w:hyperlink w:anchor="_Toc27486833" w:history="1">
            <w:r w:rsidR="00D943BD" w:rsidRPr="00012C3F">
              <w:rPr>
                <w:rStyle w:val="Hipervnculo"/>
                <w:i/>
                <w:noProof/>
                <w:sz w:val="16"/>
                <w:szCs w:val="16"/>
                <w:lang w:val="en-US"/>
              </w:rPr>
              <w:t xml:space="preserve">B.1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Admission of the documentary evidence</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_Toc27486833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17</w:t>
            </w:r>
            <w:r w:rsidR="00D943BD" w:rsidRPr="00012C3F">
              <w:rPr>
                <w:noProof/>
                <w:webHidden/>
                <w:sz w:val="16"/>
                <w:szCs w:val="16"/>
              </w:rPr>
              <w:fldChar w:fldCharType="end"/>
            </w:r>
          </w:hyperlink>
        </w:p>
        <w:p w14:paraId="13C6A6E9" w14:textId="681B55ED" w:rsidR="00D943BD" w:rsidRPr="00012C3F" w:rsidRDefault="00C92775" w:rsidP="00D943BD">
          <w:pPr>
            <w:pStyle w:val="TDC2"/>
            <w:rPr>
              <w:rFonts w:eastAsiaTheme="minorEastAsia" w:cstheme="minorBidi"/>
              <w:noProof/>
              <w:sz w:val="16"/>
              <w:szCs w:val="16"/>
              <w:lang w:val="en-US" w:eastAsia="en-US"/>
            </w:rPr>
          </w:pPr>
          <w:hyperlink w:anchor="_Toc27486834" w:history="1">
            <w:r w:rsidR="00D943BD" w:rsidRPr="00012C3F">
              <w:rPr>
                <w:rStyle w:val="Hipervnculo"/>
                <w:i/>
                <w:noProof/>
                <w:sz w:val="16"/>
                <w:szCs w:val="16"/>
                <w:lang w:val="en-US"/>
              </w:rPr>
              <w:t xml:space="preserve">B.2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Admission of the statements and of the expert opinions</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_Toc27486834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19</w:t>
            </w:r>
            <w:r w:rsidR="00D943BD" w:rsidRPr="00012C3F">
              <w:rPr>
                <w:noProof/>
                <w:webHidden/>
                <w:sz w:val="16"/>
                <w:szCs w:val="16"/>
              </w:rPr>
              <w:fldChar w:fldCharType="end"/>
            </w:r>
          </w:hyperlink>
        </w:p>
        <w:p w14:paraId="46FE0718" w14:textId="01511D25" w:rsidR="00D943BD" w:rsidRPr="00012C3F" w:rsidRDefault="00C92775" w:rsidP="00D943BD">
          <w:pPr>
            <w:pStyle w:val="TDC2"/>
            <w:rPr>
              <w:rFonts w:eastAsiaTheme="minorEastAsia" w:cstheme="minorBidi"/>
              <w:noProof/>
              <w:sz w:val="16"/>
              <w:szCs w:val="16"/>
              <w:lang w:val="en-US" w:eastAsia="en-US"/>
            </w:rPr>
          </w:pPr>
          <w:hyperlink w:anchor="_Toc27486835" w:history="1">
            <w:r w:rsidR="00D943BD" w:rsidRPr="00012C3F">
              <w:rPr>
                <w:rStyle w:val="Hipervnculo"/>
                <w:rFonts w:eastAsia="MS Mincho"/>
                <w:b/>
                <w:bCs/>
                <w:i/>
                <w:noProof/>
                <w:sz w:val="16"/>
                <w:szCs w:val="16"/>
                <w:lang w:val="en-US"/>
              </w:rPr>
              <w:t xml:space="preserve">C. </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Assessment of the evidence</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_Toc27486835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19</w:t>
            </w:r>
            <w:r w:rsidR="00D943BD" w:rsidRPr="00012C3F">
              <w:rPr>
                <w:noProof/>
                <w:webHidden/>
                <w:sz w:val="16"/>
                <w:szCs w:val="16"/>
              </w:rPr>
              <w:fldChar w:fldCharType="end"/>
            </w:r>
          </w:hyperlink>
        </w:p>
        <w:p w14:paraId="1A630461" w14:textId="35AFC1F0" w:rsidR="00D943BD" w:rsidRPr="00012C3F" w:rsidRDefault="00C92775" w:rsidP="00D943BD">
          <w:pPr>
            <w:pStyle w:val="TDC1"/>
            <w:tabs>
              <w:tab w:val="right" w:leader="dot" w:pos="10076"/>
            </w:tabs>
            <w:spacing w:after="0" w:line="240" w:lineRule="auto"/>
            <w:rPr>
              <w:rFonts w:eastAsiaTheme="minorEastAsia" w:cstheme="minorBidi"/>
              <w:noProof/>
              <w:sz w:val="16"/>
              <w:szCs w:val="16"/>
              <w:lang w:val="en-US" w:eastAsia="en-US"/>
            </w:rPr>
          </w:pPr>
          <w:hyperlink w:anchor="_Toc27486836" w:history="1">
            <w:r w:rsidR="00D943BD" w:rsidRPr="00012C3F">
              <w:rPr>
                <w:rStyle w:val="Hipervnculo"/>
                <w:rFonts w:cs="Verdana"/>
                <w:b/>
                <w:bCs/>
                <w:caps/>
                <w:noProof/>
                <w:snapToGrid w:val="0"/>
                <w:sz w:val="16"/>
                <w:szCs w:val="16"/>
                <w:lang w:val="en-US"/>
              </w:rPr>
              <w:t>VII FACTS</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_Toc27486836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19</w:t>
            </w:r>
            <w:r w:rsidR="00D943BD" w:rsidRPr="00012C3F">
              <w:rPr>
                <w:noProof/>
                <w:webHidden/>
                <w:sz w:val="16"/>
                <w:szCs w:val="16"/>
              </w:rPr>
              <w:fldChar w:fldCharType="end"/>
            </w:r>
          </w:hyperlink>
        </w:p>
        <w:p w14:paraId="63ABBCDA" w14:textId="23B9D3C4" w:rsidR="00D943BD" w:rsidRPr="00012C3F" w:rsidRDefault="00C92775" w:rsidP="00D943BD">
          <w:pPr>
            <w:pStyle w:val="TDC2"/>
            <w:rPr>
              <w:rFonts w:eastAsiaTheme="minorEastAsia" w:cstheme="minorBidi"/>
              <w:noProof/>
              <w:sz w:val="16"/>
              <w:szCs w:val="16"/>
              <w:lang w:val="en-US" w:eastAsia="en-US"/>
            </w:rPr>
          </w:pPr>
          <w:hyperlink w:anchor="_Toc27486837" w:history="1">
            <w:r w:rsidR="00D943BD" w:rsidRPr="00012C3F">
              <w:rPr>
                <w:rStyle w:val="Hipervnculo"/>
                <w:rFonts w:eastAsia="MS Mincho"/>
                <w:b/>
                <w:bCs/>
                <w:i/>
                <w:noProof/>
                <w:sz w:val="16"/>
                <w:szCs w:val="16"/>
                <w:lang w:val="en-US"/>
              </w:rPr>
              <w:t xml:space="preserve">A. </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Background information</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_Toc27486837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19</w:t>
            </w:r>
            <w:r w:rsidR="00D943BD" w:rsidRPr="00012C3F">
              <w:rPr>
                <w:noProof/>
                <w:webHidden/>
                <w:sz w:val="16"/>
                <w:szCs w:val="16"/>
              </w:rPr>
              <w:fldChar w:fldCharType="end"/>
            </w:r>
          </w:hyperlink>
        </w:p>
        <w:p w14:paraId="4E78D933" w14:textId="64FC8088" w:rsidR="00D943BD" w:rsidRPr="00012C3F" w:rsidRDefault="00C92775" w:rsidP="00D943BD">
          <w:pPr>
            <w:pStyle w:val="TDC2"/>
            <w:rPr>
              <w:rFonts w:eastAsiaTheme="minorEastAsia" w:cstheme="minorBidi"/>
              <w:noProof/>
              <w:sz w:val="16"/>
              <w:szCs w:val="16"/>
              <w:lang w:val="en-US" w:eastAsia="en-US"/>
            </w:rPr>
          </w:pPr>
          <w:hyperlink w:anchor="_Toc27486838" w:history="1">
            <w:r w:rsidR="00D943BD" w:rsidRPr="00012C3F">
              <w:rPr>
                <w:rStyle w:val="Hipervnculo"/>
                <w:rFonts w:eastAsia="MS Mincho"/>
                <w:b/>
                <w:bCs/>
                <w:i/>
                <w:noProof/>
                <w:sz w:val="16"/>
                <w:szCs w:val="16"/>
                <w:lang w:val="en-US"/>
              </w:rPr>
              <w:t xml:space="preserve">B. </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The caesarean section and the tubal ligation surgical procedure</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_Toc27486838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20</w:t>
            </w:r>
            <w:r w:rsidR="00D943BD" w:rsidRPr="00012C3F">
              <w:rPr>
                <w:noProof/>
                <w:webHidden/>
                <w:sz w:val="16"/>
                <w:szCs w:val="16"/>
              </w:rPr>
              <w:fldChar w:fldCharType="end"/>
            </w:r>
          </w:hyperlink>
        </w:p>
        <w:p w14:paraId="0D3169D9" w14:textId="1F0933BE" w:rsidR="00D943BD" w:rsidRPr="00012C3F" w:rsidRDefault="00C92775" w:rsidP="00D943BD">
          <w:pPr>
            <w:pStyle w:val="TDC2"/>
            <w:rPr>
              <w:rFonts w:eastAsiaTheme="minorEastAsia" w:cstheme="minorBidi"/>
              <w:noProof/>
              <w:sz w:val="16"/>
              <w:szCs w:val="16"/>
              <w:lang w:val="en-US" w:eastAsia="en-US"/>
            </w:rPr>
          </w:pPr>
          <w:hyperlink w:anchor="_Toc27486839" w:history="1">
            <w:r w:rsidR="00D943BD" w:rsidRPr="00012C3F">
              <w:rPr>
                <w:rStyle w:val="Hipervnculo"/>
                <w:rFonts w:eastAsia="MS Mincho"/>
                <w:b/>
                <w:bCs/>
                <w:i/>
                <w:noProof/>
                <w:sz w:val="16"/>
                <w:szCs w:val="16"/>
                <w:lang w:val="en-US"/>
              </w:rPr>
              <w:t xml:space="preserve">C. </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Medical audits and report of the Ethics Tribunal of the La Paz Departmental Medical Association</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_Toc27486839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22</w:t>
            </w:r>
            <w:r w:rsidR="00D943BD" w:rsidRPr="00012C3F">
              <w:rPr>
                <w:noProof/>
                <w:webHidden/>
                <w:sz w:val="16"/>
                <w:szCs w:val="16"/>
              </w:rPr>
              <w:fldChar w:fldCharType="end"/>
            </w:r>
          </w:hyperlink>
        </w:p>
        <w:p w14:paraId="3BB66806" w14:textId="4F2BDCC1" w:rsidR="00D943BD" w:rsidRPr="00012C3F" w:rsidRDefault="00C92775" w:rsidP="00D943BD">
          <w:pPr>
            <w:pStyle w:val="TDC2"/>
            <w:rPr>
              <w:rFonts w:eastAsiaTheme="minorEastAsia" w:cstheme="minorBidi"/>
              <w:noProof/>
              <w:sz w:val="16"/>
              <w:szCs w:val="16"/>
              <w:lang w:val="en-US" w:eastAsia="en-US"/>
            </w:rPr>
          </w:pPr>
          <w:hyperlink w:anchor="_Toc27486840" w:history="1">
            <w:r w:rsidR="00D943BD" w:rsidRPr="00012C3F">
              <w:rPr>
                <w:rStyle w:val="Hipervnculo"/>
                <w:i/>
                <w:noProof/>
                <w:sz w:val="16"/>
                <w:szCs w:val="16"/>
                <w:lang w:val="en-US"/>
              </w:rPr>
              <w:t xml:space="preserve">C.1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First medical audit</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_Toc27486840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23</w:t>
            </w:r>
            <w:r w:rsidR="00D943BD" w:rsidRPr="00012C3F">
              <w:rPr>
                <w:noProof/>
                <w:webHidden/>
                <w:sz w:val="16"/>
                <w:szCs w:val="16"/>
              </w:rPr>
              <w:fldChar w:fldCharType="end"/>
            </w:r>
          </w:hyperlink>
        </w:p>
        <w:p w14:paraId="5FC17EE0" w14:textId="5A0D7F9B" w:rsidR="00D943BD" w:rsidRPr="00012C3F" w:rsidRDefault="00C92775" w:rsidP="00D943BD">
          <w:pPr>
            <w:pStyle w:val="TDC2"/>
            <w:rPr>
              <w:rFonts w:eastAsiaTheme="minorEastAsia" w:cstheme="minorBidi"/>
              <w:noProof/>
              <w:sz w:val="16"/>
              <w:szCs w:val="16"/>
              <w:lang w:val="en-US" w:eastAsia="en-US"/>
            </w:rPr>
          </w:pPr>
          <w:hyperlink w:anchor="_Toc27486841" w:history="1">
            <w:r w:rsidR="00D943BD" w:rsidRPr="00012C3F">
              <w:rPr>
                <w:rStyle w:val="Hipervnculo"/>
                <w:i/>
                <w:noProof/>
                <w:sz w:val="16"/>
                <w:szCs w:val="16"/>
                <w:lang w:val="en-US"/>
              </w:rPr>
              <w:t xml:space="preserve">C.2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Second medical audit</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_Toc27486841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23</w:t>
            </w:r>
            <w:r w:rsidR="00D943BD" w:rsidRPr="00012C3F">
              <w:rPr>
                <w:noProof/>
                <w:webHidden/>
                <w:sz w:val="16"/>
                <w:szCs w:val="16"/>
              </w:rPr>
              <w:fldChar w:fldCharType="end"/>
            </w:r>
          </w:hyperlink>
        </w:p>
        <w:p w14:paraId="1D2D4945" w14:textId="4183DBD1" w:rsidR="00D943BD" w:rsidRPr="00012C3F" w:rsidRDefault="00C92775" w:rsidP="00D943BD">
          <w:pPr>
            <w:pStyle w:val="TDC2"/>
            <w:rPr>
              <w:rFonts w:eastAsiaTheme="minorEastAsia" w:cstheme="minorBidi"/>
              <w:noProof/>
              <w:sz w:val="16"/>
              <w:szCs w:val="16"/>
              <w:lang w:val="en-US" w:eastAsia="en-US"/>
            </w:rPr>
          </w:pPr>
          <w:hyperlink w:anchor="_Toc27486842" w:history="1">
            <w:r w:rsidR="00D943BD" w:rsidRPr="00012C3F">
              <w:rPr>
                <w:rStyle w:val="Hipervnculo"/>
                <w:i/>
                <w:noProof/>
                <w:sz w:val="16"/>
                <w:szCs w:val="16"/>
                <w:lang w:val="en-US"/>
              </w:rPr>
              <w:t xml:space="preserve">C.3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Third medical audit</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_Toc27486842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23</w:t>
            </w:r>
            <w:r w:rsidR="00D943BD" w:rsidRPr="00012C3F">
              <w:rPr>
                <w:noProof/>
                <w:webHidden/>
                <w:sz w:val="16"/>
                <w:szCs w:val="16"/>
              </w:rPr>
              <w:fldChar w:fldCharType="end"/>
            </w:r>
          </w:hyperlink>
        </w:p>
        <w:p w14:paraId="6D609323" w14:textId="37F2F5AF" w:rsidR="00D943BD" w:rsidRPr="00012C3F" w:rsidRDefault="00C92775" w:rsidP="00D943BD">
          <w:pPr>
            <w:pStyle w:val="TDC2"/>
            <w:rPr>
              <w:rFonts w:eastAsiaTheme="minorEastAsia" w:cstheme="minorBidi"/>
              <w:noProof/>
              <w:sz w:val="16"/>
              <w:szCs w:val="16"/>
              <w:lang w:val="en-US" w:eastAsia="en-US"/>
            </w:rPr>
          </w:pPr>
          <w:hyperlink w:anchor="_Toc27486843" w:history="1">
            <w:r w:rsidR="00D943BD" w:rsidRPr="00012C3F">
              <w:rPr>
                <w:rStyle w:val="Hipervnculo"/>
                <w:i/>
                <w:noProof/>
                <w:sz w:val="16"/>
                <w:szCs w:val="16"/>
                <w:lang w:val="en-US"/>
              </w:rPr>
              <w:t xml:space="preserve">C.4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Report of the Ethics Tribunal of the La Paz Departmental Medical Association</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_Toc27486843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24</w:t>
            </w:r>
            <w:r w:rsidR="00D943BD" w:rsidRPr="00012C3F">
              <w:rPr>
                <w:noProof/>
                <w:webHidden/>
                <w:sz w:val="16"/>
                <w:szCs w:val="16"/>
              </w:rPr>
              <w:fldChar w:fldCharType="end"/>
            </w:r>
          </w:hyperlink>
        </w:p>
        <w:p w14:paraId="2CF992F6" w14:textId="5CF1F61C" w:rsidR="00D943BD" w:rsidRPr="00012C3F" w:rsidRDefault="00C92775" w:rsidP="00D943BD">
          <w:pPr>
            <w:pStyle w:val="TDC2"/>
            <w:rPr>
              <w:rFonts w:eastAsiaTheme="minorEastAsia" w:cstheme="minorBidi"/>
              <w:noProof/>
              <w:sz w:val="16"/>
              <w:szCs w:val="16"/>
              <w:lang w:val="en-US" w:eastAsia="en-US"/>
            </w:rPr>
          </w:pPr>
          <w:hyperlink w:anchor="_Toc27486844" w:history="1">
            <w:r w:rsidR="00D943BD" w:rsidRPr="00012C3F">
              <w:rPr>
                <w:rStyle w:val="Hipervnculo"/>
                <w:rFonts w:eastAsia="MS Mincho"/>
                <w:b/>
                <w:bCs/>
                <w:i/>
                <w:noProof/>
                <w:sz w:val="16"/>
                <w:szCs w:val="16"/>
                <w:lang w:val="en-US"/>
              </w:rPr>
              <w:t xml:space="preserve">D. </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Administrative proceeding</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_Toc27486844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26</w:t>
            </w:r>
            <w:r w:rsidR="00D943BD" w:rsidRPr="00012C3F">
              <w:rPr>
                <w:noProof/>
                <w:webHidden/>
                <w:sz w:val="16"/>
                <w:szCs w:val="16"/>
              </w:rPr>
              <w:fldChar w:fldCharType="end"/>
            </w:r>
          </w:hyperlink>
        </w:p>
        <w:p w14:paraId="7D87BAE9" w14:textId="203134A9" w:rsidR="00D943BD" w:rsidRPr="00012C3F" w:rsidRDefault="00C92775" w:rsidP="00D943BD">
          <w:pPr>
            <w:pStyle w:val="TDC2"/>
            <w:rPr>
              <w:rFonts w:eastAsiaTheme="minorEastAsia" w:cstheme="minorBidi"/>
              <w:noProof/>
              <w:sz w:val="16"/>
              <w:szCs w:val="16"/>
              <w:lang w:val="en-US" w:eastAsia="en-US"/>
            </w:rPr>
          </w:pPr>
          <w:hyperlink w:anchor="_Toc27486845" w:history="1">
            <w:r w:rsidR="00D943BD" w:rsidRPr="00012C3F">
              <w:rPr>
                <w:rStyle w:val="Hipervnculo"/>
                <w:rFonts w:eastAsia="MS Mincho"/>
                <w:b/>
                <w:bCs/>
                <w:i/>
                <w:noProof/>
                <w:sz w:val="16"/>
                <w:szCs w:val="16"/>
                <w:lang w:val="en-US"/>
              </w:rPr>
              <w:t xml:space="preserve">E. </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Criminal proceedings</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_Toc27486845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27</w:t>
            </w:r>
            <w:r w:rsidR="00D943BD" w:rsidRPr="00012C3F">
              <w:rPr>
                <w:noProof/>
                <w:webHidden/>
                <w:sz w:val="16"/>
                <w:szCs w:val="16"/>
              </w:rPr>
              <w:fldChar w:fldCharType="end"/>
            </w:r>
          </w:hyperlink>
        </w:p>
        <w:p w14:paraId="5B1A6ACA" w14:textId="029D820D" w:rsidR="00D943BD" w:rsidRPr="00012C3F" w:rsidRDefault="00C92775" w:rsidP="00D943BD">
          <w:pPr>
            <w:pStyle w:val="TDC2"/>
            <w:rPr>
              <w:rFonts w:eastAsiaTheme="minorEastAsia" w:cstheme="minorBidi"/>
              <w:noProof/>
              <w:sz w:val="16"/>
              <w:szCs w:val="16"/>
              <w:lang w:val="en-US" w:eastAsia="en-US"/>
            </w:rPr>
          </w:pPr>
          <w:hyperlink w:anchor="_Toc27486846" w:history="1">
            <w:r w:rsidR="00D943BD" w:rsidRPr="00012C3F">
              <w:rPr>
                <w:rStyle w:val="Hipervnculo"/>
                <w:i/>
                <w:noProof/>
                <w:sz w:val="16"/>
                <w:szCs w:val="16"/>
                <w:lang w:val="en-US"/>
              </w:rPr>
              <w:t xml:space="preserve">E.1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First oral proceeding</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_Toc27486846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27</w:t>
            </w:r>
            <w:r w:rsidR="00D943BD" w:rsidRPr="00012C3F">
              <w:rPr>
                <w:noProof/>
                <w:webHidden/>
                <w:sz w:val="16"/>
                <w:szCs w:val="16"/>
              </w:rPr>
              <w:fldChar w:fldCharType="end"/>
            </w:r>
          </w:hyperlink>
        </w:p>
        <w:p w14:paraId="1F7FA1D3" w14:textId="6F6DE4AF" w:rsidR="00D943BD" w:rsidRPr="00012C3F" w:rsidRDefault="00C92775" w:rsidP="00D943BD">
          <w:pPr>
            <w:pStyle w:val="TDC2"/>
            <w:rPr>
              <w:rFonts w:eastAsiaTheme="minorEastAsia" w:cstheme="minorBidi"/>
              <w:noProof/>
              <w:sz w:val="16"/>
              <w:szCs w:val="16"/>
              <w:lang w:val="en-US" w:eastAsia="en-US"/>
            </w:rPr>
          </w:pPr>
          <w:hyperlink w:anchor="_Toc27486847" w:history="1">
            <w:r w:rsidR="00D943BD" w:rsidRPr="00012C3F">
              <w:rPr>
                <w:rStyle w:val="Hipervnculo"/>
                <w:i/>
                <w:noProof/>
                <w:sz w:val="16"/>
                <w:szCs w:val="16"/>
                <w:lang w:val="en-US"/>
              </w:rPr>
              <w:t xml:space="preserve">E.2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Second oral proceeding</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_Toc27486847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28</w:t>
            </w:r>
            <w:r w:rsidR="00D943BD" w:rsidRPr="00012C3F">
              <w:rPr>
                <w:noProof/>
                <w:webHidden/>
                <w:sz w:val="16"/>
                <w:szCs w:val="16"/>
              </w:rPr>
              <w:fldChar w:fldCharType="end"/>
            </w:r>
          </w:hyperlink>
        </w:p>
        <w:p w14:paraId="7E6FD857" w14:textId="034EB622" w:rsidR="00D943BD" w:rsidRPr="00012C3F" w:rsidRDefault="00C92775" w:rsidP="00D943BD">
          <w:pPr>
            <w:pStyle w:val="TDC2"/>
            <w:rPr>
              <w:rFonts w:eastAsiaTheme="minorEastAsia" w:cstheme="minorBidi"/>
              <w:noProof/>
              <w:sz w:val="16"/>
              <w:szCs w:val="16"/>
              <w:lang w:val="en-US" w:eastAsia="en-US"/>
            </w:rPr>
          </w:pPr>
          <w:hyperlink w:anchor="_Toc27486848" w:history="1">
            <w:r w:rsidR="00D943BD" w:rsidRPr="00012C3F">
              <w:rPr>
                <w:rStyle w:val="Hipervnculo"/>
                <w:i/>
                <w:noProof/>
                <w:sz w:val="16"/>
                <w:szCs w:val="16"/>
                <w:lang w:val="en-US"/>
              </w:rPr>
              <w:t xml:space="preserve">E.3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Third oral proceeding</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_Toc27486848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31</w:t>
            </w:r>
            <w:r w:rsidR="00D943BD" w:rsidRPr="00012C3F">
              <w:rPr>
                <w:noProof/>
                <w:webHidden/>
                <w:sz w:val="16"/>
                <w:szCs w:val="16"/>
              </w:rPr>
              <w:fldChar w:fldCharType="end"/>
            </w:r>
          </w:hyperlink>
        </w:p>
        <w:p w14:paraId="23CB86C1" w14:textId="13FE9B0C" w:rsidR="00D943BD" w:rsidRPr="00012C3F" w:rsidRDefault="00C92775" w:rsidP="00D943BD">
          <w:pPr>
            <w:pStyle w:val="TDC2"/>
            <w:rPr>
              <w:rFonts w:eastAsiaTheme="minorEastAsia" w:cstheme="minorBidi"/>
              <w:noProof/>
              <w:sz w:val="16"/>
              <w:szCs w:val="16"/>
              <w:lang w:val="en-US" w:eastAsia="en-US"/>
            </w:rPr>
          </w:pPr>
          <w:hyperlink w:anchor="_Toc27486849" w:history="1">
            <w:r w:rsidR="00D943BD" w:rsidRPr="00012C3F">
              <w:rPr>
                <w:rStyle w:val="Hipervnculo"/>
                <w:rFonts w:eastAsia="MS Mincho"/>
                <w:b/>
                <w:bCs/>
                <w:i/>
                <w:noProof/>
                <w:sz w:val="16"/>
                <w:szCs w:val="16"/>
                <w:lang w:val="en-US"/>
              </w:rPr>
              <w:t xml:space="preserve">F. </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Physical and psychological effects of the surgical procedure</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_Toc27486849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33</w:t>
            </w:r>
            <w:r w:rsidR="00D943BD" w:rsidRPr="00012C3F">
              <w:rPr>
                <w:noProof/>
                <w:webHidden/>
                <w:sz w:val="16"/>
                <w:szCs w:val="16"/>
              </w:rPr>
              <w:fldChar w:fldCharType="end"/>
            </w:r>
          </w:hyperlink>
        </w:p>
        <w:p w14:paraId="51FD6B69" w14:textId="66EC760D" w:rsidR="00D943BD" w:rsidRPr="00012C3F" w:rsidRDefault="00C92775" w:rsidP="00D943BD">
          <w:pPr>
            <w:pStyle w:val="TDC1"/>
            <w:tabs>
              <w:tab w:val="right" w:leader="dot" w:pos="10076"/>
            </w:tabs>
            <w:spacing w:after="0" w:line="240" w:lineRule="auto"/>
            <w:rPr>
              <w:rFonts w:eastAsiaTheme="minorEastAsia" w:cstheme="minorBidi"/>
              <w:noProof/>
              <w:sz w:val="16"/>
              <w:szCs w:val="16"/>
              <w:lang w:val="en-US" w:eastAsia="en-US"/>
            </w:rPr>
          </w:pPr>
          <w:hyperlink w:anchor="_Toc27486850" w:history="1">
            <w:r w:rsidR="00D943BD" w:rsidRPr="00012C3F">
              <w:rPr>
                <w:rStyle w:val="Hipervnculo"/>
                <w:rFonts w:cs="Verdana"/>
                <w:b/>
                <w:bCs/>
                <w:caps/>
                <w:noProof/>
                <w:snapToGrid w:val="0"/>
                <w:sz w:val="16"/>
                <w:szCs w:val="16"/>
                <w:lang w:val="en-US"/>
              </w:rPr>
              <w:t>vIii MERITS</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_Toc27486850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34</w:t>
            </w:r>
            <w:r w:rsidR="00D943BD" w:rsidRPr="00012C3F">
              <w:rPr>
                <w:noProof/>
                <w:webHidden/>
                <w:sz w:val="16"/>
                <w:szCs w:val="16"/>
              </w:rPr>
              <w:fldChar w:fldCharType="end"/>
            </w:r>
          </w:hyperlink>
        </w:p>
        <w:p w14:paraId="020E780F" w14:textId="0FB09B0E" w:rsidR="00D943BD" w:rsidRPr="00012C3F" w:rsidRDefault="00C92775" w:rsidP="00D943BD">
          <w:pPr>
            <w:pStyle w:val="TDC1"/>
            <w:tabs>
              <w:tab w:val="right" w:leader="dot" w:pos="10076"/>
            </w:tabs>
            <w:spacing w:after="0" w:line="240" w:lineRule="auto"/>
            <w:rPr>
              <w:rFonts w:eastAsiaTheme="minorEastAsia" w:cstheme="minorBidi"/>
              <w:noProof/>
              <w:sz w:val="16"/>
              <w:szCs w:val="16"/>
              <w:lang w:val="en-US" w:eastAsia="en-US"/>
            </w:rPr>
          </w:pPr>
          <w:hyperlink w:anchor="_Toc27486851" w:history="1">
            <w:r w:rsidR="00D943BD" w:rsidRPr="00012C3F">
              <w:rPr>
                <w:rStyle w:val="Hipervnculo"/>
                <w:rFonts w:eastAsia="MS ????" w:cs="Verdana"/>
                <w:b/>
                <w:bCs/>
                <w:noProof/>
                <w:snapToGrid w:val="0"/>
                <w:sz w:val="16"/>
                <w:szCs w:val="16"/>
                <w:lang w:val="en-US" w:eastAsia="es-ES"/>
              </w:rPr>
              <w:t>VIII-1 RIGHTS TO PERSONAL INTEGRITY, TO PERSONAL LIBERTY, TO DIGNITY, TO PRIVACY AND FAMILY LIFE, TO ACCESS TO INFORMATION, TO RAISE A FAMILY, AND TO RECOGNITION OF JURIDICAL PERSONALITY, IN RELATION TO THE OBLIGATIONS TO RESPECT AND TO ENSURE RIGHTS WITHOUT DISCRIMINATION, AND ALSO ARTICLE 7 OF THE CONVENTION OF BELÉM DO PARÁ</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_Toc27486851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35</w:t>
            </w:r>
            <w:r w:rsidR="00D943BD" w:rsidRPr="00012C3F">
              <w:rPr>
                <w:noProof/>
                <w:webHidden/>
                <w:sz w:val="16"/>
                <w:szCs w:val="16"/>
              </w:rPr>
              <w:fldChar w:fldCharType="end"/>
            </w:r>
          </w:hyperlink>
        </w:p>
        <w:p w14:paraId="002093EC" w14:textId="7C4D64B0" w:rsidR="00D943BD" w:rsidRPr="00012C3F" w:rsidRDefault="00C92775" w:rsidP="00D943BD">
          <w:pPr>
            <w:pStyle w:val="TDC2"/>
            <w:rPr>
              <w:rFonts w:eastAsiaTheme="minorEastAsia" w:cstheme="minorBidi"/>
              <w:noProof/>
              <w:sz w:val="16"/>
              <w:szCs w:val="16"/>
              <w:lang w:val="en-US" w:eastAsia="en-US"/>
            </w:rPr>
          </w:pPr>
          <w:hyperlink w:anchor="_Toc27486852" w:history="1">
            <w:r w:rsidR="00D943BD" w:rsidRPr="00012C3F">
              <w:rPr>
                <w:rStyle w:val="Hipervnculo"/>
                <w:rFonts w:eastAsia="MS Mincho"/>
                <w:b/>
                <w:bCs/>
                <w:i/>
                <w:noProof/>
                <w:sz w:val="16"/>
                <w:szCs w:val="16"/>
                <w:lang w:val="en-US"/>
              </w:rPr>
              <w:t>A.</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Arguments of the parties and of the Commission</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_Toc27486852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35</w:t>
            </w:r>
            <w:r w:rsidR="00D943BD" w:rsidRPr="00012C3F">
              <w:rPr>
                <w:noProof/>
                <w:webHidden/>
                <w:sz w:val="16"/>
                <w:szCs w:val="16"/>
              </w:rPr>
              <w:fldChar w:fldCharType="end"/>
            </w:r>
          </w:hyperlink>
        </w:p>
        <w:p w14:paraId="7CD76840" w14:textId="2512BF0A" w:rsidR="00D943BD" w:rsidRPr="00012C3F" w:rsidRDefault="00C92775" w:rsidP="00D943BD">
          <w:pPr>
            <w:pStyle w:val="TDC2"/>
            <w:rPr>
              <w:rFonts w:eastAsiaTheme="minorEastAsia" w:cstheme="minorBidi"/>
              <w:noProof/>
              <w:sz w:val="16"/>
              <w:szCs w:val="16"/>
              <w:lang w:val="en-US" w:eastAsia="en-US"/>
            </w:rPr>
          </w:pPr>
          <w:hyperlink w:anchor="_Toc27486853" w:history="1">
            <w:r w:rsidR="00D943BD" w:rsidRPr="00012C3F">
              <w:rPr>
                <w:rStyle w:val="Hipervnculo"/>
                <w:i/>
                <w:noProof/>
                <w:sz w:val="16"/>
                <w:szCs w:val="16"/>
                <w:lang w:val="en-US"/>
              </w:rPr>
              <w:t>A.1</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Arguments on the right to personal integrity (Article 5(1) of the American Convention)</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_Toc27486853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35</w:t>
            </w:r>
            <w:r w:rsidR="00D943BD" w:rsidRPr="00012C3F">
              <w:rPr>
                <w:noProof/>
                <w:webHidden/>
                <w:sz w:val="16"/>
                <w:szCs w:val="16"/>
              </w:rPr>
              <w:fldChar w:fldCharType="end"/>
            </w:r>
          </w:hyperlink>
        </w:p>
        <w:p w14:paraId="6EC753D5" w14:textId="7FF3916A" w:rsidR="00D943BD" w:rsidRPr="00012C3F" w:rsidRDefault="00C92775" w:rsidP="00D943BD">
          <w:pPr>
            <w:pStyle w:val="TDC2"/>
            <w:rPr>
              <w:rFonts w:eastAsiaTheme="minorEastAsia" w:cstheme="minorBidi"/>
              <w:noProof/>
              <w:sz w:val="16"/>
              <w:szCs w:val="16"/>
              <w:lang w:val="en-US" w:eastAsia="en-US"/>
            </w:rPr>
          </w:pPr>
          <w:hyperlink w:anchor="_Toc27486854" w:history="1">
            <w:r w:rsidR="00D943BD" w:rsidRPr="00012C3F">
              <w:rPr>
                <w:rStyle w:val="Hipervnculo"/>
                <w:i/>
                <w:noProof/>
                <w:sz w:val="16"/>
                <w:szCs w:val="16"/>
                <w:lang w:val="en-US"/>
              </w:rPr>
              <w:t>A.2</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Arguments on the right of access to information (Article 13(1) of the American Convention)</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_Toc27486854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36</w:t>
            </w:r>
            <w:r w:rsidR="00D943BD" w:rsidRPr="00012C3F">
              <w:rPr>
                <w:noProof/>
                <w:webHidden/>
                <w:sz w:val="16"/>
                <w:szCs w:val="16"/>
              </w:rPr>
              <w:fldChar w:fldCharType="end"/>
            </w:r>
          </w:hyperlink>
        </w:p>
        <w:p w14:paraId="6FE7F44F" w14:textId="3778D3E6" w:rsidR="00D943BD" w:rsidRPr="00012C3F" w:rsidRDefault="00C92775" w:rsidP="00D943BD">
          <w:pPr>
            <w:pStyle w:val="TDC3"/>
            <w:rPr>
              <w:rFonts w:eastAsiaTheme="minorEastAsia" w:cstheme="minorBidi"/>
              <w:noProof/>
              <w:sz w:val="16"/>
              <w:szCs w:val="16"/>
              <w:lang w:val="en-US" w:eastAsia="en-US"/>
            </w:rPr>
          </w:pPr>
          <w:hyperlink w:anchor="_Toc27486855" w:history="1">
            <w:r w:rsidR="00D943BD" w:rsidRPr="00012C3F">
              <w:rPr>
                <w:rStyle w:val="Hipervnculo"/>
                <w:rFonts w:eastAsia="MS Mincho" w:cs="Arial"/>
                <w:i/>
                <w:noProof/>
                <w:sz w:val="16"/>
                <w:szCs w:val="16"/>
                <w:lang w:val="en-US" w:eastAsia="en-US"/>
              </w:rPr>
              <w:t xml:space="preserve">A.2.a </w:t>
            </w:r>
            <w:r w:rsidR="00D943BD" w:rsidRPr="00012C3F">
              <w:rPr>
                <w:rFonts w:eastAsiaTheme="minorEastAsia" w:cstheme="minorBidi"/>
                <w:noProof/>
                <w:sz w:val="16"/>
                <w:szCs w:val="16"/>
                <w:lang w:val="en-US" w:eastAsia="en-US"/>
              </w:rPr>
              <w:tab/>
            </w:r>
            <w:r w:rsidR="00D943BD" w:rsidRPr="00012C3F">
              <w:rPr>
                <w:rStyle w:val="Hipervnculo"/>
                <w:rFonts w:eastAsia="MS Mincho" w:cs="Arial"/>
                <w:i/>
                <w:noProof/>
                <w:sz w:val="16"/>
                <w:szCs w:val="16"/>
                <w:lang w:val="en-US" w:eastAsia="en-US"/>
              </w:rPr>
              <w:t>Access to information and informed consent</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_Toc27486855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36</w:t>
            </w:r>
            <w:r w:rsidR="00D943BD" w:rsidRPr="00012C3F">
              <w:rPr>
                <w:noProof/>
                <w:webHidden/>
                <w:sz w:val="16"/>
                <w:szCs w:val="16"/>
              </w:rPr>
              <w:fldChar w:fldCharType="end"/>
            </w:r>
          </w:hyperlink>
        </w:p>
        <w:p w14:paraId="30946420" w14:textId="2FD1AE0C" w:rsidR="00D943BD" w:rsidRPr="00012C3F" w:rsidRDefault="00C92775" w:rsidP="00D943BD">
          <w:pPr>
            <w:pStyle w:val="TDC3"/>
            <w:rPr>
              <w:rFonts w:eastAsiaTheme="minorEastAsia" w:cstheme="minorBidi"/>
              <w:noProof/>
              <w:sz w:val="16"/>
              <w:szCs w:val="16"/>
              <w:lang w:val="en-US" w:eastAsia="en-US"/>
            </w:rPr>
          </w:pPr>
          <w:hyperlink w:anchor="_Toc27486856" w:history="1">
            <w:r w:rsidR="00D943BD" w:rsidRPr="00012C3F">
              <w:rPr>
                <w:rStyle w:val="Hipervnculo"/>
                <w:rFonts w:eastAsia="MS Mincho" w:cs="Arial"/>
                <w:i/>
                <w:noProof/>
                <w:sz w:val="16"/>
                <w:szCs w:val="16"/>
                <w:lang w:val="en-US" w:eastAsia="en-US"/>
              </w:rPr>
              <w:t xml:space="preserve">A.2.b </w:t>
            </w:r>
            <w:r w:rsidR="00D943BD" w:rsidRPr="00012C3F">
              <w:rPr>
                <w:rFonts w:eastAsiaTheme="minorEastAsia" w:cstheme="minorBidi"/>
                <w:noProof/>
                <w:sz w:val="16"/>
                <w:szCs w:val="16"/>
                <w:lang w:val="en-US" w:eastAsia="en-US"/>
              </w:rPr>
              <w:tab/>
            </w:r>
            <w:r w:rsidR="00D943BD" w:rsidRPr="00012C3F">
              <w:rPr>
                <w:rStyle w:val="Hipervnculo"/>
                <w:rFonts w:eastAsia="MS Mincho" w:cs="Arial"/>
                <w:i/>
                <w:noProof/>
                <w:sz w:val="16"/>
                <w:szCs w:val="16"/>
                <w:lang w:val="en-US" w:eastAsia="en-US"/>
              </w:rPr>
              <w:t>The right to know the truth</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_Toc27486856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38</w:t>
            </w:r>
            <w:r w:rsidR="00D943BD" w:rsidRPr="00012C3F">
              <w:rPr>
                <w:noProof/>
                <w:webHidden/>
                <w:sz w:val="16"/>
                <w:szCs w:val="16"/>
              </w:rPr>
              <w:fldChar w:fldCharType="end"/>
            </w:r>
          </w:hyperlink>
        </w:p>
        <w:p w14:paraId="47D1E8FB" w14:textId="4398EAF0" w:rsidR="00D943BD" w:rsidRPr="00012C3F" w:rsidRDefault="00C92775" w:rsidP="00D943BD">
          <w:pPr>
            <w:pStyle w:val="TDC2"/>
            <w:rPr>
              <w:rFonts w:eastAsiaTheme="minorEastAsia" w:cstheme="minorBidi"/>
              <w:noProof/>
              <w:sz w:val="16"/>
              <w:szCs w:val="16"/>
              <w:lang w:val="en-US" w:eastAsia="en-US"/>
            </w:rPr>
          </w:pPr>
          <w:hyperlink w:anchor="_Toc27486857" w:history="1">
            <w:r w:rsidR="00D943BD" w:rsidRPr="00012C3F">
              <w:rPr>
                <w:rStyle w:val="Hipervnculo"/>
                <w:i/>
                <w:noProof/>
                <w:sz w:val="16"/>
                <w:szCs w:val="16"/>
                <w:lang w:val="en-US"/>
              </w:rPr>
              <w:t xml:space="preserve">A.3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Arguments on the rights to dignity, to private and family life, and to raise a family (Articles 11(1), 11(2) and 17(2) of the American Convention)</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_Toc27486857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38</w:t>
            </w:r>
            <w:r w:rsidR="00D943BD" w:rsidRPr="00012C3F">
              <w:rPr>
                <w:noProof/>
                <w:webHidden/>
                <w:sz w:val="16"/>
                <w:szCs w:val="16"/>
              </w:rPr>
              <w:fldChar w:fldCharType="end"/>
            </w:r>
          </w:hyperlink>
        </w:p>
        <w:p w14:paraId="5AE3B85A" w14:textId="47A1B0BA" w:rsidR="00D943BD" w:rsidRPr="00012C3F" w:rsidRDefault="00C92775" w:rsidP="00D943BD">
          <w:pPr>
            <w:pStyle w:val="TDC2"/>
            <w:rPr>
              <w:rFonts w:eastAsiaTheme="minorEastAsia" w:cstheme="minorBidi"/>
              <w:noProof/>
              <w:sz w:val="16"/>
              <w:szCs w:val="16"/>
              <w:lang w:val="en-US" w:eastAsia="en-US"/>
            </w:rPr>
          </w:pPr>
          <w:hyperlink w:anchor="_Toc27486858" w:history="1">
            <w:r w:rsidR="00D943BD" w:rsidRPr="00012C3F">
              <w:rPr>
                <w:rStyle w:val="Hipervnculo"/>
                <w:i/>
                <w:noProof/>
                <w:sz w:val="16"/>
                <w:szCs w:val="16"/>
                <w:lang w:val="en-US"/>
              </w:rPr>
              <w:t xml:space="preserve">A.4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Arguments on the right to recognition of juridical personality (Article 3 of the American Convention)</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_Toc27486858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39</w:t>
            </w:r>
            <w:r w:rsidR="00D943BD" w:rsidRPr="00012C3F">
              <w:rPr>
                <w:noProof/>
                <w:webHidden/>
                <w:sz w:val="16"/>
                <w:szCs w:val="16"/>
              </w:rPr>
              <w:fldChar w:fldCharType="end"/>
            </w:r>
          </w:hyperlink>
        </w:p>
        <w:p w14:paraId="6D24465C" w14:textId="6EA8F0B0" w:rsidR="00D943BD" w:rsidRPr="00012C3F" w:rsidRDefault="00C92775" w:rsidP="00D943BD">
          <w:pPr>
            <w:pStyle w:val="TDC2"/>
            <w:rPr>
              <w:rFonts w:eastAsiaTheme="minorEastAsia" w:cstheme="minorBidi"/>
              <w:noProof/>
              <w:sz w:val="16"/>
              <w:szCs w:val="16"/>
              <w:lang w:val="en-US" w:eastAsia="en-US"/>
            </w:rPr>
          </w:pPr>
          <w:hyperlink w:anchor="_Toc27486859" w:history="1">
            <w:r w:rsidR="00D943BD" w:rsidRPr="00012C3F">
              <w:rPr>
                <w:rStyle w:val="Hipervnculo"/>
                <w:i/>
                <w:noProof/>
                <w:sz w:val="16"/>
                <w:szCs w:val="16"/>
                <w:lang w:val="en-US"/>
              </w:rPr>
              <w:t>A.5</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Arguments on the prohibition of discrimination in relation to the alleged non-consensual sterilization (Article 1(1) of the American Convention in relation to Articles 5(1), 11(1), 11(2), 13(1) and 17(2) of this instrument)</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_Toc27486859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39</w:t>
            </w:r>
            <w:r w:rsidR="00D943BD" w:rsidRPr="00012C3F">
              <w:rPr>
                <w:noProof/>
                <w:webHidden/>
                <w:sz w:val="16"/>
                <w:szCs w:val="16"/>
              </w:rPr>
              <w:fldChar w:fldCharType="end"/>
            </w:r>
          </w:hyperlink>
        </w:p>
        <w:p w14:paraId="23AC2651" w14:textId="7B5233F5" w:rsidR="00D943BD" w:rsidRPr="00012C3F" w:rsidRDefault="00C92775" w:rsidP="00D943BD">
          <w:pPr>
            <w:pStyle w:val="TDC2"/>
            <w:rPr>
              <w:rFonts w:eastAsiaTheme="minorEastAsia" w:cstheme="minorBidi"/>
              <w:noProof/>
              <w:sz w:val="16"/>
              <w:szCs w:val="16"/>
              <w:lang w:val="en-US" w:eastAsia="en-US"/>
            </w:rPr>
          </w:pPr>
          <w:hyperlink w:anchor="_Toc27486860" w:history="1">
            <w:r w:rsidR="00D943BD" w:rsidRPr="00012C3F">
              <w:rPr>
                <w:rStyle w:val="Hipervnculo"/>
                <w:i/>
                <w:noProof/>
                <w:sz w:val="16"/>
                <w:szCs w:val="16"/>
                <w:lang w:val="en-US"/>
              </w:rPr>
              <w:t>A.6</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Arguments on the right of women to a life free from violence (Article 7 of the Convention of Belém do Pará)</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_Toc27486860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41</w:t>
            </w:r>
            <w:r w:rsidR="00D943BD" w:rsidRPr="00012C3F">
              <w:rPr>
                <w:noProof/>
                <w:webHidden/>
                <w:sz w:val="16"/>
                <w:szCs w:val="16"/>
              </w:rPr>
              <w:fldChar w:fldCharType="end"/>
            </w:r>
          </w:hyperlink>
        </w:p>
        <w:p w14:paraId="1E46C4AC" w14:textId="6EA75BC1" w:rsidR="00D943BD" w:rsidRPr="00012C3F" w:rsidRDefault="00C92775" w:rsidP="00D943BD">
          <w:pPr>
            <w:pStyle w:val="TDC2"/>
            <w:rPr>
              <w:rFonts w:eastAsiaTheme="minorEastAsia" w:cstheme="minorBidi"/>
              <w:noProof/>
              <w:sz w:val="16"/>
              <w:szCs w:val="16"/>
              <w:lang w:val="en-US" w:eastAsia="en-US"/>
            </w:rPr>
          </w:pPr>
          <w:hyperlink w:anchor="_Toc27486861" w:history="1">
            <w:r w:rsidR="00D943BD" w:rsidRPr="00012C3F">
              <w:rPr>
                <w:rStyle w:val="Hipervnculo"/>
                <w:rFonts w:eastAsia="MS Mincho"/>
                <w:b/>
                <w:bCs/>
                <w:i/>
                <w:noProof/>
                <w:sz w:val="16"/>
                <w:szCs w:val="16"/>
                <w:lang w:val="en-US"/>
              </w:rPr>
              <w:t>B.</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Considerations of the Court</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_Toc27486861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42</w:t>
            </w:r>
            <w:r w:rsidR="00D943BD" w:rsidRPr="00012C3F">
              <w:rPr>
                <w:noProof/>
                <w:webHidden/>
                <w:sz w:val="16"/>
                <w:szCs w:val="16"/>
              </w:rPr>
              <w:fldChar w:fldCharType="end"/>
            </w:r>
          </w:hyperlink>
        </w:p>
        <w:p w14:paraId="1BF3CCC2" w14:textId="02D7F375" w:rsidR="00D943BD" w:rsidRPr="00012C3F" w:rsidRDefault="00C92775" w:rsidP="00D943BD">
          <w:pPr>
            <w:pStyle w:val="TDC2"/>
            <w:rPr>
              <w:rFonts w:eastAsiaTheme="minorEastAsia" w:cstheme="minorBidi"/>
              <w:noProof/>
              <w:sz w:val="16"/>
              <w:szCs w:val="16"/>
              <w:lang w:val="en-US" w:eastAsia="en-US"/>
            </w:rPr>
          </w:pPr>
          <w:hyperlink w:anchor="_Toc27486862" w:history="1">
            <w:r w:rsidR="00D943BD" w:rsidRPr="00012C3F">
              <w:rPr>
                <w:rStyle w:val="Hipervnculo"/>
                <w:i/>
                <w:noProof/>
                <w:sz w:val="16"/>
                <w:szCs w:val="16"/>
                <w:lang w:val="en-US"/>
              </w:rPr>
              <w:t xml:space="preserve">B.1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Scope of the rights established in the American Convention in this case</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_Toc27486862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42</w:t>
            </w:r>
            <w:r w:rsidR="00D943BD" w:rsidRPr="00012C3F">
              <w:rPr>
                <w:noProof/>
                <w:webHidden/>
                <w:sz w:val="16"/>
                <w:szCs w:val="16"/>
              </w:rPr>
              <w:fldChar w:fldCharType="end"/>
            </w:r>
          </w:hyperlink>
        </w:p>
        <w:p w14:paraId="7302F2E2" w14:textId="665DE5F4" w:rsidR="00D943BD" w:rsidRPr="00012C3F" w:rsidRDefault="00C92775" w:rsidP="00D943BD">
          <w:pPr>
            <w:pStyle w:val="TDC2"/>
            <w:rPr>
              <w:rFonts w:eastAsiaTheme="minorEastAsia" w:cstheme="minorBidi"/>
              <w:noProof/>
              <w:sz w:val="16"/>
              <w:szCs w:val="16"/>
              <w:lang w:val="en-US" w:eastAsia="en-US"/>
            </w:rPr>
          </w:pPr>
          <w:hyperlink w:anchor="_Toc27486863" w:history="1">
            <w:r w:rsidR="00D943BD" w:rsidRPr="00012C3F">
              <w:rPr>
                <w:rStyle w:val="Hipervnculo"/>
                <w:i/>
                <w:noProof/>
                <w:sz w:val="16"/>
                <w:szCs w:val="16"/>
                <w:lang w:val="en-US"/>
              </w:rPr>
              <w:t xml:space="preserve">B.2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Consent in international law, comparative law and jurisprudence</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_Toc27486863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48</w:t>
            </w:r>
            <w:r w:rsidR="00D943BD" w:rsidRPr="00012C3F">
              <w:rPr>
                <w:noProof/>
                <w:webHidden/>
                <w:sz w:val="16"/>
                <w:szCs w:val="16"/>
              </w:rPr>
              <w:fldChar w:fldCharType="end"/>
            </w:r>
          </w:hyperlink>
        </w:p>
        <w:p w14:paraId="532CC215" w14:textId="62F3DD2D" w:rsidR="00D943BD" w:rsidRPr="00012C3F" w:rsidRDefault="00C92775" w:rsidP="00D943BD">
          <w:pPr>
            <w:pStyle w:val="TDC3"/>
            <w:rPr>
              <w:rFonts w:eastAsiaTheme="minorEastAsia" w:cstheme="minorBidi"/>
              <w:noProof/>
              <w:sz w:val="16"/>
              <w:szCs w:val="16"/>
              <w:lang w:val="en-US" w:eastAsia="en-US"/>
            </w:rPr>
          </w:pPr>
          <w:hyperlink w:anchor="_Toc27486864" w:history="1">
            <w:r w:rsidR="00D943BD" w:rsidRPr="00012C3F">
              <w:rPr>
                <w:rStyle w:val="Hipervnculo"/>
                <w:rFonts w:eastAsia="MS Mincho" w:cs="Arial"/>
                <w:i/>
                <w:noProof/>
                <w:sz w:val="16"/>
                <w:szCs w:val="16"/>
                <w:lang w:val="en-US" w:eastAsia="en-US"/>
              </w:rPr>
              <w:t xml:space="preserve">B.2.a </w:t>
            </w:r>
            <w:r w:rsidR="00D943BD" w:rsidRPr="00012C3F">
              <w:rPr>
                <w:rFonts w:eastAsiaTheme="minorEastAsia" w:cstheme="minorBidi"/>
                <w:noProof/>
                <w:sz w:val="16"/>
                <w:szCs w:val="16"/>
                <w:lang w:val="en-US" w:eastAsia="en-US"/>
              </w:rPr>
              <w:tab/>
            </w:r>
            <w:r w:rsidR="00D943BD" w:rsidRPr="00012C3F">
              <w:rPr>
                <w:rStyle w:val="Hipervnculo"/>
                <w:rFonts w:eastAsia="MS Mincho" w:cs="Arial"/>
                <w:i/>
                <w:noProof/>
                <w:sz w:val="16"/>
                <w:szCs w:val="16"/>
                <w:lang w:val="en-US" w:eastAsia="en-US"/>
              </w:rPr>
              <w:t>The elements of consent in international law and jurisprudence</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_Toc27486864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50</w:t>
            </w:r>
            <w:r w:rsidR="00D943BD" w:rsidRPr="00012C3F">
              <w:rPr>
                <w:noProof/>
                <w:webHidden/>
                <w:sz w:val="16"/>
                <w:szCs w:val="16"/>
              </w:rPr>
              <w:fldChar w:fldCharType="end"/>
            </w:r>
          </w:hyperlink>
        </w:p>
        <w:p w14:paraId="771E94BD" w14:textId="7A29EBAC" w:rsidR="00D943BD" w:rsidRPr="00012C3F" w:rsidRDefault="00C92775" w:rsidP="00D943BD">
          <w:pPr>
            <w:pStyle w:val="TDC3"/>
            <w:rPr>
              <w:rFonts w:eastAsiaTheme="minorEastAsia" w:cstheme="minorBidi"/>
              <w:noProof/>
              <w:sz w:val="16"/>
              <w:szCs w:val="16"/>
              <w:lang w:val="en-US" w:eastAsia="en-US"/>
            </w:rPr>
          </w:pPr>
          <w:hyperlink w:anchor="_Toc27486865" w:history="1">
            <w:r w:rsidR="00D943BD" w:rsidRPr="00012C3F">
              <w:rPr>
                <w:rStyle w:val="Hipervnculo"/>
                <w:rFonts w:eastAsia="MS Mincho" w:cs="Arial"/>
                <w:i/>
                <w:noProof/>
                <w:sz w:val="16"/>
                <w:szCs w:val="16"/>
                <w:lang w:val="en-US" w:eastAsia="en-US"/>
              </w:rPr>
              <w:t xml:space="preserve">B.2.b </w:t>
            </w:r>
            <w:r w:rsidR="00D943BD" w:rsidRPr="00012C3F">
              <w:rPr>
                <w:rFonts w:eastAsiaTheme="minorEastAsia" w:cstheme="minorBidi"/>
                <w:noProof/>
                <w:sz w:val="16"/>
                <w:szCs w:val="16"/>
                <w:lang w:val="en-US" w:eastAsia="en-US"/>
              </w:rPr>
              <w:tab/>
            </w:r>
            <w:r w:rsidR="00D943BD" w:rsidRPr="00012C3F">
              <w:rPr>
                <w:rStyle w:val="Hipervnculo"/>
                <w:rFonts w:eastAsia="MS Mincho" w:cs="Arial"/>
                <w:i/>
                <w:noProof/>
                <w:sz w:val="16"/>
                <w:szCs w:val="16"/>
                <w:lang w:val="en-US" w:eastAsia="en-US"/>
              </w:rPr>
              <w:t xml:space="preserve"> The elements of consent derived from domestic legal systems</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_Toc27486865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61</w:t>
            </w:r>
            <w:r w:rsidR="00D943BD" w:rsidRPr="00012C3F">
              <w:rPr>
                <w:noProof/>
                <w:webHidden/>
                <w:sz w:val="16"/>
                <w:szCs w:val="16"/>
              </w:rPr>
              <w:fldChar w:fldCharType="end"/>
            </w:r>
          </w:hyperlink>
        </w:p>
        <w:p w14:paraId="6B3D1330" w14:textId="6C20A1A6" w:rsidR="00D943BD" w:rsidRPr="00012C3F" w:rsidRDefault="00C92775" w:rsidP="00D943BD">
          <w:pPr>
            <w:pStyle w:val="TDC3"/>
            <w:rPr>
              <w:rFonts w:eastAsiaTheme="minorEastAsia" w:cstheme="minorBidi"/>
              <w:noProof/>
              <w:sz w:val="16"/>
              <w:szCs w:val="16"/>
              <w:lang w:val="en-US" w:eastAsia="en-US"/>
            </w:rPr>
          </w:pPr>
          <w:hyperlink w:anchor="_Toc27486866" w:history="1">
            <w:r w:rsidR="00D943BD" w:rsidRPr="00012C3F">
              <w:rPr>
                <w:rStyle w:val="Hipervnculo"/>
                <w:rFonts w:eastAsia="MS Mincho" w:cs="Arial"/>
                <w:i/>
                <w:noProof/>
                <w:sz w:val="16"/>
                <w:szCs w:val="16"/>
                <w:lang w:val="en-US" w:eastAsia="en-US"/>
              </w:rPr>
              <w:t xml:space="preserve">B.2.c </w:t>
            </w:r>
            <w:r w:rsidR="00D943BD" w:rsidRPr="00012C3F">
              <w:rPr>
                <w:rFonts w:eastAsiaTheme="minorEastAsia" w:cstheme="minorBidi"/>
                <w:noProof/>
                <w:sz w:val="16"/>
                <w:szCs w:val="16"/>
                <w:lang w:val="en-US" w:eastAsia="en-US"/>
              </w:rPr>
              <w:tab/>
            </w:r>
            <w:r w:rsidR="00D943BD" w:rsidRPr="00012C3F">
              <w:rPr>
                <w:rStyle w:val="Hipervnculo"/>
                <w:rFonts w:eastAsia="MS Mincho" w:cs="Arial"/>
                <w:i/>
                <w:noProof/>
                <w:sz w:val="16"/>
                <w:szCs w:val="16"/>
                <w:lang w:val="en-US" w:eastAsia="en-US"/>
              </w:rPr>
              <w:t>Conclusion</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_Toc27486866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63</w:t>
            </w:r>
            <w:r w:rsidR="00D943BD" w:rsidRPr="00012C3F">
              <w:rPr>
                <w:noProof/>
                <w:webHidden/>
                <w:sz w:val="16"/>
                <w:szCs w:val="16"/>
              </w:rPr>
              <w:fldChar w:fldCharType="end"/>
            </w:r>
          </w:hyperlink>
        </w:p>
        <w:p w14:paraId="21161472" w14:textId="2EA763B4" w:rsidR="00D943BD" w:rsidRPr="00012C3F" w:rsidRDefault="00C92775" w:rsidP="00D943BD">
          <w:pPr>
            <w:pStyle w:val="TDC2"/>
            <w:rPr>
              <w:rFonts w:eastAsiaTheme="minorEastAsia" w:cstheme="minorBidi"/>
              <w:noProof/>
              <w:sz w:val="16"/>
              <w:szCs w:val="16"/>
              <w:lang w:val="en-US" w:eastAsia="en-US"/>
            </w:rPr>
          </w:pPr>
          <w:hyperlink w:anchor="_Toc27486867" w:history="1">
            <w:r w:rsidR="00D943BD" w:rsidRPr="00012C3F">
              <w:rPr>
                <w:rStyle w:val="Hipervnculo"/>
                <w:i/>
                <w:noProof/>
                <w:sz w:val="16"/>
                <w:szCs w:val="16"/>
                <w:lang w:val="en-US"/>
              </w:rPr>
              <w:t xml:space="preserve">B.3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Determination of the scope of the State’s international responsibility</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_Toc27486867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63</w:t>
            </w:r>
            <w:r w:rsidR="00D943BD" w:rsidRPr="00012C3F">
              <w:rPr>
                <w:noProof/>
                <w:webHidden/>
                <w:sz w:val="16"/>
                <w:szCs w:val="16"/>
              </w:rPr>
              <w:fldChar w:fldCharType="end"/>
            </w:r>
          </w:hyperlink>
        </w:p>
        <w:p w14:paraId="671B2491" w14:textId="7032DB57" w:rsidR="00D943BD" w:rsidRPr="00012C3F" w:rsidRDefault="00C92775" w:rsidP="00D943BD">
          <w:pPr>
            <w:pStyle w:val="TDC3"/>
            <w:rPr>
              <w:rFonts w:eastAsiaTheme="minorEastAsia" w:cstheme="minorBidi"/>
              <w:noProof/>
              <w:sz w:val="16"/>
              <w:szCs w:val="16"/>
              <w:lang w:val="en-US" w:eastAsia="en-US"/>
            </w:rPr>
          </w:pPr>
          <w:hyperlink w:anchor="_Toc27486868" w:history="1">
            <w:r w:rsidR="00D943BD" w:rsidRPr="00012C3F">
              <w:rPr>
                <w:rStyle w:val="Hipervnculo"/>
                <w:rFonts w:eastAsia="MS Mincho" w:cs="Arial"/>
                <w:i/>
                <w:noProof/>
                <w:sz w:val="16"/>
                <w:szCs w:val="16"/>
                <w:lang w:val="en-US" w:eastAsia="en-US"/>
              </w:rPr>
              <w:t>B.3.a</w:t>
            </w:r>
            <w:r w:rsidR="00D943BD" w:rsidRPr="00012C3F">
              <w:rPr>
                <w:rFonts w:eastAsiaTheme="minorEastAsia" w:cstheme="minorBidi"/>
                <w:noProof/>
                <w:sz w:val="16"/>
                <w:szCs w:val="16"/>
                <w:lang w:val="en-US" w:eastAsia="en-US"/>
              </w:rPr>
              <w:tab/>
            </w:r>
            <w:r w:rsidR="00D943BD" w:rsidRPr="00012C3F">
              <w:rPr>
                <w:rStyle w:val="Hipervnculo"/>
                <w:rFonts w:eastAsia="MS Mincho" w:cs="Arial"/>
                <w:i/>
                <w:noProof/>
                <w:sz w:val="16"/>
                <w:szCs w:val="16"/>
                <w:lang w:val="en-US" w:eastAsia="en-US"/>
              </w:rPr>
              <w:t>Duty of prevention with regard to the rights recognized in Articles 5, 7, 11, 13 and 17 of the American Convention and 7(b) of the Convention of Belém do Pará</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_Toc27486868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65</w:t>
            </w:r>
            <w:r w:rsidR="00D943BD" w:rsidRPr="00012C3F">
              <w:rPr>
                <w:noProof/>
                <w:webHidden/>
                <w:sz w:val="16"/>
                <w:szCs w:val="16"/>
              </w:rPr>
              <w:fldChar w:fldCharType="end"/>
            </w:r>
          </w:hyperlink>
        </w:p>
        <w:p w14:paraId="1756AFA3" w14:textId="59E76B1F" w:rsidR="00D943BD" w:rsidRPr="00012C3F" w:rsidRDefault="00C92775" w:rsidP="00D943BD">
          <w:pPr>
            <w:pStyle w:val="TDC3"/>
            <w:rPr>
              <w:rFonts w:eastAsiaTheme="minorEastAsia" w:cstheme="minorBidi"/>
              <w:noProof/>
              <w:sz w:val="16"/>
              <w:szCs w:val="16"/>
              <w:lang w:val="en-US" w:eastAsia="en-US"/>
            </w:rPr>
          </w:pPr>
          <w:hyperlink w:anchor="_Toc27486869" w:history="1">
            <w:r w:rsidR="00D943BD" w:rsidRPr="00012C3F">
              <w:rPr>
                <w:rStyle w:val="Hipervnculo"/>
                <w:rFonts w:eastAsia="MS Mincho" w:cs="Arial"/>
                <w:i/>
                <w:noProof/>
                <w:sz w:val="16"/>
                <w:szCs w:val="16"/>
                <w:lang w:val="en-US" w:eastAsia="en-US"/>
              </w:rPr>
              <w:t>B.3.b</w:t>
            </w:r>
            <w:r w:rsidR="00D943BD" w:rsidRPr="00012C3F">
              <w:rPr>
                <w:rFonts w:eastAsiaTheme="minorEastAsia" w:cstheme="minorBidi"/>
                <w:noProof/>
                <w:sz w:val="16"/>
                <w:szCs w:val="16"/>
                <w:lang w:val="en-US" w:eastAsia="en-US"/>
              </w:rPr>
              <w:tab/>
            </w:r>
            <w:r w:rsidR="00D943BD" w:rsidRPr="00012C3F">
              <w:rPr>
                <w:rStyle w:val="Hipervnculo"/>
                <w:rFonts w:eastAsia="MS Mincho" w:cs="Arial"/>
                <w:i/>
                <w:noProof/>
                <w:sz w:val="16"/>
                <w:szCs w:val="16"/>
                <w:lang w:val="en-US" w:eastAsia="en-US"/>
              </w:rPr>
              <w:t>Obligation to respect the rights recognized in Articles 5, 7, 11, 13 and 17 of the American Convention and 7(a) of the Convention of Belém do Pará</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_Toc27486869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69</w:t>
            </w:r>
            <w:r w:rsidR="00D943BD" w:rsidRPr="00012C3F">
              <w:rPr>
                <w:noProof/>
                <w:webHidden/>
                <w:sz w:val="16"/>
                <w:szCs w:val="16"/>
              </w:rPr>
              <w:fldChar w:fldCharType="end"/>
            </w:r>
          </w:hyperlink>
        </w:p>
        <w:p w14:paraId="739CB556" w14:textId="4E3D0586" w:rsidR="00D943BD" w:rsidRPr="00012C3F" w:rsidRDefault="00C92775" w:rsidP="00D943BD">
          <w:pPr>
            <w:pStyle w:val="TDC3"/>
            <w:rPr>
              <w:rFonts w:eastAsiaTheme="minorEastAsia" w:cstheme="minorBidi"/>
              <w:noProof/>
              <w:sz w:val="16"/>
              <w:szCs w:val="16"/>
              <w:lang w:val="en-US" w:eastAsia="en-US"/>
            </w:rPr>
          </w:pPr>
          <w:hyperlink w:anchor="_Toc27486870" w:history="1">
            <w:r w:rsidR="00D943BD" w:rsidRPr="00012C3F">
              <w:rPr>
                <w:rStyle w:val="Hipervnculo"/>
                <w:rFonts w:eastAsia="MS Mincho" w:cs="Arial"/>
                <w:i/>
                <w:noProof/>
                <w:sz w:val="16"/>
                <w:szCs w:val="16"/>
                <w:lang w:val="en-US" w:eastAsia="en-US"/>
              </w:rPr>
              <w:t>B.3.c</w:t>
            </w:r>
            <w:r w:rsidR="00D943BD" w:rsidRPr="00012C3F">
              <w:rPr>
                <w:rFonts w:eastAsiaTheme="minorEastAsia" w:cstheme="minorBidi"/>
                <w:noProof/>
                <w:sz w:val="16"/>
                <w:szCs w:val="16"/>
                <w:lang w:val="en-US" w:eastAsia="en-US"/>
              </w:rPr>
              <w:tab/>
            </w:r>
            <w:r w:rsidR="00D943BD" w:rsidRPr="00012C3F">
              <w:rPr>
                <w:rStyle w:val="Hipervnculo"/>
                <w:rFonts w:eastAsia="MS Mincho" w:cs="Arial"/>
                <w:i/>
                <w:noProof/>
                <w:sz w:val="16"/>
                <w:szCs w:val="16"/>
                <w:lang w:val="en-US" w:eastAsia="en-US"/>
              </w:rPr>
              <w:t>Duty not to discriminate when respecting and ensuring the rights recognized in Articles 5, 7, 11, 13 and 17 of the American Convention</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_Toc27486870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75</w:t>
            </w:r>
            <w:r w:rsidR="00D943BD" w:rsidRPr="00012C3F">
              <w:rPr>
                <w:noProof/>
                <w:webHidden/>
                <w:sz w:val="16"/>
                <w:szCs w:val="16"/>
              </w:rPr>
              <w:fldChar w:fldCharType="end"/>
            </w:r>
          </w:hyperlink>
        </w:p>
        <w:p w14:paraId="5DE59C20" w14:textId="0EDA04EE" w:rsidR="00D943BD" w:rsidRPr="00012C3F" w:rsidRDefault="00C92775" w:rsidP="00D943BD">
          <w:pPr>
            <w:pStyle w:val="TDC3"/>
            <w:rPr>
              <w:rFonts w:eastAsiaTheme="minorEastAsia" w:cstheme="minorBidi"/>
              <w:noProof/>
              <w:sz w:val="16"/>
              <w:szCs w:val="16"/>
              <w:lang w:val="en-US" w:eastAsia="en-US"/>
            </w:rPr>
          </w:pPr>
          <w:hyperlink w:anchor="_Toc27486871" w:history="1">
            <w:r w:rsidR="00D943BD" w:rsidRPr="00012C3F">
              <w:rPr>
                <w:rStyle w:val="Hipervnculo"/>
                <w:rFonts w:eastAsia="MS Mincho" w:cs="Arial"/>
                <w:i/>
                <w:noProof/>
                <w:sz w:val="16"/>
                <w:szCs w:val="16"/>
                <w:lang w:val="en-US" w:eastAsia="en-US"/>
              </w:rPr>
              <w:t xml:space="preserve">B.3.d </w:t>
            </w:r>
            <w:r w:rsidR="00D943BD" w:rsidRPr="00012C3F">
              <w:rPr>
                <w:rFonts w:eastAsiaTheme="minorEastAsia" w:cstheme="minorBidi"/>
                <w:noProof/>
                <w:sz w:val="16"/>
                <w:szCs w:val="16"/>
                <w:lang w:val="en-US" w:eastAsia="en-US"/>
              </w:rPr>
              <w:tab/>
            </w:r>
            <w:r w:rsidR="00D943BD" w:rsidRPr="00012C3F">
              <w:rPr>
                <w:rStyle w:val="Hipervnculo"/>
                <w:rFonts w:eastAsia="MS Mincho" w:cs="Arial"/>
                <w:i/>
                <w:noProof/>
                <w:sz w:val="16"/>
                <w:szCs w:val="16"/>
                <w:lang w:val="en-US" w:eastAsia="en-US"/>
              </w:rPr>
              <w:t>The right of women to a life free from violence (Article 7(a) of the Convention of Belém do Pará)</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_Toc27486871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78</w:t>
            </w:r>
            <w:r w:rsidR="00D943BD" w:rsidRPr="00012C3F">
              <w:rPr>
                <w:noProof/>
                <w:webHidden/>
                <w:sz w:val="16"/>
                <w:szCs w:val="16"/>
              </w:rPr>
              <w:fldChar w:fldCharType="end"/>
            </w:r>
          </w:hyperlink>
        </w:p>
        <w:p w14:paraId="4CA36971" w14:textId="47242E28" w:rsidR="00D943BD" w:rsidRPr="00012C3F" w:rsidRDefault="00C92775" w:rsidP="00D943BD">
          <w:pPr>
            <w:pStyle w:val="TDC2"/>
            <w:rPr>
              <w:rFonts w:eastAsiaTheme="minorEastAsia" w:cstheme="minorBidi"/>
              <w:noProof/>
              <w:sz w:val="16"/>
              <w:szCs w:val="16"/>
              <w:lang w:val="en-US" w:eastAsia="en-US"/>
            </w:rPr>
          </w:pPr>
          <w:hyperlink w:anchor="_Toc27486872" w:history="1">
            <w:r w:rsidR="00D943BD" w:rsidRPr="00012C3F">
              <w:rPr>
                <w:rStyle w:val="Hipervnculo"/>
                <w:rFonts w:eastAsia="MS Mincho"/>
                <w:b/>
                <w:bCs/>
                <w:i/>
                <w:noProof/>
                <w:sz w:val="16"/>
                <w:szCs w:val="16"/>
                <w:lang w:val="en-US"/>
              </w:rPr>
              <w:t xml:space="preserve">C. </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Conclusion</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_Toc27486872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80</w:t>
            </w:r>
            <w:r w:rsidR="00D943BD" w:rsidRPr="00012C3F">
              <w:rPr>
                <w:noProof/>
                <w:webHidden/>
                <w:sz w:val="16"/>
                <w:szCs w:val="16"/>
              </w:rPr>
              <w:fldChar w:fldCharType="end"/>
            </w:r>
          </w:hyperlink>
        </w:p>
        <w:p w14:paraId="3410EA85" w14:textId="2070038A" w:rsidR="00D943BD" w:rsidRPr="00012C3F" w:rsidRDefault="00C92775" w:rsidP="00D943BD">
          <w:pPr>
            <w:pStyle w:val="TDC1"/>
            <w:tabs>
              <w:tab w:val="right" w:leader="dot" w:pos="10076"/>
            </w:tabs>
            <w:spacing w:after="0" w:line="240" w:lineRule="auto"/>
            <w:rPr>
              <w:rFonts w:eastAsiaTheme="minorEastAsia" w:cstheme="minorBidi"/>
              <w:noProof/>
              <w:sz w:val="16"/>
              <w:szCs w:val="16"/>
              <w:lang w:val="en-US" w:eastAsia="en-US"/>
            </w:rPr>
          </w:pPr>
          <w:hyperlink w:anchor="_Toc27486873" w:history="1">
            <w:r w:rsidR="00D943BD" w:rsidRPr="00012C3F">
              <w:rPr>
                <w:rStyle w:val="Hipervnculo"/>
                <w:rFonts w:cs="Verdana"/>
                <w:b/>
                <w:bCs/>
                <w:caps/>
                <w:noProof/>
                <w:snapToGrid w:val="0"/>
                <w:sz w:val="16"/>
                <w:szCs w:val="16"/>
                <w:lang w:val="en-US"/>
              </w:rPr>
              <w:t>VIII-2 RIGHT TO PERSONAL INTEGRITY and THE PROHIBITION OF TORTURE AND OTHER CRUEL, INHUMAN OR DEGRADING TREATMENT, IN RELATION TO THE OBLIGATIONS TO RESPECT AND TO ENSURE RIGHTS</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_Toc27486873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80</w:t>
            </w:r>
            <w:r w:rsidR="00D943BD" w:rsidRPr="00012C3F">
              <w:rPr>
                <w:noProof/>
                <w:webHidden/>
                <w:sz w:val="16"/>
                <w:szCs w:val="16"/>
              </w:rPr>
              <w:fldChar w:fldCharType="end"/>
            </w:r>
          </w:hyperlink>
        </w:p>
        <w:p w14:paraId="0801BB53" w14:textId="546BCC78" w:rsidR="00D943BD" w:rsidRPr="00012C3F" w:rsidRDefault="00C92775" w:rsidP="00D943BD">
          <w:pPr>
            <w:pStyle w:val="TDC2"/>
            <w:rPr>
              <w:rFonts w:eastAsiaTheme="minorEastAsia" w:cstheme="minorBidi"/>
              <w:noProof/>
              <w:sz w:val="16"/>
              <w:szCs w:val="16"/>
              <w:lang w:val="en-US" w:eastAsia="en-US"/>
            </w:rPr>
          </w:pPr>
          <w:hyperlink w:anchor="_Toc27486874" w:history="1">
            <w:r w:rsidR="00D943BD" w:rsidRPr="00012C3F">
              <w:rPr>
                <w:rStyle w:val="Hipervnculo"/>
                <w:rFonts w:eastAsia="MS Mincho"/>
                <w:b/>
                <w:bCs/>
                <w:i/>
                <w:noProof/>
                <w:sz w:val="16"/>
                <w:szCs w:val="16"/>
                <w:lang w:val="en-US"/>
              </w:rPr>
              <w:t xml:space="preserve">A. </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Arguments of the parties</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_Toc27486874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80</w:t>
            </w:r>
            <w:r w:rsidR="00D943BD" w:rsidRPr="00012C3F">
              <w:rPr>
                <w:noProof/>
                <w:webHidden/>
                <w:sz w:val="16"/>
                <w:szCs w:val="16"/>
              </w:rPr>
              <w:fldChar w:fldCharType="end"/>
            </w:r>
          </w:hyperlink>
        </w:p>
        <w:p w14:paraId="457C0BCF" w14:textId="1C2DD57D" w:rsidR="00D943BD" w:rsidRPr="00012C3F" w:rsidRDefault="00C92775" w:rsidP="00D943BD">
          <w:pPr>
            <w:pStyle w:val="TDC2"/>
            <w:rPr>
              <w:rFonts w:eastAsiaTheme="minorEastAsia" w:cstheme="minorBidi"/>
              <w:noProof/>
              <w:sz w:val="16"/>
              <w:szCs w:val="16"/>
              <w:lang w:val="en-US" w:eastAsia="en-US"/>
            </w:rPr>
          </w:pPr>
          <w:hyperlink w:anchor="_Toc27486875" w:history="1">
            <w:r w:rsidR="00D943BD" w:rsidRPr="00012C3F">
              <w:rPr>
                <w:rStyle w:val="Hipervnculo"/>
                <w:rFonts w:eastAsia="MS Mincho"/>
                <w:b/>
                <w:bCs/>
                <w:i/>
                <w:noProof/>
                <w:sz w:val="16"/>
                <w:szCs w:val="16"/>
                <w:lang w:val="en-US"/>
              </w:rPr>
              <w:t xml:space="preserve">B. </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Considerations of the Court</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_Toc27486875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82</w:t>
            </w:r>
            <w:r w:rsidR="00D943BD" w:rsidRPr="00012C3F">
              <w:rPr>
                <w:noProof/>
                <w:webHidden/>
                <w:sz w:val="16"/>
                <w:szCs w:val="16"/>
              </w:rPr>
              <w:fldChar w:fldCharType="end"/>
            </w:r>
          </w:hyperlink>
        </w:p>
        <w:p w14:paraId="42DDE7EE" w14:textId="03A08CD1" w:rsidR="00D943BD" w:rsidRPr="00012C3F" w:rsidRDefault="00C92775" w:rsidP="00D943BD">
          <w:pPr>
            <w:pStyle w:val="TDC1"/>
            <w:tabs>
              <w:tab w:val="right" w:leader="dot" w:pos="10076"/>
            </w:tabs>
            <w:spacing w:after="0" w:line="240" w:lineRule="auto"/>
            <w:rPr>
              <w:rFonts w:eastAsiaTheme="minorEastAsia" w:cstheme="minorBidi"/>
              <w:noProof/>
              <w:sz w:val="16"/>
              <w:szCs w:val="16"/>
              <w:lang w:val="en-US" w:eastAsia="en-US"/>
            </w:rPr>
          </w:pPr>
          <w:hyperlink w:anchor="_Toc27486876" w:history="1">
            <w:r w:rsidR="00D943BD" w:rsidRPr="00012C3F">
              <w:rPr>
                <w:rStyle w:val="Hipervnculo"/>
                <w:rFonts w:cs="Verdana"/>
                <w:b/>
                <w:bCs/>
                <w:caps/>
                <w:noProof/>
                <w:snapToGrid w:val="0"/>
                <w:sz w:val="16"/>
                <w:szCs w:val="16"/>
                <w:lang w:val="en-US"/>
              </w:rPr>
              <w:t xml:space="preserve">VIII-3 RIGHTS TO JUDICIAL GUARANTEES and TO JUDICIAL PROTECTION, IN RELATION TO THE OBLIGATIONS TO RESPECT AND TO ENSURE RIGHTS WITHOUT DISCRIMINATION and Article </w:t>
            </w:r>
            <w:r w:rsidR="00D943BD" w:rsidRPr="00012C3F">
              <w:rPr>
                <w:rStyle w:val="Hipervnculo"/>
                <w:rFonts w:eastAsia="MS Mincho"/>
                <w:b/>
                <w:bCs/>
                <w:noProof/>
                <w:sz w:val="16"/>
                <w:szCs w:val="16"/>
                <w:lang w:val="en-US"/>
              </w:rPr>
              <w:t>7 OF THE CONVENTION OF BELÉM DO PARÁ</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_Toc27486876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85</w:t>
            </w:r>
            <w:r w:rsidR="00D943BD" w:rsidRPr="00012C3F">
              <w:rPr>
                <w:noProof/>
                <w:webHidden/>
                <w:sz w:val="16"/>
                <w:szCs w:val="16"/>
              </w:rPr>
              <w:fldChar w:fldCharType="end"/>
            </w:r>
          </w:hyperlink>
        </w:p>
        <w:p w14:paraId="5617663C" w14:textId="59EB3F70" w:rsidR="00D943BD" w:rsidRPr="00012C3F" w:rsidRDefault="00C92775" w:rsidP="00D943BD">
          <w:pPr>
            <w:pStyle w:val="TDC2"/>
            <w:rPr>
              <w:rFonts w:eastAsiaTheme="minorEastAsia" w:cstheme="minorBidi"/>
              <w:noProof/>
              <w:sz w:val="16"/>
              <w:szCs w:val="16"/>
              <w:lang w:val="en-US" w:eastAsia="en-US"/>
            </w:rPr>
          </w:pPr>
          <w:hyperlink w:anchor="_Toc27486877" w:history="1">
            <w:r w:rsidR="00D943BD" w:rsidRPr="00012C3F">
              <w:rPr>
                <w:rStyle w:val="Hipervnculo"/>
                <w:rFonts w:eastAsia="MS Mincho"/>
                <w:b/>
                <w:bCs/>
                <w:i/>
                <w:noProof/>
                <w:sz w:val="16"/>
                <w:szCs w:val="16"/>
                <w:lang w:val="en-US"/>
              </w:rPr>
              <w:t xml:space="preserve">A. </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Arguments of the parties and of the Commission</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_Toc27486877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85</w:t>
            </w:r>
            <w:r w:rsidR="00D943BD" w:rsidRPr="00012C3F">
              <w:rPr>
                <w:noProof/>
                <w:webHidden/>
                <w:sz w:val="16"/>
                <w:szCs w:val="16"/>
              </w:rPr>
              <w:fldChar w:fldCharType="end"/>
            </w:r>
          </w:hyperlink>
        </w:p>
        <w:p w14:paraId="5AB9DE4B" w14:textId="26335AAB" w:rsidR="00D943BD" w:rsidRPr="00012C3F" w:rsidRDefault="00C92775" w:rsidP="00D943BD">
          <w:pPr>
            <w:pStyle w:val="TDC2"/>
            <w:rPr>
              <w:rFonts w:eastAsiaTheme="minorEastAsia" w:cstheme="minorBidi"/>
              <w:noProof/>
              <w:sz w:val="16"/>
              <w:szCs w:val="16"/>
              <w:lang w:val="en-US" w:eastAsia="en-US"/>
            </w:rPr>
          </w:pPr>
          <w:hyperlink w:anchor="_Toc27486878" w:history="1">
            <w:r w:rsidR="00D943BD" w:rsidRPr="00012C3F">
              <w:rPr>
                <w:rStyle w:val="Hipervnculo"/>
                <w:i/>
                <w:noProof/>
                <w:sz w:val="16"/>
                <w:szCs w:val="16"/>
                <w:lang w:val="en-US"/>
              </w:rPr>
              <w:t xml:space="preserve">A.1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Arguments on access to justice</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_Toc27486878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85</w:t>
            </w:r>
            <w:r w:rsidR="00D943BD" w:rsidRPr="00012C3F">
              <w:rPr>
                <w:noProof/>
                <w:webHidden/>
                <w:sz w:val="16"/>
                <w:szCs w:val="16"/>
              </w:rPr>
              <w:fldChar w:fldCharType="end"/>
            </w:r>
          </w:hyperlink>
        </w:p>
        <w:p w14:paraId="2791BC90" w14:textId="3B303630" w:rsidR="00D943BD" w:rsidRPr="00012C3F" w:rsidRDefault="00C92775" w:rsidP="00D943BD">
          <w:pPr>
            <w:pStyle w:val="TDC2"/>
            <w:rPr>
              <w:rFonts w:eastAsiaTheme="minorEastAsia" w:cstheme="minorBidi"/>
              <w:noProof/>
              <w:sz w:val="16"/>
              <w:szCs w:val="16"/>
              <w:lang w:val="en-US" w:eastAsia="en-US"/>
            </w:rPr>
          </w:pPr>
          <w:hyperlink w:anchor="_Toc27486879" w:history="1">
            <w:r w:rsidR="00D943BD" w:rsidRPr="00012C3F">
              <w:rPr>
                <w:rStyle w:val="Hipervnculo"/>
                <w:i/>
                <w:noProof/>
                <w:sz w:val="16"/>
                <w:szCs w:val="16"/>
                <w:lang w:val="en-US"/>
              </w:rPr>
              <w:t xml:space="preserve">A.2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Arguments on the Convention of Belém do Pará</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_Toc27486879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87</w:t>
            </w:r>
            <w:r w:rsidR="00D943BD" w:rsidRPr="00012C3F">
              <w:rPr>
                <w:noProof/>
                <w:webHidden/>
                <w:sz w:val="16"/>
                <w:szCs w:val="16"/>
              </w:rPr>
              <w:fldChar w:fldCharType="end"/>
            </w:r>
          </w:hyperlink>
        </w:p>
        <w:p w14:paraId="1CFBA792" w14:textId="44528AA1" w:rsidR="00D943BD" w:rsidRPr="00012C3F" w:rsidRDefault="00C92775" w:rsidP="00D943BD">
          <w:pPr>
            <w:pStyle w:val="TDC2"/>
            <w:rPr>
              <w:rFonts w:eastAsiaTheme="minorEastAsia" w:cstheme="minorBidi"/>
              <w:noProof/>
              <w:sz w:val="16"/>
              <w:szCs w:val="16"/>
              <w:lang w:val="en-US" w:eastAsia="en-US"/>
            </w:rPr>
          </w:pPr>
          <w:hyperlink w:anchor="_Toc27486880" w:history="1">
            <w:r w:rsidR="00D943BD" w:rsidRPr="00012C3F">
              <w:rPr>
                <w:rStyle w:val="Hipervnculo"/>
                <w:i/>
                <w:noProof/>
                <w:sz w:val="16"/>
                <w:szCs w:val="16"/>
                <w:lang w:val="en-US"/>
              </w:rPr>
              <w:t xml:space="preserve">A.3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Arguments on discrimination in access to justice</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_Toc27486880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88</w:t>
            </w:r>
            <w:r w:rsidR="00D943BD" w:rsidRPr="00012C3F">
              <w:rPr>
                <w:noProof/>
                <w:webHidden/>
                <w:sz w:val="16"/>
                <w:szCs w:val="16"/>
              </w:rPr>
              <w:fldChar w:fldCharType="end"/>
            </w:r>
          </w:hyperlink>
        </w:p>
        <w:p w14:paraId="7D585BE9" w14:textId="01B8D8A5" w:rsidR="00D943BD" w:rsidRPr="00012C3F" w:rsidRDefault="00C92775" w:rsidP="00D943BD">
          <w:pPr>
            <w:pStyle w:val="TDC2"/>
            <w:rPr>
              <w:rFonts w:eastAsiaTheme="minorEastAsia" w:cstheme="minorBidi"/>
              <w:noProof/>
              <w:sz w:val="16"/>
              <w:szCs w:val="16"/>
              <w:lang w:val="en-US" w:eastAsia="en-US"/>
            </w:rPr>
          </w:pPr>
          <w:hyperlink w:anchor="_Toc27486881" w:history="1">
            <w:r w:rsidR="00D943BD" w:rsidRPr="00012C3F">
              <w:rPr>
                <w:rStyle w:val="Hipervnculo"/>
                <w:i/>
                <w:noProof/>
                <w:sz w:val="16"/>
                <w:szCs w:val="16"/>
                <w:lang w:val="en-US"/>
              </w:rPr>
              <w:t xml:space="preserve">A.4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Arguments on the obligation to ensure that the competent authority established by the laws of the State will determine the rights of everyone who files a remedy</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_Toc27486881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89</w:t>
            </w:r>
            <w:r w:rsidR="00D943BD" w:rsidRPr="00012C3F">
              <w:rPr>
                <w:noProof/>
                <w:webHidden/>
                <w:sz w:val="16"/>
                <w:szCs w:val="16"/>
              </w:rPr>
              <w:fldChar w:fldCharType="end"/>
            </w:r>
          </w:hyperlink>
        </w:p>
        <w:p w14:paraId="41CAEB9C" w14:textId="001B2470" w:rsidR="00D943BD" w:rsidRPr="00012C3F" w:rsidRDefault="00C92775" w:rsidP="00D943BD">
          <w:pPr>
            <w:pStyle w:val="TDC2"/>
            <w:rPr>
              <w:rFonts w:eastAsiaTheme="minorEastAsia" w:cstheme="minorBidi"/>
              <w:noProof/>
              <w:sz w:val="16"/>
              <w:szCs w:val="16"/>
              <w:lang w:val="en-US" w:eastAsia="en-US"/>
            </w:rPr>
          </w:pPr>
          <w:hyperlink w:anchor="_Toc27486882" w:history="1">
            <w:r w:rsidR="00D943BD" w:rsidRPr="00012C3F">
              <w:rPr>
                <w:rStyle w:val="Hipervnculo"/>
                <w:rFonts w:eastAsia="MS Mincho"/>
                <w:b/>
                <w:bCs/>
                <w:i/>
                <w:noProof/>
                <w:sz w:val="16"/>
                <w:szCs w:val="16"/>
                <w:lang w:val="en-US"/>
              </w:rPr>
              <w:t>B.</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Considerations of the Court</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_Toc27486882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89</w:t>
            </w:r>
            <w:r w:rsidR="00D943BD" w:rsidRPr="00012C3F">
              <w:rPr>
                <w:noProof/>
                <w:webHidden/>
                <w:sz w:val="16"/>
                <w:szCs w:val="16"/>
              </w:rPr>
              <w:fldChar w:fldCharType="end"/>
            </w:r>
          </w:hyperlink>
        </w:p>
        <w:p w14:paraId="20BDA427" w14:textId="4E3D0224" w:rsidR="00D943BD" w:rsidRPr="00012C3F" w:rsidRDefault="00C92775" w:rsidP="00D943BD">
          <w:pPr>
            <w:pStyle w:val="TDC2"/>
            <w:rPr>
              <w:rFonts w:eastAsiaTheme="minorEastAsia" w:cstheme="minorBidi"/>
              <w:noProof/>
              <w:sz w:val="16"/>
              <w:szCs w:val="16"/>
              <w:lang w:val="en-US" w:eastAsia="en-US"/>
            </w:rPr>
          </w:pPr>
          <w:hyperlink w:anchor="_Toc27486883" w:history="1">
            <w:r w:rsidR="00D943BD" w:rsidRPr="00012C3F">
              <w:rPr>
                <w:rStyle w:val="Hipervnculo"/>
                <w:i/>
                <w:noProof/>
                <w:sz w:val="16"/>
                <w:szCs w:val="16"/>
                <w:lang w:val="en-US"/>
              </w:rPr>
              <w:t xml:space="preserve">B.1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Access to justice in cases of violation of sexual and reproductive rights</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_Toc27486883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91</w:t>
            </w:r>
            <w:r w:rsidR="00D943BD" w:rsidRPr="00012C3F">
              <w:rPr>
                <w:noProof/>
                <w:webHidden/>
                <w:sz w:val="16"/>
                <w:szCs w:val="16"/>
              </w:rPr>
              <w:fldChar w:fldCharType="end"/>
            </w:r>
          </w:hyperlink>
        </w:p>
        <w:p w14:paraId="264F35E6" w14:textId="1C486257" w:rsidR="00D943BD" w:rsidRPr="00012C3F" w:rsidRDefault="00C92775" w:rsidP="00D943BD">
          <w:pPr>
            <w:pStyle w:val="TDC2"/>
            <w:rPr>
              <w:rFonts w:eastAsiaTheme="minorEastAsia" w:cstheme="minorBidi"/>
              <w:noProof/>
              <w:sz w:val="16"/>
              <w:szCs w:val="16"/>
              <w:lang w:val="en-US" w:eastAsia="en-US"/>
            </w:rPr>
          </w:pPr>
          <w:hyperlink w:anchor="_Toc27486884" w:history="1">
            <w:r w:rsidR="00D943BD" w:rsidRPr="00012C3F">
              <w:rPr>
                <w:rStyle w:val="Hipervnculo"/>
                <w:i/>
                <w:noProof/>
                <w:sz w:val="16"/>
                <w:szCs w:val="16"/>
                <w:lang w:val="en-US"/>
              </w:rPr>
              <w:t xml:space="preserve">B.2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Determination of the effects of the closure of the criminal proceedings</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_Toc27486884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96</w:t>
            </w:r>
            <w:r w:rsidR="00D943BD" w:rsidRPr="00012C3F">
              <w:rPr>
                <w:noProof/>
                <w:webHidden/>
                <w:sz w:val="16"/>
                <w:szCs w:val="16"/>
              </w:rPr>
              <w:fldChar w:fldCharType="end"/>
            </w:r>
          </w:hyperlink>
        </w:p>
        <w:p w14:paraId="47D38834" w14:textId="09028E2A" w:rsidR="00D943BD" w:rsidRPr="00012C3F" w:rsidRDefault="00C92775" w:rsidP="00D943BD">
          <w:pPr>
            <w:pStyle w:val="TDC2"/>
            <w:rPr>
              <w:rFonts w:eastAsiaTheme="minorEastAsia" w:cstheme="minorBidi"/>
              <w:noProof/>
              <w:sz w:val="16"/>
              <w:szCs w:val="16"/>
              <w:lang w:val="en-US" w:eastAsia="en-US"/>
            </w:rPr>
          </w:pPr>
          <w:hyperlink w:anchor="_Toc27486885" w:history="1">
            <w:r w:rsidR="00D943BD" w:rsidRPr="00012C3F">
              <w:rPr>
                <w:rStyle w:val="Hipervnculo"/>
                <w:i/>
                <w:noProof/>
                <w:sz w:val="16"/>
                <w:szCs w:val="16"/>
                <w:lang w:val="en-US"/>
              </w:rPr>
              <w:t xml:space="preserve">B.3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Determination of the scope of the State’s international responsibility owing to the criminal proceedings</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_Toc27486885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96</w:t>
            </w:r>
            <w:r w:rsidR="00D943BD" w:rsidRPr="00012C3F">
              <w:rPr>
                <w:noProof/>
                <w:webHidden/>
                <w:sz w:val="16"/>
                <w:szCs w:val="16"/>
              </w:rPr>
              <w:fldChar w:fldCharType="end"/>
            </w:r>
          </w:hyperlink>
        </w:p>
        <w:p w14:paraId="191D0FF4" w14:textId="2DC55D80" w:rsidR="00D943BD" w:rsidRPr="00012C3F" w:rsidRDefault="00C92775" w:rsidP="00D943BD">
          <w:pPr>
            <w:pStyle w:val="TDC2"/>
            <w:rPr>
              <w:rFonts w:eastAsiaTheme="minorEastAsia" w:cstheme="minorBidi"/>
              <w:noProof/>
              <w:sz w:val="16"/>
              <w:szCs w:val="16"/>
              <w:lang w:val="en-US" w:eastAsia="en-US"/>
            </w:rPr>
          </w:pPr>
          <w:hyperlink w:anchor="_Toc27486886" w:history="1">
            <w:r w:rsidR="00D943BD" w:rsidRPr="00012C3F">
              <w:rPr>
                <w:rStyle w:val="Hipervnculo"/>
                <w:i/>
                <w:noProof/>
                <w:sz w:val="16"/>
                <w:szCs w:val="16"/>
                <w:lang w:val="en-US"/>
              </w:rPr>
              <w:t xml:space="preserve">B.4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Conclusion</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_Toc27486886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98</w:t>
            </w:r>
            <w:r w:rsidR="00D943BD" w:rsidRPr="00012C3F">
              <w:rPr>
                <w:noProof/>
                <w:webHidden/>
                <w:sz w:val="16"/>
                <w:szCs w:val="16"/>
              </w:rPr>
              <w:fldChar w:fldCharType="end"/>
            </w:r>
          </w:hyperlink>
        </w:p>
        <w:p w14:paraId="0AF9CE0C" w14:textId="3DCB5C74" w:rsidR="00D943BD" w:rsidRPr="00012C3F" w:rsidRDefault="00C92775" w:rsidP="00D943BD">
          <w:pPr>
            <w:pStyle w:val="TDC1"/>
            <w:tabs>
              <w:tab w:val="right" w:leader="dot" w:pos="10076"/>
            </w:tabs>
            <w:spacing w:after="0" w:line="240" w:lineRule="auto"/>
            <w:rPr>
              <w:rFonts w:eastAsiaTheme="minorEastAsia" w:cstheme="minorBidi"/>
              <w:noProof/>
              <w:sz w:val="16"/>
              <w:szCs w:val="16"/>
              <w:lang w:val="en-US" w:eastAsia="en-US"/>
            </w:rPr>
          </w:pPr>
          <w:hyperlink w:anchor="_Toc27486887" w:history="1">
            <w:r w:rsidR="00D943BD" w:rsidRPr="00012C3F">
              <w:rPr>
                <w:rStyle w:val="Hipervnculo"/>
                <w:rFonts w:cs="Verdana"/>
                <w:b/>
                <w:bCs/>
                <w:caps/>
                <w:noProof/>
                <w:snapToGrid w:val="0"/>
                <w:sz w:val="16"/>
                <w:szCs w:val="16"/>
                <w:lang w:val="en-US"/>
              </w:rPr>
              <w:t>IX REPARATIONS (</w:t>
            </w:r>
            <w:r w:rsidR="00D943BD" w:rsidRPr="00012C3F">
              <w:rPr>
                <w:rStyle w:val="Hipervnculo"/>
                <w:rFonts w:cs="Verdana"/>
                <w:b/>
                <w:bCs/>
                <w:noProof/>
                <w:snapToGrid w:val="0"/>
                <w:sz w:val="16"/>
                <w:szCs w:val="16"/>
                <w:lang w:val="en-US"/>
              </w:rPr>
              <w:t>Application of Article 63(1) of the American Convention</w:t>
            </w:r>
            <w:r w:rsidR="00D943BD" w:rsidRPr="00012C3F">
              <w:rPr>
                <w:rStyle w:val="Hipervnculo"/>
                <w:rFonts w:cs="Verdana"/>
                <w:b/>
                <w:bCs/>
                <w:caps/>
                <w:noProof/>
                <w:snapToGrid w:val="0"/>
                <w:sz w:val="16"/>
                <w:szCs w:val="16"/>
                <w:lang w:val="en-US"/>
              </w:rPr>
              <w:t>)</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_Toc27486887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98</w:t>
            </w:r>
            <w:r w:rsidR="00D943BD" w:rsidRPr="00012C3F">
              <w:rPr>
                <w:noProof/>
                <w:webHidden/>
                <w:sz w:val="16"/>
                <w:szCs w:val="16"/>
              </w:rPr>
              <w:fldChar w:fldCharType="end"/>
            </w:r>
          </w:hyperlink>
        </w:p>
        <w:p w14:paraId="2C626400" w14:textId="3C116AAB" w:rsidR="00D943BD" w:rsidRPr="00012C3F" w:rsidRDefault="00C92775" w:rsidP="00D943BD">
          <w:pPr>
            <w:pStyle w:val="TDC2"/>
            <w:rPr>
              <w:rFonts w:eastAsiaTheme="minorEastAsia" w:cstheme="minorBidi"/>
              <w:noProof/>
              <w:sz w:val="16"/>
              <w:szCs w:val="16"/>
              <w:lang w:val="en-US" w:eastAsia="en-US"/>
            </w:rPr>
          </w:pPr>
          <w:hyperlink w:anchor="_Toc27486888" w:history="1">
            <w:r w:rsidR="00D943BD" w:rsidRPr="00012C3F">
              <w:rPr>
                <w:rStyle w:val="Hipervnculo"/>
                <w:rFonts w:eastAsia="MS Mincho"/>
                <w:b/>
                <w:bCs/>
                <w:i/>
                <w:noProof/>
                <w:sz w:val="16"/>
                <w:szCs w:val="16"/>
                <w:lang w:val="en-US"/>
              </w:rPr>
              <w:t>A.</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Injured party</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_Toc27486888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99</w:t>
            </w:r>
            <w:r w:rsidR="00D943BD" w:rsidRPr="00012C3F">
              <w:rPr>
                <w:noProof/>
                <w:webHidden/>
                <w:sz w:val="16"/>
                <w:szCs w:val="16"/>
              </w:rPr>
              <w:fldChar w:fldCharType="end"/>
            </w:r>
          </w:hyperlink>
        </w:p>
        <w:p w14:paraId="55A30BF8" w14:textId="48CAE125" w:rsidR="00D943BD" w:rsidRPr="00012C3F" w:rsidRDefault="00C92775" w:rsidP="00D943BD">
          <w:pPr>
            <w:pStyle w:val="TDC2"/>
            <w:rPr>
              <w:rFonts w:eastAsiaTheme="minorEastAsia" w:cstheme="minorBidi"/>
              <w:noProof/>
              <w:sz w:val="16"/>
              <w:szCs w:val="16"/>
              <w:lang w:val="en-US" w:eastAsia="en-US"/>
            </w:rPr>
          </w:pPr>
          <w:hyperlink w:anchor="_Toc27486889" w:history="1">
            <w:r w:rsidR="00D943BD" w:rsidRPr="00012C3F">
              <w:rPr>
                <w:rStyle w:val="Hipervnculo"/>
                <w:rFonts w:eastAsia="MS Mincho"/>
                <w:b/>
                <w:bCs/>
                <w:i/>
                <w:noProof/>
                <w:sz w:val="16"/>
                <w:szCs w:val="16"/>
                <w:lang w:val="en-US"/>
              </w:rPr>
              <w:t xml:space="preserve">B. </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Rehabilitation</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_Toc27486889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99</w:t>
            </w:r>
            <w:r w:rsidR="00D943BD" w:rsidRPr="00012C3F">
              <w:rPr>
                <w:noProof/>
                <w:webHidden/>
                <w:sz w:val="16"/>
                <w:szCs w:val="16"/>
              </w:rPr>
              <w:fldChar w:fldCharType="end"/>
            </w:r>
          </w:hyperlink>
        </w:p>
        <w:p w14:paraId="6B0F1D3B" w14:textId="77ADE98A" w:rsidR="00D943BD" w:rsidRPr="00012C3F" w:rsidRDefault="00C92775" w:rsidP="00D943BD">
          <w:pPr>
            <w:pStyle w:val="TDC2"/>
            <w:rPr>
              <w:rFonts w:eastAsiaTheme="minorEastAsia" w:cstheme="minorBidi"/>
              <w:noProof/>
              <w:sz w:val="16"/>
              <w:szCs w:val="16"/>
              <w:lang w:val="en-US" w:eastAsia="en-US"/>
            </w:rPr>
          </w:pPr>
          <w:hyperlink w:anchor="_Toc27486890" w:history="1">
            <w:r w:rsidR="00D943BD" w:rsidRPr="00012C3F">
              <w:rPr>
                <w:rStyle w:val="Hipervnculo"/>
                <w:rFonts w:eastAsia="MS Mincho"/>
                <w:b/>
                <w:bCs/>
                <w:i/>
                <w:noProof/>
                <w:sz w:val="16"/>
                <w:szCs w:val="16"/>
                <w:lang w:val="en-US"/>
              </w:rPr>
              <w:t>C.</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Satisfaction</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_Toc27486890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100</w:t>
            </w:r>
            <w:r w:rsidR="00D943BD" w:rsidRPr="00012C3F">
              <w:rPr>
                <w:noProof/>
                <w:webHidden/>
                <w:sz w:val="16"/>
                <w:szCs w:val="16"/>
              </w:rPr>
              <w:fldChar w:fldCharType="end"/>
            </w:r>
          </w:hyperlink>
        </w:p>
        <w:p w14:paraId="3DE14F1A" w14:textId="276D9694" w:rsidR="00D943BD" w:rsidRPr="00012C3F" w:rsidRDefault="00C92775" w:rsidP="00D943BD">
          <w:pPr>
            <w:pStyle w:val="TDC2"/>
            <w:rPr>
              <w:rFonts w:eastAsiaTheme="minorEastAsia" w:cstheme="minorBidi"/>
              <w:noProof/>
              <w:sz w:val="16"/>
              <w:szCs w:val="16"/>
              <w:lang w:val="en-US" w:eastAsia="en-US"/>
            </w:rPr>
          </w:pPr>
          <w:hyperlink w:anchor="_Toc27486891" w:history="1">
            <w:r w:rsidR="00D943BD" w:rsidRPr="00012C3F">
              <w:rPr>
                <w:rStyle w:val="Hipervnculo"/>
                <w:i/>
                <w:noProof/>
                <w:sz w:val="16"/>
                <w:szCs w:val="16"/>
                <w:lang w:val="en-US"/>
              </w:rPr>
              <w:t xml:space="preserve">C.1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Publications</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_Toc27486891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101</w:t>
            </w:r>
            <w:r w:rsidR="00D943BD" w:rsidRPr="00012C3F">
              <w:rPr>
                <w:noProof/>
                <w:webHidden/>
                <w:sz w:val="16"/>
                <w:szCs w:val="16"/>
              </w:rPr>
              <w:fldChar w:fldCharType="end"/>
            </w:r>
          </w:hyperlink>
        </w:p>
        <w:p w14:paraId="07A47D3A" w14:textId="6D15A67E" w:rsidR="00D943BD" w:rsidRPr="00012C3F" w:rsidRDefault="00C92775" w:rsidP="00D943BD">
          <w:pPr>
            <w:pStyle w:val="TDC2"/>
            <w:rPr>
              <w:rFonts w:eastAsiaTheme="minorEastAsia" w:cstheme="minorBidi"/>
              <w:noProof/>
              <w:sz w:val="16"/>
              <w:szCs w:val="16"/>
              <w:lang w:val="en-US" w:eastAsia="en-US"/>
            </w:rPr>
          </w:pPr>
          <w:hyperlink w:anchor="_Toc27486892" w:history="1">
            <w:r w:rsidR="00D943BD" w:rsidRPr="00012C3F">
              <w:rPr>
                <w:rStyle w:val="Hipervnculo"/>
                <w:i/>
                <w:noProof/>
                <w:sz w:val="16"/>
                <w:szCs w:val="16"/>
                <w:lang w:val="en-US"/>
              </w:rPr>
              <w:t xml:space="preserve">C.2 </w:t>
            </w:r>
            <w:r w:rsidR="00D943BD" w:rsidRPr="00012C3F">
              <w:rPr>
                <w:rFonts w:eastAsiaTheme="minorEastAsia" w:cstheme="minorBidi"/>
                <w:noProof/>
                <w:sz w:val="16"/>
                <w:szCs w:val="16"/>
                <w:lang w:val="en-US" w:eastAsia="en-US"/>
              </w:rPr>
              <w:tab/>
            </w:r>
            <w:r w:rsidR="00D943BD" w:rsidRPr="00012C3F">
              <w:rPr>
                <w:rStyle w:val="Hipervnculo"/>
                <w:i/>
                <w:noProof/>
                <w:sz w:val="16"/>
                <w:szCs w:val="16"/>
                <w:lang w:val="en-US"/>
              </w:rPr>
              <w:t>Act to acknowledge responsibility</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_Toc27486892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101</w:t>
            </w:r>
            <w:r w:rsidR="00D943BD" w:rsidRPr="00012C3F">
              <w:rPr>
                <w:noProof/>
                <w:webHidden/>
                <w:sz w:val="16"/>
                <w:szCs w:val="16"/>
              </w:rPr>
              <w:fldChar w:fldCharType="end"/>
            </w:r>
          </w:hyperlink>
        </w:p>
        <w:p w14:paraId="4C64D94F" w14:textId="29AF5E8B" w:rsidR="00D943BD" w:rsidRPr="00012C3F" w:rsidRDefault="00C92775" w:rsidP="00D943BD">
          <w:pPr>
            <w:pStyle w:val="TDC2"/>
            <w:rPr>
              <w:rFonts w:eastAsiaTheme="minorEastAsia" w:cstheme="minorBidi"/>
              <w:noProof/>
              <w:sz w:val="16"/>
              <w:szCs w:val="16"/>
              <w:lang w:val="en-US" w:eastAsia="en-US"/>
            </w:rPr>
          </w:pPr>
          <w:hyperlink w:anchor="_Toc27486893" w:history="1">
            <w:r w:rsidR="00D943BD" w:rsidRPr="00012C3F">
              <w:rPr>
                <w:rStyle w:val="Hipervnculo"/>
                <w:rFonts w:eastAsia="MS Mincho"/>
                <w:b/>
                <w:bCs/>
                <w:i/>
                <w:noProof/>
                <w:sz w:val="16"/>
                <w:szCs w:val="16"/>
                <w:lang w:val="en-US"/>
              </w:rPr>
              <w:t>D.</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Guarantees of non-repetition</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_Toc27486893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101</w:t>
            </w:r>
            <w:r w:rsidR="00D943BD" w:rsidRPr="00012C3F">
              <w:rPr>
                <w:noProof/>
                <w:webHidden/>
                <w:sz w:val="16"/>
                <w:szCs w:val="16"/>
              </w:rPr>
              <w:fldChar w:fldCharType="end"/>
            </w:r>
          </w:hyperlink>
        </w:p>
        <w:p w14:paraId="53F1913A" w14:textId="46167467" w:rsidR="00D943BD" w:rsidRPr="00012C3F" w:rsidRDefault="00C92775" w:rsidP="00D943BD">
          <w:pPr>
            <w:pStyle w:val="TDC2"/>
            <w:rPr>
              <w:rFonts w:eastAsiaTheme="minorEastAsia" w:cstheme="minorBidi"/>
              <w:noProof/>
              <w:sz w:val="16"/>
              <w:szCs w:val="16"/>
              <w:lang w:val="en-US" w:eastAsia="en-US"/>
            </w:rPr>
          </w:pPr>
          <w:hyperlink w:anchor="_Toc27486894" w:history="1">
            <w:r w:rsidR="00D943BD" w:rsidRPr="00012C3F">
              <w:rPr>
                <w:rStyle w:val="Hipervnculo"/>
                <w:rFonts w:eastAsia="MS Mincho"/>
                <w:b/>
                <w:bCs/>
                <w:i/>
                <w:noProof/>
                <w:sz w:val="16"/>
                <w:szCs w:val="16"/>
                <w:lang w:val="en-US"/>
              </w:rPr>
              <w:t>E.</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Other measures requested</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_Toc27486894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103</w:t>
            </w:r>
            <w:r w:rsidR="00D943BD" w:rsidRPr="00012C3F">
              <w:rPr>
                <w:noProof/>
                <w:webHidden/>
                <w:sz w:val="16"/>
                <w:szCs w:val="16"/>
              </w:rPr>
              <w:fldChar w:fldCharType="end"/>
            </w:r>
          </w:hyperlink>
        </w:p>
        <w:p w14:paraId="755D3CA0" w14:textId="50C87402" w:rsidR="00D943BD" w:rsidRPr="00012C3F" w:rsidRDefault="00C92775" w:rsidP="00D943BD">
          <w:pPr>
            <w:pStyle w:val="TDC2"/>
            <w:rPr>
              <w:rFonts w:eastAsiaTheme="minorEastAsia" w:cstheme="minorBidi"/>
              <w:noProof/>
              <w:sz w:val="16"/>
              <w:szCs w:val="16"/>
              <w:lang w:val="en-US" w:eastAsia="en-US"/>
            </w:rPr>
          </w:pPr>
          <w:hyperlink w:anchor="_Toc27486895" w:history="1">
            <w:r w:rsidR="00D943BD" w:rsidRPr="00012C3F">
              <w:rPr>
                <w:rStyle w:val="Hipervnculo"/>
                <w:rFonts w:eastAsia="MS Mincho"/>
                <w:b/>
                <w:bCs/>
                <w:i/>
                <w:noProof/>
                <w:sz w:val="16"/>
                <w:szCs w:val="16"/>
                <w:lang w:val="en-US"/>
              </w:rPr>
              <w:t>F.</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Compensation for pecuniary and non-pecuniary damage</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_Toc27486895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104</w:t>
            </w:r>
            <w:r w:rsidR="00D943BD" w:rsidRPr="00012C3F">
              <w:rPr>
                <w:noProof/>
                <w:webHidden/>
                <w:sz w:val="16"/>
                <w:szCs w:val="16"/>
              </w:rPr>
              <w:fldChar w:fldCharType="end"/>
            </w:r>
          </w:hyperlink>
        </w:p>
        <w:p w14:paraId="14EBCF2C" w14:textId="58C577A8" w:rsidR="00D943BD" w:rsidRPr="00012C3F" w:rsidRDefault="00C92775" w:rsidP="00D943BD">
          <w:pPr>
            <w:pStyle w:val="TDC2"/>
            <w:rPr>
              <w:rFonts w:eastAsiaTheme="minorEastAsia" w:cstheme="minorBidi"/>
              <w:noProof/>
              <w:sz w:val="16"/>
              <w:szCs w:val="16"/>
              <w:lang w:val="en-US" w:eastAsia="en-US"/>
            </w:rPr>
          </w:pPr>
          <w:hyperlink w:anchor="_Toc27486896" w:history="1">
            <w:r w:rsidR="00D943BD" w:rsidRPr="00012C3F">
              <w:rPr>
                <w:rStyle w:val="Hipervnculo"/>
                <w:rFonts w:eastAsia="MS Mincho"/>
                <w:b/>
                <w:bCs/>
                <w:i/>
                <w:noProof/>
                <w:sz w:val="16"/>
                <w:szCs w:val="16"/>
                <w:lang w:val="en-US"/>
              </w:rPr>
              <w:t>G.</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Costs and expenses</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_Toc27486896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106</w:t>
            </w:r>
            <w:r w:rsidR="00D943BD" w:rsidRPr="00012C3F">
              <w:rPr>
                <w:noProof/>
                <w:webHidden/>
                <w:sz w:val="16"/>
                <w:szCs w:val="16"/>
              </w:rPr>
              <w:fldChar w:fldCharType="end"/>
            </w:r>
          </w:hyperlink>
        </w:p>
        <w:p w14:paraId="35778701" w14:textId="65EF69D5" w:rsidR="00D943BD" w:rsidRPr="00012C3F" w:rsidRDefault="00C92775" w:rsidP="00D943BD">
          <w:pPr>
            <w:pStyle w:val="TDC2"/>
            <w:rPr>
              <w:rFonts w:eastAsiaTheme="minorEastAsia" w:cstheme="minorBidi"/>
              <w:noProof/>
              <w:sz w:val="16"/>
              <w:szCs w:val="16"/>
              <w:lang w:val="en-US" w:eastAsia="en-US"/>
            </w:rPr>
          </w:pPr>
          <w:hyperlink w:anchor="_Toc27486897" w:history="1">
            <w:r w:rsidR="00D943BD" w:rsidRPr="00012C3F">
              <w:rPr>
                <w:rStyle w:val="Hipervnculo"/>
                <w:rFonts w:eastAsia="MS Mincho"/>
                <w:b/>
                <w:bCs/>
                <w:i/>
                <w:noProof/>
                <w:sz w:val="16"/>
                <w:szCs w:val="16"/>
                <w:lang w:val="en-US"/>
              </w:rPr>
              <w:t>H.</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Reimbursement of expenditure to the Victims’ Legal Assistance Fund</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_Toc27486897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108</w:t>
            </w:r>
            <w:r w:rsidR="00D943BD" w:rsidRPr="00012C3F">
              <w:rPr>
                <w:noProof/>
                <w:webHidden/>
                <w:sz w:val="16"/>
                <w:szCs w:val="16"/>
              </w:rPr>
              <w:fldChar w:fldCharType="end"/>
            </w:r>
          </w:hyperlink>
        </w:p>
        <w:p w14:paraId="4582F7CC" w14:textId="4179A7FB" w:rsidR="00D943BD" w:rsidRPr="00012C3F" w:rsidRDefault="00C92775" w:rsidP="00D943BD">
          <w:pPr>
            <w:pStyle w:val="TDC2"/>
            <w:rPr>
              <w:rFonts w:eastAsiaTheme="minorEastAsia" w:cstheme="minorBidi"/>
              <w:noProof/>
              <w:sz w:val="16"/>
              <w:szCs w:val="16"/>
              <w:lang w:val="en-US" w:eastAsia="en-US"/>
            </w:rPr>
          </w:pPr>
          <w:hyperlink w:anchor="_Toc27486898" w:history="1">
            <w:r w:rsidR="00D943BD" w:rsidRPr="00012C3F">
              <w:rPr>
                <w:rStyle w:val="Hipervnculo"/>
                <w:rFonts w:eastAsia="MS Mincho"/>
                <w:b/>
                <w:bCs/>
                <w:i/>
                <w:noProof/>
                <w:sz w:val="16"/>
                <w:szCs w:val="16"/>
                <w:lang w:val="en-US"/>
              </w:rPr>
              <w:t>I.</w:t>
            </w:r>
            <w:r w:rsidR="00D943BD" w:rsidRPr="00012C3F">
              <w:rPr>
                <w:rFonts w:eastAsiaTheme="minorEastAsia" w:cstheme="minorBidi"/>
                <w:noProof/>
                <w:sz w:val="16"/>
                <w:szCs w:val="16"/>
                <w:lang w:val="en-US" w:eastAsia="en-US"/>
              </w:rPr>
              <w:tab/>
            </w:r>
            <w:r w:rsidR="00D943BD" w:rsidRPr="00012C3F">
              <w:rPr>
                <w:rStyle w:val="Hipervnculo"/>
                <w:rFonts w:eastAsia="MS Mincho"/>
                <w:b/>
                <w:bCs/>
                <w:i/>
                <w:noProof/>
                <w:sz w:val="16"/>
                <w:szCs w:val="16"/>
                <w:lang w:val="en-US"/>
              </w:rPr>
              <w:t>Method of complying with the payments ordered</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_Toc27486898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108</w:t>
            </w:r>
            <w:r w:rsidR="00D943BD" w:rsidRPr="00012C3F">
              <w:rPr>
                <w:noProof/>
                <w:webHidden/>
                <w:sz w:val="16"/>
                <w:szCs w:val="16"/>
              </w:rPr>
              <w:fldChar w:fldCharType="end"/>
            </w:r>
          </w:hyperlink>
        </w:p>
        <w:p w14:paraId="4C691D0F" w14:textId="49F367D6" w:rsidR="00D943BD" w:rsidRPr="00012C3F" w:rsidRDefault="00C92775" w:rsidP="00D943BD">
          <w:pPr>
            <w:pStyle w:val="TDC1"/>
            <w:tabs>
              <w:tab w:val="right" w:leader="dot" w:pos="10076"/>
            </w:tabs>
            <w:spacing w:after="0" w:line="240" w:lineRule="auto"/>
            <w:rPr>
              <w:rFonts w:eastAsiaTheme="minorEastAsia" w:cstheme="minorBidi"/>
              <w:noProof/>
              <w:sz w:val="16"/>
              <w:szCs w:val="16"/>
              <w:lang w:val="en-US" w:eastAsia="en-US"/>
            </w:rPr>
          </w:pPr>
          <w:hyperlink w:anchor="_Toc27486899" w:history="1">
            <w:r w:rsidR="00D943BD" w:rsidRPr="00012C3F">
              <w:rPr>
                <w:rStyle w:val="Hipervnculo"/>
                <w:rFonts w:cs="Verdana"/>
                <w:b/>
                <w:bCs/>
                <w:caps/>
                <w:noProof/>
                <w:snapToGrid w:val="0"/>
                <w:sz w:val="16"/>
                <w:szCs w:val="16"/>
                <w:lang w:val="en-US"/>
              </w:rPr>
              <w:t>X OPERATIVE PARAGRAPHS</w:t>
            </w:r>
            <w:r w:rsidR="00D943BD" w:rsidRPr="00012C3F">
              <w:rPr>
                <w:noProof/>
                <w:webHidden/>
                <w:sz w:val="16"/>
                <w:szCs w:val="16"/>
              </w:rPr>
              <w:tab/>
            </w:r>
            <w:r w:rsidR="00D943BD" w:rsidRPr="00012C3F">
              <w:rPr>
                <w:noProof/>
                <w:webHidden/>
                <w:sz w:val="16"/>
                <w:szCs w:val="16"/>
              </w:rPr>
              <w:fldChar w:fldCharType="begin"/>
            </w:r>
            <w:r w:rsidR="00D943BD" w:rsidRPr="00012C3F">
              <w:rPr>
                <w:noProof/>
                <w:webHidden/>
                <w:sz w:val="16"/>
                <w:szCs w:val="16"/>
              </w:rPr>
              <w:instrText xml:space="preserve"> PAGEREF _Toc27486899 \h </w:instrText>
            </w:r>
            <w:r w:rsidR="00D943BD" w:rsidRPr="00012C3F">
              <w:rPr>
                <w:noProof/>
                <w:webHidden/>
                <w:sz w:val="16"/>
                <w:szCs w:val="16"/>
              </w:rPr>
            </w:r>
            <w:r w:rsidR="00D943BD" w:rsidRPr="00012C3F">
              <w:rPr>
                <w:noProof/>
                <w:webHidden/>
                <w:sz w:val="16"/>
                <w:szCs w:val="16"/>
              </w:rPr>
              <w:fldChar w:fldCharType="separate"/>
            </w:r>
            <w:r>
              <w:rPr>
                <w:noProof/>
                <w:webHidden/>
                <w:sz w:val="16"/>
                <w:szCs w:val="16"/>
              </w:rPr>
              <w:t>109</w:t>
            </w:r>
            <w:r w:rsidR="00D943BD" w:rsidRPr="00012C3F">
              <w:rPr>
                <w:noProof/>
                <w:webHidden/>
                <w:sz w:val="16"/>
                <w:szCs w:val="16"/>
              </w:rPr>
              <w:fldChar w:fldCharType="end"/>
            </w:r>
          </w:hyperlink>
        </w:p>
        <w:p w14:paraId="778C9B04" w14:textId="77777777" w:rsidR="00E16176" w:rsidRPr="00012C3F" w:rsidRDefault="00F76CCA" w:rsidP="00D943BD">
          <w:pPr>
            <w:spacing w:line="240" w:lineRule="auto"/>
            <w:rPr>
              <w:rFonts w:eastAsia="Verdana" w:cs="Verdana"/>
              <w:b/>
              <w:bCs/>
              <w:sz w:val="16"/>
              <w:szCs w:val="16"/>
              <w:lang w:val="en-US"/>
            </w:rPr>
          </w:pPr>
          <w:r w:rsidRPr="00012C3F">
            <w:rPr>
              <w:b/>
              <w:bCs/>
              <w:sz w:val="16"/>
              <w:szCs w:val="16"/>
              <w:lang w:val="en-US"/>
            </w:rPr>
            <w:fldChar w:fldCharType="end"/>
          </w:r>
        </w:p>
      </w:sdtContent>
    </w:sdt>
    <w:p w14:paraId="6823EF19" w14:textId="77777777" w:rsidR="00E16176" w:rsidRPr="00012C3F" w:rsidRDefault="00E16176" w:rsidP="00D943BD">
      <w:pPr>
        <w:widowControl/>
        <w:adjustRightInd/>
        <w:spacing w:line="240" w:lineRule="auto"/>
        <w:jc w:val="left"/>
        <w:textAlignment w:val="auto"/>
        <w:rPr>
          <w:rFonts w:eastAsia="Verdana" w:cs="Verdana"/>
          <w:b/>
          <w:bCs/>
          <w:sz w:val="16"/>
          <w:szCs w:val="16"/>
          <w:lang w:val="en-US"/>
        </w:rPr>
      </w:pPr>
      <w:r w:rsidRPr="00012C3F">
        <w:rPr>
          <w:rFonts w:eastAsia="Verdana" w:cs="Verdana"/>
          <w:b/>
          <w:bCs/>
          <w:sz w:val="16"/>
          <w:szCs w:val="16"/>
          <w:lang w:val="en-US"/>
        </w:rPr>
        <w:br w:type="page"/>
      </w:r>
    </w:p>
    <w:p w14:paraId="45987BA8" w14:textId="77777777" w:rsidR="006C37C9" w:rsidRPr="00012C3F" w:rsidRDefault="006C37C9" w:rsidP="00A93967">
      <w:pPr>
        <w:keepNext/>
        <w:keepLines/>
        <w:tabs>
          <w:tab w:val="left" w:pos="851"/>
        </w:tabs>
        <w:spacing w:line="240" w:lineRule="auto"/>
        <w:jc w:val="center"/>
        <w:outlineLvl w:val="0"/>
        <w:rPr>
          <w:rFonts w:cs="Verdana"/>
          <w:b/>
          <w:bCs/>
          <w:caps/>
          <w:snapToGrid w:val="0"/>
          <w:sz w:val="20"/>
          <w:szCs w:val="20"/>
          <w:lang w:val="en-US"/>
        </w:rPr>
      </w:pPr>
      <w:bookmarkStart w:id="0" w:name="_Toc373093233"/>
      <w:bookmarkStart w:id="1" w:name="_Toc373350045"/>
      <w:bookmarkStart w:id="2" w:name="_Toc375560891"/>
      <w:bookmarkStart w:id="3" w:name="_Toc401931877"/>
      <w:bookmarkStart w:id="4" w:name="_Toc428369976"/>
      <w:bookmarkStart w:id="5" w:name="_Toc459158092"/>
      <w:bookmarkStart w:id="6" w:name="_Toc27486816"/>
      <w:r w:rsidRPr="00012C3F">
        <w:rPr>
          <w:rFonts w:cs="Verdana"/>
          <w:b/>
          <w:bCs/>
          <w:caps/>
          <w:snapToGrid w:val="0"/>
          <w:sz w:val="20"/>
          <w:szCs w:val="20"/>
          <w:lang w:val="en-US"/>
        </w:rPr>
        <w:lastRenderedPageBreak/>
        <w:t>I</w:t>
      </w:r>
      <w:bookmarkStart w:id="7" w:name="_Toc375062709"/>
      <w:bookmarkStart w:id="8" w:name="_Toc375140859"/>
      <w:bookmarkStart w:id="9" w:name="_Toc375504818"/>
      <w:bookmarkStart w:id="10" w:name="_Toc375560892"/>
      <w:bookmarkEnd w:id="0"/>
      <w:bookmarkEnd w:id="1"/>
      <w:bookmarkEnd w:id="2"/>
      <w:r w:rsidRPr="00012C3F">
        <w:rPr>
          <w:rFonts w:cs="Verdana"/>
          <w:b/>
          <w:bCs/>
          <w:caps/>
          <w:snapToGrid w:val="0"/>
          <w:sz w:val="20"/>
          <w:szCs w:val="20"/>
          <w:lang w:val="en-US"/>
        </w:rPr>
        <w:br/>
      </w:r>
      <w:r w:rsidR="001254DE" w:rsidRPr="00012C3F">
        <w:rPr>
          <w:rFonts w:cs="Verdana"/>
          <w:b/>
          <w:bCs/>
          <w:caps/>
          <w:snapToGrid w:val="0"/>
          <w:sz w:val="20"/>
          <w:szCs w:val="20"/>
          <w:lang w:val="en-US"/>
        </w:rPr>
        <w:t>INTRODUCTION OF THE CASE AND PURPOSE OF THE DISPUTE</w:t>
      </w:r>
      <w:bookmarkEnd w:id="3"/>
      <w:bookmarkEnd w:id="4"/>
      <w:bookmarkEnd w:id="5"/>
      <w:bookmarkEnd w:id="6"/>
      <w:bookmarkEnd w:id="7"/>
      <w:bookmarkEnd w:id="8"/>
      <w:bookmarkEnd w:id="9"/>
      <w:bookmarkEnd w:id="10"/>
    </w:p>
    <w:p w14:paraId="05CCB340" w14:textId="77777777" w:rsidR="006C37C9" w:rsidRPr="00012C3F" w:rsidRDefault="006C37C9" w:rsidP="006C37C9">
      <w:pPr>
        <w:spacing w:before="4" w:line="240" w:lineRule="exact"/>
        <w:rPr>
          <w:rFonts w:ascii="Calibri" w:eastAsia="Calibri" w:hAnsi="Calibri"/>
          <w:lang w:val="en-US"/>
        </w:rPr>
      </w:pPr>
    </w:p>
    <w:p w14:paraId="19056236" w14:textId="77777777" w:rsidR="00326672" w:rsidRPr="00012C3F" w:rsidRDefault="001254DE" w:rsidP="00095E76">
      <w:pPr>
        <w:numPr>
          <w:ilvl w:val="0"/>
          <w:numId w:val="5"/>
        </w:numPr>
        <w:tabs>
          <w:tab w:val="left" w:pos="720"/>
          <w:tab w:val="num" w:pos="12305"/>
        </w:tabs>
        <w:spacing w:line="240" w:lineRule="auto"/>
        <w:ind w:left="0" w:firstLine="0"/>
        <w:rPr>
          <w:rFonts w:eastAsia="Calibri" w:cs="Arial"/>
          <w:sz w:val="20"/>
          <w:szCs w:val="20"/>
          <w:lang w:val="en-US"/>
        </w:rPr>
      </w:pPr>
      <w:r w:rsidRPr="00012C3F">
        <w:rPr>
          <w:rFonts w:eastAsia="Verdana" w:cs="Verdana"/>
          <w:i/>
          <w:sz w:val="20"/>
          <w:szCs w:val="20"/>
          <w:lang w:val="en-US"/>
        </w:rPr>
        <w:t>The case submitted to</w:t>
      </w:r>
      <w:r w:rsidR="006C37C9" w:rsidRPr="00012C3F">
        <w:rPr>
          <w:rFonts w:eastAsia="Verdana" w:cs="Verdana"/>
          <w:i/>
          <w:sz w:val="20"/>
          <w:szCs w:val="20"/>
          <w:lang w:val="en-US"/>
        </w:rPr>
        <w:t xml:space="preserve"> </w:t>
      </w:r>
      <w:r w:rsidRPr="00012C3F">
        <w:rPr>
          <w:rFonts w:eastAsia="Verdana" w:cs="Verdana"/>
          <w:i/>
          <w:sz w:val="20"/>
          <w:szCs w:val="20"/>
          <w:lang w:val="en-US"/>
        </w:rPr>
        <w:t>the Court</w:t>
      </w:r>
      <w:r w:rsidR="006C37C9" w:rsidRPr="00012C3F">
        <w:rPr>
          <w:rFonts w:eastAsia="Verdana" w:cs="Verdana"/>
          <w:i/>
          <w:sz w:val="20"/>
          <w:szCs w:val="20"/>
          <w:lang w:val="en-US"/>
        </w:rPr>
        <w:t xml:space="preserve">. </w:t>
      </w:r>
      <w:r w:rsidR="00A84CA0" w:rsidRPr="00012C3F">
        <w:rPr>
          <w:rFonts w:eastAsia="Verdana" w:cs="Verdana"/>
          <w:sz w:val="20"/>
          <w:szCs w:val="20"/>
          <w:lang w:val="en-US"/>
        </w:rPr>
        <w:t>On April 23,</w:t>
      </w:r>
      <w:r w:rsidR="006C37C9" w:rsidRPr="00012C3F">
        <w:rPr>
          <w:rFonts w:eastAsia="Verdana" w:cs="Verdana"/>
          <w:sz w:val="20"/>
          <w:szCs w:val="20"/>
          <w:lang w:val="en-US"/>
        </w:rPr>
        <w:t xml:space="preserve"> 2015</w:t>
      </w:r>
      <w:r w:rsidR="00A84CA0" w:rsidRPr="00012C3F">
        <w:rPr>
          <w:rFonts w:eastAsia="Verdana" w:cs="Verdana"/>
          <w:sz w:val="20"/>
          <w:szCs w:val="20"/>
          <w:lang w:val="en-US"/>
        </w:rPr>
        <w:t>,</w:t>
      </w:r>
      <w:r w:rsidR="006C37C9" w:rsidRPr="00012C3F">
        <w:rPr>
          <w:rFonts w:eastAsia="Verdana" w:cs="Verdana"/>
          <w:sz w:val="20"/>
          <w:szCs w:val="20"/>
          <w:lang w:val="en-US"/>
        </w:rPr>
        <w:t xml:space="preserve"> </w:t>
      </w:r>
      <w:r w:rsidRPr="00012C3F">
        <w:rPr>
          <w:rFonts w:eastAsia="Verdana" w:cs="Verdana"/>
          <w:sz w:val="20"/>
          <w:szCs w:val="20"/>
          <w:lang w:val="en-US"/>
        </w:rPr>
        <w:t xml:space="preserve">the Inter-American </w:t>
      </w:r>
      <w:r w:rsidR="00A84CA0" w:rsidRPr="00012C3F">
        <w:rPr>
          <w:rFonts w:eastAsia="Verdana" w:cs="Verdana"/>
          <w:sz w:val="20"/>
          <w:szCs w:val="20"/>
          <w:lang w:val="en-US"/>
        </w:rPr>
        <w:t>Commission</w:t>
      </w:r>
      <w:r w:rsidRPr="00012C3F">
        <w:rPr>
          <w:rFonts w:eastAsia="Verdana" w:cs="Verdana"/>
          <w:sz w:val="20"/>
          <w:szCs w:val="20"/>
          <w:lang w:val="en-US"/>
        </w:rPr>
        <w:t xml:space="preserve"> on Human Rights</w:t>
      </w:r>
      <w:r w:rsidR="006C37C9" w:rsidRPr="00012C3F">
        <w:rPr>
          <w:rFonts w:eastAsia="Verdana" w:cs="Verdana"/>
          <w:sz w:val="20"/>
          <w:szCs w:val="20"/>
          <w:lang w:val="en-US"/>
        </w:rPr>
        <w:t xml:space="preserve"> (</w:t>
      </w:r>
      <w:r w:rsidRPr="00012C3F">
        <w:rPr>
          <w:rFonts w:eastAsia="Verdana" w:cs="Verdana"/>
          <w:sz w:val="20"/>
          <w:szCs w:val="20"/>
          <w:lang w:val="en-US"/>
        </w:rPr>
        <w:t>hereinafter</w:t>
      </w:r>
      <w:r w:rsidR="006C37C9" w:rsidRPr="00012C3F">
        <w:rPr>
          <w:rFonts w:eastAsia="Verdana" w:cs="Verdana"/>
          <w:sz w:val="20"/>
          <w:szCs w:val="20"/>
          <w:lang w:val="en-US"/>
        </w:rPr>
        <w:t xml:space="preserve"> “</w:t>
      </w:r>
      <w:r w:rsidRPr="00012C3F">
        <w:rPr>
          <w:rFonts w:eastAsia="Verdana" w:cs="Verdana"/>
          <w:sz w:val="20"/>
          <w:szCs w:val="20"/>
          <w:lang w:val="en-US"/>
        </w:rPr>
        <w:t xml:space="preserve">the Inter-American </w:t>
      </w:r>
      <w:r w:rsidR="00A84CA0" w:rsidRPr="00012C3F">
        <w:rPr>
          <w:rFonts w:eastAsia="Verdana" w:cs="Verdana"/>
          <w:sz w:val="20"/>
          <w:szCs w:val="20"/>
          <w:lang w:val="en-US"/>
        </w:rPr>
        <w:t>Commission</w:t>
      </w:r>
      <w:r w:rsidR="006C37C9" w:rsidRPr="00012C3F">
        <w:rPr>
          <w:rFonts w:eastAsia="Verdana" w:cs="Verdana"/>
          <w:sz w:val="20"/>
          <w:szCs w:val="20"/>
          <w:lang w:val="en-US"/>
        </w:rPr>
        <w:t>” o</w:t>
      </w:r>
      <w:r w:rsidR="00A84CA0" w:rsidRPr="00012C3F">
        <w:rPr>
          <w:rFonts w:eastAsia="Verdana" w:cs="Verdana"/>
          <w:sz w:val="20"/>
          <w:szCs w:val="20"/>
          <w:lang w:val="en-US"/>
        </w:rPr>
        <w:t>r</w:t>
      </w:r>
      <w:r w:rsidR="006C37C9" w:rsidRPr="00012C3F">
        <w:rPr>
          <w:rFonts w:eastAsia="Verdana" w:cs="Verdana"/>
          <w:sz w:val="20"/>
          <w:szCs w:val="20"/>
          <w:lang w:val="en-US"/>
        </w:rPr>
        <w:t xml:space="preserve"> “</w:t>
      </w:r>
      <w:r w:rsidRPr="00012C3F">
        <w:rPr>
          <w:rFonts w:eastAsia="Verdana" w:cs="Verdana"/>
          <w:sz w:val="20"/>
          <w:szCs w:val="20"/>
          <w:lang w:val="en-US"/>
        </w:rPr>
        <w:t xml:space="preserve">the </w:t>
      </w:r>
      <w:r w:rsidR="00A84CA0" w:rsidRPr="00012C3F">
        <w:rPr>
          <w:rFonts w:eastAsia="Verdana" w:cs="Verdana"/>
          <w:sz w:val="20"/>
          <w:szCs w:val="20"/>
          <w:lang w:val="en-US"/>
        </w:rPr>
        <w:t>Commission</w:t>
      </w:r>
      <w:r w:rsidR="006C37C9" w:rsidRPr="00012C3F">
        <w:rPr>
          <w:rFonts w:eastAsia="Verdana" w:cs="Verdana"/>
          <w:sz w:val="20"/>
          <w:szCs w:val="20"/>
          <w:lang w:val="en-US"/>
        </w:rPr>
        <w:t>”) s</w:t>
      </w:r>
      <w:r w:rsidR="00A84CA0" w:rsidRPr="00012C3F">
        <w:rPr>
          <w:rFonts w:eastAsia="Verdana" w:cs="Verdana"/>
          <w:sz w:val="20"/>
          <w:szCs w:val="20"/>
          <w:lang w:val="en-US"/>
        </w:rPr>
        <w:t xml:space="preserve">ubmitted to the Court’s jurisdiction the case of </w:t>
      </w:r>
      <w:r w:rsidR="006C37C9" w:rsidRPr="00012C3F">
        <w:rPr>
          <w:rFonts w:eastAsia="Verdana" w:cs="Verdana"/>
          <w:iCs/>
          <w:sz w:val="20"/>
          <w:szCs w:val="20"/>
          <w:lang w:val="en-US"/>
        </w:rPr>
        <w:t>“</w:t>
      </w:r>
      <w:r w:rsidR="000E1C11" w:rsidRPr="00012C3F">
        <w:rPr>
          <w:rFonts w:eastAsia="Verdana" w:cs="Verdana"/>
          <w:iCs/>
          <w:sz w:val="20"/>
          <w:szCs w:val="20"/>
          <w:lang w:val="en-US"/>
        </w:rPr>
        <w:t>I.V.</w:t>
      </w:r>
      <w:r w:rsidR="006C37C9" w:rsidRPr="00012C3F">
        <w:rPr>
          <w:rFonts w:eastAsia="Verdana" w:cs="Verdana"/>
          <w:iCs/>
          <w:sz w:val="20"/>
          <w:szCs w:val="20"/>
          <w:lang w:val="en-US"/>
        </w:rPr>
        <w:t>”</w:t>
      </w:r>
      <w:r w:rsidR="006C37C9" w:rsidRPr="00012C3F">
        <w:rPr>
          <w:rFonts w:eastAsia="Verdana" w:cs="Verdana"/>
          <w:sz w:val="20"/>
          <w:szCs w:val="20"/>
          <w:lang w:val="en-US"/>
        </w:rPr>
        <w:t xml:space="preserve"> </w:t>
      </w:r>
      <w:r w:rsidR="00A84CA0" w:rsidRPr="00012C3F">
        <w:rPr>
          <w:rFonts w:eastAsia="Verdana" w:cs="Verdana"/>
          <w:sz w:val="20"/>
          <w:szCs w:val="20"/>
          <w:lang w:val="en-US"/>
        </w:rPr>
        <w:t>against the Plurinational State of Bolivia</w:t>
      </w:r>
      <w:r w:rsidR="006C37C9" w:rsidRPr="00012C3F">
        <w:rPr>
          <w:rFonts w:eastAsia="Verdana" w:cs="Verdana"/>
          <w:sz w:val="20"/>
          <w:szCs w:val="20"/>
          <w:lang w:val="en-US"/>
        </w:rPr>
        <w:t xml:space="preserve"> (</w:t>
      </w:r>
      <w:r w:rsidRPr="00012C3F">
        <w:rPr>
          <w:rFonts w:eastAsia="Verdana" w:cs="Verdana"/>
          <w:sz w:val="20"/>
          <w:szCs w:val="20"/>
          <w:lang w:val="en-US"/>
        </w:rPr>
        <w:t>hereinafter</w:t>
      </w:r>
      <w:r w:rsidR="006C37C9" w:rsidRPr="00012C3F">
        <w:rPr>
          <w:rFonts w:eastAsia="Verdana" w:cs="Verdana"/>
          <w:sz w:val="20"/>
          <w:szCs w:val="20"/>
          <w:lang w:val="en-US"/>
        </w:rPr>
        <w:t xml:space="preserve"> “</w:t>
      </w:r>
      <w:r w:rsidR="00A84CA0" w:rsidRPr="00012C3F">
        <w:rPr>
          <w:rFonts w:eastAsia="Verdana" w:cs="Verdana"/>
          <w:sz w:val="20"/>
          <w:szCs w:val="20"/>
          <w:lang w:val="en-US"/>
        </w:rPr>
        <w:t>the State of Bolivia,</w:t>
      </w:r>
      <w:r w:rsidR="006C37C9" w:rsidRPr="00012C3F">
        <w:rPr>
          <w:rFonts w:eastAsia="Verdana" w:cs="Verdana"/>
          <w:sz w:val="20"/>
          <w:szCs w:val="20"/>
          <w:lang w:val="en-US"/>
        </w:rPr>
        <w:t>” “</w:t>
      </w:r>
      <w:r w:rsidR="00A84CA0" w:rsidRPr="00012C3F">
        <w:rPr>
          <w:rFonts w:eastAsia="Verdana" w:cs="Verdana"/>
          <w:sz w:val="20"/>
          <w:szCs w:val="20"/>
          <w:lang w:val="en-US"/>
        </w:rPr>
        <w:t>the Bolivian State</w:t>
      </w:r>
      <w:r w:rsidR="006C37C9" w:rsidRPr="00012C3F">
        <w:rPr>
          <w:rFonts w:eastAsia="Verdana" w:cs="Verdana"/>
          <w:sz w:val="20"/>
          <w:szCs w:val="20"/>
          <w:lang w:val="en-US"/>
        </w:rPr>
        <w:t>” o</w:t>
      </w:r>
      <w:r w:rsidR="00A84CA0" w:rsidRPr="00012C3F">
        <w:rPr>
          <w:rFonts w:eastAsia="Verdana" w:cs="Verdana"/>
          <w:sz w:val="20"/>
          <w:szCs w:val="20"/>
          <w:lang w:val="en-US"/>
        </w:rPr>
        <w:t>r</w:t>
      </w:r>
      <w:r w:rsidR="006C37C9" w:rsidRPr="00012C3F">
        <w:rPr>
          <w:rFonts w:eastAsia="Verdana" w:cs="Verdana"/>
          <w:sz w:val="20"/>
          <w:szCs w:val="20"/>
          <w:lang w:val="en-US"/>
        </w:rPr>
        <w:t xml:space="preserve"> “Bolivia”). </w:t>
      </w:r>
      <w:r w:rsidR="00A84CA0" w:rsidRPr="00012C3F">
        <w:rPr>
          <w:rFonts w:eastAsia="Verdana" w:cs="Verdana"/>
          <w:sz w:val="20"/>
          <w:szCs w:val="20"/>
          <w:lang w:val="en-US"/>
        </w:rPr>
        <w:t xml:space="preserve">According to </w:t>
      </w:r>
      <w:r w:rsidRPr="00012C3F">
        <w:rPr>
          <w:rFonts w:eastAsia="Verdana" w:cs="Verdana"/>
          <w:sz w:val="20"/>
          <w:szCs w:val="20"/>
          <w:lang w:val="en-US"/>
        </w:rPr>
        <w:t xml:space="preserve">the </w:t>
      </w:r>
      <w:r w:rsidR="00A84CA0" w:rsidRPr="00012C3F">
        <w:rPr>
          <w:rFonts w:eastAsia="Verdana" w:cs="Verdana"/>
          <w:sz w:val="20"/>
          <w:szCs w:val="20"/>
          <w:lang w:val="en-US"/>
        </w:rPr>
        <w:t>Commission</w:t>
      </w:r>
      <w:r w:rsidR="006C37C9" w:rsidRPr="00012C3F">
        <w:rPr>
          <w:rFonts w:eastAsia="Verdana" w:cs="Verdana"/>
          <w:sz w:val="20"/>
          <w:szCs w:val="20"/>
          <w:lang w:val="en-US"/>
        </w:rPr>
        <w:t xml:space="preserve">, </w:t>
      </w:r>
      <w:r w:rsidR="00A84CA0" w:rsidRPr="00012C3F">
        <w:rPr>
          <w:rFonts w:eastAsia="Verdana" w:cs="Verdana"/>
          <w:sz w:val="20"/>
          <w:szCs w:val="20"/>
          <w:lang w:val="en-US"/>
        </w:rPr>
        <w:t>the case re</w:t>
      </w:r>
      <w:r w:rsidR="005763AA" w:rsidRPr="00012C3F">
        <w:rPr>
          <w:rFonts w:eastAsia="Verdana" w:cs="Verdana"/>
          <w:sz w:val="20"/>
          <w:szCs w:val="20"/>
          <w:lang w:val="en-US"/>
        </w:rPr>
        <w:t>lates</w:t>
      </w:r>
      <w:r w:rsidR="00A84CA0" w:rsidRPr="00012C3F">
        <w:rPr>
          <w:rFonts w:eastAsia="Verdana" w:cs="Verdana"/>
          <w:sz w:val="20"/>
          <w:szCs w:val="20"/>
          <w:lang w:val="en-US"/>
        </w:rPr>
        <w:t xml:space="preserve"> to the </w:t>
      </w:r>
      <w:r w:rsidR="004808FE" w:rsidRPr="00012C3F">
        <w:rPr>
          <w:rFonts w:eastAsia="Verdana" w:cs="Verdana"/>
          <w:sz w:val="20"/>
          <w:szCs w:val="20"/>
          <w:lang w:val="en-US"/>
        </w:rPr>
        <w:t xml:space="preserve">State’s </w:t>
      </w:r>
      <w:r w:rsidR="00A84CA0" w:rsidRPr="00012C3F">
        <w:rPr>
          <w:rFonts w:eastAsia="Verdana" w:cs="Verdana"/>
          <w:sz w:val="20"/>
          <w:szCs w:val="20"/>
          <w:lang w:val="en-US"/>
        </w:rPr>
        <w:t xml:space="preserve">alleged international responsibility for </w:t>
      </w:r>
      <w:r w:rsidR="00326672" w:rsidRPr="00012C3F">
        <w:rPr>
          <w:rFonts w:eastAsia="Verdana" w:cs="Verdana"/>
          <w:sz w:val="20"/>
          <w:szCs w:val="20"/>
          <w:lang w:val="en-US"/>
        </w:rPr>
        <w:t xml:space="preserve">the </w:t>
      </w:r>
      <w:r w:rsidR="004808FE" w:rsidRPr="00012C3F">
        <w:rPr>
          <w:rFonts w:eastAsia="Verdana" w:cs="Verdana"/>
          <w:sz w:val="20"/>
          <w:szCs w:val="20"/>
          <w:lang w:val="en-US"/>
        </w:rPr>
        <w:t>procedure</w:t>
      </w:r>
      <w:r w:rsidR="00326672" w:rsidRPr="00012C3F">
        <w:rPr>
          <w:rFonts w:eastAsia="Verdana" w:cs="Verdana"/>
          <w:sz w:val="20"/>
          <w:szCs w:val="20"/>
          <w:lang w:val="en-US"/>
        </w:rPr>
        <w:t xml:space="preserve"> to which </w:t>
      </w:r>
      <w:r w:rsidR="000E1C11" w:rsidRPr="00012C3F">
        <w:rPr>
          <w:rFonts w:eastAsia="Verdana" w:cs="Verdana"/>
          <w:sz w:val="20"/>
          <w:szCs w:val="20"/>
          <w:lang w:val="en-US"/>
        </w:rPr>
        <w:t>I.V.</w:t>
      </w:r>
      <w:r w:rsidR="00326672" w:rsidRPr="00012C3F">
        <w:rPr>
          <w:rFonts w:eastAsia="Verdana" w:cs="Verdana"/>
          <w:sz w:val="20"/>
          <w:szCs w:val="20"/>
          <w:lang w:val="en-US"/>
        </w:rPr>
        <w:t xml:space="preserve"> was subjected in a public hospital on Jul</w:t>
      </w:r>
      <w:r w:rsidR="005763AA" w:rsidRPr="00012C3F">
        <w:rPr>
          <w:rFonts w:eastAsia="Verdana" w:cs="Verdana"/>
          <w:sz w:val="20"/>
          <w:szCs w:val="20"/>
          <w:lang w:val="en-US"/>
        </w:rPr>
        <w:t>y</w:t>
      </w:r>
      <w:r w:rsidR="00326672" w:rsidRPr="00012C3F">
        <w:rPr>
          <w:rFonts w:eastAsia="Verdana" w:cs="Verdana"/>
          <w:sz w:val="20"/>
          <w:szCs w:val="20"/>
          <w:lang w:val="en-US"/>
        </w:rPr>
        <w:t xml:space="preserve"> 1, 2000. According to the Commission, this operation, consisting i</w:t>
      </w:r>
      <w:r w:rsidR="004808FE" w:rsidRPr="00012C3F">
        <w:rPr>
          <w:rFonts w:eastAsia="Verdana" w:cs="Verdana"/>
          <w:sz w:val="20"/>
          <w:szCs w:val="20"/>
          <w:lang w:val="en-US"/>
        </w:rPr>
        <w:t>n</w:t>
      </w:r>
      <w:r w:rsidR="00326672" w:rsidRPr="00012C3F">
        <w:rPr>
          <w:rFonts w:eastAsia="Verdana" w:cs="Verdana"/>
          <w:sz w:val="20"/>
          <w:szCs w:val="20"/>
          <w:lang w:val="en-US"/>
        </w:rPr>
        <w:t xml:space="preserve"> </w:t>
      </w:r>
      <w:r w:rsidR="00326672" w:rsidRPr="00012C3F">
        <w:rPr>
          <w:rStyle w:val="Ttulo1Car"/>
          <w:b w:val="0"/>
          <w:caps w:val="0"/>
          <w:lang w:val="en-US"/>
        </w:rPr>
        <w:t xml:space="preserve">bilateral tubal ligation, had been performed in the absence of an emergency situation and without the </w:t>
      </w:r>
      <w:r w:rsidR="00AC0004" w:rsidRPr="00012C3F">
        <w:rPr>
          <w:rStyle w:val="Ttulo1Car"/>
          <w:b w:val="0"/>
          <w:caps w:val="0"/>
          <w:lang w:val="en-US"/>
        </w:rPr>
        <w:t>informed consent</w:t>
      </w:r>
      <w:r w:rsidR="00326672" w:rsidRPr="00012C3F">
        <w:rPr>
          <w:rStyle w:val="Ttulo1Car"/>
          <w:b w:val="0"/>
          <w:caps w:val="0"/>
          <w:lang w:val="en-US"/>
        </w:rPr>
        <w:t xml:space="preserve"> of </w:t>
      </w:r>
      <w:r w:rsidR="000E1C11" w:rsidRPr="00012C3F">
        <w:rPr>
          <w:rStyle w:val="Ttulo1Car"/>
          <w:b w:val="0"/>
          <w:caps w:val="0"/>
          <w:lang w:val="en-US"/>
        </w:rPr>
        <w:t>I.V.</w:t>
      </w:r>
      <w:r w:rsidR="00326672" w:rsidRPr="00012C3F">
        <w:rPr>
          <w:rStyle w:val="Ttulo1Car"/>
          <w:b w:val="0"/>
          <w:caps w:val="0"/>
          <w:lang w:val="en-US"/>
        </w:rPr>
        <w:t xml:space="preserve">, who suffered the permanent and enforced loss of her reproduction function. The Commission determined that the </w:t>
      </w:r>
      <w:r w:rsidR="004808FE" w:rsidRPr="00012C3F">
        <w:rPr>
          <w:rStyle w:val="Ttulo1Car"/>
          <w:b w:val="0"/>
          <w:caps w:val="0"/>
          <w:lang w:val="en-US"/>
        </w:rPr>
        <w:t>procedure</w:t>
      </w:r>
      <w:r w:rsidR="00326672" w:rsidRPr="00012C3F">
        <w:rPr>
          <w:rStyle w:val="Ttulo1Car"/>
          <w:b w:val="0"/>
          <w:caps w:val="0"/>
          <w:lang w:val="en-US"/>
        </w:rPr>
        <w:t xml:space="preserve"> had constitute</w:t>
      </w:r>
      <w:r w:rsidR="005763AA" w:rsidRPr="00012C3F">
        <w:rPr>
          <w:rStyle w:val="Ttulo1Car"/>
          <w:b w:val="0"/>
          <w:caps w:val="0"/>
          <w:lang w:val="en-US"/>
        </w:rPr>
        <w:t>d</w:t>
      </w:r>
      <w:r w:rsidR="00326672" w:rsidRPr="00012C3F">
        <w:rPr>
          <w:rStyle w:val="Ttulo1Car"/>
          <w:b w:val="0"/>
          <w:caps w:val="0"/>
          <w:lang w:val="en-US"/>
        </w:rPr>
        <w:t xml:space="preserve"> a violation of </w:t>
      </w:r>
      <w:r w:rsidR="004808FE" w:rsidRPr="00012C3F">
        <w:rPr>
          <w:rStyle w:val="Ttulo1Car"/>
          <w:b w:val="0"/>
          <w:caps w:val="0"/>
          <w:lang w:val="en-US"/>
        </w:rPr>
        <w:t>I.V.’s</w:t>
      </w:r>
      <w:r w:rsidR="00326672" w:rsidRPr="00012C3F">
        <w:rPr>
          <w:rStyle w:val="Ttulo1Car"/>
          <w:b w:val="0"/>
          <w:caps w:val="0"/>
          <w:lang w:val="en-US"/>
        </w:rPr>
        <w:t xml:space="preserve"> physical and psychological integrity, together with her rights to live </w:t>
      </w:r>
      <w:r w:rsidR="00836B72" w:rsidRPr="00012C3F">
        <w:rPr>
          <w:rStyle w:val="Ttulo1Car"/>
          <w:b w:val="0"/>
          <w:caps w:val="0"/>
          <w:lang w:val="en-US"/>
        </w:rPr>
        <w:t>free from violence</w:t>
      </w:r>
      <w:r w:rsidR="00326672" w:rsidRPr="00012C3F">
        <w:rPr>
          <w:rStyle w:val="Ttulo1Car"/>
          <w:b w:val="0"/>
          <w:caps w:val="0"/>
          <w:lang w:val="en-US"/>
        </w:rPr>
        <w:t xml:space="preserve"> and discrimination,</w:t>
      </w:r>
      <w:r w:rsidR="005763AA" w:rsidRPr="00012C3F">
        <w:rPr>
          <w:rStyle w:val="Ttulo1Car"/>
          <w:b w:val="0"/>
          <w:caps w:val="0"/>
          <w:lang w:val="en-US"/>
        </w:rPr>
        <w:t xml:space="preserve"> of</w:t>
      </w:r>
      <w:r w:rsidR="00326672" w:rsidRPr="00012C3F">
        <w:rPr>
          <w:rStyle w:val="Ttulo1Car"/>
          <w:b w:val="0"/>
          <w:caps w:val="0"/>
          <w:lang w:val="en-US"/>
        </w:rPr>
        <w:t xml:space="preserve"> access </w:t>
      </w:r>
      <w:r w:rsidR="005763AA" w:rsidRPr="00012C3F">
        <w:rPr>
          <w:rStyle w:val="Ttulo1Car"/>
          <w:b w:val="0"/>
          <w:caps w:val="0"/>
          <w:lang w:val="en-US"/>
        </w:rPr>
        <w:t>to</w:t>
      </w:r>
      <w:r w:rsidR="00326672" w:rsidRPr="00012C3F">
        <w:rPr>
          <w:rStyle w:val="Ttulo1Car"/>
          <w:b w:val="0"/>
          <w:caps w:val="0"/>
          <w:lang w:val="en-US"/>
        </w:rPr>
        <w:t xml:space="preserve"> information, and </w:t>
      </w:r>
      <w:r w:rsidR="00DF3B7C" w:rsidRPr="00012C3F">
        <w:rPr>
          <w:rStyle w:val="Ttulo1Car"/>
          <w:b w:val="0"/>
          <w:caps w:val="0"/>
          <w:lang w:val="en-US"/>
        </w:rPr>
        <w:t>to private and family life,</w:t>
      </w:r>
      <w:r w:rsidR="005763AA" w:rsidRPr="00012C3F">
        <w:rPr>
          <w:rStyle w:val="Ttulo1Car"/>
          <w:b w:val="0"/>
          <w:caps w:val="0"/>
          <w:lang w:val="en-US"/>
        </w:rPr>
        <w:t xml:space="preserve"> in the</w:t>
      </w:r>
      <w:r w:rsidR="00326672" w:rsidRPr="00012C3F">
        <w:rPr>
          <w:rStyle w:val="Ttulo1Car"/>
          <w:b w:val="0"/>
          <w:caps w:val="0"/>
          <w:lang w:val="en-US"/>
        </w:rPr>
        <w:t xml:space="preserve"> understanding that reproductive autonomy formed part of those rights. According to the Commission, the State had not provided the presumed victim with an effective judicial remedy </w:t>
      </w:r>
      <w:r w:rsidR="00E00902" w:rsidRPr="00012C3F">
        <w:rPr>
          <w:rStyle w:val="Ttulo1Car"/>
          <w:b w:val="0"/>
          <w:caps w:val="0"/>
          <w:lang w:val="en-US"/>
        </w:rPr>
        <w:t>to address these violations.</w:t>
      </w:r>
    </w:p>
    <w:p w14:paraId="7E9581C9" w14:textId="77777777" w:rsidR="006C37C9" w:rsidRPr="00012C3F" w:rsidRDefault="006C37C9" w:rsidP="00095E76">
      <w:pPr>
        <w:tabs>
          <w:tab w:val="left" w:pos="720"/>
        </w:tabs>
        <w:spacing w:line="240" w:lineRule="auto"/>
        <w:rPr>
          <w:rFonts w:eastAsia="Calibri" w:cs="Arial"/>
          <w:sz w:val="20"/>
          <w:szCs w:val="20"/>
          <w:lang w:val="en-US"/>
        </w:rPr>
      </w:pPr>
    </w:p>
    <w:p w14:paraId="48A109DC" w14:textId="77777777" w:rsidR="006C37C9" w:rsidRPr="00012C3F" w:rsidRDefault="00E00902" w:rsidP="00095E76">
      <w:pPr>
        <w:numPr>
          <w:ilvl w:val="0"/>
          <w:numId w:val="5"/>
        </w:numPr>
        <w:tabs>
          <w:tab w:val="left" w:pos="720"/>
          <w:tab w:val="num" w:pos="12305"/>
        </w:tabs>
        <w:spacing w:line="240" w:lineRule="auto"/>
        <w:ind w:left="0" w:firstLine="0"/>
        <w:rPr>
          <w:rFonts w:eastAsia="Calibri" w:cs="Arial"/>
          <w:sz w:val="20"/>
          <w:szCs w:val="20"/>
          <w:lang w:val="en-US"/>
        </w:rPr>
      </w:pPr>
      <w:r w:rsidRPr="00012C3F">
        <w:rPr>
          <w:rFonts w:eastAsia="Verdana" w:cs="Verdana"/>
          <w:i/>
          <w:sz w:val="20"/>
          <w:szCs w:val="20"/>
          <w:lang w:val="en-US"/>
        </w:rPr>
        <w:t>Procedure before</w:t>
      </w:r>
      <w:r w:rsidR="006C37C9" w:rsidRPr="00012C3F">
        <w:rPr>
          <w:rFonts w:eastAsia="Verdana" w:cs="Verdana"/>
          <w:i/>
          <w:sz w:val="20"/>
          <w:szCs w:val="20"/>
          <w:lang w:val="en-US"/>
        </w:rPr>
        <w:t xml:space="preserve"> </w:t>
      </w:r>
      <w:r w:rsidR="001254DE" w:rsidRPr="00012C3F">
        <w:rPr>
          <w:rFonts w:eastAsia="Verdana" w:cs="Verdana"/>
          <w:i/>
          <w:sz w:val="20"/>
          <w:szCs w:val="20"/>
          <w:lang w:val="en-US"/>
        </w:rPr>
        <w:t xml:space="preserve">the </w:t>
      </w:r>
      <w:r w:rsidR="00A84CA0" w:rsidRPr="00012C3F">
        <w:rPr>
          <w:rFonts w:eastAsia="Verdana" w:cs="Verdana"/>
          <w:i/>
          <w:sz w:val="20"/>
          <w:szCs w:val="20"/>
          <w:lang w:val="en-US"/>
        </w:rPr>
        <w:t>Commission</w:t>
      </w:r>
      <w:r w:rsidR="006C37C9" w:rsidRPr="00012C3F">
        <w:rPr>
          <w:rFonts w:eastAsia="Verdana" w:cs="Verdana"/>
          <w:i/>
          <w:sz w:val="20"/>
          <w:szCs w:val="20"/>
          <w:lang w:val="en-US"/>
        </w:rPr>
        <w:t xml:space="preserve">. </w:t>
      </w:r>
      <w:r w:rsidRPr="00012C3F">
        <w:rPr>
          <w:rFonts w:eastAsia="Verdana" w:cs="Verdana"/>
          <w:sz w:val="20"/>
          <w:szCs w:val="20"/>
          <w:lang w:val="en-US"/>
        </w:rPr>
        <w:t xml:space="preserve">The procedure before </w:t>
      </w:r>
      <w:r w:rsidR="001254DE" w:rsidRPr="00012C3F">
        <w:rPr>
          <w:rFonts w:eastAsia="Verdana" w:cs="Verdana"/>
          <w:sz w:val="20"/>
          <w:szCs w:val="20"/>
          <w:lang w:val="en-US"/>
        </w:rPr>
        <w:t xml:space="preserve">the </w:t>
      </w:r>
      <w:r w:rsidR="00A84CA0" w:rsidRPr="00012C3F">
        <w:rPr>
          <w:rFonts w:eastAsia="Verdana" w:cs="Verdana"/>
          <w:sz w:val="20"/>
          <w:szCs w:val="20"/>
          <w:lang w:val="en-US"/>
        </w:rPr>
        <w:t>Commission</w:t>
      </w:r>
      <w:r w:rsidR="006C37C9" w:rsidRPr="00012C3F">
        <w:rPr>
          <w:rFonts w:eastAsia="Verdana" w:cs="Verdana"/>
          <w:sz w:val="20"/>
          <w:szCs w:val="20"/>
          <w:lang w:val="en-US"/>
        </w:rPr>
        <w:t xml:space="preserve"> </w:t>
      </w:r>
      <w:r w:rsidRPr="00012C3F">
        <w:rPr>
          <w:rFonts w:eastAsia="Verdana" w:cs="Verdana"/>
          <w:sz w:val="20"/>
          <w:szCs w:val="20"/>
          <w:lang w:val="en-US"/>
        </w:rPr>
        <w:t>was as follows</w:t>
      </w:r>
      <w:r w:rsidR="006C37C9" w:rsidRPr="00012C3F">
        <w:rPr>
          <w:rFonts w:eastAsia="Verdana" w:cs="Verdana"/>
          <w:sz w:val="20"/>
          <w:szCs w:val="20"/>
          <w:lang w:val="en-US"/>
        </w:rPr>
        <w:t>:</w:t>
      </w:r>
    </w:p>
    <w:p w14:paraId="650410EA" w14:textId="77777777" w:rsidR="006C37C9" w:rsidRPr="00012C3F" w:rsidRDefault="006C37C9" w:rsidP="00095E76">
      <w:pPr>
        <w:tabs>
          <w:tab w:val="left" w:pos="720"/>
        </w:tabs>
        <w:spacing w:line="240" w:lineRule="auto"/>
        <w:rPr>
          <w:rFonts w:eastAsia="Calibri"/>
          <w:sz w:val="20"/>
          <w:szCs w:val="20"/>
          <w:lang w:val="en-US"/>
        </w:rPr>
      </w:pPr>
    </w:p>
    <w:p w14:paraId="6809D299" w14:textId="77777777" w:rsidR="006C37C9" w:rsidRPr="00012C3F" w:rsidRDefault="006C37C9" w:rsidP="006C37C9">
      <w:pPr>
        <w:numPr>
          <w:ilvl w:val="0"/>
          <w:numId w:val="6"/>
        </w:numPr>
        <w:adjustRightInd/>
        <w:spacing w:after="200" w:line="240" w:lineRule="auto"/>
        <w:ind w:right="144"/>
        <w:contextualSpacing/>
        <w:textAlignment w:val="auto"/>
        <w:rPr>
          <w:rFonts w:eastAsia="Verdana" w:cs="Verdana"/>
          <w:sz w:val="20"/>
          <w:szCs w:val="20"/>
          <w:lang w:val="en-US"/>
        </w:rPr>
      </w:pPr>
      <w:r w:rsidRPr="00012C3F">
        <w:rPr>
          <w:rFonts w:eastAsia="Verdana" w:cs="Verdana"/>
          <w:i/>
          <w:sz w:val="20"/>
          <w:szCs w:val="20"/>
          <w:lang w:val="en-US"/>
        </w:rPr>
        <w:t>Peti</w:t>
      </w:r>
      <w:r w:rsidR="00E00902" w:rsidRPr="00012C3F">
        <w:rPr>
          <w:rFonts w:eastAsia="Verdana" w:cs="Verdana"/>
          <w:i/>
          <w:sz w:val="20"/>
          <w:szCs w:val="20"/>
          <w:lang w:val="en-US"/>
        </w:rPr>
        <w:t>tio</w:t>
      </w:r>
      <w:r w:rsidRPr="00012C3F">
        <w:rPr>
          <w:rFonts w:eastAsia="Verdana" w:cs="Verdana"/>
          <w:i/>
          <w:sz w:val="20"/>
          <w:szCs w:val="20"/>
          <w:lang w:val="en-US"/>
        </w:rPr>
        <w:t xml:space="preserve">n. </w:t>
      </w:r>
      <w:r w:rsidR="00E00902" w:rsidRPr="00012C3F">
        <w:rPr>
          <w:rFonts w:eastAsia="Verdana" w:cs="Verdana"/>
          <w:sz w:val="20"/>
          <w:szCs w:val="20"/>
          <w:lang w:val="en-US"/>
        </w:rPr>
        <w:t>On March 7,</w:t>
      </w:r>
      <w:r w:rsidRPr="00012C3F">
        <w:rPr>
          <w:rFonts w:eastAsia="Verdana" w:cs="Verdana"/>
          <w:sz w:val="20"/>
          <w:szCs w:val="20"/>
          <w:lang w:val="en-US"/>
        </w:rPr>
        <w:t xml:space="preserve"> 2007</w:t>
      </w:r>
      <w:r w:rsidR="00E00902" w:rsidRPr="00012C3F">
        <w:rPr>
          <w:rFonts w:eastAsia="Verdana" w:cs="Verdana"/>
          <w:sz w:val="20"/>
          <w:szCs w:val="20"/>
          <w:lang w:val="en-US"/>
        </w:rPr>
        <w:t xml:space="preserve">, the Bolivian Ombudsman </w:t>
      </w:r>
      <w:r w:rsidRPr="00012C3F">
        <w:rPr>
          <w:rFonts w:eastAsia="Verdana" w:cs="Verdana"/>
          <w:sz w:val="20"/>
          <w:szCs w:val="20"/>
          <w:lang w:val="en-US"/>
        </w:rPr>
        <w:t>(</w:t>
      </w:r>
      <w:r w:rsidR="001254DE" w:rsidRPr="00012C3F">
        <w:rPr>
          <w:rFonts w:eastAsia="Verdana" w:cs="Verdana"/>
          <w:sz w:val="20"/>
          <w:szCs w:val="20"/>
          <w:lang w:val="en-US"/>
        </w:rPr>
        <w:t>hereinafter</w:t>
      </w:r>
      <w:r w:rsidRPr="00012C3F">
        <w:rPr>
          <w:rFonts w:eastAsia="Verdana" w:cs="Verdana"/>
          <w:sz w:val="20"/>
          <w:szCs w:val="20"/>
          <w:lang w:val="en-US"/>
        </w:rPr>
        <w:t xml:space="preserve"> “</w:t>
      </w:r>
      <w:r w:rsidR="00E00902" w:rsidRPr="00012C3F">
        <w:rPr>
          <w:rFonts w:eastAsia="Verdana" w:cs="Verdana"/>
          <w:sz w:val="20"/>
          <w:szCs w:val="20"/>
          <w:lang w:val="en-US"/>
        </w:rPr>
        <w:t>the petitioner</w:t>
      </w:r>
      <w:r w:rsidRPr="00012C3F">
        <w:rPr>
          <w:rFonts w:eastAsia="Verdana" w:cs="Verdana"/>
          <w:sz w:val="20"/>
          <w:szCs w:val="20"/>
          <w:lang w:val="en-US"/>
        </w:rPr>
        <w:t xml:space="preserve">”), </w:t>
      </w:r>
      <w:r w:rsidR="00E00902" w:rsidRPr="00012C3F">
        <w:rPr>
          <w:rFonts w:eastAsia="Verdana" w:cs="Verdana"/>
          <w:sz w:val="20"/>
          <w:szCs w:val="20"/>
          <w:lang w:val="en-US"/>
        </w:rPr>
        <w:t xml:space="preserve">on behalf of </w:t>
      </w:r>
      <w:r w:rsidR="000E1C11" w:rsidRPr="00012C3F">
        <w:rPr>
          <w:rFonts w:eastAsia="Verdana" w:cs="Verdana"/>
          <w:sz w:val="20"/>
          <w:szCs w:val="20"/>
          <w:lang w:val="en-US"/>
        </w:rPr>
        <w:t>I.V.</w:t>
      </w:r>
      <w:r w:rsidRPr="00012C3F">
        <w:rPr>
          <w:rFonts w:eastAsia="Verdana" w:cs="Verdana"/>
          <w:sz w:val="20"/>
          <w:szCs w:val="20"/>
          <w:lang w:val="en-US"/>
        </w:rPr>
        <w:t xml:space="preserve"> </w:t>
      </w:r>
      <w:r w:rsidRPr="00012C3F">
        <w:rPr>
          <w:rFonts w:eastAsia="Calibri" w:cs="Arial"/>
          <w:sz w:val="20"/>
          <w:szCs w:val="20"/>
          <w:lang w:val="en-US"/>
        </w:rPr>
        <w:t>(</w:t>
      </w:r>
      <w:r w:rsidR="001254DE" w:rsidRPr="00012C3F">
        <w:rPr>
          <w:rFonts w:eastAsia="Calibri" w:cs="Arial"/>
          <w:sz w:val="20"/>
          <w:szCs w:val="20"/>
          <w:lang w:val="en-US"/>
        </w:rPr>
        <w:t>hereinafter</w:t>
      </w:r>
      <w:r w:rsidRPr="00012C3F">
        <w:rPr>
          <w:rFonts w:eastAsia="Calibri" w:cs="Arial"/>
          <w:sz w:val="20"/>
          <w:szCs w:val="20"/>
          <w:lang w:val="en-US"/>
        </w:rPr>
        <w:t xml:space="preserve"> “</w:t>
      </w:r>
      <w:r w:rsidR="00E00902" w:rsidRPr="00012C3F">
        <w:rPr>
          <w:rFonts w:eastAsia="Calibri" w:cs="Arial"/>
          <w:sz w:val="20"/>
          <w:szCs w:val="20"/>
          <w:lang w:val="en-US"/>
        </w:rPr>
        <w:t>the presumed victim</w:t>
      </w:r>
      <w:r w:rsidRPr="00012C3F">
        <w:rPr>
          <w:rFonts w:eastAsia="Calibri" w:cs="Arial"/>
          <w:sz w:val="20"/>
          <w:szCs w:val="20"/>
          <w:lang w:val="en-US"/>
        </w:rPr>
        <w:t>”),</w:t>
      </w:r>
      <w:r w:rsidRPr="00012C3F">
        <w:rPr>
          <w:rFonts w:eastAsia="Verdana" w:cs="Verdana"/>
          <w:sz w:val="20"/>
          <w:szCs w:val="20"/>
          <w:lang w:val="en-US"/>
        </w:rPr>
        <w:t xml:space="preserve"> </w:t>
      </w:r>
      <w:r w:rsidR="00E00902" w:rsidRPr="00012C3F">
        <w:rPr>
          <w:rFonts w:eastAsia="Verdana" w:cs="Verdana"/>
          <w:sz w:val="20"/>
          <w:szCs w:val="20"/>
          <w:lang w:val="en-US"/>
        </w:rPr>
        <w:t xml:space="preserve">lodged the initial petition before </w:t>
      </w:r>
      <w:r w:rsidR="001254DE" w:rsidRPr="00012C3F">
        <w:rPr>
          <w:rFonts w:eastAsia="Verdana" w:cs="Verdana"/>
          <w:sz w:val="20"/>
          <w:szCs w:val="20"/>
          <w:lang w:val="en-US"/>
        </w:rPr>
        <w:t xml:space="preserve">the </w:t>
      </w:r>
      <w:r w:rsidR="00A84CA0" w:rsidRPr="00012C3F">
        <w:rPr>
          <w:rFonts w:eastAsia="Verdana" w:cs="Verdana"/>
          <w:sz w:val="20"/>
          <w:szCs w:val="20"/>
          <w:lang w:val="en-US"/>
        </w:rPr>
        <w:t>Commission</w:t>
      </w:r>
      <w:r w:rsidRPr="00012C3F">
        <w:rPr>
          <w:rFonts w:eastAsia="Verdana" w:cs="Verdana"/>
          <w:sz w:val="20"/>
          <w:szCs w:val="20"/>
          <w:lang w:val="en-US"/>
        </w:rPr>
        <w:t xml:space="preserve">. </w:t>
      </w:r>
      <w:r w:rsidR="00E00902" w:rsidRPr="00012C3F">
        <w:rPr>
          <w:rFonts w:eastAsia="Verdana" w:cs="Verdana"/>
          <w:sz w:val="20"/>
          <w:szCs w:val="20"/>
          <w:lang w:val="en-US"/>
        </w:rPr>
        <w:t>On March 6,</w:t>
      </w:r>
      <w:r w:rsidRPr="00012C3F">
        <w:rPr>
          <w:rFonts w:eastAsia="Verdana" w:cs="Verdana"/>
          <w:sz w:val="20"/>
          <w:szCs w:val="20"/>
          <w:lang w:val="en-US"/>
        </w:rPr>
        <w:t xml:space="preserve"> 2015</w:t>
      </w:r>
      <w:r w:rsidR="00E00902" w:rsidRPr="00012C3F">
        <w:rPr>
          <w:rFonts w:eastAsia="Verdana" w:cs="Verdana"/>
          <w:sz w:val="20"/>
          <w:szCs w:val="20"/>
          <w:lang w:val="en-US"/>
        </w:rPr>
        <w:t>,</w:t>
      </w:r>
      <w:r w:rsidRPr="00012C3F">
        <w:rPr>
          <w:rFonts w:eastAsia="Verdana" w:cs="Verdana"/>
          <w:sz w:val="20"/>
          <w:szCs w:val="20"/>
          <w:lang w:val="en-US"/>
        </w:rPr>
        <w:t xml:space="preserve"> </w:t>
      </w:r>
      <w:r w:rsidR="00E00902" w:rsidRPr="00012C3F">
        <w:rPr>
          <w:rFonts w:eastAsia="Verdana" w:cs="Verdana"/>
          <w:sz w:val="20"/>
          <w:szCs w:val="20"/>
          <w:lang w:val="en-US"/>
        </w:rPr>
        <w:t>the presumed victim</w:t>
      </w:r>
      <w:r w:rsidRPr="00012C3F">
        <w:rPr>
          <w:rFonts w:eastAsia="Verdana" w:cs="Verdana"/>
          <w:sz w:val="20"/>
          <w:szCs w:val="20"/>
          <w:lang w:val="en-US"/>
        </w:rPr>
        <w:t xml:space="preserve"> deci</w:t>
      </w:r>
      <w:r w:rsidR="00E00902" w:rsidRPr="00012C3F">
        <w:rPr>
          <w:rFonts w:eastAsia="Verdana" w:cs="Verdana"/>
          <w:sz w:val="20"/>
          <w:szCs w:val="20"/>
          <w:lang w:val="en-US"/>
        </w:rPr>
        <w:t>ded to substitute the Ombudsman by the association</w:t>
      </w:r>
      <w:r w:rsidR="005763AA" w:rsidRPr="00012C3F">
        <w:rPr>
          <w:rFonts w:eastAsia="Verdana" w:cs="Verdana"/>
          <w:sz w:val="20"/>
          <w:szCs w:val="20"/>
          <w:lang w:val="en-US"/>
        </w:rPr>
        <w:t>,</w:t>
      </w:r>
      <w:r w:rsidR="00E00902" w:rsidRPr="00012C3F">
        <w:rPr>
          <w:rFonts w:eastAsia="Verdana" w:cs="Verdana"/>
          <w:sz w:val="20"/>
          <w:szCs w:val="20"/>
          <w:lang w:val="en-US"/>
        </w:rPr>
        <w:t xml:space="preserve"> </w:t>
      </w:r>
      <w:r w:rsidRPr="00012C3F">
        <w:rPr>
          <w:rFonts w:eastAsia="Verdana" w:cs="Verdana"/>
          <w:i/>
          <w:iCs/>
          <w:sz w:val="20"/>
          <w:szCs w:val="20"/>
          <w:lang w:val="en-US"/>
        </w:rPr>
        <w:t>Derechos en Acción</w:t>
      </w:r>
      <w:r w:rsidRPr="00012C3F">
        <w:rPr>
          <w:rFonts w:eastAsia="Verdana" w:cs="Verdana"/>
          <w:sz w:val="20"/>
          <w:szCs w:val="20"/>
          <w:lang w:val="en-US"/>
        </w:rPr>
        <w:t>, represent</w:t>
      </w:r>
      <w:r w:rsidR="00E00902" w:rsidRPr="00012C3F">
        <w:rPr>
          <w:rFonts w:eastAsia="Verdana" w:cs="Verdana"/>
          <w:sz w:val="20"/>
          <w:szCs w:val="20"/>
          <w:lang w:val="en-US"/>
        </w:rPr>
        <w:t xml:space="preserve">ed by its Executive Director, </w:t>
      </w:r>
      <w:r w:rsidRPr="00012C3F">
        <w:rPr>
          <w:rFonts w:eastAsia="Verdana" w:cs="Verdana"/>
          <w:sz w:val="20"/>
          <w:szCs w:val="20"/>
          <w:lang w:val="en-US"/>
        </w:rPr>
        <w:t>Rielma Mencías Rivadeneira.</w:t>
      </w:r>
    </w:p>
    <w:p w14:paraId="5BE11F82" w14:textId="77777777" w:rsidR="006C37C9" w:rsidRPr="00012C3F" w:rsidRDefault="006C37C9" w:rsidP="006C37C9">
      <w:pPr>
        <w:spacing w:line="240" w:lineRule="auto"/>
        <w:ind w:left="818" w:right="144"/>
        <w:contextualSpacing/>
        <w:rPr>
          <w:rFonts w:eastAsia="Verdana" w:cs="Verdana"/>
          <w:sz w:val="20"/>
          <w:szCs w:val="20"/>
          <w:lang w:val="en-US"/>
        </w:rPr>
      </w:pPr>
    </w:p>
    <w:p w14:paraId="66829597" w14:textId="77777777" w:rsidR="006C37C9" w:rsidRPr="00012C3F" w:rsidRDefault="00E00902" w:rsidP="006C37C9">
      <w:pPr>
        <w:numPr>
          <w:ilvl w:val="0"/>
          <w:numId w:val="6"/>
        </w:numPr>
        <w:adjustRightInd/>
        <w:spacing w:after="200" w:line="240" w:lineRule="auto"/>
        <w:ind w:right="144"/>
        <w:contextualSpacing/>
        <w:textAlignment w:val="auto"/>
        <w:rPr>
          <w:rFonts w:eastAsia="Verdana" w:cs="Verdana"/>
          <w:sz w:val="20"/>
          <w:szCs w:val="20"/>
          <w:lang w:val="en-US"/>
        </w:rPr>
      </w:pPr>
      <w:r w:rsidRPr="00012C3F">
        <w:rPr>
          <w:rFonts w:eastAsia="Verdana" w:cs="Verdana"/>
          <w:i/>
          <w:sz w:val="20"/>
          <w:szCs w:val="20"/>
          <w:lang w:val="en-US"/>
        </w:rPr>
        <w:t>Admissibility Report</w:t>
      </w:r>
      <w:r w:rsidR="006C37C9" w:rsidRPr="00012C3F">
        <w:rPr>
          <w:rFonts w:eastAsia="Verdana" w:cs="Verdana"/>
          <w:i/>
          <w:sz w:val="20"/>
          <w:szCs w:val="20"/>
          <w:lang w:val="en-US"/>
        </w:rPr>
        <w:t xml:space="preserve">. </w:t>
      </w:r>
      <w:r w:rsidRPr="00012C3F">
        <w:rPr>
          <w:rFonts w:eastAsia="Verdana" w:cs="Verdana"/>
          <w:sz w:val="20"/>
          <w:szCs w:val="20"/>
          <w:lang w:val="en-US"/>
        </w:rPr>
        <w:t>On</w:t>
      </w:r>
      <w:r w:rsidR="006C37C9" w:rsidRPr="00012C3F">
        <w:rPr>
          <w:rFonts w:eastAsia="Verdana" w:cs="Verdana"/>
          <w:sz w:val="20"/>
          <w:szCs w:val="20"/>
          <w:lang w:val="en-US"/>
        </w:rPr>
        <w:t xml:space="preserve"> </w:t>
      </w:r>
      <w:r w:rsidRPr="00012C3F">
        <w:rPr>
          <w:rFonts w:eastAsia="Verdana" w:cs="Verdana"/>
          <w:sz w:val="20"/>
          <w:szCs w:val="20"/>
          <w:lang w:val="en-US"/>
        </w:rPr>
        <w:t>July 23,</w:t>
      </w:r>
      <w:r w:rsidR="006C37C9" w:rsidRPr="00012C3F">
        <w:rPr>
          <w:rFonts w:eastAsia="Verdana" w:cs="Verdana"/>
          <w:sz w:val="20"/>
          <w:szCs w:val="20"/>
          <w:lang w:val="en-US"/>
        </w:rPr>
        <w:t xml:space="preserve"> 2008</w:t>
      </w:r>
      <w:r w:rsidRPr="00012C3F">
        <w:rPr>
          <w:rFonts w:eastAsia="Verdana" w:cs="Verdana"/>
          <w:sz w:val="20"/>
          <w:szCs w:val="20"/>
          <w:lang w:val="en-US"/>
        </w:rPr>
        <w:t>,</w:t>
      </w:r>
      <w:r w:rsidR="006C37C9" w:rsidRPr="00012C3F">
        <w:rPr>
          <w:rFonts w:eastAsia="Verdana" w:cs="Verdana"/>
          <w:sz w:val="20"/>
          <w:szCs w:val="20"/>
          <w:lang w:val="en-US"/>
        </w:rPr>
        <w:t xml:space="preserve"> </w:t>
      </w:r>
      <w:r w:rsidR="001254DE" w:rsidRPr="00012C3F">
        <w:rPr>
          <w:rFonts w:eastAsia="Verdana" w:cs="Verdana"/>
          <w:sz w:val="20"/>
          <w:szCs w:val="20"/>
          <w:lang w:val="en-US"/>
        </w:rPr>
        <w:t xml:space="preserve">the </w:t>
      </w:r>
      <w:r w:rsidR="00A84CA0" w:rsidRPr="00012C3F">
        <w:rPr>
          <w:rFonts w:eastAsia="Verdana" w:cs="Verdana"/>
          <w:sz w:val="20"/>
          <w:szCs w:val="20"/>
          <w:lang w:val="en-US"/>
        </w:rPr>
        <w:t>Commission</w:t>
      </w:r>
      <w:r w:rsidR="006C37C9" w:rsidRPr="00012C3F">
        <w:rPr>
          <w:rFonts w:eastAsia="Verdana" w:cs="Verdana"/>
          <w:sz w:val="20"/>
          <w:szCs w:val="20"/>
          <w:lang w:val="en-US"/>
        </w:rPr>
        <w:t xml:space="preserve"> </w:t>
      </w:r>
      <w:r w:rsidRPr="00012C3F">
        <w:rPr>
          <w:rFonts w:eastAsia="Verdana" w:cs="Verdana"/>
          <w:sz w:val="20"/>
          <w:szCs w:val="20"/>
          <w:lang w:val="en-US"/>
        </w:rPr>
        <w:t>adopted</w:t>
      </w:r>
      <w:r w:rsidR="006C37C9" w:rsidRPr="00012C3F">
        <w:rPr>
          <w:rFonts w:eastAsia="Verdana" w:cs="Verdana"/>
          <w:sz w:val="20"/>
          <w:szCs w:val="20"/>
          <w:lang w:val="en-US"/>
        </w:rPr>
        <w:t xml:space="preserve"> </w:t>
      </w:r>
      <w:r w:rsidRPr="00012C3F">
        <w:rPr>
          <w:rFonts w:eastAsia="Verdana" w:cs="Verdana"/>
          <w:sz w:val="20"/>
          <w:szCs w:val="20"/>
          <w:lang w:val="en-US"/>
        </w:rPr>
        <w:t>Admissibility Report</w:t>
      </w:r>
      <w:r w:rsidR="006C37C9" w:rsidRPr="00012C3F">
        <w:rPr>
          <w:rFonts w:eastAsia="Verdana" w:cs="Verdana"/>
          <w:position w:val="-1"/>
          <w:sz w:val="20"/>
          <w:szCs w:val="20"/>
          <w:lang w:val="en-US"/>
        </w:rPr>
        <w:t xml:space="preserve"> No. 40/08 </w:t>
      </w:r>
      <w:r w:rsidRPr="00012C3F">
        <w:rPr>
          <w:rFonts w:eastAsia="Verdana" w:cs="Verdana"/>
          <w:position w:val="-1"/>
          <w:sz w:val="20"/>
          <w:szCs w:val="20"/>
          <w:lang w:val="en-US"/>
        </w:rPr>
        <w:t xml:space="preserve">in which it concluded that petition </w:t>
      </w:r>
      <w:r w:rsidR="006C37C9" w:rsidRPr="00012C3F">
        <w:rPr>
          <w:rFonts w:cs="Verdana"/>
          <w:sz w:val="20"/>
          <w:szCs w:val="20"/>
          <w:lang w:val="en-US"/>
        </w:rPr>
        <w:t xml:space="preserve">270-07 </w:t>
      </w:r>
      <w:r w:rsidRPr="00012C3F">
        <w:rPr>
          <w:rFonts w:cs="Verdana"/>
          <w:sz w:val="20"/>
          <w:szCs w:val="20"/>
          <w:lang w:val="en-US"/>
        </w:rPr>
        <w:t>was admissible.</w:t>
      </w:r>
      <w:r w:rsidR="006C37C9" w:rsidRPr="00012C3F">
        <w:rPr>
          <w:rStyle w:val="Refdenotaalpie"/>
          <w:rFonts w:eastAsia="Verdana" w:cs="Verdana"/>
          <w:position w:val="-1"/>
          <w:sz w:val="20"/>
          <w:szCs w:val="20"/>
          <w:lang w:val="en-US"/>
        </w:rPr>
        <w:footnoteReference w:id="2"/>
      </w:r>
    </w:p>
    <w:p w14:paraId="3AB1BA1E" w14:textId="77777777" w:rsidR="006C37C9" w:rsidRPr="00012C3F" w:rsidRDefault="006C37C9" w:rsidP="006C37C9">
      <w:pPr>
        <w:spacing w:line="240" w:lineRule="auto"/>
        <w:ind w:left="818" w:right="144"/>
        <w:contextualSpacing/>
        <w:rPr>
          <w:rFonts w:eastAsia="Verdana" w:cs="Verdana"/>
          <w:sz w:val="20"/>
          <w:szCs w:val="20"/>
          <w:lang w:val="en-US"/>
        </w:rPr>
      </w:pPr>
    </w:p>
    <w:p w14:paraId="4F3DD8D4" w14:textId="77777777" w:rsidR="006C37C9" w:rsidRPr="00012C3F" w:rsidRDefault="00E00902" w:rsidP="006C37C9">
      <w:pPr>
        <w:numPr>
          <w:ilvl w:val="0"/>
          <w:numId w:val="6"/>
        </w:numPr>
        <w:adjustRightInd/>
        <w:spacing w:after="200" w:line="240" w:lineRule="auto"/>
        <w:ind w:right="144"/>
        <w:contextualSpacing/>
        <w:textAlignment w:val="auto"/>
        <w:rPr>
          <w:rFonts w:eastAsia="Verdana" w:cs="Verdana"/>
          <w:sz w:val="20"/>
          <w:szCs w:val="20"/>
          <w:lang w:val="en-US"/>
        </w:rPr>
      </w:pPr>
      <w:r w:rsidRPr="00012C3F">
        <w:rPr>
          <w:rFonts w:eastAsia="Verdana" w:cs="Verdana"/>
          <w:i/>
          <w:sz w:val="20"/>
          <w:szCs w:val="20"/>
          <w:lang w:val="en-US"/>
        </w:rPr>
        <w:t>Merits Report</w:t>
      </w:r>
      <w:r w:rsidR="006C37C9" w:rsidRPr="00012C3F">
        <w:rPr>
          <w:rFonts w:eastAsia="Verdana" w:cs="Verdana"/>
          <w:i/>
          <w:sz w:val="20"/>
          <w:szCs w:val="20"/>
          <w:lang w:val="en-US"/>
        </w:rPr>
        <w:t xml:space="preserve">. </w:t>
      </w:r>
      <w:r w:rsidRPr="00012C3F">
        <w:rPr>
          <w:rFonts w:eastAsia="Verdana" w:cs="Verdana"/>
          <w:iCs/>
          <w:sz w:val="20"/>
          <w:szCs w:val="20"/>
          <w:lang w:val="en-US"/>
        </w:rPr>
        <w:t>On</w:t>
      </w:r>
      <w:r w:rsidR="006C37C9" w:rsidRPr="00012C3F">
        <w:rPr>
          <w:rFonts w:eastAsia="Verdana" w:cs="Verdana"/>
          <w:iCs/>
          <w:sz w:val="20"/>
          <w:szCs w:val="20"/>
          <w:lang w:val="en-US"/>
        </w:rPr>
        <w:t xml:space="preserve"> </w:t>
      </w:r>
      <w:r w:rsidRPr="00012C3F">
        <w:rPr>
          <w:rFonts w:eastAsia="Verdana" w:cs="Verdana"/>
          <w:sz w:val="20"/>
          <w:szCs w:val="20"/>
          <w:lang w:val="en-US"/>
        </w:rPr>
        <w:t>August 15,</w:t>
      </w:r>
      <w:r w:rsidR="006C37C9" w:rsidRPr="00012C3F">
        <w:rPr>
          <w:rFonts w:eastAsia="Verdana" w:cs="Verdana"/>
          <w:sz w:val="20"/>
          <w:szCs w:val="20"/>
          <w:lang w:val="en-US"/>
        </w:rPr>
        <w:t xml:space="preserve"> 2014</w:t>
      </w:r>
      <w:r w:rsidRPr="00012C3F">
        <w:rPr>
          <w:rFonts w:eastAsia="Verdana" w:cs="Verdana"/>
          <w:sz w:val="20"/>
          <w:szCs w:val="20"/>
          <w:lang w:val="en-US"/>
        </w:rPr>
        <w:t>,</w:t>
      </w:r>
      <w:r w:rsidR="006C37C9" w:rsidRPr="00012C3F">
        <w:rPr>
          <w:rFonts w:eastAsia="Verdana" w:cs="Verdana"/>
          <w:sz w:val="20"/>
          <w:szCs w:val="20"/>
          <w:lang w:val="en-US"/>
        </w:rPr>
        <w:t xml:space="preserve"> </w:t>
      </w:r>
      <w:r w:rsidR="001254DE" w:rsidRPr="00012C3F">
        <w:rPr>
          <w:rFonts w:eastAsia="Verdana" w:cs="Verdana"/>
          <w:sz w:val="20"/>
          <w:szCs w:val="20"/>
          <w:lang w:val="en-US"/>
        </w:rPr>
        <w:t xml:space="preserve">the </w:t>
      </w:r>
      <w:r w:rsidR="00A84CA0" w:rsidRPr="00012C3F">
        <w:rPr>
          <w:rFonts w:eastAsia="Verdana" w:cs="Verdana"/>
          <w:sz w:val="20"/>
          <w:szCs w:val="20"/>
          <w:lang w:val="en-US"/>
        </w:rPr>
        <w:t>Commission</w:t>
      </w:r>
      <w:r w:rsidR="006C37C9" w:rsidRPr="00012C3F">
        <w:rPr>
          <w:rFonts w:eastAsia="Verdana" w:cs="Verdana"/>
          <w:sz w:val="20"/>
          <w:szCs w:val="20"/>
          <w:lang w:val="en-US"/>
        </w:rPr>
        <w:t xml:space="preserve"> </w:t>
      </w:r>
      <w:r w:rsidRPr="00012C3F">
        <w:rPr>
          <w:rFonts w:eastAsia="Verdana" w:cs="Verdana"/>
          <w:sz w:val="20"/>
          <w:szCs w:val="20"/>
          <w:lang w:val="en-US"/>
        </w:rPr>
        <w:t>adopted</w:t>
      </w:r>
      <w:r w:rsidR="006C37C9" w:rsidRPr="00012C3F">
        <w:rPr>
          <w:rFonts w:eastAsia="Verdana" w:cs="Verdana"/>
          <w:sz w:val="20"/>
          <w:szCs w:val="20"/>
          <w:lang w:val="en-US"/>
        </w:rPr>
        <w:t xml:space="preserve"> </w:t>
      </w:r>
      <w:r w:rsidRPr="00012C3F">
        <w:rPr>
          <w:rFonts w:eastAsia="Verdana" w:cs="Verdana"/>
          <w:sz w:val="20"/>
          <w:szCs w:val="20"/>
          <w:lang w:val="en-US"/>
        </w:rPr>
        <w:t>Merits Report</w:t>
      </w:r>
      <w:r w:rsidR="006C37C9" w:rsidRPr="00012C3F">
        <w:rPr>
          <w:rFonts w:eastAsia="Verdana" w:cs="Verdana"/>
          <w:sz w:val="20"/>
          <w:szCs w:val="20"/>
          <w:lang w:val="en-US"/>
        </w:rPr>
        <w:t xml:space="preserve"> No. 72/14, </w:t>
      </w:r>
      <w:r w:rsidRPr="00012C3F">
        <w:rPr>
          <w:rFonts w:eastAsia="Verdana" w:cs="Verdana"/>
          <w:sz w:val="20"/>
          <w:szCs w:val="20"/>
          <w:lang w:val="en-US"/>
        </w:rPr>
        <w:t xml:space="preserve">under </w:t>
      </w:r>
      <w:r w:rsidR="001254DE" w:rsidRPr="00012C3F">
        <w:rPr>
          <w:rFonts w:eastAsia="Verdana" w:cs="Verdana"/>
          <w:sz w:val="20"/>
          <w:szCs w:val="20"/>
          <w:lang w:val="en-US"/>
        </w:rPr>
        <w:t>Article</w:t>
      </w:r>
      <w:r w:rsidR="006C37C9" w:rsidRPr="00012C3F">
        <w:rPr>
          <w:rFonts w:eastAsia="Verdana" w:cs="Verdana"/>
          <w:sz w:val="20"/>
          <w:szCs w:val="20"/>
          <w:lang w:val="en-US"/>
        </w:rPr>
        <w:t xml:space="preserve"> 50</w:t>
      </w:r>
      <w:r w:rsidR="001254DE" w:rsidRPr="00012C3F">
        <w:rPr>
          <w:rFonts w:eastAsia="Verdana" w:cs="Verdana"/>
          <w:sz w:val="20"/>
          <w:szCs w:val="20"/>
          <w:lang w:val="en-US"/>
        </w:rPr>
        <w:t xml:space="preserve"> of the Convention</w:t>
      </w:r>
      <w:r w:rsidR="006C37C9" w:rsidRPr="00012C3F">
        <w:rPr>
          <w:rFonts w:eastAsia="Verdana" w:cs="Verdana"/>
          <w:sz w:val="20"/>
          <w:szCs w:val="20"/>
          <w:lang w:val="en-US"/>
        </w:rPr>
        <w:t xml:space="preserve"> (</w:t>
      </w:r>
      <w:r w:rsidR="001254DE" w:rsidRPr="00012C3F">
        <w:rPr>
          <w:rFonts w:eastAsia="Verdana" w:cs="Verdana"/>
          <w:sz w:val="20"/>
          <w:szCs w:val="20"/>
          <w:lang w:val="en-US"/>
        </w:rPr>
        <w:t>hereinafter</w:t>
      </w:r>
      <w:r w:rsidR="006C37C9" w:rsidRPr="00012C3F">
        <w:rPr>
          <w:rFonts w:eastAsia="Verdana" w:cs="Verdana"/>
          <w:sz w:val="20"/>
          <w:szCs w:val="20"/>
          <w:lang w:val="en-US"/>
        </w:rPr>
        <w:t xml:space="preserve"> </w:t>
      </w:r>
      <w:r w:rsidRPr="00012C3F">
        <w:rPr>
          <w:rFonts w:eastAsia="Verdana" w:cs="Verdana"/>
          <w:sz w:val="20"/>
          <w:szCs w:val="20"/>
          <w:lang w:val="en-US"/>
        </w:rPr>
        <w:t>also</w:t>
      </w:r>
      <w:r w:rsidR="006C37C9" w:rsidRPr="00012C3F">
        <w:rPr>
          <w:rFonts w:eastAsia="Verdana" w:cs="Verdana"/>
          <w:sz w:val="20"/>
          <w:szCs w:val="20"/>
          <w:lang w:val="en-US"/>
        </w:rPr>
        <w:t xml:space="preserve"> “</w:t>
      </w:r>
      <w:r w:rsidRPr="00012C3F">
        <w:rPr>
          <w:rFonts w:eastAsia="Verdana" w:cs="Verdana"/>
          <w:sz w:val="20"/>
          <w:szCs w:val="20"/>
          <w:lang w:val="en-US"/>
        </w:rPr>
        <w:t>the</w:t>
      </w:r>
      <w:r w:rsidR="006C37C9" w:rsidRPr="00012C3F">
        <w:rPr>
          <w:rFonts w:eastAsia="Verdana" w:cs="Verdana"/>
          <w:sz w:val="20"/>
          <w:szCs w:val="20"/>
          <w:lang w:val="en-US"/>
        </w:rPr>
        <w:t xml:space="preserve"> </w:t>
      </w:r>
      <w:r w:rsidRPr="00012C3F">
        <w:rPr>
          <w:rFonts w:eastAsia="Verdana" w:cs="Verdana"/>
          <w:sz w:val="20"/>
          <w:szCs w:val="20"/>
          <w:lang w:val="en-US"/>
        </w:rPr>
        <w:t>Merits Report</w:t>
      </w:r>
      <w:r w:rsidR="006C37C9" w:rsidRPr="00012C3F">
        <w:rPr>
          <w:rFonts w:eastAsia="Verdana" w:cs="Verdana"/>
          <w:sz w:val="20"/>
          <w:szCs w:val="20"/>
          <w:lang w:val="en-US"/>
        </w:rPr>
        <w:t>” o</w:t>
      </w:r>
      <w:r w:rsidRPr="00012C3F">
        <w:rPr>
          <w:rFonts w:eastAsia="Verdana" w:cs="Verdana"/>
          <w:sz w:val="20"/>
          <w:szCs w:val="20"/>
          <w:lang w:val="en-US"/>
        </w:rPr>
        <w:t>r</w:t>
      </w:r>
      <w:r w:rsidR="006C37C9" w:rsidRPr="00012C3F">
        <w:rPr>
          <w:rFonts w:eastAsia="Verdana" w:cs="Verdana"/>
          <w:sz w:val="20"/>
          <w:szCs w:val="20"/>
          <w:lang w:val="en-US"/>
        </w:rPr>
        <w:t xml:space="preserve"> “</w:t>
      </w:r>
      <w:r w:rsidRPr="00012C3F">
        <w:rPr>
          <w:rFonts w:eastAsia="Verdana" w:cs="Verdana"/>
          <w:sz w:val="20"/>
          <w:szCs w:val="20"/>
          <w:lang w:val="en-US"/>
        </w:rPr>
        <w:t>Report</w:t>
      </w:r>
      <w:r w:rsidR="006C37C9" w:rsidRPr="00012C3F">
        <w:rPr>
          <w:rFonts w:eastAsia="Verdana" w:cs="Verdana"/>
          <w:sz w:val="20"/>
          <w:szCs w:val="20"/>
          <w:lang w:val="en-US"/>
        </w:rPr>
        <w:t xml:space="preserve"> No. 72/14”), </w:t>
      </w:r>
      <w:r w:rsidRPr="00012C3F">
        <w:rPr>
          <w:rFonts w:eastAsia="Verdana" w:cs="Verdana"/>
          <w:sz w:val="20"/>
          <w:szCs w:val="20"/>
          <w:lang w:val="en-US"/>
        </w:rPr>
        <w:t>in which it reached a series of conclusions and made several recommendations to the State.</w:t>
      </w:r>
    </w:p>
    <w:p w14:paraId="12B4253E" w14:textId="77777777" w:rsidR="006C37C9" w:rsidRPr="00012C3F" w:rsidRDefault="006C37C9" w:rsidP="006C37C9">
      <w:pPr>
        <w:pStyle w:val="Prrafodelista"/>
        <w:numPr>
          <w:ilvl w:val="0"/>
          <w:numId w:val="10"/>
        </w:numPr>
        <w:adjustRightInd/>
        <w:spacing w:line="240" w:lineRule="auto"/>
        <w:ind w:right="148"/>
        <w:contextualSpacing/>
        <w:textAlignment w:val="auto"/>
        <w:rPr>
          <w:rFonts w:eastAsia="Verdana" w:cs="Verdana"/>
          <w:sz w:val="20"/>
          <w:szCs w:val="20"/>
          <w:lang w:val="en-US"/>
        </w:rPr>
      </w:pPr>
      <w:r w:rsidRPr="00012C3F">
        <w:rPr>
          <w:rFonts w:eastAsia="Verdana" w:cs="Verdana"/>
          <w:i/>
          <w:sz w:val="20"/>
          <w:szCs w:val="20"/>
          <w:lang w:val="en-US"/>
        </w:rPr>
        <w:t xml:space="preserve">Conclusions. </w:t>
      </w:r>
      <w:r w:rsidR="005E5012" w:rsidRPr="00012C3F">
        <w:rPr>
          <w:rFonts w:eastAsia="Verdana" w:cs="Verdana"/>
          <w:sz w:val="20"/>
          <w:szCs w:val="20"/>
          <w:lang w:val="en-US"/>
        </w:rPr>
        <w:t xml:space="preserve">The Commission </w:t>
      </w:r>
      <w:r w:rsidRPr="00012C3F">
        <w:rPr>
          <w:rFonts w:eastAsia="Verdana" w:cs="Verdana"/>
          <w:sz w:val="20"/>
          <w:szCs w:val="20"/>
          <w:lang w:val="en-US"/>
        </w:rPr>
        <w:t>conclu</w:t>
      </w:r>
      <w:r w:rsidR="005E5012" w:rsidRPr="00012C3F">
        <w:rPr>
          <w:rFonts w:eastAsia="Verdana" w:cs="Verdana"/>
          <w:sz w:val="20"/>
          <w:szCs w:val="20"/>
          <w:lang w:val="en-US"/>
        </w:rPr>
        <w:t>ded that</w:t>
      </w:r>
      <w:r w:rsidRPr="00012C3F">
        <w:rPr>
          <w:rFonts w:eastAsia="Verdana" w:cs="Verdana"/>
          <w:sz w:val="20"/>
          <w:szCs w:val="20"/>
          <w:lang w:val="en-US"/>
        </w:rPr>
        <w:t xml:space="preserve"> </w:t>
      </w:r>
      <w:r w:rsidR="00A84CA0" w:rsidRPr="00012C3F">
        <w:rPr>
          <w:rFonts w:eastAsia="Verdana" w:cs="Verdana"/>
          <w:sz w:val="20"/>
          <w:szCs w:val="20"/>
          <w:lang w:val="en-US"/>
        </w:rPr>
        <w:t>the State</w:t>
      </w:r>
      <w:r w:rsidRPr="00012C3F">
        <w:rPr>
          <w:rFonts w:eastAsia="Verdana" w:cs="Verdana"/>
          <w:sz w:val="20"/>
          <w:szCs w:val="20"/>
          <w:lang w:val="en-US"/>
        </w:rPr>
        <w:t xml:space="preserve"> </w:t>
      </w:r>
      <w:r w:rsidR="005E5012" w:rsidRPr="00012C3F">
        <w:rPr>
          <w:rFonts w:eastAsia="Verdana" w:cs="Verdana"/>
          <w:sz w:val="20"/>
          <w:szCs w:val="20"/>
          <w:lang w:val="en-US"/>
        </w:rPr>
        <w:t>was</w:t>
      </w:r>
      <w:r w:rsidRPr="00012C3F">
        <w:rPr>
          <w:rFonts w:eastAsia="Verdana" w:cs="Verdana"/>
          <w:sz w:val="20"/>
          <w:szCs w:val="20"/>
          <w:lang w:val="en-US"/>
        </w:rPr>
        <w:t xml:space="preserve"> respons</w:t>
      </w:r>
      <w:r w:rsidR="005E5012" w:rsidRPr="00012C3F">
        <w:rPr>
          <w:rFonts w:eastAsia="Verdana" w:cs="Verdana"/>
          <w:sz w:val="20"/>
          <w:szCs w:val="20"/>
          <w:lang w:val="en-US"/>
        </w:rPr>
        <w:t>i</w:t>
      </w:r>
      <w:r w:rsidRPr="00012C3F">
        <w:rPr>
          <w:rFonts w:eastAsia="Verdana" w:cs="Verdana"/>
          <w:sz w:val="20"/>
          <w:szCs w:val="20"/>
          <w:lang w:val="en-US"/>
        </w:rPr>
        <w:t xml:space="preserve">ble </w:t>
      </w:r>
      <w:r w:rsidR="005E5012" w:rsidRPr="00012C3F">
        <w:rPr>
          <w:rFonts w:eastAsia="Verdana" w:cs="Verdana"/>
          <w:sz w:val="20"/>
          <w:szCs w:val="20"/>
          <w:lang w:val="en-US"/>
        </w:rPr>
        <w:t>f</w:t>
      </w:r>
      <w:r w:rsidRPr="00012C3F">
        <w:rPr>
          <w:rFonts w:eastAsia="Verdana" w:cs="Verdana"/>
          <w:sz w:val="20"/>
          <w:szCs w:val="20"/>
          <w:lang w:val="en-US"/>
        </w:rPr>
        <w:t xml:space="preserve">or </w:t>
      </w:r>
      <w:r w:rsidR="005E5012" w:rsidRPr="00012C3F">
        <w:rPr>
          <w:rFonts w:eastAsia="Verdana" w:cs="Verdana"/>
          <w:sz w:val="20"/>
          <w:szCs w:val="20"/>
          <w:lang w:val="en-US"/>
        </w:rPr>
        <w:t>the</w:t>
      </w:r>
      <w:r w:rsidRPr="00012C3F">
        <w:rPr>
          <w:rFonts w:eastAsia="Verdana" w:cs="Verdana"/>
          <w:sz w:val="20"/>
          <w:szCs w:val="20"/>
          <w:lang w:val="en-US"/>
        </w:rPr>
        <w:t xml:space="preserve"> viola</w:t>
      </w:r>
      <w:r w:rsidR="005E5012" w:rsidRPr="00012C3F">
        <w:rPr>
          <w:rFonts w:eastAsia="Verdana" w:cs="Verdana"/>
          <w:sz w:val="20"/>
          <w:szCs w:val="20"/>
          <w:lang w:val="en-US"/>
        </w:rPr>
        <w:t xml:space="preserve">tion of “the rights recognized in </w:t>
      </w:r>
      <w:r w:rsidR="001254DE" w:rsidRPr="00012C3F">
        <w:rPr>
          <w:sz w:val="20"/>
          <w:szCs w:val="20"/>
          <w:lang w:val="en-US"/>
        </w:rPr>
        <w:t>Articles</w:t>
      </w:r>
      <w:r w:rsidRPr="00012C3F">
        <w:rPr>
          <w:sz w:val="20"/>
          <w:szCs w:val="20"/>
          <w:lang w:val="en-US"/>
        </w:rPr>
        <w:t xml:space="preserve"> </w:t>
      </w:r>
      <w:r w:rsidR="005E5012" w:rsidRPr="00012C3F">
        <w:rPr>
          <w:sz w:val="20"/>
          <w:szCs w:val="20"/>
          <w:lang w:val="en-US"/>
        </w:rPr>
        <w:t>5(1)</w:t>
      </w:r>
      <w:r w:rsidRPr="00012C3F">
        <w:rPr>
          <w:sz w:val="20"/>
          <w:szCs w:val="20"/>
          <w:lang w:val="en-US"/>
        </w:rPr>
        <w:t xml:space="preserve">, </w:t>
      </w:r>
      <w:r w:rsidR="005E5012" w:rsidRPr="00012C3F">
        <w:rPr>
          <w:sz w:val="20"/>
          <w:szCs w:val="20"/>
          <w:lang w:val="en-US"/>
        </w:rPr>
        <w:t>8(1)</w:t>
      </w:r>
      <w:r w:rsidRPr="00012C3F">
        <w:rPr>
          <w:sz w:val="20"/>
          <w:szCs w:val="20"/>
          <w:lang w:val="en-US"/>
        </w:rPr>
        <w:t xml:space="preserve">, </w:t>
      </w:r>
      <w:r w:rsidR="005E5012" w:rsidRPr="00012C3F">
        <w:rPr>
          <w:sz w:val="20"/>
          <w:szCs w:val="20"/>
          <w:lang w:val="en-US"/>
        </w:rPr>
        <w:t>11(2)</w:t>
      </w:r>
      <w:r w:rsidRPr="00012C3F">
        <w:rPr>
          <w:sz w:val="20"/>
          <w:szCs w:val="20"/>
          <w:lang w:val="en-US"/>
        </w:rPr>
        <w:t xml:space="preserve">, </w:t>
      </w:r>
      <w:r w:rsidR="005E5012" w:rsidRPr="00012C3F">
        <w:rPr>
          <w:sz w:val="20"/>
          <w:szCs w:val="20"/>
          <w:lang w:val="en-US"/>
        </w:rPr>
        <w:t>13(1)</w:t>
      </w:r>
      <w:r w:rsidRPr="00012C3F">
        <w:rPr>
          <w:sz w:val="20"/>
          <w:szCs w:val="20"/>
          <w:lang w:val="en-US"/>
        </w:rPr>
        <w:t xml:space="preserve">, </w:t>
      </w:r>
      <w:r w:rsidR="005E5012" w:rsidRPr="00012C3F">
        <w:rPr>
          <w:sz w:val="20"/>
          <w:szCs w:val="20"/>
          <w:lang w:val="en-US"/>
        </w:rPr>
        <w:t xml:space="preserve">17(2) and </w:t>
      </w:r>
      <w:r w:rsidRPr="00012C3F">
        <w:rPr>
          <w:sz w:val="20"/>
          <w:szCs w:val="20"/>
          <w:lang w:val="en-US"/>
        </w:rPr>
        <w:t>2</w:t>
      </w:r>
      <w:r w:rsidR="005E5012" w:rsidRPr="00012C3F">
        <w:rPr>
          <w:sz w:val="20"/>
          <w:szCs w:val="20"/>
          <w:lang w:val="en-US"/>
        </w:rPr>
        <w:t>5(1)</w:t>
      </w:r>
      <w:r w:rsidR="001254DE" w:rsidRPr="00012C3F">
        <w:rPr>
          <w:sz w:val="20"/>
          <w:szCs w:val="20"/>
          <w:lang w:val="en-US"/>
        </w:rPr>
        <w:t xml:space="preserve"> of the American Convention</w:t>
      </w:r>
      <w:r w:rsidRPr="00012C3F">
        <w:rPr>
          <w:sz w:val="20"/>
          <w:szCs w:val="20"/>
          <w:lang w:val="en-US"/>
        </w:rPr>
        <w:t xml:space="preserve">, </w:t>
      </w:r>
      <w:r w:rsidR="005E5012" w:rsidRPr="00012C3F">
        <w:rPr>
          <w:sz w:val="20"/>
          <w:szCs w:val="20"/>
          <w:lang w:val="en-US"/>
        </w:rPr>
        <w:t xml:space="preserve">in relation to the State obligation established in </w:t>
      </w:r>
      <w:r w:rsidR="001254DE" w:rsidRPr="00012C3F">
        <w:rPr>
          <w:sz w:val="20"/>
          <w:szCs w:val="20"/>
          <w:lang w:val="en-US"/>
        </w:rPr>
        <w:t>Article</w:t>
      </w:r>
      <w:r w:rsidRPr="00012C3F">
        <w:rPr>
          <w:sz w:val="20"/>
          <w:szCs w:val="20"/>
          <w:lang w:val="en-US"/>
        </w:rPr>
        <w:t xml:space="preserve"> </w:t>
      </w:r>
      <w:r w:rsidR="005E5012" w:rsidRPr="00012C3F">
        <w:rPr>
          <w:sz w:val="20"/>
          <w:szCs w:val="20"/>
          <w:lang w:val="en-US"/>
        </w:rPr>
        <w:t>1(1)</w:t>
      </w:r>
      <w:r w:rsidRPr="00012C3F">
        <w:rPr>
          <w:sz w:val="20"/>
          <w:szCs w:val="20"/>
          <w:lang w:val="en-US"/>
        </w:rPr>
        <w:t xml:space="preserve"> </w:t>
      </w:r>
      <w:r w:rsidR="005E5012" w:rsidRPr="00012C3F">
        <w:rPr>
          <w:sz w:val="20"/>
          <w:szCs w:val="20"/>
          <w:lang w:val="en-US"/>
        </w:rPr>
        <w:t>of this instrument,”</w:t>
      </w:r>
      <w:r w:rsidRPr="00012C3F">
        <w:rPr>
          <w:sz w:val="20"/>
          <w:szCs w:val="20"/>
          <w:lang w:val="en-US"/>
        </w:rPr>
        <w:t xml:space="preserve"> </w:t>
      </w:r>
      <w:r w:rsidR="005E5012" w:rsidRPr="00012C3F">
        <w:rPr>
          <w:sz w:val="20"/>
          <w:szCs w:val="20"/>
          <w:lang w:val="en-US"/>
        </w:rPr>
        <w:t>to the detriment of</w:t>
      </w:r>
      <w:r w:rsidRPr="00012C3F">
        <w:rPr>
          <w:sz w:val="20"/>
          <w:szCs w:val="20"/>
          <w:lang w:val="en-US"/>
        </w:rPr>
        <w:t xml:space="preserve"> </w:t>
      </w:r>
      <w:r w:rsidR="000E1C11" w:rsidRPr="00012C3F">
        <w:rPr>
          <w:sz w:val="20"/>
          <w:szCs w:val="20"/>
          <w:lang w:val="en-US"/>
        </w:rPr>
        <w:t>I.V.</w:t>
      </w:r>
      <w:r w:rsidRPr="00012C3F">
        <w:rPr>
          <w:sz w:val="20"/>
          <w:szCs w:val="20"/>
          <w:lang w:val="en-US"/>
        </w:rPr>
        <w:t xml:space="preserve"> </w:t>
      </w:r>
      <w:r w:rsidR="005E5012" w:rsidRPr="00012C3F">
        <w:rPr>
          <w:sz w:val="20"/>
          <w:szCs w:val="20"/>
          <w:lang w:val="en-US"/>
        </w:rPr>
        <w:t xml:space="preserve">In addition, </w:t>
      </w:r>
      <w:r w:rsidR="001254DE" w:rsidRPr="00012C3F">
        <w:rPr>
          <w:sz w:val="20"/>
          <w:szCs w:val="20"/>
          <w:lang w:val="en-US"/>
        </w:rPr>
        <w:t xml:space="preserve">the </w:t>
      </w:r>
      <w:r w:rsidR="00A84CA0" w:rsidRPr="00012C3F">
        <w:rPr>
          <w:sz w:val="20"/>
          <w:szCs w:val="20"/>
          <w:lang w:val="en-US"/>
        </w:rPr>
        <w:t>Commission</w:t>
      </w:r>
      <w:r w:rsidRPr="00012C3F">
        <w:rPr>
          <w:sz w:val="20"/>
          <w:szCs w:val="20"/>
          <w:lang w:val="en-US"/>
        </w:rPr>
        <w:t xml:space="preserve"> </w:t>
      </w:r>
      <w:r w:rsidR="005E5012" w:rsidRPr="00012C3F">
        <w:rPr>
          <w:sz w:val="20"/>
          <w:szCs w:val="20"/>
          <w:lang w:val="en-US"/>
        </w:rPr>
        <w:t>concluded that</w:t>
      </w:r>
      <w:r w:rsidRPr="00012C3F">
        <w:rPr>
          <w:sz w:val="20"/>
          <w:szCs w:val="20"/>
          <w:lang w:val="en-US"/>
        </w:rPr>
        <w:t xml:space="preserve"> </w:t>
      </w:r>
      <w:r w:rsidR="00A84CA0" w:rsidRPr="00012C3F">
        <w:rPr>
          <w:sz w:val="20"/>
          <w:szCs w:val="20"/>
          <w:lang w:val="en-US"/>
        </w:rPr>
        <w:t>the State</w:t>
      </w:r>
      <w:r w:rsidRPr="00012C3F">
        <w:rPr>
          <w:sz w:val="20"/>
          <w:szCs w:val="20"/>
          <w:lang w:val="en-US"/>
        </w:rPr>
        <w:t xml:space="preserve"> </w:t>
      </w:r>
      <w:r w:rsidR="005E5012" w:rsidRPr="00012C3F">
        <w:rPr>
          <w:sz w:val="20"/>
          <w:szCs w:val="20"/>
          <w:lang w:val="en-US"/>
        </w:rPr>
        <w:t>had violated</w:t>
      </w:r>
      <w:r w:rsidRPr="00012C3F">
        <w:rPr>
          <w:sz w:val="20"/>
          <w:szCs w:val="20"/>
          <w:lang w:val="en-US"/>
        </w:rPr>
        <w:t xml:space="preserve"> </w:t>
      </w:r>
      <w:r w:rsidR="001254DE" w:rsidRPr="00012C3F">
        <w:rPr>
          <w:sz w:val="20"/>
          <w:szCs w:val="20"/>
          <w:lang w:val="en-US"/>
        </w:rPr>
        <w:t>Article</w:t>
      </w:r>
      <w:r w:rsidRPr="00012C3F">
        <w:rPr>
          <w:sz w:val="20"/>
          <w:szCs w:val="20"/>
          <w:lang w:val="en-US"/>
        </w:rPr>
        <w:t xml:space="preserve"> 7</w:t>
      </w:r>
      <w:r w:rsidR="001254DE" w:rsidRPr="00012C3F">
        <w:rPr>
          <w:sz w:val="20"/>
          <w:szCs w:val="20"/>
          <w:lang w:val="en-US"/>
        </w:rPr>
        <w:t xml:space="preserve"> of the Convention</w:t>
      </w:r>
      <w:r w:rsidRPr="00012C3F">
        <w:rPr>
          <w:sz w:val="20"/>
          <w:szCs w:val="20"/>
          <w:lang w:val="en-US"/>
        </w:rPr>
        <w:t xml:space="preserve"> </w:t>
      </w:r>
      <w:r w:rsidR="005E5012" w:rsidRPr="00012C3F">
        <w:rPr>
          <w:sz w:val="20"/>
          <w:szCs w:val="20"/>
          <w:lang w:val="en-US"/>
        </w:rPr>
        <w:t>of Belém</w:t>
      </w:r>
      <w:r w:rsidRPr="00012C3F">
        <w:rPr>
          <w:sz w:val="20"/>
          <w:szCs w:val="20"/>
          <w:lang w:val="en-US"/>
        </w:rPr>
        <w:t xml:space="preserve"> do Pará</w:t>
      </w:r>
      <w:r w:rsidR="005E5012" w:rsidRPr="00012C3F">
        <w:rPr>
          <w:sz w:val="20"/>
          <w:szCs w:val="20"/>
          <w:lang w:val="en-US"/>
        </w:rPr>
        <w:t xml:space="preserve"> and its paragraphs</w:t>
      </w:r>
      <w:r w:rsidRPr="00012C3F">
        <w:rPr>
          <w:sz w:val="20"/>
          <w:szCs w:val="20"/>
          <w:lang w:val="en-US"/>
        </w:rPr>
        <w:t xml:space="preserve"> </w:t>
      </w:r>
      <w:r w:rsidR="005E5012" w:rsidRPr="00012C3F">
        <w:rPr>
          <w:sz w:val="20"/>
          <w:szCs w:val="20"/>
          <w:lang w:val="en-US"/>
        </w:rPr>
        <w:t>(</w:t>
      </w:r>
      <w:r w:rsidRPr="00012C3F">
        <w:rPr>
          <w:sz w:val="20"/>
          <w:szCs w:val="20"/>
          <w:lang w:val="en-US"/>
        </w:rPr>
        <w:t xml:space="preserve">a), </w:t>
      </w:r>
      <w:r w:rsidR="005E5012" w:rsidRPr="00012C3F">
        <w:rPr>
          <w:sz w:val="20"/>
          <w:szCs w:val="20"/>
          <w:lang w:val="en-US"/>
        </w:rPr>
        <w:t>(</w:t>
      </w:r>
      <w:r w:rsidRPr="00012C3F">
        <w:rPr>
          <w:sz w:val="20"/>
          <w:szCs w:val="20"/>
          <w:lang w:val="en-US"/>
        </w:rPr>
        <w:t xml:space="preserve">b), </w:t>
      </w:r>
      <w:r w:rsidR="005E5012" w:rsidRPr="00012C3F">
        <w:rPr>
          <w:sz w:val="20"/>
          <w:szCs w:val="20"/>
          <w:lang w:val="en-US"/>
        </w:rPr>
        <w:t>(</w:t>
      </w:r>
      <w:r w:rsidRPr="00012C3F">
        <w:rPr>
          <w:sz w:val="20"/>
          <w:szCs w:val="20"/>
          <w:lang w:val="en-US"/>
        </w:rPr>
        <w:t xml:space="preserve">c), </w:t>
      </w:r>
      <w:r w:rsidR="005E5012" w:rsidRPr="00012C3F">
        <w:rPr>
          <w:sz w:val="20"/>
          <w:szCs w:val="20"/>
          <w:lang w:val="en-US"/>
        </w:rPr>
        <w:t>(</w:t>
      </w:r>
      <w:r w:rsidRPr="00012C3F">
        <w:rPr>
          <w:rFonts w:cs="Arial"/>
          <w:sz w:val="20"/>
          <w:szCs w:val="20"/>
          <w:lang w:val="en-US"/>
        </w:rPr>
        <w:t>f)</w:t>
      </w:r>
      <w:r w:rsidR="005E5012" w:rsidRPr="00012C3F">
        <w:rPr>
          <w:rFonts w:cs="Arial"/>
          <w:sz w:val="20"/>
          <w:szCs w:val="20"/>
          <w:lang w:val="en-US"/>
        </w:rPr>
        <w:t xml:space="preserve"> and (</w:t>
      </w:r>
      <w:r w:rsidRPr="00012C3F">
        <w:rPr>
          <w:sz w:val="20"/>
          <w:szCs w:val="20"/>
          <w:lang w:val="en-US"/>
        </w:rPr>
        <w:t xml:space="preserve">g), </w:t>
      </w:r>
      <w:r w:rsidR="005E5012" w:rsidRPr="00012C3F">
        <w:rPr>
          <w:sz w:val="20"/>
          <w:szCs w:val="20"/>
          <w:lang w:val="en-US"/>
        </w:rPr>
        <w:t>to the detriment of</w:t>
      </w:r>
      <w:r w:rsidRPr="00012C3F">
        <w:rPr>
          <w:sz w:val="20"/>
          <w:szCs w:val="20"/>
          <w:lang w:val="en-US"/>
        </w:rPr>
        <w:t xml:space="preserve"> </w:t>
      </w:r>
      <w:r w:rsidR="000E1C11" w:rsidRPr="00012C3F">
        <w:rPr>
          <w:iCs/>
          <w:sz w:val="20"/>
          <w:szCs w:val="20"/>
          <w:lang w:val="en-US"/>
        </w:rPr>
        <w:t>I.V.</w:t>
      </w:r>
    </w:p>
    <w:p w14:paraId="24058867" w14:textId="77777777" w:rsidR="006C37C9" w:rsidRPr="00012C3F" w:rsidRDefault="006C37C9" w:rsidP="006C37C9">
      <w:pPr>
        <w:pStyle w:val="Prrafodelista"/>
        <w:spacing w:line="240" w:lineRule="auto"/>
        <w:ind w:left="1900" w:right="148"/>
        <w:rPr>
          <w:rFonts w:eastAsia="Verdana" w:cs="Verdana"/>
          <w:sz w:val="20"/>
          <w:szCs w:val="20"/>
          <w:lang w:val="en-US"/>
        </w:rPr>
      </w:pPr>
    </w:p>
    <w:p w14:paraId="034E98D6" w14:textId="77777777" w:rsidR="006C37C9" w:rsidRPr="00012C3F" w:rsidRDefault="006C37C9" w:rsidP="006C37C9">
      <w:pPr>
        <w:pStyle w:val="Prrafodelista"/>
        <w:numPr>
          <w:ilvl w:val="0"/>
          <w:numId w:val="10"/>
        </w:numPr>
        <w:adjustRightInd/>
        <w:spacing w:line="240" w:lineRule="auto"/>
        <w:ind w:right="148"/>
        <w:contextualSpacing/>
        <w:textAlignment w:val="auto"/>
        <w:rPr>
          <w:rFonts w:eastAsia="Verdana" w:cs="Verdana"/>
          <w:sz w:val="20"/>
          <w:szCs w:val="20"/>
          <w:lang w:val="en-US"/>
        </w:rPr>
      </w:pPr>
      <w:r w:rsidRPr="00012C3F">
        <w:rPr>
          <w:rFonts w:eastAsia="Verdana" w:cs="Verdana"/>
          <w:i/>
          <w:sz w:val="20"/>
          <w:szCs w:val="20"/>
          <w:lang w:val="en-US"/>
        </w:rPr>
        <w:t>Recom</w:t>
      </w:r>
      <w:r w:rsidR="005E5012" w:rsidRPr="00012C3F">
        <w:rPr>
          <w:rFonts w:eastAsia="Verdana" w:cs="Verdana"/>
          <w:i/>
          <w:sz w:val="20"/>
          <w:szCs w:val="20"/>
          <w:lang w:val="en-US"/>
        </w:rPr>
        <w:t>m</w:t>
      </w:r>
      <w:r w:rsidRPr="00012C3F">
        <w:rPr>
          <w:rFonts w:eastAsia="Verdana" w:cs="Verdana"/>
          <w:i/>
          <w:sz w:val="20"/>
          <w:szCs w:val="20"/>
          <w:lang w:val="en-US"/>
        </w:rPr>
        <w:t>enda</w:t>
      </w:r>
      <w:r w:rsidR="005E5012" w:rsidRPr="00012C3F">
        <w:rPr>
          <w:rFonts w:eastAsia="Verdana" w:cs="Verdana"/>
          <w:i/>
          <w:sz w:val="20"/>
          <w:szCs w:val="20"/>
          <w:lang w:val="en-US"/>
        </w:rPr>
        <w:t>tion</w:t>
      </w:r>
      <w:r w:rsidRPr="00012C3F">
        <w:rPr>
          <w:rFonts w:eastAsia="Verdana" w:cs="Verdana"/>
          <w:i/>
          <w:sz w:val="20"/>
          <w:szCs w:val="20"/>
          <w:lang w:val="en-US"/>
        </w:rPr>
        <w:t xml:space="preserve">s. </w:t>
      </w:r>
      <w:r w:rsidR="005E5012" w:rsidRPr="00012C3F">
        <w:rPr>
          <w:rFonts w:eastAsia="Verdana" w:cs="Verdana"/>
          <w:sz w:val="20"/>
          <w:szCs w:val="20"/>
          <w:lang w:val="en-US"/>
        </w:rPr>
        <w:t>Consequently</w:t>
      </w:r>
      <w:r w:rsidRPr="00012C3F">
        <w:rPr>
          <w:rFonts w:eastAsia="Verdana" w:cs="Verdana"/>
          <w:sz w:val="20"/>
          <w:szCs w:val="20"/>
          <w:lang w:val="en-US"/>
        </w:rPr>
        <w:t xml:space="preserve">, </w:t>
      </w:r>
      <w:r w:rsidR="001254DE" w:rsidRPr="00012C3F">
        <w:rPr>
          <w:rFonts w:eastAsia="Verdana" w:cs="Verdana"/>
          <w:sz w:val="20"/>
          <w:szCs w:val="20"/>
          <w:lang w:val="en-US"/>
        </w:rPr>
        <w:t xml:space="preserve">the </w:t>
      </w:r>
      <w:r w:rsidR="00A84CA0" w:rsidRPr="00012C3F">
        <w:rPr>
          <w:rFonts w:eastAsia="Verdana" w:cs="Verdana"/>
          <w:sz w:val="20"/>
          <w:szCs w:val="20"/>
          <w:lang w:val="en-US"/>
        </w:rPr>
        <w:t>Commission</w:t>
      </w:r>
      <w:r w:rsidRPr="00012C3F">
        <w:rPr>
          <w:rFonts w:eastAsia="Verdana" w:cs="Verdana"/>
          <w:sz w:val="20"/>
          <w:szCs w:val="20"/>
          <w:lang w:val="en-US"/>
        </w:rPr>
        <w:t xml:space="preserve"> </w:t>
      </w:r>
      <w:r w:rsidR="005E5012" w:rsidRPr="00012C3F">
        <w:rPr>
          <w:rFonts w:eastAsia="Verdana" w:cs="Verdana"/>
          <w:sz w:val="20"/>
          <w:szCs w:val="20"/>
          <w:lang w:val="en-US"/>
        </w:rPr>
        <w:t>made a series of recommendations to the State:</w:t>
      </w:r>
    </w:p>
    <w:p w14:paraId="7949ECCE" w14:textId="77777777" w:rsidR="006C37C9" w:rsidRPr="00012C3F" w:rsidRDefault="006C37C9" w:rsidP="006C37C9">
      <w:pPr>
        <w:pStyle w:val="Prrafodelista"/>
        <w:spacing w:line="240" w:lineRule="auto"/>
        <w:ind w:left="1900" w:right="148"/>
        <w:rPr>
          <w:rFonts w:eastAsia="Verdana" w:cs="Verdana"/>
          <w:sz w:val="20"/>
          <w:szCs w:val="20"/>
          <w:lang w:val="en-US"/>
        </w:rPr>
      </w:pPr>
    </w:p>
    <w:p w14:paraId="240E9B58" w14:textId="77777777" w:rsidR="006C37C9" w:rsidRPr="00012C3F" w:rsidRDefault="005E5012" w:rsidP="006C37C9">
      <w:pPr>
        <w:pStyle w:val="Prrafodelista"/>
        <w:widowControl/>
        <w:numPr>
          <w:ilvl w:val="0"/>
          <w:numId w:val="11"/>
        </w:numPr>
        <w:autoSpaceDE w:val="0"/>
        <w:autoSpaceDN w:val="0"/>
        <w:spacing w:after="120" w:line="240" w:lineRule="auto"/>
        <w:ind w:left="2404" w:hanging="357"/>
        <w:textAlignment w:val="auto"/>
        <w:rPr>
          <w:sz w:val="16"/>
          <w:szCs w:val="16"/>
          <w:lang w:val="en-US"/>
        </w:rPr>
      </w:pPr>
      <w:r w:rsidRPr="00012C3F">
        <w:rPr>
          <w:sz w:val="16"/>
          <w:szCs w:val="16"/>
          <w:lang w:val="en-US"/>
        </w:rPr>
        <w:t xml:space="preserve">Make full reparation to </w:t>
      </w:r>
      <w:r w:rsidR="000E1C11" w:rsidRPr="00012C3F">
        <w:rPr>
          <w:iCs/>
          <w:sz w:val="16"/>
          <w:szCs w:val="16"/>
          <w:lang w:val="en-US"/>
        </w:rPr>
        <w:t>I.V.</w:t>
      </w:r>
      <w:r w:rsidR="006C37C9" w:rsidRPr="00012C3F">
        <w:rPr>
          <w:i/>
          <w:iCs/>
          <w:sz w:val="16"/>
          <w:szCs w:val="16"/>
          <w:lang w:val="en-US"/>
        </w:rPr>
        <w:t xml:space="preserve"> </w:t>
      </w:r>
      <w:r w:rsidRPr="00012C3F">
        <w:rPr>
          <w:sz w:val="16"/>
          <w:szCs w:val="16"/>
          <w:lang w:val="en-US"/>
        </w:rPr>
        <w:t>for the human rights violations established in the […] report, taking into consideration her opinion and her needs, including compensation for the pecuniary and non-pecuniary damage suffered;</w:t>
      </w:r>
    </w:p>
    <w:p w14:paraId="5F6A36CA" w14:textId="77777777" w:rsidR="006C37C9" w:rsidRPr="00012C3F" w:rsidRDefault="00370DD4" w:rsidP="006C37C9">
      <w:pPr>
        <w:pStyle w:val="Prrafodelista"/>
        <w:widowControl/>
        <w:numPr>
          <w:ilvl w:val="0"/>
          <w:numId w:val="11"/>
        </w:numPr>
        <w:autoSpaceDE w:val="0"/>
        <w:autoSpaceDN w:val="0"/>
        <w:spacing w:after="120" w:line="240" w:lineRule="auto"/>
        <w:ind w:left="2404" w:hanging="357"/>
        <w:textAlignment w:val="auto"/>
        <w:rPr>
          <w:rFonts w:eastAsia="Verdana" w:cs="Verdana"/>
          <w:sz w:val="16"/>
          <w:szCs w:val="16"/>
          <w:lang w:val="en-US"/>
        </w:rPr>
      </w:pPr>
      <w:r w:rsidRPr="00012C3F">
        <w:rPr>
          <w:sz w:val="16"/>
          <w:szCs w:val="16"/>
          <w:lang w:val="en-US"/>
        </w:rPr>
        <w:t>Provide</w:t>
      </w:r>
      <w:r w:rsidR="006C37C9" w:rsidRPr="00012C3F">
        <w:rPr>
          <w:sz w:val="16"/>
          <w:szCs w:val="16"/>
          <w:lang w:val="en-US"/>
        </w:rPr>
        <w:t xml:space="preserve"> </w:t>
      </w:r>
      <w:r w:rsidR="000E1C11" w:rsidRPr="00012C3F">
        <w:rPr>
          <w:iCs/>
          <w:sz w:val="16"/>
          <w:szCs w:val="16"/>
          <w:lang w:val="en-US"/>
        </w:rPr>
        <w:t>I.V.</w:t>
      </w:r>
      <w:r w:rsidR="006C37C9" w:rsidRPr="00012C3F">
        <w:rPr>
          <w:i/>
          <w:iCs/>
          <w:sz w:val="16"/>
          <w:szCs w:val="16"/>
          <w:lang w:val="en-US"/>
        </w:rPr>
        <w:t xml:space="preserve"> </w:t>
      </w:r>
      <w:r w:rsidRPr="00012C3F">
        <w:rPr>
          <w:sz w:val="16"/>
          <w:szCs w:val="16"/>
          <w:lang w:val="en-US"/>
        </w:rPr>
        <w:t xml:space="preserve">with high quality, individual medical care </w:t>
      </w:r>
      <w:r w:rsidR="004808FE" w:rsidRPr="00012C3F">
        <w:rPr>
          <w:sz w:val="16"/>
          <w:szCs w:val="16"/>
          <w:lang w:val="en-US"/>
        </w:rPr>
        <w:t>tailored to</w:t>
      </w:r>
      <w:r w:rsidRPr="00012C3F">
        <w:rPr>
          <w:sz w:val="16"/>
          <w:szCs w:val="16"/>
          <w:lang w:val="en-US"/>
        </w:rPr>
        <w:t xml:space="preserve"> her need</w:t>
      </w:r>
      <w:r w:rsidR="005763AA" w:rsidRPr="00012C3F">
        <w:rPr>
          <w:sz w:val="16"/>
          <w:szCs w:val="16"/>
          <w:lang w:val="en-US"/>
        </w:rPr>
        <w:t>s,</w:t>
      </w:r>
      <w:r w:rsidRPr="00012C3F">
        <w:rPr>
          <w:sz w:val="16"/>
          <w:szCs w:val="16"/>
          <w:lang w:val="en-US"/>
        </w:rPr>
        <w:t xml:space="preserve"> and appropriate to treat her medical complaints;</w:t>
      </w:r>
    </w:p>
    <w:p w14:paraId="08C4C997" w14:textId="77777777" w:rsidR="006C37C9" w:rsidRPr="00012C3F" w:rsidRDefault="00370DD4" w:rsidP="006C37C9">
      <w:pPr>
        <w:pStyle w:val="Prrafodelista"/>
        <w:widowControl/>
        <w:numPr>
          <w:ilvl w:val="0"/>
          <w:numId w:val="11"/>
        </w:numPr>
        <w:autoSpaceDE w:val="0"/>
        <w:autoSpaceDN w:val="0"/>
        <w:spacing w:after="120" w:line="240" w:lineRule="auto"/>
        <w:ind w:left="2404" w:hanging="357"/>
        <w:textAlignment w:val="auto"/>
        <w:rPr>
          <w:rFonts w:eastAsia="Verdana" w:cs="Verdana"/>
          <w:sz w:val="16"/>
          <w:szCs w:val="16"/>
          <w:lang w:val="en-US"/>
        </w:rPr>
      </w:pPr>
      <w:r w:rsidRPr="00012C3F">
        <w:rPr>
          <w:sz w:val="16"/>
          <w:szCs w:val="16"/>
          <w:lang w:val="en-US"/>
        </w:rPr>
        <w:lastRenderedPageBreak/>
        <w:t xml:space="preserve">Investigate the facts </w:t>
      </w:r>
      <w:r w:rsidR="004808FE" w:rsidRPr="00012C3F">
        <w:rPr>
          <w:sz w:val="16"/>
          <w:szCs w:val="16"/>
          <w:lang w:val="en-US"/>
        </w:rPr>
        <w:t>surrounding</w:t>
      </w:r>
      <w:r w:rsidRPr="00012C3F">
        <w:rPr>
          <w:sz w:val="16"/>
          <w:szCs w:val="16"/>
          <w:lang w:val="en-US"/>
        </w:rPr>
        <w:t xml:space="preserve"> the sterilization of </w:t>
      </w:r>
      <w:r w:rsidR="000E1C11" w:rsidRPr="00012C3F">
        <w:rPr>
          <w:sz w:val="16"/>
          <w:szCs w:val="16"/>
          <w:lang w:val="en-US"/>
        </w:rPr>
        <w:t>I.V.</w:t>
      </w:r>
      <w:r w:rsidRPr="00012C3F">
        <w:rPr>
          <w:sz w:val="16"/>
          <w:szCs w:val="16"/>
          <w:lang w:val="en-US"/>
        </w:rPr>
        <w:t xml:space="preserve"> without her consent, and establish the</w:t>
      </w:r>
      <w:r w:rsidR="004808FE" w:rsidRPr="00012C3F">
        <w:rPr>
          <w:sz w:val="16"/>
          <w:szCs w:val="16"/>
          <w:lang w:val="en-US"/>
        </w:rPr>
        <w:t xml:space="preserve"> appropriate</w:t>
      </w:r>
      <w:r w:rsidRPr="00012C3F">
        <w:rPr>
          <w:sz w:val="16"/>
          <w:szCs w:val="16"/>
          <w:lang w:val="en-US"/>
        </w:rPr>
        <w:t xml:space="preserve"> responsibilities and sanctions;</w:t>
      </w:r>
    </w:p>
    <w:p w14:paraId="0076500B" w14:textId="77777777" w:rsidR="006C37C9" w:rsidRPr="00012C3F" w:rsidRDefault="004808FE" w:rsidP="006C37C9">
      <w:pPr>
        <w:pStyle w:val="Prrafodelista"/>
        <w:widowControl/>
        <w:numPr>
          <w:ilvl w:val="0"/>
          <w:numId w:val="11"/>
        </w:numPr>
        <w:autoSpaceDE w:val="0"/>
        <w:autoSpaceDN w:val="0"/>
        <w:spacing w:after="120" w:line="240" w:lineRule="auto"/>
        <w:ind w:left="2404" w:hanging="357"/>
        <w:textAlignment w:val="auto"/>
        <w:rPr>
          <w:rFonts w:eastAsia="Verdana" w:cs="Verdana"/>
          <w:sz w:val="16"/>
          <w:szCs w:val="16"/>
          <w:lang w:val="en-US"/>
        </w:rPr>
      </w:pPr>
      <w:r w:rsidRPr="00012C3F">
        <w:rPr>
          <w:sz w:val="16"/>
          <w:szCs w:val="16"/>
          <w:lang w:val="en-US"/>
        </w:rPr>
        <w:t>Take all</w:t>
      </w:r>
      <w:r w:rsidR="00370DD4" w:rsidRPr="00012C3F">
        <w:rPr>
          <w:sz w:val="16"/>
          <w:szCs w:val="16"/>
          <w:lang w:val="en-US"/>
        </w:rPr>
        <w:t xml:space="preserve"> necessary </w:t>
      </w:r>
      <w:r w:rsidRPr="00012C3F">
        <w:rPr>
          <w:sz w:val="16"/>
          <w:szCs w:val="16"/>
          <w:lang w:val="en-US"/>
        </w:rPr>
        <w:t>steps</w:t>
      </w:r>
      <w:r w:rsidR="00370DD4" w:rsidRPr="00012C3F">
        <w:rPr>
          <w:sz w:val="16"/>
          <w:szCs w:val="16"/>
          <w:lang w:val="en-US"/>
        </w:rPr>
        <w:t xml:space="preserve"> </w:t>
      </w:r>
      <w:r w:rsidRPr="00012C3F">
        <w:rPr>
          <w:sz w:val="16"/>
          <w:szCs w:val="16"/>
          <w:lang w:val="en-US"/>
        </w:rPr>
        <w:t xml:space="preserve">to ensure </w:t>
      </w:r>
      <w:r w:rsidR="00370DD4" w:rsidRPr="00012C3F">
        <w:rPr>
          <w:sz w:val="16"/>
          <w:szCs w:val="16"/>
          <w:lang w:val="en-US"/>
        </w:rPr>
        <w:t xml:space="preserve">non-repetition </w:t>
      </w:r>
      <w:r w:rsidRPr="00012C3F">
        <w:rPr>
          <w:sz w:val="16"/>
          <w:szCs w:val="16"/>
          <w:lang w:val="en-US"/>
        </w:rPr>
        <w:t>of</w:t>
      </w:r>
      <w:r w:rsidR="00370DD4" w:rsidRPr="00012C3F">
        <w:rPr>
          <w:sz w:val="16"/>
          <w:szCs w:val="16"/>
          <w:lang w:val="en-US"/>
        </w:rPr>
        <w:t xml:space="preserve"> similar facts in future and, in particular, review the policies and practices applied in all hospitals with regard to obtaining the </w:t>
      </w:r>
      <w:r w:rsidR="00AC0004" w:rsidRPr="00012C3F">
        <w:rPr>
          <w:sz w:val="16"/>
          <w:szCs w:val="16"/>
          <w:lang w:val="en-US"/>
        </w:rPr>
        <w:t>informed consent</w:t>
      </w:r>
      <w:r w:rsidR="00370DD4" w:rsidRPr="00012C3F">
        <w:rPr>
          <w:sz w:val="16"/>
          <w:szCs w:val="16"/>
          <w:lang w:val="en-US"/>
        </w:rPr>
        <w:t xml:space="preserve"> of patients;</w:t>
      </w:r>
    </w:p>
    <w:p w14:paraId="55E97396" w14:textId="77777777" w:rsidR="00370DD4" w:rsidRPr="00012C3F" w:rsidRDefault="00370DD4" w:rsidP="006C37C9">
      <w:pPr>
        <w:pStyle w:val="Prrafodelista"/>
        <w:widowControl/>
        <w:numPr>
          <w:ilvl w:val="0"/>
          <w:numId w:val="11"/>
        </w:numPr>
        <w:autoSpaceDE w:val="0"/>
        <w:autoSpaceDN w:val="0"/>
        <w:spacing w:after="120" w:line="240" w:lineRule="auto"/>
        <w:ind w:left="2404" w:hanging="357"/>
        <w:textAlignment w:val="auto"/>
        <w:rPr>
          <w:rFonts w:eastAsia="Verdana" w:cs="Verdana"/>
          <w:sz w:val="16"/>
          <w:szCs w:val="16"/>
          <w:lang w:val="en-US"/>
        </w:rPr>
      </w:pPr>
      <w:r w:rsidRPr="00012C3F">
        <w:rPr>
          <w:sz w:val="16"/>
          <w:szCs w:val="16"/>
          <w:lang w:val="en-US"/>
        </w:rPr>
        <w:t>Adopt legislation, public policies</w:t>
      </w:r>
      <w:r w:rsidR="00972ACF" w:rsidRPr="00012C3F">
        <w:rPr>
          <w:sz w:val="16"/>
          <w:szCs w:val="16"/>
          <w:lang w:val="en-US"/>
        </w:rPr>
        <w:t>, p</w:t>
      </w:r>
      <w:r w:rsidRPr="00012C3F">
        <w:rPr>
          <w:sz w:val="16"/>
          <w:szCs w:val="16"/>
          <w:lang w:val="en-US"/>
        </w:rPr>
        <w:t xml:space="preserve">rograms and directives to ensure respect for the right of everyone to be </w:t>
      </w:r>
      <w:r w:rsidR="004808FE" w:rsidRPr="00012C3F">
        <w:rPr>
          <w:sz w:val="16"/>
          <w:szCs w:val="16"/>
          <w:lang w:val="en-US"/>
        </w:rPr>
        <w:t>informed</w:t>
      </w:r>
      <w:r w:rsidRPr="00012C3F">
        <w:rPr>
          <w:sz w:val="16"/>
          <w:szCs w:val="16"/>
          <w:lang w:val="en-US"/>
        </w:rPr>
        <w:t xml:space="preserve"> and </w:t>
      </w:r>
      <w:r w:rsidR="004808FE" w:rsidRPr="00012C3F">
        <w:rPr>
          <w:sz w:val="16"/>
          <w:szCs w:val="16"/>
          <w:lang w:val="en-US"/>
        </w:rPr>
        <w:t>counseled</w:t>
      </w:r>
      <w:r w:rsidRPr="00012C3F">
        <w:rPr>
          <w:sz w:val="16"/>
          <w:szCs w:val="16"/>
          <w:lang w:val="en-US"/>
        </w:rPr>
        <w:t xml:space="preserve"> on </w:t>
      </w:r>
      <w:r w:rsidR="004808FE" w:rsidRPr="00012C3F">
        <w:rPr>
          <w:sz w:val="16"/>
          <w:szCs w:val="16"/>
          <w:lang w:val="en-US"/>
        </w:rPr>
        <w:t xml:space="preserve">health </w:t>
      </w:r>
      <w:r w:rsidRPr="00012C3F">
        <w:rPr>
          <w:sz w:val="16"/>
          <w:szCs w:val="16"/>
          <w:lang w:val="en-US"/>
        </w:rPr>
        <w:t xml:space="preserve">matters, and not to be subjected to </w:t>
      </w:r>
      <w:r w:rsidR="004808FE" w:rsidRPr="00012C3F">
        <w:rPr>
          <w:sz w:val="16"/>
          <w:szCs w:val="16"/>
          <w:lang w:val="en-US"/>
        </w:rPr>
        <w:t>procedures</w:t>
      </w:r>
      <w:r w:rsidRPr="00012C3F">
        <w:rPr>
          <w:sz w:val="16"/>
          <w:szCs w:val="16"/>
          <w:lang w:val="en-US"/>
        </w:rPr>
        <w:t xml:space="preserve"> or treatments without their </w:t>
      </w:r>
      <w:r w:rsidR="00AC0004" w:rsidRPr="00012C3F">
        <w:rPr>
          <w:sz w:val="16"/>
          <w:szCs w:val="16"/>
          <w:lang w:val="en-US"/>
        </w:rPr>
        <w:t>informed consent</w:t>
      </w:r>
      <w:r w:rsidRPr="00012C3F">
        <w:rPr>
          <w:sz w:val="16"/>
          <w:szCs w:val="16"/>
          <w:lang w:val="en-US"/>
        </w:rPr>
        <w:t>, when this is applicable. Such measures should give special consideration to the particular needs of persons who are in a vulnerable situation owing to the intersection of factors such as their sex, race, economic s</w:t>
      </w:r>
      <w:r w:rsidR="00D933F5" w:rsidRPr="00012C3F">
        <w:rPr>
          <w:sz w:val="16"/>
          <w:szCs w:val="16"/>
          <w:lang w:val="en-US"/>
        </w:rPr>
        <w:t>ituation</w:t>
      </w:r>
      <w:r w:rsidRPr="00012C3F">
        <w:rPr>
          <w:sz w:val="16"/>
          <w:szCs w:val="16"/>
          <w:lang w:val="en-US"/>
        </w:rPr>
        <w:t xml:space="preserve">, or </w:t>
      </w:r>
      <w:r w:rsidR="00D933F5" w:rsidRPr="00012C3F">
        <w:rPr>
          <w:sz w:val="16"/>
          <w:szCs w:val="16"/>
          <w:lang w:val="en-US"/>
        </w:rPr>
        <w:t>immigrant status</w:t>
      </w:r>
      <w:r w:rsidRPr="00012C3F">
        <w:rPr>
          <w:sz w:val="16"/>
          <w:szCs w:val="16"/>
          <w:lang w:val="en-US"/>
        </w:rPr>
        <w:t>, and</w:t>
      </w:r>
    </w:p>
    <w:p w14:paraId="7804272B" w14:textId="77777777" w:rsidR="006C37C9" w:rsidRPr="00012C3F" w:rsidRDefault="00370DD4" w:rsidP="006C37C9">
      <w:pPr>
        <w:pStyle w:val="Prrafodelista"/>
        <w:widowControl/>
        <w:numPr>
          <w:ilvl w:val="0"/>
          <w:numId w:val="11"/>
        </w:numPr>
        <w:autoSpaceDE w:val="0"/>
        <w:autoSpaceDN w:val="0"/>
        <w:spacing w:after="120" w:line="240" w:lineRule="auto"/>
        <w:ind w:left="2404" w:hanging="357"/>
        <w:textAlignment w:val="auto"/>
        <w:rPr>
          <w:rFonts w:eastAsia="Verdana" w:cs="Verdana"/>
          <w:sz w:val="16"/>
          <w:szCs w:val="16"/>
          <w:lang w:val="en-US"/>
        </w:rPr>
      </w:pPr>
      <w:r w:rsidRPr="00012C3F">
        <w:rPr>
          <w:sz w:val="16"/>
          <w:szCs w:val="16"/>
          <w:lang w:val="en-US"/>
        </w:rPr>
        <w:t xml:space="preserve">Investigate the deficiencies in the practices of the Judiciary and </w:t>
      </w:r>
      <w:r w:rsidR="008772EA" w:rsidRPr="00012C3F">
        <w:rPr>
          <w:sz w:val="16"/>
          <w:szCs w:val="16"/>
          <w:lang w:val="en-US"/>
        </w:rPr>
        <w:t>auxiliary</w:t>
      </w:r>
      <w:r w:rsidRPr="00012C3F">
        <w:rPr>
          <w:sz w:val="16"/>
          <w:szCs w:val="16"/>
          <w:lang w:val="en-US"/>
        </w:rPr>
        <w:t xml:space="preserve"> bodies that permit excessive delays in judicial proceedings, and adopt the measures required to ensure effective access to justice through due process and an expedit</w:t>
      </w:r>
      <w:r w:rsidR="008772EA" w:rsidRPr="00012C3F">
        <w:rPr>
          <w:sz w:val="16"/>
          <w:szCs w:val="16"/>
          <w:lang w:val="en-US"/>
        </w:rPr>
        <w:t>ious</w:t>
      </w:r>
      <w:r w:rsidRPr="00012C3F">
        <w:rPr>
          <w:sz w:val="16"/>
          <w:szCs w:val="16"/>
          <w:lang w:val="en-US"/>
        </w:rPr>
        <w:t xml:space="preserve"> and eff</w:t>
      </w:r>
      <w:r w:rsidR="008772EA" w:rsidRPr="00012C3F">
        <w:rPr>
          <w:sz w:val="16"/>
          <w:szCs w:val="16"/>
          <w:lang w:val="en-US"/>
        </w:rPr>
        <w:t>ective</w:t>
      </w:r>
      <w:r w:rsidRPr="00012C3F">
        <w:rPr>
          <w:sz w:val="16"/>
          <w:szCs w:val="16"/>
          <w:lang w:val="en-US"/>
        </w:rPr>
        <w:t xml:space="preserve"> administration of justice.</w:t>
      </w:r>
    </w:p>
    <w:p w14:paraId="525F9495" w14:textId="77777777" w:rsidR="006C37C9" w:rsidRPr="00012C3F" w:rsidRDefault="006C37C9" w:rsidP="006C37C9">
      <w:pPr>
        <w:pStyle w:val="Prrafodelista"/>
        <w:numPr>
          <w:ilvl w:val="0"/>
          <w:numId w:val="10"/>
        </w:numPr>
        <w:adjustRightInd/>
        <w:spacing w:after="200" w:line="240" w:lineRule="auto"/>
        <w:ind w:right="148"/>
        <w:contextualSpacing/>
        <w:textAlignment w:val="auto"/>
        <w:rPr>
          <w:rFonts w:eastAsia="Verdana" w:cs="Verdana"/>
          <w:sz w:val="20"/>
          <w:szCs w:val="20"/>
          <w:lang w:val="en-US"/>
        </w:rPr>
      </w:pPr>
      <w:r w:rsidRPr="00012C3F">
        <w:rPr>
          <w:rFonts w:eastAsia="Verdana" w:cs="Verdana"/>
          <w:i/>
          <w:sz w:val="20"/>
          <w:szCs w:val="20"/>
          <w:lang w:val="en-US"/>
        </w:rPr>
        <w:t>Notifica</w:t>
      </w:r>
      <w:r w:rsidR="00370DD4" w:rsidRPr="00012C3F">
        <w:rPr>
          <w:rFonts w:eastAsia="Verdana" w:cs="Verdana"/>
          <w:i/>
          <w:sz w:val="20"/>
          <w:szCs w:val="20"/>
          <w:lang w:val="en-US"/>
        </w:rPr>
        <w:t>tion of the State</w:t>
      </w:r>
      <w:r w:rsidRPr="00012C3F">
        <w:rPr>
          <w:rFonts w:eastAsia="Verdana" w:cs="Verdana"/>
          <w:i/>
          <w:sz w:val="20"/>
          <w:szCs w:val="20"/>
          <w:lang w:val="en-US"/>
        </w:rPr>
        <w:t xml:space="preserve">. </w:t>
      </w:r>
      <w:r w:rsidR="00370DD4" w:rsidRPr="00012C3F">
        <w:rPr>
          <w:rFonts w:eastAsia="Verdana" w:cs="Verdana"/>
          <w:sz w:val="20"/>
          <w:szCs w:val="20"/>
          <w:lang w:val="en-US"/>
        </w:rPr>
        <w:t>The</w:t>
      </w:r>
      <w:r w:rsidRPr="00012C3F">
        <w:rPr>
          <w:rFonts w:eastAsia="Verdana" w:cs="Verdana"/>
          <w:sz w:val="20"/>
          <w:szCs w:val="20"/>
          <w:lang w:val="en-US"/>
        </w:rPr>
        <w:t xml:space="preserve"> </w:t>
      </w:r>
      <w:r w:rsidR="00E00902" w:rsidRPr="00012C3F">
        <w:rPr>
          <w:rFonts w:eastAsia="Verdana" w:cs="Verdana"/>
          <w:sz w:val="20"/>
          <w:szCs w:val="20"/>
          <w:lang w:val="en-US"/>
        </w:rPr>
        <w:t>Merits Report</w:t>
      </w:r>
      <w:r w:rsidRPr="00012C3F">
        <w:rPr>
          <w:rFonts w:eastAsia="Verdana" w:cs="Verdana"/>
          <w:sz w:val="20"/>
          <w:szCs w:val="20"/>
          <w:lang w:val="en-US"/>
        </w:rPr>
        <w:t xml:space="preserve"> </w:t>
      </w:r>
      <w:r w:rsidR="00370DD4" w:rsidRPr="00012C3F">
        <w:rPr>
          <w:rFonts w:eastAsia="Verdana" w:cs="Verdana"/>
          <w:sz w:val="20"/>
          <w:szCs w:val="20"/>
          <w:lang w:val="en-US"/>
        </w:rPr>
        <w:t>was notified to the State in a communication of October 23,</w:t>
      </w:r>
      <w:r w:rsidRPr="00012C3F">
        <w:rPr>
          <w:rFonts w:eastAsia="Verdana" w:cs="Verdana"/>
          <w:sz w:val="20"/>
          <w:szCs w:val="20"/>
          <w:lang w:val="en-US"/>
        </w:rPr>
        <w:t xml:space="preserve"> 2014, </w:t>
      </w:r>
      <w:r w:rsidR="00370DD4" w:rsidRPr="00012C3F">
        <w:rPr>
          <w:rFonts w:eastAsia="Verdana" w:cs="Verdana"/>
          <w:sz w:val="20"/>
          <w:szCs w:val="20"/>
          <w:lang w:val="en-US"/>
        </w:rPr>
        <w:t>granting it two months to report on compliance with the recommendations.</w:t>
      </w:r>
    </w:p>
    <w:p w14:paraId="37D3EAA0" w14:textId="77777777" w:rsidR="006C37C9" w:rsidRPr="00012C3F" w:rsidRDefault="00370DD4" w:rsidP="006C37C9">
      <w:pPr>
        <w:numPr>
          <w:ilvl w:val="0"/>
          <w:numId w:val="6"/>
        </w:numPr>
        <w:adjustRightInd/>
        <w:spacing w:after="200" w:line="240" w:lineRule="auto"/>
        <w:ind w:right="144"/>
        <w:contextualSpacing/>
        <w:textAlignment w:val="auto"/>
        <w:rPr>
          <w:rFonts w:eastAsia="Verdana" w:cs="Verdana"/>
          <w:sz w:val="20"/>
          <w:szCs w:val="20"/>
          <w:lang w:val="en-US"/>
        </w:rPr>
      </w:pPr>
      <w:r w:rsidRPr="00012C3F">
        <w:rPr>
          <w:rFonts w:eastAsia="Verdana" w:cs="Verdana"/>
          <w:i/>
          <w:sz w:val="20"/>
          <w:szCs w:val="20"/>
          <w:lang w:val="en-US"/>
        </w:rPr>
        <w:t>Reports on the Commission’s recommendations</w:t>
      </w:r>
      <w:r w:rsidR="006C37C9" w:rsidRPr="00012C3F">
        <w:rPr>
          <w:rFonts w:eastAsia="Verdana" w:cs="Verdana"/>
          <w:i/>
          <w:sz w:val="20"/>
          <w:szCs w:val="20"/>
          <w:lang w:val="en-US"/>
        </w:rPr>
        <w:t xml:space="preserve">. </w:t>
      </w:r>
      <w:r w:rsidRPr="00012C3F">
        <w:rPr>
          <w:rFonts w:eastAsia="Verdana" w:cs="Verdana"/>
          <w:sz w:val="20"/>
          <w:szCs w:val="20"/>
          <w:lang w:val="en-US"/>
        </w:rPr>
        <w:t>On December 24,</w:t>
      </w:r>
      <w:r w:rsidR="006C37C9" w:rsidRPr="00012C3F">
        <w:rPr>
          <w:rFonts w:eastAsia="Verdana" w:cs="Verdana"/>
          <w:sz w:val="20"/>
          <w:szCs w:val="20"/>
          <w:lang w:val="en-US"/>
        </w:rPr>
        <w:t xml:space="preserve"> 2014</w:t>
      </w:r>
      <w:r w:rsidRPr="00012C3F">
        <w:rPr>
          <w:rFonts w:eastAsia="Verdana" w:cs="Verdana"/>
          <w:sz w:val="20"/>
          <w:szCs w:val="20"/>
          <w:lang w:val="en-US"/>
        </w:rPr>
        <w:t>,</w:t>
      </w:r>
      <w:r w:rsidR="006C37C9" w:rsidRPr="00012C3F">
        <w:rPr>
          <w:rFonts w:eastAsia="Verdana" w:cs="Verdana"/>
          <w:sz w:val="20"/>
          <w:szCs w:val="20"/>
          <w:lang w:val="en-US"/>
        </w:rPr>
        <w:t xml:space="preserve"> </w:t>
      </w:r>
      <w:r w:rsidR="00A84CA0" w:rsidRPr="00012C3F">
        <w:rPr>
          <w:rFonts w:eastAsia="Verdana" w:cs="Verdana"/>
          <w:sz w:val="20"/>
          <w:szCs w:val="20"/>
          <w:lang w:val="en-US"/>
        </w:rPr>
        <w:t>the State</w:t>
      </w:r>
      <w:r w:rsidR="006C37C9" w:rsidRPr="00012C3F">
        <w:rPr>
          <w:rFonts w:eastAsia="Verdana" w:cs="Verdana"/>
          <w:sz w:val="20"/>
          <w:szCs w:val="20"/>
          <w:lang w:val="en-US"/>
        </w:rPr>
        <w:t xml:space="preserve"> present</w:t>
      </w:r>
      <w:r w:rsidRPr="00012C3F">
        <w:rPr>
          <w:rFonts w:eastAsia="Verdana" w:cs="Verdana"/>
          <w:sz w:val="20"/>
          <w:szCs w:val="20"/>
          <w:lang w:val="en-US"/>
        </w:rPr>
        <w:t xml:space="preserve">ed information on the implementation of the recommendations made by </w:t>
      </w:r>
      <w:r w:rsidR="001254DE" w:rsidRPr="00012C3F">
        <w:rPr>
          <w:rFonts w:eastAsia="Verdana" w:cs="Verdana"/>
          <w:sz w:val="20"/>
          <w:szCs w:val="20"/>
          <w:lang w:val="en-US"/>
        </w:rPr>
        <w:t xml:space="preserve">the </w:t>
      </w:r>
      <w:r w:rsidR="00A84CA0" w:rsidRPr="00012C3F">
        <w:rPr>
          <w:rFonts w:eastAsia="Verdana" w:cs="Verdana"/>
          <w:sz w:val="20"/>
          <w:szCs w:val="20"/>
          <w:lang w:val="en-US"/>
        </w:rPr>
        <w:t>Commission</w:t>
      </w:r>
      <w:r w:rsidR="006C37C9" w:rsidRPr="00012C3F">
        <w:rPr>
          <w:rFonts w:eastAsia="Verdana" w:cs="Verdana"/>
          <w:sz w:val="20"/>
          <w:szCs w:val="20"/>
          <w:lang w:val="en-US"/>
        </w:rPr>
        <w:t xml:space="preserve"> </w:t>
      </w:r>
      <w:r w:rsidRPr="00012C3F">
        <w:rPr>
          <w:rFonts w:eastAsia="Verdana" w:cs="Verdana"/>
          <w:sz w:val="20"/>
          <w:szCs w:val="20"/>
          <w:lang w:val="en-US"/>
        </w:rPr>
        <w:t>in its Report</w:t>
      </w:r>
      <w:r w:rsidR="006C37C9" w:rsidRPr="00012C3F">
        <w:rPr>
          <w:rFonts w:eastAsia="Verdana" w:cs="Verdana"/>
          <w:sz w:val="20"/>
          <w:szCs w:val="20"/>
          <w:lang w:val="en-US"/>
        </w:rPr>
        <w:t xml:space="preserve"> No. 72/14. A</w:t>
      </w:r>
      <w:r w:rsidRPr="00012C3F">
        <w:rPr>
          <w:rFonts w:eastAsia="Verdana" w:cs="Verdana"/>
          <w:sz w:val="20"/>
          <w:szCs w:val="20"/>
          <w:lang w:val="en-US"/>
        </w:rPr>
        <w:t xml:space="preserve"> three-month extension was granted for </w:t>
      </w:r>
      <w:r w:rsidR="00A84CA0" w:rsidRPr="00012C3F">
        <w:rPr>
          <w:rFonts w:eastAsia="Verdana" w:cs="Verdana"/>
          <w:sz w:val="20"/>
          <w:szCs w:val="20"/>
          <w:lang w:val="en-US"/>
        </w:rPr>
        <w:t>the State</w:t>
      </w:r>
      <w:r w:rsidR="006C37C9" w:rsidRPr="00012C3F">
        <w:rPr>
          <w:rFonts w:eastAsia="Verdana" w:cs="Verdana"/>
          <w:sz w:val="20"/>
          <w:szCs w:val="20"/>
          <w:lang w:val="en-US"/>
        </w:rPr>
        <w:t xml:space="preserve"> </w:t>
      </w:r>
      <w:r w:rsidRPr="00012C3F">
        <w:rPr>
          <w:rFonts w:eastAsia="Verdana" w:cs="Verdana"/>
          <w:sz w:val="20"/>
          <w:szCs w:val="20"/>
          <w:lang w:val="en-US"/>
        </w:rPr>
        <w:t>to comply with the Commission’s recommendations</w:t>
      </w:r>
      <w:r w:rsidR="006C37C9" w:rsidRPr="00012C3F">
        <w:rPr>
          <w:rFonts w:eastAsia="Verdana" w:cs="Verdana"/>
          <w:sz w:val="20"/>
          <w:szCs w:val="20"/>
          <w:lang w:val="en-US"/>
        </w:rPr>
        <w:t>.</w:t>
      </w:r>
    </w:p>
    <w:p w14:paraId="57DCD570" w14:textId="77777777" w:rsidR="006C37C9" w:rsidRPr="00012C3F" w:rsidRDefault="006C37C9" w:rsidP="006C37C9">
      <w:pPr>
        <w:spacing w:line="240" w:lineRule="auto"/>
        <w:ind w:left="818" w:right="144"/>
        <w:contextualSpacing/>
        <w:rPr>
          <w:rFonts w:eastAsia="Verdana" w:cs="Verdana"/>
          <w:sz w:val="20"/>
          <w:szCs w:val="20"/>
          <w:lang w:val="en-US"/>
        </w:rPr>
      </w:pPr>
    </w:p>
    <w:p w14:paraId="4DF5174F" w14:textId="77777777" w:rsidR="006C37C9" w:rsidRPr="00012C3F" w:rsidRDefault="00370DD4" w:rsidP="00370DD4">
      <w:pPr>
        <w:numPr>
          <w:ilvl w:val="0"/>
          <w:numId w:val="6"/>
        </w:numPr>
        <w:adjustRightInd/>
        <w:spacing w:after="200" w:line="240" w:lineRule="auto"/>
        <w:ind w:right="144"/>
        <w:contextualSpacing/>
        <w:textAlignment w:val="auto"/>
        <w:rPr>
          <w:rFonts w:eastAsia="Verdana" w:cs="Verdana"/>
          <w:sz w:val="20"/>
          <w:szCs w:val="20"/>
          <w:lang w:val="en-US"/>
        </w:rPr>
      </w:pPr>
      <w:r w:rsidRPr="00012C3F">
        <w:rPr>
          <w:rFonts w:eastAsia="Verdana" w:cs="Verdana"/>
          <w:i/>
          <w:sz w:val="20"/>
          <w:szCs w:val="20"/>
          <w:lang w:val="en-US"/>
        </w:rPr>
        <w:t>Submission to</w:t>
      </w:r>
      <w:r w:rsidR="006C37C9" w:rsidRPr="00012C3F">
        <w:rPr>
          <w:rFonts w:eastAsia="Verdana" w:cs="Verdana"/>
          <w:i/>
          <w:sz w:val="20"/>
          <w:szCs w:val="20"/>
          <w:lang w:val="en-US"/>
        </w:rPr>
        <w:t xml:space="preserve"> </w:t>
      </w:r>
      <w:r w:rsidR="001254DE" w:rsidRPr="00012C3F">
        <w:rPr>
          <w:rFonts w:eastAsia="Verdana" w:cs="Verdana"/>
          <w:i/>
          <w:sz w:val="20"/>
          <w:szCs w:val="20"/>
          <w:lang w:val="en-US"/>
        </w:rPr>
        <w:t>the Court</w:t>
      </w:r>
      <w:r w:rsidR="006C37C9" w:rsidRPr="00012C3F">
        <w:rPr>
          <w:rFonts w:eastAsia="Verdana" w:cs="Verdana"/>
          <w:i/>
          <w:sz w:val="20"/>
          <w:szCs w:val="20"/>
          <w:lang w:val="en-US"/>
        </w:rPr>
        <w:t>.</w:t>
      </w:r>
      <w:r w:rsidR="006C37C9" w:rsidRPr="00012C3F">
        <w:rPr>
          <w:rFonts w:eastAsia="Verdana" w:cs="Verdana"/>
          <w:sz w:val="20"/>
          <w:szCs w:val="20"/>
          <w:lang w:val="en-US"/>
        </w:rPr>
        <w:t xml:space="preserve"> </w:t>
      </w:r>
      <w:r w:rsidRPr="00012C3F">
        <w:rPr>
          <w:rFonts w:eastAsia="Verdana" w:cs="Verdana"/>
          <w:sz w:val="20"/>
          <w:szCs w:val="20"/>
          <w:lang w:val="en-US"/>
        </w:rPr>
        <w:t>On April 23,</w:t>
      </w:r>
      <w:r w:rsidR="006C37C9" w:rsidRPr="00012C3F">
        <w:rPr>
          <w:rFonts w:eastAsia="Verdana" w:cs="Verdana"/>
          <w:sz w:val="20"/>
          <w:szCs w:val="20"/>
          <w:lang w:val="en-US"/>
        </w:rPr>
        <w:t xml:space="preserve"> 2015, </w:t>
      </w:r>
      <w:r w:rsidR="00F07D0C" w:rsidRPr="00012C3F">
        <w:rPr>
          <w:rFonts w:eastAsia="Verdana" w:cs="Verdana"/>
          <w:sz w:val="20"/>
          <w:szCs w:val="20"/>
          <w:lang w:val="en-US"/>
        </w:rPr>
        <w:t>considering</w:t>
      </w:r>
      <w:r w:rsidRPr="00012C3F">
        <w:rPr>
          <w:rFonts w:eastAsia="Verdana" w:cs="Verdana"/>
          <w:sz w:val="20"/>
          <w:szCs w:val="20"/>
          <w:lang w:val="en-US"/>
        </w:rPr>
        <w:t xml:space="preserve"> the content of the State’s report, and also the absence of additional reports or a request for an extension, the Commission submitted all the facts and human rights violations described in the </w:t>
      </w:r>
      <w:r w:rsidR="00E00902" w:rsidRPr="00012C3F">
        <w:rPr>
          <w:rFonts w:eastAsia="Verdana" w:cs="Verdana"/>
          <w:sz w:val="20"/>
          <w:szCs w:val="20"/>
          <w:lang w:val="en-US"/>
        </w:rPr>
        <w:t>Merits Report</w:t>
      </w:r>
      <w:r w:rsidR="00D36411" w:rsidRPr="00012C3F">
        <w:rPr>
          <w:rFonts w:eastAsia="Verdana" w:cs="Verdana"/>
          <w:sz w:val="20"/>
          <w:szCs w:val="20"/>
          <w:lang w:val="en-US"/>
        </w:rPr>
        <w:t xml:space="preserve"> to the jurisdiction of the Inter-American Court</w:t>
      </w:r>
      <w:r w:rsidR="006C37C9" w:rsidRPr="00012C3F">
        <w:rPr>
          <w:rFonts w:eastAsia="Verdana" w:cs="Verdana"/>
          <w:sz w:val="20"/>
          <w:szCs w:val="20"/>
          <w:lang w:val="en-US"/>
        </w:rPr>
        <w:t xml:space="preserve"> “</w:t>
      </w:r>
      <w:r w:rsidRPr="00012C3F">
        <w:rPr>
          <w:rFonts w:eastAsia="Verdana" w:cs="Verdana"/>
          <w:sz w:val="20"/>
          <w:szCs w:val="20"/>
          <w:lang w:val="en-US"/>
        </w:rPr>
        <w:t xml:space="preserve">in view of the need to obtain justice” and the </w:t>
      </w:r>
      <w:r w:rsidR="00D36411" w:rsidRPr="00012C3F">
        <w:rPr>
          <w:rFonts w:eastAsia="Verdana" w:cs="Verdana"/>
          <w:sz w:val="20"/>
          <w:szCs w:val="20"/>
          <w:lang w:val="en-US"/>
        </w:rPr>
        <w:t>issues</w:t>
      </w:r>
      <w:r w:rsidRPr="00012C3F">
        <w:rPr>
          <w:rFonts w:eastAsia="Verdana" w:cs="Verdana"/>
          <w:sz w:val="20"/>
          <w:szCs w:val="20"/>
          <w:lang w:val="en-US"/>
        </w:rPr>
        <w:t xml:space="preserve"> </w:t>
      </w:r>
      <w:r w:rsidR="00D36411" w:rsidRPr="00012C3F">
        <w:rPr>
          <w:rFonts w:eastAsia="Verdana" w:cs="Verdana"/>
          <w:sz w:val="20"/>
          <w:szCs w:val="20"/>
          <w:lang w:val="en-US"/>
        </w:rPr>
        <w:t>relating to</w:t>
      </w:r>
      <w:r w:rsidRPr="00012C3F">
        <w:rPr>
          <w:rFonts w:eastAsia="Verdana" w:cs="Verdana"/>
          <w:sz w:val="20"/>
          <w:szCs w:val="20"/>
          <w:lang w:val="en-US"/>
        </w:rPr>
        <w:t xml:space="preserve"> inter-American public order </w:t>
      </w:r>
      <w:r w:rsidR="00D36411" w:rsidRPr="00012C3F">
        <w:rPr>
          <w:rFonts w:eastAsia="Verdana" w:cs="Verdana"/>
          <w:sz w:val="20"/>
          <w:szCs w:val="20"/>
          <w:lang w:val="en-US"/>
        </w:rPr>
        <w:t>in the area of</w:t>
      </w:r>
      <w:r w:rsidRPr="00012C3F">
        <w:rPr>
          <w:rFonts w:eastAsia="Verdana" w:cs="Verdana"/>
          <w:sz w:val="20"/>
          <w:szCs w:val="20"/>
          <w:lang w:val="en-US"/>
        </w:rPr>
        <w:t xml:space="preserve"> the rights to health and to sexual and reproductive autonomy, </w:t>
      </w:r>
      <w:r w:rsidR="005763AA" w:rsidRPr="00012C3F">
        <w:rPr>
          <w:rFonts w:eastAsia="Verdana" w:cs="Verdana"/>
          <w:sz w:val="20"/>
          <w:szCs w:val="20"/>
          <w:lang w:val="en-US"/>
        </w:rPr>
        <w:t>together with</w:t>
      </w:r>
      <w:r w:rsidRPr="00012C3F">
        <w:rPr>
          <w:rFonts w:eastAsia="Verdana" w:cs="Verdana"/>
          <w:sz w:val="20"/>
          <w:szCs w:val="20"/>
          <w:lang w:val="en-US"/>
        </w:rPr>
        <w:t xml:space="preserve"> </w:t>
      </w:r>
      <w:r w:rsidR="00AC0004" w:rsidRPr="00012C3F">
        <w:rPr>
          <w:rFonts w:eastAsia="Verdana" w:cs="Verdana"/>
          <w:sz w:val="20"/>
          <w:szCs w:val="20"/>
          <w:lang w:val="en-US"/>
        </w:rPr>
        <w:t>informed consent</w:t>
      </w:r>
      <w:r w:rsidRPr="00012C3F">
        <w:rPr>
          <w:rFonts w:eastAsia="Verdana" w:cs="Verdana"/>
          <w:sz w:val="20"/>
          <w:szCs w:val="20"/>
          <w:lang w:val="en-US"/>
        </w:rPr>
        <w:t xml:space="preserve"> in th</w:t>
      </w:r>
      <w:r w:rsidR="005763AA" w:rsidRPr="00012C3F">
        <w:rPr>
          <w:rFonts w:eastAsia="Verdana" w:cs="Verdana"/>
          <w:sz w:val="20"/>
          <w:szCs w:val="20"/>
          <w:lang w:val="en-US"/>
        </w:rPr>
        <w:t>is</w:t>
      </w:r>
      <w:r w:rsidRPr="00012C3F">
        <w:rPr>
          <w:rFonts w:eastAsia="Verdana" w:cs="Verdana"/>
          <w:sz w:val="20"/>
          <w:szCs w:val="20"/>
          <w:lang w:val="en-US"/>
        </w:rPr>
        <w:t xml:space="preserve"> </w:t>
      </w:r>
      <w:r w:rsidR="00D36411" w:rsidRPr="00012C3F">
        <w:rPr>
          <w:rFonts w:eastAsia="Verdana" w:cs="Verdana"/>
          <w:sz w:val="20"/>
          <w:szCs w:val="20"/>
          <w:lang w:val="en-US"/>
        </w:rPr>
        <w:t>regard</w:t>
      </w:r>
      <w:r w:rsidRPr="00012C3F">
        <w:rPr>
          <w:rFonts w:eastAsia="Verdana" w:cs="Verdana"/>
          <w:sz w:val="20"/>
          <w:szCs w:val="20"/>
          <w:lang w:val="en-US"/>
        </w:rPr>
        <w:t>.</w:t>
      </w:r>
      <w:r w:rsidR="00EB3F3D" w:rsidRPr="00012C3F">
        <w:rPr>
          <w:rStyle w:val="Refdenotaalpie"/>
          <w:rFonts w:eastAsia="Verdana" w:cs="Verdana"/>
          <w:sz w:val="20"/>
          <w:szCs w:val="20"/>
          <w:lang w:val="en-US"/>
        </w:rPr>
        <w:footnoteReference w:id="3"/>
      </w:r>
      <w:r w:rsidR="006C37C9" w:rsidRPr="00012C3F">
        <w:rPr>
          <w:rFonts w:eastAsia="Verdana" w:cs="Verdana"/>
          <w:b/>
          <w:sz w:val="16"/>
          <w:szCs w:val="16"/>
          <w:lang w:val="en-US"/>
        </w:rPr>
        <w:t xml:space="preserve"> </w:t>
      </w:r>
    </w:p>
    <w:p w14:paraId="4E8C0192" w14:textId="77777777" w:rsidR="006C37C9" w:rsidRPr="00012C3F" w:rsidRDefault="006C37C9" w:rsidP="006C37C9">
      <w:pPr>
        <w:spacing w:line="240" w:lineRule="auto"/>
        <w:ind w:left="818" w:right="144"/>
        <w:contextualSpacing/>
        <w:rPr>
          <w:rFonts w:cs="Arial"/>
          <w:sz w:val="20"/>
          <w:szCs w:val="20"/>
          <w:lang w:val="en-US"/>
        </w:rPr>
      </w:pPr>
    </w:p>
    <w:p w14:paraId="6C253001" w14:textId="77777777" w:rsidR="006C37C9" w:rsidRPr="00012C3F" w:rsidRDefault="00370DD4" w:rsidP="00095E76">
      <w:pPr>
        <w:numPr>
          <w:ilvl w:val="0"/>
          <w:numId w:val="5"/>
        </w:numPr>
        <w:tabs>
          <w:tab w:val="left" w:pos="720"/>
          <w:tab w:val="num" w:pos="12305"/>
        </w:tabs>
        <w:spacing w:line="240" w:lineRule="auto"/>
        <w:ind w:left="0" w:firstLine="0"/>
        <w:rPr>
          <w:rFonts w:eastAsia="Verdana" w:cs="Verdana"/>
          <w:sz w:val="20"/>
          <w:szCs w:val="20"/>
          <w:lang w:val="en-US"/>
        </w:rPr>
      </w:pPr>
      <w:r w:rsidRPr="00012C3F">
        <w:rPr>
          <w:rFonts w:eastAsia="Verdana" w:cs="Verdana"/>
          <w:i/>
          <w:sz w:val="20"/>
          <w:szCs w:val="20"/>
          <w:lang w:val="en-US"/>
        </w:rPr>
        <w:t>Requests</w:t>
      </w:r>
      <w:r w:rsidR="001254DE" w:rsidRPr="00012C3F">
        <w:rPr>
          <w:rFonts w:eastAsia="Verdana" w:cs="Verdana"/>
          <w:i/>
          <w:sz w:val="20"/>
          <w:szCs w:val="20"/>
          <w:lang w:val="en-US"/>
        </w:rPr>
        <w:t xml:space="preserve"> of the Inter-American </w:t>
      </w:r>
      <w:r w:rsidR="00A84CA0" w:rsidRPr="00012C3F">
        <w:rPr>
          <w:rFonts w:eastAsia="Verdana" w:cs="Verdana"/>
          <w:i/>
          <w:sz w:val="20"/>
          <w:szCs w:val="20"/>
          <w:lang w:val="en-US"/>
        </w:rPr>
        <w:t>Commission</w:t>
      </w:r>
      <w:r w:rsidR="006C37C9" w:rsidRPr="00012C3F">
        <w:rPr>
          <w:rFonts w:eastAsia="Verdana" w:cs="Verdana"/>
          <w:i/>
          <w:sz w:val="20"/>
          <w:szCs w:val="20"/>
          <w:lang w:val="en-US"/>
        </w:rPr>
        <w:t xml:space="preserve">. </w:t>
      </w:r>
      <w:r w:rsidRPr="00012C3F">
        <w:rPr>
          <w:rFonts w:eastAsia="Verdana" w:cs="Verdana"/>
          <w:sz w:val="20"/>
          <w:szCs w:val="20"/>
          <w:lang w:val="en-US"/>
        </w:rPr>
        <w:t>Based on the above,</w:t>
      </w:r>
      <w:r w:rsidR="006C37C9" w:rsidRPr="00012C3F">
        <w:rPr>
          <w:rFonts w:eastAsia="Verdana" w:cs="Verdana"/>
          <w:sz w:val="20"/>
          <w:szCs w:val="20"/>
          <w:lang w:val="en-US"/>
        </w:rPr>
        <w:t xml:space="preserve"> </w:t>
      </w:r>
      <w:r w:rsidR="001254DE" w:rsidRPr="00012C3F">
        <w:rPr>
          <w:rFonts w:eastAsia="Verdana" w:cs="Verdana"/>
          <w:sz w:val="20"/>
          <w:szCs w:val="20"/>
          <w:lang w:val="en-US"/>
        </w:rPr>
        <w:t xml:space="preserve">the </w:t>
      </w:r>
      <w:r w:rsidR="00A84CA0" w:rsidRPr="00012C3F">
        <w:rPr>
          <w:rFonts w:eastAsia="Verdana" w:cs="Verdana"/>
          <w:sz w:val="20"/>
          <w:szCs w:val="20"/>
          <w:lang w:val="en-US"/>
        </w:rPr>
        <w:t>Commission</w:t>
      </w:r>
      <w:r w:rsidR="006C37C9" w:rsidRPr="00012C3F">
        <w:rPr>
          <w:rFonts w:eastAsia="Verdana" w:cs="Verdana"/>
          <w:sz w:val="20"/>
          <w:szCs w:val="20"/>
          <w:lang w:val="en-US"/>
        </w:rPr>
        <w:t xml:space="preserve"> </w:t>
      </w:r>
      <w:r w:rsidRPr="00012C3F">
        <w:rPr>
          <w:rFonts w:eastAsia="Verdana" w:cs="Verdana"/>
          <w:sz w:val="20"/>
          <w:szCs w:val="20"/>
          <w:lang w:val="en-US"/>
        </w:rPr>
        <w:t>asked</w:t>
      </w:r>
      <w:r w:rsidR="006C37C9" w:rsidRPr="00012C3F">
        <w:rPr>
          <w:rFonts w:eastAsia="Verdana" w:cs="Verdana"/>
          <w:sz w:val="20"/>
          <w:szCs w:val="20"/>
          <w:lang w:val="en-US"/>
        </w:rPr>
        <w:t xml:space="preserve"> </w:t>
      </w:r>
      <w:r w:rsidR="001254DE" w:rsidRPr="00012C3F">
        <w:rPr>
          <w:rFonts w:eastAsia="Verdana" w:cs="Verdana"/>
          <w:sz w:val="20"/>
          <w:szCs w:val="20"/>
          <w:lang w:val="en-US"/>
        </w:rPr>
        <w:t>the Court</w:t>
      </w:r>
      <w:r w:rsidR="006C37C9" w:rsidRPr="00012C3F">
        <w:rPr>
          <w:rFonts w:eastAsia="Verdana" w:cs="Verdana"/>
          <w:sz w:val="20"/>
          <w:szCs w:val="20"/>
          <w:lang w:val="en-US"/>
        </w:rPr>
        <w:t xml:space="preserve"> </w:t>
      </w:r>
      <w:r w:rsidRPr="00012C3F">
        <w:rPr>
          <w:rFonts w:eastAsia="Verdana" w:cs="Verdana"/>
          <w:sz w:val="20"/>
          <w:szCs w:val="20"/>
          <w:lang w:val="en-US"/>
        </w:rPr>
        <w:t xml:space="preserve">to declare the international responsibility of the </w:t>
      </w:r>
      <w:r w:rsidR="00A84CA0" w:rsidRPr="00012C3F">
        <w:rPr>
          <w:rFonts w:eastAsia="Verdana" w:cs="Verdana"/>
          <w:sz w:val="20"/>
          <w:szCs w:val="20"/>
          <w:lang w:val="en-US"/>
        </w:rPr>
        <w:t>State</w:t>
      </w:r>
      <w:r w:rsidR="006C37C9" w:rsidRPr="00012C3F">
        <w:rPr>
          <w:rFonts w:eastAsia="Verdana" w:cs="Verdana"/>
          <w:sz w:val="20"/>
          <w:szCs w:val="20"/>
          <w:lang w:val="en-US"/>
        </w:rPr>
        <w:t xml:space="preserve"> </w:t>
      </w:r>
      <w:r w:rsidRPr="00012C3F">
        <w:rPr>
          <w:rFonts w:eastAsia="Verdana" w:cs="Verdana"/>
          <w:sz w:val="20"/>
          <w:szCs w:val="20"/>
          <w:lang w:val="en-US"/>
        </w:rPr>
        <w:t xml:space="preserve">for the violations indicated in its </w:t>
      </w:r>
      <w:r w:rsidR="00E00902" w:rsidRPr="00012C3F">
        <w:rPr>
          <w:rFonts w:eastAsia="Verdana" w:cs="Verdana"/>
          <w:sz w:val="20"/>
          <w:szCs w:val="20"/>
          <w:lang w:val="en-US"/>
        </w:rPr>
        <w:t>Merits Report</w:t>
      </w:r>
      <w:r w:rsidR="006C37C9" w:rsidRPr="00012C3F">
        <w:rPr>
          <w:rFonts w:eastAsia="Verdana" w:cs="Verdana"/>
          <w:sz w:val="20"/>
          <w:szCs w:val="20"/>
          <w:lang w:val="en-US"/>
        </w:rPr>
        <w:t xml:space="preserve"> </w:t>
      </w:r>
      <w:r w:rsidR="006C37C9" w:rsidRPr="00012C3F">
        <w:rPr>
          <w:rFonts w:cs="Verdana"/>
          <w:sz w:val="20"/>
          <w:szCs w:val="20"/>
          <w:lang w:val="en-US"/>
        </w:rPr>
        <w:t>(</w:t>
      </w:r>
      <w:r w:rsidR="006C37C9" w:rsidRPr="00012C3F">
        <w:rPr>
          <w:rFonts w:cs="Verdana"/>
          <w:i/>
          <w:iCs/>
          <w:sz w:val="20"/>
          <w:szCs w:val="20"/>
          <w:lang w:val="en-US"/>
        </w:rPr>
        <w:t xml:space="preserve">supra </w:t>
      </w:r>
      <w:r w:rsidRPr="00012C3F">
        <w:rPr>
          <w:rFonts w:cs="Verdana"/>
          <w:sz w:val="20"/>
          <w:szCs w:val="20"/>
          <w:lang w:val="en-US"/>
        </w:rPr>
        <w:t>para.</w:t>
      </w:r>
      <w:r w:rsidR="006C37C9" w:rsidRPr="00012C3F">
        <w:rPr>
          <w:rFonts w:cs="Verdana"/>
          <w:sz w:val="20"/>
          <w:szCs w:val="20"/>
          <w:lang w:val="en-US"/>
        </w:rPr>
        <w:t xml:space="preserve"> 2.c.a)</w:t>
      </w:r>
      <w:r w:rsidR="006C37C9" w:rsidRPr="00012C3F">
        <w:rPr>
          <w:rFonts w:eastAsia="Verdana" w:cs="Verdana"/>
          <w:sz w:val="20"/>
          <w:szCs w:val="20"/>
          <w:lang w:val="en-US"/>
        </w:rPr>
        <w:t xml:space="preserve">. </w:t>
      </w:r>
      <w:r w:rsidRPr="00012C3F">
        <w:rPr>
          <w:rFonts w:eastAsia="Verdana" w:cs="Verdana"/>
          <w:sz w:val="20"/>
          <w:szCs w:val="20"/>
          <w:lang w:val="en-US"/>
        </w:rPr>
        <w:t>T</w:t>
      </w:r>
      <w:r w:rsidR="001254DE" w:rsidRPr="00012C3F">
        <w:rPr>
          <w:rFonts w:eastAsia="Verdana" w:cs="Verdana"/>
          <w:sz w:val="20"/>
          <w:szCs w:val="20"/>
          <w:lang w:val="en-US"/>
        </w:rPr>
        <w:t xml:space="preserve">he </w:t>
      </w:r>
      <w:r w:rsidR="00A84CA0" w:rsidRPr="00012C3F">
        <w:rPr>
          <w:rFonts w:eastAsia="Verdana" w:cs="Verdana"/>
          <w:sz w:val="20"/>
          <w:szCs w:val="20"/>
          <w:lang w:val="en-US"/>
        </w:rPr>
        <w:t>Commission</w:t>
      </w:r>
      <w:r w:rsidR="006C37C9" w:rsidRPr="00012C3F">
        <w:rPr>
          <w:rFonts w:eastAsia="Verdana" w:cs="Verdana"/>
          <w:sz w:val="20"/>
          <w:szCs w:val="20"/>
          <w:lang w:val="en-US"/>
        </w:rPr>
        <w:t xml:space="preserve"> </w:t>
      </w:r>
      <w:r w:rsidRPr="00012C3F">
        <w:rPr>
          <w:rFonts w:eastAsia="Verdana" w:cs="Verdana"/>
          <w:sz w:val="20"/>
          <w:szCs w:val="20"/>
          <w:lang w:val="en-US"/>
        </w:rPr>
        <w:t>also asked</w:t>
      </w:r>
      <w:r w:rsidR="006C37C9" w:rsidRPr="00012C3F">
        <w:rPr>
          <w:rFonts w:eastAsia="Verdana" w:cs="Verdana"/>
          <w:sz w:val="20"/>
          <w:szCs w:val="20"/>
          <w:lang w:val="en-US"/>
        </w:rPr>
        <w:t xml:space="preserve"> </w:t>
      </w:r>
      <w:r w:rsidR="001254DE" w:rsidRPr="00012C3F">
        <w:rPr>
          <w:rFonts w:eastAsia="Verdana" w:cs="Verdana"/>
          <w:sz w:val="20"/>
          <w:szCs w:val="20"/>
          <w:lang w:val="en-US"/>
        </w:rPr>
        <w:t>the Court</w:t>
      </w:r>
      <w:r w:rsidR="006C37C9" w:rsidRPr="00012C3F">
        <w:rPr>
          <w:rFonts w:eastAsia="Verdana" w:cs="Verdana"/>
          <w:sz w:val="20"/>
          <w:szCs w:val="20"/>
          <w:lang w:val="en-US"/>
        </w:rPr>
        <w:t xml:space="preserve"> </w:t>
      </w:r>
      <w:r w:rsidRPr="00012C3F">
        <w:rPr>
          <w:rFonts w:eastAsia="Verdana" w:cs="Verdana"/>
          <w:sz w:val="20"/>
          <w:szCs w:val="20"/>
          <w:lang w:val="en-US"/>
        </w:rPr>
        <w:t>to order the State to adopt certain measures of reparation, which will be described and analyzed in Chapter IX of this judgment</w:t>
      </w:r>
      <w:r w:rsidR="006C37C9" w:rsidRPr="00012C3F">
        <w:rPr>
          <w:rFonts w:eastAsia="Verdana" w:cs="Verdana"/>
          <w:sz w:val="20"/>
          <w:szCs w:val="20"/>
          <w:lang w:val="en-US"/>
        </w:rPr>
        <w:t>.</w:t>
      </w:r>
    </w:p>
    <w:p w14:paraId="69AF7AC4" w14:textId="77777777" w:rsidR="006C37C9" w:rsidRPr="00012C3F" w:rsidRDefault="006C37C9" w:rsidP="006C37C9">
      <w:pPr>
        <w:pStyle w:val="Prrafodelista"/>
        <w:autoSpaceDE w:val="0"/>
        <w:autoSpaceDN w:val="0"/>
        <w:spacing w:line="240" w:lineRule="auto"/>
        <w:ind w:left="709"/>
        <w:rPr>
          <w:rFonts w:eastAsia="Verdana" w:cs="Verdana"/>
          <w:sz w:val="20"/>
          <w:szCs w:val="20"/>
          <w:lang w:val="en-US"/>
        </w:rPr>
      </w:pPr>
    </w:p>
    <w:p w14:paraId="0C059A55" w14:textId="77777777" w:rsidR="006C37C9" w:rsidRPr="00012C3F" w:rsidRDefault="006C37C9" w:rsidP="00A93967">
      <w:pPr>
        <w:keepNext/>
        <w:keepLines/>
        <w:tabs>
          <w:tab w:val="left" w:pos="851"/>
        </w:tabs>
        <w:spacing w:line="240" w:lineRule="auto"/>
        <w:jc w:val="center"/>
        <w:outlineLvl w:val="0"/>
        <w:rPr>
          <w:rFonts w:cs="Verdana"/>
          <w:b/>
          <w:bCs/>
          <w:caps/>
          <w:snapToGrid w:val="0"/>
          <w:sz w:val="20"/>
          <w:szCs w:val="20"/>
          <w:lang w:val="en-US"/>
        </w:rPr>
      </w:pPr>
      <w:bookmarkStart w:id="11" w:name="_Toc372568229"/>
      <w:bookmarkStart w:id="12" w:name="_Toc373093235"/>
      <w:bookmarkStart w:id="13" w:name="_Toc373350047"/>
      <w:bookmarkStart w:id="14" w:name="_Toc375560893"/>
      <w:bookmarkStart w:id="15" w:name="_Toc401931878"/>
      <w:bookmarkStart w:id="16" w:name="_Toc428369977"/>
      <w:bookmarkStart w:id="17" w:name="_Toc459158093"/>
      <w:bookmarkStart w:id="18" w:name="_Toc27486817"/>
      <w:r w:rsidRPr="00012C3F">
        <w:rPr>
          <w:rFonts w:cs="Verdana"/>
          <w:b/>
          <w:bCs/>
          <w:caps/>
          <w:snapToGrid w:val="0"/>
          <w:sz w:val="20"/>
          <w:szCs w:val="20"/>
          <w:lang w:val="en-US"/>
        </w:rPr>
        <w:t>II</w:t>
      </w:r>
      <w:bookmarkStart w:id="19" w:name="_Toc375062711"/>
      <w:bookmarkStart w:id="20" w:name="_Toc375140861"/>
      <w:bookmarkStart w:id="21" w:name="_Toc375504820"/>
      <w:bookmarkStart w:id="22" w:name="_Toc375560894"/>
      <w:bookmarkEnd w:id="11"/>
      <w:bookmarkEnd w:id="12"/>
      <w:bookmarkEnd w:id="13"/>
      <w:bookmarkEnd w:id="14"/>
      <w:r w:rsidRPr="00012C3F">
        <w:rPr>
          <w:rFonts w:cs="Verdana"/>
          <w:b/>
          <w:bCs/>
          <w:caps/>
          <w:snapToGrid w:val="0"/>
          <w:sz w:val="20"/>
          <w:szCs w:val="20"/>
          <w:lang w:val="en-US"/>
        </w:rPr>
        <w:br/>
      </w:r>
      <w:r w:rsidR="00370DD4" w:rsidRPr="00012C3F">
        <w:rPr>
          <w:rFonts w:cs="Verdana"/>
          <w:b/>
          <w:bCs/>
          <w:caps/>
          <w:snapToGrid w:val="0"/>
          <w:sz w:val="20"/>
          <w:szCs w:val="20"/>
          <w:lang w:val="en-US"/>
        </w:rPr>
        <w:t>PROCEEDINGS BEFORE THE COURT</w:t>
      </w:r>
      <w:bookmarkEnd w:id="15"/>
      <w:bookmarkEnd w:id="16"/>
      <w:bookmarkEnd w:id="17"/>
      <w:bookmarkEnd w:id="18"/>
      <w:bookmarkEnd w:id="19"/>
      <w:bookmarkEnd w:id="20"/>
      <w:bookmarkEnd w:id="21"/>
      <w:bookmarkEnd w:id="22"/>
    </w:p>
    <w:p w14:paraId="4DFE5C49" w14:textId="77777777" w:rsidR="006C37C9" w:rsidRPr="00012C3F" w:rsidRDefault="006C37C9" w:rsidP="006C37C9">
      <w:pPr>
        <w:spacing w:line="240" w:lineRule="auto"/>
        <w:ind w:left="3255" w:right="3302" w:firstLine="1776"/>
        <w:rPr>
          <w:rFonts w:eastAsia="Verdana" w:cs="Verdana"/>
          <w:sz w:val="20"/>
          <w:szCs w:val="20"/>
          <w:lang w:val="en-US"/>
        </w:rPr>
      </w:pPr>
    </w:p>
    <w:p w14:paraId="32273935" w14:textId="77777777" w:rsidR="006C37C9" w:rsidRPr="00012C3F" w:rsidRDefault="006C37C9" w:rsidP="00095E76">
      <w:pPr>
        <w:numPr>
          <w:ilvl w:val="0"/>
          <w:numId w:val="5"/>
        </w:numPr>
        <w:tabs>
          <w:tab w:val="left" w:pos="720"/>
          <w:tab w:val="num" w:pos="12305"/>
        </w:tabs>
        <w:spacing w:line="240" w:lineRule="auto"/>
        <w:ind w:left="0" w:firstLine="0"/>
        <w:rPr>
          <w:rFonts w:eastAsia="Verdana" w:cs="Verdana"/>
          <w:sz w:val="16"/>
          <w:szCs w:val="16"/>
          <w:lang w:val="en-US"/>
        </w:rPr>
      </w:pPr>
      <w:r w:rsidRPr="00012C3F">
        <w:rPr>
          <w:rFonts w:eastAsia="Verdana" w:cs="Verdana"/>
          <w:i/>
          <w:sz w:val="20"/>
          <w:szCs w:val="20"/>
          <w:lang w:val="en-US"/>
        </w:rPr>
        <w:t>Notifica</w:t>
      </w:r>
      <w:r w:rsidR="00972ACF" w:rsidRPr="00012C3F">
        <w:rPr>
          <w:rFonts w:eastAsia="Verdana" w:cs="Verdana"/>
          <w:i/>
          <w:sz w:val="20"/>
          <w:szCs w:val="20"/>
          <w:lang w:val="en-US"/>
        </w:rPr>
        <w:t>tion to the representative and the State</w:t>
      </w:r>
      <w:r w:rsidRPr="00012C3F">
        <w:rPr>
          <w:rFonts w:eastAsia="Verdana" w:cs="Verdana"/>
          <w:i/>
          <w:sz w:val="20"/>
          <w:szCs w:val="20"/>
          <w:lang w:val="en-US"/>
        </w:rPr>
        <w:t xml:space="preserve">. </w:t>
      </w:r>
      <w:r w:rsidR="00972ACF" w:rsidRPr="00012C3F">
        <w:rPr>
          <w:rFonts w:eastAsia="Verdana" w:cs="Verdana"/>
          <w:sz w:val="20"/>
          <w:szCs w:val="20"/>
          <w:lang w:val="en-US"/>
        </w:rPr>
        <w:t xml:space="preserve">The Court notified the Commission’s submission of the case to the presumed victim’s representative </w:t>
      </w:r>
      <w:r w:rsidRPr="00012C3F">
        <w:rPr>
          <w:rFonts w:eastAsia="Verdana" w:cs="Verdana"/>
          <w:sz w:val="20"/>
          <w:szCs w:val="20"/>
          <w:lang w:val="en-US"/>
        </w:rPr>
        <w:t>(</w:t>
      </w:r>
      <w:r w:rsidR="001254DE" w:rsidRPr="00012C3F">
        <w:rPr>
          <w:rFonts w:eastAsia="Verdana" w:cs="Verdana"/>
          <w:sz w:val="20"/>
          <w:szCs w:val="20"/>
          <w:lang w:val="en-US"/>
        </w:rPr>
        <w:t>hereinafter</w:t>
      </w:r>
      <w:r w:rsidRPr="00012C3F">
        <w:rPr>
          <w:rFonts w:eastAsia="Verdana" w:cs="Verdana"/>
          <w:sz w:val="20"/>
          <w:szCs w:val="20"/>
          <w:lang w:val="en-US"/>
        </w:rPr>
        <w:t xml:space="preserve"> “</w:t>
      </w:r>
      <w:r w:rsidR="00972ACF" w:rsidRPr="00012C3F">
        <w:rPr>
          <w:rFonts w:eastAsia="Verdana" w:cs="Verdana"/>
          <w:sz w:val="20"/>
          <w:szCs w:val="20"/>
          <w:lang w:val="en-US"/>
        </w:rPr>
        <w:t>the representative</w:t>
      </w:r>
      <w:r w:rsidRPr="00012C3F">
        <w:rPr>
          <w:rFonts w:eastAsia="Verdana" w:cs="Verdana"/>
          <w:sz w:val="20"/>
          <w:szCs w:val="20"/>
          <w:lang w:val="en-US"/>
        </w:rPr>
        <w:t xml:space="preserve">”) </w:t>
      </w:r>
      <w:r w:rsidR="00972ACF" w:rsidRPr="00012C3F">
        <w:rPr>
          <w:rFonts w:eastAsia="Verdana" w:cs="Verdana"/>
          <w:sz w:val="20"/>
          <w:szCs w:val="20"/>
          <w:lang w:val="en-US"/>
        </w:rPr>
        <w:t>on July 17,</w:t>
      </w:r>
      <w:r w:rsidRPr="00012C3F">
        <w:rPr>
          <w:rFonts w:eastAsia="Verdana" w:cs="Verdana"/>
          <w:sz w:val="20"/>
          <w:szCs w:val="20"/>
          <w:lang w:val="en-US"/>
        </w:rPr>
        <w:t xml:space="preserve"> 2015</w:t>
      </w:r>
      <w:r w:rsidR="00972ACF" w:rsidRPr="00012C3F">
        <w:rPr>
          <w:rFonts w:eastAsia="Verdana" w:cs="Verdana"/>
          <w:sz w:val="20"/>
          <w:szCs w:val="20"/>
          <w:lang w:val="en-US"/>
        </w:rPr>
        <w:t>, and to the State on July</w:t>
      </w:r>
      <w:r w:rsidR="00D36411" w:rsidRPr="00012C3F">
        <w:rPr>
          <w:rFonts w:eastAsia="Verdana" w:cs="Verdana"/>
          <w:sz w:val="20"/>
          <w:szCs w:val="20"/>
          <w:lang w:val="en-US"/>
        </w:rPr>
        <w:t xml:space="preserve"> </w:t>
      </w:r>
      <w:r w:rsidR="00972ACF" w:rsidRPr="00012C3F">
        <w:rPr>
          <w:rFonts w:eastAsia="Verdana" w:cs="Verdana"/>
          <w:sz w:val="20"/>
          <w:szCs w:val="20"/>
          <w:lang w:val="en-US"/>
        </w:rPr>
        <w:t>14,</w:t>
      </w:r>
      <w:r w:rsidRPr="00012C3F">
        <w:rPr>
          <w:rFonts w:eastAsia="Verdana" w:cs="Verdana"/>
          <w:sz w:val="20"/>
          <w:szCs w:val="20"/>
          <w:lang w:val="en-US"/>
        </w:rPr>
        <w:t xml:space="preserve"> 2015.</w:t>
      </w:r>
    </w:p>
    <w:p w14:paraId="25CA742E" w14:textId="77777777" w:rsidR="006C37C9" w:rsidRPr="00012C3F" w:rsidRDefault="006C37C9" w:rsidP="006C37C9">
      <w:pPr>
        <w:spacing w:before="3" w:line="240" w:lineRule="auto"/>
        <w:rPr>
          <w:lang w:val="en-US"/>
        </w:rPr>
      </w:pPr>
    </w:p>
    <w:p w14:paraId="62D7DEF4" w14:textId="77777777" w:rsidR="006C37C9" w:rsidRPr="00012C3F" w:rsidRDefault="00972ACF" w:rsidP="00095E76">
      <w:pPr>
        <w:numPr>
          <w:ilvl w:val="0"/>
          <w:numId w:val="5"/>
        </w:numPr>
        <w:tabs>
          <w:tab w:val="left" w:pos="720"/>
          <w:tab w:val="num" w:pos="12305"/>
        </w:tabs>
        <w:spacing w:line="240" w:lineRule="auto"/>
        <w:ind w:left="0" w:firstLine="0"/>
        <w:rPr>
          <w:rFonts w:eastAsia="Verdana" w:cs="Verdana"/>
          <w:sz w:val="20"/>
          <w:szCs w:val="20"/>
          <w:u w:val="single"/>
          <w:lang w:val="en-US"/>
        </w:rPr>
      </w:pPr>
      <w:r w:rsidRPr="00012C3F">
        <w:rPr>
          <w:rFonts w:eastAsia="Verdana" w:cs="Verdana"/>
          <w:i/>
          <w:sz w:val="20"/>
          <w:szCs w:val="20"/>
          <w:lang w:val="en-US"/>
        </w:rPr>
        <w:t>Brief with motions, pleadings and evidence</w:t>
      </w:r>
      <w:r w:rsidR="006C37C9" w:rsidRPr="00012C3F">
        <w:rPr>
          <w:rFonts w:eastAsia="Verdana" w:cs="Verdana"/>
          <w:i/>
          <w:sz w:val="20"/>
          <w:szCs w:val="20"/>
          <w:lang w:val="en-US"/>
        </w:rPr>
        <w:t xml:space="preserve">. </w:t>
      </w:r>
      <w:r w:rsidRPr="00012C3F">
        <w:rPr>
          <w:rFonts w:eastAsia="Verdana" w:cs="Verdana"/>
          <w:sz w:val="20"/>
          <w:szCs w:val="20"/>
          <w:lang w:val="en-US"/>
        </w:rPr>
        <w:t>On September 14,</w:t>
      </w:r>
      <w:r w:rsidR="006C37C9" w:rsidRPr="00012C3F">
        <w:rPr>
          <w:rFonts w:eastAsia="Verdana" w:cs="Verdana"/>
          <w:sz w:val="20"/>
          <w:szCs w:val="20"/>
          <w:lang w:val="en-US"/>
        </w:rPr>
        <w:t xml:space="preserve"> 2015</w:t>
      </w:r>
      <w:r w:rsidRPr="00012C3F">
        <w:rPr>
          <w:rFonts w:eastAsia="Verdana" w:cs="Verdana"/>
          <w:sz w:val="20"/>
          <w:szCs w:val="20"/>
          <w:lang w:val="en-US"/>
        </w:rPr>
        <w:t>,</w:t>
      </w:r>
      <w:r w:rsidR="006C37C9" w:rsidRPr="00012C3F">
        <w:rPr>
          <w:rFonts w:eastAsia="Verdana" w:cs="Verdana"/>
          <w:sz w:val="20"/>
          <w:szCs w:val="20"/>
          <w:lang w:val="en-US"/>
        </w:rPr>
        <w:t xml:space="preserve"> </w:t>
      </w:r>
      <w:r w:rsidRPr="00012C3F">
        <w:rPr>
          <w:rFonts w:eastAsia="Verdana" w:cs="Verdana"/>
          <w:sz w:val="20"/>
          <w:szCs w:val="20"/>
          <w:lang w:val="en-US"/>
        </w:rPr>
        <w:t>the presumed victim’s representative</w:t>
      </w:r>
      <w:r w:rsidR="006C37C9" w:rsidRPr="00012C3F">
        <w:rPr>
          <w:rStyle w:val="Refdenotaalpie"/>
          <w:rFonts w:eastAsia="Verdana" w:cs="Verdana"/>
          <w:sz w:val="20"/>
          <w:szCs w:val="20"/>
          <w:lang w:val="en-US"/>
        </w:rPr>
        <w:footnoteReference w:id="4"/>
      </w:r>
      <w:r w:rsidR="006C37C9" w:rsidRPr="00012C3F">
        <w:rPr>
          <w:rFonts w:eastAsia="Verdana" w:cs="Verdana"/>
          <w:sz w:val="20"/>
          <w:szCs w:val="20"/>
          <w:lang w:val="en-US"/>
        </w:rPr>
        <w:t xml:space="preserve"> </w:t>
      </w:r>
      <w:r w:rsidRPr="00012C3F">
        <w:rPr>
          <w:rFonts w:eastAsia="Verdana" w:cs="Verdana"/>
          <w:sz w:val="20"/>
          <w:szCs w:val="20"/>
          <w:lang w:val="en-US"/>
        </w:rPr>
        <w:t>submitted to</w:t>
      </w:r>
      <w:r w:rsidR="006C37C9" w:rsidRPr="00012C3F">
        <w:rPr>
          <w:rFonts w:eastAsia="Verdana" w:cs="Verdana"/>
          <w:sz w:val="20"/>
          <w:szCs w:val="20"/>
          <w:lang w:val="en-US"/>
        </w:rPr>
        <w:t xml:space="preserve"> </w:t>
      </w:r>
      <w:r w:rsidR="001254DE" w:rsidRPr="00012C3F">
        <w:rPr>
          <w:rFonts w:eastAsia="Verdana" w:cs="Verdana"/>
          <w:sz w:val="20"/>
          <w:szCs w:val="20"/>
          <w:lang w:val="en-US"/>
        </w:rPr>
        <w:t>the Court</w:t>
      </w:r>
      <w:r w:rsidR="006C37C9" w:rsidRPr="00012C3F">
        <w:rPr>
          <w:rFonts w:eastAsia="Verdana" w:cs="Verdana"/>
          <w:sz w:val="20"/>
          <w:szCs w:val="20"/>
          <w:lang w:val="en-US"/>
        </w:rPr>
        <w:t xml:space="preserve"> </w:t>
      </w:r>
      <w:r w:rsidRPr="00012C3F">
        <w:rPr>
          <w:rFonts w:eastAsia="Verdana" w:cs="Verdana"/>
          <w:sz w:val="20"/>
          <w:szCs w:val="20"/>
          <w:lang w:val="en-US"/>
        </w:rPr>
        <w:t>her</w:t>
      </w:r>
      <w:r w:rsidR="006C37C9" w:rsidRPr="00012C3F">
        <w:rPr>
          <w:rFonts w:eastAsia="Verdana" w:cs="Verdana"/>
          <w:sz w:val="20"/>
          <w:szCs w:val="20"/>
          <w:lang w:val="en-US"/>
        </w:rPr>
        <w:t xml:space="preserve"> </w:t>
      </w:r>
      <w:r w:rsidRPr="00012C3F">
        <w:rPr>
          <w:rFonts w:eastAsia="Verdana" w:cs="Verdana"/>
          <w:sz w:val="20"/>
          <w:szCs w:val="20"/>
          <w:lang w:val="en-US"/>
        </w:rPr>
        <w:t>brief with motions, pleadings and evidence</w:t>
      </w:r>
      <w:r w:rsidR="006C37C9" w:rsidRPr="00012C3F">
        <w:rPr>
          <w:rFonts w:eastAsia="Verdana" w:cs="Verdana"/>
          <w:sz w:val="20"/>
          <w:szCs w:val="20"/>
          <w:lang w:val="en-US"/>
        </w:rPr>
        <w:t xml:space="preserve"> (</w:t>
      </w:r>
      <w:r w:rsidR="001254DE" w:rsidRPr="00012C3F">
        <w:rPr>
          <w:rFonts w:eastAsia="Verdana" w:cs="Verdana"/>
          <w:sz w:val="20"/>
          <w:szCs w:val="20"/>
          <w:lang w:val="en-US"/>
        </w:rPr>
        <w:t>hereinafter</w:t>
      </w:r>
      <w:r w:rsidR="006C37C9" w:rsidRPr="00012C3F">
        <w:rPr>
          <w:rFonts w:eastAsia="Verdana" w:cs="Verdana"/>
          <w:sz w:val="20"/>
          <w:szCs w:val="20"/>
          <w:lang w:val="en-US"/>
        </w:rPr>
        <w:t xml:space="preserve"> “</w:t>
      </w:r>
      <w:r w:rsidRPr="00012C3F">
        <w:rPr>
          <w:rFonts w:eastAsia="Verdana" w:cs="Verdana"/>
          <w:sz w:val="20"/>
          <w:szCs w:val="20"/>
          <w:lang w:val="en-US"/>
        </w:rPr>
        <w:t>motions and pleadings brief</w:t>
      </w:r>
      <w:r w:rsidR="006C37C9" w:rsidRPr="00012C3F">
        <w:rPr>
          <w:rFonts w:eastAsia="Verdana" w:cs="Verdana"/>
          <w:sz w:val="20"/>
          <w:szCs w:val="20"/>
          <w:lang w:val="en-US"/>
        </w:rPr>
        <w:t xml:space="preserve">”). </w:t>
      </w:r>
      <w:r w:rsidRPr="00012C3F">
        <w:rPr>
          <w:rFonts w:eastAsia="Verdana" w:cs="Verdana"/>
          <w:sz w:val="20"/>
          <w:szCs w:val="20"/>
          <w:lang w:val="en-US"/>
        </w:rPr>
        <w:t>The representative</w:t>
      </w:r>
      <w:r w:rsidR="006C37C9" w:rsidRPr="00012C3F">
        <w:rPr>
          <w:rFonts w:eastAsia="Verdana" w:cs="Verdana"/>
          <w:sz w:val="20"/>
          <w:szCs w:val="20"/>
          <w:lang w:val="en-US"/>
        </w:rPr>
        <w:t xml:space="preserve"> </w:t>
      </w:r>
      <w:r w:rsidRPr="00012C3F">
        <w:rPr>
          <w:rFonts w:eastAsia="Verdana" w:cs="Verdana"/>
          <w:sz w:val="20"/>
          <w:szCs w:val="20"/>
          <w:lang w:val="en-US"/>
        </w:rPr>
        <w:t>agreed substantially with the arguments</w:t>
      </w:r>
      <w:r w:rsidR="001254DE" w:rsidRPr="00012C3F">
        <w:rPr>
          <w:rFonts w:eastAsia="Verdana" w:cs="Verdana"/>
          <w:sz w:val="20"/>
          <w:szCs w:val="20"/>
          <w:lang w:val="en-US"/>
        </w:rPr>
        <w:t xml:space="preserve"> of the </w:t>
      </w:r>
      <w:r w:rsidR="00A84CA0" w:rsidRPr="00012C3F">
        <w:rPr>
          <w:rFonts w:eastAsia="Verdana" w:cs="Verdana"/>
          <w:sz w:val="20"/>
          <w:szCs w:val="20"/>
          <w:lang w:val="en-US"/>
        </w:rPr>
        <w:lastRenderedPageBreak/>
        <w:t>Commission</w:t>
      </w:r>
      <w:r w:rsidR="005E5012" w:rsidRPr="00012C3F">
        <w:rPr>
          <w:rFonts w:eastAsia="Verdana" w:cs="Verdana"/>
          <w:sz w:val="20"/>
          <w:szCs w:val="20"/>
          <w:lang w:val="en-US"/>
        </w:rPr>
        <w:t xml:space="preserve"> and </w:t>
      </w:r>
      <w:r w:rsidR="00B257AF" w:rsidRPr="00012C3F">
        <w:rPr>
          <w:rFonts w:eastAsia="Verdana" w:cs="Verdana"/>
          <w:sz w:val="20"/>
          <w:szCs w:val="20"/>
          <w:lang w:val="en-US"/>
        </w:rPr>
        <w:t>asked</w:t>
      </w:r>
      <w:r w:rsidR="006C37C9" w:rsidRPr="00012C3F">
        <w:rPr>
          <w:rFonts w:eastAsia="Verdana" w:cs="Verdana"/>
          <w:sz w:val="20"/>
          <w:szCs w:val="20"/>
          <w:lang w:val="en-US"/>
        </w:rPr>
        <w:t xml:space="preserve"> </w:t>
      </w:r>
      <w:r w:rsidR="001254DE" w:rsidRPr="00012C3F">
        <w:rPr>
          <w:rFonts w:eastAsia="Verdana" w:cs="Verdana"/>
          <w:sz w:val="20"/>
          <w:szCs w:val="20"/>
          <w:lang w:val="en-US"/>
        </w:rPr>
        <w:t>the Court</w:t>
      </w:r>
      <w:r w:rsidR="006C37C9" w:rsidRPr="00012C3F">
        <w:rPr>
          <w:rFonts w:eastAsia="Verdana" w:cs="Verdana"/>
          <w:sz w:val="20"/>
          <w:szCs w:val="20"/>
          <w:lang w:val="en-US"/>
        </w:rPr>
        <w:t xml:space="preserve"> </w:t>
      </w:r>
      <w:r w:rsidR="00B257AF" w:rsidRPr="00012C3F">
        <w:rPr>
          <w:rFonts w:eastAsia="Verdana" w:cs="Verdana"/>
          <w:sz w:val="20"/>
          <w:szCs w:val="20"/>
          <w:lang w:val="en-US"/>
        </w:rPr>
        <w:t xml:space="preserve">to declare the State internationally responsible for the violation of the articles alleged by </w:t>
      </w:r>
      <w:r w:rsidR="001254DE" w:rsidRPr="00012C3F">
        <w:rPr>
          <w:rFonts w:eastAsia="Verdana" w:cs="Verdana"/>
          <w:sz w:val="20"/>
          <w:szCs w:val="20"/>
          <w:lang w:val="en-US"/>
        </w:rPr>
        <w:t xml:space="preserve">the </w:t>
      </w:r>
      <w:r w:rsidR="00A84CA0" w:rsidRPr="00012C3F">
        <w:rPr>
          <w:rFonts w:eastAsia="Verdana" w:cs="Verdana"/>
          <w:sz w:val="20"/>
          <w:szCs w:val="20"/>
          <w:lang w:val="en-US"/>
        </w:rPr>
        <w:t>Commission</w:t>
      </w:r>
      <w:r w:rsidR="006C37C9" w:rsidRPr="00012C3F">
        <w:rPr>
          <w:rFonts w:eastAsia="Verdana" w:cs="Verdana"/>
          <w:sz w:val="20"/>
          <w:szCs w:val="20"/>
          <w:lang w:val="en-US"/>
        </w:rPr>
        <w:t xml:space="preserve"> </w:t>
      </w:r>
      <w:r w:rsidR="00B257AF" w:rsidRPr="00012C3F">
        <w:rPr>
          <w:rFonts w:eastAsia="Verdana" w:cs="Verdana"/>
          <w:sz w:val="20"/>
          <w:szCs w:val="20"/>
          <w:lang w:val="en-US"/>
        </w:rPr>
        <w:t xml:space="preserve">and, in addition, for the violation of </w:t>
      </w:r>
      <w:r w:rsidR="001254DE" w:rsidRPr="00012C3F">
        <w:rPr>
          <w:rFonts w:eastAsia="Verdana" w:cs="Verdana"/>
          <w:sz w:val="20"/>
          <w:szCs w:val="20"/>
          <w:lang w:val="en-US"/>
        </w:rPr>
        <w:t>Articles</w:t>
      </w:r>
      <w:r w:rsidR="006C37C9" w:rsidRPr="00012C3F">
        <w:rPr>
          <w:rFonts w:eastAsia="Verdana" w:cs="Verdana"/>
          <w:sz w:val="20"/>
          <w:szCs w:val="20"/>
          <w:lang w:val="en-US"/>
        </w:rPr>
        <w:t xml:space="preserve"> 3, </w:t>
      </w:r>
      <w:r w:rsidR="00B257AF" w:rsidRPr="00012C3F">
        <w:rPr>
          <w:rFonts w:eastAsia="Verdana" w:cs="Verdana"/>
          <w:sz w:val="20"/>
          <w:szCs w:val="20"/>
          <w:lang w:val="en-US"/>
        </w:rPr>
        <w:t>5(2)</w:t>
      </w:r>
      <w:r w:rsidR="006C37C9" w:rsidRPr="00012C3F">
        <w:rPr>
          <w:rFonts w:eastAsia="Verdana" w:cs="Verdana"/>
          <w:sz w:val="20"/>
          <w:szCs w:val="20"/>
          <w:lang w:val="en-US"/>
        </w:rPr>
        <w:t>, 1</w:t>
      </w:r>
      <w:r w:rsidR="005E5012" w:rsidRPr="00012C3F">
        <w:rPr>
          <w:rFonts w:eastAsia="Verdana" w:cs="Verdana"/>
          <w:sz w:val="20"/>
          <w:szCs w:val="20"/>
          <w:lang w:val="en-US"/>
        </w:rPr>
        <w:t xml:space="preserve">1(1) and </w:t>
      </w:r>
      <w:r w:rsidR="006C37C9" w:rsidRPr="00012C3F">
        <w:rPr>
          <w:rFonts w:eastAsia="Verdana" w:cs="Verdana"/>
          <w:sz w:val="20"/>
          <w:szCs w:val="20"/>
          <w:lang w:val="en-US"/>
        </w:rPr>
        <w:t>2</w:t>
      </w:r>
      <w:r w:rsidR="00B257AF" w:rsidRPr="00012C3F">
        <w:rPr>
          <w:rFonts w:eastAsia="Verdana" w:cs="Verdana"/>
          <w:sz w:val="20"/>
          <w:szCs w:val="20"/>
          <w:lang w:val="en-US"/>
        </w:rPr>
        <w:t>5(2)(</w:t>
      </w:r>
      <w:r w:rsidR="006C37C9" w:rsidRPr="00012C3F">
        <w:rPr>
          <w:rFonts w:eastAsia="Verdana" w:cs="Verdana"/>
          <w:sz w:val="20"/>
          <w:szCs w:val="20"/>
          <w:lang w:val="en-US"/>
        </w:rPr>
        <w:t>a)</w:t>
      </w:r>
      <w:r w:rsidR="001254DE" w:rsidRPr="00012C3F">
        <w:rPr>
          <w:rFonts w:eastAsia="Verdana" w:cs="Verdana"/>
          <w:sz w:val="20"/>
          <w:szCs w:val="20"/>
          <w:lang w:val="en-US"/>
        </w:rPr>
        <w:t xml:space="preserve"> of the American Convention</w:t>
      </w:r>
      <w:r w:rsidR="006C37C9" w:rsidRPr="00012C3F">
        <w:rPr>
          <w:rFonts w:eastAsia="Verdana" w:cs="Verdana"/>
          <w:sz w:val="20"/>
          <w:szCs w:val="20"/>
          <w:lang w:val="en-US"/>
        </w:rPr>
        <w:t xml:space="preserve">, </w:t>
      </w:r>
      <w:r w:rsidR="00B257AF" w:rsidRPr="00012C3F">
        <w:rPr>
          <w:rFonts w:eastAsia="Verdana" w:cs="Verdana"/>
          <w:sz w:val="20"/>
          <w:szCs w:val="20"/>
          <w:lang w:val="en-US"/>
        </w:rPr>
        <w:t>in relation to</w:t>
      </w:r>
      <w:r w:rsidR="006C37C9" w:rsidRPr="00012C3F">
        <w:rPr>
          <w:rFonts w:eastAsia="Verdana" w:cs="Verdana"/>
          <w:sz w:val="20"/>
          <w:szCs w:val="20"/>
          <w:lang w:val="en-US"/>
        </w:rPr>
        <w:t xml:space="preserve"> </w:t>
      </w:r>
      <w:r w:rsidR="001254DE" w:rsidRPr="00012C3F">
        <w:rPr>
          <w:rFonts w:eastAsia="Verdana" w:cs="Verdana"/>
          <w:sz w:val="20"/>
          <w:szCs w:val="20"/>
          <w:lang w:val="en-US"/>
        </w:rPr>
        <w:t>Article</w:t>
      </w:r>
      <w:r w:rsidR="006C37C9" w:rsidRPr="00012C3F">
        <w:rPr>
          <w:rFonts w:eastAsia="Verdana" w:cs="Verdana"/>
          <w:sz w:val="20"/>
          <w:szCs w:val="20"/>
          <w:lang w:val="en-US"/>
        </w:rPr>
        <w:t xml:space="preserve"> </w:t>
      </w:r>
      <w:r w:rsidR="005E5012" w:rsidRPr="00012C3F">
        <w:rPr>
          <w:rFonts w:eastAsia="Verdana" w:cs="Verdana"/>
          <w:sz w:val="20"/>
          <w:szCs w:val="20"/>
          <w:lang w:val="en-US"/>
        </w:rPr>
        <w:t>1(1)</w:t>
      </w:r>
      <w:r w:rsidR="001254DE" w:rsidRPr="00012C3F">
        <w:rPr>
          <w:rFonts w:eastAsia="Verdana" w:cs="Verdana"/>
          <w:sz w:val="20"/>
          <w:szCs w:val="20"/>
          <w:lang w:val="en-US"/>
        </w:rPr>
        <w:t xml:space="preserve"> of the Convention</w:t>
      </w:r>
      <w:r w:rsidR="0095689A" w:rsidRPr="00012C3F">
        <w:rPr>
          <w:rFonts w:eastAsia="Verdana" w:cs="Verdana"/>
          <w:sz w:val="20"/>
          <w:szCs w:val="20"/>
          <w:lang w:val="en-US"/>
        </w:rPr>
        <w:t>,</w:t>
      </w:r>
      <w:r w:rsidR="006C37C9" w:rsidRPr="00012C3F">
        <w:rPr>
          <w:rFonts w:eastAsia="Verdana" w:cs="Verdana"/>
          <w:sz w:val="20"/>
          <w:szCs w:val="20"/>
          <w:lang w:val="en-US"/>
        </w:rPr>
        <w:t xml:space="preserve"> </w:t>
      </w:r>
      <w:r w:rsidR="005E5012" w:rsidRPr="00012C3F">
        <w:rPr>
          <w:rFonts w:eastAsia="Verdana" w:cs="Verdana"/>
          <w:sz w:val="20"/>
          <w:szCs w:val="20"/>
          <w:lang w:val="en-US"/>
        </w:rPr>
        <w:t>to the detriment of</w:t>
      </w:r>
      <w:r w:rsidR="006C37C9" w:rsidRPr="00012C3F">
        <w:rPr>
          <w:rFonts w:eastAsia="Verdana" w:cs="Verdana"/>
          <w:sz w:val="20"/>
          <w:szCs w:val="20"/>
          <w:lang w:val="en-US"/>
        </w:rPr>
        <w:t xml:space="preserve"> </w:t>
      </w:r>
      <w:r w:rsidR="000E1C11" w:rsidRPr="00012C3F">
        <w:rPr>
          <w:rFonts w:eastAsia="Verdana" w:cs="Verdana"/>
          <w:sz w:val="20"/>
          <w:szCs w:val="20"/>
          <w:lang w:val="en-US"/>
        </w:rPr>
        <w:t>I.V.</w:t>
      </w:r>
      <w:r w:rsidR="006C37C9" w:rsidRPr="00012C3F">
        <w:rPr>
          <w:rFonts w:eastAsia="Verdana" w:cs="Verdana"/>
          <w:sz w:val="20"/>
          <w:szCs w:val="20"/>
          <w:lang w:val="en-US"/>
        </w:rPr>
        <w:t xml:space="preserve">; </w:t>
      </w:r>
      <w:r w:rsidR="00B257AF" w:rsidRPr="00012C3F">
        <w:rPr>
          <w:rFonts w:eastAsia="Verdana" w:cs="Verdana"/>
          <w:sz w:val="20"/>
          <w:szCs w:val="20"/>
          <w:lang w:val="en-US"/>
        </w:rPr>
        <w:t>and</w:t>
      </w:r>
      <w:r w:rsidR="006C37C9" w:rsidRPr="00012C3F">
        <w:rPr>
          <w:rFonts w:eastAsia="Verdana" w:cs="Verdana"/>
          <w:sz w:val="20"/>
          <w:szCs w:val="20"/>
          <w:lang w:val="en-US"/>
        </w:rPr>
        <w:t xml:space="preserve"> </w:t>
      </w:r>
      <w:r w:rsidR="001254DE" w:rsidRPr="00012C3F">
        <w:rPr>
          <w:rFonts w:eastAsia="Verdana" w:cs="Verdana"/>
          <w:sz w:val="20"/>
          <w:szCs w:val="20"/>
          <w:lang w:val="en-US"/>
        </w:rPr>
        <w:t>Article</w:t>
      </w:r>
      <w:r w:rsidR="006C37C9" w:rsidRPr="00012C3F">
        <w:rPr>
          <w:rFonts w:eastAsia="Verdana" w:cs="Verdana"/>
          <w:sz w:val="20"/>
          <w:szCs w:val="20"/>
          <w:lang w:val="en-US"/>
        </w:rPr>
        <w:t xml:space="preserve"> 5</w:t>
      </w:r>
      <w:r w:rsidR="001254DE" w:rsidRPr="00012C3F">
        <w:rPr>
          <w:rFonts w:eastAsia="Verdana" w:cs="Verdana"/>
          <w:sz w:val="20"/>
          <w:szCs w:val="20"/>
          <w:lang w:val="en-US"/>
        </w:rPr>
        <w:t xml:space="preserve"> of the Convention</w:t>
      </w:r>
      <w:r w:rsidR="006C37C9" w:rsidRPr="00012C3F">
        <w:rPr>
          <w:rFonts w:eastAsia="Verdana" w:cs="Verdana"/>
          <w:sz w:val="20"/>
          <w:szCs w:val="20"/>
          <w:lang w:val="en-US"/>
        </w:rPr>
        <w:t xml:space="preserve">, </w:t>
      </w:r>
      <w:r w:rsidR="00B257AF" w:rsidRPr="00012C3F">
        <w:rPr>
          <w:rFonts w:eastAsia="Verdana" w:cs="Verdana"/>
          <w:sz w:val="20"/>
          <w:szCs w:val="20"/>
          <w:lang w:val="en-US"/>
        </w:rPr>
        <w:t>in relation to</w:t>
      </w:r>
      <w:r w:rsidR="006C37C9" w:rsidRPr="00012C3F">
        <w:rPr>
          <w:rFonts w:eastAsia="Verdana" w:cs="Verdana"/>
          <w:sz w:val="20"/>
          <w:szCs w:val="20"/>
          <w:lang w:val="en-US"/>
        </w:rPr>
        <w:t xml:space="preserve"> </w:t>
      </w:r>
      <w:r w:rsidR="001254DE" w:rsidRPr="00012C3F">
        <w:rPr>
          <w:rFonts w:eastAsia="Verdana" w:cs="Verdana"/>
          <w:sz w:val="20"/>
          <w:szCs w:val="20"/>
          <w:lang w:val="en-US"/>
        </w:rPr>
        <w:t>Articles</w:t>
      </w:r>
      <w:r w:rsidR="006C37C9" w:rsidRPr="00012C3F">
        <w:rPr>
          <w:rFonts w:eastAsia="Verdana" w:cs="Verdana"/>
          <w:sz w:val="20"/>
          <w:szCs w:val="20"/>
          <w:lang w:val="en-US"/>
        </w:rPr>
        <w:t xml:space="preserve"> 19</w:t>
      </w:r>
      <w:r w:rsidR="005E5012" w:rsidRPr="00012C3F">
        <w:rPr>
          <w:rFonts w:eastAsia="Verdana" w:cs="Verdana"/>
          <w:sz w:val="20"/>
          <w:szCs w:val="20"/>
          <w:lang w:val="en-US"/>
        </w:rPr>
        <w:t xml:space="preserve"> and 1(1)</w:t>
      </w:r>
      <w:r w:rsidR="006C37C9" w:rsidRPr="00012C3F">
        <w:rPr>
          <w:rFonts w:eastAsia="Verdana" w:cs="Verdana"/>
          <w:sz w:val="20"/>
          <w:szCs w:val="20"/>
          <w:lang w:val="en-US"/>
        </w:rPr>
        <w:t xml:space="preserve"> </w:t>
      </w:r>
      <w:r w:rsidR="005E5012" w:rsidRPr="00012C3F">
        <w:rPr>
          <w:rFonts w:eastAsia="Verdana" w:cs="Verdana"/>
          <w:sz w:val="20"/>
          <w:szCs w:val="20"/>
          <w:lang w:val="en-US"/>
        </w:rPr>
        <w:t>of this instrument</w:t>
      </w:r>
      <w:r w:rsidR="006C37C9" w:rsidRPr="00012C3F">
        <w:rPr>
          <w:rFonts w:eastAsia="Verdana" w:cs="Verdana"/>
          <w:sz w:val="20"/>
          <w:szCs w:val="20"/>
          <w:lang w:val="en-US"/>
        </w:rPr>
        <w:t xml:space="preserve">, </w:t>
      </w:r>
      <w:r w:rsidR="005E5012" w:rsidRPr="00012C3F">
        <w:rPr>
          <w:rFonts w:eastAsia="Verdana" w:cs="Verdana"/>
          <w:sz w:val="20"/>
          <w:szCs w:val="20"/>
          <w:lang w:val="en-US"/>
        </w:rPr>
        <w:t>to the detriment of</w:t>
      </w:r>
      <w:r w:rsidR="006C37C9" w:rsidRPr="00012C3F">
        <w:rPr>
          <w:rFonts w:eastAsia="Verdana" w:cs="Verdana"/>
          <w:sz w:val="20"/>
          <w:szCs w:val="20"/>
          <w:lang w:val="en-US"/>
        </w:rPr>
        <w:t xml:space="preserve"> </w:t>
      </w:r>
      <w:r w:rsidR="000E1C11" w:rsidRPr="00012C3F">
        <w:rPr>
          <w:rFonts w:eastAsia="Verdana" w:cs="Verdana"/>
          <w:sz w:val="20"/>
          <w:szCs w:val="20"/>
          <w:lang w:val="en-US"/>
        </w:rPr>
        <w:t>N.V.</w:t>
      </w:r>
      <w:r w:rsidR="005E5012" w:rsidRPr="00012C3F">
        <w:rPr>
          <w:rFonts w:eastAsia="Verdana" w:cs="Verdana"/>
          <w:sz w:val="20"/>
          <w:szCs w:val="20"/>
          <w:lang w:val="en-US"/>
        </w:rPr>
        <w:t xml:space="preserve"> and </w:t>
      </w:r>
      <w:r w:rsidR="006C37C9" w:rsidRPr="00012C3F">
        <w:rPr>
          <w:rFonts w:eastAsia="Verdana" w:cs="Verdana"/>
          <w:sz w:val="20"/>
          <w:szCs w:val="20"/>
          <w:lang w:val="en-US"/>
        </w:rPr>
        <w:t>L.A.</w:t>
      </w:r>
      <w:r w:rsidR="00B257AF" w:rsidRPr="00012C3F">
        <w:rPr>
          <w:rFonts w:eastAsia="Verdana" w:cs="Verdana"/>
          <w:sz w:val="20"/>
          <w:szCs w:val="20"/>
          <w:lang w:val="en-US"/>
        </w:rPr>
        <w:t>,</w:t>
      </w:r>
      <w:r w:rsidR="006C37C9" w:rsidRPr="00012C3F">
        <w:rPr>
          <w:rFonts w:eastAsia="Verdana" w:cs="Verdana"/>
          <w:sz w:val="20"/>
          <w:szCs w:val="20"/>
          <w:vertAlign w:val="superscript"/>
          <w:lang w:val="en-US"/>
        </w:rPr>
        <w:footnoteReference w:id="5"/>
      </w:r>
      <w:r w:rsidR="006C37C9" w:rsidRPr="00012C3F">
        <w:rPr>
          <w:rFonts w:eastAsia="Verdana" w:cs="Verdana"/>
          <w:sz w:val="20"/>
          <w:szCs w:val="20"/>
          <w:lang w:val="en-US"/>
        </w:rPr>
        <w:t xml:space="preserve"> </w:t>
      </w:r>
      <w:r w:rsidR="00B257AF" w:rsidRPr="00012C3F">
        <w:rPr>
          <w:rFonts w:eastAsia="Verdana" w:cs="Verdana"/>
          <w:sz w:val="20"/>
          <w:szCs w:val="20"/>
          <w:lang w:val="en-US"/>
        </w:rPr>
        <w:t>daughters of</w:t>
      </w:r>
      <w:r w:rsidR="006C37C9" w:rsidRPr="00012C3F">
        <w:rPr>
          <w:rFonts w:eastAsia="Verdana" w:cs="Verdana"/>
          <w:sz w:val="20"/>
          <w:szCs w:val="20"/>
          <w:lang w:val="en-US"/>
        </w:rPr>
        <w:t xml:space="preserve"> </w:t>
      </w:r>
      <w:r w:rsidR="000E1C11" w:rsidRPr="00012C3F">
        <w:rPr>
          <w:rFonts w:eastAsia="Verdana" w:cs="Verdana"/>
          <w:sz w:val="20"/>
          <w:szCs w:val="20"/>
          <w:lang w:val="en-US"/>
        </w:rPr>
        <w:t>I.V.</w:t>
      </w:r>
      <w:r w:rsidR="006C37C9" w:rsidRPr="00012C3F" w:rsidDel="00473614">
        <w:rPr>
          <w:rFonts w:eastAsia="Verdana" w:cs="Verdana"/>
          <w:sz w:val="20"/>
          <w:szCs w:val="20"/>
          <w:lang w:val="en-US"/>
        </w:rPr>
        <w:t xml:space="preserve"> </w:t>
      </w:r>
      <w:r w:rsidR="00B257AF" w:rsidRPr="00012C3F">
        <w:rPr>
          <w:rFonts w:eastAsia="Verdana" w:cs="Verdana"/>
          <w:sz w:val="20"/>
          <w:szCs w:val="20"/>
          <w:lang w:val="en-US"/>
        </w:rPr>
        <w:t xml:space="preserve">Furthermore, through her representative, </w:t>
      </w:r>
      <w:r w:rsidR="00E00902" w:rsidRPr="00012C3F">
        <w:rPr>
          <w:rFonts w:eastAsia="Verdana" w:cs="Verdana"/>
          <w:sz w:val="20"/>
          <w:szCs w:val="20"/>
          <w:lang w:val="en-US"/>
        </w:rPr>
        <w:t>the presumed victim</w:t>
      </w:r>
      <w:r w:rsidR="00B257AF" w:rsidRPr="00012C3F">
        <w:rPr>
          <w:rFonts w:eastAsia="Verdana" w:cs="Verdana"/>
          <w:sz w:val="20"/>
          <w:szCs w:val="20"/>
          <w:lang w:val="en-US"/>
        </w:rPr>
        <w:t xml:space="preserve"> asked to be granted access to the Victims’ Legal Assistance Fund</w:t>
      </w:r>
      <w:r w:rsidR="001254DE" w:rsidRPr="00012C3F">
        <w:rPr>
          <w:rFonts w:eastAsia="Verdana" w:cs="Verdana"/>
          <w:sz w:val="20"/>
          <w:szCs w:val="20"/>
          <w:lang w:val="en-US"/>
        </w:rPr>
        <w:t xml:space="preserve"> of the Inter-American Court</w:t>
      </w:r>
      <w:r w:rsidR="006C37C9" w:rsidRPr="00012C3F">
        <w:rPr>
          <w:rFonts w:eastAsia="Verdana" w:cs="Verdana"/>
          <w:sz w:val="20"/>
          <w:szCs w:val="20"/>
          <w:lang w:val="en-US"/>
        </w:rPr>
        <w:t xml:space="preserve"> (</w:t>
      </w:r>
      <w:r w:rsidR="001254DE" w:rsidRPr="00012C3F">
        <w:rPr>
          <w:rFonts w:eastAsia="Verdana" w:cs="Verdana"/>
          <w:sz w:val="20"/>
          <w:szCs w:val="20"/>
          <w:lang w:val="en-US"/>
        </w:rPr>
        <w:t>hereinafter</w:t>
      </w:r>
      <w:r w:rsidR="006C37C9" w:rsidRPr="00012C3F">
        <w:rPr>
          <w:rFonts w:eastAsia="Verdana" w:cs="Verdana"/>
          <w:sz w:val="20"/>
          <w:szCs w:val="20"/>
          <w:lang w:val="en-US"/>
        </w:rPr>
        <w:t xml:space="preserve"> “</w:t>
      </w:r>
      <w:r w:rsidR="00B257AF" w:rsidRPr="00012C3F">
        <w:rPr>
          <w:rFonts w:eastAsia="Verdana" w:cs="Verdana"/>
          <w:sz w:val="20"/>
          <w:szCs w:val="20"/>
          <w:lang w:val="en-US"/>
        </w:rPr>
        <w:t>the Court’s Legal Assistance Fund</w:t>
      </w:r>
      <w:r w:rsidR="006C37C9" w:rsidRPr="00012C3F">
        <w:rPr>
          <w:rFonts w:eastAsia="Verdana" w:cs="Verdana"/>
          <w:sz w:val="20"/>
          <w:szCs w:val="20"/>
          <w:lang w:val="en-US"/>
        </w:rPr>
        <w:t>” o</w:t>
      </w:r>
      <w:r w:rsidR="00B257AF" w:rsidRPr="00012C3F">
        <w:rPr>
          <w:rFonts w:eastAsia="Verdana" w:cs="Verdana"/>
          <w:sz w:val="20"/>
          <w:szCs w:val="20"/>
          <w:lang w:val="en-US"/>
        </w:rPr>
        <w:t>r “the Fund</w:t>
      </w:r>
      <w:r w:rsidR="006C37C9" w:rsidRPr="00012C3F">
        <w:rPr>
          <w:rFonts w:eastAsia="Verdana" w:cs="Verdana"/>
          <w:sz w:val="20"/>
          <w:szCs w:val="20"/>
          <w:lang w:val="en-US"/>
        </w:rPr>
        <w:t xml:space="preserve">”). </w:t>
      </w:r>
      <w:r w:rsidR="00B257AF" w:rsidRPr="00012C3F">
        <w:rPr>
          <w:rFonts w:eastAsia="Verdana" w:cs="Verdana"/>
          <w:sz w:val="20"/>
          <w:szCs w:val="20"/>
          <w:lang w:val="en-US"/>
        </w:rPr>
        <w:t xml:space="preserve">Lastly, she asked </w:t>
      </w:r>
      <w:r w:rsidR="001254DE" w:rsidRPr="00012C3F">
        <w:rPr>
          <w:rFonts w:eastAsia="Verdana" w:cs="Verdana"/>
          <w:sz w:val="20"/>
          <w:szCs w:val="20"/>
          <w:lang w:val="en-US"/>
        </w:rPr>
        <w:t>the Court</w:t>
      </w:r>
      <w:r w:rsidR="006C37C9" w:rsidRPr="00012C3F">
        <w:rPr>
          <w:rFonts w:eastAsia="Verdana" w:cs="Verdana"/>
          <w:sz w:val="20"/>
          <w:szCs w:val="20"/>
          <w:lang w:val="en-US"/>
        </w:rPr>
        <w:t xml:space="preserve"> </w:t>
      </w:r>
      <w:r w:rsidR="00B257AF" w:rsidRPr="00012C3F">
        <w:rPr>
          <w:rFonts w:eastAsia="Verdana" w:cs="Verdana"/>
          <w:sz w:val="20"/>
          <w:szCs w:val="20"/>
          <w:lang w:val="en-US"/>
        </w:rPr>
        <w:t>to require the State to adopt diverse measures of reparation and to reimburse certain costs and expenses.</w:t>
      </w:r>
    </w:p>
    <w:p w14:paraId="0E91131B" w14:textId="77777777" w:rsidR="006C37C9" w:rsidRPr="00012C3F" w:rsidRDefault="006C37C9" w:rsidP="00095E76">
      <w:pPr>
        <w:tabs>
          <w:tab w:val="left" w:pos="720"/>
        </w:tabs>
        <w:spacing w:before="4" w:line="240" w:lineRule="auto"/>
        <w:rPr>
          <w:sz w:val="20"/>
          <w:szCs w:val="20"/>
          <w:lang w:val="en-US"/>
        </w:rPr>
      </w:pPr>
    </w:p>
    <w:p w14:paraId="6E96ABD4" w14:textId="77777777" w:rsidR="006C37C9" w:rsidRPr="00012C3F" w:rsidRDefault="00B257AF" w:rsidP="00095E76">
      <w:pPr>
        <w:numPr>
          <w:ilvl w:val="0"/>
          <w:numId w:val="5"/>
        </w:numPr>
        <w:tabs>
          <w:tab w:val="left" w:pos="720"/>
          <w:tab w:val="num" w:pos="12305"/>
        </w:tabs>
        <w:spacing w:line="240" w:lineRule="auto"/>
        <w:ind w:left="0" w:firstLine="0"/>
        <w:rPr>
          <w:rFonts w:eastAsia="Verdana" w:cs="Verdana"/>
          <w:i/>
          <w:sz w:val="20"/>
          <w:szCs w:val="20"/>
          <w:lang w:val="en-US"/>
        </w:rPr>
      </w:pPr>
      <w:r w:rsidRPr="00012C3F">
        <w:rPr>
          <w:rFonts w:eastAsia="Verdana" w:cs="Verdana"/>
          <w:i/>
          <w:sz w:val="20"/>
          <w:szCs w:val="20"/>
          <w:lang w:val="en-US"/>
        </w:rPr>
        <w:t>Answering brief</w:t>
      </w:r>
      <w:r w:rsidR="006C37C9" w:rsidRPr="00012C3F">
        <w:rPr>
          <w:rFonts w:eastAsia="Verdana" w:cs="Verdana"/>
          <w:i/>
          <w:sz w:val="20"/>
          <w:szCs w:val="20"/>
          <w:lang w:val="en-US"/>
        </w:rPr>
        <w:t xml:space="preserve">. </w:t>
      </w:r>
      <w:r w:rsidRPr="00012C3F">
        <w:rPr>
          <w:rFonts w:eastAsia="Verdana" w:cs="Verdana"/>
          <w:sz w:val="20"/>
          <w:szCs w:val="20"/>
          <w:lang w:val="en-US"/>
        </w:rPr>
        <w:t>On December 16,</w:t>
      </w:r>
      <w:r w:rsidR="006C37C9" w:rsidRPr="00012C3F">
        <w:rPr>
          <w:rFonts w:eastAsia="Verdana" w:cs="Verdana"/>
          <w:sz w:val="20"/>
          <w:szCs w:val="20"/>
          <w:lang w:val="en-US"/>
        </w:rPr>
        <w:t xml:space="preserve"> 2015</w:t>
      </w:r>
      <w:r w:rsidRPr="00012C3F">
        <w:rPr>
          <w:rFonts w:eastAsia="Verdana" w:cs="Verdana"/>
          <w:sz w:val="20"/>
          <w:szCs w:val="20"/>
          <w:lang w:val="en-US"/>
        </w:rPr>
        <w:t>,</w:t>
      </w:r>
      <w:r w:rsidR="006C37C9" w:rsidRPr="00012C3F">
        <w:rPr>
          <w:rFonts w:eastAsia="Verdana" w:cs="Verdana"/>
          <w:sz w:val="20"/>
          <w:szCs w:val="20"/>
          <w:lang w:val="en-US"/>
        </w:rPr>
        <w:t xml:space="preserve"> </w:t>
      </w:r>
      <w:r w:rsidR="00A84CA0" w:rsidRPr="00012C3F">
        <w:rPr>
          <w:rFonts w:eastAsia="Verdana" w:cs="Verdana"/>
          <w:sz w:val="20"/>
          <w:szCs w:val="20"/>
          <w:lang w:val="en-US"/>
        </w:rPr>
        <w:t>the State</w:t>
      </w:r>
      <w:r w:rsidR="00EB3F3D" w:rsidRPr="00012C3F">
        <w:rPr>
          <w:rStyle w:val="Refdenotaalpie"/>
          <w:rFonts w:eastAsia="Verdana" w:cs="Verdana"/>
          <w:sz w:val="20"/>
          <w:szCs w:val="20"/>
          <w:lang w:val="en-US"/>
        </w:rPr>
        <w:footnoteReference w:id="6"/>
      </w:r>
      <w:r w:rsidR="006C37C9" w:rsidRPr="00012C3F">
        <w:rPr>
          <w:rFonts w:eastAsia="Verdana" w:cs="Verdana"/>
          <w:sz w:val="20"/>
          <w:szCs w:val="20"/>
          <w:lang w:val="en-US"/>
        </w:rPr>
        <w:t xml:space="preserve"> </w:t>
      </w:r>
      <w:r w:rsidRPr="00012C3F">
        <w:rPr>
          <w:rFonts w:eastAsia="Verdana" w:cs="Verdana"/>
          <w:sz w:val="20"/>
          <w:szCs w:val="20"/>
          <w:lang w:val="en-US"/>
        </w:rPr>
        <w:t>submitted to</w:t>
      </w:r>
      <w:r w:rsidR="006C37C9" w:rsidRPr="00012C3F">
        <w:rPr>
          <w:rFonts w:eastAsia="Verdana" w:cs="Verdana"/>
          <w:sz w:val="20"/>
          <w:szCs w:val="20"/>
          <w:lang w:val="en-US"/>
        </w:rPr>
        <w:t xml:space="preserve"> </w:t>
      </w:r>
      <w:r w:rsidR="001254DE" w:rsidRPr="00012C3F">
        <w:rPr>
          <w:rFonts w:eastAsia="Verdana" w:cs="Verdana"/>
          <w:sz w:val="20"/>
          <w:szCs w:val="20"/>
          <w:lang w:val="en-US"/>
        </w:rPr>
        <w:t>the Court</w:t>
      </w:r>
      <w:r w:rsidR="006C37C9" w:rsidRPr="00012C3F">
        <w:rPr>
          <w:rFonts w:eastAsia="Verdana" w:cs="Verdana"/>
          <w:sz w:val="20"/>
          <w:szCs w:val="20"/>
          <w:lang w:val="en-US"/>
        </w:rPr>
        <w:t xml:space="preserve"> </w:t>
      </w:r>
      <w:r w:rsidRPr="00012C3F">
        <w:rPr>
          <w:rFonts w:eastAsia="Verdana" w:cs="Verdana"/>
          <w:sz w:val="20"/>
          <w:szCs w:val="20"/>
          <w:lang w:val="en-US"/>
        </w:rPr>
        <w:t>its brief</w:t>
      </w:r>
      <w:r w:rsidR="006C37C9" w:rsidRPr="00012C3F">
        <w:rPr>
          <w:rFonts w:eastAsia="Verdana" w:cs="Verdana"/>
          <w:sz w:val="20"/>
          <w:szCs w:val="20"/>
          <w:lang w:val="en-US"/>
        </w:rPr>
        <w:t xml:space="preserve"> </w:t>
      </w:r>
      <w:r w:rsidRPr="00012C3F">
        <w:rPr>
          <w:rFonts w:eastAsia="Calibri" w:cs="Arial"/>
          <w:sz w:val="20"/>
          <w:szCs w:val="20"/>
          <w:lang w:val="en-US"/>
        </w:rPr>
        <w:t xml:space="preserve">answering the submission of the </w:t>
      </w:r>
      <w:r w:rsidR="00E00902" w:rsidRPr="00012C3F">
        <w:rPr>
          <w:rFonts w:eastAsia="Verdana" w:cs="Verdana"/>
          <w:sz w:val="20"/>
          <w:szCs w:val="20"/>
          <w:lang w:val="en-US"/>
        </w:rPr>
        <w:t>Merits Report</w:t>
      </w:r>
      <w:r w:rsidR="001254DE" w:rsidRPr="00012C3F">
        <w:rPr>
          <w:rFonts w:eastAsia="Verdana" w:cs="Verdana"/>
          <w:sz w:val="20"/>
          <w:szCs w:val="20"/>
          <w:lang w:val="en-US"/>
        </w:rPr>
        <w:t xml:space="preserve"> of the Inter-American </w:t>
      </w:r>
      <w:r w:rsidR="00A84CA0" w:rsidRPr="00012C3F">
        <w:rPr>
          <w:rFonts w:eastAsia="Verdana" w:cs="Verdana"/>
          <w:sz w:val="20"/>
          <w:szCs w:val="20"/>
          <w:lang w:val="en-US"/>
        </w:rPr>
        <w:t>Commission</w:t>
      </w:r>
      <w:r w:rsidR="001254DE" w:rsidRPr="00012C3F">
        <w:rPr>
          <w:rFonts w:eastAsia="Verdana" w:cs="Verdana"/>
          <w:sz w:val="20"/>
          <w:szCs w:val="20"/>
          <w:lang w:val="en-US"/>
        </w:rPr>
        <w:t xml:space="preserve"> on Human Rights</w:t>
      </w:r>
      <w:r w:rsidR="005E5012" w:rsidRPr="00012C3F">
        <w:rPr>
          <w:rFonts w:eastAsia="Verdana" w:cs="Verdana"/>
          <w:sz w:val="20"/>
          <w:szCs w:val="20"/>
          <w:lang w:val="en-US"/>
        </w:rPr>
        <w:t xml:space="preserve"> and </w:t>
      </w:r>
      <w:r w:rsidRPr="00012C3F">
        <w:rPr>
          <w:rFonts w:eastAsia="Verdana" w:cs="Verdana"/>
          <w:sz w:val="20"/>
          <w:szCs w:val="20"/>
          <w:lang w:val="en-US"/>
        </w:rPr>
        <w:t xml:space="preserve">the brief </w:t>
      </w:r>
      <w:r w:rsidR="00972ACF" w:rsidRPr="00012C3F">
        <w:rPr>
          <w:rFonts w:eastAsia="Verdana" w:cs="Verdana"/>
          <w:sz w:val="20"/>
          <w:szCs w:val="20"/>
          <w:lang w:val="en-US"/>
        </w:rPr>
        <w:t>with motions, pleadings and evidence of the representative</w:t>
      </w:r>
      <w:r w:rsidR="006C37C9" w:rsidRPr="00012C3F">
        <w:rPr>
          <w:rFonts w:eastAsia="Verdana" w:cs="Verdana"/>
          <w:sz w:val="20"/>
          <w:szCs w:val="20"/>
          <w:lang w:val="en-US"/>
        </w:rPr>
        <w:t xml:space="preserve"> (</w:t>
      </w:r>
      <w:r w:rsidR="001254DE" w:rsidRPr="00012C3F">
        <w:rPr>
          <w:rFonts w:eastAsia="Verdana" w:cs="Verdana"/>
          <w:sz w:val="20"/>
          <w:szCs w:val="20"/>
          <w:lang w:val="en-US"/>
        </w:rPr>
        <w:t>hereinafter</w:t>
      </w:r>
      <w:r w:rsidR="006C37C9" w:rsidRPr="00012C3F">
        <w:rPr>
          <w:rFonts w:eastAsia="Verdana" w:cs="Verdana"/>
          <w:sz w:val="20"/>
          <w:szCs w:val="20"/>
          <w:lang w:val="en-US"/>
        </w:rPr>
        <w:t xml:space="preserve"> “</w:t>
      </w:r>
      <w:r w:rsidRPr="00012C3F">
        <w:rPr>
          <w:rFonts w:eastAsia="Verdana" w:cs="Verdana"/>
          <w:sz w:val="20"/>
          <w:szCs w:val="20"/>
          <w:lang w:val="en-US"/>
        </w:rPr>
        <w:t>answering brief</w:t>
      </w:r>
      <w:r w:rsidR="006C37C9" w:rsidRPr="00012C3F">
        <w:rPr>
          <w:rFonts w:eastAsia="Verdana" w:cs="Verdana"/>
          <w:sz w:val="20"/>
          <w:szCs w:val="20"/>
          <w:lang w:val="en-US"/>
        </w:rPr>
        <w:t xml:space="preserve">”). </w:t>
      </w:r>
      <w:r w:rsidRPr="00012C3F">
        <w:rPr>
          <w:rFonts w:eastAsia="Verdana" w:cs="Verdana"/>
          <w:sz w:val="20"/>
          <w:szCs w:val="20"/>
          <w:lang w:val="en-US"/>
        </w:rPr>
        <w:t xml:space="preserve">In its brief, </w:t>
      </w:r>
      <w:r w:rsidR="00A84CA0" w:rsidRPr="00012C3F">
        <w:rPr>
          <w:rFonts w:eastAsia="Verdana" w:cs="Verdana"/>
          <w:sz w:val="20"/>
          <w:szCs w:val="20"/>
          <w:lang w:val="en-US"/>
        </w:rPr>
        <w:t>the State</w:t>
      </w:r>
      <w:r w:rsidR="006C37C9" w:rsidRPr="00012C3F">
        <w:rPr>
          <w:rFonts w:eastAsia="Verdana" w:cs="Verdana"/>
          <w:sz w:val="20"/>
          <w:szCs w:val="20"/>
          <w:lang w:val="en-US"/>
        </w:rPr>
        <w:t xml:space="preserve"> </w:t>
      </w:r>
      <w:r w:rsidRPr="00012C3F">
        <w:rPr>
          <w:rFonts w:eastAsia="Verdana" w:cs="Verdana"/>
          <w:sz w:val="20"/>
          <w:szCs w:val="20"/>
          <w:lang w:val="en-US"/>
        </w:rPr>
        <w:t>filed preliminary object</w:t>
      </w:r>
      <w:r w:rsidR="0095689A" w:rsidRPr="00012C3F">
        <w:rPr>
          <w:rFonts w:eastAsia="Verdana" w:cs="Verdana"/>
          <w:sz w:val="20"/>
          <w:szCs w:val="20"/>
          <w:lang w:val="en-US"/>
        </w:rPr>
        <w:t>ion</w:t>
      </w:r>
      <w:r w:rsidRPr="00012C3F">
        <w:rPr>
          <w:rFonts w:eastAsia="Verdana" w:cs="Verdana"/>
          <w:sz w:val="20"/>
          <w:szCs w:val="20"/>
          <w:lang w:val="en-US"/>
        </w:rPr>
        <w:t>s</w:t>
      </w:r>
      <w:r w:rsidR="0095689A" w:rsidRPr="00012C3F">
        <w:rPr>
          <w:rFonts w:eastAsia="Verdana" w:cs="Verdana"/>
          <w:sz w:val="20"/>
          <w:szCs w:val="20"/>
          <w:lang w:val="en-US"/>
        </w:rPr>
        <w:t xml:space="preserve"> on</w:t>
      </w:r>
      <w:r w:rsidRPr="00012C3F">
        <w:rPr>
          <w:rFonts w:eastAsia="Verdana" w:cs="Verdana"/>
          <w:sz w:val="20"/>
          <w:szCs w:val="20"/>
          <w:lang w:val="en-US"/>
        </w:rPr>
        <w:t xml:space="preserve"> the alleged “lack of </w:t>
      </w:r>
      <w:r w:rsidR="00D24EFE">
        <w:rPr>
          <w:rFonts w:eastAsia="Verdana" w:cs="Verdana"/>
          <w:sz w:val="20"/>
          <w:szCs w:val="20"/>
          <w:lang w:val="en-US"/>
        </w:rPr>
        <w:t xml:space="preserve">jurisdiction </w:t>
      </w:r>
      <w:r w:rsidR="00D24EFE" w:rsidRPr="00D24EFE">
        <w:rPr>
          <w:rFonts w:eastAsia="Verdana" w:cs="Verdana"/>
          <w:i/>
          <w:iCs/>
          <w:sz w:val="20"/>
          <w:szCs w:val="20"/>
          <w:lang w:val="en-US"/>
        </w:rPr>
        <w:t>ratione loci</w:t>
      </w:r>
      <w:r w:rsidR="006C37C9" w:rsidRPr="00012C3F">
        <w:rPr>
          <w:rFonts w:eastAsia="Verdana" w:cs="Verdana"/>
          <w:sz w:val="20"/>
          <w:szCs w:val="20"/>
          <w:lang w:val="en-US"/>
        </w:rPr>
        <w:t>”</w:t>
      </w:r>
      <w:r w:rsidR="005E5012" w:rsidRPr="00012C3F">
        <w:rPr>
          <w:rFonts w:eastAsia="Verdana" w:cs="Verdana"/>
          <w:sz w:val="20"/>
          <w:szCs w:val="20"/>
          <w:lang w:val="en-US"/>
        </w:rPr>
        <w:t xml:space="preserve"> and </w:t>
      </w:r>
      <w:r w:rsidRPr="00012C3F">
        <w:rPr>
          <w:rFonts w:eastAsia="Verdana" w:cs="Verdana"/>
          <w:sz w:val="20"/>
          <w:szCs w:val="20"/>
          <w:lang w:val="en-US"/>
        </w:rPr>
        <w:t>the presumed “failure to exhaust domestic remedies.”</w:t>
      </w:r>
    </w:p>
    <w:p w14:paraId="254AC6A0" w14:textId="77777777" w:rsidR="006C37C9" w:rsidRPr="00012C3F" w:rsidRDefault="006C37C9" w:rsidP="00095E76">
      <w:pPr>
        <w:tabs>
          <w:tab w:val="left" w:pos="720"/>
        </w:tabs>
        <w:spacing w:before="4" w:line="240" w:lineRule="auto"/>
        <w:rPr>
          <w:rFonts w:eastAsia="Verdana" w:cs="Verdana"/>
          <w:sz w:val="20"/>
          <w:szCs w:val="20"/>
          <w:lang w:val="en-US"/>
        </w:rPr>
      </w:pPr>
    </w:p>
    <w:p w14:paraId="40B29D19" w14:textId="77777777" w:rsidR="006C37C9" w:rsidRPr="00012C3F" w:rsidRDefault="00B257AF" w:rsidP="00095E76">
      <w:pPr>
        <w:numPr>
          <w:ilvl w:val="0"/>
          <w:numId w:val="5"/>
        </w:numPr>
        <w:tabs>
          <w:tab w:val="left" w:pos="720"/>
          <w:tab w:val="num" w:pos="12305"/>
        </w:tabs>
        <w:spacing w:line="240" w:lineRule="auto"/>
        <w:ind w:left="0" w:firstLine="0"/>
        <w:rPr>
          <w:rFonts w:eastAsia="Verdana" w:cs="Verdana"/>
          <w:i/>
          <w:sz w:val="20"/>
          <w:szCs w:val="20"/>
          <w:lang w:val="en-US"/>
        </w:rPr>
      </w:pPr>
      <w:r w:rsidRPr="00012C3F">
        <w:rPr>
          <w:rFonts w:eastAsia="Verdana" w:cs="Verdana"/>
          <w:i/>
          <w:sz w:val="20"/>
          <w:szCs w:val="20"/>
          <w:lang w:val="en-US"/>
        </w:rPr>
        <w:t>Victims’ Legal Assistance Fund</w:t>
      </w:r>
      <w:r w:rsidR="006C37C9" w:rsidRPr="00012C3F">
        <w:rPr>
          <w:rFonts w:eastAsia="Verdana" w:cs="Verdana"/>
          <w:i/>
          <w:sz w:val="20"/>
          <w:szCs w:val="20"/>
          <w:lang w:val="en-US"/>
        </w:rPr>
        <w:t>.</w:t>
      </w:r>
      <w:r w:rsidR="006C37C9" w:rsidRPr="00012C3F">
        <w:rPr>
          <w:rFonts w:cs="Verdana"/>
          <w:sz w:val="20"/>
          <w:szCs w:val="20"/>
          <w:lang w:val="en-US" w:eastAsia="es-ES"/>
        </w:rPr>
        <w:t xml:space="preserve"> </w:t>
      </w:r>
      <w:r w:rsidRPr="00012C3F">
        <w:rPr>
          <w:rFonts w:cs="Verdana"/>
          <w:sz w:val="20"/>
          <w:szCs w:val="20"/>
          <w:lang w:val="en-US" w:eastAsia="es-ES"/>
        </w:rPr>
        <w:t>In an order of the</w:t>
      </w:r>
      <w:r w:rsidR="006C37C9" w:rsidRPr="00012C3F">
        <w:rPr>
          <w:rFonts w:cs="Verdana"/>
          <w:sz w:val="20"/>
          <w:szCs w:val="20"/>
          <w:lang w:val="en-US" w:eastAsia="es-ES"/>
        </w:rPr>
        <w:t xml:space="preserve"> </w:t>
      </w:r>
      <w:r w:rsidR="001254DE" w:rsidRPr="00012C3F">
        <w:rPr>
          <w:rFonts w:cs="Verdana"/>
          <w:sz w:val="20"/>
          <w:szCs w:val="20"/>
          <w:lang w:val="en-US" w:eastAsia="es-ES"/>
        </w:rPr>
        <w:t>President of the Court</w:t>
      </w:r>
      <w:r w:rsidR="006C37C9" w:rsidRPr="00012C3F">
        <w:rPr>
          <w:rFonts w:cs="Verdana"/>
          <w:sz w:val="20"/>
          <w:szCs w:val="20"/>
          <w:lang w:val="en-US" w:eastAsia="es-ES"/>
        </w:rPr>
        <w:t xml:space="preserve"> </w:t>
      </w:r>
      <w:r w:rsidRPr="00012C3F">
        <w:rPr>
          <w:rFonts w:cs="Verdana"/>
          <w:sz w:val="20"/>
          <w:szCs w:val="20"/>
          <w:lang w:val="en-US" w:eastAsia="es-ES"/>
        </w:rPr>
        <w:t>of January 13,</w:t>
      </w:r>
      <w:r w:rsidR="006C37C9" w:rsidRPr="00012C3F">
        <w:rPr>
          <w:rFonts w:cs="Verdana"/>
          <w:sz w:val="20"/>
          <w:szCs w:val="20"/>
          <w:lang w:val="en-US" w:eastAsia="es-ES"/>
        </w:rPr>
        <w:t xml:space="preserve"> 2016, </w:t>
      </w:r>
      <w:r w:rsidRPr="00012C3F">
        <w:rPr>
          <w:rFonts w:cs="Verdana"/>
          <w:sz w:val="20"/>
          <w:szCs w:val="20"/>
          <w:lang w:val="en-US" w:eastAsia="es-ES"/>
        </w:rPr>
        <w:t>the presumed victim’s request, through her representative, to access the Court’s Legal Assistance Fund was declared admissible.</w:t>
      </w:r>
      <w:r w:rsidR="006C37C9" w:rsidRPr="00012C3F">
        <w:rPr>
          <w:rStyle w:val="Refdenotaalpie"/>
          <w:rFonts w:cs="Verdana"/>
          <w:sz w:val="20"/>
          <w:szCs w:val="20"/>
          <w:lang w:val="en-US" w:eastAsia="es-ES"/>
        </w:rPr>
        <w:footnoteReference w:id="7"/>
      </w:r>
    </w:p>
    <w:p w14:paraId="1F41B208" w14:textId="77777777" w:rsidR="006C37C9" w:rsidRPr="00012C3F" w:rsidRDefault="006C37C9" w:rsidP="00095E76">
      <w:pPr>
        <w:tabs>
          <w:tab w:val="left" w:pos="720"/>
        </w:tabs>
        <w:autoSpaceDE w:val="0"/>
        <w:autoSpaceDN w:val="0"/>
        <w:spacing w:line="240" w:lineRule="auto"/>
        <w:rPr>
          <w:rFonts w:eastAsia="Verdana" w:cs="Verdana"/>
          <w:sz w:val="20"/>
          <w:szCs w:val="20"/>
          <w:lang w:val="en-US"/>
        </w:rPr>
      </w:pPr>
    </w:p>
    <w:p w14:paraId="3657B09A" w14:textId="77777777" w:rsidR="006C37C9" w:rsidRPr="00012C3F" w:rsidRDefault="006C37C9" w:rsidP="00095E76">
      <w:pPr>
        <w:numPr>
          <w:ilvl w:val="0"/>
          <w:numId w:val="5"/>
        </w:numPr>
        <w:tabs>
          <w:tab w:val="left" w:pos="720"/>
          <w:tab w:val="num" w:pos="12305"/>
        </w:tabs>
        <w:spacing w:line="240" w:lineRule="auto"/>
        <w:ind w:left="0" w:firstLine="0"/>
        <w:rPr>
          <w:rFonts w:eastAsia="Verdana" w:cs="Verdana"/>
          <w:sz w:val="20"/>
          <w:szCs w:val="20"/>
          <w:lang w:val="en-US"/>
        </w:rPr>
      </w:pPr>
      <w:r w:rsidRPr="00012C3F">
        <w:rPr>
          <w:rFonts w:eastAsia="Verdana" w:cs="Verdana"/>
          <w:i/>
          <w:sz w:val="20"/>
          <w:szCs w:val="20"/>
          <w:lang w:val="en-US"/>
        </w:rPr>
        <w:t>Observa</w:t>
      </w:r>
      <w:r w:rsidR="00B257AF" w:rsidRPr="00012C3F">
        <w:rPr>
          <w:rFonts w:eastAsia="Verdana" w:cs="Verdana"/>
          <w:i/>
          <w:sz w:val="20"/>
          <w:szCs w:val="20"/>
          <w:lang w:val="en-US"/>
        </w:rPr>
        <w:t xml:space="preserve">tions on the preliminary objections. </w:t>
      </w:r>
      <w:r w:rsidR="00B257AF" w:rsidRPr="00012C3F">
        <w:rPr>
          <w:rFonts w:eastAsia="Verdana" w:cs="Verdana"/>
          <w:sz w:val="20"/>
          <w:szCs w:val="20"/>
          <w:lang w:val="en-US"/>
        </w:rPr>
        <w:t>On February</w:t>
      </w:r>
      <w:r w:rsidRPr="00012C3F">
        <w:rPr>
          <w:rFonts w:eastAsia="Verdana" w:cs="Verdana"/>
          <w:sz w:val="20"/>
          <w:szCs w:val="20"/>
          <w:lang w:val="en-US"/>
        </w:rPr>
        <w:t xml:space="preserve"> 22</w:t>
      </w:r>
      <w:r w:rsidR="005E5012" w:rsidRPr="00012C3F">
        <w:rPr>
          <w:rFonts w:eastAsia="Verdana" w:cs="Verdana"/>
          <w:sz w:val="20"/>
          <w:szCs w:val="20"/>
          <w:lang w:val="en-US"/>
        </w:rPr>
        <w:t xml:space="preserve"> and </w:t>
      </w:r>
      <w:r w:rsidRPr="00012C3F">
        <w:rPr>
          <w:rFonts w:eastAsia="Verdana" w:cs="Verdana"/>
          <w:sz w:val="20"/>
          <w:szCs w:val="20"/>
          <w:lang w:val="en-US"/>
        </w:rPr>
        <w:t>2</w:t>
      </w:r>
      <w:r w:rsidR="00B257AF" w:rsidRPr="00012C3F">
        <w:rPr>
          <w:rFonts w:eastAsia="Verdana" w:cs="Verdana"/>
          <w:sz w:val="20"/>
          <w:szCs w:val="20"/>
          <w:lang w:val="en-US"/>
        </w:rPr>
        <w:t xml:space="preserve">8, </w:t>
      </w:r>
      <w:r w:rsidRPr="00012C3F">
        <w:rPr>
          <w:rFonts w:eastAsia="Verdana" w:cs="Verdana"/>
          <w:sz w:val="20"/>
          <w:szCs w:val="20"/>
          <w:lang w:val="en-US"/>
        </w:rPr>
        <w:t>2015</w:t>
      </w:r>
      <w:r w:rsidR="00B257AF" w:rsidRPr="00012C3F">
        <w:rPr>
          <w:rFonts w:eastAsia="Verdana" w:cs="Verdana"/>
          <w:sz w:val="20"/>
          <w:szCs w:val="20"/>
          <w:lang w:val="en-US"/>
        </w:rPr>
        <w:t>,</w:t>
      </w:r>
      <w:r w:rsidRPr="00012C3F">
        <w:rPr>
          <w:rFonts w:eastAsia="Verdana" w:cs="Verdana"/>
          <w:sz w:val="20"/>
          <w:szCs w:val="20"/>
          <w:lang w:val="en-US"/>
        </w:rPr>
        <w:t xml:space="preserve"> </w:t>
      </w:r>
      <w:r w:rsidR="0095689A" w:rsidRPr="00012C3F">
        <w:rPr>
          <w:rFonts w:eastAsia="Verdana" w:cs="Verdana"/>
          <w:sz w:val="20"/>
          <w:szCs w:val="20"/>
          <w:lang w:val="en-US"/>
        </w:rPr>
        <w:t xml:space="preserve">respectively, </w:t>
      </w:r>
      <w:r w:rsidR="00972ACF" w:rsidRPr="00012C3F">
        <w:rPr>
          <w:rFonts w:eastAsia="Verdana" w:cs="Verdana"/>
          <w:sz w:val="20"/>
          <w:szCs w:val="20"/>
          <w:lang w:val="en-US"/>
        </w:rPr>
        <w:t>the representative</w:t>
      </w:r>
      <w:r w:rsidR="005E5012" w:rsidRPr="00012C3F">
        <w:rPr>
          <w:rFonts w:eastAsia="Verdana" w:cs="Verdana"/>
          <w:sz w:val="20"/>
          <w:szCs w:val="20"/>
          <w:lang w:val="en-US"/>
        </w:rPr>
        <w:t xml:space="preserve"> and </w:t>
      </w:r>
      <w:r w:rsidR="001254DE" w:rsidRPr="00012C3F">
        <w:rPr>
          <w:rFonts w:eastAsia="Verdana" w:cs="Verdana"/>
          <w:sz w:val="20"/>
          <w:szCs w:val="20"/>
          <w:lang w:val="en-US"/>
        </w:rPr>
        <w:t xml:space="preserve">the Inter-American </w:t>
      </w:r>
      <w:r w:rsidR="00A84CA0" w:rsidRPr="00012C3F">
        <w:rPr>
          <w:rFonts w:eastAsia="Verdana" w:cs="Verdana"/>
          <w:sz w:val="20"/>
          <w:szCs w:val="20"/>
          <w:lang w:val="en-US"/>
        </w:rPr>
        <w:t>Commission</w:t>
      </w:r>
      <w:r w:rsidRPr="00012C3F">
        <w:rPr>
          <w:rFonts w:eastAsia="Verdana" w:cs="Verdana"/>
          <w:sz w:val="20"/>
          <w:szCs w:val="20"/>
          <w:lang w:val="en-US"/>
        </w:rPr>
        <w:t xml:space="preserve"> </w:t>
      </w:r>
      <w:r w:rsidR="00B257AF" w:rsidRPr="00012C3F">
        <w:rPr>
          <w:rFonts w:eastAsia="Verdana" w:cs="Verdana"/>
          <w:sz w:val="20"/>
          <w:szCs w:val="20"/>
          <w:lang w:val="en-US"/>
        </w:rPr>
        <w:t>presented</w:t>
      </w:r>
      <w:r w:rsidR="0095689A" w:rsidRPr="00012C3F">
        <w:rPr>
          <w:rFonts w:eastAsia="Verdana" w:cs="Verdana"/>
          <w:sz w:val="20"/>
          <w:szCs w:val="20"/>
          <w:lang w:val="en-US"/>
        </w:rPr>
        <w:t xml:space="preserve"> </w:t>
      </w:r>
      <w:r w:rsidR="00B257AF" w:rsidRPr="00012C3F">
        <w:rPr>
          <w:rFonts w:eastAsia="Verdana" w:cs="Verdana"/>
          <w:sz w:val="20"/>
          <w:szCs w:val="20"/>
          <w:lang w:val="en-US"/>
        </w:rPr>
        <w:t xml:space="preserve">their observations on the preliminary objections filed by </w:t>
      </w:r>
      <w:r w:rsidR="00A84CA0" w:rsidRPr="00012C3F">
        <w:rPr>
          <w:rFonts w:eastAsia="Verdana" w:cs="Verdana"/>
          <w:sz w:val="20"/>
          <w:szCs w:val="20"/>
          <w:lang w:val="en-US"/>
        </w:rPr>
        <w:t>the State</w:t>
      </w:r>
      <w:r w:rsidRPr="00012C3F">
        <w:rPr>
          <w:rFonts w:eastAsia="Verdana" w:cs="Verdana"/>
          <w:sz w:val="20"/>
          <w:szCs w:val="20"/>
          <w:lang w:val="en-US"/>
        </w:rPr>
        <w:t>.</w:t>
      </w:r>
    </w:p>
    <w:p w14:paraId="5D1ED9A9" w14:textId="77777777" w:rsidR="006C37C9" w:rsidRPr="00012C3F" w:rsidRDefault="006C37C9" w:rsidP="006C37C9">
      <w:pPr>
        <w:autoSpaceDE w:val="0"/>
        <w:autoSpaceDN w:val="0"/>
        <w:spacing w:line="240" w:lineRule="auto"/>
        <w:rPr>
          <w:rFonts w:eastAsia="Verdana" w:cs="Verdana"/>
          <w:sz w:val="20"/>
          <w:szCs w:val="20"/>
          <w:lang w:val="en-US"/>
        </w:rPr>
      </w:pPr>
    </w:p>
    <w:p w14:paraId="039120CF" w14:textId="77777777" w:rsidR="006C37C9" w:rsidRPr="00012C3F" w:rsidRDefault="00B257AF" w:rsidP="00095E76">
      <w:pPr>
        <w:numPr>
          <w:ilvl w:val="0"/>
          <w:numId w:val="5"/>
        </w:numPr>
        <w:tabs>
          <w:tab w:val="left" w:pos="720"/>
          <w:tab w:val="num" w:pos="12305"/>
        </w:tabs>
        <w:spacing w:line="240" w:lineRule="auto"/>
        <w:ind w:left="0" w:firstLine="0"/>
        <w:rPr>
          <w:rFonts w:eastAsia="Verdana" w:cs="Verdana"/>
          <w:sz w:val="20"/>
          <w:szCs w:val="20"/>
          <w:lang w:val="en-US"/>
        </w:rPr>
      </w:pPr>
      <w:r w:rsidRPr="00012C3F">
        <w:rPr>
          <w:rFonts w:eastAsia="Verdana" w:cs="Verdana"/>
          <w:i/>
          <w:position w:val="-1"/>
          <w:sz w:val="20"/>
          <w:szCs w:val="20"/>
          <w:lang w:val="en-US"/>
        </w:rPr>
        <w:t>Public hearing.</w:t>
      </w:r>
      <w:r w:rsidR="006C37C9" w:rsidRPr="00012C3F">
        <w:rPr>
          <w:rFonts w:eastAsia="Verdana" w:cs="Verdana"/>
          <w:i/>
          <w:position w:val="-1"/>
          <w:sz w:val="20"/>
          <w:szCs w:val="20"/>
          <w:lang w:val="en-US"/>
        </w:rPr>
        <w:t xml:space="preserve"> </w:t>
      </w:r>
      <w:r w:rsidRPr="00012C3F">
        <w:rPr>
          <w:rFonts w:eastAsia="Verdana" w:cs="Verdana"/>
          <w:position w:val="-1"/>
          <w:sz w:val="20"/>
          <w:szCs w:val="20"/>
          <w:lang w:val="en-US"/>
        </w:rPr>
        <w:t>In an order of March</w:t>
      </w:r>
      <w:r w:rsidR="006C37C9" w:rsidRPr="00012C3F">
        <w:rPr>
          <w:rFonts w:eastAsia="Verdana" w:cs="Verdana"/>
          <w:position w:val="-1"/>
          <w:sz w:val="20"/>
          <w:szCs w:val="20"/>
          <w:lang w:val="en-US"/>
        </w:rPr>
        <w:t xml:space="preserve"> 29</w:t>
      </w:r>
      <w:r w:rsidRPr="00012C3F">
        <w:rPr>
          <w:rFonts w:eastAsia="Verdana" w:cs="Verdana"/>
          <w:position w:val="-1"/>
          <w:sz w:val="20"/>
          <w:szCs w:val="20"/>
          <w:lang w:val="en-US"/>
        </w:rPr>
        <w:t xml:space="preserve">, </w:t>
      </w:r>
      <w:r w:rsidR="006C37C9" w:rsidRPr="00012C3F">
        <w:rPr>
          <w:rFonts w:eastAsia="Verdana" w:cs="Verdana"/>
          <w:position w:val="-1"/>
          <w:sz w:val="20"/>
          <w:szCs w:val="20"/>
          <w:lang w:val="en-US"/>
        </w:rPr>
        <w:t>2016</w:t>
      </w:r>
      <w:r w:rsidRPr="00012C3F">
        <w:rPr>
          <w:rFonts w:eastAsia="Verdana" w:cs="Verdana"/>
          <w:position w:val="-1"/>
          <w:sz w:val="20"/>
          <w:szCs w:val="20"/>
          <w:lang w:val="en-US"/>
        </w:rPr>
        <w:t>,</w:t>
      </w:r>
      <w:r w:rsidR="006C37C9" w:rsidRPr="00012C3F">
        <w:rPr>
          <w:rStyle w:val="Refdenotaalpie"/>
          <w:rFonts w:eastAsia="Verdana" w:cs="Verdana"/>
          <w:position w:val="-1"/>
          <w:sz w:val="20"/>
          <w:szCs w:val="20"/>
          <w:lang w:val="en-US"/>
        </w:rPr>
        <w:footnoteReference w:id="8"/>
      </w:r>
      <w:r w:rsidR="006C37C9" w:rsidRPr="00012C3F">
        <w:rPr>
          <w:rFonts w:eastAsia="Verdana" w:cs="Verdana"/>
          <w:position w:val="-1"/>
          <w:sz w:val="20"/>
          <w:szCs w:val="20"/>
          <w:lang w:val="en-US"/>
        </w:rPr>
        <w:t xml:space="preserve"> </w:t>
      </w:r>
      <w:r w:rsidRPr="00012C3F">
        <w:rPr>
          <w:rFonts w:eastAsia="Verdana" w:cs="Verdana"/>
          <w:position w:val="-1"/>
          <w:sz w:val="20"/>
          <w:szCs w:val="20"/>
          <w:lang w:val="en-US"/>
        </w:rPr>
        <w:t>the</w:t>
      </w:r>
      <w:r w:rsidR="006C37C9" w:rsidRPr="00012C3F">
        <w:rPr>
          <w:rFonts w:eastAsia="Verdana" w:cs="Verdana"/>
          <w:position w:val="-1"/>
          <w:sz w:val="20"/>
          <w:szCs w:val="20"/>
          <w:lang w:val="en-US"/>
        </w:rPr>
        <w:t xml:space="preserve"> </w:t>
      </w:r>
      <w:r w:rsidR="001254DE" w:rsidRPr="00012C3F">
        <w:rPr>
          <w:rFonts w:eastAsia="Verdana" w:cs="Verdana"/>
          <w:position w:val="-1"/>
          <w:sz w:val="20"/>
          <w:szCs w:val="20"/>
          <w:lang w:val="en-US"/>
        </w:rPr>
        <w:t>President</w:t>
      </w:r>
      <w:r w:rsidR="006C37C9" w:rsidRPr="00012C3F">
        <w:rPr>
          <w:rFonts w:eastAsia="Verdana" w:cs="Verdana"/>
          <w:position w:val="-1"/>
          <w:sz w:val="20"/>
          <w:szCs w:val="20"/>
          <w:lang w:val="en-US"/>
        </w:rPr>
        <w:t xml:space="preserve"> c</w:t>
      </w:r>
      <w:r w:rsidRPr="00012C3F">
        <w:rPr>
          <w:rFonts w:eastAsia="Verdana" w:cs="Verdana"/>
          <w:position w:val="-1"/>
          <w:sz w:val="20"/>
          <w:szCs w:val="20"/>
          <w:lang w:val="en-US"/>
        </w:rPr>
        <w:t xml:space="preserve">alled the parties and </w:t>
      </w:r>
      <w:r w:rsidR="001254DE" w:rsidRPr="00012C3F">
        <w:rPr>
          <w:rFonts w:eastAsia="Verdana" w:cs="Verdana"/>
          <w:position w:val="-1"/>
          <w:sz w:val="20"/>
          <w:szCs w:val="20"/>
          <w:lang w:val="en-US"/>
        </w:rPr>
        <w:t xml:space="preserve">the Inter-American </w:t>
      </w:r>
      <w:r w:rsidR="00A84CA0" w:rsidRPr="00012C3F">
        <w:rPr>
          <w:rFonts w:eastAsia="Verdana" w:cs="Verdana"/>
          <w:position w:val="-1"/>
          <w:sz w:val="20"/>
          <w:szCs w:val="20"/>
          <w:lang w:val="en-US"/>
        </w:rPr>
        <w:t>Commission</w:t>
      </w:r>
      <w:r w:rsidR="006C37C9" w:rsidRPr="00012C3F">
        <w:rPr>
          <w:rFonts w:eastAsia="Verdana" w:cs="Verdana"/>
          <w:position w:val="-1"/>
          <w:sz w:val="20"/>
          <w:szCs w:val="20"/>
          <w:lang w:val="en-US"/>
        </w:rPr>
        <w:t xml:space="preserve"> </w:t>
      </w:r>
      <w:r w:rsidRPr="00012C3F">
        <w:rPr>
          <w:rFonts w:eastAsia="Verdana" w:cs="Verdana"/>
          <w:position w:val="-1"/>
          <w:sz w:val="20"/>
          <w:szCs w:val="20"/>
          <w:lang w:val="en-US"/>
        </w:rPr>
        <w:t>to a</w:t>
      </w:r>
      <w:r w:rsidR="006C37C9" w:rsidRPr="00012C3F">
        <w:rPr>
          <w:rFonts w:eastAsia="Verdana" w:cs="Verdana"/>
          <w:position w:val="-1"/>
          <w:sz w:val="20"/>
          <w:szCs w:val="20"/>
          <w:lang w:val="en-US"/>
        </w:rPr>
        <w:t xml:space="preserve"> </w:t>
      </w:r>
      <w:r w:rsidRPr="00012C3F">
        <w:rPr>
          <w:rFonts w:eastAsia="Verdana" w:cs="Verdana"/>
          <w:position w:val="-1"/>
          <w:sz w:val="20"/>
          <w:szCs w:val="20"/>
          <w:lang w:val="en-US"/>
        </w:rPr>
        <w:t>public hearing</w:t>
      </w:r>
      <w:r w:rsidR="006C37C9" w:rsidRPr="00012C3F">
        <w:rPr>
          <w:rFonts w:eastAsia="Verdana" w:cs="Verdana"/>
          <w:position w:val="-1"/>
          <w:sz w:val="20"/>
          <w:szCs w:val="20"/>
          <w:lang w:val="en-US"/>
        </w:rPr>
        <w:t xml:space="preserve"> </w:t>
      </w:r>
      <w:r w:rsidRPr="00012C3F">
        <w:rPr>
          <w:rFonts w:eastAsia="Verdana" w:cs="Verdana"/>
          <w:position w:val="-1"/>
          <w:sz w:val="20"/>
          <w:szCs w:val="20"/>
          <w:lang w:val="en-US"/>
        </w:rPr>
        <w:t>to receive their final oral arguments and observations on the preliminary objections and eventual m</w:t>
      </w:r>
      <w:r w:rsidR="001254DE" w:rsidRPr="00012C3F">
        <w:rPr>
          <w:rFonts w:eastAsia="Verdana" w:cs="Verdana"/>
          <w:position w:val="-1"/>
          <w:sz w:val="20"/>
          <w:szCs w:val="20"/>
          <w:lang w:val="en-US"/>
        </w:rPr>
        <w:t>erits</w:t>
      </w:r>
      <w:r w:rsidRPr="00012C3F">
        <w:rPr>
          <w:rFonts w:eastAsia="Verdana" w:cs="Verdana"/>
          <w:position w:val="-1"/>
          <w:sz w:val="20"/>
          <w:szCs w:val="20"/>
          <w:lang w:val="en-US"/>
        </w:rPr>
        <w:t>,</w:t>
      </w:r>
      <w:r w:rsidR="001254DE" w:rsidRPr="00012C3F">
        <w:rPr>
          <w:rFonts w:eastAsia="Verdana" w:cs="Verdana"/>
          <w:position w:val="-1"/>
          <w:sz w:val="20"/>
          <w:szCs w:val="20"/>
          <w:lang w:val="en-US"/>
        </w:rPr>
        <w:t xml:space="preserve"> reparations and costs</w:t>
      </w:r>
      <w:r w:rsidR="006C37C9" w:rsidRPr="00012C3F">
        <w:rPr>
          <w:rFonts w:eastAsia="Verdana" w:cs="Verdana"/>
          <w:position w:val="-1"/>
          <w:sz w:val="20"/>
          <w:szCs w:val="20"/>
          <w:lang w:val="en-US"/>
        </w:rPr>
        <w:t>, a</w:t>
      </w:r>
      <w:r w:rsidRPr="00012C3F">
        <w:rPr>
          <w:rFonts w:eastAsia="Verdana" w:cs="Verdana"/>
          <w:position w:val="-1"/>
          <w:sz w:val="20"/>
          <w:szCs w:val="20"/>
          <w:lang w:val="en-US"/>
        </w:rPr>
        <w:t xml:space="preserve">nd also to receive the statements </w:t>
      </w:r>
      <w:r w:rsidR="00972ACF" w:rsidRPr="00012C3F">
        <w:rPr>
          <w:rFonts w:eastAsia="Verdana" w:cs="Verdana"/>
          <w:position w:val="-1"/>
          <w:sz w:val="20"/>
          <w:szCs w:val="20"/>
          <w:lang w:val="en-US"/>
        </w:rPr>
        <w:t xml:space="preserve">of the </w:t>
      </w:r>
      <w:r w:rsidR="00E00902" w:rsidRPr="00012C3F">
        <w:rPr>
          <w:rFonts w:eastAsia="Verdana" w:cs="Verdana"/>
          <w:sz w:val="20"/>
          <w:szCs w:val="20"/>
          <w:lang w:val="en-US"/>
        </w:rPr>
        <w:t>presumed victim</w:t>
      </w:r>
      <w:r w:rsidR="006C37C9" w:rsidRPr="00012C3F">
        <w:rPr>
          <w:rFonts w:eastAsia="Verdana" w:cs="Verdana"/>
          <w:sz w:val="20"/>
          <w:szCs w:val="20"/>
          <w:lang w:val="en-US"/>
        </w:rPr>
        <w:t xml:space="preserve">, </w:t>
      </w:r>
      <w:r w:rsidRPr="00012C3F">
        <w:rPr>
          <w:rFonts w:eastAsia="Verdana" w:cs="Verdana"/>
          <w:sz w:val="20"/>
          <w:szCs w:val="20"/>
          <w:lang w:val="en-US"/>
        </w:rPr>
        <w:t xml:space="preserve">of a witness proposed by </w:t>
      </w:r>
      <w:r w:rsidR="00A84CA0" w:rsidRPr="00012C3F">
        <w:rPr>
          <w:rFonts w:eastAsia="Verdana" w:cs="Verdana"/>
          <w:position w:val="-1"/>
          <w:sz w:val="20"/>
          <w:szCs w:val="20"/>
          <w:lang w:val="en-US"/>
        </w:rPr>
        <w:t>the State</w:t>
      </w:r>
      <w:r w:rsidRPr="00012C3F">
        <w:rPr>
          <w:rFonts w:eastAsia="Verdana" w:cs="Verdana"/>
          <w:position w:val="-1"/>
          <w:sz w:val="20"/>
          <w:szCs w:val="20"/>
          <w:lang w:val="en-US"/>
        </w:rPr>
        <w:t>,</w:t>
      </w:r>
      <w:r w:rsidR="005E5012" w:rsidRPr="00012C3F">
        <w:rPr>
          <w:rFonts w:eastAsia="Verdana" w:cs="Verdana"/>
          <w:position w:val="-1"/>
          <w:sz w:val="20"/>
          <w:szCs w:val="20"/>
          <w:lang w:val="en-US"/>
        </w:rPr>
        <w:t xml:space="preserve"> and </w:t>
      </w:r>
      <w:r w:rsidRPr="00012C3F">
        <w:rPr>
          <w:rFonts w:eastAsia="Verdana" w:cs="Verdana"/>
          <w:position w:val="-1"/>
          <w:sz w:val="20"/>
          <w:szCs w:val="20"/>
          <w:lang w:val="en-US"/>
        </w:rPr>
        <w:t>of three expert witnesses proposed by</w:t>
      </w:r>
      <w:r w:rsidR="006C37C9" w:rsidRPr="00012C3F">
        <w:rPr>
          <w:rFonts w:eastAsia="Verdana" w:cs="Verdana"/>
          <w:position w:val="-1"/>
          <w:sz w:val="20"/>
          <w:szCs w:val="20"/>
          <w:lang w:val="en-US"/>
        </w:rPr>
        <w:t xml:space="preserve"> </w:t>
      </w:r>
      <w:r w:rsidR="00972ACF" w:rsidRPr="00012C3F">
        <w:rPr>
          <w:rFonts w:eastAsia="Verdana" w:cs="Verdana"/>
          <w:position w:val="-1"/>
          <w:sz w:val="20"/>
          <w:szCs w:val="20"/>
          <w:lang w:val="en-US"/>
        </w:rPr>
        <w:t>the representative</w:t>
      </w:r>
      <w:r w:rsidR="006C37C9" w:rsidRPr="00012C3F">
        <w:rPr>
          <w:rFonts w:eastAsia="Verdana" w:cs="Verdana"/>
          <w:position w:val="-1"/>
          <w:sz w:val="20"/>
          <w:szCs w:val="20"/>
          <w:lang w:val="en-US"/>
        </w:rPr>
        <w:t xml:space="preserve">, </w:t>
      </w:r>
      <w:r w:rsidR="00A84CA0" w:rsidRPr="00012C3F">
        <w:rPr>
          <w:rFonts w:eastAsia="Verdana" w:cs="Verdana"/>
          <w:position w:val="-1"/>
          <w:sz w:val="20"/>
          <w:szCs w:val="20"/>
          <w:lang w:val="en-US"/>
        </w:rPr>
        <w:t>the State</w:t>
      </w:r>
      <w:r w:rsidRPr="00012C3F">
        <w:rPr>
          <w:rFonts w:eastAsia="Verdana" w:cs="Verdana"/>
          <w:position w:val="-1"/>
          <w:sz w:val="20"/>
          <w:szCs w:val="20"/>
          <w:lang w:val="en-US"/>
        </w:rPr>
        <w:t>,</w:t>
      </w:r>
      <w:r w:rsidR="005E5012" w:rsidRPr="00012C3F">
        <w:rPr>
          <w:rFonts w:eastAsia="Verdana" w:cs="Verdana"/>
          <w:position w:val="-1"/>
          <w:sz w:val="20"/>
          <w:szCs w:val="20"/>
          <w:lang w:val="en-US"/>
        </w:rPr>
        <w:t xml:space="preserve"> and </w:t>
      </w:r>
      <w:r w:rsidR="001254DE" w:rsidRPr="00012C3F">
        <w:rPr>
          <w:rFonts w:eastAsia="Verdana" w:cs="Verdana"/>
          <w:position w:val="-1"/>
          <w:sz w:val="20"/>
          <w:szCs w:val="20"/>
          <w:lang w:val="en-US"/>
        </w:rPr>
        <w:t xml:space="preserve">the </w:t>
      </w:r>
      <w:r w:rsidR="00A84CA0" w:rsidRPr="00012C3F">
        <w:rPr>
          <w:rFonts w:eastAsia="Verdana" w:cs="Verdana"/>
          <w:position w:val="-1"/>
          <w:sz w:val="20"/>
          <w:szCs w:val="20"/>
          <w:lang w:val="en-US"/>
        </w:rPr>
        <w:t>Commission</w:t>
      </w:r>
      <w:r w:rsidRPr="00012C3F">
        <w:rPr>
          <w:rFonts w:eastAsia="Verdana" w:cs="Verdana"/>
          <w:position w:val="-1"/>
          <w:sz w:val="20"/>
          <w:szCs w:val="20"/>
          <w:lang w:val="en-US"/>
        </w:rPr>
        <w:t>.</w:t>
      </w:r>
      <w:r w:rsidR="006C37C9" w:rsidRPr="00012C3F">
        <w:rPr>
          <w:rStyle w:val="Refdenotaalpie"/>
          <w:rFonts w:eastAsia="Verdana" w:cs="Verdana"/>
          <w:position w:val="-1"/>
          <w:sz w:val="20"/>
          <w:szCs w:val="20"/>
          <w:lang w:val="en-US"/>
        </w:rPr>
        <w:footnoteReference w:id="9"/>
      </w:r>
      <w:r w:rsidR="006C37C9" w:rsidRPr="00012C3F">
        <w:rPr>
          <w:rFonts w:eastAsia="Verdana" w:cs="Verdana"/>
          <w:position w:val="-1"/>
          <w:sz w:val="20"/>
          <w:szCs w:val="20"/>
          <w:lang w:val="en-US"/>
        </w:rPr>
        <w:t xml:space="preserve"> </w:t>
      </w:r>
      <w:r w:rsidRPr="00012C3F">
        <w:rPr>
          <w:rFonts w:eastAsia="Verdana" w:cs="Verdana"/>
          <w:sz w:val="20"/>
          <w:szCs w:val="20"/>
          <w:lang w:val="en-US"/>
        </w:rPr>
        <w:t>The</w:t>
      </w:r>
      <w:r w:rsidR="006C37C9" w:rsidRPr="00012C3F">
        <w:rPr>
          <w:rFonts w:eastAsia="Verdana" w:cs="Verdana"/>
          <w:sz w:val="20"/>
          <w:szCs w:val="20"/>
          <w:lang w:val="en-US"/>
        </w:rPr>
        <w:t xml:space="preserve"> </w:t>
      </w:r>
      <w:r w:rsidRPr="00012C3F">
        <w:rPr>
          <w:rFonts w:eastAsia="Verdana" w:cs="Verdana"/>
          <w:sz w:val="20"/>
          <w:szCs w:val="20"/>
          <w:lang w:val="en-US"/>
        </w:rPr>
        <w:t>public hearing</w:t>
      </w:r>
      <w:r w:rsidR="006C37C9" w:rsidRPr="00012C3F">
        <w:rPr>
          <w:rFonts w:eastAsia="Verdana" w:cs="Verdana"/>
          <w:sz w:val="20"/>
          <w:szCs w:val="20"/>
          <w:lang w:val="en-US"/>
        </w:rPr>
        <w:t xml:space="preserve"> </w:t>
      </w:r>
      <w:r w:rsidRPr="00012C3F">
        <w:rPr>
          <w:rFonts w:eastAsia="Verdana" w:cs="Verdana"/>
          <w:sz w:val="20"/>
          <w:szCs w:val="20"/>
          <w:lang w:val="en-US"/>
        </w:rPr>
        <w:t>took place on May 2, 2</w:t>
      </w:r>
      <w:r w:rsidR="0095689A" w:rsidRPr="00012C3F">
        <w:rPr>
          <w:rFonts w:eastAsia="Verdana" w:cs="Verdana"/>
          <w:sz w:val="20"/>
          <w:szCs w:val="20"/>
          <w:lang w:val="en-US"/>
        </w:rPr>
        <w:t>0</w:t>
      </w:r>
      <w:r w:rsidR="005804E7" w:rsidRPr="00012C3F">
        <w:rPr>
          <w:rFonts w:eastAsia="Verdana" w:cs="Verdana"/>
          <w:sz w:val="20"/>
          <w:szCs w:val="20"/>
          <w:lang w:val="en-US"/>
        </w:rPr>
        <w:t>1</w:t>
      </w:r>
      <w:r w:rsidRPr="00012C3F">
        <w:rPr>
          <w:rFonts w:eastAsia="Verdana" w:cs="Verdana"/>
          <w:sz w:val="20"/>
          <w:szCs w:val="20"/>
          <w:lang w:val="en-US"/>
        </w:rPr>
        <w:t>6, during the 114th regular session of the Court, held at its seat.</w:t>
      </w:r>
      <w:r w:rsidR="006C37C9" w:rsidRPr="00012C3F">
        <w:rPr>
          <w:rStyle w:val="Refdenotaalpie"/>
          <w:rFonts w:eastAsia="Verdana" w:cs="Verdana"/>
          <w:sz w:val="20"/>
          <w:szCs w:val="20"/>
          <w:lang w:val="en-US"/>
        </w:rPr>
        <w:footnoteReference w:id="10"/>
      </w:r>
      <w:r w:rsidRPr="00012C3F">
        <w:rPr>
          <w:rFonts w:eastAsia="Verdana" w:cs="Verdana"/>
          <w:sz w:val="20"/>
          <w:szCs w:val="20"/>
          <w:lang w:val="en-US"/>
        </w:rPr>
        <w:t xml:space="preserve"> </w:t>
      </w:r>
      <w:r w:rsidRPr="00012C3F">
        <w:rPr>
          <w:rFonts w:eastAsia="Verdana" w:cs="Verdana"/>
          <w:sz w:val="20"/>
          <w:szCs w:val="20"/>
          <w:lang w:val="en-US"/>
        </w:rPr>
        <w:lastRenderedPageBreak/>
        <w:t>During the hearing, the Court heard the statements</w:t>
      </w:r>
      <w:r w:rsidR="00972ACF" w:rsidRPr="00012C3F">
        <w:rPr>
          <w:rFonts w:eastAsia="Verdana" w:cs="Verdana"/>
          <w:sz w:val="20"/>
          <w:szCs w:val="20"/>
          <w:lang w:val="en-US"/>
        </w:rPr>
        <w:t xml:space="preserve"> of the </w:t>
      </w:r>
      <w:r w:rsidR="00E00902" w:rsidRPr="00012C3F">
        <w:rPr>
          <w:rFonts w:eastAsia="Verdana" w:cs="Verdana"/>
          <w:sz w:val="20"/>
          <w:szCs w:val="20"/>
          <w:lang w:val="en-US"/>
        </w:rPr>
        <w:t>presumed victim</w:t>
      </w:r>
      <w:r w:rsidR="006C37C9" w:rsidRPr="00012C3F">
        <w:rPr>
          <w:rFonts w:eastAsia="Verdana" w:cs="Verdana"/>
          <w:sz w:val="20"/>
          <w:szCs w:val="20"/>
          <w:lang w:val="en-US"/>
        </w:rPr>
        <w:t xml:space="preserve"> </w:t>
      </w:r>
      <w:r w:rsidR="000E1C11" w:rsidRPr="00012C3F">
        <w:rPr>
          <w:rFonts w:eastAsia="Verdana" w:cs="Verdana"/>
          <w:sz w:val="20"/>
          <w:szCs w:val="20"/>
          <w:lang w:val="en-US"/>
        </w:rPr>
        <w:t>I.V.</w:t>
      </w:r>
      <w:r w:rsidR="006C37C9" w:rsidRPr="00012C3F">
        <w:rPr>
          <w:rFonts w:eastAsia="Verdana" w:cs="Verdana"/>
          <w:sz w:val="20"/>
          <w:szCs w:val="20"/>
          <w:lang w:val="en-US"/>
        </w:rPr>
        <w:t>,</w:t>
      </w:r>
      <w:r w:rsidRPr="00012C3F">
        <w:rPr>
          <w:rFonts w:eastAsia="Verdana" w:cs="Verdana"/>
          <w:sz w:val="20"/>
          <w:szCs w:val="20"/>
          <w:lang w:val="en-US"/>
        </w:rPr>
        <w:t xml:space="preserve"> witness</w:t>
      </w:r>
      <w:r w:rsidR="006C37C9" w:rsidRPr="00012C3F">
        <w:rPr>
          <w:rFonts w:eastAsia="Verdana" w:cs="Verdana"/>
          <w:sz w:val="20"/>
          <w:szCs w:val="20"/>
          <w:lang w:val="en-US"/>
        </w:rPr>
        <w:t xml:space="preserve"> Edgar Torrico Ameller</w:t>
      </w:r>
      <w:r w:rsidRPr="00012C3F">
        <w:rPr>
          <w:rFonts w:eastAsia="Verdana" w:cs="Verdana"/>
          <w:sz w:val="20"/>
          <w:szCs w:val="20"/>
          <w:lang w:val="en-US"/>
        </w:rPr>
        <w:t>,</w:t>
      </w:r>
      <w:r w:rsidR="005E5012" w:rsidRPr="00012C3F">
        <w:rPr>
          <w:rFonts w:eastAsia="Verdana" w:cs="Verdana"/>
          <w:sz w:val="20"/>
          <w:szCs w:val="20"/>
          <w:lang w:val="en-US"/>
        </w:rPr>
        <w:t xml:space="preserve"> and </w:t>
      </w:r>
      <w:r w:rsidRPr="00012C3F">
        <w:rPr>
          <w:rFonts w:eastAsia="Verdana" w:cs="Verdana"/>
          <w:sz w:val="20"/>
          <w:szCs w:val="20"/>
          <w:lang w:val="en-US"/>
        </w:rPr>
        <w:t>expert witnesses</w:t>
      </w:r>
      <w:r w:rsidR="006C37C9" w:rsidRPr="00012C3F">
        <w:rPr>
          <w:rFonts w:eastAsia="Verdana" w:cs="Verdana"/>
          <w:sz w:val="20"/>
          <w:szCs w:val="20"/>
          <w:lang w:val="en-US"/>
        </w:rPr>
        <w:t xml:space="preserve"> Christina Zampas</w:t>
      </w:r>
      <w:r w:rsidR="005E5012" w:rsidRPr="00012C3F">
        <w:rPr>
          <w:rFonts w:eastAsia="Verdana" w:cs="Verdana"/>
          <w:sz w:val="20"/>
          <w:szCs w:val="20"/>
          <w:lang w:val="en-US"/>
        </w:rPr>
        <w:t xml:space="preserve"> and </w:t>
      </w:r>
      <w:r w:rsidR="006C37C9" w:rsidRPr="00012C3F">
        <w:rPr>
          <w:rFonts w:eastAsia="Verdana" w:cs="Verdana"/>
          <w:sz w:val="20"/>
          <w:szCs w:val="20"/>
          <w:lang w:val="en-US"/>
        </w:rPr>
        <w:t xml:space="preserve">Erwin Hochstatter Arduz. </w:t>
      </w:r>
      <w:r w:rsidRPr="00012C3F">
        <w:rPr>
          <w:sz w:val="20"/>
          <w:szCs w:val="20"/>
          <w:lang w:val="en-US" w:eastAsia="es-ES"/>
        </w:rPr>
        <w:t>In addition</w:t>
      </w:r>
      <w:r w:rsidR="0011543E" w:rsidRPr="00012C3F">
        <w:rPr>
          <w:sz w:val="20"/>
          <w:szCs w:val="20"/>
          <w:lang w:val="en-US" w:eastAsia="es-ES"/>
        </w:rPr>
        <w:t xml:space="preserve">, </w:t>
      </w:r>
      <w:r w:rsidR="001254DE" w:rsidRPr="00012C3F">
        <w:rPr>
          <w:sz w:val="20"/>
          <w:szCs w:val="20"/>
          <w:lang w:val="en-US" w:eastAsia="es-ES"/>
        </w:rPr>
        <w:t>the Court</w:t>
      </w:r>
      <w:r w:rsidR="0011543E" w:rsidRPr="00012C3F">
        <w:rPr>
          <w:sz w:val="20"/>
          <w:szCs w:val="20"/>
          <w:lang w:val="en-US" w:eastAsia="es-ES"/>
        </w:rPr>
        <w:t xml:space="preserve"> requir</w:t>
      </w:r>
      <w:r w:rsidRPr="00012C3F">
        <w:rPr>
          <w:sz w:val="20"/>
          <w:szCs w:val="20"/>
          <w:lang w:val="en-US" w:eastAsia="es-ES"/>
        </w:rPr>
        <w:t>ed the parties to submit certain information and documentation</w:t>
      </w:r>
      <w:r w:rsidR="005804E7" w:rsidRPr="00012C3F">
        <w:rPr>
          <w:sz w:val="20"/>
          <w:szCs w:val="20"/>
          <w:lang w:val="en-US" w:eastAsia="es-ES"/>
        </w:rPr>
        <w:t>.</w:t>
      </w:r>
      <w:r w:rsidRPr="00012C3F">
        <w:rPr>
          <w:sz w:val="20"/>
          <w:szCs w:val="20"/>
          <w:lang w:val="en-US" w:eastAsia="es-ES"/>
        </w:rPr>
        <w:t xml:space="preserve"> </w:t>
      </w:r>
      <w:r w:rsidR="005804E7" w:rsidRPr="00012C3F">
        <w:rPr>
          <w:sz w:val="20"/>
          <w:szCs w:val="20"/>
          <w:lang w:val="en-US" w:eastAsia="es-ES"/>
        </w:rPr>
        <w:t>I</w:t>
      </w:r>
      <w:r w:rsidRPr="00012C3F">
        <w:rPr>
          <w:sz w:val="20"/>
          <w:szCs w:val="20"/>
          <w:lang w:val="en-US" w:eastAsia="es-ES"/>
        </w:rPr>
        <w:t xml:space="preserve">n particular, it requested a complete copy of the case file of the administrative proceeding and of statements collected at the domestic level of </w:t>
      </w:r>
      <w:r w:rsidR="005804E7" w:rsidRPr="00012C3F">
        <w:rPr>
          <w:sz w:val="20"/>
          <w:szCs w:val="20"/>
          <w:lang w:val="en-US" w:eastAsia="es-ES"/>
        </w:rPr>
        <w:t>those</w:t>
      </w:r>
      <w:r w:rsidRPr="00012C3F">
        <w:rPr>
          <w:sz w:val="20"/>
          <w:szCs w:val="20"/>
          <w:lang w:val="en-US" w:eastAsia="es-ES"/>
        </w:rPr>
        <w:t xml:space="preserve"> who had been involved in or witnesse</w:t>
      </w:r>
      <w:r w:rsidR="005804E7" w:rsidRPr="00012C3F">
        <w:rPr>
          <w:sz w:val="20"/>
          <w:szCs w:val="20"/>
          <w:lang w:val="en-US" w:eastAsia="es-ES"/>
        </w:rPr>
        <w:t xml:space="preserve">d </w:t>
      </w:r>
      <w:r w:rsidRPr="00012C3F">
        <w:rPr>
          <w:sz w:val="20"/>
          <w:szCs w:val="20"/>
          <w:lang w:val="en-US" w:eastAsia="es-ES"/>
        </w:rPr>
        <w:t>the bilateral tubal liga</w:t>
      </w:r>
      <w:r w:rsidR="005804E7" w:rsidRPr="00012C3F">
        <w:rPr>
          <w:sz w:val="20"/>
          <w:szCs w:val="20"/>
          <w:lang w:val="en-US" w:eastAsia="es-ES"/>
        </w:rPr>
        <w:t>tion</w:t>
      </w:r>
      <w:r w:rsidRPr="00012C3F">
        <w:rPr>
          <w:sz w:val="20"/>
          <w:szCs w:val="20"/>
          <w:lang w:val="en-US" w:eastAsia="es-ES"/>
        </w:rPr>
        <w:t xml:space="preserve"> </w:t>
      </w:r>
      <w:r w:rsidRPr="00012C3F">
        <w:rPr>
          <w:rFonts w:eastAsia="Batang"/>
          <w:sz w:val="20"/>
          <w:lang w:val="en-US"/>
        </w:rPr>
        <w:t xml:space="preserve">procedure performed on </w:t>
      </w:r>
      <w:r w:rsidR="000E1C11" w:rsidRPr="00012C3F">
        <w:rPr>
          <w:rFonts w:eastAsia="Batang"/>
          <w:sz w:val="20"/>
          <w:lang w:val="en-US"/>
        </w:rPr>
        <w:t>I.V.</w:t>
      </w:r>
      <w:r w:rsidRPr="00012C3F">
        <w:rPr>
          <w:rFonts w:eastAsia="Batang"/>
          <w:sz w:val="20"/>
          <w:lang w:val="en-US"/>
        </w:rPr>
        <w:t xml:space="preserve"> The affidavits were received on April </w:t>
      </w:r>
      <w:r w:rsidR="006C37C9" w:rsidRPr="00012C3F">
        <w:rPr>
          <w:rFonts w:eastAsia="Verdana" w:cs="Verdana"/>
          <w:position w:val="-1"/>
          <w:sz w:val="20"/>
          <w:szCs w:val="20"/>
          <w:lang w:val="en-US"/>
        </w:rPr>
        <w:t>25, 28</w:t>
      </w:r>
      <w:r w:rsidR="005E5012" w:rsidRPr="00012C3F">
        <w:rPr>
          <w:rFonts w:eastAsia="Verdana" w:cs="Verdana"/>
          <w:position w:val="-1"/>
          <w:sz w:val="20"/>
          <w:szCs w:val="20"/>
          <w:lang w:val="en-US"/>
        </w:rPr>
        <w:t xml:space="preserve"> and </w:t>
      </w:r>
      <w:r w:rsidR="006C37C9" w:rsidRPr="00012C3F">
        <w:rPr>
          <w:rFonts w:eastAsia="Verdana" w:cs="Verdana"/>
          <w:position w:val="-1"/>
          <w:sz w:val="20"/>
          <w:szCs w:val="20"/>
          <w:lang w:val="en-US"/>
        </w:rPr>
        <w:t>29</w:t>
      </w:r>
      <w:r w:rsidRPr="00012C3F">
        <w:rPr>
          <w:rFonts w:eastAsia="Verdana" w:cs="Verdana"/>
          <w:position w:val="-1"/>
          <w:sz w:val="20"/>
          <w:szCs w:val="20"/>
          <w:lang w:val="en-US"/>
        </w:rPr>
        <w:t xml:space="preserve">, </w:t>
      </w:r>
      <w:r w:rsidR="006C37C9" w:rsidRPr="00012C3F">
        <w:rPr>
          <w:rFonts w:eastAsia="Verdana" w:cs="Verdana"/>
          <w:position w:val="-1"/>
          <w:sz w:val="20"/>
          <w:szCs w:val="20"/>
          <w:lang w:val="en-US"/>
        </w:rPr>
        <w:t>2016.</w:t>
      </w:r>
      <w:r w:rsidR="006C37C9" w:rsidRPr="00012C3F">
        <w:rPr>
          <w:rFonts w:eastAsia="Verdana" w:cs="Verdana"/>
          <w:i/>
          <w:sz w:val="20"/>
          <w:szCs w:val="20"/>
          <w:lang w:val="en-US"/>
        </w:rPr>
        <w:t xml:space="preserve"> </w:t>
      </w:r>
    </w:p>
    <w:p w14:paraId="71A454B3" w14:textId="77777777" w:rsidR="006C37C9" w:rsidRPr="00012C3F" w:rsidRDefault="006C37C9" w:rsidP="00095E76">
      <w:pPr>
        <w:tabs>
          <w:tab w:val="left" w:pos="720"/>
        </w:tabs>
        <w:autoSpaceDE w:val="0"/>
        <w:autoSpaceDN w:val="0"/>
        <w:spacing w:line="240" w:lineRule="auto"/>
        <w:rPr>
          <w:rFonts w:eastAsia="Verdana" w:cs="Verdana"/>
          <w:sz w:val="20"/>
          <w:szCs w:val="20"/>
          <w:lang w:val="en-US"/>
        </w:rPr>
      </w:pPr>
    </w:p>
    <w:p w14:paraId="48525D60" w14:textId="77777777" w:rsidR="003765A7" w:rsidRPr="00012C3F" w:rsidRDefault="003765A7" w:rsidP="00095E76">
      <w:pPr>
        <w:numPr>
          <w:ilvl w:val="0"/>
          <w:numId w:val="5"/>
        </w:numPr>
        <w:tabs>
          <w:tab w:val="left" w:pos="720"/>
          <w:tab w:val="num" w:pos="12305"/>
        </w:tabs>
        <w:spacing w:line="240" w:lineRule="auto"/>
        <w:ind w:left="0" w:firstLine="0"/>
        <w:rPr>
          <w:rFonts w:eastAsia="Verdana" w:cs="Verdana"/>
          <w:bCs/>
          <w:sz w:val="20"/>
          <w:szCs w:val="20"/>
          <w:lang w:val="en-US"/>
        </w:rPr>
      </w:pPr>
      <w:r w:rsidRPr="00012C3F">
        <w:rPr>
          <w:rFonts w:eastAsia="Verdana" w:cs="Verdana"/>
          <w:i/>
          <w:sz w:val="20"/>
          <w:szCs w:val="20"/>
          <w:lang w:val="en-US"/>
        </w:rPr>
        <w:t>Amic</w:t>
      </w:r>
      <w:r w:rsidR="00867066" w:rsidRPr="00012C3F">
        <w:rPr>
          <w:rFonts w:eastAsia="Verdana" w:cs="Verdana"/>
          <w:i/>
          <w:sz w:val="20"/>
          <w:szCs w:val="20"/>
          <w:lang w:val="en-US"/>
        </w:rPr>
        <w:t>i</w:t>
      </w:r>
      <w:r w:rsidRPr="00012C3F">
        <w:rPr>
          <w:rFonts w:eastAsia="Verdana" w:cs="Verdana"/>
          <w:i/>
          <w:sz w:val="20"/>
          <w:szCs w:val="20"/>
          <w:lang w:val="en-US"/>
        </w:rPr>
        <w:t xml:space="preserve"> curiae. </w:t>
      </w:r>
      <w:r w:rsidR="00B257AF" w:rsidRPr="00012C3F">
        <w:rPr>
          <w:rFonts w:eastAsia="Verdana" w:cs="Verdana"/>
          <w:sz w:val="20"/>
          <w:szCs w:val="20"/>
          <w:lang w:val="en-US"/>
        </w:rPr>
        <w:t xml:space="preserve">The Court receive </w:t>
      </w:r>
      <w:r w:rsidRPr="00012C3F">
        <w:rPr>
          <w:rFonts w:eastAsia="Verdana" w:cs="Verdana"/>
          <w:i/>
          <w:sz w:val="20"/>
          <w:szCs w:val="20"/>
          <w:lang w:val="en-US"/>
        </w:rPr>
        <w:t>amicus curiae</w:t>
      </w:r>
      <w:r w:rsidRPr="00012C3F">
        <w:rPr>
          <w:rFonts w:eastAsia="Verdana" w:cs="Verdana"/>
          <w:sz w:val="20"/>
          <w:szCs w:val="20"/>
          <w:lang w:val="en-US"/>
        </w:rPr>
        <w:t xml:space="preserve"> </w:t>
      </w:r>
      <w:r w:rsidR="00B257AF" w:rsidRPr="00012C3F">
        <w:rPr>
          <w:rFonts w:eastAsia="Verdana" w:cs="Verdana"/>
          <w:sz w:val="20"/>
          <w:szCs w:val="20"/>
          <w:lang w:val="en-US"/>
        </w:rPr>
        <w:t>briefs from:</w:t>
      </w:r>
      <w:r w:rsidRPr="00012C3F">
        <w:rPr>
          <w:rFonts w:eastAsia="Verdana" w:cs="Verdana"/>
          <w:sz w:val="20"/>
          <w:szCs w:val="20"/>
          <w:lang w:val="en-US"/>
        </w:rPr>
        <w:t xml:space="preserve"> (1) </w:t>
      </w:r>
      <w:r w:rsidR="00B257AF" w:rsidRPr="00012C3F">
        <w:rPr>
          <w:rFonts w:eastAsia="Verdana" w:cs="Verdana"/>
          <w:sz w:val="20"/>
          <w:szCs w:val="20"/>
          <w:lang w:val="en-US"/>
        </w:rPr>
        <w:t>the International Human Rights Law</w:t>
      </w:r>
      <w:r w:rsidR="00225327" w:rsidRPr="00012C3F">
        <w:rPr>
          <w:rFonts w:eastAsia="Verdana" w:cs="Verdana"/>
          <w:sz w:val="20"/>
          <w:szCs w:val="20"/>
          <w:lang w:val="en-US"/>
        </w:rPr>
        <w:t xml:space="preserve"> Clinic</w:t>
      </w:r>
      <w:r w:rsidR="00B257AF" w:rsidRPr="00012C3F">
        <w:rPr>
          <w:rFonts w:eastAsia="Verdana" w:cs="Verdana"/>
          <w:sz w:val="20"/>
          <w:szCs w:val="20"/>
          <w:lang w:val="en-US"/>
        </w:rPr>
        <w:t xml:space="preserve"> of the Faculty of Law </w:t>
      </w:r>
      <w:r w:rsidR="00B257AF" w:rsidRPr="00012C3F">
        <w:rPr>
          <w:rFonts w:cs="TimesNewRomanPSMT"/>
          <w:sz w:val="20"/>
          <w:szCs w:val="20"/>
          <w:lang w:val="en-US"/>
        </w:rPr>
        <w:t>of</w:t>
      </w:r>
      <w:r w:rsidRPr="00012C3F">
        <w:rPr>
          <w:rFonts w:cs="TimesNewRomanPSMT"/>
          <w:sz w:val="20"/>
          <w:szCs w:val="20"/>
          <w:lang w:val="en-US"/>
        </w:rPr>
        <w:t xml:space="preserve"> Aix-en-Provence (Franc</w:t>
      </w:r>
      <w:r w:rsidR="00B257AF" w:rsidRPr="00012C3F">
        <w:rPr>
          <w:rFonts w:cs="TimesNewRomanPSMT"/>
          <w:sz w:val="20"/>
          <w:szCs w:val="20"/>
          <w:lang w:val="en-US"/>
        </w:rPr>
        <w:t>e</w:t>
      </w:r>
      <w:r w:rsidRPr="00012C3F">
        <w:rPr>
          <w:rFonts w:cs="TimesNewRomanPSMT"/>
          <w:sz w:val="20"/>
          <w:szCs w:val="20"/>
          <w:lang w:val="en-US"/>
        </w:rPr>
        <w:t>)</w:t>
      </w:r>
      <w:r w:rsidRPr="00012C3F">
        <w:rPr>
          <w:rFonts w:eastAsia="Verdana" w:cs="Verdana"/>
          <w:sz w:val="20"/>
          <w:szCs w:val="20"/>
          <w:lang w:val="en-US"/>
        </w:rPr>
        <w:t>; (2)</w:t>
      </w:r>
      <w:r w:rsidRPr="00012C3F">
        <w:rPr>
          <w:rFonts w:eastAsia="Verdana" w:cs="Verdana"/>
          <w:bCs/>
          <w:sz w:val="20"/>
          <w:szCs w:val="20"/>
          <w:lang w:val="en-US"/>
        </w:rPr>
        <w:t xml:space="preserve"> </w:t>
      </w:r>
      <w:r w:rsidR="00B257AF" w:rsidRPr="00012C3F">
        <w:rPr>
          <w:rFonts w:cs="Calibri"/>
          <w:sz w:val="20"/>
          <w:szCs w:val="20"/>
          <w:lang w:val="en-US"/>
        </w:rPr>
        <w:t xml:space="preserve">the Human Rights </w:t>
      </w:r>
      <w:r w:rsidR="00225327" w:rsidRPr="00012C3F">
        <w:rPr>
          <w:rFonts w:cs="Calibri"/>
          <w:sz w:val="20"/>
          <w:szCs w:val="20"/>
          <w:lang w:val="en-US"/>
        </w:rPr>
        <w:t xml:space="preserve">and Gender Justice </w:t>
      </w:r>
      <w:r w:rsidR="00B257AF" w:rsidRPr="00012C3F">
        <w:rPr>
          <w:rFonts w:cs="Calibri"/>
          <w:sz w:val="20"/>
          <w:szCs w:val="20"/>
          <w:lang w:val="en-US"/>
        </w:rPr>
        <w:t>Clinic of the School</w:t>
      </w:r>
      <w:r w:rsidR="00225327" w:rsidRPr="00012C3F">
        <w:rPr>
          <w:rFonts w:cs="Calibri"/>
          <w:sz w:val="20"/>
          <w:szCs w:val="20"/>
          <w:lang w:val="en-US"/>
        </w:rPr>
        <w:t xml:space="preserve"> of Law</w:t>
      </w:r>
      <w:r w:rsidR="00B257AF" w:rsidRPr="00012C3F">
        <w:rPr>
          <w:rFonts w:cs="Calibri"/>
          <w:sz w:val="20"/>
          <w:szCs w:val="20"/>
          <w:lang w:val="en-US"/>
        </w:rPr>
        <w:t xml:space="preserve"> </w:t>
      </w:r>
      <w:r w:rsidR="00225327" w:rsidRPr="00012C3F">
        <w:rPr>
          <w:rFonts w:cs="Calibri"/>
          <w:sz w:val="20"/>
          <w:szCs w:val="20"/>
          <w:lang w:val="en-US"/>
        </w:rPr>
        <w:t>at</w:t>
      </w:r>
      <w:r w:rsidR="00B257AF" w:rsidRPr="00012C3F">
        <w:rPr>
          <w:rFonts w:cs="Calibri"/>
          <w:sz w:val="20"/>
          <w:szCs w:val="20"/>
          <w:lang w:val="en-US"/>
        </w:rPr>
        <w:t xml:space="preserve"> the City University of New York (CUNY)</w:t>
      </w:r>
      <w:r w:rsidR="00225327" w:rsidRPr="00012C3F">
        <w:rPr>
          <w:rFonts w:eastAsia="Verdana" w:cs="Verdana"/>
          <w:bCs/>
          <w:sz w:val="20"/>
          <w:szCs w:val="20"/>
          <w:lang w:val="en-US"/>
        </w:rPr>
        <w:t xml:space="preserve"> </w:t>
      </w:r>
      <w:r w:rsidR="005E5012" w:rsidRPr="00012C3F">
        <w:rPr>
          <w:rFonts w:cs="Calibri"/>
          <w:sz w:val="20"/>
          <w:szCs w:val="20"/>
          <w:lang w:val="en-US"/>
        </w:rPr>
        <w:t xml:space="preserve">and </w:t>
      </w:r>
      <w:r w:rsidRPr="00012C3F">
        <w:rPr>
          <w:rFonts w:cs="Calibri"/>
          <w:sz w:val="20"/>
          <w:szCs w:val="20"/>
          <w:lang w:val="en-US"/>
        </w:rPr>
        <w:t>Women Enabled International;</w:t>
      </w:r>
      <w:r w:rsidRPr="00012C3F">
        <w:rPr>
          <w:rFonts w:eastAsia="Verdana" w:cs="Verdana"/>
          <w:bCs/>
          <w:sz w:val="20"/>
          <w:szCs w:val="20"/>
          <w:lang w:val="en-US"/>
        </w:rPr>
        <w:t xml:space="preserve"> (3) </w:t>
      </w:r>
      <w:r w:rsidR="00B257AF" w:rsidRPr="00012C3F">
        <w:rPr>
          <w:rFonts w:eastAsia="Verdana" w:cs="Verdana"/>
          <w:bCs/>
          <w:sz w:val="20"/>
          <w:szCs w:val="20"/>
          <w:lang w:val="en-US"/>
        </w:rPr>
        <w:t xml:space="preserve">the Human Rights Clinic of the Law Faculty at the </w:t>
      </w:r>
      <w:r w:rsidRPr="00012C3F">
        <w:rPr>
          <w:rFonts w:eastAsia="Verdana" w:cs="Verdana"/>
          <w:bCs/>
          <w:sz w:val="20"/>
          <w:szCs w:val="20"/>
          <w:lang w:val="en-US"/>
        </w:rPr>
        <w:t>Universidad de Santa Clara</w:t>
      </w:r>
      <w:r w:rsidR="005E5012" w:rsidRPr="00012C3F">
        <w:rPr>
          <w:rFonts w:eastAsia="Verdana" w:cs="Verdana"/>
          <w:bCs/>
          <w:sz w:val="20"/>
          <w:szCs w:val="20"/>
          <w:lang w:val="en-US"/>
        </w:rPr>
        <w:t xml:space="preserve"> and </w:t>
      </w:r>
      <w:r w:rsidR="00B257AF" w:rsidRPr="00012C3F">
        <w:rPr>
          <w:rFonts w:eastAsia="Verdana" w:cs="Verdana"/>
          <w:bCs/>
          <w:sz w:val="20"/>
          <w:szCs w:val="20"/>
          <w:lang w:val="en-US"/>
        </w:rPr>
        <w:t>the International Justice</w:t>
      </w:r>
      <w:r w:rsidR="00225327" w:rsidRPr="00012C3F">
        <w:rPr>
          <w:rFonts w:eastAsia="Verdana" w:cs="Verdana"/>
          <w:bCs/>
          <w:sz w:val="20"/>
          <w:szCs w:val="20"/>
          <w:lang w:val="en-US"/>
        </w:rPr>
        <w:t xml:space="preserve"> Resources Center (Boliv</w:t>
      </w:r>
      <w:r w:rsidR="005804E7" w:rsidRPr="00012C3F">
        <w:rPr>
          <w:rFonts w:eastAsia="Verdana" w:cs="Verdana"/>
          <w:bCs/>
          <w:sz w:val="20"/>
          <w:szCs w:val="20"/>
          <w:lang w:val="en-US"/>
        </w:rPr>
        <w:t>i</w:t>
      </w:r>
      <w:r w:rsidR="00225327" w:rsidRPr="00012C3F">
        <w:rPr>
          <w:rFonts w:eastAsia="Verdana" w:cs="Verdana"/>
          <w:bCs/>
          <w:sz w:val="20"/>
          <w:szCs w:val="20"/>
          <w:lang w:val="en-US"/>
        </w:rPr>
        <w:t>a)</w:t>
      </w:r>
      <w:r w:rsidR="00B257AF" w:rsidRPr="00012C3F">
        <w:rPr>
          <w:rFonts w:eastAsia="Verdana" w:cs="Verdana"/>
          <w:bCs/>
          <w:sz w:val="20"/>
          <w:szCs w:val="20"/>
          <w:lang w:val="en-US"/>
        </w:rPr>
        <w:t xml:space="preserve">; </w:t>
      </w:r>
      <w:r w:rsidRPr="00012C3F">
        <w:rPr>
          <w:rFonts w:eastAsia="Verdana" w:cs="Verdana"/>
          <w:bCs/>
          <w:sz w:val="20"/>
          <w:szCs w:val="20"/>
          <w:lang w:val="en-US"/>
        </w:rPr>
        <w:t xml:space="preserve">(4) </w:t>
      </w:r>
      <w:r w:rsidR="00225327" w:rsidRPr="00012C3F">
        <w:rPr>
          <w:rFonts w:eastAsia="Verdana" w:cs="Verdana"/>
          <w:bCs/>
          <w:sz w:val="20"/>
          <w:szCs w:val="20"/>
          <w:lang w:val="en-US"/>
        </w:rPr>
        <w:t>the</w:t>
      </w:r>
      <w:r w:rsidRPr="00012C3F">
        <w:rPr>
          <w:rFonts w:eastAsia="Verdana" w:cs="Verdana"/>
          <w:bCs/>
          <w:sz w:val="20"/>
          <w:szCs w:val="20"/>
          <w:lang w:val="en-US"/>
        </w:rPr>
        <w:t xml:space="preserve"> Universi</w:t>
      </w:r>
      <w:r w:rsidR="00225327" w:rsidRPr="00012C3F">
        <w:rPr>
          <w:rFonts w:eastAsia="Verdana" w:cs="Verdana"/>
          <w:bCs/>
          <w:sz w:val="20"/>
          <w:szCs w:val="20"/>
          <w:lang w:val="en-US"/>
        </w:rPr>
        <w:t>ty of</w:t>
      </w:r>
      <w:r w:rsidRPr="00012C3F">
        <w:rPr>
          <w:rFonts w:eastAsia="Verdana" w:cs="Verdana"/>
          <w:bCs/>
          <w:sz w:val="20"/>
          <w:szCs w:val="20"/>
          <w:lang w:val="en-US"/>
        </w:rPr>
        <w:t xml:space="preserve"> Sussex</w:t>
      </w:r>
      <w:r w:rsidR="005E5012" w:rsidRPr="00012C3F">
        <w:rPr>
          <w:rFonts w:eastAsia="Verdana" w:cs="Verdana"/>
          <w:bCs/>
          <w:sz w:val="20"/>
          <w:szCs w:val="20"/>
          <w:lang w:val="en-US"/>
        </w:rPr>
        <w:t xml:space="preserve"> and </w:t>
      </w:r>
      <w:r w:rsidR="00225327" w:rsidRPr="00012C3F">
        <w:rPr>
          <w:rFonts w:eastAsia="Verdana" w:cs="Verdana"/>
          <w:bCs/>
          <w:sz w:val="20"/>
          <w:szCs w:val="20"/>
          <w:lang w:val="en-US"/>
        </w:rPr>
        <w:t>the Rights and Justice Research Centre</w:t>
      </w:r>
      <w:r w:rsidRPr="00012C3F">
        <w:rPr>
          <w:rFonts w:eastAsia="Verdana" w:cs="Verdana"/>
          <w:bCs/>
          <w:sz w:val="20"/>
          <w:szCs w:val="20"/>
          <w:lang w:val="en-US"/>
        </w:rPr>
        <w:t xml:space="preserve">; (5) </w:t>
      </w:r>
      <w:r w:rsidR="00225327" w:rsidRPr="00012C3F">
        <w:rPr>
          <w:rFonts w:eastAsia="Verdana" w:cs="Verdana"/>
          <w:bCs/>
          <w:sz w:val="20"/>
          <w:szCs w:val="20"/>
          <w:lang w:val="en-US"/>
        </w:rPr>
        <w:t>the</w:t>
      </w:r>
      <w:r w:rsidRPr="00012C3F">
        <w:rPr>
          <w:rFonts w:eastAsia="Verdana" w:cs="Verdana"/>
          <w:bCs/>
          <w:sz w:val="20"/>
          <w:szCs w:val="20"/>
          <w:lang w:val="en-US"/>
        </w:rPr>
        <w:t xml:space="preserve"> </w:t>
      </w:r>
      <w:r w:rsidR="00225327" w:rsidRPr="00012C3F">
        <w:rPr>
          <w:rFonts w:eastAsia="Verdana" w:cs="Verdana"/>
          <w:bCs/>
          <w:sz w:val="20"/>
          <w:szCs w:val="20"/>
          <w:lang w:val="en-US"/>
        </w:rPr>
        <w:t xml:space="preserve">Allard </w:t>
      </w:r>
      <w:r w:rsidRPr="00012C3F">
        <w:rPr>
          <w:rFonts w:eastAsia="Verdana" w:cs="Verdana"/>
          <w:bCs/>
          <w:sz w:val="20"/>
          <w:szCs w:val="20"/>
          <w:lang w:val="en-US"/>
        </w:rPr>
        <w:t>K. Lowenstein International</w:t>
      </w:r>
      <w:r w:rsidR="00225327" w:rsidRPr="00012C3F">
        <w:rPr>
          <w:rFonts w:eastAsia="Verdana" w:cs="Verdana"/>
          <w:bCs/>
          <w:sz w:val="20"/>
          <w:szCs w:val="20"/>
          <w:lang w:val="en-US"/>
        </w:rPr>
        <w:t xml:space="preserve"> Human Rights Clinic</w:t>
      </w:r>
      <w:r w:rsidRPr="00012C3F">
        <w:rPr>
          <w:rFonts w:eastAsia="Verdana" w:cs="Verdana"/>
          <w:bCs/>
          <w:sz w:val="20"/>
          <w:szCs w:val="20"/>
          <w:lang w:val="en-US"/>
        </w:rPr>
        <w:t xml:space="preserve"> </w:t>
      </w:r>
      <w:r w:rsidR="00225327" w:rsidRPr="00012C3F">
        <w:rPr>
          <w:rFonts w:eastAsia="Verdana" w:cs="Verdana"/>
          <w:bCs/>
          <w:sz w:val="20"/>
          <w:szCs w:val="20"/>
          <w:lang w:val="en-US"/>
        </w:rPr>
        <w:t>of the Law School of the University of</w:t>
      </w:r>
      <w:r w:rsidRPr="00012C3F">
        <w:rPr>
          <w:rFonts w:eastAsia="Verdana" w:cs="Verdana"/>
          <w:bCs/>
          <w:sz w:val="20"/>
          <w:szCs w:val="20"/>
          <w:lang w:val="en-US"/>
        </w:rPr>
        <w:t xml:space="preserve"> Yale</w:t>
      </w:r>
      <w:r w:rsidR="005E5012" w:rsidRPr="00012C3F">
        <w:rPr>
          <w:rFonts w:eastAsia="Verdana" w:cs="Verdana"/>
          <w:bCs/>
          <w:sz w:val="20"/>
          <w:szCs w:val="20"/>
          <w:lang w:val="en-US"/>
        </w:rPr>
        <w:t xml:space="preserve"> and </w:t>
      </w:r>
      <w:r w:rsidRPr="00012C3F">
        <w:rPr>
          <w:rFonts w:eastAsia="Verdana" w:cs="Verdana"/>
          <w:bCs/>
          <w:sz w:val="20"/>
          <w:szCs w:val="20"/>
          <w:lang w:val="en-US"/>
        </w:rPr>
        <w:t>Wome</w:t>
      </w:r>
      <w:r w:rsidR="00225327" w:rsidRPr="00012C3F">
        <w:rPr>
          <w:rFonts w:eastAsia="Verdana" w:cs="Verdana"/>
          <w:bCs/>
          <w:sz w:val="20"/>
          <w:szCs w:val="20"/>
          <w:lang w:val="en-US"/>
        </w:rPr>
        <w:t>n’</w:t>
      </w:r>
      <w:r w:rsidRPr="00012C3F">
        <w:rPr>
          <w:rFonts w:eastAsia="Verdana" w:cs="Verdana"/>
          <w:bCs/>
          <w:sz w:val="20"/>
          <w:szCs w:val="20"/>
          <w:lang w:val="en-US"/>
        </w:rPr>
        <w:t>s Link Worldwide,</w:t>
      </w:r>
      <w:r w:rsidR="005E5012" w:rsidRPr="00012C3F">
        <w:rPr>
          <w:rFonts w:eastAsia="Verdana" w:cs="Verdana"/>
          <w:bCs/>
          <w:sz w:val="20"/>
          <w:szCs w:val="20"/>
          <w:lang w:val="en-US"/>
        </w:rPr>
        <w:t xml:space="preserve"> and </w:t>
      </w:r>
      <w:r w:rsidRPr="00012C3F">
        <w:rPr>
          <w:rFonts w:eastAsia="Verdana" w:cs="Verdana"/>
          <w:bCs/>
          <w:sz w:val="20"/>
          <w:szCs w:val="20"/>
          <w:lang w:val="en-US"/>
        </w:rPr>
        <w:t xml:space="preserve">(6) </w:t>
      </w:r>
      <w:r w:rsidR="00225327" w:rsidRPr="00012C3F">
        <w:rPr>
          <w:rFonts w:eastAsia="Verdana" w:cs="Verdana"/>
          <w:bCs/>
          <w:sz w:val="20"/>
          <w:szCs w:val="20"/>
          <w:lang w:val="en-US"/>
        </w:rPr>
        <w:t xml:space="preserve">the Reproductive Rights Center, on April 22, and May </w:t>
      </w:r>
      <w:r w:rsidRPr="00012C3F">
        <w:rPr>
          <w:rFonts w:eastAsia="Verdana" w:cs="Verdana"/>
          <w:sz w:val="20"/>
          <w:szCs w:val="20"/>
          <w:lang w:val="en-US"/>
        </w:rPr>
        <w:t>10, 13, 14, 16</w:t>
      </w:r>
      <w:r w:rsidR="005E5012" w:rsidRPr="00012C3F">
        <w:rPr>
          <w:rFonts w:eastAsia="Verdana" w:cs="Verdana"/>
          <w:sz w:val="20"/>
          <w:szCs w:val="20"/>
          <w:lang w:val="en-US"/>
        </w:rPr>
        <w:t xml:space="preserve"> and </w:t>
      </w:r>
      <w:r w:rsidRPr="00012C3F">
        <w:rPr>
          <w:rFonts w:eastAsia="Verdana" w:cs="Verdana"/>
          <w:sz w:val="20"/>
          <w:szCs w:val="20"/>
          <w:lang w:val="en-US"/>
        </w:rPr>
        <w:t>17</w:t>
      </w:r>
      <w:r w:rsidR="00225327" w:rsidRPr="00012C3F">
        <w:rPr>
          <w:rFonts w:eastAsia="Verdana" w:cs="Verdana"/>
          <w:sz w:val="20"/>
          <w:szCs w:val="20"/>
          <w:lang w:val="en-US"/>
        </w:rPr>
        <w:t xml:space="preserve">, </w:t>
      </w:r>
      <w:r w:rsidRPr="00012C3F">
        <w:rPr>
          <w:rFonts w:eastAsia="Verdana" w:cs="Verdana"/>
          <w:sz w:val="20"/>
          <w:szCs w:val="20"/>
          <w:lang w:val="en-US"/>
        </w:rPr>
        <w:t>2016, respectiv</w:t>
      </w:r>
      <w:r w:rsidR="00225327" w:rsidRPr="00012C3F">
        <w:rPr>
          <w:rFonts w:eastAsia="Verdana" w:cs="Verdana"/>
          <w:sz w:val="20"/>
          <w:szCs w:val="20"/>
          <w:lang w:val="en-US"/>
        </w:rPr>
        <w:t>ely</w:t>
      </w:r>
      <w:r w:rsidRPr="00012C3F">
        <w:rPr>
          <w:rFonts w:eastAsia="Verdana" w:cs="Verdana"/>
          <w:sz w:val="20"/>
          <w:szCs w:val="20"/>
          <w:lang w:val="en-US"/>
        </w:rPr>
        <w:t>.</w:t>
      </w:r>
    </w:p>
    <w:p w14:paraId="1AD4F994" w14:textId="77777777" w:rsidR="003765A7" w:rsidRPr="00012C3F" w:rsidRDefault="003765A7" w:rsidP="00095E76">
      <w:pPr>
        <w:tabs>
          <w:tab w:val="left" w:pos="720"/>
        </w:tabs>
        <w:autoSpaceDE w:val="0"/>
        <w:autoSpaceDN w:val="0"/>
        <w:spacing w:line="240" w:lineRule="auto"/>
        <w:rPr>
          <w:rFonts w:eastAsia="Verdana" w:cs="Verdana"/>
          <w:sz w:val="20"/>
          <w:szCs w:val="20"/>
          <w:lang w:val="en-US"/>
        </w:rPr>
      </w:pPr>
    </w:p>
    <w:p w14:paraId="7777641A" w14:textId="77777777" w:rsidR="006C37C9" w:rsidRPr="00012C3F" w:rsidRDefault="00CA45D0" w:rsidP="00095E76">
      <w:pPr>
        <w:numPr>
          <w:ilvl w:val="0"/>
          <w:numId w:val="5"/>
        </w:numPr>
        <w:tabs>
          <w:tab w:val="left" w:pos="720"/>
          <w:tab w:val="num" w:pos="12305"/>
        </w:tabs>
        <w:spacing w:line="240" w:lineRule="auto"/>
        <w:ind w:left="0" w:firstLine="0"/>
        <w:rPr>
          <w:rFonts w:cs="Verdana"/>
          <w:snapToGrid w:val="0"/>
          <w:sz w:val="20"/>
          <w:szCs w:val="20"/>
          <w:lang w:val="en-US" w:eastAsia="es-ES"/>
        </w:rPr>
      </w:pPr>
      <w:bookmarkStart w:id="23" w:name="_Ref354147731"/>
      <w:r w:rsidRPr="00012C3F">
        <w:rPr>
          <w:rFonts w:cs="Verdana"/>
          <w:i/>
          <w:sz w:val="20"/>
          <w:szCs w:val="20"/>
          <w:lang w:val="en-US"/>
        </w:rPr>
        <w:t>Final written arguments and observations</w:t>
      </w:r>
      <w:r w:rsidR="006C37C9" w:rsidRPr="00012C3F">
        <w:rPr>
          <w:rFonts w:cs="Verdana"/>
          <w:i/>
          <w:sz w:val="20"/>
          <w:szCs w:val="20"/>
          <w:lang w:val="en-US"/>
        </w:rPr>
        <w:t xml:space="preserve">. </w:t>
      </w:r>
      <w:bookmarkEnd w:id="23"/>
      <w:r w:rsidRPr="00012C3F">
        <w:rPr>
          <w:rFonts w:cs="Verdana"/>
          <w:snapToGrid w:val="0"/>
          <w:sz w:val="20"/>
          <w:szCs w:val="20"/>
          <w:lang w:val="en-US" w:eastAsia="es-ES"/>
        </w:rPr>
        <w:t xml:space="preserve">On May 31 and June 2, </w:t>
      </w:r>
      <w:r w:rsidR="006C37C9" w:rsidRPr="00012C3F">
        <w:rPr>
          <w:rFonts w:cs="Verdana"/>
          <w:snapToGrid w:val="0"/>
          <w:sz w:val="20"/>
          <w:szCs w:val="20"/>
          <w:lang w:val="en-US" w:eastAsia="es-ES"/>
        </w:rPr>
        <w:t xml:space="preserve">2016, </w:t>
      </w:r>
      <w:r w:rsidR="00972ACF" w:rsidRPr="00012C3F">
        <w:rPr>
          <w:rFonts w:cs="Verdana"/>
          <w:snapToGrid w:val="0"/>
          <w:sz w:val="20"/>
          <w:szCs w:val="20"/>
          <w:lang w:val="en-US" w:eastAsia="es-ES"/>
        </w:rPr>
        <w:t>the representative</w:t>
      </w:r>
      <w:r w:rsidR="005E5012" w:rsidRPr="00012C3F">
        <w:rPr>
          <w:rFonts w:cs="Verdana"/>
          <w:snapToGrid w:val="0"/>
          <w:sz w:val="20"/>
          <w:szCs w:val="20"/>
          <w:lang w:val="en-US" w:eastAsia="es-ES"/>
        </w:rPr>
        <w:t xml:space="preserve"> and </w:t>
      </w:r>
      <w:r w:rsidR="00A84CA0" w:rsidRPr="00012C3F">
        <w:rPr>
          <w:rFonts w:cs="Verdana"/>
          <w:snapToGrid w:val="0"/>
          <w:sz w:val="20"/>
          <w:szCs w:val="20"/>
          <w:lang w:val="en-US" w:eastAsia="es-ES"/>
        </w:rPr>
        <w:t xml:space="preserve">the </w:t>
      </w:r>
      <w:r w:rsidRPr="00012C3F">
        <w:rPr>
          <w:rFonts w:cs="Verdana"/>
          <w:snapToGrid w:val="0"/>
          <w:sz w:val="20"/>
          <w:szCs w:val="20"/>
          <w:lang w:val="en-US" w:eastAsia="es-ES"/>
        </w:rPr>
        <w:t xml:space="preserve">State, respectively, forwarded their final written arguments, as well as various annexes, and on June 2, 2016, </w:t>
      </w:r>
      <w:r w:rsidR="001254DE" w:rsidRPr="00012C3F">
        <w:rPr>
          <w:rFonts w:cs="Verdana"/>
          <w:snapToGrid w:val="0"/>
          <w:sz w:val="20"/>
          <w:szCs w:val="20"/>
          <w:lang w:val="en-US" w:eastAsia="es-ES"/>
        </w:rPr>
        <w:t xml:space="preserve">the </w:t>
      </w:r>
      <w:r w:rsidR="00A84CA0" w:rsidRPr="00012C3F">
        <w:rPr>
          <w:rFonts w:cs="Verdana"/>
          <w:snapToGrid w:val="0"/>
          <w:sz w:val="20"/>
          <w:szCs w:val="20"/>
          <w:lang w:val="en-US" w:eastAsia="es-ES"/>
        </w:rPr>
        <w:t>Commission</w:t>
      </w:r>
      <w:r w:rsidR="006C37C9" w:rsidRPr="00012C3F">
        <w:rPr>
          <w:rFonts w:cs="Verdana"/>
          <w:snapToGrid w:val="0"/>
          <w:sz w:val="20"/>
          <w:szCs w:val="20"/>
          <w:lang w:val="en-US" w:eastAsia="es-ES"/>
        </w:rPr>
        <w:t xml:space="preserve"> </w:t>
      </w:r>
      <w:r w:rsidRPr="00012C3F">
        <w:rPr>
          <w:rFonts w:cs="Verdana"/>
          <w:snapToGrid w:val="0"/>
          <w:sz w:val="20"/>
          <w:szCs w:val="20"/>
          <w:lang w:val="en-US" w:eastAsia="es-ES"/>
        </w:rPr>
        <w:t>presented its final written observations.</w:t>
      </w:r>
    </w:p>
    <w:p w14:paraId="3A482245" w14:textId="77777777" w:rsidR="006C37C9" w:rsidRPr="00012C3F" w:rsidRDefault="006C37C9" w:rsidP="00095E76">
      <w:pPr>
        <w:tabs>
          <w:tab w:val="left" w:pos="720"/>
        </w:tabs>
        <w:autoSpaceDE w:val="0"/>
        <w:autoSpaceDN w:val="0"/>
        <w:spacing w:line="240" w:lineRule="auto"/>
        <w:rPr>
          <w:rFonts w:eastAsia="Batang"/>
          <w:sz w:val="20"/>
          <w:lang w:val="en-US"/>
        </w:rPr>
      </w:pPr>
    </w:p>
    <w:p w14:paraId="7C578F66" w14:textId="77777777" w:rsidR="00CA45D0" w:rsidRPr="00012C3F" w:rsidRDefault="00CA45D0" w:rsidP="00095E76">
      <w:pPr>
        <w:numPr>
          <w:ilvl w:val="0"/>
          <w:numId w:val="5"/>
        </w:numPr>
        <w:tabs>
          <w:tab w:val="left" w:pos="720"/>
          <w:tab w:val="num" w:pos="12305"/>
        </w:tabs>
        <w:spacing w:line="240" w:lineRule="auto"/>
        <w:ind w:left="0" w:firstLine="0"/>
        <w:rPr>
          <w:rFonts w:eastAsia="Batang"/>
          <w:sz w:val="20"/>
          <w:lang w:val="en-US"/>
        </w:rPr>
      </w:pPr>
      <w:r w:rsidRPr="00012C3F">
        <w:rPr>
          <w:rFonts w:eastAsia="Batang"/>
          <w:i/>
          <w:sz w:val="20"/>
          <w:lang w:val="en-US"/>
        </w:rPr>
        <w:t>Helpful evidence</w:t>
      </w:r>
      <w:r w:rsidR="00C92904" w:rsidRPr="00012C3F">
        <w:rPr>
          <w:rFonts w:eastAsia="Batang"/>
          <w:i/>
          <w:sz w:val="20"/>
          <w:lang w:val="en-US"/>
        </w:rPr>
        <w:t xml:space="preserve">. </w:t>
      </w:r>
      <w:r w:rsidR="005804E7" w:rsidRPr="00012C3F">
        <w:rPr>
          <w:rFonts w:eastAsia="Batang"/>
          <w:sz w:val="20"/>
          <w:lang w:val="en-US"/>
        </w:rPr>
        <w:t>As</w:t>
      </w:r>
      <w:r w:rsidR="00C92904" w:rsidRPr="00012C3F">
        <w:rPr>
          <w:rFonts w:eastAsia="Batang"/>
          <w:sz w:val="20"/>
          <w:lang w:val="en-US"/>
        </w:rPr>
        <w:t xml:space="preserve"> </w:t>
      </w:r>
      <w:r w:rsidR="00A84CA0" w:rsidRPr="00012C3F">
        <w:rPr>
          <w:rFonts w:eastAsia="Batang"/>
          <w:sz w:val="20"/>
          <w:lang w:val="en-US"/>
        </w:rPr>
        <w:t>the State</w:t>
      </w:r>
      <w:r w:rsidR="00C92904" w:rsidRPr="00012C3F">
        <w:rPr>
          <w:rFonts w:eastAsia="Batang"/>
          <w:sz w:val="20"/>
          <w:lang w:val="en-US"/>
        </w:rPr>
        <w:t xml:space="preserve"> </w:t>
      </w:r>
      <w:r w:rsidRPr="00012C3F">
        <w:rPr>
          <w:rFonts w:eastAsia="Batang"/>
          <w:sz w:val="20"/>
          <w:lang w:val="en-US"/>
        </w:rPr>
        <w:t xml:space="preserve">did not forward all the information requested during the respective hearing, </w:t>
      </w:r>
      <w:r w:rsidR="005804E7" w:rsidRPr="00012C3F">
        <w:rPr>
          <w:rFonts w:eastAsia="Batang"/>
          <w:sz w:val="20"/>
          <w:lang w:val="en-US"/>
        </w:rPr>
        <w:t xml:space="preserve">since </w:t>
      </w:r>
      <w:r w:rsidRPr="00012C3F">
        <w:rPr>
          <w:rFonts w:eastAsia="Batang"/>
          <w:sz w:val="20"/>
          <w:lang w:val="en-US"/>
        </w:rPr>
        <w:t xml:space="preserve">it </w:t>
      </w:r>
      <w:r w:rsidR="005804E7" w:rsidRPr="00012C3F">
        <w:rPr>
          <w:rFonts w:eastAsia="Batang"/>
          <w:sz w:val="20"/>
          <w:lang w:val="en-US"/>
        </w:rPr>
        <w:t>did not</w:t>
      </w:r>
      <w:r w:rsidRPr="00012C3F">
        <w:rPr>
          <w:rFonts w:eastAsia="Batang"/>
          <w:sz w:val="20"/>
          <w:lang w:val="en-US"/>
        </w:rPr>
        <w:t xml:space="preserve"> submit a complete copy of the file of the administrative proceeding, but only “significant documents” from this proceeding, and failed to remit the statements collected at the domestic level of those who had been involved </w:t>
      </w:r>
      <w:r w:rsidR="005804E7" w:rsidRPr="00012C3F">
        <w:rPr>
          <w:rFonts w:eastAsia="Batang"/>
          <w:sz w:val="20"/>
          <w:lang w:val="en-US"/>
        </w:rPr>
        <w:t xml:space="preserve">in </w:t>
      </w:r>
      <w:r w:rsidRPr="00012C3F">
        <w:rPr>
          <w:rFonts w:eastAsia="Batang"/>
          <w:sz w:val="20"/>
          <w:lang w:val="en-US"/>
        </w:rPr>
        <w:t xml:space="preserve">or had witnessed the bilateral tubal ligation procedure to which </w:t>
      </w:r>
      <w:r w:rsidR="000E1C11" w:rsidRPr="00012C3F">
        <w:rPr>
          <w:rFonts w:eastAsia="Batang"/>
          <w:sz w:val="20"/>
          <w:lang w:val="en-US"/>
        </w:rPr>
        <w:t>I.V.</w:t>
      </w:r>
      <w:r w:rsidRPr="00012C3F">
        <w:rPr>
          <w:rFonts w:eastAsia="Batang"/>
          <w:sz w:val="20"/>
          <w:lang w:val="en-US"/>
        </w:rPr>
        <w:t xml:space="preserve"> was subjected, it was asked to forward this information by June 24, 2016. On that date, the State remitted some clarifications concerning the helpful evidence. In particular, it indicated that “the State’s institutions do not have the complete file of the [… administrative] proceeding.” Regarding the statements, it advised that these </w:t>
      </w:r>
      <w:r w:rsidR="005804E7" w:rsidRPr="00012C3F">
        <w:rPr>
          <w:rFonts w:eastAsia="Batang"/>
          <w:sz w:val="20"/>
          <w:lang w:val="en-US"/>
        </w:rPr>
        <w:t>had been</w:t>
      </w:r>
      <w:r w:rsidRPr="00012C3F">
        <w:rPr>
          <w:rFonts w:eastAsia="Batang"/>
          <w:sz w:val="20"/>
          <w:lang w:val="en-US"/>
        </w:rPr>
        <w:t xml:space="preserve"> collected and assessed opportunely by the jurisdictional authority during the criminal proceedings and were referred to in the rulings of the administrative proceeding and the medical audits.</w:t>
      </w:r>
    </w:p>
    <w:p w14:paraId="46253032" w14:textId="77777777" w:rsidR="00C92904" w:rsidRPr="00012C3F" w:rsidRDefault="00C92904" w:rsidP="00095E76">
      <w:pPr>
        <w:tabs>
          <w:tab w:val="left" w:pos="720"/>
        </w:tabs>
        <w:autoSpaceDE w:val="0"/>
        <w:autoSpaceDN w:val="0"/>
        <w:spacing w:line="240" w:lineRule="auto"/>
        <w:rPr>
          <w:rFonts w:eastAsia="Batang"/>
          <w:sz w:val="20"/>
          <w:lang w:val="en-US"/>
        </w:rPr>
      </w:pPr>
    </w:p>
    <w:p w14:paraId="1BB6B69F" w14:textId="77777777" w:rsidR="006C37C9" w:rsidRPr="00012C3F" w:rsidRDefault="006C37C9" w:rsidP="00095E76">
      <w:pPr>
        <w:numPr>
          <w:ilvl w:val="0"/>
          <w:numId w:val="5"/>
        </w:numPr>
        <w:tabs>
          <w:tab w:val="left" w:pos="720"/>
          <w:tab w:val="num" w:pos="12305"/>
        </w:tabs>
        <w:spacing w:line="240" w:lineRule="auto"/>
        <w:ind w:left="0" w:firstLine="0"/>
        <w:rPr>
          <w:rFonts w:cs="Verdana"/>
          <w:snapToGrid w:val="0"/>
          <w:sz w:val="20"/>
          <w:szCs w:val="20"/>
          <w:lang w:val="en-US" w:eastAsia="es-ES"/>
        </w:rPr>
      </w:pPr>
      <w:bookmarkStart w:id="24" w:name="_Ref313990861"/>
      <w:r w:rsidRPr="00012C3F">
        <w:rPr>
          <w:rFonts w:cs="Verdana"/>
          <w:i/>
          <w:snapToGrid w:val="0"/>
          <w:sz w:val="20"/>
          <w:szCs w:val="20"/>
          <w:lang w:val="en-US" w:eastAsia="es-ES"/>
        </w:rPr>
        <w:t>Observa</w:t>
      </w:r>
      <w:r w:rsidR="00CA45D0" w:rsidRPr="00012C3F">
        <w:rPr>
          <w:rFonts w:cs="Verdana"/>
          <w:i/>
          <w:snapToGrid w:val="0"/>
          <w:sz w:val="20"/>
          <w:szCs w:val="20"/>
          <w:lang w:val="en-US" w:eastAsia="es-ES"/>
        </w:rPr>
        <w:t xml:space="preserve">tions of the parties </w:t>
      </w:r>
      <w:r w:rsidR="005E5012" w:rsidRPr="00012C3F">
        <w:rPr>
          <w:rFonts w:cs="Verdana"/>
          <w:i/>
          <w:snapToGrid w:val="0"/>
          <w:sz w:val="20"/>
          <w:szCs w:val="20"/>
          <w:lang w:val="en-US" w:eastAsia="es-ES"/>
        </w:rPr>
        <w:t xml:space="preserve">and </w:t>
      </w:r>
      <w:r w:rsidR="001254DE" w:rsidRPr="00012C3F">
        <w:rPr>
          <w:rFonts w:cs="Verdana"/>
          <w:i/>
          <w:snapToGrid w:val="0"/>
          <w:sz w:val="20"/>
          <w:szCs w:val="20"/>
          <w:lang w:val="en-US" w:eastAsia="es-ES"/>
        </w:rPr>
        <w:t xml:space="preserve">the </w:t>
      </w:r>
      <w:r w:rsidR="00A84CA0" w:rsidRPr="00012C3F">
        <w:rPr>
          <w:rFonts w:cs="Verdana"/>
          <w:i/>
          <w:snapToGrid w:val="0"/>
          <w:sz w:val="20"/>
          <w:szCs w:val="20"/>
          <w:lang w:val="en-US" w:eastAsia="es-ES"/>
        </w:rPr>
        <w:t>Commission</w:t>
      </w:r>
      <w:r w:rsidRPr="00012C3F">
        <w:rPr>
          <w:rFonts w:cs="Verdana"/>
          <w:i/>
          <w:snapToGrid w:val="0"/>
          <w:sz w:val="20"/>
          <w:szCs w:val="20"/>
          <w:lang w:val="en-US" w:eastAsia="es-ES"/>
        </w:rPr>
        <w:t xml:space="preserve">. </w:t>
      </w:r>
      <w:r w:rsidR="00CA45D0" w:rsidRPr="00012C3F">
        <w:rPr>
          <w:rFonts w:cs="Verdana"/>
          <w:snapToGrid w:val="0"/>
          <w:sz w:val="20"/>
          <w:szCs w:val="20"/>
          <w:lang w:val="en-US" w:eastAsia="es-ES"/>
        </w:rPr>
        <w:t>The</w:t>
      </w:r>
      <w:r w:rsidRPr="00012C3F">
        <w:rPr>
          <w:rFonts w:cs="Verdana"/>
          <w:snapToGrid w:val="0"/>
          <w:sz w:val="20"/>
          <w:szCs w:val="20"/>
          <w:lang w:val="en-US" w:eastAsia="es-ES"/>
        </w:rPr>
        <w:t xml:space="preserve"> </w:t>
      </w:r>
      <w:r w:rsidR="001254DE" w:rsidRPr="00012C3F">
        <w:rPr>
          <w:rFonts w:cs="Verdana"/>
          <w:snapToGrid w:val="0"/>
          <w:sz w:val="20"/>
          <w:szCs w:val="20"/>
          <w:lang w:val="en-US" w:eastAsia="es-ES"/>
        </w:rPr>
        <w:t>President</w:t>
      </w:r>
      <w:r w:rsidRPr="00012C3F">
        <w:rPr>
          <w:rFonts w:cs="Verdana"/>
          <w:snapToGrid w:val="0"/>
          <w:sz w:val="20"/>
          <w:szCs w:val="20"/>
          <w:lang w:val="en-US" w:eastAsia="es-ES"/>
        </w:rPr>
        <w:t xml:space="preserve"> </w:t>
      </w:r>
      <w:r w:rsidR="00CA45D0" w:rsidRPr="00012C3F">
        <w:rPr>
          <w:rFonts w:cs="Verdana"/>
          <w:snapToGrid w:val="0"/>
          <w:sz w:val="20"/>
          <w:szCs w:val="20"/>
          <w:lang w:val="en-US" w:eastAsia="es-ES"/>
        </w:rPr>
        <w:t xml:space="preserve">granted the parties and </w:t>
      </w:r>
      <w:r w:rsidR="001254DE" w:rsidRPr="00012C3F">
        <w:rPr>
          <w:rFonts w:cs="Verdana"/>
          <w:snapToGrid w:val="0"/>
          <w:sz w:val="20"/>
          <w:szCs w:val="20"/>
          <w:lang w:val="en-US" w:eastAsia="es-ES"/>
        </w:rPr>
        <w:t xml:space="preserve">the </w:t>
      </w:r>
      <w:r w:rsidR="00A84CA0" w:rsidRPr="00012C3F">
        <w:rPr>
          <w:rFonts w:cs="Verdana"/>
          <w:snapToGrid w:val="0"/>
          <w:sz w:val="20"/>
          <w:szCs w:val="20"/>
          <w:lang w:val="en-US" w:eastAsia="es-ES"/>
        </w:rPr>
        <w:t>Commission</w:t>
      </w:r>
      <w:r w:rsidR="005804E7" w:rsidRPr="00012C3F">
        <w:rPr>
          <w:rFonts w:cs="Verdana"/>
          <w:snapToGrid w:val="0"/>
          <w:sz w:val="20"/>
          <w:szCs w:val="20"/>
          <w:lang w:val="en-US" w:eastAsia="es-ES"/>
        </w:rPr>
        <w:t xml:space="preserve"> a specific time frame</w:t>
      </w:r>
      <w:r w:rsidRPr="00012C3F">
        <w:rPr>
          <w:rFonts w:cs="Verdana"/>
          <w:snapToGrid w:val="0"/>
          <w:sz w:val="20"/>
          <w:szCs w:val="20"/>
          <w:lang w:val="en-US" w:eastAsia="es-ES"/>
        </w:rPr>
        <w:t xml:space="preserve"> </w:t>
      </w:r>
      <w:r w:rsidR="005804E7" w:rsidRPr="00012C3F">
        <w:rPr>
          <w:rFonts w:cs="Verdana"/>
          <w:snapToGrid w:val="0"/>
          <w:sz w:val="20"/>
          <w:szCs w:val="20"/>
          <w:lang w:val="en-US" w:eastAsia="es-ES"/>
        </w:rPr>
        <w:t>to</w:t>
      </w:r>
      <w:r w:rsidR="00CA45D0" w:rsidRPr="00012C3F">
        <w:rPr>
          <w:rFonts w:cs="Verdana"/>
          <w:snapToGrid w:val="0"/>
          <w:sz w:val="20"/>
          <w:szCs w:val="20"/>
          <w:lang w:val="en-US" w:eastAsia="es-ES"/>
        </w:rPr>
        <w:t xml:space="preserve"> submit any observations they deemed pertinent on the annexes forwarded by </w:t>
      </w:r>
      <w:r w:rsidR="00A84CA0" w:rsidRPr="00012C3F">
        <w:rPr>
          <w:rFonts w:cs="Verdana"/>
          <w:snapToGrid w:val="0"/>
          <w:sz w:val="20"/>
          <w:szCs w:val="20"/>
          <w:lang w:val="en-US" w:eastAsia="es-ES"/>
        </w:rPr>
        <w:t>the State</w:t>
      </w:r>
      <w:r w:rsidR="005E5012" w:rsidRPr="00012C3F">
        <w:rPr>
          <w:rFonts w:cs="Verdana"/>
          <w:snapToGrid w:val="0"/>
          <w:sz w:val="20"/>
          <w:szCs w:val="20"/>
          <w:lang w:val="en-US" w:eastAsia="es-ES"/>
        </w:rPr>
        <w:t xml:space="preserve"> and </w:t>
      </w:r>
      <w:r w:rsidR="00972ACF" w:rsidRPr="00012C3F">
        <w:rPr>
          <w:rFonts w:cs="Verdana"/>
          <w:snapToGrid w:val="0"/>
          <w:sz w:val="20"/>
          <w:szCs w:val="20"/>
          <w:lang w:val="en-US" w:eastAsia="es-ES"/>
        </w:rPr>
        <w:t>the representative</w:t>
      </w:r>
      <w:r w:rsidRPr="00012C3F">
        <w:rPr>
          <w:rFonts w:cs="Verdana"/>
          <w:snapToGrid w:val="0"/>
          <w:sz w:val="20"/>
          <w:szCs w:val="20"/>
          <w:lang w:val="en-US" w:eastAsia="es-ES"/>
        </w:rPr>
        <w:t xml:space="preserve"> </w:t>
      </w:r>
      <w:r w:rsidR="00CA45D0" w:rsidRPr="00012C3F">
        <w:rPr>
          <w:rFonts w:cs="Verdana"/>
          <w:snapToGrid w:val="0"/>
          <w:sz w:val="20"/>
          <w:szCs w:val="20"/>
          <w:lang w:val="en-US" w:eastAsia="es-ES"/>
        </w:rPr>
        <w:t xml:space="preserve">with their final written arguments. On July 5, 2016, </w:t>
      </w:r>
      <w:bookmarkStart w:id="25" w:name="_Ref303582878"/>
      <w:bookmarkEnd w:id="24"/>
      <w:r w:rsidR="00A84CA0" w:rsidRPr="00012C3F">
        <w:rPr>
          <w:rFonts w:cs="Verdana"/>
          <w:snapToGrid w:val="0"/>
          <w:sz w:val="20"/>
          <w:szCs w:val="20"/>
          <w:lang w:val="en-US" w:eastAsia="es-ES"/>
        </w:rPr>
        <w:t>the State</w:t>
      </w:r>
      <w:r w:rsidRPr="00012C3F">
        <w:rPr>
          <w:rFonts w:cs="Verdana"/>
          <w:snapToGrid w:val="0"/>
          <w:sz w:val="20"/>
          <w:szCs w:val="20"/>
          <w:lang w:val="en-US" w:eastAsia="es-ES"/>
        </w:rPr>
        <w:t xml:space="preserve"> </w:t>
      </w:r>
      <w:r w:rsidR="00CA45D0" w:rsidRPr="00012C3F">
        <w:rPr>
          <w:rFonts w:cs="Verdana"/>
          <w:snapToGrid w:val="0"/>
          <w:sz w:val="20"/>
          <w:szCs w:val="20"/>
          <w:lang w:val="en-US" w:eastAsia="es-ES"/>
        </w:rPr>
        <w:t xml:space="preserve">forwarded the observations requested. </w:t>
      </w:r>
      <w:bookmarkEnd w:id="25"/>
      <w:r w:rsidR="00972ACF" w:rsidRPr="00012C3F">
        <w:rPr>
          <w:rFonts w:cs="Verdana"/>
          <w:snapToGrid w:val="0"/>
          <w:sz w:val="20"/>
          <w:szCs w:val="20"/>
          <w:lang w:val="en-US" w:eastAsia="es-ES"/>
        </w:rPr>
        <w:t>The representative</w:t>
      </w:r>
      <w:r w:rsidRPr="00012C3F">
        <w:rPr>
          <w:rFonts w:cs="Verdana"/>
          <w:snapToGrid w:val="0"/>
          <w:sz w:val="20"/>
          <w:szCs w:val="20"/>
          <w:lang w:val="en-US" w:eastAsia="es-ES"/>
        </w:rPr>
        <w:t xml:space="preserve"> </w:t>
      </w:r>
      <w:r w:rsidR="00CA45D0" w:rsidRPr="00012C3F">
        <w:rPr>
          <w:rFonts w:cs="Verdana"/>
          <w:snapToGrid w:val="0"/>
          <w:sz w:val="20"/>
          <w:szCs w:val="20"/>
          <w:lang w:val="en-US" w:eastAsia="es-ES"/>
        </w:rPr>
        <w:t xml:space="preserve">did not </w:t>
      </w:r>
      <w:r w:rsidR="005804E7" w:rsidRPr="00012C3F">
        <w:rPr>
          <w:rFonts w:cs="Verdana"/>
          <w:snapToGrid w:val="0"/>
          <w:sz w:val="20"/>
          <w:szCs w:val="20"/>
          <w:lang w:val="en-US" w:eastAsia="es-ES"/>
        </w:rPr>
        <w:t>send</w:t>
      </w:r>
      <w:r w:rsidR="00CA45D0" w:rsidRPr="00012C3F">
        <w:rPr>
          <w:rFonts w:cs="Verdana"/>
          <w:snapToGrid w:val="0"/>
          <w:sz w:val="20"/>
          <w:szCs w:val="20"/>
          <w:lang w:val="en-US" w:eastAsia="es-ES"/>
        </w:rPr>
        <w:t xml:space="preserve"> observations within the time frame granted to this end</w:t>
      </w:r>
      <w:r w:rsidR="00095E76" w:rsidRPr="00012C3F">
        <w:rPr>
          <w:rFonts w:cs="Verdana"/>
          <w:snapToGrid w:val="0"/>
          <w:sz w:val="20"/>
          <w:szCs w:val="20"/>
          <w:lang w:val="en-US" w:eastAsia="es-ES"/>
        </w:rPr>
        <w:t xml:space="preserve"> and, following an extension, </w:t>
      </w:r>
      <w:r w:rsidR="001254DE" w:rsidRPr="00012C3F">
        <w:rPr>
          <w:rFonts w:cs="Verdana"/>
          <w:snapToGrid w:val="0"/>
          <w:sz w:val="20"/>
          <w:szCs w:val="20"/>
          <w:lang w:val="en-US" w:eastAsia="es-ES"/>
        </w:rPr>
        <w:t xml:space="preserve">the </w:t>
      </w:r>
      <w:r w:rsidR="00A84CA0" w:rsidRPr="00012C3F">
        <w:rPr>
          <w:rFonts w:cs="Verdana"/>
          <w:snapToGrid w:val="0"/>
          <w:sz w:val="20"/>
          <w:szCs w:val="20"/>
          <w:lang w:val="en-US" w:eastAsia="es-ES"/>
        </w:rPr>
        <w:t>Commission</w:t>
      </w:r>
      <w:r w:rsidR="00095E76" w:rsidRPr="00012C3F">
        <w:rPr>
          <w:rFonts w:cs="Verdana"/>
          <w:snapToGrid w:val="0"/>
          <w:sz w:val="20"/>
          <w:szCs w:val="20"/>
          <w:lang w:val="en-US" w:eastAsia="es-ES"/>
        </w:rPr>
        <w:t xml:space="preserve"> indicated that it had no observations to present,</w:t>
      </w:r>
    </w:p>
    <w:p w14:paraId="4B88BE0A" w14:textId="77777777" w:rsidR="006C37C9" w:rsidRPr="00012C3F" w:rsidRDefault="006C37C9" w:rsidP="00095E76">
      <w:pPr>
        <w:tabs>
          <w:tab w:val="left" w:pos="720"/>
          <w:tab w:val="left" w:pos="1134"/>
          <w:tab w:val="num" w:pos="6042"/>
        </w:tabs>
        <w:autoSpaceDE w:val="0"/>
        <w:autoSpaceDN w:val="0"/>
        <w:spacing w:line="240" w:lineRule="auto"/>
        <w:rPr>
          <w:rFonts w:eastAsia="Calibri" w:cs="Verdana"/>
          <w:snapToGrid w:val="0"/>
          <w:sz w:val="20"/>
          <w:szCs w:val="20"/>
          <w:lang w:val="en-US" w:eastAsia="es-ES"/>
        </w:rPr>
      </w:pPr>
    </w:p>
    <w:p w14:paraId="57EF5C06" w14:textId="77777777" w:rsidR="006C37C9" w:rsidRPr="00012C3F" w:rsidRDefault="00095E76" w:rsidP="004C6FCC">
      <w:pPr>
        <w:numPr>
          <w:ilvl w:val="0"/>
          <w:numId w:val="5"/>
        </w:numPr>
        <w:tabs>
          <w:tab w:val="left" w:pos="720"/>
          <w:tab w:val="num" w:pos="6042"/>
          <w:tab w:val="num" w:pos="12305"/>
        </w:tabs>
        <w:autoSpaceDE w:val="0"/>
        <w:autoSpaceDN w:val="0"/>
        <w:spacing w:line="240" w:lineRule="auto"/>
        <w:ind w:left="0" w:firstLine="0"/>
        <w:rPr>
          <w:rFonts w:eastAsia="Calibri" w:cs="Verdana"/>
          <w:snapToGrid w:val="0"/>
          <w:sz w:val="20"/>
          <w:szCs w:val="20"/>
          <w:lang w:val="en-US" w:eastAsia="es-ES"/>
        </w:rPr>
      </w:pPr>
      <w:r w:rsidRPr="00012C3F">
        <w:rPr>
          <w:rFonts w:cs="Verdana"/>
          <w:i/>
          <w:snapToGrid w:val="0"/>
          <w:sz w:val="20"/>
          <w:szCs w:val="20"/>
          <w:lang w:val="en-US" w:eastAsia="es-ES"/>
        </w:rPr>
        <w:t>Disbursements in application of the Legal Assistance Fund</w:t>
      </w:r>
      <w:r w:rsidR="006C37C9" w:rsidRPr="00012C3F">
        <w:rPr>
          <w:rFonts w:cs="Verdana"/>
          <w:i/>
          <w:snapToGrid w:val="0"/>
          <w:sz w:val="20"/>
          <w:szCs w:val="20"/>
          <w:lang w:val="en-US" w:eastAsia="es-ES"/>
        </w:rPr>
        <w:t>.</w:t>
      </w:r>
      <w:r w:rsidR="006C37C9" w:rsidRPr="00012C3F">
        <w:rPr>
          <w:rFonts w:cs="Verdana"/>
          <w:snapToGrid w:val="0"/>
          <w:sz w:val="20"/>
          <w:szCs w:val="20"/>
          <w:lang w:val="en-US" w:eastAsia="es-ES"/>
        </w:rPr>
        <w:t xml:space="preserve"> </w:t>
      </w:r>
      <w:r w:rsidRPr="00012C3F">
        <w:rPr>
          <w:rFonts w:cs="Verdana"/>
          <w:snapToGrid w:val="0"/>
          <w:sz w:val="20"/>
          <w:szCs w:val="20"/>
          <w:lang w:val="en-US" w:eastAsia="es-ES"/>
        </w:rPr>
        <w:t>On July 26,</w:t>
      </w:r>
      <w:r w:rsidR="006C37C9" w:rsidRPr="00012C3F">
        <w:rPr>
          <w:rFonts w:cs="Verdana"/>
          <w:snapToGrid w:val="0"/>
          <w:sz w:val="20"/>
          <w:szCs w:val="20"/>
          <w:lang w:val="en-US" w:eastAsia="es-ES"/>
        </w:rPr>
        <w:t xml:space="preserve"> 2016</w:t>
      </w:r>
      <w:r w:rsidRPr="00012C3F">
        <w:rPr>
          <w:rFonts w:cs="Verdana"/>
          <w:snapToGrid w:val="0"/>
          <w:sz w:val="20"/>
          <w:szCs w:val="20"/>
          <w:lang w:val="en-US" w:eastAsia="es-ES"/>
        </w:rPr>
        <w:t xml:space="preserve">, the Secretariat, on the instructions of the </w:t>
      </w:r>
      <w:r w:rsidR="001254DE" w:rsidRPr="00012C3F">
        <w:rPr>
          <w:rFonts w:cs="Verdana"/>
          <w:snapToGrid w:val="0"/>
          <w:sz w:val="20"/>
          <w:szCs w:val="20"/>
          <w:lang w:val="en-US" w:eastAsia="es-ES"/>
        </w:rPr>
        <w:t>President of the Court</w:t>
      </w:r>
      <w:r w:rsidR="006C37C9" w:rsidRPr="00012C3F">
        <w:rPr>
          <w:rFonts w:cs="Verdana"/>
          <w:snapToGrid w:val="0"/>
          <w:sz w:val="20"/>
          <w:szCs w:val="20"/>
          <w:lang w:val="en-US" w:eastAsia="es-ES"/>
        </w:rPr>
        <w:t xml:space="preserve">, </w:t>
      </w:r>
      <w:r w:rsidRPr="00012C3F">
        <w:rPr>
          <w:rFonts w:cs="Verdana"/>
          <w:snapToGrid w:val="0"/>
          <w:sz w:val="20"/>
          <w:szCs w:val="20"/>
          <w:lang w:val="en-US" w:eastAsia="es-ES"/>
        </w:rPr>
        <w:t>sent the State information on the disbursement</w:t>
      </w:r>
      <w:r w:rsidR="005804E7" w:rsidRPr="00012C3F">
        <w:rPr>
          <w:rFonts w:cs="Verdana"/>
          <w:snapToGrid w:val="0"/>
          <w:sz w:val="20"/>
          <w:szCs w:val="20"/>
          <w:lang w:val="en-US" w:eastAsia="es-ES"/>
        </w:rPr>
        <w:t>s</w:t>
      </w:r>
      <w:r w:rsidRPr="00012C3F">
        <w:rPr>
          <w:rFonts w:cs="Verdana"/>
          <w:snapToGrid w:val="0"/>
          <w:sz w:val="20"/>
          <w:szCs w:val="20"/>
          <w:lang w:val="en-US" w:eastAsia="es-ES"/>
        </w:rPr>
        <w:t xml:space="preserve"> made in application of the </w:t>
      </w:r>
      <w:r w:rsidR="00B257AF" w:rsidRPr="00012C3F">
        <w:rPr>
          <w:rFonts w:cs="Verdana"/>
          <w:snapToGrid w:val="0"/>
          <w:sz w:val="20"/>
          <w:szCs w:val="20"/>
          <w:lang w:val="en-US" w:eastAsia="es-ES"/>
        </w:rPr>
        <w:t>Victims’ Legal Assistance Fund</w:t>
      </w:r>
      <w:r w:rsidR="006C37C9" w:rsidRPr="00012C3F">
        <w:rPr>
          <w:rFonts w:cs="Verdana"/>
          <w:snapToGrid w:val="0"/>
          <w:sz w:val="20"/>
          <w:szCs w:val="20"/>
          <w:lang w:val="en-US" w:eastAsia="es-ES"/>
        </w:rPr>
        <w:t xml:space="preserve"> </w:t>
      </w:r>
      <w:r w:rsidRPr="00012C3F">
        <w:rPr>
          <w:rFonts w:cs="Verdana"/>
          <w:snapToGrid w:val="0"/>
          <w:sz w:val="20"/>
          <w:szCs w:val="20"/>
          <w:lang w:val="en-US" w:eastAsia="es-ES"/>
        </w:rPr>
        <w:t>in this case and, as provided for in a</w:t>
      </w:r>
      <w:r w:rsidR="001254DE" w:rsidRPr="00012C3F">
        <w:rPr>
          <w:rFonts w:cs="Verdana"/>
          <w:snapToGrid w:val="0"/>
          <w:sz w:val="20"/>
          <w:szCs w:val="20"/>
          <w:lang w:val="en-US" w:eastAsia="es-ES"/>
        </w:rPr>
        <w:t>rticle</w:t>
      </w:r>
      <w:r w:rsidR="006C37C9" w:rsidRPr="00012C3F">
        <w:rPr>
          <w:rFonts w:cs="Verdana"/>
          <w:snapToGrid w:val="0"/>
          <w:sz w:val="20"/>
          <w:szCs w:val="20"/>
          <w:lang w:val="en-US" w:eastAsia="es-ES"/>
        </w:rPr>
        <w:t xml:space="preserve"> 5</w:t>
      </w:r>
      <w:r w:rsidR="001254DE" w:rsidRPr="00012C3F">
        <w:rPr>
          <w:rFonts w:cs="Verdana"/>
          <w:snapToGrid w:val="0"/>
          <w:sz w:val="20"/>
          <w:szCs w:val="20"/>
          <w:lang w:val="en-US" w:eastAsia="es-ES"/>
        </w:rPr>
        <w:t xml:space="preserve"> of the </w:t>
      </w:r>
      <w:r w:rsidRPr="00012C3F">
        <w:rPr>
          <w:rFonts w:cs="Verdana"/>
          <w:snapToGrid w:val="0"/>
          <w:sz w:val="20"/>
          <w:szCs w:val="20"/>
          <w:lang w:val="en-US" w:eastAsia="es-ES"/>
        </w:rPr>
        <w:t xml:space="preserve">Court’s </w:t>
      </w:r>
      <w:r w:rsidR="001254DE" w:rsidRPr="00012C3F">
        <w:rPr>
          <w:rFonts w:cs="Verdana"/>
          <w:snapToGrid w:val="0"/>
          <w:sz w:val="20"/>
          <w:szCs w:val="20"/>
          <w:lang w:val="en-US" w:eastAsia="es-ES"/>
        </w:rPr>
        <w:t xml:space="preserve">Rules </w:t>
      </w:r>
      <w:r w:rsidRPr="00012C3F">
        <w:rPr>
          <w:rFonts w:cs="Verdana"/>
          <w:snapToGrid w:val="0"/>
          <w:sz w:val="20"/>
          <w:szCs w:val="20"/>
          <w:lang w:val="en-US" w:eastAsia="es-ES"/>
        </w:rPr>
        <w:t>for the operation of the Fund, granted it a time frame to present a</w:t>
      </w:r>
      <w:r w:rsidR="000E1C11" w:rsidRPr="00012C3F">
        <w:rPr>
          <w:rFonts w:cs="Verdana"/>
          <w:snapToGrid w:val="0"/>
          <w:sz w:val="20"/>
          <w:szCs w:val="20"/>
          <w:lang w:val="en-US" w:eastAsia="es-ES"/>
        </w:rPr>
        <w:t>n</w:t>
      </w:r>
      <w:r w:rsidRPr="00012C3F">
        <w:rPr>
          <w:rFonts w:cs="Verdana"/>
          <w:snapToGrid w:val="0"/>
          <w:sz w:val="20"/>
          <w:szCs w:val="20"/>
          <w:lang w:val="en-US" w:eastAsia="es-ES"/>
        </w:rPr>
        <w:t>y</w:t>
      </w:r>
      <w:r w:rsidR="000E1C11" w:rsidRPr="00012C3F">
        <w:rPr>
          <w:rFonts w:cs="Verdana"/>
          <w:snapToGrid w:val="0"/>
          <w:sz w:val="20"/>
          <w:szCs w:val="20"/>
          <w:lang w:val="en-US" w:eastAsia="es-ES"/>
        </w:rPr>
        <w:t xml:space="preserve"> </w:t>
      </w:r>
      <w:r w:rsidRPr="00012C3F">
        <w:rPr>
          <w:rFonts w:cs="Verdana"/>
          <w:snapToGrid w:val="0"/>
          <w:sz w:val="20"/>
          <w:szCs w:val="20"/>
          <w:lang w:val="en-US" w:eastAsia="es-ES"/>
        </w:rPr>
        <w:t xml:space="preserve">observations it deemed pertinent. </w:t>
      </w:r>
      <w:r w:rsidR="00A84CA0" w:rsidRPr="00012C3F">
        <w:rPr>
          <w:rFonts w:cs="Verdana"/>
          <w:snapToGrid w:val="0"/>
          <w:sz w:val="20"/>
          <w:szCs w:val="20"/>
          <w:lang w:val="en-US" w:eastAsia="es-ES"/>
        </w:rPr>
        <w:t>The State</w:t>
      </w:r>
      <w:r w:rsidR="006C37C9" w:rsidRPr="00012C3F">
        <w:rPr>
          <w:rFonts w:cs="Verdana"/>
          <w:snapToGrid w:val="0"/>
          <w:sz w:val="20"/>
          <w:szCs w:val="20"/>
          <w:lang w:val="en-US" w:eastAsia="es-ES"/>
        </w:rPr>
        <w:t xml:space="preserve"> </w:t>
      </w:r>
      <w:r w:rsidRPr="00012C3F">
        <w:rPr>
          <w:rFonts w:cs="Verdana"/>
          <w:snapToGrid w:val="0"/>
          <w:sz w:val="20"/>
          <w:szCs w:val="20"/>
          <w:lang w:val="en-US" w:eastAsia="es-ES"/>
        </w:rPr>
        <w:t>did not present observations within the respective time frame.</w:t>
      </w:r>
    </w:p>
    <w:p w14:paraId="14AA3C95" w14:textId="77777777" w:rsidR="00095E76" w:rsidRPr="00012C3F" w:rsidRDefault="00095E76" w:rsidP="004C6FCC">
      <w:pPr>
        <w:tabs>
          <w:tab w:val="left" w:pos="567"/>
          <w:tab w:val="left" w:pos="720"/>
          <w:tab w:val="num" w:pos="6042"/>
        </w:tabs>
        <w:autoSpaceDE w:val="0"/>
        <w:autoSpaceDN w:val="0"/>
        <w:spacing w:line="240" w:lineRule="auto"/>
        <w:rPr>
          <w:rFonts w:eastAsia="Calibri" w:cs="Verdana"/>
          <w:snapToGrid w:val="0"/>
          <w:sz w:val="20"/>
          <w:szCs w:val="20"/>
          <w:lang w:val="en-US" w:eastAsia="es-ES"/>
        </w:rPr>
      </w:pPr>
    </w:p>
    <w:p w14:paraId="61E2D0E8" w14:textId="77777777" w:rsidR="006C37C9" w:rsidRPr="00012C3F" w:rsidRDefault="006C37C9" w:rsidP="002D4AF2">
      <w:pPr>
        <w:numPr>
          <w:ilvl w:val="0"/>
          <w:numId w:val="5"/>
        </w:numPr>
        <w:tabs>
          <w:tab w:val="left" w:pos="720"/>
          <w:tab w:val="num" w:pos="12305"/>
        </w:tabs>
        <w:spacing w:line="240" w:lineRule="auto"/>
        <w:ind w:left="0" w:firstLine="0"/>
        <w:rPr>
          <w:rFonts w:cs="Verdana"/>
          <w:snapToGrid w:val="0"/>
          <w:sz w:val="20"/>
          <w:szCs w:val="20"/>
          <w:lang w:val="en-US" w:eastAsia="es-ES"/>
        </w:rPr>
      </w:pPr>
      <w:r w:rsidRPr="00012C3F">
        <w:rPr>
          <w:rFonts w:cs="Verdana"/>
          <w:i/>
          <w:snapToGrid w:val="0"/>
          <w:sz w:val="20"/>
          <w:szCs w:val="20"/>
          <w:lang w:val="en-US" w:eastAsia="es-ES"/>
        </w:rPr>
        <w:t>Delibera</w:t>
      </w:r>
      <w:r w:rsidR="00095E76" w:rsidRPr="00012C3F">
        <w:rPr>
          <w:rFonts w:cs="Verdana"/>
          <w:i/>
          <w:snapToGrid w:val="0"/>
          <w:sz w:val="20"/>
          <w:szCs w:val="20"/>
          <w:lang w:val="en-US" w:eastAsia="es-ES"/>
        </w:rPr>
        <w:t>tion of th</w:t>
      </w:r>
      <w:r w:rsidR="003E495C" w:rsidRPr="00012C3F">
        <w:rPr>
          <w:rFonts w:cs="Verdana"/>
          <w:i/>
          <w:snapToGrid w:val="0"/>
          <w:sz w:val="20"/>
          <w:szCs w:val="20"/>
          <w:lang w:val="en-US" w:eastAsia="es-ES"/>
        </w:rPr>
        <w:t>e</w:t>
      </w:r>
      <w:r w:rsidR="00095E76" w:rsidRPr="00012C3F">
        <w:rPr>
          <w:rFonts w:cs="Verdana"/>
          <w:i/>
          <w:snapToGrid w:val="0"/>
          <w:sz w:val="20"/>
          <w:szCs w:val="20"/>
          <w:lang w:val="en-US" w:eastAsia="es-ES"/>
        </w:rPr>
        <w:t xml:space="preserve"> case</w:t>
      </w:r>
      <w:r w:rsidRPr="00012C3F">
        <w:rPr>
          <w:rFonts w:cs="Verdana"/>
          <w:i/>
          <w:iCs/>
          <w:snapToGrid w:val="0"/>
          <w:sz w:val="20"/>
          <w:szCs w:val="20"/>
          <w:lang w:val="en-US" w:eastAsia="es-ES"/>
        </w:rPr>
        <w:t xml:space="preserve">. </w:t>
      </w:r>
      <w:r w:rsidR="001254DE" w:rsidRPr="00012C3F">
        <w:rPr>
          <w:rFonts w:cs="Verdana"/>
          <w:snapToGrid w:val="0"/>
          <w:sz w:val="20"/>
          <w:szCs w:val="20"/>
          <w:lang w:val="en-US" w:eastAsia="es-ES"/>
        </w:rPr>
        <w:t>The Court</w:t>
      </w:r>
      <w:r w:rsidRPr="00012C3F">
        <w:rPr>
          <w:rFonts w:cs="Verdana"/>
          <w:snapToGrid w:val="0"/>
          <w:sz w:val="20"/>
          <w:szCs w:val="20"/>
          <w:lang w:val="en-US" w:eastAsia="es-ES"/>
        </w:rPr>
        <w:t xml:space="preserve"> </w:t>
      </w:r>
      <w:r w:rsidR="00095E76" w:rsidRPr="00012C3F">
        <w:rPr>
          <w:rFonts w:cs="Verdana"/>
          <w:snapToGrid w:val="0"/>
          <w:sz w:val="20"/>
          <w:szCs w:val="20"/>
          <w:lang w:val="en-US" w:eastAsia="es-ES"/>
        </w:rPr>
        <w:t>began deliberat</w:t>
      </w:r>
      <w:r w:rsidR="003E495C" w:rsidRPr="00012C3F">
        <w:rPr>
          <w:rFonts w:cs="Verdana"/>
          <w:snapToGrid w:val="0"/>
          <w:sz w:val="20"/>
          <w:szCs w:val="20"/>
          <w:lang w:val="en-US" w:eastAsia="es-ES"/>
        </w:rPr>
        <w:t>ing</w:t>
      </w:r>
      <w:r w:rsidR="00095E76" w:rsidRPr="00012C3F">
        <w:rPr>
          <w:rFonts w:cs="Verdana"/>
          <w:snapToGrid w:val="0"/>
          <w:sz w:val="20"/>
          <w:szCs w:val="20"/>
          <w:lang w:val="en-US" w:eastAsia="es-ES"/>
        </w:rPr>
        <w:t xml:space="preserve"> this </w:t>
      </w:r>
      <w:r w:rsidR="002D4AF2">
        <w:rPr>
          <w:rFonts w:cs="Verdana"/>
          <w:snapToGrid w:val="0"/>
          <w:sz w:val="20"/>
          <w:szCs w:val="20"/>
          <w:lang w:val="en-US" w:eastAsia="es-ES"/>
        </w:rPr>
        <w:t>case</w:t>
      </w:r>
      <w:r w:rsidR="00095E76" w:rsidRPr="00012C3F">
        <w:rPr>
          <w:rFonts w:cs="Verdana"/>
          <w:snapToGrid w:val="0"/>
          <w:sz w:val="20"/>
          <w:szCs w:val="20"/>
          <w:lang w:val="en-US" w:eastAsia="es-ES"/>
        </w:rPr>
        <w:t xml:space="preserve"> on November 29,  </w:t>
      </w:r>
      <w:r w:rsidR="00693379" w:rsidRPr="00012C3F">
        <w:rPr>
          <w:rFonts w:cs="Verdana"/>
          <w:snapToGrid w:val="0"/>
          <w:sz w:val="20"/>
          <w:szCs w:val="20"/>
          <w:lang w:val="en-US" w:eastAsia="es-ES"/>
        </w:rPr>
        <w:t>2016</w:t>
      </w:r>
      <w:r w:rsidRPr="00012C3F">
        <w:rPr>
          <w:rFonts w:cs="Verdana"/>
          <w:snapToGrid w:val="0"/>
          <w:sz w:val="20"/>
          <w:szCs w:val="20"/>
          <w:lang w:val="en-US" w:eastAsia="es-ES"/>
        </w:rPr>
        <w:t>.</w:t>
      </w:r>
    </w:p>
    <w:p w14:paraId="557537A3" w14:textId="77777777" w:rsidR="006C37C9" w:rsidRPr="00012C3F" w:rsidRDefault="006C37C9" w:rsidP="00A93967">
      <w:pPr>
        <w:keepNext/>
        <w:keepLines/>
        <w:tabs>
          <w:tab w:val="left" w:pos="851"/>
        </w:tabs>
        <w:spacing w:line="240" w:lineRule="auto"/>
        <w:jc w:val="center"/>
        <w:outlineLvl w:val="0"/>
        <w:rPr>
          <w:rFonts w:cs="Verdana"/>
          <w:b/>
          <w:bCs/>
          <w:caps/>
          <w:snapToGrid w:val="0"/>
          <w:sz w:val="20"/>
          <w:szCs w:val="20"/>
          <w:lang w:val="en-US"/>
        </w:rPr>
      </w:pPr>
      <w:bookmarkStart w:id="26" w:name="_Toc27486818"/>
      <w:r w:rsidRPr="00012C3F">
        <w:rPr>
          <w:rFonts w:cs="Verdana"/>
          <w:b/>
          <w:bCs/>
          <w:caps/>
          <w:snapToGrid w:val="0"/>
          <w:sz w:val="20"/>
          <w:szCs w:val="20"/>
          <w:lang w:val="en-US"/>
        </w:rPr>
        <w:lastRenderedPageBreak/>
        <w:t>III</w:t>
      </w:r>
      <w:r w:rsidRPr="00012C3F">
        <w:rPr>
          <w:rFonts w:cs="Verdana"/>
          <w:b/>
          <w:bCs/>
          <w:caps/>
          <w:snapToGrid w:val="0"/>
          <w:sz w:val="20"/>
          <w:szCs w:val="20"/>
          <w:lang w:val="en-US"/>
        </w:rPr>
        <w:br/>
      </w:r>
      <w:r w:rsidR="00F07D0C" w:rsidRPr="00012C3F">
        <w:rPr>
          <w:rFonts w:cs="Verdana"/>
          <w:b/>
          <w:bCs/>
          <w:caps/>
          <w:snapToGrid w:val="0"/>
          <w:sz w:val="20"/>
          <w:szCs w:val="20"/>
          <w:lang w:val="en-US"/>
        </w:rPr>
        <w:t>JURISDICTION</w:t>
      </w:r>
      <w:bookmarkEnd w:id="26"/>
    </w:p>
    <w:p w14:paraId="0CE43C83" w14:textId="77777777" w:rsidR="006C37C9" w:rsidRPr="00012C3F" w:rsidRDefault="006C37C9" w:rsidP="006C37C9">
      <w:pPr>
        <w:spacing w:before="5" w:line="240" w:lineRule="auto"/>
        <w:rPr>
          <w:lang w:val="en-US"/>
        </w:rPr>
      </w:pPr>
    </w:p>
    <w:p w14:paraId="2AF22E54" w14:textId="77777777" w:rsidR="006C37C9" w:rsidRPr="00012C3F" w:rsidRDefault="001254DE" w:rsidP="00491B95">
      <w:pPr>
        <w:numPr>
          <w:ilvl w:val="0"/>
          <w:numId w:val="5"/>
        </w:numPr>
        <w:tabs>
          <w:tab w:val="left" w:pos="720"/>
          <w:tab w:val="num" w:pos="12305"/>
        </w:tabs>
        <w:spacing w:line="240" w:lineRule="auto"/>
        <w:ind w:left="0" w:firstLine="0"/>
        <w:rPr>
          <w:lang w:val="en-US"/>
        </w:rPr>
      </w:pPr>
      <w:r w:rsidRPr="00012C3F">
        <w:rPr>
          <w:sz w:val="20"/>
          <w:lang w:val="en-US"/>
        </w:rPr>
        <w:t>The Inter-American Court</w:t>
      </w:r>
      <w:r w:rsidR="006C37C9" w:rsidRPr="00012C3F">
        <w:rPr>
          <w:sz w:val="20"/>
          <w:lang w:val="en-US"/>
        </w:rPr>
        <w:t xml:space="preserve"> </w:t>
      </w:r>
      <w:r w:rsidR="00F07D0C" w:rsidRPr="00012C3F">
        <w:rPr>
          <w:sz w:val="20"/>
          <w:lang w:val="en-US"/>
        </w:rPr>
        <w:t xml:space="preserve">has jurisdiction to hear this case, pursuant to </w:t>
      </w:r>
      <w:r w:rsidRPr="00012C3F">
        <w:rPr>
          <w:sz w:val="20"/>
          <w:lang w:val="en-US"/>
        </w:rPr>
        <w:t>Article</w:t>
      </w:r>
      <w:r w:rsidR="006C37C9" w:rsidRPr="00012C3F">
        <w:rPr>
          <w:sz w:val="20"/>
          <w:lang w:val="en-US"/>
        </w:rPr>
        <w:t xml:space="preserve"> </w:t>
      </w:r>
      <w:r w:rsidRPr="00012C3F">
        <w:rPr>
          <w:sz w:val="20"/>
          <w:lang w:val="en-US"/>
        </w:rPr>
        <w:t>62(3) of the American Convention</w:t>
      </w:r>
      <w:r w:rsidR="006C37C9" w:rsidRPr="00012C3F">
        <w:rPr>
          <w:sz w:val="20"/>
          <w:lang w:val="en-US"/>
        </w:rPr>
        <w:t xml:space="preserve">, </w:t>
      </w:r>
      <w:r w:rsidR="00F07D0C" w:rsidRPr="00012C3F">
        <w:rPr>
          <w:sz w:val="20"/>
          <w:lang w:val="en-US"/>
        </w:rPr>
        <w:t xml:space="preserve">because Bolivia has been a State Party to the Convention since July 19, 1979, and accepted the contentious jurisdiction of the Court on July 27, </w:t>
      </w:r>
      <w:r w:rsidR="006C37C9" w:rsidRPr="00012C3F">
        <w:rPr>
          <w:sz w:val="20"/>
          <w:lang w:val="en-US"/>
        </w:rPr>
        <w:t>1993.</w:t>
      </w:r>
    </w:p>
    <w:p w14:paraId="27E823F5" w14:textId="77777777" w:rsidR="00085BDD" w:rsidRPr="00012C3F" w:rsidRDefault="00085BDD" w:rsidP="00085BDD">
      <w:pPr>
        <w:widowControl/>
        <w:tabs>
          <w:tab w:val="left" w:pos="720"/>
          <w:tab w:val="num" w:pos="5057"/>
        </w:tabs>
        <w:adjustRightInd/>
        <w:spacing w:line="240" w:lineRule="auto"/>
        <w:ind w:right="-90"/>
        <w:textAlignment w:val="auto"/>
        <w:rPr>
          <w:rFonts w:eastAsia="Calibri" w:cs="Verdana"/>
          <w:sz w:val="20"/>
          <w:szCs w:val="20"/>
          <w:lang w:val="en-US" w:eastAsia="en-US"/>
        </w:rPr>
      </w:pPr>
    </w:p>
    <w:p w14:paraId="0FB846DF" w14:textId="77777777" w:rsidR="00085BDD" w:rsidRPr="00012C3F" w:rsidRDefault="0065705B" w:rsidP="00A93967">
      <w:pPr>
        <w:keepNext/>
        <w:keepLines/>
        <w:tabs>
          <w:tab w:val="left" w:pos="851"/>
        </w:tabs>
        <w:spacing w:line="240" w:lineRule="auto"/>
        <w:jc w:val="center"/>
        <w:outlineLvl w:val="0"/>
        <w:rPr>
          <w:rFonts w:cs="Verdana"/>
          <w:b/>
          <w:bCs/>
          <w:caps/>
          <w:snapToGrid w:val="0"/>
          <w:sz w:val="20"/>
          <w:szCs w:val="20"/>
          <w:lang w:val="en-US"/>
        </w:rPr>
      </w:pPr>
      <w:bookmarkStart w:id="27" w:name="_Toc375062713"/>
      <w:bookmarkStart w:id="28" w:name="_Toc375140863"/>
      <w:bookmarkStart w:id="29" w:name="_Toc375504822"/>
      <w:bookmarkStart w:id="30" w:name="_Toc375560896"/>
      <w:bookmarkStart w:id="31" w:name="_Toc428369979"/>
      <w:bookmarkStart w:id="32" w:name="_Toc459158095"/>
      <w:bookmarkStart w:id="33" w:name="_Toc401931881"/>
      <w:bookmarkStart w:id="34" w:name="_Toc27486819"/>
      <w:r w:rsidRPr="00012C3F">
        <w:rPr>
          <w:rFonts w:cs="Verdana"/>
          <w:b/>
          <w:bCs/>
          <w:caps/>
          <w:snapToGrid w:val="0"/>
          <w:sz w:val="20"/>
          <w:szCs w:val="20"/>
          <w:lang w:val="en-US"/>
        </w:rPr>
        <w:t>IV</w:t>
      </w:r>
      <w:r w:rsidR="00085BDD" w:rsidRPr="00012C3F">
        <w:rPr>
          <w:rFonts w:cs="Verdana"/>
          <w:b/>
          <w:bCs/>
          <w:caps/>
          <w:snapToGrid w:val="0"/>
          <w:sz w:val="20"/>
          <w:szCs w:val="20"/>
          <w:lang w:val="en-US"/>
        </w:rPr>
        <w:br/>
      </w:r>
      <w:bookmarkEnd w:id="27"/>
      <w:bookmarkEnd w:id="28"/>
      <w:bookmarkEnd w:id="29"/>
      <w:bookmarkEnd w:id="30"/>
      <w:r w:rsidR="00F07D0C" w:rsidRPr="00012C3F">
        <w:rPr>
          <w:rFonts w:cs="Verdana"/>
          <w:b/>
          <w:bCs/>
          <w:caps/>
          <w:snapToGrid w:val="0"/>
          <w:sz w:val="20"/>
          <w:szCs w:val="20"/>
          <w:lang w:val="en-US"/>
        </w:rPr>
        <w:t>PRELIMINARY OBJECTIONS</w:t>
      </w:r>
      <w:bookmarkEnd w:id="31"/>
      <w:bookmarkEnd w:id="32"/>
      <w:bookmarkEnd w:id="33"/>
      <w:bookmarkEnd w:id="34"/>
    </w:p>
    <w:p w14:paraId="2B839CD3" w14:textId="77777777" w:rsidR="00085BDD" w:rsidRPr="00012C3F" w:rsidRDefault="00085BDD" w:rsidP="00085BDD">
      <w:pPr>
        <w:widowControl/>
        <w:tabs>
          <w:tab w:val="left" w:pos="540"/>
        </w:tabs>
        <w:autoSpaceDE w:val="0"/>
        <w:autoSpaceDN w:val="0"/>
        <w:spacing w:line="240" w:lineRule="auto"/>
        <w:textAlignment w:val="auto"/>
        <w:rPr>
          <w:rFonts w:eastAsia="Batang" w:cs="Arial"/>
          <w:iCs/>
          <w:sz w:val="20"/>
          <w:szCs w:val="20"/>
          <w:lang w:val="en-US" w:eastAsia="en-US"/>
        </w:rPr>
      </w:pPr>
    </w:p>
    <w:p w14:paraId="73240CE3" w14:textId="77777777" w:rsidR="00BE3FB3" w:rsidRPr="00012C3F" w:rsidRDefault="00A84CA0" w:rsidP="004C6FCC">
      <w:pPr>
        <w:numPr>
          <w:ilvl w:val="0"/>
          <w:numId w:val="5"/>
        </w:numPr>
        <w:tabs>
          <w:tab w:val="left" w:pos="720"/>
          <w:tab w:val="num" w:pos="12305"/>
        </w:tabs>
        <w:spacing w:line="240" w:lineRule="auto"/>
        <w:ind w:left="0" w:firstLine="0"/>
        <w:rPr>
          <w:rFonts w:eastAsia="Batang" w:cs="Arial"/>
          <w:iCs/>
          <w:sz w:val="20"/>
          <w:szCs w:val="20"/>
          <w:lang w:val="en-US" w:eastAsia="en-US"/>
        </w:rPr>
      </w:pPr>
      <w:r w:rsidRPr="00012C3F">
        <w:rPr>
          <w:rFonts w:eastAsia="Batang" w:cs="Arial"/>
          <w:iCs/>
          <w:sz w:val="20"/>
          <w:szCs w:val="20"/>
          <w:lang w:val="en-US" w:eastAsia="en-US"/>
        </w:rPr>
        <w:t>The State</w:t>
      </w:r>
      <w:r w:rsidR="00085BDD" w:rsidRPr="00012C3F">
        <w:rPr>
          <w:rFonts w:eastAsia="Batang" w:cs="Arial"/>
          <w:iCs/>
          <w:sz w:val="20"/>
          <w:szCs w:val="20"/>
          <w:lang w:val="en-US" w:eastAsia="en-US"/>
        </w:rPr>
        <w:t xml:space="preserve"> </w:t>
      </w:r>
      <w:r w:rsidR="00C16DEA" w:rsidRPr="00012C3F">
        <w:rPr>
          <w:rFonts w:eastAsia="Batang" w:cs="Arial"/>
          <w:iCs/>
          <w:sz w:val="20"/>
          <w:szCs w:val="20"/>
          <w:lang w:val="en-US" w:eastAsia="en-US"/>
        </w:rPr>
        <w:t>submit</w:t>
      </w:r>
      <w:r w:rsidR="00085BDD" w:rsidRPr="00012C3F">
        <w:rPr>
          <w:rFonts w:eastAsia="Batang" w:cs="Arial"/>
          <w:iCs/>
          <w:sz w:val="20"/>
          <w:szCs w:val="20"/>
          <w:lang w:val="en-US" w:eastAsia="en-US"/>
        </w:rPr>
        <w:t>t</w:t>
      </w:r>
      <w:r w:rsidR="0045122A" w:rsidRPr="00012C3F">
        <w:rPr>
          <w:rFonts w:eastAsia="Batang" w:cs="Arial"/>
          <w:iCs/>
          <w:sz w:val="20"/>
          <w:szCs w:val="20"/>
          <w:lang w:val="en-US" w:eastAsia="en-US"/>
        </w:rPr>
        <w:t xml:space="preserve">ed the following arguments </w:t>
      </w:r>
      <w:r w:rsidR="00C16DEA" w:rsidRPr="00012C3F">
        <w:rPr>
          <w:rFonts w:eastAsia="Batang" w:cs="Arial"/>
          <w:iCs/>
          <w:sz w:val="20"/>
          <w:szCs w:val="20"/>
          <w:lang w:val="en-US" w:eastAsia="en-US"/>
        </w:rPr>
        <w:t xml:space="preserve">in its answering brief </w:t>
      </w:r>
      <w:r w:rsidR="0045122A" w:rsidRPr="00012C3F">
        <w:rPr>
          <w:rFonts w:eastAsia="Batang" w:cs="Arial"/>
          <w:iCs/>
          <w:sz w:val="20"/>
          <w:szCs w:val="20"/>
          <w:lang w:val="en-US" w:eastAsia="en-US"/>
        </w:rPr>
        <w:t xml:space="preserve">as preliminary objections: the lack of </w:t>
      </w:r>
      <w:r w:rsidR="00D24EFE">
        <w:rPr>
          <w:rFonts w:eastAsia="Batang" w:cs="Arial"/>
          <w:iCs/>
          <w:sz w:val="20"/>
          <w:szCs w:val="20"/>
          <w:lang w:val="en-US" w:eastAsia="en-US"/>
        </w:rPr>
        <w:t xml:space="preserve">jurisdiction </w:t>
      </w:r>
      <w:r w:rsidR="00D24EFE" w:rsidRPr="00D24EFE">
        <w:rPr>
          <w:rFonts w:eastAsia="Batang" w:cs="Arial"/>
          <w:i/>
          <w:sz w:val="20"/>
          <w:szCs w:val="20"/>
          <w:lang w:val="en-US" w:eastAsia="en-US"/>
        </w:rPr>
        <w:t>ratione loci</w:t>
      </w:r>
      <w:r w:rsidR="005E5012" w:rsidRPr="00012C3F">
        <w:rPr>
          <w:rFonts w:eastAsia="Batang" w:cs="Arial"/>
          <w:iCs/>
          <w:sz w:val="20"/>
          <w:szCs w:val="20"/>
          <w:lang w:val="en-US" w:eastAsia="en-US"/>
        </w:rPr>
        <w:t xml:space="preserve"> and</w:t>
      </w:r>
      <w:r w:rsidR="0045122A" w:rsidRPr="00012C3F">
        <w:rPr>
          <w:rFonts w:eastAsia="Batang" w:cs="Arial"/>
          <w:iCs/>
          <w:sz w:val="20"/>
          <w:szCs w:val="20"/>
          <w:lang w:val="en-US" w:eastAsia="en-US"/>
        </w:rPr>
        <w:t xml:space="preserve"> the presumed failure to exhaust domestic remedies. </w:t>
      </w:r>
      <w:r w:rsidRPr="00012C3F">
        <w:rPr>
          <w:rFonts w:eastAsia="Batang" w:cs="Arial"/>
          <w:iCs/>
          <w:sz w:val="20"/>
          <w:szCs w:val="20"/>
          <w:lang w:val="en-US" w:eastAsia="en-US"/>
        </w:rPr>
        <w:t>The State</w:t>
      </w:r>
      <w:r w:rsidR="00BE3FB3" w:rsidRPr="00012C3F">
        <w:rPr>
          <w:rFonts w:eastAsia="Batang" w:cs="Arial"/>
          <w:iCs/>
          <w:sz w:val="20"/>
          <w:szCs w:val="20"/>
          <w:lang w:val="en-US" w:eastAsia="en-US"/>
        </w:rPr>
        <w:t xml:space="preserve"> indic</w:t>
      </w:r>
      <w:r w:rsidR="0045122A" w:rsidRPr="00012C3F">
        <w:rPr>
          <w:rFonts w:eastAsia="Batang" w:cs="Arial"/>
          <w:iCs/>
          <w:sz w:val="20"/>
          <w:szCs w:val="20"/>
          <w:lang w:val="en-US" w:eastAsia="en-US"/>
        </w:rPr>
        <w:t xml:space="preserve">ated the failure to exhaust two remedies in </w:t>
      </w:r>
      <w:r w:rsidR="00C16DEA" w:rsidRPr="00012C3F">
        <w:rPr>
          <w:rFonts w:eastAsia="Batang" w:cs="Arial"/>
          <w:iCs/>
          <w:sz w:val="20"/>
          <w:szCs w:val="20"/>
          <w:lang w:val="en-US" w:eastAsia="en-US"/>
        </w:rPr>
        <w:t xml:space="preserve">Bolivia’s </w:t>
      </w:r>
      <w:r w:rsidR="0045122A" w:rsidRPr="00012C3F">
        <w:rPr>
          <w:rFonts w:eastAsia="Batang" w:cs="Arial"/>
          <w:iCs/>
          <w:sz w:val="20"/>
          <w:szCs w:val="20"/>
          <w:lang w:val="en-US" w:eastAsia="en-US"/>
        </w:rPr>
        <w:t xml:space="preserve">domestic jurisdiction that, it argued, could have been filed against Ruling </w:t>
      </w:r>
      <w:r w:rsidR="007A6CEA" w:rsidRPr="00012C3F">
        <w:rPr>
          <w:rFonts w:eastAsia="MS Mincho" w:cs="Arial"/>
          <w:sz w:val="20"/>
          <w:lang w:val="en-US" w:eastAsia="en-US"/>
        </w:rPr>
        <w:t>N</w:t>
      </w:r>
      <w:r w:rsidR="0045122A" w:rsidRPr="00012C3F">
        <w:rPr>
          <w:rFonts w:eastAsia="MS Mincho" w:cs="Arial"/>
          <w:sz w:val="20"/>
          <w:lang w:val="en-US" w:eastAsia="en-US"/>
        </w:rPr>
        <w:t>o.</w:t>
      </w:r>
      <w:r w:rsidR="007A6CEA" w:rsidRPr="00012C3F">
        <w:rPr>
          <w:rFonts w:eastAsia="MS Mincho" w:cs="Arial"/>
          <w:sz w:val="20"/>
          <w:lang w:val="en-US" w:eastAsia="en-US"/>
        </w:rPr>
        <w:t xml:space="preserve"> 514/2006 </w:t>
      </w:r>
      <w:r w:rsidR="0045122A" w:rsidRPr="00012C3F">
        <w:rPr>
          <w:rFonts w:eastAsia="MS Mincho" w:cs="Arial"/>
          <w:sz w:val="20"/>
          <w:lang w:val="en-US" w:eastAsia="en-US"/>
        </w:rPr>
        <w:t>of August 23,</w:t>
      </w:r>
      <w:r w:rsidR="007A6CEA" w:rsidRPr="00012C3F">
        <w:rPr>
          <w:rFonts w:eastAsia="MS Mincho" w:cs="Arial"/>
          <w:sz w:val="20"/>
          <w:lang w:val="en-US" w:eastAsia="en-US"/>
        </w:rPr>
        <w:t xml:space="preserve"> 2006, </w:t>
      </w:r>
      <w:r w:rsidR="00C16DEA" w:rsidRPr="00012C3F">
        <w:rPr>
          <w:rFonts w:eastAsia="MS Mincho" w:cs="Arial"/>
          <w:sz w:val="20"/>
          <w:lang w:val="en-US" w:eastAsia="en-US"/>
        </w:rPr>
        <w:t xml:space="preserve">which </w:t>
      </w:r>
      <w:r w:rsidR="0045122A" w:rsidRPr="00012C3F">
        <w:rPr>
          <w:rFonts w:eastAsia="MS Mincho" w:cs="Arial"/>
          <w:sz w:val="20"/>
          <w:lang w:val="en-US" w:eastAsia="en-US"/>
        </w:rPr>
        <w:t>confirm</w:t>
      </w:r>
      <w:r w:rsidR="00C16DEA" w:rsidRPr="00012C3F">
        <w:rPr>
          <w:rFonts w:eastAsia="MS Mincho" w:cs="Arial"/>
          <w:sz w:val="20"/>
          <w:lang w:val="en-US" w:eastAsia="en-US"/>
        </w:rPr>
        <w:t>ed</w:t>
      </w:r>
      <w:r w:rsidR="0045122A" w:rsidRPr="00012C3F">
        <w:rPr>
          <w:rFonts w:eastAsia="MS Mincho" w:cs="Arial"/>
          <w:sz w:val="20"/>
          <w:lang w:val="en-US" w:eastAsia="en-US"/>
        </w:rPr>
        <w:t xml:space="preserve"> the decision declar</w:t>
      </w:r>
      <w:r w:rsidR="00C16DEA" w:rsidRPr="00012C3F">
        <w:rPr>
          <w:rFonts w:eastAsia="MS Mincho" w:cs="Arial"/>
          <w:sz w:val="20"/>
          <w:lang w:val="en-US" w:eastAsia="en-US"/>
        </w:rPr>
        <w:t>ing</w:t>
      </w:r>
      <w:r w:rsidR="0045122A" w:rsidRPr="00012C3F">
        <w:rPr>
          <w:rFonts w:eastAsia="MS Mincho" w:cs="Arial"/>
          <w:sz w:val="20"/>
          <w:lang w:val="en-US" w:eastAsia="en-US"/>
        </w:rPr>
        <w:t xml:space="preserve"> the extinction of the criminal proceedings against the doctor who </w:t>
      </w:r>
      <w:r w:rsidR="00A804C6" w:rsidRPr="00012C3F">
        <w:rPr>
          <w:rFonts w:eastAsia="MS Mincho" w:cs="Arial"/>
          <w:sz w:val="20"/>
          <w:lang w:val="en-US" w:eastAsia="en-US"/>
        </w:rPr>
        <w:t xml:space="preserve">had </w:t>
      </w:r>
      <w:r w:rsidR="0045122A" w:rsidRPr="00012C3F">
        <w:rPr>
          <w:rFonts w:eastAsia="MS Mincho" w:cs="Arial"/>
          <w:sz w:val="20"/>
          <w:lang w:val="en-US" w:eastAsia="en-US"/>
        </w:rPr>
        <w:t xml:space="preserve">performed the tubal ligation </w:t>
      </w:r>
      <w:r w:rsidR="00C3479F" w:rsidRPr="00012C3F">
        <w:rPr>
          <w:rFonts w:eastAsia="MS Mincho" w:cs="Arial"/>
          <w:sz w:val="20"/>
          <w:lang w:val="en-US" w:eastAsia="en-US"/>
        </w:rPr>
        <w:t>(</w:t>
      </w:r>
      <w:r w:rsidR="00C3479F" w:rsidRPr="00012C3F">
        <w:rPr>
          <w:rFonts w:eastAsia="MS Mincho" w:cs="Arial"/>
          <w:i/>
          <w:sz w:val="20"/>
          <w:lang w:val="en-US" w:eastAsia="en-US"/>
        </w:rPr>
        <w:t>infra</w:t>
      </w:r>
      <w:r w:rsidR="00C3479F" w:rsidRPr="00012C3F">
        <w:rPr>
          <w:rFonts w:eastAsia="MS Mincho" w:cs="Arial"/>
          <w:sz w:val="20"/>
          <w:lang w:val="en-US" w:eastAsia="en-US"/>
        </w:rPr>
        <w:t xml:space="preserve"> </w:t>
      </w:r>
      <w:r w:rsidR="00370DD4" w:rsidRPr="00012C3F">
        <w:rPr>
          <w:rFonts w:eastAsia="MS Mincho" w:cs="Arial"/>
          <w:sz w:val="20"/>
          <w:lang w:val="en-US" w:eastAsia="en-US"/>
        </w:rPr>
        <w:t>para.</w:t>
      </w:r>
      <w:r w:rsidR="00C3479F" w:rsidRPr="00012C3F">
        <w:rPr>
          <w:rFonts w:eastAsia="MS Mincho" w:cs="Arial"/>
          <w:sz w:val="20"/>
          <w:lang w:val="en-US" w:eastAsia="en-US"/>
        </w:rPr>
        <w:t xml:space="preserve"> </w:t>
      </w:r>
      <w:r w:rsidR="000775B9" w:rsidRPr="00012C3F">
        <w:rPr>
          <w:rFonts w:eastAsia="MS Mincho" w:cs="Arial"/>
          <w:sz w:val="20"/>
          <w:lang w:val="en-US" w:eastAsia="en-US"/>
        </w:rPr>
        <w:t>112)</w:t>
      </w:r>
      <w:r w:rsidR="000775B9" w:rsidRPr="00012C3F">
        <w:rPr>
          <w:rFonts w:eastAsia="Batang" w:cs="Arial"/>
          <w:iCs/>
          <w:sz w:val="20"/>
          <w:szCs w:val="20"/>
          <w:lang w:val="en-US" w:eastAsia="en-US"/>
        </w:rPr>
        <w:t xml:space="preserve">: </w:t>
      </w:r>
      <w:r w:rsidR="0045122A" w:rsidRPr="00012C3F">
        <w:rPr>
          <w:rFonts w:eastAsia="Batang" w:cs="Arial"/>
          <w:iCs/>
          <w:sz w:val="20"/>
          <w:szCs w:val="20"/>
          <w:lang w:val="en-US" w:eastAsia="en-US"/>
        </w:rPr>
        <w:t>the cassation</w:t>
      </w:r>
      <w:r w:rsidR="00C16DEA" w:rsidRPr="00012C3F">
        <w:rPr>
          <w:rFonts w:eastAsia="Batang" w:cs="Arial"/>
          <w:iCs/>
          <w:sz w:val="20"/>
          <w:szCs w:val="20"/>
          <w:lang w:val="en-US" w:eastAsia="en-US"/>
        </w:rPr>
        <w:t xml:space="preserve"> procedure</w:t>
      </w:r>
      <w:r w:rsidR="0045122A" w:rsidRPr="00012C3F">
        <w:rPr>
          <w:rFonts w:eastAsia="Batang" w:cs="Arial"/>
          <w:iCs/>
          <w:sz w:val="20"/>
          <w:szCs w:val="20"/>
          <w:lang w:val="en-US" w:eastAsia="en-US"/>
        </w:rPr>
        <w:t xml:space="preserve"> and the </w:t>
      </w:r>
      <w:r w:rsidR="00C16DEA" w:rsidRPr="00012C3F">
        <w:rPr>
          <w:rFonts w:eastAsia="Batang" w:cs="Arial"/>
          <w:iCs/>
          <w:sz w:val="20"/>
          <w:szCs w:val="20"/>
          <w:lang w:val="en-US" w:eastAsia="en-US"/>
        </w:rPr>
        <w:t xml:space="preserve">application for </w:t>
      </w:r>
      <w:r w:rsidR="0045122A" w:rsidRPr="00012C3F">
        <w:rPr>
          <w:rFonts w:eastAsia="Batang" w:cs="Arial"/>
          <w:iCs/>
          <w:sz w:val="20"/>
          <w:szCs w:val="20"/>
          <w:lang w:val="en-US" w:eastAsia="en-US"/>
        </w:rPr>
        <w:t xml:space="preserve">constitutional </w:t>
      </w:r>
      <w:r w:rsidR="0013059C" w:rsidRPr="00012C3F">
        <w:rPr>
          <w:rFonts w:eastAsia="Batang" w:cs="Arial"/>
          <w:iCs/>
          <w:sz w:val="20"/>
          <w:szCs w:val="20"/>
          <w:lang w:val="en-US" w:eastAsia="en-US"/>
        </w:rPr>
        <w:t>amparo (</w:t>
      </w:r>
      <w:r w:rsidR="001E71CE" w:rsidRPr="00012C3F">
        <w:rPr>
          <w:rFonts w:eastAsia="Batang" w:cs="Arial"/>
          <w:iCs/>
          <w:sz w:val="20"/>
          <w:szCs w:val="20"/>
          <w:lang w:val="en-US" w:eastAsia="en-US"/>
        </w:rPr>
        <w:t>protection)</w:t>
      </w:r>
      <w:r w:rsidR="0045122A" w:rsidRPr="00012C3F">
        <w:rPr>
          <w:rFonts w:eastAsia="Batang" w:cs="Arial"/>
          <w:iCs/>
          <w:sz w:val="20"/>
          <w:szCs w:val="20"/>
          <w:lang w:val="en-US" w:eastAsia="en-US"/>
        </w:rPr>
        <w:t>. The Court will now decide on the objections filed.</w:t>
      </w:r>
    </w:p>
    <w:p w14:paraId="490F502F" w14:textId="77777777" w:rsidR="00085BDD" w:rsidRPr="00012C3F" w:rsidRDefault="00085BDD" w:rsidP="00085BDD">
      <w:pPr>
        <w:widowControl/>
        <w:tabs>
          <w:tab w:val="left" w:pos="567"/>
        </w:tabs>
        <w:autoSpaceDE w:val="0"/>
        <w:autoSpaceDN w:val="0"/>
        <w:adjustRightInd/>
        <w:spacing w:line="240" w:lineRule="auto"/>
        <w:textAlignment w:val="auto"/>
        <w:rPr>
          <w:rFonts w:eastAsia="Batang" w:cs="Arial"/>
          <w:b/>
          <w:iCs/>
          <w:sz w:val="20"/>
          <w:szCs w:val="20"/>
          <w:lang w:val="en-US" w:eastAsia="en-US"/>
        </w:rPr>
      </w:pPr>
    </w:p>
    <w:p w14:paraId="6B83EE51" w14:textId="77777777" w:rsidR="006E5F5E" w:rsidRPr="00012C3F" w:rsidRDefault="006E5F5E" w:rsidP="006E5F5E">
      <w:pPr>
        <w:keepNext/>
        <w:keepLines/>
        <w:tabs>
          <w:tab w:val="left" w:pos="1134"/>
        </w:tabs>
        <w:spacing w:line="240" w:lineRule="auto"/>
        <w:ind w:left="567" w:firstLine="1"/>
        <w:outlineLvl w:val="1"/>
        <w:rPr>
          <w:rFonts w:eastAsia="MS Mincho"/>
          <w:b/>
          <w:bCs/>
          <w:i/>
          <w:sz w:val="20"/>
          <w:szCs w:val="20"/>
          <w:lang w:val="en-US"/>
        </w:rPr>
      </w:pPr>
      <w:bookmarkStart w:id="35" w:name="_Toc401931886"/>
      <w:bookmarkStart w:id="36" w:name="_Toc428369983"/>
      <w:bookmarkStart w:id="37" w:name="_Toc459158099"/>
      <w:bookmarkStart w:id="38" w:name="_Toc27486820"/>
      <w:r w:rsidRPr="00012C3F">
        <w:rPr>
          <w:rFonts w:eastAsia="MS Mincho"/>
          <w:b/>
          <w:bCs/>
          <w:i/>
          <w:sz w:val="20"/>
          <w:szCs w:val="20"/>
          <w:lang w:val="en-US"/>
        </w:rPr>
        <w:t>A.</w:t>
      </w:r>
      <w:r w:rsidRPr="00012C3F">
        <w:rPr>
          <w:rFonts w:eastAsia="MS Mincho"/>
          <w:b/>
          <w:bCs/>
          <w:i/>
          <w:sz w:val="20"/>
          <w:szCs w:val="20"/>
          <w:lang w:val="en-US"/>
        </w:rPr>
        <w:tab/>
      </w:r>
      <w:r w:rsidR="00F07D0C" w:rsidRPr="00012C3F">
        <w:rPr>
          <w:rFonts w:eastAsia="MS Mincho"/>
          <w:b/>
          <w:bCs/>
          <w:i/>
          <w:sz w:val="20"/>
          <w:szCs w:val="20"/>
          <w:lang w:val="en-US"/>
        </w:rPr>
        <w:t xml:space="preserve">Objection concerning the alleged lack of </w:t>
      </w:r>
      <w:r w:rsidR="00D24EFE">
        <w:rPr>
          <w:rFonts w:eastAsia="MS Mincho"/>
          <w:b/>
          <w:bCs/>
          <w:i/>
          <w:sz w:val="20"/>
          <w:szCs w:val="20"/>
          <w:lang w:val="en-US"/>
        </w:rPr>
        <w:t>jurisdiction ratione loci</w:t>
      </w:r>
      <w:bookmarkEnd w:id="35"/>
      <w:bookmarkEnd w:id="36"/>
      <w:bookmarkEnd w:id="37"/>
      <w:bookmarkEnd w:id="38"/>
    </w:p>
    <w:p w14:paraId="3F5A9210" w14:textId="77777777" w:rsidR="006E5F5E" w:rsidRPr="00012C3F" w:rsidRDefault="006E5F5E" w:rsidP="00CF0022">
      <w:pPr>
        <w:tabs>
          <w:tab w:val="left" w:pos="720"/>
        </w:tabs>
        <w:spacing w:line="240" w:lineRule="auto"/>
        <w:rPr>
          <w:bCs/>
          <w:sz w:val="20"/>
          <w:szCs w:val="20"/>
          <w:lang w:val="en-US"/>
        </w:rPr>
      </w:pPr>
    </w:p>
    <w:p w14:paraId="10A23460" w14:textId="77777777" w:rsidR="006E5F5E" w:rsidRPr="00012C3F" w:rsidRDefault="006E5F5E" w:rsidP="00CF0022">
      <w:pPr>
        <w:pStyle w:val="Ttulo2"/>
        <w:tabs>
          <w:tab w:val="left" w:pos="1701"/>
        </w:tabs>
        <w:spacing w:before="0" w:line="240" w:lineRule="auto"/>
        <w:ind w:left="1134"/>
        <w:rPr>
          <w:rFonts w:ascii="Verdana" w:hAnsi="Verdana"/>
          <w:b w:val="0"/>
          <w:i/>
          <w:color w:val="auto"/>
          <w:sz w:val="20"/>
          <w:szCs w:val="20"/>
          <w:lang w:val="en-US"/>
        </w:rPr>
      </w:pPr>
      <w:bookmarkStart w:id="39" w:name="_Toc459158100"/>
      <w:bookmarkStart w:id="40" w:name="_Toc27486821"/>
      <w:r w:rsidRPr="00012C3F">
        <w:rPr>
          <w:rFonts w:ascii="Verdana" w:hAnsi="Verdana"/>
          <w:b w:val="0"/>
          <w:i/>
          <w:color w:val="auto"/>
          <w:sz w:val="20"/>
          <w:szCs w:val="20"/>
          <w:lang w:val="en-US"/>
        </w:rPr>
        <w:t xml:space="preserve">A.1 </w:t>
      </w:r>
      <w:r w:rsidR="00CF0022" w:rsidRPr="00012C3F">
        <w:rPr>
          <w:rFonts w:ascii="Verdana" w:hAnsi="Verdana"/>
          <w:b w:val="0"/>
          <w:i/>
          <w:color w:val="auto"/>
          <w:sz w:val="20"/>
          <w:szCs w:val="20"/>
          <w:lang w:val="en-US"/>
        </w:rPr>
        <w:tab/>
      </w:r>
      <w:r w:rsidR="00F07D0C" w:rsidRPr="00012C3F">
        <w:rPr>
          <w:rFonts w:ascii="Verdana" w:hAnsi="Verdana"/>
          <w:b w:val="0"/>
          <w:i/>
          <w:color w:val="auto"/>
          <w:sz w:val="20"/>
          <w:szCs w:val="20"/>
          <w:lang w:val="en-US"/>
        </w:rPr>
        <w:t>Arguments of the State and observations</w:t>
      </w:r>
      <w:r w:rsidR="001254DE" w:rsidRPr="00012C3F">
        <w:rPr>
          <w:rFonts w:ascii="Verdana" w:hAnsi="Verdana"/>
          <w:b w:val="0"/>
          <w:i/>
          <w:color w:val="auto"/>
          <w:sz w:val="20"/>
          <w:szCs w:val="20"/>
          <w:lang w:val="en-US"/>
        </w:rPr>
        <w:t xml:space="preserve"> of the </w:t>
      </w:r>
      <w:r w:rsidR="00A84CA0" w:rsidRPr="00012C3F">
        <w:rPr>
          <w:rFonts w:ascii="Verdana" w:hAnsi="Verdana"/>
          <w:b w:val="0"/>
          <w:i/>
          <w:color w:val="auto"/>
          <w:sz w:val="20"/>
          <w:szCs w:val="20"/>
          <w:lang w:val="en-US"/>
        </w:rPr>
        <w:t>Commission</w:t>
      </w:r>
      <w:r w:rsidR="005E5012" w:rsidRPr="00012C3F">
        <w:rPr>
          <w:rFonts w:ascii="Verdana" w:hAnsi="Verdana"/>
          <w:b w:val="0"/>
          <w:i/>
          <w:color w:val="auto"/>
          <w:sz w:val="20"/>
          <w:szCs w:val="20"/>
          <w:lang w:val="en-US"/>
        </w:rPr>
        <w:t xml:space="preserve"> and </w:t>
      </w:r>
      <w:r w:rsidR="00972ACF" w:rsidRPr="00012C3F">
        <w:rPr>
          <w:rFonts w:ascii="Verdana" w:hAnsi="Verdana"/>
          <w:b w:val="0"/>
          <w:i/>
          <w:color w:val="auto"/>
          <w:sz w:val="20"/>
          <w:szCs w:val="20"/>
          <w:lang w:val="en-US"/>
        </w:rPr>
        <w:t>the representative</w:t>
      </w:r>
      <w:bookmarkEnd w:id="39"/>
      <w:bookmarkEnd w:id="40"/>
    </w:p>
    <w:p w14:paraId="39C00212" w14:textId="77777777" w:rsidR="006E5F5E" w:rsidRPr="00012C3F" w:rsidRDefault="006E5F5E" w:rsidP="00CF0022">
      <w:pPr>
        <w:tabs>
          <w:tab w:val="left" w:pos="720"/>
        </w:tabs>
        <w:spacing w:line="240" w:lineRule="auto"/>
        <w:rPr>
          <w:bCs/>
          <w:sz w:val="20"/>
          <w:szCs w:val="20"/>
          <w:lang w:val="en-US"/>
        </w:rPr>
      </w:pPr>
    </w:p>
    <w:p w14:paraId="161C330D" w14:textId="77777777" w:rsidR="007733E6" w:rsidRPr="00012C3F" w:rsidRDefault="00A84CA0" w:rsidP="004C6FCC">
      <w:pPr>
        <w:numPr>
          <w:ilvl w:val="0"/>
          <w:numId w:val="5"/>
        </w:numPr>
        <w:tabs>
          <w:tab w:val="left" w:pos="720"/>
          <w:tab w:val="num" w:pos="12305"/>
        </w:tabs>
        <w:spacing w:line="240" w:lineRule="auto"/>
        <w:ind w:left="0" w:firstLine="0"/>
        <w:rPr>
          <w:rFonts w:eastAsia="Calibri" w:cs="Arial"/>
          <w:sz w:val="20"/>
          <w:szCs w:val="20"/>
          <w:lang w:val="en-US" w:eastAsia="en-US"/>
        </w:rPr>
      </w:pPr>
      <w:r w:rsidRPr="00012C3F">
        <w:rPr>
          <w:rFonts w:cs="Verdana,Italic"/>
          <w:iCs/>
          <w:sz w:val="20"/>
          <w:lang w:val="en-US" w:eastAsia="en-US"/>
        </w:rPr>
        <w:t xml:space="preserve">The </w:t>
      </w:r>
      <w:r w:rsidRPr="00012C3F">
        <w:rPr>
          <w:rFonts w:cs="Verdana,Italic"/>
          <w:b/>
          <w:bCs/>
          <w:i/>
          <w:sz w:val="20"/>
          <w:lang w:val="en-US" w:eastAsia="en-US"/>
        </w:rPr>
        <w:t>State</w:t>
      </w:r>
      <w:r w:rsidR="00D05E7B" w:rsidRPr="00012C3F">
        <w:rPr>
          <w:rFonts w:eastAsia="Calibri" w:cs="Arial"/>
          <w:b/>
          <w:bCs/>
          <w:i/>
          <w:sz w:val="20"/>
          <w:szCs w:val="20"/>
          <w:lang w:val="en-US" w:eastAsia="en-US"/>
        </w:rPr>
        <w:t xml:space="preserve"> </w:t>
      </w:r>
      <w:r w:rsidR="0045122A" w:rsidRPr="00012C3F">
        <w:rPr>
          <w:rFonts w:eastAsia="Calibri" w:cs="Arial"/>
          <w:sz w:val="20"/>
          <w:szCs w:val="20"/>
          <w:lang w:val="en-US" w:eastAsia="en-US"/>
        </w:rPr>
        <w:t>filed</w:t>
      </w:r>
      <w:r w:rsidR="00D05E7B" w:rsidRPr="00012C3F">
        <w:rPr>
          <w:rFonts w:eastAsia="Calibri" w:cs="Arial"/>
          <w:sz w:val="20"/>
          <w:szCs w:val="20"/>
          <w:lang w:val="en-US" w:eastAsia="en-US"/>
        </w:rPr>
        <w:t xml:space="preserve"> </w:t>
      </w:r>
      <w:r w:rsidR="0045122A" w:rsidRPr="00012C3F">
        <w:rPr>
          <w:rFonts w:eastAsia="Calibri" w:cs="Arial"/>
          <w:sz w:val="20"/>
          <w:szCs w:val="20"/>
          <w:lang w:val="en-US" w:eastAsia="en-US"/>
        </w:rPr>
        <w:t>the preliminary objection</w:t>
      </w:r>
      <w:r w:rsidR="00A804C6" w:rsidRPr="00012C3F">
        <w:rPr>
          <w:rFonts w:eastAsia="Calibri" w:cs="Arial"/>
          <w:sz w:val="20"/>
          <w:szCs w:val="20"/>
          <w:lang w:val="en-US" w:eastAsia="en-US"/>
        </w:rPr>
        <w:t xml:space="preserve"> of</w:t>
      </w:r>
      <w:r w:rsidR="00D05E7B" w:rsidRPr="00012C3F">
        <w:rPr>
          <w:rFonts w:eastAsia="Calibri" w:cs="Arial"/>
          <w:sz w:val="20"/>
          <w:szCs w:val="20"/>
          <w:lang w:val="en-US" w:eastAsia="en-US"/>
        </w:rPr>
        <w:t xml:space="preserve"> </w:t>
      </w:r>
      <w:r w:rsidR="007733E6" w:rsidRPr="00012C3F">
        <w:rPr>
          <w:rFonts w:eastAsia="Calibri" w:cs="Arial"/>
          <w:sz w:val="20"/>
          <w:szCs w:val="20"/>
          <w:lang w:val="en-US" w:eastAsia="en-US"/>
        </w:rPr>
        <w:t xml:space="preserve">the Court’s lack of </w:t>
      </w:r>
      <w:r w:rsidR="00D24EFE">
        <w:rPr>
          <w:rFonts w:eastAsia="Calibri" w:cs="Arial"/>
          <w:sz w:val="20"/>
          <w:szCs w:val="20"/>
          <w:lang w:val="en-US" w:eastAsia="en-US"/>
        </w:rPr>
        <w:t xml:space="preserve">jurisdiction </w:t>
      </w:r>
      <w:r w:rsidR="00D24EFE" w:rsidRPr="00D24EFE">
        <w:rPr>
          <w:rFonts w:eastAsia="Calibri" w:cs="Arial"/>
          <w:i/>
          <w:iCs/>
          <w:sz w:val="20"/>
          <w:szCs w:val="20"/>
          <w:lang w:val="en-US" w:eastAsia="en-US"/>
        </w:rPr>
        <w:t>ratione loci</w:t>
      </w:r>
      <w:r w:rsidR="00D05E7B" w:rsidRPr="00012C3F">
        <w:rPr>
          <w:rFonts w:eastAsia="Calibri" w:cs="Arial"/>
          <w:sz w:val="20"/>
          <w:szCs w:val="20"/>
          <w:lang w:val="en-US" w:eastAsia="en-US"/>
        </w:rPr>
        <w:t xml:space="preserve"> </w:t>
      </w:r>
      <w:r w:rsidR="007733E6" w:rsidRPr="00012C3F">
        <w:rPr>
          <w:rFonts w:eastAsia="Calibri" w:cs="Arial"/>
          <w:sz w:val="20"/>
          <w:szCs w:val="20"/>
          <w:lang w:val="en-US" w:eastAsia="en-US"/>
        </w:rPr>
        <w:t>based on</w:t>
      </w:r>
      <w:r w:rsidR="00F47CE8" w:rsidRPr="00012C3F">
        <w:rPr>
          <w:rFonts w:eastAsia="Calibri" w:cs="Arial"/>
          <w:sz w:val="20"/>
          <w:szCs w:val="20"/>
          <w:lang w:val="en-US" w:eastAsia="en-US"/>
        </w:rPr>
        <w:t xml:space="preserve"> </w:t>
      </w:r>
      <w:r w:rsidR="001254DE" w:rsidRPr="00012C3F">
        <w:rPr>
          <w:rFonts w:eastAsia="Calibri" w:cs="Arial"/>
          <w:sz w:val="20"/>
          <w:szCs w:val="20"/>
          <w:lang w:val="en-US" w:eastAsia="en-US"/>
        </w:rPr>
        <w:t>Article</w:t>
      </w:r>
      <w:r w:rsidR="00F47CE8" w:rsidRPr="00012C3F">
        <w:rPr>
          <w:rFonts w:eastAsia="Calibri" w:cs="Arial"/>
          <w:sz w:val="20"/>
          <w:szCs w:val="20"/>
          <w:lang w:val="en-US" w:eastAsia="en-US"/>
        </w:rPr>
        <w:t xml:space="preserve"> 46</w:t>
      </w:r>
      <w:r w:rsidR="007733E6" w:rsidRPr="00012C3F">
        <w:rPr>
          <w:rFonts w:eastAsia="Calibri" w:cs="Arial"/>
          <w:sz w:val="20"/>
          <w:szCs w:val="20"/>
          <w:lang w:val="en-US" w:eastAsia="en-US"/>
        </w:rPr>
        <w:t>(</w:t>
      </w:r>
      <w:r w:rsidR="00F47CE8" w:rsidRPr="00012C3F">
        <w:rPr>
          <w:rFonts w:eastAsia="Calibri" w:cs="Arial"/>
          <w:sz w:val="20"/>
          <w:szCs w:val="20"/>
          <w:lang w:val="en-US" w:eastAsia="en-US"/>
        </w:rPr>
        <w:t>1</w:t>
      </w:r>
      <w:r w:rsidR="007733E6" w:rsidRPr="00012C3F">
        <w:rPr>
          <w:rFonts w:eastAsia="Calibri" w:cs="Arial"/>
          <w:sz w:val="20"/>
          <w:szCs w:val="20"/>
          <w:lang w:val="en-US" w:eastAsia="en-US"/>
        </w:rPr>
        <w:t>)(</w:t>
      </w:r>
      <w:r w:rsidR="00F47CE8" w:rsidRPr="00012C3F">
        <w:rPr>
          <w:rFonts w:eastAsia="Calibri" w:cs="Arial"/>
          <w:sz w:val="20"/>
          <w:szCs w:val="20"/>
          <w:lang w:val="en-US" w:eastAsia="en-US"/>
        </w:rPr>
        <w:t>a)</w:t>
      </w:r>
      <w:r w:rsidR="001254DE" w:rsidRPr="00012C3F">
        <w:rPr>
          <w:rFonts w:eastAsia="Calibri" w:cs="Arial"/>
          <w:sz w:val="20"/>
          <w:szCs w:val="20"/>
          <w:lang w:val="en-US" w:eastAsia="en-US"/>
        </w:rPr>
        <w:t xml:space="preserve"> of the Convention</w:t>
      </w:r>
      <w:r w:rsidR="00F47CE8" w:rsidRPr="00012C3F">
        <w:rPr>
          <w:rFonts w:eastAsia="Calibri" w:cs="Arial"/>
          <w:sz w:val="20"/>
          <w:szCs w:val="20"/>
          <w:lang w:val="en-US" w:eastAsia="en-US"/>
        </w:rPr>
        <w:t xml:space="preserve"> </w:t>
      </w:r>
      <w:r w:rsidR="007733E6" w:rsidRPr="00012C3F">
        <w:rPr>
          <w:rFonts w:eastAsia="Calibri" w:cs="Arial"/>
          <w:sz w:val="20"/>
          <w:szCs w:val="20"/>
          <w:lang w:val="en-US" w:eastAsia="en-US"/>
        </w:rPr>
        <w:t>in relation to the violation of the right not to be subjected to torture or to</w:t>
      </w:r>
      <w:r w:rsidR="00D05E7B" w:rsidRPr="00012C3F">
        <w:rPr>
          <w:rFonts w:eastAsia="Calibri" w:cs="Arial"/>
          <w:sz w:val="20"/>
          <w:szCs w:val="20"/>
          <w:lang w:val="en-US" w:eastAsia="en-US"/>
        </w:rPr>
        <w:t xml:space="preserve"> </w:t>
      </w:r>
      <w:r w:rsidR="007733E6" w:rsidRPr="00012C3F">
        <w:rPr>
          <w:rFonts w:eastAsia="Calibri" w:cs="Arial"/>
          <w:sz w:val="20"/>
          <w:szCs w:val="20"/>
          <w:lang w:val="en-US" w:eastAsia="en-US"/>
        </w:rPr>
        <w:t>cruel, inhuman or degrading treatment or punishment</w:t>
      </w:r>
      <w:r w:rsidR="00F47CE8" w:rsidRPr="00012C3F">
        <w:rPr>
          <w:rFonts w:eastAsia="Calibri" w:cs="Arial"/>
          <w:sz w:val="20"/>
          <w:szCs w:val="20"/>
          <w:lang w:val="en-US" w:eastAsia="en-US"/>
        </w:rPr>
        <w:t xml:space="preserve">, </w:t>
      </w:r>
      <w:r w:rsidR="007733E6" w:rsidRPr="00012C3F">
        <w:rPr>
          <w:rFonts w:eastAsia="Calibri" w:cs="Arial"/>
          <w:sz w:val="20"/>
          <w:szCs w:val="20"/>
          <w:lang w:val="en-US" w:eastAsia="en-US"/>
        </w:rPr>
        <w:t>recognized in</w:t>
      </w:r>
      <w:r w:rsidR="00F47CE8" w:rsidRPr="00012C3F">
        <w:rPr>
          <w:rFonts w:eastAsia="Calibri" w:cs="Arial"/>
          <w:sz w:val="20"/>
          <w:szCs w:val="20"/>
          <w:lang w:val="en-US" w:eastAsia="en-US"/>
        </w:rPr>
        <w:t xml:space="preserve"> </w:t>
      </w:r>
      <w:r w:rsidR="001254DE" w:rsidRPr="00012C3F">
        <w:rPr>
          <w:rFonts w:eastAsia="Calibri" w:cs="Arial"/>
          <w:sz w:val="20"/>
          <w:szCs w:val="20"/>
          <w:lang w:val="en-US" w:eastAsia="en-US"/>
        </w:rPr>
        <w:t>Article</w:t>
      </w:r>
      <w:r w:rsidR="00D05E7B" w:rsidRPr="00012C3F">
        <w:rPr>
          <w:rFonts w:eastAsia="Calibri" w:cs="Arial"/>
          <w:sz w:val="20"/>
          <w:szCs w:val="20"/>
          <w:lang w:val="en-US" w:eastAsia="en-US"/>
        </w:rPr>
        <w:t xml:space="preserve"> </w:t>
      </w:r>
      <w:r w:rsidR="00B257AF" w:rsidRPr="00012C3F">
        <w:rPr>
          <w:rFonts w:eastAsia="Calibri" w:cs="Arial"/>
          <w:sz w:val="20"/>
          <w:szCs w:val="20"/>
          <w:lang w:val="en-US" w:eastAsia="en-US"/>
        </w:rPr>
        <w:t>5(2)</w:t>
      </w:r>
      <w:r w:rsidR="001254DE" w:rsidRPr="00012C3F">
        <w:rPr>
          <w:rFonts w:eastAsia="Calibri" w:cs="Arial"/>
          <w:sz w:val="20"/>
          <w:szCs w:val="20"/>
          <w:lang w:val="en-US" w:eastAsia="en-US"/>
        </w:rPr>
        <w:t xml:space="preserve"> of the Convention</w:t>
      </w:r>
      <w:r w:rsidR="00A804C6" w:rsidRPr="00012C3F">
        <w:rPr>
          <w:rFonts w:eastAsia="Calibri" w:cs="Arial"/>
          <w:sz w:val="20"/>
          <w:szCs w:val="20"/>
          <w:lang w:val="en-US" w:eastAsia="en-US"/>
        </w:rPr>
        <w:t>,</w:t>
      </w:r>
      <w:r w:rsidR="003C4534" w:rsidRPr="00012C3F">
        <w:rPr>
          <w:rFonts w:eastAsia="Calibri" w:cs="Arial"/>
          <w:sz w:val="20"/>
          <w:szCs w:val="20"/>
          <w:lang w:val="en-US" w:eastAsia="en-US"/>
        </w:rPr>
        <w:t xml:space="preserve"> </w:t>
      </w:r>
      <w:r w:rsidR="007733E6" w:rsidRPr="00012C3F">
        <w:rPr>
          <w:rFonts w:eastAsia="Calibri" w:cs="Arial"/>
          <w:sz w:val="20"/>
          <w:szCs w:val="20"/>
          <w:lang w:val="en-US" w:eastAsia="en-US"/>
        </w:rPr>
        <w:t xml:space="preserve">because this had not occurred in the territory of </w:t>
      </w:r>
      <w:r w:rsidR="003C4534" w:rsidRPr="00012C3F">
        <w:rPr>
          <w:rFonts w:eastAsia="Calibri" w:cs="Arial"/>
          <w:sz w:val="20"/>
          <w:szCs w:val="20"/>
          <w:lang w:val="en-US" w:eastAsia="en-US"/>
        </w:rPr>
        <w:t>Bolivia</w:t>
      </w:r>
      <w:r w:rsidR="00D05E7B" w:rsidRPr="00012C3F">
        <w:rPr>
          <w:rFonts w:eastAsia="Calibri" w:cs="Arial"/>
          <w:sz w:val="20"/>
          <w:szCs w:val="20"/>
          <w:lang w:val="en-US" w:eastAsia="en-US"/>
        </w:rPr>
        <w:t xml:space="preserve">. </w:t>
      </w:r>
      <w:r w:rsidRPr="00012C3F">
        <w:rPr>
          <w:rFonts w:eastAsia="Calibri" w:cs="Arial"/>
          <w:sz w:val="20"/>
          <w:szCs w:val="20"/>
          <w:lang w:val="en-US" w:eastAsia="en-US"/>
        </w:rPr>
        <w:t>The State</w:t>
      </w:r>
      <w:r w:rsidR="00D05E7B" w:rsidRPr="00012C3F">
        <w:rPr>
          <w:rFonts w:eastAsia="Calibri" w:cs="Arial"/>
          <w:sz w:val="20"/>
          <w:szCs w:val="20"/>
          <w:lang w:val="en-US" w:eastAsia="en-US"/>
        </w:rPr>
        <w:t xml:space="preserve"> </w:t>
      </w:r>
      <w:r w:rsidR="007733E6" w:rsidRPr="00012C3F">
        <w:rPr>
          <w:rFonts w:eastAsia="Calibri" w:cs="Arial"/>
          <w:sz w:val="20"/>
          <w:szCs w:val="20"/>
          <w:lang w:val="en-US" w:eastAsia="en-US"/>
        </w:rPr>
        <w:t>argued that</w:t>
      </w:r>
      <w:r w:rsidR="00D05E7B" w:rsidRPr="00012C3F">
        <w:rPr>
          <w:rFonts w:eastAsia="Calibri" w:cs="Arial"/>
          <w:sz w:val="20"/>
          <w:szCs w:val="20"/>
          <w:lang w:val="en-US" w:eastAsia="en-US"/>
        </w:rPr>
        <w:t xml:space="preserve"> “</w:t>
      </w:r>
      <w:r w:rsidR="000E1C11" w:rsidRPr="00012C3F">
        <w:rPr>
          <w:rFonts w:eastAsia="Calibri" w:cs="Arial"/>
          <w:sz w:val="20"/>
          <w:szCs w:val="20"/>
          <w:lang w:val="en-US" w:eastAsia="en-US"/>
        </w:rPr>
        <w:t>I.V.</w:t>
      </w:r>
      <w:r w:rsidR="00D05E7B" w:rsidRPr="00012C3F">
        <w:rPr>
          <w:rFonts w:eastAsia="Calibri" w:cs="Arial"/>
          <w:sz w:val="20"/>
          <w:szCs w:val="20"/>
          <w:lang w:val="en-US" w:eastAsia="en-US"/>
        </w:rPr>
        <w:t xml:space="preserve"> </w:t>
      </w:r>
      <w:r w:rsidR="007733E6" w:rsidRPr="00012C3F">
        <w:rPr>
          <w:rFonts w:eastAsia="Calibri" w:cs="Arial"/>
          <w:sz w:val="20"/>
          <w:szCs w:val="20"/>
          <w:lang w:val="en-US" w:eastAsia="en-US"/>
        </w:rPr>
        <w:t>claimed, disregarding the</w:t>
      </w:r>
      <w:r w:rsidR="00A804C6" w:rsidRPr="00012C3F">
        <w:rPr>
          <w:rFonts w:eastAsia="Calibri" w:cs="Arial"/>
          <w:sz w:val="20"/>
          <w:szCs w:val="20"/>
          <w:lang w:val="en-US" w:eastAsia="en-US"/>
        </w:rPr>
        <w:t xml:space="preserve"> lack of connection between the facts</w:t>
      </w:r>
      <w:r w:rsidR="007733E6" w:rsidRPr="00012C3F">
        <w:rPr>
          <w:rFonts w:eastAsia="Calibri" w:cs="Arial"/>
          <w:sz w:val="20"/>
          <w:szCs w:val="20"/>
          <w:lang w:val="en-US" w:eastAsia="en-US"/>
        </w:rPr>
        <w:t xml:space="preserve">, to attribute </w:t>
      </w:r>
      <w:r w:rsidR="00A804C6" w:rsidRPr="00012C3F">
        <w:rPr>
          <w:rFonts w:eastAsia="Calibri" w:cs="Arial"/>
          <w:sz w:val="20"/>
          <w:szCs w:val="20"/>
          <w:lang w:val="en-US" w:eastAsia="en-US"/>
        </w:rPr>
        <w:t xml:space="preserve">to the Bolivian State </w:t>
      </w:r>
      <w:r w:rsidR="007733E6" w:rsidRPr="00012C3F">
        <w:rPr>
          <w:rFonts w:eastAsia="Calibri" w:cs="Arial"/>
          <w:sz w:val="20"/>
          <w:szCs w:val="20"/>
          <w:lang w:val="en-US" w:eastAsia="en-US"/>
        </w:rPr>
        <w:t xml:space="preserve">responsibility for </w:t>
      </w:r>
      <w:r w:rsidR="00A804C6" w:rsidRPr="00012C3F">
        <w:rPr>
          <w:rFonts w:eastAsia="Calibri" w:cs="Arial"/>
          <w:sz w:val="20"/>
          <w:szCs w:val="20"/>
          <w:lang w:val="en-US" w:eastAsia="en-US"/>
        </w:rPr>
        <w:t>acts</w:t>
      </w:r>
      <w:r w:rsidR="007733E6" w:rsidRPr="00012C3F">
        <w:rPr>
          <w:rFonts w:eastAsia="Calibri" w:cs="Arial"/>
          <w:sz w:val="20"/>
          <w:szCs w:val="20"/>
          <w:lang w:val="en-US" w:eastAsia="en-US"/>
        </w:rPr>
        <w:t xml:space="preserve"> and consequences that occurred in another country, thus contravening an elementary rule of liability, which is</w:t>
      </w:r>
      <w:r w:rsidR="00A804C6" w:rsidRPr="00012C3F">
        <w:rPr>
          <w:rFonts w:eastAsia="Calibri" w:cs="Arial"/>
          <w:sz w:val="20"/>
          <w:szCs w:val="20"/>
          <w:lang w:val="en-US" w:eastAsia="en-US"/>
        </w:rPr>
        <w:t xml:space="preserve"> that</w:t>
      </w:r>
      <w:r w:rsidR="007733E6" w:rsidRPr="00012C3F">
        <w:rPr>
          <w:rFonts w:eastAsia="Calibri" w:cs="Arial"/>
          <w:sz w:val="20"/>
          <w:szCs w:val="20"/>
          <w:lang w:val="en-US" w:eastAsia="en-US"/>
        </w:rPr>
        <w:t xml:space="preserve"> the entity responsible is the one that, based on the evidence, has any degree of responsibility.” In this regard, the State asserted that, “[…] regarding the supposed consequences of torture, I.V. has not been able to prove responsibility, </w:t>
      </w:r>
      <w:r w:rsidR="001E79BE" w:rsidRPr="00012C3F">
        <w:rPr>
          <w:rFonts w:eastAsia="Calibri" w:cs="Arial"/>
          <w:sz w:val="20"/>
          <w:szCs w:val="20"/>
          <w:lang w:val="en-US" w:eastAsia="en-US"/>
        </w:rPr>
        <w:t xml:space="preserve">which is </w:t>
      </w:r>
      <w:r w:rsidR="007733E6" w:rsidRPr="00012C3F">
        <w:rPr>
          <w:rFonts w:eastAsia="Calibri" w:cs="Arial"/>
          <w:sz w:val="20"/>
          <w:szCs w:val="20"/>
          <w:lang w:val="en-US" w:eastAsia="en-US"/>
        </w:rPr>
        <w:t xml:space="preserve">an argument that is pertinent, appropriate and evidently sufficient </w:t>
      </w:r>
      <w:r w:rsidR="001E79BE" w:rsidRPr="00012C3F">
        <w:rPr>
          <w:rFonts w:eastAsia="Calibri" w:cs="Arial"/>
          <w:sz w:val="20"/>
          <w:szCs w:val="20"/>
          <w:lang w:val="en-US" w:eastAsia="en-US"/>
        </w:rPr>
        <w:t xml:space="preserve">for the Court </w:t>
      </w:r>
      <w:r w:rsidR="007733E6" w:rsidRPr="00012C3F">
        <w:rPr>
          <w:rFonts w:eastAsia="Calibri" w:cs="Arial"/>
          <w:sz w:val="20"/>
          <w:szCs w:val="20"/>
          <w:lang w:val="en-US" w:eastAsia="en-US"/>
        </w:rPr>
        <w:t xml:space="preserve">to declare the admissibility of the objection </w:t>
      </w:r>
      <w:r w:rsidR="001E79BE" w:rsidRPr="00012C3F">
        <w:rPr>
          <w:rFonts w:eastAsia="Calibri" w:cs="Arial"/>
          <w:sz w:val="20"/>
          <w:szCs w:val="20"/>
          <w:lang w:val="en-US" w:eastAsia="en-US"/>
        </w:rPr>
        <w:t>concerning its</w:t>
      </w:r>
      <w:r w:rsidR="007733E6" w:rsidRPr="00012C3F">
        <w:rPr>
          <w:rFonts w:eastAsia="Calibri" w:cs="Arial"/>
          <w:sz w:val="20"/>
          <w:szCs w:val="20"/>
          <w:lang w:val="en-US" w:eastAsia="en-US"/>
        </w:rPr>
        <w:t xml:space="preserve"> lack of </w:t>
      </w:r>
      <w:r w:rsidR="00D24EFE">
        <w:rPr>
          <w:rFonts w:eastAsia="Calibri" w:cs="Arial"/>
          <w:sz w:val="20"/>
          <w:szCs w:val="20"/>
          <w:lang w:val="en-US" w:eastAsia="en-US"/>
        </w:rPr>
        <w:t>jurisdiction</w:t>
      </w:r>
      <w:r w:rsidR="007733E6" w:rsidRPr="00012C3F">
        <w:rPr>
          <w:rFonts w:eastAsia="Calibri" w:cs="Arial"/>
          <w:sz w:val="20"/>
          <w:szCs w:val="20"/>
          <w:lang w:val="en-US" w:eastAsia="en-US"/>
        </w:rPr>
        <w:t>, because Bolivia is not responsible for any</w:t>
      </w:r>
      <w:r w:rsidR="001E79BE" w:rsidRPr="00012C3F">
        <w:rPr>
          <w:rFonts w:eastAsia="Calibri" w:cs="Arial"/>
          <w:sz w:val="20"/>
          <w:szCs w:val="20"/>
          <w:lang w:val="en-US" w:eastAsia="en-US"/>
        </w:rPr>
        <w:t xml:space="preserve"> act of</w:t>
      </w:r>
      <w:r w:rsidR="007733E6" w:rsidRPr="00012C3F">
        <w:rPr>
          <w:rFonts w:eastAsia="Calibri" w:cs="Arial"/>
          <w:sz w:val="20"/>
          <w:szCs w:val="20"/>
          <w:lang w:val="en-US" w:eastAsia="en-US"/>
        </w:rPr>
        <w:t xml:space="preserve"> torture.” Lastly, the State indicated that “the trauma or consequences that affect I.V. […], were not the result of the </w:t>
      </w:r>
      <w:r w:rsidR="001E79BE" w:rsidRPr="00012C3F">
        <w:rPr>
          <w:rFonts w:eastAsia="Calibri" w:cs="Arial"/>
          <w:sz w:val="20"/>
          <w:szCs w:val="20"/>
          <w:lang w:val="en-US" w:eastAsia="en-US"/>
        </w:rPr>
        <w:t>procedure</w:t>
      </w:r>
      <w:r w:rsidR="007733E6" w:rsidRPr="00012C3F">
        <w:rPr>
          <w:rFonts w:eastAsia="Calibri" w:cs="Arial"/>
          <w:sz w:val="20"/>
          <w:szCs w:val="20"/>
          <w:lang w:val="en-US" w:eastAsia="en-US"/>
        </w:rPr>
        <w:t xml:space="preserve">, but of acts of torture </w:t>
      </w:r>
      <w:r w:rsidR="00D24EFE">
        <w:rPr>
          <w:rFonts w:eastAsia="Calibri" w:cs="Arial"/>
          <w:sz w:val="20"/>
          <w:szCs w:val="20"/>
          <w:lang w:val="en-US" w:eastAsia="en-US"/>
        </w:rPr>
        <w:t>which</w:t>
      </w:r>
      <w:r w:rsidR="007733E6" w:rsidRPr="00012C3F">
        <w:rPr>
          <w:rFonts w:eastAsia="Calibri" w:cs="Arial"/>
          <w:sz w:val="20"/>
          <w:szCs w:val="20"/>
          <w:lang w:val="en-US" w:eastAsia="en-US"/>
        </w:rPr>
        <w:t xml:space="preserve"> she alleges</w:t>
      </w:r>
      <w:r w:rsidR="00D24EFE">
        <w:rPr>
          <w:rFonts w:eastAsia="Calibri" w:cs="Arial"/>
          <w:sz w:val="20"/>
          <w:szCs w:val="20"/>
          <w:lang w:val="en-US" w:eastAsia="en-US"/>
        </w:rPr>
        <w:t xml:space="preserve"> that</w:t>
      </w:r>
      <w:r w:rsidR="007733E6" w:rsidRPr="00012C3F">
        <w:rPr>
          <w:rFonts w:eastAsia="Calibri" w:cs="Arial"/>
          <w:sz w:val="20"/>
          <w:szCs w:val="20"/>
          <w:lang w:val="en-US" w:eastAsia="en-US"/>
        </w:rPr>
        <w:t xml:space="preserve"> she suffered in Peru, a situation for which, the Bolivian State </w:t>
      </w:r>
      <w:r w:rsidR="001E79BE" w:rsidRPr="00012C3F">
        <w:rPr>
          <w:rFonts w:eastAsia="Calibri" w:cs="Arial"/>
          <w:sz w:val="20"/>
          <w:szCs w:val="20"/>
          <w:lang w:val="en-US" w:eastAsia="en-US"/>
        </w:rPr>
        <w:t>bears</w:t>
      </w:r>
      <w:r w:rsidR="007733E6" w:rsidRPr="00012C3F">
        <w:rPr>
          <w:rFonts w:eastAsia="Calibri" w:cs="Arial"/>
          <w:sz w:val="20"/>
          <w:szCs w:val="20"/>
          <w:lang w:val="en-US" w:eastAsia="en-US"/>
        </w:rPr>
        <w:t xml:space="preserve"> no responsibility.” </w:t>
      </w:r>
      <w:r w:rsidR="001E79BE" w:rsidRPr="00012C3F">
        <w:rPr>
          <w:rFonts w:eastAsia="Calibri" w:cs="Arial"/>
          <w:sz w:val="20"/>
          <w:szCs w:val="20"/>
          <w:lang w:val="en-US" w:eastAsia="en-US"/>
        </w:rPr>
        <w:t>The State</w:t>
      </w:r>
      <w:r w:rsidR="007733E6" w:rsidRPr="00012C3F">
        <w:rPr>
          <w:rFonts w:eastAsia="Calibri" w:cs="Arial"/>
          <w:sz w:val="20"/>
          <w:szCs w:val="20"/>
          <w:lang w:val="en-US" w:eastAsia="en-US"/>
        </w:rPr>
        <w:t xml:space="preserve"> therefore asked the Court to “declare that it </w:t>
      </w:r>
      <w:r w:rsidR="00D24EFE">
        <w:rPr>
          <w:rFonts w:eastAsia="Calibri" w:cs="Arial"/>
          <w:sz w:val="20"/>
          <w:szCs w:val="20"/>
          <w:lang w:val="en-US" w:eastAsia="en-US"/>
        </w:rPr>
        <w:t>did not have jurisdiction</w:t>
      </w:r>
      <w:r w:rsidR="007733E6" w:rsidRPr="00012C3F">
        <w:rPr>
          <w:rFonts w:eastAsia="Calibri" w:cs="Arial"/>
          <w:sz w:val="20"/>
          <w:szCs w:val="20"/>
          <w:lang w:val="en-US" w:eastAsia="en-US"/>
        </w:rPr>
        <w:t xml:space="preserve"> to examine the supposed violations alleged by the representatives, which were the result of acts that took place outside Bolivian territory.” In its final arguments, the State reaffirmed that the Court should refrain from declaring Bolivia responsible “for any act or any </w:t>
      </w:r>
      <w:r w:rsidR="00D24EFE">
        <w:rPr>
          <w:rFonts w:eastAsia="Calibri" w:cs="Arial"/>
          <w:sz w:val="20"/>
          <w:szCs w:val="20"/>
          <w:lang w:val="en-US" w:eastAsia="en-US"/>
        </w:rPr>
        <w:t>harm</w:t>
      </w:r>
      <w:r w:rsidR="007733E6" w:rsidRPr="00012C3F">
        <w:rPr>
          <w:rFonts w:eastAsia="Calibri" w:cs="Arial"/>
          <w:sz w:val="20"/>
          <w:szCs w:val="20"/>
          <w:lang w:val="en-US" w:eastAsia="en-US"/>
        </w:rPr>
        <w:t xml:space="preserve"> that was produced as a result of acts that took place in a foreign territory.” </w:t>
      </w:r>
    </w:p>
    <w:p w14:paraId="52DF2A46" w14:textId="77777777" w:rsidR="00D05E7B" w:rsidRPr="00012C3F" w:rsidRDefault="00D05E7B" w:rsidP="004C6FCC">
      <w:pPr>
        <w:widowControl/>
        <w:tabs>
          <w:tab w:val="left" w:pos="720"/>
        </w:tabs>
        <w:autoSpaceDE w:val="0"/>
        <w:autoSpaceDN w:val="0"/>
        <w:spacing w:line="240" w:lineRule="auto"/>
        <w:textAlignment w:val="auto"/>
        <w:rPr>
          <w:rFonts w:eastAsia="Calibri" w:cs="Arial"/>
          <w:sz w:val="20"/>
          <w:szCs w:val="20"/>
          <w:lang w:val="en-US" w:eastAsia="en-US"/>
        </w:rPr>
      </w:pPr>
    </w:p>
    <w:p w14:paraId="5665B43E" w14:textId="77777777" w:rsidR="00D05E7B" w:rsidRPr="00012C3F" w:rsidRDefault="007733E6" w:rsidP="004C6FCC">
      <w:pPr>
        <w:numPr>
          <w:ilvl w:val="0"/>
          <w:numId w:val="5"/>
        </w:numPr>
        <w:tabs>
          <w:tab w:val="left" w:pos="720"/>
          <w:tab w:val="num" w:pos="12305"/>
        </w:tabs>
        <w:spacing w:line="240" w:lineRule="auto"/>
        <w:ind w:left="0" w:firstLine="0"/>
        <w:rPr>
          <w:rFonts w:eastAsia="Calibri" w:cs="Cambria"/>
          <w:sz w:val="20"/>
          <w:szCs w:val="20"/>
          <w:lang w:val="en-US" w:eastAsia="en-US"/>
        </w:rPr>
      </w:pPr>
      <w:r w:rsidRPr="00012C3F">
        <w:rPr>
          <w:rFonts w:eastAsia="Calibri" w:cs="Arial"/>
          <w:sz w:val="20"/>
          <w:szCs w:val="20"/>
          <w:lang w:val="en-US" w:eastAsia="en-US"/>
        </w:rPr>
        <w:t>The</w:t>
      </w:r>
      <w:r w:rsidR="00D05E7B" w:rsidRPr="00012C3F">
        <w:rPr>
          <w:rFonts w:eastAsia="Calibri" w:cs="Arial"/>
          <w:sz w:val="20"/>
          <w:szCs w:val="20"/>
          <w:lang w:val="en-US" w:eastAsia="en-US"/>
        </w:rPr>
        <w:t xml:space="preserve"> </w:t>
      </w:r>
      <w:r w:rsidR="00D05E7B" w:rsidRPr="00012C3F">
        <w:rPr>
          <w:rFonts w:eastAsia="Calibri" w:cs="Arial"/>
          <w:b/>
          <w:i/>
          <w:sz w:val="20"/>
          <w:szCs w:val="20"/>
          <w:lang w:val="en-US" w:eastAsia="en-US"/>
        </w:rPr>
        <w:t>Com</w:t>
      </w:r>
      <w:r w:rsidRPr="00012C3F">
        <w:rPr>
          <w:rFonts w:eastAsia="Calibri" w:cs="Arial"/>
          <w:b/>
          <w:i/>
          <w:sz w:val="20"/>
          <w:szCs w:val="20"/>
          <w:lang w:val="en-US" w:eastAsia="en-US"/>
        </w:rPr>
        <w:t>missio</w:t>
      </w:r>
      <w:r w:rsidR="00D05E7B" w:rsidRPr="00012C3F">
        <w:rPr>
          <w:rFonts w:eastAsia="Calibri" w:cs="Arial"/>
          <w:b/>
          <w:i/>
          <w:sz w:val="20"/>
          <w:szCs w:val="20"/>
          <w:lang w:val="en-US" w:eastAsia="en-US"/>
        </w:rPr>
        <w:t>n</w:t>
      </w:r>
      <w:r w:rsidR="00D05E7B" w:rsidRPr="00012C3F">
        <w:rPr>
          <w:rFonts w:eastAsia="Calibri" w:cs="Arial"/>
          <w:sz w:val="20"/>
          <w:szCs w:val="20"/>
          <w:lang w:val="en-US" w:eastAsia="en-US"/>
        </w:rPr>
        <w:t xml:space="preserve"> </w:t>
      </w:r>
      <w:r w:rsidRPr="00012C3F">
        <w:rPr>
          <w:rFonts w:eastAsia="Calibri" w:cs="Arial"/>
          <w:sz w:val="20"/>
          <w:szCs w:val="20"/>
          <w:lang w:val="en-US" w:eastAsia="en-US"/>
        </w:rPr>
        <w:t xml:space="preserve">clarified that this </w:t>
      </w:r>
      <w:r w:rsidRPr="00012C3F">
        <w:rPr>
          <w:rFonts w:eastAsia="Calibri" w:cs="Cambria"/>
          <w:sz w:val="20"/>
          <w:szCs w:val="20"/>
          <w:lang w:val="en-US" w:eastAsia="en-US"/>
        </w:rPr>
        <w:t>preliminary objection</w:t>
      </w:r>
      <w:r w:rsidR="00D05E7B" w:rsidRPr="00012C3F">
        <w:rPr>
          <w:rFonts w:eastAsia="Calibri" w:cs="Cambria"/>
          <w:sz w:val="20"/>
          <w:szCs w:val="20"/>
          <w:lang w:val="en-US" w:eastAsia="en-US"/>
        </w:rPr>
        <w:t xml:space="preserve"> </w:t>
      </w:r>
      <w:r w:rsidR="001E79BE" w:rsidRPr="00012C3F">
        <w:rPr>
          <w:rFonts w:eastAsia="Calibri" w:cs="Cambria"/>
          <w:sz w:val="20"/>
          <w:szCs w:val="20"/>
          <w:lang w:val="en-US" w:eastAsia="en-US"/>
        </w:rPr>
        <w:t>was</w:t>
      </w:r>
      <w:r w:rsidRPr="00012C3F">
        <w:rPr>
          <w:rFonts w:eastAsia="Calibri" w:cs="Cambria"/>
          <w:sz w:val="20"/>
          <w:szCs w:val="20"/>
          <w:lang w:val="en-US" w:eastAsia="en-US"/>
        </w:rPr>
        <w:t xml:space="preserve"> not related to the contents of the </w:t>
      </w:r>
      <w:r w:rsidR="00E00902" w:rsidRPr="00012C3F">
        <w:rPr>
          <w:rFonts w:eastAsia="Calibri" w:cs="Cambria"/>
          <w:sz w:val="20"/>
          <w:szCs w:val="20"/>
          <w:lang w:val="en-US" w:eastAsia="en-US"/>
        </w:rPr>
        <w:t>Merits Report</w:t>
      </w:r>
      <w:r w:rsidR="009B2FB2" w:rsidRPr="00012C3F">
        <w:rPr>
          <w:rFonts w:eastAsia="Calibri" w:cs="Cambria"/>
          <w:sz w:val="20"/>
          <w:szCs w:val="20"/>
          <w:lang w:val="en-US" w:eastAsia="en-US"/>
        </w:rPr>
        <w:t xml:space="preserve">, </w:t>
      </w:r>
      <w:r w:rsidRPr="00012C3F">
        <w:rPr>
          <w:rFonts w:eastAsia="Calibri" w:cs="Cambria"/>
          <w:sz w:val="20"/>
          <w:szCs w:val="20"/>
          <w:lang w:val="en-US" w:eastAsia="en-US"/>
        </w:rPr>
        <w:t xml:space="preserve">but </w:t>
      </w:r>
      <w:r w:rsidR="001E79BE" w:rsidRPr="00012C3F">
        <w:rPr>
          <w:rFonts w:eastAsia="Calibri" w:cs="Cambria"/>
          <w:sz w:val="20"/>
          <w:szCs w:val="20"/>
          <w:lang w:val="en-US" w:eastAsia="en-US"/>
        </w:rPr>
        <w:t>was</w:t>
      </w:r>
      <w:r w:rsidRPr="00012C3F">
        <w:rPr>
          <w:rFonts w:eastAsia="Calibri" w:cs="Cambria"/>
          <w:sz w:val="20"/>
          <w:szCs w:val="20"/>
          <w:lang w:val="en-US" w:eastAsia="en-US"/>
        </w:rPr>
        <w:t xml:space="preserve"> </w:t>
      </w:r>
      <w:r w:rsidR="004C6FCC" w:rsidRPr="00012C3F">
        <w:rPr>
          <w:rFonts w:eastAsia="Calibri" w:cs="Cambria"/>
          <w:sz w:val="20"/>
          <w:szCs w:val="20"/>
          <w:lang w:val="en-US" w:eastAsia="en-US"/>
        </w:rPr>
        <w:t xml:space="preserve">limited </w:t>
      </w:r>
      <w:r w:rsidRPr="00012C3F">
        <w:rPr>
          <w:rFonts w:eastAsia="Calibri" w:cs="Cambria"/>
          <w:sz w:val="20"/>
          <w:szCs w:val="20"/>
          <w:lang w:val="en-US" w:eastAsia="en-US"/>
        </w:rPr>
        <w:t>exclusively to references made in the b</w:t>
      </w:r>
      <w:r w:rsidR="00972ACF" w:rsidRPr="00012C3F">
        <w:rPr>
          <w:rFonts w:eastAsia="Calibri" w:cs="Cambria"/>
          <w:sz w:val="20"/>
          <w:szCs w:val="20"/>
          <w:lang w:val="en-US" w:eastAsia="en-US"/>
        </w:rPr>
        <w:t>rief with motions, pleadings and evidence</w:t>
      </w:r>
      <w:r w:rsidR="00D05E7B" w:rsidRPr="00012C3F">
        <w:rPr>
          <w:rFonts w:eastAsia="Calibri" w:cs="Cambria"/>
          <w:sz w:val="20"/>
          <w:szCs w:val="20"/>
          <w:lang w:val="en-US" w:eastAsia="en-US"/>
        </w:rPr>
        <w:t xml:space="preserve"> </w:t>
      </w:r>
      <w:r w:rsidRPr="00012C3F">
        <w:rPr>
          <w:rFonts w:eastAsia="Calibri" w:cs="Cambria"/>
          <w:sz w:val="20"/>
          <w:szCs w:val="20"/>
          <w:lang w:val="en-US" w:eastAsia="en-US"/>
        </w:rPr>
        <w:t>by</w:t>
      </w:r>
      <w:r w:rsidR="00D05E7B" w:rsidRPr="00012C3F">
        <w:rPr>
          <w:rFonts w:eastAsia="Calibri" w:cs="Cambria"/>
          <w:sz w:val="20"/>
          <w:szCs w:val="20"/>
          <w:lang w:val="en-US" w:eastAsia="en-US"/>
        </w:rPr>
        <w:t xml:space="preserve"> </w:t>
      </w:r>
      <w:r w:rsidR="00972ACF" w:rsidRPr="00012C3F">
        <w:rPr>
          <w:rFonts w:eastAsia="Calibri" w:cs="Cambria"/>
          <w:sz w:val="20"/>
          <w:szCs w:val="20"/>
          <w:lang w:val="en-US" w:eastAsia="en-US"/>
        </w:rPr>
        <w:t xml:space="preserve">the </w:t>
      </w:r>
      <w:r w:rsidR="004C6FCC" w:rsidRPr="00012C3F">
        <w:rPr>
          <w:rFonts w:eastAsia="Calibri" w:cs="Cambria"/>
          <w:sz w:val="20"/>
          <w:szCs w:val="20"/>
          <w:lang w:val="en-US" w:eastAsia="en-US"/>
        </w:rPr>
        <w:t>presumed victim’s representative</w:t>
      </w:r>
      <w:r w:rsidR="00D05E7B" w:rsidRPr="00012C3F">
        <w:rPr>
          <w:rFonts w:eastAsia="Calibri" w:cs="Cambria"/>
          <w:sz w:val="20"/>
          <w:szCs w:val="20"/>
          <w:lang w:val="en-US" w:eastAsia="en-US"/>
        </w:rPr>
        <w:t xml:space="preserve">. </w:t>
      </w:r>
      <w:r w:rsidR="001E79BE" w:rsidRPr="00012C3F">
        <w:rPr>
          <w:rFonts w:eastAsia="Calibri" w:cs="Cambria"/>
          <w:sz w:val="20"/>
          <w:szCs w:val="20"/>
          <w:lang w:val="en-US" w:eastAsia="en-US"/>
        </w:rPr>
        <w:t>However</w:t>
      </w:r>
      <w:r w:rsidR="00D05E7B" w:rsidRPr="00012C3F">
        <w:rPr>
          <w:rFonts w:eastAsia="Calibri" w:cs="Cambria"/>
          <w:sz w:val="20"/>
          <w:szCs w:val="20"/>
          <w:lang w:val="en-US" w:eastAsia="en-US"/>
        </w:rPr>
        <w:t xml:space="preserve">, </w:t>
      </w:r>
      <w:r w:rsidR="004C6FCC" w:rsidRPr="00012C3F">
        <w:rPr>
          <w:rFonts w:eastAsia="Calibri" w:cs="Cambria"/>
          <w:sz w:val="20"/>
          <w:szCs w:val="20"/>
          <w:lang w:val="en-US" w:eastAsia="en-US"/>
        </w:rPr>
        <w:t>according to</w:t>
      </w:r>
      <w:r w:rsidR="009B2FB2" w:rsidRPr="00012C3F">
        <w:rPr>
          <w:rFonts w:eastAsia="Calibri" w:cs="Cambria"/>
          <w:sz w:val="20"/>
          <w:szCs w:val="20"/>
          <w:lang w:val="en-US" w:eastAsia="en-US"/>
        </w:rPr>
        <w:t xml:space="preserve"> </w:t>
      </w:r>
      <w:r w:rsidR="001254DE" w:rsidRPr="00012C3F">
        <w:rPr>
          <w:rFonts w:eastAsia="Calibri" w:cs="Cambria"/>
          <w:sz w:val="20"/>
          <w:szCs w:val="20"/>
          <w:lang w:val="en-US" w:eastAsia="en-US"/>
        </w:rPr>
        <w:t xml:space="preserve">the </w:t>
      </w:r>
      <w:r w:rsidR="00A84CA0" w:rsidRPr="00012C3F">
        <w:rPr>
          <w:rFonts w:eastAsia="Calibri" w:cs="Cambria"/>
          <w:sz w:val="20"/>
          <w:szCs w:val="20"/>
          <w:lang w:val="en-US" w:eastAsia="en-US"/>
        </w:rPr>
        <w:t>Commission</w:t>
      </w:r>
      <w:r w:rsidR="001E79BE" w:rsidRPr="00012C3F">
        <w:rPr>
          <w:rFonts w:eastAsia="Calibri" w:cs="Cambria"/>
          <w:sz w:val="20"/>
          <w:szCs w:val="20"/>
          <w:lang w:val="en-US" w:eastAsia="en-US"/>
        </w:rPr>
        <w:t>, those references “</w:t>
      </w:r>
      <w:r w:rsidR="004C6FCC" w:rsidRPr="00012C3F">
        <w:rPr>
          <w:rFonts w:eastAsia="Calibri" w:cs="Cambria"/>
          <w:sz w:val="20"/>
          <w:szCs w:val="20"/>
          <w:lang w:val="en-US" w:eastAsia="en-US"/>
        </w:rPr>
        <w:t xml:space="preserve">seek to provide information on other human rights violations suffered by I.V. before her forced sterilization, as background information and not </w:t>
      </w:r>
      <w:r w:rsidR="001E79BE" w:rsidRPr="00012C3F">
        <w:rPr>
          <w:rFonts w:eastAsia="Calibri" w:cs="Cambria"/>
          <w:sz w:val="20"/>
          <w:szCs w:val="20"/>
          <w:lang w:val="en-US" w:eastAsia="en-US"/>
        </w:rPr>
        <w:t>for</w:t>
      </w:r>
      <w:r w:rsidR="004C6FCC" w:rsidRPr="00012C3F">
        <w:rPr>
          <w:rFonts w:eastAsia="Calibri" w:cs="Cambria"/>
          <w:sz w:val="20"/>
          <w:szCs w:val="20"/>
          <w:lang w:val="en-US" w:eastAsia="en-US"/>
        </w:rPr>
        <w:t xml:space="preserve"> the purpose of deriving legal consequences with regard to the international responsibility of the </w:t>
      </w:r>
      <w:r w:rsidR="00A84CA0" w:rsidRPr="00012C3F">
        <w:rPr>
          <w:rFonts w:eastAsia="Calibri" w:cs="Cambria"/>
          <w:sz w:val="20"/>
          <w:szCs w:val="20"/>
          <w:lang w:val="en-US" w:eastAsia="en-US"/>
        </w:rPr>
        <w:t>State of Bolivia</w:t>
      </w:r>
      <w:r w:rsidR="00D05E7B" w:rsidRPr="00012C3F">
        <w:rPr>
          <w:rFonts w:eastAsia="Calibri" w:cs="Cambria"/>
          <w:sz w:val="20"/>
          <w:szCs w:val="20"/>
          <w:lang w:val="en-US" w:eastAsia="en-US"/>
        </w:rPr>
        <w:t xml:space="preserve"> </w:t>
      </w:r>
      <w:r w:rsidR="004C6FCC" w:rsidRPr="00012C3F">
        <w:rPr>
          <w:rFonts w:eastAsia="Calibri" w:cs="Cambria"/>
          <w:sz w:val="20"/>
          <w:szCs w:val="20"/>
          <w:lang w:val="en-US" w:eastAsia="en-US"/>
        </w:rPr>
        <w:t xml:space="preserve">for acts that took place under the jurisdiction of another State and that are not part of these international proceedings.” </w:t>
      </w:r>
      <w:r w:rsidR="001E79BE" w:rsidRPr="00012C3F">
        <w:rPr>
          <w:rFonts w:eastAsia="Calibri" w:cs="Cambria"/>
          <w:sz w:val="20"/>
          <w:szCs w:val="20"/>
          <w:lang w:val="en-US" w:eastAsia="en-US"/>
        </w:rPr>
        <w:t>The</w:t>
      </w:r>
      <w:r w:rsidR="001254DE" w:rsidRPr="00012C3F">
        <w:rPr>
          <w:rFonts w:eastAsia="Calibri" w:cs="Cambria"/>
          <w:sz w:val="20"/>
          <w:szCs w:val="20"/>
          <w:lang w:val="en-US" w:eastAsia="en-US"/>
        </w:rPr>
        <w:t xml:space="preserve"> </w:t>
      </w:r>
      <w:r w:rsidR="00A84CA0" w:rsidRPr="00012C3F">
        <w:rPr>
          <w:rFonts w:eastAsia="Calibri" w:cs="Cambria"/>
          <w:sz w:val="20"/>
          <w:szCs w:val="20"/>
          <w:lang w:val="en-US" w:eastAsia="en-US"/>
        </w:rPr>
        <w:t>Commission</w:t>
      </w:r>
      <w:r w:rsidR="00D05E7B" w:rsidRPr="00012C3F">
        <w:rPr>
          <w:rFonts w:eastAsia="Calibri" w:cs="Cambria"/>
          <w:sz w:val="20"/>
          <w:szCs w:val="20"/>
          <w:lang w:val="en-US" w:eastAsia="en-US"/>
        </w:rPr>
        <w:t xml:space="preserve"> consider</w:t>
      </w:r>
      <w:r w:rsidR="004C6FCC" w:rsidRPr="00012C3F">
        <w:rPr>
          <w:rFonts w:eastAsia="Calibri" w:cs="Cambria"/>
          <w:sz w:val="20"/>
          <w:szCs w:val="20"/>
          <w:lang w:val="en-US" w:eastAsia="en-US"/>
        </w:rPr>
        <w:t>ed appropriate that the Court take note of this background information, “only insofar as it is pertinent for a better understanding of the [presumed] victim, her circumstances</w:t>
      </w:r>
      <w:r w:rsidR="001E79BE" w:rsidRPr="00012C3F">
        <w:rPr>
          <w:rFonts w:eastAsia="Calibri" w:cs="Cambria"/>
          <w:sz w:val="20"/>
          <w:szCs w:val="20"/>
          <w:lang w:val="en-US" w:eastAsia="en-US"/>
        </w:rPr>
        <w:t xml:space="preserve">, </w:t>
      </w:r>
      <w:r w:rsidR="004C6FCC" w:rsidRPr="00012C3F">
        <w:rPr>
          <w:rFonts w:eastAsia="Calibri" w:cs="Cambria"/>
          <w:sz w:val="20"/>
          <w:szCs w:val="20"/>
          <w:lang w:val="en-US" w:eastAsia="en-US"/>
        </w:rPr>
        <w:t xml:space="preserve">and the effects of what did happen under the jurisdiction  of </w:t>
      </w:r>
      <w:r w:rsidR="004C6FCC" w:rsidRPr="00012C3F">
        <w:rPr>
          <w:rFonts w:eastAsia="Calibri" w:cs="Cambria"/>
          <w:sz w:val="20"/>
          <w:szCs w:val="20"/>
          <w:lang w:val="en-US" w:eastAsia="en-US"/>
        </w:rPr>
        <w:lastRenderedPageBreak/>
        <w:t xml:space="preserve">the </w:t>
      </w:r>
      <w:r w:rsidR="00A84CA0" w:rsidRPr="00012C3F">
        <w:rPr>
          <w:rFonts w:eastAsia="Calibri" w:cs="Cambria"/>
          <w:sz w:val="20"/>
          <w:szCs w:val="20"/>
          <w:lang w:val="en-US" w:eastAsia="en-US"/>
        </w:rPr>
        <w:t>State of Bolivia</w:t>
      </w:r>
      <w:r w:rsidR="00D05E7B" w:rsidRPr="00012C3F">
        <w:rPr>
          <w:rFonts w:eastAsia="Calibri" w:cs="Cambria"/>
          <w:sz w:val="20"/>
          <w:szCs w:val="20"/>
          <w:lang w:val="en-US" w:eastAsia="en-US"/>
        </w:rPr>
        <w:t xml:space="preserve"> </w:t>
      </w:r>
      <w:r w:rsidR="004C6FCC" w:rsidRPr="00012C3F">
        <w:rPr>
          <w:rFonts w:eastAsia="Calibri" w:cs="Cambria"/>
          <w:sz w:val="20"/>
          <w:szCs w:val="20"/>
          <w:lang w:val="en-US" w:eastAsia="en-US"/>
        </w:rPr>
        <w:t>as a foreign</w:t>
      </w:r>
      <w:r w:rsidR="001E79BE" w:rsidRPr="00012C3F">
        <w:rPr>
          <w:rFonts w:eastAsia="Calibri" w:cs="Cambria"/>
          <w:sz w:val="20"/>
          <w:szCs w:val="20"/>
          <w:lang w:val="en-US" w:eastAsia="en-US"/>
        </w:rPr>
        <w:t>er</w:t>
      </w:r>
      <w:r w:rsidR="004C6FCC" w:rsidRPr="00012C3F">
        <w:rPr>
          <w:rFonts w:eastAsia="Calibri" w:cs="Cambria"/>
          <w:sz w:val="20"/>
          <w:szCs w:val="20"/>
          <w:lang w:val="en-US" w:eastAsia="en-US"/>
        </w:rPr>
        <w:t xml:space="preserve"> with numerous factors</w:t>
      </w:r>
      <w:r w:rsidR="001E79BE" w:rsidRPr="00012C3F">
        <w:rPr>
          <w:rFonts w:eastAsia="Calibri" w:cs="Cambria"/>
          <w:sz w:val="20"/>
          <w:szCs w:val="20"/>
          <w:lang w:val="en-US" w:eastAsia="en-US"/>
        </w:rPr>
        <w:t xml:space="preserve"> that contributed to her vulnerability</w:t>
      </w:r>
      <w:r w:rsidR="004C6FCC" w:rsidRPr="00012C3F">
        <w:rPr>
          <w:rFonts w:eastAsia="Calibri" w:cs="Cambria"/>
          <w:sz w:val="20"/>
          <w:szCs w:val="20"/>
          <w:lang w:val="en-US" w:eastAsia="en-US"/>
        </w:rPr>
        <w:t xml:space="preserve"> before, during and after the facts described in the </w:t>
      </w:r>
      <w:r w:rsidR="00E00902" w:rsidRPr="00012C3F">
        <w:rPr>
          <w:rFonts w:eastAsia="Calibri" w:cs="Cambria"/>
          <w:sz w:val="20"/>
          <w:szCs w:val="20"/>
          <w:lang w:val="en-US" w:eastAsia="en-US"/>
        </w:rPr>
        <w:t>Merits Report</w:t>
      </w:r>
      <w:r w:rsidR="004C6FCC" w:rsidRPr="00012C3F">
        <w:rPr>
          <w:rFonts w:eastAsia="Calibri" w:cs="Cambria"/>
          <w:sz w:val="20"/>
          <w:szCs w:val="20"/>
          <w:lang w:val="en-US" w:eastAsia="en-US"/>
        </w:rPr>
        <w:t>.</w:t>
      </w:r>
      <w:r w:rsidR="00D05E7B" w:rsidRPr="00012C3F">
        <w:rPr>
          <w:rFonts w:eastAsia="Calibri" w:cs="Cambria"/>
          <w:sz w:val="20"/>
          <w:szCs w:val="20"/>
          <w:lang w:val="en-US" w:eastAsia="en-US"/>
        </w:rPr>
        <w:t>”</w:t>
      </w:r>
    </w:p>
    <w:p w14:paraId="16C08F2F" w14:textId="77777777" w:rsidR="00D05E7B" w:rsidRPr="00012C3F" w:rsidRDefault="00D05E7B" w:rsidP="00D05E7B">
      <w:pPr>
        <w:widowControl/>
        <w:autoSpaceDE w:val="0"/>
        <w:autoSpaceDN w:val="0"/>
        <w:spacing w:line="240" w:lineRule="auto"/>
        <w:textAlignment w:val="auto"/>
        <w:rPr>
          <w:rFonts w:eastAsia="Calibri" w:cs="Arial"/>
          <w:sz w:val="20"/>
          <w:szCs w:val="20"/>
          <w:lang w:val="en-US" w:eastAsia="en-US"/>
        </w:rPr>
      </w:pPr>
    </w:p>
    <w:p w14:paraId="7441BDAF" w14:textId="77777777" w:rsidR="00D05E7B" w:rsidRPr="00012C3F" w:rsidRDefault="00972ACF" w:rsidP="004C6FCC">
      <w:pPr>
        <w:numPr>
          <w:ilvl w:val="0"/>
          <w:numId w:val="5"/>
        </w:numPr>
        <w:tabs>
          <w:tab w:val="left" w:pos="720"/>
          <w:tab w:val="num" w:pos="12305"/>
        </w:tabs>
        <w:spacing w:line="240" w:lineRule="auto"/>
        <w:ind w:left="0" w:firstLine="0"/>
        <w:rPr>
          <w:rFonts w:eastAsia="Calibri" w:cs="Arial"/>
          <w:sz w:val="20"/>
          <w:szCs w:val="20"/>
          <w:lang w:val="en-US" w:eastAsia="en-US"/>
        </w:rPr>
      </w:pPr>
      <w:r w:rsidRPr="00012C3F">
        <w:rPr>
          <w:rFonts w:eastAsia="Calibri" w:cs="Arial"/>
          <w:sz w:val="20"/>
          <w:szCs w:val="20"/>
          <w:lang w:val="en-US" w:eastAsia="en-US"/>
        </w:rPr>
        <w:t xml:space="preserve">The </w:t>
      </w:r>
      <w:r w:rsidR="004C6FCC" w:rsidRPr="00012C3F">
        <w:rPr>
          <w:rFonts w:eastAsia="Calibri" w:cs="Arial"/>
          <w:sz w:val="20"/>
          <w:szCs w:val="20"/>
          <w:lang w:val="en-US" w:eastAsia="en-US"/>
        </w:rPr>
        <w:t xml:space="preserve">presumed victim’s </w:t>
      </w:r>
      <w:r w:rsidR="004C6FCC" w:rsidRPr="00012C3F">
        <w:rPr>
          <w:rFonts w:eastAsia="Calibri" w:cs="Arial"/>
          <w:b/>
          <w:bCs/>
          <w:i/>
          <w:iCs/>
          <w:sz w:val="20"/>
          <w:szCs w:val="20"/>
          <w:lang w:val="en-US" w:eastAsia="en-US"/>
        </w:rPr>
        <w:t>representative</w:t>
      </w:r>
      <w:r w:rsidR="00D05E7B" w:rsidRPr="00012C3F">
        <w:rPr>
          <w:rFonts w:eastAsia="Calibri" w:cs="Arial"/>
          <w:sz w:val="20"/>
          <w:szCs w:val="20"/>
          <w:lang w:val="en-US" w:eastAsia="en-US"/>
        </w:rPr>
        <w:t xml:space="preserve"> </w:t>
      </w:r>
      <w:r w:rsidR="004C6FCC" w:rsidRPr="00012C3F">
        <w:rPr>
          <w:rFonts w:eastAsia="Calibri" w:cs="Arial"/>
          <w:sz w:val="20"/>
          <w:szCs w:val="20"/>
          <w:lang w:val="en-US" w:eastAsia="en-US"/>
        </w:rPr>
        <w:t xml:space="preserve">indicated that </w:t>
      </w:r>
      <w:r w:rsidR="00D05E7B" w:rsidRPr="00012C3F">
        <w:rPr>
          <w:rFonts w:eastAsia="Calibri" w:cs="Arial"/>
          <w:sz w:val="20"/>
          <w:szCs w:val="20"/>
          <w:lang w:val="en-US" w:eastAsia="en-US"/>
        </w:rPr>
        <w:t>“[</w:t>
      </w:r>
      <w:r w:rsidR="004C6FCC" w:rsidRPr="00012C3F">
        <w:rPr>
          <w:rFonts w:eastAsia="Calibri" w:cs="Arial"/>
          <w:sz w:val="20"/>
          <w:szCs w:val="20"/>
          <w:lang w:val="en-US" w:eastAsia="en-US"/>
        </w:rPr>
        <w:t>i</w:t>
      </w:r>
      <w:r w:rsidR="00D05E7B" w:rsidRPr="00012C3F">
        <w:rPr>
          <w:rFonts w:eastAsia="Calibri" w:cs="Arial"/>
          <w:sz w:val="20"/>
          <w:szCs w:val="20"/>
          <w:lang w:val="en-US" w:eastAsia="en-US"/>
        </w:rPr>
        <w:t>]</w:t>
      </w:r>
      <w:r w:rsidR="004C6FCC" w:rsidRPr="00012C3F">
        <w:rPr>
          <w:rFonts w:eastAsia="Calibri" w:cs="Arial"/>
          <w:sz w:val="20"/>
          <w:szCs w:val="20"/>
          <w:lang w:val="en-US" w:eastAsia="en-US"/>
        </w:rPr>
        <w:t xml:space="preserve">t would appear that there is confusion on the part of the </w:t>
      </w:r>
      <w:r w:rsidR="00A84CA0" w:rsidRPr="00012C3F">
        <w:rPr>
          <w:rFonts w:eastAsia="Calibri" w:cs="Arial"/>
          <w:sz w:val="20"/>
          <w:szCs w:val="20"/>
          <w:lang w:val="en-US" w:eastAsia="en-US"/>
        </w:rPr>
        <w:t>Bolivian State</w:t>
      </w:r>
      <w:r w:rsidR="00D05E7B" w:rsidRPr="00012C3F">
        <w:rPr>
          <w:rFonts w:eastAsia="Calibri" w:cs="Arial"/>
          <w:sz w:val="20"/>
          <w:szCs w:val="20"/>
          <w:lang w:val="en-US" w:eastAsia="en-US"/>
        </w:rPr>
        <w:t xml:space="preserve"> </w:t>
      </w:r>
      <w:r w:rsidR="004C6FCC" w:rsidRPr="00012C3F">
        <w:rPr>
          <w:rFonts w:eastAsia="Calibri" w:cs="Arial"/>
          <w:sz w:val="20"/>
          <w:szCs w:val="20"/>
          <w:lang w:val="en-US" w:eastAsia="en-US"/>
        </w:rPr>
        <w:t>when it argues that the representatives</w:t>
      </w:r>
      <w:r w:rsidR="00D05E7B" w:rsidRPr="00012C3F">
        <w:rPr>
          <w:rFonts w:eastAsia="Calibri" w:cs="Arial"/>
          <w:sz w:val="20"/>
          <w:szCs w:val="20"/>
          <w:lang w:val="en-US" w:eastAsia="en-US"/>
        </w:rPr>
        <w:t xml:space="preserve"> </w:t>
      </w:r>
      <w:r w:rsidR="004C6FCC" w:rsidRPr="00012C3F">
        <w:rPr>
          <w:rFonts w:eastAsia="Calibri" w:cs="Arial"/>
          <w:sz w:val="20"/>
          <w:szCs w:val="20"/>
          <w:lang w:val="en-US" w:eastAsia="en-US"/>
        </w:rPr>
        <w:t xml:space="preserve">are claiming that the Court </w:t>
      </w:r>
      <w:r w:rsidR="00F95960" w:rsidRPr="00012C3F">
        <w:rPr>
          <w:rFonts w:eastAsia="Calibri" w:cs="Arial"/>
          <w:sz w:val="20"/>
          <w:szCs w:val="20"/>
          <w:lang w:val="en-US" w:eastAsia="en-US"/>
        </w:rPr>
        <w:t>[…]</w:t>
      </w:r>
      <w:r w:rsidR="00D05E7B" w:rsidRPr="00012C3F">
        <w:rPr>
          <w:rFonts w:eastAsia="Calibri" w:cs="Arial"/>
          <w:sz w:val="20"/>
          <w:szCs w:val="20"/>
          <w:lang w:val="en-US" w:eastAsia="en-US"/>
        </w:rPr>
        <w:t xml:space="preserve"> s</w:t>
      </w:r>
      <w:r w:rsidR="004C6FCC" w:rsidRPr="00012C3F">
        <w:rPr>
          <w:rFonts w:eastAsia="Calibri" w:cs="Arial"/>
          <w:sz w:val="20"/>
          <w:szCs w:val="20"/>
          <w:lang w:val="en-US" w:eastAsia="en-US"/>
        </w:rPr>
        <w:t xml:space="preserve">hould rule on </w:t>
      </w:r>
      <w:r w:rsidR="001E79BE" w:rsidRPr="00012C3F">
        <w:rPr>
          <w:rFonts w:eastAsia="Calibri" w:cs="Arial"/>
          <w:sz w:val="20"/>
          <w:szCs w:val="20"/>
          <w:lang w:val="en-US" w:eastAsia="en-US"/>
        </w:rPr>
        <w:t xml:space="preserve">the </w:t>
      </w:r>
      <w:r w:rsidR="004C6FCC" w:rsidRPr="00012C3F">
        <w:rPr>
          <w:rFonts w:eastAsia="Calibri" w:cs="Arial"/>
          <w:sz w:val="20"/>
          <w:szCs w:val="20"/>
          <w:lang w:val="en-US" w:eastAsia="en-US"/>
        </w:rPr>
        <w:t xml:space="preserve">torture and cruel, inhuman or degrading treatment that I.V. did indeed suffer in Peru before moving to Bolivia where she was granted refugee status based precisely on the persecution and human rights violations that she had suffered in the neighboring country.” She added that, the events that took place in Peru were not part of the case, and that her arguments in relation to </w:t>
      </w:r>
      <w:r w:rsidR="001254DE" w:rsidRPr="00012C3F">
        <w:rPr>
          <w:rFonts w:eastAsia="Calibri" w:cs="Arial"/>
          <w:sz w:val="20"/>
          <w:szCs w:val="20"/>
          <w:lang w:val="en-US" w:eastAsia="en-US"/>
        </w:rPr>
        <w:t>Article</w:t>
      </w:r>
      <w:r w:rsidR="00E12B07" w:rsidRPr="00012C3F">
        <w:rPr>
          <w:rFonts w:eastAsia="Calibri" w:cs="Arial"/>
          <w:sz w:val="20"/>
          <w:szCs w:val="20"/>
          <w:lang w:val="en-US" w:eastAsia="en-US"/>
        </w:rPr>
        <w:t xml:space="preserve"> </w:t>
      </w:r>
      <w:r w:rsidR="005E5012" w:rsidRPr="00012C3F">
        <w:rPr>
          <w:rFonts w:eastAsia="Calibri" w:cs="Arial"/>
          <w:sz w:val="20"/>
          <w:szCs w:val="20"/>
          <w:lang w:val="en-US" w:eastAsia="en-US"/>
        </w:rPr>
        <w:t xml:space="preserve">5(1) and </w:t>
      </w:r>
      <w:r w:rsidR="00B257AF" w:rsidRPr="00012C3F">
        <w:rPr>
          <w:rFonts w:eastAsia="Calibri" w:cs="Arial"/>
          <w:sz w:val="20"/>
          <w:szCs w:val="20"/>
          <w:lang w:val="en-US" w:eastAsia="en-US"/>
        </w:rPr>
        <w:t>5(2)</w:t>
      </w:r>
      <w:r w:rsidR="001254DE" w:rsidRPr="00012C3F">
        <w:rPr>
          <w:rFonts w:eastAsia="Calibri" w:cs="Arial"/>
          <w:sz w:val="20"/>
          <w:szCs w:val="20"/>
          <w:lang w:val="en-US" w:eastAsia="en-US"/>
        </w:rPr>
        <w:t xml:space="preserve"> of the Convention</w:t>
      </w:r>
      <w:r w:rsidR="00E12B07" w:rsidRPr="00012C3F">
        <w:rPr>
          <w:rFonts w:eastAsia="Calibri" w:cs="Arial"/>
          <w:sz w:val="20"/>
          <w:szCs w:val="20"/>
          <w:lang w:val="en-US" w:eastAsia="en-US"/>
        </w:rPr>
        <w:t xml:space="preserve"> </w:t>
      </w:r>
      <w:r w:rsidR="00D05E7B" w:rsidRPr="00012C3F">
        <w:rPr>
          <w:rFonts w:eastAsia="Calibri" w:cs="Arial"/>
          <w:sz w:val="20"/>
          <w:szCs w:val="20"/>
          <w:lang w:val="en-US" w:eastAsia="en-US"/>
        </w:rPr>
        <w:t>“</w:t>
      </w:r>
      <w:r w:rsidR="004C6FCC" w:rsidRPr="00012C3F">
        <w:rPr>
          <w:rFonts w:eastAsia="Calibri" w:cs="Arial"/>
          <w:sz w:val="20"/>
          <w:szCs w:val="20"/>
          <w:lang w:val="en-US" w:eastAsia="en-US"/>
        </w:rPr>
        <w:t xml:space="preserve">refer to violations that I.V. suffered in Bolivian territory, as of July 1, </w:t>
      </w:r>
      <w:r w:rsidR="00D05E7B" w:rsidRPr="00012C3F">
        <w:rPr>
          <w:rFonts w:eastAsia="Calibri" w:cs="Arial"/>
          <w:sz w:val="20"/>
          <w:szCs w:val="20"/>
          <w:lang w:val="en-US" w:eastAsia="en-US"/>
        </w:rPr>
        <w:t>2000; viola</w:t>
      </w:r>
      <w:r w:rsidR="004C6FCC" w:rsidRPr="00012C3F">
        <w:rPr>
          <w:rFonts w:eastAsia="Calibri" w:cs="Arial"/>
          <w:sz w:val="20"/>
          <w:szCs w:val="20"/>
          <w:lang w:val="en-US" w:eastAsia="en-US"/>
        </w:rPr>
        <w:t xml:space="preserve">tions [that were allegedly] perpetrated by a medical team of Bolivian public servants and that took place in a Bolivian public hospital.” In this regard, </w:t>
      </w:r>
      <w:r w:rsidRPr="00012C3F">
        <w:rPr>
          <w:rFonts w:eastAsia="Calibri" w:cs="Arial"/>
          <w:sz w:val="20"/>
          <w:szCs w:val="20"/>
          <w:lang w:val="en-US" w:eastAsia="en-US"/>
        </w:rPr>
        <w:t>the representative</w:t>
      </w:r>
      <w:r w:rsidR="00D05E7B" w:rsidRPr="00012C3F">
        <w:rPr>
          <w:rFonts w:eastAsia="Calibri" w:cs="Arial"/>
          <w:sz w:val="20"/>
          <w:szCs w:val="20"/>
          <w:lang w:val="en-US" w:eastAsia="en-US"/>
        </w:rPr>
        <w:t xml:space="preserve"> </w:t>
      </w:r>
      <w:r w:rsidR="004C6FCC" w:rsidRPr="00012C3F">
        <w:rPr>
          <w:rFonts w:eastAsia="Calibri" w:cs="Arial"/>
          <w:sz w:val="20"/>
          <w:szCs w:val="20"/>
          <w:lang w:val="en-US" w:eastAsia="en-US"/>
        </w:rPr>
        <w:t>clarified that “[a]ll the arguments that [she had submitted] o</w:t>
      </w:r>
      <w:r w:rsidR="001E79BE" w:rsidRPr="00012C3F">
        <w:rPr>
          <w:rFonts w:eastAsia="Calibri" w:cs="Arial"/>
          <w:sz w:val="20"/>
          <w:szCs w:val="20"/>
          <w:lang w:val="en-US" w:eastAsia="en-US"/>
        </w:rPr>
        <w:t>n</w:t>
      </w:r>
      <w:r w:rsidR="004C6FCC" w:rsidRPr="00012C3F">
        <w:rPr>
          <w:rFonts w:eastAsia="Calibri" w:cs="Arial"/>
          <w:sz w:val="20"/>
          <w:szCs w:val="20"/>
          <w:lang w:val="en-US" w:eastAsia="en-US"/>
        </w:rPr>
        <w:t xml:space="preserve"> the violations of </w:t>
      </w:r>
      <w:r w:rsidR="001E79BE" w:rsidRPr="00012C3F">
        <w:rPr>
          <w:rFonts w:eastAsia="Calibri" w:cs="Arial"/>
          <w:sz w:val="20"/>
          <w:szCs w:val="20"/>
          <w:lang w:val="en-US" w:eastAsia="en-US"/>
        </w:rPr>
        <w:t>I.V.’s</w:t>
      </w:r>
      <w:r w:rsidR="004C6FCC" w:rsidRPr="00012C3F">
        <w:rPr>
          <w:rFonts w:eastAsia="Calibri" w:cs="Arial"/>
          <w:sz w:val="20"/>
          <w:szCs w:val="20"/>
          <w:lang w:val="en-US" w:eastAsia="en-US"/>
        </w:rPr>
        <w:t xml:space="preserve"> rights related to acts, omission</w:t>
      </w:r>
      <w:r w:rsidR="001E79BE" w:rsidRPr="00012C3F">
        <w:rPr>
          <w:rFonts w:eastAsia="Calibri" w:cs="Arial"/>
          <w:sz w:val="20"/>
          <w:szCs w:val="20"/>
          <w:lang w:val="en-US" w:eastAsia="en-US"/>
        </w:rPr>
        <w:t>s</w:t>
      </w:r>
      <w:r w:rsidR="004C6FCC" w:rsidRPr="00012C3F">
        <w:rPr>
          <w:rFonts w:eastAsia="Calibri" w:cs="Arial"/>
          <w:sz w:val="20"/>
          <w:szCs w:val="20"/>
          <w:lang w:val="en-US" w:eastAsia="en-US"/>
        </w:rPr>
        <w:t xml:space="preserve"> and </w:t>
      </w:r>
      <w:r w:rsidR="001E79BE" w:rsidRPr="00012C3F">
        <w:rPr>
          <w:rFonts w:eastAsia="Calibri" w:cs="Arial"/>
          <w:sz w:val="20"/>
          <w:szCs w:val="20"/>
          <w:lang w:val="en-US" w:eastAsia="en-US"/>
        </w:rPr>
        <w:t xml:space="preserve">a </w:t>
      </w:r>
      <w:r w:rsidR="004C6FCC" w:rsidRPr="00012C3F">
        <w:rPr>
          <w:rFonts w:eastAsia="Calibri" w:cs="Arial"/>
          <w:sz w:val="20"/>
          <w:szCs w:val="20"/>
          <w:lang w:val="en-US" w:eastAsia="en-US"/>
        </w:rPr>
        <w:t xml:space="preserve">lack of diligence of the Bolivian, </w:t>
      </w:r>
      <w:r w:rsidR="001E79BE" w:rsidRPr="00012C3F">
        <w:rPr>
          <w:rFonts w:eastAsia="Calibri" w:cs="Arial"/>
          <w:sz w:val="20"/>
          <w:szCs w:val="20"/>
          <w:lang w:val="en-US" w:eastAsia="en-US"/>
        </w:rPr>
        <w:t xml:space="preserve">and </w:t>
      </w:r>
      <w:r w:rsidR="004C6FCC" w:rsidRPr="00012C3F">
        <w:rPr>
          <w:rFonts w:eastAsia="Calibri" w:cs="Arial"/>
          <w:sz w:val="20"/>
          <w:szCs w:val="20"/>
          <w:lang w:val="en-US" w:eastAsia="en-US"/>
        </w:rPr>
        <w:t>not the Peruvian, public entities, public servants (doctors) and agents of justice, and they took place on Bol</w:t>
      </w:r>
      <w:r w:rsidR="007E06C9" w:rsidRPr="00012C3F">
        <w:rPr>
          <w:rFonts w:eastAsia="Calibri" w:cs="Arial"/>
          <w:sz w:val="20"/>
          <w:szCs w:val="20"/>
          <w:lang w:val="en-US" w:eastAsia="en-US"/>
        </w:rPr>
        <w:t>i</w:t>
      </w:r>
      <w:r w:rsidR="004C6FCC" w:rsidRPr="00012C3F">
        <w:rPr>
          <w:rFonts w:eastAsia="Calibri" w:cs="Arial"/>
          <w:sz w:val="20"/>
          <w:szCs w:val="20"/>
          <w:lang w:val="en-US" w:eastAsia="en-US"/>
        </w:rPr>
        <w:t xml:space="preserve">vian soil.” Lastly, </w:t>
      </w:r>
      <w:r w:rsidRPr="00012C3F">
        <w:rPr>
          <w:rFonts w:eastAsia="Calibri" w:cs="Arial"/>
          <w:sz w:val="20"/>
          <w:szCs w:val="20"/>
          <w:lang w:val="en-US" w:eastAsia="en-US"/>
        </w:rPr>
        <w:t>the representative</w:t>
      </w:r>
      <w:r w:rsidR="00D05E7B" w:rsidRPr="00012C3F">
        <w:rPr>
          <w:rFonts w:eastAsia="Calibri" w:cs="Arial"/>
          <w:sz w:val="20"/>
          <w:szCs w:val="20"/>
          <w:lang w:val="en-US" w:eastAsia="en-US"/>
        </w:rPr>
        <w:t xml:space="preserve"> </w:t>
      </w:r>
      <w:r w:rsidR="004C6FCC" w:rsidRPr="00012C3F">
        <w:rPr>
          <w:rFonts w:eastAsia="Calibri" w:cs="Arial"/>
          <w:sz w:val="20"/>
          <w:szCs w:val="20"/>
          <w:lang w:val="en-US" w:eastAsia="en-US"/>
        </w:rPr>
        <w:t>asked</w:t>
      </w:r>
      <w:r w:rsidR="00D05E7B" w:rsidRPr="00012C3F">
        <w:rPr>
          <w:rFonts w:eastAsia="Calibri" w:cs="Arial"/>
          <w:sz w:val="20"/>
          <w:szCs w:val="20"/>
          <w:lang w:val="en-US" w:eastAsia="en-US"/>
        </w:rPr>
        <w:t xml:space="preserve"> </w:t>
      </w:r>
      <w:r w:rsidR="001254DE" w:rsidRPr="00012C3F">
        <w:rPr>
          <w:rFonts w:eastAsia="Calibri" w:cs="Arial"/>
          <w:sz w:val="20"/>
          <w:szCs w:val="20"/>
          <w:lang w:val="en-US" w:eastAsia="en-US"/>
        </w:rPr>
        <w:t>the Court</w:t>
      </w:r>
      <w:r w:rsidR="00D05E7B" w:rsidRPr="00012C3F">
        <w:rPr>
          <w:rFonts w:eastAsia="Calibri" w:cs="Arial"/>
          <w:sz w:val="20"/>
          <w:szCs w:val="20"/>
          <w:lang w:val="en-US" w:eastAsia="en-US"/>
        </w:rPr>
        <w:t xml:space="preserve"> </w:t>
      </w:r>
      <w:r w:rsidR="004C6FCC" w:rsidRPr="00012C3F">
        <w:rPr>
          <w:rFonts w:eastAsia="Calibri" w:cs="Arial"/>
          <w:sz w:val="20"/>
          <w:szCs w:val="20"/>
          <w:lang w:val="en-US" w:eastAsia="en-US"/>
        </w:rPr>
        <w:t>to reject this</w:t>
      </w:r>
      <w:r w:rsidR="00D05E7B" w:rsidRPr="00012C3F">
        <w:rPr>
          <w:rFonts w:eastAsia="Calibri" w:cs="Arial"/>
          <w:sz w:val="20"/>
          <w:szCs w:val="20"/>
          <w:lang w:val="en-US" w:eastAsia="en-US"/>
        </w:rPr>
        <w:t xml:space="preserve"> </w:t>
      </w:r>
      <w:r w:rsidR="007733E6" w:rsidRPr="00012C3F">
        <w:rPr>
          <w:rFonts w:eastAsia="Calibri" w:cs="Arial"/>
          <w:sz w:val="20"/>
          <w:szCs w:val="20"/>
          <w:lang w:val="en-US" w:eastAsia="en-US"/>
        </w:rPr>
        <w:t>preliminary objection</w:t>
      </w:r>
      <w:r w:rsidR="00D05E7B" w:rsidRPr="00012C3F">
        <w:rPr>
          <w:rFonts w:eastAsia="Calibri" w:cs="Arial"/>
          <w:sz w:val="20"/>
          <w:szCs w:val="20"/>
          <w:lang w:val="en-US" w:eastAsia="en-US"/>
        </w:rPr>
        <w:t>.</w:t>
      </w:r>
    </w:p>
    <w:p w14:paraId="1916EAF2" w14:textId="77777777" w:rsidR="00D05E7B" w:rsidRPr="00012C3F" w:rsidRDefault="00D05E7B" w:rsidP="006E5F5E">
      <w:pPr>
        <w:widowControl/>
        <w:tabs>
          <w:tab w:val="left" w:pos="567"/>
        </w:tabs>
        <w:autoSpaceDE w:val="0"/>
        <w:autoSpaceDN w:val="0"/>
        <w:adjustRightInd/>
        <w:spacing w:line="240" w:lineRule="auto"/>
        <w:ind w:left="708" w:hanging="708"/>
        <w:textAlignment w:val="auto"/>
        <w:rPr>
          <w:sz w:val="20"/>
          <w:lang w:val="en-US"/>
        </w:rPr>
      </w:pPr>
    </w:p>
    <w:p w14:paraId="1F400FDF" w14:textId="77777777" w:rsidR="006E5F5E" w:rsidRPr="00012C3F" w:rsidRDefault="006E5F5E" w:rsidP="00CF0022">
      <w:pPr>
        <w:pStyle w:val="Ttulo2"/>
        <w:tabs>
          <w:tab w:val="left" w:pos="1701"/>
        </w:tabs>
        <w:spacing w:before="0" w:line="240" w:lineRule="auto"/>
        <w:ind w:left="1134"/>
        <w:rPr>
          <w:rFonts w:ascii="Verdana" w:hAnsi="Verdana"/>
          <w:b w:val="0"/>
          <w:i/>
          <w:color w:val="auto"/>
          <w:sz w:val="20"/>
          <w:szCs w:val="20"/>
          <w:lang w:val="en-US"/>
        </w:rPr>
      </w:pPr>
      <w:bookmarkStart w:id="41" w:name="_Toc401931885"/>
      <w:bookmarkStart w:id="42" w:name="_Toc428369982"/>
      <w:bookmarkStart w:id="43" w:name="_Toc459158101"/>
      <w:bookmarkStart w:id="44" w:name="_Toc27486822"/>
      <w:r w:rsidRPr="00012C3F">
        <w:rPr>
          <w:rFonts w:ascii="Verdana" w:hAnsi="Verdana"/>
          <w:b w:val="0"/>
          <w:i/>
          <w:color w:val="auto"/>
          <w:sz w:val="20"/>
          <w:szCs w:val="20"/>
          <w:lang w:val="en-US"/>
        </w:rPr>
        <w:t xml:space="preserve">A.2 </w:t>
      </w:r>
      <w:r w:rsidR="00CF0022" w:rsidRPr="00012C3F">
        <w:rPr>
          <w:rFonts w:ascii="Verdana" w:hAnsi="Verdana"/>
          <w:b w:val="0"/>
          <w:i/>
          <w:color w:val="auto"/>
          <w:sz w:val="20"/>
          <w:szCs w:val="20"/>
          <w:lang w:val="en-US"/>
        </w:rPr>
        <w:tab/>
      </w:r>
      <w:r w:rsidR="006C705C" w:rsidRPr="00012C3F">
        <w:rPr>
          <w:rFonts w:ascii="Verdana" w:hAnsi="Verdana"/>
          <w:b w:val="0"/>
          <w:i/>
          <w:color w:val="auto"/>
          <w:sz w:val="20"/>
          <w:szCs w:val="20"/>
          <w:lang w:val="en-US"/>
        </w:rPr>
        <w:t>Considerations</w:t>
      </w:r>
      <w:r w:rsidR="001254DE" w:rsidRPr="00012C3F">
        <w:rPr>
          <w:rFonts w:ascii="Verdana" w:hAnsi="Verdana"/>
          <w:b w:val="0"/>
          <w:i/>
          <w:color w:val="auto"/>
          <w:sz w:val="20"/>
          <w:szCs w:val="20"/>
          <w:lang w:val="en-US"/>
        </w:rPr>
        <w:t xml:space="preserve"> of the Court</w:t>
      </w:r>
      <w:bookmarkEnd w:id="41"/>
      <w:bookmarkEnd w:id="42"/>
      <w:bookmarkEnd w:id="43"/>
      <w:bookmarkEnd w:id="44"/>
    </w:p>
    <w:p w14:paraId="77AD9C33" w14:textId="77777777" w:rsidR="006E5F5E" w:rsidRPr="00012C3F" w:rsidRDefault="006E5F5E" w:rsidP="00CB178D">
      <w:pPr>
        <w:widowControl/>
        <w:tabs>
          <w:tab w:val="left" w:pos="567"/>
        </w:tabs>
        <w:autoSpaceDE w:val="0"/>
        <w:autoSpaceDN w:val="0"/>
        <w:adjustRightInd/>
        <w:spacing w:line="240" w:lineRule="auto"/>
        <w:textAlignment w:val="auto"/>
        <w:rPr>
          <w:bCs/>
          <w:sz w:val="20"/>
          <w:szCs w:val="20"/>
          <w:lang w:val="en-US"/>
        </w:rPr>
      </w:pPr>
    </w:p>
    <w:p w14:paraId="5A4E4796" w14:textId="77777777" w:rsidR="005161F4" w:rsidRPr="00012C3F" w:rsidRDefault="005161F4" w:rsidP="005161F4">
      <w:pPr>
        <w:widowControl/>
        <w:numPr>
          <w:ilvl w:val="0"/>
          <w:numId w:val="5"/>
        </w:numPr>
        <w:tabs>
          <w:tab w:val="left" w:pos="720"/>
          <w:tab w:val="num" w:pos="12305"/>
        </w:tabs>
        <w:autoSpaceDE w:val="0"/>
        <w:autoSpaceDN w:val="0"/>
        <w:adjustRightInd/>
        <w:spacing w:line="240" w:lineRule="auto"/>
        <w:ind w:left="0" w:firstLine="0"/>
        <w:textAlignment w:val="auto"/>
        <w:rPr>
          <w:bCs/>
          <w:sz w:val="20"/>
          <w:szCs w:val="20"/>
          <w:lang w:val="en-US"/>
        </w:rPr>
      </w:pPr>
      <w:r w:rsidRPr="00012C3F">
        <w:rPr>
          <w:sz w:val="20"/>
          <w:szCs w:val="20"/>
          <w:lang w:val="en-US"/>
        </w:rPr>
        <w:t>Regarding</w:t>
      </w:r>
      <w:r w:rsidR="00496EE1" w:rsidRPr="00012C3F">
        <w:rPr>
          <w:sz w:val="20"/>
          <w:szCs w:val="20"/>
          <w:lang w:val="en-US"/>
        </w:rPr>
        <w:t xml:space="preserve"> </w:t>
      </w:r>
      <w:r w:rsidR="00972ACF" w:rsidRPr="00012C3F">
        <w:rPr>
          <w:sz w:val="20"/>
          <w:szCs w:val="20"/>
          <w:lang w:val="en-US"/>
        </w:rPr>
        <w:t>the representative</w:t>
      </w:r>
      <w:r w:rsidRPr="00012C3F">
        <w:rPr>
          <w:sz w:val="20"/>
          <w:szCs w:val="20"/>
          <w:lang w:val="en-US"/>
        </w:rPr>
        <w:t xml:space="preserve">’s arguments in relation to the possible violation of </w:t>
      </w:r>
      <w:r w:rsidR="001254DE" w:rsidRPr="00012C3F">
        <w:rPr>
          <w:sz w:val="20"/>
          <w:szCs w:val="20"/>
          <w:lang w:val="en-US"/>
        </w:rPr>
        <w:t>Article</w:t>
      </w:r>
      <w:r w:rsidR="00496EE1" w:rsidRPr="00012C3F">
        <w:rPr>
          <w:sz w:val="20"/>
          <w:szCs w:val="20"/>
          <w:lang w:val="en-US"/>
        </w:rPr>
        <w:t xml:space="preserve"> </w:t>
      </w:r>
      <w:r w:rsidR="00B257AF" w:rsidRPr="00012C3F">
        <w:rPr>
          <w:sz w:val="20"/>
          <w:szCs w:val="20"/>
          <w:lang w:val="en-US"/>
        </w:rPr>
        <w:t>5(2)</w:t>
      </w:r>
      <w:r w:rsidR="001254DE" w:rsidRPr="00012C3F">
        <w:rPr>
          <w:sz w:val="20"/>
          <w:szCs w:val="20"/>
          <w:lang w:val="en-US"/>
        </w:rPr>
        <w:t xml:space="preserve"> of the Convention</w:t>
      </w:r>
      <w:r w:rsidR="00496EE1" w:rsidRPr="00012C3F">
        <w:rPr>
          <w:sz w:val="20"/>
          <w:szCs w:val="20"/>
          <w:lang w:val="en-US"/>
        </w:rPr>
        <w:t xml:space="preserve">, </w:t>
      </w:r>
      <w:r w:rsidRPr="00012C3F">
        <w:rPr>
          <w:sz w:val="20"/>
          <w:szCs w:val="20"/>
          <w:lang w:val="en-US"/>
        </w:rPr>
        <w:t xml:space="preserve">their purpose is for the Court to rule on whether the tubal ligation </w:t>
      </w:r>
      <w:r w:rsidR="001E79BE" w:rsidRPr="00012C3F">
        <w:rPr>
          <w:sz w:val="20"/>
          <w:szCs w:val="20"/>
          <w:lang w:val="en-US"/>
        </w:rPr>
        <w:t>procedure</w:t>
      </w:r>
      <w:r w:rsidRPr="00012C3F">
        <w:rPr>
          <w:sz w:val="20"/>
          <w:szCs w:val="20"/>
          <w:lang w:val="en-US"/>
        </w:rPr>
        <w:t xml:space="preserve"> performed on I.V. in a public hospital of the Plurinational State of Bolivia constituted an act or torture or, at least, cruel or inhuman treatment. The Court notes that, in this case, the representative has not argued possible violations of</w:t>
      </w:r>
      <w:r w:rsidRPr="00012C3F">
        <w:rPr>
          <w:bCs/>
          <w:sz w:val="20"/>
          <w:szCs w:val="20"/>
          <w:lang w:val="en-US"/>
        </w:rPr>
        <w:t xml:space="preserve"> </w:t>
      </w:r>
      <w:r w:rsidR="001254DE" w:rsidRPr="00012C3F">
        <w:rPr>
          <w:rFonts w:eastAsia="Calibri" w:cs="Arial"/>
          <w:sz w:val="20"/>
          <w:szCs w:val="20"/>
          <w:lang w:val="en-US" w:eastAsia="en-US"/>
        </w:rPr>
        <w:t>the American Convention</w:t>
      </w:r>
      <w:r w:rsidR="001826D8" w:rsidRPr="00012C3F">
        <w:rPr>
          <w:rFonts w:eastAsia="Calibri" w:cs="Arial"/>
          <w:sz w:val="20"/>
          <w:szCs w:val="20"/>
          <w:lang w:val="en-US" w:eastAsia="en-US"/>
        </w:rPr>
        <w:t xml:space="preserve"> </w:t>
      </w:r>
      <w:r w:rsidRPr="00012C3F">
        <w:rPr>
          <w:rFonts w:eastAsia="Calibri" w:cs="Arial"/>
          <w:sz w:val="20"/>
          <w:szCs w:val="20"/>
          <w:lang w:val="en-US" w:eastAsia="en-US"/>
        </w:rPr>
        <w:t xml:space="preserve">that took place in Peru, a country that is not a defendant in this case. Therefore, the Court affirms its </w:t>
      </w:r>
      <w:r w:rsidR="00D24EFE">
        <w:rPr>
          <w:rFonts w:eastAsia="Calibri" w:cs="Arial"/>
          <w:sz w:val="20"/>
          <w:szCs w:val="20"/>
          <w:lang w:val="en-US" w:eastAsia="en-US"/>
        </w:rPr>
        <w:t xml:space="preserve">jurisdiction </w:t>
      </w:r>
      <w:r w:rsidR="00D24EFE" w:rsidRPr="00D24EFE">
        <w:rPr>
          <w:rFonts w:eastAsia="Calibri" w:cs="Arial"/>
          <w:i/>
          <w:iCs/>
          <w:sz w:val="20"/>
          <w:szCs w:val="20"/>
          <w:lang w:val="en-US" w:eastAsia="en-US"/>
        </w:rPr>
        <w:t>ratione loci</w:t>
      </w:r>
      <w:r w:rsidRPr="00012C3F">
        <w:rPr>
          <w:rFonts w:eastAsia="MS Mincho"/>
          <w:iCs/>
          <w:sz w:val="20"/>
          <w:szCs w:val="20"/>
          <w:lang w:val="en-US"/>
        </w:rPr>
        <w:t xml:space="preserve"> to hear this case, because the act that gave rise to the alleged international responsibility of the State for the violation of the rights recognized in </w:t>
      </w:r>
      <w:r w:rsidRPr="00012C3F">
        <w:rPr>
          <w:rFonts w:eastAsia="Calibri" w:cs="Arial"/>
          <w:sz w:val="20"/>
          <w:szCs w:val="20"/>
          <w:lang w:val="en-US" w:eastAsia="en-US"/>
        </w:rPr>
        <w:t xml:space="preserve">the American Convention and other applicable treaties, consisting in the tubal ligation </w:t>
      </w:r>
      <w:r w:rsidR="001E79BE" w:rsidRPr="00012C3F">
        <w:rPr>
          <w:rFonts w:eastAsia="Calibri" w:cs="Arial"/>
          <w:sz w:val="20"/>
          <w:szCs w:val="20"/>
          <w:lang w:val="en-US" w:eastAsia="en-US"/>
        </w:rPr>
        <w:t>procedure</w:t>
      </w:r>
      <w:r w:rsidRPr="00012C3F">
        <w:rPr>
          <w:rFonts w:eastAsia="Calibri" w:cs="Arial"/>
          <w:sz w:val="20"/>
          <w:szCs w:val="20"/>
          <w:lang w:val="en-US" w:eastAsia="en-US"/>
        </w:rPr>
        <w:t xml:space="preserve">, </w:t>
      </w:r>
      <w:r w:rsidR="001E79BE" w:rsidRPr="00012C3F">
        <w:rPr>
          <w:rFonts w:eastAsia="Calibri" w:cs="Arial"/>
          <w:sz w:val="20"/>
          <w:szCs w:val="20"/>
          <w:lang w:val="en-US" w:eastAsia="en-US"/>
        </w:rPr>
        <w:t>took place</w:t>
      </w:r>
      <w:r w:rsidRPr="00012C3F">
        <w:rPr>
          <w:rFonts w:eastAsia="Calibri" w:cs="Arial"/>
          <w:sz w:val="20"/>
          <w:szCs w:val="20"/>
          <w:lang w:val="en-US" w:eastAsia="en-US"/>
        </w:rPr>
        <w:t xml:space="preserve"> in Bolivia. In addition, the Court notes that the determination of whether this act constituted an act or torture or cruel or inhuman treatment is a matter to be elucidated when examining the merits of the matter. Based on the foregoing, th</w:t>
      </w:r>
      <w:r w:rsidR="001E79BE" w:rsidRPr="00012C3F">
        <w:rPr>
          <w:rFonts w:eastAsia="Calibri" w:cs="Arial"/>
          <w:sz w:val="20"/>
          <w:szCs w:val="20"/>
          <w:lang w:val="en-US" w:eastAsia="en-US"/>
        </w:rPr>
        <w:t>is</w:t>
      </w:r>
      <w:r w:rsidRPr="00012C3F">
        <w:rPr>
          <w:rFonts w:eastAsia="Calibri" w:cs="Arial"/>
          <w:sz w:val="20"/>
          <w:szCs w:val="20"/>
          <w:lang w:val="en-US" w:eastAsia="en-US"/>
        </w:rPr>
        <w:t xml:space="preserve"> objection i</w:t>
      </w:r>
      <w:r w:rsidRPr="00012C3F">
        <w:rPr>
          <w:bCs/>
          <w:sz w:val="20"/>
          <w:szCs w:val="20"/>
          <w:lang w:val="en-US"/>
        </w:rPr>
        <w:t>s rejected.</w:t>
      </w:r>
    </w:p>
    <w:p w14:paraId="081D3776" w14:textId="77777777" w:rsidR="006E5F5E" w:rsidRPr="00012C3F" w:rsidRDefault="006E5F5E" w:rsidP="00085BDD">
      <w:pPr>
        <w:widowControl/>
        <w:tabs>
          <w:tab w:val="left" w:pos="567"/>
        </w:tabs>
        <w:autoSpaceDE w:val="0"/>
        <w:autoSpaceDN w:val="0"/>
        <w:adjustRightInd/>
        <w:spacing w:line="240" w:lineRule="auto"/>
        <w:textAlignment w:val="auto"/>
        <w:rPr>
          <w:rFonts w:eastAsia="Batang" w:cs="Arial"/>
          <w:b/>
          <w:iCs/>
          <w:sz w:val="20"/>
          <w:szCs w:val="20"/>
          <w:lang w:val="en-US" w:eastAsia="en-US"/>
        </w:rPr>
      </w:pPr>
    </w:p>
    <w:p w14:paraId="63E567E8" w14:textId="77777777" w:rsidR="00085BDD" w:rsidRPr="00012C3F" w:rsidRDefault="006E5F5E" w:rsidP="00085BDD">
      <w:pPr>
        <w:keepNext/>
        <w:keepLines/>
        <w:tabs>
          <w:tab w:val="left" w:pos="1134"/>
        </w:tabs>
        <w:spacing w:line="240" w:lineRule="auto"/>
        <w:ind w:left="567" w:firstLine="1"/>
        <w:outlineLvl w:val="1"/>
        <w:rPr>
          <w:rFonts w:eastAsia="MS Mincho"/>
          <w:b/>
          <w:bCs/>
          <w:i/>
          <w:sz w:val="20"/>
          <w:szCs w:val="20"/>
          <w:lang w:val="en-US"/>
        </w:rPr>
      </w:pPr>
      <w:bookmarkStart w:id="45" w:name="_Toc401931883"/>
      <w:bookmarkStart w:id="46" w:name="_Toc428369980"/>
      <w:bookmarkStart w:id="47" w:name="_Toc459158096"/>
      <w:bookmarkStart w:id="48" w:name="_Toc27486823"/>
      <w:r w:rsidRPr="00012C3F">
        <w:rPr>
          <w:rFonts w:eastAsia="MS Mincho"/>
          <w:b/>
          <w:bCs/>
          <w:i/>
          <w:sz w:val="20"/>
          <w:szCs w:val="20"/>
          <w:lang w:val="en-US"/>
        </w:rPr>
        <w:t>B</w:t>
      </w:r>
      <w:r w:rsidR="00085BDD" w:rsidRPr="00012C3F">
        <w:rPr>
          <w:rFonts w:eastAsia="MS Mincho"/>
          <w:b/>
          <w:bCs/>
          <w:i/>
          <w:sz w:val="20"/>
          <w:szCs w:val="20"/>
          <w:lang w:val="en-US"/>
        </w:rPr>
        <w:t>.</w:t>
      </w:r>
      <w:r w:rsidR="00085BDD" w:rsidRPr="00012C3F">
        <w:rPr>
          <w:rFonts w:eastAsia="MS Mincho"/>
          <w:b/>
          <w:bCs/>
          <w:i/>
          <w:sz w:val="20"/>
          <w:szCs w:val="20"/>
          <w:lang w:val="en-US"/>
        </w:rPr>
        <w:tab/>
      </w:r>
      <w:bookmarkEnd w:id="45"/>
      <w:bookmarkEnd w:id="46"/>
      <w:r w:rsidR="005161F4" w:rsidRPr="00012C3F">
        <w:rPr>
          <w:rFonts w:eastAsia="MS Mincho"/>
          <w:b/>
          <w:bCs/>
          <w:i/>
          <w:sz w:val="20"/>
          <w:szCs w:val="20"/>
          <w:lang w:val="en-US"/>
        </w:rPr>
        <w:t>Objection concerning the alleged failure to exhaust domestic remedies</w:t>
      </w:r>
      <w:bookmarkEnd w:id="47"/>
      <w:bookmarkEnd w:id="48"/>
    </w:p>
    <w:p w14:paraId="72D01867" w14:textId="77777777" w:rsidR="00085BDD" w:rsidRPr="00012C3F" w:rsidRDefault="00085BDD" w:rsidP="00085BDD">
      <w:pPr>
        <w:widowControl/>
        <w:tabs>
          <w:tab w:val="left" w:pos="567"/>
        </w:tabs>
        <w:autoSpaceDE w:val="0"/>
        <w:autoSpaceDN w:val="0"/>
        <w:adjustRightInd/>
        <w:spacing w:line="240" w:lineRule="auto"/>
        <w:textAlignment w:val="auto"/>
        <w:rPr>
          <w:rFonts w:eastAsia="Batang" w:cs="Arial"/>
          <w:b/>
          <w:iCs/>
          <w:sz w:val="20"/>
          <w:szCs w:val="20"/>
          <w:lang w:val="en-US" w:eastAsia="en-US"/>
        </w:rPr>
      </w:pPr>
    </w:p>
    <w:p w14:paraId="3445218D" w14:textId="77777777" w:rsidR="00085BDD" w:rsidRPr="00012C3F" w:rsidRDefault="006E5F5E" w:rsidP="00CF0022">
      <w:pPr>
        <w:pStyle w:val="Ttulo2"/>
        <w:tabs>
          <w:tab w:val="left" w:pos="1701"/>
        </w:tabs>
        <w:spacing w:before="0" w:line="240" w:lineRule="auto"/>
        <w:ind w:left="1134"/>
        <w:rPr>
          <w:rFonts w:ascii="Verdana" w:hAnsi="Verdana"/>
          <w:b w:val="0"/>
          <w:i/>
          <w:color w:val="auto"/>
          <w:sz w:val="20"/>
          <w:szCs w:val="20"/>
          <w:lang w:val="en-US"/>
        </w:rPr>
      </w:pPr>
      <w:bookmarkStart w:id="49" w:name="_Toc459158097"/>
      <w:bookmarkStart w:id="50" w:name="_Toc27486824"/>
      <w:r w:rsidRPr="00012C3F">
        <w:rPr>
          <w:rFonts w:ascii="Verdana" w:hAnsi="Verdana"/>
          <w:b w:val="0"/>
          <w:i/>
          <w:color w:val="auto"/>
          <w:sz w:val="20"/>
          <w:szCs w:val="20"/>
          <w:lang w:val="en-US"/>
        </w:rPr>
        <w:t>B</w:t>
      </w:r>
      <w:r w:rsidR="00085BDD" w:rsidRPr="00012C3F">
        <w:rPr>
          <w:rFonts w:ascii="Verdana" w:hAnsi="Verdana"/>
          <w:b w:val="0"/>
          <w:i/>
          <w:color w:val="auto"/>
          <w:sz w:val="20"/>
          <w:szCs w:val="20"/>
          <w:lang w:val="en-US"/>
        </w:rPr>
        <w:t xml:space="preserve">.1 </w:t>
      </w:r>
      <w:r w:rsidR="00CF0022" w:rsidRPr="00012C3F">
        <w:rPr>
          <w:rFonts w:ascii="Verdana" w:hAnsi="Verdana"/>
          <w:b w:val="0"/>
          <w:i/>
          <w:color w:val="auto"/>
          <w:sz w:val="20"/>
          <w:szCs w:val="20"/>
          <w:lang w:val="en-US"/>
        </w:rPr>
        <w:tab/>
      </w:r>
      <w:r w:rsidR="00F07D0C" w:rsidRPr="00012C3F">
        <w:rPr>
          <w:rFonts w:ascii="Verdana" w:hAnsi="Verdana"/>
          <w:b w:val="0"/>
          <w:i/>
          <w:color w:val="auto"/>
          <w:sz w:val="20"/>
          <w:szCs w:val="20"/>
          <w:lang w:val="en-US"/>
        </w:rPr>
        <w:t>Arguments of the State and observations</w:t>
      </w:r>
      <w:r w:rsidR="001254DE" w:rsidRPr="00012C3F">
        <w:rPr>
          <w:rFonts w:ascii="Verdana" w:hAnsi="Verdana"/>
          <w:b w:val="0"/>
          <w:i/>
          <w:color w:val="auto"/>
          <w:sz w:val="20"/>
          <w:szCs w:val="20"/>
          <w:lang w:val="en-US"/>
        </w:rPr>
        <w:t xml:space="preserve"> of the </w:t>
      </w:r>
      <w:r w:rsidR="00A84CA0" w:rsidRPr="00012C3F">
        <w:rPr>
          <w:rFonts w:ascii="Verdana" w:hAnsi="Verdana"/>
          <w:b w:val="0"/>
          <w:i/>
          <w:color w:val="auto"/>
          <w:sz w:val="20"/>
          <w:szCs w:val="20"/>
          <w:lang w:val="en-US"/>
        </w:rPr>
        <w:t>Commission</w:t>
      </w:r>
      <w:r w:rsidR="005E5012" w:rsidRPr="00012C3F">
        <w:rPr>
          <w:rFonts w:ascii="Verdana" w:hAnsi="Verdana"/>
          <w:b w:val="0"/>
          <w:i/>
          <w:color w:val="auto"/>
          <w:sz w:val="20"/>
          <w:szCs w:val="20"/>
          <w:lang w:val="en-US"/>
        </w:rPr>
        <w:t xml:space="preserve"> and </w:t>
      </w:r>
      <w:r w:rsidR="00972ACF" w:rsidRPr="00012C3F">
        <w:rPr>
          <w:rFonts w:ascii="Verdana" w:hAnsi="Verdana"/>
          <w:b w:val="0"/>
          <w:i/>
          <w:color w:val="auto"/>
          <w:sz w:val="20"/>
          <w:szCs w:val="20"/>
          <w:lang w:val="en-US"/>
        </w:rPr>
        <w:t>the representative</w:t>
      </w:r>
      <w:bookmarkEnd w:id="49"/>
      <w:bookmarkEnd w:id="50"/>
    </w:p>
    <w:p w14:paraId="5B24FB0F" w14:textId="77777777" w:rsidR="00085BDD" w:rsidRPr="00012C3F" w:rsidRDefault="00085BDD" w:rsidP="00085BDD">
      <w:pPr>
        <w:tabs>
          <w:tab w:val="left" w:pos="720"/>
        </w:tabs>
        <w:spacing w:line="240" w:lineRule="auto"/>
        <w:rPr>
          <w:bCs/>
          <w:sz w:val="20"/>
          <w:szCs w:val="20"/>
          <w:lang w:val="en-US"/>
        </w:rPr>
      </w:pPr>
    </w:p>
    <w:p w14:paraId="34C04A50" w14:textId="77777777" w:rsidR="00F254A5" w:rsidRPr="00012C3F" w:rsidRDefault="00A84CA0" w:rsidP="000B00FB">
      <w:pPr>
        <w:numPr>
          <w:ilvl w:val="0"/>
          <w:numId w:val="5"/>
        </w:numPr>
        <w:tabs>
          <w:tab w:val="left" w:pos="720"/>
          <w:tab w:val="num" w:pos="12305"/>
        </w:tabs>
        <w:spacing w:line="240" w:lineRule="auto"/>
        <w:ind w:left="0" w:firstLine="0"/>
        <w:rPr>
          <w:rFonts w:eastAsia="MS Mincho" w:cs="Arial"/>
          <w:sz w:val="20"/>
          <w:lang w:val="en-US" w:eastAsia="en-US"/>
        </w:rPr>
      </w:pPr>
      <w:r w:rsidRPr="00012C3F">
        <w:rPr>
          <w:bCs/>
          <w:sz w:val="20"/>
          <w:szCs w:val="20"/>
          <w:lang w:val="en-US"/>
        </w:rPr>
        <w:t xml:space="preserve">The </w:t>
      </w:r>
      <w:r w:rsidRPr="00012C3F">
        <w:rPr>
          <w:b/>
          <w:i/>
          <w:iCs/>
          <w:sz w:val="20"/>
          <w:szCs w:val="20"/>
          <w:lang w:val="en-US"/>
        </w:rPr>
        <w:t>State</w:t>
      </w:r>
      <w:r w:rsidR="00CB178D" w:rsidRPr="00012C3F">
        <w:rPr>
          <w:rFonts w:eastAsia="MS Mincho" w:cs="Arial"/>
          <w:sz w:val="20"/>
          <w:lang w:val="en-US" w:eastAsia="en-US"/>
        </w:rPr>
        <w:t xml:space="preserve"> </w:t>
      </w:r>
      <w:r w:rsidR="005161F4" w:rsidRPr="00012C3F">
        <w:rPr>
          <w:rFonts w:eastAsia="MS Mincho" w:cs="Arial"/>
          <w:sz w:val="20"/>
          <w:lang w:val="en-US" w:eastAsia="en-US"/>
        </w:rPr>
        <w:t>filed</w:t>
      </w:r>
      <w:r w:rsidR="00CB178D" w:rsidRPr="00012C3F">
        <w:rPr>
          <w:rFonts w:eastAsia="MS Mincho" w:cs="Arial"/>
          <w:sz w:val="20"/>
          <w:lang w:val="en-US" w:eastAsia="en-US"/>
        </w:rPr>
        <w:t xml:space="preserve"> </w:t>
      </w:r>
      <w:r w:rsidR="0045122A" w:rsidRPr="00012C3F">
        <w:rPr>
          <w:rFonts w:eastAsia="MS Mincho" w:cs="Arial"/>
          <w:sz w:val="20"/>
          <w:lang w:val="en-US" w:eastAsia="en-US"/>
        </w:rPr>
        <w:t>the preliminary objection</w:t>
      </w:r>
      <w:r w:rsidR="00CB178D" w:rsidRPr="00012C3F">
        <w:rPr>
          <w:rFonts w:eastAsia="MS Mincho" w:cs="Arial"/>
          <w:sz w:val="20"/>
          <w:lang w:val="en-US" w:eastAsia="en-US"/>
        </w:rPr>
        <w:t xml:space="preserve"> </w:t>
      </w:r>
      <w:r w:rsidR="005161F4" w:rsidRPr="00012C3F">
        <w:rPr>
          <w:rFonts w:eastAsia="MS Mincho" w:cs="Arial"/>
          <w:sz w:val="20"/>
          <w:lang w:val="en-US" w:eastAsia="en-US"/>
        </w:rPr>
        <w:t>of</w:t>
      </w:r>
      <w:r w:rsidR="00CB178D" w:rsidRPr="00012C3F">
        <w:rPr>
          <w:rFonts w:eastAsia="MS Mincho" w:cs="Arial"/>
          <w:sz w:val="20"/>
          <w:lang w:val="en-US" w:eastAsia="en-US"/>
        </w:rPr>
        <w:t xml:space="preserve"> </w:t>
      </w:r>
      <w:r w:rsidR="005161F4" w:rsidRPr="00012C3F">
        <w:rPr>
          <w:rFonts w:eastAsia="MS Mincho" w:cs="Arial"/>
          <w:sz w:val="20"/>
          <w:lang w:val="en-US" w:eastAsia="en-US"/>
        </w:rPr>
        <w:t>failure to exhaust domestic remedies</w:t>
      </w:r>
      <w:r w:rsidR="0035263A" w:rsidRPr="00012C3F">
        <w:rPr>
          <w:rFonts w:eastAsia="MS Mincho" w:cs="Arial"/>
          <w:sz w:val="20"/>
          <w:lang w:val="en-US" w:eastAsia="en-US"/>
        </w:rPr>
        <w:t xml:space="preserve"> </w:t>
      </w:r>
      <w:r w:rsidR="005161F4" w:rsidRPr="00012C3F">
        <w:rPr>
          <w:rFonts w:eastAsia="MS Mincho" w:cs="Arial"/>
          <w:sz w:val="20"/>
          <w:lang w:val="en-US" w:eastAsia="en-US"/>
        </w:rPr>
        <w:t>based on</w:t>
      </w:r>
      <w:r w:rsidR="0035263A" w:rsidRPr="00012C3F">
        <w:rPr>
          <w:rFonts w:eastAsia="MS Mincho" w:cs="Arial"/>
          <w:sz w:val="20"/>
          <w:lang w:val="en-US" w:eastAsia="en-US"/>
        </w:rPr>
        <w:t xml:space="preserve"> </w:t>
      </w:r>
      <w:r w:rsidR="001254DE" w:rsidRPr="00012C3F">
        <w:rPr>
          <w:rFonts w:eastAsia="MS Mincho" w:cs="Arial"/>
          <w:sz w:val="20"/>
          <w:lang w:val="en-US" w:eastAsia="en-US"/>
        </w:rPr>
        <w:t>Article</w:t>
      </w:r>
      <w:r w:rsidR="0035263A" w:rsidRPr="00012C3F">
        <w:rPr>
          <w:rFonts w:eastAsia="MS Mincho" w:cs="Arial"/>
          <w:sz w:val="20"/>
          <w:lang w:val="en-US" w:eastAsia="en-US"/>
        </w:rPr>
        <w:t xml:space="preserve"> 46</w:t>
      </w:r>
      <w:r w:rsidR="005161F4" w:rsidRPr="00012C3F">
        <w:rPr>
          <w:rFonts w:eastAsia="MS Mincho" w:cs="Arial"/>
          <w:sz w:val="20"/>
          <w:lang w:val="en-US" w:eastAsia="en-US"/>
        </w:rPr>
        <w:t>(</w:t>
      </w:r>
      <w:r w:rsidR="0035263A" w:rsidRPr="00012C3F">
        <w:rPr>
          <w:rFonts w:eastAsia="MS Mincho" w:cs="Arial"/>
          <w:sz w:val="20"/>
          <w:lang w:val="en-US" w:eastAsia="en-US"/>
        </w:rPr>
        <w:t>1</w:t>
      </w:r>
      <w:r w:rsidR="005161F4" w:rsidRPr="00012C3F">
        <w:rPr>
          <w:rFonts w:eastAsia="MS Mincho" w:cs="Arial"/>
          <w:sz w:val="20"/>
          <w:lang w:val="en-US" w:eastAsia="en-US"/>
        </w:rPr>
        <w:t>)(</w:t>
      </w:r>
      <w:r w:rsidR="0035263A" w:rsidRPr="00012C3F">
        <w:rPr>
          <w:rFonts w:eastAsia="MS Mincho" w:cs="Arial"/>
          <w:sz w:val="20"/>
          <w:lang w:val="en-US" w:eastAsia="en-US"/>
        </w:rPr>
        <w:t>a)</w:t>
      </w:r>
      <w:r w:rsidR="001254DE" w:rsidRPr="00012C3F">
        <w:rPr>
          <w:rFonts w:eastAsia="MS Mincho" w:cs="Arial"/>
          <w:sz w:val="20"/>
          <w:lang w:val="en-US" w:eastAsia="en-US"/>
        </w:rPr>
        <w:t xml:space="preserve"> of the Convention</w:t>
      </w:r>
      <w:r w:rsidR="00CB178D" w:rsidRPr="00012C3F">
        <w:rPr>
          <w:rFonts w:eastAsia="MS Mincho" w:cs="Arial"/>
          <w:sz w:val="20"/>
          <w:lang w:val="en-US" w:eastAsia="en-US"/>
        </w:rPr>
        <w:t xml:space="preserve">. </w:t>
      </w:r>
      <w:r w:rsidR="006069D3" w:rsidRPr="00012C3F">
        <w:rPr>
          <w:rFonts w:eastAsia="MS Mincho" w:cs="Arial"/>
          <w:sz w:val="20"/>
          <w:lang w:val="en-US" w:eastAsia="en-US"/>
        </w:rPr>
        <w:t>Regarding</w:t>
      </w:r>
      <w:r w:rsidR="000B00FB" w:rsidRPr="00012C3F">
        <w:rPr>
          <w:rFonts w:eastAsia="MS Mincho" w:cs="Arial"/>
          <w:sz w:val="20"/>
          <w:lang w:val="en-US" w:eastAsia="en-US"/>
        </w:rPr>
        <w:t xml:space="preserve"> the </w:t>
      </w:r>
      <w:r w:rsidR="00C16DEA" w:rsidRPr="00012C3F">
        <w:rPr>
          <w:rFonts w:eastAsia="MS Mincho" w:cs="Arial"/>
          <w:sz w:val="20"/>
          <w:lang w:val="en-US" w:eastAsia="en-US"/>
        </w:rPr>
        <w:t>cassation procedure</w:t>
      </w:r>
      <w:r w:rsidR="000B00FB" w:rsidRPr="00012C3F">
        <w:rPr>
          <w:rFonts w:eastAsia="MS Mincho" w:cs="Arial"/>
          <w:sz w:val="20"/>
          <w:lang w:val="en-US" w:eastAsia="en-US"/>
        </w:rPr>
        <w:t xml:space="preserve">, it indicated that, under domestic law, this is the ordinary remedy established by the Bolivian criminal procedure to contest rulings delivered by the Superior Courts of Justice </w:t>
      </w:r>
      <w:r w:rsidR="006069D3" w:rsidRPr="00012C3F">
        <w:rPr>
          <w:rFonts w:eastAsia="MS Mincho" w:cs="Arial"/>
          <w:sz w:val="20"/>
          <w:lang w:val="en-US" w:eastAsia="en-US"/>
        </w:rPr>
        <w:t xml:space="preserve">that are </w:t>
      </w:r>
      <w:r w:rsidR="000B00FB" w:rsidRPr="00012C3F">
        <w:rPr>
          <w:rFonts w:eastAsia="MS Mincho" w:cs="Arial"/>
          <w:sz w:val="20"/>
          <w:lang w:val="en-US" w:eastAsia="en-US"/>
        </w:rPr>
        <w:t>contrary to preceding rulings by other Superior Courts of Justice or by the Criminal Chamber of the Supreme Court</w:t>
      </w:r>
      <w:r w:rsidR="006069D3" w:rsidRPr="00012C3F">
        <w:rPr>
          <w:rFonts w:eastAsia="MS Mincho" w:cs="Arial"/>
          <w:sz w:val="20"/>
          <w:lang w:val="en-US" w:eastAsia="en-US"/>
        </w:rPr>
        <w:t>;</w:t>
      </w:r>
      <w:r w:rsidR="000B00FB" w:rsidRPr="00012C3F">
        <w:rPr>
          <w:rFonts w:eastAsia="MS Mincho" w:cs="Arial"/>
          <w:sz w:val="20"/>
          <w:lang w:val="en-US" w:eastAsia="en-US"/>
        </w:rPr>
        <w:t xml:space="preserve"> the only requirement </w:t>
      </w:r>
      <w:r w:rsidR="006069D3" w:rsidRPr="00012C3F">
        <w:rPr>
          <w:rFonts w:eastAsia="MS Mincho" w:cs="Arial"/>
          <w:sz w:val="20"/>
          <w:lang w:val="en-US" w:eastAsia="en-US"/>
        </w:rPr>
        <w:t xml:space="preserve">is </w:t>
      </w:r>
      <w:r w:rsidR="000B00FB" w:rsidRPr="00012C3F">
        <w:rPr>
          <w:rFonts w:eastAsia="MS Mincho" w:cs="Arial"/>
          <w:sz w:val="20"/>
          <w:lang w:val="en-US" w:eastAsia="en-US"/>
        </w:rPr>
        <w:t xml:space="preserve">that it must cite a contradictory precedent. </w:t>
      </w:r>
      <w:r w:rsidR="006069D3" w:rsidRPr="00012C3F">
        <w:rPr>
          <w:rFonts w:eastAsia="MS Mincho" w:cs="Arial"/>
          <w:sz w:val="20"/>
          <w:lang w:val="en-US" w:eastAsia="en-US"/>
        </w:rPr>
        <w:t>The State</w:t>
      </w:r>
      <w:r w:rsidR="000B00FB" w:rsidRPr="00012C3F">
        <w:rPr>
          <w:rFonts w:eastAsia="MS Mincho" w:cs="Arial"/>
          <w:sz w:val="20"/>
          <w:lang w:val="en-US" w:eastAsia="en-US"/>
        </w:rPr>
        <w:t xml:space="preserve"> indicated that this </w:t>
      </w:r>
      <w:r w:rsidR="006069D3" w:rsidRPr="00012C3F">
        <w:rPr>
          <w:rFonts w:eastAsia="MS Mincho" w:cs="Arial"/>
          <w:sz w:val="20"/>
          <w:lang w:val="en-US" w:eastAsia="en-US"/>
        </w:rPr>
        <w:t>procedure would be</w:t>
      </w:r>
      <w:r w:rsidR="000B00FB" w:rsidRPr="00012C3F">
        <w:rPr>
          <w:rFonts w:eastAsia="MS Mincho" w:cs="Arial"/>
          <w:sz w:val="20"/>
          <w:lang w:val="en-US" w:eastAsia="en-US"/>
        </w:rPr>
        <w:t xml:space="preserve"> “adequate and effective in this case, because […] it is admissible to contest rulings delivered by the Superior Courts of Justice or the Criminal Chamber of the Supreme Court of Justice,</w:t>
      </w:r>
      <w:r w:rsidR="006069D3" w:rsidRPr="00012C3F">
        <w:rPr>
          <w:rFonts w:eastAsia="MS Mincho" w:cs="Arial"/>
          <w:sz w:val="20"/>
          <w:lang w:val="en-US" w:eastAsia="en-US"/>
        </w:rPr>
        <w:t xml:space="preserve"> in order</w:t>
      </w:r>
      <w:r w:rsidR="000B00FB" w:rsidRPr="00012C3F">
        <w:rPr>
          <w:rFonts w:eastAsia="MS Mincho" w:cs="Arial"/>
          <w:sz w:val="20"/>
          <w:lang w:val="en-US" w:eastAsia="en-US"/>
        </w:rPr>
        <w:t xml:space="preserve"> for the Supreme Court of Justice to </w:t>
      </w:r>
      <w:r w:rsidR="006069D3" w:rsidRPr="00012C3F">
        <w:rPr>
          <w:rFonts w:eastAsia="MS Mincho" w:cs="Arial"/>
          <w:sz w:val="20"/>
          <w:lang w:val="en-US" w:eastAsia="en-US"/>
        </w:rPr>
        <w:t>hand down</w:t>
      </w:r>
      <w:r w:rsidR="000B00FB" w:rsidRPr="00012C3F">
        <w:rPr>
          <w:rFonts w:eastAsia="MS Mincho" w:cs="Arial"/>
          <w:sz w:val="20"/>
          <w:lang w:val="en-US" w:eastAsia="en-US"/>
        </w:rPr>
        <w:t xml:space="preserve"> a final judgment based on the applicable legal doctrine, </w:t>
      </w:r>
      <w:r w:rsidR="006069D3" w:rsidRPr="00012C3F">
        <w:rPr>
          <w:rFonts w:eastAsia="MS Mincho" w:cs="Arial"/>
          <w:sz w:val="20"/>
          <w:lang w:val="en-US" w:eastAsia="en-US"/>
        </w:rPr>
        <w:t xml:space="preserve">that </w:t>
      </w:r>
      <w:r w:rsidR="00D24EFE">
        <w:rPr>
          <w:rFonts w:eastAsia="MS Mincho" w:cs="Arial"/>
          <w:sz w:val="20"/>
          <w:lang w:val="en-US" w:eastAsia="en-US"/>
        </w:rPr>
        <w:t>can</w:t>
      </w:r>
      <w:r w:rsidR="000B00FB" w:rsidRPr="00012C3F">
        <w:rPr>
          <w:rFonts w:eastAsia="MS Mincho" w:cs="Arial"/>
          <w:sz w:val="20"/>
          <w:lang w:val="en-US" w:eastAsia="en-US"/>
        </w:rPr>
        <w:t xml:space="preserve"> annul the </w:t>
      </w:r>
      <w:r w:rsidR="006069D3" w:rsidRPr="00012C3F">
        <w:rPr>
          <w:rFonts w:eastAsia="MS Mincho" w:cs="Arial"/>
          <w:sz w:val="20"/>
          <w:lang w:val="en-US" w:eastAsia="en-US"/>
        </w:rPr>
        <w:t>ruling</w:t>
      </w:r>
      <w:r w:rsidR="000B00FB" w:rsidRPr="00012C3F">
        <w:rPr>
          <w:rFonts w:eastAsia="MS Mincho" w:cs="Arial"/>
          <w:sz w:val="20"/>
          <w:lang w:val="en-US" w:eastAsia="en-US"/>
        </w:rPr>
        <w:t xml:space="preserve"> that was the reason for the </w:t>
      </w:r>
      <w:r w:rsidR="006069D3" w:rsidRPr="00012C3F">
        <w:rPr>
          <w:rFonts w:eastAsia="MS Mincho" w:cs="Arial"/>
          <w:sz w:val="20"/>
          <w:lang w:val="en-US" w:eastAsia="en-US"/>
        </w:rPr>
        <w:t>procedure</w:t>
      </w:r>
      <w:r w:rsidR="000B00FB" w:rsidRPr="00012C3F">
        <w:rPr>
          <w:rFonts w:eastAsia="MS Mincho" w:cs="Arial"/>
          <w:sz w:val="20"/>
          <w:lang w:val="en-US" w:eastAsia="en-US"/>
        </w:rPr>
        <w:t xml:space="preserve"> and order the delivery of a new </w:t>
      </w:r>
      <w:r w:rsidR="006069D3" w:rsidRPr="00012C3F">
        <w:rPr>
          <w:rFonts w:eastAsia="MS Mincho" w:cs="Arial"/>
          <w:sz w:val="20"/>
          <w:lang w:val="en-US" w:eastAsia="en-US"/>
        </w:rPr>
        <w:t>judgment</w:t>
      </w:r>
      <w:r w:rsidR="000B00FB" w:rsidRPr="00012C3F">
        <w:rPr>
          <w:rFonts w:eastAsia="MS Mincho" w:cs="Arial"/>
          <w:sz w:val="20"/>
          <w:lang w:val="en-US" w:eastAsia="en-US"/>
        </w:rPr>
        <w:t xml:space="preserve">.” In addition, it indicated that this remedy should have been filed before the delivery of </w:t>
      </w:r>
      <w:r w:rsidR="0014280F" w:rsidRPr="00012C3F">
        <w:rPr>
          <w:rFonts w:eastAsia="MS Mincho" w:cs="Arial"/>
          <w:sz w:val="20"/>
          <w:lang w:val="en-US" w:eastAsia="en-US"/>
        </w:rPr>
        <w:t>R</w:t>
      </w:r>
      <w:r w:rsidR="000B00FB" w:rsidRPr="00012C3F">
        <w:rPr>
          <w:rFonts w:eastAsia="MS Mincho" w:cs="Arial"/>
          <w:sz w:val="20"/>
          <w:lang w:val="en-US" w:eastAsia="en-US"/>
        </w:rPr>
        <w:t xml:space="preserve">uling No. </w:t>
      </w:r>
      <w:r w:rsidR="00F254A5" w:rsidRPr="00012C3F">
        <w:rPr>
          <w:rFonts w:eastAsia="MS Mincho" w:cs="Arial"/>
          <w:sz w:val="20"/>
          <w:lang w:val="en-US" w:eastAsia="en-US"/>
        </w:rPr>
        <w:t xml:space="preserve">514/2006 </w:t>
      </w:r>
      <w:r w:rsidR="000B00FB" w:rsidRPr="00012C3F">
        <w:rPr>
          <w:rFonts w:eastAsia="MS Mincho" w:cs="Arial"/>
          <w:sz w:val="20"/>
          <w:lang w:val="en-US" w:eastAsia="en-US"/>
        </w:rPr>
        <w:t>of August 23,</w:t>
      </w:r>
      <w:r w:rsidR="00F254A5" w:rsidRPr="00012C3F">
        <w:rPr>
          <w:rFonts w:eastAsia="MS Mincho" w:cs="Arial"/>
          <w:sz w:val="20"/>
          <w:lang w:val="en-US" w:eastAsia="en-US"/>
        </w:rPr>
        <w:t xml:space="preserve"> 200</w:t>
      </w:r>
      <w:r w:rsidR="000B00FB" w:rsidRPr="00012C3F">
        <w:rPr>
          <w:rFonts w:eastAsia="MS Mincho" w:cs="Arial"/>
          <w:sz w:val="20"/>
          <w:lang w:val="en-US" w:eastAsia="en-US"/>
        </w:rPr>
        <w:t>6, which confirmed the extinction of the criminal action owing to the passage of time.</w:t>
      </w:r>
      <w:r w:rsidR="00CB178D" w:rsidRPr="00012C3F">
        <w:rPr>
          <w:rFonts w:eastAsia="MS Mincho" w:cs="Arial"/>
          <w:b/>
          <w:sz w:val="16"/>
          <w:szCs w:val="16"/>
          <w:lang w:val="en-US" w:eastAsia="en-US"/>
        </w:rPr>
        <w:t xml:space="preserve"> </w:t>
      </w:r>
    </w:p>
    <w:p w14:paraId="4FEFAD10" w14:textId="77777777" w:rsidR="00F254A5" w:rsidRPr="00012C3F" w:rsidRDefault="00F254A5" w:rsidP="005161F4">
      <w:pPr>
        <w:widowControl/>
        <w:tabs>
          <w:tab w:val="left" w:pos="720"/>
        </w:tabs>
        <w:autoSpaceDE w:val="0"/>
        <w:autoSpaceDN w:val="0"/>
        <w:spacing w:line="240" w:lineRule="auto"/>
        <w:textAlignment w:val="auto"/>
        <w:rPr>
          <w:rFonts w:eastAsia="MS Mincho" w:cs="Arial"/>
          <w:b/>
          <w:sz w:val="16"/>
          <w:szCs w:val="16"/>
          <w:lang w:val="en-US" w:eastAsia="en-US"/>
        </w:rPr>
      </w:pPr>
    </w:p>
    <w:p w14:paraId="38CF1C06" w14:textId="77777777" w:rsidR="001C6B55" w:rsidRPr="00012C3F" w:rsidRDefault="001C6B55" w:rsidP="005161F4">
      <w:pPr>
        <w:widowControl/>
        <w:numPr>
          <w:ilvl w:val="0"/>
          <w:numId w:val="5"/>
        </w:numPr>
        <w:tabs>
          <w:tab w:val="left" w:pos="720"/>
          <w:tab w:val="num" w:pos="12305"/>
        </w:tabs>
        <w:autoSpaceDE w:val="0"/>
        <w:autoSpaceDN w:val="0"/>
        <w:spacing w:line="240" w:lineRule="auto"/>
        <w:ind w:left="0" w:firstLine="0"/>
        <w:textAlignment w:val="auto"/>
        <w:rPr>
          <w:rFonts w:eastAsia="Calibri" w:cs="Arial"/>
          <w:sz w:val="20"/>
          <w:szCs w:val="20"/>
          <w:lang w:val="en-US" w:eastAsia="en-US"/>
        </w:rPr>
      </w:pPr>
      <w:r w:rsidRPr="00012C3F">
        <w:rPr>
          <w:rFonts w:eastAsia="Calibri" w:cs="Arial"/>
          <w:sz w:val="20"/>
          <w:szCs w:val="20"/>
          <w:lang w:val="en-US" w:eastAsia="en-US"/>
        </w:rPr>
        <w:t xml:space="preserve">Regarding the </w:t>
      </w:r>
      <w:r w:rsidR="0063695C" w:rsidRPr="00012C3F">
        <w:rPr>
          <w:rFonts w:eastAsia="Calibri" w:cs="Arial"/>
          <w:sz w:val="20"/>
          <w:szCs w:val="20"/>
          <w:lang w:val="en-US" w:eastAsia="en-US"/>
        </w:rPr>
        <w:t>application for constitutional amparo</w:t>
      </w:r>
      <w:r w:rsidRPr="00012C3F">
        <w:rPr>
          <w:rFonts w:eastAsia="Calibri" w:cs="Arial"/>
          <w:sz w:val="20"/>
          <w:szCs w:val="20"/>
          <w:lang w:val="en-US" w:eastAsia="en-US"/>
        </w:rPr>
        <w:t xml:space="preserve">, </w:t>
      </w:r>
      <w:r w:rsidR="00A84CA0" w:rsidRPr="00012C3F">
        <w:rPr>
          <w:rFonts w:eastAsia="Calibri" w:cs="Arial"/>
          <w:sz w:val="20"/>
          <w:szCs w:val="20"/>
          <w:lang w:val="en-US" w:eastAsia="en-US"/>
        </w:rPr>
        <w:t>the State</w:t>
      </w:r>
      <w:r w:rsidR="00821074" w:rsidRPr="00012C3F">
        <w:rPr>
          <w:rFonts w:eastAsia="Calibri" w:cs="Arial"/>
          <w:sz w:val="20"/>
          <w:szCs w:val="20"/>
          <w:lang w:val="en-US" w:eastAsia="en-US"/>
        </w:rPr>
        <w:t xml:space="preserve"> a</w:t>
      </w:r>
      <w:r w:rsidRPr="00012C3F">
        <w:rPr>
          <w:rFonts w:eastAsia="Calibri" w:cs="Arial"/>
          <w:sz w:val="20"/>
          <w:szCs w:val="20"/>
          <w:lang w:val="en-US" w:eastAsia="en-US"/>
        </w:rPr>
        <w:t>rgued that, according to a</w:t>
      </w:r>
      <w:r w:rsidR="001254DE" w:rsidRPr="00012C3F">
        <w:rPr>
          <w:rFonts w:eastAsia="Calibri" w:cs="Arial"/>
          <w:sz w:val="20"/>
          <w:szCs w:val="20"/>
          <w:lang w:val="en-US" w:eastAsia="en-US"/>
        </w:rPr>
        <w:t>rticle</w:t>
      </w:r>
      <w:r w:rsidR="00821074" w:rsidRPr="00012C3F">
        <w:rPr>
          <w:rFonts w:eastAsia="Calibri" w:cs="Arial"/>
          <w:sz w:val="20"/>
          <w:szCs w:val="20"/>
          <w:lang w:val="en-US" w:eastAsia="en-US"/>
        </w:rPr>
        <w:t xml:space="preserve"> 19 </w:t>
      </w:r>
      <w:r w:rsidRPr="00012C3F">
        <w:rPr>
          <w:rFonts w:eastAsia="Calibri" w:cs="Arial"/>
          <w:sz w:val="20"/>
          <w:szCs w:val="20"/>
          <w:lang w:val="en-US" w:eastAsia="en-US"/>
        </w:rPr>
        <w:t xml:space="preserve">of the </w:t>
      </w:r>
      <w:r w:rsidR="002E2489" w:rsidRPr="00012C3F">
        <w:rPr>
          <w:rFonts w:eastAsia="Calibri" w:cs="Arial"/>
          <w:sz w:val="20"/>
          <w:szCs w:val="20"/>
          <w:lang w:val="en-US" w:eastAsia="en-US"/>
        </w:rPr>
        <w:t>applicable</w:t>
      </w:r>
      <w:r w:rsidRPr="00012C3F">
        <w:rPr>
          <w:rFonts w:eastAsia="Calibri" w:cs="Arial"/>
          <w:sz w:val="20"/>
          <w:szCs w:val="20"/>
          <w:lang w:val="en-US" w:eastAsia="en-US"/>
        </w:rPr>
        <w:t xml:space="preserve"> Constitution, I.V. could have filed the </w:t>
      </w:r>
      <w:r w:rsidR="00C16DEA" w:rsidRPr="00012C3F">
        <w:rPr>
          <w:rFonts w:eastAsia="Calibri" w:cs="Arial"/>
          <w:sz w:val="20"/>
          <w:szCs w:val="20"/>
          <w:lang w:val="en-US" w:eastAsia="en-US"/>
        </w:rPr>
        <w:t xml:space="preserve">application for constitutional </w:t>
      </w:r>
      <w:r w:rsidR="0013059C" w:rsidRPr="00012C3F">
        <w:rPr>
          <w:rFonts w:eastAsia="Calibri" w:cs="Arial"/>
          <w:sz w:val="20"/>
          <w:szCs w:val="20"/>
          <w:lang w:val="en-US" w:eastAsia="en-US"/>
        </w:rPr>
        <w:lastRenderedPageBreak/>
        <w:t>amparo</w:t>
      </w:r>
      <w:r w:rsidRPr="00012C3F">
        <w:rPr>
          <w:rFonts w:eastAsia="Calibri" w:cs="Arial"/>
          <w:sz w:val="20"/>
          <w:szCs w:val="20"/>
          <w:lang w:val="en-US" w:eastAsia="en-US"/>
        </w:rPr>
        <w:t xml:space="preserve">, which </w:t>
      </w:r>
      <w:r w:rsidR="006069D3" w:rsidRPr="00012C3F">
        <w:rPr>
          <w:rFonts w:eastAsia="Calibri" w:cs="Arial"/>
          <w:sz w:val="20"/>
          <w:szCs w:val="20"/>
          <w:lang w:val="en-US" w:eastAsia="en-US"/>
        </w:rPr>
        <w:t>wa</w:t>
      </w:r>
      <w:r w:rsidRPr="00012C3F">
        <w:rPr>
          <w:rFonts w:eastAsia="Calibri" w:cs="Arial"/>
          <w:sz w:val="20"/>
          <w:szCs w:val="20"/>
          <w:lang w:val="en-US" w:eastAsia="en-US"/>
        </w:rPr>
        <w:t>s admissible “against wrongful acts or undue omissions of officials or private individuals that restrict</w:t>
      </w:r>
      <w:r w:rsidR="006069D3" w:rsidRPr="00012C3F">
        <w:rPr>
          <w:rFonts w:eastAsia="Calibri" w:cs="Arial"/>
          <w:sz w:val="20"/>
          <w:szCs w:val="20"/>
          <w:lang w:val="en-US" w:eastAsia="en-US"/>
        </w:rPr>
        <w:t xml:space="preserve"> or</w:t>
      </w:r>
      <w:r w:rsidRPr="00012C3F">
        <w:rPr>
          <w:rFonts w:eastAsia="Calibri" w:cs="Arial"/>
          <w:sz w:val="20"/>
          <w:szCs w:val="20"/>
          <w:lang w:val="en-US" w:eastAsia="en-US"/>
        </w:rPr>
        <w:t xml:space="preserve"> suppress</w:t>
      </w:r>
      <w:r w:rsidR="006069D3" w:rsidRPr="00012C3F">
        <w:rPr>
          <w:rFonts w:eastAsia="Calibri" w:cs="Arial"/>
          <w:sz w:val="20"/>
          <w:szCs w:val="20"/>
          <w:lang w:val="en-US" w:eastAsia="en-US"/>
        </w:rPr>
        <w:t>,</w:t>
      </w:r>
      <w:r w:rsidRPr="00012C3F">
        <w:rPr>
          <w:rFonts w:eastAsia="Calibri" w:cs="Arial"/>
          <w:sz w:val="20"/>
          <w:szCs w:val="20"/>
          <w:lang w:val="en-US" w:eastAsia="en-US"/>
        </w:rPr>
        <w:t xml:space="preserve"> or threaten to restrict or suppress the rights and guarantees of the individual recognized by the Constitution and the law.” Regarding the effectiveness and approp</w:t>
      </w:r>
      <w:r w:rsidR="001C3A7A" w:rsidRPr="00012C3F">
        <w:rPr>
          <w:rFonts w:eastAsia="Calibri" w:cs="Arial"/>
          <w:sz w:val="20"/>
          <w:szCs w:val="20"/>
          <w:lang w:val="en-US" w:eastAsia="en-US"/>
        </w:rPr>
        <w:t>riateness of the remedy to rever</w:t>
      </w:r>
      <w:r w:rsidR="002A11C4" w:rsidRPr="00012C3F">
        <w:rPr>
          <w:rFonts w:eastAsia="Calibri" w:cs="Arial"/>
          <w:sz w:val="20"/>
          <w:szCs w:val="20"/>
          <w:lang w:val="en-US" w:eastAsia="en-US"/>
        </w:rPr>
        <w:t>se</w:t>
      </w:r>
      <w:r w:rsidR="001C3A7A" w:rsidRPr="00012C3F">
        <w:rPr>
          <w:rFonts w:eastAsia="Calibri" w:cs="Arial"/>
          <w:sz w:val="20"/>
          <w:szCs w:val="20"/>
          <w:lang w:val="en-US" w:eastAsia="en-US"/>
        </w:rPr>
        <w:t xml:space="preserve"> the extinction of the criminal action owing to </w:t>
      </w:r>
      <w:r w:rsidR="002A11C4" w:rsidRPr="00012C3F">
        <w:rPr>
          <w:rFonts w:eastAsia="Calibri" w:cs="Arial"/>
          <w:sz w:val="20"/>
          <w:szCs w:val="20"/>
          <w:lang w:val="en-US" w:eastAsia="en-US"/>
        </w:rPr>
        <w:t xml:space="preserve">the </w:t>
      </w:r>
      <w:r w:rsidR="001C3A7A" w:rsidRPr="00012C3F">
        <w:rPr>
          <w:rFonts w:eastAsia="Calibri" w:cs="Arial"/>
          <w:sz w:val="20"/>
          <w:szCs w:val="20"/>
          <w:lang w:val="en-US" w:eastAsia="en-US"/>
        </w:rPr>
        <w:t xml:space="preserve">maximum </w:t>
      </w:r>
      <w:r w:rsidR="002A11C4" w:rsidRPr="00012C3F">
        <w:rPr>
          <w:rFonts w:eastAsia="Calibri" w:cs="Arial"/>
          <w:sz w:val="20"/>
          <w:szCs w:val="20"/>
          <w:lang w:val="en-US" w:eastAsia="en-US"/>
        </w:rPr>
        <w:t>duration</w:t>
      </w:r>
      <w:r w:rsidR="001C3A7A" w:rsidRPr="00012C3F">
        <w:rPr>
          <w:rFonts w:eastAsia="Calibri" w:cs="Arial"/>
          <w:sz w:val="20"/>
          <w:szCs w:val="20"/>
          <w:lang w:val="en-US" w:eastAsia="en-US"/>
        </w:rPr>
        <w:t xml:space="preserve"> of the proceedings, t</w:t>
      </w:r>
      <w:r w:rsidR="00A84CA0" w:rsidRPr="00012C3F">
        <w:rPr>
          <w:rFonts w:eastAsia="Calibri" w:cs="Arial"/>
          <w:sz w:val="20"/>
          <w:szCs w:val="20"/>
          <w:lang w:val="en-US" w:eastAsia="en-US"/>
        </w:rPr>
        <w:t>he State</w:t>
      </w:r>
      <w:r w:rsidR="00821074" w:rsidRPr="00012C3F">
        <w:rPr>
          <w:rFonts w:eastAsia="Calibri" w:cs="Arial"/>
          <w:sz w:val="20"/>
          <w:szCs w:val="20"/>
          <w:lang w:val="en-US" w:eastAsia="en-US"/>
        </w:rPr>
        <w:t xml:space="preserve"> a</w:t>
      </w:r>
      <w:r w:rsidRPr="00012C3F">
        <w:rPr>
          <w:rFonts w:eastAsia="Calibri" w:cs="Arial"/>
          <w:sz w:val="20"/>
          <w:szCs w:val="20"/>
          <w:lang w:val="en-US" w:eastAsia="en-US"/>
        </w:rPr>
        <w:t>dded</w:t>
      </w:r>
      <w:r w:rsidR="001C3A7A" w:rsidRPr="00012C3F">
        <w:rPr>
          <w:rFonts w:eastAsia="Calibri" w:cs="Arial"/>
          <w:sz w:val="20"/>
          <w:szCs w:val="20"/>
          <w:lang w:val="en-US" w:eastAsia="en-US"/>
        </w:rPr>
        <w:t xml:space="preserve"> that “a series of rulings [exist</w:t>
      </w:r>
      <w:r w:rsidR="00816AE4" w:rsidRPr="00012C3F">
        <w:rPr>
          <w:rFonts w:eastAsia="Calibri" w:cs="Arial"/>
          <w:sz w:val="20"/>
          <w:szCs w:val="20"/>
          <w:lang w:val="en-US" w:eastAsia="en-US"/>
        </w:rPr>
        <w:t>ed</w:t>
      </w:r>
      <w:r w:rsidR="001C3A7A" w:rsidRPr="00012C3F">
        <w:rPr>
          <w:rFonts w:eastAsia="Calibri" w:cs="Arial"/>
          <w:sz w:val="20"/>
          <w:szCs w:val="20"/>
          <w:lang w:val="en-US" w:eastAsia="en-US"/>
        </w:rPr>
        <w:t>] in which the Constitutional Court</w:t>
      </w:r>
      <w:r w:rsidR="001E71CE" w:rsidRPr="00012C3F">
        <w:rPr>
          <w:rFonts w:eastAsia="Calibri" w:cs="Arial"/>
          <w:sz w:val="20"/>
          <w:szCs w:val="20"/>
          <w:lang w:val="en-US" w:eastAsia="en-US"/>
        </w:rPr>
        <w:t xml:space="preserve"> had</w:t>
      </w:r>
      <w:r w:rsidR="001C3A7A" w:rsidRPr="00012C3F">
        <w:rPr>
          <w:rFonts w:eastAsia="Calibri" w:cs="Arial"/>
          <w:sz w:val="20"/>
          <w:szCs w:val="20"/>
          <w:lang w:val="en-US" w:eastAsia="en-US"/>
        </w:rPr>
        <w:t xml:space="preserve"> revoke</w:t>
      </w:r>
      <w:r w:rsidR="002A11C4" w:rsidRPr="00012C3F">
        <w:rPr>
          <w:rFonts w:eastAsia="Calibri" w:cs="Arial"/>
          <w:sz w:val="20"/>
          <w:szCs w:val="20"/>
          <w:lang w:val="en-US" w:eastAsia="en-US"/>
        </w:rPr>
        <w:t>d</w:t>
      </w:r>
      <w:r w:rsidR="001C3A7A" w:rsidRPr="00012C3F">
        <w:rPr>
          <w:rFonts w:eastAsia="Calibri" w:cs="Arial"/>
          <w:sz w:val="20"/>
          <w:szCs w:val="20"/>
          <w:lang w:val="en-US" w:eastAsia="en-US"/>
        </w:rPr>
        <w:t xml:space="preserve"> </w:t>
      </w:r>
      <w:r w:rsidR="002A11C4" w:rsidRPr="00012C3F">
        <w:rPr>
          <w:rFonts w:eastAsia="Calibri" w:cs="Arial"/>
          <w:sz w:val="20"/>
          <w:szCs w:val="20"/>
          <w:lang w:val="en-US" w:eastAsia="en-US"/>
        </w:rPr>
        <w:t>decisions</w:t>
      </w:r>
      <w:r w:rsidR="001C3A7A" w:rsidRPr="00012C3F">
        <w:rPr>
          <w:rFonts w:eastAsia="Calibri" w:cs="Arial"/>
          <w:sz w:val="20"/>
          <w:szCs w:val="20"/>
          <w:lang w:val="en-US" w:eastAsia="en-US"/>
        </w:rPr>
        <w:t xml:space="preserve"> ordering the extinction of</w:t>
      </w:r>
      <w:r w:rsidR="002A11C4" w:rsidRPr="00012C3F">
        <w:rPr>
          <w:rFonts w:eastAsia="Calibri" w:cs="Arial"/>
          <w:sz w:val="20"/>
          <w:szCs w:val="20"/>
          <w:lang w:val="en-US" w:eastAsia="en-US"/>
        </w:rPr>
        <w:t xml:space="preserve"> a</w:t>
      </w:r>
      <w:r w:rsidR="001C3A7A" w:rsidRPr="00012C3F">
        <w:rPr>
          <w:rFonts w:eastAsia="Calibri" w:cs="Arial"/>
          <w:sz w:val="20"/>
          <w:szCs w:val="20"/>
          <w:lang w:val="en-US" w:eastAsia="en-US"/>
        </w:rPr>
        <w:t xml:space="preserve"> criminal action </w:t>
      </w:r>
      <w:r w:rsidR="00DA4A46">
        <w:rPr>
          <w:rFonts w:eastAsia="Calibri" w:cs="Arial"/>
          <w:sz w:val="20"/>
          <w:szCs w:val="20"/>
          <w:lang w:val="en-US" w:eastAsia="en-US"/>
        </w:rPr>
        <w:t>owing to</w:t>
      </w:r>
      <w:r w:rsidR="001C3A7A" w:rsidRPr="00012C3F">
        <w:rPr>
          <w:rFonts w:eastAsia="Calibri" w:cs="Arial"/>
          <w:sz w:val="20"/>
          <w:szCs w:val="20"/>
          <w:lang w:val="en-US" w:eastAsia="en-US"/>
        </w:rPr>
        <w:t xml:space="preserve"> maximum duration of the proceedings, </w:t>
      </w:r>
      <w:r w:rsidR="002A11C4" w:rsidRPr="00012C3F">
        <w:rPr>
          <w:rFonts w:eastAsia="Calibri" w:cs="Arial"/>
          <w:sz w:val="20"/>
          <w:szCs w:val="20"/>
          <w:lang w:val="en-US" w:eastAsia="en-US"/>
        </w:rPr>
        <w:t>based on</w:t>
      </w:r>
      <w:r w:rsidR="001C3A7A" w:rsidRPr="00012C3F">
        <w:rPr>
          <w:rFonts w:eastAsia="Calibri" w:cs="Arial"/>
          <w:sz w:val="20"/>
          <w:szCs w:val="20"/>
          <w:lang w:val="en-US" w:eastAsia="en-US"/>
        </w:rPr>
        <w:t xml:space="preserve"> </w:t>
      </w:r>
      <w:r w:rsidR="002A11C4" w:rsidRPr="00012C3F">
        <w:rPr>
          <w:rFonts w:eastAsia="Calibri" w:cs="Arial"/>
          <w:sz w:val="20"/>
          <w:szCs w:val="20"/>
          <w:lang w:val="en-US" w:eastAsia="en-US"/>
        </w:rPr>
        <w:t xml:space="preserve">the absence of substantiation and justification </w:t>
      </w:r>
      <w:r w:rsidR="001C3A7A" w:rsidRPr="00012C3F">
        <w:rPr>
          <w:rFonts w:eastAsia="Calibri" w:cs="Arial"/>
          <w:sz w:val="20"/>
          <w:szCs w:val="20"/>
          <w:lang w:val="en-US" w:eastAsia="en-US"/>
        </w:rPr>
        <w:t xml:space="preserve">in the </w:t>
      </w:r>
      <w:r w:rsidR="002A11C4" w:rsidRPr="00012C3F">
        <w:rPr>
          <w:rFonts w:eastAsia="Calibri" w:cs="Arial"/>
          <w:sz w:val="20"/>
          <w:szCs w:val="20"/>
          <w:lang w:val="en-US" w:eastAsia="en-US"/>
        </w:rPr>
        <w:t xml:space="preserve">decisions </w:t>
      </w:r>
      <w:r w:rsidR="001C3A7A" w:rsidRPr="00012C3F">
        <w:rPr>
          <w:rFonts w:eastAsia="Calibri" w:cs="Arial"/>
          <w:sz w:val="20"/>
          <w:szCs w:val="20"/>
          <w:lang w:val="en-US" w:eastAsia="en-US"/>
        </w:rPr>
        <w:t xml:space="preserve">that </w:t>
      </w:r>
      <w:r w:rsidR="00816AE4" w:rsidRPr="00012C3F">
        <w:rPr>
          <w:rFonts w:eastAsia="Calibri" w:cs="Arial"/>
          <w:sz w:val="20"/>
          <w:szCs w:val="20"/>
          <w:lang w:val="en-US" w:eastAsia="en-US"/>
        </w:rPr>
        <w:t xml:space="preserve">would have permitted </w:t>
      </w:r>
      <w:r w:rsidR="001C3A7A" w:rsidRPr="00012C3F">
        <w:rPr>
          <w:rFonts w:eastAsia="Calibri" w:cs="Arial"/>
          <w:sz w:val="20"/>
          <w:szCs w:val="20"/>
          <w:lang w:val="en-US" w:eastAsia="en-US"/>
        </w:rPr>
        <w:t>determin</w:t>
      </w:r>
      <w:r w:rsidR="00816AE4" w:rsidRPr="00012C3F">
        <w:rPr>
          <w:rFonts w:eastAsia="Calibri" w:cs="Arial"/>
          <w:sz w:val="20"/>
          <w:szCs w:val="20"/>
          <w:lang w:val="en-US" w:eastAsia="en-US"/>
        </w:rPr>
        <w:t>ing</w:t>
      </w:r>
      <w:r w:rsidR="001C3A7A" w:rsidRPr="00012C3F">
        <w:rPr>
          <w:rFonts w:eastAsia="Calibri" w:cs="Arial"/>
          <w:sz w:val="20"/>
          <w:szCs w:val="20"/>
          <w:lang w:val="en-US" w:eastAsia="en-US"/>
        </w:rPr>
        <w:t xml:space="preserve"> </w:t>
      </w:r>
      <w:r w:rsidR="00816AE4" w:rsidRPr="00012C3F">
        <w:rPr>
          <w:rFonts w:eastAsia="Calibri" w:cs="Arial"/>
          <w:sz w:val="20"/>
          <w:szCs w:val="20"/>
          <w:lang w:val="en-US" w:eastAsia="en-US"/>
        </w:rPr>
        <w:t xml:space="preserve">to </w:t>
      </w:r>
      <w:r w:rsidR="001C3A7A" w:rsidRPr="00012C3F">
        <w:rPr>
          <w:rFonts w:eastAsia="Calibri" w:cs="Arial"/>
          <w:sz w:val="20"/>
          <w:szCs w:val="20"/>
          <w:lang w:val="en-US" w:eastAsia="en-US"/>
        </w:rPr>
        <w:t>who</w:t>
      </w:r>
      <w:r w:rsidR="00816AE4" w:rsidRPr="00012C3F">
        <w:rPr>
          <w:rFonts w:eastAsia="Calibri" w:cs="Arial"/>
          <w:sz w:val="20"/>
          <w:szCs w:val="20"/>
          <w:lang w:val="en-US" w:eastAsia="en-US"/>
        </w:rPr>
        <w:t>m</w:t>
      </w:r>
      <w:r w:rsidR="001C3A7A" w:rsidRPr="00012C3F">
        <w:rPr>
          <w:rFonts w:eastAsia="Calibri" w:cs="Arial"/>
          <w:sz w:val="20"/>
          <w:szCs w:val="20"/>
          <w:lang w:val="en-US" w:eastAsia="en-US"/>
        </w:rPr>
        <w:t xml:space="preserve"> the delays that led to the extinction of the criminal action</w:t>
      </w:r>
      <w:r w:rsidR="00816AE4" w:rsidRPr="00012C3F">
        <w:rPr>
          <w:rFonts w:eastAsia="Calibri" w:cs="Arial"/>
          <w:sz w:val="20"/>
          <w:szCs w:val="20"/>
          <w:lang w:val="en-US" w:eastAsia="en-US"/>
        </w:rPr>
        <w:t xml:space="preserve"> could be attributed</w:t>
      </w:r>
      <w:r w:rsidR="001C3A7A" w:rsidRPr="00012C3F">
        <w:rPr>
          <w:rFonts w:eastAsia="Calibri" w:cs="Arial"/>
          <w:sz w:val="20"/>
          <w:szCs w:val="20"/>
          <w:lang w:val="en-US" w:eastAsia="en-US"/>
        </w:rPr>
        <w:t>.” Therefore, it a</w:t>
      </w:r>
      <w:r w:rsidR="00816AE4" w:rsidRPr="00012C3F">
        <w:rPr>
          <w:rFonts w:eastAsia="Calibri" w:cs="Arial"/>
          <w:sz w:val="20"/>
          <w:szCs w:val="20"/>
          <w:lang w:val="en-US" w:eastAsia="en-US"/>
        </w:rPr>
        <w:t>sserted</w:t>
      </w:r>
      <w:r w:rsidR="001C3A7A" w:rsidRPr="00012C3F">
        <w:rPr>
          <w:rFonts w:eastAsia="Calibri" w:cs="Arial"/>
          <w:sz w:val="20"/>
          <w:szCs w:val="20"/>
          <w:lang w:val="en-US" w:eastAsia="en-US"/>
        </w:rPr>
        <w:t xml:space="preserve"> that, if I.V. had filed this remedy, it would have been effective and appropriate to re-establish the rights that she considered violated, by establishing, based on an adequate </w:t>
      </w:r>
      <w:r w:rsidR="00816AE4" w:rsidRPr="00012C3F">
        <w:rPr>
          <w:rFonts w:eastAsia="Calibri" w:cs="Arial"/>
          <w:sz w:val="20"/>
          <w:szCs w:val="20"/>
          <w:lang w:val="en-US" w:eastAsia="en-US"/>
        </w:rPr>
        <w:t>justification</w:t>
      </w:r>
      <w:r w:rsidR="001C3A7A" w:rsidRPr="00012C3F">
        <w:rPr>
          <w:rFonts w:eastAsia="Calibri" w:cs="Arial"/>
          <w:sz w:val="20"/>
          <w:szCs w:val="20"/>
          <w:lang w:val="en-US" w:eastAsia="en-US"/>
        </w:rPr>
        <w:t xml:space="preserve"> and grounds</w:t>
      </w:r>
      <w:r w:rsidR="00816AE4" w:rsidRPr="00012C3F">
        <w:rPr>
          <w:rFonts w:eastAsia="Calibri" w:cs="Arial"/>
          <w:sz w:val="20"/>
          <w:szCs w:val="20"/>
          <w:lang w:val="en-US" w:eastAsia="en-US"/>
        </w:rPr>
        <w:t>,</w:t>
      </w:r>
      <w:r w:rsidR="001C3A7A" w:rsidRPr="00012C3F">
        <w:rPr>
          <w:rFonts w:eastAsia="Calibri" w:cs="Arial"/>
          <w:sz w:val="20"/>
          <w:szCs w:val="20"/>
          <w:lang w:val="en-US" w:eastAsia="en-US"/>
        </w:rPr>
        <w:t xml:space="preserve"> that the delays could be attributed to the defendant</w:t>
      </w:r>
      <w:r w:rsidR="000F32AA" w:rsidRPr="00012C3F">
        <w:rPr>
          <w:rFonts w:eastAsia="Calibri" w:cs="Arial"/>
          <w:sz w:val="20"/>
          <w:szCs w:val="20"/>
          <w:lang w:val="en-US" w:eastAsia="en-US"/>
        </w:rPr>
        <w:t xml:space="preserve"> and, consequently, the </w:t>
      </w:r>
      <w:r w:rsidR="00816AE4" w:rsidRPr="00012C3F">
        <w:rPr>
          <w:rFonts w:eastAsia="Calibri" w:cs="Arial"/>
          <w:sz w:val="20"/>
          <w:szCs w:val="20"/>
          <w:lang w:val="en-US" w:eastAsia="en-US"/>
        </w:rPr>
        <w:t>c</w:t>
      </w:r>
      <w:r w:rsidR="000F32AA" w:rsidRPr="00012C3F">
        <w:rPr>
          <w:rFonts w:eastAsia="Calibri" w:cs="Arial"/>
          <w:sz w:val="20"/>
          <w:szCs w:val="20"/>
          <w:lang w:val="en-US" w:eastAsia="en-US"/>
        </w:rPr>
        <w:t>ourt would have established the impossibility of the action extinguishing.</w:t>
      </w:r>
    </w:p>
    <w:p w14:paraId="7C72EA84" w14:textId="77777777" w:rsidR="00565870" w:rsidRPr="00012C3F" w:rsidRDefault="00565870" w:rsidP="00565870">
      <w:pPr>
        <w:tabs>
          <w:tab w:val="left" w:pos="567"/>
        </w:tabs>
        <w:spacing w:line="240" w:lineRule="auto"/>
        <w:rPr>
          <w:rFonts w:eastAsia="Calibri" w:cs="Arial"/>
          <w:sz w:val="20"/>
          <w:szCs w:val="20"/>
          <w:lang w:val="en-US" w:eastAsia="en-US"/>
        </w:rPr>
      </w:pPr>
    </w:p>
    <w:p w14:paraId="5F9BD013" w14:textId="77777777" w:rsidR="000F32AA" w:rsidRPr="00012C3F" w:rsidRDefault="000F32AA" w:rsidP="000F32AA">
      <w:pPr>
        <w:widowControl/>
        <w:numPr>
          <w:ilvl w:val="0"/>
          <w:numId w:val="5"/>
        </w:numPr>
        <w:tabs>
          <w:tab w:val="left" w:pos="720"/>
          <w:tab w:val="num" w:pos="12305"/>
        </w:tabs>
        <w:autoSpaceDE w:val="0"/>
        <w:autoSpaceDN w:val="0"/>
        <w:spacing w:line="240" w:lineRule="auto"/>
        <w:ind w:left="0" w:firstLine="0"/>
        <w:textAlignment w:val="auto"/>
        <w:rPr>
          <w:rFonts w:eastAsia="Calibri" w:cs="Arial"/>
          <w:sz w:val="20"/>
          <w:szCs w:val="20"/>
          <w:lang w:val="en-US" w:eastAsia="en-US"/>
        </w:rPr>
      </w:pPr>
      <w:r w:rsidRPr="00012C3F">
        <w:rPr>
          <w:rFonts w:eastAsia="Calibri" w:cs="Arial"/>
          <w:sz w:val="20"/>
          <w:szCs w:val="20"/>
          <w:lang w:val="en-US" w:eastAsia="en-US"/>
        </w:rPr>
        <w:t>Regarding</w:t>
      </w:r>
      <w:r w:rsidR="00821074" w:rsidRPr="00012C3F">
        <w:rPr>
          <w:rFonts w:eastAsia="Calibri" w:cs="Arial"/>
          <w:sz w:val="20"/>
          <w:szCs w:val="20"/>
          <w:lang w:val="en-US" w:eastAsia="en-US"/>
        </w:rPr>
        <w:t xml:space="preserve"> </w:t>
      </w:r>
      <w:r w:rsidRPr="00012C3F">
        <w:rPr>
          <w:rFonts w:eastAsia="Calibri" w:cs="Arial"/>
          <w:sz w:val="20"/>
          <w:szCs w:val="20"/>
          <w:lang w:val="en-US" w:eastAsia="en-US"/>
        </w:rPr>
        <w:t>the observations</w:t>
      </w:r>
      <w:r w:rsidR="001254DE" w:rsidRPr="00012C3F">
        <w:rPr>
          <w:rFonts w:eastAsia="Calibri" w:cs="Arial"/>
          <w:sz w:val="20"/>
          <w:szCs w:val="20"/>
          <w:lang w:val="en-US" w:eastAsia="en-US"/>
        </w:rPr>
        <w:t xml:space="preserve"> of the </w:t>
      </w:r>
      <w:r w:rsidR="00A84CA0" w:rsidRPr="00012C3F">
        <w:rPr>
          <w:rFonts w:eastAsia="Calibri" w:cs="Arial"/>
          <w:sz w:val="20"/>
          <w:szCs w:val="20"/>
          <w:lang w:val="en-US" w:eastAsia="en-US"/>
        </w:rPr>
        <w:t>Commission</w:t>
      </w:r>
      <w:r w:rsidR="005E5012" w:rsidRPr="00012C3F">
        <w:rPr>
          <w:rFonts w:eastAsia="Calibri" w:cs="Arial"/>
          <w:sz w:val="20"/>
          <w:szCs w:val="20"/>
          <w:lang w:val="en-US" w:eastAsia="en-US"/>
        </w:rPr>
        <w:t xml:space="preserve"> and </w:t>
      </w:r>
      <w:r w:rsidR="00972ACF" w:rsidRPr="00012C3F">
        <w:rPr>
          <w:rFonts w:eastAsia="Calibri" w:cs="Arial"/>
          <w:sz w:val="20"/>
          <w:szCs w:val="20"/>
          <w:lang w:val="en-US" w:eastAsia="en-US"/>
        </w:rPr>
        <w:t>the representative</w:t>
      </w:r>
      <w:r w:rsidR="00821074" w:rsidRPr="00012C3F">
        <w:rPr>
          <w:rFonts w:eastAsia="Calibri" w:cs="Arial"/>
          <w:sz w:val="20"/>
          <w:szCs w:val="20"/>
          <w:lang w:val="en-US" w:eastAsia="en-US"/>
        </w:rPr>
        <w:t>,</w:t>
      </w:r>
      <w:r w:rsidRPr="00012C3F">
        <w:rPr>
          <w:rFonts w:eastAsia="Calibri" w:cs="Arial"/>
          <w:sz w:val="20"/>
          <w:szCs w:val="20"/>
          <w:lang w:val="en-US" w:eastAsia="en-US"/>
        </w:rPr>
        <w:t xml:space="preserve"> in its final arguments,</w:t>
      </w:r>
      <w:r w:rsidR="00821074" w:rsidRPr="00012C3F">
        <w:rPr>
          <w:rFonts w:eastAsia="Calibri" w:cs="Arial"/>
          <w:sz w:val="20"/>
          <w:szCs w:val="20"/>
          <w:lang w:val="en-US" w:eastAsia="en-US"/>
        </w:rPr>
        <w:t xml:space="preserve"> </w:t>
      </w:r>
      <w:r w:rsidR="00A84CA0" w:rsidRPr="00012C3F">
        <w:rPr>
          <w:rFonts w:eastAsia="Calibri" w:cs="Arial"/>
          <w:sz w:val="20"/>
          <w:szCs w:val="20"/>
          <w:lang w:val="en-US" w:eastAsia="en-US"/>
        </w:rPr>
        <w:t xml:space="preserve">the </w:t>
      </w:r>
      <w:r w:rsidRPr="00012C3F">
        <w:rPr>
          <w:rFonts w:eastAsia="Calibri" w:cs="Arial"/>
          <w:sz w:val="20"/>
          <w:szCs w:val="20"/>
          <w:lang w:val="en-US" w:eastAsia="en-US"/>
        </w:rPr>
        <w:t xml:space="preserve">State expanded on the appropriateness and effectiveness of the </w:t>
      </w:r>
      <w:r w:rsidR="00C16DEA" w:rsidRPr="00012C3F">
        <w:rPr>
          <w:rFonts w:eastAsia="Calibri" w:cs="Arial"/>
          <w:sz w:val="20"/>
          <w:szCs w:val="20"/>
          <w:lang w:val="en-US" w:eastAsia="en-US"/>
        </w:rPr>
        <w:t xml:space="preserve">application for </w:t>
      </w:r>
      <w:r w:rsidR="00FA56FE" w:rsidRPr="00012C3F">
        <w:rPr>
          <w:rFonts w:eastAsia="Calibri" w:cs="Arial"/>
          <w:sz w:val="20"/>
          <w:szCs w:val="20"/>
          <w:lang w:val="en-US" w:eastAsia="en-US"/>
        </w:rPr>
        <w:t>amparo</w:t>
      </w:r>
      <w:r w:rsidRPr="00012C3F">
        <w:rPr>
          <w:rFonts w:eastAsia="Calibri" w:cs="Arial"/>
          <w:sz w:val="20"/>
          <w:szCs w:val="20"/>
          <w:lang w:val="en-US" w:eastAsia="en-US"/>
        </w:rPr>
        <w:t>, indicat</w:t>
      </w:r>
      <w:r w:rsidR="006D5B7D" w:rsidRPr="00012C3F">
        <w:rPr>
          <w:rFonts w:eastAsia="Calibri" w:cs="Arial"/>
          <w:sz w:val="20"/>
          <w:szCs w:val="20"/>
          <w:lang w:val="en-US" w:eastAsia="en-US"/>
        </w:rPr>
        <w:t>ing</w:t>
      </w:r>
      <w:r w:rsidRPr="00012C3F">
        <w:rPr>
          <w:rFonts w:eastAsia="Calibri" w:cs="Arial"/>
          <w:sz w:val="20"/>
          <w:szCs w:val="20"/>
          <w:lang w:val="en-US" w:eastAsia="en-US"/>
        </w:rPr>
        <w:t xml:space="preserve"> that: (i) since submitting its brief with observations on the admissibility of the petition</w:t>
      </w:r>
      <w:r w:rsidR="006D5B7D" w:rsidRPr="00012C3F">
        <w:rPr>
          <w:rFonts w:eastAsia="Calibri" w:cs="Arial"/>
          <w:sz w:val="20"/>
          <w:szCs w:val="20"/>
          <w:lang w:val="en-US" w:eastAsia="en-US"/>
        </w:rPr>
        <w:t>,</w:t>
      </w:r>
      <w:r w:rsidRPr="00012C3F">
        <w:rPr>
          <w:rFonts w:eastAsia="Calibri" w:cs="Arial"/>
          <w:sz w:val="20"/>
          <w:szCs w:val="20"/>
          <w:lang w:val="en-US" w:eastAsia="en-US"/>
        </w:rPr>
        <w:t xml:space="preserve"> it had argued that the </w:t>
      </w:r>
      <w:r w:rsidR="00816AE4" w:rsidRPr="00012C3F">
        <w:rPr>
          <w:rFonts w:eastAsia="Calibri" w:cs="Arial"/>
          <w:sz w:val="20"/>
          <w:szCs w:val="20"/>
          <w:lang w:val="en-US" w:eastAsia="en-US"/>
        </w:rPr>
        <w:t xml:space="preserve">application for </w:t>
      </w:r>
      <w:r w:rsidR="001E71CE" w:rsidRPr="00012C3F">
        <w:rPr>
          <w:rFonts w:eastAsia="Calibri" w:cs="Arial"/>
          <w:sz w:val="20"/>
          <w:szCs w:val="20"/>
          <w:lang w:val="en-US" w:eastAsia="en-US"/>
        </w:rPr>
        <w:t>amparo</w:t>
      </w:r>
      <w:r w:rsidRPr="00012C3F">
        <w:rPr>
          <w:rFonts w:eastAsia="Calibri" w:cs="Arial"/>
          <w:sz w:val="20"/>
          <w:szCs w:val="20"/>
          <w:lang w:val="en-US" w:eastAsia="en-US"/>
        </w:rPr>
        <w:t xml:space="preserve"> was the appropriate and effective remedy to address I.V.’s situation, providing case law </w:t>
      </w:r>
      <w:r w:rsidR="006D5B7D" w:rsidRPr="00012C3F">
        <w:rPr>
          <w:rFonts w:eastAsia="Calibri" w:cs="Arial"/>
          <w:sz w:val="20"/>
          <w:szCs w:val="20"/>
          <w:lang w:val="en-US" w:eastAsia="en-US"/>
        </w:rPr>
        <w:t>on</w:t>
      </w:r>
      <w:r w:rsidRPr="00012C3F">
        <w:rPr>
          <w:rFonts w:eastAsia="Calibri" w:cs="Arial"/>
          <w:sz w:val="20"/>
          <w:szCs w:val="20"/>
          <w:lang w:val="en-US" w:eastAsia="en-US"/>
        </w:rPr>
        <w:t xml:space="preserve"> the admissibility of the a</w:t>
      </w:r>
      <w:r w:rsidR="00816AE4" w:rsidRPr="00012C3F">
        <w:rPr>
          <w:rFonts w:eastAsia="Calibri" w:cs="Arial"/>
          <w:sz w:val="20"/>
          <w:szCs w:val="20"/>
          <w:lang w:val="en-US" w:eastAsia="en-US"/>
        </w:rPr>
        <w:t>pplication</w:t>
      </w:r>
      <w:r w:rsidRPr="00012C3F">
        <w:rPr>
          <w:rFonts w:eastAsia="Calibri" w:cs="Arial"/>
          <w:sz w:val="20"/>
          <w:szCs w:val="20"/>
          <w:lang w:val="en-US" w:eastAsia="en-US"/>
        </w:rPr>
        <w:t xml:space="preserve"> for amparo</w:t>
      </w:r>
      <w:r w:rsidR="00FA56FE" w:rsidRPr="00012C3F">
        <w:rPr>
          <w:rFonts w:eastAsia="Calibri" w:cs="Arial"/>
          <w:sz w:val="20"/>
          <w:szCs w:val="20"/>
          <w:lang w:val="en-US" w:eastAsia="en-US"/>
        </w:rPr>
        <w:t xml:space="preserve"> </w:t>
      </w:r>
      <w:r w:rsidRPr="00012C3F">
        <w:rPr>
          <w:rFonts w:eastAsia="Calibri" w:cs="Arial"/>
          <w:sz w:val="20"/>
          <w:szCs w:val="20"/>
          <w:lang w:val="en-US" w:eastAsia="en-US"/>
        </w:rPr>
        <w:t>against decisions o</w:t>
      </w:r>
      <w:r w:rsidR="00816AE4" w:rsidRPr="00012C3F">
        <w:rPr>
          <w:rFonts w:eastAsia="Calibri" w:cs="Arial"/>
          <w:sz w:val="20"/>
          <w:szCs w:val="20"/>
          <w:lang w:val="en-US" w:eastAsia="en-US"/>
        </w:rPr>
        <w:t>rdering</w:t>
      </w:r>
      <w:r w:rsidRPr="00012C3F">
        <w:rPr>
          <w:rFonts w:eastAsia="Calibri" w:cs="Arial"/>
          <w:sz w:val="20"/>
          <w:szCs w:val="20"/>
          <w:lang w:val="en-US" w:eastAsia="en-US"/>
        </w:rPr>
        <w:t xml:space="preserve"> the extinction of the criminal action; (ii) </w:t>
      </w:r>
      <w:r w:rsidR="00BD056C" w:rsidRPr="00012C3F">
        <w:rPr>
          <w:rFonts w:eastAsia="Calibri" w:cs="Arial"/>
          <w:sz w:val="20"/>
          <w:szCs w:val="20"/>
          <w:lang w:val="en-US" w:eastAsia="en-US"/>
        </w:rPr>
        <w:t>in its observations on admissibility</w:t>
      </w:r>
      <w:r w:rsidR="006D5B7D" w:rsidRPr="00012C3F">
        <w:rPr>
          <w:rFonts w:eastAsia="Calibri" w:cs="Arial"/>
          <w:sz w:val="20"/>
          <w:szCs w:val="20"/>
          <w:lang w:val="en-US" w:eastAsia="en-US"/>
        </w:rPr>
        <w:t xml:space="preserve">, the State had also </w:t>
      </w:r>
      <w:r w:rsidR="00816AE4" w:rsidRPr="00012C3F">
        <w:rPr>
          <w:rFonts w:eastAsia="Calibri" w:cs="Arial"/>
          <w:sz w:val="20"/>
          <w:szCs w:val="20"/>
          <w:lang w:val="en-US" w:eastAsia="en-US"/>
        </w:rPr>
        <w:t>demonstrated</w:t>
      </w:r>
      <w:r w:rsidR="00BD056C" w:rsidRPr="00012C3F">
        <w:rPr>
          <w:rFonts w:eastAsia="Calibri" w:cs="Arial"/>
          <w:sz w:val="20"/>
          <w:szCs w:val="20"/>
          <w:lang w:val="en-US" w:eastAsia="en-US"/>
        </w:rPr>
        <w:t xml:space="preserve"> that the </w:t>
      </w:r>
      <w:r w:rsidR="00816AE4" w:rsidRPr="00012C3F">
        <w:rPr>
          <w:rFonts w:eastAsia="Calibri" w:cs="Arial"/>
          <w:sz w:val="20"/>
          <w:szCs w:val="20"/>
          <w:lang w:val="en-US" w:eastAsia="en-US"/>
        </w:rPr>
        <w:t>application for</w:t>
      </w:r>
      <w:r w:rsidR="00BD056C" w:rsidRPr="00012C3F">
        <w:rPr>
          <w:rFonts w:eastAsia="Calibri" w:cs="Arial"/>
          <w:sz w:val="20"/>
          <w:szCs w:val="20"/>
          <w:lang w:val="en-US" w:eastAsia="en-US"/>
        </w:rPr>
        <w:t xml:space="preserve"> amparo had achieved the annulment of a </w:t>
      </w:r>
      <w:r w:rsidR="00816AE4" w:rsidRPr="00012C3F">
        <w:rPr>
          <w:rFonts w:eastAsia="Calibri" w:cs="Arial"/>
          <w:sz w:val="20"/>
          <w:szCs w:val="20"/>
          <w:lang w:val="en-US" w:eastAsia="en-US"/>
        </w:rPr>
        <w:t>decision</w:t>
      </w:r>
      <w:r w:rsidR="00BD056C" w:rsidRPr="00012C3F">
        <w:rPr>
          <w:rFonts w:eastAsia="Calibri" w:cs="Arial"/>
          <w:sz w:val="20"/>
          <w:szCs w:val="20"/>
          <w:lang w:val="en-US" w:eastAsia="en-US"/>
        </w:rPr>
        <w:t xml:space="preserve"> determining the extinction of the criminal action; (iii) </w:t>
      </w:r>
      <w:r w:rsidR="006D5B7D" w:rsidRPr="00012C3F">
        <w:rPr>
          <w:rFonts w:eastAsia="Calibri" w:cs="Arial"/>
          <w:sz w:val="20"/>
          <w:szCs w:val="20"/>
          <w:lang w:val="en-US" w:eastAsia="en-US"/>
        </w:rPr>
        <w:t>al</w:t>
      </w:r>
      <w:r w:rsidR="00BD056C" w:rsidRPr="00012C3F">
        <w:rPr>
          <w:rFonts w:eastAsia="Calibri" w:cs="Arial"/>
          <w:sz w:val="20"/>
          <w:szCs w:val="20"/>
          <w:lang w:val="en-US" w:eastAsia="en-US"/>
        </w:rPr>
        <w:t>though the factual circumstances of the rulings cited by the State differ</w:t>
      </w:r>
      <w:r w:rsidR="006D5B7D" w:rsidRPr="00012C3F">
        <w:rPr>
          <w:rFonts w:eastAsia="Calibri" w:cs="Arial"/>
          <w:sz w:val="20"/>
          <w:szCs w:val="20"/>
          <w:lang w:val="en-US" w:eastAsia="en-US"/>
        </w:rPr>
        <w:t>ed</w:t>
      </w:r>
      <w:r w:rsidR="00BD056C" w:rsidRPr="00012C3F">
        <w:rPr>
          <w:rFonts w:eastAsia="Calibri" w:cs="Arial"/>
          <w:sz w:val="20"/>
          <w:szCs w:val="20"/>
          <w:lang w:val="en-US" w:eastAsia="en-US"/>
        </w:rPr>
        <w:t xml:space="preserve"> from the facts that are the purpose of the present dispute, this </w:t>
      </w:r>
      <w:r w:rsidR="00816AE4" w:rsidRPr="00012C3F">
        <w:rPr>
          <w:rFonts w:eastAsia="Calibri" w:cs="Arial"/>
          <w:sz w:val="20"/>
          <w:szCs w:val="20"/>
          <w:lang w:val="en-US" w:eastAsia="en-US"/>
        </w:rPr>
        <w:t>did not represent</w:t>
      </w:r>
      <w:r w:rsidR="00BD056C" w:rsidRPr="00012C3F">
        <w:rPr>
          <w:rFonts w:eastAsia="Calibri" w:cs="Arial"/>
          <w:sz w:val="20"/>
          <w:szCs w:val="20"/>
          <w:lang w:val="en-US" w:eastAsia="en-US"/>
        </w:rPr>
        <w:t xml:space="preserve"> an obstacle to prov</w:t>
      </w:r>
      <w:r w:rsidR="006D5B7D" w:rsidRPr="00012C3F">
        <w:rPr>
          <w:rFonts w:eastAsia="Calibri" w:cs="Arial"/>
          <w:sz w:val="20"/>
          <w:szCs w:val="20"/>
          <w:lang w:val="en-US" w:eastAsia="en-US"/>
        </w:rPr>
        <w:t>ing</w:t>
      </w:r>
      <w:r w:rsidR="00BD056C" w:rsidRPr="00012C3F">
        <w:rPr>
          <w:rFonts w:eastAsia="Calibri" w:cs="Arial"/>
          <w:sz w:val="20"/>
          <w:szCs w:val="20"/>
          <w:lang w:val="en-US" w:eastAsia="en-US"/>
        </w:rPr>
        <w:t xml:space="preserve"> that the rule of law </w:t>
      </w:r>
      <w:r w:rsidR="006D5B7D" w:rsidRPr="00012C3F">
        <w:rPr>
          <w:rFonts w:eastAsia="Calibri" w:cs="Arial"/>
          <w:sz w:val="20"/>
          <w:szCs w:val="20"/>
          <w:lang w:val="en-US" w:eastAsia="en-US"/>
        </w:rPr>
        <w:t>evidenced by</w:t>
      </w:r>
      <w:r w:rsidR="00BD056C" w:rsidRPr="00012C3F">
        <w:rPr>
          <w:rFonts w:eastAsia="Calibri" w:cs="Arial"/>
          <w:sz w:val="20"/>
          <w:szCs w:val="20"/>
          <w:lang w:val="en-US" w:eastAsia="en-US"/>
        </w:rPr>
        <w:t xml:space="preserve"> these decisions </w:t>
      </w:r>
      <w:r w:rsidR="00816AE4" w:rsidRPr="00012C3F">
        <w:rPr>
          <w:rFonts w:eastAsia="Calibri" w:cs="Arial"/>
          <w:sz w:val="20"/>
          <w:szCs w:val="20"/>
          <w:lang w:val="en-US" w:eastAsia="en-US"/>
        </w:rPr>
        <w:t>was</w:t>
      </w:r>
      <w:r w:rsidR="00BD056C" w:rsidRPr="00012C3F">
        <w:rPr>
          <w:rFonts w:eastAsia="Calibri" w:cs="Arial"/>
          <w:sz w:val="20"/>
          <w:szCs w:val="20"/>
          <w:lang w:val="en-US" w:eastAsia="en-US"/>
        </w:rPr>
        <w:t xml:space="preserve"> applicable to this specific case; (iv) the </w:t>
      </w:r>
      <w:r w:rsidR="00816AE4" w:rsidRPr="00012C3F">
        <w:rPr>
          <w:rFonts w:eastAsia="Calibri" w:cs="Arial"/>
          <w:sz w:val="20"/>
          <w:szCs w:val="20"/>
          <w:lang w:val="en-US" w:eastAsia="en-US"/>
        </w:rPr>
        <w:t>application for</w:t>
      </w:r>
      <w:r w:rsidR="00BD056C" w:rsidRPr="00012C3F">
        <w:rPr>
          <w:rFonts w:eastAsia="Calibri" w:cs="Arial"/>
          <w:sz w:val="20"/>
          <w:szCs w:val="20"/>
          <w:lang w:val="en-US" w:eastAsia="en-US"/>
        </w:rPr>
        <w:t xml:space="preserve"> amparo was admissible in th</w:t>
      </w:r>
      <w:r w:rsidR="00816AE4" w:rsidRPr="00012C3F">
        <w:rPr>
          <w:rFonts w:eastAsia="Calibri" w:cs="Arial"/>
          <w:sz w:val="20"/>
          <w:szCs w:val="20"/>
          <w:lang w:val="en-US" w:eastAsia="en-US"/>
        </w:rPr>
        <w:t>is</w:t>
      </w:r>
      <w:r w:rsidR="00BD056C" w:rsidRPr="00012C3F">
        <w:rPr>
          <w:rFonts w:eastAsia="Calibri" w:cs="Arial"/>
          <w:sz w:val="20"/>
          <w:szCs w:val="20"/>
          <w:lang w:val="en-US" w:eastAsia="en-US"/>
        </w:rPr>
        <w:t xml:space="preserve"> specific case, because the constitutional judge could have taken into account the possible effects </w:t>
      </w:r>
      <w:r w:rsidR="00816AE4" w:rsidRPr="00012C3F">
        <w:rPr>
          <w:rFonts w:eastAsia="Calibri" w:cs="Arial"/>
          <w:sz w:val="20"/>
          <w:szCs w:val="20"/>
          <w:lang w:val="en-US" w:eastAsia="en-US"/>
        </w:rPr>
        <w:t xml:space="preserve">on I.V.’s rights </w:t>
      </w:r>
      <w:r w:rsidR="00BD056C" w:rsidRPr="00012C3F">
        <w:rPr>
          <w:rFonts w:eastAsia="Calibri" w:cs="Arial"/>
          <w:sz w:val="20"/>
          <w:szCs w:val="20"/>
          <w:lang w:val="en-US" w:eastAsia="en-US"/>
        </w:rPr>
        <w:t xml:space="preserve">of the decision extinguishing the criminal action, or that the defendant had intervened to cause a delay in the proceedings; (v) the </w:t>
      </w:r>
      <w:r w:rsidR="00816AE4" w:rsidRPr="00012C3F">
        <w:rPr>
          <w:rFonts w:eastAsia="Calibri" w:cs="Arial"/>
          <w:sz w:val="20"/>
          <w:szCs w:val="20"/>
          <w:lang w:val="en-US" w:eastAsia="en-US"/>
        </w:rPr>
        <w:t>application</w:t>
      </w:r>
      <w:r w:rsidR="00BD056C" w:rsidRPr="00012C3F">
        <w:rPr>
          <w:rFonts w:eastAsia="Calibri" w:cs="Arial"/>
          <w:sz w:val="20"/>
          <w:szCs w:val="20"/>
          <w:lang w:val="en-US" w:eastAsia="en-US"/>
        </w:rPr>
        <w:t xml:space="preserve"> </w:t>
      </w:r>
      <w:r w:rsidR="00816AE4" w:rsidRPr="00012C3F">
        <w:rPr>
          <w:rFonts w:eastAsia="Calibri" w:cs="Arial"/>
          <w:sz w:val="20"/>
          <w:szCs w:val="20"/>
          <w:lang w:val="en-US" w:eastAsia="en-US"/>
        </w:rPr>
        <w:t>for</w:t>
      </w:r>
      <w:r w:rsidR="00BD056C" w:rsidRPr="00012C3F">
        <w:rPr>
          <w:rFonts w:eastAsia="Calibri" w:cs="Arial"/>
          <w:sz w:val="20"/>
          <w:szCs w:val="20"/>
          <w:lang w:val="en-US" w:eastAsia="en-US"/>
        </w:rPr>
        <w:t xml:space="preserve"> amparo is not a special remedy, as understood in international human rights law; (vi) the standard established in the Convention and in </w:t>
      </w:r>
      <w:r w:rsidR="00816AE4" w:rsidRPr="00012C3F">
        <w:rPr>
          <w:rFonts w:eastAsia="Calibri" w:cs="Arial"/>
          <w:sz w:val="20"/>
          <w:szCs w:val="20"/>
          <w:lang w:val="en-US" w:eastAsia="en-US"/>
        </w:rPr>
        <w:t>case law</w:t>
      </w:r>
      <w:r w:rsidR="00BD056C" w:rsidRPr="00012C3F">
        <w:rPr>
          <w:rFonts w:eastAsia="Calibri" w:cs="Arial"/>
          <w:sz w:val="20"/>
          <w:szCs w:val="20"/>
          <w:lang w:val="en-US" w:eastAsia="en-US"/>
        </w:rPr>
        <w:t xml:space="preserve"> for the exhaustion of domestic remedies indicates that the “adequate and effective” remedies should be exhausted, without making any reference to whether these are “ordinary or special,” so that even if it was a special remedy this would have no relevance, and (vii) the fact that the State base</w:t>
      </w:r>
      <w:r w:rsidR="00816AE4" w:rsidRPr="00012C3F">
        <w:rPr>
          <w:rFonts w:eastAsia="Calibri" w:cs="Arial"/>
          <w:sz w:val="20"/>
          <w:szCs w:val="20"/>
          <w:lang w:val="en-US" w:eastAsia="en-US"/>
        </w:rPr>
        <w:t>d</w:t>
      </w:r>
      <w:r w:rsidR="00BD056C" w:rsidRPr="00012C3F">
        <w:rPr>
          <w:rFonts w:eastAsia="Calibri" w:cs="Arial"/>
          <w:sz w:val="20"/>
          <w:szCs w:val="20"/>
          <w:lang w:val="en-US" w:eastAsia="en-US"/>
        </w:rPr>
        <w:t xml:space="preserve"> the appropriateness and effectiveness of the </w:t>
      </w:r>
      <w:r w:rsidR="00816AE4" w:rsidRPr="00012C3F">
        <w:rPr>
          <w:rFonts w:eastAsia="Calibri" w:cs="Arial"/>
          <w:sz w:val="20"/>
          <w:szCs w:val="20"/>
          <w:lang w:val="en-US" w:eastAsia="en-US"/>
        </w:rPr>
        <w:t>application for</w:t>
      </w:r>
      <w:r w:rsidR="00BD056C" w:rsidRPr="00012C3F">
        <w:rPr>
          <w:rFonts w:eastAsia="Calibri" w:cs="Arial"/>
          <w:sz w:val="20"/>
          <w:szCs w:val="20"/>
          <w:lang w:val="en-US" w:eastAsia="en-US"/>
        </w:rPr>
        <w:t xml:space="preserve"> amparo on different constitutional rulings in its observations on admissibility and in the answer submitted to the Court d</w:t>
      </w:r>
      <w:r w:rsidR="00816AE4" w:rsidRPr="00012C3F">
        <w:rPr>
          <w:rFonts w:eastAsia="Calibri" w:cs="Arial"/>
          <w:sz w:val="20"/>
          <w:szCs w:val="20"/>
          <w:lang w:val="en-US" w:eastAsia="en-US"/>
        </w:rPr>
        <w:t>id</w:t>
      </w:r>
      <w:r w:rsidR="00BD056C" w:rsidRPr="00012C3F">
        <w:rPr>
          <w:rFonts w:eastAsia="Calibri" w:cs="Arial"/>
          <w:sz w:val="20"/>
          <w:szCs w:val="20"/>
          <w:lang w:val="en-US" w:eastAsia="en-US"/>
        </w:rPr>
        <w:t xml:space="preserve"> not make its arguments time-barred. Therefore, based on the principle of subsidiarity, the State asked the Court to declare that it was not competent to hear this case.</w:t>
      </w:r>
    </w:p>
    <w:p w14:paraId="778A4822" w14:textId="77777777" w:rsidR="00821074" w:rsidRPr="00012C3F" w:rsidRDefault="00821074" w:rsidP="00F254A5">
      <w:pPr>
        <w:widowControl/>
        <w:autoSpaceDE w:val="0"/>
        <w:autoSpaceDN w:val="0"/>
        <w:spacing w:line="240" w:lineRule="auto"/>
        <w:textAlignment w:val="auto"/>
        <w:rPr>
          <w:rFonts w:eastAsia="MS Mincho" w:cs="Arial"/>
          <w:b/>
          <w:sz w:val="20"/>
          <w:szCs w:val="20"/>
          <w:lang w:val="en-US" w:eastAsia="en-US"/>
        </w:rPr>
      </w:pPr>
    </w:p>
    <w:p w14:paraId="0EFE3B63" w14:textId="77777777" w:rsidR="00821074" w:rsidRPr="00012C3F" w:rsidRDefault="00BD056C" w:rsidP="006D5B7D">
      <w:pPr>
        <w:widowControl/>
        <w:numPr>
          <w:ilvl w:val="0"/>
          <w:numId w:val="5"/>
        </w:numPr>
        <w:tabs>
          <w:tab w:val="left" w:pos="720"/>
          <w:tab w:val="num" w:pos="12305"/>
        </w:tabs>
        <w:autoSpaceDE w:val="0"/>
        <w:autoSpaceDN w:val="0"/>
        <w:adjustRightInd/>
        <w:spacing w:line="240" w:lineRule="auto"/>
        <w:ind w:left="0" w:firstLine="0"/>
        <w:textAlignment w:val="auto"/>
        <w:rPr>
          <w:rFonts w:eastAsia="Calibri" w:cs="Cambria"/>
          <w:sz w:val="20"/>
          <w:szCs w:val="20"/>
          <w:lang w:val="en-US" w:eastAsia="en-US"/>
        </w:rPr>
      </w:pPr>
      <w:r w:rsidRPr="00012C3F">
        <w:rPr>
          <w:rFonts w:eastAsia="MS Mincho" w:cs="Arial"/>
          <w:sz w:val="20"/>
          <w:lang w:val="en-US" w:eastAsia="en-US"/>
        </w:rPr>
        <w:t>The</w:t>
      </w:r>
      <w:r w:rsidR="00F254A5" w:rsidRPr="00012C3F">
        <w:rPr>
          <w:rFonts w:eastAsia="Calibri" w:cs="Cambria"/>
          <w:sz w:val="20"/>
          <w:szCs w:val="20"/>
          <w:lang w:val="en-US" w:eastAsia="en-US"/>
        </w:rPr>
        <w:t xml:space="preserve"> </w:t>
      </w:r>
      <w:r w:rsidR="00F254A5" w:rsidRPr="00012C3F">
        <w:rPr>
          <w:rFonts w:eastAsia="Calibri" w:cs="Cambria"/>
          <w:b/>
          <w:i/>
          <w:sz w:val="20"/>
          <w:szCs w:val="20"/>
          <w:lang w:val="en-US" w:eastAsia="en-US"/>
        </w:rPr>
        <w:t>Com</w:t>
      </w:r>
      <w:r w:rsidRPr="00012C3F">
        <w:rPr>
          <w:rFonts w:eastAsia="Calibri" w:cs="Cambria"/>
          <w:b/>
          <w:i/>
          <w:sz w:val="20"/>
          <w:szCs w:val="20"/>
          <w:lang w:val="en-US" w:eastAsia="en-US"/>
        </w:rPr>
        <w:t>m</w:t>
      </w:r>
      <w:r w:rsidR="00F254A5" w:rsidRPr="00012C3F">
        <w:rPr>
          <w:rFonts w:eastAsia="Calibri" w:cs="Cambria"/>
          <w:b/>
          <w:i/>
          <w:sz w:val="20"/>
          <w:szCs w:val="20"/>
          <w:lang w:val="en-US" w:eastAsia="en-US"/>
        </w:rPr>
        <w:t>is</w:t>
      </w:r>
      <w:r w:rsidRPr="00012C3F">
        <w:rPr>
          <w:rFonts w:eastAsia="Calibri" w:cs="Cambria"/>
          <w:b/>
          <w:i/>
          <w:sz w:val="20"/>
          <w:szCs w:val="20"/>
          <w:lang w:val="en-US" w:eastAsia="en-US"/>
        </w:rPr>
        <w:t>sio</w:t>
      </w:r>
      <w:r w:rsidR="00F254A5" w:rsidRPr="00012C3F">
        <w:rPr>
          <w:rFonts w:eastAsia="Calibri" w:cs="Cambria"/>
          <w:b/>
          <w:i/>
          <w:sz w:val="20"/>
          <w:szCs w:val="20"/>
          <w:lang w:val="en-US" w:eastAsia="en-US"/>
        </w:rPr>
        <w:t>n</w:t>
      </w:r>
      <w:r w:rsidR="00F254A5" w:rsidRPr="00012C3F">
        <w:rPr>
          <w:rFonts w:eastAsia="Calibri" w:cs="Cambria"/>
          <w:sz w:val="20"/>
          <w:szCs w:val="20"/>
          <w:lang w:val="en-US" w:eastAsia="en-US"/>
        </w:rPr>
        <w:t xml:space="preserve"> </w:t>
      </w:r>
      <w:r w:rsidRPr="00012C3F">
        <w:rPr>
          <w:rFonts w:eastAsia="Calibri" w:cs="Cambria"/>
          <w:sz w:val="20"/>
          <w:szCs w:val="20"/>
          <w:lang w:val="en-US" w:eastAsia="en-US"/>
        </w:rPr>
        <w:t>indicated that</w:t>
      </w:r>
      <w:r w:rsidR="0033298B" w:rsidRPr="00012C3F">
        <w:rPr>
          <w:rFonts w:eastAsia="Calibri" w:cs="Cambria"/>
          <w:sz w:val="20"/>
          <w:szCs w:val="20"/>
          <w:lang w:val="en-US" w:eastAsia="en-US"/>
        </w:rPr>
        <w:t>,</w:t>
      </w:r>
      <w:r w:rsidR="00F254A5" w:rsidRPr="00012C3F">
        <w:rPr>
          <w:rFonts w:eastAsia="Calibri" w:cs="Cambria"/>
          <w:sz w:val="20"/>
          <w:szCs w:val="20"/>
          <w:lang w:val="en-US" w:eastAsia="en-US"/>
        </w:rPr>
        <w:t xml:space="preserve"> “[</w:t>
      </w:r>
      <w:r w:rsidRPr="00012C3F">
        <w:rPr>
          <w:rFonts w:eastAsia="Calibri" w:cs="Cambria"/>
          <w:sz w:val="20"/>
          <w:szCs w:val="20"/>
          <w:lang w:val="en-US" w:eastAsia="en-US"/>
        </w:rPr>
        <w:t>e</w:t>
      </w:r>
      <w:r w:rsidR="00F254A5" w:rsidRPr="00012C3F">
        <w:rPr>
          <w:rFonts w:eastAsia="Calibri" w:cs="Cambria"/>
          <w:sz w:val="20"/>
          <w:szCs w:val="20"/>
          <w:lang w:val="en-US" w:eastAsia="en-US"/>
        </w:rPr>
        <w:t>]</w:t>
      </w:r>
      <w:r w:rsidRPr="00012C3F">
        <w:rPr>
          <w:rFonts w:eastAsia="Calibri" w:cs="Cambria"/>
          <w:sz w:val="20"/>
          <w:szCs w:val="20"/>
          <w:lang w:val="en-US" w:eastAsia="en-US"/>
        </w:rPr>
        <w:t xml:space="preserve">ven though, at the admissibility stage before the Commission, </w:t>
      </w:r>
      <w:r w:rsidR="00A84CA0" w:rsidRPr="00012C3F">
        <w:rPr>
          <w:rFonts w:eastAsia="Calibri" w:cs="Cambria"/>
          <w:sz w:val="20"/>
          <w:szCs w:val="20"/>
          <w:lang w:val="en-US" w:eastAsia="en-US"/>
        </w:rPr>
        <w:t>the State</w:t>
      </w:r>
      <w:r w:rsidR="00F254A5" w:rsidRPr="00012C3F">
        <w:rPr>
          <w:rFonts w:eastAsia="Calibri" w:cs="Cambria"/>
          <w:sz w:val="20"/>
          <w:szCs w:val="20"/>
          <w:lang w:val="en-US" w:eastAsia="en-US"/>
        </w:rPr>
        <w:t xml:space="preserve"> </w:t>
      </w:r>
      <w:r w:rsidR="00FA56FE" w:rsidRPr="00012C3F">
        <w:rPr>
          <w:rFonts w:eastAsia="Calibri" w:cs="Cambria"/>
          <w:sz w:val="20"/>
          <w:szCs w:val="20"/>
          <w:lang w:val="en-US" w:eastAsia="en-US"/>
        </w:rPr>
        <w:t xml:space="preserve">argued </w:t>
      </w:r>
      <w:r w:rsidRPr="00012C3F">
        <w:rPr>
          <w:rFonts w:eastAsia="Calibri" w:cs="Cambria"/>
          <w:sz w:val="20"/>
          <w:szCs w:val="20"/>
          <w:lang w:val="en-US" w:eastAsia="en-US"/>
        </w:rPr>
        <w:t xml:space="preserve">the failure to exhaust domestic remedies, the content of this objection was based on the </w:t>
      </w:r>
      <w:r w:rsidR="00FA56FE" w:rsidRPr="00012C3F">
        <w:rPr>
          <w:rFonts w:eastAsia="Calibri" w:cs="Cambria"/>
          <w:sz w:val="20"/>
          <w:szCs w:val="20"/>
          <w:lang w:val="en-US" w:eastAsia="en-US"/>
        </w:rPr>
        <w:t>application for</w:t>
      </w:r>
      <w:r w:rsidRPr="00012C3F">
        <w:rPr>
          <w:rFonts w:eastAsia="Calibri" w:cs="Cambria"/>
          <w:sz w:val="20"/>
          <w:szCs w:val="20"/>
          <w:lang w:val="en-US" w:eastAsia="en-US"/>
        </w:rPr>
        <w:t xml:space="preserve"> amparo, without any mention of the </w:t>
      </w:r>
      <w:r w:rsidR="00C16DEA" w:rsidRPr="00012C3F">
        <w:rPr>
          <w:rFonts w:eastAsia="Calibri" w:cs="Cambria"/>
          <w:sz w:val="20"/>
          <w:szCs w:val="20"/>
          <w:lang w:val="en-US" w:eastAsia="en-US"/>
        </w:rPr>
        <w:t>cassation procedure</w:t>
      </w:r>
      <w:r w:rsidRPr="00012C3F">
        <w:rPr>
          <w:rFonts w:eastAsia="Calibri" w:cs="Cambria"/>
          <w:sz w:val="20"/>
          <w:szCs w:val="20"/>
          <w:lang w:val="en-US" w:eastAsia="en-US"/>
        </w:rPr>
        <w:t>”</w:t>
      </w:r>
      <w:r w:rsidR="00FA56FE" w:rsidRPr="00012C3F">
        <w:rPr>
          <w:rFonts w:eastAsia="Calibri" w:cs="Cambria"/>
          <w:sz w:val="20"/>
          <w:szCs w:val="20"/>
          <w:lang w:val="en-US" w:eastAsia="en-US"/>
        </w:rPr>
        <w:t>; consequently,</w:t>
      </w:r>
      <w:r w:rsidRPr="00012C3F">
        <w:rPr>
          <w:rFonts w:eastAsia="Calibri" w:cs="Cambria"/>
          <w:sz w:val="20"/>
          <w:szCs w:val="20"/>
          <w:lang w:val="en-US" w:eastAsia="en-US"/>
        </w:rPr>
        <w:t xml:space="preserve"> it considered that this</w:t>
      </w:r>
      <w:r w:rsidR="001E71CE" w:rsidRPr="00012C3F">
        <w:rPr>
          <w:rFonts w:eastAsia="Calibri" w:cs="Cambria"/>
          <w:sz w:val="20"/>
          <w:szCs w:val="20"/>
          <w:lang w:val="en-US" w:eastAsia="en-US"/>
        </w:rPr>
        <w:t xml:space="preserve"> was</w:t>
      </w:r>
      <w:r w:rsidRPr="00012C3F">
        <w:rPr>
          <w:rFonts w:eastAsia="Calibri" w:cs="Cambria"/>
          <w:sz w:val="20"/>
          <w:szCs w:val="20"/>
          <w:lang w:val="en-US" w:eastAsia="en-US"/>
        </w:rPr>
        <w:t xml:space="preserve"> “time-barred because it was not filed at the proper procedural opportunity.</w:t>
      </w:r>
      <w:r w:rsidR="00FA56FE" w:rsidRPr="00012C3F">
        <w:rPr>
          <w:rFonts w:eastAsia="Calibri" w:cs="Cambria"/>
          <w:sz w:val="20"/>
          <w:szCs w:val="20"/>
          <w:lang w:val="en-US" w:eastAsia="en-US"/>
        </w:rPr>
        <w:t>”</w:t>
      </w:r>
      <w:r w:rsidRPr="00012C3F">
        <w:rPr>
          <w:rFonts w:eastAsia="Calibri" w:cs="Cambria"/>
          <w:sz w:val="20"/>
          <w:szCs w:val="20"/>
          <w:lang w:val="en-US" w:eastAsia="en-US"/>
        </w:rPr>
        <w:t xml:space="preserve"> </w:t>
      </w:r>
      <w:r w:rsidRPr="00012C3F">
        <w:rPr>
          <w:rFonts w:eastAsia="Calibri" w:cs="Arial"/>
          <w:sz w:val="20"/>
          <w:szCs w:val="20"/>
          <w:lang w:val="en-US" w:eastAsia="en-US"/>
        </w:rPr>
        <w:t>The Commission</w:t>
      </w:r>
      <w:r w:rsidR="00821074" w:rsidRPr="00012C3F">
        <w:rPr>
          <w:rFonts w:eastAsia="Calibri" w:cs="Cambria"/>
          <w:sz w:val="20"/>
          <w:szCs w:val="20"/>
          <w:lang w:val="en-US" w:eastAsia="en-US"/>
        </w:rPr>
        <w:t xml:space="preserve"> not</w:t>
      </w:r>
      <w:r w:rsidRPr="00012C3F">
        <w:rPr>
          <w:rFonts w:eastAsia="Calibri" w:cs="Cambria"/>
          <w:sz w:val="20"/>
          <w:szCs w:val="20"/>
          <w:lang w:val="en-US" w:eastAsia="en-US"/>
        </w:rPr>
        <w:t xml:space="preserve">ed that “although </w:t>
      </w:r>
      <w:r w:rsidR="00A84CA0" w:rsidRPr="00012C3F">
        <w:rPr>
          <w:rFonts w:eastAsia="Calibri" w:cs="Cambria"/>
          <w:sz w:val="20"/>
          <w:szCs w:val="20"/>
          <w:lang w:val="en-US" w:eastAsia="en-US"/>
        </w:rPr>
        <w:t>the State</w:t>
      </w:r>
      <w:r w:rsidR="00821074" w:rsidRPr="00012C3F">
        <w:rPr>
          <w:rFonts w:eastAsia="Calibri" w:cs="Cambria"/>
          <w:sz w:val="20"/>
          <w:szCs w:val="20"/>
          <w:lang w:val="en-US" w:eastAsia="en-US"/>
        </w:rPr>
        <w:t xml:space="preserve"> invo</w:t>
      </w:r>
      <w:r w:rsidRPr="00012C3F">
        <w:rPr>
          <w:rFonts w:eastAsia="Calibri" w:cs="Cambria"/>
          <w:sz w:val="20"/>
          <w:szCs w:val="20"/>
          <w:lang w:val="en-US" w:eastAsia="en-US"/>
        </w:rPr>
        <w:t xml:space="preserve">ked the </w:t>
      </w:r>
      <w:r w:rsidR="00FA56FE" w:rsidRPr="00012C3F">
        <w:rPr>
          <w:rFonts w:eastAsia="Calibri" w:cs="Cambria"/>
          <w:sz w:val="20"/>
          <w:szCs w:val="20"/>
          <w:lang w:val="en-US" w:eastAsia="en-US"/>
        </w:rPr>
        <w:t>application for amparo</w:t>
      </w:r>
      <w:r w:rsidRPr="00012C3F">
        <w:rPr>
          <w:rFonts w:eastAsia="Calibri" w:cs="Cambria"/>
          <w:sz w:val="20"/>
          <w:szCs w:val="20"/>
          <w:lang w:val="en-US" w:eastAsia="en-US"/>
        </w:rPr>
        <w:t xml:space="preserve"> at the admissibility stage, the grounds for its appropriateness and effectiveness are different from those submitted to the […] Court in its answering brief.” It argued, citing this Court’s case law, that </w:t>
      </w:r>
      <w:r w:rsidR="006D5B7D" w:rsidRPr="00012C3F">
        <w:rPr>
          <w:rFonts w:eastAsia="Calibri" w:cs="Cambria"/>
          <w:sz w:val="20"/>
          <w:szCs w:val="20"/>
          <w:lang w:val="en-US" w:eastAsia="en-US"/>
        </w:rPr>
        <w:t>“</w:t>
      </w:r>
      <w:r w:rsidR="001E71CE" w:rsidRPr="00012C3F">
        <w:rPr>
          <w:rFonts w:eastAsia="Calibri" w:cs="Cambria"/>
          <w:sz w:val="20"/>
          <w:szCs w:val="20"/>
          <w:lang w:val="en-US" w:eastAsia="en-US"/>
        </w:rPr>
        <w:t>the</w:t>
      </w:r>
      <w:r w:rsidR="006D5B7D" w:rsidRPr="00012C3F">
        <w:rPr>
          <w:rFonts w:eastAsia="Calibri" w:cs="Cambria"/>
          <w:sz w:val="20"/>
          <w:szCs w:val="20"/>
          <w:lang w:val="en-US" w:eastAsia="en-US"/>
        </w:rPr>
        <w:t xml:space="preserve"> rule on correspondence” should be applied, according to which the arguments presented before the Court to support this preliminary objection should correspond to those presented to the Commission during the admissibility stage. In this regard, and </w:t>
      </w:r>
      <w:r w:rsidR="001E71CE" w:rsidRPr="00012C3F">
        <w:rPr>
          <w:rFonts w:eastAsia="Calibri" w:cs="Cambria"/>
          <w:sz w:val="20"/>
          <w:szCs w:val="20"/>
          <w:lang w:val="en-US" w:eastAsia="en-US"/>
        </w:rPr>
        <w:t>in</w:t>
      </w:r>
      <w:r w:rsidR="006D5B7D" w:rsidRPr="00012C3F">
        <w:rPr>
          <w:rFonts w:eastAsia="Calibri" w:cs="Cambria"/>
          <w:sz w:val="20"/>
          <w:szCs w:val="20"/>
          <w:lang w:val="en-US" w:eastAsia="en-US"/>
        </w:rPr>
        <w:t xml:space="preserve"> this specific case, the Commission asserted that in its brief of December 4, 2007, presented at the admissibility stage before the Commission, the State </w:t>
      </w:r>
      <w:r w:rsidR="001E71CE" w:rsidRPr="00012C3F">
        <w:rPr>
          <w:rFonts w:eastAsia="Calibri" w:cs="Cambria"/>
          <w:sz w:val="20"/>
          <w:szCs w:val="20"/>
          <w:lang w:val="en-US" w:eastAsia="en-US"/>
        </w:rPr>
        <w:t xml:space="preserve">had </w:t>
      </w:r>
      <w:r w:rsidR="006D5B7D" w:rsidRPr="00012C3F">
        <w:rPr>
          <w:rFonts w:eastAsia="Calibri" w:cs="Cambria"/>
          <w:sz w:val="20"/>
          <w:szCs w:val="20"/>
          <w:lang w:val="en-US" w:eastAsia="en-US"/>
        </w:rPr>
        <w:t>referred to three constitutional judgments</w:t>
      </w:r>
      <w:r w:rsidR="001E71CE" w:rsidRPr="00012C3F">
        <w:rPr>
          <w:rFonts w:eastAsia="Calibri" w:cs="Cambria"/>
          <w:sz w:val="20"/>
          <w:szCs w:val="20"/>
          <w:lang w:val="en-US" w:eastAsia="en-US"/>
        </w:rPr>
        <w:t xml:space="preserve"> in order to justify the appropriateness and effectiveness of the application for amparo</w:t>
      </w:r>
      <w:r w:rsidR="006D5B7D" w:rsidRPr="00012C3F">
        <w:rPr>
          <w:rFonts w:eastAsia="Calibri" w:cs="Cambria"/>
          <w:sz w:val="20"/>
          <w:szCs w:val="20"/>
          <w:lang w:val="en-US" w:eastAsia="en-US"/>
        </w:rPr>
        <w:t>,</w:t>
      </w:r>
      <w:r w:rsidR="00821074" w:rsidRPr="00012C3F">
        <w:rPr>
          <w:rStyle w:val="Refdenotaalpie"/>
          <w:rFonts w:eastAsia="Calibri" w:cs="Cambria"/>
          <w:sz w:val="20"/>
          <w:szCs w:val="20"/>
          <w:lang w:val="en-US" w:eastAsia="en-US"/>
        </w:rPr>
        <w:footnoteReference w:id="11"/>
      </w:r>
      <w:r w:rsidR="006D5B7D" w:rsidRPr="00012C3F">
        <w:rPr>
          <w:rFonts w:eastAsia="Calibri" w:cs="Cambria"/>
          <w:sz w:val="20"/>
          <w:szCs w:val="20"/>
          <w:lang w:val="en-US" w:eastAsia="en-US"/>
        </w:rPr>
        <w:t xml:space="preserve"> </w:t>
      </w:r>
      <w:r w:rsidR="006D5B7D" w:rsidRPr="00012C3F">
        <w:rPr>
          <w:rFonts w:eastAsia="Calibri" w:cs="Cambria"/>
          <w:sz w:val="20"/>
          <w:szCs w:val="20"/>
          <w:lang w:val="en-US" w:eastAsia="en-US"/>
        </w:rPr>
        <w:lastRenderedPageBreak/>
        <w:t xml:space="preserve">while, in its answering brief before </w:t>
      </w:r>
      <w:r w:rsidR="001254DE" w:rsidRPr="00012C3F">
        <w:rPr>
          <w:rFonts w:eastAsia="Calibri" w:cs="Cambria"/>
          <w:sz w:val="20"/>
          <w:szCs w:val="20"/>
          <w:lang w:val="en-US" w:eastAsia="en-US"/>
        </w:rPr>
        <w:t>the Inter-American Court</w:t>
      </w:r>
      <w:r w:rsidR="001E71CE" w:rsidRPr="00012C3F">
        <w:rPr>
          <w:rFonts w:eastAsia="Calibri" w:cs="Cambria"/>
          <w:sz w:val="20"/>
          <w:szCs w:val="20"/>
          <w:lang w:val="en-US" w:eastAsia="en-US"/>
        </w:rPr>
        <w:t>, it had</w:t>
      </w:r>
      <w:r w:rsidR="00821074" w:rsidRPr="00012C3F">
        <w:rPr>
          <w:rFonts w:eastAsia="Calibri" w:cs="Cambria"/>
          <w:sz w:val="20"/>
          <w:szCs w:val="20"/>
          <w:lang w:val="en-US" w:eastAsia="en-US"/>
        </w:rPr>
        <w:t xml:space="preserve"> cit</w:t>
      </w:r>
      <w:r w:rsidR="006D5B7D" w:rsidRPr="00012C3F">
        <w:rPr>
          <w:rFonts w:eastAsia="Calibri" w:cs="Cambria"/>
          <w:sz w:val="20"/>
          <w:szCs w:val="20"/>
          <w:lang w:val="en-US" w:eastAsia="en-US"/>
        </w:rPr>
        <w:t xml:space="preserve">ed four </w:t>
      </w:r>
      <w:r w:rsidR="001E71CE" w:rsidRPr="00012C3F">
        <w:rPr>
          <w:rFonts w:eastAsia="Calibri" w:cs="Cambria"/>
          <w:sz w:val="20"/>
          <w:szCs w:val="20"/>
          <w:lang w:val="en-US" w:eastAsia="en-US"/>
        </w:rPr>
        <w:t>different</w:t>
      </w:r>
      <w:r w:rsidR="006D5B7D" w:rsidRPr="00012C3F">
        <w:rPr>
          <w:rFonts w:eastAsia="Calibri" w:cs="Cambria"/>
          <w:sz w:val="20"/>
          <w:szCs w:val="20"/>
          <w:lang w:val="en-US" w:eastAsia="en-US"/>
        </w:rPr>
        <w:t xml:space="preserve"> constitutional judgments. Based on the foregoing, the Commission argued that, from a simple comparison between the brief presented at the admissibility stage and the </w:t>
      </w:r>
      <w:r w:rsidR="00821074" w:rsidRPr="00012C3F">
        <w:rPr>
          <w:rFonts w:eastAsia="Calibri" w:cs="Cambria"/>
          <w:sz w:val="20"/>
          <w:szCs w:val="20"/>
          <w:lang w:val="en-US" w:eastAsia="en-US"/>
        </w:rPr>
        <w:t xml:space="preserve"> </w:t>
      </w:r>
      <w:r w:rsidR="006D5B7D" w:rsidRPr="00012C3F">
        <w:rPr>
          <w:rFonts w:eastAsia="Calibri" w:cs="Cambria"/>
          <w:sz w:val="20"/>
          <w:szCs w:val="20"/>
          <w:lang w:val="en-US" w:eastAsia="en-US"/>
        </w:rPr>
        <w:t>a</w:t>
      </w:r>
      <w:r w:rsidR="00B257AF" w:rsidRPr="00012C3F">
        <w:rPr>
          <w:rFonts w:eastAsia="Calibri" w:cs="Cambria"/>
          <w:sz w:val="20"/>
          <w:szCs w:val="20"/>
          <w:lang w:val="en-US" w:eastAsia="en-US"/>
        </w:rPr>
        <w:t>nswering brief</w:t>
      </w:r>
      <w:r w:rsidR="00821074" w:rsidRPr="00012C3F">
        <w:rPr>
          <w:rFonts w:eastAsia="Calibri" w:cs="Cambria"/>
          <w:sz w:val="20"/>
          <w:szCs w:val="20"/>
          <w:lang w:val="en-US" w:eastAsia="en-US"/>
        </w:rPr>
        <w:t xml:space="preserve"> </w:t>
      </w:r>
      <w:r w:rsidR="006D5B7D" w:rsidRPr="00012C3F">
        <w:rPr>
          <w:rFonts w:eastAsia="Calibri" w:cs="Cambria"/>
          <w:sz w:val="20"/>
          <w:szCs w:val="20"/>
          <w:lang w:val="en-US" w:eastAsia="en-US"/>
        </w:rPr>
        <w:t xml:space="preserve">before </w:t>
      </w:r>
      <w:r w:rsidR="001254DE" w:rsidRPr="00012C3F">
        <w:rPr>
          <w:rFonts w:eastAsia="Calibri" w:cs="Cambria"/>
          <w:sz w:val="20"/>
          <w:szCs w:val="20"/>
          <w:lang w:val="en-US" w:eastAsia="en-US"/>
        </w:rPr>
        <w:t>the Court</w:t>
      </w:r>
      <w:r w:rsidR="00821074" w:rsidRPr="00012C3F">
        <w:rPr>
          <w:rFonts w:eastAsia="Calibri" w:cs="Cambria"/>
          <w:sz w:val="20"/>
          <w:szCs w:val="20"/>
          <w:lang w:val="en-US" w:eastAsia="en-US"/>
        </w:rPr>
        <w:t>, “</w:t>
      </w:r>
      <w:r w:rsidR="006D5B7D" w:rsidRPr="00012C3F">
        <w:rPr>
          <w:rFonts w:eastAsia="Calibri" w:cs="Cambria"/>
          <w:sz w:val="20"/>
          <w:szCs w:val="20"/>
          <w:lang w:val="en-US" w:eastAsia="en-US"/>
        </w:rPr>
        <w:t xml:space="preserve">it is evident that the arguments and case law sources by which the State seeks to comply with the requirement to prove the appropriateness and effectiveness of the </w:t>
      </w:r>
      <w:r w:rsidR="00FA56FE" w:rsidRPr="00012C3F">
        <w:rPr>
          <w:rFonts w:eastAsia="Calibri" w:cs="Cambria"/>
          <w:sz w:val="20"/>
          <w:szCs w:val="20"/>
          <w:lang w:val="en-US" w:eastAsia="en-US"/>
        </w:rPr>
        <w:t>application for amparo</w:t>
      </w:r>
      <w:r w:rsidR="006D5B7D" w:rsidRPr="00012C3F">
        <w:rPr>
          <w:rFonts w:eastAsia="Calibri" w:cs="Cambria"/>
          <w:sz w:val="20"/>
          <w:szCs w:val="20"/>
          <w:lang w:val="en-US" w:eastAsia="en-US"/>
        </w:rPr>
        <w:t xml:space="preserve"> are different in the two briefs.” Consequently, the Commission concluded that “the arguments presented before </w:t>
      </w:r>
      <w:r w:rsidR="001254DE" w:rsidRPr="00012C3F">
        <w:rPr>
          <w:rFonts w:eastAsia="Calibri" w:cs="Cambria"/>
          <w:sz w:val="20"/>
          <w:szCs w:val="20"/>
          <w:lang w:val="en-US" w:eastAsia="en-US"/>
        </w:rPr>
        <w:t>the Inter-American Court</w:t>
      </w:r>
      <w:r w:rsidR="00821074" w:rsidRPr="00012C3F">
        <w:rPr>
          <w:rFonts w:eastAsia="Calibri" w:cs="Cambria"/>
          <w:sz w:val="20"/>
          <w:szCs w:val="20"/>
          <w:lang w:val="en-US" w:eastAsia="en-US"/>
        </w:rPr>
        <w:t xml:space="preserve"> </w:t>
      </w:r>
      <w:r w:rsidR="006D5B7D" w:rsidRPr="00012C3F">
        <w:rPr>
          <w:rFonts w:eastAsia="Calibri" w:cs="Cambria"/>
          <w:sz w:val="20"/>
          <w:szCs w:val="20"/>
          <w:lang w:val="en-US" w:eastAsia="en-US"/>
        </w:rPr>
        <w:t xml:space="preserve">to justify the failure to exhaust the </w:t>
      </w:r>
      <w:r w:rsidR="00C16DEA" w:rsidRPr="00012C3F">
        <w:rPr>
          <w:rFonts w:eastAsia="Calibri" w:cs="Cambria"/>
          <w:sz w:val="20"/>
          <w:szCs w:val="20"/>
          <w:lang w:val="en-US" w:eastAsia="en-US"/>
        </w:rPr>
        <w:t xml:space="preserve">application for constitutional </w:t>
      </w:r>
      <w:r w:rsidR="0013059C" w:rsidRPr="00012C3F">
        <w:rPr>
          <w:rFonts w:eastAsia="Calibri" w:cs="Cambria"/>
          <w:sz w:val="20"/>
          <w:szCs w:val="20"/>
          <w:lang w:val="en-US" w:eastAsia="en-US"/>
        </w:rPr>
        <w:t>amparo</w:t>
      </w:r>
      <w:r w:rsidR="006D5B7D" w:rsidRPr="00012C3F">
        <w:rPr>
          <w:rFonts w:eastAsia="Calibri" w:cs="Cambria"/>
          <w:sz w:val="20"/>
          <w:szCs w:val="20"/>
          <w:lang w:val="en-US" w:eastAsia="en-US"/>
        </w:rPr>
        <w:t xml:space="preserve"> </w:t>
      </w:r>
      <w:r w:rsidR="00DA4A46">
        <w:rPr>
          <w:rFonts w:eastAsia="Calibri" w:cs="Cambria"/>
          <w:sz w:val="20"/>
          <w:szCs w:val="20"/>
          <w:lang w:val="en-US" w:eastAsia="en-US"/>
        </w:rPr>
        <w:t>we</w:t>
      </w:r>
      <w:r w:rsidR="006D5B7D" w:rsidRPr="00012C3F">
        <w:rPr>
          <w:rFonts w:eastAsia="Calibri" w:cs="Cambria"/>
          <w:sz w:val="20"/>
          <w:szCs w:val="20"/>
          <w:lang w:val="en-US" w:eastAsia="en-US"/>
        </w:rPr>
        <w:t>re time-barred.”</w:t>
      </w:r>
    </w:p>
    <w:p w14:paraId="4A390255" w14:textId="77777777" w:rsidR="00821074" w:rsidRPr="00012C3F" w:rsidRDefault="00821074" w:rsidP="00821074">
      <w:pPr>
        <w:widowControl/>
        <w:autoSpaceDE w:val="0"/>
        <w:autoSpaceDN w:val="0"/>
        <w:spacing w:line="240" w:lineRule="auto"/>
        <w:textAlignment w:val="auto"/>
        <w:rPr>
          <w:rFonts w:eastAsia="Calibri" w:cs="Cambria"/>
          <w:sz w:val="20"/>
          <w:szCs w:val="20"/>
          <w:lang w:val="en-US" w:eastAsia="en-US"/>
        </w:rPr>
      </w:pPr>
    </w:p>
    <w:p w14:paraId="081B47A8" w14:textId="77777777" w:rsidR="00CD1FFA" w:rsidRPr="00012C3F" w:rsidRDefault="0013059C" w:rsidP="006D5B7D">
      <w:pPr>
        <w:numPr>
          <w:ilvl w:val="0"/>
          <w:numId w:val="5"/>
        </w:numPr>
        <w:tabs>
          <w:tab w:val="left" w:pos="720"/>
          <w:tab w:val="num" w:pos="12305"/>
        </w:tabs>
        <w:spacing w:line="240" w:lineRule="auto"/>
        <w:ind w:left="0" w:firstLine="0"/>
        <w:rPr>
          <w:rFonts w:eastAsia="Calibri" w:cs="Arial"/>
          <w:sz w:val="20"/>
          <w:szCs w:val="20"/>
          <w:lang w:val="en-US" w:eastAsia="en-US"/>
        </w:rPr>
      </w:pPr>
      <w:r w:rsidRPr="00012C3F">
        <w:rPr>
          <w:rFonts w:eastAsia="Calibri" w:cs="Cambria"/>
          <w:sz w:val="20"/>
          <w:szCs w:val="20"/>
          <w:lang w:val="en-US" w:eastAsia="en-US"/>
        </w:rPr>
        <w:t>Additionally</w:t>
      </w:r>
      <w:r w:rsidR="00821074" w:rsidRPr="00012C3F">
        <w:rPr>
          <w:rFonts w:eastAsia="Calibri" w:cs="Cambria"/>
          <w:sz w:val="20"/>
          <w:szCs w:val="20"/>
          <w:lang w:val="en-US" w:eastAsia="en-US"/>
        </w:rPr>
        <w:t xml:space="preserve">, </w:t>
      </w:r>
      <w:r w:rsidR="001254DE" w:rsidRPr="00012C3F">
        <w:rPr>
          <w:rFonts w:eastAsia="Calibri" w:cs="Cambria"/>
          <w:sz w:val="20"/>
          <w:szCs w:val="20"/>
          <w:lang w:val="en-US" w:eastAsia="en-US"/>
        </w:rPr>
        <w:t xml:space="preserve">the </w:t>
      </w:r>
      <w:r w:rsidR="00A84CA0" w:rsidRPr="00012C3F">
        <w:rPr>
          <w:rFonts w:eastAsia="Calibri" w:cs="Cambria"/>
          <w:sz w:val="20"/>
          <w:szCs w:val="20"/>
          <w:lang w:val="en-US" w:eastAsia="en-US"/>
        </w:rPr>
        <w:t>Commission</w:t>
      </w:r>
      <w:r w:rsidR="00821074" w:rsidRPr="00012C3F">
        <w:rPr>
          <w:rFonts w:eastAsia="Calibri" w:cs="Cambria"/>
          <w:sz w:val="20"/>
          <w:szCs w:val="20"/>
          <w:lang w:val="en-US" w:eastAsia="en-US"/>
        </w:rPr>
        <w:t xml:space="preserve"> reiter</w:t>
      </w:r>
      <w:r w:rsidR="00CD1FFA" w:rsidRPr="00012C3F">
        <w:rPr>
          <w:rFonts w:eastAsia="Calibri" w:cs="Cambria"/>
          <w:sz w:val="20"/>
          <w:szCs w:val="20"/>
          <w:lang w:val="en-US" w:eastAsia="en-US"/>
        </w:rPr>
        <w:t>ated</w:t>
      </w:r>
      <w:r w:rsidR="00821074" w:rsidRPr="00012C3F">
        <w:rPr>
          <w:rFonts w:eastAsia="Calibri" w:cs="Cambria"/>
          <w:sz w:val="20"/>
          <w:szCs w:val="20"/>
          <w:lang w:val="en-US" w:eastAsia="en-US"/>
        </w:rPr>
        <w:t xml:space="preserve"> “</w:t>
      </w:r>
      <w:r w:rsidR="00CD1FFA" w:rsidRPr="00012C3F">
        <w:rPr>
          <w:rFonts w:eastAsia="Calibri" w:cs="Cambria"/>
          <w:sz w:val="20"/>
          <w:szCs w:val="20"/>
          <w:lang w:val="en-US" w:eastAsia="en-US"/>
        </w:rPr>
        <w:t xml:space="preserve">all aspects of the analysis made in its </w:t>
      </w:r>
      <w:r w:rsidR="00E00902" w:rsidRPr="00012C3F">
        <w:rPr>
          <w:rFonts w:eastAsia="Calibri" w:cs="Cambria"/>
          <w:sz w:val="20"/>
          <w:szCs w:val="20"/>
          <w:lang w:val="en-US" w:eastAsia="en-US"/>
        </w:rPr>
        <w:t>Admissibility Report</w:t>
      </w:r>
      <w:r w:rsidR="00821074" w:rsidRPr="00012C3F">
        <w:rPr>
          <w:rFonts w:eastAsia="Calibri" w:cs="Cambria"/>
          <w:sz w:val="20"/>
          <w:szCs w:val="20"/>
          <w:lang w:val="en-US" w:eastAsia="en-US"/>
        </w:rPr>
        <w:t xml:space="preserve">, </w:t>
      </w:r>
      <w:r w:rsidR="00CD1FFA" w:rsidRPr="00012C3F">
        <w:rPr>
          <w:rFonts w:eastAsia="Calibri" w:cs="Cambria"/>
          <w:sz w:val="20"/>
          <w:szCs w:val="20"/>
          <w:lang w:val="en-US" w:eastAsia="en-US"/>
        </w:rPr>
        <w:t>which was based on the information available at t</w:t>
      </w:r>
      <w:r w:rsidRPr="00012C3F">
        <w:rPr>
          <w:rFonts w:eastAsia="Calibri" w:cs="Cambria"/>
          <w:sz w:val="20"/>
          <w:szCs w:val="20"/>
          <w:lang w:val="en-US" w:eastAsia="en-US"/>
        </w:rPr>
        <w:t>he</w:t>
      </w:r>
      <w:r w:rsidR="00CD1FFA" w:rsidRPr="00012C3F">
        <w:rPr>
          <w:rFonts w:eastAsia="Calibri" w:cs="Cambria"/>
          <w:sz w:val="20"/>
          <w:szCs w:val="20"/>
          <w:lang w:val="en-US" w:eastAsia="en-US"/>
        </w:rPr>
        <w:t xml:space="preserve"> time, as well as on the treaty-based and regulatory </w:t>
      </w:r>
      <w:r w:rsidRPr="00012C3F">
        <w:rPr>
          <w:rFonts w:eastAsia="Calibri" w:cs="Cambria"/>
          <w:sz w:val="20"/>
          <w:szCs w:val="20"/>
          <w:lang w:val="en-US" w:eastAsia="en-US"/>
        </w:rPr>
        <w:t>provisions</w:t>
      </w:r>
      <w:r w:rsidR="00CD1FFA" w:rsidRPr="00012C3F">
        <w:rPr>
          <w:rFonts w:eastAsia="Calibri" w:cs="Cambria"/>
          <w:sz w:val="20"/>
          <w:szCs w:val="20"/>
          <w:lang w:val="en-US" w:eastAsia="en-US"/>
        </w:rPr>
        <w:t xml:space="preserve"> that </w:t>
      </w:r>
      <w:r w:rsidR="008D7D5E" w:rsidRPr="00012C3F">
        <w:rPr>
          <w:rFonts w:eastAsia="Calibri" w:cs="Cambria"/>
          <w:sz w:val="20"/>
          <w:szCs w:val="20"/>
          <w:lang w:val="en-US" w:eastAsia="en-US"/>
        </w:rPr>
        <w:t>govern the</w:t>
      </w:r>
      <w:r w:rsidR="00CD1FFA" w:rsidRPr="00012C3F">
        <w:rPr>
          <w:rFonts w:eastAsia="Calibri" w:cs="Cambria"/>
          <w:sz w:val="20"/>
          <w:szCs w:val="20"/>
          <w:lang w:val="en-US" w:eastAsia="en-US"/>
        </w:rPr>
        <w:t xml:space="preserve"> burden of proof</w:t>
      </w:r>
      <w:r w:rsidR="008D7D5E" w:rsidRPr="00012C3F">
        <w:rPr>
          <w:rFonts w:eastAsia="Calibri" w:cs="Cambria"/>
          <w:sz w:val="20"/>
          <w:szCs w:val="20"/>
          <w:lang w:val="en-US" w:eastAsia="en-US"/>
        </w:rPr>
        <w:t xml:space="preserve"> in this matter</w:t>
      </w:r>
      <w:r w:rsidR="00CD1FFA" w:rsidRPr="00012C3F">
        <w:rPr>
          <w:rFonts w:eastAsia="Calibri" w:cs="Cambria"/>
          <w:sz w:val="20"/>
          <w:szCs w:val="20"/>
          <w:lang w:val="en-US" w:eastAsia="en-US"/>
        </w:rPr>
        <w:t xml:space="preserve"> and that grant it the pri</w:t>
      </w:r>
      <w:r w:rsidR="008D7D5E" w:rsidRPr="00012C3F">
        <w:rPr>
          <w:rFonts w:eastAsia="Calibri" w:cs="Cambria"/>
          <w:sz w:val="20"/>
          <w:szCs w:val="20"/>
          <w:lang w:val="en-US" w:eastAsia="en-US"/>
        </w:rPr>
        <w:t>mary</w:t>
      </w:r>
      <w:r w:rsidR="00CD1FFA" w:rsidRPr="00012C3F">
        <w:rPr>
          <w:rFonts w:eastAsia="Calibri" w:cs="Cambria"/>
          <w:sz w:val="20"/>
          <w:szCs w:val="20"/>
          <w:lang w:val="en-US" w:eastAsia="en-US"/>
        </w:rPr>
        <w:t xml:space="preserve"> authority to rule on the requirements for admissibility of petitions.” Also, the Commission emphasized that the petitioner had indicated that, in Bolivia, no judgment</w:t>
      </w:r>
      <w:r w:rsidR="008D7D5E" w:rsidRPr="00012C3F">
        <w:rPr>
          <w:rFonts w:eastAsia="Calibri" w:cs="Cambria"/>
          <w:sz w:val="20"/>
          <w:szCs w:val="20"/>
          <w:lang w:val="en-US" w:eastAsia="en-US"/>
        </w:rPr>
        <w:t xml:space="preserve"> reversing an application of the extinction of the criminal action had been handed down in an amparo proceeding,</w:t>
      </w:r>
      <w:r w:rsidR="00CD1FFA" w:rsidRPr="00012C3F">
        <w:rPr>
          <w:rFonts w:eastAsia="Calibri" w:cs="Cambria"/>
          <w:sz w:val="20"/>
          <w:szCs w:val="20"/>
          <w:lang w:val="en-US" w:eastAsia="en-US"/>
        </w:rPr>
        <w:t xml:space="preserve"> and that the State had not contested the petitioner’s argument regarding the </w:t>
      </w:r>
      <w:r w:rsidR="008D7D5E" w:rsidRPr="00012C3F">
        <w:rPr>
          <w:rFonts w:eastAsia="Calibri" w:cs="Cambria"/>
          <w:sz w:val="20"/>
          <w:szCs w:val="20"/>
          <w:lang w:val="en-US" w:eastAsia="en-US"/>
        </w:rPr>
        <w:t>in</w:t>
      </w:r>
      <w:r w:rsidR="00CD1FFA" w:rsidRPr="00012C3F">
        <w:rPr>
          <w:rFonts w:eastAsia="Calibri" w:cs="Cambria"/>
          <w:sz w:val="20"/>
          <w:szCs w:val="20"/>
          <w:lang w:val="en-US" w:eastAsia="en-US"/>
        </w:rPr>
        <w:t xml:space="preserve">effectiveness of the </w:t>
      </w:r>
      <w:r w:rsidR="00FA56FE" w:rsidRPr="00012C3F">
        <w:rPr>
          <w:rFonts w:eastAsia="Calibri" w:cs="Cambria"/>
          <w:sz w:val="20"/>
          <w:szCs w:val="20"/>
          <w:lang w:val="en-US" w:eastAsia="en-US"/>
        </w:rPr>
        <w:t>application for amparo</w:t>
      </w:r>
      <w:r w:rsidR="00CD1FFA" w:rsidRPr="00012C3F">
        <w:rPr>
          <w:rFonts w:eastAsia="Calibri" w:cs="Cambria"/>
          <w:sz w:val="20"/>
          <w:szCs w:val="20"/>
          <w:lang w:val="en-US" w:eastAsia="en-US"/>
        </w:rPr>
        <w:t xml:space="preserve"> for cases such as that of I.V., even though it </w:t>
      </w:r>
      <w:r w:rsidR="002E41C7" w:rsidRPr="00012C3F">
        <w:rPr>
          <w:rFonts w:eastAsia="Calibri" w:cs="Cambria"/>
          <w:sz w:val="20"/>
          <w:szCs w:val="20"/>
          <w:lang w:val="en-US" w:eastAsia="en-US"/>
        </w:rPr>
        <w:t>was appropriate</w:t>
      </w:r>
      <w:r w:rsidR="00CD1FFA" w:rsidRPr="00012C3F">
        <w:rPr>
          <w:rFonts w:eastAsia="Calibri" w:cs="Cambria"/>
          <w:sz w:val="20"/>
          <w:szCs w:val="20"/>
          <w:lang w:val="en-US" w:eastAsia="en-US"/>
        </w:rPr>
        <w:t xml:space="preserve"> </w:t>
      </w:r>
      <w:r w:rsidR="002E41C7" w:rsidRPr="00012C3F">
        <w:rPr>
          <w:rFonts w:eastAsia="Calibri" w:cs="Cambria"/>
          <w:sz w:val="20"/>
          <w:szCs w:val="20"/>
          <w:lang w:val="en-US" w:eastAsia="en-US"/>
        </w:rPr>
        <w:t>in accordance</w:t>
      </w:r>
      <w:r w:rsidR="00CD1FFA" w:rsidRPr="00012C3F">
        <w:rPr>
          <w:rFonts w:eastAsia="Calibri" w:cs="Cambria"/>
          <w:sz w:val="20"/>
          <w:szCs w:val="20"/>
          <w:lang w:val="en-US" w:eastAsia="en-US"/>
        </w:rPr>
        <w:t xml:space="preserve"> with the </w:t>
      </w:r>
      <w:r w:rsidR="00A56563" w:rsidRPr="00012C3F">
        <w:rPr>
          <w:rFonts w:eastAsia="Calibri" w:cs="Cambria"/>
          <w:sz w:val="20"/>
          <w:szCs w:val="20"/>
          <w:lang w:val="en-US" w:eastAsia="en-US"/>
        </w:rPr>
        <w:t>burden of proof applicable</w:t>
      </w:r>
      <w:r w:rsidR="00CD1FFA" w:rsidRPr="00012C3F">
        <w:rPr>
          <w:rFonts w:eastAsia="Calibri" w:cs="Cambria"/>
          <w:sz w:val="20"/>
          <w:szCs w:val="20"/>
          <w:lang w:val="en-US" w:eastAsia="en-US"/>
        </w:rPr>
        <w:t xml:space="preserve"> in these circumstances</w:t>
      </w:r>
      <w:r w:rsidR="002E41C7" w:rsidRPr="00012C3F">
        <w:rPr>
          <w:rFonts w:eastAsia="Calibri" w:cs="Cambria"/>
          <w:sz w:val="20"/>
          <w:szCs w:val="20"/>
          <w:lang w:val="en-US" w:eastAsia="en-US"/>
        </w:rPr>
        <w:t xml:space="preserve">. Thus, </w:t>
      </w:r>
      <w:r w:rsidR="00CD1FFA" w:rsidRPr="00012C3F">
        <w:rPr>
          <w:rFonts w:eastAsia="Calibri" w:cs="Cambria"/>
          <w:sz w:val="20"/>
          <w:szCs w:val="20"/>
          <w:lang w:val="en-US" w:eastAsia="en-US"/>
        </w:rPr>
        <w:t xml:space="preserve">“at the time of its ruling, the information available to the Commission indicated that I.V. had exhausted all the ordinary remedies </w:t>
      </w:r>
      <w:r w:rsidR="00A56563" w:rsidRPr="00012C3F">
        <w:rPr>
          <w:rFonts w:eastAsia="Calibri" w:cs="Cambria"/>
          <w:sz w:val="20"/>
          <w:szCs w:val="20"/>
          <w:lang w:val="en-US" w:eastAsia="en-US"/>
        </w:rPr>
        <w:t>during</w:t>
      </w:r>
      <w:r w:rsidR="00CD1FFA" w:rsidRPr="00012C3F">
        <w:rPr>
          <w:rFonts w:eastAsia="Calibri" w:cs="Cambria"/>
          <w:sz w:val="20"/>
          <w:szCs w:val="20"/>
          <w:lang w:val="en-US" w:eastAsia="en-US"/>
        </w:rPr>
        <w:t xml:space="preserve"> the criminal proceedings.” In these circumstances, the Commission determined that “the State </w:t>
      </w:r>
      <w:r w:rsidR="00A56563" w:rsidRPr="00012C3F">
        <w:rPr>
          <w:rFonts w:eastAsia="Calibri" w:cs="Cambria"/>
          <w:sz w:val="20"/>
          <w:szCs w:val="20"/>
          <w:lang w:val="en-US" w:eastAsia="en-US"/>
        </w:rPr>
        <w:t>failed to</w:t>
      </w:r>
      <w:r w:rsidR="00CD1FFA" w:rsidRPr="00012C3F">
        <w:rPr>
          <w:rFonts w:eastAsia="Calibri" w:cs="Cambria"/>
          <w:sz w:val="20"/>
          <w:szCs w:val="20"/>
          <w:lang w:val="en-US" w:eastAsia="en-US"/>
        </w:rPr>
        <w:t xml:space="preserve"> prove, at the proper procedural opportunity and pursuant to the rules </w:t>
      </w:r>
      <w:r w:rsidR="00A56563" w:rsidRPr="00012C3F">
        <w:rPr>
          <w:rFonts w:eastAsia="Calibri" w:cs="Cambria"/>
          <w:sz w:val="20"/>
          <w:szCs w:val="20"/>
          <w:lang w:val="en-US" w:eastAsia="en-US"/>
        </w:rPr>
        <w:t>for</w:t>
      </w:r>
      <w:r w:rsidR="00CD1FFA" w:rsidRPr="00012C3F">
        <w:rPr>
          <w:rFonts w:eastAsia="Calibri" w:cs="Cambria"/>
          <w:sz w:val="20"/>
          <w:szCs w:val="20"/>
          <w:lang w:val="en-US" w:eastAsia="en-US"/>
        </w:rPr>
        <w:t xml:space="preserve"> the burden of proof applicable to the objection of the failure to exhaust domestic remedies, that the </w:t>
      </w:r>
      <w:r w:rsidR="00FA56FE" w:rsidRPr="00012C3F">
        <w:rPr>
          <w:rFonts w:eastAsia="Calibri" w:cs="Cambria"/>
          <w:sz w:val="20"/>
          <w:szCs w:val="20"/>
          <w:lang w:val="en-US" w:eastAsia="en-US"/>
        </w:rPr>
        <w:t>application for amparo</w:t>
      </w:r>
      <w:r w:rsidR="00CD1FFA" w:rsidRPr="00012C3F">
        <w:rPr>
          <w:rFonts w:eastAsia="Calibri" w:cs="Cambria"/>
          <w:sz w:val="20"/>
          <w:szCs w:val="20"/>
          <w:lang w:val="en-US" w:eastAsia="en-US"/>
        </w:rPr>
        <w:t xml:space="preserve"> </w:t>
      </w:r>
      <w:r w:rsidR="00A56563" w:rsidRPr="00012C3F">
        <w:rPr>
          <w:rFonts w:eastAsia="Calibri" w:cs="Cambria"/>
          <w:sz w:val="20"/>
          <w:szCs w:val="20"/>
          <w:lang w:val="en-US" w:eastAsia="en-US"/>
        </w:rPr>
        <w:t>would have been</w:t>
      </w:r>
      <w:r w:rsidR="00CD1FFA" w:rsidRPr="00012C3F">
        <w:rPr>
          <w:rFonts w:eastAsia="Calibri" w:cs="Cambria"/>
          <w:sz w:val="20"/>
          <w:szCs w:val="20"/>
          <w:lang w:val="en-US" w:eastAsia="en-US"/>
        </w:rPr>
        <w:t xml:space="preserve"> appropriate and effective in this case.” </w:t>
      </w:r>
      <w:r w:rsidR="002E2489" w:rsidRPr="00012C3F">
        <w:rPr>
          <w:rFonts w:eastAsia="Calibri" w:cs="Cambria"/>
          <w:sz w:val="20"/>
          <w:szCs w:val="20"/>
          <w:lang w:val="en-US" w:eastAsia="en-US"/>
        </w:rPr>
        <w:t>Consequently</w:t>
      </w:r>
      <w:r w:rsidR="00CD1FFA" w:rsidRPr="00012C3F">
        <w:rPr>
          <w:rFonts w:eastAsia="Calibri" w:cs="Cambria"/>
          <w:sz w:val="20"/>
          <w:szCs w:val="20"/>
          <w:lang w:val="en-US" w:eastAsia="en-US"/>
        </w:rPr>
        <w:t xml:space="preserve">, in the Commission’s opinion, I.V. had exhausted the domestic remedies. </w:t>
      </w:r>
    </w:p>
    <w:p w14:paraId="1998A42B" w14:textId="77777777" w:rsidR="00821074" w:rsidRPr="00012C3F" w:rsidRDefault="00821074" w:rsidP="00821074">
      <w:pPr>
        <w:widowControl/>
        <w:tabs>
          <w:tab w:val="left" w:pos="567"/>
        </w:tabs>
        <w:autoSpaceDE w:val="0"/>
        <w:autoSpaceDN w:val="0"/>
        <w:adjustRightInd/>
        <w:spacing w:line="240" w:lineRule="auto"/>
        <w:textAlignment w:val="auto"/>
        <w:rPr>
          <w:rFonts w:eastAsia="Calibri" w:cs="Arial"/>
          <w:sz w:val="20"/>
          <w:szCs w:val="20"/>
          <w:lang w:val="en-US" w:eastAsia="en-US"/>
        </w:rPr>
      </w:pPr>
    </w:p>
    <w:p w14:paraId="0FDEB893" w14:textId="77777777" w:rsidR="002E41C7" w:rsidRPr="00012C3F" w:rsidRDefault="002E41C7" w:rsidP="002E41C7">
      <w:pPr>
        <w:numPr>
          <w:ilvl w:val="0"/>
          <w:numId w:val="5"/>
        </w:numPr>
        <w:tabs>
          <w:tab w:val="left" w:pos="720"/>
          <w:tab w:val="num" w:pos="12305"/>
        </w:tabs>
        <w:spacing w:line="240" w:lineRule="auto"/>
        <w:ind w:left="0" w:firstLine="0"/>
        <w:rPr>
          <w:rFonts w:eastAsia="Calibri" w:cs="Arial"/>
          <w:sz w:val="20"/>
          <w:szCs w:val="20"/>
          <w:lang w:val="en-US" w:eastAsia="en-US"/>
        </w:rPr>
      </w:pPr>
      <w:r w:rsidRPr="00012C3F">
        <w:rPr>
          <w:rFonts w:eastAsia="Calibri" w:cs="Cambria"/>
          <w:sz w:val="20"/>
          <w:szCs w:val="20"/>
          <w:lang w:val="en-US" w:eastAsia="en-US"/>
        </w:rPr>
        <w:t xml:space="preserve">Regarding the State’s argument that the State cannot be required to abide by the arguments made at the admissibility stage in the proceedings before the Court, the Commission stressed that this requirement </w:t>
      </w:r>
      <w:r w:rsidR="00A56563" w:rsidRPr="00012C3F">
        <w:rPr>
          <w:rFonts w:eastAsia="Calibri" w:cs="Cambria"/>
          <w:sz w:val="20"/>
          <w:szCs w:val="20"/>
          <w:lang w:val="en-US" w:eastAsia="en-US"/>
        </w:rPr>
        <w:t>is in keeping with</w:t>
      </w:r>
      <w:r w:rsidRPr="00012C3F">
        <w:rPr>
          <w:rFonts w:eastAsia="Calibri" w:cs="Cambria"/>
          <w:sz w:val="20"/>
          <w:szCs w:val="20"/>
          <w:lang w:val="en-US" w:eastAsia="en-US"/>
        </w:rPr>
        <w:t xml:space="preserve"> the Court’s case law and constitutes a basic expression of the principles of “equality of arms” and legal certainty</w:t>
      </w:r>
      <w:r w:rsidR="00921FDB">
        <w:rPr>
          <w:rFonts w:eastAsia="Calibri" w:cs="Cambria"/>
          <w:sz w:val="20"/>
          <w:szCs w:val="20"/>
          <w:lang w:val="en-US" w:eastAsia="en-US"/>
        </w:rPr>
        <w:t xml:space="preserve"> that</w:t>
      </w:r>
      <w:r w:rsidRPr="00012C3F">
        <w:rPr>
          <w:rFonts w:eastAsia="Calibri" w:cs="Cambria"/>
          <w:sz w:val="20"/>
          <w:szCs w:val="20"/>
          <w:lang w:val="en-US" w:eastAsia="en-US"/>
        </w:rPr>
        <w:t xml:space="preserve"> appl</w:t>
      </w:r>
      <w:r w:rsidR="00921FDB">
        <w:rPr>
          <w:rFonts w:eastAsia="Calibri" w:cs="Cambria"/>
          <w:sz w:val="20"/>
          <w:szCs w:val="20"/>
          <w:lang w:val="en-US" w:eastAsia="en-US"/>
        </w:rPr>
        <w:t>y</w:t>
      </w:r>
      <w:r w:rsidRPr="00012C3F">
        <w:rPr>
          <w:rFonts w:eastAsia="Calibri" w:cs="Cambria"/>
          <w:sz w:val="20"/>
          <w:szCs w:val="20"/>
          <w:lang w:val="en-US" w:eastAsia="en-US"/>
        </w:rPr>
        <w:t xml:space="preserve"> to the inter-American procedure. Lastly, it emphasized that “a decision to the contrary would mean that the</w:t>
      </w:r>
      <w:r w:rsidRPr="00012C3F">
        <w:rPr>
          <w:rFonts w:eastAsia="Calibri" w:cs="Arial"/>
          <w:sz w:val="20"/>
          <w:szCs w:val="20"/>
          <w:lang w:val="en-US" w:eastAsia="en-US"/>
        </w:rPr>
        <w:t xml:space="preserve"> </w:t>
      </w:r>
      <w:r w:rsidR="001254DE" w:rsidRPr="00012C3F">
        <w:rPr>
          <w:rFonts w:eastAsia="Calibri" w:cs="Cambria"/>
          <w:sz w:val="20"/>
          <w:szCs w:val="20"/>
          <w:lang w:val="en-US" w:eastAsia="en-US"/>
        </w:rPr>
        <w:t>Inter-American Court</w:t>
      </w:r>
      <w:r w:rsidR="00821074" w:rsidRPr="00012C3F">
        <w:rPr>
          <w:rFonts w:eastAsia="Calibri" w:cs="Cambria"/>
          <w:sz w:val="20"/>
          <w:szCs w:val="20"/>
          <w:lang w:val="en-US" w:eastAsia="en-US"/>
        </w:rPr>
        <w:t xml:space="preserve"> </w:t>
      </w:r>
      <w:r w:rsidRPr="00012C3F">
        <w:rPr>
          <w:rFonts w:eastAsia="Calibri" w:cs="Cambria"/>
          <w:sz w:val="20"/>
          <w:szCs w:val="20"/>
          <w:lang w:val="en-US" w:eastAsia="en-US"/>
        </w:rPr>
        <w:t>could rule on arguments relating to the requirement of exhaustion of domestic remedies that the Commission was unable to evaluate and that the petitioners did not have the opportunity to contest at the corresponding stage.”</w:t>
      </w:r>
    </w:p>
    <w:p w14:paraId="6E5BA6A8" w14:textId="77777777" w:rsidR="00821074" w:rsidRPr="00012C3F" w:rsidRDefault="00821074" w:rsidP="002E41C7">
      <w:pPr>
        <w:widowControl/>
        <w:tabs>
          <w:tab w:val="left" w:pos="720"/>
        </w:tabs>
        <w:autoSpaceDE w:val="0"/>
        <w:autoSpaceDN w:val="0"/>
        <w:adjustRightInd/>
        <w:spacing w:line="240" w:lineRule="auto"/>
        <w:textAlignment w:val="auto"/>
        <w:rPr>
          <w:rFonts w:eastAsia="MS Mincho" w:cs="Arial"/>
          <w:sz w:val="20"/>
          <w:szCs w:val="20"/>
          <w:lang w:val="en-US" w:eastAsia="en-US"/>
        </w:rPr>
      </w:pPr>
    </w:p>
    <w:p w14:paraId="4D157145" w14:textId="77777777" w:rsidR="00F254A5" w:rsidRPr="00012C3F" w:rsidRDefault="00972ACF" w:rsidP="002E41C7">
      <w:pPr>
        <w:numPr>
          <w:ilvl w:val="0"/>
          <w:numId w:val="5"/>
        </w:numPr>
        <w:tabs>
          <w:tab w:val="left" w:pos="720"/>
          <w:tab w:val="num" w:pos="12305"/>
        </w:tabs>
        <w:spacing w:line="240" w:lineRule="auto"/>
        <w:ind w:left="0" w:firstLine="0"/>
        <w:rPr>
          <w:rFonts w:eastAsia="MS Mincho" w:cs="Arial"/>
          <w:sz w:val="20"/>
          <w:szCs w:val="20"/>
          <w:lang w:val="en-US" w:eastAsia="en-US"/>
        </w:rPr>
      </w:pPr>
      <w:r w:rsidRPr="00012C3F">
        <w:rPr>
          <w:rFonts w:eastAsia="Calibri" w:cs="Cambria"/>
          <w:sz w:val="20"/>
          <w:szCs w:val="20"/>
          <w:lang w:val="en-US" w:eastAsia="en-US"/>
        </w:rPr>
        <w:t xml:space="preserve">The </w:t>
      </w:r>
      <w:r w:rsidR="004C6FCC" w:rsidRPr="00012C3F">
        <w:rPr>
          <w:rFonts w:eastAsia="Calibri" w:cs="Cambria"/>
          <w:sz w:val="20"/>
          <w:szCs w:val="20"/>
          <w:lang w:val="en-US" w:eastAsia="en-US"/>
        </w:rPr>
        <w:t xml:space="preserve">presumed victim’s </w:t>
      </w:r>
      <w:r w:rsidR="004C6FCC" w:rsidRPr="00012C3F">
        <w:rPr>
          <w:rFonts w:eastAsia="Calibri" w:cs="Cambria"/>
          <w:b/>
          <w:bCs/>
          <w:i/>
          <w:iCs/>
          <w:sz w:val="20"/>
          <w:szCs w:val="20"/>
          <w:lang w:val="en-US" w:eastAsia="en-US"/>
        </w:rPr>
        <w:t>representative</w:t>
      </w:r>
      <w:r w:rsidR="00F254A5" w:rsidRPr="00012C3F">
        <w:rPr>
          <w:rFonts w:eastAsia="MS Mincho" w:cs="Arial"/>
          <w:sz w:val="20"/>
          <w:szCs w:val="20"/>
          <w:lang w:val="en-US" w:eastAsia="en-US"/>
        </w:rPr>
        <w:t xml:space="preserve"> a</w:t>
      </w:r>
      <w:r w:rsidR="002E41C7" w:rsidRPr="00012C3F">
        <w:rPr>
          <w:rFonts w:eastAsia="MS Mincho" w:cs="Arial"/>
          <w:sz w:val="20"/>
          <w:szCs w:val="20"/>
          <w:lang w:val="en-US" w:eastAsia="en-US"/>
        </w:rPr>
        <w:t xml:space="preserve">rgued that the preliminary objection filed by the State before the Court did not correspond to the </w:t>
      </w:r>
      <w:r w:rsidR="00A56563" w:rsidRPr="00012C3F">
        <w:rPr>
          <w:rFonts w:eastAsia="MS Mincho" w:cs="Arial"/>
          <w:sz w:val="20"/>
          <w:szCs w:val="20"/>
          <w:lang w:val="en-US" w:eastAsia="en-US"/>
        </w:rPr>
        <w:t>objection</w:t>
      </w:r>
      <w:r w:rsidR="002E41C7" w:rsidRPr="00012C3F">
        <w:rPr>
          <w:rFonts w:eastAsia="MS Mincho" w:cs="Arial"/>
          <w:sz w:val="20"/>
          <w:szCs w:val="20"/>
          <w:lang w:val="en-US" w:eastAsia="en-US"/>
        </w:rPr>
        <w:t xml:space="preserve"> filed at the admissibility stage before the Commission. </w:t>
      </w:r>
      <w:r w:rsidR="00A56563" w:rsidRPr="00012C3F">
        <w:rPr>
          <w:rFonts w:eastAsia="MS Mincho" w:cs="Arial"/>
          <w:sz w:val="20"/>
          <w:szCs w:val="20"/>
          <w:lang w:val="en-US" w:eastAsia="en-US"/>
        </w:rPr>
        <w:t>She</w:t>
      </w:r>
      <w:r w:rsidR="002E41C7" w:rsidRPr="00012C3F">
        <w:rPr>
          <w:rFonts w:eastAsia="MS Mincho" w:cs="Arial"/>
          <w:sz w:val="20"/>
          <w:szCs w:val="20"/>
          <w:lang w:val="en-US" w:eastAsia="en-US"/>
        </w:rPr>
        <w:t xml:space="preserve"> indicated that the State had not filed any objection to the rule of the exhaustion of domestic remedies</w:t>
      </w:r>
      <w:r w:rsidR="00280806" w:rsidRPr="00012C3F">
        <w:rPr>
          <w:rFonts w:eastAsia="MS Mincho" w:cs="Arial"/>
          <w:sz w:val="20"/>
          <w:szCs w:val="20"/>
          <w:lang w:val="en-US" w:eastAsia="en-US"/>
        </w:rPr>
        <w:t xml:space="preserve"> based on the </w:t>
      </w:r>
      <w:r w:rsidR="00C16DEA" w:rsidRPr="00012C3F">
        <w:rPr>
          <w:rFonts w:eastAsia="MS Mincho" w:cs="Arial"/>
          <w:sz w:val="20"/>
          <w:szCs w:val="20"/>
          <w:lang w:val="en-US" w:eastAsia="en-US"/>
        </w:rPr>
        <w:t>cassation procedure</w:t>
      </w:r>
      <w:r w:rsidR="00280806" w:rsidRPr="00012C3F">
        <w:rPr>
          <w:rFonts w:eastAsia="MS Mincho" w:cs="Arial"/>
          <w:sz w:val="20"/>
          <w:szCs w:val="20"/>
          <w:lang w:val="en-US" w:eastAsia="en-US"/>
        </w:rPr>
        <w:t xml:space="preserve"> at the admissibility stage before the Commission</w:t>
      </w:r>
      <w:r w:rsidR="00A56563" w:rsidRPr="00012C3F">
        <w:rPr>
          <w:rFonts w:eastAsia="MS Mincho" w:cs="Arial"/>
          <w:sz w:val="20"/>
          <w:szCs w:val="20"/>
          <w:lang w:val="en-US" w:eastAsia="en-US"/>
        </w:rPr>
        <w:t>; consequently,</w:t>
      </w:r>
      <w:r w:rsidR="00280806" w:rsidRPr="00012C3F">
        <w:rPr>
          <w:rFonts w:eastAsia="MS Mincho" w:cs="Arial"/>
          <w:sz w:val="20"/>
          <w:szCs w:val="20"/>
          <w:lang w:val="en-US" w:eastAsia="en-US"/>
        </w:rPr>
        <w:t xml:space="preserve"> filing an objection related to this remedy at the present procedural stage was time-barred. In addition, she a</w:t>
      </w:r>
      <w:r w:rsidR="00921FDB">
        <w:rPr>
          <w:rFonts w:eastAsia="MS Mincho" w:cs="Arial"/>
          <w:sz w:val="20"/>
          <w:szCs w:val="20"/>
          <w:lang w:val="en-US" w:eastAsia="en-US"/>
        </w:rPr>
        <w:t>rgue</w:t>
      </w:r>
      <w:r w:rsidR="00280806" w:rsidRPr="00012C3F">
        <w:rPr>
          <w:rFonts w:eastAsia="MS Mincho" w:cs="Arial"/>
          <w:sz w:val="20"/>
          <w:szCs w:val="20"/>
          <w:lang w:val="en-US" w:eastAsia="en-US"/>
        </w:rPr>
        <w:t xml:space="preserve">d that the </w:t>
      </w:r>
      <w:r w:rsidR="00C16DEA" w:rsidRPr="00012C3F">
        <w:rPr>
          <w:rFonts w:eastAsia="MS Mincho" w:cs="Arial"/>
          <w:sz w:val="20"/>
          <w:szCs w:val="20"/>
          <w:lang w:val="en-US" w:eastAsia="en-US"/>
        </w:rPr>
        <w:t>cassation procedure</w:t>
      </w:r>
      <w:r w:rsidR="00280806" w:rsidRPr="00012C3F">
        <w:rPr>
          <w:rFonts w:eastAsia="MS Mincho" w:cs="Arial"/>
          <w:sz w:val="20"/>
          <w:szCs w:val="20"/>
          <w:lang w:val="en-US" w:eastAsia="en-US"/>
        </w:rPr>
        <w:t xml:space="preserve"> </w:t>
      </w:r>
      <w:r w:rsidR="00A56563" w:rsidRPr="00012C3F">
        <w:rPr>
          <w:rFonts w:eastAsia="MS Mincho" w:cs="Arial"/>
          <w:sz w:val="20"/>
          <w:szCs w:val="20"/>
          <w:lang w:val="en-US" w:eastAsia="en-US"/>
        </w:rPr>
        <w:t>wa</w:t>
      </w:r>
      <w:r w:rsidR="00280806" w:rsidRPr="00012C3F">
        <w:rPr>
          <w:rFonts w:eastAsia="MS Mincho" w:cs="Arial"/>
          <w:sz w:val="20"/>
          <w:szCs w:val="20"/>
          <w:lang w:val="en-US" w:eastAsia="en-US"/>
        </w:rPr>
        <w:t xml:space="preserve">s reserved for contesting </w:t>
      </w:r>
      <w:r w:rsidR="0014280F" w:rsidRPr="00012C3F">
        <w:rPr>
          <w:rFonts w:eastAsia="MS Mincho" w:cs="Arial"/>
          <w:sz w:val="20"/>
          <w:szCs w:val="20"/>
          <w:lang w:val="en-US" w:eastAsia="en-US"/>
        </w:rPr>
        <w:t>rulings</w:t>
      </w:r>
      <w:r w:rsidR="00280806" w:rsidRPr="00012C3F">
        <w:rPr>
          <w:rFonts w:eastAsia="MS Mincho" w:cs="Arial"/>
          <w:sz w:val="20"/>
          <w:szCs w:val="20"/>
          <w:lang w:val="en-US" w:eastAsia="en-US"/>
        </w:rPr>
        <w:t xml:space="preserve"> that decide restricted appeals</w:t>
      </w:r>
      <w:r w:rsidR="00433F5D" w:rsidRPr="00012C3F">
        <w:rPr>
          <w:rFonts w:eastAsia="MS Mincho" w:cs="Arial"/>
          <w:sz w:val="20"/>
          <w:szCs w:val="20"/>
          <w:lang w:val="en-US" w:eastAsia="en-US"/>
        </w:rPr>
        <w:t>,</w:t>
      </w:r>
      <w:r w:rsidR="00280806" w:rsidRPr="00012C3F">
        <w:rPr>
          <w:rFonts w:eastAsia="MS Mincho" w:cs="Arial"/>
          <w:sz w:val="20"/>
          <w:szCs w:val="20"/>
          <w:lang w:val="en-US" w:eastAsia="en-US"/>
        </w:rPr>
        <w:t xml:space="preserve"> and not an incidental appeal as in this case with R</w:t>
      </w:r>
      <w:r w:rsidR="0014280F" w:rsidRPr="00012C3F">
        <w:rPr>
          <w:rFonts w:eastAsia="MS Mincho" w:cs="Arial"/>
          <w:sz w:val="20"/>
          <w:szCs w:val="20"/>
          <w:lang w:val="en-US" w:eastAsia="en-US"/>
        </w:rPr>
        <w:t>uling</w:t>
      </w:r>
      <w:r w:rsidR="00280806" w:rsidRPr="00012C3F">
        <w:rPr>
          <w:rFonts w:eastAsia="MS Mincho" w:cs="Arial"/>
          <w:sz w:val="20"/>
          <w:szCs w:val="20"/>
          <w:lang w:val="en-US" w:eastAsia="en-US"/>
        </w:rPr>
        <w:t xml:space="preserve"> 514/2006, which was the judgment delivered by the First Criminal Chamber of the La Paz Superior Court of Justice</w:t>
      </w:r>
      <w:r w:rsidR="00433F5D" w:rsidRPr="00012C3F">
        <w:rPr>
          <w:rFonts w:eastAsia="MS Mincho" w:cs="Arial"/>
          <w:sz w:val="20"/>
          <w:szCs w:val="20"/>
          <w:lang w:val="en-US" w:eastAsia="en-US"/>
        </w:rPr>
        <w:t>. Consequently,</w:t>
      </w:r>
      <w:r w:rsidR="00280806" w:rsidRPr="00012C3F">
        <w:rPr>
          <w:rFonts w:eastAsia="MS Mincho" w:cs="Arial"/>
          <w:sz w:val="20"/>
          <w:szCs w:val="20"/>
          <w:lang w:val="en-US" w:eastAsia="en-US"/>
        </w:rPr>
        <w:t xml:space="preserve"> the State’s </w:t>
      </w:r>
      <w:r w:rsidR="009E43F7" w:rsidRPr="00012C3F">
        <w:rPr>
          <w:rFonts w:eastAsia="MS Mincho" w:cs="Arial"/>
          <w:sz w:val="20"/>
          <w:szCs w:val="20"/>
          <w:lang w:val="en-US" w:eastAsia="en-US"/>
        </w:rPr>
        <w:t>pretension</w:t>
      </w:r>
      <w:r w:rsidR="00DB3C08" w:rsidRPr="00012C3F">
        <w:rPr>
          <w:rFonts w:eastAsia="MS Mincho" w:cs="Arial"/>
          <w:sz w:val="20"/>
          <w:szCs w:val="20"/>
          <w:lang w:val="en-US" w:eastAsia="en-US"/>
        </w:rPr>
        <w:t xml:space="preserve"> that “this Court […] </w:t>
      </w:r>
      <w:r w:rsidR="00433F5D" w:rsidRPr="00012C3F">
        <w:rPr>
          <w:rFonts w:eastAsia="MS Mincho" w:cs="Arial"/>
          <w:sz w:val="20"/>
          <w:szCs w:val="20"/>
          <w:lang w:val="en-US" w:eastAsia="en-US"/>
        </w:rPr>
        <w:t xml:space="preserve">consider </w:t>
      </w:r>
      <w:r w:rsidR="00DB3C08" w:rsidRPr="00012C3F">
        <w:rPr>
          <w:rFonts w:eastAsia="MS Mincho" w:cs="Arial"/>
          <w:sz w:val="20"/>
          <w:szCs w:val="20"/>
          <w:lang w:val="en-US" w:eastAsia="en-US"/>
        </w:rPr>
        <w:t xml:space="preserve">that the </w:t>
      </w:r>
      <w:r w:rsidR="00C16DEA" w:rsidRPr="00012C3F">
        <w:rPr>
          <w:rFonts w:eastAsia="MS Mincho" w:cs="Arial"/>
          <w:sz w:val="20"/>
          <w:szCs w:val="20"/>
          <w:lang w:val="en-US" w:eastAsia="en-US"/>
        </w:rPr>
        <w:t>cassation procedure</w:t>
      </w:r>
      <w:r w:rsidR="00DB3C08" w:rsidRPr="00012C3F">
        <w:rPr>
          <w:rFonts w:eastAsia="MS Mincho" w:cs="Arial"/>
          <w:sz w:val="20"/>
          <w:szCs w:val="20"/>
          <w:lang w:val="en-US" w:eastAsia="en-US"/>
        </w:rPr>
        <w:t xml:space="preserve"> should </w:t>
      </w:r>
      <w:r w:rsidR="00433F5D" w:rsidRPr="00012C3F">
        <w:rPr>
          <w:rFonts w:eastAsia="MS Mincho" w:cs="Arial"/>
          <w:sz w:val="20"/>
          <w:szCs w:val="20"/>
          <w:lang w:val="en-US" w:eastAsia="en-US"/>
        </w:rPr>
        <w:t xml:space="preserve">have </w:t>
      </w:r>
      <w:r w:rsidR="00DB3C08" w:rsidRPr="00012C3F">
        <w:rPr>
          <w:rFonts w:eastAsia="MS Mincho" w:cs="Arial"/>
          <w:sz w:val="20"/>
          <w:szCs w:val="20"/>
          <w:lang w:val="en-US" w:eastAsia="en-US"/>
        </w:rPr>
        <w:t>be</w:t>
      </w:r>
      <w:r w:rsidR="00433F5D" w:rsidRPr="00012C3F">
        <w:rPr>
          <w:rFonts w:eastAsia="MS Mincho" w:cs="Arial"/>
          <w:sz w:val="20"/>
          <w:szCs w:val="20"/>
          <w:lang w:val="en-US" w:eastAsia="en-US"/>
        </w:rPr>
        <w:t>en</w:t>
      </w:r>
      <w:r w:rsidR="00DB3C08" w:rsidRPr="00012C3F">
        <w:rPr>
          <w:rFonts w:eastAsia="MS Mincho" w:cs="Arial"/>
          <w:sz w:val="20"/>
          <w:szCs w:val="20"/>
          <w:lang w:val="en-US" w:eastAsia="en-US"/>
        </w:rPr>
        <w:t xml:space="preserve"> filed and exhausted by I.V., when according to the law and procedure this was not (and is not) feasible” constitute</w:t>
      </w:r>
      <w:r w:rsidR="00433F5D" w:rsidRPr="00012C3F">
        <w:rPr>
          <w:rFonts w:eastAsia="MS Mincho" w:cs="Arial"/>
          <w:sz w:val="20"/>
          <w:szCs w:val="20"/>
          <w:lang w:val="en-US" w:eastAsia="en-US"/>
        </w:rPr>
        <w:t>d</w:t>
      </w:r>
      <w:r w:rsidR="00DB3C08" w:rsidRPr="00012C3F">
        <w:rPr>
          <w:rFonts w:eastAsia="MS Mincho" w:cs="Arial"/>
          <w:sz w:val="20"/>
          <w:szCs w:val="20"/>
          <w:lang w:val="en-US" w:eastAsia="en-US"/>
        </w:rPr>
        <w:t xml:space="preserve"> a lack of procedural loyalty. Lastly, the representative a</w:t>
      </w:r>
      <w:r w:rsidR="00433F5D" w:rsidRPr="00012C3F">
        <w:rPr>
          <w:rFonts w:eastAsia="MS Mincho" w:cs="Arial"/>
          <w:sz w:val="20"/>
          <w:szCs w:val="20"/>
          <w:lang w:val="en-US" w:eastAsia="en-US"/>
        </w:rPr>
        <w:t>sserted</w:t>
      </w:r>
      <w:r w:rsidR="00DB3C08" w:rsidRPr="00012C3F">
        <w:rPr>
          <w:rFonts w:eastAsia="MS Mincho" w:cs="Arial"/>
          <w:sz w:val="20"/>
          <w:szCs w:val="20"/>
          <w:lang w:val="en-US" w:eastAsia="en-US"/>
        </w:rPr>
        <w:t xml:space="preserve"> that “[t]he argument on which the State founds this preliminary objection is </w:t>
      </w:r>
      <w:r w:rsidR="00433F5D" w:rsidRPr="00012C3F">
        <w:rPr>
          <w:rFonts w:eastAsia="MS Mincho" w:cs="Arial"/>
          <w:sz w:val="20"/>
          <w:szCs w:val="20"/>
          <w:lang w:val="en-US" w:eastAsia="en-US"/>
        </w:rPr>
        <w:t>totally</w:t>
      </w:r>
      <w:r w:rsidR="00DB3C08" w:rsidRPr="00012C3F">
        <w:rPr>
          <w:rFonts w:eastAsia="MS Mincho" w:cs="Arial"/>
          <w:sz w:val="20"/>
          <w:szCs w:val="20"/>
          <w:lang w:val="en-US" w:eastAsia="en-US"/>
        </w:rPr>
        <w:t xml:space="preserve"> false </w:t>
      </w:r>
      <w:r w:rsidR="00433F5D" w:rsidRPr="00012C3F">
        <w:rPr>
          <w:rFonts w:eastAsia="MS Mincho" w:cs="Arial"/>
          <w:sz w:val="20"/>
          <w:szCs w:val="20"/>
          <w:lang w:val="en-US" w:eastAsia="en-US"/>
        </w:rPr>
        <w:t>and</w:t>
      </w:r>
      <w:r w:rsidR="00DB3C08" w:rsidRPr="00012C3F">
        <w:rPr>
          <w:rFonts w:eastAsia="MS Mincho" w:cs="Arial"/>
          <w:sz w:val="20"/>
          <w:szCs w:val="20"/>
          <w:lang w:val="en-US" w:eastAsia="en-US"/>
        </w:rPr>
        <w:t xml:space="preserve"> proof of this is that the State has not cited any jurisprudential precedent to support it, and did not attach to its brief any final judgment (that is, a judgment in third instance) of the Supreme Court of Justice, or any constitutional judgment of the Constitutional Court.” She concluded that</w:t>
      </w:r>
      <w:r w:rsidR="00433F5D" w:rsidRPr="00012C3F">
        <w:rPr>
          <w:rFonts w:eastAsia="MS Mincho" w:cs="Arial"/>
          <w:sz w:val="20"/>
          <w:szCs w:val="20"/>
          <w:lang w:val="en-US" w:eastAsia="en-US"/>
        </w:rPr>
        <w:t xml:space="preserve">, </w:t>
      </w:r>
      <w:r w:rsidR="00DB3C08" w:rsidRPr="00012C3F">
        <w:rPr>
          <w:rFonts w:eastAsia="MS Mincho" w:cs="Arial"/>
          <w:sz w:val="20"/>
          <w:szCs w:val="20"/>
          <w:lang w:val="en-US" w:eastAsia="en-US"/>
        </w:rPr>
        <w:t xml:space="preserve">in </w:t>
      </w:r>
      <w:r w:rsidR="00433F5D" w:rsidRPr="00012C3F">
        <w:rPr>
          <w:rFonts w:eastAsia="MS Mincho" w:cs="Arial"/>
          <w:sz w:val="20"/>
          <w:szCs w:val="20"/>
          <w:lang w:val="en-US" w:eastAsia="en-US"/>
        </w:rPr>
        <w:t xml:space="preserve">I.V.’s </w:t>
      </w:r>
      <w:r w:rsidR="00DB3C08" w:rsidRPr="00012C3F">
        <w:rPr>
          <w:rFonts w:eastAsia="MS Mincho" w:cs="Arial"/>
          <w:sz w:val="20"/>
          <w:szCs w:val="20"/>
          <w:lang w:val="en-US" w:eastAsia="en-US"/>
        </w:rPr>
        <w:t>case</w:t>
      </w:r>
      <w:r w:rsidR="00433F5D" w:rsidRPr="00012C3F">
        <w:rPr>
          <w:rFonts w:eastAsia="MS Mincho" w:cs="Arial"/>
          <w:sz w:val="20"/>
          <w:szCs w:val="20"/>
          <w:lang w:val="en-US" w:eastAsia="en-US"/>
        </w:rPr>
        <w:t xml:space="preserve">, the cassation procedure was not </w:t>
      </w:r>
      <w:r w:rsidR="00433F5D" w:rsidRPr="00012C3F">
        <w:rPr>
          <w:rFonts w:eastAsia="MS Mincho" w:cs="Arial"/>
          <w:sz w:val="20"/>
          <w:szCs w:val="20"/>
          <w:lang w:val="en-US" w:eastAsia="en-US"/>
        </w:rPr>
        <w:lastRenderedPageBreak/>
        <w:t>admissible</w:t>
      </w:r>
      <w:r w:rsidR="00DB3C08" w:rsidRPr="00012C3F">
        <w:rPr>
          <w:rFonts w:eastAsia="MS Mincho" w:cs="Arial"/>
          <w:sz w:val="20"/>
          <w:szCs w:val="20"/>
          <w:lang w:val="en-US" w:eastAsia="en-US"/>
        </w:rPr>
        <w:t xml:space="preserve"> to contest R</w:t>
      </w:r>
      <w:r w:rsidR="0014280F" w:rsidRPr="00012C3F">
        <w:rPr>
          <w:rFonts w:eastAsia="MS Mincho" w:cs="Arial"/>
          <w:sz w:val="20"/>
          <w:szCs w:val="20"/>
          <w:lang w:val="en-US" w:eastAsia="en-US"/>
        </w:rPr>
        <w:t>uling</w:t>
      </w:r>
      <w:r w:rsidR="00DB3C08" w:rsidRPr="00012C3F">
        <w:rPr>
          <w:rFonts w:eastAsia="MS Mincho" w:cs="Arial"/>
          <w:sz w:val="20"/>
          <w:szCs w:val="20"/>
          <w:lang w:val="en-US" w:eastAsia="en-US"/>
        </w:rPr>
        <w:t xml:space="preserve"> </w:t>
      </w:r>
      <w:r w:rsidR="00471B72" w:rsidRPr="00012C3F">
        <w:rPr>
          <w:rFonts w:eastAsia="MS Mincho" w:cs="Arial"/>
          <w:sz w:val="20"/>
          <w:szCs w:val="20"/>
          <w:lang w:val="en-US" w:eastAsia="en-US"/>
        </w:rPr>
        <w:t xml:space="preserve">514/2006 </w:t>
      </w:r>
      <w:r w:rsidR="00DB3C08" w:rsidRPr="00012C3F">
        <w:rPr>
          <w:rFonts w:eastAsia="MS Mincho" w:cs="Arial"/>
          <w:sz w:val="20"/>
          <w:szCs w:val="20"/>
          <w:lang w:val="en-US" w:eastAsia="en-US"/>
        </w:rPr>
        <w:t xml:space="preserve">and, therefore, asked the Court to reject the objection filed by the State. </w:t>
      </w:r>
    </w:p>
    <w:p w14:paraId="4AA72FD2" w14:textId="77777777" w:rsidR="00F254A5" w:rsidRPr="00012C3F" w:rsidRDefault="00F254A5" w:rsidP="00F254A5">
      <w:pPr>
        <w:widowControl/>
        <w:autoSpaceDE w:val="0"/>
        <w:autoSpaceDN w:val="0"/>
        <w:spacing w:line="240" w:lineRule="auto"/>
        <w:textAlignment w:val="auto"/>
        <w:rPr>
          <w:rFonts w:eastAsia="Calibri" w:cs="Arial"/>
          <w:sz w:val="20"/>
          <w:szCs w:val="20"/>
          <w:lang w:val="en-US" w:eastAsia="en-US"/>
        </w:rPr>
      </w:pPr>
    </w:p>
    <w:p w14:paraId="0AE25745" w14:textId="77777777" w:rsidR="00DB3C08" w:rsidRPr="00012C3F" w:rsidRDefault="00972ACF" w:rsidP="004A3A26">
      <w:pPr>
        <w:widowControl/>
        <w:numPr>
          <w:ilvl w:val="0"/>
          <w:numId w:val="5"/>
        </w:numPr>
        <w:tabs>
          <w:tab w:val="left" w:pos="720"/>
          <w:tab w:val="num" w:pos="12305"/>
        </w:tabs>
        <w:adjustRightInd/>
        <w:spacing w:line="240" w:lineRule="auto"/>
        <w:ind w:left="0" w:firstLine="0"/>
        <w:textAlignment w:val="auto"/>
        <w:rPr>
          <w:rFonts w:eastAsia="Calibri" w:cs="Arial"/>
          <w:b/>
          <w:sz w:val="16"/>
          <w:szCs w:val="16"/>
          <w:lang w:val="en-US" w:eastAsia="en-US"/>
        </w:rPr>
      </w:pPr>
      <w:r w:rsidRPr="00012C3F">
        <w:rPr>
          <w:rFonts w:eastAsia="Calibri" w:cs="Cambria"/>
          <w:sz w:val="20"/>
          <w:szCs w:val="20"/>
          <w:lang w:val="en-US" w:eastAsia="en-US"/>
        </w:rPr>
        <w:t>The representative</w:t>
      </w:r>
      <w:r w:rsidR="00821074" w:rsidRPr="00012C3F">
        <w:rPr>
          <w:rFonts w:eastAsia="MS Mincho" w:cs="Arial"/>
          <w:sz w:val="20"/>
          <w:szCs w:val="20"/>
          <w:lang w:val="en-US" w:eastAsia="en-US"/>
        </w:rPr>
        <w:t xml:space="preserve"> </w:t>
      </w:r>
      <w:r w:rsidR="00DB3C08" w:rsidRPr="00012C3F">
        <w:rPr>
          <w:rFonts w:eastAsia="MS Mincho" w:cs="Arial"/>
          <w:sz w:val="20"/>
          <w:szCs w:val="20"/>
          <w:lang w:val="en-US" w:eastAsia="en-US"/>
        </w:rPr>
        <w:t>indicated that, in its observations of December 4, 2007, during the admissibility stage, the State had only indicated</w:t>
      </w:r>
      <w:r w:rsidR="00433F5D" w:rsidRPr="00012C3F">
        <w:rPr>
          <w:rFonts w:eastAsia="MS Mincho" w:cs="Arial"/>
          <w:sz w:val="20"/>
          <w:szCs w:val="20"/>
          <w:lang w:val="en-US" w:eastAsia="en-US"/>
        </w:rPr>
        <w:t>,</w:t>
      </w:r>
      <w:r w:rsidR="00DB3C08" w:rsidRPr="00012C3F">
        <w:rPr>
          <w:rFonts w:eastAsia="MS Mincho" w:cs="Arial"/>
          <w:sz w:val="20"/>
          <w:szCs w:val="20"/>
          <w:lang w:val="en-US" w:eastAsia="en-US"/>
        </w:rPr>
        <w:t xml:space="preserve"> in general, that the remedies of the domestic jurisdiction had not been exhausted, merely mentioning the </w:t>
      </w:r>
      <w:r w:rsidR="00C16DEA" w:rsidRPr="00012C3F">
        <w:rPr>
          <w:rFonts w:eastAsia="MS Mincho" w:cs="Arial"/>
          <w:sz w:val="20"/>
          <w:szCs w:val="20"/>
          <w:lang w:val="en-US" w:eastAsia="en-US"/>
        </w:rPr>
        <w:t xml:space="preserve">application for constitutional </w:t>
      </w:r>
      <w:r w:rsidR="00433F5D" w:rsidRPr="00012C3F">
        <w:rPr>
          <w:rFonts w:eastAsia="MS Mincho" w:cs="Arial"/>
          <w:sz w:val="20"/>
          <w:szCs w:val="20"/>
          <w:lang w:val="en-US" w:eastAsia="en-US"/>
        </w:rPr>
        <w:t>amparo</w:t>
      </w:r>
      <w:r w:rsidR="00DB3C08" w:rsidRPr="00012C3F">
        <w:rPr>
          <w:rFonts w:eastAsia="MS Mincho" w:cs="Arial"/>
          <w:sz w:val="20"/>
          <w:szCs w:val="20"/>
          <w:lang w:val="en-US" w:eastAsia="en-US"/>
        </w:rPr>
        <w:t xml:space="preserve">. However, the State did not reveal how the </w:t>
      </w:r>
      <w:r w:rsidR="00FA56FE" w:rsidRPr="00012C3F">
        <w:rPr>
          <w:rFonts w:eastAsia="MS Mincho" w:cs="Arial"/>
          <w:sz w:val="20"/>
          <w:szCs w:val="20"/>
          <w:lang w:val="en-US" w:eastAsia="en-US"/>
        </w:rPr>
        <w:t>application for amparo</w:t>
      </w:r>
      <w:r w:rsidR="00DB3C08" w:rsidRPr="00012C3F">
        <w:rPr>
          <w:rFonts w:eastAsia="MS Mincho" w:cs="Arial"/>
          <w:sz w:val="20"/>
          <w:szCs w:val="20"/>
          <w:lang w:val="en-US" w:eastAsia="en-US"/>
        </w:rPr>
        <w:t xml:space="preserve"> was fully available and how it was adequate, appropriate and effective for the </w:t>
      </w:r>
      <w:r w:rsidR="00E00902" w:rsidRPr="00012C3F">
        <w:rPr>
          <w:rFonts w:eastAsia="Calibri" w:cs="Arial"/>
          <w:sz w:val="20"/>
          <w:szCs w:val="20"/>
          <w:lang w:val="en-US" w:eastAsia="en-US"/>
        </w:rPr>
        <w:t>presumed victim</w:t>
      </w:r>
      <w:r w:rsidR="00433F5D" w:rsidRPr="00012C3F">
        <w:rPr>
          <w:rFonts w:eastAsia="Calibri" w:cs="Arial"/>
          <w:sz w:val="20"/>
          <w:szCs w:val="20"/>
          <w:lang w:val="en-US" w:eastAsia="en-US"/>
        </w:rPr>
        <w:t>’s p</w:t>
      </w:r>
      <w:r w:rsidR="009E43F7" w:rsidRPr="00012C3F">
        <w:rPr>
          <w:rFonts w:eastAsia="Calibri" w:cs="Arial"/>
          <w:sz w:val="20"/>
          <w:szCs w:val="20"/>
          <w:lang w:val="en-US" w:eastAsia="en-US"/>
        </w:rPr>
        <w:t>ur</w:t>
      </w:r>
      <w:r w:rsidR="00433F5D" w:rsidRPr="00012C3F">
        <w:rPr>
          <w:rFonts w:eastAsia="Calibri" w:cs="Arial"/>
          <w:sz w:val="20"/>
          <w:szCs w:val="20"/>
          <w:lang w:val="en-US" w:eastAsia="en-US"/>
        </w:rPr>
        <w:t>pose</w:t>
      </w:r>
      <w:r w:rsidR="00821074" w:rsidRPr="00012C3F">
        <w:rPr>
          <w:rFonts w:eastAsia="MS Mincho" w:cs="Arial"/>
          <w:sz w:val="20"/>
          <w:szCs w:val="20"/>
          <w:lang w:val="en-US" w:eastAsia="en-US"/>
        </w:rPr>
        <w:t xml:space="preserve">. </w:t>
      </w:r>
      <w:r w:rsidR="00DB3C08" w:rsidRPr="00012C3F">
        <w:rPr>
          <w:rFonts w:eastAsia="MS Mincho" w:cs="Arial"/>
          <w:sz w:val="20"/>
          <w:szCs w:val="20"/>
          <w:lang w:val="en-US" w:eastAsia="en-US"/>
        </w:rPr>
        <w:t xml:space="preserve">She indicated that the three constitutional judgment cited by the State in the </w:t>
      </w:r>
      <w:r w:rsidR="00F05CB5" w:rsidRPr="00012C3F">
        <w:rPr>
          <w:rFonts w:eastAsia="MS Mincho" w:cs="Arial"/>
          <w:sz w:val="20"/>
          <w:szCs w:val="20"/>
          <w:lang w:val="en-US" w:eastAsia="en-US"/>
        </w:rPr>
        <w:t>s</w:t>
      </w:r>
      <w:r w:rsidR="0063695C" w:rsidRPr="00012C3F">
        <w:rPr>
          <w:rFonts w:eastAsia="MS Mincho" w:cs="Arial"/>
          <w:sz w:val="20"/>
          <w:szCs w:val="20"/>
          <w:lang w:val="en-US" w:eastAsia="en-US"/>
        </w:rPr>
        <w:t>ing</w:t>
      </w:r>
      <w:r w:rsidR="00F05CB5" w:rsidRPr="00012C3F">
        <w:rPr>
          <w:rFonts w:eastAsia="MS Mincho" w:cs="Arial"/>
          <w:sz w:val="20"/>
          <w:szCs w:val="20"/>
          <w:lang w:val="en-US" w:eastAsia="en-US"/>
        </w:rPr>
        <w:t>le</w:t>
      </w:r>
      <w:r w:rsidR="00DB3C08" w:rsidRPr="00012C3F">
        <w:rPr>
          <w:rFonts w:eastAsia="MS Mincho" w:cs="Arial"/>
          <w:sz w:val="20"/>
          <w:szCs w:val="20"/>
          <w:lang w:val="en-US" w:eastAsia="en-US"/>
        </w:rPr>
        <w:t xml:space="preserve"> communication </w:t>
      </w:r>
      <w:r w:rsidR="00F05CB5" w:rsidRPr="00012C3F">
        <w:rPr>
          <w:rFonts w:eastAsia="MS Mincho" w:cs="Arial"/>
          <w:sz w:val="20"/>
          <w:szCs w:val="20"/>
          <w:lang w:val="en-US" w:eastAsia="en-US"/>
        </w:rPr>
        <w:t xml:space="preserve">it had </w:t>
      </w:r>
      <w:r w:rsidR="00DB3C08" w:rsidRPr="00012C3F">
        <w:rPr>
          <w:rFonts w:eastAsia="MS Mincho" w:cs="Arial"/>
          <w:sz w:val="20"/>
          <w:szCs w:val="20"/>
          <w:lang w:val="en-US" w:eastAsia="en-US"/>
        </w:rPr>
        <w:t xml:space="preserve">submitted to the Commission </w:t>
      </w:r>
      <w:r w:rsidR="00F05CB5" w:rsidRPr="00012C3F">
        <w:rPr>
          <w:rFonts w:eastAsia="MS Mincho" w:cs="Arial"/>
          <w:sz w:val="20"/>
          <w:szCs w:val="20"/>
          <w:lang w:val="en-US" w:eastAsia="en-US"/>
        </w:rPr>
        <w:t xml:space="preserve">at </w:t>
      </w:r>
      <w:r w:rsidR="00F05CB5" w:rsidRPr="00012C3F">
        <w:rPr>
          <w:rFonts w:eastAsia="Calibri" w:cs="Arial"/>
          <w:sz w:val="20"/>
          <w:szCs w:val="20"/>
          <w:lang w:val="en-US" w:eastAsia="en-US"/>
        </w:rPr>
        <w:t xml:space="preserve">the admissibility stage referred to situations that differed from the case of I.V. </w:t>
      </w:r>
      <w:r w:rsidR="0063695C" w:rsidRPr="00012C3F">
        <w:rPr>
          <w:rFonts w:eastAsia="Calibri" w:cs="Arial"/>
          <w:sz w:val="20"/>
          <w:szCs w:val="20"/>
          <w:lang w:val="en-US" w:eastAsia="en-US"/>
        </w:rPr>
        <w:t>Moreover, the judgments cited</w:t>
      </w:r>
      <w:r w:rsidR="00F05CB5" w:rsidRPr="00012C3F">
        <w:rPr>
          <w:rFonts w:eastAsia="Calibri" w:cs="Arial"/>
          <w:sz w:val="20"/>
          <w:szCs w:val="20"/>
          <w:lang w:val="en-US" w:eastAsia="en-US"/>
        </w:rPr>
        <w:t xml:space="preserve"> did not prove that</w:t>
      </w:r>
      <w:r w:rsidR="0063695C" w:rsidRPr="00012C3F">
        <w:rPr>
          <w:rFonts w:eastAsia="Calibri" w:cs="Arial"/>
          <w:sz w:val="20"/>
          <w:szCs w:val="20"/>
          <w:lang w:val="en-US" w:eastAsia="en-US"/>
        </w:rPr>
        <w:t>, by an application for constitutional amparo,</w:t>
      </w:r>
      <w:r w:rsidR="00F05CB5" w:rsidRPr="00012C3F">
        <w:rPr>
          <w:rFonts w:eastAsia="Calibri" w:cs="Arial"/>
          <w:sz w:val="20"/>
          <w:szCs w:val="20"/>
          <w:lang w:val="en-US" w:eastAsia="en-US"/>
        </w:rPr>
        <w:t xml:space="preserve"> it was possible to reverse a decision of the Superior Court of Justice </w:t>
      </w:r>
      <w:r w:rsidR="0063695C" w:rsidRPr="00012C3F">
        <w:rPr>
          <w:rFonts w:eastAsia="Calibri" w:cs="Arial"/>
          <w:sz w:val="20"/>
          <w:szCs w:val="20"/>
          <w:lang w:val="en-US" w:eastAsia="en-US"/>
        </w:rPr>
        <w:t xml:space="preserve">that </w:t>
      </w:r>
      <w:r w:rsidR="00F05CB5" w:rsidRPr="00012C3F">
        <w:rPr>
          <w:rFonts w:eastAsia="Calibri" w:cs="Arial"/>
          <w:sz w:val="20"/>
          <w:szCs w:val="20"/>
          <w:lang w:val="en-US" w:eastAsia="en-US"/>
        </w:rPr>
        <w:t>confirm</w:t>
      </w:r>
      <w:r w:rsidR="0063695C" w:rsidRPr="00012C3F">
        <w:rPr>
          <w:rFonts w:eastAsia="Calibri" w:cs="Arial"/>
          <w:sz w:val="20"/>
          <w:szCs w:val="20"/>
          <w:lang w:val="en-US" w:eastAsia="en-US"/>
        </w:rPr>
        <w:t>ed</w:t>
      </w:r>
      <w:r w:rsidR="00F05CB5" w:rsidRPr="00012C3F">
        <w:rPr>
          <w:rFonts w:eastAsia="Calibri" w:cs="Arial"/>
          <w:sz w:val="20"/>
          <w:szCs w:val="20"/>
          <w:lang w:val="en-US" w:eastAsia="en-US"/>
        </w:rPr>
        <w:t xml:space="preserve"> a decision determin</w:t>
      </w:r>
      <w:r w:rsidR="0063695C" w:rsidRPr="00012C3F">
        <w:rPr>
          <w:rFonts w:eastAsia="Calibri" w:cs="Arial"/>
          <w:sz w:val="20"/>
          <w:szCs w:val="20"/>
          <w:lang w:val="en-US" w:eastAsia="en-US"/>
        </w:rPr>
        <w:t>ing</w:t>
      </w:r>
      <w:r w:rsidR="00F05CB5" w:rsidRPr="00012C3F">
        <w:rPr>
          <w:rFonts w:eastAsia="Calibri" w:cs="Arial"/>
          <w:sz w:val="20"/>
          <w:szCs w:val="20"/>
          <w:lang w:val="en-US" w:eastAsia="en-US"/>
        </w:rPr>
        <w:t xml:space="preserve"> the extinction of the criminal action owing to the maximum duration of the </w:t>
      </w:r>
      <w:r w:rsidR="0063695C" w:rsidRPr="00012C3F">
        <w:rPr>
          <w:rFonts w:eastAsia="Calibri" w:cs="Arial"/>
          <w:sz w:val="20"/>
          <w:szCs w:val="20"/>
          <w:lang w:val="en-US" w:eastAsia="en-US"/>
        </w:rPr>
        <w:t>proceedings</w:t>
      </w:r>
      <w:r w:rsidR="00F05CB5" w:rsidRPr="00012C3F">
        <w:rPr>
          <w:rFonts w:eastAsia="Calibri" w:cs="Arial"/>
          <w:sz w:val="20"/>
          <w:szCs w:val="20"/>
          <w:lang w:val="en-US" w:eastAsia="en-US"/>
        </w:rPr>
        <w:t xml:space="preserve">, which favored the defendant and </w:t>
      </w:r>
      <w:r w:rsidR="0063695C" w:rsidRPr="00012C3F">
        <w:rPr>
          <w:rFonts w:eastAsia="Calibri" w:cs="Arial"/>
          <w:sz w:val="20"/>
          <w:szCs w:val="20"/>
          <w:lang w:val="en-US" w:eastAsia="en-US"/>
        </w:rPr>
        <w:t>was due to</w:t>
      </w:r>
      <w:r w:rsidR="00F05CB5" w:rsidRPr="00012C3F">
        <w:rPr>
          <w:rFonts w:eastAsia="Calibri" w:cs="Arial"/>
          <w:sz w:val="20"/>
          <w:szCs w:val="20"/>
          <w:lang w:val="en-US" w:eastAsia="en-US"/>
        </w:rPr>
        <w:t xml:space="preserve"> reasons that could be attributed to the organs of justice. Added to this, the representatives indicated</w:t>
      </w:r>
      <w:r w:rsidR="0063695C" w:rsidRPr="00012C3F">
        <w:rPr>
          <w:rFonts w:eastAsia="Calibri" w:cs="Arial"/>
          <w:sz w:val="20"/>
          <w:szCs w:val="20"/>
          <w:lang w:val="en-US" w:eastAsia="en-US"/>
        </w:rPr>
        <w:t>, also,</w:t>
      </w:r>
      <w:r w:rsidR="00F05CB5" w:rsidRPr="00012C3F">
        <w:rPr>
          <w:rFonts w:eastAsia="Calibri" w:cs="Arial"/>
          <w:sz w:val="20"/>
          <w:szCs w:val="20"/>
          <w:lang w:val="en-US" w:eastAsia="en-US"/>
        </w:rPr>
        <w:t xml:space="preserve"> that</w:t>
      </w:r>
      <w:r w:rsidR="0063695C" w:rsidRPr="00012C3F">
        <w:rPr>
          <w:rFonts w:eastAsia="Calibri" w:cs="Arial"/>
          <w:sz w:val="20"/>
          <w:szCs w:val="20"/>
          <w:lang w:val="en-US" w:eastAsia="en-US"/>
        </w:rPr>
        <w:t xml:space="preserve"> </w:t>
      </w:r>
      <w:r w:rsidR="00F05CB5" w:rsidRPr="00012C3F">
        <w:rPr>
          <w:rFonts w:eastAsia="Calibri" w:cs="Arial"/>
          <w:sz w:val="20"/>
          <w:szCs w:val="20"/>
          <w:lang w:val="en-US" w:eastAsia="en-US"/>
        </w:rPr>
        <w:t xml:space="preserve">I.V. was not obliged to exhaust this specific remedy because, according to this Court’s case law, it </w:t>
      </w:r>
      <w:r w:rsidR="0063695C" w:rsidRPr="00012C3F">
        <w:rPr>
          <w:rFonts w:eastAsia="Calibri" w:cs="Arial"/>
          <w:sz w:val="20"/>
          <w:szCs w:val="20"/>
          <w:lang w:val="en-US" w:eastAsia="en-US"/>
        </w:rPr>
        <w:t>was</w:t>
      </w:r>
      <w:r w:rsidR="00F05CB5" w:rsidRPr="00012C3F">
        <w:rPr>
          <w:rFonts w:eastAsia="Calibri" w:cs="Arial"/>
          <w:sz w:val="20"/>
          <w:szCs w:val="20"/>
          <w:lang w:val="en-US" w:eastAsia="en-US"/>
        </w:rPr>
        <w:t xml:space="preserve"> not necessary to exhaust all the remedies that </w:t>
      </w:r>
      <w:r w:rsidR="0063695C" w:rsidRPr="00012C3F">
        <w:rPr>
          <w:rFonts w:eastAsia="Calibri" w:cs="Arial"/>
          <w:sz w:val="20"/>
          <w:szCs w:val="20"/>
          <w:lang w:val="en-US" w:eastAsia="en-US"/>
        </w:rPr>
        <w:t>might</w:t>
      </w:r>
      <w:r w:rsidR="00F05CB5" w:rsidRPr="00012C3F">
        <w:rPr>
          <w:rFonts w:eastAsia="Calibri" w:cs="Arial"/>
          <w:sz w:val="20"/>
          <w:szCs w:val="20"/>
          <w:lang w:val="en-US" w:eastAsia="en-US"/>
        </w:rPr>
        <w:t xml:space="preserve"> exist in </w:t>
      </w:r>
      <w:r w:rsidR="0063695C" w:rsidRPr="00012C3F">
        <w:rPr>
          <w:rFonts w:eastAsia="Calibri" w:cs="Arial"/>
          <w:sz w:val="20"/>
          <w:szCs w:val="20"/>
          <w:lang w:val="en-US" w:eastAsia="en-US"/>
        </w:rPr>
        <w:t>domestic</w:t>
      </w:r>
      <w:r w:rsidR="00F05CB5" w:rsidRPr="00012C3F">
        <w:rPr>
          <w:rFonts w:eastAsia="Calibri" w:cs="Arial"/>
          <w:sz w:val="20"/>
          <w:szCs w:val="20"/>
          <w:lang w:val="en-US" w:eastAsia="en-US"/>
        </w:rPr>
        <w:t xml:space="preserve"> law. The constitutional amparo was a special remedy and, therefore, did not need to be exhausted. Consequently, the representative asked the Court to reject the objection filed by the State on the failure to exhaust the </w:t>
      </w:r>
      <w:r w:rsidR="00C16DEA" w:rsidRPr="00012C3F">
        <w:rPr>
          <w:rFonts w:eastAsia="Calibri" w:cs="Arial"/>
          <w:sz w:val="20"/>
          <w:szCs w:val="20"/>
          <w:lang w:val="en-US" w:eastAsia="en-US"/>
        </w:rPr>
        <w:t xml:space="preserve">application for constitutional </w:t>
      </w:r>
      <w:r w:rsidR="0063695C" w:rsidRPr="00012C3F">
        <w:rPr>
          <w:rFonts w:eastAsia="Calibri" w:cs="Arial"/>
          <w:sz w:val="20"/>
          <w:szCs w:val="20"/>
          <w:lang w:val="en-US" w:eastAsia="en-US"/>
        </w:rPr>
        <w:t>amparo</w:t>
      </w:r>
      <w:r w:rsidR="00F05CB5" w:rsidRPr="00012C3F">
        <w:rPr>
          <w:rFonts w:eastAsia="Calibri" w:cs="Arial"/>
          <w:sz w:val="20"/>
          <w:szCs w:val="20"/>
          <w:lang w:val="en-US" w:eastAsia="en-US"/>
        </w:rPr>
        <w:t>.</w:t>
      </w:r>
    </w:p>
    <w:p w14:paraId="283AAC96" w14:textId="77777777" w:rsidR="00821074" w:rsidRPr="00012C3F" w:rsidRDefault="00821074" w:rsidP="00821074">
      <w:pPr>
        <w:spacing w:line="240" w:lineRule="auto"/>
        <w:rPr>
          <w:sz w:val="20"/>
          <w:szCs w:val="20"/>
          <w:lang w:val="en-US"/>
        </w:rPr>
      </w:pPr>
    </w:p>
    <w:p w14:paraId="6DFBCB02" w14:textId="77777777" w:rsidR="00CB178D" w:rsidRPr="00012C3F" w:rsidRDefault="00CB178D" w:rsidP="005D5050">
      <w:pPr>
        <w:pStyle w:val="Ttulo2"/>
        <w:tabs>
          <w:tab w:val="left" w:pos="1701"/>
        </w:tabs>
        <w:spacing w:before="0" w:line="240" w:lineRule="auto"/>
        <w:ind w:left="1134"/>
        <w:rPr>
          <w:rFonts w:ascii="Verdana" w:hAnsi="Verdana"/>
          <w:b w:val="0"/>
          <w:i/>
          <w:color w:val="auto"/>
          <w:sz w:val="20"/>
          <w:szCs w:val="20"/>
          <w:lang w:val="en-US"/>
        </w:rPr>
      </w:pPr>
      <w:bookmarkStart w:id="51" w:name="_Toc401931888"/>
      <w:bookmarkStart w:id="52" w:name="_Toc428369985"/>
      <w:bookmarkStart w:id="53" w:name="_Toc459158098"/>
      <w:bookmarkStart w:id="54" w:name="_Toc27486825"/>
      <w:r w:rsidRPr="00012C3F">
        <w:rPr>
          <w:rFonts w:ascii="Verdana" w:hAnsi="Verdana"/>
          <w:b w:val="0"/>
          <w:i/>
          <w:color w:val="auto"/>
          <w:sz w:val="20"/>
          <w:szCs w:val="20"/>
          <w:lang w:val="en-US"/>
        </w:rPr>
        <w:t xml:space="preserve">B.2 </w:t>
      </w:r>
      <w:r w:rsidR="005D5050" w:rsidRPr="00012C3F">
        <w:rPr>
          <w:rFonts w:ascii="Verdana" w:hAnsi="Verdana"/>
          <w:b w:val="0"/>
          <w:i/>
          <w:color w:val="auto"/>
          <w:sz w:val="20"/>
          <w:szCs w:val="20"/>
          <w:lang w:val="en-US"/>
        </w:rPr>
        <w:tab/>
      </w:r>
      <w:r w:rsidR="006C705C" w:rsidRPr="00012C3F">
        <w:rPr>
          <w:rFonts w:ascii="Verdana" w:hAnsi="Verdana"/>
          <w:b w:val="0"/>
          <w:i/>
          <w:color w:val="auto"/>
          <w:sz w:val="20"/>
          <w:szCs w:val="20"/>
          <w:lang w:val="en-US"/>
        </w:rPr>
        <w:t>Considerations</w:t>
      </w:r>
      <w:r w:rsidR="001254DE" w:rsidRPr="00012C3F">
        <w:rPr>
          <w:rFonts w:ascii="Verdana" w:hAnsi="Verdana"/>
          <w:b w:val="0"/>
          <w:i/>
          <w:color w:val="auto"/>
          <w:sz w:val="20"/>
          <w:szCs w:val="20"/>
          <w:lang w:val="en-US"/>
        </w:rPr>
        <w:t xml:space="preserve"> of the Court</w:t>
      </w:r>
      <w:bookmarkEnd w:id="51"/>
      <w:bookmarkEnd w:id="52"/>
      <w:bookmarkEnd w:id="53"/>
      <w:bookmarkEnd w:id="54"/>
    </w:p>
    <w:p w14:paraId="6FA807BB" w14:textId="77777777" w:rsidR="00CB178D" w:rsidRPr="00012C3F" w:rsidRDefault="00CB178D" w:rsidP="00F254A5">
      <w:pPr>
        <w:widowControl/>
        <w:autoSpaceDE w:val="0"/>
        <w:autoSpaceDN w:val="0"/>
        <w:spacing w:line="240" w:lineRule="auto"/>
        <w:textAlignment w:val="auto"/>
        <w:rPr>
          <w:rFonts w:eastAsia="Calibri" w:cs="Arial"/>
          <w:sz w:val="20"/>
          <w:szCs w:val="20"/>
          <w:lang w:val="en-US" w:eastAsia="en-US"/>
        </w:rPr>
      </w:pPr>
    </w:p>
    <w:p w14:paraId="1C3D8274" w14:textId="77777777" w:rsidR="00E06A16" w:rsidRPr="00012C3F" w:rsidRDefault="001254DE" w:rsidP="004A3A26">
      <w:pPr>
        <w:numPr>
          <w:ilvl w:val="0"/>
          <w:numId w:val="5"/>
        </w:numPr>
        <w:tabs>
          <w:tab w:val="left" w:pos="720"/>
          <w:tab w:val="num" w:pos="12305"/>
        </w:tabs>
        <w:spacing w:line="240" w:lineRule="auto"/>
        <w:ind w:left="0" w:firstLine="0"/>
        <w:rPr>
          <w:rFonts w:cs="Arial"/>
          <w:sz w:val="20"/>
          <w:szCs w:val="20"/>
          <w:lang w:val="en-US"/>
        </w:rPr>
      </w:pPr>
      <w:r w:rsidRPr="00012C3F">
        <w:rPr>
          <w:sz w:val="20"/>
          <w:szCs w:val="20"/>
          <w:lang w:val="en-US"/>
        </w:rPr>
        <w:t>Article</w:t>
      </w:r>
      <w:r w:rsidR="00E06A16" w:rsidRPr="00012C3F">
        <w:rPr>
          <w:sz w:val="20"/>
          <w:szCs w:val="20"/>
          <w:lang w:val="en-US"/>
        </w:rPr>
        <w:t xml:space="preserve"> 46</w:t>
      </w:r>
      <w:r w:rsidR="004A3A26" w:rsidRPr="00012C3F">
        <w:rPr>
          <w:sz w:val="20"/>
          <w:szCs w:val="20"/>
          <w:lang w:val="en-US"/>
        </w:rPr>
        <w:t>(</w:t>
      </w:r>
      <w:r w:rsidR="00E06A16" w:rsidRPr="00012C3F">
        <w:rPr>
          <w:sz w:val="20"/>
          <w:szCs w:val="20"/>
          <w:lang w:val="en-US"/>
        </w:rPr>
        <w:t>1</w:t>
      </w:r>
      <w:r w:rsidR="004A3A26" w:rsidRPr="00012C3F">
        <w:rPr>
          <w:sz w:val="20"/>
          <w:szCs w:val="20"/>
          <w:lang w:val="en-US"/>
        </w:rPr>
        <w:t>)(</w:t>
      </w:r>
      <w:r w:rsidR="00E06A16" w:rsidRPr="00012C3F">
        <w:rPr>
          <w:sz w:val="20"/>
          <w:szCs w:val="20"/>
          <w:lang w:val="en-US"/>
        </w:rPr>
        <w:t>a)</w:t>
      </w:r>
      <w:r w:rsidRPr="00012C3F">
        <w:rPr>
          <w:sz w:val="20"/>
          <w:szCs w:val="20"/>
          <w:lang w:val="en-US"/>
        </w:rPr>
        <w:t xml:space="preserve"> of the American Convention</w:t>
      </w:r>
      <w:r w:rsidR="00E06A16" w:rsidRPr="00012C3F">
        <w:rPr>
          <w:sz w:val="20"/>
          <w:szCs w:val="20"/>
          <w:lang w:val="en-US"/>
        </w:rPr>
        <w:t xml:space="preserve"> </w:t>
      </w:r>
      <w:r w:rsidR="004A3A26" w:rsidRPr="00012C3F">
        <w:rPr>
          <w:sz w:val="20"/>
          <w:szCs w:val="20"/>
          <w:lang w:val="en-US"/>
        </w:rPr>
        <w:t xml:space="preserve">establishes that </w:t>
      </w:r>
      <w:r w:rsidR="004A3A26" w:rsidRPr="00012C3F">
        <w:rPr>
          <w:spacing w:val="-3"/>
          <w:sz w:val="20"/>
          <w:szCs w:val="20"/>
          <w:lang w:val="en-US"/>
        </w:rPr>
        <w:t>admission by the Commission of a petition or communication lodged in accordance with Articles 44 or 45, depends on the remedies under domestic law having been pursued and exhausted in accordance with generally recognized principles of international law</w:t>
      </w:r>
      <w:bookmarkStart w:id="55" w:name="_Ref317495849"/>
      <w:r w:rsidR="004A3A26" w:rsidRPr="00012C3F">
        <w:rPr>
          <w:spacing w:val="-3"/>
          <w:sz w:val="20"/>
          <w:szCs w:val="20"/>
          <w:lang w:val="en-US"/>
        </w:rPr>
        <w:t>.</w:t>
      </w:r>
      <w:r w:rsidR="00E06A16" w:rsidRPr="00012C3F">
        <w:rPr>
          <w:sz w:val="20"/>
          <w:szCs w:val="20"/>
          <w:vertAlign w:val="superscript"/>
          <w:lang w:val="en-US"/>
        </w:rPr>
        <w:footnoteReference w:id="12"/>
      </w:r>
      <w:bookmarkEnd w:id="55"/>
      <w:r w:rsidR="00E06A16" w:rsidRPr="00012C3F">
        <w:rPr>
          <w:sz w:val="20"/>
          <w:szCs w:val="20"/>
          <w:lang w:val="en-US"/>
        </w:rPr>
        <w:t xml:space="preserve"> </w:t>
      </w:r>
      <w:r w:rsidRPr="00012C3F">
        <w:rPr>
          <w:sz w:val="20"/>
          <w:szCs w:val="20"/>
          <w:lang w:val="en-US"/>
        </w:rPr>
        <w:t>The Court</w:t>
      </w:r>
      <w:r w:rsidR="00E06A16" w:rsidRPr="00012C3F">
        <w:rPr>
          <w:sz w:val="20"/>
          <w:szCs w:val="20"/>
          <w:lang w:val="en-US"/>
        </w:rPr>
        <w:t xml:space="preserve"> rec</w:t>
      </w:r>
      <w:r w:rsidR="004A3A26" w:rsidRPr="00012C3F">
        <w:rPr>
          <w:sz w:val="20"/>
          <w:szCs w:val="20"/>
          <w:lang w:val="en-US"/>
        </w:rPr>
        <w:t xml:space="preserve">alls that the rule of the prior exhaustion of domestic remedies was conceived in the interest of the State, because it seeks to exempt </w:t>
      </w:r>
      <w:r w:rsidR="006502BC" w:rsidRPr="00012C3F">
        <w:rPr>
          <w:sz w:val="20"/>
          <w:szCs w:val="20"/>
          <w:lang w:val="en-US"/>
        </w:rPr>
        <w:t>the State</w:t>
      </w:r>
      <w:r w:rsidR="004A3A26" w:rsidRPr="00012C3F">
        <w:rPr>
          <w:sz w:val="20"/>
          <w:szCs w:val="20"/>
          <w:lang w:val="en-US"/>
        </w:rPr>
        <w:t xml:space="preserve"> from responding before an international organ for acts attributed it before it has had the opportunity to rectify them with its own means. This </w:t>
      </w:r>
      <w:r w:rsidR="006502BC" w:rsidRPr="00012C3F">
        <w:rPr>
          <w:sz w:val="20"/>
          <w:szCs w:val="20"/>
          <w:lang w:val="en-US"/>
        </w:rPr>
        <w:t>signifies</w:t>
      </w:r>
      <w:r w:rsidR="004A3A26" w:rsidRPr="00012C3F">
        <w:rPr>
          <w:sz w:val="20"/>
          <w:szCs w:val="20"/>
          <w:lang w:val="en-US"/>
        </w:rPr>
        <w:t xml:space="preserve"> that, not only should such remedies exist formally, but they must also be adequate and effective, as a result of the exceptions established in</w:t>
      </w:r>
      <w:r w:rsidR="004A3A26" w:rsidRPr="00012C3F">
        <w:rPr>
          <w:rFonts w:cs="Arial"/>
          <w:sz w:val="20"/>
          <w:szCs w:val="20"/>
          <w:lang w:val="en-US"/>
        </w:rPr>
        <w:t xml:space="preserve"> </w:t>
      </w:r>
      <w:r w:rsidRPr="00012C3F">
        <w:rPr>
          <w:sz w:val="20"/>
          <w:szCs w:val="20"/>
          <w:lang w:val="en-US"/>
        </w:rPr>
        <w:t>Article</w:t>
      </w:r>
      <w:r w:rsidR="00E06A16" w:rsidRPr="00012C3F">
        <w:rPr>
          <w:sz w:val="20"/>
          <w:szCs w:val="20"/>
          <w:lang w:val="en-US"/>
        </w:rPr>
        <w:t xml:space="preserve"> 46</w:t>
      </w:r>
      <w:r w:rsidR="004A3A26" w:rsidRPr="00012C3F">
        <w:rPr>
          <w:sz w:val="20"/>
          <w:szCs w:val="20"/>
          <w:lang w:val="en-US"/>
        </w:rPr>
        <w:t>(</w:t>
      </w:r>
      <w:r w:rsidR="00E06A16" w:rsidRPr="00012C3F">
        <w:rPr>
          <w:sz w:val="20"/>
          <w:szCs w:val="20"/>
          <w:lang w:val="en-US"/>
        </w:rPr>
        <w:t>2</w:t>
      </w:r>
      <w:r w:rsidR="004A3A26" w:rsidRPr="00012C3F">
        <w:rPr>
          <w:sz w:val="20"/>
          <w:szCs w:val="20"/>
          <w:lang w:val="en-US"/>
        </w:rPr>
        <w:t>)</w:t>
      </w:r>
      <w:r w:rsidRPr="00012C3F">
        <w:rPr>
          <w:sz w:val="20"/>
          <w:szCs w:val="20"/>
          <w:lang w:val="en-US"/>
        </w:rPr>
        <w:t xml:space="preserve"> of the Convention</w:t>
      </w:r>
      <w:r w:rsidR="004A3A26" w:rsidRPr="00012C3F">
        <w:rPr>
          <w:sz w:val="20"/>
          <w:szCs w:val="20"/>
          <w:lang w:val="en-US"/>
        </w:rPr>
        <w:t>.</w:t>
      </w:r>
      <w:r w:rsidR="00E06A16" w:rsidRPr="00012C3F">
        <w:rPr>
          <w:sz w:val="20"/>
          <w:szCs w:val="20"/>
          <w:vertAlign w:val="superscript"/>
          <w:lang w:val="en-US"/>
        </w:rPr>
        <w:footnoteReference w:id="13"/>
      </w:r>
    </w:p>
    <w:p w14:paraId="7EC256CE" w14:textId="77777777" w:rsidR="00E06A16" w:rsidRPr="00012C3F" w:rsidRDefault="00E06A16" w:rsidP="004A3A26">
      <w:pPr>
        <w:tabs>
          <w:tab w:val="left" w:pos="720"/>
        </w:tabs>
        <w:spacing w:line="240" w:lineRule="auto"/>
        <w:rPr>
          <w:rFonts w:cs="Arial"/>
          <w:sz w:val="20"/>
          <w:szCs w:val="20"/>
          <w:lang w:val="en-US"/>
        </w:rPr>
      </w:pPr>
    </w:p>
    <w:p w14:paraId="008925A9" w14:textId="77777777" w:rsidR="00E06A16" w:rsidRPr="00012C3F" w:rsidRDefault="004A3A26" w:rsidP="00E76911">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This Court has also indicated consistently that an objection to the Court’s exercise of its jurisdiction based on the supposed failure to exhaust domestic remedies must be filed at the proper procedural moment; that is, during the admissibility procedure before </w:t>
      </w:r>
      <w:r w:rsidR="001254DE" w:rsidRPr="00012C3F">
        <w:rPr>
          <w:sz w:val="20"/>
          <w:szCs w:val="20"/>
          <w:lang w:val="en-US"/>
        </w:rPr>
        <w:t xml:space="preserve">the </w:t>
      </w:r>
      <w:r w:rsidR="00A84CA0" w:rsidRPr="00012C3F">
        <w:rPr>
          <w:sz w:val="20"/>
          <w:szCs w:val="20"/>
          <w:lang w:val="en-US"/>
        </w:rPr>
        <w:t>Commission</w:t>
      </w:r>
      <w:bookmarkStart w:id="56" w:name="_Ref195093328"/>
      <w:r w:rsidRPr="00012C3F">
        <w:rPr>
          <w:sz w:val="20"/>
          <w:szCs w:val="20"/>
          <w:lang w:val="en-US"/>
        </w:rPr>
        <w:t>;</w:t>
      </w:r>
      <w:r w:rsidR="00E06A16" w:rsidRPr="00012C3F">
        <w:rPr>
          <w:rStyle w:val="Refdenotaalpie"/>
          <w:sz w:val="20"/>
          <w:szCs w:val="20"/>
          <w:lang w:val="en-US"/>
        </w:rPr>
        <w:footnoteReference w:id="14"/>
      </w:r>
      <w:bookmarkEnd w:id="56"/>
      <w:r w:rsidRPr="00012C3F">
        <w:rPr>
          <w:sz w:val="20"/>
          <w:szCs w:val="20"/>
          <w:lang w:val="en-US"/>
        </w:rPr>
        <w:t xml:space="preserve"> following this, the principle of</w:t>
      </w:r>
      <w:r w:rsidR="00E06A16" w:rsidRPr="00012C3F">
        <w:rPr>
          <w:sz w:val="20"/>
          <w:szCs w:val="20"/>
          <w:lang w:val="en-US"/>
        </w:rPr>
        <w:t xml:space="preserve"> </w:t>
      </w:r>
      <w:r w:rsidRPr="00012C3F">
        <w:rPr>
          <w:sz w:val="20"/>
          <w:szCs w:val="20"/>
          <w:lang w:val="en-US"/>
        </w:rPr>
        <w:t xml:space="preserve">estoppel </w:t>
      </w:r>
      <w:r w:rsidR="00E76911" w:rsidRPr="00012C3F">
        <w:rPr>
          <w:sz w:val="20"/>
          <w:szCs w:val="20"/>
          <w:lang w:val="en-US"/>
        </w:rPr>
        <w:t>comes into play.</w:t>
      </w:r>
      <w:r w:rsidR="00E06A16" w:rsidRPr="00012C3F">
        <w:rPr>
          <w:rStyle w:val="Refdenotaalpie"/>
          <w:rFonts w:cs="Verdana,Italic"/>
          <w:iCs/>
          <w:sz w:val="20"/>
          <w:szCs w:val="20"/>
          <w:lang w:val="en-US" w:eastAsia="en-US"/>
        </w:rPr>
        <w:footnoteReference w:id="15"/>
      </w:r>
      <w:r w:rsidR="00E76911" w:rsidRPr="00012C3F">
        <w:rPr>
          <w:sz w:val="20"/>
          <w:szCs w:val="20"/>
          <w:lang w:val="en-US"/>
        </w:rPr>
        <w:t xml:space="preserve"> When arguing the failure to exhaust domestic remedies, the State must specify the remedies that </w:t>
      </w:r>
      <w:r w:rsidR="006502BC" w:rsidRPr="00012C3F">
        <w:rPr>
          <w:sz w:val="20"/>
          <w:szCs w:val="20"/>
          <w:lang w:val="en-US"/>
        </w:rPr>
        <w:t xml:space="preserve">have </w:t>
      </w:r>
      <w:r w:rsidR="00E76911" w:rsidRPr="00012C3F">
        <w:rPr>
          <w:sz w:val="20"/>
          <w:szCs w:val="20"/>
          <w:lang w:val="en-US"/>
        </w:rPr>
        <w:t>not yet been exhausted and prove that these were available and adequate, appropriate and effective.</w:t>
      </w:r>
      <w:r w:rsidR="00E06A16" w:rsidRPr="00012C3F">
        <w:rPr>
          <w:sz w:val="20"/>
          <w:szCs w:val="20"/>
          <w:vertAlign w:val="superscript"/>
          <w:lang w:val="en-US"/>
        </w:rPr>
        <w:footnoteReference w:id="16"/>
      </w:r>
      <w:r w:rsidR="00E76911" w:rsidRPr="00012C3F">
        <w:rPr>
          <w:sz w:val="20"/>
          <w:szCs w:val="20"/>
          <w:lang w:val="en-US"/>
        </w:rPr>
        <w:t xml:space="preserve"> In this regard, the Court reiterates that it is not the task of the Court or the Commission to identify,</w:t>
      </w:r>
      <w:r w:rsidR="00E06A16" w:rsidRPr="00012C3F">
        <w:rPr>
          <w:sz w:val="20"/>
          <w:szCs w:val="20"/>
          <w:lang w:val="en-US"/>
        </w:rPr>
        <w:t xml:space="preserve"> </w:t>
      </w:r>
      <w:r w:rsidR="00E06A16" w:rsidRPr="00012C3F">
        <w:rPr>
          <w:rFonts w:cs="Arial"/>
          <w:i/>
          <w:sz w:val="20"/>
          <w:szCs w:val="20"/>
          <w:lang w:val="en-US"/>
        </w:rPr>
        <w:t>ex officio</w:t>
      </w:r>
      <w:r w:rsidR="00E76911" w:rsidRPr="00012C3F">
        <w:rPr>
          <w:rFonts w:cs="Arial"/>
          <w:i/>
          <w:sz w:val="20"/>
          <w:szCs w:val="20"/>
          <w:lang w:val="en-US"/>
        </w:rPr>
        <w:t>,</w:t>
      </w:r>
      <w:r w:rsidR="00E06A16" w:rsidRPr="00012C3F">
        <w:rPr>
          <w:rFonts w:cs="Arial"/>
          <w:sz w:val="20"/>
          <w:szCs w:val="20"/>
          <w:lang w:val="en-US"/>
        </w:rPr>
        <w:t xml:space="preserve"> </w:t>
      </w:r>
      <w:r w:rsidR="00E76911" w:rsidRPr="00012C3F">
        <w:rPr>
          <w:rFonts w:cs="Arial"/>
          <w:sz w:val="20"/>
          <w:szCs w:val="20"/>
          <w:lang w:val="en-US"/>
        </w:rPr>
        <w:t xml:space="preserve">which domestic </w:t>
      </w:r>
      <w:r w:rsidR="00E76911" w:rsidRPr="00012C3F">
        <w:rPr>
          <w:rFonts w:cs="Arial"/>
          <w:sz w:val="20"/>
          <w:szCs w:val="20"/>
          <w:lang w:val="en-US"/>
        </w:rPr>
        <w:lastRenderedPageBreak/>
        <w:t>remedies remain</w:t>
      </w:r>
      <w:r w:rsidR="006502BC" w:rsidRPr="00012C3F">
        <w:rPr>
          <w:rFonts w:cs="Arial"/>
          <w:sz w:val="20"/>
          <w:szCs w:val="20"/>
          <w:lang w:val="en-US"/>
        </w:rPr>
        <w:t>ed</w:t>
      </w:r>
      <w:r w:rsidR="00E76911" w:rsidRPr="00012C3F">
        <w:rPr>
          <w:rFonts w:cs="Arial"/>
          <w:sz w:val="20"/>
          <w:szCs w:val="20"/>
          <w:lang w:val="en-US"/>
        </w:rPr>
        <w:t xml:space="preserve"> to be exhausted; thus, it is not incumbent on the international organs to rectify the lack of precision of the State’s arguments.</w:t>
      </w:r>
      <w:r w:rsidR="00E06A16" w:rsidRPr="00012C3F">
        <w:rPr>
          <w:rStyle w:val="Refdenotaalpie"/>
          <w:rFonts w:cs="Arial"/>
          <w:sz w:val="20"/>
          <w:szCs w:val="20"/>
          <w:lang w:val="en-US"/>
        </w:rPr>
        <w:footnoteReference w:id="17"/>
      </w:r>
      <w:r w:rsidR="00E76911" w:rsidRPr="00012C3F">
        <w:rPr>
          <w:rFonts w:cs="Arial"/>
          <w:sz w:val="20"/>
          <w:szCs w:val="20"/>
          <w:lang w:val="en-US"/>
        </w:rPr>
        <w:t xml:space="preserve"> This reveals that</w:t>
      </w:r>
      <w:r w:rsidR="006502BC" w:rsidRPr="00012C3F">
        <w:rPr>
          <w:rFonts w:cs="Arial"/>
          <w:sz w:val="20"/>
          <w:szCs w:val="20"/>
          <w:lang w:val="en-US"/>
        </w:rPr>
        <w:t>,</w:t>
      </w:r>
      <w:r w:rsidR="00E76911" w:rsidRPr="00012C3F">
        <w:rPr>
          <w:rFonts w:cs="Arial"/>
          <w:sz w:val="20"/>
          <w:szCs w:val="20"/>
          <w:lang w:val="en-US"/>
        </w:rPr>
        <w:t xml:space="preserve"> when the State invokes the existence of a remedy that has not been exhausted, </w:t>
      </w:r>
      <w:r w:rsidR="006502BC" w:rsidRPr="00012C3F">
        <w:rPr>
          <w:rFonts w:cs="Arial"/>
          <w:sz w:val="20"/>
          <w:szCs w:val="20"/>
          <w:lang w:val="en-US"/>
        </w:rPr>
        <w:t>it must do so</w:t>
      </w:r>
      <w:r w:rsidR="00E76911" w:rsidRPr="00012C3F">
        <w:rPr>
          <w:rFonts w:cs="Arial"/>
          <w:sz w:val="20"/>
          <w:szCs w:val="20"/>
          <w:lang w:val="en-US"/>
        </w:rPr>
        <w:t xml:space="preserve"> at the proper moment and must also clear</w:t>
      </w:r>
      <w:r w:rsidR="006502BC" w:rsidRPr="00012C3F">
        <w:rPr>
          <w:rFonts w:cs="Arial"/>
          <w:sz w:val="20"/>
          <w:szCs w:val="20"/>
          <w:lang w:val="en-US"/>
        </w:rPr>
        <w:t>ly</w:t>
      </w:r>
      <w:r w:rsidR="00E76911" w:rsidRPr="00012C3F">
        <w:rPr>
          <w:rFonts w:cs="Arial"/>
          <w:sz w:val="20"/>
          <w:szCs w:val="20"/>
          <w:lang w:val="en-US"/>
        </w:rPr>
        <w:t xml:space="preserve"> identify the remedy in question and how, in the case concerned, it would be adequate and effective to protect the person in the situation denounced.</w:t>
      </w:r>
      <w:r w:rsidR="00E06A16" w:rsidRPr="00012C3F">
        <w:rPr>
          <w:rFonts w:cs="Arial"/>
          <w:sz w:val="20"/>
          <w:szCs w:val="20"/>
          <w:vertAlign w:val="superscript"/>
          <w:lang w:val="en-US"/>
        </w:rPr>
        <w:footnoteReference w:id="18"/>
      </w:r>
    </w:p>
    <w:p w14:paraId="28766B95" w14:textId="77777777" w:rsidR="00E06A16" w:rsidRPr="00012C3F" w:rsidRDefault="00E06A16" w:rsidP="00E06A16">
      <w:pPr>
        <w:pStyle w:val="Prrafodelista"/>
        <w:spacing w:line="240" w:lineRule="auto"/>
        <w:ind w:left="0"/>
        <w:rPr>
          <w:rFonts w:cs="Arial"/>
          <w:sz w:val="20"/>
          <w:szCs w:val="20"/>
          <w:lang w:val="en-US"/>
        </w:rPr>
      </w:pPr>
    </w:p>
    <w:p w14:paraId="620A0CE4" w14:textId="77777777" w:rsidR="00335E6E" w:rsidRPr="00012C3F" w:rsidRDefault="001254DE" w:rsidP="00FA2D16">
      <w:pPr>
        <w:numPr>
          <w:ilvl w:val="0"/>
          <w:numId w:val="5"/>
        </w:numPr>
        <w:tabs>
          <w:tab w:val="left" w:pos="720"/>
          <w:tab w:val="num" w:pos="12305"/>
        </w:tabs>
        <w:spacing w:line="240" w:lineRule="auto"/>
        <w:ind w:left="0" w:firstLine="0"/>
        <w:rPr>
          <w:b/>
          <w:sz w:val="20"/>
          <w:szCs w:val="20"/>
          <w:lang w:val="en-US" w:eastAsia="es-ES"/>
        </w:rPr>
      </w:pPr>
      <w:r w:rsidRPr="00012C3F">
        <w:rPr>
          <w:rFonts w:cs="Verdana"/>
          <w:sz w:val="20"/>
          <w:szCs w:val="20"/>
          <w:lang w:val="en-US" w:eastAsia="es-MX"/>
        </w:rPr>
        <w:t>The Court</w:t>
      </w:r>
      <w:r w:rsidR="00E06A16" w:rsidRPr="00012C3F">
        <w:rPr>
          <w:rFonts w:cs="Verdana"/>
          <w:sz w:val="20"/>
          <w:szCs w:val="20"/>
          <w:lang w:val="en-US" w:eastAsia="es-MX"/>
        </w:rPr>
        <w:t xml:space="preserve"> rec</w:t>
      </w:r>
      <w:r w:rsidR="00E76911" w:rsidRPr="00012C3F">
        <w:rPr>
          <w:rFonts w:cs="Verdana"/>
          <w:sz w:val="20"/>
          <w:szCs w:val="20"/>
          <w:lang w:val="en-US" w:eastAsia="es-MX"/>
        </w:rPr>
        <w:t xml:space="preserve">alls that the first </w:t>
      </w:r>
      <w:r w:rsidR="00890A16" w:rsidRPr="00012C3F">
        <w:rPr>
          <w:rFonts w:cs="Verdana"/>
          <w:sz w:val="20"/>
          <w:szCs w:val="20"/>
          <w:lang w:val="en-US" w:eastAsia="es-MX"/>
        </w:rPr>
        <w:t>element</w:t>
      </w:r>
      <w:r w:rsidR="00E76911" w:rsidRPr="00012C3F">
        <w:rPr>
          <w:rFonts w:cs="Verdana"/>
          <w:sz w:val="20"/>
          <w:szCs w:val="20"/>
          <w:lang w:val="en-US" w:eastAsia="es-MX"/>
        </w:rPr>
        <w:t xml:space="preserve"> that must be determined </w:t>
      </w:r>
      <w:r w:rsidR="006C705C" w:rsidRPr="00012C3F">
        <w:rPr>
          <w:rFonts w:cs="Verdana"/>
          <w:sz w:val="20"/>
          <w:szCs w:val="20"/>
          <w:lang w:val="en-US" w:eastAsia="es-MX"/>
        </w:rPr>
        <w:t>in relation to</w:t>
      </w:r>
      <w:r w:rsidR="00E06A16" w:rsidRPr="00012C3F">
        <w:rPr>
          <w:rFonts w:cs="Verdana"/>
          <w:sz w:val="20"/>
          <w:szCs w:val="20"/>
          <w:lang w:val="en-US" w:eastAsia="es-MX"/>
        </w:rPr>
        <w:t xml:space="preserve"> a </w:t>
      </w:r>
      <w:r w:rsidR="007733E6" w:rsidRPr="00012C3F">
        <w:rPr>
          <w:rFonts w:cs="Verdana"/>
          <w:sz w:val="20"/>
          <w:szCs w:val="20"/>
          <w:lang w:val="en-US" w:eastAsia="es-MX"/>
        </w:rPr>
        <w:t>preliminary objection</w:t>
      </w:r>
      <w:r w:rsidR="00E06A16" w:rsidRPr="00012C3F">
        <w:rPr>
          <w:rFonts w:cs="Verdana"/>
          <w:sz w:val="20"/>
          <w:szCs w:val="20"/>
          <w:lang w:val="en-US" w:eastAsia="es-MX"/>
        </w:rPr>
        <w:t xml:space="preserve"> </w:t>
      </w:r>
      <w:r w:rsidR="00E76911" w:rsidRPr="00012C3F">
        <w:rPr>
          <w:rFonts w:cs="Verdana"/>
          <w:sz w:val="20"/>
          <w:szCs w:val="20"/>
          <w:lang w:val="en-US" w:eastAsia="es-MX"/>
        </w:rPr>
        <w:t xml:space="preserve">of this nature is </w:t>
      </w:r>
      <w:r w:rsidR="00890A16" w:rsidRPr="00012C3F">
        <w:rPr>
          <w:rFonts w:cs="Verdana"/>
          <w:sz w:val="20"/>
          <w:szCs w:val="20"/>
          <w:lang w:val="en-US" w:eastAsia="es-MX"/>
        </w:rPr>
        <w:t>whether</w:t>
      </w:r>
      <w:r w:rsidR="00E76911" w:rsidRPr="00012C3F">
        <w:rPr>
          <w:rFonts w:cs="Verdana"/>
          <w:sz w:val="20"/>
          <w:szCs w:val="20"/>
          <w:lang w:val="en-US" w:eastAsia="es-MX"/>
        </w:rPr>
        <w:t xml:space="preserve"> the objection was filed at the proper procedural mome</w:t>
      </w:r>
      <w:r w:rsidR="00BF02DB" w:rsidRPr="00012C3F">
        <w:rPr>
          <w:rFonts w:cs="Verdana"/>
          <w:sz w:val="20"/>
          <w:szCs w:val="20"/>
          <w:lang w:val="en-US" w:eastAsia="es-MX"/>
        </w:rPr>
        <w:t>n</w:t>
      </w:r>
      <w:r w:rsidR="00E76911" w:rsidRPr="00012C3F">
        <w:rPr>
          <w:rFonts w:cs="Verdana"/>
          <w:sz w:val="20"/>
          <w:szCs w:val="20"/>
          <w:lang w:val="en-US" w:eastAsia="es-MX"/>
        </w:rPr>
        <w:t xml:space="preserve">t, an aspect that is in dispute </w:t>
      </w:r>
      <w:r w:rsidR="006C705C" w:rsidRPr="00012C3F">
        <w:rPr>
          <w:rFonts w:cs="Verdana"/>
          <w:sz w:val="20"/>
          <w:szCs w:val="20"/>
          <w:lang w:val="en-US" w:eastAsia="es-MX"/>
        </w:rPr>
        <w:t>in this case</w:t>
      </w:r>
      <w:r w:rsidR="00E06A16" w:rsidRPr="00012C3F">
        <w:rPr>
          <w:rFonts w:cs="Verdana"/>
          <w:sz w:val="20"/>
          <w:szCs w:val="20"/>
          <w:lang w:val="en-US" w:eastAsia="es-MX"/>
        </w:rPr>
        <w:t>.</w:t>
      </w:r>
      <w:r w:rsidR="00E06A16" w:rsidRPr="00012C3F">
        <w:rPr>
          <w:rFonts w:eastAsia="Verdana" w:cs="Verdana"/>
          <w:sz w:val="20"/>
          <w:szCs w:val="20"/>
          <w:lang w:val="en-US"/>
        </w:rPr>
        <w:t xml:space="preserve"> </w:t>
      </w:r>
      <w:r w:rsidR="00E76911" w:rsidRPr="00012C3F">
        <w:rPr>
          <w:rFonts w:eastAsia="Verdana" w:cs="Verdana"/>
          <w:sz w:val="20"/>
          <w:szCs w:val="20"/>
          <w:lang w:val="en-US"/>
        </w:rPr>
        <w:t xml:space="preserve">The Court notes that the petition lodged on March 7, 2007, was forwarded to the State on May 8 that year, on which </w:t>
      </w:r>
      <w:r w:rsidR="00890A16" w:rsidRPr="00012C3F">
        <w:rPr>
          <w:rFonts w:eastAsia="Verdana" w:cs="Verdana"/>
          <w:sz w:val="20"/>
          <w:szCs w:val="20"/>
          <w:lang w:val="en-US"/>
        </w:rPr>
        <w:t xml:space="preserve">date </w:t>
      </w:r>
      <w:r w:rsidRPr="00012C3F">
        <w:rPr>
          <w:rFonts w:cs="Tahoma"/>
          <w:sz w:val="20"/>
          <w:szCs w:val="20"/>
          <w:lang w:val="en-US"/>
        </w:rPr>
        <w:t xml:space="preserve">the Inter-American </w:t>
      </w:r>
      <w:r w:rsidR="00A84CA0" w:rsidRPr="00012C3F">
        <w:rPr>
          <w:rFonts w:cs="Tahoma"/>
          <w:sz w:val="20"/>
          <w:szCs w:val="20"/>
          <w:lang w:val="en-US"/>
        </w:rPr>
        <w:t>Commission</w:t>
      </w:r>
      <w:r w:rsidR="00E06A16" w:rsidRPr="00012C3F">
        <w:rPr>
          <w:rFonts w:cs="Tahoma"/>
          <w:sz w:val="20"/>
          <w:szCs w:val="20"/>
          <w:lang w:val="en-US"/>
        </w:rPr>
        <w:t xml:space="preserve"> </w:t>
      </w:r>
      <w:r w:rsidR="00E76911" w:rsidRPr="00012C3F">
        <w:rPr>
          <w:rFonts w:cs="Tahoma"/>
          <w:sz w:val="20"/>
          <w:szCs w:val="20"/>
          <w:lang w:val="en-US"/>
        </w:rPr>
        <w:t xml:space="preserve">granted the State two months to </w:t>
      </w:r>
      <w:r w:rsidR="00890A16" w:rsidRPr="00012C3F">
        <w:rPr>
          <w:rFonts w:cs="Tahoma"/>
          <w:sz w:val="20"/>
          <w:szCs w:val="20"/>
          <w:lang w:val="en-US"/>
        </w:rPr>
        <w:t>remit</w:t>
      </w:r>
      <w:r w:rsidR="00E76911" w:rsidRPr="00012C3F">
        <w:rPr>
          <w:rFonts w:cs="Tahoma"/>
          <w:sz w:val="20"/>
          <w:szCs w:val="20"/>
          <w:lang w:val="en-US"/>
        </w:rPr>
        <w:t xml:space="preserve"> </w:t>
      </w:r>
      <w:r w:rsidR="00890A16" w:rsidRPr="00012C3F">
        <w:rPr>
          <w:rFonts w:cs="Tahoma"/>
          <w:sz w:val="20"/>
          <w:szCs w:val="20"/>
          <w:lang w:val="en-US"/>
        </w:rPr>
        <w:t>its</w:t>
      </w:r>
      <w:r w:rsidR="000F32AA" w:rsidRPr="00012C3F">
        <w:rPr>
          <w:rFonts w:cs="Tahoma"/>
          <w:sz w:val="20"/>
          <w:szCs w:val="20"/>
          <w:lang w:val="en-US"/>
        </w:rPr>
        <w:t xml:space="preserve"> observations</w:t>
      </w:r>
      <w:r w:rsidR="00E06A16" w:rsidRPr="00012C3F">
        <w:rPr>
          <w:rFonts w:cs="Tahoma"/>
          <w:sz w:val="20"/>
          <w:szCs w:val="20"/>
          <w:lang w:val="en-US"/>
        </w:rPr>
        <w:t xml:space="preserve"> </w:t>
      </w:r>
      <w:r w:rsidR="00890A16" w:rsidRPr="00012C3F">
        <w:rPr>
          <w:rFonts w:cs="Tahoma"/>
          <w:sz w:val="20"/>
          <w:szCs w:val="20"/>
          <w:lang w:val="en-US"/>
        </w:rPr>
        <w:t xml:space="preserve">concerning </w:t>
      </w:r>
      <w:r w:rsidR="00E76911" w:rsidRPr="00012C3F">
        <w:rPr>
          <w:rFonts w:cs="Tahoma"/>
          <w:sz w:val="20"/>
          <w:szCs w:val="20"/>
          <w:lang w:val="en-US"/>
        </w:rPr>
        <w:t>the admissibility</w:t>
      </w:r>
      <w:r w:rsidR="00890A16" w:rsidRPr="00012C3F">
        <w:rPr>
          <w:rFonts w:cs="Tahoma"/>
          <w:sz w:val="20"/>
          <w:szCs w:val="20"/>
          <w:lang w:val="en-US"/>
        </w:rPr>
        <w:t xml:space="preserve"> </w:t>
      </w:r>
      <w:r w:rsidR="00E76911" w:rsidRPr="00012C3F">
        <w:rPr>
          <w:rFonts w:cs="Tahoma"/>
          <w:sz w:val="20"/>
          <w:szCs w:val="20"/>
          <w:lang w:val="en-US"/>
        </w:rPr>
        <w:t>of the petition</w:t>
      </w:r>
      <w:r w:rsidR="00E06A16" w:rsidRPr="00012C3F">
        <w:rPr>
          <w:rFonts w:cs="Tahoma"/>
          <w:sz w:val="20"/>
          <w:szCs w:val="20"/>
          <w:lang w:val="en-US"/>
        </w:rPr>
        <w:t xml:space="preserve">. </w:t>
      </w:r>
      <w:r w:rsidR="00FA2D16" w:rsidRPr="00012C3F">
        <w:rPr>
          <w:rFonts w:cs="Verdana,Italic"/>
          <w:iCs/>
          <w:sz w:val="20"/>
          <w:szCs w:val="20"/>
          <w:lang w:val="en-US" w:eastAsia="en-US"/>
        </w:rPr>
        <w:t>On December 6,</w:t>
      </w:r>
      <w:r w:rsidR="00262AE4" w:rsidRPr="00012C3F">
        <w:rPr>
          <w:rFonts w:eastAsia="Calibri" w:cs="Cambria"/>
          <w:sz w:val="20"/>
          <w:szCs w:val="20"/>
          <w:lang w:val="en-US" w:eastAsia="en-US"/>
        </w:rPr>
        <w:t xml:space="preserve"> 2007</w:t>
      </w:r>
      <w:r w:rsidR="00FA2D16" w:rsidRPr="00012C3F">
        <w:rPr>
          <w:rFonts w:eastAsia="Calibri" w:cs="Cambria"/>
          <w:sz w:val="20"/>
          <w:szCs w:val="20"/>
          <w:lang w:val="en-US" w:eastAsia="en-US"/>
        </w:rPr>
        <w:t>,</w:t>
      </w:r>
      <w:r w:rsidR="00262AE4" w:rsidRPr="00012C3F">
        <w:rPr>
          <w:rFonts w:eastAsia="Calibri" w:cs="Cambria"/>
          <w:sz w:val="20"/>
          <w:szCs w:val="20"/>
          <w:lang w:val="en-US" w:eastAsia="en-US"/>
        </w:rPr>
        <w:t xml:space="preserve"> </w:t>
      </w:r>
      <w:r w:rsidR="00A84CA0" w:rsidRPr="00012C3F">
        <w:rPr>
          <w:rFonts w:cs="Verdana,Italic"/>
          <w:iCs/>
          <w:sz w:val="20"/>
          <w:szCs w:val="20"/>
          <w:lang w:val="en-US" w:eastAsia="en-US"/>
        </w:rPr>
        <w:t>the State</w:t>
      </w:r>
      <w:r w:rsidR="00E06A16" w:rsidRPr="00012C3F">
        <w:rPr>
          <w:rFonts w:cs="Verdana,Italic"/>
          <w:iCs/>
          <w:sz w:val="20"/>
          <w:szCs w:val="20"/>
          <w:lang w:val="en-US" w:eastAsia="en-US"/>
        </w:rPr>
        <w:t xml:space="preserve"> </w:t>
      </w:r>
      <w:r w:rsidR="00FA2D16" w:rsidRPr="00012C3F">
        <w:rPr>
          <w:rFonts w:cs="Verdana,Italic"/>
          <w:iCs/>
          <w:sz w:val="20"/>
          <w:szCs w:val="20"/>
          <w:lang w:val="en-US" w:eastAsia="en-US"/>
        </w:rPr>
        <w:t>forwarded the</w:t>
      </w:r>
      <w:r w:rsidR="000F32AA" w:rsidRPr="00012C3F">
        <w:rPr>
          <w:rFonts w:cs="Verdana,Italic"/>
          <w:iCs/>
          <w:sz w:val="20"/>
          <w:szCs w:val="20"/>
          <w:lang w:val="en-US" w:eastAsia="en-US"/>
        </w:rPr>
        <w:t xml:space="preserve"> observations</w:t>
      </w:r>
      <w:r w:rsidR="00E06A16" w:rsidRPr="00012C3F">
        <w:rPr>
          <w:rFonts w:cs="Verdana,Italic"/>
          <w:iCs/>
          <w:sz w:val="20"/>
          <w:szCs w:val="20"/>
          <w:lang w:val="en-US" w:eastAsia="en-US"/>
        </w:rPr>
        <w:t xml:space="preserve"> </w:t>
      </w:r>
      <w:r w:rsidR="00FA2D16" w:rsidRPr="00012C3F">
        <w:rPr>
          <w:rFonts w:cs="Verdana,Italic"/>
          <w:iCs/>
          <w:sz w:val="20"/>
          <w:szCs w:val="20"/>
          <w:lang w:val="en-US" w:eastAsia="en-US"/>
        </w:rPr>
        <w:t>requested,</w:t>
      </w:r>
      <w:r w:rsidR="00E06A16" w:rsidRPr="00012C3F">
        <w:rPr>
          <w:rStyle w:val="Refdenotaalpie"/>
          <w:rFonts w:cs="Verdana,Italic"/>
          <w:iCs/>
          <w:sz w:val="20"/>
          <w:szCs w:val="20"/>
          <w:lang w:val="en-US" w:eastAsia="en-US"/>
        </w:rPr>
        <w:footnoteReference w:id="19"/>
      </w:r>
      <w:r w:rsidR="00FA2D16" w:rsidRPr="00012C3F">
        <w:rPr>
          <w:rFonts w:cs="Verdana,Italic"/>
          <w:iCs/>
          <w:sz w:val="20"/>
          <w:szCs w:val="20"/>
          <w:lang w:val="en-US" w:eastAsia="en-US"/>
        </w:rPr>
        <w:t xml:space="preserve"> </w:t>
      </w:r>
      <w:r w:rsidR="00890A16" w:rsidRPr="00012C3F">
        <w:rPr>
          <w:rFonts w:cs="Verdana,Italic"/>
          <w:iCs/>
          <w:sz w:val="20"/>
          <w:szCs w:val="20"/>
          <w:lang w:val="en-US" w:eastAsia="en-US"/>
        </w:rPr>
        <w:t>asking</w:t>
      </w:r>
      <w:r w:rsidR="00FA2D16" w:rsidRPr="00012C3F">
        <w:rPr>
          <w:rFonts w:cs="Verdana,Italic"/>
          <w:iCs/>
          <w:sz w:val="20"/>
          <w:szCs w:val="20"/>
          <w:lang w:val="en-US" w:eastAsia="en-US"/>
        </w:rPr>
        <w:t xml:space="preserve"> the Commission </w:t>
      </w:r>
      <w:r w:rsidR="00890A16" w:rsidRPr="00012C3F">
        <w:rPr>
          <w:rFonts w:cs="Verdana,Italic"/>
          <w:iCs/>
          <w:sz w:val="20"/>
          <w:szCs w:val="20"/>
          <w:lang w:val="en-US" w:eastAsia="en-US"/>
        </w:rPr>
        <w:t xml:space="preserve">to </w:t>
      </w:r>
      <w:r w:rsidR="00FA2D16" w:rsidRPr="00012C3F">
        <w:rPr>
          <w:rFonts w:cs="Verdana,Italic"/>
          <w:iCs/>
          <w:sz w:val="20"/>
          <w:szCs w:val="20"/>
          <w:lang w:val="en-US" w:eastAsia="en-US"/>
        </w:rPr>
        <w:t xml:space="preserve">declare the petition inadmissible based on the failure to exhaust domestic remedies. In </w:t>
      </w:r>
      <w:r w:rsidR="00335E6E" w:rsidRPr="00012C3F">
        <w:rPr>
          <w:rFonts w:cs="Verdana,Italic"/>
          <w:iCs/>
          <w:sz w:val="20"/>
          <w:szCs w:val="20"/>
          <w:lang w:val="en-US" w:eastAsia="en-US"/>
        </w:rPr>
        <w:t xml:space="preserve">particular, </w:t>
      </w:r>
      <w:r w:rsidR="00A84CA0" w:rsidRPr="00012C3F">
        <w:rPr>
          <w:rFonts w:cs="Verdana,Italic"/>
          <w:iCs/>
          <w:sz w:val="20"/>
          <w:szCs w:val="20"/>
          <w:lang w:val="en-US" w:eastAsia="en-US"/>
        </w:rPr>
        <w:t>the State</w:t>
      </w:r>
      <w:r w:rsidR="00335E6E" w:rsidRPr="00012C3F">
        <w:rPr>
          <w:rFonts w:cs="Verdana,Italic"/>
          <w:iCs/>
          <w:sz w:val="20"/>
          <w:szCs w:val="20"/>
          <w:lang w:val="en-US" w:eastAsia="en-US"/>
        </w:rPr>
        <w:t xml:space="preserve"> indic</w:t>
      </w:r>
      <w:r w:rsidR="00FA2D16" w:rsidRPr="00012C3F">
        <w:rPr>
          <w:rFonts w:cs="Verdana,Italic"/>
          <w:iCs/>
          <w:sz w:val="20"/>
          <w:szCs w:val="20"/>
          <w:lang w:val="en-US" w:eastAsia="en-US"/>
        </w:rPr>
        <w:t>ated that I.V. “could have filed a</w:t>
      </w:r>
      <w:r w:rsidR="00890A16" w:rsidRPr="00012C3F">
        <w:rPr>
          <w:rFonts w:cs="Verdana,Italic"/>
          <w:iCs/>
          <w:sz w:val="20"/>
          <w:szCs w:val="20"/>
          <w:lang w:val="en-US" w:eastAsia="en-US"/>
        </w:rPr>
        <w:t>n application for</w:t>
      </w:r>
      <w:r w:rsidR="00FA2D16" w:rsidRPr="00012C3F">
        <w:rPr>
          <w:rFonts w:cs="Verdana,Italic"/>
          <w:iCs/>
          <w:sz w:val="20"/>
          <w:szCs w:val="20"/>
          <w:lang w:val="en-US" w:eastAsia="en-US"/>
        </w:rPr>
        <w:t xml:space="preserve"> constitutional amparo to obtain effective reparation of the rights claimed”</w:t>
      </w:r>
      <w:r w:rsidR="00890A16" w:rsidRPr="00012C3F">
        <w:rPr>
          <w:rFonts w:cs="Verdana,Italic"/>
          <w:iCs/>
          <w:sz w:val="20"/>
          <w:szCs w:val="20"/>
          <w:lang w:val="en-US" w:eastAsia="en-US"/>
        </w:rPr>
        <w:t>;</w:t>
      </w:r>
      <w:r w:rsidR="00FA2D16" w:rsidRPr="00012C3F">
        <w:rPr>
          <w:rFonts w:cs="Verdana,Italic"/>
          <w:iCs/>
          <w:sz w:val="20"/>
          <w:szCs w:val="20"/>
          <w:lang w:val="en-US" w:eastAsia="en-US"/>
        </w:rPr>
        <w:t xml:space="preserve"> </w:t>
      </w:r>
      <w:r w:rsidR="00890A16" w:rsidRPr="00012C3F">
        <w:rPr>
          <w:rFonts w:cs="Verdana,Italic"/>
          <w:iCs/>
          <w:sz w:val="20"/>
          <w:szCs w:val="20"/>
          <w:lang w:val="en-US" w:eastAsia="en-US"/>
        </w:rPr>
        <w:t>t</w:t>
      </w:r>
      <w:r w:rsidR="00FA2D16" w:rsidRPr="00012C3F">
        <w:rPr>
          <w:rFonts w:cs="Verdana,Italic"/>
          <w:iCs/>
          <w:sz w:val="20"/>
          <w:szCs w:val="20"/>
          <w:lang w:val="en-US" w:eastAsia="en-US"/>
        </w:rPr>
        <w:t>his remedy was regulated in a</w:t>
      </w:r>
      <w:r w:rsidRPr="00012C3F">
        <w:rPr>
          <w:rFonts w:cs="Verdana,Italic"/>
          <w:iCs/>
          <w:sz w:val="20"/>
          <w:szCs w:val="20"/>
          <w:lang w:val="en-US" w:eastAsia="en-US"/>
        </w:rPr>
        <w:t>rticle</w:t>
      </w:r>
      <w:r w:rsidR="00335E6E" w:rsidRPr="00012C3F">
        <w:rPr>
          <w:rFonts w:cs="Verdana,Italic"/>
          <w:iCs/>
          <w:sz w:val="20"/>
          <w:szCs w:val="20"/>
          <w:lang w:val="en-US" w:eastAsia="en-US"/>
        </w:rPr>
        <w:t xml:space="preserve"> 19</w:t>
      </w:r>
      <w:r w:rsidR="00FA2D16" w:rsidRPr="00012C3F">
        <w:rPr>
          <w:rFonts w:cs="Verdana,Italic"/>
          <w:iCs/>
          <w:sz w:val="20"/>
          <w:szCs w:val="20"/>
          <w:lang w:val="en-US" w:eastAsia="en-US"/>
        </w:rPr>
        <w:t xml:space="preserve"> of the Constitution and was the domestic remedy that should be exhausted.</w:t>
      </w:r>
      <w:r w:rsidR="007E0F4E" w:rsidRPr="00012C3F">
        <w:rPr>
          <w:rStyle w:val="Refdenotaalpie"/>
          <w:rFonts w:cs="Verdana,Italic"/>
          <w:iCs/>
          <w:sz w:val="20"/>
          <w:szCs w:val="20"/>
          <w:lang w:val="en-US" w:eastAsia="en-US"/>
        </w:rPr>
        <w:footnoteReference w:id="20"/>
      </w:r>
    </w:p>
    <w:p w14:paraId="369D8366" w14:textId="77777777" w:rsidR="00E06A16" w:rsidRPr="00012C3F" w:rsidRDefault="00E06A16" w:rsidP="00E76911">
      <w:pPr>
        <w:widowControl/>
        <w:tabs>
          <w:tab w:val="left" w:pos="720"/>
        </w:tabs>
        <w:autoSpaceDE w:val="0"/>
        <w:autoSpaceDN w:val="0"/>
        <w:adjustRightInd/>
        <w:spacing w:line="240" w:lineRule="auto"/>
        <w:textAlignment w:val="auto"/>
        <w:rPr>
          <w:sz w:val="20"/>
          <w:szCs w:val="20"/>
          <w:lang w:val="en-US" w:eastAsia="es-ES"/>
        </w:rPr>
      </w:pPr>
    </w:p>
    <w:p w14:paraId="53C6A5E3" w14:textId="77777777" w:rsidR="004627A1" w:rsidRPr="00012C3F" w:rsidRDefault="001254DE" w:rsidP="00E76911">
      <w:pPr>
        <w:numPr>
          <w:ilvl w:val="0"/>
          <w:numId w:val="5"/>
        </w:numPr>
        <w:tabs>
          <w:tab w:val="left" w:pos="720"/>
          <w:tab w:val="num" w:pos="12305"/>
        </w:tabs>
        <w:spacing w:line="240" w:lineRule="auto"/>
        <w:ind w:left="0" w:firstLine="0"/>
        <w:rPr>
          <w:rFonts w:eastAsiaTheme="minorHAnsi"/>
          <w:sz w:val="20"/>
          <w:szCs w:val="20"/>
          <w:lang w:val="en-US"/>
        </w:rPr>
      </w:pPr>
      <w:r w:rsidRPr="00012C3F">
        <w:rPr>
          <w:rFonts w:cs="Verdana"/>
          <w:sz w:val="20"/>
          <w:szCs w:val="20"/>
          <w:lang w:val="en-US" w:eastAsia="es-MX"/>
        </w:rPr>
        <w:t>The Court</w:t>
      </w:r>
      <w:r w:rsidR="00434B81" w:rsidRPr="00012C3F">
        <w:rPr>
          <w:sz w:val="20"/>
          <w:szCs w:val="20"/>
          <w:lang w:val="en-US"/>
        </w:rPr>
        <w:t xml:space="preserve"> not</w:t>
      </w:r>
      <w:r w:rsidR="004627A1" w:rsidRPr="00012C3F">
        <w:rPr>
          <w:sz w:val="20"/>
          <w:szCs w:val="20"/>
          <w:lang w:val="en-US"/>
        </w:rPr>
        <w:t>es that the State did file an objection of failure to exhaust domestic remedies during the processing</w:t>
      </w:r>
      <w:r w:rsidR="001C696E" w:rsidRPr="00012C3F">
        <w:rPr>
          <w:sz w:val="20"/>
          <w:szCs w:val="20"/>
          <w:lang w:val="en-US"/>
        </w:rPr>
        <w:t xml:space="preserve"> of the petition</w:t>
      </w:r>
      <w:r w:rsidR="004627A1" w:rsidRPr="00012C3F">
        <w:rPr>
          <w:sz w:val="20"/>
          <w:szCs w:val="20"/>
          <w:lang w:val="en-US"/>
        </w:rPr>
        <w:t xml:space="preserve"> </w:t>
      </w:r>
      <w:r w:rsidR="001C696E" w:rsidRPr="00012C3F">
        <w:rPr>
          <w:sz w:val="20"/>
          <w:szCs w:val="20"/>
          <w:lang w:val="en-US"/>
        </w:rPr>
        <w:t>at</w:t>
      </w:r>
      <w:r w:rsidR="004627A1" w:rsidRPr="00012C3F">
        <w:rPr>
          <w:sz w:val="20"/>
          <w:szCs w:val="20"/>
          <w:lang w:val="en-US"/>
        </w:rPr>
        <w:t xml:space="preserve"> the admissibility stage before </w:t>
      </w:r>
      <w:r w:rsidRPr="00012C3F">
        <w:rPr>
          <w:rFonts w:cs="Verdana Bold"/>
          <w:bCs/>
          <w:sz w:val="20"/>
          <w:szCs w:val="20"/>
          <w:lang w:val="en-US"/>
        </w:rPr>
        <w:t xml:space="preserve">the </w:t>
      </w:r>
      <w:r w:rsidR="00A84CA0" w:rsidRPr="00012C3F">
        <w:rPr>
          <w:rFonts w:cs="Verdana Bold"/>
          <w:bCs/>
          <w:sz w:val="20"/>
          <w:szCs w:val="20"/>
          <w:lang w:val="en-US"/>
        </w:rPr>
        <w:t>Commission</w:t>
      </w:r>
      <w:r w:rsidR="001C696E" w:rsidRPr="00012C3F">
        <w:rPr>
          <w:rFonts w:cs="Verdana Bold"/>
          <w:bCs/>
          <w:sz w:val="20"/>
          <w:szCs w:val="20"/>
          <w:lang w:val="en-US"/>
        </w:rPr>
        <w:t xml:space="preserve">; </w:t>
      </w:r>
      <w:r w:rsidR="00921FDB">
        <w:rPr>
          <w:rFonts w:cs="Verdana Bold"/>
          <w:bCs/>
          <w:sz w:val="20"/>
          <w:szCs w:val="20"/>
          <w:lang w:val="en-US"/>
        </w:rPr>
        <w:t xml:space="preserve">but, </w:t>
      </w:r>
      <w:r w:rsidR="001C696E" w:rsidRPr="00012C3F">
        <w:rPr>
          <w:rFonts w:cs="Verdana Bold"/>
          <w:bCs/>
          <w:sz w:val="20"/>
          <w:szCs w:val="20"/>
          <w:lang w:val="en-US"/>
        </w:rPr>
        <w:t>it</w:t>
      </w:r>
      <w:r w:rsidR="004627A1" w:rsidRPr="00012C3F">
        <w:rPr>
          <w:rFonts w:cs="Verdana Bold"/>
          <w:bCs/>
          <w:sz w:val="20"/>
          <w:szCs w:val="20"/>
          <w:lang w:val="en-US"/>
        </w:rPr>
        <w:t xml:space="preserve"> merely argued the </w:t>
      </w:r>
      <w:r w:rsidR="004627A1" w:rsidRPr="00012C3F">
        <w:rPr>
          <w:sz w:val="20"/>
          <w:szCs w:val="20"/>
          <w:lang w:val="en-US"/>
        </w:rPr>
        <w:t xml:space="preserve">failure to exhaust the </w:t>
      </w:r>
      <w:r w:rsidR="0063695C" w:rsidRPr="00012C3F">
        <w:rPr>
          <w:sz w:val="20"/>
          <w:szCs w:val="20"/>
          <w:lang w:val="en-US"/>
        </w:rPr>
        <w:t>application for constitutional amparo</w:t>
      </w:r>
      <w:r w:rsidR="004627A1" w:rsidRPr="00012C3F">
        <w:rPr>
          <w:sz w:val="20"/>
          <w:szCs w:val="20"/>
          <w:lang w:val="en-US"/>
        </w:rPr>
        <w:t>. Therefore, and pursuant to th</w:t>
      </w:r>
      <w:r w:rsidR="001C696E" w:rsidRPr="00012C3F">
        <w:rPr>
          <w:sz w:val="20"/>
          <w:szCs w:val="20"/>
          <w:lang w:val="en-US"/>
        </w:rPr>
        <w:t>e</w:t>
      </w:r>
      <w:r w:rsidR="004627A1" w:rsidRPr="00012C3F">
        <w:rPr>
          <w:sz w:val="20"/>
          <w:szCs w:val="20"/>
          <w:lang w:val="en-US"/>
        </w:rPr>
        <w:t xml:space="preserve"> Court’s case law,</w:t>
      </w:r>
      <w:r w:rsidR="00AC2794" w:rsidRPr="00012C3F">
        <w:rPr>
          <w:rStyle w:val="Refdenotaalpie"/>
          <w:rFonts w:cs="Verdana Bold"/>
          <w:bCs/>
          <w:sz w:val="20"/>
          <w:szCs w:val="20"/>
          <w:lang w:val="en-US"/>
        </w:rPr>
        <w:footnoteReference w:id="21"/>
      </w:r>
      <w:r w:rsidR="00AC2794" w:rsidRPr="00012C3F">
        <w:rPr>
          <w:rFonts w:cs="Verdana Bold"/>
          <w:bCs/>
          <w:sz w:val="20"/>
          <w:szCs w:val="20"/>
          <w:lang w:val="en-US"/>
        </w:rPr>
        <w:t xml:space="preserve"> </w:t>
      </w:r>
      <w:r w:rsidR="00A84CA0" w:rsidRPr="00012C3F">
        <w:rPr>
          <w:rFonts w:cs="Verdana Bold"/>
          <w:bCs/>
          <w:sz w:val="20"/>
          <w:szCs w:val="20"/>
          <w:lang w:val="en-US"/>
        </w:rPr>
        <w:t>the State</w:t>
      </w:r>
      <w:r w:rsidR="00AC2794" w:rsidRPr="00012C3F">
        <w:rPr>
          <w:rFonts w:cs="Verdana Bold"/>
          <w:bCs/>
          <w:sz w:val="20"/>
          <w:szCs w:val="20"/>
          <w:lang w:val="en-US"/>
        </w:rPr>
        <w:t xml:space="preserve"> </w:t>
      </w:r>
      <w:r w:rsidR="004627A1" w:rsidRPr="00012C3F">
        <w:rPr>
          <w:rFonts w:cs="Verdana Bold"/>
          <w:bCs/>
          <w:sz w:val="20"/>
          <w:szCs w:val="20"/>
          <w:lang w:val="en-US"/>
        </w:rPr>
        <w:t xml:space="preserve">cannot argue before this Court the </w:t>
      </w:r>
      <w:r w:rsidR="004627A1" w:rsidRPr="00012C3F">
        <w:rPr>
          <w:sz w:val="20"/>
          <w:szCs w:val="20"/>
          <w:lang w:val="en-US"/>
        </w:rPr>
        <w:t xml:space="preserve">failure to exhaust other remedies that were not </w:t>
      </w:r>
      <w:r w:rsidR="001C696E" w:rsidRPr="00012C3F">
        <w:rPr>
          <w:sz w:val="20"/>
          <w:szCs w:val="20"/>
          <w:lang w:val="en-US"/>
        </w:rPr>
        <w:t>alleged</w:t>
      </w:r>
      <w:r w:rsidR="004627A1" w:rsidRPr="00012C3F">
        <w:rPr>
          <w:sz w:val="20"/>
          <w:szCs w:val="20"/>
          <w:lang w:val="en-US"/>
        </w:rPr>
        <w:t xml:space="preserve"> at that procedural opportunity. Th</w:t>
      </w:r>
      <w:r w:rsidR="001C696E" w:rsidRPr="00012C3F">
        <w:rPr>
          <w:sz w:val="20"/>
          <w:szCs w:val="20"/>
          <w:lang w:val="en-US"/>
        </w:rPr>
        <w:t>us, the</w:t>
      </w:r>
      <w:r w:rsidR="004627A1" w:rsidRPr="00012C3F">
        <w:rPr>
          <w:sz w:val="20"/>
          <w:szCs w:val="20"/>
          <w:lang w:val="en-US"/>
        </w:rPr>
        <w:t xml:space="preserve"> State’s arguments regarding the alleged failure to exhaust the </w:t>
      </w:r>
      <w:r w:rsidR="00C16DEA" w:rsidRPr="00012C3F">
        <w:rPr>
          <w:sz w:val="20"/>
          <w:szCs w:val="20"/>
          <w:lang w:val="en-US"/>
        </w:rPr>
        <w:t>cassation procedure</w:t>
      </w:r>
      <w:r w:rsidR="001C696E" w:rsidRPr="00012C3F">
        <w:rPr>
          <w:sz w:val="20"/>
          <w:szCs w:val="20"/>
          <w:lang w:val="en-US"/>
        </w:rPr>
        <w:t>,</w:t>
      </w:r>
      <w:r w:rsidR="004627A1" w:rsidRPr="00012C3F">
        <w:rPr>
          <w:sz w:val="20"/>
          <w:szCs w:val="20"/>
          <w:lang w:val="en-US"/>
        </w:rPr>
        <w:t xml:space="preserve"> which was filed for the first time in its answering brief before this Court</w:t>
      </w:r>
      <w:r w:rsidR="001C696E" w:rsidRPr="00012C3F">
        <w:rPr>
          <w:sz w:val="20"/>
          <w:szCs w:val="20"/>
          <w:lang w:val="en-US"/>
        </w:rPr>
        <w:t>,</w:t>
      </w:r>
      <w:r w:rsidR="004627A1" w:rsidRPr="00012C3F">
        <w:rPr>
          <w:sz w:val="20"/>
          <w:szCs w:val="20"/>
          <w:lang w:val="en-US"/>
        </w:rPr>
        <w:t xml:space="preserve"> are time-barred.</w:t>
      </w:r>
    </w:p>
    <w:p w14:paraId="06D6DA66" w14:textId="77777777" w:rsidR="00434B81" w:rsidRPr="00012C3F" w:rsidRDefault="00434B81" w:rsidP="00434B81">
      <w:pPr>
        <w:widowControl/>
        <w:autoSpaceDE w:val="0"/>
        <w:autoSpaceDN w:val="0"/>
        <w:spacing w:line="240" w:lineRule="auto"/>
        <w:textAlignment w:val="auto"/>
        <w:rPr>
          <w:rFonts w:cs="Verdana Bold"/>
          <w:bCs/>
          <w:sz w:val="20"/>
          <w:szCs w:val="20"/>
          <w:lang w:val="en-US"/>
        </w:rPr>
      </w:pPr>
    </w:p>
    <w:p w14:paraId="7B8521DD" w14:textId="77777777" w:rsidR="0088537F" w:rsidRPr="00012C3F" w:rsidRDefault="004627A1" w:rsidP="00EF4B3E">
      <w:pPr>
        <w:numPr>
          <w:ilvl w:val="0"/>
          <w:numId w:val="5"/>
        </w:numPr>
        <w:tabs>
          <w:tab w:val="left" w:pos="720"/>
          <w:tab w:val="num" w:pos="12305"/>
        </w:tabs>
        <w:spacing w:line="240" w:lineRule="auto"/>
        <w:ind w:left="0" w:firstLine="0"/>
        <w:rPr>
          <w:sz w:val="20"/>
          <w:szCs w:val="20"/>
          <w:lang w:val="en-US" w:eastAsia="es-CO"/>
        </w:rPr>
      </w:pPr>
      <w:r w:rsidRPr="00012C3F">
        <w:rPr>
          <w:rFonts w:eastAsia="Verdana" w:cs="Verdana"/>
          <w:sz w:val="20"/>
          <w:szCs w:val="20"/>
          <w:lang w:val="en-US"/>
        </w:rPr>
        <w:t xml:space="preserve">Regarding to the alleged failure to exhaust the </w:t>
      </w:r>
      <w:r w:rsidR="0063695C" w:rsidRPr="00012C3F">
        <w:rPr>
          <w:rFonts w:eastAsia="Verdana" w:cs="Verdana"/>
          <w:sz w:val="20"/>
          <w:szCs w:val="20"/>
          <w:lang w:val="en-US"/>
        </w:rPr>
        <w:t>application for constitutional amparo</w:t>
      </w:r>
      <w:r w:rsidRPr="00012C3F">
        <w:rPr>
          <w:rFonts w:eastAsia="Verdana" w:cs="Verdana"/>
          <w:sz w:val="20"/>
          <w:szCs w:val="20"/>
          <w:lang w:val="en-US"/>
        </w:rPr>
        <w:t xml:space="preserve">, the Court notes that, as previously mentioned </w:t>
      </w:r>
      <w:r w:rsidR="006B6580" w:rsidRPr="00012C3F">
        <w:rPr>
          <w:rFonts w:eastAsia="Verdana" w:cs="Verdana"/>
          <w:sz w:val="20"/>
          <w:szCs w:val="20"/>
          <w:lang w:val="en-US"/>
        </w:rPr>
        <w:t>(</w:t>
      </w:r>
      <w:r w:rsidR="006B6580" w:rsidRPr="00012C3F">
        <w:rPr>
          <w:rFonts w:eastAsia="Verdana" w:cs="Verdana"/>
          <w:i/>
          <w:sz w:val="20"/>
          <w:szCs w:val="20"/>
          <w:lang w:val="en-US"/>
        </w:rPr>
        <w:t>supra</w:t>
      </w:r>
      <w:r w:rsidR="006B6580" w:rsidRPr="00012C3F">
        <w:rPr>
          <w:rFonts w:eastAsia="Verdana" w:cs="Verdana"/>
          <w:sz w:val="20"/>
          <w:szCs w:val="20"/>
          <w:lang w:val="en-US"/>
        </w:rPr>
        <w:t xml:space="preserve"> </w:t>
      </w:r>
      <w:r w:rsidR="00370DD4" w:rsidRPr="00012C3F">
        <w:rPr>
          <w:rFonts w:eastAsia="Verdana" w:cs="Verdana"/>
          <w:sz w:val="20"/>
          <w:szCs w:val="20"/>
          <w:lang w:val="en-US"/>
        </w:rPr>
        <w:t>para.</w:t>
      </w:r>
      <w:r w:rsidR="006B6580" w:rsidRPr="00012C3F">
        <w:rPr>
          <w:rFonts w:eastAsia="Verdana" w:cs="Verdana"/>
          <w:sz w:val="20"/>
          <w:szCs w:val="20"/>
          <w:lang w:val="en-US"/>
        </w:rPr>
        <w:t xml:space="preserve"> </w:t>
      </w:r>
      <w:r w:rsidR="009B607B" w:rsidRPr="00012C3F">
        <w:rPr>
          <w:rFonts w:eastAsia="Verdana" w:cs="Verdana"/>
          <w:sz w:val="20"/>
          <w:szCs w:val="20"/>
          <w:lang w:val="en-US"/>
        </w:rPr>
        <w:t>33</w:t>
      </w:r>
      <w:r w:rsidR="006B6580" w:rsidRPr="00012C3F">
        <w:rPr>
          <w:rFonts w:eastAsia="Verdana" w:cs="Verdana"/>
          <w:sz w:val="20"/>
          <w:szCs w:val="20"/>
          <w:lang w:val="en-US"/>
        </w:rPr>
        <w:t>),</w:t>
      </w:r>
      <w:r w:rsidR="00475387" w:rsidRPr="00012C3F">
        <w:rPr>
          <w:rFonts w:eastAsia="Verdana" w:cs="Verdana"/>
          <w:sz w:val="20"/>
          <w:szCs w:val="20"/>
          <w:lang w:val="en-US"/>
        </w:rPr>
        <w:t xml:space="preserve"> </w:t>
      </w:r>
      <w:r w:rsidR="00A84CA0" w:rsidRPr="00012C3F">
        <w:rPr>
          <w:rFonts w:eastAsia="Verdana" w:cs="Verdana"/>
          <w:sz w:val="20"/>
          <w:szCs w:val="20"/>
          <w:lang w:val="en-US"/>
        </w:rPr>
        <w:t>the State</w:t>
      </w:r>
      <w:r w:rsidR="00475387" w:rsidRPr="00012C3F">
        <w:rPr>
          <w:rFonts w:eastAsia="Verdana" w:cs="Verdana"/>
          <w:sz w:val="20"/>
          <w:szCs w:val="20"/>
          <w:lang w:val="en-US"/>
        </w:rPr>
        <w:t xml:space="preserve"> </w:t>
      </w:r>
      <w:r w:rsidRPr="00012C3F">
        <w:rPr>
          <w:rFonts w:eastAsia="Verdana" w:cs="Verdana"/>
          <w:sz w:val="20"/>
          <w:szCs w:val="20"/>
          <w:lang w:val="en-US"/>
        </w:rPr>
        <w:t xml:space="preserve">filed this objection in its brief with observations on the initial petition, so that it was filed at the proper procedural opportunity. As grounds for its </w:t>
      </w:r>
      <w:r w:rsidR="007733E6" w:rsidRPr="00012C3F">
        <w:rPr>
          <w:sz w:val="20"/>
          <w:szCs w:val="20"/>
          <w:lang w:val="en-US" w:eastAsia="es-CO"/>
        </w:rPr>
        <w:t>preliminary objection</w:t>
      </w:r>
      <w:r w:rsidR="00D52EFD" w:rsidRPr="00012C3F">
        <w:rPr>
          <w:sz w:val="20"/>
          <w:szCs w:val="20"/>
          <w:lang w:val="en-US" w:eastAsia="es-CO"/>
        </w:rPr>
        <w:t xml:space="preserve"> </w:t>
      </w:r>
      <w:r w:rsidRPr="00012C3F">
        <w:rPr>
          <w:sz w:val="20"/>
          <w:szCs w:val="20"/>
          <w:lang w:val="en-US" w:eastAsia="es-CO"/>
        </w:rPr>
        <w:t>in the procedure before</w:t>
      </w:r>
      <w:r w:rsidR="00D52EFD" w:rsidRPr="00012C3F">
        <w:rPr>
          <w:sz w:val="20"/>
          <w:szCs w:val="20"/>
          <w:lang w:val="en-US" w:eastAsia="es-CO"/>
        </w:rPr>
        <w:t xml:space="preserve"> </w:t>
      </w:r>
      <w:r w:rsidR="001254DE" w:rsidRPr="00012C3F">
        <w:rPr>
          <w:sz w:val="20"/>
          <w:szCs w:val="20"/>
          <w:lang w:val="en-US" w:eastAsia="es-CO"/>
        </w:rPr>
        <w:t xml:space="preserve">the </w:t>
      </w:r>
      <w:r w:rsidR="00A84CA0" w:rsidRPr="00012C3F">
        <w:rPr>
          <w:sz w:val="20"/>
          <w:szCs w:val="20"/>
          <w:lang w:val="en-US" w:eastAsia="es-CO"/>
        </w:rPr>
        <w:t>Commission</w:t>
      </w:r>
      <w:r w:rsidR="00D52EFD" w:rsidRPr="00012C3F">
        <w:rPr>
          <w:sz w:val="20"/>
          <w:szCs w:val="20"/>
          <w:lang w:val="en-US" w:eastAsia="es-CO"/>
        </w:rPr>
        <w:t xml:space="preserve">, </w:t>
      </w:r>
      <w:r w:rsidR="00A84CA0" w:rsidRPr="00012C3F">
        <w:rPr>
          <w:sz w:val="20"/>
          <w:szCs w:val="20"/>
          <w:lang w:val="en-US" w:eastAsia="es-CO"/>
        </w:rPr>
        <w:t>the State</w:t>
      </w:r>
      <w:r w:rsidR="00D52EFD" w:rsidRPr="00012C3F">
        <w:rPr>
          <w:sz w:val="20"/>
          <w:szCs w:val="20"/>
          <w:lang w:val="en-US" w:eastAsia="es-CO"/>
        </w:rPr>
        <w:t xml:space="preserve"> </w:t>
      </w:r>
      <w:r w:rsidRPr="00012C3F">
        <w:rPr>
          <w:sz w:val="20"/>
          <w:szCs w:val="20"/>
          <w:lang w:val="en-US" w:eastAsia="es-CO"/>
        </w:rPr>
        <w:t>indicated that, according to a</w:t>
      </w:r>
      <w:r w:rsidR="001254DE" w:rsidRPr="00012C3F">
        <w:rPr>
          <w:sz w:val="20"/>
          <w:szCs w:val="20"/>
          <w:lang w:val="en-US" w:eastAsia="es-CO"/>
        </w:rPr>
        <w:t>rticle</w:t>
      </w:r>
      <w:r w:rsidR="0088537F" w:rsidRPr="00012C3F">
        <w:rPr>
          <w:sz w:val="20"/>
          <w:szCs w:val="20"/>
          <w:lang w:val="en-US" w:eastAsia="es-CO"/>
        </w:rPr>
        <w:t xml:space="preserve"> 19 </w:t>
      </w:r>
      <w:r w:rsidRPr="00012C3F">
        <w:rPr>
          <w:sz w:val="20"/>
          <w:szCs w:val="20"/>
          <w:lang w:val="en-US" w:eastAsia="es-CO"/>
        </w:rPr>
        <w:t>of the Constitution in force at the time and a</w:t>
      </w:r>
      <w:r w:rsidR="001254DE" w:rsidRPr="00012C3F">
        <w:rPr>
          <w:sz w:val="20"/>
          <w:szCs w:val="20"/>
          <w:lang w:val="en-US" w:eastAsia="es-CO"/>
        </w:rPr>
        <w:t>rticle</w:t>
      </w:r>
      <w:r w:rsidR="0088537F" w:rsidRPr="00012C3F">
        <w:rPr>
          <w:sz w:val="20"/>
          <w:szCs w:val="20"/>
          <w:lang w:val="en-US" w:eastAsia="es-CO"/>
        </w:rPr>
        <w:t xml:space="preserve"> 94 </w:t>
      </w:r>
      <w:r w:rsidRPr="00012C3F">
        <w:rPr>
          <w:sz w:val="20"/>
          <w:szCs w:val="20"/>
          <w:lang w:val="en-US" w:eastAsia="es-CO"/>
        </w:rPr>
        <w:t>of Law</w:t>
      </w:r>
      <w:r w:rsidR="0088537F" w:rsidRPr="00012C3F">
        <w:rPr>
          <w:sz w:val="20"/>
          <w:szCs w:val="20"/>
          <w:lang w:val="en-US" w:eastAsia="es-CO"/>
        </w:rPr>
        <w:t xml:space="preserve"> 1836, </w:t>
      </w:r>
      <w:r w:rsidRPr="00012C3F">
        <w:rPr>
          <w:sz w:val="20"/>
          <w:szCs w:val="20"/>
          <w:lang w:val="en-US" w:eastAsia="es-CO"/>
        </w:rPr>
        <w:t xml:space="preserve">the </w:t>
      </w:r>
      <w:r w:rsidR="0063695C" w:rsidRPr="00012C3F">
        <w:rPr>
          <w:sz w:val="20"/>
          <w:szCs w:val="20"/>
          <w:lang w:val="en-US" w:eastAsia="es-CO"/>
        </w:rPr>
        <w:t>application for constitutional amparo</w:t>
      </w:r>
      <w:r w:rsidRPr="00012C3F">
        <w:rPr>
          <w:sz w:val="20"/>
          <w:szCs w:val="20"/>
          <w:lang w:val="en-US" w:eastAsia="es-CO"/>
        </w:rPr>
        <w:t xml:space="preserve"> was admissible “against any undue decision, act or omission of </w:t>
      </w:r>
      <w:r w:rsidR="00EF4B3E" w:rsidRPr="00012C3F">
        <w:rPr>
          <w:sz w:val="20"/>
          <w:szCs w:val="20"/>
          <w:lang w:val="en-US" w:eastAsia="es-CO"/>
        </w:rPr>
        <w:t xml:space="preserve">an authority or official, provided that there was no other means or remedy for the immediate protection of rights and guarantees […].” Additionally, it cited the Constitutional Court’s decision No. </w:t>
      </w:r>
      <w:r w:rsidR="00586523" w:rsidRPr="00012C3F">
        <w:rPr>
          <w:sz w:val="20"/>
          <w:szCs w:val="20"/>
          <w:lang w:val="en-US" w:eastAsia="es-CO"/>
        </w:rPr>
        <w:t xml:space="preserve">1261/2006-R </w:t>
      </w:r>
      <w:r w:rsidR="00EF4B3E" w:rsidRPr="00012C3F">
        <w:rPr>
          <w:sz w:val="20"/>
          <w:szCs w:val="20"/>
          <w:lang w:val="en-US" w:eastAsia="es-CO"/>
        </w:rPr>
        <w:t>of December 11,</w:t>
      </w:r>
      <w:r w:rsidR="00586523" w:rsidRPr="00012C3F">
        <w:rPr>
          <w:sz w:val="20"/>
          <w:szCs w:val="20"/>
          <w:lang w:val="en-US" w:eastAsia="es-CO"/>
        </w:rPr>
        <w:t xml:space="preserve"> 2006, </w:t>
      </w:r>
      <w:r w:rsidR="001B334A" w:rsidRPr="00012C3F">
        <w:rPr>
          <w:sz w:val="20"/>
          <w:szCs w:val="20"/>
          <w:lang w:val="en-US" w:eastAsia="es-CO"/>
        </w:rPr>
        <w:t>a</w:t>
      </w:r>
      <w:r w:rsidR="00EF4B3E" w:rsidRPr="00012C3F">
        <w:rPr>
          <w:sz w:val="20"/>
          <w:szCs w:val="20"/>
          <w:lang w:val="en-US" w:eastAsia="es-CO"/>
        </w:rPr>
        <w:t xml:space="preserve">rguing that “if </w:t>
      </w:r>
      <w:r w:rsidR="00E00902" w:rsidRPr="00012C3F">
        <w:rPr>
          <w:sz w:val="20"/>
          <w:szCs w:val="20"/>
          <w:lang w:val="en-US" w:eastAsia="es-CO"/>
        </w:rPr>
        <w:t>the presumed victim</w:t>
      </w:r>
      <w:r w:rsidR="00921FDB">
        <w:rPr>
          <w:sz w:val="20"/>
          <w:szCs w:val="20"/>
          <w:lang w:val="en-US" w:eastAsia="es-CO"/>
        </w:rPr>
        <w:t xml:space="preserve"> had</w:t>
      </w:r>
      <w:r w:rsidR="001C696E" w:rsidRPr="00012C3F">
        <w:rPr>
          <w:sz w:val="20"/>
          <w:szCs w:val="20"/>
          <w:lang w:val="en-US" w:eastAsia="es-CO"/>
        </w:rPr>
        <w:t xml:space="preserve"> </w:t>
      </w:r>
      <w:r w:rsidR="00EF4B3E" w:rsidRPr="00012C3F">
        <w:rPr>
          <w:sz w:val="20"/>
          <w:szCs w:val="20"/>
          <w:lang w:val="en-US" w:eastAsia="es-CO"/>
        </w:rPr>
        <w:t xml:space="preserve">filed </w:t>
      </w:r>
      <w:r w:rsidR="001C696E" w:rsidRPr="00012C3F">
        <w:rPr>
          <w:sz w:val="20"/>
          <w:szCs w:val="20"/>
          <w:lang w:val="en-US" w:eastAsia="es-CO"/>
        </w:rPr>
        <w:t>the</w:t>
      </w:r>
      <w:r w:rsidR="00EF4B3E" w:rsidRPr="00012C3F">
        <w:rPr>
          <w:sz w:val="20"/>
          <w:szCs w:val="20"/>
          <w:lang w:val="en-US" w:eastAsia="es-CO"/>
        </w:rPr>
        <w:t xml:space="preserve"> appeal against the decision declaring the extinction of the criminal </w:t>
      </w:r>
      <w:r w:rsidR="001C696E" w:rsidRPr="00012C3F">
        <w:rPr>
          <w:sz w:val="20"/>
          <w:szCs w:val="20"/>
          <w:lang w:val="en-US" w:eastAsia="es-CO"/>
        </w:rPr>
        <w:t>proceedings</w:t>
      </w:r>
      <w:r w:rsidR="00EF4B3E" w:rsidRPr="00012C3F">
        <w:rPr>
          <w:sz w:val="20"/>
          <w:szCs w:val="20"/>
          <w:lang w:val="en-US" w:eastAsia="es-CO"/>
        </w:rPr>
        <w:t xml:space="preserve"> argu</w:t>
      </w:r>
      <w:r w:rsidR="001C696E" w:rsidRPr="00012C3F">
        <w:rPr>
          <w:sz w:val="20"/>
          <w:szCs w:val="20"/>
          <w:lang w:val="en-US" w:eastAsia="es-CO"/>
        </w:rPr>
        <w:t>ing</w:t>
      </w:r>
      <w:r w:rsidR="00EF4B3E" w:rsidRPr="00012C3F">
        <w:rPr>
          <w:sz w:val="20"/>
          <w:szCs w:val="20"/>
          <w:lang w:val="en-US" w:eastAsia="es-CO"/>
        </w:rPr>
        <w:t xml:space="preserve"> non-compliance with constitutional orders and judgments</w:t>
      </w:r>
      <w:r w:rsidR="00686F27" w:rsidRPr="00012C3F">
        <w:rPr>
          <w:sz w:val="20"/>
          <w:szCs w:val="20"/>
          <w:lang w:val="en-US" w:eastAsia="es-CO"/>
        </w:rPr>
        <w:t>,</w:t>
      </w:r>
      <w:r w:rsidR="00EF4B3E" w:rsidRPr="00012C3F">
        <w:rPr>
          <w:sz w:val="20"/>
          <w:szCs w:val="20"/>
          <w:lang w:val="en-US" w:eastAsia="es-CO"/>
        </w:rPr>
        <w:t xml:space="preserve"> </w:t>
      </w:r>
      <w:r w:rsidR="001C696E" w:rsidRPr="00012C3F">
        <w:rPr>
          <w:sz w:val="20"/>
          <w:szCs w:val="20"/>
          <w:lang w:val="en-US" w:eastAsia="es-CO"/>
        </w:rPr>
        <w:t>she, therefore,</w:t>
      </w:r>
      <w:r w:rsidR="00EF4B3E" w:rsidRPr="00012C3F">
        <w:rPr>
          <w:sz w:val="20"/>
          <w:szCs w:val="20"/>
          <w:lang w:val="en-US" w:eastAsia="es-CO"/>
        </w:rPr>
        <w:t xml:space="preserve"> did have an expeditious means to file a constitutional amparo” [</w:t>
      </w:r>
      <w:r w:rsidR="00EF4B3E" w:rsidRPr="00012C3F">
        <w:rPr>
          <w:i/>
          <w:iCs/>
          <w:sz w:val="20"/>
          <w:szCs w:val="20"/>
          <w:lang w:val="en-US" w:eastAsia="es-CO"/>
        </w:rPr>
        <w:t>sic</w:t>
      </w:r>
      <w:r w:rsidR="00EF4B3E" w:rsidRPr="00012C3F">
        <w:rPr>
          <w:sz w:val="20"/>
          <w:szCs w:val="20"/>
          <w:lang w:val="en-US" w:eastAsia="es-CO"/>
        </w:rPr>
        <w:t xml:space="preserve">]. In addition, it indicated that Constitutional Judgment </w:t>
      </w:r>
      <w:r w:rsidR="0082496B" w:rsidRPr="00012C3F">
        <w:rPr>
          <w:sz w:val="20"/>
          <w:szCs w:val="20"/>
          <w:lang w:val="en-US" w:eastAsia="es-CO"/>
        </w:rPr>
        <w:t xml:space="preserve">No. 0921/2004-R </w:t>
      </w:r>
      <w:r w:rsidR="00EF4B3E" w:rsidRPr="00012C3F">
        <w:rPr>
          <w:sz w:val="20"/>
          <w:szCs w:val="20"/>
          <w:lang w:val="en-US" w:eastAsia="es-CO"/>
        </w:rPr>
        <w:t>of June 15,</w:t>
      </w:r>
      <w:r w:rsidR="0082496B" w:rsidRPr="00012C3F">
        <w:rPr>
          <w:sz w:val="20"/>
          <w:szCs w:val="20"/>
          <w:lang w:val="en-US" w:eastAsia="es-CO"/>
        </w:rPr>
        <w:t xml:space="preserve"> 2004</w:t>
      </w:r>
      <w:r w:rsidR="00EF4B3E" w:rsidRPr="00012C3F">
        <w:rPr>
          <w:sz w:val="20"/>
          <w:szCs w:val="20"/>
          <w:lang w:val="en-US" w:eastAsia="es-CO"/>
        </w:rPr>
        <w:t xml:space="preserve">, established the time frame for filing the </w:t>
      </w:r>
      <w:r w:rsidR="0063695C" w:rsidRPr="00012C3F">
        <w:rPr>
          <w:sz w:val="20"/>
          <w:szCs w:val="20"/>
          <w:lang w:val="en-US" w:eastAsia="es-CO"/>
        </w:rPr>
        <w:t>application for constitutional amparo</w:t>
      </w:r>
      <w:r w:rsidR="00EF4B3E" w:rsidRPr="00012C3F">
        <w:rPr>
          <w:sz w:val="20"/>
          <w:szCs w:val="20"/>
          <w:lang w:val="en-US" w:eastAsia="es-CO"/>
        </w:rPr>
        <w:t>.</w:t>
      </w:r>
    </w:p>
    <w:p w14:paraId="3D711EEF" w14:textId="77777777" w:rsidR="0088537F" w:rsidRPr="00012C3F" w:rsidRDefault="0088537F" w:rsidP="004627A1">
      <w:pPr>
        <w:widowControl/>
        <w:tabs>
          <w:tab w:val="left" w:pos="720"/>
        </w:tabs>
        <w:autoSpaceDE w:val="0"/>
        <w:autoSpaceDN w:val="0"/>
        <w:adjustRightInd/>
        <w:spacing w:line="240" w:lineRule="auto"/>
        <w:textAlignment w:val="auto"/>
        <w:rPr>
          <w:sz w:val="20"/>
          <w:szCs w:val="20"/>
          <w:lang w:val="en-US" w:eastAsia="es-CO"/>
        </w:rPr>
      </w:pPr>
    </w:p>
    <w:p w14:paraId="37BC9635" w14:textId="77777777" w:rsidR="00E12888" w:rsidRPr="00012C3F" w:rsidRDefault="007E3BD5" w:rsidP="00C73A98">
      <w:pPr>
        <w:widowControl/>
        <w:numPr>
          <w:ilvl w:val="0"/>
          <w:numId w:val="5"/>
        </w:numPr>
        <w:tabs>
          <w:tab w:val="left" w:pos="720"/>
          <w:tab w:val="num" w:pos="12305"/>
        </w:tabs>
        <w:autoSpaceDE w:val="0"/>
        <w:autoSpaceDN w:val="0"/>
        <w:adjustRightInd/>
        <w:spacing w:line="240" w:lineRule="auto"/>
        <w:ind w:left="0" w:firstLine="0"/>
        <w:textAlignment w:val="auto"/>
        <w:rPr>
          <w:sz w:val="20"/>
          <w:szCs w:val="20"/>
          <w:lang w:val="en-US" w:eastAsia="es-CO"/>
        </w:rPr>
      </w:pPr>
      <w:r w:rsidRPr="00012C3F">
        <w:rPr>
          <w:sz w:val="20"/>
          <w:szCs w:val="20"/>
          <w:lang w:val="en-US" w:eastAsia="es-CO"/>
        </w:rPr>
        <w:lastRenderedPageBreak/>
        <w:t>Meanwhile</w:t>
      </w:r>
      <w:r w:rsidR="00867E7F" w:rsidRPr="00012C3F">
        <w:rPr>
          <w:sz w:val="20"/>
          <w:szCs w:val="20"/>
          <w:lang w:val="en-US" w:eastAsia="es-CO"/>
        </w:rPr>
        <w:t xml:space="preserve">, </w:t>
      </w:r>
      <w:r w:rsidR="00E00902" w:rsidRPr="00012C3F">
        <w:rPr>
          <w:sz w:val="20"/>
          <w:szCs w:val="20"/>
          <w:lang w:val="en-US" w:eastAsia="es-CO"/>
        </w:rPr>
        <w:t>the petitioner</w:t>
      </w:r>
      <w:r w:rsidR="00867E7F" w:rsidRPr="00012C3F">
        <w:rPr>
          <w:sz w:val="20"/>
          <w:szCs w:val="20"/>
          <w:lang w:val="en-US" w:eastAsia="es-CO"/>
        </w:rPr>
        <w:t xml:space="preserve"> </w:t>
      </w:r>
      <w:r w:rsidRPr="00012C3F">
        <w:rPr>
          <w:sz w:val="20"/>
          <w:szCs w:val="20"/>
          <w:lang w:val="en-US" w:eastAsia="es-CO"/>
        </w:rPr>
        <w:t>argued before</w:t>
      </w:r>
      <w:r w:rsidR="006F4DEC" w:rsidRPr="00012C3F">
        <w:rPr>
          <w:sz w:val="20"/>
          <w:szCs w:val="20"/>
          <w:lang w:val="en-US" w:eastAsia="es-CO"/>
        </w:rPr>
        <w:t xml:space="preserve"> </w:t>
      </w:r>
      <w:r w:rsidR="001254DE" w:rsidRPr="00012C3F">
        <w:rPr>
          <w:sz w:val="20"/>
          <w:szCs w:val="20"/>
          <w:lang w:val="en-US" w:eastAsia="es-CO"/>
        </w:rPr>
        <w:t xml:space="preserve">the </w:t>
      </w:r>
      <w:r w:rsidR="00A84CA0" w:rsidRPr="00012C3F">
        <w:rPr>
          <w:sz w:val="20"/>
          <w:szCs w:val="20"/>
          <w:lang w:val="en-US" w:eastAsia="es-CO"/>
        </w:rPr>
        <w:t>Commission</w:t>
      </w:r>
      <w:r w:rsidR="006F4DEC" w:rsidRPr="00012C3F">
        <w:rPr>
          <w:sz w:val="20"/>
          <w:szCs w:val="20"/>
          <w:lang w:val="en-US" w:eastAsia="es-CO"/>
        </w:rPr>
        <w:t xml:space="preserve"> </w:t>
      </w:r>
      <w:r w:rsidRPr="00012C3F">
        <w:rPr>
          <w:sz w:val="20"/>
          <w:szCs w:val="20"/>
          <w:lang w:val="en-US" w:eastAsia="es-CO"/>
        </w:rPr>
        <w:t xml:space="preserve">that there was no precedent in the </w:t>
      </w:r>
      <w:r w:rsidR="00686F27" w:rsidRPr="00012C3F">
        <w:rPr>
          <w:sz w:val="20"/>
          <w:szCs w:val="20"/>
          <w:lang w:val="en-US" w:eastAsia="es-CO"/>
        </w:rPr>
        <w:t>case law</w:t>
      </w:r>
      <w:r w:rsidR="00923F1E" w:rsidRPr="00012C3F">
        <w:rPr>
          <w:sz w:val="20"/>
          <w:szCs w:val="20"/>
          <w:lang w:val="en-US" w:eastAsia="es-CO"/>
        </w:rPr>
        <w:t xml:space="preserve"> of the Bolivian </w:t>
      </w:r>
      <w:r w:rsidR="00EF4B3E" w:rsidRPr="00012C3F">
        <w:rPr>
          <w:sz w:val="20"/>
          <w:szCs w:val="20"/>
          <w:lang w:val="en-US" w:eastAsia="es-CO"/>
        </w:rPr>
        <w:t>Constitutional Court</w:t>
      </w:r>
      <w:r w:rsidR="00867E7F" w:rsidRPr="00012C3F">
        <w:rPr>
          <w:sz w:val="20"/>
          <w:szCs w:val="20"/>
          <w:lang w:val="en-US" w:eastAsia="es-CO"/>
        </w:rPr>
        <w:t xml:space="preserve"> </w:t>
      </w:r>
      <w:r w:rsidR="00686F27" w:rsidRPr="00012C3F">
        <w:rPr>
          <w:sz w:val="20"/>
          <w:szCs w:val="20"/>
          <w:lang w:val="en-US" w:eastAsia="es-CO"/>
        </w:rPr>
        <w:t xml:space="preserve">that, by filing of an application for constitutional amparo, it was possible to </w:t>
      </w:r>
      <w:r w:rsidR="00923F1E" w:rsidRPr="00012C3F">
        <w:rPr>
          <w:sz w:val="20"/>
          <w:szCs w:val="20"/>
          <w:lang w:val="en-US" w:eastAsia="es-CO"/>
        </w:rPr>
        <w:t xml:space="preserve">annul a decision that extinguished criminal </w:t>
      </w:r>
      <w:r w:rsidR="00686F27" w:rsidRPr="00012C3F">
        <w:rPr>
          <w:sz w:val="20"/>
          <w:szCs w:val="20"/>
          <w:lang w:val="en-US" w:eastAsia="es-CO"/>
        </w:rPr>
        <w:t>proceedings</w:t>
      </w:r>
      <w:r w:rsidR="00923F1E" w:rsidRPr="00012C3F">
        <w:rPr>
          <w:sz w:val="20"/>
          <w:szCs w:val="20"/>
          <w:lang w:val="en-US" w:eastAsia="es-CO"/>
        </w:rPr>
        <w:t xml:space="preserve"> </w:t>
      </w:r>
      <w:r w:rsidR="00686F27" w:rsidRPr="00012C3F">
        <w:rPr>
          <w:sz w:val="20"/>
          <w:szCs w:val="20"/>
          <w:lang w:val="en-US" w:eastAsia="es-CO"/>
        </w:rPr>
        <w:t>due</w:t>
      </w:r>
      <w:r w:rsidR="00923F1E" w:rsidRPr="00012C3F">
        <w:rPr>
          <w:sz w:val="20"/>
          <w:szCs w:val="20"/>
          <w:lang w:val="en-US" w:eastAsia="es-CO"/>
        </w:rPr>
        <w:t xml:space="preserve"> to violation of due process in relation to a delay in justice that could be attributed to the jurisdictional organ</w:t>
      </w:r>
      <w:r w:rsidR="00686F27" w:rsidRPr="00012C3F">
        <w:rPr>
          <w:sz w:val="20"/>
          <w:szCs w:val="20"/>
          <w:lang w:val="en-US" w:eastAsia="es-CO"/>
        </w:rPr>
        <w:t xml:space="preserve">. </w:t>
      </w:r>
      <w:r w:rsidR="00923F1E" w:rsidRPr="00012C3F">
        <w:rPr>
          <w:sz w:val="20"/>
          <w:szCs w:val="20"/>
          <w:lang w:val="en-US" w:eastAsia="es-CO"/>
        </w:rPr>
        <w:t xml:space="preserve">Also, she distinguished the precedent cited of </w:t>
      </w:r>
      <w:r w:rsidR="00EF4B3E" w:rsidRPr="00012C3F">
        <w:rPr>
          <w:sz w:val="20"/>
          <w:szCs w:val="20"/>
          <w:lang w:val="en-US" w:eastAsia="es-CO"/>
        </w:rPr>
        <w:t>Constitutional Court</w:t>
      </w:r>
      <w:r w:rsidR="00923F1E" w:rsidRPr="00012C3F">
        <w:rPr>
          <w:sz w:val="20"/>
          <w:szCs w:val="20"/>
          <w:lang w:val="en-US" w:eastAsia="es-CO"/>
        </w:rPr>
        <w:t xml:space="preserve"> Decision</w:t>
      </w:r>
      <w:r w:rsidR="006F4DEC" w:rsidRPr="00012C3F">
        <w:rPr>
          <w:sz w:val="20"/>
          <w:szCs w:val="20"/>
          <w:lang w:val="en-US" w:eastAsia="es-CO"/>
        </w:rPr>
        <w:t xml:space="preserve"> No. 1261/2006-R </w:t>
      </w:r>
      <w:r w:rsidR="00923F1E" w:rsidRPr="00012C3F">
        <w:rPr>
          <w:sz w:val="20"/>
          <w:szCs w:val="20"/>
          <w:lang w:val="en-US" w:eastAsia="es-CO"/>
        </w:rPr>
        <w:t xml:space="preserve">from the instant case, because the case </w:t>
      </w:r>
      <w:r w:rsidR="006F4DEC" w:rsidRPr="00012C3F">
        <w:rPr>
          <w:i/>
          <w:sz w:val="20"/>
          <w:szCs w:val="20"/>
          <w:lang w:val="en-US" w:eastAsia="es-CO"/>
        </w:rPr>
        <w:t xml:space="preserve">sub judice </w:t>
      </w:r>
      <w:r w:rsidR="00923F1E" w:rsidRPr="00012C3F">
        <w:rPr>
          <w:sz w:val="20"/>
          <w:szCs w:val="20"/>
          <w:lang w:val="en-US" w:eastAsia="es-CO"/>
        </w:rPr>
        <w:t>d</w:t>
      </w:r>
      <w:r w:rsidR="00CB435C" w:rsidRPr="00012C3F">
        <w:rPr>
          <w:sz w:val="20"/>
          <w:szCs w:val="20"/>
          <w:lang w:val="en-US" w:eastAsia="es-CO"/>
        </w:rPr>
        <w:t>id</w:t>
      </w:r>
      <w:r w:rsidR="00923F1E" w:rsidRPr="00012C3F">
        <w:rPr>
          <w:sz w:val="20"/>
          <w:szCs w:val="20"/>
          <w:lang w:val="en-US" w:eastAsia="es-CO"/>
        </w:rPr>
        <w:t xml:space="preserve"> not refer to a supposed extinction of the c</w:t>
      </w:r>
      <w:r w:rsidR="006C705C" w:rsidRPr="00012C3F">
        <w:rPr>
          <w:sz w:val="20"/>
          <w:szCs w:val="20"/>
          <w:lang w:val="en-US" w:eastAsia="es-CO"/>
        </w:rPr>
        <w:t>riminal proceedings</w:t>
      </w:r>
      <w:r w:rsidR="00867E7F" w:rsidRPr="00012C3F">
        <w:rPr>
          <w:sz w:val="20"/>
          <w:szCs w:val="20"/>
          <w:lang w:val="en-US" w:eastAsia="es-CO"/>
        </w:rPr>
        <w:t xml:space="preserve"> </w:t>
      </w:r>
      <w:r w:rsidR="00923F1E" w:rsidRPr="00012C3F">
        <w:rPr>
          <w:sz w:val="20"/>
          <w:szCs w:val="20"/>
          <w:lang w:val="en-US" w:eastAsia="es-CO"/>
        </w:rPr>
        <w:t>based on their supposed abandonment owing to the failure to attend a h</w:t>
      </w:r>
      <w:r w:rsidR="00C73A98" w:rsidRPr="00012C3F">
        <w:rPr>
          <w:sz w:val="20"/>
          <w:szCs w:val="20"/>
          <w:lang w:val="en-US" w:eastAsia="es-CO"/>
        </w:rPr>
        <w:t>e</w:t>
      </w:r>
      <w:r w:rsidR="00923F1E" w:rsidRPr="00012C3F">
        <w:rPr>
          <w:sz w:val="20"/>
          <w:szCs w:val="20"/>
          <w:lang w:val="en-US" w:eastAsia="es-CO"/>
        </w:rPr>
        <w:t xml:space="preserve">aring. </w:t>
      </w:r>
    </w:p>
    <w:p w14:paraId="58DB51DC" w14:textId="77777777" w:rsidR="00923F1E" w:rsidRPr="00012C3F" w:rsidRDefault="00923F1E" w:rsidP="00923F1E">
      <w:pPr>
        <w:widowControl/>
        <w:tabs>
          <w:tab w:val="left" w:pos="720"/>
        </w:tabs>
        <w:autoSpaceDE w:val="0"/>
        <w:autoSpaceDN w:val="0"/>
        <w:adjustRightInd/>
        <w:spacing w:line="240" w:lineRule="auto"/>
        <w:textAlignment w:val="auto"/>
        <w:rPr>
          <w:sz w:val="20"/>
          <w:szCs w:val="20"/>
          <w:lang w:val="en-US" w:eastAsia="es-CO"/>
        </w:rPr>
      </w:pPr>
    </w:p>
    <w:p w14:paraId="70E04042" w14:textId="77777777" w:rsidR="006247BB" w:rsidRPr="00012C3F" w:rsidRDefault="00A84CA0" w:rsidP="00C73A98">
      <w:pPr>
        <w:numPr>
          <w:ilvl w:val="0"/>
          <w:numId w:val="5"/>
        </w:numPr>
        <w:tabs>
          <w:tab w:val="left" w:pos="720"/>
          <w:tab w:val="num" w:pos="12305"/>
        </w:tabs>
        <w:spacing w:line="240" w:lineRule="auto"/>
        <w:ind w:left="0" w:firstLine="0"/>
        <w:rPr>
          <w:sz w:val="20"/>
          <w:szCs w:val="20"/>
          <w:lang w:val="en-US" w:eastAsia="es-CO"/>
        </w:rPr>
      </w:pPr>
      <w:r w:rsidRPr="00012C3F">
        <w:rPr>
          <w:sz w:val="20"/>
          <w:szCs w:val="20"/>
          <w:lang w:val="en-US" w:eastAsia="es-CO"/>
        </w:rPr>
        <w:t>The State</w:t>
      </w:r>
      <w:r w:rsidR="006247BB" w:rsidRPr="00012C3F">
        <w:rPr>
          <w:sz w:val="20"/>
          <w:szCs w:val="20"/>
          <w:lang w:val="en-US" w:eastAsia="es-CO"/>
        </w:rPr>
        <w:t xml:space="preserve"> </w:t>
      </w:r>
      <w:r w:rsidR="00C73A98" w:rsidRPr="00012C3F">
        <w:rPr>
          <w:sz w:val="20"/>
          <w:szCs w:val="20"/>
          <w:lang w:val="en-US" w:eastAsia="es-CO"/>
        </w:rPr>
        <w:t xml:space="preserve">never responded to this argument and, therefore, did not present elements that would have allowed </w:t>
      </w:r>
      <w:r w:rsidR="001254DE" w:rsidRPr="00012C3F">
        <w:rPr>
          <w:sz w:val="20"/>
          <w:szCs w:val="20"/>
          <w:lang w:val="en-US" w:eastAsia="es-CO"/>
        </w:rPr>
        <w:t xml:space="preserve">the </w:t>
      </w:r>
      <w:r w:rsidRPr="00012C3F">
        <w:rPr>
          <w:sz w:val="20"/>
          <w:szCs w:val="20"/>
          <w:lang w:val="en-US" w:eastAsia="es-CO"/>
        </w:rPr>
        <w:t>Commission</w:t>
      </w:r>
      <w:r w:rsidR="00F32062" w:rsidRPr="00012C3F">
        <w:rPr>
          <w:sz w:val="20"/>
          <w:szCs w:val="20"/>
          <w:lang w:val="en-US" w:eastAsia="es-CO"/>
        </w:rPr>
        <w:t xml:space="preserve"> </w:t>
      </w:r>
      <w:r w:rsidR="00C73A98" w:rsidRPr="00012C3F">
        <w:rPr>
          <w:sz w:val="20"/>
          <w:szCs w:val="20"/>
          <w:lang w:val="en-US" w:eastAsia="es-CO"/>
        </w:rPr>
        <w:t xml:space="preserve">to reject the considerations presented by </w:t>
      </w:r>
      <w:r w:rsidR="00E00902" w:rsidRPr="00012C3F">
        <w:rPr>
          <w:sz w:val="20"/>
          <w:szCs w:val="20"/>
          <w:lang w:val="en-US" w:eastAsia="es-CO"/>
        </w:rPr>
        <w:t>the petitioner</w:t>
      </w:r>
      <w:r w:rsidR="00510A90" w:rsidRPr="00012C3F">
        <w:rPr>
          <w:sz w:val="20"/>
          <w:szCs w:val="20"/>
          <w:lang w:val="en-US" w:eastAsia="es-CO"/>
        </w:rPr>
        <w:t xml:space="preserve"> </w:t>
      </w:r>
      <w:r w:rsidR="00C73A98" w:rsidRPr="00012C3F">
        <w:rPr>
          <w:sz w:val="20"/>
          <w:szCs w:val="20"/>
          <w:lang w:val="en-US" w:eastAsia="es-CO"/>
        </w:rPr>
        <w:t xml:space="preserve">regarding the lack of appropriateness and effectivity of the </w:t>
      </w:r>
      <w:r w:rsidR="00FA56FE" w:rsidRPr="00012C3F">
        <w:rPr>
          <w:sz w:val="20"/>
          <w:szCs w:val="20"/>
          <w:lang w:val="en-US" w:eastAsia="es-CO"/>
        </w:rPr>
        <w:t>application for amparo</w:t>
      </w:r>
      <w:r w:rsidR="00C73A98" w:rsidRPr="00012C3F">
        <w:rPr>
          <w:sz w:val="20"/>
          <w:szCs w:val="20"/>
          <w:lang w:val="en-US" w:eastAsia="es-CO"/>
        </w:rPr>
        <w:t xml:space="preserve"> in the circumstances of this case; that is, to contest a decision of the high court that confirmed the declaration of extinction of the criminal action for causes that could be attributed to the organs of justice in the criminal proceedings against the </w:t>
      </w:r>
      <w:r w:rsidR="00921FDB">
        <w:rPr>
          <w:sz w:val="20"/>
          <w:szCs w:val="20"/>
          <w:lang w:val="en-US" w:eastAsia="es-CO"/>
        </w:rPr>
        <w:t>physician</w:t>
      </w:r>
      <w:r w:rsidR="00C73A98" w:rsidRPr="00012C3F">
        <w:rPr>
          <w:sz w:val="20"/>
          <w:szCs w:val="20"/>
          <w:lang w:val="en-US" w:eastAsia="es-CO"/>
        </w:rPr>
        <w:t xml:space="preserve"> who had performed the tubal ligation. Based on the arguments of the petitioner that were not contested by </w:t>
      </w:r>
      <w:r w:rsidRPr="00012C3F">
        <w:rPr>
          <w:sz w:val="20"/>
          <w:szCs w:val="20"/>
          <w:lang w:val="en-US" w:eastAsia="es-CO"/>
        </w:rPr>
        <w:t>the State</w:t>
      </w:r>
      <w:r w:rsidR="008C38A5" w:rsidRPr="00012C3F">
        <w:rPr>
          <w:sz w:val="20"/>
          <w:szCs w:val="20"/>
          <w:lang w:val="en-US" w:eastAsia="es-CO"/>
        </w:rPr>
        <w:t xml:space="preserve">, </w:t>
      </w:r>
      <w:r w:rsidR="001254DE" w:rsidRPr="00012C3F">
        <w:rPr>
          <w:sz w:val="20"/>
          <w:szCs w:val="20"/>
          <w:lang w:val="en-US" w:eastAsia="es-CO"/>
        </w:rPr>
        <w:t xml:space="preserve">the </w:t>
      </w:r>
      <w:r w:rsidRPr="00012C3F">
        <w:rPr>
          <w:sz w:val="20"/>
          <w:szCs w:val="20"/>
          <w:lang w:val="en-US" w:eastAsia="es-CO"/>
        </w:rPr>
        <w:t>Commission</w:t>
      </w:r>
      <w:r w:rsidR="008C38A5" w:rsidRPr="00012C3F">
        <w:rPr>
          <w:sz w:val="20"/>
          <w:szCs w:val="20"/>
          <w:lang w:val="en-US" w:eastAsia="es-CO"/>
        </w:rPr>
        <w:t xml:space="preserve"> conclu</w:t>
      </w:r>
      <w:r w:rsidR="00C73A98" w:rsidRPr="00012C3F">
        <w:rPr>
          <w:sz w:val="20"/>
          <w:szCs w:val="20"/>
          <w:lang w:val="en-US" w:eastAsia="es-CO"/>
        </w:rPr>
        <w:t xml:space="preserve">ded that </w:t>
      </w:r>
      <w:r w:rsidR="00E00902" w:rsidRPr="00012C3F">
        <w:rPr>
          <w:sz w:val="20"/>
          <w:szCs w:val="20"/>
          <w:lang w:val="en-US" w:eastAsia="es-CO"/>
        </w:rPr>
        <w:t>the petitioner</w:t>
      </w:r>
      <w:r w:rsidR="008C38A5" w:rsidRPr="00012C3F">
        <w:rPr>
          <w:sz w:val="20"/>
          <w:szCs w:val="20"/>
          <w:lang w:val="en-US" w:eastAsia="es-CO"/>
        </w:rPr>
        <w:t xml:space="preserve"> ha</w:t>
      </w:r>
      <w:r w:rsidR="00C73A98" w:rsidRPr="00012C3F">
        <w:rPr>
          <w:sz w:val="20"/>
          <w:szCs w:val="20"/>
          <w:lang w:val="en-US" w:eastAsia="es-CO"/>
        </w:rPr>
        <w:t xml:space="preserve">d exhausted the ordinary remedies of the criminal justice system and that, taking into account the </w:t>
      </w:r>
      <w:r w:rsidR="00CB435C" w:rsidRPr="00012C3F">
        <w:rPr>
          <w:sz w:val="20"/>
          <w:szCs w:val="20"/>
          <w:lang w:val="en-US" w:eastAsia="es-CO"/>
        </w:rPr>
        <w:t>case law</w:t>
      </w:r>
      <w:r w:rsidR="00C73A98" w:rsidRPr="00012C3F">
        <w:rPr>
          <w:sz w:val="20"/>
          <w:szCs w:val="20"/>
          <w:lang w:val="en-US" w:eastAsia="es-CO"/>
        </w:rPr>
        <w:t xml:space="preserve"> of </w:t>
      </w:r>
      <w:r w:rsidR="00EF4B3E" w:rsidRPr="00012C3F">
        <w:rPr>
          <w:sz w:val="20"/>
          <w:szCs w:val="20"/>
          <w:lang w:val="en-US" w:eastAsia="es-CO"/>
        </w:rPr>
        <w:t xml:space="preserve">the </w:t>
      </w:r>
      <w:r w:rsidR="00CB435C" w:rsidRPr="00012C3F">
        <w:rPr>
          <w:sz w:val="20"/>
          <w:szCs w:val="20"/>
          <w:lang w:val="en-US" w:eastAsia="es-CO"/>
        </w:rPr>
        <w:t xml:space="preserve">Bolivian </w:t>
      </w:r>
      <w:r w:rsidR="00EF4B3E" w:rsidRPr="00012C3F">
        <w:rPr>
          <w:sz w:val="20"/>
          <w:szCs w:val="20"/>
          <w:lang w:val="en-US" w:eastAsia="es-CO"/>
        </w:rPr>
        <w:t>Constitutional Court</w:t>
      </w:r>
      <w:r w:rsidR="008C38A5" w:rsidRPr="00012C3F">
        <w:rPr>
          <w:sz w:val="20"/>
          <w:szCs w:val="20"/>
          <w:lang w:val="en-US" w:eastAsia="es-CO"/>
        </w:rPr>
        <w:t xml:space="preserve">, </w:t>
      </w:r>
      <w:r w:rsidR="00C73A98" w:rsidRPr="00012C3F">
        <w:rPr>
          <w:sz w:val="20"/>
          <w:szCs w:val="20"/>
          <w:lang w:val="en-US" w:eastAsia="es-CO"/>
        </w:rPr>
        <w:t xml:space="preserve">the filing of the </w:t>
      </w:r>
      <w:r w:rsidR="00FA56FE" w:rsidRPr="00012C3F">
        <w:rPr>
          <w:sz w:val="20"/>
          <w:szCs w:val="20"/>
          <w:lang w:val="en-US" w:eastAsia="es-CO"/>
        </w:rPr>
        <w:t>application for amparo</w:t>
      </w:r>
      <w:r w:rsidR="00C73A98" w:rsidRPr="00012C3F">
        <w:rPr>
          <w:sz w:val="20"/>
          <w:szCs w:val="20"/>
          <w:lang w:val="en-US" w:eastAsia="es-CO"/>
        </w:rPr>
        <w:t xml:space="preserve"> would have had “few probabilities of success.</w:t>
      </w:r>
      <w:r w:rsidR="008C38A5" w:rsidRPr="00012C3F">
        <w:rPr>
          <w:sz w:val="20"/>
          <w:szCs w:val="20"/>
          <w:lang w:val="en-US" w:eastAsia="es-CO"/>
        </w:rPr>
        <w:t>”</w:t>
      </w:r>
      <w:r w:rsidR="008C38A5" w:rsidRPr="00012C3F">
        <w:rPr>
          <w:rStyle w:val="Refdenotaalpie"/>
          <w:sz w:val="20"/>
          <w:szCs w:val="20"/>
          <w:lang w:val="en-US" w:eastAsia="es-CO"/>
        </w:rPr>
        <w:footnoteReference w:id="22"/>
      </w:r>
      <w:r w:rsidR="00C73A98" w:rsidRPr="00012C3F">
        <w:rPr>
          <w:sz w:val="20"/>
          <w:szCs w:val="20"/>
          <w:lang w:val="en-US" w:eastAsia="es-CO"/>
        </w:rPr>
        <w:t xml:space="preserve"> Thus, this Court concludes that, </w:t>
      </w:r>
      <w:r w:rsidR="00CB435C" w:rsidRPr="00012C3F">
        <w:rPr>
          <w:sz w:val="20"/>
          <w:szCs w:val="20"/>
          <w:lang w:val="en-US" w:eastAsia="es-CO"/>
        </w:rPr>
        <w:t xml:space="preserve">even </w:t>
      </w:r>
      <w:r w:rsidR="00C73A98" w:rsidRPr="00012C3F">
        <w:rPr>
          <w:sz w:val="20"/>
          <w:szCs w:val="20"/>
          <w:lang w:val="en-US" w:eastAsia="es-CO"/>
        </w:rPr>
        <w:t>though the State filed</w:t>
      </w:r>
      <w:r w:rsidR="008C38A5" w:rsidRPr="00012C3F">
        <w:rPr>
          <w:sz w:val="20"/>
          <w:szCs w:val="20"/>
          <w:lang w:val="en-US" w:eastAsia="es-CO"/>
        </w:rPr>
        <w:t xml:space="preserve"> </w:t>
      </w:r>
      <w:r w:rsidR="0045122A" w:rsidRPr="00012C3F">
        <w:rPr>
          <w:sz w:val="20"/>
          <w:szCs w:val="20"/>
          <w:lang w:val="en-US" w:eastAsia="es-CO"/>
        </w:rPr>
        <w:t>the preliminary objection</w:t>
      </w:r>
      <w:r w:rsidR="00F32062" w:rsidRPr="00012C3F">
        <w:rPr>
          <w:sz w:val="20"/>
          <w:szCs w:val="20"/>
          <w:lang w:val="en-US" w:eastAsia="es-CO"/>
        </w:rPr>
        <w:t xml:space="preserve"> </w:t>
      </w:r>
      <w:r w:rsidR="00C73A98" w:rsidRPr="00012C3F">
        <w:rPr>
          <w:sz w:val="20"/>
          <w:szCs w:val="20"/>
          <w:lang w:val="en-US" w:eastAsia="es-CO"/>
        </w:rPr>
        <w:t>in the procedure before</w:t>
      </w:r>
      <w:r w:rsidR="004959F0" w:rsidRPr="00012C3F">
        <w:rPr>
          <w:sz w:val="20"/>
          <w:szCs w:val="20"/>
          <w:lang w:val="en-US" w:eastAsia="es-CO"/>
        </w:rPr>
        <w:t xml:space="preserve"> </w:t>
      </w:r>
      <w:r w:rsidR="001254DE" w:rsidRPr="00012C3F">
        <w:rPr>
          <w:sz w:val="20"/>
          <w:szCs w:val="20"/>
          <w:lang w:val="en-US" w:eastAsia="es-CO"/>
        </w:rPr>
        <w:t xml:space="preserve">the </w:t>
      </w:r>
      <w:r w:rsidRPr="00012C3F">
        <w:rPr>
          <w:sz w:val="20"/>
          <w:szCs w:val="20"/>
          <w:lang w:val="en-US" w:eastAsia="es-CO"/>
        </w:rPr>
        <w:t>Commission</w:t>
      </w:r>
      <w:r w:rsidR="004959F0" w:rsidRPr="00012C3F">
        <w:rPr>
          <w:sz w:val="20"/>
          <w:szCs w:val="20"/>
          <w:lang w:val="en-US" w:eastAsia="es-CO"/>
        </w:rPr>
        <w:t xml:space="preserve"> </w:t>
      </w:r>
      <w:r w:rsidR="00C73A98" w:rsidRPr="00012C3F">
        <w:rPr>
          <w:sz w:val="20"/>
          <w:szCs w:val="20"/>
          <w:lang w:val="en-US" w:eastAsia="es-CO"/>
        </w:rPr>
        <w:t xml:space="preserve">and indicated the remedy that, in its opinion, had not been exhausted, it failed to comply with the burden of proof by proving that it was adequate, appropriate and effective at the proper procedural opportunity, because the decision cited by </w:t>
      </w:r>
      <w:r w:rsidRPr="00012C3F">
        <w:rPr>
          <w:sz w:val="20"/>
          <w:szCs w:val="20"/>
          <w:lang w:val="en-US" w:eastAsia="es-CO"/>
        </w:rPr>
        <w:t>the State</w:t>
      </w:r>
      <w:r w:rsidR="00F32062" w:rsidRPr="00012C3F">
        <w:rPr>
          <w:sz w:val="20"/>
          <w:szCs w:val="20"/>
          <w:lang w:val="en-US" w:eastAsia="es-CO"/>
        </w:rPr>
        <w:t xml:space="preserve"> </w:t>
      </w:r>
      <w:r w:rsidR="00C73A98" w:rsidRPr="00012C3F">
        <w:rPr>
          <w:sz w:val="20"/>
          <w:szCs w:val="20"/>
          <w:lang w:val="en-US" w:eastAsia="es-CO"/>
        </w:rPr>
        <w:t>in the procedure before</w:t>
      </w:r>
      <w:r w:rsidR="00F32062" w:rsidRPr="00012C3F">
        <w:rPr>
          <w:sz w:val="20"/>
          <w:szCs w:val="20"/>
          <w:lang w:val="en-US" w:eastAsia="es-CO"/>
        </w:rPr>
        <w:t xml:space="preserve"> </w:t>
      </w:r>
      <w:r w:rsidR="001254DE" w:rsidRPr="00012C3F">
        <w:rPr>
          <w:sz w:val="20"/>
          <w:szCs w:val="20"/>
          <w:lang w:val="en-US" w:eastAsia="es-CO"/>
        </w:rPr>
        <w:t xml:space="preserve">the </w:t>
      </w:r>
      <w:r w:rsidRPr="00012C3F">
        <w:rPr>
          <w:sz w:val="20"/>
          <w:szCs w:val="20"/>
          <w:lang w:val="en-US" w:eastAsia="es-CO"/>
        </w:rPr>
        <w:t>Commission</w:t>
      </w:r>
      <w:r w:rsidR="00F32062" w:rsidRPr="00012C3F">
        <w:rPr>
          <w:sz w:val="20"/>
          <w:szCs w:val="20"/>
          <w:lang w:val="en-US" w:eastAsia="es-CO"/>
        </w:rPr>
        <w:t xml:space="preserve"> </w:t>
      </w:r>
      <w:r w:rsidR="00C73A98" w:rsidRPr="00012C3F">
        <w:rPr>
          <w:sz w:val="20"/>
          <w:szCs w:val="20"/>
          <w:lang w:val="en-US" w:eastAsia="es-CO"/>
        </w:rPr>
        <w:t>referred to aspects such as</w:t>
      </w:r>
      <w:r w:rsidR="00CB435C" w:rsidRPr="00012C3F">
        <w:rPr>
          <w:sz w:val="20"/>
          <w:szCs w:val="20"/>
          <w:lang w:val="en-US" w:eastAsia="es-CO"/>
        </w:rPr>
        <w:t xml:space="preserve"> the</w:t>
      </w:r>
      <w:r w:rsidR="00C73A98" w:rsidRPr="00012C3F">
        <w:rPr>
          <w:sz w:val="20"/>
          <w:szCs w:val="20"/>
          <w:lang w:val="en-US" w:eastAsia="es-CO"/>
        </w:rPr>
        <w:t xml:space="preserve"> abandonment of the dispute and the time frames to justify the failure to attend a hearing, which have </w:t>
      </w:r>
      <w:r w:rsidR="0017120B" w:rsidRPr="00012C3F">
        <w:rPr>
          <w:sz w:val="20"/>
          <w:szCs w:val="20"/>
          <w:lang w:val="en-US" w:eastAsia="es-CO"/>
        </w:rPr>
        <w:t>n</w:t>
      </w:r>
      <w:r w:rsidR="00C73A98" w:rsidRPr="00012C3F">
        <w:rPr>
          <w:sz w:val="20"/>
          <w:szCs w:val="20"/>
          <w:lang w:val="en-US" w:eastAsia="es-CO"/>
        </w:rPr>
        <w:t xml:space="preserve">o relationship to the facts of this case. </w:t>
      </w:r>
    </w:p>
    <w:p w14:paraId="660E0DEC" w14:textId="77777777" w:rsidR="00EB3F3D" w:rsidRPr="00012C3F" w:rsidRDefault="00EB3F3D" w:rsidP="00C73A98">
      <w:pPr>
        <w:tabs>
          <w:tab w:val="left" w:pos="720"/>
        </w:tabs>
        <w:spacing w:line="240" w:lineRule="auto"/>
        <w:rPr>
          <w:sz w:val="20"/>
          <w:szCs w:val="20"/>
          <w:lang w:val="en-US" w:eastAsia="es-CO"/>
        </w:rPr>
      </w:pPr>
    </w:p>
    <w:p w14:paraId="443910F1" w14:textId="77777777" w:rsidR="0031725D" w:rsidRPr="00012C3F" w:rsidRDefault="00C73A98" w:rsidP="0017120B">
      <w:pPr>
        <w:numPr>
          <w:ilvl w:val="0"/>
          <w:numId w:val="5"/>
        </w:numPr>
        <w:tabs>
          <w:tab w:val="left" w:pos="720"/>
          <w:tab w:val="num" w:pos="12305"/>
        </w:tabs>
        <w:spacing w:line="240" w:lineRule="auto"/>
        <w:ind w:left="0" w:firstLine="0"/>
        <w:rPr>
          <w:sz w:val="20"/>
          <w:szCs w:val="20"/>
          <w:lang w:val="en-US" w:eastAsia="es-CO"/>
        </w:rPr>
      </w:pPr>
      <w:r w:rsidRPr="00012C3F">
        <w:rPr>
          <w:rFonts w:cs="Verdana,Italic"/>
          <w:iCs/>
          <w:sz w:val="20"/>
          <w:szCs w:val="20"/>
          <w:lang w:val="en-US" w:eastAsia="en-US"/>
        </w:rPr>
        <w:t xml:space="preserve">This conclusion is reinforced by the fact that the State modified its arguments before this Court. Indeed, in the proceedings before the Court, the State focused its arguments on indicating that the </w:t>
      </w:r>
      <w:r w:rsidR="00FA56FE" w:rsidRPr="00012C3F">
        <w:rPr>
          <w:rFonts w:cs="Verdana,Italic"/>
          <w:iCs/>
          <w:sz w:val="20"/>
          <w:szCs w:val="20"/>
          <w:lang w:val="en-US" w:eastAsia="en-US"/>
        </w:rPr>
        <w:t>application for amparo</w:t>
      </w:r>
      <w:r w:rsidRPr="00012C3F">
        <w:rPr>
          <w:rFonts w:cs="Verdana,Italic"/>
          <w:iCs/>
          <w:sz w:val="20"/>
          <w:szCs w:val="20"/>
          <w:lang w:val="en-US" w:eastAsia="en-US"/>
        </w:rPr>
        <w:t xml:space="preserve"> was admissible to reverse the extinction of the criminal action based on the maximum duration of the proceedings when the dilatory actions were </w:t>
      </w:r>
      <w:r w:rsidR="00CB435C" w:rsidRPr="00012C3F">
        <w:rPr>
          <w:rFonts w:cs="Verdana,Italic"/>
          <w:iCs/>
          <w:sz w:val="20"/>
          <w:szCs w:val="20"/>
          <w:lang w:val="en-US" w:eastAsia="en-US"/>
        </w:rPr>
        <w:t>caused</w:t>
      </w:r>
      <w:r w:rsidRPr="00012C3F">
        <w:rPr>
          <w:rFonts w:cs="Verdana,Italic"/>
          <w:iCs/>
          <w:sz w:val="20"/>
          <w:szCs w:val="20"/>
          <w:lang w:val="en-US" w:eastAsia="en-US"/>
        </w:rPr>
        <w:t xml:space="preserve"> by the defendant and, in this regard, cited Constitutional Judgment </w:t>
      </w:r>
      <w:r w:rsidRPr="00012C3F">
        <w:rPr>
          <w:sz w:val="20"/>
          <w:szCs w:val="20"/>
          <w:lang w:val="en-US" w:eastAsia="es-CO"/>
        </w:rPr>
        <w:t xml:space="preserve">No. SC 2009/2010-R of November 3. Subsequently, in its final arguments, the State </w:t>
      </w:r>
      <w:r w:rsidR="00CB435C" w:rsidRPr="00012C3F">
        <w:rPr>
          <w:sz w:val="20"/>
          <w:szCs w:val="20"/>
          <w:lang w:val="en-US" w:eastAsia="es-CO"/>
        </w:rPr>
        <w:t>alleged</w:t>
      </w:r>
      <w:r w:rsidRPr="00012C3F">
        <w:rPr>
          <w:sz w:val="20"/>
          <w:szCs w:val="20"/>
          <w:lang w:val="en-US" w:eastAsia="es-CO"/>
        </w:rPr>
        <w:t xml:space="preserve"> that, even though the facts of the precedents cited did not correspond</w:t>
      </w:r>
      <w:r w:rsidR="0017120B" w:rsidRPr="00012C3F">
        <w:rPr>
          <w:sz w:val="20"/>
          <w:szCs w:val="20"/>
          <w:lang w:val="en-US" w:eastAsia="es-CO"/>
        </w:rPr>
        <w:t xml:space="preserve"> to the facts of the</w:t>
      </w:r>
      <w:r w:rsidR="00CB435C" w:rsidRPr="00012C3F">
        <w:rPr>
          <w:sz w:val="20"/>
          <w:szCs w:val="20"/>
          <w:lang w:val="en-US" w:eastAsia="es-CO"/>
        </w:rPr>
        <w:t xml:space="preserve"> instant</w:t>
      </w:r>
      <w:r w:rsidR="0017120B" w:rsidRPr="00012C3F">
        <w:rPr>
          <w:sz w:val="20"/>
          <w:szCs w:val="20"/>
          <w:lang w:val="en-US" w:eastAsia="es-CO"/>
        </w:rPr>
        <w:t xml:space="preserve"> case, in general it could be concluded </w:t>
      </w:r>
      <w:r w:rsidR="002E2489" w:rsidRPr="00012C3F">
        <w:rPr>
          <w:sz w:val="20"/>
          <w:szCs w:val="20"/>
          <w:lang w:val="en-US" w:eastAsia="es-CO"/>
        </w:rPr>
        <w:t>that</w:t>
      </w:r>
      <w:r w:rsidR="0017120B" w:rsidRPr="00012C3F">
        <w:rPr>
          <w:sz w:val="20"/>
          <w:szCs w:val="20"/>
          <w:lang w:val="en-US" w:eastAsia="es-CO"/>
        </w:rPr>
        <w:t xml:space="preserve"> </w:t>
      </w:r>
      <w:r w:rsidR="002E2489" w:rsidRPr="00012C3F">
        <w:rPr>
          <w:sz w:val="20"/>
          <w:szCs w:val="20"/>
          <w:lang w:val="en-US" w:eastAsia="es-CO"/>
        </w:rPr>
        <w:t>the</w:t>
      </w:r>
      <w:r w:rsidR="0017120B" w:rsidRPr="00012C3F">
        <w:rPr>
          <w:sz w:val="20"/>
          <w:szCs w:val="20"/>
          <w:lang w:val="en-US" w:eastAsia="es-CO"/>
        </w:rPr>
        <w:t xml:space="preserve"> </w:t>
      </w:r>
      <w:r w:rsidR="00FA56FE" w:rsidRPr="00012C3F">
        <w:rPr>
          <w:sz w:val="20"/>
          <w:szCs w:val="20"/>
          <w:lang w:val="en-US" w:eastAsia="es-CO"/>
        </w:rPr>
        <w:t>application for amparo</w:t>
      </w:r>
      <w:r w:rsidR="0017120B" w:rsidRPr="00012C3F">
        <w:rPr>
          <w:sz w:val="20"/>
          <w:szCs w:val="20"/>
          <w:lang w:val="en-US" w:eastAsia="es-CO"/>
        </w:rPr>
        <w:t xml:space="preserve"> was appropriate to annual </w:t>
      </w:r>
      <w:r w:rsidR="00CC43E9" w:rsidRPr="00012C3F">
        <w:rPr>
          <w:sz w:val="20"/>
          <w:szCs w:val="20"/>
          <w:lang w:val="en-US" w:eastAsia="es-CO"/>
        </w:rPr>
        <w:t xml:space="preserve">a </w:t>
      </w:r>
      <w:r w:rsidR="0017120B" w:rsidRPr="00012C3F">
        <w:rPr>
          <w:sz w:val="20"/>
          <w:szCs w:val="20"/>
          <w:lang w:val="en-US" w:eastAsia="es-CO"/>
        </w:rPr>
        <w:t xml:space="preserve">decision on the extinction of the criminal </w:t>
      </w:r>
      <w:r w:rsidR="00CC43E9" w:rsidRPr="00012C3F">
        <w:rPr>
          <w:sz w:val="20"/>
          <w:szCs w:val="20"/>
          <w:lang w:val="en-US" w:eastAsia="es-CO"/>
        </w:rPr>
        <w:t>proceedings</w:t>
      </w:r>
      <w:r w:rsidR="0017120B" w:rsidRPr="00012C3F">
        <w:rPr>
          <w:sz w:val="20"/>
          <w:szCs w:val="20"/>
          <w:lang w:val="en-US" w:eastAsia="es-CO"/>
        </w:rPr>
        <w:t xml:space="preserve">. To this end, it cited Constitutional Judgment No. 1529/2011-R of October 11, 2011, that made it necessary to weigh the right of the accused not to be subjected to criminal proceedings indefinitely and the right of the presumed victim to obtain justice in the specific case. The Court notes that the said precedent is dated after the </w:t>
      </w:r>
      <w:r w:rsidR="00E00902" w:rsidRPr="00012C3F">
        <w:rPr>
          <w:sz w:val="20"/>
          <w:szCs w:val="20"/>
          <w:lang w:val="en-US" w:eastAsia="es-CO"/>
        </w:rPr>
        <w:t>Admissibility Report</w:t>
      </w:r>
      <w:r w:rsidR="005E5012" w:rsidRPr="00012C3F">
        <w:rPr>
          <w:sz w:val="20"/>
          <w:szCs w:val="20"/>
          <w:lang w:val="en-US" w:eastAsia="es-CO"/>
        </w:rPr>
        <w:t xml:space="preserve"> and </w:t>
      </w:r>
      <w:r w:rsidR="0017120B" w:rsidRPr="00012C3F">
        <w:rPr>
          <w:sz w:val="20"/>
          <w:szCs w:val="20"/>
          <w:lang w:val="en-US" w:eastAsia="es-CO"/>
        </w:rPr>
        <w:t xml:space="preserve">is based on a </w:t>
      </w:r>
      <w:r w:rsidR="00CC43E9" w:rsidRPr="00012C3F">
        <w:rPr>
          <w:sz w:val="20"/>
          <w:szCs w:val="20"/>
          <w:lang w:val="en-US" w:eastAsia="es-CO"/>
        </w:rPr>
        <w:t>provision</w:t>
      </w:r>
      <w:r w:rsidR="0017120B" w:rsidRPr="00012C3F">
        <w:rPr>
          <w:sz w:val="20"/>
          <w:szCs w:val="20"/>
          <w:lang w:val="en-US" w:eastAsia="es-CO"/>
        </w:rPr>
        <w:t xml:space="preserve"> of the new Constitution, so that the Commission could not have taken it into account when issuing a decision on admissibility. In this regard, and </w:t>
      </w:r>
      <w:r w:rsidR="00CC43E9" w:rsidRPr="00012C3F">
        <w:rPr>
          <w:sz w:val="20"/>
          <w:szCs w:val="20"/>
          <w:lang w:val="en-US" w:eastAsia="es-CO"/>
        </w:rPr>
        <w:t>in relation to</w:t>
      </w:r>
      <w:r w:rsidR="0017120B" w:rsidRPr="00012C3F">
        <w:rPr>
          <w:sz w:val="20"/>
          <w:szCs w:val="20"/>
          <w:lang w:val="en-US" w:eastAsia="es-CO"/>
        </w:rPr>
        <w:t xml:space="preserve"> the dispute between the parties and the Commission </w:t>
      </w:r>
      <w:r w:rsidR="00CC43E9" w:rsidRPr="00012C3F">
        <w:rPr>
          <w:sz w:val="20"/>
          <w:szCs w:val="20"/>
          <w:lang w:val="en-US" w:eastAsia="es-CO"/>
        </w:rPr>
        <w:t>concerning</w:t>
      </w:r>
      <w:r w:rsidR="0017120B" w:rsidRPr="00012C3F">
        <w:rPr>
          <w:sz w:val="20"/>
          <w:szCs w:val="20"/>
          <w:lang w:val="en-US" w:eastAsia="es-CO"/>
        </w:rPr>
        <w:t xml:space="preserve"> the </w:t>
      </w:r>
      <w:r w:rsidR="00CC43E9" w:rsidRPr="00012C3F">
        <w:rPr>
          <w:sz w:val="20"/>
          <w:szCs w:val="20"/>
          <w:lang w:val="en-US" w:eastAsia="es-CO"/>
        </w:rPr>
        <w:t xml:space="preserve">possibility of the </w:t>
      </w:r>
      <w:r w:rsidR="0017120B" w:rsidRPr="00012C3F">
        <w:rPr>
          <w:sz w:val="20"/>
          <w:szCs w:val="20"/>
          <w:lang w:val="en-US" w:eastAsia="es-CO"/>
        </w:rPr>
        <w:t>State chang</w:t>
      </w:r>
      <w:r w:rsidR="00CC43E9" w:rsidRPr="00012C3F">
        <w:rPr>
          <w:sz w:val="20"/>
          <w:szCs w:val="20"/>
          <w:lang w:val="en-US" w:eastAsia="es-CO"/>
        </w:rPr>
        <w:t>ing</w:t>
      </w:r>
      <w:r w:rsidR="0017120B" w:rsidRPr="00012C3F">
        <w:rPr>
          <w:sz w:val="20"/>
          <w:szCs w:val="20"/>
          <w:lang w:val="en-US" w:eastAsia="es-CO"/>
        </w:rPr>
        <w:t xml:space="preserve"> the grounds for its arguments during the admissibility procedure </w:t>
      </w:r>
      <w:r w:rsidR="00CC43E9" w:rsidRPr="00012C3F">
        <w:rPr>
          <w:sz w:val="20"/>
          <w:szCs w:val="20"/>
          <w:lang w:val="en-US" w:eastAsia="es-CO"/>
        </w:rPr>
        <w:t>in relation to</w:t>
      </w:r>
      <w:r w:rsidR="0017120B" w:rsidRPr="00012C3F">
        <w:rPr>
          <w:sz w:val="20"/>
          <w:szCs w:val="20"/>
          <w:lang w:val="en-US" w:eastAsia="es-CO"/>
        </w:rPr>
        <w:t xml:space="preserve"> those outlined in the proceedings before the Court, this Court recalls its consistent case law that the arguments </w:t>
      </w:r>
      <w:r w:rsidR="00CC43E9" w:rsidRPr="00012C3F">
        <w:rPr>
          <w:sz w:val="20"/>
          <w:szCs w:val="20"/>
          <w:lang w:val="en-US" w:eastAsia="es-CO"/>
        </w:rPr>
        <w:t>concerning</w:t>
      </w:r>
      <w:r w:rsidR="0017120B" w:rsidRPr="00012C3F">
        <w:rPr>
          <w:sz w:val="20"/>
          <w:szCs w:val="20"/>
          <w:lang w:val="en-US" w:eastAsia="es-CO"/>
        </w:rPr>
        <w:t xml:space="preserve"> the preliminary objection filed by the State before the Commission during the admissibility stage should correspond to those </w:t>
      </w:r>
      <w:r w:rsidR="00CC43E9" w:rsidRPr="00012C3F">
        <w:rPr>
          <w:sz w:val="20"/>
          <w:szCs w:val="20"/>
          <w:lang w:val="en-US" w:eastAsia="es-CO"/>
        </w:rPr>
        <w:t>alleged</w:t>
      </w:r>
      <w:r w:rsidR="0017120B" w:rsidRPr="00012C3F">
        <w:rPr>
          <w:sz w:val="20"/>
          <w:szCs w:val="20"/>
          <w:lang w:val="en-US" w:eastAsia="es-CO"/>
        </w:rPr>
        <w:t xml:space="preserve"> before </w:t>
      </w:r>
      <w:r w:rsidR="001254DE" w:rsidRPr="00012C3F">
        <w:rPr>
          <w:sz w:val="20"/>
          <w:szCs w:val="20"/>
          <w:lang w:val="en-US"/>
        </w:rPr>
        <w:t>the Court</w:t>
      </w:r>
      <w:r w:rsidR="0017120B" w:rsidRPr="00012C3F">
        <w:rPr>
          <w:sz w:val="20"/>
          <w:szCs w:val="20"/>
          <w:lang w:val="en-US"/>
        </w:rPr>
        <w:t>.</w:t>
      </w:r>
      <w:r w:rsidR="0031725D" w:rsidRPr="00012C3F">
        <w:rPr>
          <w:rStyle w:val="Refdenotaalpie"/>
          <w:sz w:val="20"/>
          <w:szCs w:val="20"/>
          <w:lang w:val="en-US"/>
        </w:rPr>
        <w:footnoteReference w:id="23"/>
      </w:r>
    </w:p>
    <w:p w14:paraId="5C4BD134" w14:textId="77777777" w:rsidR="0031725D" w:rsidRPr="00012C3F" w:rsidRDefault="0031725D" w:rsidP="006247BB">
      <w:pPr>
        <w:tabs>
          <w:tab w:val="left" w:pos="567"/>
        </w:tabs>
        <w:spacing w:line="240" w:lineRule="auto"/>
        <w:rPr>
          <w:sz w:val="20"/>
          <w:szCs w:val="20"/>
          <w:lang w:val="en-US" w:eastAsia="es-CO"/>
        </w:rPr>
      </w:pPr>
    </w:p>
    <w:p w14:paraId="63A5A80E" w14:textId="77777777" w:rsidR="00F254A5" w:rsidRPr="00012C3F" w:rsidRDefault="001254DE" w:rsidP="00085BDD">
      <w:pPr>
        <w:numPr>
          <w:ilvl w:val="0"/>
          <w:numId w:val="5"/>
        </w:numPr>
        <w:tabs>
          <w:tab w:val="left" w:pos="720"/>
          <w:tab w:val="num" w:pos="12305"/>
        </w:tabs>
        <w:spacing w:line="240" w:lineRule="auto"/>
        <w:ind w:left="0" w:firstLine="0"/>
        <w:rPr>
          <w:sz w:val="20"/>
          <w:szCs w:val="20"/>
          <w:lang w:val="en-US" w:eastAsia="es-CO"/>
        </w:rPr>
      </w:pPr>
      <w:bookmarkStart w:id="57" w:name="_Ref455670865"/>
      <w:r w:rsidRPr="00012C3F">
        <w:rPr>
          <w:sz w:val="20"/>
          <w:szCs w:val="20"/>
          <w:lang w:val="en-US" w:eastAsia="es-CO"/>
        </w:rPr>
        <w:t>The Court</w:t>
      </w:r>
      <w:r w:rsidR="006247BB" w:rsidRPr="00012C3F">
        <w:rPr>
          <w:sz w:val="20"/>
          <w:szCs w:val="20"/>
          <w:lang w:val="en-US" w:eastAsia="es-CO"/>
        </w:rPr>
        <w:t xml:space="preserve"> </w:t>
      </w:r>
      <w:r w:rsidR="00C75417" w:rsidRPr="00012C3F">
        <w:rPr>
          <w:sz w:val="20"/>
          <w:szCs w:val="20"/>
          <w:lang w:val="en-US" w:eastAsia="es-CO"/>
        </w:rPr>
        <w:t>e</w:t>
      </w:r>
      <w:r w:rsidR="0017120B" w:rsidRPr="00012C3F">
        <w:rPr>
          <w:sz w:val="20"/>
          <w:szCs w:val="20"/>
          <w:lang w:val="en-US" w:eastAsia="es-CO"/>
        </w:rPr>
        <w:t xml:space="preserve">mphasizes that the State, when arguing failure to exhaust domestic resources, has the burden not only of specifying at the proper opportunity the domestic remedies that have </w:t>
      </w:r>
      <w:r w:rsidR="0017120B" w:rsidRPr="00012C3F">
        <w:rPr>
          <w:sz w:val="20"/>
          <w:szCs w:val="20"/>
          <w:lang w:val="en-US" w:eastAsia="es-CO"/>
        </w:rPr>
        <w:lastRenderedPageBreak/>
        <w:t xml:space="preserve">not yet been exhausted, but also of demonstrating that those remedies were available and were appropriate and effective. </w:t>
      </w:r>
      <w:r w:rsidR="006C705C" w:rsidRPr="00012C3F">
        <w:rPr>
          <w:sz w:val="20"/>
          <w:szCs w:val="20"/>
          <w:lang w:val="en-US" w:eastAsia="es-CO"/>
        </w:rPr>
        <w:t>In this case</w:t>
      </w:r>
      <w:r w:rsidR="00C75417" w:rsidRPr="00012C3F">
        <w:rPr>
          <w:sz w:val="20"/>
          <w:szCs w:val="20"/>
          <w:lang w:val="en-US" w:eastAsia="es-CO"/>
        </w:rPr>
        <w:t xml:space="preserve">, </w:t>
      </w:r>
      <w:r w:rsidR="00A84CA0" w:rsidRPr="00012C3F">
        <w:rPr>
          <w:sz w:val="20"/>
          <w:szCs w:val="20"/>
          <w:lang w:val="en-US" w:eastAsia="es-CO"/>
        </w:rPr>
        <w:t>the State</w:t>
      </w:r>
      <w:r w:rsidR="006247BB" w:rsidRPr="00012C3F">
        <w:rPr>
          <w:sz w:val="20"/>
          <w:szCs w:val="20"/>
          <w:lang w:val="en-US" w:eastAsia="es-CO"/>
        </w:rPr>
        <w:t xml:space="preserve"> </w:t>
      </w:r>
      <w:r w:rsidR="0017120B" w:rsidRPr="00012C3F">
        <w:rPr>
          <w:sz w:val="20"/>
          <w:szCs w:val="20"/>
          <w:lang w:val="en-US" w:eastAsia="es-CO"/>
        </w:rPr>
        <w:t xml:space="preserve">did not meet this burden of proof opportunely. Based on the foregoing, the Court rejects </w:t>
      </w:r>
      <w:bookmarkEnd w:id="57"/>
      <w:r w:rsidR="0045122A" w:rsidRPr="00012C3F">
        <w:rPr>
          <w:sz w:val="20"/>
          <w:szCs w:val="20"/>
          <w:lang w:val="en-US" w:eastAsia="es-CO"/>
        </w:rPr>
        <w:t>the preliminary objection</w:t>
      </w:r>
      <w:r w:rsidR="00BC5592" w:rsidRPr="00012C3F">
        <w:rPr>
          <w:sz w:val="20"/>
          <w:szCs w:val="20"/>
          <w:lang w:val="en-US" w:eastAsia="es-CO"/>
        </w:rPr>
        <w:t xml:space="preserve"> </w:t>
      </w:r>
      <w:r w:rsidR="0017120B" w:rsidRPr="00012C3F">
        <w:rPr>
          <w:sz w:val="20"/>
          <w:szCs w:val="20"/>
          <w:lang w:val="en-US" w:eastAsia="es-CO"/>
        </w:rPr>
        <w:t>filed by</w:t>
      </w:r>
      <w:r w:rsidR="00BC5592" w:rsidRPr="00012C3F">
        <w:rPr>
          <w:sz w:val="20"/>
          <w:szCs w:val="20"/>
          <w:lang w:val="en-US" w:eastAsia="es-CO"/>
        </w:rPr>
        <w:t xml:space="preserve"> </w:t>
      </w:r>
      <w:r w:rsidR="00A84CA0" w:rsidRPr="00012C3F">
        <w:rPr>
          <w:sz w:val="20"/>
          <w:szCs w:val="20"/>
          <w:lang w:val="en-US" w:eastAsia="es-CO"/>
        </w:rPr>
        <w:t>the State</w:t>
      </w:r>
      <w:r w:rsidR="00BC5592" w:rsidRPr="00012C3F">
        <w:rPr>
          <w:sz w:val="20"/>
          <w:szCs w:val="20"/>
          <w:lang w:val="en-US" w:eastAsia="es-CO"/>
        </w:rPr>
        <w:t>.</w:t>
      </w:r>
    </w:p>
    <w:p w14:paraId="652D1E10" w14:textId="77777777" w:rsidR="00CC43E9" w:rsidRPr="00012C3F" w:rsidRDefault="00CC43E9" w:rsidP="00CC43E9">
      <w:pPr>
        <w:tabs>
          <w:tab w:val="left" w:pos="720"/>
        </w:tabs>
        <w:spacing w:line="240" w:lineRule="auto"/>
        <w:rPr>
          <w:sz w:val="20"/>
          <w:szCs w:val="20"/>
          <w:lang w:val="en-US" w:eastAsia="es-CO"/>
        </w:rPr>
      </w:pPr>
    </w:p>
    <w:p w14:paraId="0EE74B1E" w14:textId="77777777" w:rsidR="00A93967" w:rsidRPr="00012C3F" w:rsidRDefault="00A93967" w:rsidP="00A93967">
      <w:pPr>
        <w:keepNext/>
        <w:keepLines/>
        <w:tabs>
          <w:tab w:val="left" w:pos="851"/>
        </w:tabs>
        <w:spacing w:line="240" w:lineRule="auto"/>
        <w:jc w:val="center"/>
        <w:outlineLvl w:val="0"/>
        <w:rPr>
          <w:rFonts w:cs="Verdana"/>
          <w:b/>
          <w:bCs/>
          <w:caps/>
          <w:snapToGrid w:val="0"/>
          <w:sz w:val="20"/>
          <w:szCs w:val="20"/>
          <w:lang w:val="en-US"/>
        </w:rPr>
      </w:pPr>
      <w:bookmarkStart w:id="58" w:name="_Toc27486826"/>
      <w:r w:rsidRPr="00012C3F">
        <w:rPr>
          <w:rFonts w:cs="Verdana"/>
          <w:b/>
          <w:bCs/>
          <w:caps/>
          <w:snapToGrid w:val="0"/>
          <w:sz w:val="20"/>
          <w:szCs w:val="20"/>
          <w:lang w:val="en-US"/>
        </w:rPr>
        <w:t>V</w:t>
      </w:r>
      <w:r w:rsidRPr="00012C3F">
        <w:rPr>
          <w:rFonts w:cs="Verdana"/>
          <w:b/>
          <w:bCs/>
          <w:caps/>
          <w:snapToGrid w:val="0"/>
          <w:sz w:val="20"/>
          <w:szCs w:val="20"/>
          <w:lang w:val="en-US"/>
        </w:rPr>
        <w:br/>
      </w:r>
      <w:r w:rsidR="00D30439" w:rsidRPr="00012C3F">
        <w:rPr>
          <w:rFonts w:cs="Verdana"/>
          <w:b/>
          <w:bCs/>
          <w:caps/>
          <w:snapToGrid w:val="0"/>
          <w:sz w:val="20"/>
          <w:szCs w:val="20"/>
          <w:lang w:val="en-US"/>
        </w:rPr>
        <w:t>PRELIMINARY CONSIDERATIONS</w:t>
      </w:r>
      <w:bookmarkEnd w:id="58"/>
    </w:p>
    <w:p w14:paraId="5A3988AD" w14:textId="77777777" w:rsidR="00A93967" w:rsidRPr="00012C3F" w:rsidRDefault="00A93967" w:rsidP="00A93967">
      <w:pPr>
        <w:spacing w:before="2" w:line="240" w:lineRule="exact"/>
        <w:rPr>
          <w:sz w:val="20"/>
          <w:szCs w:val="20"/>
          <w:lang w:val="en-US"/>
        </w:rPr>
      </w:pPr>
    </w:p>
    <w:p w14:paraId="6C3D3953" w14:textId="77777777" w:rsidR="00A93967" w:rsidRPr="00012C3F" w:rsidRDefault="00D30439" w:rsidP="00D30439">
      <w:pPr>
        <w:numPr>
          <w:ilvl w:val="0"/>
          <w:numId w:val="5"/>
        </w:numPr>
        <w:tabs>
          <w:tab w:val="left" w:pos="720"/>
          <w:tab w:val="num" w:pos="12305"/>
        </w:tabs>
        <w:spacing w:line="240" w:lineRule="auto"/>
        <w:ind w:left="0" w:firstLine="0"/>
        <w:rPr>
          <w:rFonts w:eastAsia="Calibri" w:cs="Verdana"/>
          <w:sz w:val="20"/>
          <w:szCs w:val="20"/>
          <w:lang w:val="en-US" w:eastAsia="es-ES"/>
        </w:rPr>
      </w:pPr>
      <w:r w:rsidRPr="00012C3F">
        <w:rPr>
          <w:rFonts w:cs="Verdana"/>
          <w:sz w:val="20"/>
          <w:szCs w:val="20"/>
          <w:lang w:val="en-US" w:eastAsia="es-ES"/>
        </w:rPr>
        <w:t>Before examining the pertinent facts and the application of the norms</w:t>
      </w:r>
      <w:r w:rsidR="001254DE" w:rsidRPr="00012C3F">
        <w:rPr>
          <w:rFonts w:cs="Verdana"/>
          <w:sz w:val="20"/>
          <w:szCs w:val="20"/>
          <w:lang w:val="en-US" w:eastAsia="es-ES"/>
        </w:rPr>
        <w:t xml:space="preserve"> of the American Convention</w:t>
      </w:r>
      <w:r w:rsidR="00A93967" w:rsidRPr="00012C3F">
        <w:rPr>
          <w:rFonts w:cs="Verdana"/>
          <w:sz w:val="20"/>
          <w:szCs w:val="20"/>
          <w:lang w:val="en-US" w:eastAsia="es-ES"/>
        </w:rPr>
        <w:t xml:space="preserve"> </w:t>
      </w:r>
      <w:r w:rsidRPr="00012C3F">
        <w:rPr>
          <w:rFonts w:cs="Verdana"/>
          <w:sz w:val="20"/>
          <w:szCs w:val="20"/>
          <w:lang w:val="en-US" w:eastAsia="es-ES"/>
        </w:rPr>
        <w:t>to those facts, the Court must include some preliminary consideration on the d</w:t>
      </w:r>
      <w:r w:rsidR="006C705C" w:rsidRPr="00012C3F">
        <w:rPr>
          <w:rFonts w:cs="Verdana"/>
          <w:sz w:val="20"/>
          <w:szCs w:val="20"/>
          <w:lang w:val="en-US" w:eastAsia="es-ES"/>
        </w:rPr>
        <w:t>etermination of the presumed victims</w:t>
      </w:r>
      <w:r w:rsidR="00A93967" w:rsidRPr="00012C3F">
        <w:rPr>
          <w:rFonts w:cs="Verdana"/>
          <w:sz w:val="20"/>
          <w:szCs w:val="20"/>
          <w:lang w:val="en-US" w:eastAsia="es-ES"/>
        </w:rPr>
        <w:t xml:space="preserve">, </w:t>
      </w:r>
      <w:r w:rsidRPr="00012C3F">
        <w:rPr>
          <w:rFonts w:cs="Verdana"/>
          <w:sz w:val="20"/>
          <w:szCs w:val="20"/>
          <w:lang w:val="en-US" w:eastAsia="es-ES"/>
        </w:rPr>
        <w:t xml:space="preserve">the delimitation of the factual framework, and the presumed violations of rights alleged by </w:t>
      </w:r>
      <w:r w:rsidR="00972ACF" w:rsidRPr="00012C3F">
        <w:rPr>
          <w:rFonts w:cs="Verdana"/>
          <w:sz w:val="20"/>
          <w:szCs w:val="20"/>
          <w:lang w:val="en-US" w:eastAsia="es-ES"/>
        </w:rPr>
        <w:t>the representative</w:t>
      </w:r>
      <w:r w:rsidR="00A93967" w:rsidRPr="00012C3F">
        <w:rPr>
          <w:rFonts w:eastAsia="Calibri" w:cs="Verdana"/>
          <w:sz w:val="20"/>
          <w:szCs w:val="20"/>
          <w:lang w:val="en-US" w:eastAsia="es-ES"/>
        </w:rPr>
        <w:t>.</w:t>
      </w:r>
    </w:p>
    <w:p w14:paraId="03CD1540" w14:textId="77777777" w:rsidR="00A93967" w:rsidRPr="00012C3F" w:rsidRDefault="00A93967" w:rsidP="00A93967">
      <w:pPr>
        <w:tabs>
          <w:tab w:val="left" w:pos="142"/>
        </w:tabs>
        <w:spacing w:line="240" w:lineRule="auto"/>
        <w:ind w:right="-142"/>
        <w:rPr>
          <w:sz w:val="20"/>
          <w:szCs w:val="20"/>
          <w:lang w:val="en-US"/>
        </w:rPr>
      </w:pPr>
    </w:p>
    <w:p w14:paraId="6DB4E188" w14:textId="77777777" w:rsidR="00A93967" w:rsidRPr="00012C3F" w:rsidRDefault="00A93967" w:rsidP="00A93967">
      <w:pPr>
        <w:keepNext/>
        <w:keepLines/>
        <w:tabs>
          <w:tab w:val="left" w:pos="1134"/>
        </w:tabs>
        <w:spacing w:line="240" w:lineRule="auto"/>
        <w:ind w:left="567" w:firstLine="1"/>
        <w:outlineLvl w:val="1"/>
        <w:rPr>
          <w:rFonts w:eastAsia="MS Mincho"/>
          <w:b/>
          <w:bCs/>
          <w:i/>
          <w:sz w:val="20"/>
          <w:szCs w:val="20"/>
          <w:lang w:val="en-US"/>
        </w:rPr>
      </w:pPr>
      <w:bookmarkStart w:id="59" w:name="_Toc27486827"/>
      <w:r w:rsidRPr="00012C3F">
        <w:rPr>
          <w:rFonts w:eastAsia="MS Mincho"/>
          <w:b/>
          <w:bCs/>
          <w:i/>
          <w:sz w:val="20"/>
          <w:szCs w:val="20"/>
          <w:lang w:val="en-US"/>
        </w:rPr>
        <w:t>A.</w:t>
      </w:r>
      <w:r w:rsidRPr="00012C3F">
        <w:rPr>
          <w:rFonts w:eastAsia="MS Mincho"/>
          <w:b/>
          <w:bCs/>
          <w:i/>
          <w:sz w:val="20"/>
          <w:szCs w:val="20"/>
          <w:lang w:val="en-US"/>
        </w:rPr>
        <w:tab/>
      </w:r>
      <w:r w:rsidR="006C705C" w:rsidRPr="00012C3F">
        <w:rPr>
          <w:rFonts w:eastAsia="MS Mincho"/>
          <w:b/>
          <w:bCs/>
          <w:i/>
          <w:sz w:val="20"/>
          <w:szCs w:val="20"/>
          <w:lang w:val="en-US"/>
        </w:rPr>
        <w:t>Determination of the presumed victims</w:t>
      </w:r>
      <w:bookmarkEnd w:id="59"/>
    </w:p>
    <w:p w14:paraId="4F3D21D4" w14:textId="77777777" w:rsidR="00A93967" w:rsidRPr="00012C3F" w:rsidRDefault="00A93967" w:rsidP="00A93967">
      <w:pPr>
        <w:tabs>
          <w:tab w:val="left" w:pos="142"/>
        </w:tabs>
        <w:spacing w:line="240" w:lineRule="auto"/>
        <w:ind w:right="-142"/>
        <w:rPr>
          <w:rFonts w:eastAsia="Verdana" w:cs="Verdana"/>
          <w:sz w:val="20"/>
          <w:szCs w:val="20"/>
          <w:lang w:val="en-US"/>
        </w:rPr>
      </w:pPr>
    </w:p>
    <w:p w14:paraId="7747B2EE" w14:textId="77777777" w:rsidR="00A93967" w:rsidRPr="00012C3F" w:rsidRDefault="00A84CA0" w:rsidP="008A7A0F">
      <w:pPr>
        <w:numPr>
          <w:ilvl w:val="0"/>
          <w:numId w:val="5"/>
        </w:numPr>
        <w:tabs>
          <w:tab w:val="left" w:pos="720"/>
          <w:tab w:val="num" w:pos="12305"/>
        </w:tabs>
        <w:spacing w:line="240" w:lineRule="auto"/>
        <w:ind w:left="0" w:firstLine="0"/>
        <w:rPr>
          <w:rFonts w:cs="Verdana"/>
          <w:sz w:val="20"/>
          <w:szCs w:val="20"/>
          <w:lang w:val="en-US" w:eastAsia="es-ES"/>
        </w:rPr>
      </w:pPr>
      <w:r w:rsidRPr="00012C3F">
        <w:rPr>
          <w:rFonts w:cs="Verdana"/>
          <w:sz w:val="20"/>
          <w:szCs w:val="20"/>
          <w:lang w:val="en-US" w:eastAsia="es-ES"/>
        </w:rPr>
        <w:t xml:space="preserve">The </w:t>
      </w:r>
      <w:r w:rsidRPr="00012C3F">
        <w:rPr>
          <w:rFonts w:cs="Verdana"/>
          <w:b/>
          <w:bCs/>
          <w:i/>
          <w:iCs/>
          <w:sz w:val="20"/>
          <w:szCs w:val="20"/>
          <w:lang w:val="en-US" w:eastAsia="es-ES"/>
        </w:rPr>
        <w:t>State</w:t>
      </w:r>
      <w:r w:rsidR="00A93967" w:rsidRPr="00012C3F">
        <w:rPr>
          <w:rFonts w:cs="Verdana"/>
          <w:sz w:val="20"/>
          <w:szCs w:val="20"/>
          <w:lang w:val="en-US" w:eastAsia="es-ES"/>
        </w:rPr>
        <w:t xml:space="preserve"> argu</w:t>
      </w:r>
      <w:r w:rsidR="008F476F" w:rsidRPr="00012C3F">
        <w:rPr>
          <w:rFonts w:cs="Verdana"/>
          <w:sz w:val="20"/>
          <w:szCs w:val="20"/>
          <w:lang w:val="en-US" w:eastAsia="es-ES"/>
        </w:rPr>
        <w:t xml:space="preserve">ed that the violations of the human rights </w:t>
      </w:r>
      <w:r w:rsidR="005E5012" w:rsidRPr="00012C3F">
        <w:rPr>
          <w:rFonts w:cs="Verdana"/>
          <w:sz w:val="20"/>
          <w:szCs w:val="20"/>
          <w:lang w:val="en-US" w:eastAsia="es-ES"/>
        </w:rPr>
        <w:t>of</w:t>
      </w:r>
      <w:r w:rsidR="00A93967" w:rsidRPr="00012C3F">
        <w:rPr>
          <w:rFonts w:cs="Verdana"/>
          <w:sz w:val="20"/>
          <w:szCs w:val="20"/>
          <w:lang w:val="en-US" w:eastAsia="es-ES"/>
        </w:rPr>
        <w:t xml:space="preserve"> </w:t>
      </w:r>
      <w:r w:rsidR="000E1C11" w:rsidRPr="00012C3F">
        <w:rPr>
          <w:rFonts w:cs="Verdana"/>
          <w:sz w:val="20"/>
          <w:szCs w:val="20"/>
          <w:lang w:val="en-US" w:eastAsia="es-ES"/>
        </w:rPr>
        <w:t>N.V.</w:t>
      </w:r>
      <w:r w:rsidR="005E5012" w:rsidRPr="00012C3F">
        <w:rPr>
          <w:rFonts w:cs="Verdana"/>
          <w:sz w:val="20"/>
          <w:szCs w:val="20"/>
          <w:lang w:val="en-US" w:eastAsia="es-ES"/>
        </w:rPr>
        <w:t xml:space="preserve"> and </w:t>
      </w:r>
      <w:r w:rsidR="00A93967" w:rsidRPr="00012C3F">
        <w:rPr>
          <w:rFonts w:cs="Verdana"/>
          <w:sz w:val="20"/>
          <w:szCs w:val="20"/>
          <w:lang w:val="en-US" w:eastAsia="es-ES"/>
        </w:rPr>
        <w:t>L.A., al</w:t>
      </w:r>
      <w:r w:rsidR="008F476F" w:rsidRPr="00012C3F">
        <w:rPr>
          <w:rFonts w:cs="Verdana"/>
          <w:sz w:val="20"/>
          <w:szCs w:val="20"/>
          <w:lang w:val="en-US" w:eastAsia="es-ES"/>
        </w:rPr>
        <w:t>leged by</w:t>
      </w:r>
      <w:r w:rsidR="00A93967" w:rsidRPr="00012C3F">
        <w:rPr>
          <w:rFonts w:cs="Verdana"/>
          <w:sz w:val="20"/>
          <w:szCs w:val="20"/>
          <w:lang w:val="en-US" w:eastAsia="es-ES"/>
        </w:rPr>
        <w:t xml:space="preserve"> </w:t>
      </w:r>
      <w:r w:rsidR="00972ACF" w:rsidRPr="00012C3F">
        <w:rPr>
          <w:rFonts w:cs="Verdana"/>
          <w:sz w:val="20"/>
          <w:szCs w:val="20"/>
          <w:lang w:val="en-US" w:eastAsia="es-ES"/>
        </w:rPr>
        <w:t>the representative</w:t>
      </w:r>
      <w:r w:rsidR="00686B03" w:rsidRPr="00012C3F">
        <w:rPr>
          <w:rFonts w:cs="Verdana"/>
          <w:sz w:val="20"/>
          <w:szCs w:val="20"/>
          <w:lang w:val="en-US" w:eastAsia="es-ES"/>
        </w:rPr>
        <w:t>,</w:t>
      </w:r>
      <w:r w:rsidR="00A93967" w:rsidRPr="00012C3F">
        <w:rPr>
          <w:rFonts w:cs="Verdana"/>
          <w:sz w:val="20"/>
          <w:szCs w:val="20"/>
          <w:lang w:val="en-US" w:eastAsia="es-ES"/>
        </w:rPr>
        <w:t xml:space="preserve"> </w:t>
      </w:r>
      <w:r w:rsidR="008F476F" w:rsidRPr="00012C3F">
        <w:rPr>
          <w:rFonts w:cs="Verdana"/>
          <w:sz w:val="20"/>
          <w:szCs w:val="20"/>
          <w:lang w:val="en-US" w:eastAsia="es-ES"/>
        </w:rPr>
        <w:t xml:space="preserve">referred to facts that had not been included in the </w:t>
      </w:r>
      <w:r w:rsidR="00E00902" w:rsidRPr="00012C3F">
        <w:rPr>
          <w:rFonts w:cs="Verdana"/>
          <w:sz w:val="20"/>
          <w:szCs w:val="20"/>
          <w:lang w:val="en-US" w:eastAsia="es-ES"/>
        </w:rPr>
        <w:t>Merits Report</w:t>
      </w:r>
      <w:r w:rsidR="00A93967" w:rsidRPr="00012C3F">
        <w:rPr>
          <w:rFonts w:cs="Verdana"/>
          <w:sz w:val="20"/>
          <w:szCs w:val="20"/>
          <w:lang w:val="en-US" w:eastAsia="es-ES"/>
        </w:rPr>
        <w:t xml:space="preserve">. </w:t>
      </w:r>
      <w:r w:rsidR="008F476F" w:rsidRPr="00012C3F">
        <w:rPr>
          <w:rFonts w:cs="Verdana"/>
          <w:sz w:val="20"/>
          <w:szCs w:val="20"/>
          <w:lang w:val="en-US" w:eastAsia="es-ES"/>
        </w:rPr>
        <w:t xml:space="preserve">In this regard, although </w:t>
      </w:r>
      <w:r w:rsidR="001254DE" w:rsidRPr="00012C3F">
        <w:rPr>
          <w:rFonts w:cs="Verdana"/>
          <w:sz w:val="20"/>
          <w:szCs w:val="20"/>
          <w:lang w:val="en-US" w:eastAsia="es-ES"/>
        </w:rPr>
        <w:t xml:space="preserve">the </w:t>
      </w:r>
      <w:r w:rsidRPr="00012C3F">
        <w:rPr>
          <w:rFonts w:cs="Verdana"/>
          <w:sz w:val="20"/>
          <w:szCs w:val="20"/>
          <w:lang w:val="en-US" w:eastAsia="es-ES"/>
        </w:rPr>
        <w:t>Commission</w:t>
      </w:r>
      <w:r w:rsidR="00A93967" w:rsidRPr="00012C3F">
        <w:rPr>
          <w:rFonts w:cs="Verdana"/>
          <w:sz w:val="20"/>
          <w:szCs w:val="20"/>
          <w:lang w:val="en-US" w:eastAsia="es-ES"/>
        </w:rPr>
        <w:t xml:space="preserve"> </w:t>
      </w:r>
      <w:r w:rsidR="008F476F" w:rsidRPr="00012C3F">
        <w:rPr>
          <w:rFonts w:cs="Verdana"/>
          <w:sz w:val="20"/>
          <w:szCs w:val="20"/>
          <w:lang w:val="en-US" w:eastAsia="es-ES"/>
        </w:rPr>
        <w:t xml:space="preserve">had referred to the alleged non-consensual sterilization, it had not established a factual framework for presumed violations </w:t>
      </w:r>
      <w:r w:rsidR="00686B03" w:rsidRPr="00012C3F">
        <w:rPr>
          <w:rFonts w:cs="Verdana"/>
          <w:sz w:val="20"/>
          <w:szCs w:val="20"/>
          <w:lang w:val="en-US" w:eastAsia="es-ES"/>
        </w:rPr>
        <w:t xml:space="preserve">in relation </w:t>
      </w:r>
      <w:r w:rsidR="008F476F" w:rsidRPr="00012C3F">
        <w:rPr>
          <w:rFonts w:cs="Verdana"/>
          <w:sz w:val="20"/>
          <w:szCs w:val="20"/>
          <w:lang w:val="en-US" w:eastAsia="es-ES"/>
        </w:rPr>
        <w:t>to I.V.</w:t>
      </w:r>
      <w:r w:rsidR="00686B03" w:rsidRPr="00012C3F">
        <w:rPr>
          <w:rFonts w:cs="Verdana"/>
          <w:sz w:val="20"/>
          <w:szCs w:val="20"/>
          <w:lang w:val="en-US" w:eastAsia="es-ES"/>
        </w:rPr>
        <w:t>’s daughters</w:t>
      </w:r>
      <w:r w:rsidR="008F476F" w:rsidRPr="00012C3F">
        <w:rPr>
          <w:rFonts w:cs="Verdana"/>
          <w:sz w:val="20"/>
          <w:szCs w:val="20"/>
          <w:lang w:val="en-US" w:eastAsia="es-ES"/>
        </w:rPr>
        <w:t>, and had not classified them as indirect victims. Consequently, the State rejected the inclusion of N.V. and L.A. as presumed victims in this case, on the grounds that: (i) the daughters had not been included in the Commission’s Merits Report; (ii) the facts of this case d</w:t>
      </w:r>
      <w:r w:rsidR="00686B03" w:rsidRPr="00012C3F">
        <w:rPr>
          <w:rFonts w:cs="Verdana"/>
          <w:sz w:val="20"/>
          <w:szCs w:val="20"/>
          <w:lang w:val="en-US" w:eastAsia="es-ES"/>
        </w:rPr>
        <w:t>id</w:t>
      </w:r>
      <w:r w:rsidR="008F476F" w:rsidRPr="00012C3F">
        <w:rPr>
          <w:rFonts w:cs="Verdana"/>
          <w:sz w:val="20"/>
          <w:szCs w:val="20"/>
          <w:lang w:val="en-US" w:eastAsia="es-ES"/>
        </w:rPr>
        <w:t xml:space="preserve"> not demonstrate mass violations that ha</w:t>
      </w:r>
      <w:r w:rsidR="00686B03" w:rsidRPr="00012C3F">
        <w:rPr>
          <w:rFonts w:cs="Verdana"/>
          <w:sz w:val="20"/>
          <w:szCs w:val="20"/>
          <w:lang w:val="en-US" w:eastAsia="es-ES"/>
        </w:rPr>
        <w:t>d</w:t>
      </w:r>
      <w:r w:rsidR="008F476F" w:rsidRPr="00012C3F">
        <w:rPr>
          <w:rFonts w:cs="Verdana"/>
          <w:sz w:val="20"/>
          <w:szCs w:val="20"/>
          <w:lang w:val="en-US" w:eastAsia="es-ES"/>
        </w:rPr>
        <w:t xml:space="preserve"> prevented their identification at the proper opportunity; (iii) the judgments </w:t>
      </w:r>
      <w:r w:rsidR="00686B03" w:rsidRPr="00012C3F">
        <w:rPr>
          <w:rFonts w:cs="Verdana"/>
          <w:sz w:val="20"/>
          <w:szCs w:val="20"/>
          <w:lang w:val="en-US" w:eastAsia="es-ES"/>
        </w:rPr>
        <w:t xml:space="preserve">cited </w:t>
      </w:r>
      <w:r w:rsidR="008F476F" w:rsidRPr="00012C3F">
        <w:rPr>
          <w:rFonts w:cs="Verdana"/>
          <w:sz w:val="20"/>
          <w:szCs w:val="20"/>
          <w:lang w:val="en-US" w:eastAsia="es-ES"/>
        </w:rPr>
        <w:t>by the representative refer to factual circumstances that differ</w:t>
      </w:r>
      <w:r w:rsidR="00686B03" w:rsidRPr="00012C3F">
        <w:rPr>
          <w:rFonts w:cs="Verdana"/>
          <w:sz w:val="20"/>
          <w:szCs w:val="20"/>
          <w:lang w:val="en-US" w:eastAsia="es-ES"/>
        </w:rPr>
        <w:t>ed</w:t>
      </w:r>
      <w:r w:rsidR="008F476F" w:rsidRPr="00012C3F">
        <w:rPr>
          <w:rFonts w:cs="Verdana"/>
          <w:sz w:val="20"/>
          <w:szCs w:val="20"/>
          <w:lang w:val="en-US" w:eastAsia="es-ES"/>
        </w:rPr>
        <w:t xml:space="preserve"> from this cases and </w:t>
      </w:r>
      <w:r w:rsidR="00686B03" w:rsidRPr="00012C3F">
        <w:rPr>
          <w:rFonts w:cs="Verdana"/>
          <w:sz w:val="20"/>
          <w:szCs w:val="20"/>
          <w:lang w:val="en-US" w:eastAsia="es-ES"/>
        </w:rPr>
        <w:t>we</w:t>
      </w:r>
      <w:r w:rsidR="008F476F" w:rsidRPr="00012C3F">
        <w:rPr>
          <w:rFonts w:cs="Verdana"/>
          <w:sz w:val="20"/>
          <w:szCs w:val="20"/>
          <w:lang w:val="en-US" w:eastAsia="es-ES"/>
        </w:rPr>
        <w:t>re not applicable to it, and (iv) the representative never</w:t>
      </w:r>
      <w:r w:rsidR="003C68B2" w:rsidRPr="00012C3F">
        <w:rPr>
          <w:rFonts w:cs="Verdana"/>
          <w:sz w:val="20"/>
          <w:szCs w:val="20"/>
          <w:lang w:val="en-US" w:eastAsia="es-ES"/>
        </w:rPr>
        <w:t xml:space="preserve"> </w:t>
      </w:r>
      <w:r w:rsidR="00686B03" w:rsidRPr="00012C3F">
        <w:rPr>
          <w:rFonts w:cs="Verdana"/>
          <w:sz w:val="20"/>
          <w:szCs w:val="20"/>
          <w:lang w:val="en-US" w:eastAsia="es-ES"/>
        </w:rPr>
        <w:t>requested a</w:t>
      </w:r>
      <w:r w:rsidR="003C68B2" w:rsidRPr="00012C3F">
        <w:rPr>
          <w:rFonts w:cs="Verdana"/>
          <w:sz w:val="20"/>
          <w:szCs w:val="20"/>
          <w:lang w:val="en-US" w:eastAsia="es-ES"/>
        </w:rPr>
        <w:t xml:space="preserve"> declaration of the State’s international responsibility for violating the rights of I.V.’s daughters before the Commission. The </w:t>
      </w:r>
      <w:r w:rsidR="003C68B2" w:rsidRPr="00012C3F">
        <w:rPr>
          <w:rFonts w:cs="Verdana"/>
          <w:b/>
          <w:bCs/>
          <w:i/>
          <w:iCs/>
          <w:sz w:val="20"/>
          <w:szCs w:val="20"/>
          <w:lang w:val="en-US" w:eastAsia="es-ES"/>
        </w:rPr>
        <w:t>representative</w:t>
      </w:r>
      <w:r w:rsidR="00AC78B2" w:rsidRPr="00012C3F">
        <w:rPr>
          <w:rFonts w:cs="Verdana"/>
          <w:sz w:val="20"/>
          <w:szCs w:val="20"/>
          <w:lang w:val="en-US" w:eastAsia="es-ES"/>
        </w:rPr>
        <w:t xml:space="preserve"> argued that it </w:t>
      </w:r>
      <w:r w:rsidR="00686B03" w:rsidRPr="00012C3F">
        <w:rPr>
          <w:rFonts w:cs="Verdana"/>
          <w:sz w:val="20"/>
          <w:szCs w:val="20"/>
          <w:lang w:val="en-US" w:eastAsia="es-ES"/>
        </w:rPr>
        <w:t>was based on</w:t>
      </w:r>
      <w:r w:rsidR="00AC78B2" w:rsidRPr="00012C3F">
        <w:rPr>
          <w:rFonts w:cs="Verdana"/>
          <w:sz w:val="20"/>
          <w:szCs w:val="20"/>
          <w:lang w:val="en-US" w:eastAsia="es-ES"/>
        </w:rPr>
        <w:t xml:space="preserve"> the passage of </w:t>
      </w:r>
      <w:r w:rsidR="00686B03" w:rsidRPr="00012C3F">
        <w:rPr>
          <w:rFonts w:cs="Verdana"/>
          <w:sz w:val="20"/>
          <w:szCs w:val="20"/>
          <w:lang w:val="en-US" w:eastAsia="es-ES"/>
        </w:rPr>
        <w:t>time</w:t>
      </w:r>
      <w:r w:rsidR="00AC78B2" w:rsidRPr="00012C3F">
        <w:rPr>
          <w:rFonts w:cs="Verdana"/>
          <w:sz w:val="20"/>
          <w:szCs w:val="20"/>
          <w:lang w:val="en-US" w:eastAsia="es-ES"/>
        </w:rPr>
        <w:t xml:space="preserve"> that the two daughters </w:t>
      </w:r>
      <w:r w:rsidR="00686B03" w:rsidRPr="00012C3F">
        <w:rPr>
          <w:rFonts w:cs="Verdana"/>
          <w:sz w:val="20"/>
          <w:szCs w:val="20"/>
          <w:lang w:val="en-US" w:eastAsia="es-ES"/>
        </w:rPr>
        <w:t xml:space="preserve">had </w:t>
      </w:r>
      <w:r w:rsidR="00AC78B2" w:rsidRPr="00012C3F">
        <w:rPr>
          <w:rFonts w:cs="Verdana"/>
          <w:sz w:val="20"/>
          <w:szCs w:val="20"/>
          <w:lang w:val="en-US" w:eastAsia="es-ES"/>
        </w:rPr>
        <w:t>bec</w:t>
      </w:r>
      <w:r w:rsidR="00686B03" w:rsidRPr="00012C3F">
        <w:rPr>
          <w:rFonts w:cs="Verdana"/>
          <w:sz w:val="20"/>
          <w:szCs w:val="20"/>
          <w:lang w:val="en-US" w:eastAsia="es-ES"/>
        </w:rPr>
        <w:t>o</w:t>
      </w:r>
      <w:r w:rsidR="00AC78B2" w:rsidRPr="00012C3F">
        <w:rPr>
          <w:rFonts w:cs="Verdana"/>
          <w:sz w:val="20"/>
          <w:szCs w:val="20"/>
          <w:lang w:val="en-US" w:eastAsia="es-ES"/>
        </w:rPr>
        <w:t>me indirect victims of the State’s action</w:t>
      </w:r>
      <w:r w:rsidR="00686B03" w:rsidRPr="00012C3F">
        <w:rPr>
          <w:rFonts w:cs="Verdana"/>
          <w:sz w:val="20"/>
          <w:szCs w:val="20"/>
          <w:lang w:val="en-US" w:eastAsia="es-ES"/>
        </w:rPr>
        <w:t>s</w:t>
      </w:r>
      <w:r w:rsidR="00AC78B2" w:rsidRPr="00012C3F">
        <w:rPr>
          <w:rFonts w:cs="Verdana"/>
          <w:sz w:val="20"/>
          <w:szCs w:val="20"/>
          <w:lang w:val="en-US" w:eastAsia="es-ES"/>
        </w:rPr>
        <w:t xml:space="preserve"> and inaction in relation to their mother. She added that, although it was I.V. who had experienced both the sterilization and the denial of justice directly, over the ensuing 16 years, N.V. and L.A. had also become victims of th</w:t>
      </w:r>
      <w:r w:rsidR="00686B03" w:rsidRPr="00012C3F">
        <w:rPr>
          <w:rFonts w:cs="Verdana"/>
          <w:sz w:val="20"/>
          <w:szCs w:val="20"/>
          <w:lang w:val="en-US" w:eastAsia="es-ES"/>
        </w:rPr>
        <w:t>o</w:t>
      </w:r>
      <w:r w:rsidR="00AC78B2" w:rsidRPr="00012C3F">
        <w:rPr>
          <w:rFonts w:cs="Verdana"/>
          <w:sz w:val="20"/>
          <w:szCs w:val="20"/>
          <w:lang w:val="en-US" w:eastAsia="es-ES"/>
        </w:rPr>
        <w:t>se violations and their negative implications and impacts</w:t>
      </w:r>
      <w:r w:rsidR="00A93967" w:rsidRPr="00012C3F">
        <w:rPr>
          <w:rFonts w:cs="Verdana"/>
          <w:sz w:val="20"/>
          <w:szCs w:val="20"/>
          <w:lang w:val="en-US" w:eastAsia="es-ES"/>
        </w:rPr>
        <w:t xml:space="preserve">. </w:t>
      </w:r>
      <w:r w:rsidR="00BD056C" w:rsidRPr="00012C3F">
        <w:rPr>
          <w:rFonts w:cs="Verdana"/>
          <w:sz w:val="20"/>
          <w:szCs w:val="20"/>
          <w:lang w:val="en-US" w:eastAsia="es-ES"/>
        </w:rPr>
        <w:t xml:space="preserve">The </w:t>
      </w:r>
      <w:r w:rsidR="00BD056C" w:rsidRPr="00012C3F">
        <w:rPr>
          <w:rFonts w:cs="Verdana"/>
          <w:b/>
          <w:bCs/>
          <w:i/>
          <w:iCs/>
          <w:sz w:val="20"/>
          <w:szCs w:val="20"/>
          <w:lang w:val="en-US" w:eastAsia="es-ES"/>
        </w:rPr>
        <w:t>Commission</w:t>
      </w:r>
      <w:r w:rsidR="00A93967" w:rsidRPr="00012C3F">
        <w:rPr>
          <w:rFonts w:cs="Verdana"/>
          <w:sz w:val="20"/>
          <w:szCs w:val="20"/>
          <w:lang w:val="en-US" w:eastAsia="es-ES"/>
        </w:rPr>
        <w:t xml:space="preserve"> </w:t>
      </w:r>
      <w:r w:rsidR="00AC78B2" w:rsidRPr="00012C3F">
        <w:rPr>
          <w:rFonts w:cs="Verdana"/>
          <w:sz w:val="20"/>
          <w:szCs w:val="20"/>
          <w:lang w:val="en-US" w:eastAsia="es-ES"/>
        </w:rPr>
        <w:t xml:space="preserve">made no </w:t>
      </w:r>
      <w:r w:rsidR="00686B03" w:rsidRPr="00012C3F">
        <w:rPr>
          <w:rFonts w:cs="Verdana"/>
          <w:sz w:val="20"/>
          <w:szCs w:val="20"/>
          <w:lang w:val="en-US" w:eastAsia="es-ES"/>
        </w:rPr>
        <w:t>observations</w:t>
      </w:r>
      <w:r w:rsidR="00AC78B2" w:rsidRPr="00012C3F">
        <w:rPr>
          <w:rFonts w:cs="Verdana"/>
          <w:sz w:val="20"/>
          <w:szCs w:val="20"/>
          <w:lang w:val="en-US" w:eastAsia="es-ES"/>
        </w:rPr>
        <w:t xml:space="preserve"> in this regard. </w:t>
      </w:r>
    </w:p>
    <w:p w14:paraId="14A84A67" w14:textId="77777777" w:rsidR="00AC78B2" w:rsidRPr="00012C3F" w:rsidRDefault="00AC78B2" w:rsidP="008A7A0F">
      <w:pPr>
        <w:tabs>
          <w:tab w:val="left" w:pos="720"/>
        </w:tabs>
        <w:spacing w:line="240" w:lineRule="auto"/>
        <w:rPr>
          <w:rFonts w:cs="Verdana"/>
          <w:sz w:val="20"/>
          <w:szCs w:val="20"/>
          <w:lang w:val="en-US" w:eastAsia="es-ES"/>
        </w:rPr>
      </w:pPr>
    </w:p>
    <w:p w14:paraId="173B014D" w14:textId="77777777" w:rsidR="00A93967" w:rsidRPr="00012C3F" w:rsidRDefault="001254DE" w:rsidP="008A7A0F">
      <w:pPr>
        <w:numPr>
          <w:ilvl w:val="0"/>
          <w:numId w:val="5"/>
        </w:numPr>
        <w:tabs>
          <w:tab w:val="left" w:pos="720"/>
          <w:tab w:val="num" w:pos="12305"/>
        </w:tabs>
        <w:spacing w:line="240" w:lineRule="auto"/>
        <w:ind w:left="0" w:firstLine="0"/>
        <w:rPr>
          <w:sz w:val="20"/>
          <w:szCs w:val="20"/>
          <w:lang w:val="en-US" w:eastAsia="es-MX"/>
        </w:rPr>
      </w:pPr>
      <w:r w:rsidRPr="00012C3F">
        <w:rPr>
          <w:rFonts w:cs="Arial"/>
          <w:sz w:val="20"/>
          <w:szCs w:val="20"/>
          <w:lang w:val="en-US"/>
        </w:rPr>
        <w:t>The Court</w:t>
      </w:r>
      <w:r w:rsidR="00A93967" w:rsidRPr="00012C3F">
        <w:rPr>
          <w:rFonts w:cs="Arial"/>
          <w:sz w:val="20"/>
          <w:szCs w:val="20"/>
          <w:lang w:val="en-US"/>
        </w:rPr>
        <w:t xml:space="preserve"> rec</w:t>
      </w:r>
      <w:r w:rsidR="00AC78B2" w:rsidRPr="00012C3F">
        <w:rPr>
          <w:rFonts w:cs="Arial"/>
          <w:sz w:val="20"/>
          <w:szCs w:val="20"/>
          <w:lang w:val="en-US"/>
        </w:rPr>
        <w:t xml:space="preserve">alls that, in order to safeguard legal certainty, and pursuant to </w:t>
      </w:r>
      <w:r w:rsidRPr="00012C3F">
        <w:rPr>
          <w:rFonts w:cs="Arial"/>
          <w:sz w:val="20"/>
          <w:szCs w:val="20"/>
          <w:lang w:val="en-US"/>
        </w:rPr>
        <w:t>Article</w:t>
      </w:r>
      <w:r w:rsidR="000D4F2A" w:rsidRPr="00012C3F">
        <w:rPr>
          <w:rFonts w:cs="Arial"/>
          <w:sz w:val="20"/>
          <w:szCs w:val="20"/>
          <w:lang w:val="en-US"/>
        </w:rPr>
        <w:t xml:space="preserve"> 3</w:t>
      </w:r>
      <w:r w:rsidR="005E5012" w:rsidRPr="00012C3F">
        <w:rPr>
          <w:rFonts w:cs="Arial"/>
          <w:sz w:val="20"/>
          <w:szCs w:val="20"/>
          <w:lang w:val="en-US"/>
        </w:rPr>
        <w:t>5(1)</w:t>
      </w:r>
      <w:r w:rsidRPr="00012C3F">
        <w:rPr>
          <w:rFonts w:cs="Arial"/>
          <w:sz w:val="20"/>
          <w:szCs w:val="20"/>
          <w:lang w:val="en-US"/>
        </w:rPr>
        <w:t xml:space="preserve"> of the </w:t>
      </w:r>
      <w:r w:rsidR="00AC78B2" w:rsidRPr="00012C3F">
        <w:rPr>
          <w:rFonts w:cs="Arial"/>
          <w:sz w:val="20"/>
          <w:szCs w:val="20"/>
          <w:lang w:val="en-US"/>
        </w:rPr>
        <w:t xml:space="preserve">Court’s </w:t>
      </w:r>
      <w:r w:rsidRPr="00012C3F">
        <w:rPr>
          <w:rFonts w:cs="Arial"/>
          <w:sz w:val="20"/>
          <w:szCs w:val="20"/>
          <w:lang w:val="en-US"/>
        </w:rPr>
        <w:t>Rules of Procedure</w:t>
      </w:r>
      <w:r w:rsidR="00AC78B2" w:rsidRPr="00012C3F">
        <w:rPr>
          <w:rFonts w:cs="Arial"/>
          <w:sz w:val="20"/>
          <w:szCs w:val="20"/>
          <w:lang w:val="en-US"/>
        </w:rPr>
        <w:t>, the presumed victims must be duly identified and indicated in the</w:t>
      </w:r>
      <w:r w:rsidR="000D4F2A" w:rsidRPr="00012C3F">
        <w:rPr>
          <w:rFonts w:cs="Arial"/>
          <w:sz w:val="20"/>
          <w:szCs w:val="20"/>
          <w:lang w:val="en-US"/>
        </w:rPr>
        <w:t xml:space="preserve"> </w:t>
      </w:r>
      <w:r w:rsidR="00E00902" w:rsidRPr="00012C3F">
        <w:rPr>
          <w:rFonts w:cs="Arial"/>
          <w:sz w:val="20"/>
          <w:szCs w:val="20"/>
          <w:lang w:val="en-US"/>
        </w:rPr>
        <w:t>Merits Report</w:t>
      </w:r>
      <w:r w:rsidRPr="00012C3F">
        <w:rPr>
          <w:rFonts w:cs="Arial"/>
          <w:sz w:val="20"/>
          <w:szCs w:val="20"/>
          <w:lang w:val="en-US"/>
        </w:rPr>
        <w:t xml:space="preserve"> of the </w:t>
      </w:r>
      <w:r w:rsidR="00A84CA0" w:rsidRPr="00012C3F">
        <w:rPr>
          <w:rFonts w:cs="Arial"/>
          <w:sz w:val="20"/>
          <w:szCs w:val="20"/>
          <w:lang w:val="en-US"/>
        </w:rPr>
        <w:t>Commission</w:t>
      </w:r>
      <w:r w:rsidR="00A93967" w:rsidRPr="00012C3F">
        <w:rPr>
          <w:rFonts w:cs="Arial"/>
          <w:sz w:val="20"/>
          <w:szCs w:val="20"/>
          <w:lang w:val="en-US"/>
        </w:rPr>
        <w:t>,</w:t>
      </w:r>
      <w:r w:rsidR="000D4F2A" w:rsidRPr="00012C3F">
        <w:rPr>
          <w:rFonts w:cs="Arial"/>
          <w:sz w:val="20"/>
          <w:szCs w:val="20"/>
          <w:lang w:val="en-US"/>
        </w:rPr>
        <w:t xml:space="preserve"> </w:t>
      </w:r>
      <w:r w:rsidR="00AC78B2" w:rsidRPr="00012C3F">
        <w:rPr>
          <w:rFonts w:cs="Arial"/>
          <w:sz w:val="20"/>
          <w:szCs w:val="20"/>
          <w:lang w:val="en-US"/>
        </w:rPr>
        <w:t xml:space="preserve">apart from the exceptional circumstance established in </w:t>
      </w:r>
      <w:r w:rsidRPr="00012C3F">
        <w:rPr>
          <w:rFonts w:cs="Arial"/>
          <w:sz w:val="20"/>
          <w:szCs w:val="20"/>
          <w:lang w:val="en-US"/>
        </w:rPr>
        <w:t>Article</w:t>
      </w:r>
      <w:r w:rsidR="000D4F2A" w:rsidRPr="00012C3F">
        <w:rPr>
          <w:rFonts w:cs="Arial"/>
          <w:sz w:val="20"/>
          <w:szCs w:val="20"/>
          <w:lang w:val="en-US"/>
        </w:rPr>
        <w:t xml:space="preserve"> 3</w:t>
      </w:r>
      <w:r w:rsidR="00B257AF" w:rsidRPr="00012C3F">
        <w:rPr>
          <w:rFonts w:cs="Arial"/>
          <w:sz w:val="20"/>
          <w:szCs w:val="20"/>
          <w:lang w:val="en-US"/>
        </w:rPr>
        <w:t>5(2)</w:t>
      </w:r>
      <w:r w:rsidRPr="00012C3F">
        <w:rPr>
          <w:rFonts w:cs="Arial"/>
          <w:sz w:val="20"/>
          <w:szCs w:val="20"/>
          <w:lang w:val="en-US"/>
        </w:rPr>
        <w:t xml:space="preserve"> of the Rules of Procedure</w:t>
      </w:r>
      <w:r w:rsidR="00A93967" w:rsidRPr="00012C3F">
        <w:rPr>
          <w:rFonts w:cs="Arial"/>
          <w:sz w:val="20"/>
          <w:szCs w:val="20"/>
          <w:lang w:val="en-US"/>
        </w:rPr>
        <w:t>.</w:t>
      </w:r>
      <w:r w:rsidR="000D4F2A" w:rsidRPr="00012C3F">
        <w:rPr>
          <w:rFonts w:cs="Arial"/>
          <w:sz w:val="20"/>
          <w:szCs w:val="20"/>
          <w:lang w:val="en-US"/>
        </w:rPr>
        <w:t xml:space="preserve"> </w:t>
      </w:r>
      <w:r w:rsidR="00AC78B2" w:rsidRPr="00012C3F">
        <w:rPr>
          <w:rFonts w:cs="Arial"/>
          <w:sz w:val="20"/>
          <w:szCs w:val="20"/>
          <w:lang w:val="en-US"/>
        </w:rPr>
        <w:t xml:space="preserve">Consequently, the </w:t>
      </w:r>
      <w:r w:rsidR="008A7A0F" w:rsidRPr="00012C3F">
        <w:rPr>
          <w:rFonts w:cs="Arial"/>
          <w:sz w:val="20"/>
          <w:szCs w:val="20"/>
          <w:lang w:val="en-US"/>
        </w:rPr>
        <w:t>responsibility for identifying the presumed victims in a case before the Court</w:t>
      </w:r>
      <w:r w:rsidR="00686B03" w:rsidRPr="00012C3F">
        <w:rPr>
          <w:rFonts w:cs="Arial"/>
          <w:sz w:val="20"/>
          <w:szCs w:val="20"/>
          <w:lang w:val="en-US"/>
        </w:rPr>
        <w:t>,</w:t>
      </w:r>
      <w:r w:rsidR="008A7A0F" w:rsidRPr="00012C3F">
        <w:rPr>
          <w:rFonts w:cs="Arial"/>
          <w:sz w:val="20"/>
          <w:szCs w:val="20"/>
          <w:lang w:val="en-US"/>
        </w:rPr>
        <w:t xml:space="preserve"> precisely and at the proper procedural opportunity corresponds to the Commission and not to this Court.</w:t>
      </w:r>
      <w:r w:rsidR="00A93967" w:rsidRPr="00012C3F">
        <w:rPr>
          <w:rStyle w:val="Refdenotaalpie"/>
          <w:rFonts w:cs="Arial"/>
          <w:sz w:val="20"/>
          <w:szCs w:val="20"/>
          <w:lang w:val="en-US"/>
        </w:rPr>
        <w:footnoteReference w:id="24"/>
      </w:r>
    </w:p>
    <w:p w14:paraId="4DAD9D12" w14:textId="77777777" w:rsidR="000D4F2A" w:rsidRPr="00012C3F" w:rsidRDefault="000D4F2A" w:rsidP="008A7A0F">
      <w:pPr>
        <w:tabs>
          <w:tab w:val="left" w:pos="567"/>
          <w:tab w:val="left" w:pos="720"/>
        </w:tabs>
        <w:spacing w:line="240" w:lineRule="auto"/>
        <w:rPr>
          <w:sz w:val="20"/>
          <w:szCs w:val="20"/>
          <w:lang w:val="en-US" w:eastAsia="es-MX"/>
        </w:rPr>
      </w:pPr>
    </w:p>
    <w:p w14:paraId="186F9AED" w14:textId="77777777" w:rsidR="00A93967" w:rsidRPr="00012C3F" w:rsidRDefault="001254DE" w:rsidP="008A7A0F">
      <w:pPr>
        <w:numPr>
          <w:ilvl w:val="0"/>
          <w:numId w:val="5"/>
        </w:numPr>
        <w:tabs>
          <w:tab w:val="left" w:pos="720"/>
          <w:tab w:val="num" w:pos="12305"/>
        </w:tabs>
        <w:spacing w:line="240" w:lineRule="auto"/>
        <w:ind w:left="0" w:firstLine="0"/>
        <w:rPr>
          <w:sz w:val="20"/>
          <w:szCs w:val="20"/>
          <w:lang w:val="en-US"/>
        </w:rPr>
      </w:pPr>
      <w:r w:rsidRPr="00012C3F">
        <w:rPr>
          <w:rFonts w:cs="Verdana"/>
          <w:sz w:val="20"/>
          <w:szCs w:val="20"/>
          <w:lang w:val="en-US" w:eastAsia="es-ES"/>
        </w:rPr>
        <w:t>The Court</w:t>
      </w:r>
      <w:r w:rsidR="00A93967" w:rsidRPr="00012C3F">
        <w:rPr>
          <w:rFonts w:cs="Verdana"/>
          <w:sz w:val="20"/>
          <w:szCs w:val="20"/>
          <w:lang w:val="en-US" w:eastAsia="es-ES"/>
        </w:rPr>
        <w:t xml:space="preserve"> </w:t>
      </w:r>
      <w:r w:rsidR="008A7A0F" w:rsidRPr="00012C3F">
        <w:rPr>
          <w:rFonts w:cs="Verdana"/>
          <w:sz w:val="20"/>
          <w:szCs w:val="20"/>
          <w:lang w:val="en-US" w:eastAsia="es-ES"/>
        </w:rPr>
        <w:t>has verified that</w:t>
      </w:r>
      <w:r w:rsidR="00686B03" w:rsidRPr="00012C3F">
        <w:rPr>
          <w:rFonts w:cs="Verdana"/>
          <w:sz w:val="20"/>
          <w:szCs w:val="20"/>
          <w:lang w:val="en-US" w:eastAsia="es-ES"/>
        </w:rPr>
        <w:t>,</w:t>
      </w:r>
      <w:r w:rsidR="008A7A0F" w:rsidRPr="00012C3F">
        <w:rPr>
          <w:rFonts w:cs="Verdana"/>
          <w:sz w:val="20"/>
          <w:szCs w:val="20"/>
          <w:lang w:val="en-US" w:eastAsia="es-ES"/>
        </w:rPr>
        <w:t xml:space="preserve"> in its</w:t>
      </w:r>
      <w:r w:rsidR="00A93967" w:rsidRPr="00012C3F">
        <w:rPr>
          <w:rFonts w:cs="Verdana"/>
          <w:sz w:val="20"/>
          <w:szCs w:val="20"/>
          <w:lang w:val="en-US" w:eastAsia="es-ES"/>
        </w:rPr>
        <w:t xml:space="preserve"> </w:t>
      </w:r>
      <w:r w:rsidR="00E00902" w:rsidRPr="00012C3F">
        <w:rPr>
          <w:rFonts w:cs="Verdana"/>
          <w:sz w:val="20"/>
          <w:szCs w:val="20"/>
          <w:lang w:val="en-US" w:eastAsia="es-ES"/>
        </w:rPr>
        <w:t>Merits Report</w:t>
      </w:r>
      <w:r w:rsidR="00A93967" w:rsidRPr="00012C3F">
        <w:rPr>
          <w:rFonts w:cs="Verdana"/>
          <w:sz w:val="20"/>
          <w:szCs w:val="20"/>
          <w:lang w:val="en-US" w:eastAsia="es-ES"/>
        </w:rPr>
        <w:t xml:space="preserve">, </w:t>
      </w:r>
      <w:r w:rsidRPr="00012C3F">
        <w:rPr>
          <w:rFonts w:cs="Verdana"/>
          <w:sz w:val="20"/>
          <w:szCs w:val="20"/>
          <w:lang w:val="en-US" w:eastAsia="es-ES"/>
        </w:rPr>
        <w:t xml:space="preserve">the </w:t>
      </w:r>
      <w:r w:rsidR="00A84CA0" w:rsidRPr="00012C3F">
        <w:rPr>
          <w:rFonts w:cs="Verdana"/>
          <w:sz w:val="20"/>
          <w:szCs w:val="20"/>
          <w:lang w:val="en-US" w:eastAsia="es-ES"/>
        </w:rPr>
        <w:t>Commission</w:t>
      </w:r>
      <w:r w:rsidR="00A93967" w:rsidRPr="00012C3F">
        <w:rPr>
          <w:rFonts w:cs="Verdana"/>
          <w:sz w:val="20"/>
          <w:szCs w:val="20"/>
          <w:lang w:val="en-US" w:eastAsia="es-ES"/>
        </w:rPr>
        <w:t xml:space="preserve"> establ</w:t>
      </w:r>
      <w:r w:rsidR="008A7A0F" w:rsidRPr="00012C3F">
        <w:rPr>
          <w:rFonts w:cs="Verdana"/>
          <w:sz w:val="20"/>
          <w:szCs w:val="20"/>
          <w:lang w:val="en-US" w:eastAsia="es-ES"/>
        </w:rPr>
        <w:t xml:space="preserve">ished I.V. as the sole victim in this case. However, when submitting the motions and pleadings brief, in addition to identifying I.V. as presumed victim, </w:t>
      </w:r>
      <w:r w:rsidR="00972ACF" w:rsidRPr="00012C3F">
        <w:rPr>
          <w:rFonts w:cs="Verdana"/>
          <w:sz w:val="20"/>
          <w:szCs w:val="20"/>
          <w:lang w:val="en-US" w:eastAsia="es-ES"/>
        </w:rPr>
        <w:t>the representative</w:t>
      </w:r>
      <w:r w:rsidR="00A93967" w:rsidRPr="00012C3F">
        <w:rPr>
          <w:rFonts w:cs="Verdana"/>
          <w:sz w:val="20"/>
          <w:szCs w:val="20"/>
          <w:lang w:val="en-US" w:eastAsia="es-ES"/>
        </w:rPr>
        <w:t xml:space="preserve"> a</w:t>
      </w:r>
      <w:r w:rsidR="008A7A0F" w:rsidRPr="00012C3F">
        <w:rPr>
          <w:rFonts w:cs="Verdana"/>
          <w:sz w:val="20"/>
          <w:szCs w:val="20"/>
          <w:lang w:val="en-US" w:eastAsia="es-ES"/>
        </w:rPr>
        <w:t>dded</w:t>
      </w:r>
      <w:r w:rsidR="00A93967" w:rsidRPr="00012C3F">
        <w:rPr>
          <w:rFonts w:cs="Verdana"/>
          <w:sz w:val="20"/>
          <w:szCs w:val="20"/>
          <w:lang w:val="en-US" w:eastAsia="es-ES"/>
        </w:rPr>
        <w:t xml:space="preserve"> L.A.</w:t>
      </w:r>
      <w:r w:rsidR="005E5012" w:rsidRPr="00012C3F">
        <w:rPr>
          <w:rFonts w:cs="Verdana"/>
          <w:sz w:val="20"/>
          <w:szCs w:val="20"/>
          <w:lang w:val="en-US" w:eastAsia="es-ES"/>
        </w:rPr>
        <w:t xml:space="preserve"> and </w:t>
      </w:r>
      <w:r w:rsidR="000E1C11" w:rsidRPr="00012C3F">
        <w:rPr>
          <w:rFonts w:cs="Verdana"/>
          <w:sz w:val="20"/>
          <w:szCs w:val="20"/>
          <w:lang w:val="en-US" w:eastAsia="es-ES"/>
        </w:rPr>
        <w:t>N.V.</w:t>
      </w:r>
      <w:r w:rsidR="00A93967" w:rsidRPr="00012C3F">
        <w:rPr>
          <w:rFonts w:cs="Verdana"/>
          <w:sz w:val="20"/>
          <w:szCs w:val="20"/>
          <w:lang w:val="en-US" w:eastAsia="es-ES"/>
        </w:rPr>
        <w:t xml:space="preserve">, </w:t>
      </w:r>
      <w:r w:rsidR="008A7A0F" w:rsidRPr="00012C3F">
        <w:rPr>
          <w:rFonts w:cs="Verdana"/>
          <w:sz w:val="20"/>
          <w:szCs w:val="20"/>
          <w:lang w:val="en-US" w:eastAsia="es-ES"/>
        </w:rPr>
        <w:t>the daughters of</w:t>
      </w:r>
      <w:r w:rsidR="00A93967" w:rsidRPr="00012C3F">
        <w:rPr>
          <w:rFonts w:cs="Verdana"/>
          <w:sz w:val="20"/>
          <w:szCs w:val="20"/>
          <w:lang w:val="en-US" w:eastAsia="es-ES"/>
        </w:rPr>
        <w:t xml:space="preserve"> </w:t>
      </w:r>
      <w:r w:rsidR="000E1C11" w:rsidRPr="00012C3F">
        <w:rPr>
          <w:rFonts w:cs="Verdana"/>
          <w:sz w:val="20"/>
          <w:szCs w:val="20"/>
          <w:lang w:val="en-US" w:eastAsia="es-ES"/>
        </w:rPr>
        <w:t>I.V.</w:t>
      </w:r>
      <w:r w:rsidR="00A93967" w:rsidRPr="00012C3F">
        <w:rPr>
          <w:rFonts w:cs="Verdana"/>
          <w:sz w:val="20"/>
          <w:szCs w:val="20"/>
          <w:lang w:val="en-US" w:eastAsia="es-ES"/>
        </w:rPr>
        <w:t xml:space="preserve">, </w:t>
      </w:r>
      <w:r w:rsidR="008A7A0F" w:rsidRPr="00012C3F">
        <w:rPr>
          <w:rFonts w:cs="Verdana"/>
          <w:sz w:val="20"/>
          <w:szCs w:val="20"/>
          <w:lang w:val="en-US" w:eastAsia="es-ES"/>
        </w:rPr>
        <w:t>as presumed victims of the violation</w:t>
      </w:r>
      <w:r w:rsidR="00A93967" w:rsidRPr="00012C3F">
        <w:rPr>
          <w:rFonts w:cs="Verdana"/>
          <w:sz w:val="20"/>
          <w:szCs w:val="20"/>
          <w:lang w:val="en-US" w:eastAsia="es-ES"/>
        </w:rPr>
        <w:t xml:space="preserve"> </w:t>
      </w:r>
      <w:r w:rsidR="008A7A0F" w:rsidRPr="00012C3F">
        <w:rPr>
          <w:rFonts w:cs="Verdana"/>
          <w:sz w:val="20"/>
          <w:szCs w:val="20"/>
          <w:lang w:val="en-US" w:eastAsia="es-ES"/>
        </w:rPr>
        <w:t>of Article</w:t>
      </w:r>
      <w:r w:rsidR="00A93967" w:rsidRPr="00012C3F">
        <w:rPr>
          <w:rFonts w:cs="Verdana"/>
          <w:sz w:val="20"/>
          <w:szCs w:val="20"/>
          <w:lang w:val="en-US" w:eastAsia="es-ES"/>
        </w:rPr>
        <w:t xml:space="preserve"> 5</w:t>
      </w:r>
      <w:r w:rsidRPr="00012C3F">
        <w:rPr>
          <w:rFonts w:cs="Verdana"/>
          <w:sz w:val="20"/>
          <w:szCs w:val="20"/>
          <w:lang w:val="en-US" w:eastAsia="es-ES"/>
        </w:rPr>
        <w:t xml:space="preserve"> of the Convention</w:t>
      </w:r>
      <w:r w:rsidR="00A93967" w:rsidRPr="00012C3F">
        <w:rPr>
          <w:rFonts w:cs="Verdana"/>
          <w:sz w:val="20"/>
          <w:szCs w:val="20"/>
          <w:lang w:val="en-US" w:eastAsia="es-ES"/>
        </w:rPr>
        <w:t xml:space="preserve">, </w:t>
      </w:r>
      <w:r w:rsidR="008A7A0F" w:rsidRPr="00012C3F">
        <w:rPr>
          <w:rFonts w:cs="Verdana"/>
          <w:sz w:val="20"/>
          <w:szCs w:val="20"/>
          <w:lang w:val="en-US" w:eastAsia="es-ES"/>
        </w:rPr>
        <w:t>in relation to</w:t>
      </w:r>
      <w:r w:rsidR="00A93967" w:rsidRPr="00012C3F">
        <w:rPr>
          <w:rFonts w:cs="Verdana"/>
          <w:sz w:val="20"/>
          <w:szCs w:val="20"/>
          <w:lang w:val="en-US" w:eastAsia="es-ES"/>
        </w:rPr>
        <w:t xml:space="preserve"> </w:t>
      </w:r>
      <w:r w:rsidRPr="00012C3F">
        <w:rPr>
          <w:rFonts w:cs="Verdana"/>
          <w:sz w:val="20"/>
          <w:szCs w:val="20"/>
          <w:lang w:val="en-US" w:eastAsia="es-ES"/>
        </w:rPr>
        <w:t>Articles</w:t>
      </w:r>
      <w:r w:rsidR="00A93967" w:rsidRPr="00012C3F">
        <w:rPr>
          <w:rFonts w:cs="Verdana"/>
          <w:sz w:val="20"/>
          <w:szCs w:val="20"/>
          <w:lang w:val="en-US" w:eastAsia="es-ES"/>
        </w:rPr>
        <w:t xml:space="preserve"> 19</w:t>
      </w:r>
      <w:r w:rsidR="005E5012" w:rsidRPr="00012C3F">
        <w:rPr>
          <w:rFonts w:cs="Verdana"/>
          <w:sz w:val="20"/>
          <w:szCs w:val="20"/>
          <w:lang w:val="en-US" w:eastAsia="es-ES"/>
        </w:rPr>
        <w:t xml:space="preserve"> and 1(1)</w:t>
      </w:r>
      <w:r w:rsidR="00A93967" w:rsidRPr="00012C3F">
        <w:rPr>
          <w:rFonts w:cs="Verdana"/>
          <w:sz w:val="20"/>
          <w:szCs w:val="20"/>
          <w:lang w:val="en-US" w:eastAsia="es-ES"/>
        </w:rPr>
        <w:t xml:space="preserve"> </w:t>
      </w:r>
      <w:r w:rsidR="005E5012" w:rsidRPr="00012C3F">
        <w:rPr>
          <w:rFonts w:cs="Verdana"/>
          <w:sz w:val="20"/>
          <w:szCs w:val="20"/>
          <w:lang w:val="en-US" w:eastAsia="es-ES"/>
        </w:rPr>
        <w:t>of this instrument</w:t>
      </w:r>
      <w:r w:rsidR="00A93967" w:rsidRPr="00012C3F">
        <w:rPr>
          <w:rFonts w:cs="Verdana"/>
          <w:sz w:val="20"/>
          <w:szCs w:val="20"/>
          <w:lang w:val="en-US" w:eastAsia="es-ES"/>
        </w:rPr>
        <w:t xml:space="preserve">. </w:t>
      </w:r>
      <w:r w:rsidR="008A7A0F" w:rsidRPr="00012C3F">
        <w:rPr>
          <w:rFonts w:cs="Verdana"/>
          <w:sz w:val="20"/>
          <w:szCs w:val="20"/>
          <w:lang w:val="en-US" w:eastAsia="es-ES"/>
        </w:rPr>
        <w:t xml:space="preserve">The Court points out that the instant case does not relate to one of the </w:t>
      </w:r>
      <w:r w:rsidR="00686B03" w:rsidRPr="00012C3F">
        <w:rPr>
          <w:rFonts w:cs="Verdana"/>
          <w:sz w:val="20"/>
          <w:szCs w:val="20"/>
          <w:lang w:val="en-US" w:eastAsia="es-ES"/>
        </w:rPr>
        <w:t>exceptions under</w:t>
      </w:r>
      <w:r w:rsidR="008A7A0F" w:rsidRPr="00012C3F">
        <w:rPr>
          <w:rFonts w:cs="Verdana"/>
          <w:sz w:val="20"/>
          <w:szCs w:val="20"/>
          <w:lang w:val="en-US" w:eastAsia="es-ES"/>
        </w:rPr>
        <w:t xml:space="preserve"> the said </w:t>
      </w:r>
      <w:r w:rsidRPr="00012C3F">
        <w:rPr>
          <w:sz w:val="20"/>
          <w:szCs w:val="20"/>
          <w:lang w:val="en-US"/>
        </w:rPr>
        <w:t>Article</w:t>
      </w:r>
      <w:r w:rsidR="00A93967" w:rsidRPr="00012C3F">
        <w:rPr>
          <w:sz w:val="20"/>
          <w:szCs w:val="20"/>
          <w:lang w:val="en-US"/>
        </w:rPr>
        <w:t xml:space="preserve"> 3</w:t>
      </w:r>
      <w:r w:rsidR="00B257AF" w:rsidRPr="00012C3F">
        <w:rPr>
          <w:sz w:val="20"/>
          <w:szCs w:val="20"/>
          <w:lang w:val="en-US"/>
        </w:rPr>
        <w:t>5(2)</w:t>
      </w:r>
      <w:r w:rsidR="00A93967" w:rsidRPr="00012C3F">
        <w:rPr>
          <w:sz w:val="20"/>
          <w:szCs w:val="20"/>
          <w:lang w:val="en-US"/>
        </w:rPr>
        <w:t xml:space="preserve"> </w:t>
      </w:r>
      <w:r w:rsidR="008A7A0F" w:rsidRPr="00012C3F">
        <w:rPr>
          <w:sz w:val="20"/>
          <w:szCs w:val="20"/>
          <w:lang w:val="en-US"/>
        </w:rPr>
        <w:t xml:space="preserve">that could justify the identification of presumed victims following the </w:t>
      </w:r>
      <w:r w:rsidR="00E00902" w:rsidRPr="00012C3F">
        <w:rPr>
          <w:sz w:val="20"/>
          <w:szCs w:val="20"/>
          <w:lang w:val="en-US"/>
        </w:rPr>
        <w:t>Merits Report</w:t>
      </w:r>
      <w:r w:rsidR="00A93967" w:rsidRPr="00012C3F">
        <w:rPr>
          <w:sz w:val="20"/>
          <w:szCs w:val="20"/>
          <w:lang w:val="en-US"/>
        </w:rPr>
        <w:t>.</w:t>
      </w:r>
    </w:p>
    <w:p w14:paraId="0C973258" w14:textId="77777777" w:rsidR="00A93967" w:rsidRPr="00012C3F" w:rsidRDefault="00A93967" w:rsidP="008A7A0F">
      <w:pPr>
        <w:tabs>
          <w:tab w:val="left" w:pos="720"/>
        </w:tabs>
        <w:autoSpaceDE w:val="0"/>
        <w:autoSpaceDN w:val="0"/>
        <w:spacing w:line="240" w:lineRule="auto"/>
        <w:rPr>
          <w:sz w:val="20"/>
          <w:szCs w:val="20"/>
          <w:lang w:val="en-US"/>
        </w:rPr>
      </w:pPr>
    </w:p>
    <w:p w14:paraId="1F730EF2" w14:textId="77777777" w:rsidR="00A93967" w:rsidRPr="00012C3F" w:rsidRDefault="008A7A0F" w:rsidP="00466C3A">
      <w:pPr>
        <w:numPr>
          <w:ilvl w:val="0"/>
          <w:numId w:val="5"/>
        </w:numPr>
        <w:tabs>
          <w:tab w:val="left" w:pos="720"/>
          <w:tab w:val="num" w:pos="12305"/>
        </w:tabs>
        <w:spacing w:line="240" w:lineRule="auto"/>
        <w:ind w:left="0" w:firstLine="0"/>
        <w:rPr>
          <w:rFonts w:eastAsia="Calibri" w:cs="Verdana"/>
          <w:b/>
          <w:sz w:val="20"/>
          <w:szCs w:val="20"/>
          <w:lang w:val="en-US"/>
        </w:rPr>
      </w:pPr>
      <w:bookmarkStart w:id="60" w:name="_Ref374964523"/>
      <w:r w:rsidRPr="00012C3F">
        <w:rPr>
          <w:rFonts w:eastAsia="Calibri"/>
          <w:sz w:val="20"/>
          <w:szCs w:val="20"/>
          <w:lang w:val="en-US"/>
        </w:rPr>
        <w:t>Therefore, in application of Article</w:t>
      </w:r>
      <w:r w:rsidR="00A93967" w:rsidRPr="00012C3F">
        <w:rPr>
          <w:rFonts w:eastAsia="Calibri"/>
          <w:sz w:val="20"/>
          <w:szCs w:val="20"/>
          <w:lang w:val="en-US"/>
        </w:rPr>
        <w:t xml:space="preserve"> 3</w:t>
      </w:r>
      <w:r w:rsidR="005E5012" w:rsidRPr="00012C3F">
        <w:rPr>
          <w:rFonts w:eastAsia="Calibri"/>
          <w:sz w:val="20"/>
          <w:szCs w:val="20"/>
          <w:lang w:val="en-US"/>
        </w:rPr>
        <w:t>5(1)</w:t>
      </w:r>
      <w:r w:rsidR="00A93967" w:rsidRPr="00012C3F">
        <w:rPr>
          <w:rFonts w:eastAsia="Calibri"/>
          <w:sz w:val="20"/>
          <w:szCs w:val="20"/>
          <w:lang w:val="en-US"/>
        </w:rPr>
        <w:t xml:space="preserve"> </w:t>
      </w:r>
      <w:r w:rsidRPr="00012C3F">
        <w:rPr>
          <w:rFonts w:eastAsia="Calibri"/>
          <w:sz w:val="20"/>
          <w:szCs w:val="20"/>
          <w:lang w:val="en-US"/>
        </w:rPr>
        <w:t xml:space="preserve">of its Rules of Procedure and </w:t>
      </w:r>
      <w:r w:rsidR="00686B03" w:rsidRPr="00012C3F">
        <w:rPr>
          <w:rFonts w:eastAsia="Calibri"/>
          <w:sz w:val="20"/>
          <w:szCs w:val="20"/>
          <w:lang w:val="en-US"/>
        </w:rPr>
        <w:t xml:space="preserve">its </w:t>
      </w:r>
      <w:r w:rsidRPr="00012C3F">
        <w:rPr>
          <w:rFonts w:eastAsia="Calibri"/>
          <w:sz w:val="20"/>
          <w:szCs w:val="20"/>
          <w:lang w:val="en-US"/>
        </w:rPr>
        <w:t xml:space="preserve">consistent case law, the Court declares that it will only consider I.V. to be the presumed victim, because she was the only person identified as such in the </w:t>
      </w:r>
      <w:r w:rsidR="00686B03" w:rsidRPr="00012C3F">
        <w:rPr>
          <w:rFonts w:eastAsia="Calibri"/>
          <w:sz w:val="20"/>
          <w:szCs w:val="20"/>
          <w:lang w:val="en-US"/>
        </w:rPr>
        <w:t xml:space="preserve">Commission’s </w:t>
      </w:r>
      <w:r w:rsidR="00E00902" w:rsidRPr="00012C3F">
        <w:rPr>
          <w:rFonts w:eastAsia="Calibri"/>
          <w:sz w:val="20"/>
          <w:szCs w:val="20"/>
          <w:lang w:val="en-US"/>
        </w:rPr>
        <w:t>Merits Report</w:t>
      </w:r>
      <w:r w:rsidR="00A93967" w:rsidRPr="00012C3F">
        <w:rPr>
          <w:rFonts w:eastAsia="Calibri"/>
          <w:sz w:val="20"/>
          <w:szCs w:val="20"/>
          <w:lang w:val="en-US"/>
        </w:rPr>
        <w:t>.</w:t>
      </w:r>
      <w:bookmarkEnd w:id="60"/>
      <w:r w:rsidR="00A93967" w:rsidRPr="00012C3F">
        <w:rPr>
          <w:rFonts w:eastAsia="Calibri"/>
          <w:sz w:val="20"/>
          <w:szCs w:val="20"/>
          <w:lang w:val="en-US"/>
        </w:rPr>
        <w:t xml:space="preserve"> </w:t>
      </w:r>
    </w:p>
    <w:p w14:paraId="1C111D80" w14:textId="77777777" w:rsidR="00A93967" w:rsidRPr="00012C3F" w:rsidRDefault="00A93967" w:rsidP="00A93967">
      <w:pPr>
        <w:keepNext/>
        <w:keepLines/>
        <w:tabs>
          <w:tab w:val="left" w:pos="1134"/>
        </w:tabs>
        <w:spacing w:line="240" w:lineRule="auto"/>
        <w:ind w:left="567" w:firstLine="1"/>
        <w:outlineLvl w:val="1"/>
        <w:rPr>
          <w:rFonts w:eastAsia="MS Mincho"/>
          <w:b/>
          <w:bCs/>
          <w:i/>
          <w:sz w:val="20"/>
          <w:szCs w:val="20"/>
          <w:lang w:val="en-US"/>
        </w:rPr>
      </w:pPr>
      <w:bookmarkStart w:id="61" w:name="_Toc27486828"/>
      <w:r w:rsidRPr="00012C3F">
        <w:rPr>
          <w:rFonts w:eastAsia="MS Mincho"/>
          <w:b/>
          <w:bCs/>
          <w:i/>
          <w:sz w:val="20"/>
          <w:szCs w:val="20"/>
          <w:lang w:val="en-US"/>
        </w:rPr>
        <w:lastRenderedPageBreak/>
        <w:t>B.</w:t>
      </w:r>
      <w:r w:rsidRPr="00012C3F">
        <w:rPr>
          <w:rFonts w:eastAsia="MS Mincho"/>
          <w:b/>
          <w:bCs/>
          <w:i/>
          <w:sz w:val="20"/>
          <w:szCs w:val="20"/>
          <w:lang w:val="en-US"/>
        </w:rPr>
        <w:tab/>
      </w:r>
      <w:r w:rsidR="006C705C" w:rsidRPr="00012C3F">
        <w:rPr>
          <w:rFonts w:eastAsia="MS Mincho"/>
          <w:b/>
          <w:bCs/>
          <w:i/>
          <w:sz w:val="20"/>
          <w:szCs w:val="20"/>
          <w:lang w:val="en-US"/>
        </w:rPr>
        <w:t>The factual framework of the case</w:t>
      </w:r>
      <w:bookmarkEnd w:id="61"/>
    </w:p>
    <w:p w14:paraId="57A58B32" w14:textId="77777777" w:rsidR="00A93967" w:rsidRPr="00012C3F" w:rsidRDefault="00A93967" w:rsidP="00A93967">
      <w:pPr>
        <w:spacing w:line="240" w:lineRule="auto"/>
        <w:ind w:right="-20"/>
        <w:rPr>
          <w:rFonts w:eastAsia="Verdana" w:cs="Verdana"/>
          <w:sz w:val="20"/>
          <w:szCs w:val="20"/>
          <w:lang w:val="en-US"/>
        </w:rPr>
      </w:pPr>
    </w:p>
    <w:p w14:paraId="04D9D2E3" w14:textId="77777777" w:rsidR="00A93967" w:rsidRPr="00012C3F" w:rsidRDefault="00A84CA0" w:rsidP="008A7A0F">
      <w:pPr>
        <w:numPr>
          <w:ilvl w:val="0"/>
          <w:numId w:val="5"/>
        </w:numPr>
        <w:tabs>
          <w:tab w:val="left" w:pos="720"/>
          <w:tab w:val="num" w:pos="12305"/>
        </w:tabs>
        <w:spacing w:line="240" w:lineRule="auto"/>
        <w:ind w:left="0" w:firstLine="0"/>
        <w:rPr>
          <w:rFonts w:eastAsia="Verdana" w:cs="Verdana"/>
          <w:sz w:val="20"/>
          <w:szCs w:val="20"/>
          <w:lang w:val="en-US"/>
        </w:rPr>
      </w:pPr>
      <w:r w:rsidRPr="00012C3F">
        <w:rPr>
          <w:rFonts w:eastAsia="Verdana" w:cs="Verdana"/>
          <w:sz w:val="20"/>
          <w:szCs w:val="20"/>
          <w:lang w:val="en-US"/>
        </w:rPr>
        <w:t xml:space="preserve">The </w:t>
      </w:r>
      <w:r w:rsidRPr="00012C3F">
        <w:rPr>
          <w:rFonts w:eastAsia="Verdana" w:cs="Verdana"/>
          <w:b/>
          <w:bCs/>
          <w:i/>
          <w:iCs/>
          <w:sz w:val="20"/>
          <w:szCs w:val="20"/>
          <w:lang w:val="en-US"/>
        </w:rPr>
        <w:t>State</w:t>
      </w:r>
      <w:r w:rsidR="00A93967" w:rsidRPr="00012C3F">
        <w:rPr>
          <w:rFonts w:eastAsia="Verdana" w:cs="Verdana"/>
          <w:sz w:val="20"/>
          <w:szCs w:val="20"/>
          <w:lang w:val="en-US"/>
        </w:rPr>
        <w:t xml:space="preserve"> </w:t>
      </w:r>
      <w:r w:rsidR="008A7A0F" w:rsidRPr="00012C3F">
        <w:rPr>
          <w:rFonts w:eastAsia="Verdana" w:cs="Verdana"/>
          <w:sz w:val="20"/>
          <w:szCs w:val="20"/>
          <w:lang w:val="en-US"/>
        </w:rPr>
        <w:t>asked the Court</w:t>
      </w:r>
      <w:r w:rsidR="00A93967" w:rsidRPr="00012C3F">
        <w:rPr>
          <w:rFonts w:eastAsia="Verdana" w:cs="Verdana"/>
          <w:sz w:val="20"/>
          <w:szCs w:val="20"/>
          <w:lang w:val="en-US"/>
        </w:rPr>
        <w:t xml:space="preserve"> </w:t>
      </w:r>
      <w:r w:rsidR="008A7A0F" w:rsidRPr="00012C3F">
        <w:rPr>
          <w:rFonts w:eastAsia="Verdana" w:cs="Verdana"/>
          <w:sz w:val="20"/>
          <w:szCs w:val="20"/>
          <w:lang w:val="en-US"/>
        </w:rPr>
        <w:t xml:space="preserve">to disregard the additional facts presented in the </w:t>
      </w:r>
      <w:r w:rsidR="00972ACF" w:rsidRPr="00012C3F">
        <w:rPr>
          <w:rFonts w:eastAsia="Verdana" w:cs="Verdana"/>
          <w:sz w:val="20"/>
          <w:szCs w:val="20"/>
          <w:lang w:val="en-US"/>
        </w:rPr>
        <w:t>motions and pleadings brief</w:t>
      </w:r>
      <w:r w:rsidR="00A93967" w:rsidRPr="00012C3F">
        <w:rPr>
          <w:rFonts w:eastAsia="Verdana" w:cs="Verdana"/>
          <w:sz w:val="20"/>
          <w:szCs w:val="20"/>
          <w:lang w:val="en-US"/>
        </w:rPr>
        <w:t xml:space="preserve"> </w:t>
      </w:r>
      <w:r w:rsidR="0009041D" w:rsidRPr="00012C3F">
        <w:rPr>
          <w:rFonts w:eastAsia="Verdana" w:cs="Verdana"/>
          <w:sz w:val="20"/>
          <w:szCs w:val="20"/>
          <w:lang w:val="en-US"/>
        </w:rPr>
        <w:t>before it began to examine</w:t>
      </w:r>
      <w:r w:rsidR="008A7A0F" w:rsidRPr="00012C3F">
        <w:rPr>
          <w:rFonts w:eastAsia="Verdana" w:cs="Verdana"/>
          <w:sz w:val="20"/>
          <w:szCs w:val="20"/>
          <w:lang w:val="en-US"/>
        </w:rPr>
        <w:t xml:space="preserve"> the merits</w:t>
      </w:r>
      <w:r w:rsidR="0009041D" w:rsidRPr="00012C3F">
        <w:rPr>
          <w:rFonts w:eastAsia="Verdana" w:cs="Verdana"/>
          <w:sz w:val="20"/>
          <w:szCs w:val="20"/>
          <w:lang w:val="en-US"/>
        </w:rPr>
        <w:t xml:space="preserve"> of the case</w:t>
      </w:r>
      <w:r w:rsidR="008A7A0F" w:rsidRPr="00012C3F">
        <w:rPr>
          <w:rFonts w:eastAsia="Verdana" w:cs="Verdana"/>
          <w:sz w:val="20"/>
          <w:szCs w:val="20"/>
          <w:lang w:val="en-US"/>
        </w:rPr>
        <w:t xml:space="preserve">. The State underlined that </w:t>
      </w:r>
      <w:r w:rsidR="004C6FCC" w:rsidRPr="00012C3F">
        <w:rPr>
          <w:rFonts w:eastAsia="Verdana" w:cs="Verdana"/>
          <w:sz w:val="20"/>
          <w:szCs w:val="20"/>
          <w:lang w:val="en-US"/>
        </w:rPr>
        <w:t>the representatives</w:t>
      </w:r>
      <w:r w:rsidR="00A93967" w:rsidRPr="00012C3F">
        <w:rPr>
          <w:rFonts w:eastAsia="Verdana" w:cs="Verdana"/>
          <w:sz w:val="20"/>
          <w:szCs w:val="20"/>
          <w:lang w:val="en-US"/>
        </w:rPr>
        <w:t xml:space="preserve"> </w:t>
      </w:r>
      <w:r w:rsidR="008A7A0F" w:rsidRPr="00012C3F">
        <w:rPr>
          <w:rFonts w:eastAsia="Verdana" w:cs="Verdana"/>
          <w:sz w:val="20"/>
          <w:szCs w:val="20"/>
          <w:lang w:val="en-US"/>
        </w:rPr>
        <w:t xml:space="preserve">may invoke the violation of rights other than those established in the </w:t>
      </w:r>
      <w:r w:rsidR="00E00902" w:rsidRPr="00012C3F">
        <w:rPr>
          <w:rFonts w:eastAsia="Verdana" w:cs="Verdana"/>
          <w:sz w:val="20"/>
          <w:szCs w:val="20"/>
          <w:lang w:val="en-US"/>
        </w:rPr>
        <w:t>Merits Report</w:t>
      </w:r>
      <w:r w:rsidR="008A7A0F" w:rsidRPr="00012C3F">
        <w:rPr>
          <w:rFonts w:eastAsia="Verdana" w:cs="Verdana"/>
          <w:sz w:val="20"/>
          <w:szCs w:val="20"/>
          <w:lang w:val="en-US"/>
        </w:rPr>
        <w:t xml:space="preserve">, but those rights should be restricted to the facts contained in the </w:t>
      </w:r>
      <w:r w:rsidR="00E00902" w:rsidRPr="00012C3F">
        <w:rPr>
          <w:rFonts w:eastAsia="Verdana" w:cs="Verdana"/>
          <w:sz w:val="20"/>
          <w:szCs w:val="20"/>
          <w:lang w:val="en-US"/>
        </w:rPr>
        <w:t>Merits Report</w:t>
      </w:r>
      <w:r w:rsidR="00A93967" w:rsidRPr="00012C3F">
        <w:rPr>
          <w:rFonts w:eastAsia="Verdana" w:cs="Verdana"/>
          <w:sz w:val="20"/>
          <w:szCs w:val="20"/>
          <w:lang w:val="en-US"/>
        </w:rPr>
        <w:t xml:space="preserve">. </w:t>
      </w:r>
      <w:r w:rsidR="00972ACF" w:rsidRPr="00012C3F">
        <w:rPr>
          <w:rFonts w:eastAsia="Verdana" w:cs="Verdana"/>
          <w:sz w:val="20"/>
          <w:szCs w:val="20"/>
          <w:lang w:val="en-US"/>
        </w:rPr>
        <w:t xml:space="preserve">The </w:t>
      </w:r>
      <w:r w:rsidR="00972ACF" w:rsidRPr="00012C3F">
        <w:rPr>
          <w:rFonts w:eastAsia="Verdana" w:cs="Verdana"/>
          <w:b/>
          <w:bCs/>
          <w:i/>
          <w:iCs/>
          <w:sz w:val="20"/>
          <w:szCs w:val="20"/>
          <w:lang w:val="en-US"/>
        </w:rPr>
        <w:t>representative</w:t>
      </w:r>
      <w:r w:rsidR="00A93967" w:rsidRPr="00012C3F">
        <w:rPr>
          <w:rFonts w:eastAsia="Verdana" w:cs="Verdana"/>
          <w:sz w:val="20"/>
          <w:szCs w:val="20"/>
          <w:lang w:val="en-US"/>
        </w:rPr>
        <w:t xml:space="preserve"> </w:t>
      </w:r>
      <w:r w:rsidR="008A7A0F" w:rsidRPr="00012C3F">
        <w:rPr>
          <w:rFonts w:eastAsia="Verdana" w:cs="Verdana"/>
          <w:sz w:val="20"/>
          <w:szCs w:val="20"/>
          <w:lang w:val="en-US"/>
        </w:rPr>
        <w:t>indicated that the</w:t>
      </w:r>
      <w:r w:rsidR="00A93967" w:rsidRPr="00012C3F">
        <w:rPr>
          <w:rFonts w:eastAsia="Verdana" w:cs="Verdana"/>
          <w:sz w:val="20"/>
          <w:szCs w:val="20"/>
          <w:lang w:val="en-US"/>
        </w:rPr>
        <w:t xml:space="preserve"> </w:t>
      </w:r>
      <w:r w:rsidR="00972ACF" w:rsidRPr="00012C3F">
        <w:rPr>
          <w:rFonts w:eastAsia="Verdana" w:cs="Verdana"/>
          <w:sz w:val="20"/>
          <w:szCs w:val="20"/>
          <w:lang w:val="en-US"/>
        </w:rPr>
        <w:t>motions and pleadings brief</w:t>
      </w:r>
      <w:r w:rsidR="00A93967" w:rsidRPr="00012C3F">
        <w:rPr>
          <w:rFonts w:eastAsia="Verdana" w:cs="Verdana"/>
          <w:sz w:val="20"/>
          <w:szCs w:val="20"/>
          <w:lang w:val="en-US"/>
        </w:rPr>
        <w:t xml:space="preserve"> </w:t>
      </w:r>
      <w:r w:rsidR="008A7A0F" w:rsidRPr="00012C3F">
        <w:rPr>
          <w:rFonts w:eastAsia="Verdana" w:cs="Verdana"/>
          <w:sz w:val="20"/>
          <w:szCs w:val="20"/>
          <w:lang w:val="en-US"/>
        </w:rPr>
        <w:t>was limited to the factual framework established by</w:t>
      </w:r>
      <w:r w:rsidR="00A93967" w:rsidRPr="00012C3F">
        <w:rPr>
          <w:rFonts w:eastAsia="Verdana" w:cs="Verdana"/>
          <w:sz w:val="20"/>
          <w:szCs w:val="20"/>
          <w:lang w:val="en-US"/>
        </w:rPr>
        <w:t xml:space="preserve"> </w:t>
      </w:r>
      <w:r w:rsidR="001254DE" w:rsidRPr="00012C3F">
        <w:rPr>
          <w:rFonts w:eastAsia="Verdana" w:cs="Verdana"/>
          <w:sz w:val="20"/>
          <w:szCs w:val="20"/>
          <w:lang w:val="en-US"/>
        </w:rPr>
        <w:t xml:space="preserve">the </w:t>
      </w:r>
      <w:r w:rsidRPr="00012C3F">
        <w:rPr>
          <w:rFonts w:eastAsia="Verdana" w:cs="Verdana"/>
          <w:sz w:val="20"/>
          <w:szCs w:val="20"/>
          <w:lang w:val="en-US"/>
        </w:rPr>
        <w:t>Commission</w:t>
      </w:r>
      <w:r w:rsidR="00A93967" w:rsidRPr="00012C3F">
        <w:rPr>
          <w:rFonts w:eastAsia="Verdana" w:cs="Verdana"/>
          <w:sz w:val="20"/>
          <w:szCs w:val="20"/>
          <w:lang w:val="en-US"/>
        </w:rPr>
        <w:t xml:space="preserve"> </w:t>
      </w:r>
      <w:r w:rsidR="008A7A0F" w:rsidRPr="00012C3F">
        <w:rPr>
          <w:rFonts w:eastAsia="Verdana" w:cs="Verdana"/>
          <w:sz w:val="20"/>
          <w:szCs w:val="20"/>
          <w:lang w:val="en-US"/>
        </w:rPr>
        <w:t>in its</w:t>
      </w:r>
      <w:r w:rsidR="00A93967" w:rsidRPr="00012C3F">
        <w:rPr>
          <w:rFonts w:eastAsia="Verdana" w:cs="Verdana"/>
          <w:sz w:val="20"/>
          <w:szCs w:val="20"/>
          <w:lang w:val="en-US"/>
        </w:rPr>
        <w:t xml:space="preserve"> </w:t>
      </w:r>
      <w:r w:rsidR="00E00902" w:rsidRPr="00012C3F">
        <w:rPr>
          <w:rFonts w:eastAsia="Verdana" w:cs="Verdana"/>
          <w:sz w:val="20"/>
          <w:szCs w:val="20"/>
          <w:lang w:val="en-US"/>
        </w:rPr>
        <w:t>Merits Report</w:t>
      </w:r>
      <w:r w:rsidR="005E5012" w:rsidRPr="00012C3F">
        <w:rPr>
          <w:rFonts w:eastAsia="Verdana" w:cs="Verdana"/>
          <w:sz w:val="20"/>
          <w:szCs w:val="20"/>
          <w:lang w:val="en-US"/>
        </w:rPr>
        <w:t xml:space="preserve"> and </w:t>
      </w:r>
      <w:r w:rsidR="008A7A0F" w:rsidRPr="00012C3F">
        <w:rPr>
          <w:rFonts w:eastAsia="Verdana" w:cs="Verdana"/>
          <w:sz w:val="20"/>
          <w:szCs w:val="20"/>
          <w:lang w:val="en-US"/>
        </w:rPr>
        <w:t xml:space="preserve">no new facts </w:t>
      </w:r>
      <w:r w:rsidR="0009041D" w:rsidRPr="00012C3F">
        <w:rPr>
          <w:rFonts w:eastAsia="Verdana" w:cs="Verdana"/>
          <w:sz w:val="20"/>
          <w:szCs w:val="20"/>
          <w:lang w:val="en-US"/>
        </w:rPr>
        <w:t>had been</w:t>
      </w:r>
      <w:r w:rsidR="008A7A0F" w:rsidRPr="00012C3F">
        <w:rPr>
          <w:rFonts w:eastAsia="Verdana" w:cs="Verdana"/>
          <w:sz w:val="20"/>
          <w:szCs w:val="20"/>
          <w:lang w:val="en-US"/>
        </w:rPr>
        <w:t xml:space="preserve"> alleged. She also stressed that the State had not indicated which new facts its request</w:t>
      </w:r>
      <w:r w:rsidR="0009041D" w:rsidRPr="00012C3F">
        <w:rPr>
          <w:rFonts w:eastAsia="Verdana" w:cs="Verdana"/>
          <w:sz w:val="20"/>
          <w:szCs w:val="20"/>
          <w:lang w:val="en-US"/>
        </w:rPr>
        <w:t xml:space="preserve"> referred to</w:t>
      </w:r>
      <w:r w:rsidR="008A7A0F" w:rsidRPr="00012C3F">
        <w:rPr>
          <w:rFonts w:eastAsia="Verdana" w:cs="Verdana"/>
          <w:sz w:val="20"/>
          <w:szCs w:val="20"/>
          <w:lang w:val="en-US"/>
        </w:rPr>
        <w:t xml:space="preserve">. Consequently, she asked the Court to reject the request because it was based on imprecise arguments. </w:t>
      </w:r>
      <w:r w:rsidR="00BD056C" w:rsidRPr="00012C3F">
        <w:rPr>
          <w:rFonts w:eastAsia="Verdana" w:cs="Verdana"/>
          <w:sz w:val="20"/>
          <w:szCs w:val="20"/>
          <w:lang w:val="en-US"/>
        </w:rPr>
        <w:t xml:space="preserve">The </w:t>
      </w:r>
      <w:r w:rsidR="00BD056C" w:rsidRPr="00012C3F">
        <w:rPr>
          <w:rFonts w:eastAsia="Verdana" w:cs="Verdana"/>
          <w:b/>
          <w:bCs/>
          <w:i/>
          <w:iCs/>
          <w:sz w:val="20"/>
          <w:szCs w:val="20"/>
          <w:lang w:val="en-US"/>
        </w:rPr>
        <w:t>Commission</w:t>
      </w:r>
      <w:r w:rsidR="00A93967" w:rsidRPr="00012C3F">
        <w:rPr>
          <w:rFonts w:eastAsia="Verdana" w:cs="Verdana"/>
          <w:sz w:val="20"/>
          <w:szCs w:val="20"/>
          <w:lang w:val="en-US"/>
        </w:rPr>
        <w:t xml:space="preserve"> </w:t>
      </w:r>
      <w:r w:rsidR="008A7A0F" w:rsidRPr="00012C3F">
        <w:rPr>
          <w:rFonts w:eastAsia="Verdana" w:cs="Verdana"/>
          <w:sz w:val="20"/>
          <w:szCs w:val="20"/>
          <w:lang w:val="en-US"/>
        </w:rPr>
        <w:t>made no ruling in this regard</w:t>
      </w:r>
      <w:r w:rsidR="00A93967" w:rsidRPr="00012C3F">
        <w:rPr>
          <w:rFonts w:eastAsia="Verdana" w:cs="Verdana"/>
          <w:sz w:val="20"/>
          <w:szCs w:val="20"/>
          <w:lang w:val="en-US"/>
        </w:rPr>
        <w:t>.</w:t>
      </w:r>
    </w:p>
    <w:p w14:paraId="337BFA26" w14:textId="77777777" w:rsidR="00A93967" w:rsidRPr="00012C3F" w:rsidRDefault="00A93967" w:rsidP="008A7A0F">
      <w:pPr>
        <w:tabs>
          <w:tab w:val="left" w:pos="720"/>
        </w:tabs>
        <w:spacing w:line="240" w:lineRule="auto"/>
        <w:ind w:right="-20"/>
        <w:rPr>
          <w:rFonts w:eastAsia="Verdana" w:cs="Verdana"/>
          <w:sz w:val="20"/>
          <w:szCs w:val="20"/>
          <w:lang w:val="en-US"/>
        </w:rPr>
      </w:pPr>
    </w:p>
    <w:p w14:paraId="363859AC" w14:textId="77777777" w:rsidR="00566357" w:rsidRPr="00012C3F" w:rsidRDefault="008A7A0F" w:rsidP="008A7A0F">
      <w:pPr>
        <w:numPr>
          <w:ilvl w:val="0"/>
          <w:numId w:val="5"/>
        </w:numPr>
        <w:tabs>
          <w:tab w:val="left" w:pos="720"/>
          <w:tab w:val="num" w:pos="12305"/>
        </w:tabs>
        <w:spacing w:line="240" w:lineRule="auto"/>
        <w:ind w:left="0" w:firstLine="0"/>
        <w:rPr>
          <w:rFonts w:eastAsia="Verdana" w:cs="Verdana"/>
          <w:sz w:val="20"/>
          <w:szCs w:val="20"/>
          <w:lang w:val="en-US"/>
        </w:rPr>
      </w:pPr>
      <w:r w:rsidRPr="00012C3F">
        <w:rPr>
          <w:rFonts w:eastAsia="Verdana" w:cs="Verdana"/>
          <w:sz w:val="20"/>
          <w:szCs w:val="20"/>
          <w:lang w:val="en-US"/>
        </w:rPr>
        <w:t xml:space="preserve">This Court has established that the factual framework </w:t>
      </w:r>
      <w:r w:rsidR="0009041D" w:rsidRPr="00012C3F">
        <w:rPr>
          <w:rFonts w:eastAsia="Verdana" w:cs="Verdana"/>
          <w:sz w:val="20"/>
          <w:szCs w:val="20"/>
          <w:lang w:val="en-US"/>
        </w:rPr>
        <w:t>for</w:t>
      </w:r>
      <w:r w:rsidRPr="00012C3F">
        <w:rPr>
          <w:rFonts w:eastAsia="Verdana" w:cs="Verdana"/>
          <w:sz w:val="20"/>
          <w:szCs w:val="20"/>
          <w:lang w:val="en-US"/>
        </w:rPr>
        <w:t xml:space="preserve"> the proceedings before it is constituted by the facts contained in the Merits Report submitted to its consideration. Consequently, it is not admissible for the parties to allege new facts that differ from those contained in the Merits Report, </w:t>
      </w:r>
      <w:r w:rsidR="0009041D" w:rsidRPr="00012C3F">
        <w:rPr>
          <w:rFonts w:eastAsia="Verdana" w:cs="Verdana"/>
          <w:sz w:val="20"/>
          <w:szCs w:val="20"/>
          <w:lang w:val="en-US"/>
        </w:rPr>
        <w:t>although they may</w:t>
      </w:r>
      <w:r w:rsidRPr="00012C3F">
        <w:rPr>
          <w:rFonts w:eastAsia="Verdana" w:cs="Verdana"/>
          <w:sz w:val="20"/>
          <w:szCs w:val="20"/>
          <w:lang w:val="en-US"/>
        </w:rPr>
        <w:t xml:space="preserve"> present those that explain, clarify or reject the facts mentioned in th</w:t>
      </w:r>
      <w:r w:rsidR="0009041D" w:rsidRPr="00012C3F">
        <w:rPr>
          <w:rFonts w:eastAsia="Verdana" w:cs="Verdana"/>
          <w:sz w:val="20"/>
          <w:szCs w:val="20"/>
          <w:lang w:val="en-US"/>
        </w:rPr>
        <w:t>e said</w:t>
      </w:r>
      <w:r w:rsidRPr="00012C3F">
        <w:rPr>
          <w:rFonts w:eastAsia="Verdana" w:cs="Verdana"/>
          <w:sz w:val="20"/>
          <w:szCs w:val="20"/>
          <w:lang w:val="en-US"/>
        </w:rPr>
        <w:t xml:space="preserve"> report that have been submitted to the Court’s consideration (also called “</w:t>
      </w:r>
      <w:r w:rsidR="0009041D" w:rsidRPr="00012C3F">
        <w:rPr>
          <w:rFonts w:eastAsia="Verdana" w:cs="Verdana"/>
          <w:sz w:val="20"/>
          <w:szCs w:val="20"/>
          <w:lang w:val="en-US"/>
        </w:rPr>
        <w:t>sup</w:t>
      </w:r>
      <w:r w:rsidRPr="00012C3F">
        <w:rPr>
          <w:rFonts w:eastAsia="Verdana" w:cs="Verdana"/>
          <w:sz w:val="20"/>
          <w:szCs w:val="20"/>
          <w:lang w:val="en-US"/>
        </w:rPr>
        <w:t>plementary facts”)</w:t>
      </w:r>
      <w:r w:rsidR="00566357" w:rsidRPr="00012C3F">
        <w:rPr>
          <w:rFonts w:eastAsia="Verdana" w:cs="Verdana"/>
          <w:sz w:val="20"/>
          <w:szCs w:val="20"/>
          <w:lang w:val="en-US"/>
        </w:rPr>
        <w:t>.</w:t>
      </w:r>
      <w:r w:rsidR="00A93967" w:rsidRPr="00012C3F">
        <w:rPr>
          <w:rStyle w:val="Refdenotaalpie"/>
          <w:rFonts w:eastAsia="Verdana" w:cs="Verdana"/>
          <w:sz w:val="20"/>
          <w:szCs w:val="20"/>
          <w:lang w:val="en-US"/>
        </w:rPr>
        <w:footnoteReference w:id="25"/>
      </w:r>
      <w:r w:rsidR="00566357" w:rsidRPr="00012C3F">
        <w:rPr>
          <w:rFonts w:eastAsia="Verdana" w:cs="Verdana"/>
          <w:sz w:val="20"/>
          <w:szCs w:val="20"/>
          <w:lang w:val="en-US"/>
        </w:rPr>
        <w:t xml:space="preserve"> The exception to this principle are </w:t>
      </w:r>
      <w:r w:rsidR="0009041D" w:rsidRPr="00012C3F">
        <w:rPr>
          <w:rFonts w:eastAsia="Verdana" w:cs="Verdana"/>
          <w:sz w:val="20"/>
          <w:szCs w:val="20"/>
          <w:lang w:val="en-US"/>
        </w:rPr>
        <w:t>facts</w:t>
      </w:r>
      <w:r w:rsidR="00566357" w:rsidRPr="00012C3F">
        <w:rPr>
          <w:rFonts w:eastAsia="Verdana" w:cs="Verdana"/>
          <w:sz w:val="20"/>
          <w:szCs w:val="20"/>
          <w:lang w:val="en-US"/>
        </w:rPr>
        <w:t xml:space="preserve"> that qualify as supervening facts</w:t>
      </w:r>
      <w:r w:rsidR="00512765" w:rsidRPr="00012C3F">
        <w:rPr>
          <w:rFonts w:eastAsia="Verdana" w:cs="Verdana"/>
          <w:sz w:val="20"/>
          <w:szCs w:val="20"/>
          <w:lang w:val="en-US"/>
        </w:rPr>
        <w:t>,</w:t>
      </w:r>
      <w:r w:rsidR="0009041D" w:rsidRPr="00012C3F">
        <w:rPr>
          <w:rFonts w:eastAsia="Verdana" w:cs="Verdana"/>
          <w:sz w:val="20"/>
          <w:szCs w:val="20"/>
          <w:lang w:val="en-US"/>
        </w:rPr>
        <w:t xml:space="preserve"> and they</w:t>
      </w:r>
      <w:r w:rsidR="00566357" w:rsidRPr="00012C3F">
        <w:rPr>
          <w:rFonts w:eastAsia="Verdana" w:cs="Verdana"/>
          <w:sz w:val="20"/>
          <w:szCs w:val="20"/>
          <w:lang w:val="en-US"/>
        </w:rPr>
        <w:t xml:space="preserve"> may be forwarded to the Court at any stage of the proceedings prior to the delivery of judgment, provided they relate to the facts of the case.</w:t>
      </w:r>
    </w:p>
    <w:p w14:paraId="2AD4FB78" w14:textId="77777777" w:rsidR="00A93967" w:rsidRPr="00012C3F" w:rsidRDefault="00A93967" w:rsidP="008A7A0F">
      <w:pPr>
        <w:tabs>
          <w:tab w:val="left" w:pos="720"/>
        </w:tabs>
        <w:spacing w:line="240" w:lineRule="auto"/>
        <w:rPr>
          <w:rFonts w:eastAsia="Verdana" w:cs="Verdana"/>
          <w:sz w:val="20"/>
          <w:szCs w:val="20"/>
          <w:lang w:val="en-US"/>
        </w:rPr>
      </w:pPr>
    </w:p>
    <w:p w14:paraId="47BFF838" w14:textId="77777777" w:rsidR="00566357" w:rsidRPr="00012C3F" w:rsidRDefault="00566357" w:rsidP="00566357">
      <w:pPr>
        <w:numPr>
          <w:ilvl w:val="0"/>
          <w:numId w:val="5"/>
        </w:numPr>
        <w:tabs>
          <w:tab w:val="left" w:pos="720"/>
          <w:tab w:val="num" w:pos="12305"/>
        </w:tabs>
        <w:spacing w:line="240" w:lineRule="auto"/>
        <w:ind w:left="0" w:firstLine="0"/>
        <w:rPr>
          <w:rFonts w:eastAsia="Verdana" w:cs="Verdana"/>
          <w:sz w:val="20"/>
          <w:szCs w:val="20"/>
          <w:lang w:val="en-US"/>
        </w:rPr>
      </w:pPr>
      <w:r w:rsidRPr="00012C3F">
        <w:rPr>
          <w:rFonts w:eastAsia="Verdana" w:cs="Verdana"/>
          <w:sz w:val="20"/>
          <w:szCs w:val="20"/>
          <w:lang w:val="en-US"/>
        </w:rPr>
        <w:t>In its</w:t>
      </w:r>
      <w:r w:rsidR="00A93967" w:rsidRPr="00012C3F">
        <w:rPr>
          <w:rFonts w:eastAsia="Verdana" w:cs="Verdana"/>
          <w:sz w:val="20"/>
          <w:szCs w:val="20"/>
          <w:lang w:val="en-US"/>
        </w:rPr>
        <w:t xml:space="preserve"> </w:t>
      </w:r>
      <w:r w:rsidR="00E00902" w:rsidRPr="00012C3F">
        <w:rPr>
          <w:rFonts w:eastAsia="Verdana" w:cs="Verdana"/>
          <w:sz w:val="20"/>
          <w:szCs w:val="20"/>
          <w:lang w:val="en-US"/>
        </w:rPr>
        <w:t>Merits Report</w:t>
      </w:r>
      <w:r w:rsidR="00A93967" w:rsidRPr="00012C3F">
        <w:rPr>
          <w:rFonts w:eastAsia="Verdana" w:cs="Verdana"/>
          <w:sz w:val="20"/>
          <w:szCs w:val="20"/>
          <w:lang w:val="en-US"/>
        </w:rPr>
        <w:t xml:space="preserve">, </w:t>
      </w:r>
      <w:r w:rsidR="001254DE" w:rsidRPr="00012C3F">
        <w:rPr>
          <w:rFonts w:eastAsia="Verdana" w:cs="Verdana"/>
          <w:sz w:val="20"/>
          <w:szCs w:val="20"/>
          <w:lang w:val="en-US"/>
        </w:rPr>
        <w:t xml:space="preserve">the </w:t>
      </w:r>
      <w:r w:rsidR="00A84CA0" w:rsidRPr="00012C3F">
        <w:rPr>
          <w:rFonts w:eastAsia="Verdana" w:cs="Verdana"/>
          <w:sz w:val="20"/>
          <w:szCs w:val="20"/>
          <w:lang w:val="en-US"/>
        </w:rPr>
        <w:t>Commission</w:t>
      </w:r>
      <w:r w:rsidR="00A93967" w:rsidRPr="00012C3F">
        <w:rPr>
          <w:rFonts w:eastAsia="Verdana" w:cs="Verdana"/>
          <w:sz w:val="20"/>
          <w:szCs w:val="20"/>
          <w:lang w:val="en-US"/>
        </w:rPr>
        <w:t xml:space="preserve"> establ</w:t>
      </w:r>
      <w:r w:rsidRPr="00012C3F">
        <w:rPr>
          <w:rFonts w:eastAsia="Verdana" w:cs="Verdana"/>
          <w:sz w:val="20"/>
          <w:szCs w:val="20"/>
          <w:lang w:val="en-US"/>
        </w:rPr>
        <w:t>ished</w:t>
      </w:r>
      <w:r w:rsidR="00512765" w:rsidRPr="00012C3F">
        <w:rPr>
          <w:rFonts w:eastAsia="Verdana" w:cs="Verdana"/>
          <w:sz w:val="20"/>
          <w:szCs w:val="20"/>
          <w:lang w:val="en-US"/>
        </w:rPr>
        <w:t>, as the factual framework for the proceedings before the Court,</w:t>
      </w:r>
      <w:r w:rsidRPr="00012C3F">
        <w:rPr>
          <w:rFonts w:eastAsia="Verdana" w:cs="Verdana"/>
          <w:sz w:val="20"/>
          <w:szCs w:val="20"/>
          <w:lang w:val="en-US"/>
        </w:rPr>
        <w:t xml:space="preserve"> the </w:t>
      </w:r>
      <w:r w:rsidR="00512765" w:rsidRPr="00012C3F">
        <w:rPr>
          <w:rFonts w:eastAsia="Verdana" w:cs="Verdana"/>
          <w:sz w:val="20"/>
          <w:szCs w:val="20"/>
          <w:lang w:val="en-US"/>
        </w:rPr>
        <w:t>procedure</w:t>
      </w:r>
      <w:r w:rsidRPr="00012C3F">
        <w:rPr>
          <w:rFonts w:eastAsia="Verdana" w:cs="Verdana"/>
          <w:sz w:val="20"/>
          <w:szCs w:val="20"/>
          <w:lang w:val="en-US"/>
        </w:rPr>
        <w:t xml:space="preserve"> to which I.V. was subjected in a Bolivian public hospital on July 1, 2000, and the subsequent failure of the State to provide an effective judicial remedy. However, the Court notes that, in its answering brief, the State </w:t>
      </w:r>
      <w:r w:rsidR="00512765" w:rsidRPr="00012C3F">
        <w:rPr>
          <w:rFonts w:eastAsia="Verdana" w:cs="Verdana"/>
          <w:sz w:val="20"/>
          <w:szCs w:val="20"/>
          <w:lang w:val="en-US"/>
        </w:rPr>
        <w:t>failed to</w:t>
      </w:r>
      <w:r w:rsidRPr="00012C3F">
        <w:rPr>
          <w:rFonts w:eastAsia="Verdana" w:cs="Verdana"/>
          <w:sz w:val="20"/>
          <w:szCs w:val="20"/>
          <w:lang w:val="en-US"/>
        </w:rPr>
        <w:t xml:space="preserve"> </w:t>
      </w:r>
      <w:r w:rsidR="00512765" w:rsidRPr="00012C3F">
        <w:rPr>
          <w:rFonts w:eastAsia="Verdana" w:cs="Verdana"/>
          <w:sz w:val="20"/>
          <w:szCs w:val="20"/>
          <w:lang w:val="en-US"/>
        </w:rPr>
        <w:t>indicate</w:t>
      </w:r>
      <w:r w:rsidRPr="00012C3F">
        <w:rPr>
          <w:rFonts w:eastAsia="Verdana" w:cs="Verdana"/>
          <w:sz w:val="20"/>
          <w:szCs w:val="20"/>
          <w:lang w:val="en-US"/>
        </w:rPr>
        <w:t xml:space="preserve"> the additional facts to which it allude</w:t>
      </w:r>
      <w:r w:rsidR="00512765" w:rsidRPr="00012C3F">
        <w:rPr>
          <w:rFonts w:eastAsia="Verdana" w:cs="Verdana"/>
          <w:sz w:val="20"/>
          <w:szCs w:val="20"/>
          <w:lang w:val="en-US"/>
        </w:rPr>
        <w:t>d</w:t>
      </w:r>
      <w:r w:rsidRPr="00012C3F">
        <w:rPr>
          <w:rFonts w:eastAsia="Verdana" w:cs="Verdana"/>
          <w:sz w:val="20"/>
          <w:szCs w:val="20"/>
          <w:lang w:val="en-US"/>
        </w:rPr>
        <w:t xml:space="preserve">; thus, the presumed new facts that the representative allegedly included in her </w:t>
      </w:r>
      <w:r w:rsidR="00972ACF" w:rsidRPr="00012C3F">
        <w:rPr>
          <w:rFonts w:eastAsia="Verdana" w:cs="Verdana"/>
          <w:sz w:val="20"/>
          <w:szCs w:val="20"/>
          <w:lang w:val="en-US"/>
        </w:rPr>
        <w:t>motions and pleadings brief</w:t>
      </w:r>
      <w:r w:rsidRPr="00012C3F">
        <w:rPr>
          <w:rFonts w:eastAsia="Verdana" w:cs="Verdana"/>
          <w:sz w:val="20"/>
          <w:szCs w:val="20"/>
          <w:lang w:val="en-US"/>
        </w:rPr>
        <w:t xml:space="preserve"> cannot be clearly identified from the information provided</w:t>
      </w:r>
      <w:r w:rsidR="00A93967" w:rsidRPr="00012C3F">
        <w:rPr>
          <w:rFonts w:eastAsia="Verdana" w:cs="Verdana"/>
          <w:sz w:val="20"/>
          <w:szCs w:val="20"/>
          <w:lang w:val="en-US"/>
        </w:rPr>
        <w:t xml:space="preserve">. </w:t>
      </w:r>
      <w:r w:rsidRPr="00012C3F">
        <w:rPr>
          <w:rFonts w:eastAsia="Verdana" w:cs="Verdana"/>
          <w:sz w:val="20"/>
          <w:szCs w:val="20"/>
          <w:lang w:val="en-US"/>
        </w:rPr>
        <w:t>Nevertheless, it is possible to infer from the answering brief that the facts alluded to by the State correspond to events that occurred while I.V. was living in Peru. In this regard, and if it finds it pertinent, the Court notes that it could take into account personal factors</w:t>
      </w:r>
      <w:r w:rsidR="00512765" w:rsidRPr="00012C3F">
        <w:rPr>
          <w:rFonts w:eastAsia="Verdana" w:cs="Verdana"/>
          <w:sz w:val="20"/>
          <w:szCs w:val="20"/>
          <w:lang w:val="en-US"/>
        </w:rPr>
        <w:t xml:space="preserve">, </w:t>
      </w:r>
      <w:r w:rsidRPr="00012C3F">
        <w:rPr>
          <w:rFonts w:eastAsia="Verdana" w:cs="Verdana"/>
          <w:sz w:val="20"/>
          <w:szCs w:val="20"/>
          <w:lang w:val="en-US"/>
        </w:rPr>
        <w:t xml:space="preserve">such as the presumed victim’s situation and, in particular, the events that I.V. experienced in Peru, when examining the merits in order to evaluate the characterization of the fact that took place in Bolivia as </w:t>
      </w:r>
      <w:r w:rsidRPr="00012C3F">
        <w:rPr>
          <w:sz w:val="20"/>
          <w:szCs w:val="20"/>
          <w:lang w:val="en-US"/>
        </w:rPr>
        <w:t>torture or other cruel, inhuman or degrading treatment, because this characterization depends on various factors, including the victim</w:t>
      </w:r>
      <w:r w:rsidR="00512765" w:rsidRPr="00012C3F">
        <w:rPr>
          <w:sz w:val="20"/>
          <w:szCs w:val="20"/>
          <w:lang w:val="en-US"/>
        </w:rPr>
        <w:t>’s vulnerability and</w:t>
      </w:r>
      <w:r w:rsidRPr="00012C3F">
        <w:rPr>
          <w:sz w:val="20"/>
          <w:szCs w:val="20"/>
          <w:lang w:val="en-US"/>
        </w:rPr>
        <w:t xml:space="preserve"> the context and specific circumstances of each case. Consequently, the Court finds that the State’s request that it not take into consideration the facts presented in the </w:t>
      </w:r>
      <w:r w:rsidRPr="00012C3F">
        <w:rPr>
          <w:rFonts w:eastAsia="Verdana" w:cs="Verdana"/>
          <w:sz w:val="20"/>
          <w:szCs w:val="20"/>
          <w:lang w:val="en-US"/>
        </w:rPr>
        <w:t>motions and pleadings brief</w:t>
      </w:r>
      <w:r w:rsidRPr="00012C3F">
        <w:rPr>
          <w:sz w:val="20"/>
          <w:szCs w:val="20"/>
          <w:lang w:val="en-US"/>
        </w:rPr>
        <w:t xml:space="preserve"> is inadmissible.</w:t>
      </w:r>
    </w:p>
    <w:p w14:paraId="2AA25D14" w14:textId="77777777" w:rsidR="00A93967" w:rsidRPr="00012C3F" w:rsidRDefault="00A93967" w:rsidP="00A93967">
      <w:pPr>
        <w:tabs>
          <w:tab w:val="left" w:pos="720"/>
        </w:tabs>
        <w:spacing w:line="240" w:lineRule="auto"/>
        <w:rPr>
          <w:rFonts w:eastAsia="Verdana" w:cs="Verdana"/>
          <w:sz w:val="20"/>
          <w:szCs w:val="20"/>
          <w:lang w:val="en-US"/>
        </w:rPr>
      </w:pPr>
    </w:p>
    <w:p w14:paraId="31D98ED9" w14:textId="77777777" w:rsidR="00A93967" w:rsidRPr="00012C3F" w:rsidRDefault="00A93967" w:rsidP="00A93967">
      <w:pPr>
        <w:keepNext/>
        <w:keepLines/>
        <w:tabs>
          <w:tab w:val="left" w:pos="1134"/>
        </w:tabs>
        <w:spacing w:line="240" w:lineRule="auto"/>
        <w:ind w:left="567" w:firstLine="1"/>
        <w:outlineLvl w:val="1"/>
        <w:rPr>
          <w:rFonts w:eastAsia="MS Mincho"/>
          <w:b/>
          <w:bCs/>
          <w:i/>
          <w:sz w:val="20"/>
          <w:szCs w:val="20"/>
          <w:lang w:val="en-US"/>
        </w:rPr>
      </w:pPr>
      <w:bookmarkStart w:id="62" w:name="_Toc27486829"/>
      <w:r w:rsidRPr="00012C3F">
        <w:rPr>
          <w:rFonts w:eastAsia="MS Mincho"/>
          <w:b/>
          <w:bCs/>
          <w:i/>
          <w:sz w:val="20"/>
          <w:szCs w:val="20"/>
          <w:lang w:val="en-US"/>
        </w:rPr>
        <w:t>C.</w:t>
      </w:r>
      <w:r w:rsidRPr="00012C3F">
        <w:rPr>
          <w:rFonts w:eastAsia="MS Mincho"/>
          <w:b/>
          <w:bCs/>
          <w:i/>
          <w:sz w:val="20"/>
          <w:szCs w:val="20"/>
          <w:lang w:val="en-US"/>
        </w:rPr>
        <w:tab/>
      </w:r>
      <w:r w:rsidR="006C705C" w:rsidRPr="00012C3F">
        <w:rPr>
          <w:rFonts w:eastAsia="MS Mincho"/>
          <w:b/>
          <w:bCs/>
          <w:i/>
          <w:sz w:val="20"/>
          <w:szCs w:val="20"/>
          <w:lang w:val="en-US"/>
        </w:rPr>
        <w:t>Other human rights violations alleged by</w:t>
      </w:r>
      <w:r w:rsidRPr="00012C3F">
        <w:rPr>
          <w:rFonts w:eastAsia="MS Mincho"/>
          <w:b/>
          <w:bCs/>
          <w:i/>
          <w:sz w:val="20"/>
          <w:szCs w:val="20"/>
          <w:lang w:val="en-US"/>
        </w:rPr>
        <w:t xml:space="preserve"> </w:t>
      </w:r>
      <w:r w:rsidR="00972ACF" w:rsidRPr="00012C3F">
        <w:rPr>
          <w:rFonts w:eastAsia="MS Mincho"/>
          <w:b/>
          <w:bCs/>
          <w:i/>
          <w:sz w:val="20"/>
          <w:szCs w:val="20"/>
          <w:lang w:val="en-US"/>
        </w:rPr>
        <w:t>the representative</w:t>
      </w:r>
      <w:bookmarkEnd w:id="62"/>
      <w:r w:rsidRPr="00012C3F">
        <w:rPr>
          <w:rFonts w:eastAsia="MS Mincho"/>
          <w:b/>
          <w:bCs/>
          <w:i/>
          <w:sz w:val="20"/>
          <w:szCs w:val="20"/>
          <w:lang w:val="en-US"/>
        </w:rPr>
        <w:t xml:space="preserve"> </w:t>
      </w:r>
    </w:p>
    <w:p w14:paraId="0249F8B9" w14:textId="77777777" w:rsidR="00A93967" w:rsidRPr="00012C3F" w:rsidRDefault="00A93967" w:rsidP="00A93967">
      <w:pPr>
        <w:spacing w:line="240" w:lineRule="auto"/>
        <w:ind w:right="-20"/>
        <w:rPr>
          <w:rFonts w:eastAsia="Verdana" w:cs="Verdana"/>
          <w:sz w:val="20"/>
          <w:szCs w:val="20"/>
          <w:lang w:val="en-US"/>
        </w:rPr>
      </w:pPr>
    </w:p>
    <w:p w14:paraId="6AD7752C" w14:textId="77777777" w:rsidR="00A93967" w:rsidRPr="00012C3F" w:rsidRDefault="00A84CA0" w:rsidP="006B7531">
      <w:pPr>
        <w:numPr>
          <w:ilvl w:val="0"/>
          <w:numId w:val="5"/>
        </w:numPr>
        <w:tabs>
          <w:tab w:val="left" w:pos="567"/>
          <w:tab w:val="num" w:pos="12305"/>
        </w:tabs>
        <w:spacing w:line="240" w:lineRule="auto"/>
        <w:ind w:left="0" w:firstLine="0"/>
        <w:rPr>
          <w:rFonts w:eastAsia="Verdana" w:cs="Verdana"/>
          <w:sz w:val="20"/>
          <w:szCs w:val="20"/>
          <w:lang w:val="en-US"/>
        </w:rPr>
      </w:pPr>
      <w:r w:rsidRPr="00012C3F">
        <w:rPr>
          <w:rFonts w:eastAsia="Verdana" w:cs="Verdana"/>
          <w:sz w:val="20"/>
          <w:szCs w:val="20"/>
          <w:lang w:val="en-US"/>
        </w:rPr>
        <w:t xml:space="preserve">The </w:t>
      </w:r>
      <w:r w:rsidRPr="00012C3F">
        <w:rPr>
          <w:rFonts w:eastAsia="Verdana" w:cs="Verdana"/>
          <w:b/>
          <w:bCs/>
          <w:i/>
          <w:iCs/>
          <w:sz w:val="20"/>
          <w:szCs w:val="20"/>
          <w:lang w:val="en-US"/>
        </w:rPr>
        <w:t>State</w:t>
      </w:r>
      <w:r w:rsidR="00A93967" w:rsidRPr="00012C3F">
        <w:rPr>
          <w:rFonts w:eastAsia="Verdana" w:cs="Verdana"/>
          <w:sz w:val="20"/>
          <w:szCs w:val="20"/>
          <w:lang w:val="en-US"/>
        </w:rPr>
        <w:t xml:space="preserve"> </w:t>
      </w:r>
      <w:r w:rsidR="009727AF" w:rsidRPr="00012C3F">
        <w:rPr>
          <w:rFonts w:eastAsia="Verdana" w:cs="Verdana"/>
          <w:sz w:val="20"/>
          <w:szCs w:val="20"/>
          <w:lang w:val="en-US"/>
        </w:rPr>
        <w:t xml:space="preserve">contested </w:t>
      </w:r>
      <w:r w:rsidR="00972ACF" w:rsidRPr="00012C3F">
        <w:rPr>
          <w:rFonts w:eastAsia="Verdana" w:cs="Verdana"/>
          <w:sz w:val="20"/>
          <w:szCs w:val="20"/>
          <w:lang w:val="en-US"/>
        </w:rPr>
        <w:t>the representative</w:t>
      </w:r>
      <w:r w:rsidR="009727AF" w:rsidRPr="00012C3F">
        <w:rPr>
          <w:rFonts w:eastAsia="Verdana" w:cs="Verdana"/>
          <w:sz w:val="20"/>
          <w:szCs w:val="20"/>
          <w:lang w:val="en-US"/>
        </w:rPr>
        <w:t xml:space="preserve">’s inclusion of presumed violation of rights that had not been indicated previously in the </w:t>
      </w:r>
      <w:r w:rsidR="00E00902" w:rsidRPr="00012C3F">
        <w:rPr>
          <w:rFonts w:eastAsia="Verdana" w:cs="Verdana"/>
          <w:sz w:val="20"/>
          <w:szCs w:val="20"/>
          <w:lang w:val="en-US"/>
        </w:rPr>
        <w:t>Merits Report</w:t>
      </w:r>
      <w:r w:rsidR="009727AF" w:rsidRPr="00012C3F">
        <w:rPr>
          <w:rFonts w:eastAsia="Verdana" w:cs="Verdana"/>
          <w:sz w:val="20"/>
          <w:szCs w:val="20"/>
          <w:lang w:val="en-US"/>
        </w:rPr>
        <w:t xml:space="preserve">: namely, the rights recognized in </w:t>
      </w:r>
      <w:r w:rsidR="001254DE" w:rsidRPr="00012C3F">
        <w:rPr>
          <w:rFonts w:eastAsia="Verdana" w:cs="Verdana"/>
          <w:sz w:val="20"/>
          <w:szCs w:val="20"/>
          <w:lang w:val="en-US"/>
        </w:rPr>
        <w:t>Articles</w:t>
      </w:r>
      <w:r w:rsidR="00A93967" w:rsidRPr="00012C3F">
        <w:rPr>
          <w:rFonts w:eastAsia="Verdana" w:cs="Verdana"/>
          <w:sz w:val="20"/>
          <w:szCs w:val="20"/>
          <w:lang w:val="en-US"/>
        </w:rPr>
        <w:t xml:space="preserve"> 3, </w:t>
      </w:r>
      <w:r w:rsidR="00B257AF" w:rsidRPr="00012C3F">
        <w:rPr>
          <w:rFonts w:eastAsia="Verdana" w:cs="Verdana"/>
          <w:sz w:val="20"/>
          <w:szCs w:val="20"/>
          <w:lang w:val="en-US"/>
        </w:rPr>
        <w:t>5(2)</w:t>
      </w:r>
      <w:r w:rsidR="005E5012" w:rsidRPr="00012C3F">
        <w:rPr>
          <w:rFonts w:eastAsia="Verdana" w:cs="Verdana"/>
          <w:sz w:val="20"/>
          <w:szCs w:val="20"/>
          <w:lang w:val="en-US"/>
        </w:rPr>
        <w:t xml:space="preserve"> and </w:t>
      </w:r>
      <w:r w:rsidR="00A93967" w:rsidRPr="00012C3F">
        <w:rPr>
          <w:rFonts w:eastAsia="Verdana" w:cs="Verdana"/>
          <w:sz w:val="20"/>
          <w:szCs w:val="20"/>
          <w:lang w:val="en-US"/>
        </w:rPr>
        <w:t>2</w:t>
      </w:r>
      <w:r w:rsidR="00B257AF" w:rsidRPr="00012C3F">
        <w:rPr>
          <w:rFonts w:eastAsia="Verdana" w:cs="Verdana"/>
          <w:sz w:val="20"/>
          <w:szCs w:val="20"/>
          <w:lang w:val="en-US"/>
        </w:rPr>
        <w:t>5(2)</w:t>
      </w:r>
      <w:r w:rsidR="001254DE" w:rsidRPr="00012C3F">
        <w:rPr>
          <w:rFonts w:eastAsia="Verdana" w:cs="Verdana"/>
          <w:sz w:val="20"/>
          <w:szCs w:val="20"/>
          <w:lang w:val="en-US"/>
        </w:rPr>
        <w:t xml:space="preserve"> of the Convention</w:t>
      </w:r>
      <w:r w:rsidR="009727AF" w:rsidRPr="00012C3F">
        <w:rPr>
          <w:rFonts w:eastAsia="Verdana" w:cs="Verdana"/>
          <w:sz w:val="20"/>
          <w:szCs w:val="20"/>
          <w:lang w:val="en-US"/>
        </w:rPr>
        <w:t xml:space="preserve">, and also the presumed violation </w:t>
      </w:r>
      <w:r w:rsidR="008A7A0F" w:rsidRPr="00012C3F">
        <w:rPr>
          <w:rFonts w:eastAsia="Verdana" w:cs="Verdana"/>
          <w:sz w:val="20"/>
          <w:szCs w:val="20"/>
          <w:lang w:val="en-US"/>
        </w:rPr>
        <w:t>of Article</w:t>
      </w:r>
      <w:r w:rsidR="00A93967" w:rsidRPr="00012C3F">
        <w:rPr>
          <w:rFonts w:eastAsia="Verdana" w:cs="Verdana"/>
          <w:sz w:val="20"/>
          <w:szCs w:val="20"/>
          <w:lang w:val="en-US"/>
        </w:rPr>
        <w:t xml:space="preserve"> 5 </w:t>
      </w:r>
      <w:r w:rsidR="009727AF" w:rsidRPr="00012C3F">
        <w:rPr>
          <w:rFonts w:eastAsia="Verdana" w:cs="Verdana"/>
          <w:sz w:val="20"/>
          <w:szCs w:val="20"/>
          <w:lang w:val="en-US"/>
        </w:rPr>
        <w:t>in relation to</w:t>
      </w:r>
      <w:r w:rsidR="00A93967" w:rsidRPr="00012C3F">
        <w:rPr>
          <w:rFonts w:eastAsia="Verdana" w:cs="Verdana"/>
          <w:sz w:val="20"/>
          <w:szCs w:val="20"/>
          <w:lang w:val="en-US"/>
        </w:rPr>
        <w:t xml:space="preserve"> </w:t>
      </w:r>
      <w:r w:rsidR="001254DE" w:rsidRPr="00012C3F">
        <w:rPr>
          <w:rFonts w:eastAsia="Verdana" w:cs="Verdana"/>
          <w:sz w:val="20"/>
          <w:szCs w:val="20"/>
          <w:lang w:val="en-US"/>
        </w:rPr>
        <w:t>Articles</w:t>
      </w:r>
      <w:r w:rsidR="00A93967" w:rsidRPr="00012C3F">
        <w:rPr>
          <w:rFonts w:eastAsia="Verdana" w:cs="Verdana"/>
          <w:sz w:val="20"/>
          <w:szCs w:val="20"/>
          <w:lang w:val="en-US"/>
        </w:rPr>
        <w:t xml:space="preserve"> </w:t>
      </w:r>
      <w:r w:rsidR="005E5012" w:rsidRPr="00012C3F">
        <w:rPr>
          <w:rFonts w:eastAsia="Verdana" w:cs="Verdana"/>
          <w:sz w:val="20"/>
          <w:szCs w:val="20"/>
          <w:lang w:val="en-US"/>
        </w:rPr>
        <w:t xml:space="preserve">1(1) and </w:t>
      </w:r>
      <w:r w:rsidR="00A93967" w:rsidRPr="00012C3F">
        <w:rPr>
          <w:rFonts w:eastAsia="Verdana" w:cs="Verdana"/>
          <w:sz w:val="20"/>
          <w:szCs w:val="20"/>
          <w:lang w:val="en-US"/>
        </w:rPr>
        <w:t>19</w:t>
      </w:r>
      <w:r w:rsidR="006B1BC8" w:rsidRPr="00012C3F">
        <w:rPr>
          <w:rFonts w:eastAsia="Verdana" w:cs="Verdana"/>
          <w:sz w:val="20"/>
          <w:szCs w:val="20"/>
          <w:lang w:val="en-US"/>
        </w:rPr>
        <w:t xml:space="preserve"> </w:t>
      </w:r>
      <w:r w:rsidR="009727AF" w:rsidRPr="00012C3F">
        <w:rPr>
          <w:rFonts w:eastAsia="Verdana" w:cs="Verdana"/>
          <w:sz w:val="20"/>
          <w:szCs w:val="20"/>
          <w:lang w:val="en-US"/>
        </w:rPr>
        <w:t>of this instrument with regard to</w:t>
      </w:r>
      <w:r w:rsidR="00A93967" w:rsidRPr="00012C3F">
        <w:rPr>
          <w:rFonts w:eastAsia="Verdana" w:cs="Verdana"/>
          <w:sz w:val="20"/>
          <w:szCs w:val="20"/>
          <w:lang w:val="en-US"/>
        </w:rPr>
        <w:t xml:space="preserve"> </w:t>
      </w:r>
      <w:r w:rsidR="000E1C11" w:rsidRPr="00012C3F">
        <w:rPr>
          <w:rFonts w:eastAsia="Verdana" w:cs="Verdana"/>
          <w:sz w:val="20"/>
          <w:szCs w:val="20"/>
          <w:lang w:val="en-US"/>
        </w:rPr>
        <w:t>N.V.</w:t>
      </w:r>
      <w:r w:rsidR="005E5012" w:rsidRPr="00012C3F">
        <w:rPr>
          <w:rFonts w:eastAsia="Verdana" w:cs="Verdana"/>
          <w:sz w:val="20"/>
          <w:szCs w:val="20"/>
          <w:lang w:val="en-US"/>
        </w:rPr>
        <w:t xml:space="preserve"> and </w:t>
      </w:r>
      <w:r w:rsidR="00A93967" w:rsidRPr="00012C3F">
        <w:rPr>
          <w:rFonts w:eastAsia="Verdana" w:cs="Verdana"/>
          <w:sz w:val="20"/>
          <w:szCs w:val="20"/>
          <w:lang w:val="en-US"/>
        </w:rPr>
        <w:t xml:space="preserve">L.A. </w:t>
      </w:r>
      <w:r w:rsidR="00972ACF" w:rsidRPr="00012C3F">
        <w:rPr>
          <w:rFonts w:eastAsia="Verdana" w:cs="Verdana"/>
          <w:sz w:val="20"/>
          <w:szCs w:val="20"/>
          <w:lang w:val="en-US"/>
        </w:rPr>
        <w:t xml:space="preserve">The </w:t>
      </w:r>
      <w:r w:rsidR="00972ACF" w:rsidRPr="00012C3F">
        <w:rPr>
          <w:rFonts w:eastAsia="Verdana" w:cs="Verdana"/>
          <w:b/>
          <w:bCs/>
          <w:i/>
          <w:iCs/>
          <w:sz w:val="20"/>
          <w:szCs w:val="20"/>
          <w:lang w:val="en-US"/>
        </w:rPr>
        <w:t>representative</w:t>
      </w:r>
      <w:r w:rsidR="00A93967" w:rsidRPr="00012C3F">
        <w:rPr>
          <w:rFonts w:eastAsia="Verdana" w:cs="Verdana"/>
          <w:sz w:val="20"/>
          <w:szCs w:val="20"/>
          <w:lang w:val="en-US"/>
        </w:rPr>
        <w:t xml:space="preserve"> </w:t>
      </w:r>
      <w:r w:rsidR="009727AF" w:rsidRPr="00012C3F">
        <w:rPr>
          <w:rFonts w:eastAsia="Verdana" w:cs="Verdana"/>
          <w:sz w:val="20"/>
          <w:szCs w:val="20"/>
          <w:lang w:val="en-US"/>
        </w:rPr>
        <w:t xml:space="preserve">asked the Court to disregard the State’s objection and stressed that, according to the Court’s case law, the presumed victims and their representatives could invoke the violation of rights other than those included in the </w:t>
      </w:r>
      <w:r w:rsidR="00E00902" w:rsidRPr="00012C3F">
        <w:rPr>
          <w:rFonts w:eastAsia="Verdana" w:cs="Verdana"/>
          <w:sz w:val="20"/>
          <w:szCs w:val="20"/>
          <w:lang w:val="en-US"/>
        </w:rPr>
        <w:t>Merits Report</w:t>
      </w:r>
      <w:r w:rsidR="00A93967" w:rsidRPr="00012C3F">
        <w:rPr>
          <w:rFonts w:eastAsia="Verdana" w:cs="Verdana"/>
          <w:sz w:val="20"/>
          <w:szCs w:val="20"/>
          <w:lang w:val="en-US"/>
        </w:rPr>
        <w:t xml:space="preserve">, </w:t>
      </w:r>
      <w:r w:rsidR="009727AF" w:rsidRPr="00012C3F">
        <w:rPr>
          <w:rFonts w:eastAsia="Verdana" w:cs="Verdana"/>
          <w:sz w:val="20"/>
          <w:szCs w:val="20"/>
          <w:lang w:val="en-US"/>
        </w:rPr>
        <w:t xml:space="preserve">provided that they related to the facts contained in that document. </w:t>
      </w:r>
      <w:r w:rsidR="00972ACF" w:rsidRPr="00012C3F">
        <w:rPr>
          <w:rFonts w:eastAsia="Verdana" w:cs="Verdana"/>
          <w:sz w:val="20"/>
          <w:szCs w:val="20"/>
          <w:lang w:val="en-US"/>
        </w:rPr>
        <w:t>The representative</w:t>
      </w:r>
      <w:r w:rsidR="00A93967" w:rsidRPr="00012C3F">
        <w:rPr>
          <w:rFonts w:eastAsia="Verdana" w:cs="Verdana"/>
          <w:sz w:val="20"/>
          <w:szCs w:val="20"/>
          <w:lang w:val="en-US"/>
        </w:rPr>
        <w:t xml:space="preserve"> </w:t>
      </w:r>
      <w:r w:rsidR="009727AF" w:rsidRPr="00012C3F">
        <w:rPr>
          <w:rFonts w:eastAsia="Verdana" w:cs="Verdana"/>
          <w:sz w:val="20"/>
          <w:szCs w:val="20"/>
          <w:lang w:val="en-US"/>
        </w:rPr>
        <w:t xml:space="preserve">indicated that the alleged violations were founded not only on the factual framework established by </w:t>
      </w:r>
      <w:r w:rsidRPr="00012C3F">
        <w:rPr>
          <w:rFonts w:eastAsia="Verdana" w:cs="Verdana"/>
          <w:sz w:val="20"/>
          <w:szCs w:val="20"/>
          <w:lang w:val="en-US"/>
        </w:rPr>
        <w:t>Commission</w:t>
      </w:r>
      <w:r w:rsidR="00A93967" w:rsidRPr="00012C3F">
        <w:rPr>
          <w:rFonts w:eastAsia="Verdana" w:cs="Verdana"/>
          <w:sz w:val="20"/>
          <w:szCs w:val="20"/>
          <w:lang w:val="en-US"/>
        </w:rPr>
        <w:t xml:space="preserve">, </w:t>
      </w:r>
      <w:r w:rsidR="009727AF" w:rsidRPr="00012C3F">
        <w:rPr>
          <w:rFonts w:eastAsia="Verdana" w:cs="Verdana"/>
          <w:sz w:val="20"/>
          <w:szCs w:val="20"/>
          <w:lang w:val="en-US"/>
        </w:rPr>
        <w:t xml:space="preserve">but also on the facts described by the petitioners </w:t>
      </w:r>
      <w:r w:rsidR="00B9662E" w:rsidRPr="00012C3F">
        <w:rPr>
          <w:rFonts w:eastAsia="Verdana" w:cs="Verdana"/>
          <w:sz w:val="20"/>
          <w:szCs w:val="20"/>
          <w:lang w:val="en-US"/>
        </w:rPr>
        <w:t xml:space="preserve">throughout the proceedings under the inter-American system. </w:t>
      </w:r>
      <w:r w:rsidR="00BD056C" w:rsidRPr="00012C3F">
        <w:rPr>
          <w:rFonts w:eastAsia="Verdana" w:cs="Verdana"/>
          <w:sz w:val="20"/>
          <w:szCs w:val="20"/>
          <w:lang w:val="en-US"/>
        </w:rPr>
        <w:t xml:space="preserve">The </w:t>
      </w:r>
      <w:r w:rsidR="00BD056C" w:rsidRPr="00012C3F">
        <w:rPr>
          <w:rFonts w:eastAsia="Verdana" w:cs="Verdana"/>
          <w:b/>
          <w:bCs/>
          <w:i/>
          <w:iCs/>
          <w:sz w:val="20"/>
          <w:szCs w:val="20"/>
          <w:lang w:val="en-US"/>
        </w:rPr>
        <w:t>Commission</w:t>
      </w:r>
      <w:r w:rsidR="00A93967" w:rsidRPr="00012C3F">
        <w:rPr>
          <w:rFonts w:eastAsia="Verdana" w:cs="Verdana"/>
          <w:sz w:val="20"/>
          <w:szCs w:val="20"/>
          <w:lang w:val="en-US"/>
        </w:rPr>
        <w:t xml:space="preserve"> </w:t>
      </w:r>
      <w:r w:rsidR="00B9662E" w:rsidRPr="00012C3F">
        <w:rPr>
          <w:rFonts w:eastAsia="Verdana" w:cs="Verdana"/>
          <w:sz w:val="20"/>
          <w:szCs w:val="20"/>
          <w:lang w:val="en-US"/>
        </w:rPr>
        <w:t>made no ruling in this regard</w:t>
      </w:r>
      <w:r w:rsidR="00A93967" w:rsidRPr="00012C3F">
        <w:rPr>
          <w:rFonts w:eastAsia="Verdana" w:cs="Verdana"/>
          <w:sz w:val="20"/>
          <w:szCs w:val="20"/>
          <w:lang w:val="en-US"/>
        </w:rPr>
        <w:t>.</w:t>
      </w:r>
    </w:p>
    <w:p w14:paraId="66B6FA04" w14:textId="77777777" w:rsidR="00A93967" w:rsidRPr="00012C3F" w:rsidRDefault="00A93967" w:rsidP="00A93967">
      <w:pPr>
        <w:tabs>
          <w:tab w:val="left" w:pos="720"/>
        </w:tabs>
        <w:spacing w:line="240" w:lineRule="auto"/>
        <w:rPr>
          <w:rFonts w:eastAsia="Verdana" w:cs="Verdana"/>
          <w:sz w:val="20"/>
          <w:szCs w:val="20"/>
          <w:lang w:val="en-US"/>
        </w:rPr>
      </w:pPr>
    </w:p>
    <w:p w14:paraId="14A264EA" w14:textId="77777777" w:rsidR="00A93967" w:rsidRPr="00012C3F" w:rsidRDefault="00B9662E" w:rsidP="00B9662E">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lastRenderedPageBreak/>
        <w:t>Th</w:t>
      </w:r>
      <w:r w:rsidR="00512765" w:rsidRPr="00012C3F">
        <w:rPr>
          <w:sz w:val="20"/>
          <w:szCs w:val="20"/>
          <w:lang w:val="en-US"/>
        </w:rPr>
        <w:t>e</w:t>
      </w:r>
      <w:r w:rsidRPr="00012C3F">
        <w:rPr>
          <w:sz w:val="20"/>
          <w:szCs w:val="20"/>
          <w:lang w:val="en-US"/>
        </w:rPr>
        <w:t xml:space="preserve"> Court recalls that, according to its consistent case law</w:t>
      </w:r>
      <w:r w:rsidR="00512765" w:rsidRPr="00012C3F">
        <w:rPr>
          <w:sz w:val="20"/>
          <w:szCs w:val="20"/>
          <w:lang w:val="en-US"/>
        </w:rPr>
        <w:t>,</w:t>
      </w:r>
      <w:r w:rsidRPr="00012C3F">
        <w:rPr>
          <w:sz w:val="20"/>
          <w:szCs w:val="20"/>
          <w:lang w:val="en-US"/>
        </w:rPr>
        <w:t xml:space="preserve"> the possibility of changing or  varying the legal classification of the facts that </w:t>
      </w:r>
      <w:r w:rsidR="00512765" w:rsidRPr="00012C3F">
        <w:rPr>
          <w:sz w:val="20"/>
          <w:szCs w:val="20"/>
          <w:lang w:val="en-US"/>
        </w:rPr>
        <w:t>form the grounds for</w:t>
      </w:r>
      <w:r w:rsidRPr="00012C3F">
        <w:rPr>
          <w:sz w:val="20"/>
          <w:szCs w:val="20"/>
          <w:lang w:val="en-US"/>
        </w:rPr>
        <w:t xml:space="preserve"> the specific case is permitted </w:t>
      </w:r>
      <w:r w:rsidR="00512765" w:rsidRPr="00012C3F">
        <w:rPr>
          <w:sz w:val="20"/>
          <w:szCs w:val="20"/>
          <w:lang w:val="en-US"/>
        </w:rPr>
        <w:t>during</w:t>
      </w:r>
      <w:r w:rsidRPr="00012C3F">
        <w:rPr>
          <w:sz w:val="20"/>
          <w:szCs w:val="20"/>
          <w:lang w:val="en-US"/>
        </w:rPr>
        <w:t xml:space="preserve"> proceeding</w:t>
      </w:r>
      <w:r w:rsidR="00512765" w:rsidRPr="00012C3F">
        <w:rPr>
          <w:sz w:val="20"/>
          <w:szCs w:val="20"/>
          <w:lang w:val="en-US"/>
        </w:rPr>
        <w:t>s</w:t>
      </w:r>
      <w:r w:rsidRPr="00012C3F">
        <w:rPr>
          <w:sz w:val="20"/>
          <w:szCs w:val="20"/>
          <w:lang w:val="en-US"/>
        </w:rPr>
        <w:t xml:space="preserve"> under the inter-American system. In this regard, the presumed victims and their representatives may invoke the violation of rights other than those included in the </w:t>
      </w:r>
      <w:r w:rsidR="00E00902" w:rsidRPr="00012C3F">
        <w:rPr>
          <w:sz w:val="20"/>
          <w:szCs w:val="20"/>
          <w:lang w:val="en-US"/>
        </w:rPr>
        <w:t>Merits Report</w:t>
      </w:r>
      <w:r w:rsidR="00A93967" w:rsidRPr="00012C3F">
        <w:rPr>
          <w:sz w:val="20"/>
          <w:szCs w:val="20"/>
          <w:lang w:val="en-US"/>
        </w:rPr>
        <w:t xml:space="preserve">, </w:t>
      </w:r>
      <w:r w:rsidRPr="00012C3F">
        <w:rPr>
          <w:sz w:val="20"/>
          <w:szCs w:val="20"/>
          <w:lang w:val="en-US"/>
        </w:rPr>
        <w:t>provided the</w:t>
      </w:r>
      <w:r w:rsidR="00512765" w:rsidRPr="00012C3F">
        <w:rPr>
          <w:sz w:val="20"/>
          <w:szCs w:val="20"/>
          <w:lang w:val="en-US"/>
        </w:rPr>
        <w:t>se</w:t>
      </w:r>
      <w:r w:rsidRPr="00012C3F">
        <w:rPr>
          <w:sz w:val="20"/>
          <w:szCs w:val="20"/>
          <w:lang w:val="en-US"/>
        </w:rPr>
        <w:t xml:space="preserve"> relate to the facts contained in that document, because the presumed victims are </w:t>
      </w:r>
      <w:r w:rsidR="00512765" w:rsidRPr="00012C3F">
        <w:rPr>
          <w:sz w:val="20"/>
          <w:szCs w:val="20"/>
          <w:lang w:val="en-US"/>
        </w:rPr>
        <w:t>entitled to</w:t>
      </w:r>
      <w:r w:rsidRPr="00012C3F">
        <w:rPr>
          <w:sz w:val="20"/>
          <w:szCs w:val="20"/>
          <w:lang w:val="en-US"/>
        </w:rPr>
        <w:t xml:space="preserve"> all the rights recognized in </w:t>
      </w:r>
      <w:r w:rsidR="001254DE" w:rsidRPr="00012C3F">
        <w:rPr>
          <w:sz w:val="20"/>
          <w:szCs w:val="20"/>
          <w:lang w:val="en-US"/>
        </w:rPr>
        <w:t>the Convention</w:t>
      </w:r>
      <w:r w:rsidRPr="00012C3F">
        <w:rPr>
          <w:sz w:val="20"/>
          <w:szCs w:val="20"/>
          <w:lang w:val="en-US"/>
        </w:rPr>
        <w:t>.</w:t>
      </w:r>
      <w:r w:rsidR="00A93967" w:rsidRPr="00012C3F">
        <w:rPr>
          <w:sz w:val="20"/>
          <w:szCs w:val="20"/>
          <w:vertAlign w:val="superscript"/>
          <w:lang w:val="en-US"/>
        </w:rPr>
        <w:footnoteReference w:id="26"/>
      </w:r>
    </w:p>
    <w:p w14:paraId="35062958" w14:textId="77777777" w:rsidR="00A93967" w:rsidRPr="00012C3F" w:rsidRDefault="00A93967" w:rsidP="00B9662E">
      <w:pPr>
        <w:tabs>
          <w:tab w:val="left" w:pos="720"/>
        </w:tabs>
        <w:spacing w:line="240" w:lineRule="auto"/>
        <w:rPr>
          <w:sz w:val="20"/>
          <w:szCs w:val="20"/>
          <w:lang w:val="en-US"/>
        </w:rPr>
      </w:pPr>
    </w:p>
    <w:p w14:paraId="486CE19F" w14:textId="77777777" w:rsidR="00A93967" w:rsidRPr="00012C3F" w:rsidRDefault="00B9662E" w:rsidP="00B9662E">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Consequently, the Court notes that the </w:t>
      </w:r>
      <w:r w:rsidR="00972ACF" w:rsidRPr="00012C3F">
        <w:rPr>
          <w:sz w:val="20"/>
          <w:szCs w:val="20"/>
          <w:lang w:val="en-US"/>
        </w:rPr>
        <w:t>representative</w:t>
      </w:r>
      <w:r w:rsidRPr="00012C3F">
        <w:rPr>
          <w:sz w:val="20"/>
          <w:szCs w:val="20"/>
          <w:lang w:val="en-US"/>
        </w:rPr>
        <w:t>’s arguments</w:t>
      </w:r>
      <w:r w:rsidR="00A93967" w:rsidRPr="00012C3F">
        <w:rPr>
          <w:sz w:val="20"/>
          <w:szCs w:val="20"/>
          <w:lang w:val="en-US"/>
        </w:rPr>
        <w:t xml:space="preserve"> </w:t>
      </w:r>
      <w:r w:rsidRPr="00012C3F">
        <w:rPr>
          <w:sz w:val="20"/>
          <w:szCs w:val="20"/>
          <w:lang w:val="en-US"/>
        </w:rPr>
        <w:t>with regard to</w:t>
      </w:r>
      <w:r w:rsidR="00A93967" w:rsidRPr="00012C3F">
        <w:rPr>
          <w:sz w:val="20"/>
          <w:szCs w:val="20"/>
          <w:lang w:val="en-US"/>
        </w:rPr>
        <w:t xml:space="preserve"> </w:t>
      </w:r>
      <w:r w:rsidR="001254DE" w:rsidRPr="00012C3F">
        <w:rPr>
          <w:sz w:val="20"/>
          <w:szCs w:val="20"/>
          <w:lang w:val="en-US"/>
        </w:rPr>
        <w:t>Articles</w:t>
      </w:r>
      <w:r w:rsidR="00A93967" w:rsidRPr="00012C3F">
        <w:rPr>
          <w:sz w:val="20"/>
          <w:szCs w:val="20"/>
          <w:lang w:val="en-US"/>
        </w:rPr>
        <w:t xml:space="preserve"> 3, </w:t>
      </w:r>
      <w:r w:rsidR="00B257AF" w:rsidRPr="00012C3F">
        <w:rPr>
          <w:sz w:val="20"/>
          <w:szCs w:val="20"/>
          <w:lang w:val="en-US"/>
        </w:rPr>
        <w:t>5(2)</w:t>
      </w:r>
      <w:r w:rsidR="005E5012" w:rsidRPr="00012C3F">
        <w:rPr>
          <w:sz w:val="20"/>
          <w:szCs w:val="20"/>
          <w:lang w:val="en-US"/>
        </w:rPr>
        <w:t xml:space="preserve"> and </w:t>
      </w:r>
      <w:r w:rsidR="00A93967" w:rsidRPr="00012C3F">
        <w:rPr>
          <w:sz w:val="20"/>
          <w:szCs w:val="20"/>
          <w:lang w:val="en-US"/>
        </w:rPr>
        <w:t>2</w:t>
      </w:r>
      <w:r w:rsidR="00B257AF" w:rsidRPr="00012C3F">
        <w:rPr>
          <w:sz w:val="20"/>
          <w:szCs w:val="20"/>
          <w:lang w:val="en-US"/>
        </w:rPr>
        <w:t>5(2)</w:t>
      </w:r>
      <w:r w:rsidR="001254DE" w:rsidRPr="00012C3F">
        <w:rPr>
          <w:sz w:val="20"/>
          <w:szCs w:val="20"/>
          <w:lang w:val="en-US"/>
        </w:rPr>
        <w:t xml:space="preserve"> of the American Convention</w:t>
      </w:r>
      <w:r w:rsidRPr="00012C3F">
        <w:rPr>
          <w:sz w:val="20"/>
          <w:szCs w:val="20"/>
          <w:lang w:val="en-US"/>
        </w:rPr>
        <w:t xml:space="preserve"> are founded on facts that form part of the factual framework presented by</w:t>
      </w:r>
      <w:r w:rsidR="00A93967" w:rsidRPr="00012C3F">
        <w:rPr>
          <w:sz w:val="20"/>
          <w:szCs w:val="20"/>
          <w:lang w:val="en-US"/>
        </w:rPr>
        <w:t xml:space="preserve"> </w:t>
      </w:r>
      <w:r w:rsidR="001254DE" w:rsidRPr="00012C3F">
        <w:rPr>
          <w:sz w:val="20"/>
          <w:szCs w:val="20"/>
          <w:lang w:val="en-US"/>
        </w:rPr>
        <w:t xml:space="preserve">the </w:t>
      </w:r>
      <w:r w:rsidR="00A84CA0" w:rsidRPr="00012C3F">
        <w:rPr>
          <w:sz w:val="20"/>
          <w:szCs w:val="20"/>
          <w:lang w:val="en-US"/>
        </w:rPr>
        <w:t>Commission</w:t>
      </w:r>
      <w:r w:rsidR="00A93967" w:rsidRPr="00012C3F">
        <w:rPr>
          <w:sz w:val="20"/>
          <w:szCs w:val="20"/>
          <w:lang w:val="en-US"/>
        </w:rPr>
        <w:t xml:space="preserve">. </w:t>
      </w:r>
      <w:r w:rsidRPr="00012C3F">
        <w:rPr>
          <w:sz w:val="20"/>
          <w:szCs w:val="20"/>
          <w:lang w:val="en-US"/>
        </w:rPr>
        <w:t xml:space="preserve">Therefore, </w:t>
      </w:r>
      <w:r w:rsidR="00512765" w:rsidRPr="00012C3F">
        <w:rPr>
          <w:sz w:val="20"/>
          <w:szCs w:val="20"/>
          <w:lang w:val="en-US"/>
        </w:rPr>
        <w:t xml:space="preserve">the Court does not accept </w:t>
      </w:r>
      <w:r w:rsidRPr="00012C3F">
        <w:rPr>
          <w:sz w:val="20"/>
          <w:szCs w:val="20"/>
          <w:lang w:val="en-US"/>
        </w:rPr>
        <w:t xml:space="preserve">the State’s argument that the human rights violations alleged by the representative are inadmissible, because the presumed victim and her representative are authorized to invoke the violations of rights other than those established in the Merits Report, provided they conform to the factual framework established by </w:t>
      </w:r>
      <w:r w:rsidR="001254DE" w:rsidRPr="00012C3F">
        <w:rPr>
          <w:sz w:val="20"/>
          <w:szCs w:val="20"/>
          <w:lang w:val="en-US"/>
        </w:rPr>
        <w:t xml:space="preserve">the </w:t>
      </w:r>
      <w:r w:rsidR="00A84CA0" w:rsidRPr="00012C3F">
        <w:rPr>
          <w:sz w:val="20"/>
          <w:szCs w:val="20"/>
          <w:lang w:val="en-US"/>
        </w:rPr>
        <w:t>Commission</w:t>
      </w:r>
      <w:r w:rsidR="00A93967" w:rsidRPr="00012C3F">
        <w:rPr>
          <w:sz w:val="20"/>
          <w:szCs w:val="20"/>
          <w:lang w:val="en-US"/>
        </w:rPr>
        <w:t xml:space="preserve">. </w:t>
      </w:r>
      <w:r w:rsidRPr="00012C3F">
        <w:rPr>
          <w:sz w:val="20"/>
          <w:szCs w:val="20"/>
          <w:lang w:val="en-US"/>
        </w:rPr>
        <w:t xml:space="preserve">In the case of the </w:t>
      </w:r>
      <w:r w:rsidR="00972ACF" w:rsidRPr="00012C3F">
        <w:rPr>
          <w:sz w:val="20"/>
          <w:szCs w:val="20"/>
          <w:lang w:val="en-US"/>
        </w:rPr>
        <w:t>representative</w:t>
      </w:r>
      <w:r w:rsidRPr="00012C3F">
        <w:rPr>
          <w:sz w:val="20"/>
          <w:szCs w:val="20"/>
          <w:lang w:val="en-US"/>
        </w:rPr>
        <w:t>’s arguments concerning</w:t>
      </w:r>
      <w:r w:rsidR="00A93967" w:rsidRPr="00012C3F">
        <w:rPr>
          <w:sz w:val="20"/>
          <w:szCs w:val="20"/>
          <w:lang w:val="en-US"/>
        </w:rPr>
        <w:t xml:space="preserve"> </w:t>
      </w:r>
      <w:r w:rsidR="001254DE" w:rsidRPr="00012C3F">
        <w:rPr>
          <w:rFonts w:eastAsia="Verdana" w:cs="Verdana"/>
          <w:sz w:val="20"/>
          <w:szCs w:val="20"/>
          <w:lang w:val="en-US"/>
        </w:rPr>
        <w:t>Article</w:t>
      </w:r>
      <w:r w:rsidR="00A93967" w:rsidRPr="00012C3F">
        <w:rPr>
          <w:rFonts w:eastAsia="Verdana" w:cs="Verdana"/>
          <w:sz w:val="20"/>
          <w:szCs w:val="20"/>
          <w:lang w:val="en-US"/>
        </w:rPr>
        <w:t xml:space="preserve"> 5 </w:t>
      </w:r>
      <w:r w:rsidRPr="00012C3F">
        <w:rPr>
          <w:rFonts w:eastAsia="Verdana" w:cs="Verdana"/>
          <w:sz w:val="20"/>
          <w:szCs w:val="20"/>
          <w:lang w:val="en-US"/>
        </w:rPr>
        <w:t>in relation to</w:t>
      </w:r>
      <w:r w:rsidR="00A93967" w:rsidRPr="00012C3F">
        <w:rPr>
          <w:rFonts w:eastAsia="Verdana" w:cs="Verdana"/>
          <w:sz w:val="20"/>
          <w:szCs w:val="20"/>
          <w:lang w:val="en-US"/>
        </w:rPr>
        <w:t xml:space="preserve"> </w:t>
      </w:r>
      <w:r w:rsidR="001254DE" w:rsidRPr="00012C3F">
        <w:rPr>
          <w:rFonts w:eastAsia="Verdana" w:cs="Verdana"/>
          <w:sz w:val="20"/>
          <w:szCs w:val="20"/>
          <w:lang w:val="en-US"/>
        </w:rPr>
        <w:t>Articles</w:t>
      </w:r>
      <w:r w:rsidR="00A93967" w:rsidRPr="00012C3F">
        <w:rPr>
          <w:rFonts w:eastAsia="Verdana" w:cs="Verdana"/>
          <w:sz w:val="20"/>
          <w:szCs w:val="20"/>
          <w:lang w:val="en-US"/>
        </w:rPr>
        <w:t xml:space="preserve"> </w:t>
      </w:r>
      <w:r w:rsidR="005E5012" w:rsidRPr="00012C3F">
        <w:rPr>
          <w:rFonts w:eastAsia="Verdana" w:cs="Verdana"/>
          <w:sz w:val="20"/>
          <w:szCs w:val="20"/>
          <w:lang w:val="en-US"/>
        </w:rPr>
        <w:t xml:space="preserve">1(1) and </w:t>
      </w:r>
      <w:r w:rsidR="00A93967" w:rsidRPr="00012C3F">
        <w:rPr>
          <w:rFonts w:eastAsia="Verdana" w:cs="Verdana"/>
          <w:sz w:val="20"/>
          <w:szCs w:val="20"/>
          <w:lang w:val="en-US"/>
        </w:rPr>
        <w:t>19</w:t>
      </w:r>
      <w:r w:rsidR="001254DE" w:rsidRPr="00012C3F">
        <w:rPr>
          <w:rFonts w:eastAsia="Verdana" w:cs="Verdana"/>
          <w:sz w:val="20"/>
          <w:szCs w:val="20"/>
          <w:lang w:val="en-US"/>
        </w:rPr>
        <w:t xml:space="preserve"> of the Convention</w:t>
      </w:r>
      <w:r w:rsidR="000F35F9" w:rsidRPr="00012C3F">
        <w:rPr>
          <w:rFonts w:eastAsia="Verdana" w:cs="Verdana"/>
          <w:sz w:val="20"/>
          <w:szCs w:val="20"/>
          <w:lang w:val="en-US"/>
        </w:rPr>
        <w:t xml:space="preserve"> </w:t>
      </w:r>
      <w:r w:rsidRPr="00012C3F">
        <w:rPr>
          <w:rFonts w:eastAsia="Verdana" w:cs="Verdana"/>
          <w:sz w:val="20"/>
          <w:szCs w:val="20"/>
          <w:lang w:val="en-US"/>
        </w:rPr>
        <w:t>with regard to</w:t>
      </w:r>
      <w:r w:rsidR="00A93967" w:rsidRPr="00012C3F">
        <w:rPr>
          <w:rFonts w:eastAsia="Verdana" w:cs="Verdana"/>
          <w:sz w:val="20"/>
          <w:szCs w:val="20"/>
          <w:lang w:val="en-US"/>
        </w:rPr>
        <w:t xml:space="preserve"> </w:t>
      </w:r>
      <w:r w:rsidR="000E1C11" w:rsidRPr="00012C3F">
        <w:rPr>
          <w:rFonts w:eastAsia="Verdana" w:cs="Verdana"/>
          <w:sz w:val="20"/>
          <w:szCs w:val="20"/>
          <w:lang w:val="en-US"/>
        </w:rPr>
        <w:t>N.V.</w:t>
      </w:r>
      <w:r w:rsidR="005E5012" w:rsidRPr="00012C3F">
        <w:rPr>
          <w:rFonts w:eastAsia="Verdana" w:cs="Verdana"/>
          <w:sz w:val="20"/>
          <w:szCs w:val="20"/>
          <w:lang w:val="en-US"/>
        </w:rPr>
        <w:t xml:space="preserve"> and </w:t>
      </w:r>
      <w:r w:rsidR="00A93967" w:rsidRPr="00012C3F">
        <w:rPr>
          <w:rFonts w:eastAsia="Verdana" w:cs="Verdana"/>
          <w:sz w:val="20"/>
          <w:szCs w:val="20"/>
          <w:lang w:val="en-US"/>
        </w:rPr>
        <w:t>L.A</w:t>
      </w:r>
      <w:r w:rsidR="000F35F9" w:rsidRPr="00012C3F">
        <w:rPr>
          <w:rFonts w:eastAsia="Verdana" w:cs="Verdana"/>
          <w:sz w:val="20"/>
          <w:szCs w:val="20"/>
          <w:lang w:val="en-US"/>
        </w:rPr>
        <w:t>.</w:t>
      </w:r>
      <w:r w:rsidR="00A93967" w:rsidRPr="00012C3F">
        <w:rPr>
          <w:rFonts w:eastAsia="Verdana" w:cs="Verdana"/>
          <w:sz w:val="20"/>
          <w:szCs w:val="20"/>
          <w:lang w:val="en-US"/>
        </w:rPr>
        <w:t xml:space="preserve">, </w:t>
      </w:r>
      <w:r w:rsidR="001254DE" w:rsidRPr="00012C3F">
        <w:rPr>
          <w:rFonts w:eastAsia="Verdana" w:cs="Verdana"/>
          <w:sz w:val="20"/>
          <w:szCs w:val="20"/>
          <w:lang w:val="en-US"/>
        </w:rPr>
        <w:t>the Court</w:t>
      </w:r>
      <w:r w:rsidR="00A93967" w:rsidRPr="00012C3F">
        <w:rPr>
          <w:sz w:val="20"/>
          <w:szCs w:val="20"/>
          <w:lang w:val="en-US"/>
        </w:rPr>
        <w:t xml:space="preserve"> </w:t>
      </w:r>
      <w:r w:rsidRPr="00012C3F">
        <w:rPr>
          <w:sz w:val="20"/>
          <w:szCs w:val="20"/>
          <w:lang w:val="en-US"/>
        </w:rPr>
        <w:t xml:space="preserve">finds that they are not admissible, because the latter are not considered presumed victims </w:t>
      </w:r>
      <w:r w:rsidR="006C705C" w:rsidRPr="00012C3F">
        <w:rPr>
          <w:rFonts w:eastAsia="Verdana" w:cs="Verdana"/>
          <w:sz w:val="20"/>
          <w:szCs w:val="20"/>
          <w:lang w:val="en-US"/>
        </w:rPr>
        <w:t>in this case</w:t>
      </w:r>
      <w:r w:rsidR="00A93967" w:rsidRPr="00012C3F">
        <w:rPr>
          <w:rFonts w:eastAsia="Verdana" w:cs="Verdana"/>
          <w:sz w:val="20"/>
          <w:szCs w:val="20"/>
          <w:lang w:val="en-US"/>
        </w:rPr>
        <w:t xml:space="preserve"> (</w:t>
      </w:r>
      <w:r w:rsidR="00A93967" w:rsidRPr="00012C3F">
        <w:rPr>
          <w:rFonts w:eastAsia="Verdana" w:cs="Verdana"/>
          <w:i/>
          <w:sz w:val="20"/>
          <w:szCs w:val="20"/>
          <w:lang w:val="en-US"/>
        </w:rPr>
        <w:t xml:space="preserve">supra </w:t>
      </w:r>
      <w:r w:rsidR="00370DD4" w:rsidRPr="00012C3F">
        <w:rPr>
          <w:rFonts w:eastAsia="Verdana" w:cs="Verdana"/>
          <w:sz w:val="20"/>
          <w:szCs w:val="20"/>
          <w:lang w:val="en-US"/>
        </w:rPr>
        <w:t>para.</w:t>
      </w:r>
      <w:r w:rsidR="00A93967" w:rsidRPr="00012C3F">
        <w:rPr>
          <w:rFonts w:eastAsia="Verdana" w:cs="Verdana"/>
          <w:i/>
          <w:sz w:val="20"/>
          <w:szCs w:val="20"/>
          <w:lang w:val="en-US"/>
        </w:rPr>
        <w:t xml:space="preserve"> </w:t>
      </w:r>
      <w:r w:rsidR="009B607B" w:rsidRPr="00012C3F">
        <w:rPr>
          <w:rFonts w:eastAsia="Verdana" w:cs="Verdana"/>
          <w:sz w:val="20"/>
          <w:szCs w:val="20"/>
          <w:lang w:val="en-US"/>
        </w:rPr>
        <w:t>43).</w:t>
      </w:r>
    </w:p>
    <w:p w14:paraId="141863A3" w14:textId="77777777" w:rsidR="007A1A14" w:rsidRPr="00012C3F" w:rsidRDefault="007A1A14" w:rsidP="007A1A14">
      <w:pPr>
        <w:spacing w:line="240" w:lineRule="auto"/>
        <w:rPr>
          <w:sz w:val="20"/>
          <w:szCs w:val="20"/>
          <w:lang w:val="en-US"/>
        </w:rPr>
      </w:pPr>
    </w:p>
    <w:p w14:paraId="06B313A6" w14:textId="77777777" w:rsidR="007A1A14" w:rsidRPr="00012C3F" w:rsidRDefault="007A1A14" w:rsidP="007A1A14">
      <w:pPr>
        <w:keepNext/>
        <w:keepLines/>
        <w:tabs>
          <w:tab w:val="left" w:pos="851"/>
        </w:tabs>
        <w:spacing w:line="240" w:lineRule="auto"/>
        <w:jc w:val="center"/>
        <w:outlineLvl w:val="0"/>
        <w:rPr>
          <w:rFonts w:cs="Verdana"/>
          <w:b/>
          <w:bCs/>
          <w:caps/>
          <w:snapToGrid w:val="0"/>
          <w:sz w:val="20"/>
          <w:szCs w:val="20"/>
          <w:lang w:val="en-US"/>
        </w:rPr>
      </w:pPr>
      <w:bookmarkStart w:id="63" w:name="_Toc375517114"/>
      <w:bookmarkStart w:id="64" w:name="_Toc459158102"/>
      <w:bookmarkStart w:id="65" w:name="_Toc27486830"/>
      <w:r w:rsidRPr="00012C3F">
        <w:rPr>
          <w:rFonts w:cs="Verdana"/>
          <w:b/>
          <w:bCs/>
          <w:caps/>
          <w:snapToGrid w:val="0"/>
          <w:sz w:val="20"/>
          <w:szCs w:val="20"/>
          <w:lang w:val="en-US"/>
        </w:rPr>
        <w:t>V</w:t>
      </w:r>
      <w:r w:rsidR="00A93967" w:rsidRPr="00012C3F">
        <w:rPr>
          <w:rFonts w:cs="Verdana"/>
          <w:b/>
          <w:bCs/>
          <w:caps/>
          <w:snapToGrid w:val="0"/>
          <w:sz w:val="20"/>
          <w:szCs w:val="20"/>
          <w:lang w:val="en-US"/>
        </w:rPr>
        <w:t>I</w:t>
      </w:r>
      <w:r w:rsidRPr="00012C3F">
        <w:rPr>
          <w:rFonts w:cs="Verdana"/>
          <w:b/>
          <w:bCs/>
          <w:caps/>
          <w:snapToGrid w:val="0"/>
          <w:sz w:val="20"/>
          <w:szCs w:val="20"/>
          <w:lang w:val="en-US"/>
        </w:rPr>
        <w:br/>
      </w:r>
      <w:r w:rsidR="006C705C" w:rsidRPr="00012C3F">
        <w:rPr>
          <w:rFonts w:cs="Verdana"/>
          <w:b/>
          <w:bCs/>
          <w:caps/>
          <w:snapToGrid w:val="0"/>
          <w:sz w:val="20"/>
          <w:szCs w:val="20"/>
          <w:lang w:val="en-US"/>
        </w:rPr>
        <w:t>EVIDENCE</w:t>
      </w:r>
      <w:bookmarkEnd w:id="63"/>
      <w:bookmarkEnd w:id="64"/>
      <w:bookmarkEnd w:id="65"/>
    </w:p>
    <w:p w14:paraId="1F0579F5" w14:textId="77777777" w:rsidR="007A1A14" w:rsidRPr="00012C3F" w:rsidRDefault="007A1A14" w:rsidP="007A1A14">
      <w:pPr>
        <w:tabs>
          <w:tab w:val="left" w:pos="720"/>
          <w:tab w:val="num" w:pos="1569"/>
        </w:tabs>
        <w:spacing w:line="240" w:lineRule="auto"/>
        <w:ind w:right="-90"/>
        <w:rPr>
          <w:rFonts w:cs="Verdana"/>
          <w:caps/>
          <w:snapToGrid w:val="0"/>
          <w:sz w:val="20"/>
          <w:szCs w:val="20"/>
          <w:lang w:val="en-US"/>
        </w:rPr>
      </w:pPr>
    </w:p>
    <w:p w14:paraId="30247DC1" w14:textId="77777777" w:rsidR="007A1A14" w:rsidRPr="00012C3F" w:rsidRDefault="00B9662E" w:rsidP="00B9662E">
      <w:pPr>
        <w:numPr>
          <w:ilvl w:val="0"/>
          <w:numId w:val="5"/>
        </w:numPr>
        <w:tabs>
          <w:tab w:val="left" w:pos="720"/>
          <w:tab w:val="num" w:pos="12305"/>
        </w:tabs>
        <w:spacing w:line="240" w:lineRule="auto"/>
        <w:ind w:left="0" w:firstLine="0"/>
        <w:rPr>
          <w:rFonts w:cs="Verdana"/>
          <w:sz w:val="20"/>
          <w:szCs w:val="20"/>
          <w:lang w:val="en-US"/>
        </w:rPr>
      </w:pPr>
      <w:r w:rsidRPr="00012C3F">
        <w:rPr>
          <w:sz w:val="20"/>
          <w:szCs w:val="20"/>
          <w:lang w:val="en-US"/>
        </w:rPr>
        <w:t>Based on the provisions of</w:t>
      </w:r>
      <w:r w:rsidR="007A1A14" w:rsidRPr="00012C3F">
        <w:rPr>
          <w:sz w:val="20"/>
          <w:szCs w:val="20"/>
          <w:lang w:val="en-US"/>
        </w:rPr>
        <w:t xml:space="preserve"> </w:t>
      </w:r>
      <w:r w:rsidR="001254DE" w:rsidRPr="00012C3F">
        <w:rPr>
          <w:sz w:val="20"/>
          <w:szCs w:val="20"/>
          <w:lang w:val="en-US"/>
        </w:rPr>
        <w:t>Articles</w:t>
      </w:r>
      <w:r w:rsidR="007A1A14" w:rsidRPr="00012C3F">
        <w:rPr>
          <w:sz w:val="20"/>
          <w:szCs w:val="20"/>
          <w:lang w:val="en-US"/>
        </w:rPr>
        <w:t xml:space="preserve"> 46</w:t>
      </w:r>
      <w:r w:rsidR="007A1A14" w:rsidRPr="00012C3F">
        <w:rPr>
          <w:rFonts w:cs="Verdana"/>
          <w:sz w:val="20"/>
          <w:szCs w:val="20"/>
          <w:lang w:val="en-US" w:eastAsia="en-US"/>
        </w:rPr>
        <w:t xml:space="preserve"> </w:t>
      </w:r>
      <w:r w:rsidRPr="00012C3F">
        <w:rPr>
          <w:rFonts w:cs="Verdana"/>
          <w:sz w:val="20"/>
          <w:szCs w:val="20"/>
          <w:lang w:val="en-US" w:eastAsia="en-US"/>
        </w:rPr>
        <w:t>to</w:t>
      </w:r>
      <w:r w:rsidR="007A1A14" w:rsidRPr="00012C3F">
        <w:rPr>
          <w:rFonts w:cs="Verdana"/>
          <w:sz w:val="20"/>
          <w:szCs w:val="20"/>
          <w:lang w:val="en-US" w:eastAsia="en-US"/>
        </w:rPr>
        <w:t xml:space="preserve"> 51</w:t>
      </w:r>
      <w:r w:rsidR="007A1A14" w:rsidRPr="00012C3F">
        <w:rPr>
          <w:sz w:val="20"/>
          <w:szCs w:val="20"/>
          <w:lang w:val="en-US"/>
        </w:rPr>
        <w:t>, 57</w:t>
      </w:r>
      <w:r w:rsidR="005E5012" w:rsidRPr="00012C3F">
        <w:rPr>
          <w:sz w:val="20"/>
          <w:szCs w:val="20"/>
          <w:lang w:val="en-US"/>
        </w:rPr>
        <w:t xml:space="preserve"> and </w:t>
      </w:r>
      <w:r w:rsidR="007A1A14" w:rsidRPr="00012C3F">
        <w:rPr>
          <w:sz w:val="20"/>
          <w:szCs w:val="20"/>
          <w:lang w:val="en-US"/>
        </w:rPr>
        <w:t>58</w:t>
      </w:r>
      <w:r w:rsidR="001254DE" w:rsidRPr="00012C3F">
        <w:rPr>
          <w:sz w:val="20"/>
          <w:szCs w:val="20"/>
          <w:lang w:val="en-US"/>
        </w:rPr>
        <w:t xml:space="preserve"> of the Rules of Procedure</w:t>
      </w:r>
      <w:r w:rsidR="007A1A14" w:rsidRPr="00012C3F">
        <w:rPr>
          <w:sz w:val="20"/>
          <w:szCs w:val="20"/>
          <w:lang w:val="en-US"/>
        </w:rPr>
        <w:t xml:space="preserve">, </w:t>
      </w:r>
      <w:r w:rsidR="001254DE" w:rsidRPr="00012C3F">
        <w:rPr>
          <w:sz w:val="20"/>
          <w:szCs w:val="20"/>
          <w:lang w:val="en-US"/>
        </w:rPr>
        <w:t>the Court</w:t>
      </w:r>
      <w:r w:rsidR="007A1A14" w:rsidRPr="00012C3F">
        <w:rPr>
          <w:sz w:val="20"/>
          <w:szCs w:val="20"/>
          <w:lang w:val="en-US"/>
        </w:rPr>
        <w:t xml:space="preserve"> </w:t>
      </w:r>
      <w:r w:rsidR="009B3C96" w:rsidRPr="00012C3F">
        <w:rPr>
          <w:sz w:val="20"/>
          <w:szCs w:val="20"/>
          <w:lang w:val="en-US"/>
        </w:rPr>
        <w:t xml:space="preserve">will examine the admissibility of the documentary evidence forwarded by the parties on different procedural occasions, the statements, testimony and expert opinions  provided by affidavit and during the </w:t>
      </w:r>
      <w:r w:rsidR="00B257AF" w:rsidRPr="00012C3F">
        <w:rPr>
          <w:rFonts w:cs="Verdana"/>
          <w:sz w:val="20"/>
          <w:szCs w:val="20"/>
          <w:lang w:val="en-US"/>
        </w:rPr>
        <w:t>public hearing</w:t>
      </w:r>
      <w:r w:rsidR="007A1A14" w:rsidRPr="00012C3F">
        <w:rPr>
          <w:rFonts w:cs="Verdana"/>
          <w:sz w:val="20"/>
          <w:szCs w:val="20"/>
          <w:lang w:val="en-US"/>
        </w:rPr>
        <w:t>, a</w:t>
      </w:r>
      <w:r w:rsidR="009B3C96" w:rsidRPr="00012C3F">
        <w:rPr>
          <w:rFonts w:cs="Verdana"/>
          <w:sz w:val="20"/>
          <w:szCs w:val="20"/>
          <w:lang w:val="en-US"/>
        </w:rPr>
        <w:t xml:space="preserve">nd also the helpful evidence requested by </w:t>
      </w:r>
      <w:r w:rsidR="001254DE" w:rsidRPr="00012C3F">
        <w:rPr>
          <w:rFonts w:cs="Verdana"/>
          <w:sz w:val="20"/>
          <w:szCs w:val="20"/>
          <w:lang w:val="en-US"/>
        </w:rPr>
        <w:t>the Court</w:t>
      </w:r>
      <w:r w:rsidR="007A1A14" w:rsidRPr="00012C3F">
        <w:rPr>
          <w:rFonts w:cs="Verdana"/>
          <w:sz w:val="20"/>
          <w:szCs w:val="20"/>
          <w:lang w:val="en-US"/>
        </w:rPr>
        <w:t>.</w:t>
      </w:r>
    </w:p>
    <w:p w14:paraId="02F90F1D" w14:textId="77777777" w:rsidR="007A1A14" w:rsidRPr="00012C3F" w:rsidRDefault="007A1A14" w:rsidP="007A1A14">
      <w:pPr>
        <w:spacing w:line="240" w:lineRule="auto"/>
        <w:rPr>
          <w:sz w:val="20"/>
          <w:szCs w:val="20"/>
          <w:lang w:val="en-US"/>
        </w:rPr>
      </w:pPr>
    </w:p>
    <w:p w14:paraId="27C56F47" w14:textId="77777777" w:rsidR="007A1A14" w:rsidRPr="00012C3F" w:rsidRDefault="007A1A14" w:rsidP="007A1A14">
      <w:pPr>
        <w:keepNext/>
        <w:keepLines/>
        <w:tabs>
          <w:tab w:val="left" w:pos="1134"/>
        </w:tabs>
        <w:spacing w:line="240" w:lineRule="auto"/>
        <w:ind w:left="567" w:firstLine="1"/>
        <w:outlineLvl w:val="1"/>
        <w:rPr>
          <w:rFonts w:eastAsia="MS Mincho"/>
          <w:b/>
          <w:bCs/>
          <w:i/>
          <w:sz w:val="20"/>
          <w:szCs w:val="20"/>
          <w:lang w:val="en-US"/>
        </w:rPr>
      </w:pPr>
      <w:bookmarkStart w:id="66" w:name="_Toc375517115"/>
      <w:bookmarkStart w:id="67" w:name="_Toc459158103"/>
      <w:bookmarkStart w:id="68" w:name="_Toc27486831"/>
      <w:r w:rsidRPr="00012C3F">
        <w:rPr>
          <w:rFonts w:eastAsia="MS Mincho"/>
          <w:b/>
          <w:bCs/>
          <w:i/>
          <w:sz w:val="20"/>
          <w:szCs w:val="20"/>
          <w:lang w:val="en-US"/>
        </w:rPr>
        <w:t>A.</w:t>
      </w:r>
      <w:r w:rsidRPr="00012C3F">
        <w:rPr>
          <w:rFonts w:eastAsia="MS Mincho"/>
          <w:b/>
          <w:bCs/>
          <w:i/>
          <w:sz w:val="20"/>
          <w:szCs w:val="20"/>
          <w:lang w:val="en-US"/>
        </w:rPr>
        <w:tab/>
      </w:r>
      <w:r w:rsidR="006C705C" w:rsidRPr="00012C3F">
        <w:rPr>
          <w:rFonts w:eastAsia="MS Mincho"/>
          <w:b/>
          <w:bCs/>
          <w:i/>
          <w:sz w:val="20"/>
          <w:szCs w:val="20"/>
          <w:lang w:val="en-US"/>
        </w:rPr>
        <w:t>Documentary, testimonial and expert evidence</w:t>
      </w:r>
      <w:bookmarkEnd w:id="66"/>
      <w:bookmarkEnd w:id="67"/>
      <w:bookmarkEnd w:id="68"/>
    </w:p>
    <w:p w14:paraId="5C4AC2EC" w14:textId="77777777" w:rsidR="007A1A14" w:rsidRPr="00012C3F" w:rsidRDefault="007A1A14" w:rsidP="007A1A14">
      <w:pPr>
        <w:widowControl/>
        <w:tabs>
          <w:tab w:val="left" w:pos="567"/>
        </w:tabs>
        <w:autoSpaceDE w:val="0"/>
        <w:autoSpaceDN w:val="0"/>
        <w:adjustRightInd/>
        <w:spacing w:line="240" w:lineRule="auto"/>
        <w:textAlignment w:val="auto"/>
        <w:rPr>
          <w:rFonts w:cs="Verdana"/>
          <w:sz w:val="20"/>
          <w:szCs w:val="20"/>
          <w:lang w:val="en-US" w:eastAsia="en-US"/>
        </w:rPr>
      </w:pPr>
    </w:p>
    <w:p w14:paraId="3B24B732" w14:textId="77777777" w:rsidR="007A1A14" w:rsidRPr="00012C3F" w:rsidRDefault="001254DE" w:rsidP="006B7531">
      <w:pPr>
        <w:numPr>
          <w:ilvl w:val="0"/>
          <w:numId w:val="5"/>
        </w:numPr>
        <w:tabs>
          <w:tab w:val="left" w:pos="567"/>
          <w:tab w:val="num" w:pos="12305"/>
        </w:tabs>
        <w:spacing w:line="240" w:lineRule="auto"/>
        <w:ind w:left="0" w:firstLine="0"/>
        <w:rPr>
          <w:rFonts w:cs="Verdana"/>
          <w:sz w:val="20"/>
          <w:szCs w:val="20"/>
          <w:lang w:val="en-US" w:eastAsia="en-US"/>
        </w:rPr>
      </w:pPr>
      <w:r w:rsidRPr="00012C3F">
        <w:rPr>
          <w:sz w:val="20"/>
          <w:szCs w:val="20"/>
          <w:lang w:val="en-US"/>
        </w:rPr>
        <w:t>The Court</w:t>
      </w:r>
      <w:r w:rsidR="007A1A14" w:rsidRPr="00012C3F">
        <w:rPr>
          <w:sz w:val="20"/>
          <w:szCs w:val="20"/>
          <w:lang w:val="en-US"/>
        </w:rPr>
        <w:t xml:space="preserve"> rec</w:t>
      </w:r>
      <w:r w:rsidR="009B3C96" w:rsidRPr="00012C3F">
        <w:rPr>
          <w:sz w:val="20"/>
          <w:szCs w:val="20"/>
          <w:lang w:val="en-US"/>
        </w:rPr>
        <w:t xml:space="preserve">eived diverse documents presented as evidence by </w:t>
      </w:r>
      <w:r w:rsidR="00A84CA0" w:rsidRPr="00012C3F">
        <w:rPr>
          <w:sz w:val="20"/>
          <w:szCs w:val="20"/>
          <w:lang w:val="en-US"/>
        </w:rPr>
        <w:t>the State</w:t>
      </w:r>
      <w:r w:rsidR="007A1A14" w:rsidRPr="00012C3F">
        <w:rPr>
          <w:sz w:val="20"/>
          <w:szCs w:val="20"/>
          <w:lang w:val="en-US"/>
        </w:rPr>
        <w:t xml:space="preserve">, </w:t>
      </w:r>
      <w:r w:rsidR="00972ACF" w:rsidRPr="00012C3F">
        <w:rPr>
          <w:sz w:val="20"/>
          <w:szCs w:val="20"/>
          <w:lang w:val="en-US"/>
        </w:rPr>
        <w:t>the representative</w:t>
      </w:r>
      <w:r w:rsidR="005E5012" w:rsidRPr="00012C3F">
        <w:rPr>
          <w:sz w:val="20"/>
          <w:szCs w:val="20"/>
          <w:lang w:val="en-US"/>
        </w:rPr>
        <w:t xml:space="preserve"> and </w:t>
      </w:r>
      <w:r w:rsidRPr="00012C3F">
        <w:rPr>
          <w:sz w:val="20"/>
          <w:szCs w:val="20"/>
          <w:lang w:val="en-US"/>
        </w:rPr>
        <w:t xml:space="preserve">the Inter-American </w:t>
      </w:r>
      <w:r w:rsidR="00A84CA0" w:rsidRPr="00012C3F">
        <w:rPr>
          <w:sz w:val="20"/>
          <w:szCs w:val="20"/>
          <w:lang w:val="en-US"/>
        </w:rPr>
        <w:t>Commission</w:t>
      </w:r>
      <w:r w:rsidR="009B3C96" w:rsidRPr="00012C3F">
        <w:rPr>
          <w:sz w:val="20"/>
          <w:szCs w:val="20"/>
          <w:lang w:val="en-US"/>
        </w:rPr>
        <w:t xml:space="preserve"> attached to their main briefs and final arguments </w:t>
      </w:r>
      <w:r w:rsidR="007A1A14" w:rsidRPr="00012C3F">
        <w:rPr>
          <w:sz w:val="20"/>
          <w:szCs w:val="20"/>
          <w:lang w:val="en-US"/>
        </w:rPr>
        <w:t>(</w:t>
      </w:r>
      <w:r w:rsidR="007A1A14" w:rsidRPr="00012C3F">
        <w:rPr>
          <w:i/>
          <w:sz w:val="20"/>
          <w:szCs w:val="20"/>
          <w:lang w:val="en-US"/>
        </w:rPr>
        <w:t>supra</w:t>
      </w:r>
      <w:r w:rsidR="007A1A14" w:rsidRPr="00012C3F">
        <w:rPr>
          <w:sz w:val="20"/>
          <w:szCs w:val="20"/>
          <w:lang w:val="en-US"/>
        </w:rPr>
        <w:t xml:space="preserve"> </w:t>
      </w:r>
      <w:r w:rsidR="00370DD4" w:rsidRPr="00012C3F">
        <w:rPr>
          <w:sz w:val="20"/>
          <w:szCs w:val="20"/>
          <w:lang w:val="en-US"/>
        </w:rPr>
        <w:t>paras.</w:t>
      </w:r>
      <w:r w:rsidR="007A1A14" w:rsidRPr="00012C3F">
        <w:rPr>
          <w:sz w:val="20"/>
          <w:szCs w:val="20"/>
          <w:lang w:val="en-US"/>
        </w:rPr>
        <w:t xml:space="preserve"> 1, 5, 6</w:t>
      </w:r>
      <w:r w:rsidR="005E5012" w:rsidRPr="00012C3F">
        <w:rPr>
          <w:sz w:val="20"/>
          <w:szCs w:val="20"/>
          <w:lang w:val="en-US"/>
        </w:rPr>
        <w:t xml:space="preserve"> and </w:t>
      </w:r>
      <w:r w:rsidR="007A1A14" w:rsidRPr="00012C3F">
        <w:rPr>
          <w:sz w:val="20"/>
          <w:szCs w:val="20"/>
          <w:lang w:val="en-US"/>
        </w:rPr>
        <w:t xml:space="preserve">11). </w:t>
      </w:r>
      <w:r w:rsidR="009B3C96" w:rsidRPr="00012C3F">
        <w:rPr>
          <w:sz w:val="20"/>
          <w:szCs w:val="20"/>
          <w:lang w:val="en-US"/>
        </w:rPr>
        <w:t>The</w:t>
      </w:r>
      <w:r w:rsidRPr="00012C3F">
        <w:rPr>
          <w:sz w:val="20"/>
          <w:szCs w:val="20"/>
          <w:lang w:val="en-US"/>
        </w:rPr>
        <w:t xml:space="preserve"> Court</w:t>
      </w:r>
      <w:r w:rsidR="007A1A14" w:rsidRPr="00012C3F">
        <w:rPr>
          <w:sz w:val="20"/>
          <w:szCs w:val="20"/>
          <w:lang w:val="en-US"/>
        </w:rPr>
        <w:t xml:space="preserve"> </w:t>
      </w:r>
      <w:r w:rsidR="009B3C96" w:rsidRPr="00012C3F">
        <w:rPr>
          <w:sz w:val="20"/>
          <w:szCs w:val="20"/>
          <w:lang w:val="en-US"/>
        </w:rPr>
        <w:t xml:space="preserve">also received the affidavits prepared by </w:t>
      </w:r>
      <w:r w:rsidR="000E1C11" w:rsidRPr="00012C3F">
        <w:rPr>
          <w:sz w:val="20"/>
          <w:szCs w:val="20"/>
          <w:lang w:val="en-US"/>
        </w:rPr>
        <w:t>N.V.</w:t>
      </w:r>
      <w:r w:rsidR="007A1A14" w:rsidRPr="00012C3F">
        <w:rPr>
          <w:sz w:val="20"/>
          <w:szCs w:val="20"/>
          <w:lang w:val="en-US"/>
        </w:rPr>
        <w:t>, Andre Alois Frederic Gautier, Emma Bolshia Bravo Cladera</w:t>
      </w:r>
      <w:r w:rsidR="005E5012" w:rsidRPr="00012C3F">
        <w:rPr>
          <w:sz w:val="20"/>
          <w:szCs w:val="20"/>
          <w:lang w:val="en-US"/>
        </w:rPr>
        <w:t xml:space="preserve"> and </w:t>
      </w:r>
      <w:r w:rsidR="007A1A14" w:rsidRPr="00012C3F">
        <w:rPr>
          <w:sz w:val="20"/>
          <w:szCs w:val="20"/>
          <w:lang w:val="en-US"/>
        </w:rPr>
        <w:t xml:space="preserve">Marco Vladimir Vargas Terrazas. </w:t>
      </w:r>
      <w:r w:rsidR="009B3C96" w:rsidRPr="00012C3F">
        <w:rPr>
          <w:sz w:val="20"/>
          <w:szCs w:val="20"/>
          <w:lang w:val="en-US"/>
        </w:rPr>
        <w:t xml:space="preserve">In addition, it received the opinions of expert witnesses </w:t>
      </w:r>
      <w:r w:rsidR="007A1A14" w:rsidRPr="00012C3F">
        <w:rPr>
          <w:sz w:val="20"/>
          <w:szCs w:val="20"/>
          <w:lang w:val="en-US"/>
        </w:rPr>
        <w:t>Ana G. Cepin</w:t>
      </w:r>
      <w:r w:rsidR="007A1A14" w:rsidRPr="00012C3F">
        <w:rPr>
          <w:rStyle w:val="Refdenotaalpie"/>
          <w:rFonts w:eastAsia="Calibri"/>
          <w:sz w:val="20"/>
          <w:szCs w:val="20"/>
          <w:lang w:val="en-US"/>
        </w:rPr>
        <w:footnoteReference w:id="27"/>
      </w:r>
      <w:r w:rsidR="005E5012" w:rsidRPr="00012C3F">
        <w:rPr>
          <w:sz w:val="20"/>
          <w:szCs w:val="20"/>
          <w:lang w:val="en-US"/>
        </w:rPr>
        <w:t xml:space="preserve"> and </w:t>
      </w:r>
      <w:r w:rsidR="007A1A14" w:rsidRPr="00012C3F">
        <w:rPr>
          <w:sz w:val="20"/>
          <w:szCs w:val="20"/>
          <w:lang w:val="en-US"/>
        </w:rPr>
        <w:t xml:space="preserve">Luisa Cabal. </w:t>
      </w:r>
      <w:r w:rsidR="009B3C96" w:rsidRPr="00012C3F">
        <w:rPr>
          <w:sz w:val="20"/>
          <w:szCs w:val="20"/>
          <w:lang w:val="en-US"/>
        </w:rPr>
        <w:t xml:space="preserve">Regarding the evidence provided at the </w:t>
      </w:r>
      <w:r w:rsidR="00B257AF" w:rsidRPr="00012C3F">
        <w:rPr>
          <w:sz w:val="20"/>
          <w:szCs w:val="20"/>
          <w:lang w:val="en-US"/>
        </w:rPr>
        <w:t>public hearing</w:t>
      </w:r>
      <w:r w:rsidR="007A1A14" w:rsidRPr="00012C3F">
        <w:rPr>
          <w:sz w:val="20"/>
          <w:szCs w:val="20"/>
          <w:lang w:val="en-US"/>
        </w:rPr>
        <w:t xml:space="preserve">, </w:t>
      </w:r>
      <w:r w:rsidRPr="00012C3F">
        <w:rPr>
          <w:sz w:val="20"/>
          <w:szCs w:val="20"/>
          <w:lang w:val="en-US"/>
        </w:rPr>
        <w:t>the Court</w:t>
      </w:r>
      <w:r w:rsidR="007A1A14" w:rsidRPr="00012C3F">
        <w:rPr>
          <w:sz w:val="20"/>
          <w:szCs w:val="20"/>
          <w:lang w:val="en-US"/>
        </w:rPr>
        <w:t xml:space="preserve"> rec</w:t>
      </w:r>
      <w:r w:rsidR="009B3C96" w:rsidRPr="00012C3F">
        <w:rPr>
          <w:sz w:val="20"/>
          <w:szCs w:val="20"/>
          <w:lang w:val="en-US"/>
        </w:rPr>
        <w:t xml:space="preserve">eived the statements </w:t>
      </w:r>
      <w:r w:rsidR="00972ACF" w:rsidRPr="00012C3F">
        <w:rPr>
          <w:sz w:val="20"/>
          <w:szCs w:val="20"/>
          <w:lang w:val="en-US"/>
        </w:rPr>
        <w:t xml:space="preserve">of the </w:t>
      </w:r>
      <w:r w:rsidR="00E00902" w:rsidRPr="00012C3F">
        <w:rPr>
          <w:sz w:val="20"/>
          <w:szCs w:val="20"/>
          <w:lang w:val="en-US"/>
        </w:rPr>
        <w:t>presumed victim</w:t>
      </w:r>
      <w:r w:rsidR="007A1A14" w:rsidRPr="00012C3F">
        <w:rPr>
          <w:sz w:val="20"/>
          <w:szCs w:val="20"/>
          <w:lang w:val="en-US"/>
        </w:rPr>
        <w:t xml:space="preserve"> </w:t>
      </w:r>
      <w:r w:rsidR="000E1C11" w:rsidRPr="00012C3F">
        <w:rPr>
          <w:rFonts w:cs="Arial"/>
          <w:iCs/>
          <w:sz w:val="20"/>
          <w:szCs w:val="20"/>
          <w:lang w:val="en-US"/>
        </w:rPr>
        <w:t>I.V.</w:t>
      </w:r>
      <w:r w:rsidR="007847DE" w:rsidRPr="00012C3F">
        <w:rPr>
          <w:rFonts w:cs="Arial"/>
          <w:iCs/>
          <w:sz w:val="20"/>
          <w:szCs w:val="20"/>
          <w:lang w:val="en-US"/>
        </w:rPr>
        <w:t>,</w:t>
      </w:r>
      <w:r w:rsidR="005E5012" w:rsidRPr="00012C3F">
        <w:rPr>
          <w:rFonts w:cs="Arial"/>
          <w:iCs/>
          <w:sz w:val="20"/>
          <w:szCs w:val="20"/>
          <w:lang w:val="en-US"/>
        </w:rPr>
        <w:t xml:space="preserve"> </w:t>
      </w:r>
      <w:r w:rsidR="009B3C96" w:rsidRPr="00012C3F">
        <w:rPr>
          <w:rFonts w:cs="Arial"/>
          <w:iCs/>
          <w:sz w:val="20"/>
          <w:szCs w:val="20"/>
          <w:lang w:val="en-US"/>
        </w:rPr>
        <w:t>the witness,</w:t>
      </w:r>
      <w:r w:rsidR="007A1A14" w:rsidRPr="00012C3F">
        <w:rPr>
          <w:rFonts w:cs="Arial"/>
          <w:iCs/>
          <w:sz w:val="20"/>
          <w:szCs w:val="20"/>
          <w:lang w:val="en-US"/>
        </w:rPr>
        <w:t xml:space="preserve"> Edgar Torrico Ameller, a</w:t>
      </w:r>
      <w:r w:rsidR="009B3C96" w:rsidRPr="00012C3F">
        <w:rPr>
          <w:rFonts w:cs="Arial"/>
          <w:iCs/>
          <w:sz w:val="20"/>
          <w:szCs w:val="20"/>
          <w:lang w:val="en-US"/>
        </w:rPr>
        <w:t xml:space="preserve">nd </w:t>
      </w:r>
      <w:r w:rsidR="009B3C96" w:rsidRPr="00012C3F">
        <w:rPr>
          <w:sz w:val="20"/>
          <w:szCs w:val="20"/>
          <w:lang w:val="en-US"/>
        </w:rPr>
        <w:t xml:space="preserve">expert witnesses </w:t>
      </w:r>
      <w:r w:rsidR="007A1A14" w:rsidRPr="00012C3F">
        <w:rPr>
          <w:rFonts w:cs="Arial"/>
          <w:iCs/>
          <w:sz w:val="20"/>
          <w:szCs w:val="20"/>
          <w:lang w:val="en-US"/>
        </w:rPr>
        <w:t>Christina Zampas</w:t>
      </w:r>
      <w:r w:rsidR="005E5012" w:rsidRPr="00012C3F">
        <w:rPr>
          <w:rFonts w:cs="Arial"/>
          <w:iCs/>
          <w:sz w:val="20"/>
          <w:szCs w:val="20"/>
          <w:lang w:val="en-US"/>
        </w:rPr>
        <w:t xml:space="preserve"> and </w:t>
      </w:r>
      <w:r w:rsidR="007A1A14" w:rsidRPr="00012C3F">
        <w:rPr>
          <w:rFonts w:cs="Arial"/>
          <w:iCs/>
          <w:sz w:val="20"/>
          <w:szCs w:val="20"/>
          <w:lang w:val="en-US"/>
        </w:rPr>
        <w:t>Erwin Hochstatter Arduz</w:t>
      </w:r>
      <w:r w:rsidR="007A1A14" w:rsidRPr="00012C3F">
        <w:rPr>
          <w:sz w:val="20"/>
          <w:szCs w:val="20"/>
          <w:lang w:val="en-US"/>
        </w:rPr>
        <w:t>.</w:t>
      </w:r>
    </w:p>
    <w:p w14:paraId="0A94BC61" w14:textId="77777777" w:rsidR="007A1A14" w:rsidRPr="00012C3F" w:rsidRDefault="007A1A14" w:rsidP="007A1A14">
      <w:pPr>
        <w:autoSpaceDE w:val="0"/>
        <w:autoSpaceDN w:val="0"/>
        <w:spacing w:line="240" w:lineRule="auto"/>
        <w:rPr>
          <w:sz w:val="20"/>
          <w:szCs w:val="20"/>
          <w:lang w:val="en-US"/>
        </w:rPr>
      </w:pPr>
    </w:p>
    <w:p w14:paraId="070B8618" w14:textId="77777777" w:rsidR="007A1A14" w:rsidRPr="00012C3F" w:rsidRDefault="007A1A14" w:rsidP="007A1A14">
      <w:pPr>
        <w:keepNext/>
        <w:keepLines/>
        <w:tabs>
          <w:tab w:val="left" w:pos="1134"/>
        </w:tabs>
        <w:spacing w:line="240" w:lineRule="auto"/>
        <w:ind w:left="567" w:firstLine="1"/>
        <w:outlineLvl w:val="1"/>
        <w:rPr>
          <w:rFonts w:eastAsia="MS Mincho"/>
          <w:b/>
          <w:bCs/>
          <w:i/>
          <w:sz w:val="20"/>
          <w:szCs w:val="20"/>
          <w:lang w:val="en-US"/>
        </w:rPr>
      </w:pPr>
      <w:bookmarkStart w:id="69" w:name="_Toc375517116"/>
      <w:bookmarkStart w:id="70" w:name="_Toc459158104"/>
      <w:bookmarkStart w:id="71" w:name="_Toc27486832"/>
      <w:r w:rsidRPr="00012C3F">
        <w:rPr>
          <w:rFonts w:eastAsia="MS Mincho"/>
          <w:b/>
          <w:bCs/>
          <w:i/>
          <w:sz w:val="20"/>
          <w:szCs w:val="20"/>
          <w:lang w:val="en-US"/>
        </w:rPr>
        <w:t xml:space="preserve">B. </w:t>
      </w:r>
      <w:r w:rsidRPr="00012C3F">
        <w:rPr>
          <w:rFonts w:eastAsia="MS Mincho"/>
          <w:b/>
          <w:bCs/>
          <w:i/>
          <w:sz w:val="20"/>
          <w:szCs w:val="20"/>
          <w:lang w:val="en-US"/>
        </w:rPr>
        <w:tab/>
      </w:r>
      <w:r w:rsidR="006C705C" w:rsidRPr="00012C3F">
        <w:rPr>
          <w:rFonts w:eastAsia="MS Mincho"/>
          <w:b/>
          <w:bCs/>
          <w:i/>
          <w:sz w:val="20"/>
          <w:szCs w:val="20"/>
          <w:lang w:val="en-US"/>
        </w:rPr>
        <w:t>Admission of the evidence</w:t>
      </w:r>
      <w:bookmarkEnd w:id="69"/>
      <w:bookmarkEnd w:id="70"/>
      <w:bookmarkEnd w:id="71"/>
    </w:p>
    <w:p w14:paraId="60240AAD" w14:textId="77777777" w:rsidR="007A1A14" w:rsidRPr="00012C3F" w:rsidRDefault="007A1A14" w:rsidP="007A1A14">
      <w:pPr>
        <w:spacing w:line="240" w:lineRule="auto"/>
        <w:rPr>
          <w:bCs/>
          <w:i/>
          <w:sz w:val="20"/>
          <w:szCs w:val="20"/>
          <w:lang w:val="en-US"/>
        </w:rPr>
      </w:pPr>
    </w:p>
    <w:p w14:paraId="61BA8562" w14:textId="77777777" w:rsidR="007A1A14" w:rsidRPr="00012C3F" w:rsidRDefault="007A1A14" w:rsidP="005D5050">
      <w:pPr>
        <w:pStyle w:val="Ttulo2"/>
        <w:tabs>
          <w:tab w:val="left" w:pos="1701"/>
        </w:tabs>
        <w:spacing w:before="0" w:line="240" w:lineRule="auto"/>
        <w:ind w:left="1134"/>
        <w:rPr>
          <w:rFonts w:ascii="Verdana" w:hAnsi="Verdana"/>
          <w:b w:val="0"/>
          <w:i/>
          <w:color w:val="auto"/>
          <w:sz w:val="20"/>
          <w:szCs w:val="20"/>
          <w:lang w:val="en-US"/>
        </w:rPr>
      </w:pPr>
      <w:bookmarkStart w:id="72" w:name="_Toc375517117"/>
      <w:bookmarkStart w:id="73" w:name="_Toc459158105"/>
      <w:bookmarkStart w:id="74" w:name="_Toc27486833"/>
      <w:r w:rsidRPr="00012C3F">
        <w:rPr>
          <w:rFonts w:ascii="Verdana" w:hAnsi="Verdana"/>
          <w:b w:val="0"/>
          <w:i/>
          <w:color w:val="auto"/>
          <w:sz w:val="20"/>
          <w:szCs w:val="20"/>
          <w:lang w:val="en-US"/>
        </w:rPr>
        <w:t xml:space="preserve">B.1 </w:t>
      </w:r>
      <w:r w:rsidR="005D5050" w:rsidRPr="00012C3F">
        <w:rPr>
          <w:rFonts w:ascii="Verdana" w:hAnsi="Verdana"/>
          <w:b w:val="0"/>
          <w:i/>
          <w:color w:val="auto"/>
          <w:sz w:val="20"/>
          <w:szCs w:val="20"/>
          <w:lang w:val="en-US"/>
        </w:rPr>
        <w:tab/>
      </w:r>
      <w:r w:rsidR="006C705C" w:rsidRPr="00012C3F">
        <w:rPr>
          <w:rFonts w:ascii="Verdana" w:hAnsi="Verdana"/>
          <w:b w:val="0"/>
          <w:i/>
          <w:color w:val="auto"/>
          <w:sz w:val="20"/>
          <w:szCs w:val="20"/>
          <w:lang w:val="en-US"/>
        </w:rPr>
        <w:t>Admission of the documentary evidence</w:t>
      </w:r>
      <w:bookmarkEnd w:id="72"/>
      <w:bookmarkEnd w:id="73"/>
      <w:bookmarkEnd w:id="74"/>
    </w:p>
    <w:p w14:paraId="4B9BE814" w14:textId="77777777" w:rsidR="007A1A14" w:rsidRPr="00012C3F" w:rsidRDefault="007A1A14" w:rsidP="007A1A14">
      <w:pPr>
        <w:widowControl/>
        <w:tabs>
          <w:tab w:val="left" w:pos="567"/>
        </w:tabs>
        <w:autoSpaceDE w:val="0"/>
        <w:autoSpaceDN w:val="0"/>
        <w:adjustRightInd/>
        <w:spacing w:line="240" w:lineRule="auto"/>
        <w:textAlignment w:val="auto"/>
        <w:rPr>
          <w:rFonts w:cs="Verdana"/>
          <w:sz w:val="20"/>
          <w:szCs w:val="20"/>
          <w:lang w:val="en-US" w:eastAsia="en-US"/>
        </w:rPr>
      </w:pPr>
    </w:p>
    <w:p w14:paraId="37231B30" w14:textId="77777777" w:rsidR="007A1A14" w:rsidRPr="00012C3F" w:rsidRDefault="006C705C" w:rsidP="006B7531">
      <w:pPr>
        <w:numPr>
          <w:ilvl w:val="0"/>
          <w:numId w:val="5"/>
        </w:numPr>
        <w:tabs>
          <w:tab w:val="left" w:pos="567"/>
          <w:tab w:val="num" w:pos="12305"/>
        </w:tabs>
        <w:spacing w:line="240" w:lineRule="auto"/>
        <w:ind w:left="0" w:firstLine="0"/>
        <w:rPr>
          <w:sz w:val="20"/>
          <w:szCs w:val="20"/>
          <w:lang w:val="en-US"/>
        </w:rPr>
      </w:pPr>
      <w:r w:rsidRPr="00012C3F">
        <w:rPr>
          <w:sz w:val="20"/>
          <w:szCs w:val="20"/>
          <w:lang w:val="en-US"/>
        </w:rPr>
        <w:t>In this case</w:t>
      </w:r>
      <w:r w:rsidR="007A1A14" w:rsidRPr="00012C3F">
        <w:rPr>
          <w:sz w:val="20"/>
          <w:szCs w:val="20"/>
          <w:lang w:val="en-US"/>
        </w:rPr>
        <w:t xml:space="preserve">, </w:t>
      </w:r>
      <w:r w:rsidR="009B3C96" w:rsidRPr="00012C3F">
        <w:rPr>
          <w:sz w:val="20"/>
          <w:szCs w:val="20"/>
          <w:lang w:val="en-US"/>
        </w:rPr>
        <w:t>as in others</w:t>
      </w:r>
      <w:r w:rsidR="007A1A14" w:rsidRPr="00012C3F">
        <w:rPr>
          <w:sz w:val="20"/>
          <w:szCs w:val="20"/>
          <w:lang w:val="en-US"/>
        </w:rPr>
        <w:t xml:space="preserve">, </w:t>
      </w:r>
      <w:r w:rsidR="009B3C96" w:rsidRPr="00012C3F">
        <w:rPr>
          <w:sz w:val="20"/>
          <w:szCs w:val="20"/>
          <w:lang w:val="en-US"/>
        </w:rPr>
        <w:t xml:space="preserve">the Court </w:t>
      </w:r>
      <w:r w:rsidR="007847DE" w:rsidRPr="00012C3F">
        <w:rPr>
          <w:sz w:val="20"/>
          <w:szCs w:val="20"/>
          <w:lang w:val="en-US"/>
        </w:rPr>
        <w:t>accepts the evidentiary</w:t>
      </w:r>
      <w:r w:rsidR="009B3C96" w:rsidRPr="00012C3F">
        <w:rPr>
          <w:sz w:val="20"/>
          <w:szCs w:val="20"/>
          <w:lang w:val="en-US"/>
        </w:rPr>
        <w:t xml:space="preserve"> value of those documents presented at the proper procedural opportunity by the parties </w:t>
      </w:r>
      <w:r w:rsidR="005E5012" w:rsidRPr="00012C3F">
        <w:rPr>
          <w:sz w:val="20"/>
          <w:szCs w:val="20"/>
          <w:lang w:val="en-US"/>
        </w:rPr>
        <w:t xml:space="preserve">and </w:t>
      </w:r>
      <w:r w:rsidR="001254DE" w:rsidRPr="00012C3F">
        <w:rPr>
          <w:sz w:val="20"/>
          <w:szCs w:val="20"/>
          <w:lang w:val="en-US"/>
        </w:rPr>
        <w:t xml:space="preserve">the </w:t>
      </w:r>
      <w:r w:rsidR="00A84CA0" w:rsidRPr="00012C3F">
        <w:rPr>
          <w:sz w:val="20"/>
          <w:szCs w:val="20"/>
          <w:lang w:val="en-US"/>
        </w:rPr>
        <w:t>Commission</w:t>
      </w:r>
      <w:r w:rsidR="007A1A14" w:rsidRPr="00012C3F">
        <w:rPr>
          <w:sz w:val="20"/>
          <w:szCs w:val="20"/>
          <w:lang w:val="en-US"/>
        </w:rPr>
        <w:t xml:space="preserve"> </w:t>
      </w:r>
      <w:r w:rsidR="009B3C96" w:rsidRPr="00012C3F">
        <w:rPr>
          <w:sz w:val="20"/>
          <w:szCs w:val="20"/>
          <w:lang w:val="en-US"/>
        </w:rPr>
        <w:t>that were not contested or opposed, and the authenticity of which was not questioned.</w:t>
      </w:r>
      <w:r w:rsidR="007A1A14" w:rsidRPr="00012C3F">
        <w:rPr>
          <w:sz w:val="20"/>
          <w:szCs w:val="20"/>
          <w:vertAlign w:val="superscript"/>
          <w:lang w:val="en-US"/>
        </w:rPr>
        <w:footnoteReference w:id="28"/>
      </w:r>
    </w:p>
    <w:p w14:paraId="58D6C4B2" w14:textId="77777777" w:rsidR="007A1A14" w:rsidRPr="00012C3F" w:rsidRDefault="007A1A14" w:rsidP="007A1A14">
      <w:pPr>
        <w:widowControl/>
        <w:tabs>
          <w:tab w:val="left" w:pos="567"/>
        </w:tabs>
        <w:autoSpaceDE w:val="0"/>
        <w:autoSpaceDN w:val="0"/>
        <w:adjustRightInd/>
        <w:spacing w:line="240" w:lineRule="auto"/>
        <w:textAlignment w:val="auto"/>
        <w:rPr>
          <w:rFonts w:cs="Verdana"/>
          <w:i/>
          <w:sz w:val="20"/>
          <w:szCs w:val="20"/>
          <w:lang w:val="en-US" w:eastAsia="es-MX"/>
        </w:rPr>
      </w:pPr>
    </w:p>
    <w:p w14:paraId="4244CCB6" w14:textId="77777777" w:rsidR="007A1A14" w:rsidRPr="00012C3F" w:rsidRDefault="007A1A14" w:rsidP="00833C77">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lastRenderedPageBreak/>
        <w:t>Re</w:t>
      </w:r>
      <w:r w:rsidR="009B3C96" w:rsidRPr="00012C3F">
        <w:rPr>
          <w:sz w:val="20"/>
          <w:szCs w:val="20"/>
          <w:lang w:val="en-US"/>
        </w:rPr>
        <w:t>garding the documents indicated by electronic links,</w:t>
      </w:r>
      <w:r w:rsidRPr="00012C3F">
        <w:rPr>
          <w:rStyle w:val="Refdenotaalpie"/>
          <w:rFonts w:eastAsia="Calibri"/>
          <w:sz w:val="20"/>
          <w:szCs w:val="20"/>
          <w:lang w:val="en-US"/>
        </w:rPr>
        <w:footnoteReference w:id="29"/>
      </w:r>
      <w:r w:rsidRPr="00012C3F">
        <w:rPr>
          <w:sz w:val="20"/>
          <w:szCs w:val="20"/>
          <w:lang w:val="en-US"/>
        </w:rPr>
        <w:t xml:space="preserve"> </w:t>
      </w:r>
      <w:r w:rsidR="001254DE" w:rsidRPr="00012C3F">
        <w:rPr>
          <w:sz w:val="20"/>
          <w:szCs w:val="20"/>
          <w:lang w:val="en-US"/>
        </w:rPr>
        <w:t>the Court</w:t>
      </w:r>
      <w:r w:rsidRPr="00012C3F">
        <w:rPr>
          <w:sz w:val="20"/>
          <w:szCs w:val="20"/>
          <w:lang w:val="en-US"/>
        </w:rPr>
        <w:t xml:space="preserve"> not</w:t>
      </w:r>
      <w:r w:rsidR="009B3C96" w:rsidRPr="00012C3F">
        <w:rPr>
          <w:sz w:val="20"/>
          <w:szCs w:val="20"/>
          <w:lang w:val="en-US"/>
        </w:rPr>
        <w:t xml:space="preserve">es that neither the parties nor the Commission opposed them or </w:t>
      </w:r>
      <w:r w:rsidR="00833C77" w:rsidRPr="00012C3F">
        <w:rPr>
          <w:sz w:val="20"/>
          <w:szCs w:val="20"/>
          <w:lang w:val="en-US"/>
        </w:rPr>
        <w:t>commented</w:t>
      </w:r>
      <w:r w:rsidR="009B3C96" w:rsidRPr="00012C3F">
        <w:rPr>
          <w:sz w:val="20"/>
          <w:szCs w:val="20"/>
          <w:lang w:val="en-US"/>
        </w:rPr>
        <w:t xml:space="preserve"> on the content and authenticity of such documents</w:t>
      </w:r>
      <w:r w:rsidR="00833C77" w:rsidRPr="00012C3F">
        <w:rPr>
          <w:sz w:val="20"/>
          <w:szCs w:val="20"/>
          <w:lang w:val="en-US"/>
        </w:rPr>
        <w:t>;</w:t>
      </w:r>
      <w:r w:rsidR="009B3C96" w:rsidRPr="00012C3F">
        <w:rPr>
          <w:sz w:val="20"/>
          <w:szCs w:val="20"/>
          <w:lang w:val="en-US"/>
        </w:rPr>
        <w:t xml:space="preserve"> they are therefore admitted for incorporation into the body of evidence in this case.</w:t>
      </w:r>
      <w:r w:rsidRPr="00012C3F">
        <w:rPr>
          <w:sz w:val="20"/>
          <w:szCs w:val="20"/>
          <w:lang w:val="en-US"/>
        </w:rPr>
        <w:t xml:space="preserve"> </w:t>
      </w:r>
    </w:p>
    <w:p w14:paraId="646E391B" w14:textId="77777777" w:rsidR="007A1A14" w:rsidRPr="00012C3F" w:rsidRDefault="007A1A14" w:rsidP="007A1A14">
      <w:pPr>
        <w:widowControl/>
        <w:tabs>
          <w:tab w:val="left" w:pos="720"/>
        </w:tabs>
        <w:adjustRightInd/>
        <w:spacing w:line="240" w:lineRule="auto"/>
        <w:ind w:right="-90"/>
        <w:textAlignment w:val="auto"/>
        <w:rPr>
          <w:sz w:val="20"/>
          <w:szCs w:val="20"/>
          <w:lang w:val="en-US"/>
        </w:rPr>
      </w:pPr>
    </w:p>
    <w:p w14:paraId="7391BC96" w14:textId="77777777" w:rsidR="007A1A14" w:rsidRPr="00012C3F" w:rsidRDefault="00833C77" w:rsidP="00833C77">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Regarding the newspaper articles, the Court has considered that they may be assessed when they refer to well-known public facts or declarations of State officials or when they corroborate aspects of the case.</w:t>
      </w:r>
      <w:r w:rsidR="007A1A14" w:rsidRPr="00012C3F">
        <w:rPr>
          <w:rFonts w:eastAsia="Batang" w:cs="Verdana"/>
          <w:sz w:val="20"/>
          <w:szCs w:val="20"/>
          <w:vertAlign w:val="superscript"/>
          <w:lang w:val="en-US"/>
        </w:rPr>
        <w:footnoteReference w:id="30"/>
      </w:r>
      <w:r w:rsidRPr="00012C3F">
        <w:rPr>
          <w:rFonts w:eastAsia="Batang" w:cs="Verdana"/>
          <w:sz w:val="20"/>
          <w:szCs w:val="20"/>
          <w:lang w:val="en-US"/>
        </w:rPr>
        <w:t xml:space="preserve"> Consequently, the Court decides not to admit the note remitted by the State with its annex 28, because its source and date of publication</w:t>
      </w:r>
      <w:r w:rsidR="007847DE" w:rsidRPr="00012C3F">
        <w:rPr>
          <w:rFonts w:eastAsia="Batang" w:cs="Verdana"/>
          <w:sz w:val="20"/>
          <w:szCs w:val="20"/>
          <w:lang w:val="en-US"/>
        </w:rPr>
        <w:t xml:space="preserve"> cannot be verified</w:t>
      </w:r>
      <w:r w:rsidRPr="00012C3F">
        <w:rPr>
          <w:rFonts w:eastAsia="Batang" w:cs="Verdana"/>
          <w:sz w:val="20"/>
          <w:szCs w:val="20"/>
          <w:lang w:val="en-US"/>
        </w:rPr>
        <w:t>.</w:t>
      </w:r>
    </w:p>
    <w:p w14:paraId="38FCC965" w14:textId="77777777" w:rsidR="007A1A14" w:rsidRPr="00012C3F" w:rsidRDefault="007A1A14" w:rsidP="00833C77">
      <w:pPr>
        <w:tabs>
          <w:tab w:val="left" w:pos="720"/>
        </w:tabs>
        <w:autoSpaceDE w:val="0"/>
        <w:autoSpaceDN w:val="0"/>
        <w:spacing w:line="240" w:lineRule="auto"/>
        <w:rPr>
          <w:sz w:val="20"/>
          <w:szCs w:val="20"/>
          <w:lang w:val="en-US"/>
        </w:rPr>
      </w:pPr>
    </w:p>
    <w:p w14:paraId="54C6E7C1" w14:textId="77777777" w:rsidR="007A1A14" w:rsidRPr="00012C3F" w:rsidRDefault="00833C77" w:rsidP="00833C77">
      <w:pPr>
        <w:numPr>
          <w:ilvl w:val="0"/>
          <w:numId w:val="5"/>
        </w:numPr>
        <w:tabs>
          <w:tab w:val="left" w:pos="720"/>
          <w:tab w:val="num" w:pos="12305"/>
        </w:tabs>
        <w:spacing w:line="240" w:lineRule="auto"/>
        <w:ind w:left="0" w:firstLine="0"/>
        <w:rPr>
          <w:sz w:val="20"/>
          <w:szCs w:val="20"/>
          <w:lang w:val="en-US" w:eastAsia="es-ES"/>
        </w:rPr>
      </w:pPr>
      <w:r w:rsidRPr="00012C3F">
        <w:rPr>
          <w:sz w:val="20"/>
          <w:szCs w:val="20"/>
          <w:lang w:val="en-US"/>
        </w:rPr>
        <w:t xml:space="preserve">That said, regarding the procedural moment to present documentary evidence, according to </w:t>
      </w:r>
      <w:r w:rsidR="001254DE" w:rsidRPr="00012C3F">
        <w:rPr>
          <w:sz w:val="20"/>
          <w:szCs w:val="20"/>
          <w:lang w:val="en-US" w:eastAsia="es-ES"/>
        </w:rPr>
        <w:t>Article</w:t>
      </w:r>
      <w:r w:rsidR="007A1A14" w:rsidRPr="00012C3F">
        <w:rPr>
          <w:sz w:val="20"/>
          <w:szCs w:val="20"/>
          <w:lang w:val="en-US" w:eastAsia="es-ES"/>
        </w:rPr>
        <w:t xml:space="preserve"> 57</w:t>
      </w:r>
      <w:r w:rsidRPr="00012C3F">
        <w:rPr>
          <w:sz w:val="20"/>
          <w:szCs w:val="20"/>
          <w:lang w:val="en-US" w:eastAsia="es-ES"/>
        </w:rPr>
        <w:t>(</w:t>
      </w:r>
      <w:r w:rsidR="007A1A14" w:rsidRPr="00012C3F">
        <w:rPr>
          <w:sz w:val="20"/>
          <w:szCs w:val="20"/>
          <w:lang w:val="en-US" w:eastAsia="es-ES"/>
        </w:rPr>
        <w:t>2</w:t>
      </w:r>
      <w:r w:rsidRPr="00012C3F">
        <w:rPr>
          <w:sz w:val="20"/>
          <w:szCs w:val="20"/>
          <w:lang w:val="en-US" w:eastAsia="es-ES"/>
        </w:rPr>
        <w:t>)</w:t>
      </w:r>
      <w:r w:rsidR="001254DE" w:rsidRPr="00012C3F">
        <w:rPr>
          <w:sz w:val="20"/>
          <w:szCs w:val="20"/>
          <w:lang w:val="en-US" w:eastAsia="es-ES"/>
        </w:rPr>
        <w:t xml:space="preserve"> of the Rules of Procedure</w:t>
      </w:r>
      <w:r w:rsidR="007A1A14" w:rsidRPr="00012C3F">
        <w:rPr>
          <w:sz w:val="20"/>
          <w:szCs w:val="20"/>
          <w:lang w:val="en-US" w:eastAsia="es-ES"/>
        </w:rPr>
        <w:t xml:space="preserve">, </w:t>
      </w:r>
      <w:r w:rsidRPr="00012C3F">
        <w:rPr>
          <w:sz w:val="20"/>
          <w:szCs w:val="20"/>
          <w:lang w:val="en-US" w:eastAsia="es-ES"/>
        </w:rPr>
        <w:t xml:space="preserve">this should </w:t>
      </w:r>
      <w:r w:rsidR="007847DE" w:rsidRPr="00012C3F">
        <w:rPr>
          <w:sz w:val="20"/>
          <w:szCs w:val="20"/>
          <w:lang w:val="en-US" w:eastAsia="es-ES"/>
        </w:rPr>
        <w:t xml:space="preserve">generally </w:t>
      </w:r>
      <w:r w:rsidRPr="00012C3F">
        <w:rPr>
          <w:sz w:val="20"/>
          <w:szCs w:val="20"/>
          <w:lang w:val="en-US" w:eastAsia="es-ES"/>
        </w:rPr>
        <w:t>be presented</w:t>
      </w:r>
      <w:r w:rsidR="007847DE" w:rsidRPr="00012C3F">
        <w:rPr>
          <w:sz w:val="20"/>
          <w:szCs w:val="20"/>
          <w:lang w:val="en-US" w:eastAsia="es-ES"/>
        </w:rPr>
        <w:t xml:space="preserve"> </w:t>
      </w:r>
      <w:r w:rsidRPr="00012C3F">
        <w:rPr>
          <w:sz w:val="20"/>
          <w:szCs w:val="20"/>
          <w:lang w:val="en-US" w:eastAsia="es-ES"/>
        </w:rPr>
        <w:t xml:space="preserve">with the briefs submitting the case, with motions and pleadings, or answering the presentation of the case, as applicable. The Court recalls that evidence forwarded outside the proper procedural opportunities is not admissible, apart from the exceptions established in the said </w:t>
      </w:r>
      <w:r w:rsidR="001254DE" w:rsidRPr="00012C3F">
        <w:rPr>
          <w:sz w:val="20"/>
          <w:szCs w:val="20"/>
          <w:lang w:val="en-US" w:eastAsia="es-ES"/>
        </w:rPr>
        <w:t>Article</w:t>
      </w:r>
      <w:r w:rsidR="007A1A14" w:rsidRPr="00012C3F">
        <w:rPr>
          <w:sz w:val="20"/>
          <w:szCs w:val="20"/>
          <w:lang w:val="en-US" w:eastAsia="es-ES"/>
        </w:rPr>
        <w:t xml:space="preserve"> 57</w:t>
      </w:r>
      <w:r w:rsidRPr="00012C3F">
        <w:rPr>
          <w:sz w:val="20"/>
          <w:szCs w:val="20"/>
          <w:lang w:val="en-US" w:eastAsia="es-ES"/>
        </w:rPr>
        <w:t>(</w:t>
      </w:r>
      <w:r w:rsidR="007A1A14" w:rsidRPr="00012C3F">
        <w:rPr>
          <w:sz w:val="20"/>
          <w:szCs w:val="20"/>
          <w:lang w:val="en-US" w:eastAsia="es-ES"/>
        </w:rPr>
        <w:t>2</w:t>
      </w:r>
      <w:r w:rsidRPr="00012C3F">
        <w:rPr>
          <w:sz w:val="20"/>
          <w:szCs w:val="20"/>
          <w:lang w:val="en-US" w:eastAsia="es-ES"/>
        </w:rPr>
        <w:t>)</w:t>
      </w:r>
      <w:r w:rsidR="001254DE" w:rsidRPr="00012C3F">
        <w:rPr>
          <w:sz w:val="20"/>
          <w:szCs w:val="20"/>
          <w:lang w:val="en-US" w:eastAsia="es-ES"/>
        </w:rPr>
        <w:t xml:space="preserve"> of the Rules of Procedure</w:t>
      </w:r>
      <w:r w:rsidRPr="00012C3F">
        <w:rPr>
          <w:sz w:val="20"/>
          <w:szCs w:val="20"/>
          <w:lang w:val="en-US" w:eastAsia="es-ES"/>
        </w:rPr>
        <w:t xml:space="preserve">; namely, </w:t>
      </w:r>
      <w:r w:rsidRPr="00012C3F">
        <w:rPr>
          <w:i/>
          <w:iCs/>
          <w:sz w:val="20"/>
          <w:szCs w:val="20"/>
          <w:lang w:val="en-US" w:eastAsia="es-ES"/>
        </w:rPr>
        <w:t>force majeure</w:t>
      </w:r>
      <w:r w:rsidRPr="00012C3F">
        <w:rPr>
          <w:sz w:val="20"/>
          <w:szCs w:val="20"/>
          <w:lang w:val="en-US" w:eastAsia="es-ES"/>
        </w:rPr>
        <w:t>, grave impediment or if it relates to a fact that occurred following the said procedural moment.</w:t>
      </w:r>
      <w:r w:rsidR="007A1A14" w:rsidRPr="00012C3F">
        <w:rPr>
          <w:sz w:val="20"/>
          <w:szCs w:val="20"/>
          <w:vertAlign w:val="superscript"/>
          <w:lang w:val="en-US" w:eastAsia="es-ES"/>
        </w:rPr>
        <w:footnoteReference w:id="31"/>
      </w:r>
    </w:p>
    <w:p w14:paraId="6DB5BC90" w14:textId="77777777" w:rsidR="007A1A14" w:rsidRPr="00012C3F" w:rsidRDefault="007A1A14" w:rsidP="007A1A14">
      <w:pPr>
        <w:widowControl/>
        <w:tabs>
          <w:tab w:val="left" w:pos="567"/>
        </w:tabs>
        <w:autoSpaceDE w:val="0"/>
        <w:autoSpaceDN w:val="0"/>
        <w:adjustRightInd/>
        <w:spacing w:line="240" w:lineRule="auto"/>
        <w:textAlignment w:val="auto"/>
        <w:rPr>
          <w:sz w:val="20"/>
          <w:szCs w:val="20"/>
          <w:lang w:val="en-US"/>
        </w:rPr>
      </w:pPr>
    </w:p>
    <w:p w14:paraId="700FDE44" w14:textId="77777777" w:rsidR="007A1A14" w:rsidRPr="00012C3F" w:rsidRDefault="006C705C" w:rsidP="00BD3B0B">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In </w:t>
      </w:r>
      <w:r w:rsidR="00833C77" w:rsidRPr="00012C3F">
        <w:rPr>
          <w:sz w:val="20"/>
          <w:szCs w:val="20"/>
          <w:lang w:val="en-US"/>
        </w:rPr>
        <w:t xml:space="preserve">the case of the documents provided by </w:t>
      </w:r>
      <w:r w:rsidR="00A84CA0" w:rsidRPr="00012C3F">
        <w:rPr>
          <w:sz w:val="20"/>
          <w:szCs w:val="20"/>
          <w:lang w:val="en-US"/>
        </w:rPr>
        <w:t>the State</w:t>
      </w:r>
      <w:r w:rsidR="005E5012" w:rsidRPr="00012C3F">
        <w:rPr>
          <w:sz w:val="20"/>
          <w:szCs w:val="20"/>
          <w:lang w:val="en-US"/>
        </w:rPr>
        <w:t xml:space="preserve"> and </w:t>
      </w:r>
      <w:r w:rsidR="00972ACF" w:rsidRPr="00012C3F">
        <w:rPr>
          <w:sz w:val="20"/>
          <w:szCs w:val="20"/>
          <w:lang w:val="en-US"/>
        </w:rPr>
        <w:t>the representative</w:t>
      </w:r>
      <w:r w:rsidR="007A1A14" w:rsidRPr="00012C3F">
        <w:rPr>
          <w:sz w:val="20"/>
          <w:szCs w:val="20"/>
          <w:lang w:val="en-US"/>
        </w:rPr>
        <w:t xml:space="preserve"> </w:t>
      </w:r>
      <w:r w:rsidR="00833C77" w:rsidRPr="00012C3F">
        <w:rPr>
          <w:sz w:val="20"/>
          <w:szCs w:val="20"/>
          <w:lang w:val="en-US"/>
        </w:rPr>
        <w:t>with their final written arguments, the Court notes that some of the</w:t>
      </w:r>
      <w:r w:rsidR="007847DE" w:rsidRPr="00012C3F">
        <w:rPr>
          <w:sz w:val="20"/>
          <w:szCs w:val="20"/>
          <w:lang w:val="en-US"/>
        </w:rPr>
        <w:t>se</w:t>
      </w:r>
      <w:r w:rsidR="00833C77" w:rsidRPr="00012C3F">
        <w:rPr>
          <w:sz w:val="20"/>
          <w:szCs w:val="20"/>
          <w:lang w:val="en-US"/>
        </w:rPr>
        <w:t xml:space="preserve"> relate to helpful evidence requested during the public hearing, in particular annexes 2 (audits and some elements of the administrative file) and 6 (certifications of the professional history of the instructing physician) forwarded by the State, and also annex 3 (Final decision No. 020/2002 issued by the Legal Advisory Services Unit of the La Paz Departmental Health Service</w:t>
      </w:r>
      <w:r w:rsidR="00BD3B0B" w:rsidRPr="00012C3F">
        <w:rPr>
          <w:sz w:val="20"/>
          <w:szCs w:val="20"/>
          <w:lang w:val="en-US"/>
        </w:rPr>
        <w:t xml:space="preserve"> on July 25, 2002, complete) forwarded by </w:t>
      </w:r>
      <w:r w:rsidR="00972ACF" w:rsidRPr="00012C3F">
        <w:rPr>
          <w:sz w:val="20"/>
          <w:szCs w:val="20"/>
          <w:lang w:val="en-US"/>
        </w:rPr>
        <w:t>the representative</w:t>
      </w:r>
      <w:r w:rsidR="007A1A14" w:rsidRPr="00012C3F">
        <w:rPr>
          <w:sz w:val="20"/>
          <w:szCs w:val="20"/>
          <w:lang w:val="en-US"/>
        </w:rPr>
        <w:t>. A</w:t>
      </w:r>
      <w:r w:rsidR="00BD3B0B" w:rsidRPr="00012C3F">
        <w:rPr>
          <w:sz w:val="20"/>
          <w:szCs w:val="20"/>
          <w:lang w:val="en-US"/>
        </w:rPr>
        <w:t xml:space="preserve">lso, regarding the </w:t>
      </w:r>
      <w:r w:rsidR="007847DE" w:rsidRPr="00012C3F">
        <w:rPr>
          <w:sz w:val="20"/>
          <w:szCs w:val="20"/>
          <w:lang w:val="en-US"/>
        </w:rPr>
        <w:t>complete</w:t>
      </w:r>
      <w:r w:rsidR="00BD3B0B" w:rsidRPr="00012C3F">
        <w:rPr>
          <w:sz w:val="20"/>
          <w:szCs w:val="20"/>
          <w:lang w:val="en-US"/>
        </w:rPr>
        <w:t xml:space="preserve"> case file of the</w:t>
      </w:r>
      <w:r w:rsidR="007A1A14" w:rsidRPr="00012C3F">
        <w:rPr>
          <w:sz w:val="20"/>
          <w:szCs w:val="20"/>
          <w:lang w:val="en-US"/>
        </w:rPr>
        <w:t xml:space="preserve"> </w:t>
      </w:r>
      <w:r w:rsidR="00BD3B0B" w:rsidRPr="00012C3F">
        <w:rPr>
          <w:sz w:val="20"/>
          <w:szCs w:val="20"/>
          <w:lang w:val="en-US"/>
        </w:rPr>
        <w:t>c</w:t>
      </w:r>
      <w:r w:rsidRPr="00012C3F">
        <w:rPr>
          <w:sz w:val="20"/>
          <w:szCs w:val="20"/>
          <w:lang w:val="en-US"/>
        </w:rPr>
        <w:t>riminal proceedings</w:t>
      </w:r>
      <w:r w:rsidR="007A1A14" w:rsidRPr="00012C3F">
        <w:rPr>
          <w:sz w:val="20"/>
          <w:szCs w:val="20"/>
          <w:lang w:val="en-US"/>
        </w:rPr>
        <w:t xml:space="preserve"> </w:t>
      </w:r>
      <w:r w:rsidR="007847DE" w:rsidRPr="00012C3F">
        <w:rPr>
          <w:sz w:val="20"/>
          <w:szCs w:val="20"/>
          <w:lang w:val="en-US"/>
        </w:rPr>
        <w:t xml:space="preserve">forwarded </w:t>
      </w:r>
      <w:r w:rsidR="00BD3B0B" w:rsidRPr="00012C3F">
        <w:rPr>
          <w:sz w:val="20"/>
          <w:szCs w:val="20"/>
          <w:lang w:val="en-US"/>
        </w:rPr>
        <w:t>by</w:t>
      </w:r>
      <w:r w:rsidR="004C6FCC" w:rsidRPr="00012C3F">
        <w:rPr>
          <w:sz w:val="20"/>
          <w:szCs w:val="20"/>
          <w:lang w:val="en-US"/>
        </w:rPr>
        <w:t xml:space="preserve"> the </w:t>
      </w:r>
      <w:r w:rsidR="00A84CA0" w:rsidRPr="00012C3F">
        <w:rPr>
          <w:sz w:val="20"/>
          <w:szCs w:val="20"/>
          <w:lang w:val="en-US"/>
        </w:rPr>
        <w:t>State</w:t>
      </w:r>
      <w:r w:rsidR="007A1A14" w:rsidRPr="00012C3F">
        <w:rPr>
          <w:sz w:val="20"/>
          <w:szCs w:val="20"/>
          <w:lang w:val="en-US"/>
        </w:rPr>
        <w:t xml:space="preserve"> (an</w:t>
      </w:r>
      <w:r w:rsidR="00BD3B0B" w:rsidRPr="00012C3F">
        <w:rPr>
          <w:sz w:val="20"/>
          <w:szCs w:val="20"/>
          <w:lang w:val="en-US"/>
        </w:rPr>
        <w:t>nex</w:t>
      </w:r>
      <w:r w:rsidR="007A1A14" w:rsidRPr="00012C3F">
        <w:rPr>
          <w:sz w:val="20"/>
          <w:szCs w:val="20"/>
          <w:lang w:val="en-US"/>
        </w:rPr>
        <w:t xml:space="preserve"> 1), </w:t>
      </w:r>
      <w:r w:rsidR="00BD3B0B" w:rsidRPr="00012C3F">
        <w:rPr>
          <w:sz w:val="20"/>
          <w:szCs w:val="20"/>
          <w:lang w:val="en-US"/>
        </w:rPr>
        <w:t>it should be noted that its incorporation into the file is necessary in order to make a correct a</w:t>
      </w:r>
      <w:r w:rsidR="007847DE" w:rsidRPr="00012C3F">
        <w:rPr>
          <w:sz w:val="20"/>
          <w:szCs w:val="20"/>
          <w:lang w:val="en-US"/>
        </w:rPr>
        <w:t>ppraisal</w:t>
      </w:r>
      <w:r w:rsidR="00BD3B0B" w:rsidRPr="00012C3F">
        <w:rPr>
          <w:sz w:val="20"/>
          <w:szCs w:val="20"/>
          <w:lang w:val="en-US"/>
        </w:rPr>
        <w:t xml:space="preserve"> of the proceedings held by the State. Consequently, these documents must be incorporated into the body of evidence of this case under </w:t>
      </w:r>
      <w:r w:rsidR="008A7A0F" w:rsidRPr="00012C3F">
        <w:rPr>
          <w:sz w:val="20"/>
          <w:szCs w:val="20"/>
          <w:lang w:val="en-US"/>
        </w:rPr>
        <w:t>Article</w:t>
      </w:r>
      <w:r w:rsidR="00E90C39" w:rsidRPr="00012C3F">
        <w:rPr>
          <w:sz w:val="20"/>
          <w:szCs w:val="20"/>
          <w:lang w:val="en-US"/>
        </w:rPr>
        <w:t xml:space="preserve"> 58</w:t>
      </w:r>
      <w:r w:rsidR="00BD3B0B" w:rsidRPr="00012C3F">
        <w:rPr>
          <w:sz w:val="20"/>
          <w:szCs w:val="20"/>
          <w:lang w:val="en-US"/>
        </w:rPr>
        <w:t>(</w:t>
      </w:r>
      <w:r w:rsidR="00E90C39" w:rsidRPr="00012C3F">
        <w:rPr>
          <w:sz w:val="20"/>
          <w:szCs w:val="20"/>
          <w:lang w:val="en-US"/>
        </w:rPr>
        <w:t>b)</w:t>
      </w:r>
      <w:r w:rsidR="001254DE" w:rsidRPr="00012C3F">
        <w:rPr>
          <w:sz w:val="20"/>
          <w:szCs w:val="20"/>
          <w:lang w:val="en-US"/>
        </w:rPr>
        <w:t xml:space="preserve"> of the Rules of Procedure</w:t>
      </w:r>
      <w:r w:rsidR="007A1A14" w:rsidRPr="00012C3F">
        <w:rPr>
          <w:rFonts w:cs="Verdana"/>
          <w:sz w:val="20"/>
          <w:szCs w:val="20"/>
          <w:lang w:val="en-US"/>
        </w:rPr>
        <w:t xml:space="preserve">. </w:t>
      </w:r>
      <w:r w:rsidR="00BD3B0B" w:rsidRPr="00012C3F">
        <w:rPr>
          <w:rFonts w:cs="Verdana"/>
          <w:sz w:val="20"/>
          <w:szCs w:val="20"/>
          <w:lang w:val="en-US"/>
        </w:rPr>
        <w:t xml:space="preserve">Regarding annexes </w:t>
      </w:r>
      <w:r w:rsidR="0067571B" w:rsidRPr="00012C3F">
        <w:rPr>
          <w:rFonts w:cs="Verdana"/>
          <w:sz w:val="20"/>
          <w:szCs w:val="20"/>
          <w:lang w:val="en-US"/>
        </w:rPr>
        <w:t>3 (</w:t>
      </w:r>
      <w:r w:rsidR="00BD3B0B" w:rsidRPr="00012C3F">
        <w:rPr>
          <w:rFonts w:cs="Verdana"/>
          <w:sz w:val="20"/>
          <w:szCs w:val="20"/>
          <w:lang w:val="en-US"/>
        </w:rPr>
        <w:t>1993 WHO manual</w:t>
      </w:r>
      <w:r w:rsidR="00F62A21" w:rsidRPr="00012C3F">
        <w:rPr>
          <w:rFonts w:cs="Verdana"/>
          <w:sz w:val="20"/>
          <w:szCs w:val="20"/>
          <w:lang w:val="en-US"/>
        </w:rPr>
        <w:t xml:space="preserve">, </w:t>
      </w:r>
      <w:r w:rsidR="00BD3B0B" w:rsidRPr="00012C3F">
        <w:rPr>
          <w:rFonts w:cs="Verdana"/>
          <w:sz w:val="20"/>
          <w:szCs w:val="20"/>
          <w:lang w:val="en-US"/>
        </w:rPr>
        <w:t>entitled</w:t>
      </w:r>
      <w:r w:rsidR="00F62A21" w:rsidRPr="00012C3F">
        <w:rPr>
          <w:rFonts w:cs="Verdana"/>
          <w:sz w:val="20"/>
          <w:szCs w:val="20"/>
          <w:lang w:val="en-US"/>
        </w:rPr>
        <w:t xml:space="preserve"> “</w:t>
      </w:r>
      <w:r w:rsidR="00BD3B0B" w:rsidRPr="00012C3F">
        <w:rPr>
          <w:rFonts w:cs="Verdana"/>
          <w:sz w:val="20"/>
          <w:szCs w:val="20"/>
          <w:lang w:val="en-US"/>
        </w:rPr>
        <w:t>Female sterilization: a guide to provision of services”), 4 (Law on the Judiciary Council of December 22,</w:t>
      </w:r>
      <w:r w:rsidR="0067571B" w:rsidRPr="00012C3F">
        <w:rPr>
          <w:rFonts w:cs="Verdana"/>
          <w:sz w:val="20"/>
          <w:szCs w:val="20"/>
          <w:lang w:val="en-US"/>
        </w:rPr>
        <w:t xml:space="preserve"> 1997)</w:t>
      </w:r>
      <w:r w:rsidR="005E5012" w:rsidRPr="00012C3F">
        <w:rPr>
          <w:rFonts w:cs="Verdana"/>
          <w:sz w:val="20"/>
          <w:szCs w:val="20"/>
          <w:lang w:val="en-US"/>
        </w:rPr>
        <w:t xml:space="preserve"> and </w:t>
      </w:r>
      <w:r w:rsidR="0067571B" w:rsidRPr="00012C3F">
        <w:rPr>
          <w:rFonts w:cs="Verdana"/>
          <w:sz w:val="20"/>
          <w:szCs w:val="20"/>
          <w:lang w:val="en-US"/>
        </w:rPr>
        <w:t>5 (</w:t>
      </w:r>
      <w:r w:rsidR="00BD3B0B" w:rsidRPr="00012C3F">
        <w:rPr>
          <w:rFonts w:cs="Verdana"/>
          <w:sz w:val="20"/>
          <w:szCs w:val="20"/>
          <w:lang w:val="en-US"/>
        </w:rPr>
        <w:t xml:space="preserve">Law </w:t>
      </w:r>
      <w:r w:rsidR="006A725F" w:rsidRPr="00012C3F">
        <w:rPr>
          <w:rFonts w:cs="Verdana"/>
          <w:sz w:val="20"/>
          <w:szCs w:val="20"/>
          <w:lang w:val="en-US"/>
        </w:rPr>
        <w:t xml:space="preserve">No. 045 </w:t>
      </w:r>
      <w:r w:rsidR="00BD3B0B" w:rsidRPr="00012C3F">
        <w:rPr>
          <w:rFonts w:cs="Verdana"/>
          <w:sz w:val="20"/>
          <w:szCs w:val="20"/>
          <w:lang w:val="en-US"/>
        </w:rPr>
        <w:t>against racism and all forms of discrimination</w:t>
      </w:r>
      <w:r w:rsidR="006A725F" w:rsidRPr="00012C3F">
        <w:rPr>
          <w:rFonts w:cs="Verdana"/>
          <w:sz w:val="20"/>
          <w:szCs w:val="20"/>
          <w:lang w:val="en-US"/>
        </w:rPr>
        <w:t xml:space="preserve"> </w:t>
      </w:r>
      <w:r w:rsidR="00BD3B0B" w:rsidRPr="00012C3F">
        <w:rPr>
          <w:rFonts w:cs="Verdana"/>
          <w:sz w:val="20"/>
          <w:szCs w:val="20"/>
          <w:lang w:val="en-US"/>
        </w:rPr>
        <w:t>of October 8,</w:t>
      </w:r>
      <w:r w:rsidR="006A725F" w:rsidRPr="00012C3F">
        <w:rPr>
          <w:rFonts w:cs="Verdana"/>
          <w:sz w:val="20"/>
          <w:szCs w:val="20"/>
          <w:lang w:val="en-US"/>
        </w:rPr>
        <w:t xml:space="preserve"> 2010</w:t>
      </w:r>
      <w:r w:rsidR="0067571B" w:rsidRPr="00012C3F">
        <w:rPr>
          <w:rFonts w:cs="Verdana"/>
          <w:sz w:val="20"/>
          <w:szCs w:val="20"/>
          <w:lang w:val="en-US"/>
        </w:rPr>
        <w:t xml:space="preserve">) </w:t>
      </w:r>
      <w:r w:rsidR="00BD3B0B" w:rsidRPr="00012C3F">
        <w:rPr>
          <w:rFonts w:cs="Verdana"/>
          <w:sz w:val="20"/>
          <w:szCs w:val="20"/>
          <w:lang w:val="en-US"/>
        </w:rPr>
        <w:t>provided by</w:t>
      </w:r>
      <w:r w:rsidR="0067571B" w:rsidRPr="00012C3F">
        <w:rPr>
          <w:rFonts w:cs="Verdana"/>
          <w:sz w:val="20"/>
          <w:szCs w:val="20"/>
          <w:lang w:val="en-US"/>
        </w:rPr>
        <w:t xml:space="preserve"> </w:t>
      </w:r>
      <w:r w:rsidR="00A84CA0" w:rsidRPr="00012C3F">
        <w:rPr>
          <w:rFonts w:cs="Verdana"/>
          <w:sz w:val="20"/>
          <w:szCs w:val="20"/>
          <w:lang w:val="en-US"/>
        </w:rPr>
        <w:t>the State</w:t>
      </w:r>
      <w:r w:rsidR="0067571B" w:rsidRPr="00012C3F">
        <w:rPr>
          <w:rFonts w:cs="Verdana"/>
          <w:sz w:val="20"/>
          <w:szCs w:val="20"/>
          <w:lang w:val="en-US"/>
        </w:rPr>
        <w:t>, as</w:t>
      </w:r>
      <w:r w:rsidR="00BD3B0B" w:rsidRPr="00012C3F">
        <w:rPr>
          <w:rFonts w:cs="Verdana"/>
          <w:sz w:val="20"/>
          <w:szCs w:val="20"/>
          <w:lang w:val="en-US"/>
        </w:rPr>
        <w:t xml:space="preserve"> well as annexes </w:t>
      </w:r>
      <w:r w:rsidR="0067571B" w:rsidRPr="00012C3F">
        <w:rPr>
          <w:rFonts w:cs="Verdana"/>
          <w:sz w:val="20"/>
          <w:szCs w:val="20"/>
          <w:lang w:val="en-US"/>
        </w:rPr>
        <w:t xml:space="preserve">4 </w:t>
      </w:r>
      <w:r w:rsidR="00BD3B0B" w:rsidRPr="00012C3F">
        <w:rPr>
          <w:rFonts w:cs="Verdana"/>
          <w:sz w:val="20"/>
          <w:szCs w:val="20"/>
          <w:lang w:val="en-US"/>
        </w:rPr>
        <w:t>to</w:t>
      </w:r>
      <w:r w:rsidR="0067571B" w:rsidRPr="00012C3F">
        <w:rPr>
          <w:rFonts w:cs="Verdana"/>
          <w:sz w:val="20"/>
          <w:szCs w:val="20"/>
          <w:lang w:val="en-US"/>
        </w:rPr>
        <w:t xml:space="preserve"> 12 (</w:t>
      </w:r>
      <w:r w:rsidR="00BD3B0B" w:rsidRPr="00012C3F">
        <w:rPr>
          <w:rFonts w:cs="Verdana"/>
          <w:sz w:val="20"/>
          <w:szCs w:val="20"/>
          <w:lang w:val="en-US"/>
        </w:rPr>
        <w:t xml:space="preserve">including the 1993 WHO manual, entitled </w:t>
      </w:r>
      <w:r w:rsidR="00F62A21" w:rsidRPr="00012C3F">
        <w:rPr>
          <w:rFonts w:eastAsia="MS Mincho" w:cs="ClassicalGaramondBT-Roman"/>
          <w:sz w:val="20"/>
          <w:szCs w:val="20"/>
          <w:lang w:val="en-US" w:eastAsia="en-US" w:bidi="en-US"/>
        </w:rPr>
        <w:t>“</w:t>
      </w:r>
      <w:r w:rsidR="00BD3B0B" w:rsidRPr="00012C3F">
        <w:rPr>
          <w:rFonts w:eastAsia="MS Mincho" w:cs="ClassicalGaramondBT-Roman"/>
          <w:sz w:val="20"/>
          <w:szCs w:val="20"/>
          <w:lang w:val="en-US" w:eastAsia="en-US" w:bidi="en-US"/>
        </w:rPr>
        <w:t>Female sterilization: a guide to provision of services,</w:t>
      </w:r>
      <w:r w:rsidR="00F62A21" w:rsidRPr="00012C3F">
        <w:rPr>
          <w:rFonts w:eastAsia="MS Mincho" w:cs="ClassicalGaramondBT-Roman"/>
          <w:sz w:val="20"/>
          <w:szCs w:val="20"/>
          <w:lang w:val="en-US" w:eastAsia="en-US" w:bidi="en-US"/>
        </w:rPr>
        <w:t>”</w:t>
      </w:r>
      <w:r w:rsidR="0067571B" w:rsidRPr="00012C3F">
        <w:rPr>
          <w:rFonts w:cs="Verdana"/>
          <w:sz w:val="20"/>
          <w:szCs w:val="20"/>
          <w:lang w:val="en-US"/>
        </w:rPr>
        <w:t xml:space="preserve"> </w:t>
      </w:r>
      <w:r w:rsidR="00BD3B0B" w:rsidRPr="00012C3F">
        <w:rPr>
          <w:rFonts w:cs="Verdana"/>
          <w:sz w:val="20"/>
          <w:szCs w:val="20"/>
          <w:lang w:val="en-US"/>
        </w:rPr>
        <w:t>the Code of Medical Ethics and Deontology</w:t>
      </w:r>
      <w:r w:rsidR="0067571B" w:rsidRPr="00012C3F">
        <w:rPr>
          <w:rFonts w:cs="Verdana"/>
          <w:sz w:val="20"/>
          <w:szCs w:val="20"/>
          <w:lang w:val="en-US"/>
        </w:rPr>
        <w:t xml:space="preserve">, </w:t>
      </w:r>
      <w:r w:rsidR="00BD3B0B" w:rsidRPr="00012C3F">
        <w:rPr>
          <w:rFonts w:cs="Verdana"/>
          <w:sz w:val="20"/>
          <w:szCs w:val="20"/>
          <w:lang w:val="en-US"/>
        </w:rPr>
        <w:t>the Report of the Special Rapporteur on torture and other cruel, inhuman or degrading treatment or punishment</w:t>
      </w:r>
      <w:r w:rsidR="00F62A21" w:rsidRPr="00012C3F" w:rsidDel="00F62A21">
        <w:rPr>
          <w:rFonts w:cs="Verdana"/>
          <w:sz w:val="20"/>
          <w:szCs w:val="20"/>
          <w:lang w:val="en-US"/>
        </w:rPr>
        <w:t xml:space="preserve"> </w:t>
      </w:r>
      <w:r w:rsidR="00BD3B0B" w:rsidRPr="00012C3F">
        <w:rPr>
          <w:rFonts w:cs="Verdana"/>
          <w:sz w:val="20"/>
          <w:szCs w:val="20"/>
          <w:lang w:val="en-US"/>
        </w:rPr>
        <w:t xml:space="preserve">of January 5, </w:t>
      </w:r>
      <w:r w:rsidR="0067571B" w:rsidRPr="00012C3F">
        <w:rPr>
          <w:rFonts w:cs="Verdana"/>
          <w:sz w:val="20"/>
          <w:szCs w:val="20"/>
          <w:lang w:val="en-US"/>
        </w:rPr>
        <w:t xml:space="preserve">2016, </w:t>
      </w:r>
      <w:r w:rsidR="00BD3B0B" w:rsidRPr="00012C3F">
        <w:rPr>
          <w:rFonts w:cs="Verdana"/>
          <w:sz w:val="20"/>
          <w:szCs w:val="20"/>
          <w:lang w:val="en-US"/>
        </w:rPr>
        <w:t>and the Draft articles on responsibility of States</w:t>
      </w:r>
      <w:r w:rsidR="0067571B" w:rsidRPr="00012C3F">
        <w:rPr>
          <w:rFonts w:cs="Verdana"/>
          <w:sz w:val="20"/>
          <w:szCs w:val="20"/>
          <w:lang w:val="en-US"/>
        </w:rPr>
        <w:t xml:space="preserve">) </w:t>
      </w:r>
      <w:r w:rsidR="00BD3B0B" w:rsidRPr="00012C3F">
        <w:rPr>
          <w:rFonts w:cs="Verdana"/>
          <w:sz w:val="20"/>
          <w:szCs w:val="20"/>
          <w:lang w:val="en-US"/>
        </w:rPr>
        <w:t>forwarded by</w:t>
      </w:r>
      <w:r w:rsidR="0067571B" w:rsidRPr="00012C3F">
        <w:rPr>
          <w:rFonts w:cs="Verdana"/>
          <w:sz w:val="20"/>
          <w:szCs w:val="20"/>
          <w:lang w:val="en-US"/>
        </w:rPr>
        <w:t xml:space="preserve"> </w:t>
      </w:r>
      <w:r w:rsidR="00972ACF" w:rsidRPr="00012C3F">
        <w:rPr>
          <w:rFonts w:cs="Verdana"/>
          <w:sz w:val="20"/>
          <w:szCs w:val="20"/>
          <w:lang w:val="en-US"/>
        </w:rPr>
        <w:t>the representative</w:t>
      </w:r>
      <w:r w:rsidR="0067571B" w:rsidRPr="00012C3F">
        <w:rPr>
          <w:rFonts w:cs="Verdana"/>
          <w:sz w:val="20"/>
          <w:szCs w:val="20"/>
          <w:lang w:val="en-US"/>
        </w:rPr>
        <w:t xml:space="preserve">, </w:t>
      </w:r>
      <w:r w:rsidR="001254DE" w:rsidRPr="00012C3F">
        <w:rPr>
          <w:rFonts w:cs="Verdana"/>
          <w:sz w:val="20"/>
          <w:szCs w:val="20"/>
          <w:lang w:val="en-US"/>
        </w:rPr>
        <w:t>the Court</w:t>
      </w:r>
      <w:r w:rsidR="0067571B" w:rsidRPr="00012C3F">
        <w:rPr>
          <w:rFonts w:cs="Verdana"/>
          <w:sz w:val="20"/>
          <w:szCs w:val="20"/>
          <w:lang w:val="en-US"/>
        </w:rPr>
        <w:t xml:space="preserve"> not</w:t>
      </w:r>
      <w:r w:rsidR="00BD3B0B" w:rsidRPr="00012C3F">
        <w:rPr>
          <w:rFonts w:cs="Verdana"/>
          <w:sz w:val="20"/>
          <w:szCs w:val="20"/>
          <w:lang w:val="en-US"/>
        </w:rPr>
        <w:t xml:space="preserve">es that their late presentation was not justified by any of the exceptional reasons established in </w:t>
      </w:r>
      <w:r w:rsidR="001254DE" w:rsidRPr="00012C3F">
        <w:rPr>
          <w:rFonts w:cs="Verdana"/>
          <w:sz w:val="20"/>
          <w:szCs w:val="20"/>
          <w:lang w:val="en-US"/>
        </w:rPr>
        <w:t>the Rules of Procedure</w:t>
      </w:r>
      <w:r w:rsidR="0067571B" w:rsidRPr="00012C3F">
        <w:rPr>
          <w:rFonts w:cs="Verdana"/>
          <w:sz w:val="20"/>
          <w:szCs w:val="20"/>
          <w:lang w:val="en-US"/>
        </w:rPr>
        <w:t xml:space="preserve">, </w:t>
      </w:r>
      <w:r w:rsidR="00BD3B0B" w:rsidRPr="00012C3F">
        <w:rPr>
          <w:rFonts w:cs="Verdana"/>
          <w:sz w:val="20"/>
          <w:szCs w:val="20"/>
          <w:lang w:val="en-US"/>
        </w:rPr>
        <w:t>and they were not expressly requested by the Court as helpful evidence; they are therefore time-barred. Nevertheless, since it is relevant for the Court to examine the 1993 WHO manual on female sterilization and the Code of Medical Ethics and Deontology</w:t>
      </w:r>
      <w:r w:rsidR="003B0185" w:rsidRPr="00012C3F">
        <w:rPr>
          <w:rFonts w:cs="Verdana"/>
          <w:sz w:val="20"/>
          <w:szCs w:val="20"/>
          <w:lang w:val="en-US"/>
        </w:rPr>
        <w:t>,</w:t>
      </w:r>
      <w:r w:rsidR="008D0202" w:rsidRPr="00012C3F">
        <w:rPr>
          <w:rFonts w:cs="Verdana"/>
          <w:sz w:val="20"/>
          <w:szCs w:val="20"/>
          <w:lang w:val="en-US"/>
        </w:rPr>
        <w:t xml:space="preserve"> </w:t>
      </w:r>
      <w:r w:rsidR="00BD3B0B" w:rsidRPr="00012C3F">
        <w:rPr>
          <w:rFonts w:cs="Verdana"/>
          <w:sz w:val="20"/>
          <w:szCs w:val="20"/>
          <w:lang w:val="en-US"/>
        </w:rPr>
        <w:t>and also the laws of</w:t>
      </w:r>
      <w:r w:rsidR="008D0202" w:rsidRPr="00012C3F">
        <w:rPr>
          <w:rFonts w:cs="Verdana"/>
          <w:sz w:val="20"/>
          <w:szCs w:val="20"/>
          <w:lang w:val="en-US"/>
        </w:rPr>
        <w:t xml:space="preserve"> </w:t>
      </w:r>
      <w:r w:rsidR="00833C77" w:rsidRPr="00012C3F">
        <w:rPr>
          <w:rFonts w:cs="Verdana"/>
          <w:sz w:val="20"/>
          <w:szCs w:val="20"/>
          <w:lang w:val="en-US"/>
        </w:rPr>
        <w:t>Peru</w:t>
      </w:r>
      <w:r w:rsidR="008D0202" w:rsidRPr="00012C3F">
        <w:rPr>
          <w:rFonts w:cs="Verdana"/>
          <w:sz w:val="20"/>
          <w:szCs w:val="20"/>
          <w:lang w:val="en-US"/>
        </w:rPr>
        <w:t xml:space="preserve">, </w:t>
      </w:r>
      <w:r w:rsidR="00BD3B0B" w:rsidRPr="00012C3F">
        <w:rPr>
          <w:rFonts w:cs="Verdana"/>
          <w:sz w:val="20"/>
          <w:szCs w:val="20"/>
          <w:lang w:val="en-US"/>
        </w:rPr>
        <w:t>Mexico</w:t>
      </w:r>
      <w:r w:rsidR="005E5012" w:rsidRPr="00012C3F">
        <w:rPr>
          <w:rFonts w:cs="Verdana"/>
          <w:sz w:val="20"/>
          <w:szCs w:val="20"/>
          <w:lang w:val="en-US"/>
        </w:rPr>
        <w:t xml:space="preserve"> and </w:t>
      </w:r>
      <w:r w:rsidR="008D0202" w:rsidRPr="00012C3F">
        <w:rPr>
          <w:rFonts w:cs="Verdana"/>
          <w:sz w:val="20"/>
          <w:szCs w:val="20"/>
          <w:lang w:val="en-US"/>
        </w:rPr>
        <w:t>Chile</w:t>
      </w:r>
      <w:r w:rsidR="00DB2DCF" w:rsidRPr="00012C3F">
        <w:rPr>
          <w:rFonts w:cs="Verdana"/>
          <w:sz w:val="20"/>
          <w:szCs w:val="20"/>
          <w:lang w:val="en-US"/>
        </w:rPr>
        <w:t>,</w:t>
      </w:r>
      <w:r w:rsidR="00B22112" w:rsidRPr="00012C3F">
        <w:rPr>
          <w:rFonts w:cs="Verdana"/>
          <w:sz w:val="20"/>
          <w:szCs w:val="20"/>
          <w:lang w:val="en-US"/>
        </w:rPr>
        <w:t xml:space="preserve"> </w:t>
      </w:r>
      <w:r w:rsidR="001254DE" w:rsidRPr="00012C3F">
        <w:rPr>
          <w:rFonts w:cs="Verdana"/>
          <w:sz w:val="20"/>
          <w:szCs w:val="20"/>
          <w:lang w:val="en-US"/>
        </w:rPr>
        <w:t>the Court</w:t>
      </w:r>
      <w:r w:rsidR="0067571B" w:rsidRPr="00012C3F">
        <w:rPr>
          <w:rFonts w:cs="Verdana"/>
          <w:sz w:val="20"/>
          <w:szCs w:val="20"/>
          <w:lang w:val="en-US"/>
        </w:rPr>
        <w:t xml:space="preserve"> incorpora</w:t>
      </w:r>
      <w:r w:rsidR="00BD3B0B" w:rsidRPr="00012C3F">
        <w:rPr>
          <w:rFonts w:cs="Verdana"/>
          <w:sz w:val="20"/>
          <w:szCs w:val="20"/>
          <w:lang w:val="en-US"/>
        </w:rPr>
        <w:t xml:space="preserve">tes these documents, </w:t>
      </w:r>
      <w:r w:rsidR="00BD3B0B" w:rsidRPr="00012C3F">
        <w:rPr>
          <w:rFonts w:cs="Verdana"/>
          <w:i/>
          <w:iCs/>
          <w:sz w:val="20"/>
          <w:szCs w:val="20"/>
          <w:lang w:val="en-US"/>
        </w:rPr>
        <w:t>ex officio</w:t>
      </w:r>
      <w:r w:rsidR="00BD3B0B" w:rsidRPr="00012C3F">
        <w:rPr>
          <w:rFonts w:cs="Verdana"/>
          <w:sz w:val="20"/>
          <w:szCs w:val="20"/>
          <w:lang w:val="en-US"/>
        </w:rPr>
        <w:t>, because they are useful for deciding this case.</w:t>
      </w:r>
    </w:p>
    <w:p w14:paraId="2BCEBD95" w14:textId="77777777" w:rsidR="007A1A14" w:rsidRPr="00012C3F" w:rsidRDefault="007A1A14" w:rsidP="007A1A14">
      <w:pPr>
        <w:widowControl/>
        <w:tabs>
          <w:tab w:val="left" w:pos="720"/>
        </w:tabs>
        <w:adjustRightInd/>
        <w:spacing w:line="240" w:lineRule="auto"/>
        <w:ind w:right="-90"/>
        <w:textAlignment w:val="auto"/>
        <w:rPr>
          <w:sz w:val="20"/>
          <w:szCs w:val="20"/>
          <w:lang w:val="en-US"/>
        </w:rPr>
      </w:pPr>
    </w:p>
    <w:p w14:paraId="354BBFBE" w14:textId="77777777" w:rsidR="007A1A14" w:rsidRPr="00012C3F" w:rsidRDefault="00BD3B0B" w:rsidP="00BD3B0B">
      <w:pPr>
        <w:numPr>
          <w:ilvl w:val="0"/>
          <w:numId w:val="5"/>
        </w:numPr>
        <w:tabs>
          <w:tab w:val="left" w:pos="720"/>
          <w:tab w:val="num" w:pos="12305"/>
        </w:tabs>
        <w:spacing w:line="240" w:lineRule="auto"/>
        <w:ind w:left="0" w:firstLine="0"/>
        <w:rPr>
          <w:sz w:val="20"/>
          <w:szCs w:val="20"/>
          <w:lang w:val="en-US"/>
        </w:rPr>
      </w:pPr>
      <w:r w:rsidRPr="00012C3F">
        <w:rPr>
          <w:rFonts w:cs="Verdana"/>
          <w:sz w:val="20"/>
          <w:szCs w:val="20"/>
          <w:lang w:val="en-US"/>
        </w:rPr>
        <w:t xml:space="preserve">With regard to the documents </w:t>
      </w:r>
      <w:r w:rsidRPr="00012C3F">
        <w:rPr>
          <w:sz w:val="20"/>
          <w:szCs w:val="20"/>
          <w:lang w:val="en-US"/>
        </w:rPr>
        <w:t xml:space="preserve">on costs and expenses </w:t>
      </w:r>
      <w:r w:rsidRPr="00012C3F">
        <w:rPr>
          <w:rFonts w:cs="Verdana"/>
          <w:sz w:val="20"/>
          <w:szCs w:val="20"/>
          <w:lang w:val="en-US"/>
        </w:rPr>
        <w:t xml:space="preserve">remitted by </w:t>
      </w:r>
      <w:r w:rsidR="00972ACF" w:rsidRPr="00012C3F">
        <w:rPr>
          <w:sz w:val="20"/>
          <w:szCs w:val="20"/>
          <w:lang w:val="en-US"/>
        </w:rPr>
        <w:t>the representative</w:t>
      </w:r>
      <w:r w:rsidRPr="00012C3F">
        <w:rPr>
          <w:sz w:val="20"/>
          <w:szCs w:val="20"/>
          <w:lang w:val="en-US"/>
        </w:rPr>
        <w:t xml:space="preserve"> with her final written arguments,</w:t>
      </w:r>
      <w:r w:rsidR="007A1A14" w:rsidRPr="00012C3F">
        <w:rPr>
          <w:sz w:val="20"/>
          <w:szCs w:val="20"/>
          <w:vertAlign w:val="superscript"/>
          <w:lang w:val="en-US"/>
        </w:rPr>
        <w:footnoteReference w:id="32"/>
      </w:r>
      <w:r w:rsidR="007A1A14" w:rsidRPr="00012C3F">
        <w:rPr>
          <w:sz w:val="20"/>
          <w:szCs w:val="20"/>
          <w:lang w:val="en-US"/>
        </w:rPr>
        <w:t xml:space="preserve"> </w:t>
      </w:r>
      <w:r w:rsidR="001254DE" w:rsidRPr="00012C3F">
        <w:rPr>
          <w:sz w:val="20"/>
          <w:szCs w:val="20"/>
          <w:lang w:val="en-US"/>
        </w:rPr>
        <w:t>the Court</w:t>
      </w:r>
      <w:r w:rsidR="007A1A14" w:rsidRPr="00012C3F">
        <w:rPr>
          <w:sz w:val="20"/>
          <w:szCs w:val="20"/>
          <w:lang w:val="en-US"/>
        </w:rPr>
        <w:t xml:space="preserve"> </w:t>
      </w:r>
      <w:r w:rsidRPr="00012C3F">
        <w:rPr>
          <w:sz w:val="20"/>
          <w:szCs w:val="20"/>
          <w:lang w:val="en-US"/>
        </w:rPr>
        <w:t xml:space="preserve">will only consider those that refer to new costs and expenses incurred due to the proceedings before this Court; in other words, those incurred after the submission of the </w:t>
      </w:r>
      <w:r w:rsidR="00972ACF" w:rsidRPr="00012C3F">
        <w:rPr>
          <w:sz w:val="20"/>
          <w:szCs w:val="20"/>
          <w:lang w:val="en-US"/>
        </w:rPr>
        <w:t>motions and pleadings brief</w:t>
      </w:r>
      <w:r w:rsidR="007A1A14" w:rsidRPr="00012C3F">
        <w:rPr>
          <w:sz w:val="20"/>
          <w:szCs w:val="20"/>
          <w:lang w:val="en-US"/>
        </w:rPr>
        <w:t xml:space="preserve">. </w:t>
      </w:r>
    </w:p>
    <w:p w14:paraId="3607A1DC" w14:textId="77777777" w:rsidR="007A1A14" w:rsidRPr="00012C3F" w:rsidRDefault="007A1A14" w:rsidP="007A1A14">
      <w:pPr>
        <w:spacing w:line="240" w:lineRule="auto"/>
        <w:rPr>
          <w:sz w:val="20"/>
          <w:szCs w:val="20"/>
          <w:lang w:val="en-US"/>
        </w:rPr>
      </w:pPr>
    </w:p>
    <w:p w14:paraId="5DD9337C" w14:textId="77777777" w:rsidR="007A1A14" w:rsidRPr="00012C3F" w:rsidRDefault="007A1A14" w:rsidP="005D5050">
      <w:pPr>
        <w:pStyle w:val="Ttulo2"/>
        <w:tabs>
          <w:tab w:val="left" w:pos="1701"/>
        </w:tabs>
        <w:spacing w:before="0" w:line="240" w:lineRule="auto"/>
        <w:ind w:left="1134"/>
        <w:rPr>
          <w:rFonts w:ascii="Verdana" w:hAnsi="Verdana"/>
          <w:b w:val="0"/>
          <w:i/>
          <w:color w:val="auto"/>
          <w:sz w:val="20"/>
          <w:szCs w:val="20"/>
          <w:lang w:val="en-US"/>
        </w:rPr>
      </w:pPr>
      <w:bookmarkStart w:id="75" w:name="_Toc375517118"/>
      <w:bookmarkStart w:id="76" w:name="_Toc459158106"/>
      <w:bookmarkStart w:id="77" w:name="_Toc27486834"/>
      <w:r w:rsidRPr="00012C3F">
        <w:rPr>
          <w:rFonts w:ascii="Verdana" w:hAnsi="Verdana"/>
          <w:b w:val="0"/>
          <w:i/>
          <w:color w:val="auto"/>
          <w:sz w:val="20"/>
          <w:szCs w:val="20"/>
          <w:lang w:val="en-US"/>
        </w:rPr>
        <w:t xml:space="preserve">B.2 </w:t>
      </w:r>
      <w:r w:rsidR="005D5050" w:rsidRPr="00012C3F">
        <w:rPr>
          <w:rFonts w:ascii="Verdana" w:hAnsi="Verdana"/>
          <w:b w:val="0"/>
          <w:i/>
          <w:color w:val="auto"/>
          <w:sz w:val="20"/>
          <w:szCs w:val="20"/>
          <w:lang w:val="en-US"/>
        </w:rPr>
        <w:tab/>
      </w:r>
      <w:r w:rsidR="006C705C" w:rsidRPr="00012C3F">
        <w:rPr>
          <w:rFonts w:ascii="Verdana" w:hAnsi="Verdana"/>
          <w:b w:val="0"/>
          <w:i/>
          <w:color w:val="auto"/>
          <w:sz w:val="20"/>
          <w:szCs w:val="20"/>
          <w:lang w:val="en-US"/>
        </w:rPr>
        <w:t>Admission of the statements and of the expert opinions</w:t>
      </w:r>
      <w:bookmarkEnd w:id="75"/>
      <w:bookmarkEnd w:id="76"/>
      <w:bookmarkEnd w:id="77"/>
    </w:p>
    <w:p w14:paraId="70990F95" w14:textId="77777777" w:rsidR="007A1A14" w:rsidRPr="00012C3F" w:rsidRDefault="007A1A14" w:rsidP="007A1A14">
      <w:pPr>
        <w:widowControl/>
        <w:tabs>
          <w:tab w:val="left" w:pos="720"/>
        </w:tabs>
        <w:adjustRightInd/>
        <w:spacing w:line="240" w:lineRule="auto"/>
        <w:ind w:right="-90"/>
        <w:textAlignment w:val="auto"/>
        <w:rPr>
          <w:sz w:val="20"/>
          <w:szCs w:val="20"/>
          <w:lang w:val="en-US"/>
        </w:rPr>
      </w:pPr>
    </w:p>
    <w:p w14:paraId="3AF7CAC7" w14:textId="77777777" w:rsidR="007A1A14" w:rsidRPr="00012C3F" w:rsidRDefault="001254DE" w:rsidP="00EE5DB6">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The Court</w:t>
      </w:r>
      <w:r w:rsidR="007A1A14" w:rsidRPr="00012C3F">
        <w:rPr>
          <w:sz w:val="20"/>
          <w:szCs w:val="20"/>
          <w:lang w:val="en-US"/>
        </w:rPr>
        <w:t xml:space="preserve"> </w:t>
      </w:r>
      <w:r w:rsidR="00BD3B0B" w:rsidRPr="00012C3F">
        <w:rPr>
          <w:sz w:val="20"/>
          <w:szCs w:val="20"/>
          <w:lang w:val="en-US"/>
        </w:rPr>
        <w:t xml:space="preserve">finds it pertinent to admit the statements and expert opinions </w:t>
      </w:r>
      <w:r w:rsidR="00EE5DB6" w:rsidRPr="00012C3F">
        <w:rPr>
          <w:sz w:val="20"/>
          <w:szCs w:val="20"/>
          <w:lang w:val="en-US"/>
        </w:rPr>
        <w:t xml:space="preserve">provided during the </w:t>
      </w:r>
      <w:r w:rsidR="00B257AF" w:rsidRPr="00012C3F">
        <w:rPr>
          <w:sz w:val="20"/>
          <w:szCs w:val="20"/>
          <w:lang w:val="en-US"/>
        </w:rPr>
        <w:t>public hearing</w:t>
      </w:r>
      <w:r w:rsidR="005E5012" w:rsidRPr="00012C3F">
        <w:rPr>
          <w:sz w:val="20"/>
          <w:szCs w:val="20"/>
          <w:lang w:val="en-US"/>
        </w:rPr>
        <w:t xml:space="preserve"> and </w:t>
      </w:r>
      <w:r w:rsidR="00EE5DB6" w:rsidRPr="00012C3F">
        <w:rPr>
          <w:sz w:val="20"/>
          <w:szCs w:val="20"/>
          <w:lang w:val="en-US"/>
        </w:rPr>
        <w:t xml:space="preserve">by affidavit, insofar as they are in keeping with the purpose defined by the </w:t>
      </w:r>
      <w:r w:rsidRPr="00012C3F">
        <w:rPr>
          <w:sz w:val="20"/>
          <w:szCs w:val="20"/>
          <w:lang w:val="en-US"/>
        </w:rPr>
        <w:t>President</w:t>
      </w:r>
      <w:r w:rsidR="007A1A14" w:rsidRPr="00012C3F">
        <w:rPr>
          <w:sz w:val="20"/>
          <w:szCs w:val="20"/>
          <w:lang w:val="en-US"/>
        </w:rPr>
        <w:t xml:space="preserve"> </w:t>
      </w:r>
      <w:r w:rsidR="00EE5DB6" w:rsidRPr="00012C3F">
        <w:rPr>
          <w:sz w:val="20"/>
          <w:szCs w:val="20"/>
          <w:lang w:val="en-US"/>
        </w:rPr>
        <w:t>in the order requiring them,</w:t>
      </w:r>
      <w:r w:rsidR="007A1A14" w:rsidRPr="00012C3F">
        <w:rPr>
          <w:sz w:val="20"/>
          <w:szCs w:val="20"/>
          <w:vertAlign w:val="superscript"/>
          <w:lang w:val="en-US"/>
        </w:rPr>
        <w:footnoteReference w:id="33"/>
      </w:r>
      <w:r w:rsidR="005E5012" w:rsidRPr="00012C3F">
        <w:rPr>
          <w:sz w:val="20"/>
          <w:szCs w:val="20"/>
          <w:lang w:val="en-US"/>
        </w:rPr>
        <w:t xml:space="preserve"> and </w:t>
      </w:r>
      <w:r w:rsidR="00EE5DB6" w:rsidRPr="00012C3F">
        <w:rPr>
          <w:sz w:val="20"/>
          <w:szCs w:val="20"/>
          <w:lang w:val="en-US"/>
        </w:rPr>
        <w:t>the purpose of this case.</w:t>
      </w:r>
    </w:p>
    <w:p w14:paraId="4F2B13AD" w14:textId="77777777" w:rsidR="007A1A14" w:rsidRPr="00012C3F" w:rsidRDefault="007A1A14" w:rsidP="00EE5DB6">
      <w:pPr>
        <w:pStyle w:val="Prrafodelista"/>
        <w:tabs>
          <w:tab w:val="left" w:pos="720"/>
        </w:tabs>
        <w:spacing w:line="240" w:lineRule="auto"/>
        <w:ind w:left="0"/>
        <w:rPr>
          <w:rFonts w:cs="Verdana"/>
          <w:sz w:val="20"/>
          <w:szCs w:val="20"/>
          <w:lang w:val="en-US" w:eastAsia="es-MX"/>
        </w:rPr>
      </w:pPr>
    </w:p>
    <w:p w14:paraId="429EB674" w14:textId="77777777" w:rsidR="007A1A14" w:rsidRPr="00012C3F" w:rsidRDefault="007A1A14" w:rsidP="00EE5DB6">
      <w:pPr>
        <w:keepNext/>
        <w:keepLines/>
        <w:tabs>
          <w:tab w:val="left" w:pos="720"/>
          <w:tab w:val="left" w:pos="1134"/>
        </w:tabs>
        <w:spacing w:line="240" w:lineRule="auto"/>
        <w:ind w:left="567" w:firstLine="1"/>
        <w:outlineLvl w:val="1"/>
        <w:rPr>
          <w:rFonts w:eastAsia="MS Mincho"/>
          <w:b/>
          <w:bCs/>
          <w:i/>
          <w:sz w:val="20"/>
          <w:szCs w:val="20"/>
          <w:lang w:val="en-US"/>
        </w:rPr>
      </w:pPr>
      <w:bookmarkStart w:id="78" w:name="_Toc405857807"/>
      <w:bookmarkStart w:id="79" w:name="_Toc423107375"/>
      <w:bookmarkStart w:id="80" w:name="_Toc438113881"/>
      <w:bookmarkStart w:id="81" w:name="_Toc459158107"/>
      <w:bookmarkStart w:id="82" w:name="_Toc27486835"/>
      <w:r w:rsidRPr="00012C3F">
        <w:rPr>
          <w:rFonts w:eastAsia="MS Mincho"/>
          <w:b/>
          <w:bCs/>
          <w:i/>
          <w:sz w:val="20"/>
          <w:szCs w:val="20"/>
          <w:lang w:val="en-US"/>
        </w:rPr>
        <w:t xml:space="preserve">C. </w:t>
      </w:r>
      <w:r w:rsidRPr="00012C3F">
        <w:rPr>
          <w:rFonts w:eastAsia="MS Mincho"/>
          <w:b/>
          <w:bCs/>
          <w:i/>
          <w:sz w:val="20"/>
          <w:szCs w:val="20"/>
          <w:lang w:val="en-US"/>
        </w:rPr>
        <w:tab/>
      </w:r>
      <w:r w:rsidR="006C705C" w:rsidRPr="00012C3F">
        <w:rPr>
          <w:rFonts w:eastAsia="MS Mincho"/>
          <w:b/>
          <w:bCs/>
          <w:i/>
          <w:sz w:val="20"/>
          <w:szCs w:val="20"/>
          <w:lang w:val="en-US"/>
        </w:rPr>
        <w:t>Assessment of the evidence</w:t>
      </w:r>
      <w:bookmarkEnd w:id="78"/>
      <w:bookmarkEnd w:id="79"/>
      <w:bookmarkEnd w:id="80"/>
      <w:bookmarkEnd w:id="81"/>
      <w:bookmarkEnd w:id="82"/>
    </w:p>
    <w:p w14:paraId="5DCA5B7A" w14:textId="77777777" w:rsidR="007A1A14" w:rsidRPr="00012C3F" w:rsidRDefault="007A1A14" w:rsidP="00EE5DB6">
      <w:pPr>
        <w:tabs>
          <w:tab w:val="left" w:pos="720"/>
        </w:tabs>
        <w:spacing w:line="240" w:lineRule="auto"/>
        <w:rPr>
          <w:sz w:val="20"/>
          <w:szCs w:val="20"/>
          <w:lang w:val="en-US" w:eastAsia="es-MX"/>
        </w:rPr>
      </w:pPr>
      <w:bookmarkStart w:id="83" w:name="_Ref402038868"/>
    </w:p>
    <w:p w14:paraId="37244145" w14:textId="77777777" w:rsidR="007A1A14" w:rsidRPr="00012C3F" w:rsidRDefault="00EE5DB6" w:rsidP="00EE5DB6">
      <w:pPr>
        <w:numPr>
          <w:ilvl w:val="0"/>
          <w:numId w:val="5"/>
        </w:numPr>
        <w:tabs>
          <w:tab w:val="left" w:pos="720"/>
          <w:tab w:val="num" w:pos="12305"/>
        </w:tabs>
        <w:spacing w:line="240" w:lineRule="auto"/>
        <w:ind w:left="0" w:firstLine="0"/>
        <w:rPr>
          <w:rFonts w:cs="Verdana"/>
          <w:sz w:val="20"/>
          <w:szCs w:val="20"/>
          <w:lang w:val="en-US" w:eastAsia="es-MX"/>
        </w:rPr>
      </w:pPr>
      <w:bookmarkStart w:id="84" w:name="_Hlk27303664"/>
      <w:r w:rsidRPr="00012C3F">
        <w:rPr>
          <w:rFonts w:cs="Verdana"/>
          <w:sz w:val="20"/>
          <w:szCs w:val="20"/>
          <w:lang w:val="en-US" w:eastAsia="es-MX"/>
        </w:rPr>
        <w:t>Based on its consistent case law regarding evidence and its assessment, the Court will examine and assess the documentary evidence forwarded by the parties and the Commission that have been incorporated by this Court, together with the statements and expert opinions, in order to establish the facts of the case and rule on the merits. To this e</w:t>
      </w:r>
      <w:r w:rsidR="00CD2D3D" w:rsidRPr="00012C3F">
        <w:rPr>
          <w:rFonts w:cs="Verdana"/>
          <w:sz w:val="20"/>
          <w:szCs w:val="20"/>
          <w:lang w:val="en-US" w:eastAsia="es-MX"/>
        </w:rPr>
        <w:t>n</w:t>
      </w:r>
      <w:r w:rsidRPr="00012C3F">
        <w:rPr>
          <w:rFonts w:cs="Verdana"/>
          <w:sz w:val="20"/>
          <w:szCs w:val="20"/>
          <w:lang w:val="en-US" w:eastAsia="es-MX"/>
        </w:rPr>
        <w:t>d, it will abide by the principles of sound judicial criteria, within the corresponding legal framework, taking into account the whole body of evidence and the arguments submitted during the proceedings</w:t>
      </w:r>
      <w:bookmarkEnd w:id="84"/>
      <w:r w:rsidRPr="00012C3F">
        <w:rPr>
          <w:rFonts w:cs="Verdana"/>
          <w:sz w:val="20"/>
          <w:szCs w:val="20"/>
          <w:lang w:val="en-US" w:eastAsia="es-MX"/>
        </w:rPr>
        <w:t>.</w:t>
      </w:r>
      <w:r w:rsidR="007A1A14" w:rsidRPr="00012C3F">
        <w:rPr>
          <w:rFonts w:cs="Verdana"/>
          <w:sz w:val="20"/>
          <w:szCs w:val="20"/>
          <w:vertAlign w:val="superscript"/>
          <w:lang w:val="en-US" w:eastAsia="es-MX"/>
        </w:rPr>
        <w:footnoteReference w:id="34"/>
      </w:r>
      <w:bookmarkEnd w:id="83"/>
    </w:p>
    <w:p w14:paraId="04E8C7C4" w14:textId="77777777" w:rsidR="007A1A14" w:rsidRPr="00012C3F" w:rsidRDefault="007A1A14" w:rsidP="00EE5DB6">
      <w:pPr>
        <w:tabs>
          <w:tab w:val="left" w:pos="720"/>
        </w:tabs>
        <w:spacing w:line="240" w:lineRule="auto"/>
        <w:rPr>
          <w:sz w:val="20"/>
          <w:szCs w:val="20"/>
          <w:lang w:val="en-US" w:eastAsia="es-MX"/>
        </w:rPr>
      </w:pPr>
    </w:p>
    <w:p w14:paraId="7144598E" w14:textId="77777777" w:rsidR="007A1A14" w:rsidRPr="00012C3F" w:rsidRDefault="00EE5DB6" w:rsidP="00EE5DB6">
      <w:pPr>
        <w:numPr>
          <w:ilvl w:val="0"/>
          <w:numId w:val="5"/>
        </w:numPr>
        <w:tabs>
          <w:tab w:val="left" w:pos="720"/>
          <w:tab w:val="num" w:pos="12305"/>
        </w:tabs>
        <w:spacing w:line="240" w:lineRule="auto"/>
        <w:ind w:left="0" w:firstLine="0"/>
        <w:rPr>
          <w:rFonts w:cs="Verdana"/>
          <w:sz w:val="20"/>
          <w:szCs w:val="20"/>
          <w:lang w:val="en-US" w:eastAsia="es-MX"/>
        </w:rPr>
      </w:pPr>
      <w:bookmarkStart w:id="85" w:name="_Hlk27303803"/>
      <w:bookmarkStart w:id="86" w:name="_Ref402038884"/>
      <w:r w:rsidRPr="00012C3F">
        <w:rPr>
          <w:rFonts w:cs="Verdana"/>
          <w:sz w:val="20"/>
          <w:szCs w:val="20"/>
          <w:lang w:val="en-US" w:eastAsia="es-MX"/>
        </w:rPr>
        <w:t>Lastly, pursuant to its case law, the Court recalls that the statements made by presumed victims cannot be assessed in isolation, but only within the whole body of evidence, insofar as they may provide further information on the presumed violations and the consequences</w:t>
      </w:r>
      <w:bookmarkEnd w:id="85"/>
      <w:r w:rsidRPr="00012C3F">
        <w:rPr>
          <w:rFonts w:cs="Verdana"/>
          <w:sz w:val="20"/>
          <w:szCs w:val="20"/>
          <w:lang w:val="en-US" w:eastAsia="es-MX"/>
        </w:rPr>
        <w:t>.</w:t>
      </w:r>
      <w:r w:rsidR="007A1A14" w:rsidRPr="00012C3F">
        <w:rPr>
          <w:rFonts w:cs="Verdana"/>
          <w:sz w:val="20"/>
          <w:szCs w:val="20"/>
          <w:vertAlign w:val="superscript"/>
          <w:lang w:val="en-US" w:eastAsia="es-MX"/>
        </w:rPr>
        <w:footnoteReference w:id="35"/>
      </w:r>
      <w:bookmarkEnd w:id="86"/>
    </w:p>
    <w:p w14:paraId="662C94FE" w14:textId="77777777" w:rsidR="007A1A14" w:rsidRPr="00012C3F" w:rsidRDefault="007A1A14" w:rsidP="007A1A14">
      <w:pPr>
        <w:tabs>
          <w:tab w:val="left" w:pos="720"/>
          <w:tab w:val="num" w:pos="1569"/>
        </w:tabs>
        <w:spacing w:line="240" w:lineRule="auto"/>
        <w:ind w:right="-90"/>
        <w:rPr>
          <w:b/>
          <w:sz w:val="20"/>
          <w:szCs w:val="20"/>
          <w:lang w:val="en-US"/>
        </w:rPr>
      </w:pPr>
    </w:p>
    <w:p w14:paraId="575CD094" w14:textId="77777777" w:rsidR="007A1A14" w:rsidRPr="00012C3F" w:rsidRDefault="007A1A14" w:rsidP="007A1A14">
      <w:pPr>
        <w:keepNext/>
        <w:keepLines/>
        <w:tabs>
          <w:tab w:val="left" w:pos="851"/>
        </w:tabs>
        <w:spacing w:line="240" w:lineRule="auto"/>
        <w:jc w:val="center"/>
        <w:outlineLvl w:val="0"/>
        <w:rPr>
          <w:rFonts w:cs="Verdana"/>
          <w:b/>
          <w:bCs/>
          <w:caps/>
          <w:snapToGrid w:val="0"/>
          <w:sz w:val="20"/>
          <w:szCs w:val="20"/>
          <w:lang w:val="en-US"/>
        </w:rPr>
      </w:pPr>
      <w:bookmarkStart w:id="87" w:name="_Toc370421888"/>
      <w:bookmarkStart w:id="88" w:name="_Toc375517119"/>
      <w:bookmarkStart w:id="89" w:name="_Toc459158108"/>
      <w:bookmarkStart w:id="90" w:name="_Toc27486836"/>
      <w:r w:rsidRPr="00012C3F">
        <w:rPr>
          <w:rFonts w:cs="Verdana"/>
          <w:b/>
          <w:bCs/>
          <w:caps/>
          <w:snapToGrid w:val="0"/>
          <w:sz w:val="20"/>
          <w:szCs w:val="20"/>
          <w:lang w:val="en-US"/>
        </w:rPr>
        <w:t>V</w:t>
      </w:r>
      <w:r w:rsidR="00A93967" w:rsidRPr="00012C3F">
        <w:rPr>
          <w:rFonts w:cs="Verdana"/>
          <w:b/>
          <w:bCs/>
          <w:caps/>
          <w:snapToGrid w:val="0"/>
          <w:sz w:val="20"/>
          <w:szCs w:val="20"/>
          <w:lang w:val="en-US"/>
        </w:rPr>
        <w:t>I</w:t>
      </w:r>
      <w:r w:rsidRPr="00012C3F">
        <w:rPr>
          <w:rFonts w:cs="Verdana"/>
          <w:b/>
          <w:bCs/>
          <w:caps/>
          <w:snapToGrid w:val="0"/>
          <w:sz w:val="20"/>
          <w:szCs w:val="20"/>
          <w:lang w:val="en-US"/>
        </w:rPr>
        <w:t>I</w:t>
      </w:r>
      <w:bookmarkEnd w:id="87"/>
      <w:r w:rsidRPr="00012C3F">
        <w:rPr>
          <w:rFonts w:cs="Verdana"/>
          <w:b/>
          <w:bCs/>
          <w:caps/>
          <w:snapToGrid w:val="0"/>
          <w:sz w:val="20"/>
          <w:szCs w:val="20"/>
          <w:lang w:val="en-US"/>
        </w:rPr>
        <w:br/>
      </w:r>
      <w:r w:rsidR="006C705C" w:rsidRPr="00012C3F">
        <w:rPr>
          <w:rFonts w:cs="Verdana"/>
          <w:b/>
          <w:bCs/>
          <w:caps/>
          <w:snapToGrid w:val="0"/>
          <w:sz w:val="20"/>
          <w:szCs w:val="20"/>
          <w:lang w:val="en-US"/>
        </w:rPr>
        <w:t>FACTS</w:t>
      </w:r>
      <w:bookmarkEnd w:id="88"/>
      <w:bookmarkEnd w:id="89"/>
      <w:bookmarkEnd w:id="90"/>
    </w:p>
    <w:p w14:paraId="1EBAA4B8" w14:textId="77777777" w:rsidR="007A1A14" w:rsidRPr="00012C3F" w:rsidRDefault="007A1A14" w:rsidP="007A1A14">
      <w:pPr>
        <w:tabs>
          <w:tab w:val="left" w:pos="720"/>
          <w:tab w:val="num" w:pos="1569"/>
        </w:tabs>
        <w:spacing w:line="240" w:lineRule="auto"/>
        <w:ind w:right="-90"/>
        <w:rPr>
          <w:rFonts w:cs="Verdana"/>
          <w:sz w:val="20"/>
          <w:szCs w:val="20"/>
          <w:lang w:val="en-US" w:eastAsia="es-MX"/>
        </w:rPr>
      </w:pPr>
    </w:p>
    <w:p w14:paraId="794DF058" w14:textId="77777777" w:rsidR="007A1A14" w:rsidRPr="00012C3F" w:rsidRDefault="007A1A14" w:rsidP="00040BA7">
      <w:pPr>
        <w:keepNext/>
        <w:keepLines/>
        <w:tabs>
          <w:tab w:val="left" w:pos="1134"/>
        </w:tabs>
        <w:spacing w:line="240" w:lineRule="auto"/>
        <w:ind w:left="567" w:firstLine="1"/>
        <w:outlineLvl w:val="1"/>
        <w:rPr>
          <w:rFonts w:eastAsia="MS Mincho"/>
          <w:b/>
          <w:bCs/>
          <w:i/>
          <w:sz w:val="20"/>
          <w:szCs w:val="20"/>
          <w:lang w:val="en-US"/>
        </w:rPr>
      </w:pPr>
      <w:bookmarkStart w:id="91" w:name="_Toc27486837"/>
      <w:r w:rsidRPr="00012C3F">
        <w:rPr>
          <w:rFonts w:eastAsia="MS Mincho"/>
          <w:b/>
          <w:bCs/>
          <w:i/>
          <w:sz w:val="20"/>
          <w:szCs w:val="20"/>
          <w:lang w:val="en-US"/>
        </w:rPr>
        <w:t xml:space="preserve">A. </w:t>
      </w:r>
      <w:r w:rsidRPr="00012C3F">
        <w:rPr>
          <w:rFonts w:eastAsia="MS Mincho"/>
          <w:b/>
          <w:bCs/>
          <w:i/>
          <w:sz w:val="20"/>
          <w:szCs w:val="20"/>
          <w:lang w:val="en-US"/>
        </w:rPr>
        <w:tab/>
      </w:r>
      <w:r w:rsidR="00EE5DB6" w:rsidRPr="00012C3F">
        <w:rPr>
          <w:rFonts w:eastAsia="MS Mincho"/>
          <w:b/>
          <w:bCs/>
          <w:i/>
          <w:sz w:val="20"/>
          <w:szCs w:val="20"/>
          <w:lang w:val="en-US"/>
        </w:rPr>
        <w:t>Background</w:t>
      </w:r>
      <w:r w:rsidR="006C705C" w:rsidRPr="00012C3F">
        <w:rPr>
          <w:rFonts w:eastAsia="MS Mincho"/>
          <w:b/>
          <w:bCs/>
          <w:i/>
          <w:sz w:val="20"/>
          <w:szCs w:val="20"/>
          <w:lang w:val="en-US"/>
        </w:rPr>
        <w:t xml:space="preserve"> information</w:t>
      </w:r>
      <w:bookmarkEnd w:id="91"/>
    </w:p>
    <w:p w14:paraId="3E0A6771" w14:textId="77777777" w:rsidR="007A1A14" w:rsidRPr="00012C3F" w:rsidRDefault="007A1A14" w:rsidP="007A1A14">
      <w:pPr>
        <w:spacing w:line="240" w:lineRule="auto"/>
        <w:rPr>
          <w:b/>
          <w:sz w:val="20"/>
          <w:szCs w:val="20"/>
          <w:lang w:val="en-US"/>
        </w:rPr>
      </w:pPr>
    </w:p>
    <w:p w14:paraId="302F1D1D" w14:textId="77777777" w:rsidR="007A1A14" w:rsidRPr="00012C3F" w:rsidRDefault="008501AE" w:rsidP="00EE5DB6">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Before describing the proven facts that are the purpose of this case, the Court finds it pertinent to refer to the</w:t>
      </w:r>
      <w:r w:rsidR="00CD2D3D" w:rsidRPr="00012C3F">
        <w:rPr>
          <w:sz w:val="20"/>
          <w:szCs w:val="20"/>
          <w:lang w:val="en-US"/>
        </w:rPr>
        <w:t xml:space="preserve"> presumed victim’s</w:t>
      </w:r>
      <w:r w:rsidRPr="00012C3F">
        <w:rPr>
          <w:sz w:val="20"/>
          <w:szCs w:val="20"/>
          <w:lang w:val="en-US"/>
        </w:rPr>
        <w:t xml:space="preserve"> personal circumstances</w:t>
      </w:r>
      <w:r w:rsidR="005C564E" w:rsidRPr="00012C3F">
        <w:rPr>
          <w:sz w:val="20"/>
          <w:szCs w:val="20"/>
          <w:lang w:val="en-US"/>
        </w:rPr>
        <w:t xml:space="preserve">. </w:t>
      </w:r>
      <w:r w:rsidR="000E1C11" w:rsidRPr="00012C3F">
        <w:rPr>
          <w:sz w:val="20"/>
          <w:szCs w:val="20"/>
          <w:lang w:val="en-US"/>
        </w:rPr>
        <w:t>I.V.</w:t>
      </w:r>
      <w:r w:rsidRPr="00012C3F">
        <w:rPr>
          <w:sz w:val="20"/>
          <w:szCs w:val="20"/>
          <w:lang w:val="en-US"/>
        </w:rPr>
        <w:t xml:space="preserve"> was born in t</w:t>
      </w:r>
      <w:r w:rsidR="00D22661" w:rsidRPr="00012C3F">
        <w:rPr>
          <w:sz w:val="20"/>
          <w:szCs w:val="20"/>
          <w:lang w:val="en-US"/>
        </w:rPr>
        <w:t>h</w:t>
      </w:r>
      <w:r w:rsidRPr="00012C3F">
        <w:rPr>
          <w:sz w:val="20"/>
          <w:szCs w:val="20"/>
          <w:lang w:val="en-US"/>
        </w:rPr>
        <w:t xml:space="preserve">e Republic of Peru on May 20, </w:t>
      </w:r>
      <w:r w:rsidR="007A1A14" w:rsidRPr="00012C3F">
        <w:rPr>
          <w:sz w:val="20"/>
          <w:szCs w:val="20"/>
          <w:lang w:val="en-US"/>
        </w:rPr>
        <w:t>1964</w:t>
      </w:r>
      <w:r w:rsidRPr="00012C3F">
        <w:rPr>
          <w:sz w:val="20"/>
          <w:szCs w:val="20"/>
          <w:lang w:val="en-US"/>
        </w:rPr>
        <w:t>.</w:t>
      </w:r>
      <w:r w:rsidR="007A1A14" w:rsidRPr="00012C3F">
        <w:rPr>
          <w:rStyle w:val="Refdenotaalpie"/>
          <w:sz w:val="20"/>
          <w:szCs w:val="20"/>
          <w:lang w:val="en-US"/>
        </w:rPr>
        <w:footnoteReference w:id="36"/>
      </w:r>
      <w:r w:rsidR="007A1A14" w:rsidRPr="00012C3F">
        <w:rPr>
          <w:sz w:val="20"/>
          <w:szCs w:val="20"/>
          <w:lang w:val="en-US"/>
        </w:rPr>
        <w:t xml:space="preserve"> </w:t>
      </w:r>
      <w:r w:rsidRPr="00012C3F">
        <w:rPr>
          <w:sz w:val="20"/>
          <w:szCs w:val="20"/>
          <w:lang w:val="en-US"/>
        </w:rPr>
        <w:t xml:space="preserve">She advised that she had twice been detained in the Peruvian National Counter-Terrorism Directorate </w:t>
      </w:r>
      <w:r w:rsidR="007A1A14" w:rsidRPr="00012C3F">
        <w:rPr>
          <w:sz w:val="20"/>
          <w:szCs w:val="20"/>
          <w:lang w:val="en-US"/>
        </w:rPr>
        <w:t>(DINCOTE</w:t>
      </w:r>
      <w:r w:rsidR="0011342A" w:rsidRPr="00012C3F">
        <w:rPr>
          <w:sz w:val="20"/>
          <w:szCs w:val="20"/>
          <w:lang w:val="en-US"/>
        </w:rPr>
        <w:t>),</w:t>
      </w:r>
      <w:r w:rsidRPr="00012C3F">
        <w:rPr>
          <w:sz w:val="20"/>
          <w:szCs w:val="20"/>
          <w:lang w:val="en-US"/>
        </w:rPr>
        <w:t xml:space="preserve"> where she had experienced physical, sexual and psychological abuse.</w:t>
      </w:r>
      <w:r w:rsidR="007A1A14" w:rsidRPr="00012C3F">
        <w:rPr>
          <w:rStyle w:val="Refdenotaalpie"/>
          <w:sz w:val="20"/>
          <w:szCs w:val="20"/>
          <w:lang w:val="en-US"/>
        </w:rPr>
        <w:footnoteReference w:id="37"/>
      </w:r>
      <w:r w:rsidR="007A1A14" w:rsidRPr="00012C3F">
        <w:rPr>
          <w:sz w:val="20"/>
          <w:szCs w:val="20"/>
          <w:lang w:val="en-US"/>
        </w:rPr>
        <w:t xml:space="preserve"> </w:t>
      </w:r>
      <w:r w:rsidRPr="00012C3F">
        <w:rPr>
          <w:sz w:val="20"/>
          <w:szCs w:val="20"/>
          <w:lang w:val="en-US"/>
        </w:rPr>
        <w:t>In</w:t>
      </w:r>
      <w:r w:rsidR="0011342A" w:rsidRPr="00012C3F">
        <w:rPr>
          <w:sz w:val="20"/>
          <w:szCs w:val="20"/>
          <w:lang w:val="en-US"/>
        </w:rPr>
        <w:t xml:space="preserve"> 1982, </w:t>
      </w:r>
      <w:r w:rsidRPr="00012C3F">
        <w:rPr>
          <w:sz w:val="20"/>
          <w:szCs w:val="20"/>
          <w:lang w:val="en-US"/>
        </w:rPr>
        <w:t xml:space="preserve">she had her first daughter. In 1989, she went to live with </w:t>
      </w:r>
      <w:r w:rsidR="0011342A" w:rsidRPr="00012C3F">
        <w:rPr>
          <w:sz w:val="20"/>
          <w:szCs w:val="20"/>
          <w:lang w:val="en-US"/>
        </w:rPr>
        <w:t>J.E.</w:t>
      </w:r>
      <w:r w:rsidR="007A1A14" w:rsidRPr="00012C3F">
        <w:rPr>
          <w:rStyle w:val="Refdenotaalpie"/>
          <w:sz w:val="20"/>
          <w:szCs w:val="20"/>
          <w:lang w:val="en-US"/>
        </w:rPr>
        <w:footnoteReference w:id="38"/>
      </w:r>
      <w:r w:rsidR="0060530D" w:rsidRPr="00012C3F">
        <w:rPr>
          <w:sz w:val="20"/>
          <w:szCs w:val="20"/>
          <w:lang w:val="en-US"/>
        </w:rPr>
        <w:t xml:space="preserve"> </w:t>
      </w:r>
      <w:r w:rsidRPr="00012C3F">
        <w:rPr>
          <w:sz w:val="20"/>
          <w:szCs w:val="20"/>
          <w:lang w:val="en-US"/>
        </w:rPr>
        <w:t>I</w:t>
      </w:r>
      <w:r w:rsidR="007A1A14" w:rsidRPr="00012C3F">
        <w:rPr>
          <w:sz w:val="20"/>
          <w:szCs w:val="20"/>
          <w:lang w:val="en-US"/>
        </w:rPr>
        <w:t>n 1991</w:t>
      </w:r>
      <w:r w:rsidRPr="00012C3F">
        <w:rPr>
          <w:sz w:val="20"/>
          <w:szCs w:val="20"/>
          <w:lang w:val="en-US"/>
        </w:rPr>
        <w:t xml:space="preserve">, </w:t>
      </w:r>
      <w:r w:rsidR="000E1C11" w:rsidRPr="00012C3F">
        <w:rPr>
          <w:sz w:val="20"/>
          <w:szCs w:val="20"/>
          <w:lang w:val="en-US"/>
        </w:rPr>
        <w:t>N.V.</w:t>
      </w:r>
      <w:r w:rsidR="007A1A14" w:rsidRPr="00012C3F">
        <w:rPr>
          <w:sz w:val="20"/>
          <w:szCs w:val="20"/>
          <w:lang w:val="en-US"/>
        </w:rPr>
        <w:t xml:space="preserve">, </w:t>
      </w:r>
      <w:r w:rsidRPr="00012C3F">
        <w:rPr>
          <w:sz w:val="20"/>
          <w:szCs w:val="20"/>
          <w:lang w:val="en-US"/>
        </w:rPr>
        <w:t xml:space="preserve">their first daughter together was born in </w:t>
      </w:r>
      <w:r w:rsidR="00833C77" w:rsidRPr="00012C3F">
        <w:rPr>
          <w:sz w:val="20"/>
          <w:szCs w:val="20"/>
          <w:lang w:val="en-US"/>
        </w:rPr>
        <w:t>Peru</w:t>
      </w:r>
      <w:r w:rsidRPr="00012C3F">
        <w:rPr>
          <w:sz w:val="20"/>
          <w:szCs w:val="20"/>
          <w:lang w:val="en-US"/>
        </w:rPr>
        <w:t>.</w:t>
      </w:r>
      <w:r w:rsidR="007A1A14" w:rsidRPr="00012C3F">
        <w:rPr>
          <w:rStyle w:val="Refdenotaalpie"/>
          <w:sz w:val="20"/>
          <w:szCs w:val="20"/>
          <w:lang w:val="en-US"/>
        </w:rPr>
        <w:footnoteReference w:id="39"/>
      </w:r>
      <w:r w:rsidR="0011342A" w:rsidRPr="00012C3F">
        <w:rPr>
          <w:sz w:val="20"/>
          <w:szCs w:val="20"/>
          <w:lang w:val="en-US"/>
        </w:rPr>
        <w:t xml:space="preserve"> </w:t>
      </w:r>
      <w:r w:rsidRPr="00012C3F">
        <w:rPr>
          <w:sz w:val="20"/>
          <w:szCs w:val="20"/>
          <w:lang w:val="en-US"/>
        </w:rPr>
        <w:t>I</w:t>
      </w:r>
      <w:r w:rsidR="007A1A14" w:rsidRPr="00012C3F">
        <w:rPr>
          <w:sz w:val="20"/>
          <w:szCs w:val="20"/>
          <w:lang w:val="en-US"/>
        </w:rPr>
        <w:t>n 1993, J</w:t>
      </w:r>
      <w:r w:rsidR="0011342A" w:rsidRPr="00012C3F">
        <w:rPr>
          <w:sz w:val="20"/>
          <w:szCs w:val="20"/>
          <w:lang w:val="en-US"/>
        </w:rPr>
        <w:t>.</w:t>
      </w:r>
      <w:r w:rsidR="007A1A14" w:rsidRPr="00012C3F">
        <w:rPr>
          <w:sz w:val="20"/>
          <w:szCs w:val="20"/>
          <w:lang w:val="en-US"/>
        </w:rPr>
        <w:t>E</w:t>
      </w:r>
      <w:r w:rsidR="0011342A" w:rsidRPr="00012C3F">
        <w:rPr>
          <w:sz w:val="20"/>
          <w:szCs w:val="20"/>
          <w:lang w:val="en-US"/>
        </w:rPr>
        <w:t>.</w:t>
      </w:r>
      <w:r w:rsidR="007A1A14" w:rsidRPr="00012C3F">
        <w:rPr>
          <w:sz w:val="20"/>
          <w:szCs w:val="20"/>
          <w:lang w:val="en-US"/>
        </w:rPr>
        <w:t xml:space="preserve"> </w:t>
      </w:r>
      <w:r w:rsidRPr="00012C3F">
        <w:rPr>
          <w:sz w:val="20"/>
          <w:szCs w:val="20"/>
          <w:lang w:val="en-US"/>
        </w:rPr>
        <w:t>moved to</w:t>
      </w:r>
      <w:r w:rsidR="007A1A14" w:rsidRPr="00012C3F">
        <w:rPr>
          <w:sz w:val="20"/>
          <w:szCs w:val="20"/>
          <w:lang w:val="en-US"/>
        </w:rPr>
        <w:t xml:space="preserve"> La Paz, Bolivia, </w:t>
      </w:r>
      <w:r w:rsidR="00CD2D3D" w:rsidRPr="00012C3F">
        <w:rPr>
          <w:sz w:val="20"/>
          <w:szCs w:val="20"/>
          <w:lang w:val="en-US"/>
        </w:rPr>
        <w:t>requesting</w:t>
      </w:r>
      <w:r w:rsidRPr="00012C3F">
        <w:rPr>
          <w:sz w:val="20"/>
          <w:szCs w:val="20"/>
          <w:lang w:val="en-US"/>
        </w:rPr>
        <w:t xml:space="preserve"> refugee status. In February 1994, </w:t>
      </w:r>
      <w:r w:rsidR="000E1C11" w:rsidRPr="00012C3F">
        <w:rPr>
          <w:sz w:val="20"/>
          <w:szCs w:val="20"/>
          <w:lang w:val="en-US"/>
        </w:rPr>
        <w:t>I.V.</w:t>
      </w:r>
      <w:r w:rsidR="005E5012" w:rsidRPr="00012C3F">
        <w:rPr>
          <w:sz w:val="20"/>
          <w:szCs w:val="20"/>
          <w:lang w:val="en-US"/>
        </w:rPr>
        <w:t xml:space="preserve"> and </w:t>
      </w:r>
      <w:r w:rsidR="000E1C11" w:rsidRPr="00012C3F">
        <w:rPr>
          <w:sz w:val="20"/>
          <w:szCs w:val="20"/>
          <w:lang w:val="en-US"/>
        </w:rPr>
        <w:t>N.V.</w:t>
      </w:r>
      <w:r w:rsidR="007A1A14" w:rsidRPr="00012C3F">
        <w:rPr>
          <w:sz w:val="20"/>
          <w:szCs w:val="20"/>
          <w:lang w:val="en-US"/>
        </w:rPr>
        <w:t xml:space="preserve"> </w:t>
      </w:r>
      <w:r w:rsidRPr="00012C3F">
        <w:rPr>
          <w:sz w:val="20"/>
          <w:szCs w:val="20"/>
          <w:lang w:val="en-US"/>
        </w:rPr>
        <w:t xml:space="preserve">were reunited with him in La </w:t>
      </w:r>
      <w:r w:rsidR="007A1A14" w:rsidRPr="00012C3F">
        <w:rPr>
          <w:sz w:val="20"/>
          <w:szCs w:val="20"/>
          <w:lang w:val="en-US"/>
        </w:rPr>
        <w:t xml:space="preserve">Paz. </w:t>
      </w:r>
      <w:r w:rsidRPr="00012C3F">
        <w:rPr>
          <w:sz w:val="20"/>
          <w:szCs w:val="20"/>
          <w:lang w:val="en-US"/>
        </w:rPr>
        <w:t>In April</w:t>
      </w:r>
      <w:r w:rsidR="00C3414B" w:rsidRPr="00012C3F">
        <w:rPr>
          <w:sz w:val="20"/>
          <w:szCs w:val="20"/>
          <w:lang w:val="en-US"/>
        </w:rPr>
        <w:t xml:space="preserve"> </w:t>
      </w:r>
      <w:r w:rsidR="007A1A14" w:rsidRPr="00012C3F">
        <w:rPr>
          <w:sz w:val="20"/>
          <w:szCs w:val="20"/>
          <w:lang w:val="en-US"/>
        </w:rPr>
        <w:t>1994</w:t>
      </w:r>
      <w:r w:rsidRPr="00012C3F">
        <w:rPr>
          <w:sz w:val="20"/>
          <w:szCs w:val="20"/>
          <w:lang w:val="en-US"/>
        </w:rPr>
        <w:t xml:space="preserve">, the family obtained refugee status in </w:t>
      </w:r>
      <w:r w:rsidR="007A1A14" w:rsidRPr="00012C3F">
        <w:rPr>
          <w:sz w:val="20"/>
          <w:szCs w:val="20"/>
          <w:lang w:val="en-US"/>
        </w:rPr>
        <w:t>Bolivia</w:t>
      </w:r>
      <w:r w:rsidRPr="00012C3F">
        <w:rPr>
          <w:sz w:val="20"/>
          <w:szCs w:val="20"/>
          <w:lang w:val="en-US"/>
        </w:rPr>
        <w:t>.</w:t>
      </w:r>
      <w:r w:rsidR="007A1A14" w:rsidRPr="00012C3F">
        <w:rPr>
          <w:sz w:val="20"/>
          <w:szCs w:val="20"/>
          <w:vertAlign w:val="superscript"/>
          <w:lang w:val="en-US"/>
        </w:rPr>
        <w:footnoteReference w:id="40"/>
      </w:r>
      <w:r w:rsidR="005B306E" w:rsidRPr="00012C3F">
        <w:rPr>
          <w:sz w:val="20"/>
          <w:szCs w:val="20"/>
          <w:lang w:val="en-US"/>
        </w:rPr>
        <w:t xml:space="preserve"> </w:t>
      </w:r>
      <w:r w:rsidRPr="00012C3F">
        <w:rPr>
          <w:sz w:val="20"/>
          <w:szCs w:val="20"/>
          <w:lang w:val="en-US"/>
        </w:rPr>
        <w:t>I</w:t>
      </w:r>
      <w:r w:rsidR="007A1A14" w:rsidRPr="00012C3F">
        <w:rPr>
          <w:sz w:val="20"/>
          <w:szCs w:val="20"/>
          <w:lang w:val="en-US"/>
        </w:rPr>
        <w:t xml:space="preserve">n Bolivia, </w:t>
      </w:r>
      <w:r w:rsidR="000E1C11" w:rsidRPr="00012C3F">
        <w:rPr>
          <w:sz w:val="20"/>
          <w:szCs w:val="20"/>
          <w:lang w:val="en-US"/>
        </w:rPr>
        <w:t>I.V.</w:t>
      </w:r>
      <w:r w:rsidR="007A1A14" w:rsidRPr="00012C3F">
        <w:rPr>
          <w:sz w:val="20"/>
          <w:szCs w:val="20"/>
          <w:lang w:val="en-US"/>
        </w:rPr>
        <w:t xml:space="preserve"> obt</w:t>
      </w:r>
      <w:r w:rsidRPr="00012C3F">
        <w:rPr>
          <w:sz w:val="20"/>
          <w:szCs w:val="20"/>
          <w:lang w:val="en-US"/>
        </w:rPr>
        <w:t xml:space="preserve">ained a technical </w:t>
      </w:r>
      <w:r w:rsidRPr="00012C3F">
        <w:rPr>
          <w:sz w:val="20"/>
          <w:szCs w:val="20"/>
          <w:lang w:val="en-US"/>
        </w:rPr>
        <w:lastRenderedPageBreak/>
        <w:t>diploma in hotel administration</w:t>
      </w:r>
      <w:r w:rsidR="007A1A14" w:rsidRPr="00012C3F">
        <w:rPr>
          <w:rStyle w:val="Refdenotaalpie"/>
          <w:sz w:val="20"/>
          <w:szCs w:val="20"/>
          <w:lang w:val="en-US"/>
        </w:rPr>
        <w:footnoteReference w:id="41"/>
      </w:r>
      <w:r w:rsidR="005E5012" w:rsidRPr="00012C3F">
        <w:rPr>
          <w:sz w:val="20"/>
          <w:szCs w:val="20"/>
          <w:lang w:val="en-US"/>
        </w:rPr>
        <w:t xml:space="preserve"> and</w:t>
      </w:r>
      <w:r w:rsidRPr="00012C3F">
        <w:rPr>
          <w:sz w:val="20"/>
          <w:szCs w:val="20"/>
          <w:lang w:val="en-US"/>
        </w:rPr>
        <w:t>,</w:t>
      </w:r>
      <w:r w:rsidR="005E5012" w:rsidRPr="00012C3F">
        <w:rPr>
          <w:sz w:val="20"/>
          <w:szCs w:val="20"/>
          <w:lang w:val="en-US"/>
        </w:rPr>
        <w:t xml:space="preserve"> </w:t>
      </w:r>
      <w:r w:rsidRPr="00012C3F">
        <w:rPr>
          <w:sz w:val="20"/>
          <w:szCs w:val="20"/>
          <w:lang w:val="en-US"/>
        </w:rPr>
        <w:t>in</w:t>
      </w:r>
      <w:r w:rsidR="007A1A14" w:rsidRPr="00012C3F">
        <w:rPr>
          <w:sz w:val="20"/>
          <w:szCs w:val="20"/>
          <w:lang w:val="en-US"/>
        </w:rPr>
        <w:t xml:space="preserve"> 2014</w:t>
      </w:r>
      <w:r w:rsidRPr="00012C3F">
        <w:rPr>
          <w:sz w:val="20"/>
          <w:szCs w:val="20"/>
          <w:lang w:val="en-US"/>
        </w:rPr>
        <w:t>, she obtained a law degree.</w:t>
      </w:r>
      <w:r w:rsidR="007A1A14" w:rsidRPr="00012C3F">
        <w:rPr>
          <w:rStyle w:val="Refdenotaalpie"/>
          <w:sz w:val="20"/>
          <w:szCs w:val="20"/>
          <w:lang w:val="en-US"/>
        </w:rPr>
        <w:footnoteReference w:id="42"/>
      </w:r>
    </w:p>
    <w:p w14:paraId="1A7CAAD1" w14:textId="77777777" w:rsidR="007A1A14" w:rsidRPr="00012C3F" w:rsidRDefault="007A1A14" w:rsidP="007A1A14">
      <w:pPr>
        <w:spacing w:line="240" w:lineRule="auto"/>
        <w:rPr>
          <w:sz w:val="20"/>
          <w:szCs w:val="20"/>
          <w:lang w:val="en-US"/>
        </w:rPr>
      </w:pPr>
    </w:p>
    <w:p w14:paraId="3BB1E021" w14:textId="77777777" w:rsidR="007A1A14" w:rsidRPr="00012C3F" w:rsidRDefault="007A1A14" w:rsidP="00040BA7">
      <w:pPr>
        <w:keepNext/>
        <w:keepLines/>
        <w:tabs>
          <w:tab w:val="left" w:pos="1134"/>
        </w:tabs>
        <w:spacing w:line="240" w:lineRule="auto"/>
        <w:ind w:left="567" w:firstLine="1"/>
        <w:outlineLvl w:val="1"/>
        <w:rPr>
          <w:rFonts w:eastAsia="MS Mincho"/>
          <w:b/>
          <w:bCs/>
          <w:i/>
          <w:sz w:val="20"/>
          <w:szCs w:val="20"/>
          <w:lang w:val="en-US"/>
        </w:rPr>
      </w:pPr>
      <w:bookmarkStart w:id="92" w:name="_Toc27486838"/>
      <w:r w:rsidRPr="00012C3F">
        <w:rPr>
          <w:rFonts w:eastAsia="MS Mincho"/>
          <w:b/>
          <w:bCs/>
          <w:i/>
          <w:sz w:val="20"/>
          <w:szCs w:val="20"/>
          <w:lang w:val="en-US"/>
        </w:rPr>
        <w:t xml:space="preserve">B. </w:t>
      </w:r>
      <w:r w:rsidRPr="00012C3F">
        <w:rPr>
          <w:rFonts w:eastAsia="MS Mincho"/>
          <w:b/>
          <w:bCs/>
          <w:i/>
          <w:sz w:val="20"/>
          <w:szCs w:val="20"/>
          <w:lang w:val="en-US"/>
        </w:rPr>
        <w:tab/>
      </w:r>
      <w:r w:rsidR="00CD2D3D" w:rsidRPr="00012C3F">
        <w:rPr>
          <w:rFonts w:eastAsia="MS Mincho"/>
          <w:b/>
          <w:bCs/>
          <w:i/>
          <w:sz w:val="20"/>
          <w:szCs w:val="20"/>
          <w:lang w:val="en-US"/>
        </w:rPr>
        <w:t>The caesarean section</w:t>
      </w:r>
      <w:r w:rsidR="00D22661" w:rsidRPr="00012C3F">
        <w:rPr>
          <w:rFonts w:eastAsia="MS Mincho"/>
          <w:b/>
          <w:bCs/>
          <w:i/>
          <w:sz w:val="20"/>
          <w:szCs w:val="20"/>
          <w:lang w:val="en-US"/>
        </w:rPr>
        <w:t xml:space="preserve"> and the tubal ligation surgical procedure</w:t>
      </w:r>
      <w:bookmarkEnd w:id="92"/>
    </w:p>
    <w:p w14:paraId="31F0216A" w14:textId="77777777" w:rsidR="007A1A14" w:rsidRPr="00012C3F" w:rsidRDefault="007A1A14" w:rsidP="007A1A14">
      <w:pPr>
        <w:spacing w:line="240" w:lineRule="auto"/>
        <w:rPr>
          <w:b/>
          <w:sz w:val="20"/>
          <w:szCs w:val="20"/>
          <w:lang w:val="en-US"/>
        </w:rPr>
      </w:pPr>
    </w:p>
    <w:p w14:paraId="643EA7A9" w14:textId="77777777" w:rsidR="007A1A14" w:rsidRPr="00012C3F" w:rsidRDefault="00CD2D3D" w:rsidP="00CB2A88">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In</w:t>
      </w:r>
      <w:r w:rsidR="00D22661" w:rsidRPr="00012C3F">
        <w:rPr>
          <w:sz w:val="20"/>
          <w:szCs w:val="20"/>
          <w:lang w:val="en-US"/>
        </w:rPr>
        <w:t xml:space="preserve"> February</w:t>
      </w:r>
      <w:r w:rsidR="0060530D" w:rsidRPr="00012C3F">
        <w:rPr>
          <w:sz w:val="20"/>
          <w:szCs w:val="20"/>
          <w:lang w:val="en-US"/>
        </w:rPr>
        <w:t xml:space="preserve"> 2000, </w:t>
      </w:r>
      <w:r w:rsidR="00D22661" w:rsidRPr="00012C3F">
        <w:rPr>
          <w:sz w:val="20"/>
          <w:szCs w:val="20"/>
          <w:lang w:val="en-US"/>
        </w:rPr>
        <w:t>on becoming aware of the existence of the Universal Health Insurance for Mothers and Children and the basic health insurance program, I.V., who was 35 years of age at the time and pregnant with her third daughter, began to attend the</w:t>
      </w:r>
      <w:r w:rsidR="0060530D" w:rsidRPr="00012C3F">
        <w:rPr>
          <w:sz w:val="20"/>
          <w:szCs w:val="20"/>
          <w:lang w:val="en-US"/>
        </w:rPr>
        <w:t xml:space="preserve"> </w:t>
      </w:r>
      <w:r w:rsidR="00D22661" w:rsidRPr="00012C3F">
        <w:rPr>
          <w:sz w:val="20"/>
          <w:szCs w:val="20"/>
          <w:lang w:val="en-US"/>
        </w:rPr>
        <w:t>Women’s Hospital in La Paz</w:t>
      </w:r>
      <w:r w:rsidR="009C22FA" w:rsidRPr="00012C3F">
        <w:rPr>
          <w:sz w:val="20"/>
          <w:szCs w:val="20"/>
          <w:lang w:val="en-US"/>
        </w:rPr>
        <w:t xml:space="preserve"> </w:t>
      </w:r>
      <w:r w:rsidR="00D22661" w:rsidRPr="00012C3F">
        <w:rPr>
          <w:sz w:val="20"/>
          <w:szCs w:val="20"/>
          <w:lang w:val="en-US"/>
        </w:rPr>
        <w:t>to receive pre-natal health care.</w:t>
      </w:r>
      <w:r w:rsidR="007A1A14" w:rsidRPr="00012C3F">
        <w:rPr>
          <w:rStyle w:val="Refdenotaalpie"/>
          <w:sz w:val="20"/>
          <w:szCs w:val="20"/>
          <w:lang w:val="en-US"/>
        </w:rPr>
        <w:footnoteReference w:id="43"/>
      </w:r>
    </w:p>
    <w:p w14:paraId="52B2FB86" w14:textId="77777777" w:rsidR="007A1A14" w:rsidRPr="00012C3F" w:rsidRDefault="007A1A14" w:rsidP="00CB2A88">
      <w:pPr>
        <w:tabs>
          <w:tab w:val="left" w:pos="720"/>
        </w:tabs>
        <w:spacing w:line="240" w:lineRule="auto"/>
        <w:rPr>
          <w:sz w:val="20"/>
          <w:szCs w:val="20"/>
          <w:lang w:val="en-US"/>
        </w:rPr>
      </w:pPr>
    </w:p>
    <w:p w14:paraId="37682A8F" w14:textId="77777777" w:rsidR="007A1A14" w:rsidRPr="00012C3F" w:rsidRDefault="00D22661" w:rsidP="00CB2A88">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On</w:t>
      </w:r>
      <w:r w:rsidR="00CD2D3D" w:rsidRPr="00012C3F">
        <w:rPr>
          <w:sz w:val="20"/>
          <w:szCs w:val="20"/>
          <w:lang w:val="en-US"/>
        </w:rPr>
        <w:t xml:space="preserve"> the afternoon of</w:t>
      </w:r>
      <w:r w:rsidR="007A1A14" w:rsidRPr="00012C3F">
        <w:rPr>
          <w:sz w:val="20"/>
          <w:szCs w:val="20"/>
          <w:lang w:val="en-US"/>
        </w:rPr>
        <w:t xml:space="preserve"> </w:t>
      </w:r>
      <w:r w:rsidR="00566357" w:rsidRPr="00012C3F">
        <w:rPr>
          <w:sz w:val="20"/>
          <w:szCs w:val="20"/>
          <w:lang w:val="en-US"/>
        </w:rPr>
        <w:t>July 1,</w:t>
      </w:r>
      <w:r w:rsidR="007A1A14" w:rsidRPr="00012C3F">
        <w:rPr>
          <w:sz w:val="20"/>
          <w:szCs w:val="20"/>
          <w:lang w:val="en-US"/>
        </w:rPr>
        <w:t xml:space="preserve"> 2000</w:t>
      </w:r>
      <w:r w:rsidR="00F8723F" w:rsidRPr="00012C3F">
        <w:rPr>
          <w:sz w:val="20"/>
          <w:szCs w:val="20"/>
          <w:lang w:val="en-US"/>
        </w:rPr>
        <w:t xml:space="preserve">, </w:t>
      </w:r>
      <w:r w:rsidRPr="00012C3F">
        <w:rPr>
          <w:sz w:val="20"/>
          <w:szCs w:val="20"/>
          <w:lang w:val="en-US"/>
        </w:rPr>
        <w:t xml:space="preserve">I.V. was admitted to the Women’s Hospital in La Paz, after experiencing the spontaneous rupture of the membranes at week 38.5 of her pregnancy and pain at the level of </w:t>
      </w:r>
      <w:r w:rsidR="00136EDE" w:rsidRPr="00012C3F">
        <w:rPr>
          <w:sz w:val="20"/>
          <w:szCs w:val="20"/>
          <w:lang w:val="en-US"/>
        </w:rPr>
        <w:t>the caesarean section</w:t>
      </w:r>
      <w:r w:rsidRPr="00012C3F">
        <w:rPr>
          <w:sz w:val="20"/>
          <w:szCs w:val="20"/>
          <w:lang w:val="en-US"/>
        </w:rPr>
        <w:t xml:space="preserve"> she had undergone in 1982</w:t>
      </w:r>
      <w:r w:rsidR="007A1A14" w:rsidRPr="00012C3F">
        <w:rPr>
          <w:rStyle w:val="Refdenotaalpie"/>
          <w:sz w:val="20"/>
          <w:szCs w:val="20"/>
          <w:lang w:val="en-US"/>
        </w:rPr>
        <w:footnoteReference w:id="44"/>
      </w:r>
      <w:r w:rsidR="007A1A14" w:rsidRPr="00012C3F">
        <w:rPr>
          <w:sz w:val="20"/>
          <w:szCs w:val="20"/>
          <w:lang w:val="en-US"/>
        </w:rPr>
        <w:t xml:space="preserve"> (</w:t>
      </w:r>
      <w:r w:rsidR="007A1A14" w:rsidRPr="00012C3F">
        <w:rPr>
          <w:i/>
          <w:sz w:val="20"/>
          <w:szCs w:val="20"/>
          <w:lang w:val="en-US"/>
        </w:rPr>
        <w:t xml:space="preserve">supra </w:t>
      </w:r>
      <w:r w:rsidR="00370DD4" w:rsidRPr="00012C3F">
        <w:rPr>
          <w:sz w:val="20"/>
          <w:szCs w:val="20"/>
          <w:lang w:val="en-US"/>
        </w:rPr>
        <w:t>para.</w:t>
      </w:r>
      <w:r w:rsidR="007A1A14" w:rsidRPr="00012C3F">
        <w:rPr>
          <w:sz w:val="20"/>
          <w:szCs w:val="20"/>
          <w:lang w:val="en-US"/>
        </w:rPr>
        <w:t xml:space="preserve"> </w:t>
      </w:r>
      <w:r w:rsidR="00FD4F89" w:rsidRPr="00012C3F">
        <w:rPr>
          <w:sz w:val="20"/>
          <w:szCs w:val="20"/>
          <w:lang w:val="en-US"/>
        </w:rPr>
        <w:t xml:space="preserve">61). </w:t>
      </w:r>
      <w:r w:rsidRPr="00012C3F">
        <w:rPr>
          <w:sz w:val="20"/>
          <w:szCs w:val="20"/>
          <w:lang w:val="en-US"/>
        </w:rPr>
        <w:t xml:space="preserve">Since the attending physician verified that she had previously had </w:t>
      </w:r>
      <w:r w:rsidR="00CC232E" w:rsidRPr="00012C3F">
        <w:rPr>
          <w:sz w:val="20"/>
          <w:szCs w:val="20"/>
          <w:lang w:val="en-US"/>
        </w:rPr>
        <w:t>a caesarean section</w:t>
      </w:r>
      <w:r w:rsidRPr="00012C3F">
        <w:rPr>
          <w:sz w:val="20"/>
          <w:szCs w:val="20"/>
          <w:lang w:val="en-US"/>
        </w:rPr>
        <w:t>, that she had not gone into labor, and that the fetus was in tra</w:t>
      </w:r>
      <w:r w:rsidR="00CD2D3D" w:rsidRPr="00012C3F">
        <w:rPr>
          <w:sz w:val="20"/>
          <w:szCs w:val="20"/>
          <w:lang w:val="en-US"/>
        </w:rPr>
        <w:t>nsversal position</w:t>
      </w:r>
      <w:r w:rsidRPr="00012C3F">
        <w:rPr>
          <w:sz w:val="20"/>
          <w:szCs w:val="20"/>
          <w:lang w:val="en-US"/>
        </w:rPr>
        <w:t xml:space="preserve">, he decided to perform </w:t>
      </w:r>
      <w:r w:rsidR="00CC232E" w:rsidRPr="00012C3F">
        <w:rPr>
          <w:sz w:val="20"/>
          <w:szCs w:val="20"/>
          <w:lang w:val="en-US"/>
        </w:rPr>
        <w:t>a caesarean section</w:t>
      </w:r>
      <w:r w:rsidRPr="00012C3F">
        <w:rPr>
          <w:sz w:val="20"/>
          <w:szCs w:val="20"/>
          <w:lang w:val="en-US"/>
        </w:rPr>
        <w:t>.</w:t>
      </w:r>
      <w:r w:rsidR="007A1A14" w:rsidRPr="00012C3F">
        <w:rPr>
          <w:rStyle w:val="Refdenotaalpie"/>
          <w:sz w:val="20"/>
          <w:szCs w:val="20"/>
          <w:lang w:val="en-US"/>
        </w:rPr>
        <w:footnoteReference w:id="45"/>
      </w:r>
      <w:r w:rsidR="007A1A14" w:rsidRPr="00012C3F">
        <w:rPr>
          <w:sz w:val="20"/>
          <w:szCs w:val="20"/>
          <w:lang w:val="en-US"/>
        </w:rPr>
        <w:t xml:space="preserve"> </w:t>
      </w:r>
      <w:r w:rsidRPr="00012C3F">
        <w:rPr>
          <w:sz w:val="20"/>
          <w:szCs w:val="20"/>
          <w:lang w:val="en-US"/>
        </w:rPr>
        <w:t xml:space="preserve">During the procedure, the surgical team consisted of the obstetrician-gynecologist, who was </w:t>
      </w:r>
      <w:r w:rsidR="00CD2D3D" w:rsidRPr="00012C3F">
        <w:rPr>
          <w:sz w:val="20"/>
          <w:szCs w:val="20"/>
          <w:lang w:val="en-US"/>
        </w:rPr>
        <w:t xml:space="preserve">the </w:t>
      </w:r>
      <w:r w:rsidRPr="00012C3F">
        <w:rPr>
          <w:sz w:val="20"/>
          <w:szCs w:val="20"/>
          <w:lang w:val="en-US"/>
        </w:rPr>
        <w:t xml:space="preserve">head of the </w:t>
      </w:r>
      <w:r w:rsidR="00CD2D3D" w:rsidRPr="00012C3F">
        <w:rPr>
          <w:sz w:val="20"/>
          <w:szCs w:val="20"/>
          <w:lang w:val="en-US"/>
        </w:rPr>
        <w:t xml:space="preserve">doctors on call </w:t>
      </w:r>
      <w:r w:rsidRPr="00012C3F">
        <w:rPr>
          <w:sz w:val="20"/>
          <w:szCs w:val="20"/>
          <w:lang w:val="en-US"/>
        </w:rPr>
        <w:t xml:space="preserve">at the time and acted as the instructing surgeon and second </w:t>
      </w:r>
      <w:r w:rsidR="00CD2D3D" w:rsidRPr="00012C3F">
        <w:rPr>
          <w:sz w:val="20"/>
          <w:szCs w:val="20"/>
          <w:lang w:val="en-US"/>
        </w:rPr>
        <w:t>surgeon</w:t>
      </w:r>
      <w:r w:rsidRPr="00012C3F">
        <w:rPr>
          <w:sz w:val="20"/>
          <w:szCs w:val="20"/>
          <w:lang w:val="en-US"/>
        </w:rPr>
        <w:t xml:space="preserve">; the third-year resident </w:t>
      </w:r>
      <w:r w:rsidR="00CD2D3D" w:rsidRPr="00012C3F">
        <w:rPr>
          <w:sz w:val="20"/>
          <w:szCs w:val="20"/>
          <w:lang w:val="en-US"/>
        </w:rPr>
        <w:t>doctor</w:t>
      </w:r>
      <w:r w:rsidRPr="00012C3F">
        <w:rPr>
          <w:sz w:val="20"/>
          <w:szCs w:val="20"/>
          <w:lang w:val="en-US"/>
        </w:rPr>
        <w:t xml:space="preserve"> acting as the main surgeon; the anesthetist</w:t>
      </w:r>
      <w:r w:rsidR="007A1A14" w:rsidRPr="00012C3F">
        <w:rPr>
          <w:rStyle w:val="Refdenotaalpie"/>
          <w:sz w:val="20"/>
          <w:szCs w:val="20"/>
          <w:lang w:val="en-US"/>
        </w:rPr>
        <w:footnoteReference w:id="46"/>
      </w:r>
      <w:r w:rsidR="005E5012" w:rsidRPr="00012C3F">
        <w:rPr>
          <w:sz w:val="20"/>
          <w:szCs w:val="20"/>
          <w:lang w:val="en-US"/>
        </w:rPr>
        <w:t xml:space="preserve"> and </w:t>
      </w:r>
      <w:r w:rsidRPr="00012C3F">
        <w:rPr>
          <w:sz w:val="20"/>
          <w:szCs w:val="20"/>
          <w:lang w:val="en-US"/>
        </w:rPr>
        <w:t>the</w:t>
      </w:r>
      <w:r w:rsidR="007A1A14" w:rsidRPr="00012C3F">
        <w:rPr>
          <w:sz w:val="20"/>
          <w:szCs w:val="20"/>
          <w:lang w:val="en-US"/>
        </w:rPr>
        <w:t xml:space="preserve"> </w:t>
      </w:r>
      <w:r w:rsidRPr="00012C3F">
        <w:rPr>
          <w:sz w:val="20"/>
          <w:szCs w:val="20"/>
          <w:lang w:val="en-US"/>
        </w:rPr>
        <w:t>assistant.</w:t>
      </w:r>
      <w:r w:rsidR="007A1A14" w:rsidRPr="00012C3F">
        <w:rPr>
          <w:rStyle w:val="Refdenotaalpie"/>
          <w:sz w:val="20"/>
          <w:szCs w:val="20"/>
          <w:lang w:val="en-US"/>
        </w:rPr>
        <w:footnoteReference w:id="47"/>
      </w:r>
      <w:r w:rsidR="007A1A14" w:rsidRPr="00012C3F">
        <w:rPr>
          <w:sz w:val="20"/>
          <w:szCs w:val="20"/>
          <w:lang w:val="en-US"/>
        </w:rPr>
        <w:t xml:space="preserve"> </w:t>
      </w:r>
      <w:r w:rsidRPr="00012C3F">
        <w:rPr>
          <w:sz w:val="20"/>
          <w:szCs w:val="20"/>
          <w:lang w:val="en-US"/>
        </w:rPr>
        <w:t>An intern, ac</w:t>
      </w:r>
      <w:r w:rsidR="00B67799" w:rsidRPr="00012C3F">
        <w:rPr>
          <w:sz w:val="20"/>
          <w:szCs w:val="20"/>
          <w:lang w:val="en-US"/>
        </w:rPr>
        <w:t>ted</w:t>
      </w:r>
      <w:r w:rsidRPr="00012C3F">
        <w:rPr>
          <w:sz w:val="20"/>
          <w:szCs w:val="20"/>
          <w:lang w:val="en-US"/>
        </w:rPr>
        <w:t xml:space="preserve"> as a second assistan</w:t>
      </w:r>
      <w:r w:rsidR="000B6F1B" w:rsidRPr="00012C3F">
        <w:rPr>
          <w:sz w:val="20"/>
          <w:szCs w:val="20"/>
          <w:lang w:val="en-US"/>
        </w:rPr>
        <w:t>t,</w:t>
      </w:r>
      <w:r w:rsidRPr="00012C3F">
        <w:rPr>
          <w:sz w:val="20"/>
          <w:szCs w:val="20"/>
          <w:lang w:val="en-US"/>
        </w:rPr>
        <w:t xml:space="preserve"> and</w:t>
      </w:r>
      <w:r w:rsidR="00B67799" w:rsidRPr="00012C3F">
        <w:rPr>
          <w:sz w:val="20"/>
          <w:szCs w:val="20"/>
          <w:lang w:val="en-US"/>
        </w:rPr>
        <w:t xml:space="preserve"> an operating theater assistant </w:t>
      </w:r>
      <w:r w:rsidR="000B6F1B" w:rsidRPr="00012C3F">
        <w:rPr>
          <w:sz w:val="20"/>
          <w:szCs w:val="20"/>
          <w:lang w:val="en-US"/>
        </w:rPr>
        <w:t xml:space="preserve">were also present during the </w:t>
      </w:r>
      <w:r w:rsidR="00B67799" w:rsidRPr="00012C3F">
        <w:rPr>
          <w:sz w:val="20"/>
          <w:szCs w:val="20"/>
          <w:lang w:val="en-US"/>
        </w:rPr>
        <w:t>procedure</w:t>
      </w:r>
      <w:r w:rsidR="000B6F1B" w:rsidRPr="00012C3F">
        <w:rPr>
          <w:sz w:val="20"/>
          <w:szCs w:val="20"/>
          <w:lang w:val="en-US"/>
        </w:rPr>
        <w:t>.</w:t>
      </w:r>
      <w:r w:rsidR="007A1A14" w:rsidRPr="00012C3F">
        <w:rPr>
          <w:rStyle w:val="Refdenotaalpie"/>
          <w:sz w:val="20"/>
          <w:szCs w:val="20"/>
          <w:lang w:val="en-US"/>
        </w:rPr>
        <w:footnoteReference w:id="48"/>
      </w:r>
    </w:p>
    <w:p w14:paraId="3235727D" w14:textId="77777777" w:rsidR="007A1A14" w:rsidRPr="00012C3F" w:rsidRDefault="007A1A14" w:rsidP="007A1A14">
      <w:pPr>
        <w:spacing w:line="240" w:lineRule="auto"/>
        <w:rPr>
          <w:sz w:val="20"/>
          <w:szCs w:val="20"/>
          <w:lang w:val="en-US"/>
        </w:rPr>
      </w:pPr>
    </w:p>
    <w:p w14:paraId="4775E446" w14:textId="77777777" w:rsidR="00030E2E" w:rsidRPr="00012C3F" w:rsidRDefault="000B6F1B" w:rsidP="00CB2A88">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The</w:t>
      </w:r>
      <w:r w:rsidR="007A1A14" w:rsidRPr="00012C3F">
        <w:rPr>
          <w:sz w:val="20"/>
          <w:szCs w:val="20"/>
          <w:lang w:val="en-US"/>
        </w:rPr>
        <w:t xml:space="preserve"> </w:t>
      </w:r>
      <w:r w:rsidR="00136EDE" w:rsidRPr="00012C3F">
        <w:rPr>
          <w:sz w:val="20"/>
          <w:szCs w:val="20"/>
          <w:lang w:val="en-US"/>
        </w:rPr>
        <w:t>c</w:t>
      </w:r>
      <w:r w:rsidR="00D22661" w:rsidRPr="00012C3F">
        <w:rPr>
          <w:sz w:val="20"/>
          <w:szCs w:val="20"/>
          <w:lang w:val="en-US"/>
        </w:rPr>
        <w:t>aesarean section</w:t>
      </w:r>
      <w:r w:rsidR="007A1A14" w:rsidRPr="00012C3F">
        <w:rPr>
          <w:sz w:val="20"/>
          <w:szCs w:val="20"/>
          <w:lang w:val="en-US"/>
        </w:rPr>
        <w:t xml:space="preserve"> </w:t>
      </w:r>
      <w:r w:rsidRPr="00012C3F">
        <w:rPr>
          <w:sz w:val="20"/>
          <w:szCs w:val="20"/>
          <w:lang w:val="en-US"/>
        </w:rPr>
        <w:t xml:space="preserve">was started by the third-year resident </w:t>
      </w:r>
      <w:r w:rsidR="00B67799" w:rsidRPr="00012C3F">
        <w:rPr>
          <w:sz w:val="20"/>
          <w:szCs w:val="20"/>
          <w:lang w:val="en-US"/>
        </w:rPr>
        <w:t>doctor</w:t>
      </w:r>
      <w:r w:rsidR="00F8723F" w:rsidRPr="00012C3F">
        <w:rPr>
          <w:sz w:val="20"/>
          <w:szCs w:val="20"/>
          <w:lang w:val="en-US"/>
        </w:rPr>
        <w:t xml:space="preserve"> </w:t>
      </w:r>
      <w:r w:rsidRPr="00012C3F">
        <w:rPr>
          <w:sz w:val="20"/>
          <w:szCs w:val="20"/>
          <w:lang w:val="en-US"/>
        </w:rPr>
        <w:t>just after</w:t>
      </w:r>
      <w:r w:rsidR="00F8723F" w:rsidRPr="00012C3F">
        <w:rPr>
          <w:sz w:val="20"/>
          <w:szCs w:val="20"/>
          <w:lang w:val="en-US"/>
        </w:rPr>
        <w:t xml:space="preserve"> 19:00 ho</w:t>
      </w:r>
      <w:r w:rsidRPr="00012C3F">
        <w:rPr>
          <w:sz w:val="20"/>
          <w:szCs w:val="20"/>
          <w:lang w:val="en-US"/>
        </w:rPr>
        <w:t>urs.</w:t>
      </w:r>
      <w:r w:rsidR="007A1A14" w:rsidRPr="00012C3F">
        <w:rPr>
          <w:rStyle w:val="Refdenotaalpie"/>
          <w:sz w:val="20"/>
          <w:szCs w:val="20"/>
          <w:lang w:val="en-US"/>
        </w:rPr>
        <w:footnoteReference w:id="49"/>
      </w:r>
      <w:r w:rsidRPr="00012C3F">
        <w:rPr>
          <w:sz w:val="20"/>
          <w:szCs w:val="20"/>
          <w:lang w:val="en-US"/>
        </w:rPr>
        <w:t xml:space="preserve"> However, during </w:t>
      </w:r>
      <w:r w:rsidR="00136EDE" w:rsidRPr="00012C3F">
        <w:rPr>
          <w:sz w:val="20"/>
          <w:szCs w:val="20"/>
          <w:lang w:val="en-US"/>
        </w:rPr>
        <w:t>the caesarean section</w:t>
      </w:r>
      <w:r w:rsidRPr="00012C3F">
        <w:rPr>
          <w:sz w:val="20"/>
          <w:szCs w:val="20"/>
          <w:lang w:val="en-US"/>
        </w:rPr>
        <w:t xml:space="preserve"> surgical procedure, the presence of numerous </w:t>
      </w:r>
      <w:r w:rsidRPr="00012C3F">
        <w:rPr>
          <w:sz w:val="20"/>
          <w:szCs w:val="20"/>
          <w:lang w:val="en-US"/>
        </w:rPr>
        <w:lastRenderedPageBreak/>
        <w:t>adhesions in the lower uterine segment</w:t>
      </w:r>
      <w:r w:rsidR="00136EDE" w:rsidRPr="00012C3F">
        <w:rPr>
          <w:sz w:val="20"/>
          <w:szCs w:val="20"/>
          <w:lang w:val="en-US"/>
        </w:rPr>
        <w:t xml:space="preserve"> was verified</w:t>
      </w:r>
      <w:r w:rsidR="007A1A14" w:rsidRPr="00012C3F">
        <w:rPr>
          <w:rStyle w:val="Refdenotaalpie"/>
          <w:sz w:val="20"/>
          <w:szCs w:val="20"/>
          <w:lang w:val="en-US"/>
        </w:rPr>
        <w:footnoteReference w:id="50"/>
      </w:r>
      <w:r w:rsidRPr="00012C3F">
        <w:rPr>
          <w:sz w:val="20"/>
          <w:szCs w:val="20"/>
          <w:lang w:val="en-US"/>
        </w:rPr>
        <w:t xml:space="preserve"> and, therefore, </w:t>
      </w:r>
      <w:r w:rsidR="00B67799" w:rsidRPr="00012C3F">
        <w:rPr>
          <w:sz w:val="20"/>
          <w:szCs w:val="20"/>
          <w:lang w:val="en-US"/>
        </w:rPr>
        <w:t>owing to</w:t>
      </w:r>
      <w:r w:rsidRPr="00012C3F">
        <w:rPr>
          <w:sz w:val="20"/>
          <w:szCs w:val="20"/>
          <w:lang w:val="en-US"/>
        </w:rPr>
        <w:t xml:space="preserve"> the complexity of the case, the obstetrician-gynecologist</w:t>
      </w:r>
      <w:r w:rsidR="00810637" w:rsidRPr="00012C3F">
        <w:rPr>
          <w:sz w:val="20"/>
          <w:szCs w:val="20"/>
          <w:lang w:val="en-US"/>
        </w:rPr>
        <w:t xml:space="preserve"> </w:t>
      </w:r>
      <w:r w:rsidRPr="00012C3F">
        <w:rPr>
          <w:sz w:val="20"/>
          <w:szCs w:val="20"/>
          <w:lang w:val="en-US"/>
        </w:rPr>
        <w:t>took charge of the operation in his capacity as instructing surgeon.</w:t>
      </w:r>
      <w:r w:rsidR="007A1A14" w:rsidRPr="00012C3F">
        <w:rPr>
          <w:rStyle w:val="Refdenotaalpie"/>
          <w:sz w:val="20"/>
          <w:szCs w:val="20"/>
          <w:lang w:val="en-US"/>
        </w:rPr>
        <w:footnoteReference w:id="51"/>
      </w:r>
      <w:r w:rsidRPr="00012C3F">
        <w:rPr>
          <w:sz w:val="20"/>
          <w:szCs w:val="20"/>
          <w:lang w:val="en-US"/>
        </w:rPr>
        <w:t xml:space="preserve"> After the neonatologist had taken the newborn, I.V.</w:t>
      </w:r>
      <w:r w:rsidR="00B67799" w:rsidRPr="00012C3F">
        <w:rPr>
          <w:sz w:val="20"/>
          <w:szCs w:val="20"/>
          <w:lang w:val="en-US"/>
        </w:rPr>
        <w:t xml:space="preserve"> underwent a bilateral tubal ligation</w:t>
      </w:r>
      <w:r w:rsidRPr="00012C3F">
        <w:rPr>
          <w:sz w:val="20"/>
          <w:szCs w:val="20"/>
          <w:lang w:val="en-US"/>
        </w:rPr>
        <w:t xml:space="preserve"> using the Pomeroy technique.</w:t>
      </w:r>
      <w:r w:rsidR="007A1A14" w:rsidRPr="00012C3F">
        <w:rPr>
          <w:rStyle w:val="Refdenotaalpie"/>
          <w:sz w:val="20"/>
          <w:szCs w:val="20"/>
          <w:lang w:val="en-US"/>
        </w:rPr>
        <w:footnoteReference w:id="52"/>
      </w:r>
      <w:r w:rsidRPr="00012C3F">
        <w:rPr>
          <w:sz w:val="20"/>
          <w:szCs w:val="20"/>
          <w:lang w:val="en-US"/>
        </w:rPr>
        <w:t xml:space="preserve"> Both surgical procedures were performed while the patient was under epidural anesthetic.</w:t>
      </w:r>
      <w:r w:rsidR="00435259" w:rsidRPr="00012C3F">
        <w:rPr>
          <w:rStyle w:val="Refdenotaalpie"/>
          <w:sz w:val="20"/>
          <w:szCs w:val="20"/>
          <w:lang w:val="en-US"/>
        </w:rPr>
        <w:footnoteReference w:id="53"/>
      </w:r>
    </w:p>
    <w:p w14:paraId="10C33A7B" w14:textId="77777777" w:rsidR="00030E2E" w:rsidRPr="00012C3F" w:rsidRDefault="000B6F1B" w:rsidP="00CB2A88">
      <w:pPr>
        <w:tabs>
          <w:tab w:val="left" w:pos="720"/>
          <w:tab w:val="num" w:pos="12305"/>
        </w:tabs>
        <w:spacing w:line="240" w:lineRule="auto"/>
        <w:rPr>
          <w:sz w:val="20"/>
          <w:szCs w:val="20"/>
          <w:lang w:val="en-US"/>
        </w:rPr>
      </w:pPr>
      <w:r w:rsidRPr="00012C3F">
        <w:rPr>
          <w:sz w:val="20"/>
          <w:szCs w:val="20"/>
          <w:lang w:val="en-US"/>
        </w:rPr>
        <w:t xml:space="preserve"> </w:t>
      </w:r>
    </w:p>
    <w:p w14:paraId="2CA74D7D" w14:textId="77777777" w:rsidR="007A1A14" w:rsidRPr="00012C3F" w:rsidRDefault="000B6F1B" w:rsidP="00CB2A88">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Prior to the surgical procedure, </w:t>
      </w:r>
      <w:r w:rsidR="000E1C11" w:rsidRPr="00012C3F">
        <w:rPr>
          <w:sz w:val="20"/>
          <w:szCs w:val="20"/>
          <w:lang w:val="en-US"/>
        </w:rPr>
        <w:t>I.V.</w:t>
      </w:r>
      <w:r w:rsidR="00B67799" w:rsidRPr="00012C3F">
        <w:rPr>
          <w:sz w:val="20"/>
          <w:szCs w:val="20"/>
          <w:lang w:val="en-US"/>
        </w:rPr>
        <w:t>’s husband</w:t>
      </w:r>
      <w:r w:rsidR="00435259" w:rsidRPr="00012C3F">
        <w:rPr>
          <w:sz w:val="20"/>
          <w:szCs w:val="20"/>
          <w:lang w:val="en-US"/>
        </w:rPr>
        <w:t xml:space="preserve">, </w:t>
      </w:r>
      <w:r w:rsidR="00B67799" w:rsidRPr="00012C3F">
        <w:rPr>
          <w:sz w:val="20"/>
          <w:szCs w:val="20"/>
          <w:lang w:val="en-US"/>
        </w:rPr>
        <w:t xml:space="preserve">J.E., had </w:t>
      </w:r>
      <w:r w:rsidRPr="00012C3F">
        <w:rPr>
          <w:sz w:val="20"/>
          <w:szCs w:val="20"/>
          <w:lang w:val="en-US"/>
        </w:rPr>
        <w:t xml:space="preserve">signed a form entitled “Family authorization for surgery or special treatment,” in relation to </w:t>
      </w:r>
      <w:r w:rsidR="00136EDE" w:rsidRPr="00012C3F">
        <w:rPr>
          <w:sz w:val="20"/>
          <w:szCs w:val="20"/>
          <w:lang w:val="en-US"/>
        </w:rPr>
        <w:t>the caesarean section</w:t>
      </w:r>
      <w:r w:rsidRPr="00012C3F">
        <w:rPr>
          <w:sz w:val="20"/>
          <w:szCs w:val="20"/>
          <w:lang w:val="en-US"/>
        </w:rPr>
        <w:t>.</w:t>
      </w:r>
      <w:r w:rsidR="00435259" w:rsidRPr="00012C3F">
        <w:rPr>
          <w:rStyle w:val="Refdenotaalpie"/>
          <w:sz w:val="20"/>
          <w:szCs w:val="20"/>
          <w:lang w:val="en-US"/>
        </w:rPr>
        <w:footnoteReference w:id="54"/>
      </w:r>
      <w:r w:rsidRPr="00012C3F">
        <w:rPr>
          <w:sz w:val="20"/>
          <w:szCs w:val="20"/>
          <w:lang w:val="en-US"/>
        </w:rPr>
        <w:t xml:space="preserve"> This form was not signed by I.V. During</w:t>
      </w:r>
      <w:r w:rsidR="00CB2A88" w:rsidRPr="00012C3F">
        <w:rPr>
          <w:sz w:val="20"/>
          <w:szCs w:val="20"/>
          <w:lang w:val="en-US"/>
        </w:rPr>
        <w:t xml:space="preserve"> the peri-operative period</w:t>
      </w:r>
      <w:r w:rsidR="00BC1D77" w:rsidRPr="00012C3F">
        <w:rPr>
          <w:sz w:val="20"/>
          <w:szCs w:val="20"/>
          <w:lang w:val="en-US"/>
        </w:rPr>
        <w:t xml:space="preserve">, </w:t>
      </w:r>
      <w:r w:rsidRPr="00012C3F">
        <w:rPr>
          <w:sz w:val="20"/>
          <w:szCs w:val="20"/>
          <w:lang w:val="en-US"/>
        </w:rPr>
        <w:t>the obstetrician-gynecologist</w:t>
      </w:r>
      <w:r w:rsidR="007A1A14" w:rsidRPr="00012C3F">
        <w:rPr>
          <w:sz w:val="20"/>
          <w:szCs w:val="20"/>
          <w:lang w:val="en-US"/>
        </w:rPr>
        <w:t xml:space="preserve"> </w:t>
      </w:r>
      <w:r w:rsidR="00CB2A88" w:rsidRPr="00012C3F">
        <w:rPr>
          <w:sz w:val="20"/>
          <w:szCs w:val="20"/>
          <w:lang w:val="en-US"/>
        </w:rPr>
        <w:t>asked someone to fetch I.V.’s husband so that he could authorize the tubal ligation.</w:t>
      </w:r>
      <w:r w:rsidR="00223B9F" w:rsidRPr="00012C3F">
        <w:rPr>
          <w:rStyle w:val="Refdenotaalpie"/>
          <w:sz w:val="20"/>
          <w:szCs w:val="20"/>
          <w:lang w:val="en-US"/>
        </w:rPr>
        <w:footnoteReference w:id="55"/>
      </w:r>
      <w:r w:rsidR="00CB2A88" w:rsidRPr="00012C3F">
        <w:rPr>
          <w:sz w:val="20"/>
          <w:szCs w:val="20"/>
          <w:lang w:val="en-US"/>
        </w:rPr>
        <w:t xml:space="preserve"> </w:t>
      </w:r>
      <w:r w:rsidR="00BC1D77" w:rsidRPr="00012C3F">
        <w:rPr>
          <w:sz w:val="20"/>
          <w:szCs w:val="20"/>
          <w:lang w:val="en-US"/>
        </w:rPr>
        <w:t xml:space="preserve"> </w:t>
      </w:r>
      <w:r w:rsidR="00CB2A88" w:rsidRPr="00012C3F">
        <w:rPr>
          <w:sz w:val="20"/>
          <w:szCs w:val="20"/>
          <w:lang w:val="en-US"/>
        </w:rPr>
        <w:t xml:space="preserve">They were unable to find </w:t>
      </w:r>
      <w:r w:rsidR="00312D11" w:rsidRPr="00012C3F">
        <w:rPr>
          <w:sz w:val="20"/>
          <w:szCs w:val="20"/>
          <w:lang w:val="en-US"/>
        </w:rPr>
        <w:t>J.E.</w:t>
      </w:r>
      <w:r w:rsidR="007A1A14" w:rsidRPr="00012C3F">
        <w:rPr>
          <w:rStyle w:val="Refdenotaalpie"/>
          <w:sz w:val="20"/>
          <w:szCs w:val="20"/>
          <w:lang w:val="en-US"/>
        </w:rPr>
        <w:footnoteReference w:id="56"/>
      </w:r>
    </w:p>
    <w:p w14:paraId="29546EDB" w14:textId="77777777" w:rsidR="007A1A14" w:rsidRPr="00012C3F" w:rsidRDefault="007A1A14" w:rsidP="00CB2A88">
      <w:pPr>
        <w:tabs>
          <w:tab w:val="left" w:pos="720"/>
        </w:tabs>
        <w:spacing w:line="240" w:lineRule="auto"/>
        <w:rPr>
          <w:sz w:val="20"/>
          <w:szCs w:val="20"/>
          <w:lang w:val="en-US"/>
        </w:rPr>
      </w:pPr>
    </w:p>
    <w:p w14:paraId="272D951C" w14:textId="77777777" w:rsidR="007A1A14" w:rsidRPr="00012C3F" w:rsidRDefault="00CB2A88" w:rsidP="00CB2A88">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The</w:t>
      </w:r>
      <w:r w:rsidR="007A1A14" w:rsidRPr="00012C3F">
        <w:rPr>
          <w:sz w:val="20"/>
          <w:szCs w:val="20"/>
          <w:lang w:val="en-US"/>
        </w:rPr>
        <w:t xml:space="preserve"> </w:t>
      </w:r>
      <w:r w:rsidR="00AB3F01" w:rsidRPr="00012C3F">
        <w:rPr>
          <w:sz w:val="20"/>
          <w:szCs w:val="20"/>
          <w:lang w:val="en-US"/>
        </w:rPr>
        <w:t>record of the surgical procedure</w:t>
      </w:r>
      <w:r w:rsidR="007A1A14" w:rsidRPr="00012C3F">
        <w:rPr>
          <w:sz w:val="20"/>
          <w:szCs w:val="20"/>
          <w:lang w:val="en-US"/>
        </w:rPr>
        <w:t xml:space="preserve"> </w:t>
      </w:r>
      <w:r w:rsidRPr="00012C3F">
        <w:rPr>
          <w:sz w:val="20"/>
          <w:szCs w:val="20"/>
          <w:lang w:val="en-US"/>
        </w:rPr>
        <w:t>performed on I.V. contained the following information:</w:t>
      </w:r>
    </w:p>
    <w:p w14:paraId="1ABE2CF0" w14:textId="77777777" w:rsidR="007A1A14" w:rsidRPr="00012C3F" w:rsidRDefault="007A1A14" w:rsidP="007A1A14">
      <w:pPr>
        <w:spacing w:line="240" w:lineRule="auto"/>
        <w:rPr>
          <w:sz w:val="20"/>
          <w:szCs w:val="20"/>
          <w:lang w:val="en-US"/>
        </w:rPr>
      </w:pPr>
    </w:p>
    <w:p w14:paraId="0CCEBDE5" w14:textId="77777777" w:rsidR="007A1A14" w:rsidRPr="00012C3F" w:rsidRDefault="00AB3F01" w:rsidP="00491B95">
      <w:pPr>
        <w:pStyle w:val="Cita"/>
        <w:ind w:right="571"/>
        <w:rPr>
          <w:rFonts w:ascii="Verdana" w:hAnsi="Verdana"/>
          <w:sz w:val="16"/>
          <w:szCs w:val="16"/>
        </w:rPr>
      </w:pPr>
      <w:bookmarkStart w:id="93" w:name="_Hlk26085656"/>
      <w:r w:rsidRPr="00012C3F">
        <w:rPr>
          <w:rFonts w:ascii="Verdana" w:hAnsi="Verdana"/>
          <w:sz w:val="16"/>
          <w:szCs w:val="16"/>
        </w:rPr>
        <w:t xml:space="preserve">(1) Patient lying on her back under anesthesia; [...] (4) medium infra-umbilical incision as far as the cavity; (5) multiple adhesions visible between the parietal visceral peritoneum (illegible) and intestines, making it difficult to see the lower segment of the uterus (illegible). A </w:t>
      </w:r>
      <w:r w:rsidR="0007256D" w:rsidRPr="00012C3F">
        <w:rPr>
          <w:rFonts w:ascii="Verdana" w:hAnsi="Verdana"/>
          <w:sz w:val="16"/>
          <w:szCs w:val="16"/>
        </w:rPr>
        <w:t>hysterotomy</w:t>
      </w:r>
      <w:r w:rsidRPr="00012C3F">
        <w:rPr>
          <w:rFonts w:ascii="Verdana" w:hAnsi="Verdana"/>
          <w:sz w:val="16"/>
          <w:szCs w:val="16"/>
        </w:rPr>
        <w:t xml:space="preserve"> is performed along the body's longitudinal axis because it is not possible to do it in the lower segment; [...] (7) Surgical delivery; [...], (10) due to the presence of the aforementioned multiple adhesions, [illegible] is performed in insufficient parietal peritoneum, it is decided, because of the multiple adhesions to perform a Pomeroy bilateral tubal ligation through the incision in the womb to safeguard the future life of the mother; she is </w:t>
      </w:r>
      <w:r w:rsidR="00B67799" w:rsidRPr="00012C3F">
        <w:rPr>
          <w:rFonts w:ascii="Verdana" w:hAnsi="Verdana"/>
          <w:sz w:val="16"/>
          <w:szCs w:val="16"/>
        </w:rPr>
        <w:t>informed</w:t>
      </w:r>
      <w:r w:rsidRPr="00012C3F">
        <w:rPr>
          <w:rFonts w:ascii="Verdana" w:hAnsi="Verdana"/>
          <w:sz w:val="16"/>
          <w:szCs w:val="16"/>
        </w:rPr>
        <w:t xml:space="preserve"> of this in the peri-operative period and she gives her verbal consent. The tubal ligation is performed with difficulty because of the adhesions </w:t>
      </w:r>
      <w:r w:rsidR="007A1A14" w:rsidRPr="00012C3F">
        <w:rPr>
          <w:sz w:val="16"/>
          <w:szCs w:val="16"/>
        </w:rPr>
        <w:t>[...]</w:t>
      </w:r>
      <w:r w:rsidRPr="00012C3F">
        <w:rPr>
          <w:sz w:val="16"/>
          <w:szCs w:val="16"/>
        </w:rPr>
        <w:t>.</w:t>
      </w:r>
      <w:r w:rsidR="007A1A14" w:rsidRPr="00012C3F">
        <w:rPr>
          <w:rStyle w:val="Refdenotaalpie"/>
          <w:sz w:val="16"/>
          <w:szCs w:val="16"/>
        </w:rPr>
        <w:footnoteReference w:id="57"/>
      </w:r>
    </w:p>
    <w:bookmarkEnd w:id="93"/>
    <w:p w14:paraId="7257B156" w14:textId="77777777" w:rsidR="007A1A14" w:rsidRPr="00012C3F" w:rsidRDefault="007A1A14" w:rsidP="007A1A14">
      <w:pPr>
        <w:spacing w:line="240" w:lineRule="auto"/>
        <w:ind w:right="360"/>
        <w:rPr>
          <w:sz w:val="20"/>
          <w:szCs w:val="20"/>
          <w:lang w:val="en-US"/>
        </w:rPr>
      </w:pPr>
    </w:p>
    <w:p w14:paraId="293B2475" w14:textId="77777777" w:rsidR="007A1A14" w:rsidRPr="00012C3F" w:rsidRDefault="00FF19ED" w:rsidP="00FF19ED">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Two days after the operation, the resident </w:t>
      </w:r>
      <w:r w:rsidR="00593E9B" w:rsidRPr="00012C3F">
        <w:rPr>
          <w:sz w:val="20"/>
          <w:szCs w:val="20"/>
          <w:lang w:val="en-US"/>
        </w:rPr>
        <w:t>doctor</w:t>
      </w:r>
      <w:r w:rsidRPr="00012C3F">
        <w:rPr>
          <w:sz w:val="20"/>
          <w:szCs w:val="20"/>
          <w:lang w:val="en-US"/>
        </w:rPr>
        <w:t xml:space="preserve"> made the </w:t>
      </w:r>
      <w:r w:rsidR="002E2489" w:rsidRPr="00012C3F">
        <w:rPr>
          <w:sz w:val="20"/>
          <w:szCs w:val="20"/>
          <w:lang w:val="en-US"/>
        </w:rPr>
        <w:t>following</w:t>
      </w:r>
      <w:r w:rsidRPr="00012C3F">
        <w:rPr>
          <w:sz w:val="20"/>
          <w:szCs w:val="20"/>
          <w:lang w:val="en-US"/>
        </w:rPr>
        <w:t xml:space="preserve"> annotation on the patient’s progress record:</w:t>
      </w:r>
    </w:p>
    <w:p w14:paraId="5CF26BDA" w14:textId="77777777" w:rsidR="007A1A14" w:rsidRPr="00012C3F" w:rsidRDefault="007A1A14" w:rsidP="00FF19ED">
      <w:pPr>
        <w:tabs>
          <w:tab w:val="left" w:pos="720"/>
        </w:tabs>
        <w:spacing w:line="240" w:lineRule="auto"/>
        <w:rPr>
          <w:sz w:val="20"/>
          <w:szCs w:val="20"/>
          <w:lang w:val="en-US"/>
        </w:rPr>
      </w:pPr>
    </w:p>
    <w:p w14:paraId="5B2071BF" w14:textId="77777777" w:rsidR="007A1A14" w:rsidRPr="00012C3F" w:rsidRDefault="007A1A14" w:rsidP="00491B95">
      <w:pPr>
        <w:tabs>
          <w:tab w:val="left" w:pos="720"/>
        </w:tabs>
        <w:spacing w:line="240" w:lineRule="auto"/>
        <w:ind w:left="720" w:right="571"/>
        <w:rPr>
          <w:sz w:val="20"/>
          <w:szCs w:val="20"/>
          <w:lang w:val="en-US"/>
        </w:rPr>
      </w:pPr>
      <w:r w:rsidRPr="00012C3F">
        <w:rPr>
          <w:sz w:val="16"/>
          <w:szCs w:val="16"/>
          <w:lang w:val="en-US"/>
        </w:rPr>
        <w:t xml:space="preserve">3/07/00. </w:t>
      </w:r>
      <w:r w:rsidR="00FF19ED" w:rsidRPr="00012C3F">
        <w:rPr>
          <w:sz w:val="16"/>
          <w:szCs w:val="16"/>
          <w:lang w:val="en-US"/>
        </w:rPr>
        <w:t xml:space="preserve">Yesterday, the patient was told that </w:t>
      </w:r>
      <w:r w:rsidR="00593E9B" w:rsidRPr="00012C3F">
        <w:rPr>
          <w:sz w:val="16"/>
          <w:szCs w:val="16"/>
          <w:lang w:val="en-US"/>
        </w:rPr>
        <w:t>a</w:t>
      </w:r>
      <w:r w:rsidR="00FF19ED" w:rsidRPr="00012C3F">
        <w:rPr>
          <w:sz w:val="16"/>
          <w:szCs w:val="16"/>
          <w:lang w:val="en-US"/>
        </w:rPr>
        <w:t xml:space="preserve"> bilateral tubal ligation had been performed owing to medical necessity; this was accepted by the patie</w:t>
      </w:r>
      <w:r w:rsidR="003430A8" w:rsidRPr="00012C3F">
        <w:rPr>
          <w:sz w:val="16"/>
          <w:szCs w:val="16"/>
          <w:lang w:val="en-US"/>
        </w:rPr>
        <w:t>n</w:t>
      </w:r>
      <w:r w:rsidR="00FF19ED" w:rsidRPr="00012C3F">
        <w:rPr>
          <w:sz w:val="16"/>
          <w:szCs w:val="16"/>
          <w:lang w:val="en-US"/>
        </w:rPr>
        <w:t xml:space="preserve">t </w:t>
      </w:r>
      <w:r w:rsidR="003430A8" w:rsidRPr="00012C3F">
        <w:rPr>
          <w:sz w:val="16"/>
          <w:szCs w:val="16"/>
          <w:lang w:val="en-US"/>
        </w:rPr>
        <w:t>w</w:t>
      </w:r>
      <w:r w:rsidR="00FF19ED" w:rsidRPr="00012C3F">
        <w:rPr>
          <w:sz w:val="16"/>
          <w:szCs w:val="16"/>
          <w:lang w:val="en-US"/>
        </w:rPr>
        <w:t xml:space="preserve">ho understood that </w:t>
      </w:r>
      <w:r w:rsidR="003430A8" w:rsidRPr="00012C3F">
        <w:rPr>
          <w:sz w:val="16"/>
          <w:szCs w:val="16"/>
          <w:lang w:val="en-US"/>
        </w:rPr>
        <w:t>a future pregnancy posed a danger to her life.</w:t>
      </w:r>
      <w:r w:rsidRPr="00012C3F">
        <w:rPr>
          <w:sz w:val="16"/>
          <w:szCs w:val="16"/>
          <w:lang w:val="en-US"/>
        </w:rPr>
        <w:t xml:space="preserve"> Dr. Vargas</w:t>
      </w:r>
      <w:r w:rsidR="003430A8" w:rsidRPr="00012C3F">
        <w:rPr>
          <w:sz w:val="16"/>
          <w:szCs w:val="16"/>
          <w:lang w:val="en-US"/>
        </w:rPr>
        <w:t>.</w:t>
      </w:r>
      <w:r w:rsidRPr="00012C3F">
        <w:rPr>
          <w:rStyle w:val="Refdenotaalpie"/>
          <w:sz w:val="16"/>
          <w:szCs w:val="16"/>
          <w:lang w:val="en-US"/>
        </w:rPr>
        <w:footnoteReference w:id="58"/>
      </w:r>
    </w:p>
    <w:p w14:paraId="06B88747" w14:textId="77777777" w:rsidR="007A1A14" w:rsidRPr="00012C3F" w:rsidRDefault="007A1A14" w:rsidP="00FF19ED">
      <w:pPr>
        <w:tabs>
          <w:tab w:val="left" w:pos="720"/>
        </w:tabs>
        <w:spacing w:line="240" w:lineRule="auto"/>
        <w:ind w:right="360"/>
        <w:rPr>
          <w:sz w:val="20"/>
          <w:szCs w:val="20"/>
          <w:lang w:val="en-US"/>
        </w:rPr>
      </w:pPr>
    </w:p>
    <w:p w14:paraId="702A6EEE" w14:textId="77777777" w:rsidR="00216D7B" w:rsidRPr="00012C3F" w:rsidRDefault="000E1C11" w:rsidP="00FF19ED">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sz w:val="20"/>
          <w:szCs w:val="20"/>
          <w:lang w:val="en-US" w:eastAsia="en-US" w:bidi="en-US"/>
        </w:rPr>
        <w:t>I.V.</w:t>
      </w:r>
      <w:r w:rsidR="0099287A" w:rsidRPr="00012C3F">
        <w:rPr>
          <w:rFonts w:eastAsia="MS Mincho"/>
          <w:sz w:val="20"/>
          <w:szCs w:val="20"/>
          <w:lang w:val="en-US" w:eastAsia="en-US" w:bidi="en-US"/>
        </w:rPr>
        <w:t xml:space="preserve"> ha</w:t>
      </w:r>
      <w:r w:rsidR="003430A8" w:rsidRPr="00012C3F">
        <w:rPr>
          <w:rFonts w:eastAsia="MS Mincho"/>
          <w:sz w:val="20"/>
          <w:szCs w:val="20"/>
          <w:lang w:val="en-US" w:eastAsia="en-US" w:bidi="en-US"/>
        </w:rPr>
        <w:t>s consistently denied before the domestic courts, during the procedure before</w:t>
      </w:r>
      <w:r w:rsidR="0099287A" w:rsidRPr="00012C3F">
        <w:rPr>
          <w:rFonts w:eastAsia="MS Mincho"/>
          <w:sz w:val="20"/>
          <w:szCs w:val="20"/>
          <w:lang w:val="en-US" w:eastAsia="en-US" w:bidi="en-US"/>
        </w:rPr>
        <w:t xml:space="preserve"> </w:t>
      </w:r>
      <w:r w:rsidR="003430A8" w:rsidRPr="00012C3F">
        <w:rPr>
          <w:rFonts w:eastAsia="MS Mincho"/>
          <w:sz w:val="20"/>
          <w:szCs w:val="20"/>
          <w:lang w:val="en-US" w:eastAsia="en-US" w:bidi="en-US"/>
        </w:rPr>
        <w:t xml:space="preserve">the </w:t>
      </w:r>
      <w:r w:rsidR="00A84CA0" w:rsidRPr="00012C3F">
        <w:rPr>
          <w:rFonts w:eastAsia="MS Mincho"/>
          <w:sz w:val="20"/>
          <w:szCs w:val="20"/>
          <w:lang w:val="en-US" w:eastAsia="en-US" w:bidi="en-US"/>
        </w:rPr>
        <w:t>Commission</w:t>
      </w:r>
      <w:r w:rsidR="005E5012" w:rsidRPr="00012C3F">
        <w:rPr>
          <w:rFonts w:eastAsia="MS Mincho"/>
          <w:sz w:val="20"/>
          <w:szCs w:val="20"/>
          <w:lang w:val="en-US" w:eastAsia="en-US" w:bidi="en-US"/>
        </w:rPr>
        <w:t xml:space="preserve"> and </w:t>
      </w:r>
      <w:r w:rsidR="00593E9B" w:rsidRPr="00012C3F">
        <w:rPr>
          <w:rFonts w:eastAsia="MS Mincho"/>
          <w:sz w:val="20"/>
          <w:szCs w:val="20"/>
          <w:lang w:val="en-US" w:eastAsia="en-US" w:bidi="en-US"/>
        </w:rPr>
        <w:t xml:space="preserve">also </w:t>
      </w:r>
      <w:r w:rsidR="003430A8" w:rsidRPr="00012C3F">
        <w:rPr>
          <w:rFonts w:eastAsia="MS Mincho"/>
          <w:sz w:val="20"/>
          <w:szCs w:val="20"/>
          <w:lang w:val="en-US" w:eastAsia="en-US" w:bidi="en-US"/>
        </w:rPr>
        <w:t xml:space="preserve">before this Court that she gave verbal consent for the tubal ligation procedure. I.V. has stated that it was, during the visit of the </w:t>
      </w:r>
      <w:r w:rsidR="00593E9B" w:rsidRPr="00012C3F">
        <w:rPr>
          <w:rFonts w:eastAsia="MS Mincho"/>
          <w:sz w:val="20"/>
          <w:szCs w:val="20"/>
          <w:lang w:val="en-US" w:eastAsia="en-US" w:bidi="en-US"/>
        </w:rPr>
        <w:t>resident doctor</w:t>
      </w:r>
      <w:r w:rsidR="003430A8" w:rsidRPr="00012C3F">
        <w:rPr>
          <w:rFonts w:eastAsia="MS Mincho"/>
          <w:sz w:val="20"/>
          <w:szCs w:val="20"/>
          <w:lang w:val="en-US" w:eastAsia="en-US" w:bidi="en-US"/>
        </w:rPr>
        <w:t xml:space="preserve"> on </w:t>
      </w:r>
      <w:r w:rsidR="00E76911" w:rsidRPr="00012C3F">
        <w:rPr>
          <w:sz w:val="20"/>
          <w:szCs w:val="20"/>
          <w:lang w:val="en-US"/>
        </w:rPr>
        <w:t>July 2,</w:t>
      </w:r>
      <w:r w:rsidR="007A1A14" w:rsidRPr="00012C3F">
        <w:rPr>
          <w:sz w:val="20"/>
          <w:szCs w:val="20"/>
          <w:lang w:val="en-US"/>
        </w:rPr>
        <w:t xml:space="preserve"> 2000</w:t>
      </w:r>
      <w:r w:rsidR="0050312F" w:rsidRPr="00012C3F">
        <w:rPr>
          <w:sz w:val="20"/>
          <w:szCs w:val="20"/>
          <w:lang w:val="en-US"/>
        </w:rPr>
        <w:t>,</w:t>
      </w:r>
      <w:r w:rsidR="007A1A14" w:rsidRPr="00012C3F">
        <w:rPr>
          <w:sz w:val="20"/>
          <w:szCs w:val="20"/>
          <w:lang w:val="en-US"/>
        </w:rPr>
        <w:t xml:space="preserve"> </w:t>
      </w:r>
      <w:r w:rsidR="003430A8" w:rsidRPr="00012C3F">
        <w:rPr>
          <w:sz w:val="20"/>
          <w:szCs w:val="20"/>
          <w:lang w:val="en-US"/>
        </w:rPr>
        <w:t>that she became aware that the tubal ligation had been performed.</w:t>
      </w:r>
      <w:r w:rsidR="007A1A14" w:rsidRPr="00012C3F">
        <w:rPr>
          <w:sz w:val="20"/>
          <w:szCs w:val="20"/>
          <w:vertAlign w:val="superscript"/>
          <w:lang w:val="en-US"/>
        </w:rPr>
        <w:footnoteReference w:id="59"/>
      </w:r>
    </w:p>
    <w:p w14:paraId="26EE8CE2" w14:textId="77777777" w:rsidR="00216D7B" w:rsidRPr="00012C3F" w:rsidRDefault="00216D7B" w:rsidP="00FF19ED">
      <w:pPr>
        <w:tabs>
          <w:tab w:val="left" w:pos="720"/>
        </w:tabs>
        <w:spacing w:line="240" w:lineRule="auto"/>
        <w:rPr>
          <w:rFonts w:eastAsia="MS Mincho"/>
          <w:sz w:val="20"/>
          <w:szCs w:val="20"/>
          <w:lang w:val="en-US" w:eastAsia="en-US" w:bidi="en-US"/>
        </w:rPr>
      </w:pPr>
    </w:p>
    <w:p w14:paraId="289F8DA6" w14:textId="77777777" w:rsidR="003430A8" w:rsidRPr="00012C3F" w:rsidRDefault="003430A8" w:rsidP="00FF19ED">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sz w:val="20"/>
          <w:szCs w:val="20"/>
          <w:lang w:val="en-US" w:eastAsia="en-US" w:bidi="en-US"/>
        </w:rPr>
        <w:t xml:space="preserve">Indeed, during the hearing in this case, in response to the question posed by her representative as to whether, when she was in the operating theater, she had been given an explanation, consulted, or requested to provide </w:t>
      </w:r>
      <w:r w:rsidR="00AC0004" w:rsidRPr="00012C3F">
        <w:rPr>
          <w:rFonts w:eastAsia="MS Mincho"/>
          <w:sz w:val="20"/>
          <w:szCs w:val="20"/>
          <w:lang w:val="en-US" w:eastAsia="en-US" w:bidi="en-US"/>
        </w:rPr>
        <w:t>informed consent</w:t>
      </w:r>
      <w:r w:rsidRPr="00012C3F">
        <w:rPr>
          <w:rFonts w:eastAsia="MS Mincho"/>
          <w:sz w:val="20"/>
          <w:szCs w:val="20"/>
          <w:lang w:val="en-US" w:eastAsia="en-US" w:bidi="en-US"/>
        </w:rPr>
        <w:t xml:space="preserve">, and when she became aware of her sterilization, I.V. stated: </w:t>
      </w:r>
    </w:p>
    <w:p w14:paraId="0C09E117" w14:textId="77777777" w:rsidR="0099287A" w:rsidRPr="00012C3F" w:rsidRDefault="0099287A" w:rsidP="00FF19ED">
      <w:pPr>
        <w:widowControl/>
        <w:tabs>
          <w:tab w:val="left" w:pos="720"/>
        </w:tabs>
        <w:adjustRightInd/>
        <w:spacing w:line="240" w:lineRule="auto"/>
        <w:ind w:right="-90"/>
        <w:textAlignment w:val="auto"/>
        <w:rPr>
          <w:rFonts w:eastAsia="MS Mincho"/>
          <w:sz w:val="20"/>
          <w:szCs w:val="20"/>
          <w:lang w:val="en-US" w:eastAsia="en-US" w:bidi="en-US"/>
        </w:rPr>
      </w:pPr>
    </w:p>
    <w:p w14:paraId="720CE347" w14:textId="77777777" w:rsidR="00E97634" w:rsidRPr="00012C3F" w:rsidRDefault="003430A8" w:rsidP="00491B95">
      <w:pPr>
        <w:tabs>
          <w:tab w:val="left" w:pos="720"/>
        </w:tabs>
        <w:spacing w:line="240" w:lineRule="auto"/>
        <w:ind w:left="720" w:right="588"/>
        <w:rPr>
          <w:sz w:val="16"/>
          <w:szCs w:val="16"/>
          <w:lang w:val="en-US"/>
        </w:rPr>
      </w:pPr>
      <w:r w:rsidRPr="00012C3F">
        <w:rPr>
          <w:sz w:val="16"/>
          <w:szCs w:val="16"/>
          <w:lang w:val="en-US"/>
        </w:rPr>
        <w:t xml:space="preserve">He never consulted me [referring to </w:t>
      </w:r>
      <w:r w:rsidR="0099287A" w:rsidRPr="00012C3F">
        <w:rPr>
          <w:sz w:val="16"/>
          <w:szCs w:val="16"/>
          <w:lang w:val="en-US"/>
        </w:rPr>
        <w:t>Dr. Torrico]</w:t>
      </w:r>
      <w:r w:rsidRPr="00012C3F">
        <w:rPr>
          <w:sz w:val="16"/>
          <w:szCs w:val="16"/>
          <w:lang w:val="en-US"/>
        </w:rPr>
        <w:t xml:space="preserve">; no explanation, nothing </w:t>
      </w:r>
      <w:r w:rsidR="0099287A" w:rsidRPr="00012C3F">
        <w:rPr>
          <w:sz w:val="16"/>
          <w:szCs w:val="16"/>
          <w:lang w:val="en-US"/>
        </w:rPr>
        <w:t>[…]</w:t>
      </w:r>
      <w:r w:rsidRPr="00012C3F">
        <w:rPr>
          <w:sz w:val="16"/>
          <w:szCs w:val="16"/>
          <w:lang w:val="en-US"/>
        </w:rPr>
        <w:t xml:space="preserve">; the doctor </w:t>
      </w:r>
      <w:r w:rsidR="00E97634" w:rsidRPr="00012C3F">
        <w:rPr>
          <w:sz w:val="16"/>
          <w:szCs w:val="16"/>
          <w:lang w:val="en-US"/>
        </w:rPr>
        <w:t xml:space="preserve">made an inhuman decision about my life, about my body, he tied my Fallopian tubes, even using the most radical method, the Pomeroy method, </w:t>
      </w:r>
      <w:r w:rsidR="00593E9B" w:rsidRPr="00012C3F">
        <w:rPr>
          <w:sz w:val="16"/>
          <w:szCs w:val="16"/>
          <w:lang w:val="en-US"/>
        </w:rPr>
        <w:t>destroying</w:t>
      </w:r>
      <w:r w:rsidR="00E97634" w:rsidRPr="00012C3F">
        <w:rPr>
          <w:sz w:val="16"/>
          <w:szCs w:val="16"/>
          <w:lang w:val="en-US"/>
        </w:rPr>
        <w:t xml:space="preserve"> my dreams […] and also those of my family. […] The only two questions that I was asked during </w:t>
      </w:r>
      <w:r w:rsidR="00136EDE" w:rsidRPr="00012C3F">
        <w:rPr>
          <w:sz w:val="16"/>
          <w:szCs w:val="16"/>
          <w:lang w:val="en-US"/>
        </w:rPr>
        <w:t>the caesarean section</w:t>
      </w:r>
      <w:r w:rsidR="00E97634" w:rsidRPr="00012C3F">
        <w:rPr>
          <w:sz w:val="16"/>
          <w:szCs w:val="16"/>
          <w:lang w:val="en-US"/>
        </w:rPr>
        <w:t xml:space="preserve"> procedure were: first, where did they perform the first </w:t>
      </w:r>
      <w:r w:rsidR="00593E9B" w:rsidRPr="00012C3F">
        <w:rPr>
          <w:sz w:val="16"/>
          <w:szCs w:val="16"/>
          <w:lang w:val="en-US"/>
        </w:rPr>
        <w:t>c</w:t>
      </w:r>
      <w:r w:rsidR="00E97634" w:rsidRPr="00012C3F">
        <w:rPr>
          <w:sz w:val="16"/>
          <w:szCs w:val="16"/>
          <w:lang w:val="en-US"/>
        </w:rPr>
        <w:t xml:space="preserve">aesarean section, to which I responded: in Lima, Peru, and the second was whether I had suffered complications, to which I responded: no. […] Dr. Vargas [also] didn’t tell me anything; he </w:t>
      </w:r>
      <w:r w:rsidR="00593E9B" w:rsidRPr="00012C3F">
        <w:rPr>
          <w:sz w:val="16"/>
          <w:szCs w:val="16"/>
          <w:lang w:val="en-US"/>
        </w:rPr>
        <w:t>said nothing</w:t>
      </w:r>
      <w:r w:rsidR="00E97634" w:rsidRPr="00012C3F">
        <w:rPr>
          <w:sz w:val="16"/>
          <w:szCs w:val="16"/>
          <w:lang w:val="en-US"/>
        </w:rPr>
        <w:t xml:space="preserve"> during the whole surgical procedure […].</w:t>
      </w:r>
    </w:p>
    <w:p w14:paraId="73781646" w14:textId="77777777" w:rsidR="0099287A" w:rsidRPr="00012C3F" w:rsidRDefault="0099287A" w:rsidP="00491B95">
      <w:pPr>
        <w:tabs>
          <w:tab w:val="left" w:pos="720"/>
        </w:tabs>
        <w:spacing w:line="240" w:lineRule="auto"/>
        <w:ind w:left="720" w:right="588"/>
        <w:rPr>
          <w:sz w:val="16"/>
          <w:szCs w:val="16"/>
          <w:lang w:val="en-US"/>
        </w:rPr>
      </w:pPr>
    </w:p>
    <w:p w14:paraId="60FB6274" w14:textId="77777777" w:rsidR="0099287A" w:rsidRPr="00012C3F" w:rsidRDefault="00E97634" w:rsidP="00491B95">
      <w:pPr>
        <w:tabs>
          <w:tab w:val="left" w:pos="720"/>
        </w:tabs>
        <w:spacing w:line="240" w:lineRule="auto"/>
        <w:ind w:left="720" w:right="588"/>
        <w:rPr>
          <w:sz w:val="16"/>
          <w:szCs w:val="16"/>
          <w:lang w:val="en-US"/>
        </w:rPr>
      </w:pPr>
      <w:r w:rsidRPr="00012C3F">
        <w:rPr>
          <w:sz w:val="16"/>
          <w:szCs w:val="16"/>
          <w:lang w:val="en-US"/>
        </w:rPr>
        <w:t xml:space="preserve">I found out on Sunday, July 2, during the medical visit by </w:t>
      </w:r>
      <w:r w:rsidR="0099287A" w:rsidRPr="00012C3F">
        <w:rPr>
          <w:sz w:val="16"/>
          <w:szCs w:val="16"/>
          <w:lang w:val="en-US"/>
        </w:rPr>
        <w:t>Dr. Marco Vargas Terrazas</w:t>
      </w:r>
      <w:r w:rsidRPr="00012C3F">
        <w:rPr>
          <w:sz w:val="16"/>
          <w:szCs w:val="16"/>
          <w:lang w:val="en-US"/>
        </w:rPr>
        <w:t>. He came over and I asked him how the operation had gone and he told me that it had gone well, but they had performed a tubal ligation, and I asked why they had done this and he told me that it was to safeguard my future life; then I asked whether</w:t>
      </w:r>
      <w:r w:rsidR="00593E9B" w:rsidRPr="00012C3F">
        <w:rPr>
          <w:sz w:val="16"/>
          <w:szCs w:val="16"/>
          <w:lang w:val="en-US"/>
        </w:rPr>
        <w:t xml:space="preserve"> </w:t>
      </w:r>
      <w:r w:rsidRPr="00012C3F">
        <w:rPr>
          <w:sz w:val="16"/>
          <w:szCs w:val="16"/>
          <w:lang w:val="en-US"/>
        </w:rPr>
        <w:t>the baby</w:t>
      </w:r>
      <w:r w:rsidR="00593E9B" w:rsidRPr="00012C3F">
        <w:rPr>
          <w:sz w:val="16"/>
          <w:szCs w:val="16"/>
          <w:lang w:val="en-US"/>
        </w:rPr>
        <w:t>’s life</w:t>
      </w:r>
      <w:r w:rsidRPr="00012C3F">
        <w:rPr>
          <w:sz w:val="16"/>
          <w:szCs w:val="16"/>
          <w:lang w:val="en-US"/>
        </w:rPr>
        <w:t xml:space="preserve"> or mine was in danger, and he said no, and then, when my husband came I told him what they had done to me and my husband was also outraged</w:t>
      </w:r>
      <w:r w:rsidR="008379AC" w:rsidRPr="00012C3F">
        <w:rPr>
          <w:sz w:val="16"/>
          <w:szCs w:val="16"/>
          <w:lang w:val="en-US"/>
        </w:rPr>
        <w:t>; he was really dismayed by everything they told us […]. My husband also asked him why they had not considered performing a vasectomy on him, and why had they performed a tubal ligation on me</w:t>
      </w:r>
      <w:r w:rsidR="0099287A" w:rsidRPr="00012C3F">
        <w:rPr>
          <w:sz w:val="16"/>
          <w:szCs w:val="16"/>
          <w:lang w:val="en-US"/>
        </w:rPr>
        <w:t xml:space="preserve"> […]</w:t>
      </w:r>
      <w:r w:rsidR="008379AC" w:rsidRPr="00012C3F">
        <w:rPr>
          <w:sz w:val="16"/>
          <w:szCs w:val="16"/>
          <w:lang w:val="en-US"/>
        </w:rPr>
        <w:t>.</w:t>
      </w:r>
      <w:r w:rsidR="0099287A" w:rsidRPr="00012C3F">
        <w:rPr>
          <w:sz w:val="16"/>
          <w:szCs w:val="16"/>
          <w:vertAlign w:val="superscript"/>
          <w:lang w:val="en-US"/>
        </w:rPr>
        <w:footnoteReference w:id="60"/>
      </w:r>
    </w:p>
    <w:p w14:paraId="26FCF30E" w14:textId="77777777" w:rsidR="0099287A" w:rsidRPr="00012C3F" w:rsidRDefault="0099287A" w:rsidP="00FF19ED">
      <w:pPr>
        <w:tabs>
          <w:tab w:val="left" w:pos="720"/>
        </w:tabs>
        <w:spacing w:line="240" w:lineRule="auto"/>
        <w:rPr>
          <w:sz w:val="20"/>
          <w:szCs w:val="20"/>
          <w:lang w:val="en-US"/>
        </w:rPr>
      </w:pPr>
    </w:p>
    <w:p w14:paraId="51051DAD" w14:textId="77777777" w:rsidR="007A1A14" w:rsidRPr="00012C3F" w:rsidRDefault="008379AC" w:rsidP="00FF19ED">
      <w:pPr>
        <w:numPr>
          <w:ilvl w:val="0"/>
          <w:numId w:val="5"/>
        </w:numPr>
        <w:tabs>
          <w:tab w:val="left" w:pos="720"/>
          <w:tab w:val="num" w:pos="12305"/>
        </w:tabs>
        <w:spacing w:line="240" w:lineRule="auto"/>
        <w:ind w:left="0" w:firstLine="0"/>
        <w:rPr>
          <w:sz w:val="20"/>
          <w:szCs w:val="20"/>
          <w:lang w:val="en-US"/>
        </w:rPr>
      </w:pPr>
      <w:r w:rsidRPr="00012C3F">
        <w:rPr>
          <w:rFonts w:eastAsia="MS Mincho"/>
          <w:sz w:val="20"/>
          <w:szCs w:val="20"/>
          <w:lang w:val="en-US" w:eastAsia="en-US" w:bidi="en-US"/>
        </w:rPr>
        <w:t>Consequently, there are contrary versions of the same fact because</w:t>
      </w:r>
      <w:r w:rsidR="00593E9B" w:rsidRPr="00012C3F">
        <w:rPr>
          <w:rFonts w:eastAsia="MS Mincho"/>
          <w:sz w:val="20"/>
          <w:szCs w:val="20"/>
          <w:lang w:val="en-US" w:eastAsia="en-US" w:bidi="en-US"/>
        </w:rPr>
        <w:t>,</w:t>
      </w:r>
      <w:r w:rsidRPr="00012C3F">
        <w:rPr>
          <w:rFonts w:eastAsia="MS Mincho"/>
          <w:sz w:val="20"/>
          <w:szCs w:val="20"/>
          <w:lang w:val="en-US" w:eastAsia="en-US" w:bidi="en-US"/>
        </w:rPr>
        <w:t xml:space="preserve"> while the doctor who </w:t>
      </w:r>
      <w:r w:rsidR="00593E9B" w:rsidRPr="00012C3F">
        <w:rPr>
          <w:rFonts w:eastAsia="MS Mincho"/>
          <w:sz w:val="20"/>
          <w:szCs w:val="20"/>
          <w:lang w:val="en-US" w:eastAsia="en-US" w:bidi="en-US"/>
        </w:rPr>
        <w:t>performed</w:t>
      </w:r>
      <w:r w:rsidRPr="00012C3F">
        <w:rPr>
          <w:rFonts w:eastAsia="MS Mincho"/>
          <w:sz w:val="20"/>
          <w:szCs w:val="20"/>
          <w:lang w:val="en-US" w:eastAsia="en-US" w:bidi="en-US"/>
        </w:rPr>
        <w:t xml:space="preserve"> the procedure affirms that he had obtained the</w:t>
      </w:r>
      <w:r w:rsidR="00216D7B" w:rsidRPr="00012C3F">
        <w:rPr>
          <w:rFonts w:eastAsia="MS Mincho"/>
          <w:sz w:val="20"/>
          <w:szCs w:val="20"/>
          <w:lang w:val="en-US" w:eastAsia="en-US" w:bidi="en-US"/>
        </w:rPr>
        <w:t xml:space="preserve"> </w:t>
      </w:r>
      <w:r w:rsidR="00AC0004" w:rsidRPr="00012C3F">
        <w:rPr>
          <w:rFonts w:eastAsia="MS Mincho"/>
          <w:sz w:val="20"/>
          <w:szCs w:val="20"/>
          <w:lang w:val="en-US" w:eastAsia="en-US" w:bidi="en-US"/>
        </w:rPr>
        <w:t>informed consent</w:t>
      </w:r>
      <w:r w:rsidR="00216D7B" w:rsidRPr="00012C3F">
        <w:rPr>
          <w:rFonts w:eastAsia="MS Mincho"/>
          <w:sz w:val="20"/>
          <w:szCs w:val="20"/>
          <w:lang w:val="en-US" w:eastAsia="en-US" w:bidi="en-US"/>
        </w:rPr>
        <w:t xml:space="preserve"> </w:t>
      </w:r>
      <w:r w:rsidRPr="00012C3F">
        <w:rPr>
          <w:rFonts w:eastAsia="MS Mincho"/>
          <w:sz w:val="20"/>
          <w:szCs w:val="20"/>
          <w:lang w:val="en-US" w:eastAsia="en-US" w:bidi="en-US"/>
        </w:rPr>
        <w:t>of</w:t>
      </w:r>
      <w:r w:rsidR="00216D7B" w:rsidRPr="00012C3F">
        <w:rPr>
          <w:rFonts w:eastAsia="MS Mincho"/>
          <w:sz w:val="20"/>
          <w:szCs w:val="20"/>
          <w:lang w:val="en-US" w:eastAsia="en-US" w:bidi="en-US"/>
        </w:rPr>
        <w:t xml:space="preserve"> </w:t>
      </w:r>
      <w:r w:rsidR="000E1C11" w:rsidRPr="00012C3F">
        <w:rPr>
          <w:rFonts w:eastAsia="MS Mincho"/>
          <w:sz w:val="20"/>
          <w:szCs w:val="20"/>
          <w:lang w:val="en-US" w:eastAsia="en-US" w:bidi="en-US"/>
        </w:rPr>
        <w:t>I.V.</w:t>
      </w:r>
      <w:r w:rsidR="00216D7B" w:rsidRPr="00012C3F">
        <w:rPr>
          <w:rFonts w:eastAsia="MS Mincho"/>
          <w:sz w:val="20"/>
          <w:szCs w:val="20"/>
          <w:lang w:val="en-US" w:eastAsia="en-US" w:bidi="en-US"/>
        </w:rPr>
        <w:t xml:space="preserve">, </w:t>
      </w:r>
      <w:r w:rsidRPr="00012C3F">
        <w:rPr>
          <w:rFonts w:eastAsia="MS Mincho"/>
          <w:sz w:val="20"/>
          <w:szCs w:val="20"/>
          <w:lang w:val="en-US" w:eastAsia="en-US" w:bidi="en-US"/>
        </w:rPr>
        <w:t xml:space="preserve">she indicates </w:t>
      </w:r>
      <w:r w:rsidR="002E2489" w:rsidRPr="00012C3F">
        <w:rPr>
          <w:rFonts w:eastAsia="MS Mincho"/>
          <w:sz w:val="20"/>
          <w:szCs w:val="20"/>
          <w:lang w:val="en-US" w:eastAsia="en-US" w:bidi="en-US"/>
        </w:rPr>
        <w:t>the</w:t>
      </w:r>
      <w:r w:rsidRPr="00012C3F">
        <w:rPr>
          <w:rFonts w:eastAsia="MS Mincho"/>
          <w:sz w:val="20"/>
          <w:szCs w:val="20"/>
          <w:lang w:val="en-US" w:eastAsia="en-US" w:bidi="en-US"/>
        </w:rPr>
        <w:t xml:space="preserve"> contrary and denies having provided it, a matter that will be analyzed when examining the merits of this judgment </w:t>
      </w:r>
      <w:r w:rsidR="007A1A14" w:rsidRPr="00012C3F">
        <w:rPr>
          <w:sz w:val="20"/>
          <w:szCs w:val="20"/>
          <w:lang w:val="en-US"/>
        </w:rPr>
        <w:t>(</w:t>
      </w:r>
      <w:r w:rsidR="007A1A14" w:rsidRPr="00012C3F">
        <w:rPr>
          <w:i/>
          <w:sz w:val="20"/>
          <w:szCs w:val="20"/>
          <w:lang w:val="en-US"/>
        </w:rPr>
        <w:t>infra</w:t>
      </w:r>
      <w:r w:rsidR="007A1A14" w:rsidRPr="00012C3F">
        <w:rPr>
          <w:sz w:val="20"/>
          <w:szCs w:val="20"/>
          <w:lang w:val="en-US"/>
        </w:rPr>
        <w:t xml:space="preserve"> </w:t>
      </w:r>
      <w:r w:rsidR="00370DD4" w:rsidRPr="00012C3F">
        <w:rPr>
          <w:sz w:val="20"/>
          <w:szCs w:val="20"/>
          <w:lang w:val="en-US"/>
        </w:rPr>
        <w:t>paras.</w:t>
      </w:r>
      <w:r w:rsidR="009B320D" w:rsidRPr="00012C3F">
        <w:rPr>
          <w:sz w:val="20"/>
          <w:szCs w:val="20"/>
          <w:lang w:val="en-US"/>
        </w:rPr>
        <w:t xml:space="preserve"> 224 </w:t>
      </w:r>
      <w:r w:rsidRPr="00012C3F">
        <w:rPr>
          <w:sz w:val="20"/>
          <w:szCs w:val="20"/>
          <w:lang w:val="en-US"/>
        </w:rPr>
        <w:t>to</w:t>
      </w:r>
      <w:r w:rsidR="009B320D" w:rsidRPr="00012C3F">
        <w:rPr>
          <w:sz w:val="20"/>
          <w:szCs w:val="20"/>
          <w:lang w:val="en-US"/>
        </w:rPr>
        <w:t xml:space="preserve"> 236).</w:t>
      </w:r>
    </w:p>
    <w:p w14:paraId="4C505B86" w14:textId="77777777" w:rsidR="007A1A14" w:rsidRPr="00012C3F" w:rsidRDefault="007A1A14" w:rsidP="00FF19ED">
      <w:pPr>
        <w:tabs>
          <w:tab w:val="left" w:pos="720"/>
        </w:tabs>
        <w:spacing w:line="240" w:lineRule="auto"/>
        <w:ind w:right="360"/>
        <w:rPr>
          <w:sz w:val="20"/>
          <w:szCs w:val="20"/>
          <w:lang w:val="en-US"/>
        </w:rPr>
      </w:pPr>
    </w:p>
    <w:p w14:paraId="41D4102D" w14:textId="77777777" w:rsidR="007A1A14" w:rsidRPr="00012C3F" w:rsidRDefault="000E1C11" w:rsidP="00FF19ED">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I.V.</w:t>
      </w:r>
      <w:r w:rsidR="005E5012" w:rsidRPr="00012C3F">
        <w:rPr>
          <w:sz w:val="20"/>
          <w:szCs w:val="20"/>
          <w:lang w:val="en-US"/>
        </w:rPr>
        <w:t xml:space="preserve"> and </w:t>
      </w:r>
      <w:r w:rsidR="008379AC" w:rsidRPr="00012C3F">
        <w:rPr>
          <w:sz w:val="20"/>
          <w:szCs w:val="20"/>
          <w:lang w:val="en-US"/>
        </w:rPr>
        <w:t xml:space="preserve">her daughter were released from hospital on July 5, </w:t>
      </w:r>
      <w:r w:rsidR="007A1A14" w:rsidRPr="00012C3F">
        <w:rPr>
          <w:sz w:val="20"/>
          <w:szCs w:val="20"/>
          <w:lang w:val="en-US"/>
        </w:rPr>
        <w:t>2000</w:t>
      </w:r>
      <w:r w:rsidR="008379AC" w:rsidRPr="00012C3F">
        <w:rPr>
          <w:sz w:val="20"/>
          <w:szCs w:val="20"/>
          <w:lang w:val="en-US"/>
        </w:rPr>
        <w:t>.</w:t>
      </w:r>
      <w:r w:rsidR="007A1A14" w:rsidRPr="00012C3F">
        <w:rPr>
          <w:rStyle w:val="Refdenotaalpie"/>
          <w:sz w:val="20"/>
          <w:szCs w:val="20"/>
          <w:lang w:val="en-US"/>
        </w:rPr>
        <w:footnoteReference w:id="61"/>
      </w:r>
    </w:p>
    <w:p w14:paraId="7F7D68C8" w14:textId="77777777" w:rsidR="007A1A14" w:rsidRPr="00012C3F" w:rsidRDefault="007A1A14" w:rsidP="007A1A14">
      <w:pPr>
        <w:spacing w:line="240" w:lineRule="auto"/>
        <w:ind w:right="360"/>
        <w:rPr>
          <w:sz w:val="20"/>
          <w:szCs w:val="20"/>
          <w:lang w:val="en-US"/>
        </w:rPr>
      </w:pPr>
    </w:p>
    <w:p w14:paraId="0929CA14" w14:textId="77777777" w:rsidR="007A1A14" w:rsidRPr="00012C3F" w:rsidRDefault="007A1A14" w:rsidP="00040BA7">
      <w:pPr>
        <w:keepNext/>
        <w:keepLines/>
        <w:tabs>
          <w:tab w:val="left" w:pos="1134"/>
        </w:tabs>
        <w:spacing w:line="240" w:lineRule="auto"/>
        <w:ind w:left="567" w:firstLine="1"/>
        <w:outlineLvl w:val="1"/>
        <w:rPr>
          <w:rFonts w:eastAsia="MS Mincho"/>
          <w:b/>
          <w:bCs/>
          <w:i/>
          <w:sz w:val="20"/>
          <w:szCs w:val="20"/>
          <w:lang w:val="en-US"/>
        </w:rPr>
      </w:pPr>
      <w:bookmarkStart w:id="94" w:name="_Toc27486839"/>
      <w:r w:rsidRPr="00012C3F">
        <w:rPr>
          <w:rFonts w:eastAsia="MS Mincho"/>
          <w:b/>
          <w:bCs/>
          <w:i/>
          <w:sz w:val="20"/>
          <w:szCs w:val="20"/>
          <w:lang w:val="en-US"/>
        </w:rPr>
        <w:t xml:space="preserve">C. </w:t>
      </w:r>
      <w:r w:rsidRPr="00012C3F">
        <w:rPr>
          <w:rFonts w:eastAsia="MS Mincho"/>
          <w:b/>
          <w:bCs/>
          <w:i/>
          <w:sz w:val="20"/>
          <w:szCs w:val="20"/>
          <w:lang w:val="en-US"/>
        </w:rPr>
        <w:tab/>
      </w:r>
      <w:r w:rsidR="008379AC" w:rsidRPr="00012C3F">
        <w:rPr>
          <w:rFonts w:eastAsia="MS Mincho"/>
          <w:b/>
          <w:bCs/>
          <w:i/>
          <w:sz w:val="20"/>
          <w:szCs w:val="20"/>
          <w:lang w:val="en-US"/>
        </w:rPr>
        <w:t>Medical audits and report of the Ethics Tribunal of the</w:t>
      </w:r>
      <w:r w:rsidRPr="00012C3F">
        <w:rPr>
          <w:rFonts w:eastAsia="MS Mincho"/>
          <w:b/>
          <w:bCs/>
          <w:i/>
          <w:sz w:val="20"/>
          <w:szCs w:val="20"/>
          <w:lang w:val="en-US"/>
        </w:rPr>
        <w:t xml:space="preserve"> </w:t>
      </w:r>
      <w:r w:rsidR="008379AC" w:rsidRPr="00012C3F">
        <w:rPr>
          <w:rFonts w:eastAsia="MS Mincho"/>
          <w:b/>
          <w:bCs/>
          <w:i/>
          <w:sz w:val="20"/>
          <w:szCs w:val="20"/>
          <w:lang w:val="en-US"/>
        </w:rPr>
        <w:t xml:space="preserve">La Paz Departmental </w:t>
      </w:r>
      <w:r w:rsidR="00164743" w:rsidRPr="00012C3F">
        <w:rPr>
          <w:rFonts w:eastAsia="MS Mincho"/>
          <w:b/>
          <w:bCs/>
          <w:i/>
          <w:sz w:val="20"/>
          <w:szCs w:val="20"/>
          <w:lang w:val="en-US"/>
        </w:rPr>
        <w:t>Medical Association</w:t>
      </w:r>
      <w:bookmarkEnd w:id="94"/>
    </w:p>
    <w:p w14:paraId="233A19D7" w14:textId="77777777" w:rsidR="007A1A14" w:rsidRPr="00012C3F" w:rsidRDefault="007A1A14" w:rsidP="007A1A14">
      <w:pPr>
        <w:spacing w:line="240" w:lineRule="auto"/>
        <w:rPr>
          <w:b/>
          <w:sz w:val="20"/>
          <w:szCs w:val="20"/>
          <w:lang w:val="en-US"/>
        </w:rPr>
      </w:pPr>
    </w:p>
    <w:p w14:paraId="06FE05E8" w14:textId="77777777" w:rsidR="007A1A14" w:rsidRPr="00012C3F" w:rsidRDefault="00F36FE0" w:rsidP="008379AC">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lastRenderedPageBreak/>
        <w:t xml:space="preserve">As a result of the facts and the claims filed by I.V., three medical audits were conducted </w:t>
      </w:r>
      <w:r w:rsidR="005E5012" w:rsidRPr="00012C3F">
        <w:rPr>
          <w:sz w:val="20"/>
          <w:szCs w:val="20"/>
          <w:lang w:val="en-US"/>
        </w:rPr>
        <w:t xml:space="preserve">and </w:t>
      </w:r>
      <w:r w:rsidR="008379AC" w:rsidRPr="00012C3F">
        <w:rPr>
          <w:sz w:val="20"/>
          <w:szCs w:val="20"/>
          <w:lang w:val="en-US"/>
        </w:rPr>
        <w:t xml:space="preserve">the Ethics </w:t>
      </w:r>
      <w:r w:rsidRPr="00012C3F">
        <w:rPr>
          <w:sz w:val="20"/>
          <w:szCs w:val="20"/>
          <w:lang w:val="en-US"/>
        </w:rPr>
        <w:t>Tribunal of the La</w:t>
      </w:r>
      <w:r w:rsidR="008379AC" w:rsidRPr="00012C3F">
        <w:rPr>
          <w:sz w:val="20"/>
          <w:szCs w:val="20"/>
          <w:lang w:val="en-US"/>
        </w:rPr>
        <w:t xml:space="preserve"> Paz Departmental </w:t>
      </w:r>
      <w:r w:rsidR="00164743" w:rsidRPr="00012C3F">
        <w:rPr>
          <w:sz w:val="20"/>
          <w:szCs w:val="20"/>
          <w:lang w:val="en-US"/>
        </w:rPr>
        <w:t>Medical Association</w:t>
      </w:r>
      <w:r w:rsidR="007A1A14" w:rsidRPr="00012C3F">
        <w:rPr>
          <w:sz w:val="20"/>
          <w:szCs w:val="20"/>
          <w:lang w:val="en-US"/>
        </w:rPr>
        <w:t xml:space="preserve"> </w:t>
      </w:r>
      <w:r w:rsidRPr="00012C3F">
        <w:rPr>
          <w:sz w:val="20"/>
          <w:szCs w:val="20"/>
          <w:lang w:val="en-US"/>
        </w:rPr>
        <w:t>issued a ruling concerning the tubal ligation</w:t>
      </w:r>
      <w:r w:rsidR="00CF3F2F" w:rsidRPr="00012C3F">
        <w:rPr>
          <w:sz w:val="20"/>
          <w:szCs w:val="20"/>
          <w:lang w:val="en-US"/>
        </w:rPr>
        <w:t xml:space="preserve"> </w:t>
      </w:r>
      <w:r w:rsidRPr="00012C3F">
        <w:rPr>
          <w:sz w:val="20"/>
          <w:szCs w:val="20"/>
          <w:lang w:val="en-US"/>
        </w:rPr>
        <w:t>performed on</w:t>
      </w:r>
      <w:r w:rsidR="007A1A14" w:rsidRPr="00012C3F">
        <w:rPr>
          <w:sz w:val="20"/>
          <w:szCs w:val="20"/>
          <w:lang w:val="en-US"/>
        </w:rPr>
        <w:t xml:space="preserve"> </w:t>
      </w:r>
      <w:r w:rsidR="000E1C11" w:rsidRPr="00012C3F">
        <w:rPr>
          <w:sz w:val="20"/>
          <w:szCs w:val="20"/>
          <w:lang w:val="en-US"/>
        </w:rPr>
        <w:t>I.V.</w:t>
      </w:r>
      <w:r w:rsidR="007A1A14" w:rsidRPr="00012C3F">
        <w:rPr>
          <w:sz w:val="20"/>
          <w:szCs w:val="20"/>
          <w:lang w:val="en-US"/>
        </w:rPr>
        <w:t xml:space="preserve"> </w:t>
      </w:r>
      <w:r w:rsidR="00593E9B" w:rsidRPr="00012C3F">
        <w:rPr>
          <w:sz w:val="20"/>
          <w:szCs w:val="20"/>
          <w:lang w:val="en-US"/>
        </w:rPr>
        <w:t>following</w:t>
      </w:r>
      <w:r w:rsidRPr="00012C3F">
        <w:rPr>
          <w:sz w:val="20"/>
          <w:szCs w:val="20"/>
          <w:lang w:val="en-US"/>
        </w:rPr>
        <w:t xml:space="preserve"> </w:t>
      </w:r>
      <w:r w:rsidR="00136EDE" w:rsidRPr="00012C3F">
        <w:rPr>
          <w:sz w:val="20"/>
          <w:szCs w:val="20"/>
          <w:lang w:val="en-US"/>
        </w:rPr>
        <w:t>the caesarean section</w:t>
      </w:r>
      <w:r w:rsidR="007A1A14" w:rsidRPr="00012C3F">
        <w:rPr>
          <w:sz w:val="20"/>
          <w:szCs w:val="20"/>
          <w:lang w:val="en-US"/>
        </w:rPr>
        <w:t>.</w:t>
      </w:r>
    </w:p>
    <w:p w14:paraId="5A353C9E" w14:textId="77777777" w:rsidR="007A1A14" w:rsidRPr="00012C3F" w:rsidRDefault="007A1A14" w:rsidP="008379AC">
      <w:pPr>
        <w:tabs>
          <w:tab w:val="left" w:pos="720"/>
        </w:tabs>
        <w:spacing w:line="240" w:lineRule="auto"/>
        <w:rPr>
          <w:sz w:val="20"/>
          <w:szCs w:val="20"/>
          <w:lang w:val="en-US"/>
        </w:rPr>
      </w:pPr>
    </w:p>
    <w:p w14:paraId="47636119" w14:textId="77777777" w:rsidR="007A1A14" w:rsidRPr="00012C3F" w:rsidRDefault="007A1A14" w:rsidP="008379AC">
      <w:pPr>
        <w:pStyle w:val="Ttulo2"/>
        <w:tabs>
          <w:tab w:val="left" w:pos="720"/>
          <w:tab w:val="left" w:pos="1701"/>
        </w:tabs>
        <w:spacing w:before="0" w:line="240" w:lineRule="auto"/>
        <w:ind w:left="1134"/>
        <w:rPr>
          <w:rFonts w:ascii="Verdana" w:hAnsi="Verdana"/>
          <w:b w:val="0"/>
          <w:i/>
          <w:color w:val="auto"/>
          <w:sz w:val="20"/>
          <w:szCs w:val="20"/>
          <w:lang w:val="en-US"/>
        </w:rPr>
      </w:pPr>
      <w:bookmarkStart w:id="95" w:name="_Toc27486840"/>
      <w:r w:rsidRPr="00012C3F">
        <w:rPr>
          <w:rFonts w:ascii="Verdana" w:hAnsi="Verdana"/>
          <w:b w:val="0"/>
          <w:i/>
          <w:color w:val="auto"/>
          <w:sz w:val="20"/>
          <w:szCs w:val="20"/>
          <w:lang w:val="en-US"/>
        </w:rPr>
        <w:t xml:space="preserve">C.1 </w:t>
      </w:r>
      <w:r w:rsidRPr="00012C3F">
        <w:rPr>
          <w:rFonts w:ascii="Verdana" w:hAnsi="Verdana"/>
          <w:b w:val="0"/>
          <w:i/>
          <w:color w:val="auto"/>
          <w:sz w:val="20"/>
          <w:szCs w:val="20"/>
          <w:lang w:val="en-US"/>
        </w:rPr>
        <w:tab/>
      </w:r>
      <w:r w:rsidR="006C705C" w:rsidRPr="00012C3F">
        <w:rPr>
          <w:rFonts w:ascii="Verdana" w:hAnsi="Verdana"/>
          <w:b w:val="0"/>
          <w:i/>
          <w:color w:val="auto"/>
          <w:sz w:val="20"/>
          <w:szCs w:val="20"/>
          <w:lang w:val="en-US"/>
        </w:rPr>
        <w:t>First medical audit</w:t>
      </w:r>
      <w:bookmarkEnd w:id="95"/>
    </w:p>
    <w:p w14:paraId="4A90E4E8" w14:textId="77777777" w:rsidR="007A1A14" w:rsidRPr="00012C3F" w:rsidRDefault="007A1A14" w:rsidP="008379AC">
      <w:pPr>
        <w:tabs>
          <w:tab w:val="left" w:pos="720"/>
        </w:tabs>
        <w:spacing w:line="240" w:lineRule="auto"/>
        <w:rPr>
          <w:i/>
          <w:sz w:val="20"/>
          <w:szCs w:val="20"/>
          <w:lang w:val="en-US"/>
        </w:rPr>
      </w:pPr>
    </w:p>
    <w:p w14:paraId="33AA768B" w14:textId="77777777" w:rsidR="007A1A14" w:rsidRPr="00012C3F" w:rsidRDefault="00F36FE0" w:rsidP="008379AC">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The</w:t>
      </w:r>
      <w:r w:rsidR="007A1A14" w:rsidRPr="00012C3F">
        <w:rPr>
          <w:sz w:val="20"/>
          <w:szCs w:val="20"/>
          <w:lang w:val="en-US"/>
        </w:rPr>
        <w:t xml:space="preserve"> </w:t>
      </w:r>
      <w:r w:rsidRPr="00012C3F">
        <w:rPr>
          <w:sz w:val="20"/>
          <w:szCs w:val="20"/>
          <w:lang w:val="en-US"/>
        </w:rPr>
        <w:t>f</w:t>
      </w:r>
      <w:r w:rsidR="006C705C" w:rsidRPr="00012C3F">
        <w:rPr>
          <w:sz w:val="20"/>
          <w:szCs w:val="20"/>
          <w:lang w:val="en-US"/>
        </w:rPr>
        <w:t>irst medical audit</w:t>
      </w:r>
      <w:r w:rsidR="007A1A14" w:rsidRPr="00012C3F">
        <w:rPr>
          <w:sz w:val="20"/>
          <w:szCs w:val="20"/>
          <w:lang w:val="en-US"/>
        </w:rPr>
        <w:t xml:space="preserve"> </w:t>
      </w:r>
      <w:r w:rsidRPr="00012C3F">
        <w:rPr>
          <w:sz w:val="20"/>
          <w:szCs w:val="20"/>
          <w:lang w:val="en-US"/>
        </w:rPr>
        <w:t>was conducted by the Audit Committee</w:t>
      </w:r>
      <w:r w:rsidR="00FF19ED" w:rsidRPr="00012C3F">
        <w:rPr>
          <w:sz w:val="20"/>
          <w:szCs w:val="20"/>
          <w:lang w:val="en-US"/>
        </w:rPr>
        <w:t xml:space="preserve"> of the </w:t>
      </w:r>
      <w:r w:rsidR="00583403" w:rsidRPr="00012C3F">
        <w:rPr>
          <w:sz w:val="20"/>
          <w:szCs w:val="20"/>
          <w:lang w:val="en-US"/>
        </w:rPr>
        <w:t>Women’s Hospital</w:t>
      </w:r>
      <w:r w:rsidRPr="00012C3F">
        <w:rPr>
          <w:sz w:val="20"/>
          <w:szCs w:val="20"/>
          <w:lang w:val="en-US"/>
        </w:rPr>
        <w:t>.</w:t>
      </w:r>
      <w:r w:rsidR="007A1A14" w:rsidRPr="00012C3F">
        <w:rPr>
          <w:rStyle w:val="Refdenotaalpie"/>
          <w:sz w:val="20"/>
          <w:szCs w:val="20"/>
          <w:lang w:val="en-US"/>
        </w:rPr>
        <w:footnoteReference w:id="62"/>
      </w:r>
      <w:r w:rsidR="007A1A14" w:rsidRPr="00012C3F">
        <w:rPr>
          <w:sz w:val="20"/>
          <w:szCs w:val="20"/>
          <w:lang w:val="en-US"/>
        </w:rPr>
        <w:t xml:space="preserve"> </w:t>
      </w:r>
      <w:r w:rsidRPr="00012C3F">
        <w:rPr>
          <w:sz w:val="20"/>
          <w:szCs w:val="20"/>
          <w:lang w:val="en-US"/>
        </w:rPr>
        <w:t>This committee issued its conclusions based on the reports prepared by the medical personnel present during the surgical procedure.</w:t>
      </w:r>
      <w:r w:rsidR="007A1A14" w:rsidRPr="00012C3F">
        <w:rPr>
          <w:sz w:val="20"/>
          <w:szCs w:val="20"/>
          <w:vertAlign w:val="superscript"/>
          <w:lang w:val="en-US"/>
        </w:rPr>
        <w:footnoteReference w:id="63"/>
      </w:r>
    </w:p>
    <w:p w14:paraId="2D92794E" w14:textId="77777777" w:rsidR="007A1A14" w:rsidRPr="00012C3F" w:rsidRDefault="007A1A14" w:rsidP="008379AC">
      <w:pPr>
        <w:tabs>
          <w:tab w:val="left" w:pos="720"/>
        </w:tabs>
        <w:spacing w:line="240" w:lineRule="auto"/>
        <w:rPr>
          <w:sz w:val="20"/>
          <w:szCs w:val="20"/>
          <w:lang w:val="en-US"/>
        </w:rPr>
      </w:pPr>
    </w:p>
    <w:p w14:paraId="674471C3" w14:textId="77777777" w:rsidR="007A1A14" w:rsidRPr="00012C3F" w:rsidRDefault="00F36FE0" w:rsidP="008379AC">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In its report </w:t>
      </w:r>
      <w:r w:rsidR="00800C58" w:rsidRPr="00012C3F">
        <w:rPr>
          <w:sz w:val="20"/>
          <w:szCs w:val="20"/>
          <w:lang w:val="en-US"/>
        </w:rPr>
        <w:t>of August 22,</w:t>
      </w:r>
      <w:r w:rsidR="007A1A14" w:rsidRPr="00012C3F">
        <w:rPr>
          <w:sz w:val="20"/>
          <w:szCs w:val="20"/>
          <w:lang w:val="en-US"/>
        </w:rPr>
        <w:t xml:space="preserve"> 2000, </w:t>
      </w:r>
      <w:r w:rsidRPr="00012C3F">
        <w:rPr>
          <w:sz w:val="20"/>
          <w:szCs w:val="20"/>
          <w:lang w:val="en-US"/>
        </w:rPr>
        <w:t>the Committee concluded that</w:t>
      </w:r>
      <w:r w:rsidR="007A1A14" w:rsidRPr="00012C3F">
        <w:rPr>
          <w:sz w:val="20"/>
          <w:szCs w:val="20"/>
          <w:lang w:val="en-US"/>
        </w:rPr>
        <w:t>:</w:t>
      </w:r>
    </w:p>
    <w:p w14:paraId="47CD2A2B" w14:textId="77777777" w:rsidR="007A1A14" w:rsidRPr="00012C3F" w:rsidRDefault="007A1A14" w:rsidP="007A1A14">
      <w:pPr>
        <w:spacing w:line="240" w:lineRule="auto"/>
        <w:rPr>
          <w:sz w:val="20"/>
          <w:szCs w:val="20"/>
          <w:lang w:val="en-US"/>
        </w:rPr>
      </w:pPr>
    </w:p>
    <w:p w14:paraId="24D795C7" w14:textId="77777777" w:rsidR="007A1A14" w:rsidRPr="00012C3F" w:rsidRDefault="007A1A14" w:rsidP="00CA0B0F">
      <w:pPr>
        <w:tabs>
          <w:tab w:val="left" w:pos="1080"/>
          <w:tab w:val="left" w:pos="1680"/>
          <w:tab w:val="left" w:pos="5400"/>
        </w:tabs>
        <w:suppressAutoHyphens/>
        <w:spacing w:line="240" w:lineRule="auto"/>
        <w:ind w:left="720" w:right="571"/>
        <w:rPr>
          <w:rFonts w:cs="Arial"/>
          <w:sz w:val="16"/>
          <w:szCs w:val="16"/>
          <w:lang w:val="en-US"/>
        </w:rPr>
      </w:pPr>
      <w:r w:rsidRPr="00012C3F">
        <w:rPr>
          <w:sz w:val="16"/>
          <w:szCs w:val="16"/>
          <w:lang w:val="en-US"/>
        </w:rPr>
        <w:t>[…]</w:t>
      </w:r>
      <w:r w:rsidR="00CA0B0F" w:rsidRPr="00012C3F">
        <w:rPr>
          <w:sz w:val="16"/>
          <w:szCs w:val="16"/>
          <w:lang w:val="en-US"/>
        </w:rPr>
        <w:t xml:space="preserve"> having taken the decision to perform </w:t>
      </w:r>
      <w:r w:rsidR="00CC232E" w:rsidRPr="00012C3F">
        <w:rPr>
          <w:sz w:val="16"/>
          <w:szCs w:val="16"/>
          <w:lang w:val="en-US"/>
        </w:rPr>
        <w:t>a caesarean section</w:t>
      </w:r>
      <w:r w:rsidR="00CA0B0F" w:rsidRPr="00012C3F">
        <w:rPr>
          <w:sz w:val="16"/>
          <w:szCs w:val="16"/>
          <w:lang w:val="en-US"/>
        </w:rPr>
        <w:t xml:space="preserve"> due to the aforementioned complications (adhesions), at that point the surgeon takes the decision to consult the patient, who was conscious (epidural anesthesia) regarding a bilateral tubal ligation, because of the risk to her life if she had to undergo another similar operation. The mother</w:t>
      </w:r>
      <w:r w:rsidR="00593E9B" w:rsidRPr="00012C3F">
        <w:rPr>
          <w:sz w:val="16"/>
          <w:szCs w:val="16"/>
          <w:lang w:val="en-US"/>
        </w:rPr>
        <w:t>, who was awake,</w:t>
      </w:r>
      <w:r w:rsidR="00CA0B0F" w:rsidRPr="00012C3F">
        <w:rPr>
          <w:sz w:val="16"/>
          <w:szCs w:val="16"/>
          <w:lang w:val="en-US"/>
        </w:rPr>
        <w:t xml:space="preserve"> gives the corresponding authorization for that procedure; this reply is confirmed and </w:t>
      </w:r>
      <w:r w:rsidR="00593E9B" w:rsidRPr="00012C3F">
        <w:rPr>
          <w:sz w:val="16"/>
          <w:szCs w:val="16"/>
          <w:lang w:val="en-US"/>
        </w:rPr>
        <w:t>was witnessed</w:t>
      </w:r>
      <w:r w:rsidR="00CA0B0F" w:rsidRPr="00012C3F">
        <w:rPr>
          <w:sz w:val="16"/>
          <w:szCs w:val="16"/>
          <w:lang w:val="en-US"/>
        </w:rPr>
        <w:t xml:space="preserve"> by the members of the surgical team, third-year resident Rodrigo Arnez and the person responsible for preparing the operating theater, María Modesta Ticona. A request was also made to find the husband to give his authorization, but he could not be found at that time</w:t>
      </w:r>
      <w:r w:rsidRPr="00012C3F">
        <w:rPr>
          <w:sz w:val="16"/>
          <w:szCs w:val="16"/>
          <w:lang w:val="en-US"/>
        </w:rPr>
        <w:t>.</w:t>
      </w:r>
    </w:p>
    <w:p w14:paraId="7D99CB2E" w14:textId="77777777" w:rsidR="007A1A14" w:rsidRPr="00012C3F" w:rsidRDefault="007A1A14" w:rsidP="007A1A14">
      <w:pPr>
        <w:spacing w:line="240" w:lineRule="auto"/>
        <w:rPr>
          <w:sz w:val="20"/>
          <w:szCs w:val="20"/>
          <w:lang w:val="en-US"/>
        </w:rPr>
      </w:pPr>
    </w:p>
    <w:p w14:paraId="1014A664" w14:textId="77777777" w:rsidR="007A1A14" w:rsidRPr="00012C3F" w:rsidRDefault="007A1A14" w:rsidP="005D5050">
      <w:pPr>
        <w:pStyle w:val="Ttulo2"/>
        <w:tabs>
          <w:tab w:val="left" w:pos="1701"/>
        </w:tabs>
        <w:spacing w:before="0" w:line="240" w:lineRule="auto"/>
        <w:ind w:left="1134"/>
        <w:rPr>
          <w:rFonts w:ascii="Verdana" w:hAnsi="Verdana"/>
          <w:b w:val="0"/>
          <w:i/>
          <w:color w:val="auto"/>
          <w:sz w:val="20"/>
          <w:szCs w:val="20"/>
          <w:lang w:val="en-US"/>
        </w:rPr>
      </w:pPr>
      <w:bookmarkStart w:id="96" w:name="_Toc27486841"/>
      <w:r w:rsidRPr="00012C3F">
        <w:rPr>
          <w:rFonts w:ascii="Verdana" w:hAnsi="Verdana"/>
          <w:b w:val="0"/>
          <w:i/>
          <w:color w:val="auto"/>
          <w:sz w:val="20"/>
          <w:szCs w:val="20"/>
          <w:lang w:val="en-US"/>
        </w:rPr>
        <w:t xml:space="preserve">C.2 </w:t>
      </w:r>
      <w:r w:rsidRPr="00012C3F">
        <w:rPr>
          <w:rFonts w:ascii="Verdana" w:hAnsi="Verdana"/>
          <w:b w:val="0"/>
          <w:i/>
          <w:color w:val="auto"/>
          <w:sz w:val="20"/>
          <w:szCs w:val="20"/>
          <w:lang w:val="en-US"/>
        </w:rPr>
        <w:tab/>
      </w:r>
      <w:r w:rsidR="006C705C" w:rsidRPr="00012C3F">
        <w:rPr>
          <w:rFonts w:ascii="Verdana" w:hAnsi="Verdana"/>
          <w:b w:val="0"/>
          <w:i/>
          <w:color w:val="auto"/>
          <w:sz w:val="20"/>
          <w:szCs w:val="20"/>
          <w:lang w:val="en-US"/>
        </w:rPr>
        <w:t>Second medical audit</w:t>
      </w:r>
      <w:bookmarkEnd w:id="96"/>
    </w:p>
    <w:p w14:paraId="033FF56A" w14:textId="77777777" w:rsidR="007A1A14" w:rsidRPr="00012C3F" w:rsidRDefault="007A1A14" w:rsidP="007A1A14">
      <w:pPr>
        <w:spacing w:line="240" w:lineRule="auto"/>
        <w:rPr>
          <w:i/>
          <w:sz w:val="20"/>
          <w:szCs w:val="20"/>
          <w:lang w:val="en-US"/>
        </w:rPr>
      </w:pPr>
      <w:r w:rsidRPr="00012C3F">
        <w:rPr>
          <w:i/>
          <w:sz w:val="20"/>
          <w:szCs w:val="20"/>
          <w:lang w:val="en-US"/>
        </w:rPr>
        <w:tab/>
      </w:r>
    </w:p>
    <w:p w14:paraId="47B6A7FE" w14:textId="77777777" w:rsidR="007A1A14" w:rsidRPr="00012C3F" w:rsidRDefault="00CA0B0F" w:rsidP="00CA0B0F">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The</w:t>
      </w:r>
      <w:r w:rsidR="007A1A14" w:rsidRPr="00012C3F">
        <w:rPr>
          <w:sz w:val="20"/>
          <w:szCs w:val="20"/>
          <w:lang w:val="en-US"/>
        </w:rPr>
        <w:t xml:space="preserve"> </w:t>
      </w:r>
      <w:r w:rsidRPr="00012C3F">
        <w:rPr>
          <w:sz w:val="20"/>
          <w:szCs w:val="20"/>
          <w:lang w:val="en-US"/>
        </w:rPr>
        <w:t>s</w:t>
      </w:r>
      <w:r w:rsidR="006C705C" w:rsidRPr="00012C3F">
        <w:rPr>
          <w:sz w:val="20"/>
          <w:szCs w:val="20"/>
          <w:lang w:val="en-US"/>
        </w:rPr>
        <w:t>econd medical audit</w:t>
      </w:r>
      <w:r w:rsidR="007A1A14" w:rsidRPr="00012C3F">
        <w:rPr>
          <w:sz w:val="20"/>
          <w:szCs w:val="20"/>
          <w:lang w:val="en-US"/>
        </w:rPr>
        <w:t xml:space="preserve"> </w:t>
      </w:r>
      <w:r w:rsidRPr="00012C3F">
        <w:rPr>
          <w:sz w:val="20"/>
          <w:szCs w:val="20"/>
          <w:lang w:val="en-US"/>
        </w:rPr>
        <w:t>was conducted by the</w:t>
      </w:r>
      <w:r w:rsidR="007A1A14" w:rsidRPr="00012C3F">
        <w:rPr>
          <w:sz w:val="20"/>
          <w:szCs w:val="20"/>
          <w:lang w:val="en-US"/>
        </w:rPr>
        <w:t xml:space="preserve"> </w:t>
      </w:r>
      <w:r w:rsidR="00593E9B" w:rsidRPr="00012C3F">
        <w:rPr>
          <w:sz w:val="20"/>
          <w:szCs w:val="20"/>
          <w:lang w:val="en-US"/>
        </w:rPr>
        <w:t xml:space="preserve">Departmental </w:t>
      </w:r>
      <w:r w:rsidR="00583403" w:rsidRPr="00012C3F">
        <w:rPr>
          <w:sz w:val="20"/>
          <w:szCs w:val="20"/>
          <w:lang w:val="en-US"/>
        </w:rPr>
        <w:t>Medical Audit Committee</w:t>
      </w:r>
      <w:r w:rsidR="007A1A14" w:rsidRPr="00012C3F">
        <w:rPr>
          <w:sz w:val="20"/>
          <w:szCs w:val="20"/>
          <w:lang w:val="en-US"/>
        </w:rPr>
        <w:t xml:space="preserve"> </w:t>
      </w:r>
      <w:r w:rsidR="00833C77" w:rsidRPr="00012C3F">
        <w:rPr>
          <w:sz w:val="20"/>
          <w:szCs w:val="20"/>
          <w:lang w:val="en-US"/>
        </w:rPr>
        <w:t>of the La Paz Departmental Health Service</w:t>
      </w:r>
      <w:r w:rsidR="007A1A14" w:rsidRPr="00012C3F">
        <w:rPr>
          <w:sz w:val="20"/>
          <w:szCs w:val="20"/>
          <w:lang w:val="en-US"/>
        </w:rPr>
        <w:t xml:space="preserve"> (SEDES)</w:t>
      </w:r>
      <w:r w:rsidRPr="00012C3F">
        <w:rPr>
          <w:sz w:val="20"/>
          <w:szCs w:val="20"/>
          <w:lang w:val="en-US"/>
        </w:rPr>
        <w:t>.</w:t>
      </w:r>
      <w:r w:rsidR="007A1A14" w:rsidRPr="00012C3F">
        <w:rPr>
          <w:rStyle w:val="Refdenotaalpie"/>
          <w:sz w:val="20"/>
          <w:szCs w:val="20"/>
          <w:lang w:val="en-US"/>
        </w:rPr>
        <w:footnoteReference w:id="64"/>
      </w:r>
      <w:r w:rsidRPr="00012C3F">
        <w:rPr>
          <w:sz w:val="20"/>
          <w:szCs w:val="20"/>
          <w:lang w:val="en-US"/>
        </w:rPr>
        <w:t xml:space="preserve"> This committee prepared a report of “Final conclusions” dated March 9, 2001, based on unspecified documents and I.V.’s</w:t>
      </w:r>
      <w:r w:rsidR="007A1A14" w:rsidRPr="00012C3F">
        <w:rPr>
          <w:sz w:val="20"/>
          <w:szCs w:val="20"/>
          <w:lang w:val="en-US"/>
        </w:rPr>
        <w:t xml:space="preserve"> </w:t>
      </w:r>
      <w:r w:rsidRPr="00012C3F">
        <w:rPr>
          <w:sz w:val="20"/>
          <w:szCs w:val="20"/>
          <w:lang w:val="en-US"/>
        </w:rPr>
        <w:t>m</w:t>
      </w:r>
      <w:r w:rsidR="007E5FDF" w:rsidRPr="00012C3F">
        <w:rPr>
          <w:sz w:val="20"/>
          <w:szCs w:val="20"/>
          <w:lang w:val="en-US"/>
        </w:rPr>
        <w:t>edical record</w:t>
      </w:r>
      <w:r w:rsidR="000E1C11" w:rsidRPr="00012C3F">
        <w:rPr>
          <w:sz w:val="20"/>
          <w:szCs w:val="20"/>
          <w:lang w:val="en-US"/>
        </w:rPr>
        <w:t>.</w:t>
      </w:r>
      <w:r w:rsidR="007A1A14" w:rsidRPr="00012C3F">
        <w:rPr>
          <w:sz w:val="20"/>
          <w:szCs w:val="20"/>
          <w:vertAlign w:val="superscript"/>
          <w:lang w:val="en-US"/>
        </w:rPr>
        <w:footnoteReference w:id="65"/>
      </w:r>
    </w:p>
    <w:p w14:paraId="455795DD" w14:textId="77777777" w:rsidR="007A1A14" w:rsidRPr="00012C3F" w:rsidRDefault="007A1A14" w:rsidP="007A1A14">
      <w:pPr>
        <w:spacing w:line="240" w:lineRule="auto"/>
        <w:rPr>
          <w:sz w:val="20"/>
          <w:szCs w:val="20"/>
          <w:lang w:val="en-US"/>
        </w:rPr>
      </w:pPr>
    </w:p>
    <w:p w14:paraId="4C1D20EB" w14:textId="77777777" w:rsidR="007A1A14" w:rsidRPr="00012C3F" w:rsidRDefault="002A5605" w:rsidP="002A5605">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The Committee concluded that “the bilateral tubal ligation procedure was performed prophylactically and to safeguard the mother's future wellbeing.</w:t>
      </w:r>
      <w:r w:rsidR="007A1A14" w:rsidRPr="00012C3F">
        <w:rPr>
          <w:sz w:val="20"/>
          <w:szCs w:val="20"/>
          <w:lang w:val="en-US"/>
        </w:rPr>
        <w:t>”</w:t>
      </w:r>
      <w:r w:rsidRPr="00012C3F">
        <w:rPr>
          <w:sz w:val="20"/>
          <w:szCs w:val="20"/>
          <w:lang w:val="en-US"/>
        </w:rPr>
        <w:t xml:space="preserve"> It also stated that it “fully support[ed] the report prepared by the Medical Audit Committee</w:t>
      </w:r>
      <w:r w:rsidR="007A1A14" w:rsidRPr="00012C3F">
        <w:rPr>
          <w:sz w:val="20"/>
          <w:szCs w:val="20"/>
          <w:lang w:val="en-US"/>
        </w:rPr>
        <w:t xml:space="preserve"> (</w:t>
      </w:r>
      <w:r w:rsidR="00D22661" w:rsidRPr="00012C3F">
        <w:rPr>
          <w:sz w:val="20"/>
          <w:szCs w:val="20"/>
          <w:lang w:val="en-US"/>
        </w:rPr>
        <w:t>Women’s Hospital</w:t>
      </w:r>
      <w:r w:rsidR="007A1A14" w:rsidRPr="00012C3F">
        <w:rPr>
          <w:sz w:val="20"/>
          <w:szCs w:val="20"/>
          <w:lang w:val="en-US"/>
        </w:rPr>
        <w:t>)</w:t>
      </w:r>
      <w:r w:rsidRPr="00012C3F">
        <w:rPr>
          <w:sz w:val="20"/>
          <w:szCs w:val="20"/>
          <w:lang w:val="en-US"/>
        </w:rPr>
        <w:t>.</w:t>
      </w:r>
      <w:r w:rsidR="007A1A14" w:rsidRPr="00012C3F">
        <w:rPr>
          <w:sz w:val="20"/>
          <w:szCs w:val="20"/>
          <w:lang w:val="en-US"/>
        </w:rPr>
        <w:t>”</w:t>
      </w:r>
      <w:r w:rsidR="007A1A14" w:rsidRPr="00012C3F">
        <w:rPr>
          <w:sz w:val="20"/>
          <w:szCs w:val="20"/>
          <w:vertAlign w:val="superscript"/>
          <w:lang w:val="en-US"/>
        </w:rPr>
        <w:footnoteReference w:id="66"/>
      </w:r>
    </w:p>
    <w:p w14:paraId="1484A4DA" w14:textId="77777777" w:rsidR="007A1A14" w:rsidRPr="00012C3F" w:rsidRDefault="007A1A14" w:rsidP="007A1A14">
      <w:pPr>
        <w:spacing w:line="240" w:lineRule="auto"/>
        <w:rPr>
          <w:i/>
          <w:sz w:val="20"/>
          <w:szCs w:val="20"/>
          <w:lang w:val="en-US"/>
        </w:rPr>
      </w:pPr>
    </w:p>
    <w:p w14:paraId="3FB4EBA1" w14:textId="77777777" w:rsidR="007A1A14" w:rsidRPr="00012C3F" w:rsidRDefault="007A1A14" w:rsidP="005D5050">
      <w:pPr>
        <w:pStyle w:val="Ttulo2"/>
        <w:tabs>
          <w:tab w:val="left" w:pos="1701"/>
        </w:tabs>
        <w:spacing w:before="0" w:line="240" w:lineRule="auto"/>
        <w:ind w:left="1134"/>
        <w:rPr>
          <w:rFonts w:ascii="Verdana" w:hAnsi="Verdana"/>
          <w:b w:val="0"/>
          <w:i/>
          <w:color w:val="auto"/>
          <w:sz w:val="20"/>
          <w:szCs w:val="20"/>
          <w:lang w:val="en-US"/>
        </w:rPr>
      </w:pPr>
      <w:bookmarkStart w:id="97" w:name="_Toc27486842"/>
      <w:r w:rsidRPr="00012C3F">
        <w:rPr>
          <w:rFonts w:ascii="Verdana" w:hAnsi="Verdana"/>
          <w:b w:val="0"/>
          <w:i/>
          <w:color w:val="auto"/>
          <w:sz w:val="20"/>
          <w:szCs w:val="20"/>
          <w:lang w:val="en-US"/>
        </w:rPr>
        <w:t xml:space="preserve">C.3 </w:t>
      </w:r>
      <w:r w:rsidRPr="00012C3F">
        <w:rPr>
          <w:rFonts w:ascii="Verdana" w:hAnsi="Verdana"/>
          <w:b w:val="0"/>
          <w:i/>
          <w:color w:val="auto"/>
          <w:sz w:val="20"/>
          <w:szCs w:val="20"/>
          <w:lang w:val="en-US"/>
        </w:rPr>
        <w:tab/>
      </w:r>
      <w:r w:rsidR="006C705C" w:rsidRPr="00012C3F">
        <w:rPr>
          <w:rFonts w:ascii="Verdana" w:hAnsi="Verdana"/>
          <w:b w:val="0"/>
          <w:i/>
          <w:color w:val="auto"/>
          <w:sz w:val="20"/>
          <w:szCs w:val="20"/>
          <w:lang w:val="en-US"/>
        </w:rPr>
        <w:t>Third medical audit</w:t>
      </w:r>
      <w:bookmarkEnd w:id="97"/>
    </w:p>
    <w:p w14:paraId="1AC04E51" w14:textId="77777777" w:rsidR="007A1A14" w:rsidRPr="00012C3F" w:rsidRDefault="007A1A14" w:rsidP="007A1A14">
      <w:pPr>
        <w:spacing w:line="240" w:lineRule="auto"/>
        <w:rPr>
          <w:i/>
          <w:sz w:val="20"/>
          <w:szCs w:val="20"/>
          <w:lang w:val="en-US"/>
        </w:rPr>
      </w:pPr>
    </w:p>
    <w:p w14:paraId="5E893032" w14:textId="77777777" w:rsidR="007A1A14" w:rsidRPr="00012C3F" w:rsidRDefault="002A5605" w:rsidP="00716C7D">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The</w:t>
      </w:r>
      <w:r w:rsidR="007A1A14" w:rsidRPr="00012C3F">
        <w:rPr>
          <w:sz w:val="20"/>
          <w:szCs w:val="20"/>
          <w:lang w:val="en-US"/>
        </w:rPr>
        <w:t xml:space="preserve"> </w:t>
      </w:r>
      <w:r w:rsidRPr="00012C3F">
        <w:rPr>
          <w:sz w:val="20"/>
          <w:szCs w:val="20"/>
          <w:lang w:val="en-US"/>
        </w:rPr>
        <w:t>t</w:t>
      </w:r>
      <w:r w:rsidR="006C705C" w:rsidRPr="00012C3F">
        <w:rPr>
          <w:sz w:val="20"/>
          <w:szCs w:val="20"/>
          <w:lang w:val="en-US"/>
        </w:rPr>
        <w:t>hird medical audit</w:t>
      </w:r>
      <w:r w:rsidR="007A1A14" w:rsidRPr="00012C3F">
        <w:rPr>
          <w:sz w:val="20"/>
          <w:szCs w:val="20"/>
          <w:lang w:val="en-US"/>
        </w:rPr>
        <w:t xml:space="preserve"> </w:t>
      </w:r>
      <w:r w:rsidRPr="00012C3F">
        <w:rPr>
          <w:sz w:val="20"/>
          <w:szCs w:val="20"/>
          <w:lang w:val="en-US"/>
        </w:rPr>
        <w:t xml:space="preserve">was conducted by </w:t>
      </w:r>
      <w:r w:rsidR="00583403" w:rsidRPr="00012C3F">
        <w:rPr>
          <w:sz w:val="20"/>
          <w:szCs w:val="20"/>
          <w:lang w:val="en-US"/>
        </w:rPr>
        <w:t>the Medical Audit Decisions Committee</w:t>
      </w:r>
      <w:r w:rsidRPr="00012C3F">
        <w:rPr>
          <w:sz w:val="20"/>
          <w:szCs w:val="20"/>
          <w:lang w:val="en-US"/>
        </w:rPr>
        <w:t xml:space="preserve"> of the General Directorate of Health Services of the Ministry of Health and Social Services.</w:t>
      </w:r>
      <w:r w:rsidR="007A1A14" w:rsidRPr="00012C3F">
        <w:rPr>
          <w:rStyle w:val="Refdenotaalpie"/>
          <w:sz w:val="20"/>
          <w:szCs w:val="20"/>
          <w:lang w:val="en-US"/>
        </w:rPr>
        <w:footnoteReference w:id="67"/>
      </w:r>
      <w:r w:rsidR="007A1A14" w:rsidRPr="00012C3F">
        <w:rPr>
          <w:sz w:val="20"/>
          <w:szCs w:val="20"/>
          <w:lang w:val="en-US"/>
        </w:rPr>
        <w:t xml:space="preserve"> </w:t>
      </w:r>
      <w:r w:rsidRPr="00012C3F">
        <w:rPr>
          <w:sz w:val="20"/>
          <w:szCs w:val="20"/>
          <w:lang w:val="en-US"/>
        </w:rPr>
        <w:t xml:space="preserve">The report to determine the reasons and circumstances under which a tubal ligation was performed during </w:t>
      </w:r>
      <w:r w:rsidR="00CC232E" w:rsidRPr="00012C3F">
        <w:rPr>
          <w:sz w:val="20"/>
          <w:szCs w:val="20"/>
          <w:lang w:val="en-US"/>
        </w:rPr>
        <w:t>a caesarean section</w:t>
      </w:r>
      <w:r w:rsidRPr="00012C3F">
        <w:rPr>
          <w:sz w:val="20"/>
          <w:szCs w:val="20"/>
          <w:lang w:val="en-US"/>
        </w:rPr>
        <w:t xml:space="preserve"> operation was prepared by an audit team and then submitted to the Medical Audit Decisions Committee</w:t>
      </w:r>
      <w:r w:rsidR="007A1A14" w:rsidRPr="00012C3F">
        <w:rPr>
          <w:sz w:val="20"/>
          <w:szCs w:val="20"/>
          <w:lang w:val="en-US"/>
        </w:rPr>
        <w:t xml:space="preserve"> </w:t>
      </w:r>
      <w:r w:rsidR="007E5FDF" w:rsidRPr="00012C3F">
        <w:rPr>
          <w:sz w:val="20"/>
          <w:szCs w:val="20"/>
          <w:lang w:val="en-US"/>
        </w:rPr>
        <w:t>on March 13,</w:t>
      </w:r>
      <w:r w:rsidR="007A1A14" w:rsidRPr="00012C3F">
        <w:rPr>
          <w:sz w:val="20"/>
          <w:szCs w:val="20"/>
          <w:lang w:val="en-US"/>
        </w:rPr>
        <w:t xml:space="preserve"> 2001</w:t>
      </w:r>
      <w:r w:rsidR="0007256D" w:rsidRPr="00012C3F">
        <w:rPr>
          <w:sz w:val="20"/>
          <w:szCs w:val="20"/>
          <w:lang w:val="en-US"/>
        </w:rPr>
        <w:t>.</w:t>
      </w:r>
      <w:r w:rsidR="007A1A14" w:rsidRPr="00012C3F">
        <w:rPr>
          <w:sz w:val="20"/>
          <w:szCs w:val="20"/>
          <w:vertAlign w:val="superscript"/>
          <w:lang w:val="en-US"/>
        </w:rPr>
        <w:footnoteReference w:id="68"/>
      </w:r>
    </w:p>
    <w:p w14:paraId="500AE5E6" w14:textId="77777777" w:rsidR="007A1A14" w:rsidRPr="00012C3F" w:rsidRDefault="007A1A14" w:rsidP="007A1A14">
      <w:pPr>
        <w:spacing w:line="240" w:lineRule="auto"/>
        <w:rPr>
          <w:sz w:val="20"/>
          <w:szCs w:val="20"/>
          <w:lang w:val="en-US"/>
        </w:rPr>
      </w:pPr>
    </w:p>
    <w:p w14:paraId="4D228C6F" w14:textId="77777777" w:rsidR="000D0A98" w:rsidRPr="00012C3F" w:rsidRDefault="000D0A98" w:rsidP="000D0A98">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lastRenderedPageBreak/>
        <w:t>The conclusions of this report establish</w:t>
      </w:r>
      <w:r w:rsidR="003B6A98" w:rsidRPr="00012C3F">
        <w:rPr>
          <w:sz w:val="20"/>
          <w:szCs w:val="20"/>
          <w:lang w:val="en-US"/>
        </w:rPr>
        <w:t>ed</w:t>
      </w:r>
      <w:r w:rsidRPr="00012C3F">
        <w:rPr>
          <w:sz w:val="20"/>
          <w:szCs w:val="20"/>
          <w:lang w:val="en-US"/>
        </w:rPr>
        <w:t xml:space="preserve"> that errors were made when drawing up the </w:t>
      </w:r>
      <w:r w:rsidR="003B6A98" w:rsidRPr="00012C3F">
        <w:rPr>
          <w:sz w:val="20"/>
          <w:szCs w:val="20"/>
          <w:lang w:val="en-US"/>
        </w:rPr>
        <w:t>case history</w:t>
      </w:r>
      <w:r w:rsidRPr="00012C3F">
        <w:rPr>
          <w:sz w:val="20"/>
          <w:szCs w:val="20"/>
          <w:lang w:val="en-US"/>
        </w:rPr>
        <w:t>, in the progress notes, and in the Hospital</w:t>
      </w:r>
      <w:r w:rsidR="003B6A98" w:rsidRPr="00012C3F">
        <w:rPr>
          <w:sz w:val="20"/>
          <w:szCs w:val="20"/>
          <w:lang w:val="en-US"/>
        </w:rPr>
        <w:t>’s</w:t>
      </w:r>
      <w:r w:rsidRPr="00012C3F">
        <w:rPr>
          <w:sz w:val="20"/>
          <w:szCs w:val="20"/>
          <w:lang w:val="en-US"/>
        </w:rPr>
        <w:t xml:space="preserve"> records, </w:t>
      </w:r>
      <w:r w:rsidR="003B6A98" w:rsidRPr="00012C3F">
        <w:rPr>
          <w:sz w:val="20"/>
          <w:szCs w:val="20"/>
          <w:lang w:val="en-US"/>
        </w:rPr>
        <w:t>and also indicated that I.V.’s life was not in danger and, consequently, found that the sterilization of I.V. was not justified based on the health norms in force. Specifically, the Committee concluded that:</w:t>
      </w:r>
    </w:p>
    <w:p w14:paraId="41725D09" w14:textId="77777777" w:rsidR="007A1A14" w:rsidRPr="00012C3F" w:rsidRDefault="007A1A14" w:rsidP="007A1A14">
      <w:pPr>
        <w:spacing w:line="240" w:lineRule="auto"/>
        <w:rPr>
          <w:sz w:val="20"/>
          <w:szCs w:val="20"/>
          <w:lang w:val="en-US"/>
        </w:rPr>
      </w:pPr>
    </w:p>
    <w:p w14:paraId="5B67EC86" w14:textId="77777777" w:rsidR="007A1A14" w:rsidRPr="00012C3F" w:rsidRDefault="007A1A14" w:rsidP="00716C7D">
      <w:pPr>
        <w:spacing w:after="120" w:line="240" w:lineRule="auto"/>
        <w:ind w:left="720" w:right="573"/>
        <w:rPr>
          <w:sz w:val="16"/>
          <w:szCs w:val="16"/>
          <w:lang w:val="en-US"/>
        </w:rPr>
      </w:pPr>
      <w:r w:rsidRPr="00012C3F">
        <w:rPr>
          <w:sz w:val="16"/>
          <w:szCs w:val="16"/>
          <w:lang w:val="en-US"/>
        </w:rPr>
        <w:t>[...]</w:t>
      </w:r>
    </w:p>
    <w:p w14:paraId="3CE9AABE" w14:textId="77777777" w:rsidR="007A1A14" w:rsidRPr="00012C3F" w:rsidRDefault="007A1A14" w:rsidP="00716C7D">
      <w:pPr>
        <w:spacing w:after="120" w:line="240" w:lineRule="auto"/>
        <w:ind w:left="720" w:right="573"/>
        <w:rPr>
          <w:sz w:val="16"/>
          <w:szCs w:val="16"/>
          <w:lang w:val="en-US"/>
        </w:rPr>
      </w:pPr>
      <w:r w:rsidRPr="00012C3F">
        <w:rPr>
          <w:sz w:val="16"/>
          <w:szCs w:val="16"/>
          <w:lang w:val="en-US"/>
        </w:rPr>
        <w:t xml:space="preserve">3. </w:t>
      </w:r>
      <w:r w:rsidR="003B6A98" w:rsidRPr="00012C3F">
        <w:rPr>
          <w:sz w:val="16"/>
          <w:szCs w:val="16"/>
          <w:lang w:val="en-US"/>
        </w:rPr>
        <w:t>As regards the bilateral tubal ligation, we consider that carrying out that surgical procedure is not fully justified, because the existence of multiple adhesions does not constitute a risk to the life of the patient and, in addition, since adhesiolysis was performed during the surgical procedure, the problem was apparently being resolved.</w:t>
      </w:r>
      <w:r w:rsidRPr="00012C3F">
        <w:rPr>
          <w:sz w:val="16"/>
          <w:szCs w:val="16"/>
          <w:lang w:val="en-US"/>
        </w:rPr>
        <w:t xml:space="preserve">. </w:t>
      </w:r>
    </w:p>
    <w:p w14:paraId="6B482199" w14:textId="77777777" w:rsidR="007A1A14" w:rsidRPr="00012C3F" w:rsidRDefault="007A1A14" w:rsidP="00716C7D">
      <w:pPr>
        <w:spacing w:after="120" w:line="240" w:lineRule="auto"/>
        <w:ind w:left="720" w:right="573"/>
        <w:rPr>
          <w:sz w:val="16"/>
          <w:szCs w:val="16"/>
          <w:lang w:val="en-US"/>
        </w:rPr>
      </w:pPr>
      <w:r w:rsidRPr="00012C3F">
        <w:rPr>
          <w:sz w:val="16"/>
          <w:szCs w:val="16"/>
          <w:lang w:val="en-US"/>
        </w:rPr>
        <w:t>4.</w:t>
      </w:r>
      <w:r w:rsidR="003B6A98" w:rsidRPr="00012C3F">
        <w:rPr>
          <w:sz w:val="16"/>
          <w:szCs w:val="16"/>
          <w:lang w:val="en-US"/>
        </w:rPr>
        <w:t xml:space="preserve"> In addition, corporal longitudinal hysterotomy in no way justifies peri-operative performance of tubal ligation. Standards in Force for Maternal-Child Care, p. 202</w:t>
      </w:r>
      <w:r w:rsidRPr="00012C3F">
        <w:rPr>
          <w:sz w:val="16"/>
          <w:szCs w:val="16"/>
          <w:lang w:val="en-US"/>
        </w:rPr>
        <w:t xml:space="preserve">. </w:t>
      </w:r>
    </w:p>
    <w:p w14:paraId="493DDDF9" w14:textId="77777777" w:rsidR="007A1A14" w:rsidRPr="00012C3F" w:rsidRDefault="007A1A14" w:rsidP="00716C7D">
      <w:pPr>
        <w:spacing w:after="120" w:line="240" w:lineRule="auto"/>
        <w:ind w:left="720" w:right="573"/>
        <w:rPr>
          <w:sz w:val="16"/>
          <w:szCs w:val="16"/>
          <w:lang w:val="en-US"/>
        </w:rPr>
      </w:pPr>
      <w:r w:rsidRPr="00012C3F">
        <w:rPr>
          <w:sz w:val="16"/>
          <w:szCs w:val="16"/>
          <w:lang w:val="en-US"/>
        </w:rPr>
        <w:t xml:space="preserve">5. </w:t>
      </w:r>
      <w:r w:rsidR="003B6A98" w:rsidRPr="00012C3F">
        <w:rPr>
          <w:sz w:val="16"/>
          <w:szCs w:val="16"/>
          <w:lang w:val="en-US"/>
        </w:rPr>
        <w:t xml:space="preserve">There was no written and signed pre-operation consent for said surgery: bilateral tubal ligation. In no way is it acceptable to </w:t>
      </w:r>
      <w:r w:rsidR="0007256D" w:rsidRPr="00012C3F">
        <w:rPr>
          <w:sz w:val="16"/>
          <w:szCs w:val="16"/>
          <w:lang w:val="en-US"/>
        </w:rPr>
        <w:t>get</w:t>
      </w:r>
      <w:r w:rsidR="003B6A98" w:rsidRPr="00012C3F">
        <w:rPr>
          <w:sz w:val="16"/>
          <w:szCs w:val="16"/>
          <w:lang w:val="en-US"/>
        </w:rPr>
        <w:t xml:space="preserve"> the opinion of the patient during the surgical or peri-operative procedure because the patient is under surgical stress and anesthesia, even though the latter is local</w:t>
      </w:r>
      <w:r w:rsidRPr="00012C3F">
        <w:rPr>
          <w:sz w:val="16"/>
          <w:szCs w:val="16"/>
          <w:lang w:val="en-US"/>
        </w:rPr>
        <w:t xml:space="preserve">. </w:t>
      </w:r>
    </w:p>
    <w:p w14:paraId="657968CE" w14:textId="77777777" w:rsidR="007A1A14" w:rsidRPr="00012C3F" w:rsidRDefault="007A1A14" w:rsidP="00716C7D">
      <w:pPr>
        <w:spacing w:after="120" w:line="240" w:lineRule="auto"/>
        <w:ind w:left="720" w:right="573"/>
        <w:rPr>
          <w:sz w:val="16"/>
          <w:szCs w:val="16"/>
          <w:lang w:val="en-US"/>
        </w:rPr>
      </w:pPr>
      <w:r w:rsidRPr="00012C3F">
        <w:rPr>
          <w:sz w:val="16"/>
          <w:szCs w:val="16"/>
          <w:lang w:val="en-US"/>
        </w:rPr>
        <w:t xml:space="preserve">6. </w:t>
      </w:r>
      <w:r w:rsidR="003B6A98" w:rsidRPr="00012C3F">
        <w:rPr>
          <w:sz w:val="16"/>
          <w:szCs w:val="16"/>
          <w:lang w:val="en-US"/>
        </w:rPr>
        <w:t xml:space="preserve">Dr. Vargas has referred to "communicating" the tubal ligation to the patient during the peri-operative period; </w:t>
      </w:r>
      <w:r w:rsidR="0007256D" w:rsidRPr="00012C3F">
        <w:rPr>
          <w:sz w:val="16"/>
          <w:szCs w:val="16"/>
          <w:lang w:val="en-US"/>
        </w:rPr>
        <w:t>but</w:t>
      </w:r>
      <w:r w:rsidR="003B6A98" w:rsidRPr="00012C3F">
        <w:rPr>
          <w:sz w:val="16"/>
          <w:szCs w:val="16"/>
          <w:lang w:val="en-US"/>
        </w:rPr>
        <w:t>, in his progress note dated July 3, he stated: yesterday, he had "communicated" to the patient that the bilateral tube ligation had been performed out of medical necessity</w:t>
      </w:r>
      <w:r w:rsidRPr="00012C3F">
        <w:rPr>
          <w:sz w:val="16"/>
          <w:szCs w:val="16"/>
          <w:lang w:val="en-US"/>
        </w:rPr>
        <w:t xml:space="preserve">. </w:t>
      </w:r>
    </w:p>
    <w:p w14:paraId="7DB68E62" w14:textId="77777777" w:rsidR="007A1A14" w:rsidRPr="00012C3F" w:rsidRDefault="007A1A14" w:rsidP="00716C7D">
      <w:pPr>
        <w:spacing w:after="120" w:line="240" w:lineRule="auto"/>
        <w:ind w:left="720" w:right="573"/>
        <w:rPr>
          <w:sz w:val="16"/>
          <w:szCs w:val="16"/>
          <w:lang w:val="en-US"/>
        </w:rPr>
      </w:pPr>
      <w:r w:rsidRPr="00012C3F">
        <w:rPr>
          <w:sz w:val="16"/>
          <w:szCs w:val="16"/>
          <w:lang w:val="en-US"/>
        </w:rPr>
        <w:t xml:space="preserve">7. </w:t>
      </w:r>
      <w:r w:rsidR="003B6A98" w:rsidRPr="00012C3F">
        <w:rPr>
          <w:sz w:val="16"/>
          <w:szCs w:val="16"/>
          <w:lang w:val="en-US"/>
        </w:rPr>
        <w:t xml:space="preserve">It was verified that, in the </w:t>
      </w:r>
      <w:r w:rsidR="0007256D" w:rsidRPr="00012C3F">
        <w:rPr>
          <w:sz w:val="16"/>
          <w:szCs w:val="16"/>
          <w:lang w:val="en-US"/>
        </w:rPr>
        <w:t>Record</w:t>
      </w:r>
      <w:r w:rsidR="003B010F" w:rsidRPr="00012C3F">
        <w:rPr>
          <w:sz w:val="16"/>
          <w:szCs w:val="16"/>
          <w:lang w:val="en-US"/>
        </w:rPr>
        <w:t xml:space="preserve"> of Caesarean or Emergency Operations in the Hospital’s operating theater, there is no record on July 1, 2000, of the operation corresponding to [I.V.].</w:t>
      </w:r>
    </w:p>
    <w:p w14:paraId="5F8146DA" w14:textId="77777777" w:rsidR="007A1A14" w:rsidRPr="00012C3F" w:rsidRDefault="007A1A14" w:rsidP="00716C7D">
      <w:pPr>
        <w:spacing w:after="120" w:line="240" w:lineRule="auto"/>
        <w:ind w:left="720" w:right="573"/>
        <w:rPr>
          <w:sz w:val="16"/>
          <w:szCs w:val="16"/>
          <w:lang w:val="en-US"/>
        </w:rPr>
      </w:pPr>
      <w:r w:rsidRPr="00012C3F">
        <w:rPr>
          <w:sz w:val="16"/>
          <w:szCs w:val="16"/>
          <w:lang w:val="en-US"/>
        </w:rPr>
        <w:t>[...]</w:t>
      </w:r>
      <w:r w:rsidRPr="00012C3F">
        <w:rPr>
          <w:sz w:val="16"/>
          <w:szCs w:val="16"/>
          <w:vertAlign w:val="superscript"/>
          <w:lang w:val="en-US"/>
        </w:rPr>
        <w:footnoteReference w:id="69"/>
      </w:r>
    </w:p>
    <w:p w14:paraId="7D87FFC5" w14:textId="77777777" w:rsidR="007A1A14" w:rsidRPr="00012C3F" w:rsidRDefault="007A1A14" w:rsidP="00716C7D">
      <w:pPr>
        <w:spacing w:line="240" w:lineRule="auto"/>
        <w:ind w:left="720"/>
        <w:rPr>
          <w:sz w:val="20"/>
          <w:szCs w:val="20"/>
          <w:lang w:val="en-US"/>
        </w:rPr>
      </w:pPr>
    </w:p>
    <w:p w14:paraId="656C1BF4" w14:textId="77777777" w:rsidR="007A1A14" w:rsidRPr="00012C3F" w:rsidRDefault="003B010F" w:rsidP="003B010F">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Based on this report, the Committee identified five aspects – medical decision and implementation of norms and protocols; inexistence of written consent to the tubal ligation; problems in following up on the </w:t>
      </w:r>
      <w:r w:rsidR="0007256D" w:rsidRPr="00012C3F">
        <w:rPr>
          <w:sz w:val="20"/>
          <w:szCs w:val="20"/>
          <w:lang w:val="en-US"/>
        </w:rPr>
        <w:t>explanatory</w:t>
      </w:r>
      <w:r w:rsidRPr="00012C3F">
        <w:rPr>
          <w:sz w:val="20"/>
          <w:szCs w:val="20"/>
          <w:lang w:val="en-US"/>
        </w:rPr>
        <w:t xml:space="preserve"> process; administrative problems concerning the inexistence of records of surgical procedures, and inexistence of the anesthesia record – that led them to make several recommendations, including: the dismissal of the physician, an audit of the Women’s Hospital; training regarding malpractice for the Women’s Hospital; a reprimand to the Management of the Women’s Hospital owing to “loss of documentation and negligence in the control of completion of medical and administrative records,” and the “forward[ing of] a report of the Medical Audit to the [Departmental Health Service] SEDES, so that it could i</w:t>
      </w:r>
      <w:r w:rsidR="00C42418" w:rsidRPr="00012C3F">
        <w:rPr>
          <w:sz w:val="20"/>
          <w:szCs w:val="20"/>
          <w:lang w:val="en-US"/>
        </w:rPr>
        <w:t xml:space="preserve">mplement the corresponding sanctions and advise [I.V.] of </w:t>
      </w:r>
      <w:r w:rsidR="00FF19ED" w:rsidRPr="00012C3F">
        <w:rPr>
          <w:sz w:val="20"/>
          <w:szCs w:val="20"/>
          <w:lang w:val="en-US"/>
        </w:rPr>
        <w:t>the</w:t>
      </w:r>
      <w:r w:rsidR="00C42418" w:rsidRPr="00012C3F">
        <w:rPr>
          <w:sz w:val="20"/>
          <w:szCs w:val="20"/>
          <w:lang w:val="en-US"/>
        </w:rPr>
        <w:t xml:space="preserve"> conclusions reached by</w:t>
      </w:r>
      <w:r w:rsidR="00FF19ED" w:rsidRPr="00012C3F">
        <w:rPr>
          <w:sz w:val="20"/>
          <w:szCs w:val="20"/>
          <w:lang w:val="en-US"/>
        </w:rPr>
        <w:t xml:space="preserve"> </w:t>
      </w:r>
      <w:r w:rsidR="0007256D" w:rsidRPr="00012C3F">
        <w:rPr>
          <w:sz w:val="20"/>
          <w:szCs w:val="20"/>
          <w:lang w:val="en-US"/>
        </w:rPr>
        <w:t xml:space="preserve">the </w:t>
      </w:r>
      <w:r w:rsidR="00583403" w:rsidRPr="00012C3F">
        <w:rPr>
          <w:sz w:val="20"/>
          <w:szCs w:val="20"/>
          <w:lang w:val="en-US"/>
        </w:rPr>
        <w:t>Medical Audit Decisions Committee</w:t>
      </w:r>
      <w:r w:rsidR="00C42418" w:rsidRPr="00012C3F">
        <w:rPr>
          <w:sz w:val="20"/>
          <w:szCs w:val="20"/>
          <w:lang w:val="en-US"/>
        </w:rPr>
        <w:t>.</w:t>
      </w:r>
      <w:r w:rsidR="007A1A14" w:rsidRPr="00012C3F">
        <w:rPr>
          <w:sz w:val="20"/>
          <w:szCs w:val="20"/>
          <w:lang w:val="en-US"/>
        </w:rPr>
        <w:t>”</w:t>
      </w:r>
      <w:r w:rsidR="007A1A14" w:rsidRPr="00012C3F">
        <w:rPr>
          <w:sz w:val="20"/>
          <w:szCs w:val="20"/>
          <w:vertAlign w:val="superscript"/>
          <w:lang w:val="en-US"/>
        </w:rPr>
        <w:footnoteReference w:id="70"/>
      </w:r>
    </w:p>
    <w:p w14:paraId="7F795559" w14:textId="77777777" w:rsidR="007A1A14" w:rsidRPr="00012C3F" w:rsidRDefault="007A1A14" w:rsidP="007A1A14">
      <w:pPr>
        <w:spacing w:line="240" w:lineRule="auto"/>
        <w:rPr>
          <w:sz w:val="20"/>
          <w:szCs w:val="20"/>
          <w:lang w:val="en-US"/>
        </w:rPr>
      </w:pPr>
    </w:p>
    <w:p w14:paraId="6CCC453E" w14:textId="77777777" w:rsidR="007A1A14" w:rsidRPr="00012C3F" w:rsidRDefault="007A1A14" w:rsidP="005D5050">
      <w:pPr>
        <w:pStyle w:val="Ttulo2"/>
        <w:tabs>
          <w:tab w:val="left" w:pos="1701"/>
        </w:tabs>
        <w:spacing w:before="0" w:line="240" w:lineRule="auto"/>
        <w:ind w:left="1134"/>
        <w:rPr>
          <w:rFonts w:ascii="Verdana" w:hAnsi="Verdana"/>
          <w:b w:val="0"/>
          <w:i/>
          <w:color w:val="auto"/>
          <w:sz w:val="20"/>
          <w:szCs w:val="20"/>
          <w:lang w:val="en-US"/>
        </w:rPr>
      </w:pPr>
      <w:bookmarkStart w:id="98" w:name="_Toc27486843"/>
      <w:r w:rsidRPr="00012C3F">
        <w:rPr>
          <w:rFonts w:ascii="Verdana" w:hAnsi="Verdana"/>
          <w:b w:val="0"/>
          <w:i/>
          <w:color w:val="auto"/>
          <w:sz w:val="20"/>
          <w:szCs w:val="20"/>
          <w:lang w:val="en-US"/>
        </w:rPr>
        <w:t xml:space="preserve">C.4 </w:t>
      </w:r>
      <w:r w:rsidRPr="00012C3F">
        <w:rPr>
          <w:rFonts w:ascii="Verdana" w:hAnsi="Verdana"/>
          <w:b w:val="0"/>
          <w:i/>
          <w:color w:val="auto"/>
          <w:sz w:val="20"/>
          <w:szCs w:val="20"/>
          <w:lang w:val="en-US"/>
        </w:rPr>
        <w:tab/>
      </w:r>
      <w:r w:rsidR="00B53B61" w:rsidRPr="00012C3F">
        <w:rPr>
          <w:rFonts w:ascii="Verdana" w:hAnsi="Verdana"/>
          <w:b w:val="0"/>
          <w:i/>
          <w:color w:val="auto"/>
          <w:sz w:val="20"/>
          <w:szCs w:val="20"/>
          <w:lang w:val="en-US"/>
        </w:rPr>
        <w:t>Report</w:t>
      </w:r>
      <w:r w:rsidR="002A5605" w:rsidRPr="00012C3F">
        <w:rPr>
          <w:rFonts w:ascii="Verdana" w:hAnsi="Verdana"/>
          <w:b w:val="0"/>
          <w:i/>
          <w:color w:val="auto"/>
          <w:sz w:val="20"/>
          <w:szCs w:val="20"/>
          <w:lang w:val="en-US"/>
        </w:rPr>
        <w:t xml:space="preserve"> of the </w:t>
      </w:r>
      <w:r w:rsidR="008379AC" w:rsidRPr="00012C3F">
        <w:rPr>
          <w:rFonts w:ascii="Verdana" w:hAnsi="Verdana"/>
          <w:b w:val="0"/>
          <w:i/>
          <w:color w:val="auto"/>
          <w:sz w:val="20"/>
          <w:szCs w:val="20"/>
          <w:lang w:val="en-US"/>
        </w:rPr>
        <w:t xml:space="preserve">Ethics </w:t>
      </w:r>
      <w:r w:rsidR="00F36FE0" w:rsidRPr="00012C3F">
        <w:rPr>
          <w:rFonts w:ascii="Verdana" w:hAnsi="Verdana"/>
          <w:b w:val="0"/>
          <w:i/>
          <w:color w:val="auto"/>
          <w:sz w:val="20"/>
          <w:szCs w:val="20"/>
          <w:lang w:val="en-US"/>
        </w:rPr>
        <w:t>Tribunal of the La</w:t>
      </w:r>
      <w:r w:rsidR="008379AC" w:rsidRPr="00012C3F">
        <w:rPr>
          <w:rFonts w:ascii="Verdana" w:hAnsi="Verdana"/>
          <w:b w:val="0"/>
          <w:i/>
          <w:color w:val="auto"/>
          <w:sz w:val="20"/>
          <w:szCs w:val="20"/>
          <w:lang w:val="en-US"/>
        </w:rPr>
        <w:t xml:space="preserve"> Paz Departmental </w:t>
      </w:r>
      <w:r w:rsidR="00164743" w:rsidRPr="00012C3F">
        <w:rPr>
          <w:rFonts w:ascii="Verdana" w:hAnsi="Verdana"/>
          <w:b w:val="0"/>
          <w:i/>
          <w:color w:val="auto"/>
          <w:sz w:val="20"/>
          <w:szCs w:val="20"/>
          <w:lang w:val="en-US"/>
        </w:rPr>
        <w:t>Medical Association</w:t>
      </w:r>
      <w:bookmarkEnd w:id="98"/>
    </w:p>
    <w:p w14:paraId="73895CEC" w14:textId="77777777" w:rsidR="007A1A14" w:rsidRPr="00012C3F" w:rsidRDefault="007A1A14" w:rsidP="007A1A14">
      <w:pPr>
        <w:spacing w:line="240" w:lineRule="auto"/>
        <w:rPr>
          <w:i/>
          <w:sz w:val="20"/>
          <w:szCs w:val="20"/>
          <w:lang w:val="en-US"/>
        </w:rPr>
      </w:pPr>
    </w:p>
    <w:p w14:paraId="77BEBE3F" w14:textId="77777777" w:rsidR="007A1A14" w:rsidRPr="00012C3F" w:rsidRDefault="008379AC" w:rsidP="00B53B61">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The Ethics </w:t>
      </w:r>
      <w:r w:rsidR="00F36FE0" w:rsidRPr="00012C3F">
        <w:rPr>
          <w:sz w:val="20"/>
          <w:szCs w:val="20"/>
          <w:lang w:val="en-US"/>
        </w:rPr>
        <w:t>Tribunal of the La</w:t>
      </w:r>
      <w:r w:rsidRPr="00012C3F">
        <w:rPr>
          <w:sz w:val="20"/>
          <w:szCs w:val="20"/>
          <w:lang w:val="en-US"/>
        </w:rPr>
        <w:t xml:space="preserve"> Paz Departmental </w:t>
      </w:r>
      <w:r w:rsidR="00164743" w:rsidRPr="00012C3F">
        <w:rPr>
          <w:sz w:val="20"/>
          <w:szCs w:val="20"/>
          <w:lang w:val="en-US"/>
        </w:rPr>
        <w:t>Medical Association</w:t>
      </w:r>
      <w:r w:rsidR="007A1A14" w:rsidRPr="00012C3F">
        <w:rPr>
          <w:sz w:val="20"/>
          <w:szCs w:val="20"/>
          <w:lang w:val="en-US"/>
        </w:rPr>
        <w:t xml:space="preserve"> </w:t>
      </w:r>
      <w:r w:rsidR="00B53B61" w:rsidRPr="00012C3F">
        <w:rPr>
          <w:sz w:val="20"/>
          <w:szCs w:val="20"/>
          <w:lang w:val="en-US"/>
        </w:rPr>
        <w:t>issued a</w:t>
      </w:r>
      <w:r w:rsidR="007A1A14" w:rsidRPr="00012C3F">
        <w:rPr>
          <w:sz w:val="20"/>
          <w:szCs w:val="20"/>
          <w:lang w:val="en-US"/>
        </w:rPr>
        <w:t xml:space="preserve"> </w:t>
      </w:r>
      <w:r w:rsidR="00B53B61" w:rsidRPr="00012C3F">
        <w:rPr>
          <w:sz w:val="20"/>
          <w:szCs w:val="20"/>
          <w:lang w:val="en-US"/>
        </w:rPr>
        <w:t>report</w:t>
      </w:r>
      <w:r w:rsidR="007A1A14" w:rsidRPr="00012C3F">
        <w:rPr>
          <w:sz w:val="20"/>
          <w:szCs w:val="20"/>
          <w:lang w:val="en-US"/>
        </w:rPr>
        <w:t xml:space="preserve"> </w:t>
      </w:r>
      <w:r w:rsidR="00B53B61" w:rsidRPr="00012C3F">
        <w:rPr>
          <w:sz w:val="20"/>
          <w:szCs w:val="20"/>
          <w:lang w:val="en-US"/>
        </w:rPr>
        <w:t>on the case of</w:t>
      </w:r>
      <w:r w:rsidR="007A1A14" w:rsidRPr="00012C3F">
        <w:rPr>
          <w:sz w:val="20"/>
          <w:szCs w:val="20"/>
          <w:lang w:val="en-US"/>
        </w:rPr>
        <w:t xml:space="preserve"> </w:t>
      </w:r>
      <w:r w:rsidR="000E1C11" w:rsidRPr="00012C3F">
        <w:rPr>
          <w:sz w:val="20"/>
          <w:szCs w:val="20"/>
          <w:lang w:val="en-US"/>
        </w:rPr>
        <w:t>I.V.</w:t>
      </w:r>
      <w:r w:rsidR="007A1A14" w:rsidRPr="00012C3F">
        <w:rPr>
          <w:sz w:val="20"/>
          <w:szCs w:val="20"/>
          <w:lang w:val="en-US"/>
        </w:rPr>
        <w:t xml:space="preserve"> </w:t>
      </w:r>
      <w:r w:rsidR="00B53B61" w:rsidRPr="00012C3F">
        <w:rPr>
          <w:sz w:val="20"/>
          <w:szCs w:val="20"/>
          <w:lang w:val="en-US"/>
        </w:rPr>
        <w:t>dated October 5,</w:t>
      </w:r>
      <w:r w:rsidR="007A1A14" w:rsidRPr="00012C3F">
        <w:rPr>
          <w:sz w:val="20"/>
          <w:szCs w:val="20"/>
          <w:lang w:val="en-US"/>
        </w:rPr>
        <w:t xml:space="preserve"> 2001, </w:t>
      </w:r>
      <w:r w:rsidR="00B53B61" w:rsidRPr="00012C3F">
        <w:rPr>
          <w:sz w:val="20"/>
          <w:szCs w:val="20"/>
          <w:lang w:val="en-US"/>
        </w:rPr>
        <w:t xml:space="preserve">in response to the notes </w:t>
      </w:r>
      <w:r w:rsidR="0007256D" w:rsidRPr="00012C3F">
        <w:rPr>
          <w:sz w:val="20"/>
          <w:szCs w:val="20"/>
          <w:lang w:val="en-US"/>
        </w:rPr>
        <w:t>received from</w:t>
      </w:r>
      <w:r w:rsidR="00B53B61" w:rsidRPr="00012C3F">
        <w:rPr>
          <w:sz w:val="20"/>
          <w:szCs w:val="20"/>
          <w:lang w:val="en-US"/>
        </w:rPr>
        <w:t xml:space="preserve"> the Minister of Health and Social Services</w:t>
      </w:r>
      <w:r w:rsidR="005E5012" w:rsidRPr="00012C3F">
        <w:rPr>
          <w:sz w:val="20"/>
          <w:szCs w:val="20"/>
          <w:lang w:val="en-US"/>
        </w:rPr>
        <w:t xml:space="preserve"> and </w:t>
      </w:r>
      <w:r w:rsidR="00B53B61" w:rsidRPr="00012C3F">
        <w:rPr>
          <w:sz w:val="20"/>
          <w:szCs w:val="20"/>
          <w:lang w:val="en-US"/>
        </w:rPr>
        <w:t xml:space="preserve">the Director of the Complaints Department </w:t>
      </w:r>
      <w:r w:rsidR="004C6FCC" w:rsidRPr="00012C3F">
        <w:rPr>
          <w:sz w:val="20"/>
          <w:szCs w:val="20"/>
          <w:lang w:val="en-US"/>
        </w:rPr>
        <w:t xml:space="preserve">of the </w:t>
      </w:r>
      <w:r w:rsidR="00E00902" w:rsidRPr="00012C3F">
        <w:rPr>
          <w:sz w:val="20"/>
          <w:szCs w:val="20"/>
          <w:lang w:val="en-US"/>
        </w:rPr>
        <w:t>Ombudsman</w:t>
      </w:r>
      <w:r w:rsidR="00B53B61" w:rsidRPr="00012C3F">
        <w:rPr>
          <w:sz w:val="20"/>
          <w:szCs w:val="20"/>
          <w:lang w:val="en-US"/>
        </w:rPr>
        <w:t>’s Office</w:t>
      </w:r>
      <w:r w:rsidR="007A1A14" w:rsidRPr="00012C3F">
        <w:rPr>
          <w:sz w:val="20"/>
          <w:szCs w:val="20"/>
          <w:lang w:val="en-US"/>
        </w:rPr>
        <w:t xml:space="preserve"> </w:t>
      </w:r>
      <w:r w:rsidR="00B53B61" w:rsidRPr="00012C3F">
        <w:rPr>
          <w:sz w:val="20"/>
          <w:szCs w:val="20"/>
          <w:lang w:val="en-US"/>
        </w:rPr>
        <w:t>in August</w:t>
      </w:r>
      <w:r w:rsidR="005E5012" w:rsidRPr="00012C3F">
        <w:rPr>
          <w:sz w:val="20"/>
          <w:szCs w:val="20"/>
          <w:lang w:val="en-US"/>
        </w:rPr>
        <w:t xml:space="preserve"> and </w:t>
      </w:r>
      <w:r w:rsidR="00B53B61" w:rsidRPr="00012C3F">
        <w:rPr>
          <w:sz w:val="20"/>
          <w:szCs w:val="20"/>
          <w:lang w:val="en-US"/>
        </w:rPr>
        <w:t>September</w:t>
      </w:r>
      <w:r w:rsidR="007A1A14" w:rsidRPr="00012C3F">
        <w:rPr>
          <w:sz w:val="20"/>
          <w:szCs w:val="20"/>
          <w:lang w:val="en-US"/>
        </w:rPr>
        <w:t xml:space="preserve"> 2001</w:t>
      </w:r>
      <w:r w:rsidR="0007256D" w:rsidRPr="00012C3F">
        <w:rPr>
          <w:sz w:val="20"/>
          <w:szCs w:val="20"/>
          <w:lang w:val="en-US"/>
        </w:rPr>
        <w:t>,</w:t>
      </w:r>
      <w:r w:rsidR="007A1A14" w:rsidRPr="00012C3F">
        <w:rPr>
          <w:sz w:val="20"/>
          <w:szCs w:val="20"/>
          <w:lang w:val="en-US"/>
        </w:rPr>
        <w:t xml:space="preserve"> respectiv</w:t>
      </w:r>
      <w:r w:rsidR="00B53B61" w:rsidRPr="00012C3F">
        <w:rPr>
          <w:sz w:val="20"/>
          <w:szCs w:val="20"/>
          <w:lang w:val="en-US"/>
        </w:rPr>
        <w:t>ely.</w:t>
      </w:r>
      <w:r w:rsidR="007A1A14" w:rsidRPr="00012C3F">
        <w:rPr>
          <w:sz w:val="20"/>
          <w:szCs w:val="20"/>
          <w:vertAlign w:val="superscript"/>
          <w:lang w:val="en-US"/>
        </w:rPr>
        <w:footnoteReference w:id="71"/>
      </w:r>
      <w:r w:rsidR="007A1A14" w:rsidRPr="00012C3F">
        <w:rPr>
          <w:sz w:val="20"/>
          <w:szCs w:val="20"/>
          <w:lang w:val="en-US"/>
        </w:rPr>
        <w:t xml:space="preserve"> </w:t>
      </w:r>
      <w:r w:rsidRPr="00012C3F">
        <w:rPr>
          <w:sz w:val="20"/>
          <w:szCs w:val="20"/>
          <w:lang w:val="en-US"/>
        </w:rPr>
        <w:t>The Ethics Tribunal</w:t>
      </w:r>
      <w:r w:rsidR="007A1A14" w:rsidRPr="00012C3F">
        <w:rPr>
          <w:sz w:val="20"/>
          <w:szCs w:val="20"/>
          <w:lang w:val="en-US"/>
        </w:rPr>
        <w:t xml:space="preserve"> </w:t>
      </w:r>
      <w:r w:rsidR="00B53B61" w:rsidRPr="00012C3F">
        <w:rPr>
          <w:sz w:val="20"/>
          <w:szCs w:val="20"/>
          <w:lang w:val="en-US"/>
        </w:rPr>
        <w:t xml:space="preserve">disagreed with the decision reached by </w:t>
      </w:r>
      <w:r w:rsidR="00583403" w:rsidRPr="00012C3F">
        <w:rPr>
          <w:sz w:val="20"/>
          <w:szCs w:val="20"/>
          <w:lang w:val="en-US"/>
        </w:rPr>
        <w:t>the Medical Audit Decisions Committee</w:t>
      </w:r>
      <w:r w:rsidR="002A5605" w:rsidRPr="00012C3F">
        <w:rPr>
          <w:sz w:val="20"/>
          <w:szCs w:val="20"/>
          <w:lang w:val="en-US"/>
        </w:rPr>
        <w:t xml:space="preserve"> of the General Directorate of Health Services of the Ministry of Health and Social Services</w:t>
      </w:r>
      <w:r w:rsidR="007A1A14" w:rsidRPr="00012C3F">
        <w:rPr>
          <w:sz w:val="20"/>
          <w:szCs w:val="20"/>
          <w:lang w:val="en-US"/>
        </w:rPr>
        <w:t>,</w:t>
      </w:r>
      <w:r w:rsidR="00B53B61" w:rsidRPr="00012C3F">
        <w:rPr>
          <w:sz w:val="20"/>
          <w:szCs w:val="20"/>
          <w:lang w:val="en-US"/>
        </w:rPr>
        <w:t xml:space="preserve"> which had conducted the pre</w:t>
      </w:r>
      <w:r w:rsidR="0007256D" w:rsidRPr="00012C3F">
        <w:rPr>
          <w:sz w:val="20"/>
          <w:szCs w:val="20"/>
          <w:lang w:val="en-US"/>
        </w:rPr>
        <w:t>ceding</w:t>
      </w:r>
      <w:r w:rsidR="00B53B61" w:rsidRPr="00012C3F">
        <w:rPr>
          <w:sz w:val="20"/>
          <w:szCs w:val="20"/>
          <w:lang w:val="en-US"/>
        </w:rPr>
        <w:t xml:space="preserve"> audit.</w:t>
      </w:r>
    </w:p>
    <w:p w14:paraId="6B95621B" w14:textId="77777777" w:rsidR="007A1A14" w:rsidRPr="00012C3F" w:rsidRDefault="007A1A14" w:rsidP="00B53B61">
      <w:pPr>
        <w:tabs>
          <w:tab w:val="left" w:pos="720"/>
        </w:tabs>
        <w:spacing w:line="240" w:lineRule="auto"/>
        <w:rPr>
          <w:sz w:val="20"/>
          <w:szCs w:val="20"/>
          <w:lang w:val="en-US"/>
        </w:rPr>
      </w:pPr>
    </w:p>
    <w:p w14:paraId="5CE1A350" w14:textId="77777777" w:rsidR="007A1A14" w:rsidRPr="00012C3F" w:rsidRDefault="00B53B61" w:rsidP="00B53B61">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Among its considerations, it affirmed that, the documentation analyzed included an institutional form </w:t>
      </w:r>
      <w:r w:rsidR="00FF19ED" w:rsidRPr="00012C3F">
        <w:rPr>
          <w:sz w:val="20"/>
          <w:szCs w:val="20"/>
          <w:lang w:val="en-US"/>
        </w:rPr>
        <w:t xml:space="preserve">of the </w:t>
      </w:r>
      <w:r w:rsidR="00583403" w:rsidRPr="00012C3F">
        <w:rPr>
          <w:sz w:val="20"/>
          <w:szCs w:val="20"/>
          <w:lang w:val="en-US"/>
        </w:rPr>
        <w:t>Women’s Hospital</w:t>
      </w:r>
      <w:r w:rsidR="007A1A14" w:rsidRPr="00012C3F">
        <w:rPr>
          <w:sz w:val="20"/>
          <w:szCs w:val="20"/>
          <w:lang w:val="en-US"/>
        </w:rPr>
        <w:t xml:space="preserve"> </w:t>
      </w:r>
      <w:r w:rsidRPr="00012C3F">
        <w:rPr>
          <w:sz w:val="20"/>
          <w:szCs w:val="20"/>
          <w:lang w:val="en-US"/>
        </w:rPr>
        <w:t>signed by the patie</w:t>
      </w:r>
      <w:r w:rsidR="00AC0004" w:rsidRPr="00012C3F">
        <w:rPr>
          <w:sz w:val="20"/>
          <w:szCs w:val="20"/>
          <w:lang w:val="en-US"/>
        </w:rPr>
        <w:t>n</w:t>
      </w:r>
      <w:r w:rsidRPr="00012C3F">
        <w:rPr>
          <w:sz w:val="20"/>
          <w:szCs w:val="20"/>
          <w:lang w:val="en-US"/>
        </w:rPr>
        <w:t xml:space="preserve">t’s husband and authorizing </w:t>
      </w:r>
      <w:r w:rsidR="00136EDE" w:rsidRPr="00012C3F">
        <w:rPr>
          <w:sz w:val="20"/>
          <w:szCs w:val="20"/>
          <w:lang w:val="en-US"/>
        </w:rPr>
        <w:t xml:space="preserve">the </w:t>
      </w:r>
      <w:r w:rsidR="00136EDE" w:rsidRPr="00012C3F">
        <w:rPr>
          <w:sz w:val="20"/>
          <w:szCs w:val="20"/>
          <w:lang w:val="en-US"/>
        </w:rPr>
        <w:lastRenderedPageBreak/>
        <w:t>caesarean section</w:t>
      </w:r>
      <w:r w:rsidR="007A1A14" w:rsidRPr="00012C3F">
        <w:rPr>
          <w:sz w:val="20"/>
          <w:szCs w:val="20"/>
          <w:lang w:val="en-US"/>
        </w:rPr>
        <w:t xml:space="preserve"> </w:t>
      </w:r>
      <w:r w:rsidRPr="00012C3F">
        <w:rPr>
          <w:sz w:val="20"/>
          <w:szCs w:val="20"/>
          <w:lang w:val="en-US"/>
        </w:rPr>
        <w:t>and, if necessary, an</w:t>
      </w:r>
      <w:r w:rsidR="00103520" w:rsidRPr="00012C3F">
        <w:rPr>
          <w:sz w:val="20"/>
          <w:szCs w:val="20"/>
          <w:lang w:val="en-US"/>
        </w:rPr>
        <w:t>y</w:t>
      </w:r>
      <w:r w:rsidRPr="00012C3F">
        <w:rPr>
          <w:sz w:val="20"/>
          <w:szCs w:val="20"/>
          <w:lang w:val="en-US"/>
        </w:rPr>
        <w:t xml:space="preserve"> “special treatment” that had to be carried out “in anticipation of the different surgical findings, contingencies and/or complications that could occur during </w:t>
      </w:r>
      <w:r w:rsidR="00136EDE" w:rsidRPr="00012C3F">
        <w:rPr>
          <w:sz w:val="20"/>
          <w:szCs w:val="20"/>
          <w:lang w:val="en-US"/>
        </w:rPr>
        <w:t>the caesarean section</w:t>
      </w:r>
      <w:r w:rsidRPr="00012C3F">
        <w:rPr>
          <w:sz w:val="20"/>
          <w:szCs w:val="20"/>
          <w:lang w:val="en-US"/>
        </w:rPr>
        <w:t xml:space="preserve"> procedure, which could require the execution of additional corrective or preventive procedures.</w:t>
      </w:r>
      <w:r w:rsidR="007A1A14" w:rsidRPr="00012C3F">
        <w:rPr>
          <w:sz w:val="20"/>
          <w:szCs w:val="20"/>
          <w:lang w:val="en-US"/>
        </w:rPr>
        <w:t>”</w:t>
      </w:r>
      <w:r w:rsidR="007A1A14" w:rsidRPr="00012C3F">
        <w:rPr>
          <w:sz w:val="20"/>
          <w:szCs w:val="20"/>
          <w:vertAlign w:val="superscript"/>
          <w:lang w:val="en-US"/>
        </w:rPr>
        <w:footnoteReference w:id="72"/>
      </w:r>
      <w:r w:rsidR="007A1A14" w:rsidRPr="00012C3F">
        <w:rPr>
          <w:sz w:val="20"/>
          <w:szCs w:val="20"/>
          <w:lang w:val="en-US"/>
        </w:rPr>
        <w:t xml:space="preserve"> </w:t>
      </w:r>
      <w:r w:rsidR="008379AC" w:rsidRPr="00012C3F">
        <w:rPr>
          <w:sz w:val="20"/>
          <w:szCs w:val="20"/>
          <w:lang w:val="en-US"/>
        </w:rPr>
        <w:t>The Ethics Tribunal</w:t>
      </w:r>
      <w:r w:rsidR="007A1A14" w:rsidRPr="00012C3F">
        <w:rPr>
          <w:sz w:val="20"/>
          <w:szCs w:val="20"/>
          <w:lang w:val="en-US"/>
        </w:rPr>
        <w:t xml:space="preserve"> consider</w:t>
      </w:r>
      <w:r w:rsidRPr="00012C3F">
        <w:rPr>
          <w:sz w:val="20"/>
          <w:szCs w:val="20"/>
          <w:lang w:val="en-US"/>
        </w:rPr>
        <w:t>ed that the Pomeroy-type bilateral tubal ligation would fall within this concept.</w:t>
      </w:r>
      <w:r w:rsidR="007A1A14" w:rsidRPr="00012C3F">
        <w:rPr>
          <w:sz w:val="20"/>
          <w:szCs w:val="20"/>
          <w:vertAlign w:val="superscript"/>
          <w:lang w:val="en-US"/>
        </w:rPr>
        <w:footnoteReference w:id="73"/>
      </w:r>
    </w:p>
    <w:p w14:paraId="5743177E" w14:textId="77777777" w:rsidR="007A1A14" w:rsidRPr="00012C3F" w:rsidRDefault="007A1A14" w:rsidP="007A1A14">
      <w:pPr>
        <w:spacing w:line="240" w:lineRule="auto"/>
        <w:rPr>
          <w:sz w:val="20"/>
          <w:szCs w:val="20"/>
          <w:lang w:val="en-US"/>
        </w:rPr>
      </w:pPr>
    </w:p>
    <w:p w14:paraId="43E91809" w14:textId="77777777" w:rsidR="007A1A14" w:rsidRPr="00012C3F" w:rsidRDefault="007A1A14" w:rsidP="00716C7D">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Ad</w:t>
      </w:r>
      <w:r w:rsidR="00AC0004" w:rsidRPr="00012C3F">
        <w:rPr>
          <w:sz w:val="20"/>
          <w:szCs w:val="20"/>
          <w:lang w:val="en-US"/>
        </w:rPr>
        <w:t>ditionally,</w:t>
      </w:r>
      <w:r w:rsidRPr="00012C3F">
        <w:rPr>
          <w:sz w:val="20"/>
          <w:szCs w:val="20"/>
          <w:lang w:val="en-US"/>
        </w:rPr>
        <w:t xml:space="preserve"> </w:t>
      </w:r>
      <w:r w:rsidR="008379AC" w:rsidRPr="00012C3F">
        <w:rPr>
          <w:sz w:val="20"/>
          <w:szCs w:val="20"/>
          <w:lang w:val="en-US"/>
        </w:rPr>
        <w:t>the Ethics Tribunal</w:t>
      </w:r>
      <w:r w:rsidRPr="00012C3F">
        <w:rPr>
          <w:sz w:val="20"/>
          <w:szCs w:val="20"/>
          <w:lang w:val="en-US"/>
        </w:rPr>
        <w:t xml:space="preserve"> </w:t>
      </w:r>
      <w:r w:rsidR="00AC0004" w:rsidRPr="00012C3F">
        <w:rPr>
          <w:sz w:val="20"/>
          <w:szCs w:val="20"/>
          <w:lang w:val="en-US"/>
        </w:rPr>
        <w:t xml:space="preserve">indicated that “it was not possible to have the specific, written informed consent for the tubal ligation, because this procedure was not </w:t>
      </w:r>
      <w:r w:rsidR="00103520" w:rsidRPr="00012C3F">
        <w:rPr>
          <w:sz w:val="20"/>
          <w:szCs w:val="20"/>
          <w:lang w:val="en-US"/>
        </w:rPr>
        <w:t>anticipated</w:t>
      </w:r>
      <w:r w:rsidR="00AC0004" w:rsidRPr="00012C3F">
        <w:rPr>
          <w:sz w:val="20"/>
          <w:szCs w:val="20"/>
          <w:lang w:val="en-US"/>
        </w:rPr>
        <w:t>, and it was performed by the surgeon owing to the necessity revealed by the findings during the operation</w:t>
      </w:r>
      <w:r w:rsidRPr="00012C3F">
        <w:rPr>
          <w:sz w:val="20"/>
          <w:szCs w:val="20"/>
          <w:lang w:val="en-US"/>
        </w:rPr>
        <w:t>”</w:t>
      </w:r>
      <w:r w:rsidR="00AC0004" w:rsidRPr="00012C3F">
        <w:rPr>
          <w:sz w:val="20"/>
          <w:szCs w:val="20"/>
          <w:lang w:val="en-US"/>
        </w:rPr>
        <w:t>;</w:t>
      </w:r>
      <w:r w:rsidRPr="00012C3F">
        <w:rPr>
          <w:sz w:val="20"/>
          <w:szCs w:val="20"/>
          <w:vertAlign w:val="superscript"/>
          <w:lang w:val="en-US"/>
        </w:rPr>
        <w:footnoteReference w:id="74"/>
      </w:r>
      <w:r w:rsidR="00AC0004" w:rsidRPr="00012C3F">
        <w:rPr>
          <w:sz w:val="20"/>
          <w:szCs w:val="20"/>
          <w:lang w:val="en-US"/>
        </w:rPr>
        <w:t xml:space="preserve"> thus,</w:t>
      </w:r>
      <w:r w:rsidRPr="00012C3F">
        <w:rPr>
          <w:sz w:val="20"/>
          <w:szCs w:val="20"/>
          <w:lang w:val="en-US"/>
        </w:rPr>
        <w:t xml:space="preserve"> </w:t>
      </w:r>
      <w:r w:rsidR="00AC0004" w:rsidRPr="00012C3F">
        <w:rPr>
          <w:sz w:val="20"/>
          <w:szCs w:val="20"/>
          <w:lang w:val="en-US"/>
        </w:rPr>
        <w:t>the verbal authorization that the patient allegedly gave was sufficient.</w:t>
      </w:r>
      <w:r w:rsidRPr="00012C3F">
        <w:rPr>
          <w:sz w:val="20"/>
          <w:szCs w:val="20"/>
          <w:vertAlign w:val="superscript"/>
          <w:lang w:val="en-US"/>
        </w:rPr>
        <w:footnoteReference w:id="75"/>
      </w:r>
      <w:r w:rsidR="00AC0004" w:rsidRPr="00012C3F">
        <w:rPr>
          <w:sz w:val="20"/>
          <w:szCs w:val="20"/>
          <w:lang w:val="en-US"/>
        </w:rPr>
        <w:t xml:space="preserve"> In this regard, it indicated that what jeopardized the patient’s life was “the future risk of rupture of the uterus in another pregnancy, owing to the weakness of the uterine wall following </w:t>
      </w:r>
      <w:r w:rsidR="00136EDE" w:rsidRPr="00012C3F">
        <w:rPr>
          <w:sz w:val="20"/>
          <w:szCs w:val="20"/>
          <w:lang w:val="en-US"/>
        </w:rPr>
        <w:t>the caesarean section</w:t>
      </w:r>
      <w:r w:rsidRPr="00012C3F">
        <w:rPr>
          <w:sz w:val="20"/>
          <w:szCs w:val="20"/>
          <w:lang w:val="en-US"/>
        </w:rPr>
        <w:t xml:space="preserve"> </w:t>
      </w:r>
      <w:r w:rsidR="00AC0004" w:rsidRPr="00012C3F">
        <w:rPr>
          <w:sz w:val="20"/>
          <w:szCs w:val="20"/>
          <w:lang w:val="en-US"/>
        </w:rPr>
        <w:t>procedure.</w:t>
      </w:r>
      <w:r w:rsidRPr="00012C3F">
        <w:rPr>
          <w:sz w:val="20"/>
          <w:szCs w:val="20"/>
          <w:lang w:val="en-US"/>
        </w:rPr>
        <w:t>”</w:t>
      </w:r>
      <w:r w:rsidRPr="00012C3F">
        <w:rPr>
          <w:sz w:val="20"/>
          <w:szCs w:val="20"/>
          <w:vertAlign w:val="superscript"/>
          <w:lang w:val="en-US"/>
        </w:rPr>
        <w:footnoteReference w:id="76"/>
      </w:r>
    </w:p>
    <w:p w14:paraId="604BF440" w14:textId="77777777" w:rsidR="007A1A14" w:rsidRPr="00012C3F" w:rsidRDefault="007A1A14" w:rsidP="007A1A14">
      <w:pPr>
        <w:spacing w:line="240" w:lineRule="auto"/>
        <w:rPr>
          <w:sz w:val="20"/>
          <w:szCs w:val="20"/>
          <w:lang w:val="en-US"/>
        </w:rPr>
      </w:pPr>
    </w:p>
    <w:p w14:paraId="5CE61311" w14:textId="77777777" w:rsidR="007A1A14" w:rsidRPr="00012C3F" w:rsidRDefault="00AC0004" w:rsidP="00AC0004">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The relevant part of this </w:t>
      </w:r>
      <w:r w:rsidR="00B53B61" w:rsidRPr="00012C3F">
        <w:rPr>
          <w:sz w:val="20"/>
          <w:szCs w:val="20"/>
          <w:lang w:val="en-US"/>
        </w:rPr>
        <w:t>report</w:t>
      </w:r>
      <w:r w:rsidRPr="00012C3F">
        <w:rPr>
          <w:sz w:val="20"/>
          <w:szCs w:val="20"/>
          <w:lang w:val="en-US"/>
        </w:rPr>
        <w:t xml:space="preserve"> included the following conclusions:</w:t>
      </w:r>
    </w:p>
    <w:p w14:paraId="01764886" w14:textId="77777777" w:rsidR="007A1A14" w:rsidRPr="00012C3F" w:rsidRDefault="007A1A14" w:rsidP="007A1A14">
      <w:pPr>
        <w:spacing w:line="240" w:lineRule="auto"/>
        <w:rPr>
          <w:sz w:val="20"/>
          <w:szCs w:val="20"/>
          <w:lang w:val="en-US"/>
        </w:rPr>
      </w:pPr>
    </w:p>
    <w:p w14:paraId="31C8EBE3" w14:textId="77777777" w:rsidR="007A1A14" w:rsidRPr="00012C3F" w:rsidRDefault="007A1A14" w:rsidP="00AC0004">
      <w:pPr>
        <w:spacing w:after="120" w:line="240" w:lineRule="auto"/>
        <w:ind w:left="720" w:right="573"/>
        <w:rPr>
          <w:sz w:val="16"/>
          <w:szCs w:val="16"/>
          <w:lang w:val="en-US"/>
        </w:rPr>
      </w:pPr>
      <w:r w:rsidRPr="00012C3F">
        <w:rPr>
          <w:sz w:val="16"/>
          <w:szCs w:val="16"/>
          <w:lang w:val="en-US"/>
        </w:rPr>
        <w:t>[...]</w:t>
      </w:r>
    </w:p>
    <w:p w14:paraId="040E2794" w14:textId="77777777" w:rsidR="00AC0004" w:rsidRPr="00012C3F" w:rsidRDefault="007A1A14" w:rsidP="00AC0004">
      <w:pPr>
        <w:spacing w:after="120" w:line="240" w:lineRule="auto"/>
        <w:ind w:left="720" w:right="573"/>
        <w:rPr>
          <w:sz w:val="16"/>
          <w:szCs w:val="16"/>
          <w:lang w:val="en-US"/>
        </w:rPr>
      </w:pPr>
      <w:r w:rsidRPr="00012C3F">
        <w:rPr>
          <w:sz w:val="16"/>
          <w:szCs w:val="16"/>
          <w:lang w:val="en-US"/>
        </w:rPr>
        <w:t xml:space="preserve">6. </w:t>
      </w:r>
      <w:r w:rsidR="00AC0004" w:rsidRPr="00012C3F">
        <w:rPr>
          <w:sz w:val="16"/>
          <w:szCs w:val="16"/>
          <w:lang w:val="en-US"/>
        </w:rPr>
        <w:t>The bilateral tubal ligation decision had to be taken during the surgical procedure because, prior to the cesarean section, the surgical conditions or contingencies that could indicate the need for it were unknown</w:t>
      </w:r>
    </w:p>
    <w:p w14:paraId="2E111C04" w14:textId="77777777" w:rsidR="00AC0004" w:rsidRPr="00012C3F" w:rsidRDefault="007A1A14" w:rsidP="00AC0004">
      <w:pPr>
        <w:pStyle w:val="Cita"/>
        <w:spacing w:after="120"/>
        <w:rPr>
          <w:rFonts w:ascii="Verdana" w:hAnsi="Verdana"/>
          <w:sz w:val="16"/>
          <w:szCs w:val="16"/>
        </w:rPr>
      </w:pPr>
      <w:r w:rsidRPr="00012C3F">
        <w:rPr>
          <w:rFonts w:ascii="Verdana" w:hAnsi="Verdana"/>
          <w:sz w:val="16"/>
          <w:szCs w:val="16"/>
        </w:rPr>
        <w:t xml:space="preserve">7. </w:t>
      </w:r>
      <w:r w:rsidR="00AC0004" w:rsidRPr="00012C3F">
        <w:rPr>
          <w:rFonts w:ascii="Verdana" w:hAnsi="Verdana"/>
          <w:sz w:val="16"/>
          <w:szCs w:val="16"/>
        </w:rPr>
        <w:t>That conclusion explains why there was no specific document giving written informed consent.</w:t>
      </w:r>
    </w:p>
    <w:p w14:paraId="616C8CF8" w14:textId="77777777" w:rsidR="007A1A14" w:rsidRPr="00012C3F" w:rsidRDefault="00AC0004" w:rsidP="00716C7D">
      <w:pPr>
        <w:spacing w:after="200" w:line="240" w:lineRule="auto"/>
        <w:ind w:left="720" w:right="573"/>
        <w:rPr>
          <w:sz w:val="16"/>
          <w:szCs w:val="16"/>
          <w:lang w:val="en-US"/>
        </w:rPr>
      </w:pPr>
      <w:r w:rsidRPr="00012C3F">
        <w:rPr>
          <w:sz w:val="16"/>
          <w:szCs w:val="16"/>
          <w:lang w:val="en-US"/>
        </w:rPr>
        <w:t xml:space="preserve">8. Several people made </w:t>
      </w:r>
      <w:r w:rsidR="00885648" w:rsidRPr="00012C3F">
        <w:rPr>
          <w:sz w:val="16"/>
          <w:szCs w:val="16"/>
          <w:lang w:val="en-US"/>
        </w:rPr>
        <w:t xml:space="preserve">similar </w:t>
      </w:r>
      <w:r w:rsidRPr="00012C3F">
        <w:rPr>
          <w:sz w:val="16"/>
          <w:szCs w:val="16"/>
          <w:lang w:val="en-US"/>
        </w:rPr>
        <w:t xml:space="preserve">statements asserting that the patient gave her </w:t>
      </w:r>
      <w:r w:rsidR="00885648" w:rsidRPr="00012C3F">
        <w:rPr>
          <w:sz w:val="16"/>
          <w:szCs w:val="16"/>
          <w:lang w:val="en-US"/>
        </w:rPr>
        <w:t>verb</w:t>
      </w:r>
      <w:r w:rsidRPr="00012C3F">
        <w:rPr>
          <w:sz w:val="16"/>
          <w:szCs w:val="16"/>
          <w:lang w:val="en-US"/>
        </w:rPr>
        <w:t>al authorization for the bilateral tubal ligation procedure</w:t>
      </w:r>
      <w:r w:rsidR="00885648" w:rsidRPr="00012C3F">
        <w:rPr>
          <w:sz w:val="16"/>
          <w:szCs w:val="16"/>
          <w:lang w:val="en-US"/>
        </w:rPr>
        <w:t>.</w:t>
      </w:r>
      <w:r w:rsidR="007A1A14" w:rsidRPr="00012C3F">
        <w:rPr>
          <w:rStyle w:val="Refdenotaalpie"/>
          <w:sz w:val="16"/>
          <w:szCs w:val="16"/>
          <w:lang w:val="en-US"/>
        </w:rPr>
        <w:footnoteReference w:id="77"/>
      </w:r>
    </w:p>
    <w:p w14:paraId="1C69018A" w14:textId="77777777" w:rsidR="007A1A14" w:rsidRPr="00012C3F" w:rsidRDefault="008379AC" w:rsidP="00885648">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The Ethics Tribunal</w:t>
      </w:r>
      <w:r w:rsidR="007A1A14" w:rsidRPr="00012C3F">
        <w:rPr>
          <w:sz w:val="20"/>
          <w:szCs w:val="20"/>
          <w:lang w:val="en-US"/>
        </w:rPr>
        <w:t xml:space="preserve"> </w:t>
      </w:r>
      <w:r w:rsidR="00885648" w:rsidRPr="00012C3F">
        <w:rPr>
          <w:sz w:val="20"/>
          <w:szCs w:val="20"/>
          <w:lang w:val="en-US"/>
        </w:rPr>
        <w:t>recognized that there had been a lack of uniformity and coherence in the methodology used in the different audit procedures conducted up until that time,</w:t>
      </w:r>
      <w:r w:rsidR="007A1A14" w:rsidRPr="00012C3F">
        <w:rPr>
          <w:sz w:val="20"/>
          <w:szCs w:val="20"/>
          <w:vertAlign w:val="superscript"/>
          <w:lang w:val="en-US"/>
        </w:rPr>
        <w:footnoteReference w:id="78"/>
      </w:r>
      <w:r w:rsidR="005E5012" w:rsidRPr="00012C3F">
        <w:rPr>
          <w:sz w:val="20"/>
          <w:szCs w:val="20"/>
          <w:lang w:val="en-US"/>
        </w:rPr>
        <w:t xml:space="preserve"> and </w:t>
      </w:r>
      <w:r w:rsidR="007A1A14" w:rsidRPr="00012C3F">
        <w:rPr>
          <w:sz w:val="20"/>
          <w:szCs w:val="20"/>
          <w:lang w:val="en-US"/>
        </w:rPr>
        <w:t>a</w:t>
      </w:r>
      <w:r w:rsidR="00885648" w:rsidRPr="00012C3F">
        <w:rPr>
          <w:sz w:val="20"/>
          <w:szCs w:val="20"/>
          <w:lang w:val="en-US"/>
        </w:rPr>
        <w:t>dded that the different methods and contradictory results indicated structural problems in the health sector: “[t]hat difference in methodology has led to contradictory results revealing serious shortcomings in the organization of the sector’s institutions</w:t>
      </w:r>
      <w:r w:rsidR="00103520" w:rsidRPr="00012C3F">
        <w:rPr>
          <w:sz w:val="20"/>
          <w:szCs w:val="20"/>
          <w:lang w:val="en-US"/>
        </w:rPr>
        <w:t xml:space="preserve"> in order</w:t>
      </w:r>
      <w:r w:rsidR="00885648" w:rsidRPr="00012C3F">
        <w:rPr>
          <w:sz w:val="20"/>
          <w:szCs w:val="20"/>
          <w:lang w:val="en-US"/>
        </w:rPr>
        <w:t xml:space="preserve"> to implement this type of action, as well as their functional interrelationship and degrees of dependency.</w:t>
      </w:r>
      <w:r w:rsidR="007A1A14" w:rsidRPr="00012C3F">
        <w:rPr>
          <w:sz w:val="20"/>
          <w:szCs w:val="20"/>
          <w:lang w:val="en-US"/>
        </w:rPr>
        <w:t>”</w:t>
      </w:r>
      <w:r w:rsidR="007A1A14" w:rsidRPr="00012C3F">
        <w:rPr>
          <w:sz w:val="20"/>
          <w:szCs w:val="20"/>
          <w:vertAlign w:val="superscript"/>
          <w:lang w:val="en-US"/>
        </w:rPr>
        <w:footnoteReference w:id="79"/>
      </w:r>
      <w:r w:rsidR="00885648" w:rsidRPr="00012C3F">
        <w:rPr>
          <w:sz w:val="20"/>
          <w:szCs w:val="20"/>
          <w:lang w:val="en-US"/>
        </w:rPr>
        <w:t xml:space="preserve"> It emphasized that the purpose of the medical audits was “to improve the quality of care in the health services” and not to conduct </w:t>
      </w:r>
      <w:r w:rsidR="007A1A14" w:rsidRPr="00012C3F">
        <w:rPr>
          <w:sz w:val="20"/>
          <w:szCs w:val="20"/>
          <w:lang w:val="en-US"/>
        </w:rPr>
        <w:t>“</w:t>
      </w:r>
      <w:r w:rsidR="00885648" w:rsidRPr="00012C3F">
        <w:rPr>
          <w:sz w:val="20"/>
          <w:szCs w:val="20"/>
          <w:lang w:val="en-US"/>
        </w:rPr>
        <w:t>a</w:t>
      </w:r>
      <w:r w:rsidR="007A1A14" w:rsidRPr="00012C3F">
        <w:rPr>
          <w:sz w:val="20"/>
          <w:szCs w:val="20"/>
          <w:lang w:val="en-US"/>
        </w:rPr>
        <w:t xml:space="preserve">n […] </w:t>
      </w:r>
      <w:r w:rsidR="00885648" w:rsidRPr="00012C3F">
        <w:rPr>
          <w:sz w:val="20"/>
          <w:szCs w:val="20"/>
          <w:lang w:val="en-US"/>
        </w:rPr>
        <w:t>a</w:t>
      </w:r>
      <w:r w:rsidR="006C705C" w:rsidRPr="00012C3F">
        <w:rPr>
          <w:sz w:val="20"/>
          <w:szCs w:val="20"/>
          <w:lang w:val="en-US"/>
        </w:rPr>
        <w:t>dministrative proce</w:t>
      </w:r>
      <w:r w:rsidR="00103520" w:rsidRPr="00012C3F">
        <w:rPr>
          <w:sz w:val="20"/>
          <w:szCs w:val="20"/>
          <w:lang w:val="en-US"/>
        </w:rPr>
        <w:t>dure</w:t>
      </w:r>
      <w:r w:rsidR="007A1A14" w:rsidRPr="00012C3F">
        <w:rPr>
          <w:sz w:val="20"/>
          <w:szCs w:val="20"/>
          <w:lang w:val="en-US"/>
        </w:rPr>
        <w:t xml:space="preserve"> […] </w:t>
      </w:r>
      <w:r w:rsidR="00103520" w:rsidRPr="00012C3F">
        <w:rPr>
          <w:sz w:val="20"/>
          <w:szCs w:val="20"/>
          <w:lang w:val="en-US"/>
        </w:rPr>
        <w:t>that</w:t>
      </w:r>
      <w:r w:rsidR="00885648" w:rsidRPr="00012C3F">
        <w:rPr>
          <w:sz w:val="20"/>
          <w:szCs w:val="20"/>
          <w:lang w:val="en-US"/>
        </w:rPr>
        <w:t xml:space="preserve"> could lead to sanctions.</w:t>
      </w:r>
      <w:r w:rsidR="007A1A14" w:rsidRPr="00012C3F">
        <w:rPr>
          <w:sz w:val="20"/>
          <w:szCs w:val="20"/>
          <w:lang w:val="en-US"/>
        </w:rPr>
        <w:t>”</w:t>
      </w:r>
      <w:r w:rsidR="007A1A14" w:rsidRPr="00012C3F">
        <w:rPr>
          <w:sz w:val="20"/>
          <w:szCs w:val="20"/>
          <w:vertAlign w:val="superscript"/>
          <w:lang w:val="en-US"/>
        </w:rPr>
        <w:footnoteReference w:id="80"/>
      </w:r>
      <w:r w:rsidR="00885648" w:rsidRPr="00012C3F">
        <w:rPr>
          <w:sz w:val="20"/>
          <w:szCs w:val="20"/>
          <w:lang w:val="en-US"/>
        </w:rPr>
        <w:t xml:space="preserve"> Consequently, it considered that it was not appropriate to determine that the </w:t>
      </w:r>
      <w:r w:rsidR="00103520" w:rsidRPr="00012C3F">
        <w:rPr>
          <w:sz w:val="20"/>
          <w:szCs w:val="20"/>
          <w:lang w:val="en-US"/>
        </w:rPr>
        <w:t>physician</w:t>
      </w:r>
      <w:r w:rsidR="00885648" w:rsidRPr="00012C3F">
        <w:rPr>
          <w:sz w:val="20"/>
          <w:szCs w:val="20"/>
          <w:lang w:val="en-US"/>
        </w:rPr>
        <w:t xml:space="preserve"> should be dismissed owing to his long professional career abiding by the rules of gynecology/obstetrics. Even though it did not specifically </w:t>
      </w:r>
      <w:r w:rsidR="00885648" w:rsidRPr="00012C3F">
        <w:rPr>
          <w:sz w:val="20"/>
          <w:szCs w:val="20"/>
          <w:lang w:val="en-US"/>
        </w:rPr>
        <w:lastRenderedPageBreak/>
        <w:t>mention the norms he abided by: “[i]t seems i</w:t>
      </w:r>
      <w:r w:rsidR="00103520" w:rsidRPr="00012C3F">
        <w:rPr>
          <w:sz w:val="20"/>
          <w:szCs w:val="20"/>
          <w:lang w:val="en-US"/>
        </w:rPr>
        <w:t>nappropriate</w:t>
      </w:r>
      <w:r w:rsidR="00885648" w:rsidRPr="00012C3F">
        <w:rPr>
          <w:sz w:val="20"/>
          <w:szCs w:val="20"/>
          <w:lang w:val="en-US"/>
        </w:rPr>
        <w:t xml:space="preserve"> and unjust to sanction a specialist who has worked</w:t>
      </w:r>
      <w:r w:rsidR="00103520" w:rsidRPr="00012C3F">
        <w:rPr>
          <w:sz w:val="20"/>
          <w:szCs w:val="20"/>
          <w:lang w:val="en-US"/>
        </w:rPr>
        <w:t xml:space="preserve"> in an institution</w:t>
      </w:r>
      <w:r w:rsidR="00885648" w:rsidRPr="00012C3F">
        <w:rPr>
          <w:sz w:val="20"/>
          <w:szCs w:val="20"/>
          <w:lang w:val="en-US"/>
        </w:rPr>
        <w:t xml:space="preserve"> for more than 26 years</w:t>
      </w:r>
      <w:r w:rsidR="00103520" w:rsidRPr="00012C3F">
        <w:rPr>
          <w:sz w:val="20"/>
          <w:szCs w:val="20"/>
          <w:lang w:val="en-US"/>
        </w:rPr>
        <w:t xml:space="preserve"> with dismissal</w:t>
      </w:r>
      <w:r w:rsidR="00885648" w:rsidRPr="00012C3F">
        <w:rPr>
          <w:sz w:val="20"/>
          <w:szCs w:val="20"/>
          <w:lang w:val="en-US"/>
        </w:rPr>
        <w:t xml:space="preserve"> for performing a procedure established in the norms of gynecology/obstetrics</w:t>
      </w:r>
      <w:r w:rsidR="00103520" w:rsidRPr="00012C3F">
        <w:rPr>
          <w:sz w:val="20"/>
          <w:szCs w:val="20"/>
          <w:lang w:val="en-US"/>
        </w:rPr>
        <w:t xml:space="preserve"> </w:t>
      </w:r>
      <w:r w:rsidR="00885648" w:rsidRPr="00012C3F">
        <w:rPr>
          <w:sz w:val="20"/>
          <w:szCs w:val="20"/>
          <w:lang w:val="en-US"/>
        </w:rPr>
        <w:t>to sa</w:t>
      </w:r>
      <w:r w:rsidR="00103520" w:rsidRPr="00012C3F">
        <w:rPr>
          <w:sz w:val="20"/>
          <w:szCs w:val="20"/>
          <w:lang w:val="en-US"/>
        </w:rPr>
        <w:t>v</w:t>
      </w:r>
      <w:r w:rsidR="00885648" w:rsidRPr="00012C3F">
        <w:rPr>
          <w:sz w:val="20"/>
          <w:szCs w:val="20"/>
          <w:lang w:val="en-US"/>
        </w:rPr>
        <w:t>e a patient from potential future complications.</w:t>
      </w:r>
      <w:r w:rsidR="007A1A14" w:rsidRPr="00012C3F">
        <w:rPr>
          <w:sz w:val="20"/>
          <w:szCs w:val="20"/>
          <w:lang w:val="en-US"/>
        </w:rPr>
        <w:t>”</w:t>
      </w:r>
      <w:r w:rsidR="007A1A14" w:rsidRPr="00012C3F">
        <w:rPr>
          <w:sz w:val="20"/>
          <w:szCs w:val="20"/>
          <w:vertAlign w:val="superscript"/>
          <w:lang w:val="en-US"/>
        </w:rPr>
        <w:footnoteReference w:id="81"/>
      </w:r>
    </w:p>
    <w:p w14:paraId="036CDB76" w14:textId="77777777" w:rsidR="007A1A14" w:rsidRPr="00012C3F" w:rsidRDefault="007A1A14" w:rsidP="007A1A14">
      <w:pPr>
        <w:spacing w:line="240" w:lineRule="auto"/>
        <w:ind w:right="360"/>
        <w:rPr>
          <w:sz w:val="20"/>
          <w:szCs w:val="20"/>
          <w:lang w:val="en-US"/>
        </w:rPr>
      </w:pPr>
    </w:p>
    <w:p w14:paraId="022BE68F" w14:textId="77777777" w:rsidR="007A1A14" w:rsidRPr="00012C3F" w:rsidRDefault="00885648" w:rsidP="00885648">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Lastly, it recommended that I.V. should be given a detailed explanation of everything that happened, </w:t>
      </w:r>
      <w:r w:rsidR="00103520" w:rsidRPr="00012C3F">
        <w:rPr>
          <w:sz w:val="20"/>
          <w:szCs w:val="20"/>
          <w:lang w:val="en-US"/>
        </w:rPr>
        <w:t>as well as</w:t>
      </w:r>
      <w:r w:rsidRPr="00012C3F">
        <w:rPr>
          <w:sz w:val="20"/>
          <w:szCs w:val="20"/>
          <w:lang w:val="en-US"/>
        </w:rPr>
        <w:t xml:space="preserve"> the standardization and systematic application of written informed consent in the health care services.</w:t>
      </w:r>
      <w:r w:rsidR="007A1A14" w:rsidRPr="00012C3F">
        <w:rPr>
          <w:sz w:val="20"/>
          <w:szCs w:val="20"/>
          <w:vertAlign w:val="superscript"/>
          <w:lang w:val="en-US"/>
        </w:rPr>
        <w:footnoteReference w:id="82"/>
      </w:r>
    </w:p>
    <w:p w14:paraId="6938A143" w14:textId="77777777" w:rsidR="007A1A14" w:rsidRPr="00012C3F" w:rsidRDefault="007A1A14" w:rsidP="007A1A14">
      <w:pPr>
        <w:spacing w:line="240" w:lineRule="auto"/>
        <w:ind w:right="360"/>
        <w:rPr>
          <w:sz w:val="20"/>
          <w:szCs w:val="20"/>
          <w:lang w:val="en-US"/>
        </w:rPr>
      </w:pPr>
    </w:p>
    <w:p w14:paraId="3C8F72B7" w14:textId="77777777" w:rsidR="007A1A14" w:rsidRPr="00012C3F" w:rsidRDefault="007A1A14" w:rsidP="00040BA7">
      <w:pPr>
        <w:keepNext/>
        <w:keepLines/>
        <w:tabs>
          <w:tab w:val="left" w:pos="1134"/>
        </w:tabs>
        <w:spacing w:line="240" w:lineRule="auto"/>
        <w:ind w:left="567" w:firstLine="1"/>
        <w:outlineLvl w:val="1"/>
        <w:rPr>
          <w:rFonts w:eastAsia="MS Mincho"/>
          <w:b/>
          <w:bCs/>
          <w:i/>
          <w:sz w:val="20"/>
          <w:szCs w:val="20"/>
          <w:lang w:val="en-US"/>
        </w:rPr>
      </w:pPr>
      <w:bookmarkStart w:id="99" w:name="_Toc27486844"/>
      <w:r w:rsidRPr="00012C3F">
        <w:rPr>
          <w:rFonts w:eastAsia="MS Mincho"/>
          <w:b/>
          <w:bCs/>
          <w:i/>
          <w:sz w:val="20"/>
          <w:szCs w:val="20"/>
          <w:lang w:val="en-US"/>
        </w:rPr>
        <w:t xml:space="preserve">D. </w:t>
      </w:r>
      <w:r w:rsidRPr="00012C3F">
        <w:rPr>
          <w:rFonts w:eastAsia="MS Mincho"/>
          <w:b/>
          <w:bCs/>
          <w:i/>
          <w:sz w:val="20"/>
          <w:szCs w:val="20"/>
          <w:lang w:val="en-US"/>
        </w:rPr>
        <w:tab/>
      </w:r>
      <w:r w:rsidR="0099356C" w:rsidRPr="00012C3F">
        <w:rPr>
          <w:rFonts w:eastAsia="MS Mincho"/>
          <w:b/>
          <w:bCs/>
          <w:i/>
          <w:sz w:val="20"/>
          <w:szCs w:val="20"/>
          <w:lang w:val="en-US"/>
        </w:rPr>
        <w:t>Administrative proceeding</w:t>
      </w:r>
      <w:bookmarkEnd w:id="99"/>
    </w:p>
    <w:p w14:paraId="6630AC1F" w14:textId="77777777" w:rsidR="007A1A14" w:rsidRPr="00012C3F" w:rsidRDefault="007A1A14" w:rsidP="007A1A14">
      <w:pPr>
        <w:spacing w:line="240" w:lineRule="auto"/>
        <w:rPr>
          <w:sz w:val="20"/>
          <w:szCs w:val="20"/>
          <w:lang w:val="en-US"/>
        </w:rPr>
      </w:pPr>
    </w:p>
    <w:p w14:paraId="744812B3" w14:textId="77777777" w:rsidR="007A1A14" w:rsidRPr="00012C3F" w:rsidRDefault="007E5FDF" w:rsidP="00885648">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On May 12,</w:t>
      </w:r>
      <w:r w:rsidR="007A1A14" w:rsidRPr="00012C3F">
        <w:rPr>
          <w:sz w:val="20"/>
          <w:szCs w:val="20"/>
          <w:lang w:val="en-US"/>
        </w:rPr>
        <w:t xml:space="preserve"> 2002</w:t>
      </w:r>
      <w:r w:rsidR="00885648" w:rsidRPr="00012C3F">
        <w:rPr>
          <w:sz w:val="20"/>
          <w:szCs w:val="20"/>
          <w:lang w:val="en-US"/>
        </w:rPr>
        <w:t>,</w:t>
      </w:r>
      <w:r w:rsidR="007A1A14" w:rsidRPr="00012C3F">
        <w:rPr>
          <w:sz w:val="20"/>
          <w:szCs w:val="20"/>
          <w:lang w:val="en-US"/>
        </w:rPr>
        <w:t xml:space="preserve"> </w:t>
      </w:r>
      <w:r w:rsidR="00885648" w:rsidRPr="00012C3F">
        <w:rPr>
          <w:sz w:val="20"/>
          <w:szCs w:val="20"/>
          <w:lang w:val="en-US"/>
        </w:rPr>
        <w:t>the Technical Director</w:t>
      </w:r>
      <w:r w:rsidR="007A1A14" w:rsidRPr="00012C3F">
        <w:rPr>
          <w:sz w:val="20"/>
          <w:szCs w:val="20"/>
          <w:lang w:val="en-US"/>
        </w:rPr>
        <w:t xml:space="preserve"> </w:t>
      </w:r>
      <w:r w:rsidR="00885648" w:rsidRPr="00012C3F">
        <w:rPr>
          <w:sz w:val="20"/>
          <w:szCs w:val="20"/>
          <w:lang w:val="en-US"/>
        </w:rPr>
        <w:t>of the La Paz Departmental Health Service</w:t>
      </w:r>
      <w:r w:rsidR="007A1A14" w:rsidRPr="00012C3F">
        <w:rPr>
          <w:sz w:val="20"/>
          <w:szCs w:val="20"/>
          <w:lang w:val="en-US"/>
        </w:rPr>
        <w:t xml:space="preserve"> instru</w:t>
      </w:r>
      <w:r w:rsidR="00885648" w:rsidRPr="00012C3F">
        <w:rPr>
          <w:sz w:val="20"/>
          <w:szCs w:val="20"/>
          <w:lang w:val="en-US"/>
        </w:rPr>
        <w:t>cted</w:t>
      </w:r>
      <w:r w:rsidR="007A1A14" w:rsidRPr="00012C3F">
        <w:rPr>
          <w:sz w:val="20"/>
          <w:szCs w:val="20"/>
          <w:lang w:val="en-US"/>
        </w:rPr>
        <w:t xml:space="preserve"> </w:t>
      </w:r>
      <w:r w:rsidR="00833C77" w:rsidRPr="00012C3F">
        <w:rPr>
          <w:sz w:val="20"/>
          <w:szCs w:val="20"/>
          <w:lang w:val="en-US"/>
        </w:rPr>
        <w:t>the Legal Advisory Services Unit</w:t>
      </w:r>
      <w:r w:rsidR="007A1A14" w:rsidRPr="00012C3F">
        <w:rPr>
          <w:sz w:val="20"/>
          <w:szCs w:val="20"/>
          <w:lang w:val="en-US"/>
        </w:rPr>
        <w:t xml:space="preserve"> </w:t>
      </w:r>
      <w:r w:rsidR="00833C77" w:rsidRPr="00012C3F">
        <w:rPr>
          <w:sz w:val="20"/>
          <w:szCs w:val="20"/>
          <w:lang w:val="en-US"/>
        </w:rPr>
        <w:t>of the La Paz Departmental Health Service</w:t>
      </w:r>
      <w:r w:rsidR="007A1A14" w:rsidRPr="00012C3F">
        <w:rPr>
          <w:sz w:val="20"/>
          <w:szCs w:val="20"/>
          <w:lang w:val="en-US"/>
        </w:rPr>
        <w:t xml:space="preserve"> </w:t>
      </w:r>
      <w:r w:rsidR="00885648" w:rsidRPr="00012C3F">
        <w:rPr>
          <w:sz w:val="20"/>
          <w:szCs w:val="20"/>
          <w:lang w:val="en-US"/>
        </w:rPr>
        <w:t>to open an a</w:t>
      </w:r>
      <w:r w:rsidR="006C705C" w:rsidRPr="00012C3F">
        <w:rPr>
          <w:sz w:val="20"/>
          <w:szCs w:val="20"/>
          <w:lang w:val="en-US"/>
        </w:rPr>
        <w:t>dministrative proceeding</w:t>
      </w:r>
      <w:r w:rsidR="007A1A14" w:rsidRPr="00012C3F">
        <w:rPr>
          <w:sz w:val="20"/>
          <w:szCs w:val="20"/>
          <w:lang w:val="en-US"/>
        </w:rPr>
        <w:t xml:space="preserve">, </w:t>
      </w:r>
      <w:r w:rsidR="00885648" w:rsidRPr="00012C3F">
        <w:rPr>
          <w:sz w:val="20"/>
          <w:szCs w:val="20"/>
          <w:lang w:val="en-US"/>
        </w:rPr>
        <w:t>following various recommendations by the Ombudsman</w:t>
      </w:r>
      <w:r w:rsidR="005E5012" w:rsidRPr="00012C3F">
        <w:rPr>
          <w:sz w:val="20"/>
          <w:szCs w:val="20"/>
          <w:lang w:val="en-US"/>
        </w:rPr>
        <w:t xml:space="preserve"> and</w:t>
      </w:r>
      <w:r w:rsidR="00885648" w:rsidRPr="00012C3F">
        <w:rPr>
          <w:sz w:val="20"/>
          <w:szCs w:val="20"/>
          <w:lang w:val="en-US"/>
        </w:rPr>
        <w:t xml:space="preserve"> </w:t>
      </w:r>
      <w:r w:rsidR="00B53B61" w:rsidRPr="00012C3F">
        <w:rPr>
          <w:sz w:val="20"/>
          <w:szCs w:val="20"/>
          <w:lang w:val="en-US"/>
        </w:rPr>
        <w:t>the Minister of Health and Social Services</w:t>
      </w:r>
      <w:r w:rsidR="00885648" w:rsidRPr="00012C3F">
        <w:rPr>
          <w:sz w:val="20"/>
          <w:szCs w:val="20"/>
          <w:lang w:val="en-US"/>
        </w:rPr>
        <w:t>.</w:t>
      </w:r>
      <w:r w:rsidR="007A1A14" w:rsidRPr="00012C3F">
        <w:rPr>
          <w:rStyle w:val="Refdenotaalpie"/>
          <w:sz w:val="20"/>
          <w:szCs w:val="20"/>
          <w:lang w:val="en-US"/>
        </w:rPr>
        <w:footnoteReference w:id="83"/>
      </w:r>
      <w:r w:rsidR="007A1A14" w:rsidRPr="00012C3F">
        <w:rPr>
          <w:sz w:val="20"/>
          <w:szCs w:val="20"/>
          <w:lang w:val="en-US"/>
        </w:rPr>
        <w:t xml:space="preserve"> </w:t>
      </w:r>
      <w:r w:rsidR="00885648" w:rsidRPr="00012C3F">
        <w:rPr>
          <w:sz w:val="20"/>
          <w:szCs w:val="20"/>
          <w:lang w:val="en-US"/>
        </w:rPr>
        <w:t>On May 17,</w:t>
      </w:r>
      <w:r w:rsidR="007A1A14" w:rsidRPr="00012C3F">
        <w:rPr>
          <w:sz w:val="20"/>
          <w:szCs w:val="20"/>
          <w:lang w:val="en-US"/>
        </w:rPr>
        <w:t xml:space="preserve"> </w:t>
      </w:r>
      <w:r w:rsidR="00885648" w:rsidRPr="00012C3F">
        <w:rPr>
          <w:sz w:val="20"/>
          <w:szCs w:val="20"/>
          <w:lang w:val="en-US"/>
        </w:rPr>
        <w:t>the</w:t>
      </w:r>
      <w:r w:rsidR="007A1A14" w:rsidRPr="00012C3F">
        <w:rPr>
          <w:sz w:val="20"/>
          <w:szCs w:val="20"/>
          <w:lang w:val="en-US"/>
        </w:rPr>
        <w:t xml:space="preserve"> </w:t>
      </w:r>
      <w:r w:rsidR="00885648" w:rsidRPr="00012C3F">
        <w:rPr>
          <w:sz w:val="20"/>
          <w:szCs w:val="20"/>
          <w:lang w:val="en-US"/>
        </w:rPr>
        <w:t>a</w:t>
      </w:r>
      <w:r w:rsidR="006C705C" w:rsidRPr="00012C3F">
        <w:rPr>
          <w:sz w:val="20"/>
          <w:szCs w:val="20"/>
          <w:lang w:val="en-US"/>
        </w:rPr>
        <w:t>dministrative proceeding</w:t>
      </w:r>
      <w:r w:rsidR="00885648" w:rsidRPr="00012C3F">
        <w:rPr>
          <w:sz w:val="20"/>
          <w:szCs w:val="20"/>
          <w:lang w:val="en-US"/>
        </w:rPr>
        <w:t xml:space="preserve"> was opened against the instructing physician and the </w:t>
      </w:r>
      <w:r w:rsidR="00593E9B" w:rsidRPr="00012C3F">
        <w:rPr>
          <w:sz w:val="20"/>
          <w:szCs w:val="20"/>
          <w:lang w:val="en-US"/>
        </w:rPr>
        <w:t>resident doctor</w:t>
      </w:r>
      <w:r w:rsidR="00885648" w:rsidRPr="00012C3F">
        <w:rPr>
          <w:sz w:val="20"/>
          <w:szCs w:val="20"/>
          <w:lang w:val="en-US"/>
        </w:rPr>
        <w:t>.</w:t>
      </w:r>
      <w:r w:rsidR="007A1A14" w:rsidRPr="00012C3F">
        <w:rPr>
          <w:rStyle w:val="Refdenotaalpie"/>
          <w:sz w:val="20"/>
          <w:szCs w:val="20"/>
          <w:lang w:val="en-US"/>
        </w:rPr>
        <w:footnoteReference w:id="84"/>
      </w:r>
    </w:p>
    <w:p w14:paraId="0C025D62" w14:textId="77777777" w:rsidR="007A1A14" w:rsidRPr="00012C3F" w:rsidRDefault="007A1A14" w:rsidP="00885648">
      <w:pPr>
        <w:tabs>
          <w:tab w:val="left" w:pos="720"/>
        </w:tabs>
        <w:spacing w:line="240" w:lineRule="auto"/>
        <w:rPr>
          <w:sz w:val="20"/>
          <w:szCs w:val="20"/>
          <w:lang w:val="en-US"/>
        </w:rPr>
      </w:pPr>
    </w:p>
    <w:p w14:paraId="51C531EC" w14:textId="77777777" w:rsidR="007A1A14" w:rsidRPr="00012C3F" w:rsidRDefault="00833C77" w:rsidP="0099356C">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On July 25,</w:t>
      </w:r>
      <w:r w:rsidR="007A1A14" w:rsidRPr="00012C3F">
        <w:rPr>
          <w:sz w:val="20"/>
          <w:szCs w:val="20"/>
          <w:lang w:val="en-US"/>
        </w:rPr>
        <w:t xml:space="preserve"> 2002</w:t>
      </w:r>
      <w:r w:rsidR="00885648" w:rsidRPr="00012C3F">
        <w:rPr>
          <w:sz w:val="20"/>
          <w:szCs w:val="20"/>
          <w:lang w:val="en-US"/>
        </w:rPr>
        <w:t>, the Head</w:t>
      </w:r>
      <w:r w:rsidR="007A1A14" w:rsidRPr="00012C3F">
        <w:rPr>
          <w:sz w:val="20"/>
          <w:szCs w:val="20"/>
          <w:lang w:val="en-US"/>
        </w:rPr>
        <w:t xml:space="preserve"> </w:t>
      </w:r>
      <w:r w:rsidR="002A5605" w:rsidRPr="00012C3F">
        <w:rPr>
          <w:sz w:val="20"/>
          <w:szCs w:val="20"/>
          <w:lang w:val="en-US"/>
        </w:rPr>
        <w:t>of the</w:t>
      </w:r>
      <w:r w:rsidR="00885648" w:rsidRPr="00012C3F">
        <w:rPr>
          <w:sz w:val="20"/>
          <w:szCs w:val="20"/>
          <w:lang w:val="en-US"/>
        </w:rPr>
        <w:t xml:space="preserve"> La Paz SEDES</w:t>
      </w:r>
      <w:r w:rsidR="002A5605" w:rsidRPr="00012C3F">
        <w:rPr>
          <w:sz w:val="20"/>
          <w:szCs w:val="20"/>
          <w:lang w:val="en-US"/>
        </w:rPr>
        <w:t xml:space="preserve"> </w:t>
      </w:r>
      <w:r w:rsidRPr="00012C3F">
        <w:rPr>
          <w:sz w:val="20"/>
          <w:szCs w:val="20"/>
          <w:lang w:val="en-US"/>
        </w:rPr>
        <w:t>Legal Advisory Services Unit</w:t>
      </w:r>
      <w:r w:rsidR="00885648" w:rsidRPr="00012C3F">
        <w:rPr>
          <w:sz w:val="20"/>
          <w:szCs w:val="20"/>
          <w:lang w:val="en-US"/>
        </w:rPr>
        <w:t xml:space="preserve"> issued the final </w:t>
      </w:r>
      <w:r w:rsidR="00103520" w:rsidRPr="00012C3F">
        <w:rPr>
          <w:sz w:val="20"/>
          <w:szCs w:val="20"/>
          <w:lang w:val="en-US"/>
        </w:rPr>
        <w:t>decision</w:t>
      </w:r>
      <w:r w:rsidR="00885648" w:rsidRPr="00012C3F">
        <w:rPr>
          <w:sz w:val="20"/>
          <w:szCs w:val="20"/>
          <w:lang w:val="en-US"/>
        </w:rPr>
        <w:t xml:space="preserve"> in the </w:t>
      </w:r>
      <w:r w:rsidR="0099356C" w:rsidRPr="00012C3F">
        <w:rPr>
          <w:sz w:val="20"/>
          <w:szCs w:val="20"/>
          <w:lang w:val="en-US"/>
        </w:rPr>
        <w:t>administrative proceeding</w:t>
      </w:r>
      <w:r w:rsidR="007A1A14" w:rsidRPr="00012C3F">
        <w:rPr>
          <w:sz w:val="20"/>
          <w:szCs w:val="20"/>
          <w:lang w:val="en-US"/>
        </w:rPr>
        <w:t xml:space="preserve">, </w:t>
      </w:r>
      <w:r w:rsidR="0099356C" w:rsidRPr="00012C3F">
        <w:rPr>
          <w:sz w:val="20"/>
          <w:szCs w:val="20"/>
          <w:lang w:val="en-US"/>
        </w:rPr>
        <w:t xml:space="preserve">which established the administrative liability of the instructing physician and ordered his dismissal based on article 29 of Law </w:t>
      </w:r>
      <w:r w:rsidR="007A1A14" w:rsidRPr="00012C3F">
        <w:rPr>
          <w:sz w:val="20"/>
          <w:szCs w:val="20"/>
          <w:lang w:val="en-US"/>
        </w:rPr>
        <w:t>1178</w:t>
      </w:r>
      <w:r w:rsidR="0099356C" w:rsidRPr="00012C3F">
        <w:rPr>
          <w:sz w:val="20"/>
          <w:szCs w:val="20"/>
          <w:lang w:val="en-US"/>
        </w:rPr>
        <w:t>,</w:t>
      </w:r>
      <w:r w:rsidR="007A1A14" w:rsidRPr="00012C3F">
        <w:rPr>
          <w:rStyle w:val="Refdenotaalpie"/>
          <w:sz w:val="20"/>
          <w:szCs w:val="20"/>
          <w:lang w:val="en-US"/>
        </w:rPr>
        <w:footnoteReference w:id="85"/>
      </w:r>
      <w:r w:rsidR="0099356C" w:rsidRPr="00012C3F">
        <w:rPr>
          <w:sz w:val="20"/>
          <w:szCs w:val="20"/>
          <w:lang w:val="en-US"/>
        </w:rPr>
        <w:t xml:space="preserve"> while declaring that the case against the </w:t>
      </w:r>
      <w:r w:rsidR="00593E9B" w:rsidRPr="00012C3F">
        <w:rPr>
          <w:sz w:val="20"/>
          <w:szCs w:val="20"/>
          <w:lang w:val="en-US"/>
        </w:rPr>
        <w:t>resident doctor</w:t>
      </w:r>
      <w:r w:rsidR="0099356C" w:rsidRPr="00012C3F">
        <w:rPr>
          <w:sz w:val="20"/>
          <w:szCs w:val="20"/>
          <w:lang w:val="en-US"/>
        </w:rPr>
        <w:t xml:space="preserve"> was dismissed, because he was acting in his capacity as a resident doctor and, according to the internal regulations, “was completely prohibited from performing any surgical procedure without the guidance of the ‘professor,’ in this case, </w:t>
      </w:r>
      <w:r w:rsidR="007A1A14" w:rsidRPr="00012C3F">
        <w:rPr>
          <w:sz w:val="20"/>
          <w:szCs w:val="20"/>
          <w:lang w:val="en-US"/>
        </w:rPr>
        <w:t>Dr. Edgar Torrico Ameller</w:t>
      </w:r>
      <w:r w:rsidR="0099356C" w:rsidRPr="00012C3F">
        <w:rPr>
          <w:sz w:val="20"/>
          <w:szCs w:val="20"/>
          <w:lang w:val="en-US"/>
        </w:rPr>
        <w:t>.</w:t>
      </w:r>
      <w:r w:rsidR="007A1A14" w:rsidRPr="00012C3F">
        <w:rPr>
          <w:sz w:val="20"/>
          <w:szCs w:val="20"/>
          <w:lang w:val="en-US"/>
        </w:rPr>
        <w:t>”</w:t>
      </w:r>
      <w:r w:rsidR="007A1A14" w:rsidRPr="00012C3F">
        <w:rPr>
          <w:rStyle w:val="Refdenotaalpie"/>
          <w:sz w:val="20"/>
          <w:szCs w:val="20"/>
          <w:lang w:val="en-US"/>
        </w:rPr>
        <w:footnoteReference w:id="86"/>
      </w:r>
    </w:p>
    <w:p w14:paraId="151902DA" w14:textId="77777777" w:rsidR="007A1A14" w:rsidRPr="00012C3F" w:rsidRDefault="007A1A14" w:rsidP="00885648">
      <w:pPr>
        <w:tabs>
          <w:tab w:val="left" w:pos="720"/>
        </w:tabs>
        <w:spacing w:line="240" w:lineRule="auto"/>
        <w:rPr>
          <w:sz w:val="20"/>
          <w:szCs w:val="20"/>
          <w:lang w:val="en-US"/>
        </w:rPr>
      </w:pPr>
    </w:p>
    <w:p w14:paraId="7B8F300C" w14:textId="77777777" w:rsidR="007A1A14" w:rsidRPr="00012C3F" w:rsidRDefault="0099356C" w:rsidP="0099356C">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This </w:t>
      </w:r>
      <w:r w:rsidR="00103520" w:rsidRPr="00012C3F">
        <w:rPr>
          <w:sz w:val="20"/>
          <w:szCs w:val="20"/>
          <w:lang w:val="en-US"/>
        </w:rPr>
        <w:t>decision</w:t>
      </w:r>
      <w:r w:rsidRPr="00012C3F">
        <w:rPr>
          <w:sz w:val="20"/>
          <w:szCs w:val="20"/>
          <w:lang w:val="en-US"/>
        </w:rPr>
        <w:t xml:space="preserve"> reviewed the statements of the two </w:t>
      </w:r>
      <w:r w:rsidR="00103520" w:rsidRPr="00012C3F">
        <w:rPr>
          <w:sz w:val="20"/>
          <w:szCs w:val="20"/>
          <w:lang w:val="en-US"/>
        </w:rPr>
        <w:t>doctor</w:t>
      </w:r>
      <w:r w:rsidRPr="00012C3F">
        <w:rPr>
          <w:sz w:val="20"/>
          <w:szCs w:val="20"/>
          <w:lang w:val="en-US"/>
        </w:rPr>
        <w:t>s. In particular, it indicated that</w:t>
      </w:r>
      <w:r w:rsidR="00103520" w:rsidRPr="00012C3F">
        <w:rPr>
          <w:sz w:val="20"/>
          <w:szCs w:val="20"/>
          <w:lang w:val="en-US"/>
        </w:rPr>
        <w:t xml:space="preserve"> the</w:t>
      </w:r>
      <w:r w:rsidRPr="00012C3F">
        <w:rPr>
          <w:sz w:val="20"/>
          <w:szCs w:val="20"/>
          <w:lang w:val="en-US"/>
        </w:rPr>
        <w:t xml:space="preserve"> </w:t>
      </w:r>
      <w:r w:rsidR="00593E9B" w:rsidRPr="00012C3F">
        <w:rPr>
          <w:sz w:val="20"/>
          <w:szCs w:val="20"/>
          <w:lang w:val="en-US"/>
        </w:rPr>
        <w:t>resident doctor</w:t>
      </w:r>
      <w:r w:rsidRPr="00012C3F">
        <w:rPr>
          <w:sz w:val="20"/>
          <w:szCs w:val="20"/>
          <w:lang w:val="en-US"/>
        </w:rPr>
        <w:t xml:space="preserve"> had stated that “it was necessary to perform </w:t>
      </w:r>
      <w:r w:rsidR="00136EDE" w:rsidRPr="00012C3F">
        <w:rPr>
          <w:sz w:val="20"/>
          <w:szCs w:val="20"/>
          <w:lang w:val="en-US"/>
        </w:rPr>
        <w:t>the caesarean section</w:t>
      </w:r>
      <w:r w:rsidRPr="00012C3F">
        <w:rPr>
          <w:sz w:val="20"/>
          <w:szCs w:val="20"/>
          <w:lang w:val="en-US"/>
        </w:rPr>
        <w:t xml:space="preserve"> and also the tubal ligation from a medical point of view, but incorrect from a legal point of view, because we should have waited for I.V., after the operation, to take a decision on whether or not to have her tubes tied.</w:t>
      </w:r>
      <w:r w:rsidR="007A1A14" w:rsidRPr="00012C3F">
        <w:rPr>
          <w:sz w:val="20"/>
          <w:szCs w:val="20"/>
          <w:lang w:val="en-US"/>
        </w:rPr>
        <w:t>”</w:t>
      </w:r>
      <w:r w:rsidR="007A1A14" w:rsidRPr="00012C3F">
        <w:rPr>
          <w:rStyle w:val="Refdenotaalpie"/>
          <w:sz w:val="20"/>
          <w:szCs w:val="20"/>
          <w:lang w:val="en-US"/>
        </w:rPr>
        <w:footnoteReference w:id="87"/>
      </w:r>
    </w:p>
    <w:p w14:paraId="3F3327CF" w14:textId="77777777" w:rsidR="007A1A14" w:rsidRPr="00012C3F" w:rsidRDefault="007A1A14" w:rsidP="007A1A14">
      <w:pPr>
        <w:spacing w:line="240" w:lineRule="auto"/>
        <w:rPr>
          <w:sz w:val="20"/>
          <w:szCs w:val="20"/>
          <w:lang w:val="en-US"/>
        </w:rPr>
      </w:pPr>
    </w:p>
    <w:p w14:paraId="288AF5F6" w14:textId="77777777" w:rsidR="00275D74" w:rsidRPr="00012C3F" w:rsidRDefault="0099356C" w:rsidP="0099356C">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On February 12,</w:t>
      </w:r>
      <w:r w:rsidR="007A1A14" w:rsidRPr="00012C3F">
        <w:rPr>
          <w:sz w:val="20"/>
          <w:szCs w:val="20"/>
          <w:lang w:val="en-US"/>
        </w:rPr>
        <w:t xml:space="preserve"> 2003</w:t>
      </w:r>
      <w:r w:rsidRPr="00012C3F">
        <w:rPr>
          <w:sz w:val="20"/>
          <w:szCs w:val="20"/>
          <w:lang w:val="en-US"/>
        </w:rPr>
        <w:t>, the instructing physician</w:t>
      </w:r>
      <w:r w:rsidR="007A1A14" w:rsidRPr="00012C3F">
        <w:rPr>
          <w:sz w:val="20"/>
          <w:szCs w:val="20"/>
          <w:lang w:val="en-US"/>
        </w:rPr>
        <w:t xml:space="preserve"> </w:t>
      </w:r>
      <w:r w:rsidRPr="00012C3F">
        <w:rPr>
          <w:sz w:val="20"/>
          <w:szCs w:val="20"/>
          <w:lang w:val="en-US"/>
        </w:rPr>
        <w:t>filed an</w:t>
      </w:r>
      <w:r w:rsidR="00635E15" w:rsidRPr="00012C3F">
        <w:rPr>
          <w:sz w:val="20"/>
          <w:szCs w:val="20"/>
          <w:lang w:val="en-US"/>
        </w:rPr>
        <w:t xml:space="preserve"> “</w:t>
      </w:r>
      <w:r w:rsidRPr="00012C3F">
        <w:rPr>
          <w:sz w:val="20"/>
          <w:szCs w:val="20"/>
          <w:lang w:val="en-US"/>
        </w:rPr>
        <w:t>appeal</w:t>
      </w:r>
      <w:r w:rsidR="00635E15" w:rsidRPr="00012C3F">
        <w:rPr>
          <w:sz w:val="20"/>
          <w:szCs w:val="20"/>
          <w:lang w:val="en-US"/>
        </w:rPr>
        <w:t>”</w:t>
      </w:r>
      <w:r w:rsidR="00EE7AF5" w:rsidRPr="00012C3F">
        <w:rPr>
          <w:sz w:val="20"/>
          <w:szCs w:val="20"/>
          <w:lang w:val="en-US"/>
        </w:rPr>
        <w:t xml:space="preserve"> </w:t>
      </w:r>
      <w:r w:rsidRPr="00012C3F">
        <w:rPr>
          <w:sz w:val="20"/>
          <w:szCs w:val="20"/>
          <w:lang w:val="en-US"/>
        </w:rPr>
        <w:t xml:space="preserve">against the </w:t>
      </w:r>
      <w:r w:rsidR="00103520" w:rsidRPr="00012C3F">
        <w:rPr>
          <w:sz w:val="20"/>
          <w:szCs w:val="20"/>
          <w:lang w:val="en-US"/>
        </w:rPr>
        <w:t>decision</w:t>
      </w:r>
      <w:r w:rsidRPr="00012C3F">
        <w:rPr>
          <w:sz w:val="20"/>
          <w:szCs w:val="20"/>
          <w:lang w:val="en-US"/>
        </w:rPr>
        <w:t xml:space="preserve">, requesting that the information </w:t>
      </w:r>
      <w:r w:rsidR="00103520" w:rsidRPr="00012C3F">
        <w:rPr>
          <w:sz w:val="20"/>
          <w:szCs w:val="20"/>
          <w:lang w:val="en-US"/>
        </w:rPr>
        <w:t>from</w:t>
      </w:r>
      <w:r w:rsidRPr="00012C3F">
        <w:rPr>
          <w:sz w:val="20"/>
          <w:szCs w:val="20"/>
          <w:lang w:val="en-US"/>
        </w:rPr>
        <w:t xml:space="preserve"> the medical audits be taken into consideration</w:t>
      </w:r>
      <w:r w:rsidR="00C13D33" w:rsidRPr="00012C3F">
        <w:rPr>
          <w:sz w:val="20"/>
          <w:szCs w:val="20"/>
          <w:lang w:val="en-US"/>
        </w:rPr>
        <w:t>, which</w:t>
      </w:r>
      <w:r w:rsidRPr="00012C3F">
        <w:rPr>
          <w:sz w:val="20"/>
          <w:szCs w:val="20"/>
          <w:lang w:val="en-US"/>
        </w:rPr>
        <w:t xml:space="preserve"> “establish</w:t>
      </w:r>
      <w:r w:rsidR="00C13D33" w:rsidRPr="00012C3F">
        <w:rPr>
          <w:sz w:val="20"/>
          <w:szCs w:val="20"/>
          <w:lang w:val="en-US"/>
        </w:rPr>
        <w:t>ed</w:t>
      </w:r>
      <w:r w:rsidRPr="00012C3F">
        <w:rPr>
          <w:sz w:val="20"/>
          <w:szCs w:val="20"/>
          <w:lang w:val="en-US"/>
        </w:rPr>
        <w:t xml:space="preserve"> support for him” and also the statements revealing that I.V. gave her verbal consent to the tubal ligation</w:t>
      </w:r>
      <w:r w:rsidR="003B4BAE" w:rsidRPr="00012C3F">
        <w:rPr>
          <w:sz w:val="20"/>
          <w:szCs w:val="20"/>
          <w:lang w:val="en-US"/>
        </w:rPr>
        <w:t xml:space="preserve">. </w:t>
      </w:r>
      <w:r w:rsidRPr="00012C3F">
        <w:rPr>
          <w:sz w:val="20"/>
          <w:szCs w:val="20"/>
          <w:lang w:val="en-US"/>
        </w:rPr>
        <w:t>He also indicated that he had “complied with the r</w:t>
      </w:r>
      <w:r w:rsidR="003B4921" w:rsidRPr="00012C3F">
        <w:rPr>
          <w:sz w:val="20"/>
          <w:szCs w:val="20"/>
          <w:lang w:val="en-US"/>
        </w:rPr>
        <w:t>ules of procedure</w:t>
      </w:r>
      <w:r w:rsidRPr="00012C3F">
        <w:rPr>
          <w:sz w:val="20"/>
          <w:szCs w:val="20"/>
          <w:lang w:val="en-US"/>
        </w:rPr>
        <w:t xml:space="preserve"> and </w:t>
      </w:r>
      <w:r w:rsidR="003B4921" w:rsidRPr="00012C3F">
        <w:rPr>
          <w:sz w:val="20"/>
          <w:szCs w:val="20"/>
          <w:lang w:val="en-US"/>
        </w:rPr>
        <w:t xml:space="preserve">the </w:t>
      </w:r>
      <w:r w:rsidRPr="00012C3F">
        <w:rPr>
          <w:sz w:val="20"/>
          <w:szCs w:val="20"/>
          <w:lang w:val="en-US"/>
        </w:rPr>
        <w:lastRenderedPageBreak/>
        <w:t xml:space="preserve">Bolivian </w:t>
      </w:r>
      <w:r w:rsidR="003B4921" w:rsidRPr="00012C3F">
        <w:rPr>
          <w:sz w:val="20"/>
          <w:szCs w:val="20"/>
          <w:lang w:val="en-US"/>
        </w:rPr>
        <w:t>H</w:t>
      </w:r>
      <w:r w:rsidRPr="00012C3F">
        <w:rPr>
          <w:sz w:val="20"/>
          <w:szCs w:val="20"/>
          <w:lang w:val="en-US"/>
        </w:rPr>
        <w:t xml:space="preserve">ealth </w:t>
      </w:r>
      <w:r w:rsidR="003B4921" w:rsidRPr="00012C3F">
        <w:rPr>
          <w:sz w:val="20"/>
          <w:szCs w:val="20"/>
          <w:lang w:val="en-US"/>
        </w:rPr>
        <w:t>Regulations</w:t>
      </w:r>
      <w:r w:rsidRPr="00012C3F">
        <w:rPr>
          <w:sz w:val="20"/>
          <w:szCs w:val="20"/>
          <w:lang w:val="en-US"/>
        </w:rPr>
        <w:t xml:space="preserve">, when carrying out the delicate task of saving </w:t>
      </w:r>
      <w:r w:rsidR="003B4BAE" w:rsidRPr="00012C3F">
        <w:rPr>
          <w:sz w:val="20"/>
          <w:szCs w:val="20"/>
          <w:lang w:val="en-US"/>
        </w:rPr>
        <w:t>[</w:t>
      </w:r>
      <w:r w:rsidR="000E1C11" w:rsidRPr="00012C3F">
        <w:rPr>
          <w:sz w:val="20"/>
          <w:szCs w:val="20"/>
          <w:lang w:val="en-US"/>
        </w:rPr>
        <w:t>I.V.</w:t>
      </w:r>
      <w:r w:rsidR="00C13D33" w:rsidRPr="00012C3F">
        <w:rPr>
          <w:sz w:val="20"/>
          <w:szCs w:val="20"/>
          <w:lang w:val="en-US"/>
        </w:rPr>
        <w:t>’s</w:t>
      </w:r>
      <w:r w:rsidR="003B4BAE" w:rsidRPr="00012C3F">
        <w:rPr>
          <w:sz w:val="20"/>
          <w:szCs w:val="20"/>
          <w:lang w:val="en-US"/>
        </w:rPr>
        <w:t>]</w:t>
      </w:r>
      <w:r w:rsidR="00C13D33" w:rsidRPr="00012C3F">
        <w:rPr>
          <w:sz w:val="20"/>
          <w:szCs w:val="20"/>
          <w:lang w:val="en-US"/>
        </w:rPr>
        <w:t xml:space="preserve"> life.</w:t>
      </w:r>
      <w:r w:rsidR="003B4BAE" w:rsidRPr="00012C3F">
        <w:rPr>
          <w:sz w:val="20"/>
          <w:szCs w:val="20"/>
          <w:lang w:val="en-US"/>
        </w:rPr>
        <w:t>”</w:t>
      </w:r>
      <w:r w:rsidR="007A1A14" w:rsidRPr="00012C3F">
        <w:rPr>
          <w:rStyle w:val="Refdenotaalpie"/>
          <w:sz w:val="20"/>
          <w:szCs w:val="20"/>
          <w:lang w:val="en-US"/>
        </w:rPr>
        <w:footnoteReference w:id="88"/>
      </w:r>
      <w:r w:rsidR="007A1A14" w:rsidRPr="00012C3F">
        <w:rPr>
          <w:sz w:val="20"/>
          <w:szCs w:val="20"/>
          <w:lang w:val="en-US"/>
        </w:rPr>
        <w:t xml:space="preserve"> </w:t>
      </w:r>
    </w:p>
    <w:p w14:paraId="760A95F6" w14:textId="77777777" w:rsidR="00275D74" w:rsidRPr="00012C3F" w:rsidRDefault="00275D74" w:rsidP="00275D74">
      <w:pPr>
        <w:tabs>
          <w:tab w:val="left" w:pos="567"/>
        </w:tabs>
        <w:spacing w:line="240" w:lineRule="auto"/>
        <w:rPr>
          <w:sz w:val="20"/>
          <w:szCs w:val="20"/>
          <w:lang w:val="en-US"/>
        </w:rPr>
      </w:pPr>
    </w:p>
    <w:p w14:paraId="0F27F608" w14:textId="77777777" w:rsidR="007A1A14" w:rsidRPr="00012C3F" w:rsidRDefault="0099356C" w:rsidP="00716C7D">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On March 10,</w:t>
      </w:r>
      <w:r w:rsidR="00275D74" w:rsidRPr="00012C3F">
        <w:rPr>
          <w:sz w:val="20"/>
          <w:szCs w:val="20"/>
          <w:lang w:val="en-US"/>
        </w:rPr>
        <w:t xml:space="preserve"> 2003</w:t>
      </w:r>
      <w:r w:rsidRPr="00012C3F">
        <w:rPr>
          <w:sz w:val="20"/>
          <w:szCs w:val="20"/>
          <w:lang w:val="en-US"/>
        </w:rPr>
        <w:t>, the Head</w:t>
      </w:r>
      <w:r w:rsidR="007A1A14" w:rsidRPr="00012C3F">
        <w:rPr>
          <w:sz w:val="20"/>
          <w:szCs w:val="20"/>
          <w:lang w:val="en-US"/>
        </w:rPr>
        <w:t xml:space="preserve"> </w:t>
      </w:r>
      <w:r w:rsidR="002A5605" w:rsidRPr="00012C3F">
        <w:rPr>
          <w:sz w:val="20"/>
          <w:szCs w:val="20"/>
          <w:lang w:val="en-US"/>
        </w:rPr>
        <w:t>of the</w:t>
      </w:r>
      <w:r w:rsidRPr="00012C3F">
        <w:rPr>
          <w:sz w:val="20"/>
          <w:szCs w:val="20"/>
          <w:lang w:val="en-US"/>
        </w:rPr>
        <w:t xml:space="preserve"> La Paz SEDES</w:t>
      </w:r>
      <w:r w:rsidR="002A5605" w:rsidRPr="00012C3F">
        <w:rPr>
          <w:sz w:val="20"/>
          <w:szCs w:val="20"/>
          <w:lang w:val="en-US"/>
        </w:rPr>
        <w:t xml:space="preserve"> </w:t>
      </w:r>
      <w:r w:rsidR="00833C77" w:rsidRPr="00012C3F">
        <w:rPr>
          <w:sz w:val="20"/>
          <w:szCs w:val="20"/>
          <w:lang w:val="en-US"/>
        </w:rPr>
        <w:t>Legal Advisory Services Unit</w:t>
      </w:r>
      <w:r w:rsidR="00275D74" w:rsidRPr="00012C3F">
        <w:rPr>
          <w:sz w:val="20"/>
          <w:szCs w:val="20"/>
          <w:lang w:val="en-US"/>
        </w:rPr>
        <w:t xml:space="preserve"> </w:t>
      </w:r>
      <w:r w:rsidRPr="00012C3F">
        <w:rPr>
          <w:sz w:val="20"/>
          <w:szCs w:val="20"/>
          <w:lang w:val="en-US"/>
        </w:rPr>
        <w:t xml:space="preserve">issued a new administrative </w:t>
      </w:r>
      <w:r w:rsidR="00C13D33" w:rsidRPr="00012C3F">
        <w:rPr>
          <w:sz w:val="20"/>
          <w:szCs w:val="20"/>
          <w:lang w:val="en-US"/>
        </w:rPr>
        <w:t>decision</w:t>
      </w:r>
      <w:r w:rsidRPr="00012C3F">
        <w:rPr>
          <w:sz w:val="20"/>
          <w:szCs w:val="20"/>
          <w:lang w:val="en-US"/>
        </w:rPr>
        <w:t>, based on</w:t>
      </w:r>
      <w:r w:rsidR="003810C4" w:rsidRPr="00012C3F">
        <w:rPr>
          <w:sz w:val="20"/>
          <w:szCs w:val="20"/>
          <w:lang w:val="en-US"/>
        </w:rPr>
        <w:t xml:space="preserve"> </w:t>
      </w:r>
      <w:r w:rsidRPr="00012C3F">
        <w:rPr>
          <w:sz w:val="20"/>
          <w:szCs w:val="20"/>
          <w:lang w:val="en-US"/>
        </w:rPr>
        <w:t>a</w:t>
      </w:r>
      <w:r w:rsidR="001254DE" w:rsidRPr="00012C3F">
        <w:rPr>
          <w:sz w:val="20"/>
          <w:szCs w:val="20"/>
          <w:lang w:val="en-US"/>
        </w:rPr>
        <w:t>rticles</w:t>
      </w:r>
      <w:r w:rsidR="003810C4" w:rsidRPr="00012C3F">
        <w:rPr>
          <w:sz w:val="20"/>
          <w:szCs w:val="20"/>
          <w:lang w:val="en-US"/>
        </w:rPr>
        <w:t xml:space="preserve"> 21</w:t>
      </w:r>
      <w:r w:rsidR="005E5012" w:rsidRPr="00012C3F">
        <w:rPr>
          <w:sz w:val="20"/>
          <w:szCs w:val="20"/>
          <w:lang w:val="en-US"/>
        </w:rPr>
        <w:t xml:space="preserve"> and </w:t>
      </w:r>
      <w:r w:rsidR="003810C4" w:rsidRPr="00012C3F">
        <w:rPr>
          <w:sz w:val="20"/>
          <w:szCs w:val="20"/>
          <w:lang w:val="en-US"/>
        </w:rPr>
        <w:t xml:space="preserve">24 </w:t>
      </w:r>
      <w:r w:rsidRPr="00012C3F">
        <w:rPr>
          <w:sz w:val="20"/>
          <w:szCs w:val="20"/>
          <w:lang w:val="en-US"/>
        </w:rPr>
        <w:t>of</w:t>
      </w:r>
      <w:r w:rsidR="003810C4" w:rsidRPr="00012C3F">
        <w:rPr>
          <w:sz w:val="20"/>
          <w:szCs w:val="20"/>
          <w:lang w:val="en-US"/>
        </w:rPr>
        <w:t xml:space="preserve"> </w:t>
      </w:r>
      <w:r w:rsidRPr="00012C3F">
        <w:rPr>
          <w:sz w:val="20"/>
          <w:szCs w:val="20"/>
          <w:lang w:val="en-US"/>
        </w:rPr>
        <w:t>Supreme Decree No.</w:t>
      </w:r>
      <w:r w:rsidR="003810C4" w:rsidRPr="00012C3F">
        <w:rPr>
          <w:sz w:val="20"/>
          <w:szCs w:val="20"/>
          <w:lang w:val="en-US"/>
        </w:rPr>
        <w:t xml:space="preserve"> 26237 </w:t>
      </w:r>
      <w:r w:rsidRPr="00012C3F">
        <w:rPr>
          <w:sz w:val="20"/>
          <w:szCs w:val="20"/>
          <w:lang w:val="en-US"/>
        </w:rPr>
        <w:t>which regulate</w:t>
      </w:r>
      <w:r w:rsidR="00C13D33" w:rsidRPr="00012C3F">
        <w:rPr>
          <w:sz w:val="20"/>
          <w:szCs w:val="20"/>
          <w:lang w:val="en-US"/>
        </w:rPr>
        <w:t>d</w:t>
      </w:r>
      <w:r w:rsidRPr="00012C3F">
        <w:rPr>
          <w:sz w:val="20"/>
          <w:szCs w:val="20"/>
          <w:lang w:val="en-US"/>
        </w:rPr>
        <w:t xml:space="preserve"> the </w:t>
      </w:r>
      <w:r w:rsidR="003B4921" w:rsidRPr="00012C3F">
        <w:rPr>
          <w:sz w:val="20"/>
          <w:szCs w:val="20"/>
          <w:lang w:val="en-US"/>
        </w:rPr>
        <w:t xml:space="preserve">appeal for annulment of a decision. In this </w:t>
      </w:r>
      <w:r w:rsidR="00C13D33" w:rsidRPr="00012C3F">
        <w:rPr>
          <w:sz w:val="20"/>
          <w:szCs w:val="20"/>
          <w:lang w:val="en-US"/>
        </w:rPr>
        <w:t>decision</w:t>
      </w:r>
      <w:r w:rsidR="003B4921" w:rsidRPr="00012C3F">
        <w:rPr>
          <w:sz w:val="20"/>
          <w:szCs w:val="20"/>
          <w:lang w:val="en-US"/>
        </w:rPr>
        <w:t xml:space="preserve">, it was decided to annul the declaration of administrative liability and dismissal of the </w:t>
      </w:r>
      <w:r w:rsidRPr="00012C3F">
        <w:rPr>
          <w:sz w:val="20"/>
          <w:szCs w:val="20"/>
          <w:lang w:val="en-US"/>
        </w:rPr>
        <w:t>instructing physician</w:t>
      </w:r>
      <w:r w:rsidR="005E5012" w:rsidRPr="00012C3F">
        <w:rPr>
          <w:sz w:val="20"/>
          <w:szCs w:val="20"/>
          <w:lang w:val="en-US"/>
        </w:rPr>
        <w:t xml:space="preserve"> and </w:t>
      </w:r>
      <w:r w:rsidR="003B4921" w:rsidRPr="00012C3F">
        <w:rPr>
          <w:sz w:val="20"/>
          <w:szCs w:val="20"/>
          <w:lang w:val="en-US"/>
        </w:rPr>
        <w:t>ordered the closure of the procedure against him based on, among other matters, the following</w:t>
      </w:r>
      <w:r w:rsidR="006C705C" w:rsidRPr="00012C3F">
        <w:rPr>
          <w:sz w:val="20"/>
          <w:szCs w:val="20"/>
          <w:lang w:val="en-US"/>
        </w:rPr>
        <w:t xml:space="preserve"> information</w:t>
      </w:r>
      <w:r w:rsidR="007A1A14" w:rsidRPr="00012C3F">
        <w:rPr>
          <w:sz w:val="20"/>
          <w:szCs w:val="20"/>
          <w:lang w:val="en-US"/>
        </w:rPr>
        <w:t>:</w:t>
      </w:r>
    </w:p>
    <w:p w14:paraId="0B164788" w14:textId="77777777" w:rsidR="007A1A14" w:rsidRPr="00012C3F" w:rsidRDefault="007A1A14" w:rsidP="007A1A14">
      <w:pPr>
        <w:spacing w:line="240" w:lineRule="auto"/>
        <w:rPr>
          <w:sz w:val="20"/>
          <w:szCs w:val="20"/>
          <w:lang w:val="en-US"/>
        </w:rPr>
      </w:pPr>
    </w:p>
    <w:p w14:paraId="70C2EFD7" w14:textId="77777777" w:rsidR="007A1A14" w:rsidRPr="00012C3F" w:rsidRDefault="007A1A14" w:rsidP="00716C7D">
      <w:pPr>
        <w:spacing w:after="120" w:line="240" w:lineRule="auto"/>
        <w:ind w:left="720" w:right="573"/>
        <w:rPr>
          <w:sz w:val="16"/>
          <w:szCs w:val="16"/>
          <w:lang w:val="en-US"/>
        </w:rPr>
      </w:pPr>
      <w:r w:rsidRPr="00012C3F">
        <w:rPr>
          <w:sz w:val="16"/>
          <w:szCs w:val="16"/>
          <w:lang w:val="en-US"/>
        </w:rPr>
        <w:t>1. [</w:t>
      </w:r>
      <w:r w:rsidR="003B4921" w:rsidRPr="00012C3F">
        <w:rPr>
          <w:sz w:val="16"/>
          <w:szCs w:val="16"/>
          <w:lang w:val="en-US"/>
        </w:rPr>
        <w:t xml:space="preserve">Under the] Bolivian Health Regulations [...] the goal is to reduce mortality due to </w:t>
      </w:r>
      <w:r w:rsidR="00C13D33" w:rsidRPr="00012C3F">
        <w:rPr>
          <w:sz w:val="16"/>
          <w:szCs w:val="16"/>
          <w:lang w:val="en-US"/>
        </w:rPr>
        <w:t xml:space="preserve">high risk </w:t>
      </w:r>
      <w:r w:rsidR="003B4921" w:rsidRPr="00012C3F">
        <w:rPr>
          <w:sz w:val="16"/>
          <w:szCs w:val="16"/>
          <w:lang w:val="en-US"/>
        </w:rPr>
        <w:t xml:space="preserve">factors and, by medical decision, a </w:t>
      </w:r>
      <w:r w:rsidR="00C13D33" w:rsidRPr="00012C3F">
        <w:rPr>
          <w:sz w:val="16"/>
          <w:szCs w:val="16"/>
          <w:lang w:val="en-US"/>
        </w:rPr>
        <w:t xml:space="preserve">tubal ligation </w:t>
      </w:r>
      <w:r w:rsidR="003B4921" w:rsidRPr="00012C3F">
        <w:rPr>
          <w:sz w:val="16"/>
          <w:szCs w:val="16"/>
          <w:lang w:val="en-US"/>
        </w:rPr>
        <w:t>may be performed in serious cases</w:t>
      </w:r>
      <w:r w:rsidRPr="00012C3F">
        <w:rPr>
          <w:sz w:val="16"/>
          <w:szCs w:val="16"/>
          <w:lang w:val="en-US"/>
        </w:rPr>
        <w:t>.</w:t>
      </w:r>
    </w:p>
    <w:p w14:paraId="0177F73B" w14:textId="77777777" w:rsidR="007A1A14" w:rsidRPr="00012C3F" w:rsidRDefault="007A1A14" w:rsidP="00716C7D">
      <w:pPr>
        <w:spacing w:after="120" w:line="240" w:lineRule="auto"/>
        <w:ind w:left="720" w:right="573"/>
        <w:rPr>
          <w:sz w:val="16"/>
          <w:szCs w:val="16"/>
          <w:lang w:val="en-US"/>
        </w:rPr>
      </w:pPr>
      <w:r w:rsidRPr="00012C3F">
        <w:rPr>
          <w:sz w:val="16"/>
          <w:szCs w:val="16"/>
          <w:lang w:val="en-US"/>
        </w:rPr>
        <w:t xml:space="preserve">2. </w:t>
      </w:r>
      <w:r w:rsidR="003B4921" w:rsidRPr="00012C3F">
        <w:rPr>
          <w:sz w:val="16"/>
          <w:szCs w:val="16"/>
          <w:lang w:val="en-US"/>
        </w:rPr>
        <w:t>That, according to statements [...] there is evidence that [I.V.] gave her consent to the tubal ligation procedure.</w:t>
      </w:r>
    </w:p>
    <w:p w14:paraId="72544A1A" w14:textId="77777777" w:rsidR="007A1A14" w:rsidRPr="00012C3F" w:rsidRDefault="007A1A14" w:rsidP="00716C7D">
      <w:pPr>
        <w:spacing w:after="120" w:line="240" w:lineRule="auto"/>
        <w:ind w:left="720" w:right="573"/>
        <w:rPr>
          <w:sz w:val="16"/>
          <w:szCs w:val="16"/>
          <w:lang w:val="en-US"/>
        </w:rPr>
      </w:pPr>
      <w:r w:rsidRPr="00012C3F">
        <w:rPr>
          <w:sz w:val="16"/>
          <w:szCs w:val="16"/>
          <w:lang w:val="en-US"/>
        </w:rPr>
        <w:t xml:space="preserve">3. </w:t>
      </w:r>
      <w:r w:rsidR="00D5703A" w:rsidRPr="00012C3F">
        <w:rPr>
          <w:sz w:val="16"/>
          <w:szCs w:val="16"/>
          <w:lang w:val="en-US"/>
        </w:rPr>
        <w:t>That</w:t>
      </w:r>
      <w:r w:rsidRPr="00012C3F">
        <w:rPr>
          <w:sz w:val="16"/>
          <w:szCs w:val="16"/>
          <w:lang w:val="en-US"/>
        </w:rPr>
        <w:t xml:space="preserve"> [</w:t>
      </w:r>
      <w:r w:rsidR="00D5703A" w:rsidRPr="00012C3F">
        <w:rPr>
          <w:sz w:val="16"/>
          <w:szCs w:val="16"/>
          <w:lang w:val="en-US"/>
        </w:rPr>
        <w:t>…</w:t>
      </w:r>
      <w:r w:rsidRPr="00012C3F">
        <w:rPr>
          <w:sz w:val="16"/>
          <w:szCs w:val="16"/>
          <w:lang w:val="en-US"/>
        </w:rPr>
        <w:t xml:space="preserve">] </w:t>
      </w:r>
      <w:r w:rsidR="00FF19ED" w:rsidRPr="00012C3F">
        <w:rPr>
          <w:sz w:val="16"/>
          <w:szCs w:val="16"/>
          <w:lang w:val="en-US"/>
        </w:rPr>
        <w:t xml:space="preserve">the Medical Audit Committee of the </w:t>
      </w:r>
      <w:r w:rsidR="00583403" w:rsidRPr="00012C3F">
        <w:rPr>
          <w:sz w:val="16"/>
          <w:szCs w:val="16"/>
          <w:lang w:val="en-US"/>
        </w:rPr>
        <w:t>Women’s Hospital</w:t>
      </w:r>
      <w:r w:rsidRPr="00012C3F">
        <w:rPr>
          <w:sz w:val="16"/>
          <w:szCs w:val="16"/>
          <w:lang w:val="en-US"/>
        </w:rPr>
        <w:t xml:space="preserve">, </w:t>
      </w:r>
      <w:r w:rsidR="00D5703A" w:rsidRPr="00012C3F">
        <w:rPr>
          <w:sz w:val="16"/>
          <w:szCs w:val="16"/>
          <w:lang w:val="en-US"/>
        </w:rPr>
        <w:t>establishe</w:t>
      </w:r>
      <w:r w:rsidR="00C13D33" w:rsidRPr="00012C3F">
        <w:rPr>
          <w:sz w:val="16"/>
          <w:szCs w:val="16"/>
          <w:lang w:val="en-US"/>
        </w:rPr>
        <w:t>d</w:t>
      </w:r>
      <w:r w:rsidR="00D5703A" w:rsidRPr="00012C3F">
        <w:rPr>
          <w:sz w:val="16"/>
          <w:szCs w:val="16"/>
          <w:lang w:val="en-US"/>
        </w:rPr>
        <w:t xml:space="preserve"> that [I.V.] was </w:t>
      </w:r>
      <w:r w:rsidR="00C13D33" w:rsidRPr="00012C3F">
        <w:rPr>
          <w:sz w:val="16"/>
          <w:szCs w:val="16"/>
          <w:lang w:val="en-US"/>
        </w:rPr>
        <w:t>awake</w:t>
      </w:r>
      <w:r w:rsidR="00D5703A" w:rsidRPr="00012C3F">
        <w:rPr>
          <w:sz w:val="16"/>
          <w:szCs w:val="16"/>
          <w:lang w:val="en-US"/>
        </w:rPr>
        <w:t xml:space="preserve"> because she had been given epidural anesthesia […] and that she gave authorization for her surgical procedure, as confirmed and </w:t>
      </w:r>
      <w:r w:rsidR="00C13D33" w:rsidRPr="00012C3F">
        <w:rPr>
          <w:sz w:val="16"/>
          <w:szCs w:val="16"/>
          <w:lang w:val="en-US"/>
        </w:rPr>
        <w:t>witnessed</w:t>
      </w:r>
      <w:r w:rsidR="00D5703A" w:rsidRPr="00012C3F">
        <w:rPr>
          <w:sz w:val="16"/>
          <w:szCs w:val="16"/>
          <w:lang w:val="en-US"/>
        </w:rPr>
        <w:t xml:space="preserve"> by the medical team […].</w:t>
      </w:r>
    </w:p>
    <w:p w14:paraId="26ABC614" w14:textId="77777777" w:rsidR="003B4921" w:rsidRPr="00012C3F" w:rsidRDefault="007A1A14" w:rsidP="004A1602">
      <w:pPr>
        <w:spacing w:line="240" w:lineRule="auto"/>
        <w:ind w:left="720" w:right="573"/>
        <w:rPr>
          <w:sz w:val="16"/>
          <w:szCs w:val="16"/>
          <w:lang w:val="en-US"/>
        </w:rPr>
      </w:pPr>
      <w:r w:rsidRPr="00012C3F">
        <w:rPr>
          <w:sz w:val="16"/>
          <w:szCs w:val="16"/>
          <w:lang w:val="en-US"/>
        </w:rPr>
        <w:t>4. [</w:t>
      </w:r>
      <w:r w:rsidR="00D5703A" w:rsidRPr="00012C3F">
        <w:rPr>
          <w:sz w:val="16"/>
          <w:szCs w:val="16"/>
          <w:lang w:val="en-US"/>
        </w:rPr>
        <w:t>… T</w:t>
      </w:r>
      <w:r w:rsidRPr="00012C3F">
        <w:rPr>
          <w:sz w:val="16"/>
          <w:szCs w:val="16"/>
          <w:lang w:val="en-US"/>
        </w:rPr>
        <w:t>]</w:t>
      </w:r>
      <w:r w:rsidR="00D5703A" w:rsidRPr="00012C3F">
        <w:rPr>
          <w:sz w:val="16"/>
          <w:szCs w:val="16"/>
          <w:lang w:val="en-US"/>
        </w:rPr>
        <w:t>he</w:t>
      </w:r>
      <w:r w:rsidRPr="00012C3F">
        <w:rPr>
          <w:sz w:val="16"/>
          <w:szCs w:val="16"/>
          <w:lang w:val="en-US"/>
        </w:rPr>
        <w:t xml:space="preserve"> </w:t>
      </w:r>
      <w:r w:rsidR="00593E9B" w:rsidRPr="00012C3F">
        <w:rPr>
          <w:sz w:val="16"/>
          <w:szCs w:val="16"/>
          <w:lang w:val="en-US"/>
        </w:rPr>
        <w:t>Departmental Medical Audit Committee</w:t>
      </w:r>
      <w:r w:rsidRPr="00012C3F">
        <w:rPr>
          <w:sz w:val="16"/>
          <w:szCs w:val="16"/>
          <w:lang w:val="en-US"/>
        </w:rPr>
        <w:t xml:space="preserve"> </w:t>
      </w:r>
      <w:r w:rsidR="00D5703A" w:rsidRPr="00012C3F">
        <w:rPr>
          <w:sz w:val="16"/>
          <w:szCs w:val="16"/>
          <w:lang w:val="en-US"/>
        </w:rPr>
        <w:t>full</w:t>
      </w:r>
      <w:r w:rsidR="00C13D33" w:rsidRPr="00012C3F">
        <w:rPr>
          <w:sz w:val="16"/>
          <w:szCs w:val="16"/>
          <w:lang w:val="en-US"/>
        </w:rPr>
        <w:t>y</w:t>
      </w:r>
      <w:r w:rsidR="00D5703A" w:rsidRPr="00012C3F">
        <w:rPr>
          <w:sz w:val="16"/>
          <w:szCs w:val="16"/>
          <w:lang w:val="en-US"/>
        </w:rPr>
        <w:t xml:space="preserve"> supports the</w:t>
      </w:r>
      <w:r w:rsidRPr="00012C3F">
        <w:rPr>
          <w:sz w:val="16"/>
          <w:szCs w:val="16"/>
          <w:lang w:val="en-US"/>
        </w:rPr>
        <w:t xml:space="preserve"> </w:t>
      </w:r>
      <w:r w:rsidR="00B53B61" w:rsidRPr="00012C3F">
        <w:rPr>
          <w:sz w:val="16"/>
          <w:szCs w:val="16"/>
          <w:lang w:val="en-US"/>
        </w:rPr>
        <w:t>report</w:t>
      </w:r>
      <w:r w:rsidR="00FF19ED" w:rsidRPr="00012C3F">
        <w:rPr>
          <w:sz w:val="16"/>
          <w:szCs w:val="16"/>
          <w:lang w:val="en-US"/>
        </w:rPr>
        <w:t xml:space="preserve"> </w:t>
      </w:r>
      <w:r w:rsidR="00D5703A" w:rsidRPr="00012C3F">
        <w:rPr>
          <w:sz w:val="16"/>
          <w:szCs w:val="16"/>
          <w:lang w:val="en-US"/>
        </w:rPr>
        <w:t>issued by</w:t>
      </w:r>
      <w:r w:rsidR="00FF19ED" w:rsidRPr="00012C3F">
        <w:rPr>
          <w:sz w:val="16"/>
          <w:szCs w:val="16"/>
          <w:lang w:val="en-US"/>
        </w:rPr>
        <w:t xml:space="preserve"> the </w:t>
      </w:r>
      <w:r w:rsidR="00583403" w:rsidRPr="00012C3F">
        <w:rPr>
          <w:sz w:val="16"/>
          <w:szCs w:val="16"/>
          <w:lang w:val="en-US"/>
        </w:rPr>
        <w:t>Women’s Hospital</w:t>
      </w:r>
      <w:r w:rsidRPr="00012C3F">
        <w:rPr>
          <w:sz w:val="16"/>
          <w:szCs w:val="16"/>
          <w:lang w:val="en-US"/>
        </w:rPr>
        <w:t xml:space="preserve"> [... establ</w:t>
      </w:r>
      <w:r w:rsidR="00D5703A" w:rsidRPr="00012C3F">
        <w:rPr>
          <w:sz w:val="16"/>
          <w:szCs w:val="16"/>
          <w:lang w:val="en-US"/>
        </w:rPr>
        <w:t>ishing</w:t>
      </w:r>
      <w:r w:rsidRPr="00012C3F">
        <w:rPr>
          <w:sz w:val="16"/>
          <w:szCs w:val="16"/>
          <w:lang w:val="en-US"/>
        </w:rPr>
        <w:t xml:space="preserve">] </w:t>
      </w:r>
      <w:r w:rsidR="00D5703A" w:rsidRPr="00012C3F">
        <w:rPr>
          <w:sz w:val="16"/>
          <w:szCs w:val="16"/>
          <w:lang w:val="en-US"/>
        </w:rPr>
        <w:t>that the tubal ligation procedure was performed for prophylactic purposes and to preserve future maternal well-being.</w:t>
      </w:r>
      <w:r w:rsidR="004A1602" w:rsidRPr="00012C3F">
        <w:rPr>
          <w:sz w:val="16"/>
          <w:szCs w:val="16"/>
          <w:lang w:val="en-US"/>
        </w:rPr>
        <w:t>”</w:t>
      </w:r>
      <w:r w:rsidRPr="00012C3F">
        <w:rPr>
          <w:sz w:val="16"/>
          <w:szCs w:val="16"/>
          <w:vertAlign w:val="superscript"/>
          <w:lang w:val="en-US"/>
        </w:rPr>
        <w:footnoteReference w:id="89"/>
      </w:r>
    </w:p>
    <w:p w14:paraId="26DAAB3C" w14:textId="77777777" w:rsidR="007A1A14" w:rsidRPr="00012C3F" w:rsidRDefault="007A1A14" w:rsidP="007A1A14">
      <w:pPr>
        <w:spacing w:line="240" w:lineRule="auto"/>
        <w:ind w:right="360"/>
        <w:rPr>
          <w:sz w:val="20"/>
          <w:szCs w:val="20"/>
          <w:lang w:val="en-US"/>
        </w:rPr>
      </w:pPr>
    </w:p>
    <w:p w14:paraId="2DE7D897" w14:textId="77777777" w:rsidR="007A1A14" w:rsidRPr="00012C3F" w:rsidRDefault="00D5703A" w:rsidP="00716C7D">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On March 14,</w:t>
      </w:r>
      <w:r w:rsidR="007A1A14" w:rsidRPr="00012C3F">
        <w:rPr>
          <w:sz w:val="20"/>
          <w:szCs w:val="20"/>
          <w:lang w:val="en-US"/>
        </w:rPr>
        <w:t xml:space="preserve"> 2003</w:t>
      </w:r>
      <w:r w:rsidRPr="00012C3F">
        <w:rPr>
          <w:sz w:val="20"/>
          <w:szCs w:val="20"/>
          <w:lang w:val="en-US"/>
        </w:rPr>
        <w:t>,</w:t>
      </w:r>
      <w:r w:rsidR="007A1A14" w:rsidRPr="00012C3F">
        <w:rPr>
          <w:sz w:val="20"/>
          <w:szCs w:val="20"/>
          <w:lang w:val="en-US"/>
        </w:rPr>
        <w:t xml:space="preserve"> </w:t>
      </w:r>
      <w:r w:rsidRPr="00012C3F">
        <w:rPr>
          <w:sz w:val="20"/>
          <w:szCs w:val="20"/>
          <w:lang w:val="en-US"/>
        </w:rPr>
        <w:t>it was declared that this decision was final.</w:t>
      </w:r>
      <w:r w:rsidR="007A1A14" w:rsidRPr="00012C3F">
        <w:rPr>
          <w:rStyle w:val="Refdenotaalpie"/>
          <w:sz w:val="20"/>
          <w:szCs w:val="20"/>
          <w:lang w:val="en-US"/>
        </w:rPr>
        <w:footnoteReference w:id="90"/>
      </w:r>
    </w:p>
    <w:p w14:paraId="326CF0BF" w14:textId="77777777" w:rsidR="007A1A14" w:rsidRPr="00012C3F" w:rsidRDefault="007A1A14" w:rsidP="007A1A14">
      <w:pPr>
        <w:spacing w:line="240" w:lineRule="auto"/>
        <w:ind w:right="360"/>
        <w:rPr>
          <w:sz w:val="20"/>
          <w:szCs w:val="20"/>
          <w:lang w:val="en-US"/>
        </w:rPr>
      </w:pPr>
    </w:p>
    <w:p w14:paraId="185CABB3" w14:textId="77777777" w:rsidR="007A1A14" w:rsidRPr="00012C3F" w:rsidRDefault="007A1A14" w:rsidP="00040BA7">
      <w:pPr>
        <w:keepNext/>
        <w:keepLines/>
        <w:tabs>
          <w:tab w:val="left" w:pos="1134"/>
        </w:tabs>
        <w:spacing w:line="240" w:lineRule="auto"/>
        <w:ind w:left="567" w:firstLine="1"/>
        <w:outlineLvl w:val="1"/>
        <w:rPr>
          <w:rFonts w:eastAsia="MS Mincho"/>
          <w:b/>
          <w:bCs/>
          <w:i/>
          <w:sz w:val="20"/>
          <w:szCs w:val="20"/>
          <w:lang w:val="en-US"/>
        </w:rPr>
      </w:pPr>
      <w:bookmarkStart w:id="100" w:name="_Toc27486845"/>
      <w:r w:rsidRPr="00012C3F">
        <w:rPr>
          <w:rFonts w:eastAsia="MS Mincho"/>
          <w:b/>
          <w:bCs/>
          <w:i/>
          <w:sz w:val="20"/>
          <w:szCs w:val="20"/>
          <w:lang w:val="en-US"/>
        </w:rPr>
        <w:t xml:space="preserve">E. </w:t>
      </w:r>
      <w:r w:rsidRPr="00012C3F">
        <w:rPr>
          <w:rFonts w:eastAsia="MS Mincho"/>
          <w:b/>
          <w:bCs/>
          <w:i/>
          <w:sz w:val="20"/>
          <w:szCs w:val="20"/>
          <w:lang w:val="en-US"/>
        </w:rPr>
        <w:tab/>
      </w:r>
      <w:r w:rsidR="006C705C" w:rsidRPr="00012C3F">
        <w:rPr>
          <w:rFonts w:eastAsia="MS Mincho"/>
          <w:b/>
          <w:bCs/>
          <w:i/>
          <w:sz w:val="20"/>
          <w:szCs w:val="20"/>
          <w:lang w:val="en-US"/>
        </w:rPr>
        <w:t>Criminal proceedings</w:t>
      </w:r>
      <w:bookmarkEnd w:id="100"/>
    </w:p>
    <w:p w14:paraId="3633C37A" w14:textId="77777777" w:rsidR="007A1A14" w:rsidRPr="00012C3F" w:rsidRDefault="007A1A14" w:rsidP="007A1A14">
      <w:pPr>
        <w:spacing w:line="240" w:lineRule="auto"/>
        <w:rPr>
          <w:strike/>
          <w:sz w:val="20"/>
          <w:szCs w:val="20"/>
          <w:lang w:val="en-US"/>
        </w:rPr>
      </w:pPr>
    </w:p>
    <w:p w14:paraId="7ADEE3CD" w14:textId="77777777" w:rsidR="007A1A14" w:rsidRPr="00012C3F" w:rsidRDefault="007A1A14" w:rsidP="005D5050">
      <w:pPr>
        <w:pStyle w:val="Ttulo2"/>
        <w:tabs>
          <w:tab w:val="left" w:pos="1701"/>
        </w:tabs>
        <w:spacing w:before="0" w:line="240" w:lineRule="auto"/>
        <w:ind w:left="1134"/>
        <w:rPr>
          <w:rFonts w:ascii="Verdana" w:hAnsi="Verdana"/>
          <w:b w:val="0"/>
          <w:i/>
          <w:color w:val="auto"/>
          <w:sz w:val="20"/>
          <w:szCs w:val="20"/>
          <w:lang w:val="en-US"/>
        </w:rPr>
      </w:pPr>
      <w:bookmarkStart w:id="101" w:name="_Toc27486846"/>
      <w:r w:rsidRPr="00012C3F">
        <w:rPr>
          <w:rFonts w:ascii="Verdana" w:hAnsi="Verdana"/>
          <w:b w:val="0"/>
          <w:i/>
          <w:color w:val="auto"/>
          <w:sz w:val="20"/>
          <w:szCs w:val="20"/>
          <w:lang w:val="en-US"/>
        </w:rPr>
        <w:t xml:space="preserve">E.1 </w:t>
      </w:r>
      <w:r w:rsidRPr="00012C3F">
        <w:rPr>
          <w:rFonts w:ascii="Verdana" w:hAnsi="Verdana"/>
          <w:b w:val="0"/>
          <w:i/>
          <w:color w:val="auto"/>
          <w:sz w:val="20"/>
          <w:szCs w:val="20"/>
          <w:lang w:val="en-US"/>
        </w:rPr>
        <w:tab/>
      </w:r>
      <w:r w:rsidR="006C705C" w:rsidRPr="00012C3F">
        <w:rPr>
          <w:rFonts w:ascii="Verdana" w:hAnsi="Verdana"/>
          <w:b w:val="0"/>
          <w:i/>
          <w:color w:val="auto"/>
          <w:sz w:val="20"/>
          <w:szCs w:val="20"/>
          <w:lang w:val="en-US"/>
        </w:rPr>
        <w:t>First oral proceeding</w:t>
      </w:r>
      <w:bookmarkEnd w:id="101"/>
    </w:p>
    <w:p w14:paraId="53D6306C" w14:textId="77777777" w:rsidR="007A1A14" w:rsidRPr="00012C3F" w:rsidRDefault="007A1A14" w:rsidP="007A1A14">
      <w:pPr>
        <w:spacing w:line="240" w:lineRule="auto"/>
        <w:rPr>
          <w:sz w:val="20"/>
          <w:szCs w:val="20"/>
          <w:lang w:val="en-US"/>
        </w:rPr>
      </w:pPr>
    </w:p>
    <w:p w14:paraId="5B0C904D" w14:textId="77777777" w:rsidR="007A1A14" w:rsidRPr="00012C3F" w:rsidRDefault="00D5703A" w:rsidP="00D5703A">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On August 31,</w:t>
      </w:r>
      <w:r w:rsidR="007A1A14" w:rsidRPr="00012C3F">
        <w:rPr>
          <w:sz w:val="20"/>
          <w:szCs w:val="20"/>
          <w:lang w:val="en-US"/>
        </w:rPr>
        <w:t xml:space="preserve"> 2002</w:t>
      </w:r>
      <w:r w:rsidR="005D615E" w:rsidRPr="00012C3F">
        <w:rPr>
          <w:sz w:val="20"/>
          <w:szCs w:val="20"/>
          <w:lang w:val="en-US"/>
        </w:rPr>
        <w:t>,</w:t>
      </w:r>
      <w:r w:rsidR="007A1A14" w:rsidRPr="00012C3F">
        <w:rPr>
          <w:sz w:val="20"/>
          <w:szCs w:val="20"/>
          <w:lang w:val="en-US"/>
        </w:rPr>
        <w:t xml:space="preserve"> </w:t>
      </w:r>
      <w:r w:rsidR="00716C7D" w:rsidRPr="00012C3F">
        <w:rPr>
          <w:sz w:val="20"/>
          <w:szCs w:val="20"/>
          <w:lang w:val="en-US"/>
        </w:rPr>
        <w:t>the Public Prosecution Service</w:t>
      </w:r>
      <w:r w:rsidR="007A1A14" w:rsidRPr="00012C3F">
        <w:rPr>
          <w:sz w:val="20"/>
          <w:szCs w:val="20"/>
          <w:lang w:val="en-US"/>
        </w:rPr>
        <w:t xml:space="preserve"> </w:t>
      </w:r>
      <w:r w:rsidR="00716C7D" w:rsidRPr="00012C3F">
        <w:rPr>
          <w:sz w:val="20"/>
          <w:szCs w:val="20"/>
          <w:lang w:val="en-US"/>
        </w:rPr>
        <w:t xml:space="preserve">filed criminal charges against </w:t>
      </w:r>
      <w:r w:rsidR="003B4921" w:rsidRPr="00012C3F">
        <w:rPr>
          <w:sz w:val="20"/>
          <w:szCs w:val="20"/>
          <w:lang w:val="en-US"/>
        </w:rPr>
        <w:t xml:space="preserve">the </w:t>
      </w:r>
      <w:r w:rsidR="0099356C" w:rsidRPr="00012C3F">
        <w:rPr>
          <w:sz w:val="20"/>
          <w:szCs w:val="20"/>
          <w:lang w:val="en-US"/>
        </w:rPr>
        <w:t>instructing physician</w:t>
      </w:r>
      <w:r w:rsidR="007A1A14" w:rsidRPr="00012C3F">
        <w:rPr>
          <w:sz w:val="20"/>
          <w:szCs w:val="20"/>
          <w:lang w:val="en-US"/>
        </w:rPr>
        <w:t xml:space="preserve"> </w:t>
      </w:r>
      <w:r w:rsidR="00716C7D" w:rsidRPr="00012C3F">
        <w:rPr>
          <w:sz w:val="20"/>
          <w:szCs w:val="20"/>
          <w:lang w:val="en-US"/>
        </w:rPr>
        <w:t xml:space="preserve">for the offense of severe injuries </w:t>
      </w:r>
      <w:r w:rsidR="005E5012" w:rsidRPr="00012C3F">
        <w:rPr>
          <w:sz w:val="20"/>
          <w:szCs w:val="20"/>
          <w:lang w:val="en-US"/>
        </w:rPr>
        <w:t>to the detriment of</w:t>
      </w:r>
      <w:r w:rsidR="007A1A14" w:rsidRPr="00012C3F">
        <w:rPr>
          <w:sz w:val="20"/>
          <w:szCs w:val="20"/>
          <w:lang w:val="en-US"/>
        </w:rPr>
        <w:t xml:space="preserve"> </w:t>
      </w:r>
      <w:r w:rsidR="000E1C11" w:rsidRPr="00012C3F">
        <w:rPr>
          <w:sz w:val="20"/>
          <w:szCs w:val="20"/>
          <w:lang w:val="en-US"/>
        </w:rPr>
        <w:t>I.V.</w:t>
      </w:r>
      <w:r w:rsidR="007A1A14" w:rsidRPr="00012C3F">
        <w:rPr>
          <w:sz w:val="20"/>
          <w:szCs w:val="20"/>
          <w:lang w:val="en-US"/>
        </w:rPr>
        <w:t xml:space="preserve">, </w:t>
      </w:r>
      <w:r w:rsidR="00716C7D" w:rsidRPr="00012C3F">
        <w:rPr>
          <w:sz w:val="20"/>
          <w:szCs w:val="20"/>
          <w:lang w:val="en-US"/>
        </w:rPr>
        <w:t>established in paragraph 2 of</w:t>
      </w:r>
      <w:r w:rsidR="007A1A14" w:rsidRPr="00012C3F">
        <w:rPr>
          <w:sz w:val="20"/>
          <w:szCs w:val="20"/>
          <w:lang w:val="en-US"/>
        </w:rPr>
        <w:t xml:space="preserve"> </w:t>
      </w:r>
      <w:r w:rsidR="00716C7D" w:rsidRPr="00012C3F">
        <w:rPr>
          <w:sz w:val="20"/>
          <w:szCs w:val="20"/>
          <w:lang w:val="en-US"/>
        </w:rPr>
        <w:t>a</w:t>
      </w:r>
      <w:r w:rsidR="001254DE" w:rsidRPr="00012C3F">
        <w:rPr>
          <w:sz w:val="20"/>
          <w:szCs w:val="20"/>
          <w:lang w:val="en-US"/>
        </w:rPr>
        <w:t>rticle</w:t>
      </w:r>
      <w:r w:rsidR="007A1A14" w:rsidRPr="00012C3F">
        <w:rPr>
          <w:sz w:val="20"/>
          <w:szCs w:val="20"/>
          <w:lang w:val="en-US"/>
        </w:rPr>
        <w:t xml:space="preserve"> 270 </w:t>
      </w:r>
      <w:r w:rsidR="00716C7D" w:rsidRPr="00012C3F">
        <w:rPr>
          <w:sz w:val="20"/>
          <w:szCs w:val="20"/>
          <w:lang w:val="en-US"/>
        </w:rPr>
        <w:t>of the Bolivian Criminal Code</w:t>
      </w:r>
      <w:r w:rsidR="005D615E" w:rsidRPr="00012C3F">
        <w:rPr>
          <w:sz w:val="20"/>
          <w:szCs w:val="20"/>
          <w:lang w:val="en-US"/>
        </w:rPr>
        <w:t>.</w:t>
      </w:r>
      <w:r w:rsidR="007A1A14" w:rsidRPr="00012C3F">
        <w:rPr>
          <w:rStyle w:val="Refdenotaalpie"/>
          <w:sz w:val="20"/>
          <w:szCs w:val="20"/>
          <w:lang w:val="en-US"/>
        </w:rPr>
        <w:footnoteReference w:id="91"/>
      </w:r>
      <w:r w:rsidR="00716C7D" w:rsidRPr="00012C3F">
        <w:rPr>
          <w:sz w:val="20"/>
          <w:szCs w:val="20"/>
          <w:lang w:val="en-US"/>
        </w:rPr>
        <w:t xml:space="preserve"> </w:t>
      </w:r>
      <w:r w:rsidR="005D615E" w:rsidRPr="00012C3F">
        <w:rPr>
          <w:sz w:val="20"/>
          <w:szCs w:val="20"/>
          <w:lang w:val="en-US"/>
        </w:rPr>
        <w:t>The</w:t>
      </w:r>
      <w:r w:rsidR="00716C7D" w:rsidRPr="00012C3F">
        <w:rPr>
          <w:sz w:val="20"/>
          <w:szCs w:val="20"/>
          <w:lang w:val="en-US"/>
        </w:rPr>
        <w:t xml:space="preserve"> </w:t>
      </w:r>
      <w:r w:rsidR="005D615E" w:rsidRPr="00012C3F">
        <w:rPr>
          <w:sz w:val="20"/>
          <w:szCs w:val="20"/>
          <w:lang w:val="en-US"/>
        </w:rPr>
        <w:t xml:space="preserve">charges were based </w:t>
      </w:r>
      <w:r w:rsidR="00716C7D" w:rsidRPr="00012C3F">
        <w:rPr>
          <w:sz w:val="20"/>
          <w:szCs w:val="20"/>
          <w:lang w:val="en-US"/>
        </w:rPr>
        <w:t>on the tubal ligation having been performed on I.V. arbitrar</w:t>
      </w:r>
      <w:r w:rsidR="005D615E" w:rsidRPr="00012C3F">
        <w:rPr>
          <w:sz w:val="20"/>
          <w:szCs w:val="20"/>
          <w:lang w:val="en-US"/>
        </w:rPr>
        <w:t>ily</w:t>
      </w:r>
      <w:r w:rsidR="00716C7D" w:rsidRPr="00012C3F">
        <w:rPr>
          <w:sz w:val="20"/>
          <w:szCs w:val="20"/>
          <w:lang w:val="en-US"/>
        </w:rPr>
        <w:t xml:space="preserve"> and without </w:t>
      </w:r>
      <w:r w:rsidR="00D940AD" w:rsidRPr="00012C3F">
        <w:rPr>
          <w:sz w:val="20"/>
          <w:szCs w:val="20"/>
          <w:lang w:val="en-US"/>
        </w:rPr>
        <w:t>abiding by</w:t>
      </w:r>
      <w:r w:rsidR="00716C7D" w:rsidRPr="00012C3F">
        <w:rPr>
          <w:sz w:val="20"/>
          <w:szCs w:val="20"/>
          <w:lang w:val="en-US"/>
        </w:rPr>
        <w:t xml:space="preserve"> the legal procedure in force for that type of irreversible surgical procedure.</w:t>
      </w:r>
      <w:r w:rsidR="007A1A14" w:rsidRPr="00012C3F">
        <w:rPr>
          <w:rStyle w:val="Refdenotaalpie"/>
          <w:sz w:val="20"/>
          <w:szCs w:val="20"/>
          <w:lang w:val="en-US"/>
        </w:rPr>
        <w:footnoteReference w:id="92"/>
      </w:r>
      <w:r w:rsidR="00716C7D" w:rsidRPr="00012C3F">
        <w:rPr>
          <w:sz w:val="20"/>
          <w:szCs w:val="20"/>
          <w:lang w:val="en-US"/>
        </w:rPr>
        <w:t xml:space="preserve"> The</w:t>
      </w:r>
      <w:r w:rsidR="007A1A14" w:rsidRPr="00012C3F">
        <w:rPr>
          <w:sz w:val="20"/>
          <w:szCs w:val="20"/>
          <w:lang w:val="en-US"/>
        </w:rPr>
        <w:t xml:space="preserve"> </w:t>
      </w:r>
      <w:r w:rsidR="00716C7D" w:rsidRPr="00012C3F">
        <w:rPr>
          <w:sz w:val="20"/>
          <w:szCs w:val="20"/>
          <w:lang w:val="en-US"/>
        </w:rPr>
        <w:t>c</w:t>
      </w:r>
      <w:r w:rsidR="006C705C" w:rsidRPr="00012C3F">
        <w:rPr>
          <w:sz w:val="20"/>
          <w:szCs w:val="20"/>
          <w:lang w:val="en-US"/>
        </w:rPr>
        <w:t>riminal proceedings</w:t>
      </w:r>
      <w:r w:rsidR="007A1A14" w:rsidRPr="00012C3F">
        <w:rPr>
          <w:sz w:val="20"/>
          <w:szCs w:val="20"/>
          <w:lang w:val="en-US"/>
        </w:rPr>
        <w:t xml:space="preserve"> </w:t>
      </w:r>
      <w:r w:rsidR="00D940AD" w:rsidRPr="00012C3F">
        <w:rPr>
          <w:sz w:val="20"/>
          <w:szCs w:val="20"/>
          <w:lang w:val="en-US"/>
        </w:rPr>
        <w:t>were</w:t>
      </w:r>
      <w:r w:rsidR="00716C7D" w:rsidRPr="00012C3F">
        <w:rPr>
          <w:sz w:val="20"/>
          <w:szCs w:val="20"/>
          <w:lang w:val="en-US"/>
        </w:rPr>
        <w:t xml:space="preserve"> heard by </w:t>
      </w:r>
      <w:r w:rsidR="00800C58" w:rsidRPr="00012C3F">
        <w:rPr>
          <w:sz w:val="20"/>
          <w:szCs w:val="20"/>
          <w:lang w:val="en-US"/>
        </w:rPr>
        <w:t xml:space="preserve">the Second </w:t>
      </w:r>
      <w:r w:rsidR="001A5E4F" w:rsidRPr="00012C3F">
        <w:rPr>
          <w:sz w:val="20"/>
          <w:szCs w:val="20"/>
          <w:lang w:val="en-US"/>
        </w:rPr>
        <w:t>Trial Court</w:t>
      </w:r>
      <w:r w:rsidR="007A1A14" w:rsidRPr="00012C3F">
        <w:rPr>
          <w:sz w:val="20"/>
          <w:szCs w:val="20"/>
          <w:lang w:val="en-US"/>
        </w:rPr>
        <w:t xml:space="preserve"> </w:t>
      </w:r>
      <w:r w:rsidR="00716C7D" w:rsidRPr="00012C3F">
        <w:rPr>
          <w:sz w:val="20"/>
          <w:szCs w:val="20"/>
          <w:lang w:val="en-US"/>
        </w:rPr>
        <w:t>of</w:t>
      </w:r>
      <w:r w:rsidR="007A1A14" w:rsidRPr="00012C3F">
        <w:rPr>
          <w:sz w:val="20"/>
          <w:szCs w:val="20"/>
          <w:lang w:val="en-US"/>
        </w:rPr>
        <w:t xml:space="preserve"> La Paz, </w:t>
      </w:r>
      <w:r w:rsidR="00716C7D" w:rsidRPr="00012C3F">
        <w:rPr>
          <w:sz w:val="20"/>
          <w:szCs w:val="20"/>
          <w:lang w:val="en-US"/>
        </w:rPr>
        <w:t xml:space="preserve">which issued an order to start the trial on October 1, </w:t>
      </w:r>
      <w:r w:rsidR="007A1A14" w:rsidRPr="00012C3F">
        <w:rPr>
          <w:sz w:val="20"/>
          <w:szCs w:val="20"/>
          <w:lang w:val="en-US"/>
        </w:rPr>
        <w:t>2002</w:t>
      </w:r>
      <w:r w:rsidR="00716C7D" w:rsidRPr="00012C3F">
        <w:rPr>
          <w:sz w:val="20"/>
          <w:szCs w:val="20"/>
          <w:lang w:val="en-US"/>
        </w:rPr>
        <w:t>.</w:t>
      </w:r>
      <w:r w:rsidR="007A1A14" w:rsidRPr="00012C3F">
        <w:rPr>
          <w:rStyle w:val="Refdenotaalpie"/>
          <w:sz w:val="20"/>
          <w:szCs w:val="20"/>
          <w:lang w:val="en-US"/>
        </w:rPr>
        <w:footnoteReference w:id="93"/>
      </w:r>
      <w:r w:rsidR="007A1A14" w:rsidRPr="00012C3F">
        <w:rPr>
          <w:sz w:val="20"/>
          <w:szCs w:val="20"/>
          <w:lang w:val="en-US"/>
        </w:rPr>
        <w:t xml:space="preserve"> </w:t>
      </w:r>
      <w:r w:rsidR="00716C7D" w:rsidRPr="00012C3F">
        <w:rPr>
          <w:sz w:val="20"/>
          <w:szCs w:val="20"/>
          <w:lang w:val="en-US"/>
        </w:rPr>
        <w:t>On October 26,</w:t>
      </w:r>
      <w:r w:rsidR="007A1A14" w:rsidRPr="00012C3F">
        <w:rPr>
          <w:sz w:val="20"/>
          <w:szCs w:val="20"/>
          <w:lang w:val="en-US"/>
        </w:rPr>
        <w:t xml:space="preserve"> 2002</w:t>
      </w:r>
      <w:r w:rsidR="00716C7D" w:rsidRPr="00012C3F">
        <w:rPr>
          <w:sz w:val="20"/>
          <w:szCs w:val="20"/>
          <w:lang w:val="en-US"/>
        </w:rPr>
        <w:t xml:space="preserve">, </w:t>
      </w:r>
      <w:r w:rsidR="000E1C11" w:rsidRPr="00012C3F">
        <w:rPr>
          <w:sz w:val="20"/>
          <w:szCs w:val="20"/>
          <w:lang w:val="en-US"/>
        </w:rPr>
        <w:t>I.V.</w:t>
      </w:r>
      <w:r w:rsidR="007A1A14" w:rsidRPr="00012C3F">
        <w:rPr>
          <w:sz w:val="20"/>
          <w:szCs w:val="20"/>
          <w:lang w:val="en-US"/>
        </w:rPr>
        <w:t xml:space="preserve"> </w:t>
      </w:r>
      <w:r w:rsidR="00716C7D" w:rsidRPr="00012C3F">
        <w:rPr>
          <w:sz w:val="20"/>
          <w:szCs w:val="20"/>
          <w:lang w:val="en-US"/>
        </w:rPr>
        <w:t>asked to become a complainant and civil party to the proceedings.</w:t>
      </w:r>
      <w:r w:rsidR="007A1A14" w:rsidRPr="00012C3F">
        <w:rPr>
          <w:rStyle w:val="Refdenotaalpie"/>
          <w:sz w:val="20"/>
          <w:szCs w:val="20"/>
          <w:lang w:val="en-US"/>
        </w:rPr>
        <w:footnoteReference w:id="94"/>
      </w:r>
    </w:p>
    <w:p w14:paraId="0C08B77D" w14:textId="77777777" w:rsidR="007A1A14" w:rsidRPr="00012C3F" w:rsidRDefault="007A1A14" w:rsidP="007A1A14">
      <w:pPr>
        <w:spacing w:line="240" w:lineRule="auto"/>
        <w:rPr>
          <w:sz w:val="20"/>
          <w:szCs w:val="20"/>
          <w:lang w:val="en-US"/>
        </w:rPr>
      </w:pPr>
    </w:p>
    <w:p w14:paraId="4573DDE6" w14:textId="77777777" w:rsidR="004900E4" w:rsidRPr="00012C3F" w:rsidRDefault="004900E4" w:rsidP="004900E4">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In a j</w:t>
      </w:r>
      <w:r w:rsidR="001254DE" w:rsidRPr="00012C3F">
        <w:rPr>
          <w:sz w:val="20"/>
          <w:szCs w:val="20"/>
          <w:lang w:val="en-US"/>
        </w:rPr>
        <w:t>udgment of</w:t>
      </w:r>
      <w:r w:rsidR="007A1A14" w:rsidRPr="00012C3F">
        <w:rPr>
          <w:sz w:val="20"/>
          <w:szCs w:val="20"/>
          <w:lang w:val="en-US"/>
        </w:rPr>
        <w:t xml:space="preserve"> </w:t>
      </w:r>
      <w:r w:rsidRPr="00012C3F">
        <w:rPr>
          <w:sz w:val="20"/>
          <w:szCs w:val="20"/>
          <w:lang w:val="en-US"/>
        </w:rPr>
        <w:t>November 18,</w:t>
      </w:r>
      <w:r w:rsidR="007A1A14" w:rsidRPr="00012C3F">
        <w:rPr>
          <w:sz w:val="20"/>
          <w:szCs w:val="20"/>
          <w:lang w:val="en-US"/>
        </w:rPr>
        <w:t xml:space="preserve"> 2002, </w:t>
      </w:r>
      <w:r w:rsidR="00800C58" w:rsidRPr="00012C3F">
        <w:rPr>
          <w:sz w:val="20"/>
          <w:szCs w:val="20"/>
          <w:lang w:val="en-US"/>
        </w:rPr>
        <w:t xml:space="preserve">the Second </w:t>
      </w:r>
      <w:r w:rsidR="001A5E4F" w:rsidRPr="00012C3F">
        <w:rPr>
          <w:sz w:val="20"/>
          <w:szCs w:val="20"/>
          <w:lang w:val="en-US"/>
        </w:rPr>
        <w:t>Trial Court</w:t>
      </w:r>
      <w:r w:rsidR="007A1A14" w:rsidRPr="00012C3F">
        <w:rPr>
          <w:sz w:val="20"/>
          <w:szCs w:val="20"/>
          <w:lang w:val="en-US"/>
        </w:rPr>
        <w:t xml:space="preserve"> </w:t>
      </w:r>
      <w:r w:rsidRPr="00012C3F">
        <w:rPr>
          <w:sz w:val="20"/>
          <w:szCs w:val="20"/>
          <w:lang w:val="en-US"/>
        </w:rPr>
        <w:t>of</w:t>
      </w:r>
      <w:r w:rsidR="007A1A14" w:rsidRPr="00012C3F">
        <w:rPr>
          <w:sz w:val="20"/>
          <w:szCs w:val="20"/>
          <w:lang w:val="en-US"/>
        </w:rPr>
        <w:t xml:space="preserve"> La Paz </w:t>
      </w:r>
      <w:r w:rsidRPr="00012C3F">
        <w:rPr>
          <w:sz w:val="20"/>
          <w:szCs w:val="20"/>
          <w:lang w:val="en-US"/>
        </w:rPr>
        <w:t>unanimously convicted the physician, as author of the offense of severe injuries, to a suspended sentence of three years’ imprisonment.</w:t>
      </w:r>
      <w:r w:rsidR="007A1A14" w:rsidRPr="00012C3F">
        <w:rPr>
          <w:sz w:val="20"/>
          <w:szCs w:val="20"/>
          <w:vertAlign w:val="superscript"/>
          <w:lang w:val="en-US"/>
        </w:rPr>
        <w:footnoteReference w:id="95"/>
      </w:r>
      <w:r w:rsidRPr="00012C3F">
        <w:rPr>
          <w:sz w:val="20"/>
          <w:szCs w:val="20"/>
          <w:lang w:val="en-US"/>
        </w:rPr>
        <w:t xml:space="preserve"> As grounds for this decision, the judgment found that there was no </w:t>
      </w:r>
      <w:r w:rsidRPr="00012C3F">
        <w:rPr>
          <w:sz w:val="20"/>
          <w:szCs w:val="20"/>
          <w:lang w:val="en-US"/>
        </w:rPr>
        <w:lastRenderedPageBreak/>
        <w:t xml:space="preserve">medical justification to perform the tubal ligation; that the statements </w:t>
      </w:r>
      <w:r w:rsidR="00D940AD" w:rsidRPr="00012C3F">
        <w:rPr>
          <w:sz w:val="20"/>
          <w:szCs w:val="20"/>
          <w:lang w:val="en-US"/>
        </w:rPr>
        <w:t>reporting</w:t>
      </w:r>
      <w:r w:rsidRPr="00012C3F">
        <w:rPr>
          <w:sz w:val="20"/>
          <w:szCs w:val="20"/>
          <w:lang w:val="en-US"/>
        </w:rPr>
        <w:t xml:space="preserve"> the verbal authorization of this procedure were contradictory, and that, even if this authorization had been given, it would have </w:t>
      </w:r>
      <w:r w:rsidR="00D940AD" w:rsidRPr="00012C3F">
        <w:rPr>
          <w:sz w:val="20"/>
          <w:szCs w:val="20"/>
          <w:lang w:val="en-US"/>
        </w:rPr>
        <w:t xml:space="preserve">no </w:t>
      </w:r>
      <w:r w:rsidRPr="00012C3F">
        <w:rPr>
          <w:sz w:val="20"/>
          <w:szCs w:val="20"/>
          <w:lang w:val="en-US"/>
        </w:rPr>
        <w:t>legal value:</w:t>
      </w:r>
    </w:p>
    <w:p w14:paraId="09148FD5" w14:textId="77777777" w:rsidR="007A1A14" w:rsidRPr="00012C3F" w:rsidRDefault="007A1A14" w:rsidP="007A1A14">
      <w:pPr>
        <w:spacing w:line="240" w:lineRule="auto"/>
        <w:rPr>
          <w:sz w:val="20"/>
          <w:szCs w:val="20"/>
          <w:lang w:val="en-US"/>
        </w:rPr>
      </w:pPr>
    </w:p>
    <w:p w14:paraId="74DE9898" w14:textId="77777777" w:rsidR="0009339A" w:rsidRPr="00012C3F" w:rsidRDefault="0009339A" w:rsidP="0009339A">
      <w:pPr>
        <w:pStyle w:val="Cita"/>
        <w:spacing w:after="120"/>
        <w:rPr>
          <w:rFonts w:ascii="Verdana" w:hAnsi="Verdana"/>
          <w:sz w:val="16"/>
          <w:szCs w:val="16"/>
        </w:rPr>
      </w:pPr>
      <w:bookmarkStart w:id="102" w:name="_Hlk26105473"/>
      <w:r w:rsidRPr="00012C3F">
        <w:rPr>
          <w:rFonts w:ascii="Verdana" w:hAnsi="Verdana"/>
          <w:sz w:val="16"/>
          <w:szCs w:val="16"/>
        </w:rPr>
        <w:t xml:space="preserve">It has been </w:t>
      </w:r>
      <w:r w:rsidR="00D940AD" w:rsidRPr="00012C3F">
        <w:rPr>
          <w:rFonts w:ascii="Verdana" w:hAnsi="Verdana"/>
          <w:sz w:val="16"/>
          <w:szCs w:val="16"/>
        </w:rPr>
        <w:t>abundantly</w:t>
      </w:r>
      <w:r w:rsidRPr="00012C3F">
        <w:rPr>
          <w:rFonts w:ascii="Verdana" w:hAnsi="Verdana"/>
          <w:sz w:val="16"/>
          <w:szCs w:val="16"/>
        </w:rPr>
        <w:t xml:space="preserve"> established that there was no rational or medical justification for performing the bilateral tubal ligation, given that the numerous adhesions and the incision in the uterus did not constitute an immediate and imminent risk to the patient's life. The possibility of a health complication would have occurred in the event of another pregnancy; in other words, from a legal standpoint, what is at stake is a pending hypothetical condition, that may or may not </w:t>
      </w:r>
      <w:r w:rsidR="00D940AD" w:rsidRPr="00012C3F">
        <w:rPr>
          <w:rFonts w:ascii="Verdana" w:hAnsi="Verdana"/>
          <w:sz w:val="16"/>
          <w:szCs w:val="16"/>
        </w:rPr>
        <w:t>arise</w:t>
      </w:r>
      <w:r w:rsidRPr="00012C3F">
        <w:rPr>
          <w:rFonts w:ascii="Verdana" w:hAnsi="Verdana"/>
          <w:sz w:val="16"/>
          <w:szCs w:val="16"/>
        </w:rPr>
        <w:t>, particularly since, with birth control counseling, the couple might never have another pregnancy by using other contraceptive methods or, ultimately, deciding to opt for tubal ligation surgery, but WITH PRIOR INFORMED CONSENT.</w:t>
      </w:r>
    </w:p>
    <w:p w14:paraId="1A910498" w14:textId="77777777" w:rsidR="0009339A" w:rsidRPr="00012C3F" w:rsidRDefault="0009339A" w:rsidP="0009339A">
      <w:pPr>
        <w:pStyle w:val="Cita"/>
        <w:spacing w:after="120"/>
        <w:rPr>
          <w:rFonts w:ascii="Verdana" w:hAnsi="Verdana"/>
          <w:sz w:val="16"/>
          <w:szCs w:val="16"/>
        </w:rPr>
      </w:pPr>
      <w:r w:rsidRPr="00012C3F">
        <w:rPr>
          <w:rFonts w:ascii="Verdana" w:hAnsi="Verdana"/>
          <w:sz w:val="16"/>
          <w:szCs w:val="16"/>
        </w:rPr>
        <w:t>[…]</w:t>
      </w:r>
    </w:p>
    <w:p w14:paraId="4869FAFC" w14:textId="77777777" w:rsidR="0009339A" w:rsidRPr="00012C3F" w:rsidRDefault="0009339A" w:rsidP="0009339A">
      <w:pPr>
        <w:pStyle w:val="Cita"/>
        <w:spacing w:after="120"/>
        <w:rPr>
          <w:rFonts w:ascii="Verdana" w:hAnsi="Verdana"/>
          <w:sz w:val="16"/>
          <w:szCs w:val="16"/>
        </w:rPr>
      </w:pPr>
      <w:r w:rsidRPr="00012C3F">
        <w:rPr>
          <w:rFonts w:ascii="Verdana" w:hAnsi="Verdana"/>
          <w:sz w:val="16"/>
          <w:szCs w:val="16"/>
        </w:rPr>
        <w:t>Throughout the trial, an attempt has been made to demonstrate that the patient gave her verbal consent to the bilateral tubal ligation procedure during the peri-operat</w:t>
      </w:r>
      <w:r w:rsidR="00D940AD" w:rsidRPr="00012C3F">
        <w:rPr>
          <w:rFonts w:ascii="Verdana" w:hAnsi="Verdana"/>
          <w:sz w:val="16"/>
          <w:szCs w:val="16"/>
        </w:rPr>
        <w:t>ive</w:t>
      </w:r>
      <w:r w:rsidRPr="00012C3F">
        <w:rPr>
          <w:rFonts w:ascii="Verdana" w:hAnsi="Verdana"/>
          <w:sz w:val="16"/>
          <w:szCs w:val="16"/>
        </w:rPr>
        <w:t xml:space="preserve"> period. However, this court is convinced that contradictions exist in that respect[.]</w:t>
      </w:r>
    </w:p>
    <w:p w14:paraId="24CE5F21" w14:textId="77777777" w:rsidR="0009339A" w:rsidRPr="00012C3F" w:rsidRDefault="0009339A" w:rsidP="0009339A">
      <w:pPr>
        <w:pStyle w:val="Cita"/>
        <w:spacing w:after="120"/>
        <w:rPr>
          <w:rFonts w:ascii="Verdana" w:hAnsi="Verdana"/>
          <w:sz w:val="16"/>
          <w:szCs w:val="16"/>
        </w:rPr>
      </w:pPr>
      <w:r w:rsidRPr="00012C3F">
        <w:rPr>
          <w:rFonts w:ascii="Verdana" w:hAnsi="Verdana"/>
          <w:sz w:val="16"/>
          <w:szCs w:val="16"/>
        </w:rPr>
        <w:t>[…]</w:t>
      </w:r>
    </w:p>
    <w:p w14:paraId="1C2436B4" w14:textId="77777777" w:rsidR="007A1A14" w:rsidRPr="00012C3F" w:rsidRDefault="0009339A" w:rsidP="00D940AD">
      <w:pPr>
        <w:tabs>
          <w:tab w:val="left" w:pos="1080"/>
          <w:tab w:val="left" w:pos="1680"/>
          <w:tab w:val="left" w:pos="5400"/>
        </w:tabs>
        <w:suppressAutoHyphens/>
        <w:spacing w:after="200" w:line="240" w:lineRule="auto"/>
        <w:ind w:left="720" w:right="571"/>
        <w:rPr>
          <w:sz w:val="16"/>
          <w:szCs w:val="16"/>
          <w:lang w:val="en-US"/>
        </w:rPr>
      </w:pPr>
      <w:r w:rsidRPr="00012C3F">
        <w:rPr>
          <w:sz w:val="16"/>
          <w:szCs w:val="16"/>
          <w:lang w:val="en-US"/>
        </w:rPr>
        <w:t>This court establishes fully that, even if the patient had given her verbal consent during the surgical procedure, IT WOULD NOT BE LEGALLY VALID, because the patient was under surgical stress and anesthesia and</w:t>
      </w:r>
      <w:r w:rsidR="00D940AD" w:rsidRPr="00012C3F">
        <w:rPr>
          <w:sz w:val="16"/>
          <w:szCs w:val="16"/>
          <w:lang w:val="en-US"/>
        </w:rPr>
        <w:t>,</w:t>
      </w:r>
      <w:r w:rsidRPr="00012C3F">
        <w:rPr>
          <w:sz w:val="16"/>
          <w:szCs w:val="16"/>
          <w:lang w:val="en-US"/>
        </w:rPr>
        <w:t xml:space="preserve"> consequently</w:t>
      </w:r>
      <w:r w:rsidR="00D940AD" w:rsidRPr="00012C3F">
        <w:rPr>
          <w:sz w:val="16"/>
          <w:szCs w:val="16"/>
          <w:lang w:val="en-US"/>
        </w:rPr>
        <w:t>,</w:t>
      </w:r>
      <w:r w:rsidRPr="00012C3F">
        <w:rPr>
          <w:sz w:val="16"/>
          <w:szCs w:val="16"/>
          <w:lang w:val="en-US"/>
        </w:rPr>
        <w:t xml:space="preserve"> did not possess the appropriate mental or volitional faculties to authorize or consent to a surgical procedure involving the loss of her reproductive capacity. Finally, this court finds that, for this kind of surgery, verbal authorizations are not valid. Rather there must be WRITTEN CONSENT BASED ON INFORMATION AND GUIDANCE PROVIDED TO THE COUPLE BY THE PHYSICIAN, as established by medical regulations in Bolivia and internationally.</w:t>
      </w:r>
      <w:bookmarkEnd w:id="102"/>
      <w:r w:rsidR="007A1A14" w:rsidRPr="00012C3F">
        <w:rPr>
          <w:rStyle w:val="Refdenotaalpie"/>
          <w:sz w:val="16"/>
          <w:szCs w:val="16"/>
          <w:lang w:val="en-US"/>
        </w:rPr>
        <w:footnoteReference w:id="96"/>
      </w:r>
    </w:p>
    <w:p w14:paraId="34535655" w14:textId="77777777" w:rsidR="007A1A14" w:rsidRPr="00012C3F" w:rsidRDefault="00843CB6" w:rsidP="00843CB6">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This judgment was </w:t>
      </w:r>
      <w:r w:rsidR="004A072B" w:rsidRPr="00012C3F">
        <w:rPr>
          <w:sz w:val="20"/>
          <w:szCs w:val="20"/>
          <w:lang w:val="en-US"/>
        </w:rPr>
        <w:t>appealed</w:t>
      </w:r>
      <w:r w:rsidRPr="00012C3F">
        <w:rPr>
          <w:sz w:val="20"/>
          <w:szCs w:val="20"/>
          <w:lang w:val="en-US"/>
        </w:rPr>
        <w:t xml:space="preserve"> by th</w:t>
      </w:r>
      <w:r w:rsidR="0004293C" w:rsidRPr="00012C3F">
        <w:rPr>
          <w:sz w:val="20"/>
          <w:szCs w:val="20"/>
          <w:lang w:val="en-US"/>
        </w:rPr>
        <w:t>e persons convicted</w:t>
      </w:r>
      <w:r w:rsidRPr="00012C3F">
        <w:rPr>
          <w:sz w:val="20"/>
          <w:szCs w:val="20"/>
          <w:lang w:val="en-US"/>
        </w:rPr>
        <w:t xml:space="preserve"> on December 5, </w:t>
      </w:r>
      <w:r w:rsidR="007A1A14" w:rsidRPr="00012C3F">
        <w:rPr>
          <w:sz w:val="20"/>
          <w:szCs w:val="20"/>
          <w:lang w:val="en-US"/>
        </w:rPr>
        <w:t>2002</w:t>
      </w:r>
      <w:r w:rsidRPr="00012C3F">
        <w:rPr>
          <w:sz w:val="20"/>
          <w:szCs w:val="20"/>
          <w:lang w:val="en-US"/>
        </w:rPr>
        <w:t>.</w:t>
      </w:r>
      <w:r w:rsidR="007A1A14" w:rsidRPr="00012C3F">
        <w:rPr>
          <w:rStyle w:val="Refdenotaalpie"/>
          <w:sz w:val="20"/>
          <w:szCs w:val="20"/>
          <w:lang w:val="en-US"/>
        </w:rPr>
        <w:footnoteReference w:id="97"/>
      </w:r>
      <w:r w:rsidRPr="00012C3F">
        <w:rPr>
          <w:sz w:val="20"/>
          <w:szCs w:val="20"/>
          <w:lang w:val="en-US"/>
        </w:rPr>
        <w:t xml:space="preserve"> The appeal was decided on February 12, 2003, by</w:t>
      </w:r>
      <w:r w:rsidR="007A1A14" w:rsidRPr="00012C3F">
        <w:rPr>
          <w:sz w:val="20"/>
          <w:szCs w:val="20"/>
          <w:lang w:val="en-US"/>
        </w:rPr>
        <w:t xml:space="preserve"> </w:t>
      </w:r>
      <w:r w:rsidRPr="00012C3F">
        <w:rPr>
          <w:sz w:val="20"/>
          <w:szCs w:val="20"/>
          <w:lang w:val="en-US"/>
        </w:rPr>
        <w:t>the</w:t>
      </w:r>
      <w:r w:rsidR="007A1A14" w:rsidRPr="00012C3F">
        <w:rPr>
          <w:sz w:val="20"/>
          <w:szCs w:val="20"/>
          <w:lang w:val="en-US"/>
        </w:rPr>
        <w:t xml:space="preserve"> </w:t>
      </w:r>
      <w:r w:rsidRPr="00012C3F">
        <w:rPr>
          <w:sz w:val="20"/>
          <w:szCs w:val="20"/>
          <w:lang w:val="en-US"/>
        </w:rPr>
        <w:t>Third Criminal Chamber</w:t>
      </w:r>
      <w:r w:rsidR="001254DE" w:rsidRPr="00012C3F">
        <w:rPr>
          <w:sz w:val="20"/>
          <w:szCs w:val="20"/>
          <w:lang w:val="en-US"/>
        </w:rPr>
        <w:t xml:space="preserve"> of the </w:t>
      </w:r>
      <w:r w:rsidRPr="00012C3F">
        <w:rPr>
          <w:sz w:val="20"/>
          <w:szCs w:val="20"/>
          <w:lang w:val="en-US"/>
        </w:rPr>
        <w:t>Superior Court</w:t>
      </w:r>
      <w:r w:rsidR="007A1A14" w:rsidRPr="00012C3F">
        <w:rPr>
          <w:sz w:val="20"/>
          <w:szCs w:val="20"/>
          <w:lang w:val="en-US"/>
        </w:rPr>
        <w:t xml:space="preserve"> </w:t>
      </w:r>
      <w:r w:rsidR="00800C58" w:rsidRPr="00012C3F">
        <w:rPr>
          <w:sz w:val="20"/>
          <w:szCs w:val="20"/>
          <w:lang w:val="en-US"/>
        </w:rPr>
        <w:t>of the La Paz Judicial District</w:t>
      </w:r>
      <w:r w:rsidR="007A1A14" w:rsidRPr="00012C3F">
        <w:rPr>
          <w:sz w:val="20"/>
          <w:szCs w:val="20"/>
          <w:lang w:val="en-US"/>
        </w:rPr>
        <w:t>, declar</w:t>
      </w:r>
      <w:r w:rsidRPr="00012C3F">
        <w:rPr>
          <w:sz w:val="20"/>
          <w:szCs w:val="20"/>
          <w:lang w:val="en-US"/>
        </w:rPr>
        <w:t>ing that the appeal was admissible</w:t>
      </w:r>
      <w:r w:rsidR="0004293C" w:rsidRPr="00012C3F">
        <w:rPr>
          <w:sz w:val="20"/>
          <w:szCs w:val="20"/>
          <w:lang w:val="en-US"/>
        </w:rPr>
        <w:t>,</w:t>
      </w:r>
      <w:r w:rsidRPr="00012C3F">
        <w:rPr>
          <w:sz w:val="20"/>
          <w:szCs w:val="20"/>
          <w:lang w:val="en-US"/>
        </w:rPr>
        <w:t xml:space="preserve"> annulling the judgment that </w:t>
      </w:r>
      <w:r w:rsidR="004A072B" w:rsidRPr="00012C3F">
        <w:rPr>
          <w:sz w:val="20"/>
          <w:szCs w:val="20"/>
          <w:lang w:val="en-US"/>
        </w:rPr>
        <w:t>had been</w:t>
      </w:r>
      <w:r w:rsidRPr="00012C3F">
        <w:rPr>
          <w:sz w:val="20"/>
          <w:szCs w:val="20"/>
          <w:lang w:val="en-US"/>
        </w:rPr>
        <w:t xml:space="preserve"> appeal</w:t>
      </w:r>
      <w:r w:rsidR="004A072B" w:rsidRPr="00012C3F">
        <w:rPr>
          <w:sz w:val="20"/>
          <w:szCs w:val="20"/>
          <w:lang w:val="en-US"/>
        </w:rPr>
        <w:t xml:space="preserve">ed </w:t>
      </w:r>
      <w:r w:rsidR="0004293C" w:rsidRPr="00012C3F">
        <w:rPr>
          <w:sz w:val="20"/>
          <w:szCs w:val="20"/>
          <w:lang w:val="en-US"/>
        </w:rPr>
        <w:t xml:space="preserve">completely, </w:t>
      </w:r>
      <w:r w:rsidR="004A072B" w:rsidRPr="00012C3F">
        <w:rPr>
          <w:sz w:val="20"/>
          <w:szCs w:val="20"/>
          <w:lang w:val="en-US"/>
        </w:rPr>
        <w:t xml:space="preserve">and ordering </w:t>
      </w:r>
      <w:r w:rsidRPr="00012C3F">
        <w:rPr>
          <w:sz w:val="20"/>
          <w:szCs w:val="20"/>
          <w:lang w:val="en-US"/>
        </w:rPr>
        <w:t>that</w:t>
      </w:r>
      <w:r w:rsidR="004A072B" w:rsidRPr="00012C3F">
        <w:rPr>
          <w:sz w:val="20"/>
          <w:szCs w:val="20"/>
          <w:lang w:val="en-US"/>
        </w:rPr>
        <w:t xml:space="preserve"> the case be re-tried by</w:t>
      </w:r>
      <w:r w:rsidRPr="00012C3F">
        <w:rPr>
          <w:sz w:val="20"/>
          <w:szCs w:val="20"/>
          <w:lang w:val="en-US"/>
        </w:rPr>
        <w:t xml:space="preserve"> another </w:t>
      </w:r>
      <w:r w:rsidR="001A5E4F" w:rsidRPr="00012C3F">
        <w:rPr>
          <w:sz w:val="20"/>
          <w:szCs w:val="20"/>
          <w:lang w:val="en-US"/>
        </w:rPr>
        <w:t>Trial Court</w:t>
      </w:r>
      <w:r w:rsidRPr="00012C3F">
        <w:rPr>
          <w:sz w:val="20"/>
          <w:szCs w:val="20"/>
          <w:lang w:val="en-US"/>
        </w:rPr>
        <w:t>.</w:t>
      </w:r>
      <w:r w:rsidR="007A1A14" w:rsidRPr="00012C3F">
        <w:rPr>
          <w:rStyle w:val="Refdenotaalpie"/>
          <w:sz w:val="20"/>
          <w:szCs w:val="20"/>
          <w:lang w:val="en-US"/>
        </w:rPr>
        <w:footnoteReference w:id="98"/>
      </w:r>
      <w:r w:rsidRPr="00012C3F">
        <w:rPr>
          <w:sz w:val="20"/>
          <w:szCs w:val="20"/>
          <w:lang w:val="en-US"/>
        </w:rPr>
        <w:t xml:space="preserve"> It considered that the appealed </w:t>
      </w:r>
      <w:r w:rsidR="004A072B" w:rsidRPr="00012C3F">
        <w:rPr>
          <w:sz w:val="20"/>
          <w:szCs w:val="20"/>
          <w:lang w:val="en-US"/>
        </w:rPr>
        <w:t xml:space="preserve">judgment </w:t>
      </w:r>
      <w:r w:rsidRPr="00012C3F">
        <w:rPr>
          <w:sz w:val="20"/>
          <w:szCs w:val="20"/>
          <w:lang w:val="en-US"/>
        </w:rPr>
        <w:t xml:space="preserve">had been delivered with </w:t>
      </w:r>
      <w:r w:rsidR="004A072B" w:rsidRPr="00012C3F">
        <w:rPr>
          <w:sz w:val="20"/>
          <w:szCs w:val="20"/>
          <w:lang w:val="en-US"/>
        </w:rPr>
        <w:t>irremediable</w:t>
      </w:r>
      <w:r w:rsidRPr="00012C3F">
        <w:rPr>
          <w:sz w:val="20"/>
          <w:szCs w:val="20"/>
          <w:lang w:val="en-US"/>
        </w:rPr>
        <w:t xml:space="preserve"> defects </w:t>
      </w:r>
      <w:r w:rsidR="004A072B" w:rsidRPr="00012C3F">
        <w:rPr>
          <w:sz w:val="20"/>
          <w:szCs w:val="20"/>
          <w:lang w:val="en-US"/>
        </w:rPr>
        <w:t>involving</w:t>
      </w:r>
      <w:r w:rsidRPr="00012C3F">
        <w:rPr>
          <w:sz w:val="20"/>
          <w:szCs w:val="20"/>
          <w:lang w:val="en-US"/>
        </w:rPr>
        <w:t xml:space="preserve"> </w:t>
      </w:r>
      <w:r w:rsidR="004A072B" w:rsidRPr="00012C3F">
        <w:rPr>
          <w:sz w:val="20"/>
          <w:szCs w:val="20"/>
          <w:lang w:val="en-US"/>
        </w:rPr>
        <w:t>the failure to respect</w:t>
      </w:r>
      <w:r w:rsidR="0004293C" w:rsidRPr="00012C3F">
        <w:rPr>
          <w:sz w:val="20"/>
          <w:szCs w:val="20"/>
          <w:lang w:val="en-US"/>
        </w:rPr>
        <w:t>,</w:t>
      </w:r>
      <w:r w:rsidRPr="00012C3F">
        <w:rPr>
          <w:sz w:val="20"/>
          <w:szCs w:val="20"/>
          <w:lang w:val="en-US"/>
        </w:rPr>
        <w:t xml:space="preserve"> or </w:t>
      </w:r>
      <w:r w:rsidR="004A072B" w:rsidRPr="00012C3F">
        <w:rPr>
          <w:sz w:val="20"/>
          <w:szCs w:val="20"/>
          <w:lang w:val="en-US"/>
        </w:rPr>
        <w:t xml:space="preserve">the </w:t>
      </w:r>
      <w:r w:rsidRPr="00012C3F">
        <w:rPr>
          <w:sz w:val="20"/>
          <w:szCs w:val="20"/>
          <w:lang w:val="en-US"/>
        </w:rPr>
        <w:t>violation of rights and guarantees established in the Constitution,</w:t>
      </w:r>
      <w:r w:rsidR="0004293C" w:rsidRPr="00012C3F">
        <w:rPr>
          <w:sz w:val="20"/>
          <w:szCs w:val="20"/>
          <w:lang w:val="en-US"/>
        </w:rPr>
        <w:t xml:space="preserve"> in</w:t>
      </w:r>
      <w:r w:rsidRPr="00012C3F">
        <w:rPr>
          <w:sz w:val="20"/>
          <w:szCs w:val="20"/>
          <w:lang w:val="en-US"/>
        </w:rPr>
        <w:t xml:space="preserve"> the conventions and treaties in force, and </w:t>
      </w:r>
      <w:r w:rsidR="004A072B" w:rsidRPr="00012C3F">
        <w:rPr>
          <w:sz w:val="20"/>
          <w:szCs w:val="20"/>
          <w:lang w:val="en-US"/>
        </w:rPr>
        <w:t xml:space="preserve">in </w:t>
      </w:r>
      <w:r w:rsidRPr="00012C3F">
        <w:rPr>
          <w:sz w:val="20"/>
          <w:szCs w:val="20"/>
          <w:lang w:val="en-US"/>
        </w:rPr>
        <w:t xml:space="preserve">the Code of Criminal Procedure; in particular, </w:t>
      </w:r>
      <w:r w:rsidR="004A072B" w:rsidRPr="00012C3F">
        <w:rPr>
          <w:sz w:val="20"/>
          <w:szCs w:val="20"/>
          <w:lang w:val="en-US"/>
        </w:rPr>
        <w:t>infringements</w:t>
      </w:r>
      <w:r w:rsidRPr="00012C3F">
        <w:rPr>
          <w:sz w:val="20"/>
          <w:szCs w:val="20"/>
          <w:lang w:val="en-US"/>
        </w:rPr>
        <w:t xml:space="preserve"> of </w:t>
      </w:r>
      <w:r w:rsidR="004A072B" w:rsidRPr="00012C3F">
        <w:rPr>
          <w:sz w:val="20"/>
          <w:szCs w:val="20"/>
          <w:lang w:val="en-US"/>
        </w:rPr>
        <w:t>the right to admissibility of evidence</w:t>
      </w:r>
      <w:r w:rsidR="00804FA0" w:rsidRPr="00012C3F">
        <w:rPr>
          <w:sz w:val="20"/>
          <w:szCs w:val="20"/>
          <w:lang w:val="en-US"/>
        </w:rPr>
        <w:t xml:space="preserve"> to the detriment of the defense</w:t>
      </w:r>
      <w:r w:rsidR="0004293C" w:rsidRPr="00012C3F">
        <w:rPr>
          <w:sz w:val="20"/>
          <w:szCs w:val="20"/>
          <w:lang w:val="en-US"/>
        </w:rPr>
        <w:t>,</w:t>
      </w:r>
      <w:r w:rsidR="00804FA0" w:rsidRPr="00012C3F">
        <w:rPr>
          <w:sz w:val="20"/>
          <w:szCs w:val="20"/>
          <w:lang w:val="en-US"/>
        </w:rPr>
        <w:t xml:space="preserve"> and </w:t>
      </w:r>
      <w:r w:rsidR="0004293C" w:rsidRPr="00012C3F">
        <w:rPr>
          <w:sz w:val="20"/>
          <w:szCs w:val="20"/>
          <w:lang w:val="en-US"/>
        </w:rPr>
        <w:t>flaws</w:t>
      </w:r>
      <w:r w:rsidR="00804FA0" w:rsidRPr="00012C3F">
        <w:rPr>
          <w:sz w:val="20"/>
          <w:szCs w:val="20"/>
          <w:lang w:val="en-US"/>
        </w:rPr>
        <w:t xml:space="preserve"> in the application of criminal law.</w:t>
      </w:r>
      <w:r w:rsidR="007A1A14" w:rsidRPr="00012C3F">
        <w:rPr>
          <w:rStyle w:val="Refdenotaalpie"/>
          <w:sz w:val="20"/>
          <w:szCs w:val="20"/>
          <w:lang w:val="en-US"/>
        </w:rPr>
        <w:footnoteReference w:id="99"/>
      </w:r>
    </w:p>
    <w:p w14:paraId="7C23C488" w14:textId="77777777" w:rsidR="007A1A14" w:rsidRPr="00012C3F" w:rsidRDefault="007A1A14" w:rsidP="007A1A14">
      <w:pPr>
        <w:spacing w:line="240" w:lineRule="auto"/>
        <w:rPr>
          <w:sz w:val="20"/>
          <w:szCs w:val="20"/>
          <w:lang w:val="en-US"/>
        </w:rPr>
      </w:pPr>
    </w:p>
    <w:p w14:paraId="03378474" w14:textId="77777777" w:rsidR="007A1A14" w:rsidRPr="00012C3F" w:rsidRDefault="007A1A14" w:rsidP="005D5050">
      <w:pPr>
        <w:pStyle w:val="Ttulo2"/>
        <w:tabs>
          <w:tab w:val="left" w:pos="1701"/>
        </w:tabs>
        <w:spacing w:before="0" w:line="240" w:lineRule="auto"/>
        <w:ind w:left="1134"/>
        <w:rPr>
          <w:rFonts w:ascii="Verdana" w:hAnsi="Verdana"/>
          <w:b w:val="0"/>
          <w:i/>
          <w:color w:val="auto"/>
          <w:sz w:val="20"/>
          <w:szCs w:val="20"/>
          <w:lang w:val="en-US"/>
        </w:rPr>
      </w:pPr>
      <w:bookmarkStart w:id="103" w:name="_Toc27486847"/>
      <w:r w:rsidRPr="00012C3F">
        <w:rPr>
          <w:rFonts w:ascii="Verdana" w:hAnsi="Verdana"/>
          <w:b w:val="0"/>
          <w:i/>
          <w:color w:val="auto"/>
          <w:sz w:val="20"/>
          <w:szCs w:val="20"/>
          <w:lang w:val="en-US"/>
        </w:rPr>
        <w:t xml:space="preserve">E.2 </w:t>
      </w:r>
      <w:r w:rsidRPr="00012C3F">
        <w:rPr>
          <w:rFonts w:ascii="Verdana" w:hAnsi="Verdana"/>
          <w:b w:val="0"/>
          <w:i/>
          <w:color w:val="auto"/>
          <w:sz w:val="20"/>
          <w:szCs w:val="20"/>
          <w:lang w:val="en-US"/>
        </w:rPr>
        <w:tab/>
      </w:r>
      <w:r w:rsidR="006C705C" w:rsidRPr="00012C3F">
        <w:rPr>
          <w:rFonts w:ascii="Verdana" w:hAnsi="Verdana"/>
          <w:b w:val="0"/>
          <w:i/>
          <w:color w:val="auto"/>
          <w:sz w:val="20"/>
          <w:szCs w:val="20"/>
          <w:lang w:val="en-US"/>
        </w:rPr>
        <w:t>Second oral proceeding</w:t>
      </w:r>
      <w:bookmarkEnd w:id="103"/>
    </w:p>
    <w:p w14:paraId="03E1111D" w14:textId="77777777" w:rsidR="007A1A14" w:rsidRPr="00012C3F" w:rsidRDefault="007A1A14" w:rsidP="007A1A14">
      <w:pPr>
        <w:spacing w:line="240" w:lineRule="auto"/>
        <w:rPr>
          <w:sz w:val="20"/>
          <w:szCs w:val="20"/>
          <w:lang w:val="en-US"/>
        </w:rPr>
      </w:pPr>
    </w:p>
    <w:p w14:paraId="6C5A3723" w14:textId="77777777" w:rsidR="007A1A14" w:rsidRPr="00012C3F" w:rsidRDefault="00804FA0" w:rsidP="00804FA0">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On March 14, </w:t>
      </w:r>
      <w:r w:rsidR="007A1A14" w:rsidRPr="00012C3F">
        <w:rPr>
          <w:sz w:val="20"/>
          <w:szCs w:val="20"/>
          <w:lang w:val="en-US"/>
        </w:rPr>
        <w:t>2003</w:t>
      </w:r>
      <w:r w:rsidRPr="00012C3F">
        <w:rPr>
          <w:sz w:val="20"/>
          <w:szCs w:val="20"/>
          <w:lang w:val="en-US"/>
        </w:rPr>
        <w:t xml:space="preserve">, the case was moved to the First </w:t>
      </w:r>
      <w:r w:rsidR="001A5E4F" w:rsidRPr="00012C3F">
        <w:rPr>
          <w:sz w:val="20"/>
          <w:szCs w:val="20"/>
          <w:lang w:val="en-US"/>
        </w:rPr>
        <w:t>Trial Court</w:t>
      </w:r>
      <w:r w:rsidR="007A1A14" w:rsidRPr="00012C3F">
        <w:rPr>
          <w:sz w:val="20"/>
          <w:szCs w:val="20"/>
          <w:lang w:val="en-US"/>
        </w:rPr>
        <w:t xml:space="preserve"> </w:t>
      </w:r>
      <w:r w:rsidR="00800C58" w:rsidRPr="00012C3F">
        <w:rPr>
          <w:sz w:val="20"/>
          <w:szCs w:val="20"/>
          <w:lang w:val="en-US"/>
        </w:rPr>
        <w:t>of the La Paz Judicial District</w:t>
      </w:r>
      <w:r w:rsidR="007A1A14" w:rsidRPr="00012C3F">
        <w:rPr>
          <w:rStyle w:val="Refdenotaalpie"/>
          <w:sz w:val="20"/>
          <w:szCs w:val="20"/>
          <w:lang w:val="en-US"/>
        </w:rPr>
        <w:footnoteReference w:id="100"/>
      </w:r>
      <w:r w:rsidR="005E5012" w:rsidRPr="00012C3F">
        <w:rPr>
          <w:sz w:val="20"/>
          <w:szCs w:val="20"/>
          <w:lang w:val="en-US"/>
        </w:rPr>
        <w:t xml:space="preserve"> and </w:t>
      </w:r>
      <w:r w:rsidRPr="00012C3F">
        <w:rPr>
          <w:sz w:val="20"/>
          <w:szCs w:val="20"/>
          <w:lang w:val="en-US"/>
        </w:rPr>
        <w:t>on March 17,</w:t>
      </w:r>
      <w:r w:rsidR="007A1A14" w:rsidRPr="00012C3F">
        <w:rPr>
          <w:sz w:val="20"/>
          <w:szCs w:val="20"/>
          <w:lang w:val="en-US"/>
        </w:rPr>
        <w:t xml:space="preserve"> 2003</w:t>
      </w:r>
      <w:r w:rsidRPr="00012C3F">
        <w:rPr>
          <w:sz w:val="20"/>
          <w:szCs w:val="20"/>
          <w:lang w:val="en-US"/>
        </w:rPr>
        <w:t>,</w:t>
      </w:r>
      <w:r w:rsidR="007A1A14" w:rsidRPr="00012C3F">
        <w:rPr>
          <w:sz w:val="20"/>
          <w:szCs w:val="20"/>
          <w:lang w:val="en-US"/>
        </w:rPr>
        <w:t xml:space="preserve"> </w:t>
      </w:r>
      <w:r w:rsidRPr="00012C3F">
        <w:rPr>
          <w:sz w:val="20"/>
          <w:szCs w:val="20"/>
          <w:lang w:val="en-US"/>
        </w:rPr>
        <w:t xml:space="preserve">an order was issued to open the </w:t>
      </w:r>
      <w:r w:rsidR="000E0704" w:rsidRPr="00012C3F">
        <w:rPr>
          <w:sz w:val="20"/>
          <w:szCs w:val="20"/>
          <w:lang w:val="en-US"/>
        </w:rPr>
        <w:t>proceedings</w:t>
      </w:r>
      <w:r w:rsidRPr="00012C3F">
        <w:rPr>
          <w:sz w:val="20"/>
          <w:szCs w:val="20"/>
          <w:lang w:val="en-US"/>
        </w:rPr>
        <w:t>.</w:t>
      </w:r>
      <w:r w:rsidR="007A1A14" w:rsidRPr="00012C3F">
        <w:rPr>
          <w:rStyle w:val="Refdenotaalpie"/>
          <w:sz w:val="20"/>
          <w:szCs w:val="20"/>
          <w:lang w:val="en-US"/>
        </w:rPr>
        <w:footnoteReference w:id="101"/>
      </w:r>
      <w:r w:rsidR="007A1A14" w:rsidRPr="00012C3F">
        <w:rPr>
          <w:sz w:val="20"/>
          <w:szCs w:val="20"/>
          <w:lang w:val="en-US"/>
        </w:rPr>
        <w:t xml:space="preserve"> </w:t>
      </w:r>
      <w:r w:rsidRPr="00012C3F">
        <w:rPr>
          <w:sz w:val="20"/>
          <w:szCs w:val="20"/>
          <w:lang w:val="en-US"/>
        </w:rPr>
        <w:t>On April 22,</w:t>
      </w:r>
      <w:r w:rsidR="007A1A14" w:rsidRPr="00012C3F">
        <w:rPr>
          <w:sz w:val="20"/>
          <w:szCs w:val="20"/>
          <w:lang w:val="en-US"/>
        </w:rPr>
        <w:t xml:space="preserve"> 2003</w:t>
      </w:r>
      <w:r w:rsidRPr="00012C3F">
        <w:rPr>
          <w:sz w:val="20"/>
          <w:szCs w:val="20"/>
          <w:lang w:val="en-US"/>
        </w:rPr>
        <w:t>,</w:t>
      </w:r>
      <w:r w:rsidR="007A1A14" w:rsidRPr="00012C3F">
        <w:rPr>
          <w:sz w:val="20"/>
          <w:szCs w:val="20"/>
          <w:lang w:val="en-US"/>
        </w:rPr>
        <w:t xml:space="preserve"> </w:t>
      </w:r>
      <w:r w:rsidRPr="00012C3F">
        <w:rPr>
          <w:sz w:val="20"/>
          <w:szCs w:val="20"/>
          <w:lang w:val="en-US"/>
        </w:rPr>
        <w:t xml:space="preserve">the First </w:t>
      </w:r>
      <w:r w:rsidR="001A5E4F" w:rsidRPr="00012C3F">
        <w:rPr>
          <w:sz w:val="20"/>
          <w:szCs w:val="20"/>
          <w:lang w:val="en-US"/>
        </w:rPr>
        <w:t>Trial Court</w:t>
      </w:r>
      <w:r w:rsidR="007A1A14" w:rsidRPr="00012C3F">
        <w:rPr>
          <w:sz w:val="20"/>
          <w:szCs w:val="20"/>
          <w:lang w:val="en-US"/>
        </w:rPr>
        <w:t xml:space="preserve"> </w:t>
      </w:r>
      <w:r w:rsidRPr="00012C3F">
        <w:rPr>
          <w:sz w:val="20"/>
          <w:szCs w:val="20"/>
          <w:lang w:val="en-US"/>
        </w:rPr>
        <w:t xml:space="preserve">annulled the </w:t>
      </w:r>
      <w:r w:rsidR="007567C2" w:rsidRPr="00012C3F">
        <w:rPr>
          <w:sz w:val="20"/>
          <w:szCs w:val="20"/>
          <w:lang w:val="en-US"/>
        </w:rPr>
        <w:t>drawing of lots for lay judges</w:t>
      </w:r>
      <w:r w:rsidR="00E37D44" w:rsidRPr="00012C3F">
        <w:rPr>
          <w:sz w:val="20"/>
          <w:szCs w:val="20"/>
          <w:lang w:val="en-US"/>
        </w:rPr>
        <w:t xml:space="preserve"> and </w:t>
      </w:r>
      <w:r w:rsidR="007567C2" w:rsidRPr="00012C3F">
        <w:rPr>
          <w:sz w:val="20"/>
          <w:szCs w:val="20"/>
          <w:lang w:val="en-US"/>
        </w:rPr>
        <w:t xml:space="preserve">the resulting </w:t>
      </w:r>
      <w:r w:rsidR="00E37D44" w:rsidRPr="00012C3F">
        <w:rPr>
          <w:sz w:val="20"/>
          <w:szCs w:val="20"/>
          <w:lang w:val="en-US"/>
        </w:rPr>
        <w:t>constitution of the Court owing to a problem with the computerized system</w:t>
      </w:r>
      <w:r w:rsidR="004A072B" w:rsidRPr="00012C3F">
        <w:rPr>
          <w:sz w:val="20"/>
          <w:szCs w:val="20"/>
          <w:lang w:val="en-US"/>
        </w:rPr>
        <w:t>,</w:t>
      </w:r>
      <w:r w:rsidR="00E37D44" w:rsidRPr="00012C3F">
        <w:rPr>
          <w:sz w:val="20"/>
          <w:szCs w:val="20"/>
          <w:lang w:val="en-US"/>
        </w:rPr>
        <w:t xml:space="preserve"> and established a new date and time for the</w:t>
      </w:r>
      <w:r w:rsidR="000E0704" w:rsidRPr="00012C3F">
        <w:rPr>
          <w:sz w:val="20"/>
          <w:szCs w:val="20"/>
          <w:lang w:val="en-US"/>
        </w:rPr>
        <w:t xml:space="preserve"> hearing of the oral proceeding</w:t>
      </w:r>
      <w:r w:rsidR="00E37D44" w:rsidRPr="00012C3F">
        <w:rPr>
          <w:sz w:val="20"/>
          <w:szCs w:val="20"/>
          <w:lang w:val="en-US"/>
        </w:rPr>
        <w:t xml:space="preserve">, for the public hearing to draw lots for lay judges, and </w:t>
      </w:r>
      <w:r w:rsidR="00E37D44" w:rsidRPr="00012C3F">
        <w:rPr>
          <w:sz w:val="20"/>
          <w:szCs w:val="20"/>
          <w:lang w:val="en-US"/>
        </w:rPr>
        <w:lastRenderedPageBreak/>
        <w:t xml:space="preserve">for the hearing to constitute the </w:t>
      </w:r>
      <w:r w:rsidR="00822B95" w:rsidRPr="00012C3F">
        <w:rPr>
          <w:sz w:val="20"/>
          <w:szCs w:val="20"/>
          <w:lang w:val="en-US"/>
        </w:rPr>
        <w:t>c</w:t>
      </w:r>
      <w:r w:rsidR="00E37D44" w:rsidRPr="00012C3F">
        <w:rPr>
          <w:sz w:val="20"/>
          <w:szCs w:val="20"/>
          <w:lang w:val="en-US"/>
        </w:rPr>
        <w:t>ourt.</w:t>
      </w:r>
      <w:r w:rsidR="007A1A14" w:rsidRPr="00012C3F">
        <w:rPr>
          <w:rStyle w:val="Refdenotaalpie"/>
          <w:sz w:val="20"/>
          <w:szCs w:val="20"/>
          <w:lang w:val="en-US"/>
        </w:rPr>
        <w:footnoteReference w:id="102"/>
      </w:r>
    </w:p>
    <w:p w14:paraId="5C0233FD" w14:textId="77777777" w:rsidR="007A1A14" w:rsidRPr="00012C3F" w:rsidRDefault="007A1A14" w:rsidP="007A1A14">
      <w:pPr>
        <w:spacing w:line="240" w:lineRule="auto"/>
        <w:rPr>
          <w:sz w:val="20"/>
          <w:szCs w:val="20"/>
          <w:lang w:val="en-US"/>
        </w:rPr>
      </w:pPr>
    </w:p>
    <w:p w14:paraId="5B914C65" w14:textId="77777777" w:rsidR="007A1A14" w:rsidRPr="00012C3F" w:rsidRDefault="00E37D44" w:rsidP="00660869">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On May 9,</w:t>
      </w:r>
      <w:r w:rsidR="007A1A14" w:rsidRPr="00012C3F">
        <w:rPr>
          <w:sz w:val="20"/>
          <w:szCs w:val="20"/>
          <w:lang w:val="en-US"/>
        </w:rPr>
        <w:t xml:space="preserve"> 2003</w:t>
      </w:r>
      <w:r w:rsidRPr="00012C3F">
        <w:rPr>
          <w:sz w:val="20"/>
          <w:szCs w:val="20"/>
          <w:lang w:val="en-US"/>
        </w:rPr>
        <w:t>,</w:t>
      </w:r>
      <w:r w:rsidR="00660869" w:rsidRPr="00012C3F">
        <w:rPr>
          <w:sz w:val="20"/>
          <w:szCs w:val="20"/>
          <w:lang w:val="en-US"/>
        </w:rPr>
        <w:t xml:space="preserve"> the</w:t>
      </w:r>
      <w:r w:rsidR="00822B95" w:rsidRPr="00012C3F">
        <w:rPr>
          <w:sz w:val="20"/>
          <w:szCs w:val="20"/>
          <w:lang w:val="en-US"/>
        </w:rPr>
        <w:t xml:space="preserve"> Presiding</w:t>
      </w:r>
      <w:r w:rsidR="007A1A14" w:rsidRPr="00012C3F">
        <w:rPr>
          <w:sz w:val="20"/>
          <w:szCs w:val="20"/>
          <w:lang w:val="en-US"/>
        </w:rPr>
        <w:t xml:space="preserve"> </w:t>
      </w:r>
      <w:r w:rsidR="001254DE" w:rsidRPr="00012C3F">
        <w:rPr>
          <w:sz w:val="20"/>
          <w:szCs w:val="20"/>
          <w:lang w:val="en-US"/>
        </w:rPr>
        <w:t>Judge</w:t>
      </w:r>
      <w:r w:rsidR="007A1A14" w:rsidRPr="00012C3F">
        <w:rPr>
          <w:sz w:val="20"/>
          <w:szCs w:val="20"/>
          <w:lang w:val="en-US"/>
        </w:rPr>
        <w:t xml:space="preserve"> </w:t>
      </w:r>
      <w:r w:rsidR="00660869" w:rsidRPr="00012C3F">
        <w:rPr>
          <w:sz w:val="20"/>
          <w:szCs w:val="20"/>
          <w:lang w:val="en-US"/>
        </w:rPr>
        <w:t xml:space="preserve">of the </w:t>
      </w:r>
      <w:r w:rsidR="00804FA0" w:rsidRPr="00012C3F">
        <w:rPr>
          <w:sz w:val="20"/>
          <w:szCs w:val="20"/>
          <w:lang w:val="en-US"/>
        </w:rPr>
        <w:t xml:space="preserve">First </w:t>
      </w:r>
      <w:r w:rsidR="001A5E4F" w:rsidRPr="00012C3F">
        <w:rPr>
          <w:sz w:val="20"/>
          <w:szCs w:val="20"/>
          <w:lang w:val="en-US"/>
        </w:rPr>
        <w:t>Trial Court</w:t>
      </w:r>
      <w:r w:rsidR="006C6F9D" w:rsidRPr="00012C3F">
        <w:rPr>
          <w:sz w:val="20"/>
          <w:szCs w:val="20"/>
          <w:lang w:val="en-US"/>
        </w:rPr>
        <w:t xml:space="preserve"> </w:t>
      </w:r>
      <w:r w:rsidR="00660869" w:rsidRPr="00012C3F">
        <w:rPr>
          <w:sz w:val="20"/>
          <w:szCs w:val="20"/>
          <w:lang w:val="en-US"/>
        </w:rPr>
        <w:t>and a technical judge of this court</w:t>
      </w:r>
      <w:r w:rsidR="00822B95" w:rsidRPr="00012C3F">
        <w:rPr>
          <w:sz w:val="20"/>
          <w:szCs w:val="20"/>
          <w:lang w:val="en-US"/>
        </w:rPr>
        <w:t xml:space="preserve"> recused</w:t>
      </w:r>
      <w:r w:rsidR="00660869" w:rsidRPr="00012C3F">
        <w:rPr>
          <w:sz w:val="20"/>
          <w:szCs w:val="20"/>
          <w:lang w:val="en-US"/>
        </w:rPr>
        <w:t xml:space="preserve"> themselves from hearing the case, </w:t>
      </w:r>
      <w:r w:rsidR="00822B95" w:rsidRPr="00012C3F">
        <w:rPr>
          <w:sz w:val="20"/>
          <w:szCs w:val="20"/>
          <w:lang w:val="en-US"/>
        </w:rPr>
        <w:t xml:space="preserve">the former because he had </w:t>
      </w:r>
      <w:r w:rsidR="00660869" w:rsidRPr="00012C3F">
        <w:rPr>
          <w:sz w:val="20"/>
          <w:szCs w:val="20"/>
          <w:lang w:val="en-US"/>
        </w:rPr>
        <w:t xml:space="preserve">given his opinion out of court in an interview, and the latter because he had been accused of </w:t>
      </w:r>
      <w:r w:rsidR="007567C2" w:rsidRPr="00012C3F">
        <w:rPr>
          <w:sz w:val="20"/>
          <w:szCs w:val="20"/>
          <w:lang w:val="en-US"/>
        </w:rPr>
        <w:t xml:space="preserve">malfeasance </w:t>
      </w:r>
      <w:r w:rsidR="00660869" w:rsidRPr="00012C3F">
        <w:rPr>
          <w:sz w:val="20"/>
          <w:szCs w:val="20"/>
          <w:lang w:val="en-US"/>
        </w:rPr>
        <w:t>in this case.</w:t>
      </w:r>
      <w:r w:rsidR="007A1A14" w:rsidRPr="00012C3F">
        <w:rPr>
          <w:rStyle w:val="Refdenotaalpie"/>
          <w:sz w:val="20"/>
          <w:szCs w:val="20"/>
          <w:lang w:val="en-US"/>
        </w:rPr>
        <w:footnoteReference w:id="103"/>
      </w:r>
      <w:r w:rsidR="00660869" w:rsidRPr="00012C3F">
        <w:rPr>
          <w:sz w:val="20"/>
          <w:szCs w:val="20"/>
          <w:lang w:val="en-US"/>
        </w:rPr>
        <w:t xml:space="preserve"> Consequently, the file of the proceedings </w:t>
      </w:r>
      <w:r w:rsidR="00822B95" w:rsidRPr="00012C3F">
        <w:rPr>
          <w:sz w:val="20"/>
          <w:szCs w:val="20"/>
          <w:lang w:val="en-US"/>
        </w:rPr>
        <w:t xml:space="preserve">was remitted </w:t>
      </w:r>
      <w:r w:rsidR="00660869" w:rsidRPr="00012C3F">
        <w:rPr>
          <w:sz w:val="20"/>
          <w:szCs w:val="20"/>
          <w:lang w:val="en-US"/>
        </w:rPr>
        <w:t xml:space="preserve">to the Third </w:t>
      </w:r>
      <w:r w:rsidR="001A5E4F" w:rsidRPr="00012C3F">
        <w:rPr>
          <w:sz w:val="20"/>
          <w:szCs w:val="20"/>
          <w:lang w:val="en-US"/>
        </w:rPr>
        <w:t>Trial Court</w:t>
      </w:r>
      <w:r w:rsidR="00660869" w:rsidRPr="00012C3F">
        <w:rPr>
          <w:sz w:val="20"/>
          <w:szCs w:val="20"/>
          <w:lang w:val="en-US"/>
        </w:rPr>
        <w:t xml:space="preserve"> of </w:t>
      </w:r>
      <w:r w:rsidR="007A1A14" w:rsidRPr="00012C3F">
        <w:rPr>
          <w:sz w:val="20"/>
          <w:szCs w:val="20"/>
          <w:lang w:val="en-US"/>
        </w:rPr>
        <w:t>La Paz</w:t>
      </w:r>
      <w:r w:rsidR="00660869" w:rsidRPr="00012C3F">
        <w:rPr>
          <w:sz w:val="20"/>
          <w:szCs w:val="20"/>
          <w:lang w:val="en-US"/>
        </w:rPr>
        <w:t>,</w:t>
      </w:r>
      <w:r w:rsidR="007A1A14" w:rsidRPr="00012C3F">
        <w:rPr>
          <w:rStyle w:val="Refdenotaalpie"/>
          <w:sz w:val="20"/>
          <w:szCs w:val="20"/>
          <w:lang w:val="en-US"/>
        </w:rPr>
        <w:footnoteReference w:id="104"/>
      </w:r>
      <w:r w:rsidR="00660869" w:rsidRPr="00012C3F">
        <w:rPr>
          <w:sz w:val="20"/>
          <w:szCs w:val="20"/>
          <w:lang w:val="en-US"/>
        </w:rPr>
        <w:t xml:space="preserve"> which returned the </w:t>
      </w:r>
      <w:r w:rsidR="00822B95" w:rsidRPr="00012C3F">
        <w:rPr>
          <w:sz w:val="20"/>
          <w:szCs w:val="20"/>
          <w:lang w:val="en-US"/>
        </w:rPr>
        <w:t>case</w:t>
      </w:r>
      <w:r w:rsidR="00660869" w:rsidRPr="00012C3F">
        <w:rPr>
          <w:sz w:val="20"/>
          <w:szCs w:val="20"/>
          <w:lang w:val="en-US"/>
        </w:rPr>
        <w:t xml:space="preserve"> to the original court </w:t>
      </w:r>
      <w:r w:rsidR="007E5FDF" w:rsidRPr="00012C3F">
        <w:rPr>
          <w:sz w:val="20"/>
          <w:szCs w:val="20"/>
          <w:lang w:val="en-US"/>
        </w:rPr>
        <w:t>on May 12,</w:t>
      </w:r>
      <w:r w:rsidR="007A1A14" w:rsidRPr="00012C3F">
        <w:rPr>
          <w:sz w:val="20"/>
          <w:szCs w:val="20"/>
          <w:lang w:val="en-US"/>
        </w:rPr>
        <w:t xml:space="preserve"> 2003, </w:t>
      </w:r>
      <w:r w:rsidR="00822B95" w:rsidRPr="00012C3F">
        <w:rPr>
          <w:sz w:val="20"/>
          <w:szCs w:val="20"/>
          <w:lang w:val="en-US"/>
        </w:rPr>
        <w:t>due to procedural defects</w:t>
      </w:r>
      <w:r w:rsidR="00660869" w:rsidRPr="00012C3F">
        <w:rPr>
          <w:sz w:val="20"/>
          <w:szCs w:val="20"/>
          <w:lang w:val="en-US"/>
        </w:rPr>
        <w:t xml:space="preserve"> </w:t>
      </w:r>
      <w:r w:rsidR="00822B95" w:rsidRPr="00012C3F">
        <w:rPr>
          <w:sz w:val="20"/>
          <w:szCs w:val="20"/>
          <w:lang w:val="en-US"/>
        </w:rPr>
        <w:t>relating</w:t>
      </w:r>
      <w:r w:rsidR="00660869" w:rsidRPr="00012C3F">
        <w:rPr>
          <w:sz w:val="20"/>
          <w:szCs w:val="20"/>
          <w:lang w:val="en-US"/>
        </w:rPr>
        <w:t xml:space="preserve"> to the acceptance or rejection of the</w:t>
      </w:r>
      <w:r w:rsidR="00822B95" w:rsidRPr="00012C3F">
        <w:rPr>
          <w:sz w:val="20"/>
          <w:szCs w:val="20"/>
          <w:lang w:val="en-US"/>
        </w:rPr>
        <w:t xml:space="preserve"> recusals</w:t>
      </w:r>
      <w:r w:rsidR="00660869" w:rsidRPr="00012C3F">
        <w:rPr>
          <w:sz w:val="20"/>
          <w:szCs w:val="20"/>
          <w:lang w:val="en-US"/>
        </w:rPr>
        <w:t>.</w:t>
      </w:r>
      <w:r w:rsidR="007A1A14" w:rsidRPr="00012C3F">
        <w:rPr>
          <w:rStyle w:val="Refdenotaalpie"/>
          <w:sz w:val="20"/>
          <w:szCs w:val="20"/>
          <w:lang w:val="en-US"/>
        </w:rPr>
        <w:footnoteReference w:id="105"/>
      </w:r>
    </w:p>
    <w:p w14:paraId="702CB693" w14:textId="77777777" w:rsidR="007A1A14" w:rsidRPr="00012C3F" w:rsidRDefault="007A1A14" w:rsidP="00E37D44">
      <w:pPr>
        <w:tabs>
          <w:tab w:val="left" w:pos="720"/>
        </w:tabs>
        <w:spacing w:line="240" w:lineRule="auto"/>
        <w:rPr>
          <w:sz w:val="20"/>
          <w:szCs w:val="20"/>
          <w:lang w:val="en-US"/>
        </w:rPr>
      </w:pPr>
    </w:p>
    <w:p w14:paraId="7E651737" w14:textId="77777777" w:rsidR="007A1A14" w:rsidRPr="00012C3F" w:rsidRDefault="00660869" w:rsidP="00E37D44">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Since a sufficient number of citizens had not come forward to constitute the Third </w:t>
      </w:r>
      <w:r w:rsidR="001A5E4F" w:rsidRPr="00012C3F">
        <w:rPr>
          <w:sz w:val="20"/>
          <w:szCs w:val="20"/>
          <w:lang w:val="en-US"/>
        </w:rPr>
        <w:t>Trial Court</w:t>
      </w:r>
      <w:r w:rsidR="007A1A14" w:rsidRPr="00012C3F">
        <w:rPr>
          <w:sz w:val="20"/>
          <w:szCs w:val="20"/>
          <w:lang w:val="en-US"/>
        </w:rPr>
        <w:t xml:space="preserve">, </w:t>
      </w:r>
      <w:r w:rsidRPr="00012C3F">
        <w:rPr>
          <w:sz w:val="20"/>
          <w:szCs w:val="20"/>
          <w:lang w:val="en-US"/>
        </w:rPr>
        <w:t>it was decided to forward the case to the nearest judicial district,</w:t>
      </w:r>
      <w:r w:rsidR="007A1A14" w:rsidRPr="00012C3F">
        <w:rPr>
          <w:rStyle w:val="Refdenotaalpie"/>
          <w:sz w:val="20"/>
          <w:szCs w:val="20"/>
          <w:lang w:val="en-US"/>
        </w:rPr>
        <w:footnoteReference w:id="106"/>
      </w:r>
      <w:r w:rsidRPr="00012C3F">
        <w:rPr>
          <w:sz w:val="20"/>
          <w:szCs w:val="20"/>
          <w:lang w:val="en-US"/>
        </w:rPr>
        <w:t xml:space="preserve"> which was </w:t>
      </w:r>
      <w:r w:rsidR="007A1A14" w:rsidRPr="00012C3F">
        <w:rPr>
          <w:sz w:val="20"/>
          <w:szCs w:val="20"/>
          <w:lang w:val="en-US"/>
        </w:rPr>
        <w:t>El Alto</w:t>
      </w:r>
      <w:r w:rsidRPr="00012C3F">
        <w:rPr>
          <w:sz w:val="20"/>
          <w:szCs w:val="20"/>
          <w:lang w:val="en-US"/>
        </w:rPr>
        <w:t xml:space="preserve">; accordingly, the file was forwarded to the </w:t>
      </w:r>
      <w:r w:rsidR="001A5E4F" w:rsidRPr="00012C3F">
        <w:rPr>
          <w:sz w:val="20"/>
          <w:szCs w:val="20"/>
          <w:lang w:val="en-US"/>
        </w:rPr>
        <w:t>Trial Court</w:t>
      </w:r>
      <w:r w:rsidRPr="00012C3F">
        <w:rPr>
          <w:sz w:val="20"/>
          <w:szCs w:val="20"/>
          <w:lang w:val="en-US"/>
        </w:rPr>
        <w:t xml:space="preserve"> </w:t>
      </w:r>
      <w:r w:rsidR="00822B95" w:rsidRPr="00012C3F">
        <w:rPr>
          <w:sz w:val="20"/>
          <w:szCs w:val="20"/>
          <w:lang w:val="en-US"/>
        </w:rPr>
        <w:t xml:space="preserve">on duty </w:t>
      </w:r>
      <w:r w:rsidRPr="00012C3F">
        <w:rPr>
          <w:sz w:val="20"/>
          <w:szCs w:val="20"/>
          <w:lang w:val="en-US"/>
        </w:rPr>
        <w:t xml:space="preserve">on May 28, </w:t>
      </w:r>
      <w:r w:rsidR="007A1A14" w:rsidRPr="00012C3F">
        <w:rPr>
          <w:sz w:val="20"/>
          <w:szCs w:val="20"/>
          <w:lang w:val="en-US"/>
        </w:rPr>
        <w:t>2003</w:t>
      </w:r>
      <w:r w:rsidRPr="00012C3F">
        <w:rPr>
          <w:sz w:val="20"/>
          <w:szCs w:val="20"/>
          <w:lang w:val="en-US"/>
        </w:rPr>
        <w:t>.</w:t>
      </w:r>
      <w:r w:rsidR="007A1A14" w:rsidRPr="00012C3F">
        <w:rPr>
          <w:rStyle w:val="Refdenotaalpie"/>
          <w:sz w:val="20"/>
          <w:szCs w:val="20"/>
          <w:lang w:val="en-US"/>
        </w:rPr>
        <w:footnoteReference w:id="107"/>
      </w:r>
      <w:r w:rsidR="007A1A14" w:rsidRPr="00012C3F">
        <w:rPr>
          <w:sz w:val="20"/>
          <w:szCs w:val="20"/>
          <w:lang w:val="en-US"/>
        </w:rPr>
        <w:t xml:space="preserve"> </w:t>
      </w:r>
      <w:r w:rsidRPr="00012C3F">
        <w:rPr>
          <w:sz w:val="20"/>
          <w:szCs w:val="20"/>
          <w:lang w:val="en-US"/>
        </w:rPr>
        <w:t xml:space="preserve">The case was then moved to </w:t>
      </w:r>
      <w:r w:rsidR="00800C58" w:rsidRPr="00012C3F">
        <w:rPr>
          <w:sz w:val="20"/>
          <w:szCs w:val="20"/>
          <w:lang w:val="en-US"/>
        </w:rPr>
        <w:t xml:space="preserve">the Second </w:t>
      </w:r>
      <w:r w:rsidR="001A5E4F" w:rsidRPr="00012C3F">
        <w:rPr>
          <w:sz w:val="20"/>
          <w:szCs w:val="20"/>
          <w:lang w:val="en-US"/>
        </w:rPr>
        <w:t>Trial Court</w:t>
      </w:r>
      <w:r w:rsidR="007A1A14" w:rsidRPr="00012C3F">
        <w:rPr>
          <w:sz w:val="20"/>
          <w:szCs w:val="20"/>
          <w:lang w:val="en-US"/>
        </w:rPr>
        <w:t xml:space="preserve"> </w:t>
      </w:r>
      <w:r w:rsidRPr="00012C3F">
        <w:rPr>
          <w:sz w:val="20"/>
          <w:szCs w:val="20"/>
          <w:lang w:val="en-US"/>
        </w:rPr>
        <w:t>of</w:t>
      </w:r>
      <w:r w:rsidR="007A1A14" w:rsidRPr="00012C3F">
        <w:rPr>
          <w:sz w:val="20"/>
          <w:szCs w:val="20"/>
          <w:lang w:val="en-US"/>
        </w:rPr>
        <w:t xml:space="preserve"> El Alto</w:t>
      </w:r>
      <w:r w:rsidRPr="00012C3F">
        <w:rPr>
          <w:sz w:val="20"/>
          <w:szCs w:val="20"/>
          <w:lang w:val="en-US"/>
        </w:rPr>
        <w:t xml:space="preserve"> on May 31, 2003,</w:t>
      </w:r>
      <w:r w:rsidR="005E5012" w:rsidRPr="00012C3F">
        <w:rPr>
          <w:sz w:val="20"/>
          <w:szCs w:val="20"/>
          <w:lang w:val="en-US"/>
        </w:rPr>
        <w:t xml:space="preserve"> and </w:t>
      </w:r>
      <w:r w:rsidRPr="00012C3F">
        <w:rPr>
          <w:sz w:val="20"/>
          <w:szCs w:val="20"/>
          <w:lang w:val="en-US"/>
        </w:rPr>
        <w:t xml:space="preserve">a date was set for the hearing of the oral </w:t>
      </w:r>
      <w:r w:rsidR="000E0704" w:rsidRPr="00012C3F">
        <w:rPr>
          <w:sz w:val="20"/>
          <w:szCs w:val="20"/>
          <w:lang w:val="en-US"/>
        </w:rPr>
        <w:t>proceeding</w:t>
      </w:r>
      <w:r w:rsidRPr="00012C3F">
        <w:rPr>
          <w:sz w:val="20"/>
          <w:szCs w:val="20"/>
          <w:lang w:val="en-US"/>
        </w:rPr>
        <w:t xml:space="preserve"> and for the </w:t>
      </w:r>
      <w:r w:rsidR="00B257AF" w:rsidRPr="00012C3F">
        <w:rPr>
          <w:sz w:val="20"/>
          <w:szCs w:val="20"/>
          <w:lang w:val="en-US"/>
        </w:rPr>
        <w:t>public hearing</w:t>
      </w:r>
      <w:r w:rsidR="007A1A14" w:rsidRPr="00012C3F">
        <w:rPr>
          <w:sz w:val="20"/>
          <w:szCs w:val="20"/>
          <w:lang w:val="en-US"/>
        </w:rPr>
        <w:t xml:space="preserve"> </w:t>
      </w:r>
      <w:r w:rsidRPr="00012C3F">
        <w:rPr>
          <w:sz w:val="20"/>
          <w:szCs w:val="20"/>
          <w:lang w:val="en-US"/>
        </w:rPr>
        <w:t>to draw lots for lay judges.</w:t>
      </w:r>
      <w:r w:rsidR="007A1A14" w:rsidRPr="00012C3F">
        <w:rPr>
          <w:rStyle w:val="Refdenotaalpie"/>
          <w:sz w:val="20"/>
          <w:szCs w:val="20"/>
          <w:lang w:val="en-US"/>
        </w:rPr>
        <w:footnoteReference w:id="108"/>
      </w:r>
    </w:p>
    <w:p w14:paraId="073895E4" w14:textId="77777777" w:rsidR="007A1A14" w:rsidRPr="00012C3F" w:rsidRDefault="007A1A14" w:rsidP="00E37D44">
      <w:pPr>
        <w:tabs>
          <w:tab w:val="left" w:pos="720"/>
        </w:tabs>
        <w:spacing w:line="240" w:lineRule="auto"/>
        <w:rPr>
          <w:sz w:val="20"/>
          <w:szCs w:val="20"/>
          <w:lang w:val="en-US"/>
        </w:rPr>
      </w:pPr>
    </w:p>
    <w:p w14:paraId="20DAF783" w14:textId="77777777" w:rsidR="007A1A14" w:rsidRPr="00012C3F" w:rsidRDefault="00660869" w:rsidP="00660869">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On July 15,</w:t>
      </w:r>
      <w:r w:rsidR="007A1A14" w:rsidRPr="00012C3F">
        <w:rPr>
          <w:sz w:val="20"/>
          <w:szCs w:val="20"/>
          <w:lang w:val="en-US"/>
        </w:rPr>
        <w:t xml:space="preserve"> 2003</w:t>
      </w:r>
      <w:r w:rsidRPr="00012C3F">
        <w:rPr>
          <w:sz w:val="20"/>
          <w:szCs w:val="20"/>
          <w:lang w:val="en-US"/>
        </w:rPr>
        <w:t>,</w:t>
      </w:r>
      <w:r w:rsidR="007A1A14" w:rsidRPr="00012C3F">
        <w:rPr>
          <w:sz w:val="20"/>
          <w:szCs w:val="20"/>
          <w:lang w:val="en-US"/>
        </w:rPr>
        <w:t xml:space="preserve"> </w:t>
      </w:r>
      <w:r w:rsidRPr="00012C3F">
        <w:rPr>
          <w:sz w:val="20"/>
          <w:szCs w:val="20"/>
          <w:lang w:val="en-US"/>
        </w:rPr>
        <w:t>a</w:t>
      </w:r>
      <w:r w:rsidR="007A1A14" w:rsidRPr="00012C3F">
        <w:rPr>
          <w:sz w:val="20"/>
          <w:szCs w:val="20"/>
          <w:lang w:val="en-US"/>
        </w:rPr>
        <w:t xml:space="preserve"> </w:t>
      </w:r>
      <w:r w:rsidR="00822B95" w:rsidRPr="00012C3F">
        <w:rPr>
          <w:sz w:val="20"/>
          <w:szCs w:val="20"/>
          <w:lang w:val="en-US"/>
        </w:rPr>
        <w:t xml:space="preserve">special </w:t>
      </w:r>
      <w:r w:rsidR="00B257AF" w:rsidRPr="00012C3F">
        <w:rPr>
          <w:sz w:val="20"/>
          <w:szCs w:val="20"/>
          <w:lang w:val="en-US"/>
        </w:rPr>
        <w:t>public hearing</w:t>
      </w:r>
      <w:r w:rsidR="007A1A14" w:rsidRPr="00012C3F">
        <w:rPr>
          <w:sz w:val="20"/>
          <w:szCs w:val="20"/>
          <w:lang w:val="en-US"/>
        </w:rPr>
        <w:t xml:space="preserve"> </w:t>
      </w:r>
      <w:r w:rsidRPr="00012C3F">
        <w:rPr>
          <w:sz w:val="20"/>
          <w:szCs w:val="20"/>
          <w:lang w:val="en-US"/>
        </w:rPr>
        <w:t xml:space="preserve">was held </w:t>
      </w:r>
      <w:r w:rsidR="00822B95" w:rsidRPr="00012C3F">
        <w:rPr>
          <w:sz w:val="20"/>
          <w:szCs w:val="20"/>
          <w:lang w:val="en-US"/>
        </w:rPr>
        <w:t>to constitute the</w:t>
      </w:r>
      <w:r w:rsidRPr="00012C3F">
        <w:rPr>
          <w:sz w:val="20"/>
          <w:szCs w:val="20"/>
          <w:lang w:val="en-US"/>
        </w:rPr>
        <w:t xml:space="preserve"> court before the </w:t>
      </w:r>
      <w:r w:rsidR="00822B95" w:rsidRPr="00012C3F">
        <w:rPr>
          <w:sz w:val="20"/>
          <w:szCs w:val="20"/>
          <w:lang w:val="en-US"/>
        </w:rPr>
        <w:t xml:space="preserve">El Alto </w:t>
      </w:r>
      <w:r w:rsidR="00800C58" w:rsidRPr="00012C3F">
        <w:rPr>
          <w:sz w:val="20"/>
          <w:szCs w:val="20"/>
          <w:lang w:val="en-US"/>
        </w:rPr>
        <w:t xml:space="preserve">Second </w:t>
      </w:r>
      <w:r w:rsidR="001A5E4F" w:rsidRPr="00012C3F">
        <w:rPr>
          <w:sz w:val="20"/>
          <w:szCs w:val="20"/>
          <w:lang w:val="en-US"/>
        </w:rPr>
        <w:t>Trial Court</w:t>
      </w:r>
      <w:r w:rsidR="00822B95" w:rsidRPr="00012C3F">
        <w:rPr>
          <w:sz w:val="20"/>
          <w:szCs w:val="20"/>
          <w:lang w:val="en-US"/>
        </w:rPr>
        <w:t>. At the hearing it was reported</w:t>
      </w:r>
      <w:r w:rsidR="007A1A14" w:rsidRPr="00012C3F">
        <w:rPr>
          <w:sz w:val="20"/>
          <w:szCs w:val="20"/>
          <w:lang w:val="en-US"/>
        </w:rPr>
        <w:t xml:space="preserve"> </w:t>
      </w:r>
      <w:r w:rsidRPr="00012C3F">
        <w:rPr>
          <w:sz w:val="20"/>
          <w:szCs w:val="20"/>
          <w:lang w:val="en-US"/>
        </w:rPr>
        <w:t xml:space="preserve">that none of the citizens whose names had been drawn had been </w:t>
      </w:r>
      <w:r w:rsidR="00822B95" w:rsidRPr="00012C3F">
        <w:rPr>
          <w:sz w:val="20"/>
          <w:szCs w:val="20"/>
          <w:lang w:val="en-US"/>
        </w:rPr>
        <w:t>notified</w:t>
      </w:r>
      <w:r w:rsidRPr="00012C3F">
        <w:rPr>
          <w:sz w:val="20"/>
          <w:szCs w:val="20"/>
          <w:lang w:val="en-US"/>
        </w:rPr>
        <w:t>, because they had not been located at their registered addresse</w:t>
      </w:r>
      <w:r w:rsidR="00822B95" w:rsidRPr="00012C3F">
        <w:rPr>
          <w:sz w:val="20"/>
          <w:szCs w:val="20"/>
          <w:lang w:val="en-US"/>
        </w:rPr>
        <w:t>s</w:t>
      </w:r>
      <w:r w:rsidRPr="00012C3F">
        <w:rPr>
          <w:sz w:val="20"/>
          <w:szCs w:val="20"/>
          <w:lang w:val="en-US"/>
        </w:rPr>
        <w:t>. Consequently, the Court decided to re</w:t>
      </w:r>
      <w:r w:rsidR="00822B95" w:rsidRPr="00012C3F">
        <w:rPr>
          <w:sz w:val="20"/>
          <w:szCs w:val="20"/>
          <w:lang w:val="en-US"/>
        </w:rPr>
        <w:t>fer</w:t>
      </w:r>
      <w:r w:rsidRPr="00012C3F">
        <w:rPr>
          <w:sz w:val="20"/>
          <w:szCs w:val="20"/>
          <w:lang w:val="en-US"/>
        </w:rPr>
        <w:t xml:space="preserve"> the case to the nearest judicial district, corresponding to </w:t>
      </w:r>
      <w:r w:rsidR="00822B95" w:rsidRPr="00012C3F">
        <w:rPr>
          <w:sz w:val="20"/>
          <w:szCs w:val="20"/>
          <w:lang w:val="en-US"/>
        </w:rPr>
        <w:t xml:space="preserve">the town of </w:t>
      </w:r>
      <w:r w:rsidR="007A1A14" w:rsidRPr="00012C3F">
        <w:rPr>
          <w:sz w:val="20"/>
          <w:szCs w:val="20"/>
          <w:lang w:val="en-US"/>
        </w:rPr>
        <w:t>Achacachi</w:t>
      </w:r>
      <w:r w:rsidRPr="00012C3F">
        <w:rPr>
          <w:sz w:val="20"/>
          <w:szCs w:val="20"/>
          <w:lang w:val="en-US"/>
        </w:rPr>
        <w:t>.</w:t>
      </w:r>
      <w:r w:rsidR="007A1A14" w:rsidRPr="00012C3F">
        <w:rPr>
          <w:rStyle w:val="Refdenotaalpie"/>
          <w:sz w:val="20"/>
          <w:szCs w:val="20"/>
          <w:lang w:val="en-US"/>
        </w:rPr>
        <w:footnoteReference w:id="109"/>
      </w:r>
    </w:p>
    <w:p w14:paraId="0B563276" w14:textId="77777777" w:rsidR="007A1A14" w:rsidRPr="00012C3F" w:rsidRDefault="007A1A14" w:rsidP="00E37D44">
      <w:pPr>
        <w:tabs>
          <w:tab w:val="left" w:pos="720"/>
        </w:tabs>
        <w:spacing w:line="240" w:lineRule="auto"/>
        <w:rPr>
          <w:sz w:val="20"/>
          <w:szCs w:val="20"/>
          <w:lang w:val="en-US"/>
        </w:rPr>
      </w:pPr>
    </w:p>
    <w:p w14:paraId="04DA927E" w14:textId="77777777" w:rsidR="007A1A14" w:rsidRPr="00012C3F" w:rsidRDefault="00660869" w:rsidP="00E37D44">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On February 16,</w:t>
      </w:r>
      <w:r w:rsidR="007A1A14" w:rsidRPr="00012C3F">
        <w:rPr>
          <w:sz w:val="20"/>
          <w:szCs w:val="20"/>
          <w:lang w:val="en-US"/>
        </w:rPr>
        <w:t xml:space="preserve"> 2004</w:t>
      </w:r>
      <w:r w:rsidRPr="00012C3F">
        <w:rPr>
          <w:sz w:val="20"/>
          <w:szCs w:val="20"/>
          <w:lang w:val="en-US"/>
        </w:rPr>
        <w:t>,</w:t>
      </w:r>
      <w:r w:rsidR="007A1A14" w:rsidRPr="00012C3F">
        <w:rPr>
          <w:sz w:val="20"/>
          <w:szCs w:val="20"/>
          <w:lang w:val="en-US"/>
        </w:rPr>
        <w:t xml:space="preserve"> </w:t>
      </w:r>
      <w:r w:rsidRPr="00012C3F">
        <w:rPr>
          <w:sz w:val="20"/>
          <w:szCs w:val="20"/>
          <w:lang w:val="en-US"/>
        </w:rPr>
        <w:t>a</w:t>
      </w:r>
      <w:r w:rsidR="007A1A14" w:rsidRPr="00012C3F">
        <w:rPr>
          <w:sz w:val="20"/>
          <w:szCs w:val="20"/>
          <w:lang w:val="en-US"/>
        </w:rPr>
        <w:t xml:space="preserve"> </w:t>
      </w:r>
      <w:r w:rsidR="00B257AF" w:rsidRPr="00012C3F">
        <w:rPr>
          <w:sz w:val="20"/>
          <w:szCs w:val="20"/>
          <w:lang w:val="en-US"/>
        </w:rPr>
        <w:t>public hearing</w:t>
      </w:r>
      <w:r w:rsidR="007A1A14" w:rsidRPr="00012C3F">
        <w:rPr>
          <w:sz w:val="20"/>
          <w:szCs w:val="20"/>
          <w:lang w:val="en-US"/>
        </w:rPr>
        <w:t xml:space="preserve"> </w:t>
      </w:r>
      <w:r w:rsidRPr="00012C3F">
        <w:rPr>
          <w:sz w:val="20"/>
          <w:szCs w:val="20"/>
          <w:lang w:val="en-US"/>
        </w:rPr>
        <w:t xml:space="preserve">was held to constitute a court before the </w:t>
      </w:r>
      <w:r w:rsidR="007A1A14" w:rsidRPr="00012C3F">
        <w:rPr>
          <w:sz w:val="20"/>
          <w:szCs w:val="20"/>
          <w:lang w:val="en-US"/>
        </w:rPr>
        <w:t>Achacachi</w:t>
      </w:r>
      <w:r w:rsidR="00822B95" w:rsidRPr="00012C3F">
        <w:rPr>
          <w:sz w:val="20"/>
          <w:szCs w:val="20"/>
          <w:lang w:val="en-US"/>
        </w:rPr>
        <w:t xml:space="preserve"> Trial Court</w:t>
      </w:r>
      <w:r w:rsidR="007A1A14" w:rsidRPr="00012C3F">
        <w:rPr>
          <w:sz w:val="20"/>
          <w:szCs w:val="20"/>
          <w:lang w:val="en-US"/>
        </w:rPr>
        <w:t xml:space="preserve">, </w:t>
      </w:r>
      <w:r w:rsidRPr="00012C3F">
        <w:rPr>
          <w:sz w:val="20"/>
          <w:szCs w:val="20"/>
          <w:lang w:val="en-US"/>
        </w:rPr>
        <w:t xml:space="preserve">which determined, having held the hearing and being unable to constitute a court with lay judges, to </w:t>
      </w:r>
      <w:r w:rsidR="00822B95" w:rsidRPr="00012C3F">
        <w:rPr>
          <w:sz w:val="20"/>
          <w:szCs w:val="20"/>
          <w:lang w:val="en-US"/>
        </w:rPr>
        <w:t>remit</w:t>
      </w:r>
      <w:r w:rsidRPr="00012C3F">
        <w:rPr>
          <w:sz w:val="20"/>
          <w:szCs w:val="20"/>
          <w:lang w:val="en-US"/>
        </w:rPr>
        <w:t xml:space="preserve"> the proceedings to the nearest judicial district, which corresponded to </w:t>
      </w:r>
      <w:r w:rsidR="007A1A14" w:rsidRPr="00012C3F">
        <w:rPr>
          <w:sz w:val="20"/>
          <w:szCs w:val="20"/>
          <w:lang w:val="en-US"/>
        </w:rPr>
        <w:t>Copacabana</w:t>
      </w:r>
      <w:r w:rsidRPr="00012C3F">
        <w:rPr>
          <w:sz w:val="20"/>
          <w:szCs w:val="20"/>
          <w:lang w:val="en-US"/>
        </w:rPr>
        <w:t>.</w:t>
      </w:r>
      <w:r w:rsidR="007A1A14" w:rsidRPr="00012C3F">
        <w:rPr>
          <w:rStyle w:val="Refdenotaalpie"/>
          <w:sz w:val="20"/>
          <w:szCs w:val="20"/>
          <w:lang w:val="en-US"/>
        </w:rPr>
        <w:footnoteReference w:id="110"/>
      </w:r>
      <w:r w:rsidRPr="00012C3F">
        <w:rPr>
          <w:sz w:val="20"/>
          <w:szCs w:val="20"/>
          <w:lang w:val="en-US"/>
        </w:rPr>
        <w:t xml:space="preserve"> The case was forwarded to that court on February 19, </w:t>
      </w:r>
      <w:r w:rsidR="007A1A14" w:rsidRPr="00012C3F">
        <w:rPr>
          <w:sz w:val="20"/>
          <w:szCs w:val="20"/>
          <w:lang w:val="en-US"/>
        </w:rPr>
        <w:t>2004</w:t>
      </w:r>
      <w:r w:rsidRPr="00012C3F">
        <w:rPr>
          <w:sz w:val="20"/>
          <w:szCs w:val="20"/>
          <w:lang w:val="en-US"/>
        </w:rPr>
        <w:t>.</w:t>
      </w:r>
      <w:r w:rsidR="007A1A14" w:rsidRPr="00012C3F">
        <w:rPr>
          <w:rStyle w:val="Refdenotaalpie"/>
          <w:sz w:val="20"/>
          <w:szCs w:val="20"/>
          <w:lang w:val="en-US"/>
        </w:rPr>
        <w:footnoteReference w:id="111"/>
      </w:r>
      <w:r w:rsidR="007A1A14" w:rsidRPr="00012C3F">
        <w:rPr>
          <w:sz w:val="20"/>
          <w:szCs w:val="20"/>
          <w:lang w:val="en-US"/>
        </w:rPr>
        <w:t xml:space="preserve"> </w:t>
      </w:r>
      <w:r w:rsidR="000E0704" w:rsidRPr="00012C3F">
        <w:rPr>
          <w:sz w:val="20"/>
          <w:szCs w:val="20"/>
          <w:lang w:val="en-US"/>
        </w:rPr>
        <w:t>On April</w:t>
      </w:r>
      <w:r w:rsidR="007A1A14" w:rsidRPr="00012C3F">
        <w:rPr>
          <w:sz w:val="20"/>
          <w:szCs w:val="20"/>
          <w:lang w:val="en-US"/>
        </w:rPr>
        <w:t xml:space="preserve"> 30</w:t>
      </w:r>
      <w:r w:rsidR="000E0704" w:rsidRPr="00012C3F">
        <w:rPr>
          <w:sz w:val="20"/>
          <w:szCs w:val="20"/>
          <w:lang w:val="en-US"/>
        </w:rPr>
        <w:t xml:space="preserve">, </w:t>
      </w:r>
      <w:r w:rsidR="007A1A14" w:rsidRPr="00012C3F">
        <w:rPr>
          <w:sz w:val="20"/>
          <w:szCs w:val="20"/>
          <w:lang w:val="en-US"/>
        </w:rPr>
        <w:t>2004</w:t>
      </w:r>
      <w:r w:rsidR="000E0704" w:rsidRPr="00012C3F">
        <w:rPr>
          <w:sz w:val="20"/>
          <w:szCs w:val="20"/>
          <w:lang w:val="en-US"/>
        </w:rPr>
        <w:t>, an order was issued to</w:t>
      </w:r>
      <w:r w:rsidR="00822B95" w:rsidRPr="00012C3F">
        <w:rPr>
          <w:sz w:val="20"/>
          <w:szCs w:val="20"/>
          <w:lang w:val="en-US"/>
        </w:rPr>
        <w:t xml:space="preserve"> admit</w:t>
      </w:r>
      <w:r w:rsidR="000E0704" w:rsidRPr="00012C3F">
        <w:rPr>
          <w:sz w:val="20"/>
          <w:szCs w:val="20"/>
          <w:lang w:val="en-US"/>
        </w:rPr>
        <w:t xml:space="preserve"> the </w:t>
      </w:r>
      <w:r w:rsidR="00822B95" w:rsidRPr="00012C3F">
        <w:rPr>
          <w:sz w:val="20"/>
          <w:szCs w:val="20"/>
          <w:lang w:val="en-US"/>
        </w:rPr>
        <w:t>case</w:t>
      </w:r>
      <w:r w:rsidR="000E0704" w:rsidRPr="00012C3F">
        <w:rPr>
          <w:sz w:val="20"/>
          <w:szCs w:val="20"/>
          <w:lang w:val="en-US"/>
        </w:rPr>
        <w:t>.</w:t>
      </w:r>
      <w:r w:rsidR="007A1A14" w:rsidRPr="00012C3F">
        <w:rPr>
          <w:rStyle w:val="Refdenotaalpie"/>
          <w:sz w:val="20"/>
          <w:szCs w:val="20"/>
          <w:lang w:val="en-US"/>
        </w:rPr>
        <w:footnoteReference w:id="112"/>
      </w:r>
    </w:p>
    <w:p w14:paraId="50329309" w14:textId="77777777" w:rsidR="007A1A14" w:rsidRPr="00012C3F" w:rsidRDefault="007A1A14" w:rsidP="007A1A14">
      <w:pPr>
        <w:spacing w:line="240" w:lineRule="auto"/>
        <w:rPr>
          <w:sz w:val="20"/>
          <w:szCs w:val="20"/>
          <w:lang w:val="en-US"/>
        </w:rPr>
      </w:pPr>
    </w:p>
    <w:p w14:paraId="3F3FA101" w14:textId="77777777" w:rsidR="007A1A14" w:rsidRPr="00012C3F" w:rsidRDefault="000E0704" w:rsidP="000E0704">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lastRenderedPageBreak/>
        <w:t>On August 13,</w:t>
      </w:r>
      <w:r w:rsidR="007A1A14" w:rsidRPr="00012C3F">
        <w:rPr>
          <w:sz w:val="20"/>
          <w:szCs w:val="20"/>
          <w:lang w:val="en-US"/>
        </w:rPr>
        <w:t xml:space="preserve"> 2004, </w:t>
      </w:r>
      <w:r w:rsidRPr="00012C3F">
        <w:rPr>
          <w:sz w:val="20"/>
          <w:szCs w:val="20"/>
          <w:lang w:val="en-US"/>
        </w:rPr>
        <w:t xml:space="preserve">following the oral proceeding, </w:t>
      </w:r>
      <w:r w:rsidR="00F63FF1" w:rsidRPr="00012C3F">
        <w:rPr>
          <w:sz w:val="20"/>
          <w:szCs w:val="20"/>
          <w:lang w:val="en-US"/>
        </w:rPr>
        <w:t xml:space="preserve">the Copacabana </w:t>
      </w:r>
      <w:r w:rsidR="001A5E4F" w:rsidRPr="00012C3F">
        <w:rPr>
          <w:sz w:val="20"/>
          <w:szCs w:val="20"/>
          <w:lang w:val="en-US"/>
        </w:rPr>
        <w:t>Trial Court</w:t>
      </w:r>
      <w:r w:rsidR="007A1A14" w:rsidRPr="00012C3F">
        <w:rPr>
          <w:sz w:val="20"/>
          <w:szCs w:val="20"/>
          <w:lang w:val="en-US"/>
        </w:rPr>
        <w:t xml:space="preserve"> </w:t>
      </w:r>
      <w:r w:rsidRPr="00012C3F">
        <w:rPr>
          <w:sz w:val="20"/>
          <w:szCs w:val="20"/>
          <w:lang w:val="en-US"/>
        </w:rPr>
        <w:t xml:space="preserve">composed of three lay judges and a technical judge delivered judgment. In this judgment it rejected the plea of </w:t>
      </w:r>
      <w:r w:rsidR="004A1602" w:rsidRPr="00012C3F">
        <w:rPr>
          <w:sz w:val="20"/>
          <w:szCs w:val="20"/>
          <w:lang w:val="en-US"/>
        </w:rPr>
        <w:t>unfounded proceedings</w:t>
      </w:r>
      <w:r w:rsidRPr="00012C3F">
        <w:rPr>
          <w:sz w:val="20"/>
          <w:szCs w:val="20"/>
          <w:lang w:val="en-US"/>
        </w:rPr>
        <w:t xml:space="preserve"> </w:t>
      </w:r>
      <w:r w:rsidR="007567C2" w:rsidRPr="00012C3F">
        <w:rPr>
          <w:sz w:val="20"/>
          <w:szCs w:val="20"/>
          <w:lang w:val="en-US"/>
        </w:rPr>
        <w:t>filed</w:t>
      </w:r>
      <w:r w:rsidRPr="00012C3F">
        <w:rPr>
          <w:sz w:val="20"/>
          <w:szCs w:val="20"/>
          <w:lang w:val="en-US"/>
        </w:rPr>
        <w:t xml:space="preserve"> by the defense and declared the instructing physician </w:t>
      </w:r>
      <w:r w:rsidR="002D178D" w:rsidRPr="00012C3F">
        <w:rPr>
          <w:sz w:val="20"/>
          <w:szCs w:val="20"/>
          <w:lang w:val="en-US"/>
        </w:rPr>
        <w:t>guilty</w:t>
      </w:r>
      <w:r w:rsidRPr="00012C3F">
        <w:rPr>
          <w:sz w:val="20"/>
          <w:szCs w:val="20"/>
          <w:lang w:val="en-US"/>
        </w:rPr>
        <w:t xml:space="preserve"> of the offense of </w:t>
      </w:r>
      <w:r w:rsidR="00822B95" w:rsidRPr="00012C3F">
        <w:rPr>
          <w:sz w:val="20"/>
          <w:szCs w:val="20"/>
          <w:lang w:val="en-US"/>
        </w:rPr>
        <w:t>negligent bodily harm (</w:t>
      </w:r>
      <w:r w:rsidR="00822B95" w:rsidRPr="00012C3F">
        <w:rPr>
          <w:i/>
          <w:iCs/>
          <w:sz w:val="20"/>
          <w:szCs w:val="20"/>
          <w:lang w:val="en-US"/>
        </w:rPr>
        <w:t>lesión culposa</w:t>
      </w:r>
      <w:r w:rsidR="00822B95" w:rsidRPr="00012C3F">
        <w:rPr>
          <w:sz w:val="20"/>
          <w:szCs w:val="20"/>
          <w:lang w:val="en-US"/>
        </w:rPr>
        <w:t>)</w:t>
      </w:r>
      <w:r w:rsidRPr="00012C3F">
        <w:rPr>
          <w:sz w:val="20"/>
          <w:szCs w:val="20"/>
          <w:lang w:val="en-US"/>
        </w:rPr>
        <w:t xml:space="preserve"> </w:t>
      </w:r>
      <w:r w:rsidR="002D178D" w:rsidRPr="00012C3F">
        <w:rPr>
          <w:sz w:val="20"/>
          <w:szCs w:val="20"/>
          <w:lang w:val="en-US"/>
        </w:rPr>
        <w:t>defined</w:t>
      </w:r>
      <w:r w:rsidRPr="00012C3F">
        <w:rPr>
          <w:sz w:val="20"/>
          <w:szCs w:val="20"/>
          <w:lang w:val="en-US"/>
        </w:rPr>
        <w:t xml:space="preserve"> in a</w:t>
      </w:r>
      <w:r w:rsidR="001254DE" w:rsidRPr="00012C3F">
        <w:rPr>
          <w:sz w:val="20"/>
          <w:szCs w:val="20"/>
          <w:lang w:val="en-US"/>
        </w:rPr>
        <w:t>rticle</w:t>
      </w:r>
      <w:r w:rsidR="007A1A14" w:rsidRPr="00012C3F">
        <w:rPr>
          <w:sz w:val="20"/>
          <w:szCs w:val="20"/>
          <w:lang w:val="en-US"/>
        </w:rPr>
        <w:t xml:space="preserve"> 274</w:t>
      </w:r>
      <w:r w:rsidR="00660869" w:rsidRPr="00012C3F">
        <w:rPr>
          <w:sz w:val="20"/>
          <w:szCs w:val="20"/>
          <w:lang w:val="en-US"/>
        </w:rPr>
        <w:t xml:space="preserve"> of the </w:t>
      </w:r>
      <w:r w:rsidR="00716C7D" w:rsidRPr="00012C3F">
        <w:rPr>
          <w:sz w:val="20"/>
          <w:szCs w:val="20"/>
          <w:lang w:val="en-US"/>
        </w:rPr>
        <w:t>Bolivian Criminal Code</w:t>
      </w:r>
      <w:r w:rsidR="007A1A14" w:rsidRPr="00012C3F">
        <w:rPr>
          <w:sz w:val="20"/>
          <w:szCs w:val="20"/>
          <w:lang w:val="en-US"/>
        </w:rPr>
        <w:t xml:space="preserve">, </w:t>
      </w:r>
      <w:r w:rsidR="002D178D" w:rsidRPr="00012C3F">
        <w:rPr>
          <w:sz w:val="20"/>
          <w:szCs w:val="20"/>
          <w:lang w:val="en-US"/>
        </w:rPr>
        <w:t xml:space="preserve">sentencing him to a fine of </w:t>
      </w:r>
      <w:r w:rsidR="00822B95" w:rsidRPr="00012C3F">
        <w:rPr>
          <w:sz w:val="20"/>
          <w:szCs w:val="20"/>
          <w:lang w:val="en-US"/>
        </w:rPr>
        <w:t>sixty-four thousand</w:t>
      </w:r>
      <w:r w:rsidR="002D178D" w:rsidRPr="00012C3F">
        <w:rPr>
          <w:sz w:val="20"/>
          <w:szCs w:val="20"/>
          <w:lang w:val="en-US"/>
        </w:rPr>
        <w:t xml:space="preserve"> </w:t>
      </w:r>
      <w:r w:rsidR="00822B95" w:rsidRPr="00012C3F">
        <w:rPr>
          <w:sz w:val="20"/>
          <w:szCs w:val="20"/>
          <w:lang w:val="en-US"/>
        </w:rPr>
        <w:t>b</w:t>
      </w:r>
      <w:r w:rsidR="002D178D" w:rsidRPr="00012C3F">
        <w:rPr>
          <w:sz w:val="20"/>
          <w:szCs w:val="20"/>
          <w:lang w:val="en-US"/>
        </w:rPr>
        <w:t>olivianos, plus costs in favor of the State, and reparation of the damage to I.V</w:t>
      </w:r>
      <w:r w:rsidR="000E1C11" w:rsidRPr="00012C3F">
        <w:rPr>
          <w:sz w:val="20"/>
          <w:szCs w:val="20"/>
          <w:lang w:val="en-US"/>
        </w:rPr>
        <w:t>.</w:t>
      </w:r>
      <w:r w:rsidR="007A1A14" w:rsidRPr="00012C3F">
        <w:rPr>
          <w:rStyle w:val="Refdenotaalpie"/>
          <w:sz w:val="20"/>
          <w:szCs w:val="20"/>
          <w:lang w:val="en-US"/>
        </w:rPr>
        <w:footnoteReference w:id="113"/>
      </w:r>
      <w:r w:rsidR="007A1A14" w:rsidRPr="00012C3F">
        <w:rPr>
          <w:sz w:val="20"/>
          <w:szCs w:val="20"/>
          <w:lang w:val="en-US"/>
        </w:rPr>
        <w:t xml:space="preserve"> </w:t>
      </w:r>
    </w:p>
    <w:p w14:paraId="071069F3" w14:textId="77777777" w:rsidR="007A1A14" w:rsidRPr="00012C3F" w:rsidRDefault="007A1A14" w:rsidP="000E0704">
      <w:pPr>
        <w:tabs>
          <w:tab w:val="left" w:pos="720"/>
        </w:tabs>
        <w:spacing w:line="240" w:lineRule="auto"/>
        <w:rPr>
          <w:sz w:val="20"/>
          <w:szCs w:val="20"/>
          <w:lang w:val="en-US"/>
        </w:rPr>
      </w:pPr>
    </w:p>
    <w:p w14:paraId="1BBD46CD" w14:textId="77777777" w:rsidR="007A1A14" w:rsidRPr="00012C3F" w:rsidRDefault="002D178D" w:rsidP="002D178D">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The physician filed a “restricted appeal</w:t>
      </w:r>
      <w:r w:rsidR="008A1B7C" w:rsidRPr="00012C3F">
        <w:rPr>
          <w:sz w:val="20"/>
          <w:szCs w:val="20"/>
          <w:lang w:val="en-US"/>
        </w:rPr>
        <w:t>”</w:t>
      </w:r>
      <w:r w:rsidR="008A1B7C" w:rsidRPr="00012C3F">
        <w:rPr>
          <w:rStyle w:val="Refdenotaalpie"/>
          <w:sz w:val="20"/>
          <w:szCs w:val="20"/>
          <w:lang w:val="en-US"/>
        </w:rPr>
        <w:footnoteReference w:id="114"/>
      </w:r>
      <w:r w:rsidR="007A1A14" w:rsidRPr="00012C3F">
        <w:rPr>
          <w:sz w:val="20"/>
          <w:szCs w:val="20"/>
          <w:lang w:val="en-US"/>
        </w:rPr>
        <w:t xml:space="preserve"> </w:t>
      </w:r>
      <w:r w:rsidRPr="00012C3F">
        <w:rPr>
          <w:sz w:val="20"/>
          <w:szCs w:val="20"/>
          <w:lang w:val="en-US"/>
        </w:rPr>
        <w:t xml:space="preserve">against this sentence arguing, above all, the </w:t>
      </w:r>
      <w:r w:rsidR="004A1602" w:rsidRPr="00012C3F">
        <w:rPr>
          <w:sz w:val="20"/>
          <w:szCs w:val="20"/>
          <w:lang w:val="en-US"/>
        </w:rPr>
        <w:t>obj</w:t>
      </w:r>
      <w:r w:rsidRPr="00012C3F">
        <w:rPr>
          <w:sz w:val="20"/>
          <w:szCs w:val="20"/>
          <w:lang w:val="en-US"/>
        </w:rPr>
        <w:t>e</w:t>
      </w:r>
      <w:r w:rsidR="004A1602" w:rsidRPr="00012C3F">
        <w:rPr>
          <w:sz w:val="20"/>
          <w:szCs w:val="20"/>
          <w:lang w:val="en-US"/>
        </w:rPr>
        <w:t>c</w:t>
      </w:r>
      <w:r w:rsidRPr="00012C3F">
        <w:rPr>
          <w:sz w:val="20"/>
          <w:szCs w:val="20"/>
          <w:lang w:val="en-US"/>
        </w:rPr>
        <w:t xml:space="preserve">tion of </w:t>
      </w:r>
      <w:r w:rsidR="004A1602" w:rsidRPr="00012C3F">
        <w:rPr>
          <w:sz w:val="20"/>
          <w:szCs w:val="20"/>
          <w:lang w:val="en-US"/>
        </w:rPr>
        <w:t>unfounded proceedings</w:t>
      </w:r>
      <w:r w:rsidRPr="00012C3F">
        <w:rPr>
          <w:sz w:val="20"/>
          <w:szCs w:val="20"/>
          <w:lang w:val="en-US"/>
        </w:rPr>
        <w:t xml:space="preserve">, because the Public Prosecution Service should not have filed an action against him, </w:t>
      </w:r>
      <w:r w:rsidR="00822B95" w:rsidRPr="00012C3F">
        <w:rPr>
          <w:sz w:val="20"/>
          <w:szCs w:val="20"/>
          <w:lang w:val="en-US"/>
        </w:rPr>
        <w:t>since</w:t>
      </w:r>
      <w:r w:rsidRPr="00012C3F">
        <w:rPr>
          <w:sz w:val="20"/>
          <w:szCs w:val="20"/>
          <w:lang w:val="en-US"/>
        </w:rPr>
        <w:t>, as a medical professional, his actions were subject to specific rules and regulations.</w:t>
      </w:r>
      <w:r w:rsidR="007A1A14" w:rsidRPr="00012C3F">
        <w:rPr>
          <w:rStyle w:val="Refdenotaalpie"/>
          <w:sz w:val="20"/>
          <w:szCs w:val="20"/>
          <w:lang w:val="en-US"/>
        </w:rPr>
        <w:footnoteReference w:id="115"/>
      </w:r>
      <w:r w:rsidRPr="00012C3F">
        <w:rPr>
          <w:sz w:val="20"/>
          <w:szCs w:val="20"/>
          <w:lang w:val="en-US"/>
        </w:rPr>
        <w:t xml:space="preserve"> </w:t>
      </w:r>
      <w:r w:rsidR="007A1A14" w:rsidRPr="00012C3F">
        <w:rPr>
          <w:sz w:val="20"/>
          <w:szCs w:val="20"/>
          <w:lang w:val="en-US"/>
        </w:rPr>
        <w:t xml:space="preserve"> </w:t>
      </w:r>
      <w:r w:rsidRPr="00012C3F">
        <w:rPr>
          <w:sz w:val="20"/>
          <w:szCs w:val="20"/>
          <w:lang w:val="en-US"/>
        </w:rPr>
        <w:t>The Second Criminal Chamber</w:t>
      </w:r>
      <w:r w:rsidR="001254DE" w:rsidRPr="00012C3F">
        <w:rPr>
          <w:sz w:val="20"/>
          <w:szCs w:val="20"/>
          <w:lang w:val="en-US"/>
        </w:rPr>
        <w:t xml:space="preserve"> of the </w:t>
      </w:r>
      <w:r w:rsidR="00280806" w:rsidRPr="00012C3F">
        <w:rPr>
          <w:sz w:val="20"/>
          <w:szCs w:val="20"/>
          <w:lang w:val="en-US"/>
        </w:rPr>
        <w:t>La Paz Superior Court of Justice</w:t>
      </w:r>
      <w:r w:rsidR="004D4E43" w:rsidRPr="00012C3F">
        <w:rPr>
          <w:sz w:val="20"/>
          <w:szCs w:val="20"/>
          <w:lang w:val="en-US"/>
        </w:rPr>
        <w:t xml:space="preserve"> </w:t>
      </w:r>
      <w:r w:rsidRPr="00012C3F">
        <w:rPr>
          <w:sz w:val="20"/>
          <w:szCs w:val="20"/>
          <w:lang w:val="en-US"/>
        </w:rPr>
        <w:t>required that the formal defects and omissions noted in the appeal be rectified.</w:t>
      </w:r>
      <w:r w:rsidR="007A1A14" w:rsidRPr="00012C3F">
        <w:rPr>
          <w:rStyle w:val="Refdenotaalpie"/>
          <w:sz w:val="20"/>
          <w:szCs w:val="20"/>
          <w:lang w:val="en-US"/>
        </w:rPr>
        <w:footnoteReference w:id="116"/>
      </w:r>
      <w:r w:rsidRPr="00012C3F">
        <w:rPr>
          <w:sz w:val="20"/>
          <w:szCs w:val="20"/>
          <w:lang w:val="en-US"/>
        </w:rPr>
        <w:t xml:space="preserve"> Meanwhile, in response to the restricted appeal,</w:t>
      </w:r>
      <w:r w:rsidR="007A1A14" w:rsidRPr="00012C3F">
        <w:rPr>
          <w:sz w:val="20"/>
          <w:szCs w:val="20"/>
          <w:lang w:val="en-US"/>
        </w:rPr>
        <w:t xml:space="preserve"> </w:t>
      </w:r>
      <w:r w:rsidR="000E1C11" w:rsidRPr="00012C3F">
        <w:rPr>
          <w:sz w:val="20"/>
          <w:szCs w:val="20"/>
          <w:lang w:val="en-US"/>
        </w:rPr>
        <w:t>I.V.</w:t>
      </w:r>
      <w:r w:rsidR="007A1A14" w:rsidRPr="00012C3F">
        <w:rPr>
          <w:sz w:val="20"/>
          <w:szCs w:val="20"/>
          <w:lang w:val="en-US"/>
        </w:rPr>
        <w:t xml:space="preserve"> </w:t>
      </w:r>
      <w:r w:rsidRPr="00012C3F">
        <w:rPr>
          <w:sz w:val="20"/>
          <w:szCs w:val="20"/>
          <w:lang w:val="en-US"/>
        </w:rPr>
        <w:t xml:space="preserve">asked the Court to confirm the judgment </w:t>
      </w:r>
      <w:r w:rsidR="004A1602" w:rsidRPr="00012C3F">
        <w:rPr>
          <w:sz w:val="20"/>
          <w:szCs w:val="20"/>
          <w:lang w:val="en-US"/>
        </w:rPr>
        <w:t xml:space="preserve">that had been </w:t>
      </w:r>
      <w:r w:rsidRPr="00012C3F">
        <w:rPr>
          <w:sz w:val="20"/>
          <w:szCs w:val="20"/>
          <w:lang w:val="en-US"/>
        </w:rPr>
        <w:t xml:space="preserve">delivered and argued that “the main purpose [of the appeal was] to gain time so that in February </w:t>
      </w:r>
      <w:r w:rsidR="007A1A14" w:rsidRPr="00012C3F">
        <w:rPr>
          <w:sz w:val="20"/>
          <w:szCs w:val="20"/>
          <w:lang w:val="en-US"/>
        </w:rPr>
        <w:t xml:space="preserve">[2005] </w:t>
      </w:r>
      <w:r w:rsidRPr="00012C3F">
        <w:rPr>
          <w:sz w:val="20"/>
          <w:szCs w:val="20"/>
          <w:lang w:val="en-US"/>
        </w:rPr>
        <w:t>the criminal action would extinguish.</w:t>
      </w:r>
      <w:r w:rsidR="007A1A14" w:rsidRPr="00012C3F">
        <w:rPr>
          <w:sz w:val="20"/>
          <w:szCs w:val="20"/>
          <w:lang w:val="en-US"/>
        </w:rPr>
        <w:t>”</w:t>
      </w:r>
      <w:r w:rsidR="007A1A14" w:rsidRPr="00012C3F">
        <w:rPr>
          <w:rStyle w:val="Refdenotaalpie"/>
          <w:sz w:val="20"/>
          <w:szCs w:val="20"/>
          <w:lang w:val="en-US"/>
        </w:rPr>
        <w:footnoteReference w:id="117"/>
      </w:r>
    </w:p>
    <w:p w14:paraId="4751F0CD" w14:textId="77777777" w:rsidR="007A1A14" w:rsidRPr="00012C3F" w:rsidRDefault="007A1A14" w:rsidP="000E0704">
      <w:pPr>
        <w:tabs>
          <w:tab w:val="left" w:pos="720"/>
        </w:tabs>
        <w:spacing w:line="240" w:lineRule="auto"/>
        <w:rPr>
          <w:sz w:val="20"/>
          <w:szCs w:val="20"/>
          <w:lang w:val="en-US"/>
        </w:rPr>
      </w:pPr>
    </w:p>
    <w:p w14:paraId="2D8FC982" w14:textId="77777777" w:rsidR="007A1A14" w:rsidRPr="00012C3F" w:rsidRDefault="002D178D" w:rsidP="000E0704">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The appeal was decided by the Second Criminal Chamber</w:t>
      </w:r>
      <w:r w:rsidR="001254DE" w:rsidRPr="00012C3F">
        <w:rPr>
          <w:sz w:val="20"/>
          <w:szCs w:val="20"/>
          <w:lang w:val="en-US"/>
        </w:rPr>
        <w:t xml:space="preserve"> of the </w:t>
      </w:r>
      <w:r w:rsidR="00280806" w:rsidRPr="00012C3F">
        <w:rPr>
          <w:sz w:val="20"/>
          <w:szCs w:val="20"/>
          <w:lang w:val="en-US"/>
        </w:rPr>
        <w:t>La Paz Superior Court of Justice</w:t>
      </w:r>
      <w:r w:rsidR="007A1A14" w:rsidRPr="00012C3F">
        <w:rPr>
          <w:sz w:val="20"/>
          <w:szCs w:val="20"/>
          <w:lang w:val="en-US"/>
        </w:rPr>
        <w:t xml:space="preserve"> </w:t>
      </w:r>
      <w:r w:rsidRPr="00012C3F">
        <w:rPr>
          <w:sz w:val="20"/>
          <w:szCs w:val="20"/>
          <w:lang w:val="en-US"/>
        </w:rPr>
        <w:t>on October 22,</w:t>
      </w:r>
      <w:r w:rsidR="007A1A14" w:rsidRPr="00012C3F">
        <w:rPr>
          <w:sz w:val="20"/>
          <w:szCs w:val="20"/>
          <w:lang w:val="en-US"/>
        </w:rPr>
        <w:t xml:space="preserve"> 2004</w:t>
      </w:r>
      <w:r w:rsidRPr="00012C3F">
        <w:rPr>
          <w:sz w:val="20"/>
          <w:szCs w:val="20"/>
          <w:lang w:val="en-US"/>
        </w:rPr>
        <w:t>.</w:t>
      </w:r>
      <w:r w:rsidR="007A1A14" w:rsidRPr="00012C3F">
        <w:rPr>
          <w:rStyle w:val="Refdenotaalpie"/>
          <w:sz w:val="20"/>
          <w:szCs w:val="20"/>
          <w:lang w:val="en-US"/>
        </w:rPr>
        <w:footnoteReference w:id="118"/>
      </w:r>
      <w:r w:rsidRPr="00012C3F">
        <w:rPr>
          <w:sz w:val="20"/>
          <w:szCs w:val="20"/>
          <w:lang w:val="en-US"/>
        </w:rPr>
        <w:t xml:space="preserve"> The Chamber annulle</w:t>
      </w:r>
      <w:r w:rsidR="004A1602" w:rsidRPr="00012C3F">
        <w:rPr>
          <w:sz w:val="20"/>
          <w:szCs w:val="20"/>
          <w:lang w:val="en-US"/>
        </w:rPr>
        <w:t xml:space="preserve">d </w:t>
      </w:r>
      <w:r w:rsidRPr="00012C3F">
        <w:rPr>
          <w:sz w:val="20"/>
          <w:szCs w:val="20"/>
          <w:lang w:val="en-US"/>
        </w:rPr>
        <w:t>the</w:t>
      </w:r>
      <w:r w:rsidR="004A1602" w:rsidRPr="00012C3F">
        <w:rPr>
          <w:sz w:val="20"/>
          <w:szCs w:val="20"/>
          <w:lang w:val="en-US"/>
        </w:rPr>
        <w:t xml:space="preserve"> appealed</w:t>
      </w:r>
      <w:r w:rsidRPr="00012C3F">
        <w:rPr>
          <w:sz w:val="20"/>
          <w:szCs w:val="20"/>
          <w:lang w:val="en-US"/>
        </w:rPr>
        <w:t xml:space="preserve"> judgment in its entirety and ordered that the </w:t>
      </w:r>
      <w:r w:rsidR="004A1602" w:rsidRPr="00012C3F">
        <w:rPr>
          <w:sz w:val="20"/>
          <w:szCs w:val="20"/>
          <w:lang w:val="en-US"/>
        </w:rPr>
        <w:t>case</w:t>
      </w:r>
      <w:r w:rsidRPr="00012C3F">
        <w:rPr>
          <w:sz w:val="20"/>
          <w:szCs w:val="20"/>
          <w:lang w:val="en-US"/>
        </w:rPr>
        <w:t xml:space="preserve"> be heard by another court. As grounds for this decision, the Chamber considered that the appealed judgment had not complied fully with the legal provisions regulating the formal requirements and t</w:t>
      </w:r>
      <w:r w:rsidR="004A1602" w:rsidRPr="00012C3F">
        <w:rPr>
          <w:sz w:val="20"/>
          <w:szCs w:val="20"/>
          <w:lang w:val="en-US"/>
        </w:rPr>
        <w:t xml:space="preserve">he </w:t>
      </w:r>
      <w:r w:rsidR="00665CDA" w:rsidRPr="00012C3F">
        <w:rPr>
          <w:sz w:val="20"/>
          <w:szCs w:val="20"/>
          <w:lang w:val="en-US"/>
        </w:rPr>
        <w:t>substantiation of</w:t>
      </w:r>
      <w:r w:rsidRPr="00012C3F">
        <w:rPr>
          <w:sz w:val="20"/>
          <w:szCs w:val="20"/>
          <w:lang w:val="en-US"/>
        </w:rPr>
        <w:t xml:space="preserve"> the judgment.</w:t>
      </w:r>
      <w:r w:rsidR="007A1A14" w:rsidRPr="00012C3F">
        <w:rPr>
          <w:rStyle w:val="Refdenotaalpie"/>
          <w:sz w:val="20"/>
          <w:szCs w:val="20"/>
          <w:lang w:val="en-US"/>
        </w:rPr>
        <w:footnoteReference w:id="119"/>
      </w:r>
    </w:p>
    <w:p w14:paraId="00323C53" w14:textId="77777777" w:rsidR="007A1A14" w:rsidRPr="00012C3F" w:rsidRDefault="007A1A14" w:rsidP="000E0704">
      <w:pPr>
        <w:tabs>
          <w:tab w:val="left" w:pos="720"/>
        </w:tabs>
        <w:spacing w:line="240" w:lineRule="auto"/>
        <w:rPr>
          <w:sz w:val="20"/>
          <w:szCs w:val="20"/>
          <w:lang w:val="en-US"/>
        </w:rPr>
      </w:pPr>
    </w:p>
    <w:p w14:paraId="2240E331" w14:textId="77777777" w:rsidR="007A1A14" w:rsidRPr="00012C3F" w:rsidRDefault="000E1C11" w:rsidP="000E0704">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I.V.</w:t>
      </w:r>
      <w:r w:rsidR="007A1A14" w:rsidRPr="00012C3F">
        <w:rPr>
          <w:sz w:val="20"/>
          <w:szCs w:val="20"/>
          <w:lang w:val="en-US"/>
        </w:rPr>
        <w:t xml:space="preserve"> </w:t>
      </w:r>
      <w:r w:rsidR="002D178D" w:rsidRPr="00012C3F">
        <w:rPr>
          <w:sz w:val="20"/>
          <w:szCs w:val="20"/>
          <w:lang w:val="en-US"/>
        </w:rPr>
        <w:t>filed a cassation appeal against the said decision,</w:t>
      </w:r>
      <w:r w:rsidR="007A1A14" w:rsidRPr="00012C3F">
        <w:rPr>
          <w:rStyle w:val="Refdenotaalpie"/>
          <w:sz w:val="20"/>
          <w:szCs w:val="20"/>
          <w:lang w:val="en-US"/>
        </w:rPr>
        <w:footnoteReference w:id="120"/>
      </w:r>
      <w:r w:rsidR="002D178D" w:rsidRPr="00012C3F">
        <w:rPr>
          <w:sz w:val="20"/>
          <w:szCs w:val="20"/>
          <w:lang w:val="en-US"/>
        </w:rPr>
        <w:t xml:space="preserve"> which was declared inadmissible by the First Criminal Chamber</w:t>
      </w:r>
      <w:r w:rsidR="001254DE" w:rsidRPr="00012C3F">
        <w:rPr>
          <w:sz w:val="20"/>
          <w:szCs w:val="20"/>
          <w:lang w:val="en-US"/>
        </w:rPr>
        <w:t xml:space="preserve"> of the </w:t>
      </w:r>
      <w:r w:rsidR="000B00FB" w:rsidRPr="00012C3F">
        <w:rPr>
          <w:sz w:val="20"/>
          <w:szCs w:val="20"/>
          <w:lang w:val="en-US"/>
        </w:rPr>
        <w:t>Supreme Court of Justice</w:t>
      </w:r>
      <w:r w:rsidR="007A1A14" w:rsidRPr="00012C3F">
        <w:rPr>
          <w:sz w:val="20"/>
          <w:szCs w:val="20"/>
          <w:lang w:val="en-US"/>
        </w:rPr>
        <w:t xml:space="preserve"> </w:t>
      </w:r>
      <w:r w:rsidR="002D178D" w:rsidRPr="00012C3F">
        <w:rPr>
          <w:sz w:val="20"/>
          <w:szCs w:val="20"/>
          <w:lang w:val="en-US"/>
        </w:rPr>
        <w:t>on February 1,</w:t>
      </w:r>
      <w:r w:rsidR="007A1A14" w:rsidRPr="00012C3F">
        <w:rPr>
          <w:sz w:val="20"/>
          <w:szCs w:val="20"/>
          <w:lang w:val="en-US"/>
        </w:rPr>
        <w:t xml:space="preserve"> 2005, </w:t>
      </w:r>
      <w:r w:rsidR="002D178D" w:rsidRPr="00012C3F">
        <w:rPr>
          <w:sz w:val="20"/>
          <w:szCs w:val="20"/>
          <w:lang w:val="en-US"/>
        </w:rPr>
        <w:t xml:space="preserve">considering that, even though the appellant had forwarded the precedents that </w:t>
      </w:r>
      <w:r w:rsidR="004A1602" w:rsidRPr="00012C3F">
        <w:rPr>
          <w:sz w:val="20"/>
          <w:szCs w:val="20"/>
          <w:lang w:val="en-US"/>
        </w:rPr>
        <w:t>she had</w:t>
      </w:r>
      <w:r w:rsidR="002D178D" w:rsidRPr="00012C3F">
        <w:rPr>
          <w:sz w:val="20"/>
          <w:szCs w:val="20"/>
          <w:lang w:val="en-US"/>
        </w:rPr>
        <w:t xml:space="preserve"> cited as </w:t>
      </w:r>
      <w:r w:rsidR="004A1602" w:rsidRPr="00012C3F">
        <w:rPr>
          <w:sz w:val="20"/>
          <w:szCs w:val="20"/>
          <w:lang w:val="en-US"/>
        </w:rPr>
        <w:t xml:space="preserve">being </w:t>
      </w:r>
      <w:r w:rsidR="002D178D" w:rsidRPr="00012C3F">
        <w:rPr>
          <w:sz w:val="20"/>
          <w:szCs w:val="20"/>
          <w:lang w:val="en-US"/>
        </w:rPr>
        <w:t xml:space="preserve">contradictory, she had not “specifie[d] </w:t>
      </w:r>
      <w:r w:rsidR="004A1602" w:rsidRPr="00012C3F">
        <w:rPr>
          <w:sz w:val="20"/>
          <w:szCs w:val="20"/>
          <w:lang w:val="en-US"/>
        </w:rPr>
        <w:t xml:space="preserve">the </w:t>
      </w:r>
      <w:r w:rsidR="002D178D" w:rsidRPr="00012C3F">
        <w:rPr>
          <w:sz w:val="20"/>
          <w:szCs w:val="20"/>
          <w:lang w:val="en-US"/>
        </w:rPr>
        <w:t>simila</w:t>
      </w:r>
      <w:r w:rsidR="00D133E9" w:rsidRPr="00012C3F">
        <w:rPr>
          <w:sz w:val="20"/>
          <w:szCs w:val="20"/>
          <w:lang w:val="en-US"/>
        </w:rPr>
        <w:t>r</w:t>
      </w:r>
      <w:r w:rsidR="002D178D" w:rsidRPr="00012C3F">
        <w:rPr>
          <w:sz w:val="20"/>
          <w:szCs w:val="20"/>
          <w:lang w:val="en-US"/>
        </w:rPr>
        <w:t xml:space="preserve"> facts, or explain[ed] clearly the contradictory </w:t>
      </w:r>
      <w:r w:rsidR="00D133E9" w:rsidRPr="00012C3F">
        <w:rPr>
          <w:sz w:val="20"/>
          <w:szCs w:val="20"/>
          <w:lang w:val="en-US"/>
        </w:rPr>
        <w:t>legal meaning between the</w:t>
      </w:r>
      <w:r w:rsidR="002D178D" w:rsidRPr="00012C3F">
        <w:rPr>
          <w:sz w:val="20"/>
          <w:szCs w:val="20"/>
          <w:lang w:val="en-US"/>
        </w:rPr>
        <w:t xml:space="preserve"> </w:t>
      </w:r>
      <w:r w:rsidR="00D133E9" w:rsidRPr="00012C3F">
        <w:rPr>
          <w:sz w:val="20"/>
          <w:szCs w:val="20"/>
          <w:lang w:val="en-US"/>
        </w:rPr>
        <w:t>contested</w:t>
      </w:r>
      <w:r w:rsidR="007A1A14" w:rsidRPr="00012C3F">
        <w:rPr>
          <w:sz w:val="20"/>
          <w:szCs w:val="20"/>
          <w:lang w:val="en-US"/>
        </w:rPr>
        <w:t xml:space="preserve"> </w:t>
      </w:r>
      <w:r w:rsidR="004A1602" w:rsidRPr="00012C3F">
        <w:rPr>
          <w:sz w:val="20"/>
          <w:szCs w:val="20"/>
          <w:lang w:val="en-US"/>
        </w:rPr>
        <w:t>judgment</w:t>
      </w:r>
      <w:r w:rsidR="00D133E9" w:rsidRPr="00012C3F">
        <w:rPr>
          <w:sz w:val="20"/>
          <w:szCs w:val="20"/>
          <w:lang w:val="en-US"/>
        </w:rPr>
        <w:t xml:space="preserve"> and the precedents</w:t>
      </w:r>
      <w:r w:rsidR="004A1602" w:rsidRPr="00012C3F">
        <w:rPr>
          <w:sz w:val="20"/>
          <w:szCs w:val="20"/>
          <w:lang w:val="en-US"/>
        </w:rPr>
        <w:t xml:space="preserve"> she ha[d]</w:t>
      </w:r>
      <w:r w:rsidR="00D133E9" w:rsidRPr="00012C3F">
        <w:rPr>
          <w:sz w:val="20"/>
          <w:szCs w:val="20"/>
          <w:lang w:val="en-US"/>
        </w:rPr>
        <w:t xml:space="preserve"> forwarded, thus failing to comply with basic requirements</w:t>
      </w:r>
      <w:r w:rsidR="007A1A14" w:rsidRPr="00012C3F">
        <w:rPr>
          <w:sz w:val="20"/>
          <w:szCs w:val="20"/>
          <w:lang w:val="en-US"/>
        </w:rPr>
        <w:t xml:space="preserve"> […]</w:t>
      </w:r>
      <w:r w:rsidR="00287C82" w:rsidRPr="00012C3F">
        <w:rPr>
          <w:sz w:val="20"/>
          <w:szCs w:val="20"/>
          <w:lang w:val="en-US"/>
        </w:rPr>
        <w:t>.</w:t>
      </w:r>
      <w:r w:rsidR="007A1A14" w:rsidRPr="00012C3F">
        <w:rPr>
          <w:sz w:val="20"/>
          <w:szCs w:val="20"/>
          <w:lang w:val="en-US"/>
        </w:rPr>
        <w:t>”</w:t>
      </w:r>
      <w:r w:rsidR="007A1A14" w:rsidRPr="00012C3F">
        <w:rPr>
          <w:rStyle w:val="Refdenotaalpie"/>
          <w:sz w:val="20"/>
          <w:szCs w:val="20"/>
          <w:lang w:val="en-US"/>
        </w:rPr>
        <w:footnoteReference w:id="121"/>
      </w:r>
    </w:p>
    <w:p w14:paraId="2E589AA2" w14:textId="77777777" w:rsidR="007A1A14" w:rsidRPr="00012C3F" w:rsidRDefault="007A1A14" w:rsidP="007A1A14">
      <w:pPr>
        <w:spacing w:line="240" w:lineRule="auto"/>
        <w:rPr>
          <w:sz w:val="20"/>
          <w:szCs w:val="20"/>
          <w:lang w:val="en-US"/>
        </w:rPr>
      </w:pPr>
    </w:p>
    <w:p w14:paraId="1830F3D3" w14:textId="77777777" w:rsidR="007A1A14" w:rsidRPr="00012C3F" w:rsidRDefault="007A1A14" w:rsidP="005D5050">
      <w:pPr>
        <w:pStyle w:val="Ttulo2"/>
        <w:tabs>
          <w:tab w:val="left" w:pos="1701"/>
        </w:tabs>
        <w:spacing w:before="0" w:line="240" w:lineRule="auto"/>
        <w:ind w:left="1134"/>
        <w:rPr>
          <w:rFonts w:ascii="Verdana" w:hAnsi="Verdana"/>
          <w:b w:val="0"/>
          <w:i/>
          <w:color w:val="auto"/>
          <w:sz w:val="20"/>
          <w:szCs w:val="20"/>
          <w:lang w:val="en-US"/>
        </w:rPr>
      </w:pPr>
      <w:bookmarkStart w:id="104" w:name="_Toc27486848"/>
      <w:r w:rsidRPr="00012C3F">
        <w:rPr>
          <w:rFonts w:ascii="Verdana" w:hAnsi="Verdana"/>
          <w:b w:val="0"/>
          <w:i/>
          <w:color w:val="auto"/>
          <w:sz w:val="20"/>
          <w:szCs w:val="20"/>
          <w:lang w:val="en-US"/>
        </w:rPr>
        <w:lastRenderedPageBreak/>
        <w:t xml:space="preserve">E.3 </w:t>
      </w:r>
      <w:r w:rsidRPr="00012C3F">
        <w:rPr>
          <w:rFonts w:ascii="Verdana" w:hAnsi="Verdana"/>
          <w:b w:val="0"/>
          <w:i/>
          <w:color w:val="auto"/>
          <w:sz w:val="20"/>
          <w:szCs w:val="20"/>
          <w:lang w:val="en-US"/>
        </w:rPr>
        <w:tab/>
      </w:r>
      <w:r w:rsidR="006C705C" w:rsidRPr="00012C3F">
        <w:rPr>
          <w:rFonts w:ascii="Verdana" w:hAnsi="Verdana"/>
          <w:b w:val="0"/>
          <w:i/>
          <w:color w:val="auto"/>
          <w:sz w:val="20"/>
          <w:szCs w:val="20"/>
          <w:lang w:val="en-US"/>
        </w:rPr>
        <w:t>Third oral proceeding</w:t>
      </w:r>
      <w:bookmarkEnd w:id="104"/>
    </w:p>
    <w:p w14:paraId="29069742" w14:textId="77777777" w:rsidR="007A1A14" w:rsidRPr="00012C3F" w:rsidRDefault="007A1A14" w:rsidP="007A1A14">
      <w:pPr>
        <w:spacing w:line="240" w:lineRule="auto"/>
        <w:rPr>
          <w:sz w:val="20"/>
          <w:szCs w:val="20"/>
          <w:lang w:val="en-US"/>
        </w:rPr>
      </w:pPr>
    </w:p>
    <w:p w14:paraId="7CE57BE4" w14:textId="77777777" w:rsidR="007A1A14" w:rsidRPr="00012C3F" w:rsidRDefault="001254DE" w:rsidP="001A5E4F">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The </w:t>
      </w:r>
      <w:r w:rsidR="001A5E4F" w:rsidRPr="00012C3F">
        <w:rPr>
          <w:sz w:val="20"/>
          <w:szCs w:val="20"/>
          <w:lang w:val="en-US"/>
        </w:rPr>
        <w:t>Superior Court of Justice</w:t>
      </w:r>
      <w:r w:rsidR="007A1A14" w:rsidRPr="00012C3F">
        <w:rPr>
          <w:sz w:val="20"/>
          <w:szCs w:val="20"/>
          <w:lang w:val="en-US"/>
        </w:rPr>
        <w:t xml:space="preserve"> </w:t>
      </w:r>
      <w:r w:rsidR="001A5E4F" w:rsidRPr="00012C3F">
        <w:rPr>
          <w:sz w:val="20"/>
          <w:szCs w:val="20"/>
          <w:lang w:val="en-US"/>
        </w:rPr>
        <w:t>returned the case to</w:t>
      </w:r>
      <w:r w:rsidR="007A1A14" w:rsidRPr="00012C3F">
        <w:rPr>
          <w:sz w:val="20"/>
          <w:szCs w:val="20"/>
          <w:lang w:val="en-US"/>
        </w:rPr>
        <w:t xml:space="preserve"> </w:t>
      </w:r>
      <w:r w:rsidR="001A5E4F" w:rsidRPr="00012C3F">
        <w:rPr>
          <w:sz w:val="20"/>
          <w:szCs w:val="20"/>
          <w:lang w:val="en-US"/>
        </w:rPr>
        <w:t xml:space="preserve">the </w:t>
      </w:r>
      <w:r w:rsidR="007A1A14" w:rsidRPr="00012C3F">
        <w:rPr>
          <w:sz w:val="20"/>
          <w:szCs w:val="20"/>
          <w:lang w:val="en-US"/>
        </w:rPr>
        <w:t>Copacabana</w:t>
      </w:r>
      <w:r w:rsidR="001A5E4F" w:rsidRPr="00012C3F">
        <w:rPr>
          <w:sz w:val="20"/>
          <w:szCs w:val="20"/>
          <w:lang w:val="en-US"/>
        </w:rPr>
        <w:t xml:space="preserve"> Trial Court,</w:t>
      </w:r>
      <w:r w:rsidR="007A1A14" w:rsidRPr="00012C3F">
        <w:rPr>
          <w:rStyle w:val="Refdenotaalpie"/>
          <w:sz w:val="20"/>
          <w:szCs w:val="20"/>
          <w:lang w:val="en-US"/>
        </w:rPr>
        <w:footnoteReference w:id="122"/>
      </w:r>
      <w:r w:rsidR="001A5E4F" w:rsidRPr="00012C3F">
        <w:rPr>
          <w:sz w:val="20"/>
          <w:szCs w:val="20"/>
          <w:lang w:val="en-US"/>
        </w:rPr>
        <w:t xml:space="preserve"> which, in turn, </w:t>
      </w:r>
      <w:r w:rsidR="00665CDA" w:rsidRPr="00012C3F">
        <w:rPr>
          <w:sz w:val="20"/>
          <w:szCs w:val="20"/>
          <w:lang w:val="en-US"/>
        </w:rPr>
        <w:t>referred</w:t>
      </w:r>
      <w:r w:rsidR="001A5E4F" w:rsidRPr="00012C3F">
        <w:rPr>
          <w:sz w:val="20"/>
          <w:szCs w:val="20"/>
          <w:lang w:val="en-US"/>
        </w:rPr>
        <w:t xml:space="preserve"> the case to the Trial Court</w:t>
      </w:r>
      <w:r w:rsidRPr="00012C3F">
        <w:rPr>
          <w:sz w:val="20"/>
          <w:szCs w:val="20"/>
          <w:lang w:val="en-US"/>
        </w:rPr>
        <w:t xml:space="preserve"> of</w:t>
      </w:r>
      <w:r w:rsidR="007A1A14" w:rsidRPr="00012C3F">
        <w:rPr>
          <w:sz w:val="20"/>
          <w:szCs w:val="20"/>
          <w:lang w:val="en-US"/>
        </w:rPr>
        <w:t xml:space="preserve"> Sica Sica, </w:t>
      </w:r>
      <w:r w:rsidR="001A5E4F" w:rsidRPr="00012C3F">
        <w:rPr>
          <w:sz w:val="20"/>
          <w:szCs w:val="20"/>
          <w:lang w:val="en-US"/>
        </w:rPr>
        <w:t>province of</w:t>
      </w:r>
      <w:r w:rsidR="007A1A14" w:rsidRPr="00012C3F">
        <w:rPr>
          <w:sz w:val="20"/>
          <w:szCs w:val="20"/>
          <w:lang w:val="en-US"/>
        </w:rPr>
        <w:t xml:space="preserve"> Aroma, </w:t>
      </w:r>
      <w:r w:rsidR="001A5E4F" w:rsidRPr="00012C3F">
        <w:rPr>
          <w:sz w:val="20"/>
          <w:szCs w:val="20"/>
          <w:lang w:val="en-US"/>
        </w:rPr>
        <w:t>on August 2,</w:t>
      </w:r>
      <w:r w:rsidR="007A1A14" w:rsidRPr="00012C3F">
        <w:rPr>
          <w:sz w:val="20"/>
          <w:szCs w:val="20"/>
          <w:lang w:val="en-US"/>
        </w:rPr>
        <w:t xml:space="preserve"> 2005</w:t>
      </w:r>
      <w:r w:rsidR="001A5E4F" w:rsidRPr="00012C3F">
        <w:rPr>
          <w:sz w:val="20"/>
          <w:szCs w:val="20"/>
          <w:lang w:val="en-US"/>
        </w:rPr>
        <w:t>,</w:t>
      </w:r>
      <w:r w:rsidR="007A1A14" w:rsidRPr="00012C3F">
        <w:rPr>
          <w:rStyle w:val="Refdenotaalpie"/>
          <w:sz w:val="20"/>
          <w:szCs w:val="20"/>
          <w:lang w:val="en-US"/>
        </w:rPr>
        <w:footnoteReference w:id="123"/>
      </w:r>
      <w:r w:rsidR="007A1A14" w:rsidRPr="00012C3F">
        <w:rPr>
          <w:sz w:val="20"/>
          <w:szCs w:val="20"/>
          <w:lang w:val="en-US"/>
        </w:rPr>
        <w:t xml:space="preserve"> </w:t>
      </w:r>
      <w:r w:rsidR="001A5E4F" w:rsidRPr="00012C3F">
        <w:rPr>
          <w:sz w:val="20"/>
          <w:szCs w:val="20"/>
          <w:lang w:val="en-US"/>
        </w:rPr>
        <w:t xml:space="preserve">and the matter was admitted in this court on August 3, </w:t>
      </w:r>
      <w:r w:rsidR="007A1A14" w:rsidRPr="00012C3F">
        <w:rPr>
          <w:sz w:val="20"/>
          <w:szCs w:val="20"/>
          <w:lang w:val="en-US"/>
        </w:rPr>
        <w:t>2005</w:t>
      </w:r>
      <w:r w:rsidR="001A5E4F" w:rsidRPr="00012C3F">
        <w:rPr>
          <w:sz w:val="20"/>
          <w:szCs w:val="20"/>
          <w:lang w:val="en-US"/>
        </w:rPr>
        <w:t>,</w:t>
      </w:r>
      <w:r w:rsidR="007A1A14" w:rsidRPr="00012C3F">
        <w:rPr>
          <w:rStyle w:val="Refdenotaalpie"/>
          <w:sz w:val="20"/>
          <w:szCs w:val="20"/>
          <w:lang w:val="en-US"/>
        </w:rPr>
        <w:footnoteReference w:id="124"/>
      </w:r>
      <w:r w:rsidR="001A5E4F" w:rsidRPr="00012C3F">
        <w:rPr>
          <w:sz w:val="20"/>
          <w:szCs w:val="20"/>
          <w:lang w:val="en-US"/>
        </w:rPr>
        <w:t xml:space="preserve"> in compliance with the decision of </w:t>
      </w:r>
      <w:r w:rsidR="002D178D" w:rsidRPr="00012C3F">
        <w:rPr>
          <w:sz w:val="20"/>
          <w:szCs w:val="20"/>
          <w:lang w:val="en-US"/>
        </w:rPr>
        <w:t>the Second Criminal Chamber</w:t>
      </w:r>
      <w:r w:rsidRPr="00012C3F">
        <w:rPr>
          <w:sz w:val="20"/>
          <w:szCs w:val="20"/>
          <w:lang w:val="en-US"/>
        </w:rPr>
        <w:t xml:space="preserve"> of the </w:t>
      </w:r>
      <w:r w:rsidR="00280806" w:rsidRPr="00012C3F">
        <w:rPr>
          <w:sz w:val="20"/>
          <w:szCs w:val="20"/>
          <w:lang w:val="en-US"/>
        </w:rPr>
        <w:t>La Paz Superior Court of Justice</w:t>
      </w:r>
      <w:r w:rsidR="007A1A14" w:rsidRPr="00012C3F">
        <w:rPr>
          <w:sz w:val="20"/>
          <w:szCs w:val="20"/>
          <w:lang w:val="en-US"/>
        </w:rPr>
        <w:t xml:space="preserve"> (</w:t>
      </w:r>
      <w:r w:rsidR="007A1A14" w:rsidRPr="00012C3F">
        <w:rPr>
          <w:i/>
          <w:sz w:val="20"/>
          <w:szCs w:val="20"/>
          <w:lang w:val="en-US"/>
        </w:rPr>
        <w:t>supra</w:t>
      </w:r>
      <w:r w:rsidR="007A1A14" w:rsidRPr="00012C3F">
        <w:rPr>
          <w:sz w:val="20"/>
          <w:szCs w:val="20"/>
          <w:lang w:val="en-US"/>
        </w:rPr>
        <w:t xml:space="preserve"> </w:t>
      </w:r>
      <w:r w:rsidR="00370DD4" w:rsidRPr="00012C3F">
        <w:rPr>
          <w:sz w:val="20"/>
          <w:szCs w:val="20"/>
          <w:lang w:val="en-US"/>
        </w:rPr>
        <w:t>para.</w:t>
      </w:r>
      <w:r w:rsidR="007A1A14" w:rsidRPr="00012C3F">
        <w:rPr>
          <w:sz w:val="20"/>
          <w:szCs w:val="20"/>
          <w:lang w:val="en-US"/>
        </w:rPr>
        <w:t xml:space="preserve"> </w:t>
      </w:r>
      <w:r w:rsidR="00FD4F89" w:rsidRPr="00012C3F">
        <w:rPr>
          <w:sz w:val="20"/>
          <w:szCs w:val="20"/>
          <w:lang w:val="en-US"/>
        </w:rPr>
        <w:t>102</w:t>
      </w:r>
      <w:r w:rsidR="007A1A14" w:rsidRPr="00012C3F">
        <w:rPr>
          <w:sz w:val="20"/>
          <w:szCs w:val="20"/>
          <w:lang w:val="en-US"/>
        </w:rPr>
        <w:t>).</w:t>
      </w:r>
    </w:p>
    <w:p w14:paraId="0ACECD85" w14:textId="77777777" w:rsidR="007A1A14" w:rsidRPr="00012C3F" w:rsidRDefault="007A1A14" w:rsidP="001A5E4F">
      <w:pPr>
        <w:tabs>
          <w:tab w:val="left" w:pos="720"/>
        </w:tabs>
        <w:spacing w:line="240" w:lineRule="auto"/>
        <w:rPr>
          <w:sz w:val="20"/>
          <w:szCs w:val="20"/>
          <w:lang w:val="en-US"/>
        </w:rPr>
      </w:pPr>
    </w:p>
    <w:p w14:paraId="3AAF2C2D" w14:textId="77777777" w:rsidR="007A1A14" w:rsidRPr="00012C3F" w:rsidRDefault="001A5E4F" w:rsidP="001A5E4F">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On August 10,</w:t>
      </w:r>
      <w:r w:rsidR="007A1A14" w:rsidRPr="00012C3F">
        <w:rPr>
          <w:sz w:val="20"/>
          <w:szCs w:val="20"/>
          <w:lang w:val="en-US"/>
        </w:rPr>
        <w:t xml:space="preserve"> 2005</w:t>
      </w:r>
      <w:r w:rsidRPr="00012C3F">
        <w:rPr>
          <w:sz w:val="20"/>
          <w:szCs w:val="20"/>
          <w:lang w:val="en-US"/>
        </w:rPr>
        <w:t>,</w:t>
      </w:r>
      <w:r w:rsidR="007A1A14" w:rsidRPr="00012C3F">
        <w:rPr>
          <w:sz w:val="20"/>
          <w:szCs w:val="20"/>
          <w:lang w:val="en-US"/>
        </w:rPr>
        <w:t xml:space="preserve"> </w:t>
      </w:r>
      <w:r w:rsidR="000E1C11" w:rsidRPr="00012C3F">
        <w:rPr>
          <w:sz w:val="20"/>
          <w:szCs w:val="20"/>
          <w:lang w:val="en-US"/>
        </w:rPr>
        <w:t>I.V.</w:t>
      </w:r>
      <w:r w:rsidR="007A1A14" w:rsidRPr="00012C3F">
        <w:rPr>
          <w:sz w:val="20"/>
          <w:szCs w:val="20"/>
          <w:lang w:val="en-US"/>
        </w:rPr>
        <w:t xml:space="preserve"> </w:t>
      </w:r>
      <w:r w:rsidRPr="00012C3F">
        <w:rPr>
          <w:sz w:val="20"/>
          <w:szCs w:val="20"/>
          <w:lang w:val="en-US"/>
        </w:rPr>
        <w:t xml:space="preserve">requested </w:t>
      </w:r>
      <w:r w:rsidR="002D178D" w:rsidRPr="00012C3F">
        <w:rPr>
          <w:sz w:val="20"/>
          <w:szCs w:val="20"/>
          <w:lang w:val="en-US"/>
        </w:rPr>
        <w:t>the Second Criminal Chamber</w:t>
      </w:r>
      <w:r w:rsidR="001254DE" w:rsidRPr="00012C3F">
        <w:rPr>
          <w:sz w:val="20"/>
          <w:szCs w:val="20"/>
          <w:lang w:val="en-US"/>
        </w:rPr>
        <w:t xml:space="preserve"> of the</w:t>
      </w:r>
      <w:r w:rsidRPr="00012C3F">
        <w:rPr>
          <w:sz w:val="20"/>
          <w:szCs w:val="20"/>
          <w:lang w:val="en-US"/>
        </w:rPr>
        <w:t xml:space="preserve"> La Paz</w:t>
      </w:r>
      <w:r w:rsidR="001254DE" w:rsidRPr="00012C3F">
        <w:rPr>
          <w:sz w:val="20"/>
          <w:szCs w:val="20"/>
          <w:lang w:val="en-US"/>
        </w:rPr>
        <w:t xml:space="preserve"> </w:t>
      </w:r>
      <w:r w:rsidR="00843CB6" w:rsidRPr="00012C3F">
        <w:rPr>
          <w:sz w:val="20"/>
          <w:szCs w:val="20"/>
          <w:lang w:val="en-US"/>
        </w:rPr>
        <w:t>Superior Court</w:t>
      </w:r>
      <w:r w:rsidRPr="00012C3F">
        <w:rPr>
          <w:sz w:val="20"/>
          <w:szCs w:val="20"/>
          <w:lang w:val="en-US"/>
        </w:rPr>
        <w:t xml:space="preserve"> to </w:t>
      </w:r>
      <w:r w:rsidR="00665CDA" w:rsidRPr="00012C3F">
        <w:rPr>
          <w:sz w:val="20"/>
          <w:szCs w:val="20"/>
          <w:lang w:val="en-US"/>
        </w:rPr>
        <w:t>refer</w:t>
      </w:r>
      <w:r w:rsidRPr="00012C3F">
        <w:rPr>
          <w:sz w:val="20"/>
          <w:szCs w:val="20"/>
          <w:lang w:val="en-US"/>
        </w:rPr>
        <w:t xml:space="preserve"> the case to La Paz, considering that it was very </w:t>
      </w:r>
      <w:r w:rsidR="00665CDA" w:rsidRPr="00012C3F">
        <w:rPr>
          <w:sz w:val="20"/>
          <w:szCs w:val="20"/>
          <w:lang w:val="en-US"/>
        </w:rPr>
        <w:t>burdensome</w:t>
      </w:r>
      <w:r w:rsidRPr="00012C3F">
        <w:rPr>
          <w:sz w:val="20"/>
          <w:szCs w:val="20"/>
          <w:lang w:val="en-US"/>
        </w:rPr>
        <w:t xml:space="preserve"> for the parties and for the Public Prosecution Service to pursue proceeding</w:t>
      </w:r>
      <w:r w:rsidR="00665CDA" w:rsidRPr="00012C3F">
        <w:rPr>
          <w:sz w:val="20"/>
          <w:szCs w:val="20"/>
          <w:lang w:val="en-US"/>
        </w:rPr>
        <w:t>s</w:t>
      </w:r>
      <w:r w:rsidRPr="00012C3F">
        <w:rPr>
          <w:sz w:val="20"/>
          <w:szCs w:val="20"/>
          <w:lang w:val="en-US"/>
        </w:rPr>
        <w:t xml:space="preserve"> before a jurisdiction that was so far from the place where the supposed offense </w:t>
      </w:r>
      <w:r w:rsidR="00665CDA" w:rsidRPr="00012C3F">
        <w:rPr>
          <w:sz w:val="20"/>
          <w:szCs w:val="20"/>
          <w:lang w:val="en-US"/>
        </w:rPr>
        <w:t>had been committed</w:t>
      </w:r>
      <w:r w:rsidRPr="00012C3F">
        <w:rPr>
          <w:sz w:val="20"/>
          <w:szCs w:val="20"/>
          <w:lang w:val="en-US"/>
        </w:rPr>
        <w:t xml:space="preserve"> and </w:t>
      </w:r>
      <w:r w:rsidR="00665CDA" w:rsidRPr="00012C3F">
        <w:rPr>
          <w:sz w:val="20"/>
          <w:szCs w:val="20"/>
          <w:lang w:val="en-US"/>
        </w:rPr>
        <w:t xml:space="preserve">from </w:t>
      </w:r>
      <w:r w:rsidRPr="00012C3F">
        <w:rPr>
          <w:sz w:val="20"/>
          <w:szCs w:val="20"/>
          <w:lang w:val="en-US"/>
        </w:rPr>
        <w:t>the domicile of the parties.</w:t>
      </w:r>
      <w:r w:rsidR="007A1A14" w:rsidRPr="00012C3F">
        <w:rPr>
          <w:rStyle w:val="Refdenotaalpie"/>
          <w:sz w:val="20"/>
          <w:szCs w:val="20"/>
          <w:lang w:val="en-US"/>
        </w:rPr>
        <w:footnoteReference w:id="125"/>
      </w:r>
    </w:p>
    <w:p w14:paraId="6D3E9169" w14:textId="77777777" w:rsidR="007A1A14" w:rsidRPr="00012C3F" w:rsidRDefault="007A1A14" w:rsidP="001A5E4F">
      <w:pPr>
        <w:tabs>
          <w:tab w:val="left" w:pos="720"/>
        </w:tabs>
        <w:spacing w:line="240" w:lineRule="auto"/>
        <w:rPr>
          <w:sz w:val="20"/>
          <w:szCs w:val="20"/>
          <w:lang w:val="en-US"/>
        </w:rPr>
      </w:pPr>
    </w:p>
    <w:p w14:paraId="145D6BE6" w14:textId="77777777" w:rsidR="000932A6" w:rsidRPr="00012C3F" w:rsidRDefault="001A5E4F" w:rsidP="001A5E4F">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On August 30,</w:t>
      </w:r>
      <w:r w:rsidR="007A1A14" w:rsidRPr="00012C3F">
        <w:rPr>
          <w:sz w:val="20"/>
          <w:szCs w:val="20"/>
          <w:lang w:val="en-US"/>
        </w:rPr>
        <w:t xml:space="preserve"> 2005</w:t>
      </w:r>
      <w:r w:rsidRPr="00012C3F">
        <w:rPr>
          <w:sz w:val="20"/>
          <w:szCs w:val="20"/>
          <w:lang w:val="en-US"/>
        </w:rPr>
        <w:t>,</w:t>
      </w:r>
      <w:r w:rsidR="007A1A14" w:rsidRPr="00012C3F">
        <w:rPr>
          <w:sz w:val="20"/>
          <w:szCs w:val="20"/>
          <w:lang w:val="en-US"/>
        </w:rPr>
        <w:t xml:space="preserve"> </w:t>
      </w:r>
      <w:r w:rsidR="0099356C" w:rsidRPr="00012C3F">
        <w:rPr>
          <w:sz w:val="20"/>
          <w:szCs w:val="20"/>
          <w:lang w:val="en-US"/>
        </w:rPr>
        <w:t>the instructing physician</w:t>
      </w:r>
      <w:r w:rsidR="007A1A14" w:rsidRPr="00012C3F">
        <w:rPr>
          <w:sz w:val="20"/>
          <w:szCs w:val="20"/>
          <w:lang w:val="en-US"/>
        </w:rPr>
        <w:t xml:space="preserve"> </w:t>
      </w:r>
      <w:r w:rsidRPr="00012C3F">
        <w:rPr>
          <w:sz w:val="20"/>
          <w:szCs w:val="20"/>
          <w:lang w:val="en-US"/>
        </w:rPr>
        <w:t>requested the</w:t>
      </w:r>
      <w:r w:rsidR="00660869" w:rsidRPr="00012C3F">
        <w:rPr>
          <w:sz w:val="20"/>
          <w:szCs w:val="20"/>
          <w:lang w:val="en-US"/>
        </w:rPr>
        <w:t xml:space="preserve"> </w:t>
      </w:r>
      <w:r w:rsidR="00287C82" w:rsidRPr="00012C3F">
        <w:rPr>
          <w:sz w:val="20"/>
          <w:szCs w:val="20"/>
          <w:lang w:val="en-US"/>
        </w:rPr>
        <w:t>Sica Sica Trial Court</w:t>
      </w:r>
      <w:r w:rsidRPr="00012C3F">
        <w:rPr>
          <w:sz w:val="20"/>
          <w:szCs w:val="20"/>
          <w:lang w:val="en-US"/>
        </w:rPr>
        <w:t xml:space="preserve"> to extinguish the criminal action owing to the maximum duration of the proceedings.</w:t>
      </w:r>
      <w:r w:rsidR="007A1A14" w:rsidRPr="00012C3F">
        <w:rPr>
          <w:rStyle w:val="Refdenotaalpie"/>
          <w:sz w:val="20"/>
          <w:szCs w:val="20"/>
          <w:lang w:val="en-US"/>
        </w:rPr>
        <w:footnoteReference w:id="126"/>
      </w:r>
    </w:p>
    <w:p w14:paraId="5F0108AE" w14:textId="77777777" w:rsidR="007A1A14" w:rsidRPr="00012C3F" w:rsidRDefault="007A1A14" w:rsidP="001A5E4F">
      <w:pPr>
        <w:tabs>
          <w:tab w:val="left" w:pos="720"/>
        </w:tabs>
        <w:spacing w:line="240" w:lineRule="auto"/>
        <w:rPr>
          <w:sz w:val="20"/>
          <w:szCs w:val="20"/>
          <w:lang w:val="en-US"/>
        </w:rPr>
      </w:pPr>
    </w:p>
    <w:p w14:paraId="45B6E8E8" w14:textId="77777777" w:rsidR="007A1A14" w:rsidRPr="00012C3F" w:rsidRDefault="001A5E4F" w:rsidP="001A5E4F">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On August 23,</w:t>
      </w:r>
      <w:r w:rsidR="007A1A14" w:rsidRPr="00012C3F">
        <w:rPr>
          <w:sz w:val="20"/>
          <w:szCs w:val="20"/>
          <w:lang w:val="en-US"/>
        </w:rPr>
        <w:t xml:space="preserve"> 2005</w:t>
      </w:r>
      <w:r w:rsidRPr="00012C3F">
        <w:rPr>
          <w:sz w:val="20"/>
          <w:szCs w:val="20"/>
          <w:lang w:val="en-US"/>
        </w:rPr>
        <w:t>,</w:t>
      </w:r>
      <w:r w:rsidR="007A1A14" w:rsidRPr="00012C3F">
        <w:rPr>
          <w:sz w:val="20"/>
          <w:szCs w:val="20"/>
          <w:lang w:val="en-US"/>
        </w:rPr>
        <w:t xml:space="preserve"> </w:t>
      </w:r>
      <w:r w:rsidR="000E1C11" w:rsidRPr="00012C3F">
        <w:rPr>
          <w:sz w:val="20"/>
          <w:szCs w:val="20"/>
          <w:lang w:val="en-US"/>
        </w:rPr>
        <w:t>I.V.</w:t>
      </w:r>
      <w:r w:rsidR="007A1A14" w:rsidRPr="00012C3F">
        <w:rPr>
          <w:sz w:val="20"/>
          <w:szCs w:val="20"/>
          <w:lang w:val="en-US"/>
        </w:rPr>
        <w:t xml:space="preserve"> </w:t>
      </w:r>
      <w:r w:rsidRPr="00012C3F">
        <w:rPr>
          <w:sz w:val="20"/>
          <w:szCs w:val="20"/>
          <w:lang w:val="en-US"/>
        </w:rPr>
        <w:t xml:space="preserve">filed a complaint before the District Prosecutor against the prosecutor in charge of her case, indicating that, during the most recent trial, she had had to </w:t>
      </w:r>
      <w:r w:rsidR="00665CDA" w:rsidRPr="00012C3F">
        <w:rPr>
          <w:sz w:val="20"/>
          <w:szCs w:val="20"/>
          <w:lang w:val="en-US"/>
        </w:rPr>
        <w:t>defray the costs of transporting</w:t>
      </w:r>
      <w:r w:rsidRPr="00012C3F">
        <w:rPr>
          <w:sz w:val="20"/>
          <w:szCs w:val="20"/>
          <w:lang w:val="en-US"/>
        </w:rPr>
        <w:t xml:space="preserve"> the forensic physicians and witnesses</w:t>
      </w:r>
      <w:r w:rsidR="00665CDA" w:rsidRPr="00012C3F">
        <w:rPr>
          <w:sz w:val="20"/>
          <w:szCs w:val="20"/>
          <w:lang w:val="en-US"/>
        </w:rPr>
        <w:t xml:space="preserve"> to Copacabana</w:t>
      </w:r>
      <w:r w:rsidRPr="00012C3F">
        <w:rPr>
          <w:sz w:val="20"/>
          <w:szCs w:val="20"/>
          <w:lang w:val="en-US"/>
        </w:rPr>
        <w:t xml:space="preserve">, which had </w:t>
      </w:r>
      <w:r w:rsidR="00665CDA" w:rsidRPr="00012C3F">
        <w:rPr>
          <w:sz w:val="20"/>
          <w:szCs w:val="20"/>
          <w:lang w:val="en-US"/>
        </w:rPr>
        <w:t>involved a heavy financial outlay</w:t>
      </w:r>
      <w:r w:rsidRPr="00012C3F">
        <w:rPr>
          <w:sz w:val="20"/>
          <w:szCs w:val="20"/>
          <w:lang w:val="en-US"/>
        </w:rPr>
        <w:t xml:space="preserve">. She also indicated that the prosecutor had not </w:t>
      </w:r>
      <w:r w:rsidR="009677E7" w:rsidRPr="00012C3F">
        <w:rPr>
          <w:sz w:val="20"/>
          <w:szCs w:val="20"/>
          <w:lang w:val="en-US"/>
        </w:rPr>
        <w:t>made an effort</w:t>
      </w:r>
      <w:r w:rsidRPr="00012C3F">
        <w:rPr>
          <w:sz w:val="20"/>
          <w:szCs w:val="20"/>
          <w:lang w:val="en-US"/>
        </w:rPr>
        <w:t xml:space="preserve"> to take steps </w:t>
      </w:r>
      <w:r w:rsidR="00665CDA" w:rsidRPr="00012C3F">
        <w:rPr>
          <w:sz w:val="20"/>
          <w:szCs w:val="20"/>
          <w:lang w:val="en-US"/>
        </w:rPr>
        <w:t>to prevent</w:t>
      </w:r>
      <w:r w:rsidRPr="00012C3F">
        <w:rPr>
          <w:sz w:val="20"/>
          <w:szCs w:val="20"/>
          <w:lang w:val="en-US"/>
        </w:rPr>
        <w:t xml:space="preserve"> </w:t>
      </w:r>
      <w:r w:rsidR="00665CDA" w:rsidRPr="00012C3F">
        <w:rPr>
          <w:sz w:val="20"/>
          <w:szCs w:val="20"/>
          <w:lang w:val="en-US"/>
        </w:rPr>
        <w:t>a</w:t>
      </w:r>
      <w:r w:rsidRPr="00012C3F">
        <w:rPr>
          <w:sz w:val="20"/>
          <w:szCs w:val="20"/>
          <w:lang w:val="en-US"/>
        </w:rPr>
        <w:t xml:space="preserve"> delay </w:t>
      </w:r>
      <w:r w:rsidR="00665CDA" w:rsidRPr="00012C3F">
        <w:rPr>
          <w:sz w:val="20"/>
          <w:szCs w:val="20"/>
          <w:lang w:val="en-US"/>
        </w:rPr>
        <w:t xml:space="preserve">in </w:t>
      </w:r>
      <w:r w:rsidRPr="00012C3F">
        <w:rPr>
          <w:sz w:val="20"/>
          <w:szCs w:val="20"/>
          <w:lang w:val="en-US"/>
        </w:rPr>
        <w:t>the new criminal trial</w:t>
      </w:r>
      <w:r w:rsidR="00665CDA" w:rsidRPr="00012C3F">
        <w:rPr>
          <w:sz w:val="20"/>
          <w:szCs w:val="20"/>
          <w:lang w:val="en-US"/>
        </w:rPr>
        <w:t xml:space="preserve"> and asked</w:t>
      </w:r>
      <w:r w:rsidRPr="00012C3F">
        <w:rPr>
          <w:sz w:val="20"/>
          <w:szCs w:val="20"/>
          <w:lang w:val="en-US"/>
        </w:rPr>
        <w:t xml:space="preserve"> that another prosecutor be put in charge of the case.</w:t>
      </w:r>
      <w:r w:rsidR="007A1A14" w:rsidRPr="00012C3F">
        <w:rPr>
          <w:rStyle w:val="Refdenotaalpie"/>
          <w:sz w:val="20"/>
          <w:szCs w:val="20"/>
          <w:lang w:val="en-US"/>
        </w:rPr>
        <w:footnoteReference w:id="127"/>
      </w:r>
      <w:r w:rsidRPr="00012C3F">
        <w:rPr>
          <w:sz w:val="20"/>
          <w:szCs w:val="20"/>
          <w:lang w:val="en-US"/>
        </w:rPr>
        <w:t xml:space="preserve"> This request was repeated on September 6, </w:t>
      </w:r>
      <w:r w:rsidR="007A1A14" w:rsidRPr="00012C3F">
        <w:rPr>
          <w:sz w:val="20"/>
          <w:szCs w:val="20"/>
          <w:lang w:val="en-US"/>
        </w:rPr>
        <w:t>2005</w:t>
      </w:r>
      <w:r w:rsidRPr="00012C3F">
        <w:rPr>
          <w:sz w:val="20"/>
          <w:szCs w:val="20"/>
          <w:lang w:val="en-US"/>
        </w:rPr>
        <w:t>.</w:t>
      </w:r>
      <w:r w:rsidR="007A1A14" w:rsidRPr="00012C3F">
        <w:rPr>
          <w:rStyle w:val="Refdenotaalpie"/>
          <w:sz w:val="20"/>
          <w:szCs w:val="20"/>
          <w:lang w:val="en-US"/>
        </w:rPr>
        <w:footnoteReference w:id="128"/>
      </w:r>
      <w:r w:rsidRPr="00012C3F">
        <w:rPr>
          <w:sz w:val="20"/>
          <w:szCs w:val="20"/>
          <w:lang w:val="en-US"/>
        </w:rPr>
        <w:t xml:space="preserve"> Also, on September 6, </w:t>
      </w:r>
      <w:r w:rsidR="007A1A14" w:rsidRPr="00012C3F">
        <w:rPr>
          <w:sz w:val="20"/>
          <w:szCs w:val="20"/>
          <w:lang w:val="en-US"/>
        </w:rPr>
        <w:t>2005</w:t>
      </w:r>
      <w:r w:rsidRPr="00012C3F">
        <w:rPr>
          <w:sz w:val="20"/>
          <w:szCs w:val="20"/>
          <w:lang w:val="en-US"/>
        </w:rPr>
        <w:t xml:space="preserve">, </w:t>
      </w:r>
      <w:r w:rsidR="000E1C11" w:rsidRPr="00012C3F">
        <w:rPr>
          <w:sz w:val="20"/>
          <w:szCs w:val="20"/>
          <w:lang w:val="en-US"/>
        </w:rPr>
        <w:t>I.V.</w:t>
      </w:r>
      <w:r w:rsidR="007A1A14" w:rsidRPr="00012C3F">
        <w:rPr>
          <w:sz w:val="20"/>
          <w:szCs w:val="20"/>
          <w:lang w:val="en-US"/>
        </w:rPr>
        <w:t xml:space="preserve"> </w:t>
      </w:r>
      <w:r w:rsidR="00287C82" w:rsidRPr="00012C3F">
        <w:rPr>
          <w:sz w:val="20"/>
          <w:szCs w:val="20"/>
          <w:lang w:val="en-US"/>
        </w:rPr>
        <w:t>wrote to the</w:t>
      </w:r>
      <w:r w:rsidR="007A1A14" w:rsidRPr="00012C3F">
        <w:rPr>
          <w:sz w:val="20"/>
          <w:szCs w:val="20"/>
          <w:lang w:val="en-US"/>
        </w:rPr>
        <w:t xml:space="preserve"> </w:t>
      </w:r>
      <w:r w:rsidR="00287C82" w:rsidRPr="00012C3F">
        <w:rPr>
          <w:sz w:val="20"/>
          <w:szCs w:val="20"/>
          <w:lang w:val="en-US"/>
        </w:rPr>
        <w:t>Sica Sica Trial Court</w:t>
      </w:r>
      <w:r w:rsidR="007A1A14" w:rsidRPr="00012C3F">
        <w:rPr>
          <w:sz w:val="20"/>
          <w:szCs w:val="20"/>
          <w:lang w:val="en-US"/>
        </w:rPr>
        <w:t xml:space="preserve"> </w:t>
      </w:r>
      <w:r w:rsidR="00287C82" w:rsidRPr="00012C3F">
        <w:rPr>
          <w:sz w:val="20"/>
          <w:szCs w:val="20"/>
          <w:lang w:val="en-US"/>
        </w:rPr>
        <w:t xml:space="preserve">asking that the case be forwarded to La </w:t>
      </w:r>
      <w:r w:rsidR="007A1A14" w:rsidRPr="00012C3F">
        <w:rPr>
          <w:sz w:val="20"/>
          <w:szCs w:val="20"/>
          <w:lang w:val="en-US"/>
        </w:rPr>
        <w:t>Paz</w:t>
      </w:r>
      <w:r w:rsidR="00287C82" w:rsidRPr="00012C3F">
        <w:rPr>
          <w:sz w:val="20"/>
          <w:szCs w:val="20"/>
          <w:lang w:val="en-US"/>
        </w:rPr>
        <w:t>.</w:t>
      </w:r>
      <w:r w:rsidR="007A1A14" w:rsidRPr="00012C3F">
        <w:rPr>
          <w:rStyle w:val="Refdenotaalpie"/>
          <w:sz w:val="20"/>
          <w:szCs w:val="20"/>
          <w:lang w:val="en-US"/>
        </w:rPr>
        <w:footnoteReference w:id="129"/>
      </w:r>
    </w:p>
    <w:p w14:paraId="1511E320" w14:textId="77777777" w:rsidR="007A1A14" w:rsidRPr="00012C3F" w:rsidRDefault="007A1A14" w:rsidP="007A1A14">
      <w:pPr>
        <w:spacing w:line="240" w:lineRule="auto"/>
        <w:rPr>
          <w:sz w:val="20"/>
          <w:szCs w:val="20"/>
          <w:lang w:val="en-US"/>
        </w:rPr>
      </w:pPr>
    </w:p>
    <w:p w14:paraId="6A430A1B" w14:textId="77777777" w:rsidR="007A1A14" w:rsidRPr="00012C3F" w:rsidRDefault="00287C82" w:rsidP="00287C82">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On September 23,</w:t>
      </w:r>
      <w:r w:rsidR="007A1A14" w:rsidRPr="00012C3F">
        <w:rPr>
          <w:sz w:val="20"/>
          <w:szCs w:val="20"/>
          <w:lang w:val="en-US"/>
        </w:rPr>
        <w:t xml:space="preserve"> 2005</w:t>
      </w:r>
      <w:r w:rsidRPr="00012C3F">
        <w:rPr>
          <w:sz w:val="20"/>
          <w:szCs w:val="20"/>
          <w:lang w:val="en-US"/>
        </w:rPr>
        <w:t>,</w:t>
      </w:r>
      <w:r w:rsidR="007A1A14" w:rsidRPr="00012C3F">
        <w:rPr>
          <w:sz w:val="20"/>
          <w:szCs w:val="20"/>
          <w:lang w:val="en-US"/>
        </w:rPr>
        <w:t xml:space="preserve"> </w:t>
      </w:r>
      <w:r w:rsidR="0099356C" w:rsidRPr="00012C3F">
        <w:rPr>
          <w:sz w:val="20"/>
          <w:szCs w:val="20"/>
          <w:lang w:val="en-US"/>
        </w:rPr>
        <w:t>the instructing physician</w:t>
      </w:r>
      <w:r w:rsidR="00DF1FBB" w:rsidRPr="00012C3F">
        <w:rPr>
          <w:sz w:val="20"/>
          <w:szCs w:val="20"/>
          <w:lang w:val="en-US"/>
        </w:rPr>
        <w:t xml:space="preserve"> </w:t>
      </w:r>
      <w:r w:rsidRPr="00012C3F">
        <w:rPr>
          <w:sz w:val="20"/>
          <w:szCs w:val="20"/>
          <w:lang w:val="en-US"/>
        </w:rPr>
        <w:t>asked the</w:t>
      </w:r>
      <w:r w:rsidR="007A1A14" w:rsidRPr="00012C3F">
        <w:rPr>
          <w:sz w:val="20"/>
          <w:szCs w:val="20"/>
          <w:lang w:val="en-US"/>
        </w:rPr>
        <w:t xml:space="preserve"> </w:t>
      </w:r>
      <w:r w:rsidRPr="00012C3F">
        <w:rPr>
          <w:sz w:val="20"/>
          <w:szCs w:val="20"/>
          <w:lang w:val="en-US"/>
        </w:rPr>
        <w:t xml:space="preserve">Sica Sica Trial Court to suspend the hearing of the oral trial </w:t>
      </w:r>
      <w:r w:rsidR="00665CDA" w:rsidRPr="00012C3F">
        <w:rPr>
          <w:sz w:val="20"/>
          <w:szCs w:val="20"/>
          <w:lang w:val="en-US"/>
        </w:rPr>
        <w:t>scheduled</w:t>
      </w:r>
      <w:r w:rsidRPr="00012C3F">
        <w:rPr>
          <w:sz w:val="20"/>
          <w:szCs w:val="20"/>
          <w:lang w:val="en-US"/>
        </w:rPr>
        <w:t xml:space="preserve"> for October 3,</w:t>
      </w:r>
      <w:r w:rsidR="007A1A14" w:rsidRPr="00012C3F">
        <w:rPr>
          <w:sz w:val="20"/>
          <w:szCs w:val="20"/>
          <w:lang w:val="en-US"/>
        </w:rPr>
        <w:t xml:space="preserve"> 2005</w:t>
      </w:r>
      <w:r w:rsidRPr="00012C3F">
        <w:rPr>
          <w:sz w:val="20"/>
          <w:szCs w:val="20"/>
          <w:lang w:val="en-US"/>
        </w:rPr>
        <w:t>.</w:t>
      </w:r>
      <w:r w:rsidR="007A1A14" w:rsidRPr="00012C3F">
        <w:rPr>
          <w:rStyle w:val="Refdenotaalpie"/>
          <w:sz w:val="20"/>
          <w:szCs w:val="20"/>
          <w:lang w:val="en-US"/>
        </w:rPr>
        <w:footnoteReference w:id="130"/>
      </w:r>
      <w:r w:rsidR="007A1A14" w:rsidRPr="00012C3F">
        <w:rPr>
          <w:sz w:val="20"/>
          <w:szCs w:val="20"/>
          <w:lang w:val="en-US"/>
        </w:rPr>
        <w:t xml:space="preserve"> </w:t>
      </w:r>
      <w:r w:rsidRPr="00012C3F">
        <w:rPr>
          <w:sz w:val="20"/>
          <w:szCs w:val="20"/>
          <w:lang w:val="en-US"/>
        </w:rPr>
        <w:t>The Court admitted this request and set</w:t>
      </w:r>
      <w:r w:rsidR="00665CDA" w:rsidRPr="00012C3F">
        <w:rPr>
          <w:sz w:val="20"/>
          <w:szCs w:val="20"/>
          <w:lang w:val="en-US"/>
        </w:rPr>
        <w:t xml:space="preserve"> October 12, 2005, as the </w:t>
      </w:r>
      <w:r w:rsidRPr="00012C3F">
        <w:rPr>
          <w:sz w:val="20"/>
          <w:szCs w:val="20"/>
          <w:lang w:val="en-US"/>
        </w:rPr>
        <w:t>new date for the hearing.</w:t>
      </w:r>
      <w:r w:rsidR="007A1A14" w:rsidRPr="00012C3F">
        <w:rPr>
          <w:rStyle w:val="Refdenotaalpie"/>
          <w:sz w:val="20"/>
          <w:szCs w:val="20"/>
          <w:lang w:val="en-US"/>
        </w:rPr>
        <w:footnoteReference w:id="131"/>
      </w:r>
    </w:p>
    <w:p w14:paraId="28E79297" w14:textId="77777777" w:rsidR="007A1A14" w:rsidRPr="00012C3F" w:rsidRDefault="007A1A14" w:rsidP="007A1A14">
      <w:pPr>
        <w:spacing w:line="240" w:lineRule="auto"/>
        <w:rPr>
          <w:sz w:val="20"/>
          <w:szCs w:val="20"/>
          <w:lang w:val="en-US"/>
        </w:rPr>
      </w:pPr>
    </w:p>
    <w:p w14:paraId="56EF6A18" w14:textId="77777777" w:rsidR="007A1A14" w:rsidRPr="00012C3F" w:rsidRDefault="00287C82" w:rsidP="00287C82">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On January 20,</w:t>
      </w:r>
      <w:r w:rsidR="007A1A14" w:rsidRPr="00012C3F">
        <w:rPr>
          <w:sz w:val="20"/>
          <w:szCs w:val="20"/>
          <w:lang w:val="en-US"/>
        </w:rPr>
        <w:t xml:space="preserve"> 2006</w:t>
      </w:r>
      <w:r w:rsidRPr="00012C3F">
        <w:rPr>
          <w:sz w:val="20"/>
          <w:szCs w:val="20"/>
          <w:lang w:val="en-US"/>
        </w:rPr>
        <w:t>,</w:t>
      </w:r>
      <w:r w:rsidR="007A1A14" w:rsidRPr="00012C3F">
        <w:rPr>
          <w:sz w:val="20"/>
          <w:szCs w:val="20"/>
          <w:lang w:val="en-US"/>
        </w:rPr>
        <w:t xml:space="preserve"> </w:t>
      </w:r>
      <w:r w:rsidR="00660869" w:rsidRPr="00012C3F">
        <w:rPr>
          <w:sz w:val="20"/>
          <w:szCs w:val="20"/>
          <w:lang w:val="en-US"/>
        </w:rPr>
        <w:t xml:space="preserve">the </w:t>
      </w:r>
      <w:r w:rsidRPr="00012C3F">
        <w:rPr>
          <w:sz w:val="20"/>
          <w:szCs w:val="20"/>
          <w:lang w:val="en-US"/>
        </w:rPr>
        <w:t>Sica Sica Trial Court</w:t>
      </w:r>
      <w:r w:rsidR="007A1A14" w:rsidRPr="00012C3F">
        <w:rPr>
          <w:sz w:val="20"/>
          <w:szCs w:val="20"/>
          <w:lang w:val="en-US"/>
        </w:rPr>
        <w:t xml:space="preserve"> </w:t>
      </w:r>
      <w:r w:rsidRPr="00012C3F">
        <w:rPr>
          <w:sz w:val="20"/>
          <w:szCs w:val="20"/>
          <w:lang w:val="en-US"/>
        </w:rPr>
        <w:t>declared that it lack</w:t>
      </w:r>
      <w:r w:rsidR="00665CDA" w:rsidRPr="00012C3F">
        <w:rPr>
          <w:sz w:val="20"/>
          <w:szCs w:val="20"/>
          <w:lang w:val="en-US"/>
        </w:rPr>
        <w:t>ed</w:t>
      </w:r>
      <w:r w:rsidRPr="00012C3F">
        <w:rPr>
          <w:sz w:val="20"/>
          <w:szCs w:val="20"/>
          <w:lang w:val="en-US"/>
        </w:rPr>
        <w:t xml:space="preserve"> jurisdiction to continue hearing the proceedings and decided to </w:t>
      </w:r>
      <w:r w:rsidR="00665CDA" w:rsidRPr="00012C3F">
        <w:rPr>
          <w:sz w:val="20"/>
          <w:szCs w:val="20"/>
          <w:lang w:val="en-US"/>
        </w:rPr>
        <w:t>refer</w:t>
      </w:r>
      <w:r w:rsidRPr="00012C3F">
        <w:rPr>
          <w:sz w:val="20"/>
          <w:szCs w:val="20"/>
          <w:lang w:val="en-US"/>
        </w:rPr>
        <w:t xml:space="preserve"> the case to </w:t>
      </w:r>
      <w:r w:rsidR="001254DE" w:rsidRPr="00012C3F">
        <w:rPr>
          <w:sz w:val="20"/>
          <w:szCs w:val="20"/>
          <w:lang w:val="en-US"/>
        </w:rPr>
        <w:t xml:space="preserve">the </w:t>
      </w:r>
      <w:r w:rsidR="00280806" w:rsidRPr="00012C3F">
        <w:rPr>
          <w:sz w:val="20"/>
          <w:szCs w:val="20"/>
          <w:lang w:val="en-US"/>
        </w:rPr>
        <w:t>La Paz Superior Court of Justice</w:t>
      </w:r>
      <w:r w:rsidR="007A1A14" w:rsidRPr="00012C3F">
        <w:rPr>
          <w:sz w:val="20"/>
          <w:szCs w:val="20"/>
          <w:lang w:val="en-US"/>
        </w:rPr>
        <w:t xml:space="preserve">, </w:t>
      </w:r>
      <w:r w:rsidR="005D0B77" w:rsidRPr="00012C3F">
        <w:rPr>
          <w:sz w:val="20"/>
          <w:szCs w:val="20"/>
          <w:lang w:val="en-US"/>
        </w:rPr>
        <w:t xml:space="preserve">so that it could determine whether to </w:t>
      </w:r>
      <w:r w:rsidR="00665CDA" w:rsidRPr="00012C3F">
        <w:rPr>
          <w:sz w:val="20"/>
          <w:szCs w:val="20"/>
          <w:lang w:val="en-US"/>
        </w:rPr>
        <w:t>forward it</w:t>
      </w:r>
      <w:r w:rsidR="005D0B77" w:rsidRPr="00012C3F">
        <w:rPr>
          <w:sz w:val="20"/>
          <w:szCs w:val="20"/>
          <w:lang w:val="en-US"/>
        </w:rPr>
        <w:t xml:space="preserve"> to the competent trial court</w:t>
      </w:r>
      <w:r w:rsidR="007A1A14" w:rsidRPr="00012C3F">
        <w:rPr>
          <w:sz w:val="20"/>
          <w:szCs w:val="20"/>
          <w:lang w:val="en-US"/>
        </w:rPr>
        <w:t xml:space="preserve"> </w:t>
      </w:r>
      <w:r w:rsidR="005D0B77" w:rsidRPr="00012C3F">
        <w:rPr>
          <w:sz w:val="20"/>
          <w:szCs w:val="20"/>
          <w:lang w:val="en-US"/>
        </w:rPr>
        <w:t>of</w:t>
      </w:r>
      <w:r w:rsidR="007A1A14" w:rsidRPr="00012C3F">
        <w:rPr>
          <w:sz w:val="20"/>
          <w:szCs w:val="20"/>
          <w:lang w:val="en-US"/>
        </w:rPr>
        <w:t xml:space="preserve"> La Paz</w:t>
      </w:r>
      <w:r w:rsidR="005D0B77" w:rsidRPr="00012C3F">
        <w:rPr>
          <w:sz w:val="20"/>
          <w:szCs w:val="20"/>
          <w:lang w:val="en-US"/>
        </w:rPr>
        <w:t>.</w:t>
      </w:r>
      <w:r w:rsidR="007A1A14" w:rsidRPr="00012C3F">
        <w:rPr>
          <w:rStyle w:val="Refdenotaalpie"/>
          <w:sz w:val="20"/>
          <w:szCs w:val="20"/>
          <w:lang w:val="en-US"/>
        </w:rPr>
        <w:footnoteReference w:id="132"/>
      </w:r>
      <w:r w:rsidR="005D0B77" w:rsidRPr="00012C3F">
        <w:rPr>
          <w:sz w:val="20"/>
          <w:szCs w:val="20"/>
          <w:lang w:val="en-US"/>
        </w:rPr>
        <w:t xml:space="preserve"> </w:t>
      </w:r>
      <w:r w:rsidR="007A1A14" w:rsidRPr="00012C3F">
        <w:rPr>
          <w:sz w:val="20"/>
          <w:szCs w:val="20"/>
          <w:lang w:val="en-US"/>
        </w:rPr>
        <w:t xml:space="preserve"> </w:t>
      </w:r>
      <w:r w:rsidR="005D0B77" w:rsidRPr="00012C3F">
        <w:rPr>
          <w:sz w:val="20"/>
          <w:szCs w:val="20"/>
          <w:lang w:val="en-US"/>
        </w:rPr>
        <w:lastRenderedPageBreak/>
        <w:t>On February 10,</w:t>
      </w:r>
      <w:r w:rsidR="007A1A14" w:rsidRPr="00012C3F">
        <w:rPr>
          <w:sz w:val="20"/>
          <w:szCs w:val="20"/>
          <w:lang w:val="en-US"/>
        </w:rPr>
        <w:t xml:space="preserve"> 2006</w:t>
      </w:r>
      <w:r w:rsidR="005D0B77" w:rsidRPr="00012C3F">
        <w:rPr>
          <w:sz w:val="20"/>
          <w:szCs w:val="20"/>
          <w:lang w:val="en-US"/>
        </w:rPr>
        <w:t>,</w:t>
      </w:r>
      <w:r w:rsidR="007A1A14" w:rsidRPr="00012C3F">
        <w:rPr>
          <w:sz w:val="20"/>
          <w:szCs w:val="20"/>
          <w:lang w:val="en-US"/>
        </w:rPr>
        <w:t xml:space="preserve"> </w:t>
      </w:r>
      <w:r w:rsidR="002D178D" w:rsidRPr="00012C3F">
        <w:rPr>
          <w:sz w:val="20"/>
          <w:szCs w:val="20"/>
          <w:lang w:val="en-US"/>
        </w:rPr>
        <w:t>the Second Criminal Chamber</w:t>
      </w:r>
      <w:r w:rsidR="001254DE" w:rsidRPr="00012C3F">
        <w:rPr>
          <w:sz w:val="20"/>
          <w:szCs w:val="20"/>
          <w:lang w:val="en-US"/>
        </w:rPr>
        <w:t xml:space="preserve"> of the </w:t>
      </w:r>
      <w:r w:rsidR="00280806" w:rsidRPr="00012C3F">
        <w:rPr>
          <w:sz w:val="20"/>
          <w:szCs w:val="20"/>
          <w:lang w:val="en-US"/>
        </w:rPr>
        <w:t>La Paz Superior Court of Justice</w:t>
      </w:r>
      <w:r w:rsidR="007A1A14" w:rsidRPr="00012C3F">
        <w:rPr>
          <w:sz w:val="20"/>
          <w:szCs w:val="20"/>
          <w:lang w:val="en-US"/>
        </w:rPr>
        <w:t xml:space="preserve"> </w:t>
      </w:r>
      <w:r w:rsidR="005D0B77" w:rsidRPr="00012C3F">
        <w:rPr>
          <w:sz w:val="20"/>
          <w:szCs w:val="20"/>
          <w:lang w:val="en-US"/>
        </w:rPr>
        <w:t>decided to remit the proceedings to the Fourth Trial Court of</w:t>
      </w:r>
      <w:r w:rsidR="007A1A14" w:rsidRPr="00012C3F">
        <w:rPr>
          <w:sz w:val="20"/>
          <w:szCs w:val="20"/>
          <w:lang w:val="en-US"/>
        </w:rPr>
        <w:t xml:space="preserve"> La Paz</w:t>
      </w:r>
      <w:r w:rsidR="005D0B77" w:rsidRPr="00012C3F">
        <w:rPr>
          <w:sz w:val="20"/>
          <w:szCs w:val="20"/>
          <w:lang w:val="en-US"/>
        </w:rPr>
        <w:t>,</w:t>
      </w:r>
      <w:r w:rsidR="007A1A14" w:rsidRPr="00012C3F">
        <w:rPr>
          <w:rStyle w:val="Refdenotaalpie"/>
          <w:sz w:val="20"/>
          <w:szCs w:val="20"/>
          <w:lang w:val="en-US"/>
        </w:rPr>
        <w:footnoteReference w:id="133"/>
      </w:r>
      <w:r w:rsidR="005D0B77" w:rsidRPr="00012C3F">
        <w:rPr>
          <w:sz w:val="20"/>
          <w:szCs w:val="20"/>
          <w:lang w:val="en-US"/>
        </w:rPr>
        <w:t xml:space="preserve"> and this </w:t>
      </w:r>
      <w:r w:rsidR="0031214D" w:rsidRPr="00012C3F">
        <w:rPr>
          <w:sz w:val="20"/>
          <w:szCs w:val="20"/>
          <w:lang w:val="en-US"/>
        </w:rPr>
        <w:t>decision was complied with</w:t>
      </w:r>
      <w:r w:rsidR="005D0B77" w:rsidRPr="00012C3F">
        <w:rPr>
          <w:sz w:val="20"/>
          <w:szCs w:val="20"/>
          <w:lang w:val="en-US"/>
        </w:rPr>
        <w:t xml:space="preserve"> on March 16,</w:t>
      </w:r>
      <w:r w:rsidR="007A1A14" w:rsidRPr="00012C3F">
        <w:rPr>
          <w:sz w:val="20"/>
          <w:szCs w:val="20"/>
          <w:lang w:val="en-US"/>
        </w:rPr>
        <w:t xml:space="preserve"> 2006</w:t>
      </w:r>
      <w:r w:rsidR="005D0B77" w:rsidRPr="00012C3F">
        <w:rPr>
          <w:sz w:val="20"/>
          <w:szCs w:val="20"/>
          <w:lang w:val="en-US"/>
        </w:rPr>
        <w:t>.</w:t>
      </w:r>
      <w:r w:rsidR="007A1A14" w:rsidRPr="00012C3F">
        <w:rPr>
          <w:rStyle w:val="Refdenotaalpie"/>
          <w:sz w:val="20"/>
          <w:szCs w:val="20"/>
          <w:lang w:val="en-US"/>
        </w:rPr>
        <w:footnoteReference w:id="134"/>
      </w:r>
    </w:p>
    <w:p w14:paraId="39C6003F" w14:textId="77777777" w:rsidR="007A1A14" w:rsidRPr="00012C3F" w:rsidRDefault="007A1A14" w:rsidP="00287C82">
      <w:pPr>
        <w:tabs>
          <w:tab w:val="left" w:pos="720"/>
        </w:tabs>
        <w:spacing w:line="240" w:lineRule="auto"/>
        <w:rPr>
          <w:sz w:val="20"/>
          <w:szCs w:val="20"/>
          <w:lang w:val="en-US"/>
        </w:rPr>
      </w:pPr>
    </w:p>
    <w:p w14:paraId="7C044F71" w14:textId="77777777" w:rsidR="007A1A14" w:rsidRPr="00012C3F" w:rsidRDefault="00287C82" w:rsidP="00287C82">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On March 20,</w:t>
      </w:r>
      <w:r w:rsidR="005D0B77" w:rsidRPr="00012C3F">
        <w:rPr>
          <w:sz w:val="20"/>
          <w:szCs w:val="20"/>
          <w:lang w:val="en-US"/>
        </w:rPr>
        <w:t xml:space="preserve"> </w:t>
      </w:r>
      <w:r w:rsidR="007A1A14" w:rsidRPr="00012C3F">
        <w:rPr>
          <w:sz w:val="20"/>
          <w:szCs w:val="20"/>
          <w:lang w:val="en-US"/>
        </w:rPr>
        <w:t>2006</w:t>
      </w:r>
      <w:r w:rsidR="005D0B77" w:rsidRPr="00012C3F">
        <w:rPr>
          <w:sz w:val="20"/>
          <w:szCs w:val="20"/>
          <w:lang w:val="en-US"/>
        </w:rPr>
        <w:t>,</w:t>
      </w:r>
      <w:r w:rsidR="007A1A14" w:rsidRPr="00012C3F">
        <w:rPr>
          <w:sz w:val="20"/>
          <w:szCs w:val="20"/>
          <w:lang w:val="en-US"/>
        </w:rPr>
        <w:t xml:space="preserve"> </w:t>
      </w:r>
      <w:r w:rsidR="005D0B77" w:rsidRPr="00012C3F">
        <w:rPr>
          <w:sz w:val="20"/>
          <w:szCs w:val="20"/>
          <w:lang w:val="en-US"/>
        </w:rPr>
        <w:t>the</w:t>
      </w:r>
      <w:r w:rsidR="007A1A14" w:rsidRPr="00012C3F">
        <w:rPr>
          <w:sz w:val="20"/>
          <w:szCs w:val="20"/>
          <w:lang w:val="en-US"/>
        </w:rPr>
        <w:t xml:space="preserve"> </w:t>
      </w:r>
      <w:r w:rsidR="005D0B77" w:rsidRPr="00012C3F">
        <w:rPr>
          <w:sz w:val="20"/>
          <w:szCs w:val="20"/>
          <w:lang w:val="en-US"/>
        </w:rPr>
        <w:t>Fourth Trial Court of</w:t>
      </w:r>
      <w:r w:rsidR="007A1A14" w:rsidRPr="00012C3F">
        <w:rPr>
          <w:sz w:val="20"/>
          <w:szCs w:val="20"/>
          <w:lang w:val="en-US"/>
        </w:rPr>
        <w:t xml:space="preserve"> La Paz </w:t>
      </w:r>
      <w:r w:rsidR="005D0B77" w:rsidRPr="00012C3F">
        <w:rPr>
          <w:sz w:val="20"/>
          <w:szCs w:val="20"/>
          <w:lang w:val="en-US"/>
        </w:rPr>
        <w:t>returned the case to</w:t>
      </w:r>
      <w:r w:rsidR="007A1A14" w:rsidRPr="00012C3F">
        <w:rPr>
          <w:sz w:val="20"/>
          <w:szCs w:val="20"/>
          <w:lang w:val="en-US"/>
        </w:rPr>
        <w:t xml:space="preserve"> </w:t>
      </w:r>
      <w:r w:rsidR="002D178D" w:rsidRPr="00012C3F">
        <w:rPr>
          <w:sz w:val="20"/>
          <w:szCs w:val="20"/>
          <w:lang w:val="en-US"/>
        </w:rPr>
        <w:t>the Second Criminal Chamber</w:t>
      </w:r>
      <w:r w:rsidR="001254DE" w:rsidRPr="00012C3F">
        <w:rPr>
          <w:sz w:val="20"/>
          <w:szCs w:val="20"/>
          <w:lang w:val="en-US"/>
        </w:rPr>
        <w:t xml:space="preserve"> of the </w:t>
      </w:r>
      <w:r w:rsidR="00280806" w:rsidRPr="00012C3F">
        <w:rPr>
          <w:sz w:val="20"/>
          <w:szCs w:val="20"/>
          <w:lang w:val="en-US"/>
        </w:rPr>
        <w:t>La Paz Superior Court of Justice</w:t>
      </w:r>
      <w:r w:rsidR="007A1A14" w:rsidRPr="00012C3F">
        <w:rPr>
          <w:sz w:val="20"/>
          <w:szCs w:val="20"/>
          <w:lang w:val="en-US"/>
        </w:rPr>
        <w:t xml:space="preserve"> </w:t>
      </w:r>
      <w:r w:rsidR="005D0B77" w:rsidRPr="00012C3F">
        <w:rPr>
          <w:sz w:val="20"/>
          <w:szCs w:val="20"/>
          <w:lang w:val="en-US"/>
        </w:rPr>
        <w:t>for the latter to remedy a procedural defect.</w:t>
      </w:r>
      <w:r w:rsidR="007A1A14" w:rsidRPr="00012C3F">
        <w:rPr>
          <w:rStyle w:val="Refdenotaalpie"/>
          <w:sz w:val="20"/>
          <w:szCs w:val="20"/>
          <w:lang w:val="en-US"/>
        </w:rPr>
        <w:footnoteReference w:id="135"/>
      </w:r>
      <w:r w:rsidR="007A1A14" w:rsidRPr="00012C3F">
        <w:rPr>
          <w:sz w:val="20"/>
          <w:szCs w:val="20"/>
          <w:lang w:val="en-US"/>
        </w:rPr>
        <w:t xml:space="preserve"> </w:t>
      </w:r>
      <w:r w:rsidR="005D0B77" w:rsidRPr="00012C3F">
        <w:rPr>
          <w:sz w:val="20"/>
          <w:szCs w:val="20"/>
          <w:lang w:val="en-US"/>
        </w:rPr>
        <w:t>On April 10,</w:t>
      </w:r>
      <w:r w:rsidR="007A1A14" w:rsidRPr="00012C3F">
        <w:rPr>
          <w:sz w:val="20"/>
          <w:szCs w:val="20"/>
          <w:lang w:val="en-US"/>
        </w:rPr>
        <w:t xml:space="preserve"> 2006</w:t>
      </w:r>
      <w:r w:rsidR="005D0B77" w:rsidRPr="00012C3F">
        <w:rPr>
          <w:sz w:val="20"/>
          <w:szCs w:val="20"/>
          <w:lang w:val="en-US"/>
        </w:rPr>
        <w:t xml:space="preserve">, the same court </w:t>
      </w:r>
      <w:r w:rsidR="0031214D" w:rsidRPr="00012C3F">
        <w:rPr>
          <w:sz w:val="20"/>
          <w:szCs w:val="20"/>
          <w:lang w:val="en-US"/>
        </w:rPr>
        <w:t>set aside its decision</w:t>
      </w:r>
      <w:r w:rsidR="007A1A14" w:rsidRPr="00012C3F">
        <w:rPr>
          <w:sz w:val="20"/>
          <w:szCs w:val="20"/>
          <w:lang w:val="en-US"/>
        </w:rPr>
        <w:t xml:space="preserve"> </w:t>
      </w:r>
      <w:r w:rsidR="005D0B77" w:rsidRPr="00012C3F">
        <w:rPr>
          <w:sz w:val="20"/>
          <w:szCs w:val="20"/>
          <w:lang w:val="en-US"/>
        </w:rPr>
        <w:t>of</w:t>
      </w:r>
      <w:r w:rsidRPr="00012C3F">
        <w:rPr>
          <w:sz w:val="20"/>
          <w:szCs w:val="20"/>
          <w:lang w:val="en-US"/>
        </w:rPr>
        <w:t xml:space="preserve"> March 20,</w:t>
      </w:r>
      <w:r w:rsidR="005D0B77" w:rsidRPr="00012C3F">
        <w:rPr>
          <w:sz w:val="20"/>
          <w:szCs w:val="20"/>
          <w:lang w:val="en-US"/>
        </w:rPr>
        <w:t xml:space="preserve"> </w:t>
      </w:r>
      <w:r w:rsidR="007A1A14" w:rsidRPr="00012C3F">
        <w:rPr>
          <w:sz w:val="20"/>
          <w:szCs w:val="20"/>
          <w:lang w:val="en-US"/>
        </w:rPr>
        <w:t>2006</w:t>
      </w:r>
      <w:r w:rsidR="005D0B77" w:rsidRPr="00012C3F">
        <w:rPr>
          <w:sz w:val="20"/>
          <w:szCs w:val="20"/>
          <w:lang w:val="en-US"/>
        </w:rPr>
        <w:t>, and admitted the case.</w:t>
      </w:r>
      <w:r w:rsidR="007A1A14" w:rsidRPr="00012C3F">
        <w:rPr>
          <w:rStyle w:val="Refdenotaalpie"/>
          <w:sz w:val="20"/>
          <w:szCs w:val="20"/>
          <w:lang w:val="en-US"/>
        </w:rPr>
        <w:footnoteReference w:id="136"/>
      </w:r>
    </w:p>
    <w:p w14:paraId="4C68AB18" w14:textId="77777777" w:rsidR="007A1A14" w:rsidRPr="00012C3F" w:rsidRDefault="007A1A14" w:rsidP="00287C82">
      <w:pPr>
        <w:tabs>
          <w:tab w:val="left" w:pos="720"/>
        </w:tabs>
        <w:spacing w:line="240" w:lineRule="auto"/>
        <w:rPr>
          <w:sz w:val="20"/>
          <w:szCs w:val="20"/>
          <w:lang w:val="en-US"/>
        </w:rPr>
      </w:pPr>
    </w:p>
    <w:p w14:paraId="66789A19" w14:textId="77777777" w:rsidR="007A1A14" w:rsidRPr="00012C3F" w:rsidRDefault="00583403" w:rsidP="005D0B77">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On April 28,</w:t>
      </w:r>
      <w:r w:rsidR="007A1A14" w:rsidRPr="00012C3F">
        <w:rPr>
          <w:sz w:val="20"/>
          <w:szCs w:val="20"/>
          <w:lang w:val="en-US"/>
        </w:rPr>
        <w:t xml:space="preserve"> 2006</w:t>
      </w:r>
      <w:r w:rsidR="005D0B77" w:rsidRPr="00012C3F">
        <w:rPr>
          <w:sz w:val="20"/>
          <w:szCs w:val="20"/>
          <w:lang w:val="en-US"/>
        </w:rPr>
        <w:t>,</w:t>
      </w:r>
      <w:r w:rsidR="007A1A14" w:rsidRPr="00012C3F">
        <w:rPr>
          <w:sz w:val="20"/>
          <w:szCs w:val="20"/>
          <w:lang w:val="en-US"/>
        </w:rPr>
        <w:t xml:space="preserve"> </w:t>
      </w:r>
      <w:r w:rsidR="005D0B77" w:rsidRPr="00012C3F">
        <w:rPr>
          <w:sz w:val="20"/>
          <w:szCs w:val="20"/>
          <w:lang w:val="en-US"/>
        </w:rPr>
        <w:t>the</w:t>
      </w:r>
      <w:r w:rsidR="003B4921" w:rsidRPr="00012C3F">
        <w:rPr>
          <w:sz w:val="20"/>
          <w:szCs w:val="20"/>
          <w:lang w:val="en-US"/>
        </w:rPr>
        <w:t xml:space="preserve"> </w:t>
      </w:r>
      <w:r w:rsidR="0099356C" w:rsidRPr="00012C3F">
        <w:rPr>
          <w:sz w:val="20"/>
          <w:szCs w:val="20"/>
          <w:lang w:val="en-US"/>
        </w:rPr>
        <w:t>instructing physician</w:t>
      </w:r>
      <w:r w:rsidR="005D0B77" w:rsidRPr="00012C3F">
        <w:rPr>
          <w:sz w:val="20"/>
          <w:szCs w:val="20"/>
          <w:lang w:val="en-US"/>
        </w:rPr>
        <w:t xml:space="preserve">’s defense </w:t>
      </w:r>
      <w:r w:rsidR="007A1A14" w:rsidRPr="00012C3F">
        <w:rPr>
          <w:sz w:val="20"/>
          <w:szCs w:val="20"/>
          <w:lang w:val="en-US"/>
        </w:rPr>
        <w:t>f</w:t>
      </w:r>
      <w:r w:rsidR="005D0B77" w:rsidRPr="00012C3F">
        <w:rPr>
          <w:sz w:val="20"/>
          <w:szCs w:val="20"/>
          <w:lang w:val="en-US"/>
        </w:rPr>
        <w:t xml:space="preserve">iled a </w:t>
      </w:r>
      <w:r w:rsidR="0031214D" w:rsidRPr="00012C3F">
        <w:rPr>
          <w:sz w:val="20"/>
          <w:szCs w:val="20"/>
          <w:lang w:val="en-US"/>
        </w:rPr>
        <w:t>motion</w:t>
      </w:r>
      <w:r w:rsidR="005D0B77" w:rsidRPr="00012C3F">
        <w:rPr>
          <w:sz w:val="20"/>
          <w:szCs w:val="20"/>
          <w:lang w:val="en-US"/>
        </w:rPr>
        <w:t xml:space="preserve"> that the criminal action be extinguished, based on article 133 of the Bolivian Code of Criminal Procedure,</w:t>
      </w:r>
      <w:r w:rsidR="00D715D6" w:rsidRPr="00012C3F">
        <w:rPr>
          <w:rStyle w:val="Refdenotaalpie"/>
          <w:sz w:val="20"/>
          <w:szCs w:val="20"/>
          <w:lang w:val="en-US"/>
        </w:rPr>
        <w:footnoteReference w:id="137"/>
      </w:r>
      <w:r w:rsidR="007A1A14" w:rsidRPr="00012C3F">
        <w:rPr>
          <w:sz w:val="20"/>
          <w:szCs w:val="20"/>
          <w:lang w:val="en-US"/>
        </w:rPr>
        <w:t xml:space="preserve"> </w:t>
      </w:r>
      <w:r w:rsidR="005D0B77" w:rsidRPr="00012C3F">
        <w:rPr>
          <w:sz w:val="20"/>
          <w:szCs w:val="20"/>
          <w:lang w:val="en-US"/>
        </w:rPr>
        <w:t>because more than three years had elapsed since the first action of the proceedings against him.</w:t>
      </w:r>
      <w:r w:rsidR="007A1A14" w:rsidRPr="00012C3F">
        <w:rPr>
          <w:rStyle w:val="Refdenotaalpie"/>
          <w:sz w:val="20"/>
          <w:szCs w:val="20"/>
          <w:lang w:val="en-US"/>
        </w:rPr>
        <w:footnoteReference w:id="138"/>
      </w:r>
      <w:r w:rsidR="007A1A14" w:rsidRPr="00012C3F">
        <w:rPr>
          <w:sz w:val="20"/>
          <w:szCs w:val="20"/>
          <w:lang w:val="en-US"/>
        </w:rPr>
        <w:t xml:space="preserve"> </w:t>
      </w:r>
      <w:r w:rsidR="005D0B77" w:rsidRPr="00012C3F">
        <w:rPr>
          <w:sz w:val="20"/>
          <w:szCs w:val="20"/>
          <w:lang w:val="en-US"/>
        </w:rPr>
        <w:t>The oral trial began on May 7, 2006.</w:t>
      </w:r>
      <w:r w:rsidR="007A1A14" w:rsidRPr="00012C3F">
        <w:rPr>
          <w:rStyle w:val="Refdenotaalpie"/>
          <w:sz w:val="20"/>
          <w:szCs w:val="20"/>
          <w:lang w:val="en-US"/>
        </w:rPr>
        <w:footnoteReference w:id="139"/>
      </w:r>
      <w:r w:rsidR="007A1A14" w:rsidRPr="00012C3F">
        <w:rPr>
          <w:sz w:val="20"/>
          <w:szCs w:val="20"/>
          <w:lang w:val="en-US"/>
        </w:rPr>
        <w:t xml:space="preserve"> </w:t>
      </w:r>
      <w:r w:rsidR="005D0B77" w:rsidRPr="00012C3F">
        <w:rPr>
          <w:sz w:val="20"/>
          <w:szCs w:val="20"/>
          <w:lang w:val="en-US"/>
        </w:rPr>
        <w:t xml:space="preserve">When the oral trial was re-started on June 1, </w:t>
      </w:r>
      <w:r w:rsidR="007A1A14" w:rsidRPr="00012C3F">
        <w:rPr>
          <w:sz w:val="20"/>
          <w:szCs w:val="20"/>
          <w:lang w:val="en-US"/>
        </w:rPr>
        <w:t xml:space="preserve">2006, </w:t>
      </w:r>
      <w:r w:rsidR="005D0B77" w:rsidRPr="00012C3F">
        <w:rPr>
          <w:sz w:val="20"/>
          <w:szCs w:val="20"/>
          <w:lang w:val="en-US"/>
        </w:rPr>
        <w:t>the</w:t>
      </w:r>
      <w:r w:rsidR="007A1A14" w:rsidRPr="00012C3F">
        <w:rPr>
          <w:sz w:val="20"/>
          <w:szCs w:val="20"/>
          <w:lang w:val="en-US"/>
        </w:rPr>
        <w:t xml:space="preserve"> </w:t>
      </w:r>
      <w:r w:rsidR="005D0B77" w:rsidRPr="00012C3F">
        <w:rPr>
          <w:sz w:val="20"/>
          <w:szCs w:val="20"/>
          <w:lang w:val="en-US"/>
        </w:rPr>
        <w:t>Fourth Trial Court of</w:t>
      </w:r>
      <w:r w:rsidR="007A1A14" w:rsidRPr="00012C3F">
        <w:rPr>
          <w:sz w:val="20"/>
          <w:szCs w:val="20"/>
          <w:lang w:val="en-US"/>
        </w:rPr>
        <w:t xml:space="preserve"> La Paz declar</w:t>
      </w:r>
      <w:r w:rsidR="005D0B77" w:rsidRPr="00012C3F">
        <w:rPr>
          <w:sz w:val="20"/>
          <w:szCs w:val="20"/>
          <w:lang w:val="en-US"/>
        </w:rPr>
        <w:t xml:space="preserve">ed that the </w:t>
      </w:r>
      <w:r w:rsidR="0031214D" w:rsidRPr="00012C3F">
        <w:rPr>
          <w:sz w:val="20"/>
          <w:szCs w:val="20"/>
          <w:lang w:val="en-US"/>
        </w:rPr>
        <w:t>motion</w:t>
      </w:r>
      <w:r w:rsidR="005D0B77" w:rsidRPr="00012C3F">
        <w:rPr>
          <w:sz w:val="20"/>
          <w:szCs w:val="20"/>
          <w:lang w:val="en-US"/>
        </w:rPr>
        <w:t xml:space="preserve"> </w:t>
      </w:r>
      <w:r w:rsidR="009677E7" w:rsidRPr="00012C3F">
        <w:rPr>
          <w:sz w:val="20"/>
          <w:szCs w:val="20"/>
          <w:lang w:val="en-US"/>
        </w:rPr>
        <w:t>for</w:t>
      </w:r>
      <w:r w:rsidR="005D0B77" w:rsidRPr="00012C3F">
        <w:rPr>
          <w:sz w:val="20"/>
          <w:szCs w:val="20"/>
          <w:lang w:val="en-US"/>
        </w:rPr>
        <w:t xml:space="preserve"> the action </w:t>
      </w:r>
      <w:r w:rsidR="009677E7" w:rsidRPr="00012C3F">
        <w:rPr>
          <w:sz w:val="20"/>
          <w:szCs w:val="20"/>
          <w:lang w:val="en-US"/>
        </w:rPr>
        <w:t xml:space="preserve">to </w:t>
      </w:r>
      <w:r w:rsidR="005D0B77" w:rsidRPr="00012C3F">
        <w:rPr>
          <w:sz w:val="20"/>
          <w:szCs w:val="20"/>
          <w:lang w:val="en-US"/>
        </w:rPr>
        <w:t xml:space="preserve">be extinguished </w:t>
      </w:r>
      <w:r w:rsidR="0031214D" w:rsidRPr="00012C3F">
        <w:rPr>
          <w:sz w:val="20"/>
          <w:szCs w:val="20"/>
          <w:lang w:val="en-US"/>
        </w:rPr>
        <w:t xml:space="preserve">was founded </w:t>
      </w:r>
      <w:r w:rsidR="005D0B77" w:rsidRPr="00012C3F">
        <w:rPr>
          <w:sz w:val="20"/>
          <w:szCs w:val="20"/>
          <w:lang w:val="en-US"/>
        </w:rPr>
        <w:t>and ordered that the case be closed.</w:t>
      </w:r>
      <w:r w:rsidR="007A1A14" w:rsidRPr="00012C3F">
        <w:rPr>
          <w:rStyle w:val="Refdenotaalpie"/>
          <w:sz w:val="20"/>
          <w:szCs w:val="20"/>
          <w:lang w:val="en-US"/>
        </w:rPr>
        <w:footnoteReference w:id="140"/>
      </w:r>
      <w:r w:rsidR="005D0B77" w:rsidRPr="00012C3F">
        <w:rPr>
          <w:sz w:val="20"/>
          <w:szCs w:val="20"/>
          <w:lang w:val="en-US"/>
        </w:rPr>
        <w:t xml:space="preserve"> This decision indicated that</w:t>
      </w:r>
      <w:r w:rsidR="0031214D" w:rsidRPr="00012C3F">
        <w:rPr>
          <w:sz w:val="20"/>
          <w:szCs w:val="20"/>
          <w:lang w:val="en-US"/>
        </w:rPr>
        <w:t xml:space="preserve"> it was </w:t>
      </w:r>
      <w:r w:rsidR="009677E7" w:rsidRPr="00012C3F">
        <w:rPr>
          <w:sz w:val="20"/>
          <w:szCs w:val="20"/>
          <w:lang w:val="en-US"/>
        </w:rPr>
        <w:t xml:space="preserve">the </w:t>
      </w:r>
      <w:r w:rsidR="0031214D" w:rsidRPr="00012C3F">
        <w:rPr>
          <w:sz w:val="20"/>
          <w:szCs w:val="20"/>
          <w:lang w:val="en-US"/>
        </w:rPr>
        <w:t>organs responsible for the administration of justice that had caused</w:t>
      </w:r>
      <w:r w:rsidR="005D0B77" w:rsidRPr="00012C3F">
        <w:rPr>
          <w:sz w:val="20"/>
          <w:szCs w:val="20"/>
          <w:lang w:val="en-US"/>
        </w:rPr>
        <w:t xml:space="preserve"> the delays</w:t>
      </w:r>
      <w:r w:rsidR="0031214D" w:rsidRPr="00012C3F">
        <w:rPr>
          <w:sz w:val="20"/>
          <w:szCs w:val="20"/>
          <w:lang w:val="en-US"/>
        </w:rPr>
        <w:t xml:space="preserve"> </w:t>
      </w:r>
      <w:r w:rsidR="005D0B77" w:rsidRPr="00012C3F">
        <w:rPr>
          <w:sz w:val="20"/>
          <w:szCs w:val="20"/>
          <w:lang w:val="en-US"/>
        </w:rPr>
        <w:t>and considered:</w:t>
      </w:r>
    </w:p>
    <w:p w14:paraId="3BBC9DE1" w14:textId="77777777" w:rsidR="007A1A14" w:rsidRPr="00012C3F" w:rsidRDefault="007A1A14" w:rsidP="007A1A14">
      <w:pPr>
        <w:spacing w:line="240" w:lineRule="auto"/>
        <w:rPr>
          <w:sz w:val="20"/>
          <w:szCs w:val="20"/>
          <w:lang w:val="en-US"/>
        </w:rPr>
      </w:pPr>
    </w:p>
    <w:p w14:paraId="4E0190B0" w14:textId="77777777" w:rsidR="007A1A14" w:rsidRPr="00012C3F" w:rsidRDefault="00214252" w:rsidP="00177A56">
      <w:pPr>
        <w:tabs>
          <w:tab w:val="left" w:pos="1080"/>
          <w:tab w:val="left" w:pos="1680"/>
          <w:tab w:val="left" w:pos="5400"/>
        </w:tabs>
        <w:suppressAutoHyphens/>
        <w:spacing w:line="240" w:lineRule="auto"/>
        <w:ind w:left="720" w:right="546"/>
        <w:rPr>
          <w:sz w:val="16"/>
          <w:szCs w:val="16"/>
          <w:lang w:val="en-US"/>
        </w:rPr>
      </w:pPr>
      <w:r w:rsidRPr="00012C3F">
        <w:rPr>
          <w:sz w:val="16"/>
          <w:szCs w:val="16"/>
          <w:lang w:val="en-US"/>
        </w:rPr>
        <w:t xml:space="preserve">That the </w:t>
      </w:r>
      <w:r w:rsidR="00177A56" w:rsidRPr="00012C3F">
        <w:rPr>
          <w:sz w:val="16"/>
          <w:szCs w:val="16"/>
          <w:lang w:val="en-US"/>
        </w:rPr>
        <w:t xml:space="preserve">case </w:t>
      </w:r>
      <w:r w:rsidRPr="00012C3F">
        <w:rPr>
          <w:sz w:val="16"/>
          <w:szCs w:val="16"/>
          <w:lang w:val="en-US"/>
        </w:rPr>
        <w:t xml:space="preserve">documents reveal quite clearly </w:t>
      </w:r>
      <w:r w:rsidR="00177A56" w:rsidRPr="00012C3F">
        <w:rPr>
          <w:sz w:val="16"/>
          <w:szCs w:val="16"/>
          <w:lang w:val="en-US"/>
        </w:rPr>
        <w:t xml:space="preserve">that there has </w:t>
      </w:r>
      <w:r w:rsidRPr="00012C3F">
        <w:rPr>
          <w:sz w:val="16"/>
          <w:szCs w:val="16"/>
          <w:lang w:val="en-US"/>
        </w:rPr>
        <w:t xml:space="preserve">been </w:t>
      </w:r>
      <w:r w:rsidR="00177A56" w:rsidRPr="00012C3F">
        <w:rPr>
          <w:sz w:val="16"/>
          <w:szCs w:val="16"/>
          <w:lang w:val="en-US"/>
        </w:rPr>
        <w:t xml:space="preserve">a </w:t>
      </w:r>
      <w:r w:rsidRPr="00012C3F">
        <w:rPr>
          <w:sz w:val="16"/>
          <w:szCs w:val="16"/>
          <w:lang w:val="en-US"/>
        </w:rPr>
        <w:t xml:space="preserve">delay related, </w:t>
      </w:r>
      <w:r w:rsidR="00177A56" w:rsidRPr="00012C3F">
        <w:rPr>
          <w:sz w:val="16"/>
          <w:szCs w:val="16"/>
          <w:lang w:val="en-US"/>
        </w:rPr>
        <w:t>first</w:t>
      </w:r>
      <w:r w:rsidRPr="00012C3F">
        <w:rPr>
          <w:sz w:val="16"/>
          <w:szCs w:val="16"/>
          <w:lang w:val="en-US"/>
        </w:rPr>
        <w:t xml:space="preserve">, </w:t>
      </w:r>
      <w:r w:rsidR="00177A56" w:rsidRPr="00012C3F">
        <w:rPr>
          <w:sz w:val="16"/>
          <w:szCs w:val="16"/>
          <w:lang w:val="en-US"/>
        </w:rPr>
        <w:t>to</w:t>
      </w:r>
      <w:r w:rsidRPr="00012C3F">
        <w:rPr>
          <w:sz w:val="16"/>
          <w:szCs w:val="16"/>
          <w:lang w:val="en-US"/>
        </w:rPr>
        <w:t xml:space="preserve"> the ineffectiveness of the officials responsible for delivering correct notifications for the constitution of a court jury and, then, </w:t>
      </w:r>
      <w:r w:rsidR="00177A56" w:rsidRPr="00012C3F">
        <w:rPr>
          <w:sz w:val="16"/>
          <w:szCs w:val="16"/>
          <w:lang w:val="en-US"/>
        </w:rPr>
        <w:t>to</w:t>
      </w:r>
      <w:r w:rsidRPr="00012C3F">
        <w:rPr>
          <w:sz w:val="16"/>
          <w:szCs w:val="16"/>
          <w:lang w:val="en-US"/>
        </w:rPr>
        <w:t xml:space="preserve"> jurisdictional bodies that, for trivial reasons, have proceeded to suspend hearings and move the case from one jurisdiction to another [...]. </w:t>
      </w:r>
      <w:r w:rsidR="00177A56" w:rsidRPr="00012C3F">
        <w:rPr>
          <w:sz w:val="16"/>
          <w:szCs w:val="16"/>
          <w:lang w:val="en-US"/>
        </w:rPr>
        <w:t>T</w:t>
      </w:r>
      <w:r w:rsidRPr="00012C3F">
        <w:rPr>
          <w:sz w:val="16"/>
          <w:szCs w:val="16"/>
          <w:lang w:val="en-US"/>
        </w:rPr>
        <w:t xml:space="preserve">he organs responsible for administering justice have </w:t>
      </w:r>
      <w:r w:rsidR="00177A56" w:rsidRPr="00012C3F">
        <w:rPr>
          <w:sz w:val="16"/>
          <w:szCs w:val="16"/>
          <w:lang w:val="en-US"/>
        </w:rPr>
        <w:t>to</w:t>
      </w:r>
      <w:r w:rsidRPr="00012C3F">
        <w:rPr>
          <w:sz w:val="16"/>
          <w:szCs w:val="16"/>
          <w:lang w:val="en-US"/>
        </w:rPr>
        <w:t>yed with the law in a way that seriously impaired the correct administration of justice.</w:t>
      </w:r>
      <w:r w:rsidR="007A1A14" w:rsidRPr="00012C3F">
        <w:rPr>
          <w:rStyle w:val="Refdenotaalpie"/>
          <w:sz w:val="16"/>
          <w:szCs w:val="16"/>
          <w:lang w:val="en-US"/>
        </w:rPr>
        <w:footnoteReference w:id="141"/>
      </w:r>
    </w:p>
    <w:p w14:paraId="2D188283" w14:textId="77777777" w:rsidR="007A1A14" w:rsidRPr="00012C3F" w:rsidRDefault="007A1A14" w:rsidP="007A1A14">
      <w:pPr>
        <w:spacing w:line="240" w:lineRule="auto"/>
        <w:ind w:left="360" w:right="360"/>
        <w:rPr>
          <w:sz w:val="20"/>
          <w:szCs w:val="20"/>
          <w:lang w:val="en-US"/>
        </w:rPr>
      </w:pPr>
    </w:p>
    <w:p w14:paraId="20539583" w14:textId="77777777" w:rsidR="007A1A14" w:rsidRPr="00012C3F" w:rsidRDefault="00214252" w:rsidP="00214252">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Both the prosecutor and I.V. filed an appeal against the decision declaring the extinction of the c</w:t>
      </w:r>
      <w:r w:rsidR="006C705C" w:rsidRPr="00012C3F">
        <w:rPr>
          <w:sz w:val="20"/>
          <w:szCs w:val="20"/>
          <w:lang w:val="en-US"/>
        </w:rPr>
        <w:t>riminal proceedings</w:t>
      </w:r>
      <w:r w:rsidRPr="00012C3F">
        <w:rPr>
          <w:sz w:val="20"/>
          <w:szCs w:val="20"/>
          <w:lang w:val="en-US"/>
        </w:rPr>
        <w:t>.</w:t>
      </w:r>
      <w:r w:rsidR="007A1A14" w:rsidRPr="00012C3F">
        <w:rPr>
          <w:rStyle w:val="Refdenotaalpie"/>
          <w:sz w:val="20"/>
          <w:szCs w:val="20"/>
          <w:lang w:val="en-US"/>
        </w:rPr>
        <w:footnoteReference w:id="142"/>
      </w:r>
      <w:r w:rsidR="00113FF5" w:rsidRPr="00012C3F">
        <w:rPr>
          <w:sz w:val="20"/>
          <w:szCs w:val="20"/>
          <w:lang w:val="en-US"/>
        </w:rPr>
        <w:t xml:space="preserve"> </w:t>
      </w:r>
      <w:r w:rsidRPr="00012C3F">
        <w:rPr>
          <w:sz w:val="20"/>
          <w:szCs w:val="20"/>
          <w:lang w:val="en-US"/>
        </w:rPr>
        <w:t>On August 23,</w:t>
      </w:r>
      <w:r w:rsidR="007A1A14" w:rsidRPr="00012C3F">
        <w:rPr>
          <w:sz w:val="20"/>
          <w:szCs w:val="20"/>
          <w:lang w:val="en-US"/>
        </w:rPr>
        <w:t xml:space="preserve"> 2006</w:t>
      </w:r>
      <w:r w:rsidRPr="00012C3F">
        <w:rPr>
          <w:sz w:val="20"/>
          <w:szCs w:val="20"/>
          <w:lang w:val="en-US"/>
        </w:rPr>
        <w:t>,</w:t>
      </w:r>
      <w:r w:rsidR="007A1A14" w:rsidRPr="00012C3F">
        <w:rPr>
          <w:sz w:val="20"/>
          <w:szCs w:val="20"/>
          <w:lang w:val="en-US"/>
        </w:rPr>
        <w:t xml:space="preserve"> </w:t>
      </w:r>
      <w:r w:rsidR="002D178D" w:rsidRPr="00012C3F">
        <w:rPr>
          <w:sz w:val="20"/>
          <w:szCs w:val="20"/>
          <w:lang w:val="en-US"/>
        </w:rPr>
        <w:t>the First Criminal Chamber</w:t>
      </w:r>
      <w:r w:rsidR="001254DE" w:rsidRPr="00012C3F">
        <w:rPr>
          <w:sz w:val="20"/>
          <w:szCs w:val="20"/>
          <w:lang w:val="en-US"/>
        </w:rPr>
        <w:t xml:space="preserve"> of the </w:t>
      </w:r>
      <w:r w:rsidR="00843CB6" w:rsidRPr="00012C3F">
        <w:rPr>
          <w:sz w:val="20"/>
          <w:szCs w:val="20"/>
          <w:lang w:val="en-US"/>
        </w:rPr>
        <w:t>Superior Court</w:t>
      </w:r>
      <w:r w:rsidR="007A1A14" w:rsidRPr="00012C3F">
        <w:rPr>
          <w:sz w:val="20"/>
          <w:szCs w:val="20"/>
          <w:lang w:val="en-US"/>
        </w:rPr>
        <w:t xml:space="preserve"> </w:t>
      </w:r>
      <w:r w:rsidRPr="00012C3F">
        <w:rPr>
          <w:sz w:val="20"/>
          <w:szCs w:val="20"/>
          <w:lang w:val="en-US"/>
        </w:rPr>
        <w:t>of</w:t>
      </w:r>
      <w:r w:rsidR="007A1A14" w:rsidRPr="00012C3F">
        <w:rPr>
          <w:sz w:val="20"/>
          <w:szCs w:val="20"/>
          <w:lang w:val="en-US"/>
        </w:rPr>
        <w:t xml:space="preserve"> La Paz declar</w:t>
      </w:r>
      <w:r w:rsidRPr="00012C3F">
        <w:rPr>
          <w:sz w:val="20"/>
          <w:szCs w:val="20"/>
          <w:lang w:val="en-US"/>
        </w:rPr>
        <w:t>ed the appeals inadmissible and the questions raised irrelevant and, therefore, confirmed the contested decision.</w:t>
      </w:r>
      <w:r w:rsidR="007A1A14" w:rsidRPr="00012C3F">
        <w:rPr>
          <w:rStyle w:val="Refdenotaalpie"/>
          <w:sz w:val="20"/>
          <w:szCs w:val="20"/>
          <w:lang w:val="en-US"/>
        </w:rPr>
        <w:footnoteReference w:id="143"/>
      </w:r>
      <w:r w:rsidR="007A1A14" w:rsidRPr="00012C3F">
        <w:rPr>
          <w:sz w:val="20"/>
          <w:szCs w:val="20"/>
          <w:lang w:val="en-US"/>
        </w:rPr>
        <w:t xml:space="preserve"> </w:t>
      </w:r>
      <w:r w:rsidRPr="00012C3F">
        <w:rPr>
          <w:sz w:val="20"/>
          <w:szCs w:val="20"/>
          <w:lang w:val="en-US"/>
        </w:rPr>
        <w:t xml:space="preserve">This ruling reiterated that the delays in the proceedings were </w:t>
      </w:r>
      <w:r w:rsidRPr="00012C3F">
        <w:rPr>
          <w:sz w:val="20"/>
          <w:szCs w:val="20"/>
          <w:lang w:val="en-US"/>
        </w:rPr>
        <w:lastRenderedPageBreak/>
        <w:t xml:space="preserve">attributable to the courts, indicating: “[a] review of the court records shows that the delay </w:t>
      </w:r>
      <w:r w:rsidR="00BF294B" w:rsidRPr="00012C3F">
        <w:rPr>
          <w:sz w:val="20"/>
          <w:szCs w:val="20"/>
          <w:lang w:val="en-US"/>
        </w:rPr>
        <w:t>is attributable to the court hearing the case because, twice, it caused the proceedings to be annulled due to procedural defects.</w:t>
      </w:r>
      <w:r w:rsidR="007A1A14" w:rsidRPr="00012C3F">
        <w:rPr>
          <w:sz w:val="20"/>
          <w:szCs w:val="20"/>
          <w:lang w:val="en-US"/>
        </w:rPr>
        <w:t>”</w:t>
      </w:r>
      <w:r w:rsidR="007A1A14" w:rsidRPr="00012C3F">
        <w:rPr>
          <w:rStyle w:val="Refdenotaalpie"/>
          <w:sz w:val="20"/>
          <w:szCs w:val="20"/>
          <w:lang w:val="en-US"/>
        </w:rPr>
        <w:footnoteReference w:id="144"/>
      </w:r>
    </w:p>
    <w:p w14:paraId="419B85BA" w14:textId="77777777" w:rsidR="007A1A14" w:rsidRPr="00012C3F" w:rsidRDefault="007A1A14" w:rsidP="007A1A14">
      <w:pPr>
        <w:spacing w:line="240" w:lineRule="auto"/>
        <w:rPr>
          <w:sz w:val="20"/>
          <w:szCs w:val="20"/>
          <w:lang w:val="en-US"/>
        </w:rPr>
      </w:pPr>
    </w:p>
    <w:p w14:paraId="066600D3" w14:textId="77777777" w:rsidR="007A1A14" w:rsidRPr="00012C3F" w:rsidRDefault="00BF294B" w:rsidP="00BF294B">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On September 21,</w:t>
      </w:r>
      <w:r w:rsidR="007A1A14" w:rsidRPr="00012C3F">
        <w:rPr>
          <w:sz w:val="20"/>
          <w:szCs w:val="20"/>
          <w:lang w:val="en-US"/>
        </w:rPr>
        <w:t xml:space="preserve"> 2006</w:t>
      </w:r>
      <w:r w:rsidRPr="00012C3F">
        <w:rPr>
          <w:sz w:val="20"/>
          <w:szCs w:val="20"/>
          <w:lang w:val="en-US"/>
        </w:rPr>
        <w:t>, the</w:t>
      </w:r>
      <w:r w:rsidR="007A1A14" w:rsidRPr="00012C3F">
        <w:rPr>
          <w:sz w:val="20"/>
          <w:szCs w:val="20"/>
          <w:lang w:val="en-US"/>
        </w:rPr>
        <w:t xml:space="preserve"> </w:t>
      </w:r>
      <w:r w:rsidR="005D0B77" w:rsidRPr="00012C3F">
        <w:rPr>
          <w:sz w:val="20"/>
          <w:szCs w:val="20"/>
          <w:lang w:val="en-US"/>
        </w:rPr>
        <w:t>Fourth Trial Court of</w:t>
      </w:r>
      <w:r w:rsidR="007A1A14" w:rsidRPr="00012C3F">
        <w:rPr>
          <w:sz w:val="20"/>
          <w:szCs w:val="20"/>
          <w:lang w:val="en-US"/>
        </w:rPr>
        <w:t xml:space="preserve"> La Paz indic</w:t>
      </w:r>
      <w:r w:rsidRPr="00012C3F">
        <w:rPr>
          <w:sz w:val="20"/>
          <w:szCs w:val="20"/>
          <w:lang w:val="en-US"/>
        </w:rPr>
        <w:t xml:space="preserve">ated that, by law, the </w:t>
      </w:r>
      <w:r w:rsidR="00177A56" w:rsidRPr="00012C3F">
        <w:rPr>
          <w:sz w:val="20"/>
          <w:szCs w:val="20"/>
          <w:lang w:val="en-US"/>
        </w:rPr>
        <w:t>said</w:t>
      </w:r>
      <w:r w:rsidRPr="00012C3F">
        <w:rPr>
          <w:sz w:val="20"/>
          <w:szCs w:val="20"/>
          <w:lang w:val="en-US"/>
        </w:rPr>
        <w:t xml:space="preserve"> decision was final, and it was not necessary to expressly declare that it had become final.</w:t>
      </w:r>
      <w:r w:rsidR="007A1A14" w:rsidRPr="00012C3F">
        <w:rPr>
          <w:rStyle w:val="Refdenotaalpie"/>
          <w:sz w:val="20"/>
          <w:szCs w:val="20"/>
          <w:lang w:val="en-US"/>
        </w:rPr>
        <w:footnoteReference w:id="145"/>
      </w:r>
    </w:p>
    <w:p w14:paraId="123A4060" w14:textId="77777777" w:rsidR="007A1A14" w:rsidRPr="00012C3F" w:rsidRDefault="007A1A14" w:rsidP="007A1A14">
      <w:pPr>
        <w:spacing w:line="240" w:lineRule="auto"/>
        <w:rPr>
          <w:sz w:val="20"/>
          <w:szCs w:val="20"/>
          <w:lang w:val="en-US"/>
        </w:rPr>
      </w:pPr>
    </w:p>
    <w:p w14:paraId="5FC44C4F" w14:textId="77777777" w:rsidR="007A1A14" w:rsidRPr="00012C3F" w:rsidRDefault="007A1A14" w:rsidP="006C2683">
      <w:pPr>
        <w:keepNext/>
        <w:keepLines/>
        <w:tabs>
          <w:tab w:val="left" w:pos="1134"/>
          <w:tab w:val="left" w:pos="8550"/>
        </w:tabs>
        <w:spacing w:line="240" w:lineRule="auto"/>
        <w:ind w:left="567" w:firstLine="1"/>
        <w:outlineLvl w:val="1"/>
        <w:rPr>
          <w:rFonts w:eastAsia="MS Mincho"/>
          <w:b/>
          <w:bCs/>
          <w:i/>
          <w:sz w:val="20"/>
          <w:szCs w:val="20"/>
          <w:lang w:val="en-US"/>
        </w:rPr>
      </w:pPr>
      <w:bookmarkStart w:id="105" w:name="_Toc27486849"/>
      <w:r w:rsidRPr="00012C3F">
        <w:rPr>
          <w:rFonts w:eastAsia="MS Mincho"/>
          <w:b/>
          <w:bCs/>
          <w:i/>
          <w:sz w:val="20"/>
          <w:szCs w:val="20"/>
          <w:lang w:val="en-US"/>
        </w:rPr>
        <w:t xml:space="preserve">F. </w:t>
      </w:r>
      <w:r w:rsidRPr="00012C3F">
        <w:rPr>
          <w:rFonts w:eastAsia="MS Mincho"/>
          <w:b/>
          <w:bCs/>
          <w:i/>
          <w:sz w:val="20"/>
          <w:szCs w:val="20"/>
          <w:lang w:val="en-US"/>
        </w:rPr>
        <w:tab/>
      </w:r>
      <w:r w:rsidR="006C2683" w:rsidRPr="00012C3F">
        <w:rPr>
          <w:rFonts w:eastAsia="MS Mincho"/>
          <w:b/>
          <w:bCs/>
          <w:i/>
          <w:sz w:val="20"/>
          <w:szCs w:val="20"/>
          <w:lang w:val="en-US"/>
        </w:rPr>
        <w:t xml:space="preserve">Physical and psychological effects of the </w:t>
      </w:r>
      <w:r w:rsidR="00177A56" w:rsidRPr="00012C3F">
        <w:rPr>
          <w:rFonts w:eastAsia="MS Mincho"/>
          <w:b/>
          <w:bCs/>
          <w:i/>
          <w:sz w:val="20"/>
          <w:szCs w:val="20"/>
          <w:lang w:val="en-US"/>
        </w:rPr>
        <w:t>surgical procedure</w:t>
      </w:r>
      <w:bookmarkEnd w:id="105"/>
    </w:p>
    <w:p w14:paraId="08B05DB3" w14:textId="77777777" w:rsidR="007A1A14" w:rsidRPr="00012C3F" w:rsidRDefault="007A1A14" w:rsidP="007A1A14">
      <w:pPr>
        <w:spacing w:line="240" w:lineRule="auto"/>
        <w:rPr>
          <w:sz w:val="20"/>
          <w:szCs w:val="20"/>
          <w:lang w:val="en-US"/>
        </w:rPr>
      </w:pPr>
    </w:p>
    <w:p w14:paraId="71075E30" w14:textId="77777777" w:rsidR="00F43566" w:rsidRPr="00012C3F" w:rsidRDefault="006C2683" w:rsidP="006C2683">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Between August and September </w:t>
      </w:r>
      <w:r w:rsidR="007A1A14" w:rsidRPr="00012C3F">
        <w:rPr>
          <w:sz w:val="20"/>
          <w:szCs w:val="20"/>
          <w:lang w:val="en-US"/>
        </w:rPr>
        <w:t>2000</w:t>
      </w:r>
      <w:r w:rsidRPr="00012C3F">
        <w:rPr>
          <w:sz w:val="20"/>
          <w:szCs w:val="20"/>
          <w:lang w:val="en-US"/>
        </w:rPr>
        <w:t xml:space="preserve">, </w:t>
      </w:r>
      <w:r w:rsidR="000E1C11" w:rsidRPr="00012C3F">
        <w:rPr>
          <w:sz w:val="20"/>
          <w:szCs w:val="20"/>
          <w:lang w:val="en-US"/>
        </w:rPr>
        <w:t>I.V.</w:t>
      </w:r>
      <w:r w:rsidR="007A1A14" w:rsidRPr="00012C3F">
        <w:rPr>
          <w:sz w:val="20"/>
          <w:szCs w:val="20"/>
          <w:lang w:val="en-US"/>
        </w:rPr>
        <w:t xml:space="preserve"> </w:t>
      </w:r>
      <w:r w:rsidRPr="00012C3F">
        <w:rPr>
          <w:sz w:val="20"/>
          <w:szCs w:val="20"/>
          <w:lang w:val="en-US"/>
        </w:rPr>
        <w:t xml:space="preserve">was diagnosed with remains of the placenta </w:t>
      </w:r>
      <w:r w:rsidR="00177A56" w:rsidRPr="00012C3F">
        <w:rPr>
          <w:sz w:val="20"/>
          <w:szCs w:val="20"/>
          <w:lang w:val="en-US"/>
        </w:rPr>
        <w:t>i</w:t>
      </w:r>
      <w:r w:rsidRPr="00012C3F">
        <w:rPr>
          <w:sz w:val="20"/>
          <w:szCs w:val="20"/>
          <w:lang w:val="en-US"/>
        </w:rPr>
        <w:t>n the endometrial cavity, acute endometritis</w:t>
      </w:r>
      <w:r w:rsidR="00B34249" w:rsidRPr="00012C3F">
        <w:rPr>
          <w:sz w:val="20"/>
          <w:szCs w:val="20"/>
          <w:lang w:val="en-US"/>
        </w:rPr>
        <w:t>,</w:t>
      </w:r>
      <w:r w:rsidRPr="00012C3F">
        <w:rPr>
          <w:sz w:val="20"/>
          <w:szCs w:val="20"/>
          <w:lang w:val="en-US"/>
        </w:rPr>
        <w:t xml:space="preserve"> and abscess in the abdominal wall.</w:t>
      </w:r>
      <w:r w:rsidR="007A1A14" w:rsidRPr="00012C3F">
        <w:rPr>
          <w:rStyle w:val="Refdenotaalpie"/>
          <w:sz w:val="20"/>
          <w:szCs w:val="20"/>
          <w:lang w:val="en-US"/>
        </w:rPr>
        <w:footnoteReference w:id="146"/>
      </w:r>
      <w:r w:rsidRPr="00012C3F">
        <w:rPr>
          <w:sz w:val="20"/>
          <w:szCs w:val="20"/>
          <w:lang w:val="en-US"/>
        </w:rPr>
        <w:t xml:space="preserve"> I.V. was also diagnosed with atrophic endometritis in March 2002.</w:t>
      </w:r>
      <w:r w:rsidR="00F43566" w:rsidRPr="00012C3F">
        <w:rPr>
          <w:rStyle w:val="Refdenotaalpie"/>
          <w:sz w:val="20"/>
          <w:szCs w:val="20"/>
          <w:lang w:val="en-US"/>
        </w:rPr>
        <w:footnoteReference w:id="147"/>
      </w:r>
      <w:r w:rsidRPr="00012C3F">
        <w:rPr>
          <w:sz w:val="20"/>
          <w:szCs w:val="20"/>
          <w:lang w:val="en-US"/>
        </w:rPr>
        <w:t xml:space="preserve"> I.V. had to undergo another surgical procedure owing to these aftereffects.</w:t>
      </w:r>
      <w:r w:rsidR="00F43566" w:rsidRPr="00012C3F">
        <w:rPr>
          <w:rStyle w:val="Refdenotaalpie"/>
          <w:sz w:val="20"/>
          <w:szCs w:val="20"/>
          <w:lang w:val="en-US"/>
        </w:rPr>
        <w:footnoteReference w:id="148"/>
      </w:r>
    </w:p>
    <w:p w14:paraId="42B54030" w14:textId="77777777" w:rsidR="007A1A14" w:rsidRPr="00012C3F" w:rsidRDefault="007A1A14" w:rsidP="006C2683">
      <w:pPr>
        <w:tabs>
          <w:tab w:val="left" w:pos="720"/>
        </w:tabs>
        <w:spacing w:line="240" w:lineRule="auto"/>
        <w:rPr>
          <w:sz w:val="20"/>
          <w:szCs w:val="20"/>
          <w:lang w:val="en-US"/>
        </w:rPr>
      </w:pPr>
    </w:p>
    <w:p w14:paraId="3E6C48E1" w14:textId="77777777" w:rsidR="007A1A14" w:rsidRPr="00012C3F" w:rsidRDefault="000E1C11" w:rsidP="006C2683">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I.V.</w:t>
      </w:r>
      <w:r w:rsidR="007A1A14" w:rsidRPr="00012C3F">
        <w:rPr>
          <w:sz w:val="20"/>
          <w:szCs w:val="20"/>
          <w:lang w:val="en-US"/>
        </w:rPr>
        <w:t xml:space="preserve"> </w:t>
      </w:r>
      <w:r w:rsidR="0047214C" w:rsidRPr="00012C3F">
        <w:rPr>
          <w:sz w:val="20"/>
          <w:szCs w:val="20"/>
          <w:lang w:val="en-US"/>
        </w:rPr>
        <w:t xml:space="preserve">suffered anguish and frustration as a result of the tubal ligation. She believed that her right to become a mother again had been </w:t>
      </w:r>
      <w:r w:rsidR="00B34249" w:rsidRPr="00012C3F">
        <w:rPr>
          <w:sz w:val="20"/>
          <w:szCs w:val="20"/>
          <w:lang w:val="en-US"/>
        </w:rPr>
        <w:t>violated</w:t>
      </w:r>
      <w:r w:rsidR="0070744E" w:rsidRPr="00012C3F">
        <w:rPr>
          <w:sz w:val="20"/>
          <w:szCs w:val="20"/>
          <w:lang w:val="en-US"/>
        </w:rPr>
        <w:t xml:space="preserve"> </w:t>
      </w:r>
      <w:r w:rsidR="0047214C" w:rsidRPr="00012C3F">
        <w:rPr>
          <w:sz w:val="20"/>
          <w:szCs w:val="20"/>
          <w:lang w:val="en-US"/>
        </w:rPr>
        <w:t>and felt “less of a woman because she could not have more children.</w:t>
      </w:r>
      <w:r w:rsidR="007A1A14" w:rsidRPr="00012C3F">
        <w:rPr>
          <w:sz w:val="20"/>
          <w:szCs w:val="20"/>
          <w:lang w:val="en-US"/>
        </w:rPr>
        <w:t>”</w:t>
      </w:r>
      <w:r w:rsidR="007A1A14" w:rsidRPr="00012C3F">
        <w:rPr>
          <w:rStyle w:val="Refdenotaalpie"/>
          <w:sz w:val="20"/>
          <w:szCs w:val="20"/>
          <w:lang w:val="en-US"/>
        </w:rPr>
        <w:footnoteReference w:id="149"/>
      </w:r>
      <w:r w:rsidR="00F43566" w:rsidRPr="00012C3F">
        <w:rPr>
          <w:sz w:val="20"/>
          <w:szCs w:val="20"/>
          <w:lang w:val="en-US"/>
        </w:rPr>
        <w:t xml:space="preserve"> </w:t>
      </w:r>
      <w:r w:rsidR="0047214C" w:rsidRPr="00012C3F">
        <w:rPr>
          <w:sz w:val="20"/>
          <w:szCs w:val="20"/>
          <w:lang w:val="en-US"/>
        </w:rPr>
        <w:t>I</w:t>
      </w:r>
      <w:r w:rsidR="00F43566" w:rsidRPr="00012C3F">
        <w:rPr>
          <w:sz w:val="20"/>
          <w:szCs w:val="20"/>
          <w:lang w:val="en-US"/>
        </w:rPr>
        <w:t>n 2002</w:t>
      </w:r>
      <w:r w:rsidR="0047214C" w:rsidRPr="00012C3F">
        <w:rPr>
          <w:sz w:val="20"/>
          <w:szCs w:val="20"/>
          <w:lang w:val="en-US"/>
        </w:rPr>
        <w:t>,</w:t>
      </w:r>
      <w:r w:rsidR="00F43566" w:rsidRPr="00012C3F">
        <w:rPr>
          <w:sz w:val="20"/>
          <w:szCs w:val="20"/>
          <w:lang w:val="en-US"/>
        </w:rPr>
        <w:t xml:space="preserve"> </w:t>
      </w:r>
      <w:r w:rsidRPr="00012C3F">
        <w:rPr>
          <w:sz w:val="20"/>
          <w:szCs w:val="20"/>
          <w:lang w:val="en-US"/>
        </w:rPr>
        <w:t>I.V.</w:t>
      </w:r>
      <w:r w:rsidR="0047214C" w:rsidRPr="00012C3F">
        <w:rPr>
          <w:sz w:val="20"/>
          <w:szCs w:val="20"/>
          <w:lang w:val="en-US"/>
        </w:rPr>
        <w:t>’s household broke up and she was left responsible for her two daughters who live in Bolivia. Despite psychotherapy, I.V. has suffered emotional crises, some of them very strong,</w:t>
      </w:r>
      <w:r w:rsidR="007A1A14" w:rsidRPr="00012C3F">
        <w:rPr>
          <w:rStyle w:val="Refdenotaalpie"/>
          <w:sz w:val="20"/>
          <w:szCs w:val="20"/>
          <w:lang w:val="en-US"/>
        </w:rPr>
        <w:footnoteReference w:id="150"/>
      </w:r>
      <w:r w:rsidR="0047214C" w:rsidRPr="00012C3F">
        <w:rPr>
          <w:sz w:val="20"/>
          <w:szCs w:val="20"/>
          <w:lang w:val="en-US"/>
        </w:rPr>
        <w:t xml:space="preserve"> and this led her to ask </w:t>
      </w:r>
      <w:r w:rsidR="001254DE" w:rsidRPr="00012C3F">
        <w:rPr>
          <w:sz w:val="20"/>
          <w:szCs w:val="20"/>
          <w:lang w:val="en-US"/>
        </w:rPr>
        <w:t xml:space="preserve">the Inter-American </w:t>
      </w:r>
      <w:r w:rsidR="00A84CA0" w:rsidRPr="00012C3F">
        <w:rPr>
          <w:sz w:val="20"/>
          <w:szCs w:val="20"/>
          <w:lang w:val="en-US"/>
        </w:rPr>
        <w:t>Commission</w:t>
      </w:r>
      <w:r w:rsidR="007A1A14" w:rsidRPr="00012C3F">
        <w:rPr>
          <w:sz w:val="20"/>
          <w:szCs w:val="20"/>
          <w:lang w:val="en-US"/>
        </w:rPr>
        <w:t xml:space="preserve"> </w:t>
      </w:r>
      <w:r w:rsidR="0047214C" w:rsidRPr="00012C3F">
        <w:rPr>
          <w:sz w:val="20"/>
          <w:szCs w:val="20"/>
          <w:lang w:val="en-US"/>
        </w:rPr>
        <w:t>to grant precautionary measures in her favor and in favor of her two daughters.</w:t>
      </w:r>
      <w:r w:rsidR="007A1A14" w:rsidRPr="00012C3F">
        <w:rPr>
          <w:rStyle w:val="Refdenotaalpie"/>
          <w:sz w:val="20"/>
          <w:szCs w:val="20"/>
          <w:lang w:val="en-US"/>
        </w:rPr>
        <w:footnoteReference w:id="151"/>
      </w:r>
      <w:r w:rsidR="007A1A14" w:rsidRPr="00012C3F">
        <w:rPr>
          <w:sz w:val="20"/>
          <w:szCs w:val="20"/>
          <w:lang w:val="en-US"/>
        </w:rPr>
        <w:t xml:space="preserve"> </w:t>
      </w:r>
      <w:r w:rsidR="0047214C" w:rsidRPr="00012C3F">
        <w:rPr>
          <w:sz w:val="20"/>
          <w:szCs w:val="20"/>
          <w:lang w:val="en-US"/>
        </w:rPr>
        <w:t>In November</w:t>
      </w:r>
      <w:r w:rsidR="007A1A14" w:rsidRPr="00012C3F">
        <w:rPr>
          <w:sz w:val="20"/>
          <w:szCs w:val="20"/>
          <w:lang w:val="en-US"/>
        </w:rPr>
        <w:t xml:space="preserve"> </w:t>
      </w:r>
      <w:r w:rsidR="005B4670" w:rsidRPr="00012C3F">
        <w:rPr>
          <w:sz w:val="20"/>
          <w:szCs w:val="20"/>
          <w:lang w:val="en-US"/>
        </w:rPr>
        <w:t>2013</w:t>
      </w:r>
      <w:r w:rsidR="007A1A14" w:rsidRPr="00012C3F">
        <w:rPr>
          <w:sz w:val="20"/>
          <w:szCs w:val="20"/>
          <w:lang w:val="en-US"/>
        </w:rPr>
        <w:t xml:space="preserve">, </w:t>
      </w:r>
      <w:r w:rsidRPr="00012C3F">
        <w:rPr>
          <w:sz w:val="20"/>
          <w:szCs w:val="20"/>
          <w:lang w:val="en-US"/>
        </w:rPr>
        <w:t>I.V.</w:t>
      </w:r>
      <w:r w:rsidR="007A1A14" w:rsidRPr="00012C3F">
        <w:rPr>
          <w:sz w:val="20"/>
          <w:szCs w:val="20"/>
          <w:lang w:val="en-US"/>
        </w:rPr>
        <w:t xml:space="preserve"> </w:t>
      </w:r>
      <w:r w:rsidR="0047214C" w:rsidRPr="00012C3F">
        <w:rPr>
          <w:sz w:val="20"/>
          <w:szCs w:val="20"/>
          <w:lang w:val="en-US"/>
        </w:rPr>
        <w:t xml:space="preserve">suffered a more severe crisis that led her to destroy almost all the files and papers </w:t>
      </w:r>
      <w:r w:rsidR="00B34249" w:rsidRPr="00012C3F">
        <w:rPr>
          <w:sz w:val="20"/>
          <w:szCs w:val="20"/>
          <w:lang w:val="en-US"/>
        </w:rPr>
        <w:t>with</w:t>
      </w:r>
      <w:r w:rsidR="0047214C" w:rsidRPr="00012C3F">
        <w:rPr>
          <w:sz w:val="20"/>
          <w:szCs w:val="20"/>
          <w:lang w:val="en-US"/>
        </w:rPr>
        <w:t xml:space="preserve"> her name</w:t>
      </w:r>
      <w:r w:rsidR="005E5012" w:rsidRPr="00012C3F">
        <w:rPr>
          <w:sz w:val="20"/>
          <w:szCs w:val="20"/>
          <w:lang w:val="en-US"/>
        </w:rPr>
        <w:t xml:space="preserve"> </w:t>
      </w:r>
      <w:r w:rsidR="0047214C" w:rsidRPr="00012C3F">
        <w:rPr>
          <w:sz w:val="20"/>
          <w:szCs w:val="20"/>
          <w:lang w:val="en-US"/>
        </w:rPr>
        <w:t>or personal data</w:t>
      </w:r>
      <w:r w:rsidR="00B34249" w:rsidRPr="00012C3F">
        <w:rPr>
          <w:sz w:val="20"/>
          <w:szCs w:val="20"/>
          <w:lang w:val="en-US"/>
        </w:rPr>
        <w:t xml:space="preserve"> that she had kept at home</w:t>
      </w:r>
      <w:r w:rsidR="0047214C" w:rsidRPr="00012C3F">
        <w:rPr>
          <w:sz w:val="20"/>
          <w:szCs w:val="20"/>
          <w:lang w:val="en-US"/>
        </w:rPr>
        <w:t xml:space="preserve">. </w:t>
      </w:r>
      <w:r w:rsidR="005960A9" w:rsidRPr="00012C3F">
        <w:rPr>
          <w:sz w:val="20"/>
          <w:szCs w:val="20"/>
          <w:lang w:val="en-US"/>
        </w:rPr>
        <w:t>She was admitted to the emergency department of the mental health ward of the La Paz</w:t>
      </w:r>
      <w:r w:rsidR="00F43566" w:rsidRPr="00012C3F">
        <w:rPr>
          <w:sz w:val="20"/>
          <w:szCs w:val="20"/>
          <w:lang w:val="en-US"/>
        </w:rPr>
        <w:t xml:space="preserve"> Hospital de Clínicas </w:t>
      </w:r>
      <w:r w:rsidR="005960A9" w:rsidRPr="00012C3F">
        <w:rPr>
          <w:sz w:val="20"/>
          <w:szCs w:val="20"/>
          <w:lang w:val="en-US"/>
        </w:rPr>
        <w:t xml:space="preserve">for three weeks from November 12 to December 2, </w:t>
      </w:r>
      <w:r w:rsidR="007A1A14" w:rsidRPr="00012C3F">
        <w:rPr>
          <w:sz w:val="20"/>
          <w:szCs w:val="20"/>
          <w:lang w:val="en-US"/>
        </w:rPr>
        <w:t>2013</w:t>
      </w:r>
      <w:r w:rsidR="005960A9" w:rsidRPr="00012C3F">
        <w:rPr>
          <w:sz w:val="20"/>
          <w:szCs w:val="20"/>
          <w:lang w:val="en-US"/>
        </w:rPr>
        <w:t>.</w:t>
      </w:r>
      <w:r w:rsidR="007A1A14" w:rsidRPr="00012C3F">
        <w:rPr>
          <w:rStyle w:val="Refdenotaalpie"/>
          <w:sz w:val="20"/>
          <w:szCs w:val="20"/>
          <w:lang w:val="en-US"/>
        </w:rPr>
        <w:footnoteReference w:id="152"/>
      </w:r>
      <w:r w:rsidR="005960A9" w:rsidRPr="00012C3F">
        <w:rPr>
          <w:sz w:val="20"/>
          <w:szCs w:val="20"/>
          <w:lang w:val="en-US"/>
        </w:rPr>
        <w:t xml:space="preserve"> Since that time, I.V. is on medication.</w:t>
      </w:r>
      <w:r w:rsidR="007A1A14" w:rsidRPr="00012C3F">
        <w:rPr>
          <w:rStyle w:val="Refdenotaalpie"/>
          <w:sz w:val="20"/>
          <w:szCs w:val="20"/>
          <w:lang w:val="en-US"/>
        </w:rPr>
        <w:footnoteReference w:id="153"/>
      </w:r>
      <w:r w:rsidR="00597361" w:rsidRPr="00012C3F">
        <w:rPr>
          <w:sz w:val="20"/>
          <w:szCs w:val="20"/>
          <w:lang w:val="en-US"/>
        </w:rPr>
        <w:t xml:space="preserve"> </w:t>
      </w:r>
      <w:r w:rsidR="00B34249" w:rsidRPr="00012C3F">
        <w:rPr>
          <w:sz w:val="20"/>
          <w:szCs w:val="20"/>
          <w:lang w:val="en-US"/>
        </w:rPr>
        <w:t>I.V.’s</w:t>
      </w:r>
      <w:r w:rsidR="00A84CA0" w:rsidRPr="00012C3F">
        <w:rPr>
          <w:sz w:val="20"/>
          <w:szCs w:val="20"/>
          <w:lang w:val="en-US"/>
        </w:rPr>
        <w:t xml:space="preserve"> </w:t>
      </w:r>
      <w:r w:rsidR="00597361" w:rsidRPr="00012C3F">
        <w:rPr>
          <w:sz w:val="20"/>
          <w:szCs w:val="20"/>
          <w:lang w:val="en-US"/>
        </w:rPr>
        <w:t xml:space="preserve">mental </w:t>
      </w:r>
      <w:r w:rsidR="005960A9" w:rsidRPr="00012C3F">
        <w:rPr>
          <w:sz w:val="20"/>
          <w:szCs w:val="20"/>
          <w:lang w:val="en-US"/>
        </w:rPr>
        <w:t>state also affected her daughters.</w:t>
      </w:r>
      <w:r w:rsidR="00597361" w:rsidRPr="00012C3F">
        <w:rPr>
          <w:rStyle w:val="Refdenotaalpie"/>
          <w:sz w:val="20"/>
          <w:szCs w:val="20"/>
          <w:lang w:val="en-US"/>
        </w:rPr>
        <w:footnoteReference w:id="154"/>
      </w:r>
    </w:p>
    <w:p w14:paraId="5B34B89A" w14:textId="77777777" w:rsidR="00597361" w:rsidRPr="00012C3F" w:rsidRDefault="00597361" w:rsidP="007A1A14">
      <w:pPr>
        <w:spacing w:line="240" w:lineRule="auto"/>
        <w:rPr>
          <w:sz w:val="20"/>
          <w:szCs w:val="20"/>
          <w:lang w:val="en-US"/>
        </w:rPr>
      </w:pPr>
    </w:p>
    <w:p w14:paraId="109AD61F" w14:textId="77777777" w:rsidR="007A1A14" w:rsidRPr="00012C3F" w:rsidRDefault="001D1354" w:rsidP="005960A9">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The following are the conclusions of the last psychological examination of I.V. conducted by the ITEI in August  </w:t>
      </w:r>
      <w:r w:rsidR="007A1A14" w:rsidRPr="00012C3F">
        <w:rPr>
          <w:sz w:val="20"/>
          <w:szCs w:val="20"/>
          <w:lang w:val="en-US"/>
        </w:rPr>
        <w:t>2015</w:t>
      </w:r>
      <w:r w:rsidRPr="00012C3F">
        <w:rPr>
          <w:sz w:val="20"/>
          <w:szCs w:val="20"/>
          <w:lang w:val="en-US"/>
        </w:rPr>
        <w:t>:</w:t>
      </w:r>
      <w:r w:rsidR="007A1A14" w:rsidRPr="00012C3F">
        <w:rPr>
          <w:rStyle w:val="Refdenotaalpie"/>
          <w:sz w:val="20"/>
          <w:szCs w:val="20"/>
          <w:lang w:val="en-US"/>
        </w:rPr>
        <w:footnoteReference w:id="155"/>
      </w:r>
    </w:p>
    <w:p w14:paraId="1F152580" w14:textId="77777777" w:rsidR="007A1A14" w:rsidRPr="00012C3F" w:rsidRDefault="007A1A14" w:rsidP="007A1A14">
      <w:pPr>
        <w:spacing w:line="240" w:lineRule="auto"/>
        <w:rPr>
          <w:sz w:val="20"/>
          <w:szCs w:val="20"/>
          <w:lang w:val="en-US"/>
        </w:rPr>
      </w:pPr>
    </w:p>
    <w:p w14:paraId="094C68DC" w14:textId="77777777" w:rsidR="007A1A14" w:rsidRPr="00012C3F" w:rsidRDefault="007A1A14" w:rsidP="007A1A14">
      <w:pPr>
        <w:spacing w:after="120" w:line="240" w:lineRule="auto"/>
        <w:ind w:left="567" w:right="573"/>
        <w:rPr>
          <w:sz w:val="16"/>
          <w:szCs w:val="16"/>
          <w:lang w:val="en-US"/>
        </w:rPr>
      </w:pPr>
      <w:r w:rsidRPr="00012C3F">
        <w:rPr>
          <w:sz w:val="16"/>
          <w:szCs w:val="16"/>
          <w:lang w:val="en-US"/>
        </w:rPr>
        <w:t xml:space="preserve">A. </w:t>
      </w:r>
      <w:r w:rsidR="008052FA" w:rsidRPr="00012C3F">
        <w:rPr>
          <w:sz w:val="16"/>
          <w:szCs w:val="16"/>
          <w:lang w:val="en-US"/>
        </w:rPr>
        <w:t>A</w:t>
      </w:r>
      <w:r w:rsidR="001D1354" w:rsidRPr="00012C3F">
        <w:rPr>
          <w:sz w:val="16"/>
          <w:szCs w:val="16"/>
          <w:lang w:val="en-US"/>
        </w:rPr>
        <w:t xml:space="preserve"> high degree of consistency and congruence </w:t>
      </w:r>
      <w:r w:rsidR="008052FA" w:rsidRPr="00012C3F">
        <w:rPr>
          <w:sz w:val="16"/>
          <w:szCs w:val="16"/>
          <w:lang w:val="en-US"/>
        </w:rPr>
        <w:t xml:space="preserve">exists </w:t>
      </w:r>
      <w:r w:rsidR="001D1354" w:rsidRPr="00012C3F">
        <w:rPr>
          <w:sz w:val="16"/>
          <w:szCs w:val="16"/>
          <w:lang w:val="en-US"/>
        </w:rPr>
        <w:t>between the suffering that subsists owing to the non-consensual sterilization</w:t>
      </w:r>
      <w:r w:rsidR="008052FA" w:rsidRPr="00012C3F">
        <w:rPr>
          <w:sz w:val="16"/>
          <w:szCs w:val="16"/>
          <w:lang w:val="en-US"/>
        </w:rPr>
        <w:t xml:space="preserve"> and her desire to have at least one more child.</w:t>
      </w:r>
    </w:p>
    <w:p w14:paraId="535F6CBA" w14:textId="77777777" w:rsidR="007A1A14" w:rsidRPr="00012C3F" w:rsidRDefault="007A1A14" w:rsidP="007A1A14">
      <w:pPr>
        <w:spacing w:after="120" w:line="240" w:lineRule="auto"/>
        <w:ind w:left="567" w:right="573"/>
        <w:rPr>
          <w:sz w:val="16"/>
          <w:szCs w:val="16"/>
          <w:lang w:val="en-US"/>
        </w:rPr>
      </w:pPr>
      <w:r w:rsidRPr="00012C3F">
        <w:rPr>
          <w:sz w:val="16"/>
          <w:szCs w:val="16"/>
          <w:lang w:val="en-US"/>
        </w:rPr>
        <w:t xml:space="preserve">B. </w:t>
      </w:r>
      <w:r w:rsidR="008052FA" w:rsidRPr="00012C3F">
        <w:rPr>
          <w:sz w:val="16"/>
          <w:szCs w:val="16"/>
          <w:lang w:val="en-US"/>
        </w:rPr>
        <w:t xml:space="preserve">A high degree of consistency and congruence exists between the suffering </w:t>
      </w:r>
      <w:r w:rsidR="005E5012" w:rsidRPr="00012C3F">
        <w:rPr>
          <w:sz w:val="16"/>
          <w:szCs w:val="16"/>
          <w:lang w:val="en-US"/>
        </w:rPr>
        <w:t xml:space="preserve">and </w:t>
      </w:r>
      <w:r w:rsidR="008052FA" w:rsidRPr="00012C3F">
        <w:rPr>
          <w:sz w:val="16"/>
          <w:szCs w:val="16"/>
          <w:lang w:val="en-US"/>
        </w:rPr>
        <w:t xml:space="preserve">the need for justice to be done because this is a case of a </w:t>
      </w:r>
      <w:r w:rsidRPr="00012C3F">
        <w:rPr>
          <w:sz w:val="16"/>
          <w:szCs w:val="16"/>
          <w:lang w:val="en-US"/>
        </w:rPr>
        <w:t>“man</w:t>
      </w:r>
      <w:r w:rsidR="008052FA" w:rsidRPr="00012C3F">
        <w:rPr>
          <w:sz w:val="16"/>
          <w:szCs w:val="16"/>
          <w:lang w:val="en-US"/>
        </w:rPr>
        <w:t>-</w:t>
      </w:r>
      <w:r w:rsidRPr="00012C3F">
        <w:rPr>
          <w:sz w:val="16"/>
          <w:szCs w:val="16"/>
          <w:lang w:val="en-US"/>
        </w:rPr>
        <w:t>made disaster</w:t>
      </w:r>
      <w:r w:rsidR="008052FA" w:rsidRPr="00012C3F">
        <w:rPr>
          <w:sz w:val="16"/>
          <w:szCs w:val="16"/>
          <w:lang w:val="en-US"/>
        </w:rPr>
        <w:t>.</w:t>
      </w:r>
      <w:r w:rsidRPr="00012C3F">
        <w:rPr>
          <w:sz w:val="16"/>
          <w:szCs w:val="16"/>
          <w:lang w:val="en-US"/>
        </w:rPr>
        <w:t xml:space="preserve">” </w:t>
      </w:r>
    </w:p>
    <w:p w14:paraId="0EDB0D3D" w14:textId="77777777" w:rsidR="007A1A14" w:rsidRPr="00012C3F" w:rsidRDefault="007A1A14" w:rsidP="007A1A14">
      <w:pPr>
        <w:spacing w:after="120" w:line="240" w:lineRule="auto"/>
        <w:ind w:left="567" w:right="573"/>
        <w:rPr>
          <w:sz w:val="16"/>
          <w:szCs w:val="16"/>
          <w:lang w:val="en-US"/>
        </w:rPr>
      </w:pPr>
      <w:r w:rsidRPr="00012C3F">
        <w:rPr>
          <w:sz w:val="16"/>
          <w:szCs w:val="16"/>
          <w:lang w:val="en-US"/>
        </w:rPr>
        <w:t xml:space="preserve">C. </w:t>
      </w:r>
      <w:r w:rsidR="008052FA" w:rsidRPr="00012C3F">
        <w:rPr>
          <w:sz w:val="16"/>
          <w:szCs w:val="16"/>
          <w:lang w:val="en-US"/>
        </w:rPr>
        <w:t xml:space="preserve">A high degree of consistency and congruence exists between the </w:t>
      </w:r>
      <w:r w:rsidRPr="00012C3F">
        <w:rPr>
          <w:sz w:val="16"/>
          <w:szCs w:val="16"/>
          <w:lang w:val="en-US"/>
        </w:rPr>
        <w:t>injustic</w:t>
      </w:r>
      <w:r w:rsidR="008052FA" w:rsidRPr="00012C3F">
        <w:rPr>
          <w:sz w:val="16"/>
          <w:szCs w:val="16"/>
          <w:lang w:val="en-US"/>
        </w:rPr>
        <w:t>e suffered owing to the physician’s abuse of power and the desire that the abuser be condemned.</w:t>
      </w:r>
    </w:p>
    <w:p w14:paraId="0497A5B2" w14:textId="77777777" w:rsidR="008052FA" w:rsidRPr="00012C3F" w:rsidRDefault="007A1A14" w:rsidP="007A1A14">
      <w:pPr>
        <w:spacing w:after="120" w:line="240" w:lineRule="auto"/>
        <w:ind w:left="567" w:right="573"/>
        <w:rPr>
          <w:sz w:val="16"/>
          <w:szCs w:val="16"/>
          <w:lang w:val="en-US"/>
        </w:rPr>
      </w:pPr>
      <w:r w:rsidRPr="00012C3F">
        <w:rPr>
          <w:sz w:val="16"/>
          <w:szCs w:val="16"/>
          <w:lang w:val="en-US"/>
        </w:rPr>
        <w:t xml:space="preserve">D. </w:t>
      </w:r>
      <w:r w:rsidR="008052FA" w:rsidRPr="00012C3F">
        <w:rPr>
          <w:sz w:val="16"/>
          <w:szCs w:val="16"/>
          <w:lang w:val="en-US"/>
        </w:rPr>
        <w:t xml:space="preserve">A high degree of consistency and congruence exists between </w:t>
      </w:r>
      <w:r w:rsidRPr="00012C3F">
        <w:rPr>
          <w:sz w:val="16"/>
          <w:szCs w:val="16"/>
          <w:lang w:val="en-US"/>
        </w:rPr>
        <w:t>[</w:t>
      </w:r>
      <w:r w:rsidR="000E1C11" w:rsidRPr="00012C3F">
        <w:rPr>
          <w:sz w:val="16"/>
          <w:szCs w:val="16"/>
          <w:lang w:val="en-US"/>
        </w:rPr>
        <w:t>I.V.</w:t>
      </w:r>
      <w:r w:rsidR="008052FA" w:rsidRPr="00012C3F">
        <w:rPr>
          <w:sz w:val="16"/>
          <w:szCs w:val="16"/>
          <w:lang w:val="en-US"/>
        </w:rPr>
        <w:t>’s</w:t>
      </w:r>
      <w:r w:rsidRPr="00012C3F">
        <w:rPr>
          <w:sz w:val="16"/>
          <w:szCs w:val="16"/>
          <w:lang w:val="en-US"/>
        </w:rPr>
        <w:t xml:space="preserve">] </w:t>
      </w:r>
      <w:r w:rsidR="008052FA" w:rsidRPr="00012C3F">
        <w:rPr>
          <w:sz w:val="16"/>
          <w:szCs w:val="16"/>
          <w:lang w:val="en-US"/>
        </w:rPr>
        <w:t xml:space="preserve">search for justice and a public acknowledgement of the harm caused. A temporal relationship exists between the facts suffered and the current psychological symptoms; particularly, the persistent anguish owing to the desire for a future maternity that has been </w:t>
      </w:r>
      <w:r w:rsidR="00AA0687" w:rsidRPr="00012C3F">
        <w:rPr>
          <w:sz w:val="16"/>
          <w:szCs w:val="16"/>
          <w:lang w:val="en-US"/>
        </w:rPr>
        <w:t>curtailed</w:t>
      </w:r>
      <w:r w:rsidR="008052FA" w:rsidRPr="00012C3F">
        <w:rPr>
          <w:sz w:val="16"/>
          <w:szCs w:val="16"/>
          <w:lang w:val="en-US"/>
        </w:rPr>
        <w:t xml:space="preserve"> by external forces.</w:t>
      </w:r>
    </w:p>
    <w:p w14:paraId="48BC4A8C" w14:textId="77777777" w:rsidR="007A1A14" w:rsidRPr="00012C3F" w:rsidRDefault="007A1A14" w:rsidP="007A1A14">
      <w:pPr>
        <w:spacing w:after="120" w:line="240" w:lineRule="auto"/>
        <w:ind w:left="567" w:right="573"/>
        <w:rPr>
          <w:sz w:val="16"/>
          <w:szCs w:val="16"/>
          <w:lang w:val="en-US"/>
        </w:rPr>
      </w:pPr>
      <w:r w:rsidRPr="00012C3F">
        <w:rPr>
          <w:sz w:val="16"/>
          <w:szCs w:val="16"/>
          <w:lang w:val="en-US"/>
        </w:rPr>
        <w:t xml:space="preserve">E. </w:t>
      </w:r>
      <w:r w:rsidR="00AA0687" w:rsidRPr="00012C3F">
        <w:rPr>
          <w:sz w:val="16"/>
          <w:szCs w:val="16"/>
          <w:lang w:val="en-US"/>
        </w:rPr>
        <w:t>The mental reactions noted are foreseeable or typical reactions in the affected person’s social and cultural context</w:t>
      </w:r>
      <w:r w:rsidRPr="00012C3F">
        <w:rPr>
          <w:sz w:val="16"/>
          <w:szCs w:val="16"/>
          <w:lang w:val="en-US"/>
        </w:rPr>
        <w:t xml:space="preserve">. </w:t>
      </w:r>
    </w:p>
    <w:p w14:paraId="7A84AF21" w14:textId="77777777" w:rsidR="007A1A14" w:rsidRPr="00012C3F" w:rsidRDefault="007A1A14" w:rsidP="007A1A14">
      <w:pPr>
        <w:spacing w:after="120" w:line="240" w:lineRule="auto"/>
        <w:ind w:left="567" w:right="573"/>
        <w:rPr>
          <w:sz w:val="16"/>
          <w:szCs w:val="16"/>
          <w:lang w:val="en-US"/>
        </w:rPr>
      </w:pPr>
      <w:r w:rsidRPr="00012C3F">
        <w:rPr>
          <w:sz w:val="16"/>
          <w:szCs w:val="16"/>
          <w:lang w:val="en-US"/>
        </w:rPr>
        <w:t xml:space="preserve">F. </w:t>
      </w:r>
      <w:r w:rsidR="00AA0687" w:rsidRPr="00012C3F">
        <w:rPr>
          <w:sz w:val="16"/>
          <w:szCs w:val="16"/>
          <w:lang w:val="en-US"/>
        </w:rPr>
        <w:t>A</w:t>
      </w:r>
      <w:r w:rsidR="008052FA" w:rsidRPr="00012C3F">
        <w:rPr>
          <w:sz w:val="16"/>
          <w:szCs w:val="16"/>
          <w:lang w:val="en-US"/>
        </w:rPr>
        <w:t xml:space="preserve"> high degree of consistency and congruence </w:t>
      </w:r>
      <w:r w:rsidR="00AA0687" w:rsidRPr="00012C3F">
        <w:rPr>
          <w:sz w:val="16"/>
          <w:szCs w:val="16"/>
          <w:lang w:val="en-US"/>
        </w:rPr>
        <w:t xml:space="preserve">exists </w:t>
      </w:r>
      <w:r w:rsidR="008052FA" w:rsidRPr="00012C3F">
        <w:rPr>
          <w:sz w:val="16"/>
          <w:szCs w:val="16"/>
          <w:lang w:val="en-US"/>
        </w:rPr>
        <w:t xml:space="preserve">between </w:t>
      </w:r>
      <w:r w:rsidR="00AA0687" w:rsidRPr="00012C3F">
        <w:rPr>
          <w:sz w:val="16"/>
          <w:szCs w:val="16"/>
          <w:lang w:val="en-US"/>
        </w:rPr>
        <w:t xml:space="preserve">what [I.V.] has suffered and her wish to contribute to the </w:t>
      </w:r>
      <w:r w:rsidR="00B34249" w:rsidRPr="00012C3F">
        <w:rPr>
          <w:sz w:val="16"/>
          <w:szCs w:val="16"/>
          <w:lang w:val="en-US"/>
        </w:rPr>
        <w:t>efforts</w:t>
      </w:r>
      <w:r w:rsidR="00AA0687" w:rsidRPr="00012C3F">
        <w:rPr>
          <w:sz w:val="16"/>
          <w:szCs w:val="16"/>
          <w:lang w:val="en-US"/>
        </w:rPr>
        <w:t xml:space="preserve"> to ensure that this type of abuse is not repeated</w:t>
      </w:r>
      <w:r w:rsidRPr="00012C3F">
        <w:rPr>
          <w:sz w:val="16"/>
          <w:szCs w:val="16"/>
          <w:lang w:val="en-US"/>
        </w:rPr>
        <w:t xml:space="preserve">. </w:t>
      </w:r>
    </w:p>
    <w:p w14:paraId="4F3F6FC3" w14:textId="77777777" w:rsidR="007A1A14" w:rsidRPr="00012C3F" w:rsidRDefault="007A1A14" w:rsidP="007A1A14">
      <w:pPr>
        <w:spacing w:after="120" w:line="240" w:lineRule="auto"/>
        <w:ind w:left="567" w:right="573"/>
        <w:rPr>
          <w:sz w:val="16"/>
          <w:szCs w:val="16"/>
          <w:lang w:val="en-US"/>
        </w:rPr>
      </w:pPr>
      <w:r w:rsidRPr="00012C3F">
        <w:rPr>
          <w:sz w:val="16"/>
          <w:szCs w:val="16"/>
          <w:lang w:val="en-US"/>
        </w:rPr>
        <w:t xml:space="preserve">G. </w:t>
      </w:r>
      <w:r w:rsidR="00AA0687" w:rsidRPr="00012C3F">
        <w:rPr>
          <w:sz w:val="16"/>
          <w:szCs w:val="16"/>
          <w:lang w:val="en-US"/>
        </w:rPr>
        <w:t>There is clinical and diagnostic evidence of effects on her mental state.</w:t>
      </w:r>
    </w:p>
    <w:p w14:paraId="4FAF5F89" w14:textId="77777777" w:rsidR="007A1A14" w:rsidRPr="00012C3F" w:rsidRDefault="007A1A14" w:rsidP="007A1A14">
      <w:pPr>
        <w:spacing w:line="240" w:lineRule="auto"/>
        <w:rPr>
          <w:sz w:val="20"/>
          <w:szCs w:val="20"/>
          <w:lang w:val="en-US"/>
        </w:rPr>
      </w:pPr>
    </w:p>
    <w:p w14:paraId="15F0E07E" w14:textId="77777777" w:rsidR="008920BF" w:rsidRPr="00012C3F" w:rsidRDefault="008920BF" w:rsidP="008920BF">
      <w:pPr>
        <w:keepNext/>
        <w:keepLines/>
        <w:tabs>
          <w:tab w:val="left" w:pos="851"/>
        </w:tabs>
        <w:spacing w:line="240" w:lineRule="auto"/>
        <w:jc w:val="center"/>
        <w:outlineLvl w:val="0"/>
        <w:rPr>
          <w:rFonts w:cs="Verdana"/>
          <w:b/>
          <w:bCs/>
          <w:caps/>
          <w:snapToGrid w:val="0"/>
          <w:sz w:val="20"/>
          <w:szCs w:val="20"/>
          <w:lang w:val="en-US"/>
        </w:rPr>
      </w:pPr>
      <w:bookmarkStart w:id="106" w:name="_Toc375517129"/>
      <w:bookmarkStart w:id="107" w:name="_Toc447893028"/>
      <w:bookmarkStart w:id="108" w:name="_Toc27486850"/>
      <w:bookmarkStart w:id="109" w:name="_Toc437247300"/>
      <w:r w:rsidRPr="00012C3F">
        <w:rPr>
          <w:rFonts w:cs="Verdana"/>
          <w:b/>
          <w:bCs/>
          <w:caps/>
          <w:snapToGrid w:val="0"/>
          <w:sz w:val="20"/>
          <w:szCs w:val="20"/>
          <w:lang w:val="en-US"/>
        </w:rPr>
        <w:t>vIii</w:t>
      </w:r>
      <w:r w:rsidRPr="00012C3F">
        <w:rPr>
          <w:rFonts w:cs="Verdana"/>
          <w:b/>
          <w:bCs/>
          <w:caps/>
          <w:snapToGrid w:val="0"/>
          <w:sz w:val="20"/>
          <w:szCs w:val="20"/>
          <w:lang w:val="en-US"/>
        </w:rPr>
        <w:br/>
      </w:r>
      <w:r w:rsidR="006C705C" w:rsidRPr="00012C3F">
        <w:rPr>
          <w:rFonts w:cs="Verdana"/>
          <w:b/>
          <w:bCs/>
          <w:caps/>
          <w:snapToGrid w:val="0"/>
          <w:sz w:val="20"/>
          <w:szCs w:val="20"/>
          <w:lang w:val="en-US"/>
        </w:rPr>
        <w:t>MERITS</w:t>
      </w:r>
      <w:bookmarkEnd w:id="106"/>
      <w:bookmarkEnd w:id="107"/>
      <w:bookmarkEnd w:id="108"/>
    </w:p>
    <w:p w14:paraId="54E0ED75" w14:textId="77777777" w:rsidR="008920BF" w:rsidRPr="00012C3F" w:rsidRDefault="008920BF" w:rsidP="007D00D9">
      <w:pPr>
        <w:spacing w:line="240" w:lineRule="auto"/>
        <w:rPr>
          <w:rFonts w:cs="Verdana"/>
          <w:bCs/>
          <w:caps/>
          <w:snapToGrid w:val="0"/>
          <w:sz w:val="20"/>
          <w:szCs w:val="20"/>
          <w:lang w:val="en-US"/>
        </w:rPr>
      </w:pPr>
    </w:p>
    <w:p w14:paraId="5402775F" w14:textId="77777777" w:rsidR="00D26619" w:rsidRPr="00012C3F" w:rsidRDefault="00D119A9" w:rsidP="007D00D9">
      <w:pPr>
        <w:numPr>
          <w:ilvl w:val="0"/>
          <w:numId w:val="5"/>
        </w:numPr>
        <w:tabs>
          <w:tab w:val="left" w:pos="720"/>
          <w:tab w:val="num" w:pos="12305"/>
        </w:tabs>
        <w:spacing w:line="240" w:lineRule="auto"/>
        <w:ind w:left="0" w:firstLine="0"/>
        <w:rPr>
          <w:rFonts w:cs="Verdana"/>
          <w:bCs/>
          <w:caps/>
          <w:snapToGrid w:val="0"/>
          <w:sz w:val="20"/>
          <w:szCs w:val="20"/>
          <w:lang w:val="en-US"/>
        </w:rPr>
      </w:pPr>
      <w:r w:rsidRPr="00012C3F">
        <w:rPr>
          <w:sz w:val="20"/>
          <w:szCs w:val="20"/>
          <w:lang w:val="en-US"/>
        </w:rPr>
        <w:t>In this chapter, the Court will address the merits of the case. The Court finds it pertinent, owing to the different legal arguments presented and the fact that many of them are interrelated, to divide the analysis into three sections. First, the Court will examine all the arguments concerning the alleged violations relating to the tubal ligation procedure to which I.V. was subjected. Then, the Court will address the arguments relating to the possible constitution of an act of torture or cruel, inhuman or degrading treatment. Lastly, the Court will examine all the arguments related to the right of access to justice.</w:t>
      </w:r>
    </w:p>
    <w:p w14:paraId="7DAA577E" w14:textId="77777777" w:rsidR="008920BF" w:rsidRPr="00012C3F" w:rsidRDefault="008920BF" w:rsidP="008920BF">
      <w:pPr>
        <w:keepNext/>
        <w:keepLines/>
        <w:tabs>
          <w:tab w:val="left" w:pos="720"/>
          <w:tab w:val="left" w:pos="851"/>
        </w:tabs>
        <w:spacing w:line="240" w:lineRule="auto"/>
        <w:jc w:val="center"/>
        <w:outlineLvl w:val="0"/>
        <w:rPr>
          <w:rFonts w:eastAsia="MS ????" w:cs="Verdana"/>
          <w:b/>
          <w:bCs/>
          <w:snapToGrid w:val="0"/>
          <w:sz w:val="20"/>
          <w:szCs w:val="20"/>
          <w:lang w:val="en-US" w:eastAsia="es-ES"/>
        </w:rPr>
      </w:pPr>
      <w:bookmarkStart w:id="110" w:name="_Toc447893029"/>
      <w:bookmarkStart w:id="111" w:name="_Toc27486851"/>
      <w:r w:rsidRPr="00012C3F">
        <w:rPr>
          <w:rFonts w:eastAsia="MS ????" w:cs="Verdana"/>
          <w:b/>
          <w:bCs/>
          <w:snapToGrid w:val="0"/>
          <w:sz w:val="20"/>
          <w:szCs w:val="20"/>
          <w:lang w:val="en-US" w:eastAsia="es-ES"/>
        </w:rPr>
        <w:lastRenderedPageBreak/>
        <w:t>VIII-1</w:t>
      </w:r>
      <w:r w:rsidRPr="00012C3F">
        <w:rPr>
          <w:rFonts w:eastAsia="MS ????" w:cs="Verdana"/>
          <w:b/>
          <w:bCs/>
          <w:snapToGrid w:val="0"/>
          <w:sz w:val="20"/>
          <w:szCs w:val="20"/>
          <w:lang w:val="en-US" w:eastAsia="es-ES"/>
        </w:rPr>
        <w:br/>
      </w:r>
      <w:bookmarkEnd w:id="109"/>
      <w:r w:rsidR="005E1B9D" w:rsidRPr="00012C3F">
        <w:rPr>
          <w:rFonts w:eastAsia="MS ????" w:cs="Verdana"/>
          <w:b/>
          <w:bCs/>
          <w:snapToGrid w:val="0"/>
          <w:sz w:val="20"/>
          <w:szCs w:val="20"/>
          <w:lang w:val="en-US" w:eastAsia="es-ES"/>
        </w:rPr>
        <w:t>RIGHTS</w:t>
      </w:r>
      <w:r w:rsidRPr="00012C3F">
        <w:rPr>
          <w:rFonts w:eastAsia="MS ????" w:cs="Verdana"/>
          <w:b/>
          <w:bCs/>
          <w:snapToGrid w:val="0"/>
          <w:sz w:val="20"/>
          <w:szCs w:val="20"/>
          <w:lang w:val="en-US" w:eastAsia="es-ES"/>
        </w:rPr>
        <w:t xml:space="preserve"> </w:t>
      </w:r>
      <w:r w:rsidR="006C705C" w:rsidRPr="00012C3F">
        <w:rPr>
          <w:rFonts w:eastAsia="MS ????" w:cs="Verdana"/>
          <w:b/>
          <w:bCs/>
          <w:snapToGrid w:val="0"/>
          <w:sz w:val="20"/>
          <w:szCs w:val="20"/>
          <w:lang w:val="en-US" w:eastAsia="es-ES"/>
        </w:rPr>
        <w:t>TO PERSONAL INTEGRITY</w:t>
      </w:r>
      <w:r w:rsidR="005E1B9D" w:rsidRPr="00012C3F">
        <w:rPr>
          <w:rFonts w:eastAsia="MS ????" w:cs="Verdana"/>
          <w:b/>
          <w:bCs/>
          <w:snapToGrid w:val="0"/>
          <w:sz w:val="20"/>
          <w:szCs w:val="20"/>
          <w:lang w:val="en-US" w:eastAsia="es-ES"/>
        </w:rPr>
        <w:t>,</w:t>
      </w:r>
      <w:r w:rsidR="006B77A4" w:rsidRPr="00012C3F">
        <w:rPr>
          <w:rStyle w:val="Refdenotaalpie"/>
          <w:rFonts w:eastAsia="MS ????" w:cs="Verdana"/>
          <w:b/>
          <w:bCs/>
          <w:snapToGrid w:val="0"/>
          <w:sz w:val="20"/>
          <w:szCs w:val="20"/>
          <w:lang w:val="en-US" w:eastAsia="es-ES"/>
        </w:rPr>
        <w:footnoteReference w:id="156"/>
      </w:r>
      <w:r w:rsidRPr="00012C3F">
        <w:rPr>
          <w:rFonts w:eastAsia="MS ????" w:cs="Verdana"/>
          <w:b/>
          <w:bCs/>
          <w:snapToGrid w:val="0"/>
          <w:sz w:val="20"/>
          <w:szCs w:val="20"/>
          <w:lang w:val="en-US" w:eastAsia="es-ES"/>
        </w:rPr>
        <w:t xml:space="preserve"> </w:t>
      </w:r>
      <w:r w:rsidR="00B34249" w:rsidRPr="00012C3F">
        <w:rPr>
          <w:rFonts w:eastAsia="MS ????" w:cs="Verdana"/>
          <w:b/>
          <w:bCs/>
          <w:snapToGrid w:val="0"/>
          <w:sz w:val="20"/>
          <w:szCs w:val="20"/>
          <w:lang w:val="en-US" w:eastAsia="es-ES"/>
        </w:rPr>
        <w:t xml:space="preserve">TO </w:t>
      </w:r>
      <w:r w:rsidR="004E0261" w:rsidRPr="00012C3F">
        <w:rPr>
          <w:rFonts w:eastAsia="MS ????" w:cs="Verdana"/>
          <w:b/>
          <w:bCs/>
          <w:snapToGrid w:val="0"/>
          <w:sz w:val="20"/>
          <w:szCs w:val="20"/>
          <w:lang w:val="en-US" w:eastAsia="es-ES"/>
        </w:rPr>
        <w:t>PERSONAL</w:t>
      </w:r>
      <w:r w:rsidR="005E1B9D" w:rsidRPr="00012C3F">
        <w:rPr>
          <w:rFonts w:eastAsia="MS ????" w:cs="Verdana"/>
          <w:b/>
          <w:bCs/>
          <w:snapToGrid w:val="0"/>
          <w:sz w:val="20"/>
          <w:szCs w:val="20"/>
          <w:lang w:val="en-US" w:eastAsia="es-ES"/>
        </w:rPr>
        <w:t xml:space="preserve"> LIBERTY,</w:t>
      </w:r>
      <w:r w:rsidR="006B77A4" w:rsidRPr="00012C3F">
        <w:rPr>
          <w:rStyle w:val="Refdenotaalpie"/>
          <w:rFonts w:eastAsia="MS ????" w:cs="Verdana"/>
          <w:b/>
          <w:bCs/>
          <w:snapToGrid w:val="0"/>
          <w:sz w:val="20"/>
          <w:szCs w:val="20"/>
          <w:lang w:val="en-US" w:eastAsia="es-ES"/>
        </w:rPr>
        <w:footnoteReference w:id="157"/>
      </w:r>
      <w:r w:rsidR="00B34249" w:rsidRPr="00012C3F">
        <w:rPr>
          <w:rFonts w:eastAsia="MS ????" w:cs="Verdana"/>
          <w:b/>
          <w:bCs/>
          <w:snapToGrid w:val="0"/>
          <w:sz w:val="20"/>
          <w:szCs w:val="20"/>
          <w:lang w:val="en-US" w:eastAsia="es-ES"/>
        </w:rPr>
        <w:t xml:space="preserve"> TO</w:t>
      </w:r>
      <w:r w:rsidR="005E1B9D" w:rsidRPr="00012C3F">
        <w:rPr>
          <w:rFonts w:eastAsia="MS ????" w:cs="Verdana"/>
          <w:b/>
          <w:bCs/>
          <w:snapToGrid w:val="0"/>
          <w:sz w:val="20"/>
          <w:szCs w:val="20"/>
          <w:lang w:val="en-US" w:eastAsia="es-ES"/>
        </w:rPr>
        <w:t xml:space="preserve"> </w:t>
      </w:r>
      <w:r w:rsidR="001C7633" w:rsidRPr="00012C3F">
        <w:rPr>
          <w:rFonts w:eastAsia="MS ????" w:cs="Verdana"/>
          <w:b/>
          <w:bCs/>
          <w:snapToGrid w:val="0"/>
          <w:sz w:val="20"/>
          <w:szCs w:val="20"/>
          <w:lang w:val="en-US" w:eastAsia="es-ES"/>
        </w:rPr>
        <w:t>DIGNI</w:t>
      </w:r>
      <w:r w:rsidR="005E1B9D" w:rsidRPr="00012C3F">
        <w:rPr>
          <w:rFonts w:eastAsia="MS ????" w:cs="Verdana"/>
          <w:b/>
          <w:bCs/>
          <w:snapToGrid w:val="0"/>
          <w:sz w:val="20"/>
          <w:szCs w:val="20"/>
          <w:lang w:val="en-US" w:eastAsia="es-ES"/>
        </w:rPr>
        <w:t>TY,</w:t>
      </w:r>
      <w:r w:rsidR="006B77A4" w:rsidRPr="00012C3F">
        <w:rPr>
          <w:rStyle w:val="Refdenotaalpie"/>
          <w:rFonts w:eastAsia="MS ????" w:cs="Verdana"/>
          <w:b/>
          <w:bCs/>
          <w:snapToGrid w:val="0"/>
          <w:sz w:val="20"/>
          <w:szCs w:val="20"/>
          <w:lang w:val="en-US" w:eastAsia="es-ES"/>
        </w:rPr>
        <w:footnoteReference w:id="158"/>
      </w:r>
      <w:r w:rsidR="005E1B9D" w:rsidRPr="00012C3F">
        <w:rPr>
          <w:rFonts w:eastAsia="MS ????" w:cs="Verdana"/>
          <w:b/>
          <w:bCs/>
          <w:snapToGrid w:val="0"/>
          <w:sz w:val="20"/>
          <w:szCs w:val="20"/>
          <w:lang w:val="en-US" w:eastAsia="es-ES"/>
        </w:rPr>
        <w:t xml:space="preserve"> </w:t>
      </w:r>
      <w:r w:rsidR="00B34249" w:rsidRPr="00012C3F">
        <w:rPr>
          <w:rFonts w:eastAsia="MS ????" w:cs="Verdana"/>
          <w:b/>
          <w:bCs/>
          <w:snapToGrid w:val="0"/>
          <w:sz w:val="20"/>
          <w:szCs w:val="20"/>
          <w:lang w:val="en-US" w:eastAsia="es-ES"/>
        </w:rPr>
        <w:t xml:space="preserve">TO </w:t>
      </w:r>
      <w:r w:rsidR="005E1B9D" w:rsidRPr="00012C3F">
        <w:rPr>
          <w:rFonts w:eastAsia="MS ????" w:cs="Verdana"/>
          <w:b/>
          <w:bCs/>
          <w:snapToGrid w:val="0"/>
          <w:sz w:val="20"/>
          <w:szCs w:val="20"/>
          <w:lang w:val="en-US" w:eastAsia="es-ES"/>
        </w:rPr>
        <w:t>PRIVACY AND FAMILY LIFE,</w:t>
      </w:r>
      <w:r w:rsidR="006B77A4" w:rsidRPr="00012C3F">
        <w:rPr>
          <w:rStyle w:val="Refdenotaalpie"/>
          <w:rFonts w:eastAsia="MS ????" w:cs="Verdana"/>
          <w:b/>
          <w:bCs/>
          <w:snapToGrid w:val="0"/>
          <w:sz w:val="20"/>
          <w:szCs w:val="20"/>
          <w:lang w:val="en-US" w:eastAsia="es-ES"/>
        </w:rPr>
        <w:footnoteReference w:id="159"/>
      </w:r>
      <w:r w:rsidRPr="00012C3F">
        <w:rPr>
          <w:rFonts w:eastAsia="MS ????" w:cs="Verdana"/>
          <w:b/>
          <w:bCs/>
          <w:snapToGrid w:val="0"/>
          <w:sz w:val="20"/>
          <w:szCs w:val="20"/>
          <w:lang w:val="en-US" w:eastAsia="es-ES"/>
        </w:rPr>
        <w:t xml:space="preserve"> </w:t>
      </w:r>
      <w:r w:rsidR="00B34249" w:rsidRPr="00012C3F">
        <w:rPr>
          <w:rFonts w:eastAsia="MS ????" w:cs="Verdana"/>
          <w:b/>
          <w:bCs/>
          <w:snapToGrid w:val="0"/>
          <w:sz w:val="20"/>
          <w:szCs w:val="20"/>
          <w:lang w:val="en-US" w:eastAsia="es-ES"/>
        </w:rPr>
        <w:t xml:space="preserve">TO </w:t>
      </w:r>
      <w:r w:rsidR="006C705C" w:rsidRPr="00012C3F">
        <w:rPr>
          <w:rFonts w:eastAsia="MS ????" w:cs="Verdana"/>
          <w:b/>
          <w:bCs/>
          <w:snapToGrid w:val="0"/>
          <w:sz w:val="20"/>
          <w:szCs w:val="20"/>
          <w:lang w:val="en-US" w:eastAsia="es-ES"/>
        </w:rPr>
        <w:t>ACCESS TO INFORMATION</w:t>
      </w:r>
      <w:r w:rsidR="005E1B9D" w:rsidRPr="00012C3F">
        <w:rPr>
          <w:rFonts w:eastAsia="MS ????" w:cs="Verdana"/>
          <w:b/>
          <w:bCs/>
          <w:snapToGrid w:val="0"/>
          <w:sz w:val="20"/>
          <w:szCs w:val="20"/>
          <w:lang w:val="en-US" w:eastAsia="es-ES"/>
        </w:rPr>
        <w:t>,</w:t>
      </w:r>
      <w:r w:rsidR="006B77A4" w:rsidRPr="00012C3F">
        <w:rPr>
          <w:rStyle w:val="Refdenotaalpie"/>
          <w:rFonts w:eastAsia="MS ????" w:cs="Verdana"/>
          <w:b/>
          <w:bCs/>
          <w:snapToGrid w:val="0"/>
          <w:sz w:val="20"/>
          <w:szCs w:val="20"/>
          <w:lang w:val="en-US" w:eastAsia="es-ES"/>
        </w:rPr>
        <w:footnoteReference w:id="160"/>
      </w:r>
      <w:r w:rsidR="005E1B9D" w:rsidRPr="00012C3F">
        <w:rPr>
          <w:rFonts w:eastAsia="MS ????" w:cs="Verdana"/>
          <w:b/>
          <w:bCs/>
          <w:snapToGrid w:val="0"/>
          <w:sz w:val="20"/>
          <w:szCs w:val="20"/>
          <w:lang w:val="en-US" w:eastAsia="es-ES"/>
        </w:rPr>
        <w:t xml:space="preserve"> </w:t>
      </w:r>
      <w:r w:rsidR="00B34249" w:rsidRPr="00012C3F">
        <w:rPr>
          <w:rFonts w:eastAsia="MS ????" w:cs="Verdana"/>
          <w:b/>
          <w:bCs/>
          <w:snapToGrid w:val="0"/>
          <w:sz w:val="20"/>
          <w:szCs w:val="20"/>
          <w:lang w:val="en-US" w:eastAsia="es-ES"/>
        </w:rPr>
        <w:t xml:space="preserve">TO RAISE </w:t>
      </w:r>
      <w:r w:rsidR="005E1B9D" w:rsidRPr="00012C3F">
        <w:rPr>
          <w:rFonts w:eastAsia="MS ????" w:cs="Verdana"/>
          <w:b/>
          <w:bCs/>
          <w:snapToGrid w:val="0"/>
          <w:sz w:val="20"/>
          <w:szCs w:val="20"/>
          <w:lang w:val="en-US" w:eastAsia="es-ES"/>
        </w:rPr>
        <w:t>A FAMILY,</w:t>
      </w:r>
      <w:r w:rsidR="006B77A4" w:rsidRPr="00012C3F">
        <w:rPr>
          <w:rStyle w:val="Refdenotaalpie"/>
          <w:rFonts w:eastAsia="MS ????" w:cs="Verdana"/>
          <w:b/>
          <w:bCs/>
          <w:snapToGrid w:val="0"/>
          <w:sz w:val="20"/>
          <w:szCs w:val="20"/>
          <w:lang w:val="en-US" w:eastAsia="es-ES"/>
        </w:rPr>
        <w:footnoteReference w:id="161"/>
      </w:r>
      <w:r w:rsidR="005E5012" w:rsidRPr="00012C3F">
        <w:rPr>
          <w:rFonts w:eastAsia="MS ????" w:cs="Verdana"/>
          <w:b/>
          <w:bCs/>
          <w:snapToGrid w:val="0"/>
          <w:sz w:val="20"/>
          <w:szCs w:val="20"/>
          <w:lang w:val="en-US" w:eastAsia="es-ES"/>
        </w:rPr>
        <w:t xml:space="preserve"> </w:t>
      </w:r>
      <w:r w:rsidR="005E1B9D" w:rsidRPr="00012C3F">
        <w:rPr>
          <w:rFonts w:eastAsia="MS ????" w:cs="Verdana"/>
          <w:b/>
          <w:bCs/>
          <w:snapToGrid w:val="0"/>
          <w:sz w:val="20"/>
          <w:szCs w:val="20"/>
          <w:lang w:val="en-US" w:eastAsia="es-ES"/>
        </w:rPr>
        <w:t>AND</w:t>
      </w:r>
      <w:r w:rsidR="006C705C" w:rsidRPr="00012C3F">
        <w:rPr>
          <w:rFonts w:eastAsia="MS ????" w:cs="Verdana"/>
          <w:b/>
          <w:bCs/>
          <w:snapToGrid w:val="0"/>
          <w:sz w:val="20"/>
          <w:szCs w:val="20"/>
          <w:lang w:val="en-US" w:eastAsia="es-ES"/>
        </w:rPr>
        <w:t xml:space="preserve"> </w:t>
      </w:r>
      <w:r w:rsidR="00B34249" w:rsidRPr="00012C3F">
        <w:rPr>
          <w:rFonts w:eastAsia="MS ????" w:cs="Verdana"/>
          <w:b/>
          <w:bCs/>
          <w:snapToGrid w:val="0"/>
          <w:sz w:val="20"/>
          <w:szCs w:val="20"/>
          <w:lang w:val="en-US" w:eastAsia="es-ES"/>
        </w:rPr>
        <w:t xml:space="preserve">TO </w:t>
      </w:r>
      <w:r w:rsidR="006C705C" w:rsidRPr="00012C3F">
        <w:rPr>
          <w:rFonts w:eastAsia="MS ????" w:cs="Verdana"/>
          <w:b/>
          <w:bCs/>
          <w:snapToGrid w:val="0"/>
          <w:sz w:val="20"/>
          <w:szCs w:val="20"/>
          <w:lang w:val="en-US" w:eastAsia="es-ES"/>
        </w:rPr>
        <w:t>RECOGNITION OF JURIDICAL PERSONALITY</w:t>
      </w:r>
      <w:r w:rsidR="005E1B9D" w:rsidRPr="00012C3F">
        <w:rPr>
          <w:rFonts w:eastAsia="MS ????" w:cs="Verdana"/>
          <w:b/>
          <w:bCs/>
          <w:snapToGrid w:val="0"/>
          <w:sz w:val="20"/>
          <w:szCs w:val="20"/>
          <w:lang w:val="en-US" w:eastAsia="es-ES"/>
        </w:rPr>
        <w:t>,</w:t>
      </w:r>
      <w:r w:rsidR="006B77A4" w:rsidRPr="00012C3F">
        <w:rPr>
          <w:rStyle w:val="Refdenotaalpie"/>
          <w:rFonts w:eastAsia="MS ????" w:cs="Verdana"/>
          <w:b/>
          <w:bCs/>
          <w:snapToGrid w:val="0"/>
          <w:sz w:val="20"/>
          <w:szCs w:val="20"/>
          <w:lang w:val="en-US" w:eastAsia="es-ES"/>
        </w:rPr>
        <w:footnoteReference w:id="162"/>
      </w:r>
      <w:r w:rsidRPr="00012C3F">
        <w:rPr>
          <w:rFonts w:eastAsia="MS ????" w:cs="Verdana"/>
          <w:b/>
          <w:bCs/>
          <w:snapToGrid w:val="0"/>
          <w:sz w:val="20"/>
          <w:szCs w:val="20"/>
          <w:lang w:val="en-US" w:eastAsia="es-ES"/>
        </w:rPr>
        <w:t xml:space="preserve"> </w:t>
      </w:r>
      <w:r w:rsidR="006C705C" w:rsidRPr="00012C3F">
        <w:rPr>
          <w:rFonts w:eastAsia="MS ????" w:cs="Verdana"/>
          <w:b/>
          <w:bCs/>
          <w:snapToGrid w:val="0"/>
          <w:sz w:val="20"/>
          <w:szCs w:val="20"/>
          <w:lang w:val="en-US" w:eastAsia="es-ES"/>
        </w:rPr>
        <w:t>IN RELATION TO</w:t>
      </w:r>
      <w:r w:rsidRPr="00012C3F">
        <w:rPr>
          <w:rFonts w:eastAsia="MS ????" w:cs="Verdana"/>
          <w:b/>
          <w:bCs/>
          <w:snapToGrid w:val="0"/>
          <w:sz w:val="20"/>
          <w:szCs w:val="20"/>
          <w:lang w:val="en-US" w:eastAsia="es-ES"/>
        </w:rPr>
        <w:t xml:space="preserve"> </w:t>
      </w:r>
      <w:r w:rsidR="005E1B9D" w:rsidRPr="00012C3F">
        <w:rPr>
          <w:rFonts w:eastAsia="MS ????" w:cs="Verdana"/>
          <w:b/>
          <w:bCs/>
          <w:snapToGrid w:val="0"/>
          <w:sz w:val="20"/>
          <w:szCs w:val="20"/>
          <w:lang w:val="en-US" w:eastAsia="es-ES"/>
        </w:rPr>
        <w:t xml:space="preserve">THE OBLIGATIONS TO RESPECT </w:t>
      </w:r>
      <w:r w:rsidR="00E46719" w:rsidRPr="00012C3F">
        <w:rPr>
          <w:rFonts w:eastAsia="MS ????" w:cs="Verdana"/>
          <w:b/>
          <w:bCs/>
          <w:snapToGrid w:val="0"/>
          <w:sz w:val="20"/>
          <w:szCs w:val="20"/>
          <w:lang w:val="en-US" w:eastAsia="es-ES"/>
        </w:rPr>
        <w:t>AND TO ENSURE RIGHTS</w:t>
      </w:r>
      <w:r w:rsidR="005E1B9D" w:rsidRPr="00012C3F">
        <w:rPr>
          <w:rFonts w:eastAsia="MS ????" w:cs="Verdana"/>
          <w:b/>
          <w:bCs/>
          <w:snapToGrid w:val="0"/>
          <w:sz w:val="20"/>
          <w:szCs w:val="20"/>
          <w:lang w:val="en-US" w:eastAsia="es-ES"/>
        </w:rPr>
        <w:t xml:space="preserve"> WITHOUT DISCRIMINATION</w:t>
      </w:r>
      <w:bookmarkEnd w:id="110"/>
      <w:r w:rsidR="005E1B9D" w:rsidRPr="00012C3F">
        <w:rPr>
          <w:rFonts w:eastAsia="MS ????" w:cs="Verdana"/>
          <w:b/>
          <w:bCs/>
          <w:snapToGrid w:val="0"/>
          <w:sz w:val="20"/>
          <w:szCs w:val="20"/>
          <w:lang w:val="en-US" w:eastAsia="es-ES"/>
        </w:rPr>
        <w:t>,</w:t>
      </w:r>
      <w:r w:rsidR="006B77A4" w:rsidRPr="00012C3F">
        <w:rPr>
          <w:rStyle w:val="Refdenotaalpie"/>
          <w:rFonts w:eastAsia="MS ????" w:cs="Verdana"/>
          <w:b/>
          <w:bCs/>
          <w:snapToGrid w:val="0"/>
          <w:sz w:val="20"/>
          <w:szCs w:val="20"/>
          <w:lang w:val="en-US" w:eastAsia="es-ES"/>
        </w:rPr>
        <w:footnoteReference w:id="163"/>
      </w:r>
      <w:r w:rsidR="001C7633" w:rsidRPr="00012C3F">
        <w:rPr>
          <w:rFonts w:eastAsia="MS ????" w:cs="Verdana"/>
          <w:b/>
          <w:bCs/>
          <w:snapToGrid w:val="0"/>
          <w:sz w:val="20"/>
          <w:szCs w:val="20"/>
          <w:lang w:val="en-US" w:eastAsia="es-ES"/>
        </w:rPr>
        <w:t xml:space="preserve"> </w:t>
      </w:r>
      <w:r w:rsidR="005E1B9D" w:rsidRPr="00012C3F">
        <w:rPr>
          <w:rFonts w:eastAsia="MS ????" w:cs="Verdana"/>
          <w:b/>
          <w:bCs/>
          <w:snapToGrid w:val="0"/>
          <w:sz w:val="20"/>
          <w:szCs w:val="20"/>
          <w:lang w:val="en-US" w:eastAsia="es-ES"/>
        </w:rPr>
        <w:t xml:space="preserve">AND ALSO </w:t>
      </w:r>
      <w:r w:rsidR="00F63FF1" w:rsidRPr="00012C3F">
        <w:rPr>
          <w:rFonts w:eastAsia="MS ????" w:cs="Verdana"/>
          <w:b/>
          <w:bCs/>
          <w:snapToGrid w:val="0"/>
          <w:sz w:val="20"/>
          <w:szCs w:val="20"/>
          <w:lang w:val="en-US" w:eastAsia="es-ES"/>
        </w:rPr>
        <w:t>ARTICLE</w:t>
      </w:r>
      <w:r w:rsidR="001C7633" w:rsidRPr="00012C3F">
        <w:rPr>
          <w:rFonts w:eastAsia="MS ????" w:cs="Verdana"/>
          <w:b/>
          <w:bCs/>
          <w:snapToGrid w:val="0"/>
          <w:sz w:val="20"/>
          <w:szCs w:val="20"/>
          <w:lang w:val="en-US" w:eastAsia="es-ES"/>
        </w:rPr>
        <w:t xml:space="preserve"> 7</w:t>
      </w:r>
      <w:r w:rsidR="001254DE" w:rsidRPr="00012C3F">
        <w:rPr>
          <w:rFonts w:eastAsia="MS ????" w:cs="Verdana"/>
          <w:b/>
          <w:bCs/>
          <w:snapToGrid w:val="0"/>
          <w:sz w:val="20"/>
          <w:szCs w:val="20"/>
          <w:lang w:val="en-US" w:eastAsia="es-ES"/>
        </w:rPr>
        <w:t xml:space="preserve"> </w:t>
      </w:r>
      <w:r w:rsidR="005E1B9D" w:rsidRPr="00012C3F">
        <w:rPr>
          <w:rFonts w:eastAsia="MS ????" w:cs="Verdana"/>
          <w:b/>
          <w:bCs/>
          <w:snapToGrid w:val="0"/>
          <w:sz w:val="20"/>
          <w:szCs w:val="20"/>
          <w:lang w:val="en-US" w:eastAsia="es-ES"/>
        </w:rPr>
        <w:t>OF THE</w:t>
      </w:r>
      <w:r w:rsidR="001254DE" w:rsidRPr="00012C3F">
        <w:rPr>
          <w:rFonts w:eastAsia="MS ????" w:cs="Verdana"/>
          <w:b/>
          <w:bCs/>
          <w:snapToGrid w:val="0"/>
          <w:sz w:val="20"/>
          <w:szCs w:val="20"/>
          <w:lang w:val="en-US" w:eastAsia="es-ES"/>
        </w:rPr>
        <w:t xml:space="preserve"> CONVENTION</w:t>
      </w:r>
      <w:r w:rsidR="001C7633" w:rsidRPr="00012C3F">
        <w:rPr>
          <w:rFonts w:eastAsia="MS ????" w:cs="Verdana"/>
          <w:b/>
          <w:bCs/>
          <w:snapToGrid w:val="0"/>
          <w:sz w:val="20"/>
          <w:szCs w:val="20"/>
          <w:lang w:val="en-US" w:eastAsia="es-ES"/>
        </w:rPr>
        <w:t xml:space="preserve"> </w:t>
      </w:r>
      <w:r w:rsidR="005E5012" w:rsidRPr="00012C3F">
        <w:rPr>
          <w:rFonts w:eastAsia="MS ????" w:cs="Verdana"/>
          <w:b/>
          <w:bCs/>
          <w:snapToGrid w:val="0"/>
          <w:sz w:val="20"/>
          <w:szCs w:val="20"/>
          <w:lang w:val="en-US" w:eastAsia="es-ES"/>
        </w:rPr>
        <w:t>OF BELÉM</w:t>
      </w:r>
      <w:r w:rsidR="001C7633" w:rsidRPr="00012C3F">
        <w:rPr>
          <w:rFonts w:eastAsia="MS ????" w:cs="Verdana"/>
          <w:b/>
          <w:bCs/>
          <w:snapToGrid w:val="0"/>
          <w:sz w:val="20"/>
          <w:szCs w:val="20"/>
          <w:lang w:val="en-US" w:eastAsia="es-ES"/>
        </w:rPr>
        <w:t xml:space="preserve"> DO PARÁ</w:t>
      </w:r>
      <w:r w:rsidR="00817F8F" w:rsidRPr="00012C3F">
        <w:rPr>
          <w:rStyle w:val="Refdenotaalpie"/>
          <w:rFonts w:eastAsia="MS ????" w:cs="Verdana"/>
          <w:b/>
          <w:bCs/>
          <w:snapToGrid w:val="0"/>
          <w:sz w:val="20"/>
          <w:szCs w:val="20"/>
          <w:lang w:val="en-US" w:eastAsia="es-ES"/>
        </w:rPr>
        <w:footnoteReference w:id="164"/>
      </w:r>
      <w:bookmarkEnd w:id="111"/>
    </w:p>
    <w:p w14:paraId="0AEB70C4" w14:textId="77777777" w:rsidR="008920BF" w:rsidRPr="00012C3F" w:rsidRDefault="008920BF" w:rsidP="008920BF">
      <w:pPr>
        <w:rPr>
          <w:sz w:val="20"/>
          <w:szCs w:val="20"/>
          <w:lang w:val="en-US" w:eastAsia="es-ES"/>
        </w:rPr>
      </w:pPr>
    </w:p>
    <w:p w14:paraId="0551C994" w14:textId="77777777" w:rsidR="00407E71" w:rsidRPr="00012C3F" w:rsidRDefault="00582DDD" w:rsidP="00B34249">
      <w:pPr>
        <w:widowControl/>
        <w:numPr>
          <w:ilvl w:val="0"/>
          <w:numId w:val="5"/>
        </w:numPr>
        <w:tabs>
          <w:tab w:val="left" w:pos="720"/>
          <w:tab w:val="num" w:pos="12305"/>
        </w:tabs>
        <w:adjustRightInd/>
        <w:spacing w:line="240" w:lineRule="auto"/>
        <w:ind w:left="0" w:right="-90" w:firstLine="0"/>
        <w:textAlignment w:val="auto"/>
        <w:rPr>
          <w:sz w:val="20"/>
          <w:szCs w:val="20"/>
          <w:lang w:val="en-US" w:eastAsia="es-ES"/>
        </w:rPr>
      </w:pPr>
      <w:r w:rsidRPr="00012C3F">
        <w:rPr>
          <w:sz w:val="20"/>
          <w:szCs w:val="20"/>
          <w:lang w:val="en-US"/>
        </w:rPr>
        <w:t>In this section, the Court will examine the arguments concerning the alleged violations relat</w:t>
      </w:r>
      <w:r w:rsidR="00595D7E" w:rsidRPr="00012C3F">
        <w:rPr>
          <w:sz w:val="20"/>
          <w:szCs w:val="20"/>
          <w:lang w:val="en-US"/>
        </w:rPr>
        <w:t>ed</w:t>
      </w:r>
      <w:r w:rsidRPr="00012C3F">
        <w:rPr>
          <w:sz w:val="20"/>
          <w:szCs w:val="20"/>
          <w:lang w:val="en-US"/>
        </w:rPr>
        <w:t xml:space="preserve"> to the tubal ligation procedure to which I.V. was subjected. To this end, the Court finds it pertinent, first, to describe the a</w:t>
      </w:r>
      <w:r w:rsidR="006C705C" w:rsidRPr="00012C3F">
        <w:rPr>
          <w:sz w:val="20"/>
          <w:szCs w:val="20"/>
          <w:lang w:val="en-US"/>
        </w:rPr>
        <w:t>rguments of the parties</w:t>
      </w:r>
      <w:r w:rsidR="005E5012" w:rsidRPr="00012C3F">
        <w:rPr>
          <w:sz w:val="20"/>
          <w:szCs w:val="20"/>
          <w:lang w:val="en-US"/>
        </w:rPr>
        <w:t xml:space="preserve"> and </w:t>
      </w:r>
      <w:r w:rsidR="001254DE" w:rsidRPr="00012C3F">
        <w:rPr>
          <w:sz w:val="20"/>
          <w:szCs w:val="20"/>
          <w:lang w:val="en-US"/>
        </w:rPr>
        <w:t xml:space="preserve">of the </w:t>
      </w:r>
      <w:r w:rsidR="00A84CA0" w:rsidRPr="00012C3F">
        <w:rPr>
          <w:sz w:val="20"/>
          <w:szCs w:val="20"/>
          <w:lang w:val="en-US"/>
        </w:rPr>
        <w:t>Commission</w:t>
      </w:r>
      <w:r w:rsidR="008840C9" w:rsidRPr="00012C3F">
        <w:rPr>
          <w:sz w:val="20"/>
          <w:szCs w:val="20"/>
          <w:lang w:val="en-US"/>
        </w:rPr>
        <w:t xml:space="preserve"> </w:t>
      </w:r>
      <w:r w:rsidRPr="00012C3F">
        <w:rPr>
          <w:sz w:val="20"/>
          <w:szCs w:val="20"/>
          <w:lang w:val="en-US"/>
        </w:rPr>
        <w:t>regarding</w:t>
      </w:r>
      <w:r w:rsidR="008840C9" w:rsidRPr="00012C3F">
        <w:rPr>
          <w:sz w:val="20"/>
          <w:szCs w:val="20"/>
          <w:lang w:val="en-US"/>
        </w:rPr>
        <w:t xml:space="preserve"> </w:t>
      </w:r>
      <w:r w:rsidR="001254DE" w:rsidRPr="00012C3F">
        <w:rPr>
          <w:sz w:val="20"/>
          <w:szCs w:val="20"/>
          <w:lang w:val="en-US"/>
        </w:rPr>
        <w:t>Articles</w:t>
      </w:r>
      <w:r w:rsidR="008840C9" w:rsidRPr="00012C3F">
        <w:rPr>
          <w:sz w:val="20"/>
          <w:szCs w:val="20"/>
          <w:lang w:val="en-US"/>
        </w:rPr>
        <w:t xml:space="preserve"> </w:t>
      </w:r>
      <w:r w:rsidR="005E5012" w:rsidRPr="00012C3F">
        <w:rPr>
          <w:sz w:val="20"/>
          <w:szCs w:val="20"/>
          <w:lang w:val="en-US"/>
        </w:rPr>
        <w:t>5(1)</w:t>
      </w:r>
      <w:r w:rsidR="008840C9" w:rsidRPr="00012C3F">
        <w:rPr>
          <w:sz w:val="20"/>
          <w:szCs w:val="20"/>
          <w:lang w:val="en-US"/>
        </w:rPr>
        <w:t xml:space="preserve">, </w:t>
      </w:r>
      <w:r w:rsidR="005E5012" w:rsidRPr="00012C3F">
        <w:rPr>
          <w:sz w:val="20"/>
          <w:szCs w:val="20"/>
          <w:lang w:val="en-US"/>
        </w:rPr>
        <w:t>13(1)</w:t>
      </w:r>
      <w:r w:rsidR="008840C9" w:rsidRPr="00012C3F">
        <w:rPr>
          <w:sz w:val="20"/>
          <w:szCs w:val="20"/>
          <w:lang w:val="en-US"/>
        </w:rPr>
        <w:t>, 1</w:t>
      </w:r>
      <w:r w:rsidR="005E5012" w:rsidRPr="00012C3F">
        <w:rPr>
          <w:sz w:val="20"/>
          <w:szCs w:val="20"/>
          <w:lang w:val="en-US"/>
        </w:rPr>
        <w:t>1(1)</w:t>
      </w:r>
      <w:r w:rsidR="008840C9" w:rsidRPr="00012C3F">
        <w:rPr>
          <w:sz w:val="20"/>
          <w:szCs w:val="20"/>
          <w:lang w:val="en-US"/>
        </w:rPr>
        <w:t xml:space="preserve">, </w:t>
      </w:r>
      <w:r w:rsidR="005E5012" w:rsidRPr="00012C3F">
        <w:rPr>
          <w:sz w:val="20"/>
          <w:szCs w:val="20"/>
          <w:lang w:val="en-US"/>
        </w:rPr>
        <w:t>11(2)</w:t>
      </w:r>
      <w:r w:rsidR="008840C9" w:rsidRPr="00012C3F">
        <w:rPr>
          <w:sz w:val="20"/>
          <w:szCs w:val="20"/>
          <w:lang w:val="en-US"/>
        </w:rPr>
        <w:t xml:space="preserve">, </w:t>
      </w:r>
      <w:r w:rsidR="005E5012" w:rsidRPr="00012C3F">
        <w:rPr>
          <w:sz w:val="20"/>
          <w:szCs w:val="20"/>
          <w:lang w:val="en-US"/>
        </w:rPr>
        <w:t>17(2)</w:t>
      </w:r>
      <w:r w:rsidR="008840C9" w:rsidRPr="00012C3F">
        <w:rPr>
          <w:sz w:val="20"/>
          <w:szCs w:val="20"/>
          <w:lang w:val="en-US"/>
        </w:rPr>
        <w:t>, 3</w:t>
      </w:r>
      <w:r w:rsidR="005E5012" w:rsidRPr="00012C3F">
        <w:rPr>
          <w:sz w:val="20"/>
          <w:szCs w:val="20"/>
          <w:lang w:val="en-US"/>
        </w:rPr>
        <w:t xml:space="preserve"> and 1(1)</w:t>
      </w:r>
      <w:r w:rsidR="001254DE" w:rsidRPr="00012C3F">
        <w:rPr>
          <w:sz w:val="20"/>
          <w:szCs w:val="20"/>
          <w:lang w:val="en-US"/>
        </w:rPr>
        <w:t xml:space="preserve"> of the American Convention</w:t>
      </w:r>
      <w:r w:rsidR="008840C9" w:rsidRPr="00012C3F">
        <w:rPr>
          <w:sz w:val="20"/>
          <w:szCs w:val="20"/>
          <w:lang w:val="en-US"/>
        </w:rPr>
        <w:t xml:space="preserve">, </w:t>
      </w:r>
      <w:r w:rsidRPr="00012C3F">
        <w:rPr>
          <w:sz w:val="20"/>
          <w:szCs w:val="20"/>
          <w:lang w:val="en-US"/>
        </w:rPr>
        <w:t>and also</w:t>
      </w:r>
      <w:r w:rsidR="008840C9" w:rsidRPr="00012C3F">
        <w:rPr>
          <w:sz w:val="20"/>
          <w:szCs w:val="20"/>
          <w:lang w:val="en-US"/>
        </w:rPr>
        <w:t xml:space="preserve"> </w:t>
      </w:r>
      <w:r w:rsidR="001254DE" w:rsidRPr="00012C3F">
        <w:rPr>
          <w:sz w:val="20"/>
          <w:szCs w:val="20"/>
          <w:lang w:val="en-US"/>
        </w:rPr>
        <w:t>Article</w:t>
      </w:r>
      <w:r w:rsidR="008840C9" w:rsidRPr="00012C3F">
        <w:rPr>
          <w:sz w:val="20"/>
          <w:szCs w:val="20"/>
          <w:lang w:val="en-US"/>
        </w:rPr>
        <w:t xml:space="preserve"> 7</w:t>
      </w:r>
      <w:r w:rsidR="001254DE" w:rsidRPr="00012C3F">
        <w:rPr>
          <w:sz w:val="20"/>
          <w:szCs w:val="20"/>
          <w:lang w:val="en-US"/>
        </w:rPr>
        <w:t xml:space="preserve"> of the Convention</w:t>
      </w:r>
      <w:r w:rsidR="008840C9" w:rsidRPr="00012C3F">
        <w:rPr>
          <w:sz w:val="20"/>
          <w:szCs w:val="20"/>
          <w:lang w:val="en-US"/>
        </w:rPr>
        <w:t xml:space="preserve"> </w:t>
      </w:r>
      <w:r w:rsidR="005E5012" w:rsidRPr="00012C3F">
        <w:rPr>
          <w:sz w:val="20"/>
          <w:szCs w:val="20"/>
          <w:lang w:val="en-US"/>
        </w:rPr>
        <w:t>of Belém</w:t>
      </w:r>
      <w:r w:rsidR="008840C9" w:rsidRPr="00012C3F">
        <w:rPr>
          <w:sz w:val="20"/>
          <w:szCs w:val="20"/>
          <w:lang w:val="en-US"/>
        </w:rPr>
        <w:t xml:space="preserve"> do Pará</w:t>
      </w:r>
      <w:r w:rsidR="00595D7E" w:rsidRPr="00012C3F">
        <w:rPr>
          <w:sz w:val="20"/>
          <w:szCs w:val="20"/>
          <w:lang w:val="en-US"/>
        </w:rPr>
        <w:t xml:space="preserve">, and </w:t>
      </w:r>
      <w:r w:rsidRPr="00012C3F">
        <w:rPr>
          <w:sz w:val="20"/>
          <w:szCs w:val="20"/>
          <w:lang w:val="en-US"/>
        </w:rPr>
        <w:t xml:space="preserve">then </w:t>
      </w:r>
      <w:r w:rsidR="00595D7E" w:rsidRPr="00012C3F">
        <w:rPr>
          <w:sz w:val="20"/>
          <w:szCs w:val="20"/>
          <w:lang w:val="en-US"/>
        </w:rPr>
        <w:t>to present</w:t>
      </w:r>
      <w:r w:rsidRPr="00012C3F">
        <w:rPr>
          <w:sz w:val="20"/>
          <w:szCs w:val="20"/>
          <w:lang w:val="en-US"/>
        </w:rPr>
        <w:t xml:space="preserve"> the pertinent considerations and decide the disputes collectively, rather than separately article by article.</w:t>
      </w:r>
    </w:p>
    <w:p w14:paraId="2DAED2FC" w14:textId="77777777" w:rsidR="00407E71" w:rsidRPr="00012C3F" w:rsidRDefault="00407E71" w:rsidP="00370FCA">
      <w:pPr>
        <w:spacing w:line="240" w:lineRule="auto"/>
        <w:rPr>
          <w:sz w:val="20"/>
          <w:szCs w:val="20"/>
          <w:lang w:val="en-US" w:eastAsia="es-ES"/>
        </w:rPr>
      </w:pPr>
    </w:p>
    <w:p w14:paraId="26E0EB6F" w14:textId="77777777" w:rsidR="008920BF" w:rsidRPr="00012C3F" w:rsidRDefault="009867D6" w:rsidP="009867D6">
      <w:pPr>
        <w:keepNext/>
        <w:keepLines/>
        <w:tabs>
          <w:tab w:val="left" w:pos="1134"/>
        </w:tabs>
        <w:spacing w:line="240" w:lineRule="auto"/>
        <w:ind w:left="567" w:firstLine="1"/>
        <w:outlineLvl w:val="1"/>
        <w:rPr>
          <w:rFonts w:eastAsia="MS Mincho"/>
          <w:b/>
          <w:bCs/>
          <w:i/>
          <w:sz w:val="20"/>
          <w:szCs w:val="20"/>
          <w:lang w:val="en-US"/>
        </w:rPr>
      </w:pPr>
      <w:bookmarkStart w:id="112" w:name="_Toc27486852"/>
      <w:bookmarkStart w:id="113" w:name="_Toc447893030"/>
      <w:r w:rsidRPr="00012C3F">
        <w:rPr>
          <w:rFonts w:eastAsia="MS Mincho"/>
          <w:b/>
          <w:bCs/>
          <w:i/>
          <w:sz w:val="20"/>
          <w:szCs w:val="20"/>
          <w:lang w:val="en-US"/>
        </w:rPr>
        <w:t>A.</w:t>
      </w:r>
      <w:r w:rsidRPr="00012C3F">
        <w:rPr>
          <w:rFonts w:eastAsia="MS Mincho"/>
          <w:b/>
          <w:bCs/>
          <w:i/>
          <w:sz w:val="20"/>
          <w:szCs w:val="20"/>
          <w:lang w:val="en-US"/>
        </w:rPr>
        <w:tab/>
      </w:r>
      <w:r w:rsidR="006C705C" w:rsidRPr="00012C3F">
        <w:rPr>
          <w:rFonts w:eastAsia="MS Mincho"/>
          <w:b/>
          <w:bCs/>
          <w:i/>
          <w:sz w:val="20"/>
          <w:szCs w:val="20"/>
          <w:lang w:val="en-US"/>
        </w:rPr>
        <w:t>Arguments of the parties</w:t>
      </w:r>
      <w:r w:rsidR="005E5012" w:rsidRPr="00012C3F">
        <w:rPr>
          <w:rFonts w:eastAsia="MS Mincho"/>
          <w:b/>
          <w:bCs/>
          <w:i/>
          <w:sz w:val="20"/>
          <w:szCs w:val="20"/>
          <w:lang w:val="en-US"/>
        </w:rPr>
        <w:t xml:space="preserve"> and </w:t>
      </w:r>
      <w:r w:rsidR="001254DE" w:rsidRPr="00012C3F">
        <w:rPr>
          <w:rFonts w:eastAsia="MS Mincho"/>
          <w:b/>
          <w:bCs/>
          <w:i/>
          <w:sz w:val="20"/>
          <w:szCs w:val="20"/>
          <w:lang w:val="en-US"/>
        </w:rPr>
        <w:t xml:space="preserve">of the </w:t>
      </w:r>
      <w:r w:rsidR="00A84CA0" w:rsidRPr="00012C3F">
        <w:rPr>
          <w:rFonts w:eastAsia="MS Mincho"/>
          <w:b/>
          <w:bCs/>
          <w:i/>
          <w:sz w:val="20"/>
          <w:szCs w:val="20"/>
          <w:lang w:val="en-US"/>
        </w:rPr>
        <w:t>Commission</w:t>
      </w:r>
      <w:bookmarkEnd w:id="112"/>
    </w:p>
    <w:p w14:paraId="1DB4CBA8" w14:textId="77777777" w:rsidR="008920BF" w:rsidRPr="00012C3F" w:rsidRDefault="008920BF" w:rsidP="00370FCA">
      <w:pPr>
        <w:widowControl/>
        <w:tabs>
          <w:tab w:val="left" w:pos="720"/>
        </w:tabs>
        <w:adjustRightInd/>
        <w:spacing w:line="240" w:lineRule="auto"/>
        <w:ind w:right="-90"/>
        <w:textAlignment w:val="auto"/>
        <w:rPr>
          <w:rFonts w:eastAsia="MS Mincho"/>
          <w:sz w:val="20"/>
          <w:szCs w:val="20"/>
          <w:lang w:val="en-US" w:eastAsia="en-US" w:bidi="en-US"/>
        </w:rPr>
      </w:pPr>
    </w:p>
    <w:p w14:paraId="3BF5A6B3" w14:textId="77777777" w:rsidR="008920BF" w:rsidRPr="00012C3F" w:rsidRDefault="00E50443" w:rsidP="0039676A">
      <w:pPr>
        <w:pStyle w:val="Ttulo2"/>
        <w:tabs>
          <w:tab w:val="left" w:pos="1701"/>
        </w:tabs>
        <w:spacing w:before="0" w:line="240" w:lineRule="auto"/>
        <w:ind w:left="1134"/>
        <w:rPr>
          <w:rFonts w:ascii="Verdana" w:hAnsi="Verdana"/>
          <w:b w:val="0"/>
          <w:i/>
          <w:color w:val="auto"/>
          <w:sz w:val="20"/>
          <w:szCs w:val="20"/>
          <w:lang w:val="en-US"/>
        </w:rPr>
      </w:pPr>
      <w:bookmarkStart w:id="114" w:name="_Toc445290337"/>
      <w:bookmarkStart w:id="115" w:name="_Toc27486853"/>
      <w:r w:rsidRPr="00012C3F">
        <w:rPr>
          <w:rFonts w:ascii="Verdana" w:hAnsi="Verdana"/>
          <w:b w:val="0"/>
          <w:i/>
          <w:color w:val="auto"/>
          <w:sz w:val="20"/>
          <w:szCs w:val="20"/>
          <w:lang w:val="en-US"/>
        </w:rPr>
        <w:t>A.1</w:t>
      </w:r>
      <w:r w:rsidRPr="00012C3F">
        <w:rPr>
          <w:rFonts w:ascii="Verdana" w:hAnsi="Verdana"/>
          <w:b w:val="0"/>
          <w:i/>
          <w:color w:val="auto"/>
          <w:sz w:val="20"/>
          <w:szCs w:val="20"/>
          <w:lang w:val="en-US"/>
        </w:rPr>
        <w:tab/>
      </w:r>
      <w:r w:rsidR="006C705C" w:rsidRPr="00012C3F">
        <w:rPr>
          <w:rFonts w:ascii="Verdana" w:hAnsi="Verdana"/>
          <w:b w:val="0"/>
          <w:i/>
          <w:color w:val="auto"/>
          <w:sz w:val="20"/>
          <w:szCs w:val="20"/>
          <w:lang w:val="en-US"/>
        </w:rPr>
        <w:t>Arguments on the right</w:t>
      </w:r>
      <w:r w:rsidR="008920BF" w:rsidRPr="00012C3F">
        <w:rPr>
          <w:rFonts w:ascii="Verdana" w:hAnsi="Verdana"/>
          <w:b w:val="0"/>
          <w:i/>
          <w:color w:val="auto"/>
          <w:sz w:val="20"/>
          <w:szCs w:val="20"/>
          <w:lang w:val="en-US"/>
        </w:rPr>
        <w:t xml:space="preserve"> </w:t>
      </w:r>
      <w:r w:rsidR="006C705C" w:rsidRPr="00012C3F">
        <w:rPr>
          <w:rFonts w:ascii="Verdana" w:hAnsi="Verdana"/>
          <w:b w:val="0"/>
          <w:i/>
          <w:color w:val="auto"/>
          <w:sz w:val="20"/>
          <w:szCs w:val="20"/>
          <w:lang w:val="en-US"/>
        </w:rPr>
        <w:t>to personal integrity</w:t>
      </w:r>
      <w:r w:rsidR="008920BF" w:rsidRPr="00012C3F">
        <w:rPr>
          <w:rFonts w:ascii="Verdana" w:hAnsi="Verdana"/>
          <w:b w:val="0"/>
          <w:i/>
          <w:color w:val="auto"/>
          <w:sz w:val="20"/>
          <w:szCs w:val="20"/>
          <w:lang w:val="en-US"/>
        </w:rPr>
        <w:t xml:space="preserve"> (</w:t>
      </w:r>
      <w:r w:rsidR="001254DE" w:rsidRPr="00012C3F">
        <w:rPr>
          <w:rFonts w:ascii="Verdana" w:hAnsi="Verdana"/>
          <w:b w:val="0"/>
          <w:i/>
          <w:color w:val="auto"/>
          <w:sz w:val="20"/>
          <w:szCs w:val="20"/>
          <w:lang w:val="en-US"/>
        </w:rPr>
        <w:t>Article</w:t>
      </w:r>
      <w:r w:rsidR="008920BF" w:rsidRPr="00012C3F">
        <w:rPr>
          <w:rFonts w:ascii="Verdana" w:hAnsi="Verdana"/>
          <w:b w:val="0"/>
          <w:i/>
          <w:color w:val="auto"/>
          <w:sz w:val="20"/>
          <w:szCs w:val="20"/>
          <w:lang w:val="en-US"/>
        </w:rPr>
        <w:t xml:space="preserve"> </w:t>
      </w:r>
      <w:r w:rsidR="005E5012" w:rsidRPr="00012C3F">
        <w:rPr>
          <w:rFonts w:ascii="Verdana" w:hAnsi="Verdana"/>
          <w:b w:val="0"/>
          <w:i/>
          <w:color w:val="auto"/>
          <w:sz w:val="20"/>
          <w:szCs w:val="20"/>
          <w:lang w:val="en-US"/>
        </w:rPr>
        <w:t>5(1)</w:t>
      </w:r>
      <w:r w:rsidR="001254DE" w:rsidRPr="00012C3F">
        <w:rPr>
          <w:rFonts w:ascii="Verdana" w:hAnsi="Verdana"/>
          <w:b w:val="0"/>
          <w:i/>
          <w:color w:val="auto"/>
          <w:sz w:val="20"/>
          <w:szCs w:val="20"/>
          <w:lang w:val="en-US"/>
        </w:rPr>
        <w:t xml:space="preserve"> of the American Convention</w:t>
      </w:r>
      <w:r w:rsidR="008920BF" w:rsidRPr="00012C3F">
        <w:rPr>
          <w:rFonts w:ascii="Verdana" w:hAnsi="Verdana"/>
          <w:b w:val="0"/>
          <w:i/>
          <w:color w:val="auto"/>
          <w:sz w:val="20"/>
          <w:szCs w:val="20"/>
          <w:lang w:val="en-US"/>
        </w:rPr>
        <w:t>)</w:t>
      </w:r>
      <w:bookmarkEnd w:id="114"/>
      <w:bookmarkEnd w:id="115"/>
    </w:p>
    <w:p w14:paraId="5A09037B" w14:textId="77777777" w:rsidR="008920BF" w:rsidRPr="00012C3F" w:rsidRDefault="008920BF" w:rsidP="00E50443">
      <w:pPr>
        <w:widowControl/>
        <w:tabs>
          <w:tab w:val="left" w:pos="720"/>
        </w:tabs>
        <w:adjustRightInd/>
        <w:spacing w:line="240" w:lineRule="auto"/>
        <w:ind w:right="-90"/>
        <w:textAlignment w:val="auto"/>
        <w:rPr>
          <w:rFonts w:eastAsia="MS Mincho"/>
          <w:sz w:val="20"/>
          <w:szCs w:val="20"/>
          <w:lang w:val="en-US" w:eastAsia="en-US" w:bidi="en-US"/>
        </w:rPr>
      </w:pPr>
    </w:p>
    <w:p w14:paraId="26D77973" w14:textId="77777777" w:rsidR="004B2395" w:rsidRPr="00012C3F" w:rsidRDefault="00BD056C" w:rsidP="00B85280">
      <w:pPr>
        <w:widowControl/>
        <w:numPr>
          <w:ilvl w:val="0"/>
          <w:numId w:val="5"/>
        </w:numPr>
        <w:tabs>
          <w:tab w:val="left" w:pos="720"/>
          <w:tab w:val="num" w:pos="12305"/>
        </w:tabs>
        <w:adjustRightInd/>
        <w:spacing w:line="240" w:lineRule="auto"/>
        <w:ind w:left="0" w:right="-90" w:firstLine="0"/>
        <w:textAlignment w:val="auto"/>
        <w:rPr>
          <w:rFonts w:eastAsia="MS Mincho"/>
          <w:sz w:val="20"/>
          <w:szCs w:val="20"/>
          <w:lang w:val="en-US" w:eastAsia="en-US" w:bidi="en-US"/>
        </w:rPr>
      </w:pPr>
      <w:r w:rsidRPr="00012C3F">
        <w:rPr>
          <w:rFonts w:eastAsia="MS Mincho" w:cs="Arial"/>
          <w:sz w:val="20"/>
          <w:szCs w:val="20"/>
          <w:lang w:val="en-US" w:eastAsia="en-US" w:bidi="en-US"/>
        </w:rPr>
        <w:t xml:space="preserve">The </w:t>
      </w:r>
      <w:r w:rsidRPr="00012C3F">
        <w:rPr>
          <w:rFonts w:eastAsia="MS Mincho" w:cs="Arial"/>
          <w:b/>
          <w:bCs/>
          <w:i/>
          <w:iCs/>
          <w:sz w:val="20"/>
          <w:szCs w:val="20"/>
          <w:lang w:val="en-US" w:eastAsia="en-US" w:bidi="en-US"/>
        </w:rPr>
        <w:t>Commission</w:t>
      </w:r>
      <w:r w:rsidR="004B2395" w:rsidRPr="00012C3F">
        <w:rPr>
          <w:rFonts w:eastAsia="MS Mincho" w:cs="Arial"/>
          <w:b/>
          <w:bCs/>
          <w:i/>
          <w:iCs/>
          <w:sz w:val="20"/>
          <w:szCs w:val="20"/>
          <w:lang w:val="en-US" w:eastAsia="en-US" w:bidi="en-US"/>
        </w:rPr>
        <w:t xml:space="preserve"> </w:t>
      </w:r>
      <w:r w:rsidR="004B2395" w:rsidRPr="00012C3F">
        <w:rPr>
          <w:rFonts w:eastAsia="MS Mincho" w:cs="Arial"/>
          <w:sz w:val="20"/>
          <w:szCs w:val="20"/>
          <w:lang w:val="en-US" w:eastAsia="en-US" w:bidi="en-US"/>
        </w:rPr>
        <w:t>a</w:t>
      </w:r>
      <w:r w:rsidR="00D50476" w:rsidRPr="00012C3F">
        <w:rPr>
          <w:rFonts w:eastAsia="MS Mincho" w:cs="Arial"/>
          <w:sz w:val="20"/>
          <w:szCs w:val="20"/>
          <w:lang w:val="en-US" w:eastAsia="en-US" w:bidi="en-US"/>
        </w:rPr>
        <w:t xml:space="preserve">rgued that the right </w:t>
      </w:r>
      <w:r w:rsidR="006C705C" w:rsidRPr="00012C3F">
        <w:rPr>
          <w:rFonts w:eastAsia="MS Mincho" w:cs="Arial"/>
          <w:sz w:val="20"/>
          <w:szCs w:val="20"/>
          <w:lang w:val="en-US" w:eastAsia="en-US" w:bidi="en-US"/>
        </w:rPr>
        <w:t>to personal integrity</w:t>
      </w:r>
      <w:r w:rsidR="004B2395" w:rsidRPr="00012C3F">
        <w:rPr>
          <w:rFonts w:eastAsia="MS Mincho" w:cs="Arial"/>
          <w:sz w:val="20"/>
          <w:szCs w:val="20"/>
          <w:lang w:val="en-US" w:eastAsia="en-US" w:bidi="en-US"/>
        </w:rPr>
        <w:t xml:space="preserve"> </w:t>
      </w:r>
      <w:r w:rsidR="00D50476" w:rsidRPr="00012C3F">
        <w:rPr>
          <w:rFonts w:eastAsia="MS Mincho" w:cs="Arial"/>
          <w:sz w:val="20"/>
          <w:szCs w:val="20"/>
          <w:lang w:val="en-US" w:eastAsia="en-US" w:bidi="en-US"/>
        </w:rPr>
        <w:t xml:space="preserve">is a </w:t>
      </w:r>
      <w:r w:rsidR="00595D7E" w:rsidRPr="00012C3F">
        <w:rPr>
          <w:rFonts w:eastAsia="MS Mincho" w:cs="Arial"/>
          <w:sz w:val="20"/>
          <w:szCs w:val="20"/>
          <w:lang w:val="en-US" w:eastAsia="en-US" w:bidi="en-US"/>
        </w:rPr>
        <w:t xml:space="preserve">broad </w:t>
      </w:r>
      <w:r w:rsidR="00D50476" w:rsidRPr="00012C3F">
        <w:rPr>
          <w:rFonts w:eastAsia="MS Mincho" w:cs="Arial"/>
          <w:sz w:val="20"/>
          <w:szCs w:val="20"/>
          <w:lang w:val="en-US" w:eastAsia="en-US" w:bidi="en-US"/>
        </w:rPr>
        <w:t>concept that includes a woman’s maternal health</w:t>
      </w:r>
      <w:r w:rsidR="00595D7E" w:rsidRPr="00012C3F">
        <w:rPr>
          <w:rFonts w:eastAsia="MS Mincho" w:cs="Arial"/>
          <w:sz w:val="20"/>
          <w:szCs w:val="20"/>
          <w:lang w:val="en-US" w:eastAsia="en-US" w:bidi="en-US"/>
        </w:rPr>
        <w:t>,</w:t>
      </w:r>
      <w:r w:rsidR="00D50476" w:rsidRPr="00012C3F">
        <w:rPr>
          <w:rFonts w:eastAsia="MS Mincho" w:cs="Arial"/>
          <w:sz w:val="20"/>
          <w:szCs w:val="20"/>
          <w:lang w:val="en-US" w:eastAsia="en-US" w:bidi="en-US"/>
        </w:rPr>
        <w:t xml:space="preserve"> and its protection entails the </w:t>
      </w:r>
      <w:r w:rsidR="00595D7E" w:rsidRPr="00012C3F">
        <w:rPr>
          <w:rFonts w:eastAsia="MS Mincho" w:cs="Arial"/>
          <w:sz w:val="20"/>
          <w:szCs w:val="20"/>
          <w:lang w:val="en-US" w:eastAsia="en-US" w:bidi="en-US"/>
        </w:rPr>
        <w:t xml:space="preserve">State’s </w:t>
      </w:r>
      <w:r w:rsidR="00D50476" w:rsidRPr="00012C3F">
        <w:rPr>
          <w:rFonts w:eastAsia="MS Mincho" w:cs="Arial"/>
          <w:sz w:val="20"/>
          <w:szCs w:val="20"/>
          <w:lang w:val="en-US" w:eastAsia="en-US" w:bidi="en-US"/>
        </w:rPr>
        <w:t>obligation to ensure that women have access</w:t>
      </w:r>
      <w:r w:rsidR="00595D7E" w:rsidRPr="00012C3F">
        <w:rPr>
          <w:rFonts w:eastAsia="MS Mincho" w:cs="Arial"/>
          <w:sz w:val="20"/>
          <w:szCs w:val="20"/>
          <w:lang w:val="en-US" w:eastAsia="en-US" w:bidi="en-US"/>
        </w:rPr>
        <w:t>,</w:t>
      </w:r>
      <w:r w:rsidR="00D50476" w:rsidRPr="00012C3F">
        <w:rPr>
          <w:rFonts w:eastAsia="MS Mincho" w:cs="Arial"/>
          <w:sz w:val="20"/>
          <w:szCs w:val="20"/>
          <w:lang w:val="en-US" w:eastAsia="en-US" w:bidi="en-US"/>
        </w:rPr>
        <w:t xml:space="preserve"> on an equal footing</w:t>
      </w:r>
      <w:r w:rsidR="00595D7E" w:rsidRPr="00012C3F">
        <w:rPr>
          <w:rFonts w:eastAsia="MS Mincho" w:cs="Arial"/>
          <w:sz w:val="20"/>
          <w:szCs w:val="20"/>
          <w:lang w:val="en-US" w:eastAsia="en-US" w:bidi="en-US"/>
        </w:rPr>
        <w:t>,</w:t>
      </w:r>
      <w:r w:rsidR="00D50476" w:rsidRPr="00012C3F">
        <w:rPr>
          <w:rFonts w:eastAsia="MS Mincho" w:cs="Arial"/>
          <w:sz w:val="20"/>
          <w:szCs w:val="20"/>
          <w:lang w:val="en-US" w:eastAsia="en-US" w:bidi="en-US"/>
        </w:rPr>
        <w:t xml:space="preserve"> to adequate and timely health services and to the necessary information on maternity and reproductive health. In this regard, it considered that performing the surgical procedure of sterilization without </w:t>
      </w:r>
      <w:r w:rsidR="00595D7E" w:rsidRPr="00012C3F">
        <w:rPr>
          <w:rFonts w:eastAsia="MS Mincho" w:cs="Arial"/>
          <w:sz w:val="20"/>
          <w:szCs w:val="20"/>
          <w:lang w:val="en-US" w:eastAsia="en-US" w:bidi="en-US"/>
        </w:rPr>
        <w:t>I.V.’s</w:t>
      </w:r>
      <w:r w:rsidR="00D50476" w:rsidRPr="00012C3F">
        <w:rPr>
          <w:rFonts w:eastAsia="MS Mincho" w:cs="Arial"/>
          <w:sz w:val="20"/>
          <w:szCs w:val="20"/>
          <w:lang w:val="en-US" w:eastAsia="en-US" w:bidi="en-US"/>
        </w:rPr>
        <w:t xml:space="preserve"> consent did not constitute an a</w:t>
      </w:r>
      <w:r w:rsidR="00595D7E" w:rsidRPr="00012C3F">
        <w:rPr>
          <w:rFonts w:eastAsia="MS Mincho" w:cs="Arial"/>
          <w:sz w:val="20"/>
          <w:szCs w:val="20"/>
          <w:lang w:val="en-US" w:eastAsia="en-US" w:bidi="en-US"/>
        </w:rPr>
        <w:t>ppropriate</w:t>
      </w:r>
      <w:r w:rsidR="00D50476" w:rsidRPr="00012C3F">
        <w:rPr>
          <w:rFonts w:eastAsia="MS Mincho" w:cs="Arial"/>
          <w:sz w:val="20"/>
          <w:szCs w:val="20"/>
          <w:lang w:val="en-US" w:eastAsia="en-US" w:bidi="en-US"/>
        </w:rPr>
        <w:t xml:space="preserve"> or </w:t>
      </w:r>
      <w:r w:rsidR="00595D7E" w:rsidRPr="00012C3F">
        <w:rPr>
          <w:rFonts w:eastAsia="MS Mincho" w:cs="Arial"/>
          <w:sz w:val="20"/>
          <w:szCs w:val="20"/>
          <w:lang w:val="en-US" w:eastAsia="en-US" w:bidi="en-US"/>
        </w:rPr>
        <w:t xml:space="preserve">opportune </w:t>
      </w:r>
      <w:r w:rsidR="00D50476" w:rsidRPr="00012C3F">
        <w:rPr>
          <w:rFonts w:eastAsia="MS Mincho" w:cs="Arial"/>
          <w:sz w:val="20"/>
          <w:szCs w:val="20"/>
          <w:lang w:val="en-US" w:eastAsia="en-US" w:bidi="en-US"/>
        </w:rPr>
        <w:t xml:space="preserve">measure of maternal health </w:t>
      </w:r>
      <w:r w:rsidR="00595D7E" w:rsidRPr="00012C3F">
        <w:rPr>
          <w:rFonts w:eastAsia="MS Mincho" w:cs="Arial"/>
          <w:sz w:val="20"/>
          <w:szCs w:val="20"/>
          <w:lang w:val="en-US" w:eastAsia="en-US" w:bidi="en-US"/>
        </w:rPr>
        <w:t>and</w:t>
      </w:r>
      <w:r w:rsidR="00D50476" w:rsidRPr="00012C3F">
        <w:rPr>
          <w:rFonts w:eastAsia="MS Mincho" w:cs="Arial"/>
          <w:sz w:val="20"/>
          <w:szCs w:val="20"/>
          <w:lang w:val="en-US" w:eastAsia="en-US" w:bidi="en-US"/>
        </w:rPr>
        <w:t xml:space="preserve"> deprived</w:t>
      </w:r>
      <w:r w:rsidR="00595D7E" w:rsidRPr="00012C3F">
        <w:rPr>
          <w:rFonts w:eastAsia="MS Mincho" w:cs="Arial"/>
          <w:sz w:val="20"/>
          <w:szCs w:val="20"/>
          <w:lang w:val="en-US" w:eastAsia="en-US" w:bidi="en-US"/>
        </w:rPr>
        <w:t xml:space="preserve"> her</w:t>
      </w:r>
      <w:r w:rsidR="00D50476" w:rsidRPr="00012C3F">
        <w:rPr>
          <w:rFonts w:eastAsia="MS Mincho" w:cs="Arial"/>
          <w:sz w:val="20"/>
          <w:szCs w:val="20"/>
          <w:lang w:val="en-US" w:eastAsia="en-US" w:bidi="en-US"/>
        </w:rPr>
        <w:t>, permanently and absolutely, of her reproductive rights, which violated her right to physical and mental integrity, and caused her feelings of profound anguish</w:t>
      </w:r>
      <w:r w:rsidR="004B2395" w:rsidRPr="00012C3F">
        <w:rPr>
          <w:rFonts w:eastAsia="MS Mincho" w:cs="Arial"/>
          <w:sz w:val="20"/>
          <w:szCs w:val="20"/>
          <w:lang w:val="en-US" w:eastAsia="en-US" w:bidi="en-US"/>
        </w:rPr>
        <w:t>,</w:t>
      </w:r>
      <w:r w:rsidR="00D50476" w:rsidRPr="00012C3F">
        <w:rPr>
          <w:rFonts w:eastAsia="MS Mincho" w:cs="Arial"/>
          <w:sz w:val="20"/>
          <w:szCs w:val="20"/>
          <w:lang w:val="en-US" w:eastAsia="en-US" w:bidi="en-US"/>
        </w:rPr>
        <w:t xml:space="preserve"> helplessness</w:t>
      </w:r>
      <w:r w:rsidR="005E5012" w:rsidRPr="00012C3F">
        <w:rPr>
          <w:rFonts w:eastAsia="MS Mincho" w:cs="Arial"/>
          <w:sz w:val="20"/>
          <w:szCs w:val="20"/>
          <w:lang w:val="en-US" w:eastAsia="en-US" w:bidi="en-US"/>
        </w:rPr>
        <w:t xml:space="preserve"> and </w:t>
      </w:r>
      <w:r w:rsidR="004B2395" w:rsidRPr="00012C3F">
        <w:rPr>
          <w:rFonts w:eastAsia="MS Mincho" w:cs="Arial"/>
          <w:sz w:val="20"/>
          <w:szCs w:val="20"/>
          <w:lang w:val="en-US" w:eastAsia="en-US" w:bidi="en-US"/>
        </w:rPr>
        <w:t>frustra</w:t>
      </w:r>
      <w:r w:rsidR="00D50476" w:rsidRPr="00012C3F">
        <w:rPr>
          <w:rFonts w:eastAsia="MS Mincho" w:cs="Arial"/>
          <w:sz w:val="20"/>
          <w:szCs w:val="20"/>
          <w:lang w:val="en-US" w:eastAsia="en-US" w:bidi="en-US"/>
        </w:rPr>
        <w:t>tio</w:t>
      </w:r>
      <w:r w:rsidR="004B2395" w:rsidRPr="00012C3F">
        <w:rPr>
          <w:rFonts w:eastAsia="MS Mincho" w:cs="Arial"/>
          <w:sz w:val="20"/>
          <w:szCs w:val="20"/>
          <w:lang w:val="en-US" w:eastAsia="en-US" w:bidi="en-US"/>
        </w:rPr>
        <w:t>n, exacerba</w:t>
      </w:r>
      <w:r w:rsidR="00D50476" w:rsidRPr="00012C3F">
        <w:rPr>
          <w:rFonts w:eastAsia="MS Mincho" w:cs="Arial"/>
          <w:sz w:val="20"/>
          <w:szCs w:val="20"/>
          <w:lang w:val="en-US" w:eastAsia="en-US" w:bidi="en-US"/>
        </w:rPr>
        <w:t xml:space="preserve">ted by the lack of access to justice. In addition, it considered that the existence of a request to reverse a tubal ligation by the </w:t>
      </w:r>
      <w:r w:rsidR="00D50476" w:rsidRPr="00012C3F">
        <w:rPr>
          <w:rFonts w:eastAsia="MS Mincho" w:cs="Arial"/>
          <w:sz w:val="20"/>
          <w:szCs w:val="20"/>
          <w:lang w:val="en-US" w:eastAsia="en-US" w:bidi="en-US"/>
        </w:rPr>
        <w:lastRenderedPageBreak/>
        <w:t xml:space="preserve">victim of </w:t>
      </w:r>
      <w:r w:rsidR="002E2489" w:rsidRPr="00012C3F">
        <w:rPr>
          <w:rFonts w:eastAsia="MS Mincho" w:cs="Arial"/>
          <w:sz w:val="20"/>
          <w:szCs w:val="20"/>
          <w:lang w:val="en-US" w:eastAsia="en-US" w:bidi="en-US"/>
        </w:rPr>
        <w:t>a</w:t>
      </w:r>
      <w:r w:rsidR="008F5266" w:rsidRPr="00012C3F">
        <w:rPr>
          <w:rFonts w:eastAsia="MS Mincho" w:cs="Arial"/>
          <w:sz w:val="20"/>
          <w:szCs w:val="20"/>
          <w:lang w:val="en-US" w:eastAsia="en-US" w:bidi="en-US"/>
        </w:rPr>
        <w:t xml:space="preserve"> forced sterilization</w:t>
      </w:r>
      <w:r w:rsidR="00D50476" w:rsidRPr="00012C3F">
        <w:rPr>
          <w:rFonts w:eastAsia="MS Mincho" w:cs="Arial"/>
          <w:sz w:val="20"/>
          <w:szCs w:val="20"/>
          <w:lang w:val="en-US" w:eastAsia="en-US" w:bidi="en-US"/>
        </w:rPr>
        <w:t xml:space="preserve"> </w:t>
      </w:r>
      <w:r w:rsidR="00595D7E" w:rsidRPr="00012C3F">
        <w:rPr>
          <w:rFonts w:eastAsia="MS Mincho" w:cs="Arial"/>
          <w:sz w:val="20"/>
          <w:szCs w:val="20"/>
          <w:lang w:val="en-US" w:eastAsia="en-US" w:bidi="en-US"/>
        </w:rPr>
        <w:t>wa</w:t>
      </w:r>
      <w:r w:rsidR="00D50476" w:rsidRPr="00012C3F">
        <w:rPr>
          <w:rFonts w:eastAsia="MS Mincho" w:cs="Arial"/>
          <w:sz w:val="20"/>
          <w:szCs w:val="20"/>
          <w:lang w:val="en-US" w:eastAsia="en-US" w:bidi="en-US"/>
        </w:rPr>
        <w:t xml:space="preserve">s irrelevant to the assessment </w:t>
      </w:r>
      <w:r w:rsidR="006F29E3" w:rsidRPr="00012C3F">
        <w:rPr>
          <w:rFonts w:eastAsia="MS Mincho" w:cs="Arial"/>
          <w:sz w:val="20"/>
          <w:szCs w:val="20"/>
          <w:lang w:val="en-US" w:eastAsia="en-US" w:bidi="en-US"/>
        </w:rPr>
        <w:t>of the violation of her personal integrity and/or her reproductive rights. In addition, it considered that a surgical procedure or an invasive medical treatment, without the patient’s consent, constitute</w:t>
      </w:r>
      <w:r w:rsidR="00B85280" w:rsidRPr="00012C3F">
        <w:rPr>
          <w:rFonts w:eastAsia="MS Mincho" w:cs="Arial"/>
          <w:sz w:val="20"/>
          <w:szCs w:val="20"/>
          <w:lang w:val="en-US" w:eastAsia="en-US" w:bidi="en-US"/>
        </w:rPr>
        <w:t>d</w:t>
      </w:r>
      <w:r w:rsidR="006F29E3" w:rsidRPr="00012C3F">
        <w:rPr>
          <w:rFonts w:eastAsia="MS Mincho" w:cs="Arial"/>
          <w:sz w:val="20"/>
          <w:szCs w:val="20"/>
          <w:lang w:val="en-US" w:eastAsia="en-US" w:bidi="en-US"/>
        </w:rPr>
        <w:t xml:space="preserve"> a violation of the right </w:t>
      </w:r>
      <w:r w:rsidR="006C705C" w:rsidRPr="00012C3F">
        <w:rPr>
          <w:rFonts w:eastAsia="MS Mincho" w:cs="Arial"/>
          <w:sz w:val="20"/>
          <w:szCs w:val="20"/>
          <w:lang w:val="en-US" w:eastAsia="en-US" w:bidi="en-US"/>
        </w:rPr>
        <w:t>to personal integrity</w:t>
      </w:r>
      <w:r w:rsidR="004B2395" w:rsidRPr="00012C3F">
        <w:rPr>
          <w:rFonts w:eastAsia="MS Mincho" w:cs="Arial"/>
          <w:sz w:val="20"/>
          <w:szCs w:val="20"/>
          <w:lang w:val="en-US" w:eastAsia="en-US" w:bidi="en-US"/>
        </w:rPr>
        <w:t xml:space="preserve">, </w:t>
      </w:r>
      <w:r w:rsidR="006F29E3" w:rsidRPr="00012C3F">
        <w:rPr>
          <w:rFonts w:eastAsia="MS Mincho" w:cs="Arial"/>
          <w:sz w:val="20"/>
          <w:szCs w:val="20"/>
          <w:lang w:val="en-US" w:eastAsia="en-US" w:bidi="en-US"/>
        </w:rPr>
        <w:t xml:space="preserve">which </w:t>
      </w:r>
      <w:r w:rsidR="00B85280" w:rsidRPr="00012C3F">
        <w:rPr>
          <w:rFonts w:eastAsia="MS Mincho" w:cs="Arial"/>
          <w:sz w:val="20"/>
          <w:szCs w:val="20"/>
          <w:lang w:val="en-US" w:eastAsia="en-US" w:bidi="en-US"/>
        </w:rPr>
        <w:t>wa</w:t>
      </w:r>
      <w:r w:rsidR="006F29E3" w:rsidRPr="00012C3F">
        <w:rPr>
          <w:rFonts w:eastAsia="MS Mincho" w:cs="Arial"/>
          <w:sz w:val="20"/>
          <w:szCs w:val="20"/>
          <w:lang w:val="en-US" w:eastAsia="en-US" w:bidi="en-US"/>
        </w:rPr>
        <w:t xml:space="preserve">s related to other rights recognized in </w:t>
      </w:r>
      <w:r w:rsidR="001254DE" w:rsidRPr="00012C3F">
        <w:rPr>
          <w:rFonts w:eastAsia="MS Mincho" w:cs="Arial"/>
          <w:sz w:val="20"/>
          <w:szCs w:val="20"/>
          <w:lang w:val="en-US" w:eastAsia="en-US" w:bidi="en-US"/>
        </w:rPr>
        <w:t>the Convention</w:t>
      </w:r>
      <w:r w:rsidR="004B2395" w:rsidRPr="00012C3F">
        <w:rPr>
          <w:rFonts w:eastAsia="MS Mincho" w:cs="Arial"/>
          <w:sz w:val="20"/>
          <w:szCs w:val="20"/>
          <w:lang w:val="en-US" w:eastAsia="en-US" w:bidi="en-US"/>
        </w:rPr>
        <w:t>.</w:t>
      </w:r>
    </w:p>
    <w:p w14:paraId="335AFC9B" w14:textId="77777777" w:rsidR="004B2395" w:rsidRPr="00012C3F" w:rsidRDefault="004B2395" w:rsidP="004B2395">
      <w:pPr>
        <w:widowControl/>
        <w:tabs>
          <w:tab w:val="left" w:pos="567"/>
          <w:tab w:val="left" w:pos="720"/>
        </w:tabs>
        <w:adjustRightInd/>
        <w:spacing w:line="240" w:lineRule="auto"/>
        <w:ind w:right="-90"/>
        <w:textAlignment w:val="auto"/>
        <w:rPr>
          <w:rFonts w:eastAsia="MS Mincho"/>
          <w:sz w:val="20"/>
          <w:szCs w:val="20"/>
          <w:lang w:val="en-US" w:eastAsia="en-US" w:bidi="en-US"/>
        </w:rPr>
      </w:pPr>
    </w:p>
    <w:p w14:paraId="44999941" w14:textId="77777777" w:rsidR="004B2395" w:rsidRPr="00012C3F" w:rsidRDefault="00972ACF" w:rsidP="00B85280">
      <w:pPr>
        <w:widowControl/>
        <w:numPr>
          <w:ilvl w:val="0"/>
          <w:numId w:val="5"/>
        </w:numPr>
        <w:tabs>
          <w:tab w:val="left" w:pos="720"/>
          <w:tab w:val="num" w:pos="12305"/>
        </w:tabs>
        <w:adjustRightInd/>
        <w:spacing w:line="240" w:lineRule="auto"/>
        <w:ind w:left="0" w:right="-90" w:firstLine="0"/>
        <w:textAlignment w:val="auto"/>
        <w:rPr>
          <w:rFonts w:eastAsia="MS Mincho"/>
          <w:sz w:val="20"/>
          <w:szCs w:val="20"/>
          <w:lang w:val="en-US" w:eastAsia="en-US" w:bidi="en-US"/>
        </w:rPr>
      </w:pPr>
      <w:r w:rsidRPr="00012C3F">
        <w:rPr>
          <w:rFonts w:eastAsia="MS Mincho" w:cs="Arial"/>
          <w:sz w:val="20"/>
          <w:szCs w:val="20"/>
          <w:lang w:val="en-US" w:eastAsia="en-US" w:bidi="en-US"/>
        </w:rPr>
        <w:t xml:space="preserve">The </w:t>
      </w:r>
      <w:r w:rsidRPr="00012C3F">
        <w:rPr>
          <w:rFonts w:eastAsia="MS Mincho" w:cs="Arial"/>
          <w:b/>
          <w:bCs/>
          <w:i/>
          <w:iCs/>
          <w:sz w:val="20"/>
          <w:szCs w:val="20"/>
          <w:lang w:val="en-US" w:eastAsia="en-US" w:bidi="en-US"/>
        </w:rPr>
        <w:t>representative</w:t>
      </w:r>
      <w:r w:rsidR="004B2395" w:rsidRPr="00012C3F">
        <w:rPr>
          <w:rFonts w:eastAsia="MS Mincho" w:cs="Arial"/>
          <w:b/>
          <w:sz w:val="20"/>
          <w:szCs w:val="20"/>
          <w:lang w:val="en-US" w:eastAsia="en-US" w:bidi="en-US"/>
        </w:rPr>
        <w:t xml:space="preserve"> </w:t>
      </w:r>
      <w:r w:rsidR="00B85280" w:rsidRPr="00012C3F">
        <w:rPr>
          <w:rFonts w:eastAsia="MS Mincho" w:cs="Arial"/>
          <w:sz w:val="20"/>
          <w:szCs w:val="20"/>
          <w:lang w:val="en-US" w:eastAsia="en-US" w:bidi="en-US"/>
        </w:rPr>
        <w:t>endorsed</w:t>
      </w:r>
      <w:r w:rsidR="006F29E3" w:rsidRPr="00012C3F">
        <w:rPr>
          <w:rFonts w:eastAsia="MS Mincho" w:cs="Arial"/>
          <w:sz w:val="20"/>
          <w:szCs w:val="20"/>
          <w:lang w:val="en-US" w:eastAsia="en-US" w:bidi="en-US"/>
        </w:rPr>
        <w:t xml:space="preserve"> the arguments </w:t>
      </w:r>
      <w:r w:rsidR="001254DE" w:rsidRPr="00012C3F">
        <w:rPr>
          <w:rFonts w:eastAsia="MS Mincho" w:cs="Arial"/>
          <w:sz w:val="20"/>
          <w:szCs w:val="20"/>
          <w:lang w:val="en-US" w:eastAsia="en-US" w:bidi="en-US"/>
        </w:rPr>
        <w:t xml:space="preserve">of the </w:t>
      </w:r>
      <w:r w:rsidR="00A84CA0" w:rsidRPr="00012C3F">
        <w:rPr>
          <w:rFonts w:eastAsia="MS Mincho" w:cs="Arial"/>
          <w:sz w:val="20"/>
          <w:szCs w:val="20"/>
          <w:lang w:val="en-US" w:eastAsia="en-US" w:bidi="en-US"/>
        </w:rPr>
        <w:t>Commission</w:t>
      </w:r>
      <w:r w:rsidR="008264B6" w:rsidRPr="00012C3F">
        <w:rPr>
          <w:rFonts w:eastAsia="MS Mincho" w:cs="Arial"/>
          <w:sz w:val="20"/>
          <w:szCs w:val="20"/>
          <w:lang w:val="en-US" w:eastAsia="en-US" w:bidi="en-US"/>
        </w:rPr>
        <w:t>.</w:t>
      </w:r>
    </w:p>
    <w:p w14:paraId="53992F60" w14:textId="77777777" w:rsidR="004B2395" w:rsidRPr="00012C3F" w:rsidRDefault="004B2395" w:rsidP="004B2395">
      <w:pPr>
        <w:widowControl/>
        <w:tabs>
          <w:tab w:val="left" w:pos="567"/>
          <w:tab w:val="left" w:pos="720"/>
        </w:tabs>
        <w:adjustRightInd/>
        <w:spacing w:line="240" w:lineRule="auto"/>
        <w:ind w:right="-90"/>
        <w:textAlignment w:val="auto"/>
        <w:rPr>
          <w:rFonts w:eastAsia="MS Mincho"/>
          <w:sz w:val="20"/>
          <w:szCs w:val="20"/>
          <w:lang w:val="en-US" w:eastAsia="en-US" w:bidi="en-US"/>
        </w:rPr>
      </w:pPr>
    </w:p>
    <w:p w14:paraId="36BB4AC5" w14:textId="77777777" w:rsidR="006F29E3" w:rsidRPr="00012C3F" w:rsidRDefault="00A84CA0" w:rsidP="00B85280">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cs="Arial"/>
          <w:sz w:val="20"/>
          <w:szCs w:val="20"/>
          <w:lang w:val="en-US" w:eastAsia="en-US" w:bidi="en-US"/>
        </w:rPr>
        <w:t xml:space="preserve">The </w:t>
      </w:r>
      <w:r w:rsidRPr="00012C3F">
        <w:rPr>
          <w:rFonts w:eastAsia="MS Mincho" w:cs="Arial"/>
          <w:b/>
          <w:bCs/>
          <w:i/>
          <w:iCs/>
          <w:sz w:val="20"/>
          <w:szCs w:val="20"/>
          <w:lang w:val="en-US" w:eastAsia="en-US" w:bidi="en-US"/>
        </w:rPr>
        <w:t>State</w:t>
      </w:r>
      <w:r w:rsidR="004B2395" w:rsidRPr="00012C3F">
        <w:rPr>
          <w:rFonts w:eastAsia="MS Mincho" w:cs="Arial"/>
          <w:b/>
          <w:sz w:val="20"/>
          <w:szCs w:val="20"/>
          <w:lang w:val="en-US" w:eastAsia="en-US" w:bidi="en-US"/>
        </w:rPr>
        <w:t xml:space="preserve"> </w:t>
      </w:r>
      <w:r w:rsidR="004B2395" w:rsidRPr="00012C3F">
        <w:rPr>
          <w:rFonts w:eastAsia="MS Mincho" w:cs="Arial"/>
          <w:sz w:val="20"/>
          <w:szCs w:val="20"/>
          <w:lang w:val="en-US" w:eastAsia="en-US" w:bidi="en-US"/>
        </w:rPr>
        <w:t>consider</w:t>
      </w:r>
      <w:r w:rsidR="006F29E3" w:rsidRPr="00012C3F">
        <w:rPr>
          <w:rFonts w:eastAsia="MS Mincho" w:cs="Arial"/>
          <w:sz w:val="20"/>
          <w:szCs w:val="20"/>
          <w:lang w:val="en-US" w:eastAsia="en-US" w:bidi="en-US"/>
        </w:rPr>
        <w:t xml:space="preserve">ed that, asserting the inexistence of consent </w:t>
      </w:r>
      <w:r w:rsidR="00B85280" w:rsidRPr="00012C3F">
        <w:rPr>
          <w:rFonts w:eastAsia="MS Mincho" w:cs="Arial"/>
          <w:sz w:val="20"/>
          <w:szCs w:val="20"/>
          <w:lang w:val="en-US" w:eastAsia="en-US" w:bidi="en-US"/>
        </w:rPr>
        <w:t>wa</w:t>
      </w:r>
      <w:r w:rsidR="006F29E3" w:rsidRPr="00012C3F">
        <w:rPr>
          <w:rFonts w:eastAsia="MS Mincho" w:cs="Arial"/>
          <w:sz w:val="20"/>
          <w:szCs w:val="20"/>
          <w:lang w:val="en-US" w:eastAsia="en-US" w:bidi="en-US"/>
        </w:rPr>
        <w:t xml:space="preserve">s disproportionate, in view of the fact that, during the surgical procedure, the </w:t>
      </w:r>
      <w:r w:rsidR="00B85280" w:rsidRPr="00012C3F">
        <w:rPr>
          <w:rFonts w:eastAsia="MS Mincho" w:cs="Arial"/>
          <w:sz w:val="20"/>
          <w:szCs w:val="20"/>
          <w:lang w:val="en-US" w:eastAsia="en-US" w:bidi="en-US"/>
        </w:rPr>
        <w:t>attending</w:t>
      </w:r>
      <w:r w:rsidR="006F29E3" w:rsidRPr="00012C3F">
        <w:rPr>
          <w:rFonts w:eastAsia="MS Mincho" w:cs="Arial"/>
          <w:sz w:val="20"/>
          <w:szCs w:val="20"/>
          <w:lang w:val="en-US" w:eastAsia="en-US" w:bidi="en-US"/>
        </w:rPr>
        <w:t xml:space="preserve"> physician in the presence of his team, decided to consult I.V. about the possibility of performing the tubal ligation as a result of the clinical picture observed during </w:t>
      </w:r>
      <w:r w:rsidR="00136EDE" w:rsidRPr="00012C3F">
        <w:rPr>
          <w:rFonts w:eastAsia="MS Mincho" w:cs="Arial"/>
          <w:sz w:val="20"/>
          <w:szCs w:val="20"/>
          <w:lang w:val="en-US" w:eastAsia="en-US" w:bidi="en-US"/>
        </w:rPr>
        <w:t>the caesarean section</w:t>
      </w:r>
      <w:r w:rsidR="006F29E3" w:rsidRPr="00012C3F">
        <w:rPr>
          <w:rFonts w:eastAsia="MS Mincho" w:cs="Arial"/>
          <w:sz w:val="20"/>
          <w:szCs w:val="20"/>
          <w:lang w:val="en-US" w:eastAsia="en-US" w:bidi="en-US"/>
        </w:rPr>
        <w:t xml:space="preserve">. In response to this consultation and advice, I.V. had given her free, voluntary and spontaneous consent. The State concluded that the surgical procedure performed on I.V. was characterized as a </w:t>
      </w:r>
      <w:r w:rsidR="006F29E3" w:rsidRPr="00012C3F">
        <w:rPr>
          <w:sz w:val="20"/>
          <w:szCs w:val="20"/>
          <w:lang w:val="en-US"/>
        </w:rPr>
        <w:t xml:space="preserve">high-risk obstetric procedure and, consequently, the </w:t>
      </w:r>
      <w:r w:rsidR="00FB04FA" w:rsidRPr="00012C3F">
        <w:rPr>
          <w:sz w:val="20"/>
          <w:szCs w:val="20"/>
          <w:lang w:val="en-US"/>
        </w:rPr>
        <w:t xml:space="preserve">actions of </w:t>
      </w:r>
      <w:r w:rsidR="00FB04FA" w:rsidRPr="00012C3F">
        <w:rPr>
          <w:rFonts w:eastAsia="MS Mincho" w:cs="Arial"/>
          <w:sz w:val="20"/>
          <w:szCs w:val="20"/>
          <w:lang w:val="en-US" w:eastAsia="en-US" w:bidi="en-US"/>
        </w:rPr>
        <w:t>the instructing physician were only aimed at safeguarding her life and integrity</w:t>
      </w:r>
      <w:r w:rsidR="00B85280" w:rsidRPr="00012C3F">
        <w:rPr>
          <w:rFonts w:eastAsia="MS Mincho" w:cs="Arial"/>
          <w:sz w:val="20"/>
          <w:szCs w:val="20"/>
          <w:lang w:val="en-US" w:eastAsia="en-US" w:bidi="en-US"/>
        </w:rPr>
        <w:t>. Thus,</w:t>
      </w:r>
      <w:r w:rsidR="00FB04FA" w:rsidRPr="00012C3F">
        <w:rPr>
          <w:rFonts w:eastAsia="MS Mincho" w:cs="Arial"/>
          <w:sz w:val="20"/>
          <w:szCs w:val="20"/>
          <w:lang w:val="en-US" w:eastAsia="en-US" w:bidi="en-US"/>
        </w:rPr>
        <w:t xml:space="preserve"> </w:t>
      </w:r>
      <w:r w:rsidR="00B85280" w:rsidRPr="00012C3F">
        <w:rPr>
          <w:rFonts w:eastAsia="MS Mincho" w:cs="Arial"/>
          <w:sz w:val="20"/>
          <w:szCs w:val="20"/>
          <w:lang w:val="en-US" w:eastAsia="en-US" w:bidi="en-US"/>
        </w:rPr>
        <w:t xml:space="preserve">in an exceptional emergency situation, </w:t>
      </w:r>
      <w:r w:rsidR="00FB04FA" w:rsidRPr="00012C3F">
        <w:rPr>
          <w:rFonts w:eastAsia="MS Mincho" w:cs="Arial"/>
          <w:sz w:val="20"/>
          <w:szCs w:val="20"/>
          <w:lang w:val="en-US" w:eastAsia="en-US" w:bidi="en-US"/>
        </w:rPr>
        <w:t>reducing the</w:t>
      </w:r>
      <w:r w:rsidR="00B85280" w:rsidRPr="00012C3F">
        <w:rPr>
          <w:rFonts w:eastAsia="MS Mincho" w:cs="Arial"/>
          <w:sz w:val="20"/>
          <w:szCs w:val="20"/>
          <w:lang w:val="en-US" w:eastAsia="en-US" w:bidi="en-US"/>
        </w:rPr>
        <w:t xml:space="preserve"> need to</w:t>
      </w:r>
      <w:r w:rsidR="00FB04FA" w:rsidRPr="00012C3F">
        <w:rPr>
          <w:rFonts w:eastAsia="MS Mincho" w:cs="Arial"/>
          <w:sz w:val="20"/>
          <w:szCs w:val="20"/>
          <w:lang w:val="en-US" w:eastAsia="en-US" w:bidi="en-US"/>
        </w:rPr>
        <w:t xml:space="preserve"> obtain this consent </w:t>
      </w:r>
      <w:r w:rsidR="00B85280" w:rsidRPr="00012C3F">
        <w:rPr>
          <w:rFonts w:eastAsia="MS Mincho" w:cs="Arial"/>
          <w:sz w:val="20"/>
          <w:szCs w:val="20"/>
          <w:lang w:val="en-US" w:eastAsia="en-US" w:bidi="en-US"/>
        </w:rPr>
        <w:t>to</w:t>
      </w:r>
      <w:r w:rsidR="00FB04FA" w:rsidRPr="00012C3F">
        <w:rPr>
          <w:rFonts w:eastAsia="MS Mincho" w:cs="Arial"/>
          <w:sz w:val="20"/>
          <w:szCs w:val="20"/>
          <w:lang w:val="en-US" w:eastAsia="en-US" w:bidi="en-US"/>
        </w:rPr>
        <w:t xml:space="preserve"> a mere formality consisting in a consent form </w:t>
      </w:r>
      <w:r w:rsidR="00B85280" w:rsidRPr="00012C3F">
        <w:rPr>
          <w:rFonts w:eastAsia="MS Mincho" w:cs="Arial"/>
          <w:sz w:val="20"/>
          <w:szCs w:val="20"/>
          <w:lang w:val="en-US" w:eastAsia="en-US" w:bidi="en-US"/>
        </w:rPr>
        <w:t>signified</w:t>
      </w:r>
      <w:r w:rsidR="00FB04FA" w:rsidRPr="00012C3F">
        <w:rPr>
          <w:rFonts w:eastAsia="MS Mincho" w:cs="Arial"/>
          <w:sz w:val="20"/>
          <w:szCs w:val="20"/>
          <w:lang w:val="en-US" w:eastAsia="en-US" w:bidi="en-US"/>
        </w:rPr>
        <w:t xml:space="preserve"> </w:t>
      </w:r>
      <w:r w:rsidR="00B85280" w:rsidRPr="00012C3F">
        <w:rPr>
          <w:rFonts w:eastAsia="MS Mincho" w:cs="Arial"/>
          <w:sz w:val="20"/>
          <w:szCs w:val="20"/>
          <w:lang w:val="en-US" w:eastAsia="en-US" w:bidi="en-US"/>
        </w:rPr>
        <w:t>jeopardizing</w:t>
      </w:r>
      <w:r w:rsidR="00FB04FA" w:rsidRPr="00012C3F">
        <w:rPr>
          <w:rFonts w:eastAsia="MS Mincho" w:cs="Arial"/>
          <w:sz w:val="20"/>
          <w:szCs w:val="20"/>
          <w:lang w:val="en-US" w:eastAsia="en-US" w:bidi="en-US"/>
        </w:rPr>
        <w:t xml:space="preserve"> the immediate need for the surgical procedure. The State indicated that the alleged violation of </w:t>
      </w:r>
      <w:r w:rsidR="00B85280" w:rsidRPr="00012C3F">
        <w:rPr>
          <w:rFonts w:eastAsia="MS Mincho" w:cs="Arial"/>
          <w:sz w:val="20"/>
          <w:szCs w:val="20"/>
          <w:lang w:val="en-US" w:eastAsia="en-US" w:bidi="en-US"/>
        </w:rPr>
        <w:t>I.V’s</w:t>
      </w:r>
      <w:r w:rsidR="00FB04FA" w:rsidRPr="00012C3F">
        <w:rPr>
          <w:rFonts w:eastAsia="MS Mincho" w:cs="Arial"/>
          <w:sz w:val="20"/>
          <w:szCs w:val="20"/>
          <w:lang w:val="en-US" w:eastAsia="en-US" w:bidi="en-US"/>
        </w:rPr>
        <w:t xml:space="preserve"> personal integrity in relation to her condition as a woman, who was poor, Peruvian and a refugee in Bolivia, and the presumed continuity of this violation, was unwarranted in this specific case, because it </w:t>
      </w:r>
      <w:r w:rsidR="00AD03C2" w:rsidRPr="00012C3F">
        <w:rPr>
          <w:rFonts w:eastAsia="MS Mincho" w:cs="Arial"/>
          <w:sz w:val="20"/>
          <w:szCs w:val="20"/>
          <w:lang w:val="en-US" w:eastAsia="en-US" w:bidi="en-US"/>
        </w:rPr>
        <w:t xml:space="preserve">concerned </w:t>
      </w:r>
      <w:r w:rsidR="00FB04FA" w:rsidRPr="00012C3F">
        <w:rPr>
          <w:rFonts w:eastAsia="MS Mincho" w:cs="Arial"/>
          <w:sz w:val="20"/>
          <w:szCs w:val="20"/>
          <w:lang w:val="en-US" w:eastAsia="en-US" w:bidi="en-US"/>
        </w:rPr>
        <w:t>a sterilization</w:t>
      </w:r>
      <w:r w:rsidR="00AD03C2" w:rsidRPr="00012C3F">
        <w:rPr>
          <w:rFonts w:eastAsia="MS Mincho" w:cs="Arial"/>
          <w:sz w:val="20"/>
          <w:szCs w:val="20"/>
          <w:lang w:val="en-US" w:eastAsia="en-US" w:bidi="en-US"/>
        </w:rPr>
        <w:t xml:space="preserve"> procedure</w:t>
      </w:r>
      <w:r w:rsidR="00FB04FA" w:rsidRPr="00012C3F">
        <w:rPr>
          <w:rFonts w:eastAsia="MS Mincho" w:cs="Arial"/>
          <w:sz w:val="20"/>
          <w:szCs w:val="20"/>
          <w:lang w:val="en-US" w:eastAsia="en-US" w:bidi="en-US"/>
        </w:rPr>
        <w:t xml:space="preserve"> performed with </w:t>
      </w:r>
      <w:r w:rsidR="00AD03C2" w:rsidRPr="00012C3F">
        <w:rPr>
          <w:rFonts w:eastAsia="MS Mincho" w:cs="Arial"/>
          <w:sz w:val="20"/>
          <w:szCs w:val="20"/>
          <w:lang w:val="en-US" w:eastAsia="en-US" w:bidi="en-US"/>
        </w:rPr>
        <w:t xml:space="preserve">I.V.’s </w:t>
      </w:r>
      <w:r w:rsidR="00FB04FA" w:rsidRPr="00012C3F">
        <w:rPr>
          <w:rFonts w:eastAsia="MS Mincho" w:cs="Arial"/>
          <w:sz w:val="20"/>
          <w:szCs w:val="20"/>
          <w:lang w:val="en-US" w:eastAsia="en-US" w:bidi="en-US"/>
        </w:rPr>
        <w:t xml:space="preserve">prior </w:t>
      </w:r>
      <w:r w:rsidR="00AD03C2" w:rsidRPr="00012C3F">
        <w:rPr>
          <w:rFonts w:eastAsia="MS Mincho" w:cs="Arial"/>
          <w:sz w:val="20"/>
          <w:szCs w:val="20"/>
          <w:lang w:val="en-US" w:eastAsia="en-US" w:bidi="en-US"/>
        </w:rPr>
        <w:t xml:space="preserve">and </w:t>
      </w:r>
      <w:r w:rsidR="00FB04FA" w:rsidRPr="00012C3F">
        <w:rPr>
          <w:rFonts w:eastAsia="MS Mincho" w:cs="Arial"/>
          <w:sz w:val="20"/>
          <w:szCs w:val="20"/>
          <w:lang w:val="en-US" w:eastAsia="en-US" w:bidi="en-US"/>
        </w:rPr>
        <w:t xml:space="preserve">free consent. </w:t>
      </w:r>
      <w:r w:rsidR="00AD03C2" w:rsidRPr="00012C3F">
        <w:rPr>
          <w:rFonts w:eastAsia="MS Mincho" w:cs="Arial"/>
          <w:sz w:val="20"/>
          <w:szCs w:val="20"/>
          <w:lang w:val="en-US" w:eastAsia="en-US" w:bidi="en-US"/>
        </w:rPr>
        <w:t>Therefore,</w:t>
      </w:r>
      <w:r w:rsidR="00FB04FA" w:rsidRPr="00012C3F">
        <w:rPr>
          <w:rFonts w:eastAsia="MS Mincho" w:cs="Arial"/>
          <w:sz w:val="20"/>
          <w:szCs w:val="20"/>
          <w:lang w:val="en-US" w:eastAsia="en-US" w:bidi="en-US"/>
        </w:rPr>
        <w:t xml:space="preserve"> the State could not assume any responsibility.</w:t>
      </w:r>
    </w:p>
    <w:p w14:paraId="4A3039B0" w14:textId="77777777" w:rsidR="004B2395" w:rsidRPr="00012C3F" w:rsidRDefault="004B2395" w:rsidP="004B2395">
      <w:pPr>
        <w:widowControl/>
        <w:tabs>
          <w:tab w:val="left" w:pos="720"/>
        </w:tabs>
        <w:adjustRightInd/>
        <w:spacing w:line="240" w:lineRule="auto"/>
        <w:ind w:right="-90"/>
        <w:textAlignment w:val="auto"/>
        <w:rPr>
          <w:rFonts w:eastAsia="MS Mincho"/>
          <w:sz w:val="20"/>
          <w:szCs w:val="20"/>
          <w:lang w:val="en-US" w:eastAsia="en-US" w:bidi="en-US"/>
        </w:rPr>
      </w:pPr>
    </w:p>
    <w:p w14:paraId="3721F1C6" w14:textId="77777777" w:rsidR="004B2395" w:rsidRPr="00012C3F" w:rsidRDefault="004B2395" w:rsidP="0039676A">
      <w:pPr>
        <w:pStyle w:val="Ttulo2"/>
        <w:tabs>
          <w:tab w:val="left" w:pos="1701"/>
        </w:tabs>
        <w:spacing w:before="0" w:line="240" w:lineRule="auto"/>
        <w:ind w:left="1134"/>
        <w:rPr>
          <w:rFonts w:ascii="Verdana" w:hAnsi="Verdana"/>
          <w:b w:val="0"/>
          <w:i/>
          <w:color w:val="auto"/>
          <w:sz w:val="20"/>
          <w:szCs w:val="20"/>
          <w:lang w:val="en-US"/>
        </w:rPr>
      </w:pPr>
      <w:bookmarkStart w:id="116" w:name="_Toc445290340"/>
      <w:bookmarkStart w:id="117" w:name="_Toc27486854"/>
      <w:r w:rsidRPr="00012C3F">
        <w:rPr>
          <w:rFonts w:ascii="Verdana" w:hAnsi="Verdana"/>
          <w:b w:val="0"/>
          <w:i/>
          <w:color w:val="auto"/>
          <w:sz w:val="20"/>
          <w:szCs w:val="20"/>
          <w:lang w:val="en-US"/>
        </w:rPr>
        <w:t>A.2</w:t>
      </w:r>
      <w:r w:rsidRPr="00012C3F">
        <w:rPr>
          <w:rFonts w:ascii="Verdana" w:hAnsi="Verdana"/>
          <w:b w:val="0"/>
          <w:i/>
          <w:color w:val="auto"/>
          <w:sz w:val="20"/>
          <w:szCs w:val="20"/>
          <w:lang w:val="en-US"/>
        </w:rPr>
        <w:tab/>
      </w:r>
      <w:r w:rsidR="006C705C" w:rsidRPr="00012C3F">
        <w:rPr>
          <w:rFonts w:ascii="Verdana" w:hAnsi="Verdana"/>
          <w:b w:val="0"/>
          <w:i/>
          <w:color w:val="auto"/>
          <w:sz w:val="20"/>
          <w:szCs w:val="20"/>
          <w:lang w:val="en-US"/>
        </w:rPr>
        <w:t>Arguments on the right</w:t>
      </w:r>
      <w:r w:rsidRPr="00012C3F">
        <w:rPr>
          <w:rFonts w:ascii="Verdana" w:hAnsi="Verdana"/>
          <w:b w:val="0"/>
          <w:i/>
          <w:color w:val="auto"/>
          <w:sz w:val="20"/>
          <w:szCs w:val="20"/>
          <w:lang w:val="en-US"/>
        </w:rPr>
        <w:t xml:space="preserve"> </w:t>
      </w:r>
      <w:r w:rsidR="006C705C" w:rsidRPr="00012C3F">
        <w:rPr>
          <w:rFonts w:ascii="Verdana" w:hAnsi="Verdana"/>
          <w:b w:val="0"/>
          <w:i/>
          <w:color w:val="auto"/>
          <w:sz w:val="20"/>
          <w:szCs w:val="20"/>
          <w:lang w:val="en-US"/>
        </w:rPr>
        <w:t>of access to information</w:t>
      </w:r>
      <w:r w:rsidRPr="00012C3F">
        <w:rPr>
          <w:rFonts w:ascii="Verdana" w:hAnsi="Verdana"/>
          <w:b w:val="0"/>
          <w:i/>
          <w:color w:val="auto"/>
          <w:sz w:val="20"/>
          <w:szCs w:val="20"/>
          <w:lang w:val="en-US"/>
        </w:rPr>
        <w:t xml:space="preserve"> (</w:t>
      </w:r>
      <w:r w:rsidR="001254DE" w:rsidRPr="00012C3F">
        <w:rPr>
          <w:rFonts w:ascii="Verdana" w:hAnsi="Verdana"/>
          <w:b w:val="0"/>
          <w:i/>
          <w:color w:val="auto"/>
          <w:sz w:val="20"/>
          <w:szCs w:val="20"/>
          <w:lang w:val="en-US"/>
        </w:rPr>
        <w:t>Article</w:t>
      </w:r>
      <w:r w:rsidRPr="00012C3F">
        <w:rPr>
          <w:rFonts w:ascii="Verdana" w:hAnsi="Verdana"/>
          <w:b w:val="0"/>
          <w:i/>
          <w:color w:val="auto"/>
          <w:sz w:val="20"/>
          <w:szCs w:val="20"/>
          <w:lang w:val="en-US"/>
        </w:rPr>
        <w:t xml:space="preserve"> </w:t>
      </w:r>
      <w:r w:rsidR="005E5012" w:rsidRPr="00012C3F">
        <w:rPr>
          <w:rFonts w:ascii="Verdana" w:hAnsi="Verdana"/>
          <w:b w:val="0"/>
          <w:i/>
          <w:color w:val="auto"/>
          <w:sz w:val="20"/>
          <w:szCs w:val="20"/>
          <w:lang w:val="en-US"/>
        </w:rPr>
        <w:t>13(1)</w:t>
      </w:r>
      <w:r w:rsidR="001254DE" w:rsidRPr="00012C3F">
        <w:rPr>
          <w:rFonts w:ascii="Verdana" w:hAnsi="Verdana"/>
          <w:b w:val="0"/>
          <w:i/>
          <w:color w:val="auto"/>
          <w:sz w:val="20"/>
          <w:szCs w:val="20"/>
          <w:lang w:val="en-US"/>
        </w:rPr>
        <w:t xml:space="preserve"> of the American Convention</w:t>
      </w:r>
      <w:r w:rsidRPr="00012C3F">
        <w:rPr>
          <w:rFonts w:ascii="Verdana" w:hAnsi="Verdana"/>
          <w:b w:val="0"/>
          <w:i/>
          <w:color w:val="auto"/>
          <w:sz w:val="20"/>
          <w:szCs w:val="20"/>
          <w:lang w:val="en-US"/>
        </w:rPr>
        <w:t>)</w:t>
      </w:r>
      <w:bookmarkEnd w:id="116"/>
      <w:bookmarkEnd w:id="117"/>
    </w:p>
    <w:p w14:paraId="2C4514CB" w14:textId="77777777" w:rsidR="004B2395" w:rsidRPr="00012C3F" w:rsidRDefault="004B2395" w:rsidP="004B2395">
      <w:pPr>
        <w:widowControl/>
        <w:autoSpaceDE w:val="0"/>
        <w:autoSpaceDN w:val="0"/>
        <w:spacing w:line="240" w:lineRule="auto"/>
        <w:textAlignment w:val="auto"/>
        <w:rPr>
          <w:rFonts w:eastAsia="Calibri" w:cs="Arial"/>
          <w:sz w:val="20"/>
          <w:szCs w:val="20"/>
          <w:lang w:val="en-US" w:eastAsia="en-US"/>
        </w:rPr>
      </w:pPr>
    </w:p>
    <w:p w14:paraId="713B7DBE" w14:textId="77777777" w:rsidR="004B2395" w:rsidRPr="00012C3F" w:rsidRDefault="004B2395" w:rsidP="001F033C">
      <w:pPr>
        <w:pStyle w:val="Ttulo3"/>
        <w:tabs>
          <w:tab w:val="left" w:pos="2552"/>
        </w:tabs>
        <w:ind w:left="1701"/>
        <w:rPr>
          <w:rFonts w:eastAsia="MS Mincho" w:cs="Arial"/>
          <w:b w:val="0"/>
          <w:i/>
          <w:spacing w:val="0"/>
          <w:lang w:val="en-US" w:eastAsia="en-US"/>
        </w:rPr>
      </w:pPr>
      <w:bookmarkStart w:id="118" w:name="_Toc27486855"/>
      <w:r w:rsidRPr="00012C3F">
        <w:rPr>
          <w:rFonts w:eastAsia="MS Mincho" w:cs="Arial"/>
          <w:b w:val="0"/>
          <w:i/>
          <w:spacing w:val="0"/>
          <w:lang w:val="en-US" w:eastAsia="en-US"/>
        </w:rPr>
        <w:t xml:space="preserve">A.2.a </w:t>
      </w:r>
      <w:r w:rsidR="001F033C" w:rsidRPr="00012C3F">
        <w:rPr>
          <w:rFonts w:eastAsia="MS Mincho" w:cs="Arial"/>
          <w:b w:val="0"/>
          <w:i/>
          <w:spacing w:val="0"/>
          <w:lang w:val="en-US" w:eastAsia="en-US"/>
        </w:rPr>
        <w:tab/>
      </w:r>
      <w:r w:rsidR="006C705C" w:rsidRPr="00012C3F">
        <w:rPr>
          <w:rFonts w:eastAsia="MS Mincho" w:cs="Arial"/>
          <w:b w:val="0"/>
          <w:i/>
          <w:spacing w:val="0"/>
          <w:lang w:val="en-US" w:eastAsia="en-US"/>
        </w:rPr>
        <w:t>Access to information</w:t>
      </w:r>
      <w:r w:rsidR="005E5012" w:rsidRPr="00012C3F">
        <w:rPr>
          <w:rFonts w:eastAsia="MS Mincho" w:cs="Arial"/>
          <w:b w:val="0"/>
          <w:i/>
          <w:spacing w:val="0"/>
          <w:lang w:val="en-US" w:eastAsia="en-US"/>
        </w:rPr>
        <w:t xml:space="preserve"> and </w:t>
      </w:r>
      <w:r w:rsidR="00AC0004" w:rsidRPr="00012C3F">
        <w:rPr>
          <w:rFonts w:eastAsia="MS Mincho" w:cs="Arial"/>
          <w:b w:val="0"/>
          <w:i/>
          <w:spacing w:val="0"/>
          <w:lang w:val="en-US" w:eastAsia="en-US"/>
        </w:rPr>
        <w:t>informed consent</w:t>
      </w:r>
      <w:bookmarkEnd w:id="118"/>
    </w:p>
    <w:p w14:paraId="1253E59A" w14:textId="77777777" w:rsidR="004B2395" w:rsidRPr="00012C3F" w:rsidRDefault="004B2395" w:rsidP="004B2395">
      <w:pPr>
        <w:widowControl/>
        <w:autoSpaceDE w:val="0"/>
        <w:autoSpaceDN w:val="0"/>
        <w:spacing w:line="240" w:lineRule="auto"/>
        <w:textAlignment w:val="auto"/>
        <w:rPr>
          <w:rFonts w:eastAsia="MS Mincho" w:cs="Arial"/>
          <w:sz w:val="20"/>
          <w:szCs w:val="20"/>
          <w:lang w:val="en-US" w:eastAsia="en-US"/>
        </w:rPr>
      </w:pPr>
    </w:p>
    <w:p w14:paraId="379BF6EC" w14:textId="77777777" w:rsidR="00701139" w:rsidRPr="00012C3F" w:rsidRDefault="00BD056C" w:rsidP="00A54991">
      <w:pPr>
        <w:numPr>
          <w:ilvl w:val="0"/>
          <w:numId w:val="5"/>
        </w:numPr>
        <w:tabs>
          <w:tab w:val="left" w:pos="567"/>
          <w:tab w:val="num" w:pos="12305"/>
        </w:tabs>
        <w:spacing w:line="240" w:lineRule="auto"/>
        <w:ind w:left="0" w:firstLine="0"/>
        <w:rPr>
          <w:rFonts w:eastAsia="MS Mincho" w:cs="Arial"/>
          <w:sz w:val="20"/>
          <w:szCs w:val="20"/>
          <w:lang w:val="en-US" w:eastAsia="en-US" w:bidi="en-US"/>
        </w:rPr>
      </w:pPr>
      <w:r w:rsidRPr="00012C3F">
        <w:rPr>
          <w:rFonts w:eastAsia="MS Mincho" w:cs="Arial"/>
          <w:sz w:val="20"/>
          <w:szCs w:val="20"/>
          <w:lang w:val="en-US" w:eastAsia="en-US" w:bidi="en-US"/>
        </w:rPr>
        <w:t xml:space="preserve">The </w:t>
      </w:r>
      <w:r w:rsidRPr="00012C3F">
        <w:rPr>
          <w:rFonts w:eastAsia="MS Mincho" w:cs="Arial"/>
          <w:b/>
          <w:bCs/>
          <w:i/>
          <w:iCs/>
          <w:sz w:val="20"/>
          <w:szCs w:val="20"/>
          <w:lang w:val="en-US" w:eastAsia="en-US" w:bidi="en-US"/>
        </w:rPr>
        <w:t>Commission</w:t>
      </w:r>
      <w:r w:rsidR="004B2395" w:rsidRPr="00012C3F">
        <w:rPr>
          <w:rFonts w:eastAsia="MS Mincho" w:cs="Arial"/>
          <w:sz w:val="20"/>
          <w:szCs w:val="20"/>
          <w:lang w:val="en-US" w:eastAsia="en-US" w:bidi="en-US"/>
        </w:rPr>
        <w:t xml:space="preserve"> consider</w:t>
      </w:r>
      <w:r w:rsidR="00A54991" w:rsidRPr="00012C3F">
        <w:rPr>
          <w:rFonts w:eastAsia="MS Mincho" w:cs="Arial"/>
          <w:sz w:val="20"/>
          <w:szCs w:val="20"/>
          <w:lang w:val="en-US" w:eastAsia="en-US" w:bidi="en-US"/>
        </w:rPr>
        <w:t xml:space="preserve">ed that the right of </w:t>
      </w:r>
      <w:r w:rsidR="006C705C" w:rsidRPr="00012C3F">
        <w:rPr>
          <w:rFonts w:eastAsia="MS Mincho" w:cs="Arial"/>
          <w:sz w:val="20"/>
          <w:szCs w:val="20"/>
          <w:lang w:val="en-US" w:eastAsia="en-US" w:bidi="en-US"/>
        </w:rPr>
        <w:t>access to information</w:t>
      </w:r>
      <w:r w:rsidR="005E5012" w:rsidRPr="00012C3F">
        <w:rPr>
          <w:rFonts w:eastAsia="MS Mincho" w:cs="Arial"/>
          <w:sz w:val="20"/>
          <w:szCs w:val="20"/>
          <w:lang w:val="en-US" w:eastAsia="en-US" w:bidi="en-US"/>
        </w:rPr>
        <w:t xml:space="preserve"> and </w:t>
      </w:r>
      <w:r w:rsidR="00AC0004" w:rsidRPr="00012C3F">
        <w:rPr>
          <w:rFonts w:eastAsia="MS Mincho" w:cs="Arial"/>
          <w:sz w:val="20"/>
          <w:szCs w:val="20"/>
          <w:lang w:val="en-US" w:eastAsia="en-US" w:bidi="en-US"/>
        </w:rPr>
        <w:t>informed consent</w:t>
      </w:r>
      <w:r w:rsidR="004B2395" w:rsidRPr="00012C3F">
        <w:rPr>
          <w:rFonts w:eastAsia="MS Mincho" w:cs="Arial"/>
          <w:sz w:val="20"/>
          <w:szCs w:val="20"/>
          <w:lang w:val="en-US" w:eastAsia="en-US" w:bidi="en-US"/>
        </w:rPr>
        <w:t xml:space="preserve"> </w:t>
      </w:r>
      <w:r w:rsidR="00A54991" w:rsidRPr="00012C3F">
        <w:rPr>
          <w:rFonts w:eastAsia="MS Mincho" w:cs="Arial"/>
          <w:sz w:val="20"/>
          <w:szCs w:val="20"/>
          <w:lang w:val="en-US" w:eastAsia="en-US" w:bidi="en-US"/>
        </w:rPr>
        <w:t xml:space="preserve">are essential instruments to ensure other rights such as personal integrity, autonomy, sexual and reproductive health, the right to decide freely on maternity and </w:t>
      </w:r>
      <w:r w:rsidR="00EF483B" w:rsidRPr="00012C3F">
        <w:rPr>
          <w:rFonts w:eastAsia="MS Mincho" w:cs="Arial"/>
          <w:sz w:val="20"/>
          <w:szCs w:val="20"/>
          <w:lang w:val="en-US" w:eastAsia="en-US" w:bidi="en-US"/>
        </w:rPr>
        <w:t xml:space="preserve">to </w:t>
      </w:r>
      <w:r w:rsidR="00AD03C2" w:rsidRPr="00012C3F">
        <w:rPr>
          <w:rFonts w:eastAsia="MS Mincho" w:cs="Arial"/>
          <w:sz w:val="20"/>
          <w:szCs w:val="20"/>
          <w:lang w:val="en-US" w:eastAsia="en-US" w:bidi="en-US"/>
        </w:rPr>
        <w:t>raise</w:t>
      </w:r>
      <w:r w:rsidR="00EF483B" w:rsidRPr="00012C3F">
        <w:rPr>
          <w:rFonts w:eastAsia="MS Mincho" w:cs="Arial"/>
          <w:sz w:val="20"/>
          <w:szCs w:val="20"/>
          <w:lang w:val="en-US" w:eastAsia="en-US" w:bidi="en-US"/>
        </w:rPr>
        <w:t xml:space="preserve"> a family</w:t>
      </w:r>
      <w:r w:rsidR="00A54991" w:rsidRPr="00012C3F">
        <w:rPr>
          <w:rFonts w:eastAsia="MS Mincho" w:cs="Arial"/>
          <w:sz w:val="20"/>
          <w:szCs w:val="20"/>
          <w:lang w:val="en-US" w:eastAsia="en-US" w:bidi="en-US"/>
        </w:rPr>
        <w:t xml:space="preserve">, as well as to give free and informed consent to any measure that may affect </w:t>
      </w:r>
      <w:r w:rsidR="00701139" w:rsidRPr="00012C3F">
        <w:rPr>
          <w:rFonts w:eastAsia="MS Mincho" w:cs="Arial"/>
          <w:sz w:val="20"/>
          <w:szCs w:val="20"/>
          <w:lang w:val="en-US" w:eastAsia="en-US" w:bidi="en-US"/>
        </w:rPr>
        <w:t>the reproductive capacity, and these are all interrelated. In addition, it established that the right of access to information protect</w:t>
      </w:r>
      <w:r w:rsidR="00AD03C2" w:rsidRPr="00012C3F">
        <w:rPr>
          <w:rFonts w:eastAsia="MS Mincho" w:cs="Arial"/>
          <w:sz w:val="20"/>
          <w:szCs w:val="20"/>
          <w:lang w:val="en-US" w:eastAsia="en-US" w:bidi="en-US"/>
        </w:rPr>
        <w:t>ed</w:t>
      </w:r>
      <w:r w:rsidR="00701139" w:rsidRPr="00012C3F">
        <w:rPr>
          <w:rFonts w:eastAsia="MS Mincho" w:cs="Arial"/>
          <w:sz w:val="20"/>
          <w:szCs w:val="20"/>
          <w:lang w:val="en-US" w:eastAsia="en-US" w:bidi="en-US"/>
        </w:rPr>
        <w:t xml:space="preserve"> the right of a patient to receive from the State, previously and formally, relevant, comprehensible information to be able to take free </w:t>
      </w:r>
      <w:r w:rsidR="00AD03C2" w:rsidRPr="00012C3F">
        <w:rPr>
          <w:rFonts w:eastAsia="MS Mincho" w:cs="Arial"/>
          <w:sz w:val="20"/>
          <w:szCs w:val="20"/>
          <w:lang w:val="en-US" w:eastAsia="en-US" w:bidi="en-US"/>
        </w:rPr>
        <w:t>well-informed</w:t>
      </w:r>
      <w:r w:rsidR="00701139" w:rsidRPr="00012C3F">
        <w:rPr>
          <w:rFonts w:eastAsia="MS Mincho" w:cs="Arial"/>
          <w:sz w:val="20"/>
          <w:szCs w:val="20"/>
          <w:lang w:val="en-US" w:eastAsia="en-US" w:bidi="en-US"/>
        </w:rPr>
        <w:t xml:space="preserve"> decisions on intimate aspects of her health, body and personality, and require</w:t>
      </w:r>
      <w:r w:rsidR="00AD03C2" w:rsidRPr="00012C3F">
        <w:rPr>
          <w:rFonts w:eastAsia="MS Mincho" w:cs="Arial"/>
          <w:sz w:val="20"/>
          <w:szCs w:val="20"/>
          <w:lang w:val="en-US" w:eastAsia="en-US" w:bidi="en-US"/>
        </w:rPr>
        <w:t>d</w:t>
      </w:r>
      <w:r w:rsidR="00701139" w:rsidRPr="00012C3F">
        <w:rPr>
          <w:rFonts w:eastAsia="MS Mincho" w:cs="Arial"/>
          <w:sz w:val="20"/>
          <w:szCs w:val="20"/>
          <w:lang w:val="en-US" w:eastAsia="en-US" w:bidi="en-US"/>
        </w:rPr>
        <w:t xml:space="preserve"> that the State obtain this consent prior to any health procedure. </w:t>
      </w:r>
      <w:r w:rsidRPr="00012C3F">
        <w:rPr>
          <w:rFonts w:eastAsia="MS Mincho" w:cs="Arial"/>
          <w:sz w:val="20"/>
          <w:szCs w:val="20"/>
          <w:lang w:val="en-US" w:eastAsia="en-US" w:bidi="en-US"/>
        </w:rPr>
        <w:t>The Commission</w:t>
      </w:r>
      <w:r w:rsidR="004B2395" w:rsidRPr="00012C3F">
        <w:rPr>
          <w:rFonts w:eastAsia="MS Mincho" w:cs="Arial"/>
          <w:sz w:val="20"/>
          <w:szCs w:val="20"/>
          <w:lang w:val="en-US" w:eastAsia="en-US" w:bidi="en-US"/>
        </w:rPr>
        <w:t xml:space="preserve"> </w:t>
      </w:r>
      <w:r w:rsidR="00701139" w:rsidRPr="00012C3F">
        <w:rPr>
          <w:rFonts w:eastAsia="MS Mincho" w:cs="Arial"/>
          <w:sz w:val="20"/>
          <w:szCs w:val="20"/>
          <w:lang w:val="en-US" w:eastAsia="en-US" w:bidi="en-US"/>
        </w:rPr>
        <w:t xml:space="preserve">noted that, as tubal ligation </w:t>
      </w:r>
      <w:r w:rsidR="00AD03C2" w:rsidRPr="00012C3F">
        <w:rPr>
          <w:rFonts w:eastAsia="MS Mincho" w:cs="Arial"/>
          <w:sz w:val="20"/>
          <w:szCs w:val="20"/>
          <w:lang w:val="en-US" w:eastAsia="en-US" w:bidi="en-US"/>
        </w:rPr>
        <w:t>was</w:t>
      </w:r>
      <w:r w:rsidR="00701139" w:rsidRPr="00012C3F">
        <w:rPr>
          <w:rFonts w:eastAsia="MS Mincho" w:cs="Arial"/>
          <w:sz w:val="20"/>
          <w:szCs w:val="20"/>
          <w:lang w:val="en-US" w:eastAsia="en-US" w:bidi="en-US"/>
        </w:rPr>
        <w:t xml:space="preserve"> a permanent method of contraception, the controls to ensure free and informed consent </w:t>
      </w:r>
      <w:r w:rsidR="00AD03C2" w:rsidRPr="00012C3F">
        <w:rPr>
          <w:rFonts w:eastAsia="MS Mincho" w:cs="Arial"/>
          <w:sz w:val="20"/>
          <w:szCs w:val="20"/>
          <w:lang w:val="en-US" w:eastAsia="en-US" w:bidi="en-US"/>
        </w:rPr>
        <w:t>needed to</w:t>
      </w:r>
      <w:r w:rsidR="00701139" w:rsidRPr="00012C3F">
        <w:rPr>
          <w:rFonts w:eastAsia="MS Mincho" w:cs="Arial"/>
          <w:sz w:val="20"/>
          <w:szCs w:val="20"/>
          <w:lang w:val="en-US" w:eastAsia="en-US" w:bidi="en-US"/>
        </w:rPr>
        <w:t xml:space="preserve"> be more rigorous. In this regard, the Commission concluded that: (i) there was no record that the presumed victim received complete information on her health situation and the nature of the clinical diagnosis based on which the tubal ligation procedure was recommended, nor that the relevant person had provided her with a detailed description of the nature, risks and consequences of the procedure; (ii) in addition, it appeared that the patient had not been advised about alternative treatments to safeguard her life in the case of a future pregnancy, such as the use of non-permanent contraception methods; (iii) </w:t>
      </w:r>
      <w:r w:rsidR="00DD5966" w:rsidRPr="00012C3F">
        <w:rPr>
          <w:rFonts w:eastAsia="MS Mincho" w:cs="Arial"/>
          <w:sz w:val="20"/>
          <w:szCs w:val="20"/>
          <w:lang w:val="en-US" w:eastAsia="en-US" w:bidi="en-US"/>
        </w:rPr>
        <w:t>a situation of medical emergency did not exist that would have required the tubal ligation to sa</w:t>
      </w:r>
      <w:r w:rsidR="00AD03C2" w:rsidRPr="00012C3F">
        <w:rPr>
          <w:rFonts w:eastAsia="MS Mincho" w:cs="Arial"/>
          <w:sz w:val="20"/>
          <w:szCs w:val="20"/>
          <w:lang w:val="en-US" w:eastAsia="en-US" w:bidi="en-US"/>
        </w:rPr>
        <w:t>v</w:t>
      </w:r>
      <w:r w:rsidR="00DD5966" w:rsidRPr="00012C3F">
        <w:rPr>
          <w:rFonts w:eastAsia="MS Mincho" w:cs="Arial"/>
          <w:sz w:val="20"/>
          <w:szCs w:val="20"/>
          <w:lang w:val="en-US" w:eastAsia="en-US" w:bidi="en-US"/>
        </w:rPr>
        <w:t xml:space="preserve">e </w:t>
      </w:r>
      <w:r w:rsidR="00AD03C2" w:rsidRPr="00012C3F">
        <w:rPr>
          <w:rFonts w:eastAsia="MS Mincho" w:cs="Arial"/>
          <w:sz w:val="20"/>
          <w:szCs w:val="20"/>
          <w:lang w:val="en-US" w:eastAsia="en-US" w:bidi="en-US"/>
        </w:rPr>
        <w:t>I.V.’s</w:t>
      </w:r>
      <w:r w:rsidR="00DD5966" w:rsidRPr="00012C3F">
        <w:rPr>
          <w:rFonts w:eastAsia="MS Mincho" w:cs="Arial"/>
          <w:sz w:val="20"/>
          <w:szCs w:val="20"/>
          <w:lang w:val="en-US" w:eastAsia="en-US" w:bidi="en-US"/>
        </w:rPr>
        <w:t xml:space="preserve"> life during her surgery</w:t>
      </w:r>
      <w:r w:rsidR="00AD03C2" w:rsidRPr="00012C3F">
        <w:rPr>
          <w:rFonts w:eastAsia="MS Mincho" w:cs="Arial"/>
          <w:sz w:val="20"/>
          <w:szCs w:val="20"/>
          <w:lang w:val="en-US" w:eastAsia="en-US" w:bidi="en-US"/>
        </w:rPr>
        <w:t>;</w:t>
      </w:r>
      <w:r w:rsidR="00DD5966" w:rsidRPr="00012C3F">
        <w:rPr>
          <w:rFonts w:eastAsia="MS Mincho" w:cs="Arial"/>
          <w:sz w:val="20"/>
          <w:szCs w:val="20"/>
          <w:lang w:val="en-US" w:eastAsia="en-US" w:bidi="en-US"/>
        </w:rPr>
        <w:t xml:space="preserve"> to the contrary, it was an elective procedure that could be performed at any other moment, so that there was no justification for the patient not to have obtained timely and accessible information on contraception methods, and (iv) I.V. should not have been consulted about the sterilization during </w:t>
      </w:r>
      <w:r w:rsidR="00136EDE" w:rsidRPr="00012C3F">
        <w:rPr>
          <w:rFonts w:eastAsia="MS Mincho" w:cs="Arial"/>
          <w:sz w:val="20"/>
          <w:szCs w:val="20"/>
          <w:lang w:val="en-US" w:eastAsia="en-US" w:bidi="en-US"/>
        </w:rPr>
        <w:t>the caesarean section</w:t>
      </w:r>
      <w:r w:rsidR="00DD5966" w:rsidRPr="00012C3F">
        <w:rPr>
          <w:rFonts w:eastAsia="MS Mincho" w:cs="Arial"/>
          <w:sz w:val="20"/>
          <w:szCs w:val="20"/>
          <w:lang w:val="en-US" w:eastAsia="en-US" w:bidi="en-US"/>
        </w:rPr>
        <w:t>, because she was under epidural anesthesia, and it is reasonable to consider that she was in a state of surgical stress, so that her consent could not be truly free. The Commission indicated that, even if I.V. had been given information verbally, as argued by the State, th</w:t>
      </w:r>
      <w:r w:rsidR="00AD03C2" w:rsidRPr="00012C3F">
        <w:rPr>
          <w:rFonts w:eastAsia="MS Mincho" w:cs="Arial"/>
          <w:sz w:val="20"/>
          <w:szCs w:val="20"/>
          <w:lang w:val="en-US" w:eastAsia="en-US" w:bidi="en-US"/>
        </w:rPr>
        <w:t>at</w:t>
      </w:r>
      <w:r w:rsidR="00DD5966" w:rsidRPr="00012C3F">
        <w:rPr>
          <w:rFonts w:eastAsia="MS Mincho" w:cs="Arial"/>
          <w:sz w:val="20"/>
          <w:szCs w:val="20"/>
          <w:lang w:val="en-US" w:eastAsia="en-US" w:bidi="en-US"/>
        </w:rPr>
        <w:t xml:space="preserve"> did not meet the necessary requirements and conditions to have enabled her to give her informed consent. It also indicated that there was no </w:t>
      </w:r>
      <w:r w:rsidR="00AD03C2" w:rsidRPr="00012C3F">
        <w:rPr>
          <w:rFonts w:eastAsia="MS Mincho" w:cs="Arial"/>
          <w:sz w:val="20"/>
          <w:szCs w:val="20"/>
          <w:lang w:val="en-US" w:eastAsia="en-US" w:bidi="en-US"/>
        </w:rPr>
        <w:t>real</w:t>
      </w:r>
      <w:r w:rsidR="00DD5966" w:rsidRPr="00012C3F">
        <w:rPr>
          <w:rFonts w:eastAsia="MS Mincho" w:cs="Arial"/>
          <w:sz w:val="20"/>
          <w:szCs w:val="20"/>
          <w:lang w:val="en-US" w:eastAsia="en-US" w:bidi="en-US"/>
        </w:rPr>
        <w:t xml:space="preserve"> and immediate danger to her life that would have excluded the need </w:t>
      </w:r>
      <w:r w:rsidR="00AD03C2" w:rsidRPr="00012C3F">
        <w:rPr>
          <w:rFonts w:eastAsia="MS Mincho" w:cs="Arial"/>
          <w:sz w:val="20"/>
          <w:szCs w:val="20"/>
          <w:lang w:val="en-US" w:eastAsia="en-US" w:bidi="en-US"/>
        </w:rPr>
        <w:t>for her</w:t>
      </w:r>
      <w:r w:rsidR="00DD5966" w:rsidRPr="00012C3F">
        <w:rPr>
          <w:rFonts w:eastAsia="MS Mincho" w:cs="Arial"/>
          <w:sz w:val="20"/>
          <w:szCs w:val="20"/>
          <w:lang w:val="en-US" w:eastAsia="en-US" w:bidi="en-US"/>
        </w:rPr>
        <w:t xml:space="preserve"> express consent.</w:t>
      </w:r>
    </w:p>
    <w:p w14:paraId="755C9B7D" w14:textId="77777777" w:rsidR="004B2395" w:rsidRPr="00012C3F" w:rsidRDefault="004B2395" w:rsidP="004B2395">
      <w:pPr>
        <w:tabs>
          <w:tab w:val="left" w:pos="567"/>
        </w:tabs>
        <w:spacing w:line="240" w:lineRule="auto"/>
        <w:rPr>
          <w:sz w:val="20"/>
          <w:szCs w:val="20"/>
          <w:lang w:val="en-US"/>
        </w:rPr>
      </w:pPr>
    </w:p>
    <w:p w14:paraId="7CC60FDB" w14:textId="77777777" w:rsidR="004B2395" w:rsidRPr="00012C3F" w:rsidRDefault="00972ACF" w:rsidP="009319C4">
      <w:pPr>
        <w:numPr>
          <w:ilvl w:val="0"/>
          <w:numId w:val="5"/>
        </w:numPr>
        <w:tabs>
          <w:tab w:val="left" w:pos="567"/>
          <w:tab w:val="num" w:pos="12305"/>
        </w:tabs>
        <w:spacing w:line="240" w:lineRule="auto"/>
        <w:ind w:left="0" w:firstLine="0"/>
        <w:rPr>
          <w:rFonts w:eastAsia="MS Mincho"/>
          <w:sz w:val="20"/>
          <w:szCs w:val="20"/>
          <w:lang w:val="en-US" w:eastAsia="en-US" w:bidi="en-US"/>
        </w:rPr>
      </w:pPr>
      <w:r w:rsidRPr="00012C3F">
        <w:rPr>
          <w:rFonts w:eastAsia="MS Mincho" w:cs="Arial"/>
          <w:sz w:val="20"/>
          <w:szCs w:val="20"/>
          <w:lang w:val="en-US" w:eastAsia="en-US" w:bidi="en-US"/>
        </w:rPr>
        <w:t xml:space="preserve">The </w:t>
      </w:r>
      <w:r w:rsidRPr="00012C3F">
        <w:rPr>
          <w:rFonts w:eastAsia="MS Mincho" w:cs="Arial"/>
          <w:b/>
          <w:bCs/>
          <w:i/>
          <w:iCs/>
          <w:sz w:val="20"/>
          <w:szCs w:val="20"/>
          <w:lang w:val="en-US" w:eastAsia="en-US" w:bidi="en-US"/>
        </w:rPr>
        <w:t>representative</w:t>
      </w:r>
      <w:r w:rsidR="004B2395" w:rsidRPr="00012C3F">
        <w:rPr>
          <w:rFonts w:eastAsia="MS Mincho" w:cs="Arial"/>
          <w:b/>
          <w:sz w:val="20"/>
          <w:szCs w:val="20"/>
          <w:lang w:val="en-US" w:eastAsia="en-US" w:bidi="en-US"/>
        </w:rPr>
        <w:t xml:space="preserve"> </w:t>
      </w:r>
      <w:r w:rsidR="00DD5966" w:rsidRPr="00012C3F">
        <w:rPr>
          <w:rFonts w:eastAsia="MS Mincho" w:cs="Arial"/>
          <w:sz w:val="20"/>
          <w:szCs w:val="20"/>
          <w:lang w:val="en-US" w:eastAsia="en-US" w:bidi="en-US"/>
        </w:rPr>
        <w:t>indic</w:t>
      </w:r>
      <w:r w:rsidR="00AD03C2" w:rsidRPr="00012C3F">
        <w:rPr>
          <w:rFonts w:eastAsia="MS Mincho" w:cs="Arial"/>
          <w:sz w:val="20"/>
          <w:szCs w:val="20"/>
          <w:lang w:val="en-US" w:eastAsia="en-US" w:bidi="en-US"/>
        </w:rPr>
        <w:t>a</w:t>
      </w:r>
      <w:r w:rsidR="00DD5966" w:rsidRPr="00012C3F">
        <w:rPr>
          <w:rFonts w:eastAsia="MS Mincho" w:cs="Arial"/>
          <w:sz w:val="20"/>
          <w:szCs w:val="20"/>
          <w:lang w:val="en-US" w:eastAsia="en-US" w:bidi="en-US"/>
        </w:rPr>
        <w:t>ted that</w:t>
      </w:r>
      <w:r w:rsidR="004B2395" w:rsidRPr="00012C3F">
        <w:rPr>
          <w:rFonts w:eastAsia="MS Mincho" w:cs="Arial"/>
          <w:sz w:val="20"/>
          <w:szCs w:val="20"/>
          <w:lang w:val="en-US" w:eastAsia="en-US" w:bidi="en-US"/>
        </w:rPr>
        <w:t xml:space="preserve"> </w:t>
      </w:r>
      <w:r w:rsidR="000E1C11" w:rsidRPr="00012C3F">
        <w:rPr>
          <w:rFonts w:eastAsia="MS Mincho" w:cs="Arial"/>
          <w:sz w:val="20"/>
          <w:szCs w:val="20"/>
          <w:lang w:val="en-US" w:eastAsia="en-US" w:bidi="en-US"/>
        </w:rPr>
        <w:t>I.V.</w:t>
      </w:r>
      <w:r w:rsidR="004B2395" w:rsidRPr="00012C3F">
        <w:rPr>
          <w:rFonts w:eastAsia="MS Mincho" w:cs="Arial"/>
          <w:sz w:val="20"/>
          <w:szCs w:val="20"/>
          <w:lang w:val="en-US" w:eastAsia="en-US" w:bidi="en-US"/>
        </w:rPr>
        <w:t xml:space="preserve"> </w:t>
      </w:r>
      <w:r w:rsidR="00DD5966" w:rsidRPr="00012C3F">
        <w:rPr>
          <w:rFonts w:eastAsia="MS Mincho" w:cs="Arial"/>
          <w:sz w:val="20"/>
          <w:szCs w:val="20"/>
          <w:lang w:val="en-US" w:eastAsia="en-US" w:bidi="en-US"/>
        </w:rPr>
        <w:t>was sterilized without her prior, full, free and informed consent, because she was never told that a tubal ligation would be performed. She indicated that there was no record that the protocols on consent and on tubal ligat</w:t>
      </w:r>
      <w:r w:rsidR="00AD03C2" w:rsidRPr="00012C3F">
        <w:rPr>
          <w:rFonts w:eastAsia="MS Mincho" w:cs="Arial"/>
          <w:sz w:val="20"/>
          <w:szCs w:val="20"/>
          <w:lang w:val="en-US" w:eastAsia="en-US" w:bidi="en-US"/>
        </w:rPr>
        <w:t>ion</w:t>
      </w:r>
      <w:r w:rsidR="00DD5966" w:rsidRPr="00012C3F">
        <w:rPr>
          <w:rFonts w:eastAsia="MS Mincho" w:cs="Arial"/>
          <w:sz w:val="20"/>
          <w:szCs w:val="20"/>
          <w:lang w:val="en-US" w:eastAsia="en-US" w:bidi="en-US"/>
        </w:rPr>
        <w:t xml:space="preserve"> had been complied with in the case of the presumed victim and based on existing laws. The representative indicated that I.V. found out about the surgical procedure the day after it had been performed – in other words, July 2, 2000 – as revealed by the “progress sheet” signed by the </w:t>
      </w:r>
      <w:r w:rsidR="00593E9B" w:rsidRPr="00012C3F">
        <w:rPr>
          <w:rFonts w:eastAsia="MS Mincho" w:cs="Arial"/>
          <w:sz w:val="20"/>
          <w:szCs w:val="20"/>
          <w:lang w:val="en-US" w:eastAsia="en-US" w:bidi="en-US"/>
        </w:rPr>
        <w:t>resident doctor</w:t>
      </w:r>
      <w:r w:rsidR="00DD5966" w:rsidRPr="00012C3F">
        <w:rPr>
          <w:rFonts w:eastAsia="MS Mincho" w:cs="Arial"/>
          <w:sz w:val="20"/>
          <w:szCs w:val="20"/>
          <w:lang w:val="en-US" w:eastAsia="en-US" w:bidi="en-US"/>
        </w:rPr>
        <w:t xml:space="preserve">, which </w:t>
      </w:r>
      <w:r w:rsidR="009319C4" w:rsidRPr="00012C3F">
        <w:rPr>
          <w:rFonts w:eastAsia="MS Mincho" w:cs="Arial"/>
          <w:sz w:val="20"/>
          <w:szCs w:val="20"/>
          <w:lang w:val="en-US" w:eastAsia="en-US" w:bidi="en-US"/>
        </w:rPr>
        <w:t xml:space="preserve">records that I.V. was only informed about the tubal ligation at that time. Accordingly, this disproves the evidence used by the State to assert that I.V. had given her consent – that is, the contradictory statements of some members of the medical team. She also indicated that: (i) requesting </w:t>
      </w:r>
      <w:r w:rsidR="00AD03C2" w:rsidRPr="00012C3F">
        <w:rPr>
          <w:rFonts w:eastAsia="MS Mincho" w:cs="Arial"/>
          <w:sz w:val="20"/>
          <w:szCs w:val="20"/>
          <w:lang w:val="en-US" w:eastAsia="en-US" w:bidi="en-US"/>
        </w:rPr>
        <w:t>a woman’s</w:t>
      </w:r>
      <w:r w:rsidR="009319C4" w:rsidRPr="00012C3F">
        <w:rPr>
          <w:rFonts w:eastAsia="MS Mincho" w:cs="Arial"/>
          <w:sz w:val="20"/>
          <w:szCs w:val="20"/>
          <w:lang w:val="en-US" w:eastAsia="en-US" w:bidi="en-US"/>
        </w:rPr>
        <w:t xml:space="preserve"> consent </w:t>
      </w:r>
      <w:r w:rsidR="00AD03C2" w:rsidRPr="00012C3F">
        <w:rPr>
          <w:rFonts w:eastAsia="MS Mincho" w:cs="Arial"/>
          <w:sz w:val="20"/>
          <w:szCs w:val="20"/>
          <w:lang w:val="en-US" w:eastAsia="en-US" w:bidi="en-US"/>
        </w:rPr>
        <w:t>to</w:t>
      </w:r>
      <w:r w:rsidR="009319C4" w:rsidRPr="00012C3F">
        <w:rPr>
          <w:rFonts w:eastAsia="MS Mincho" w:cs="Arial"/>
          <w:sz w:val="20"/>
          <w:szCs w:val="20"/>
          <w:lang w:val="en-US" w:eastAsia="en-US" w:bidi="en-US"/>
        </w:rPr>
        <w:t xml:space="preserve"> a tubal ligation in the circumstances described was inadmissible, especially if there was no medical emergency; (ii) the medical indication could not be taken as a factor that excluded the need to obtain prior, full, free and informed consent, and (iii) it was inadmissible </w:t>
      </w:r>
      <w:r w:rsidR="00AD03C2" w:rsidRPr="00012C3F">
        <w:rPr>
          <w:rFonts w:eastAsia="MS Mincho" w:cs="Arial"/>
          <w:sz w:val="20"/>
          <w:szCs w:val="20"/>
          <w:lang w:val="en-US" w:eastAsia="en-US" w:bidi="en-US"/>
        </w:rPr>
        <w:t>t</w:t>
      </w:r>
      <w:r w:rsidR="009319C4" w:rsidRPr="00012C3F">
        <w:rPr>
          <w:rFonts w:eastAsia="MS Mincho" w:cs="Arial"/>
          <w:sz w:val="20"/>
          <w:szCs w:val="20"/>
          <w:lang w:val="en-US" w:eastAsia="en-US" w:bidi="en-US"/>
        </w:rPr>
        <w:t xml:space="preserve">o consider that written consent was a “mere and unimportant formality,” when domestic law required this. Regarding the international standards </w:t>
      </w:r>
      <w:r w:rsidR="002E7B3D" w:rsidRPr="00012C3F">
        <w:rPr>
          <w:rFonts w:eastAsia="MS Mincho" w:cs="Arial"/>
          <w:sz w:val="20"/>
          <w:szCs w:val="20"/>
          <w:lang w:val="en-US" w:eastAsia="en-US" w:bidi="en-US"/>
        </w:rPr>
        <w:t xml:space="preserve">for </w:t>
      </w:r>
      <w:r w:rsidR="00AC0004" w:rsidRPr="00012C3F">
        <w:rPr>
          <w:rFonts w:eastAsia="MS Mincho" w:cs="Arial"/>
          <w:sz w:val="20"/>
          <w:szCs w:val="20"/>
          <w:lang w:val="en-US" w:eastAsia="en-US" w:bidi="en-US"/>
        </w:rPr>
        <w:t>informed consent</w:t>
      </w:r>
      <w:r w:rsidR="004B2395" w:rsidRPr="00012C3F">
        <w:rPr>
          <w:rFonts w:eastAsia="MS Mincho" w:cs="Arial"/>
          <w:sz w:val="20"/>
          <w:szCs w:val="20"/>
          <w:lang w:val="en-US" w:eastAsia="en-US" w:bidi="en-US"/>
        </w:rPr>
        <w:t xml:space="preserve">, </w:t>
      </w:r>
      <w:r w:rsidRPr="00012C3F">
        <w:rPr>
          <w:rFonts w:eastAsia="MS Mincho" w:cs="Arial"/>
          <w:sz w:val="20"/>
          <w:szCs w:val="20"/>
          <w:lang w:val="en-US" w:eastAsia="en-US" w:bidi="en-US"/>
        </w:rPr>
        <w:t>the representative</w:t>
      </w:r>
      <w:r w:rsidR="004B2395" w:rsidRPr="00012C3F">
        <w:rPr>
          <w:rFonts w:eastAsia="MS Mincho" w:cs="Arial"/>
          <w:sz w:val="20"/>
          <w:szCs w:val="20"/>
          <w:lang w:val="en-US" w:eastAsia="en-US" w:bidi="en-US"/>
        </w:rPr>
        <w:t xml:space="preserve"> consider</w:t>
      </w:r>
      <w:r w:rsidR="009319C4" w:rsidRPr="00012C3F">
        <w:rPr>
          <w:rFonts w:eastAsia="MS Mincho" w:cs="Arial"/>
          <w:sz w:val="20"/>
          <w:szCs w:val="20"/>
          <w:lang w:val="en-US" w:eastAsia="en-US" w:bidi="en-US"/>
        </w:rPr>
        <w:t>ed that they already existed and were in force at the time of the facts, and indicated that the Court had the authority to consider this matter in accordance with an evolutive interpretation</w:t>
      </w:r>
      <w:r w:rsidR="009319C4" w:rsidRPr="00012C3F">
        <w:rPr>
          <w:rFonts w:eastAsia="MS Mincho"/>
          <w:sz w:val="20"/>
          <w:szCs w:val="20"/>
          <w:lang w:val="en-US" w:eastAsia="en-US" w:bidi="en-US"/>
        </w:rPr>
        <w:t xml:space="preserve"> of </w:t>
      </w:r>
      <w:r w:rsidR="001254DE" w:rsidRPr="00012C3F">
        <w:rPr>
          <w:rFonts w:eastAsia="MS Mincho" w:cs="Arial"/>
          <w:sz w:val="20"/>
          <w:szCs w:val="20"/>
          <w:lang w:val="en-US" w:eastAsia="en-US" w:bidi="en-US"/>
        </w:rPr>
        <w:t>the Convention</w:t>
      </w:r>
      <w:r w:rsidR="00DD2A3F" w:rsidRPr="00012C3F">
        <w:rPr>
          <w:rFonts w:eastAsia="MS Mincho" w:cs="Arial"/>
          <w:sz w:val="20"/>
          <w:szCs w:val="20"/>
          <w:lang w:val="en-US" w:eastAsia="en-US" w:bidi="en-US"/>
        </w:rPr>
        <w:t>.</w:t>
      </w:r>
    </w:p>
    <w:p w14:paraId="555B31BA" w14:textId="77777777" w:rsidR="004B2395" w:rsidRPr="00012C3F" w:rsidRDefault="004B2395" w:rsidP="004B2395">
      <w:pPr>
        <w:widowControl/>
        <w:tabs>
          <w:tab w:val="left" w:pos="720"/>
        </w:tabs>
        <w:adjustRightInd/>
        <w:spacing w:line="240" w:lineRule="auto"/>
        <w:ind w:right="-90"/>
        <w:textAlignment w:val="auto"/>
        <w:rPr>
          <w:rFonts w:eastAsia="MS Mincho"/>
          <w:sz w:val="20"/>
          <w:szCs w:val="20"/>
          <w:lang w:val="en-US" w:eastAsia="en-US" w:bidi="en-US"/>
        </w:rPr>
      </w:pPr>
    </w:p>
    <w:p w14:paraId="268F9F70" w14:textId="77777777" w:rsidR="004B2395" w:rsidRPr="00012C3F" w:rsidRDefault="00A84CA0" w:rsidP="00C12F6C">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cs="Arial"/>
          <w:sz w:val="20"/>
          <w:szCs w:val="20"/>
          <w:lang w:val="en-US" w:eastAsia="en-US" w:bidi="en-US"/>
        </w:rPr>
        <w:t xml:space="preserve">The </w:t>
      </w:r>
      <w:r w:rsidRPr="00012C3F">
        <w:rPr>
          <w:rFonts w:eastAsia="MS Mincho" w:cs="Arial"/>
          <w:b/>
          <w:bCs/>
          <w:i/>
          <w:iCs/>
          <w:sz w:val="20"/>
          <w:szCs w:val="20"/>
          <w:lang w:val="en-US" w:eastAsia="en-US" w:bidi="en-US"/>
        </w:rPr>
        <w:t>State</w:t>
      </w:r>
      <w:r w:rsidR="004B2395" w:rsidRPr="00012C3F">
        <w:rPr>
          <w:rFonts w:eastAsia="MS Mincho" w:cs="Arial"/>
          <w:sz w:val="20"/>
          <w:szCs w:val="20"/>
          <w:lang w:val="en-US" w:eastAsia="en-US" w:bidi="en-US"/>
        </w:rPr>
        <w:t xml:space="preserve"> af</w:t>
      </w:r>
      <w:r w:rsidR="009319C4" w:rsidRPr="00012C3F">
        <w:rPr>
          <w:rFonts w:eastAsia="MS Mincho" w:cs="Arial"/>
          <w:sz w:val="20"/>
          <w:szCs w:val="20"/>
          <w:lang w:val="en-US" w:eastAsia="en-US" w:bidi="en-US"/>
        </w:rPr>
        <w:t>firmed that the tubal ligation procedure</w:t>
      </w:r>
      <w:r w:rsidR="009319C4" w:rsidRPr="00012C3F">
        <w:rPr>
          <w:rFonts w:eastAsia="MS Mincho"/>
          <w:sz w:val="20"/>
          <w:szCs w:val="20"/>
          <w:lang w:val="en-US" w:eastAsia="en-US" w:bidi="en-US"/>
        </w:rPr>
        <w:t xml:space="preserve"> had not been planned by either the medical professionals or I.V., because the surgical procedure was performed during </w:t>
      </w:r>
      <w:r w:rsidR="00136EDE" w:rsidRPr="00012C3F">
        <w:rPr>
          <w:rFonts w:eastAsia="MS Mincho"/>
          <w:sz w:val="20"/>
          <w:szCs w:val="20"/>
          <w:lang w:val="en-US" w:eastAsia="en-US" w:bidi="en-US"/>
        </w:rPr>
        <w:t>the caesarean section</w:t>
      </w:r>
      <w:r w:rsidR="009319C4" w:rsidRPr="00012C3F">
        <w:rPr>
          <w:rFonts w:eastAsia="MS Mincho" w:cs="Arial"/>
          <w:sz w:val="20"/>
          <w:szCs w:val="20"/>
          <w:lang w:val="en-US" w:eastAsia="en-US" w:bidi="en-US"/>
        </w:rPr>
        <w:t xml:space="preserve"> in light of the clinical picture observed, </w:t>
      </w:r>
      <w:r w:rsidR="00865F49" w:rsidRPr="00012C3F">
        <w:rPr>
          <w:rFonts w:eastAsia="MS Mincho" w:cs="Arial"/>
          <w:sz w:val="20"/>
          <w:szCs w:val="20"/>
          <w:lang w:val="en-US" w:eastAsia="en-US" w:bidi="en-US"/>
        </w:rPr>
        <w:t>consisting of</w:t>
      </w:r>
      <w:r w:rsidR="009319C4" w:rsidRPr="00012C3F">
        <w:rPr>
          <w:rFonts w:eastAsia="MS Mincho" w:cs="Arial"/>
          <w:sz w:val="20"/>
          <w:szCs w:val="20"/>
          <w:lang w:val="en-US" w:eastAsia="en-US" w:bidi="en-US"/>
        </w:rPr>
        <w:t xml:space="preserve"> the adhesions found and the type of </w:t>
      </w:r>
      <w:r w:rsidR="00865F49" w:rsidRPr="00012C3F">
        <w:rPr>
          <w:rFonts w:eastAsia="MS Mincho" w:cs="Arial"/>
          <w:sz w:val="20"/>
          <w:szCs w:val="20"/>
          <w:lang w:val="en-US" w:eastAsia="en-US" w:bidi="en-US"/>
        </w:rPr>
        <w:t>incision</w:t>
      </w:r>
      <w:r w:rsidR="009319C4" w:rsidRPr="00012C3F">
        <w:rPr>
          <w:rFonts w:eastAsia="MS Mincho" w:cs="Arial"/>
          <w:sz w:val="20"/>
          <w:szCs w:val="20"/>
          <w:lang w:val="en-US" w:eastAsia="en-US" w:bidi="en-US"/>
        </w:rPr>
        <w:t xml:space="preserve"> that had to be made</w:t>
      </w:r>
      <w:r w:rsidR="00865F49" w:rsidRPr="00012C3F">
        <w:rPr>
          <w:rFonts w:eastAsia="MS Mincho" w:cs="Arial"/>
          <w:sz w:val="20"/>
          <w:szCs w:val="20"/>
          <w:lang w:val="en-US" w:eastAsia="en-US" w:bidi="en-US"/>
        </w:rPr>
        <w:t xml:space="preserve"> in the uterus</w:t>
      </w:r>
      <w:r w:rsidR="009319C4" w:rsidRPr="00012C3F">
        <w:rPr>
          <w:rFonts w:eastAsia="MS Mincho" w:cs="Arial"/>
          <w:sz w:val="20"/>
          <w:szCs w:val="20"/>
          <w:lang w:val="en-US" w:eastAsia="en-US" w:bidi="en-US"/>
        </w:rPr>
        <w:t xml:space="preserve">. It indicated that I.V. was informed of these complications, of the risks that another pregnancy would involve, of the benefits of the tubal ligation, and of the existing alternatives, “in a reasonable time, taking into account the circumstances,” and added that the bilateral tubal ligation procedure was performed to safeguard the health and life of the mother </w:t>
      </w:r>
      <w:r w:rsidR="00865F49" w:rsidRPr="00012C3F">
        <w:rPr>
          <w:rFonts w:eastAsia="MS Mincho" w:cs="Arial"/>
          <w:sz w:val="20"/>
          <w:szCs w:val="20"/>
          <w:lang w:val="en-US" w:eastAsia="en-US" w:bidi="en-US"/>
        </w:rPr>
        <w:t>under the assumption</w:t>
      </w:r>
      <w:r w:rsidR="009319C4" w:rsidRPr="00012C3F">
        <w:rPr>
          <w:rFonts w:eastAsia="MS Mincho" w:cs="Arial"/>
          <w:sz w:val="20"/>
          <w:szCs w:val="20"/>
          <w:lang w:val="en-US" w:eastAsia="en-US" w:bidi="en-US"/>
        </w:rPr>
        <w:t xml:space="preserve"> that </w:t>
      </w:r>
      <w:r w:rsidR="00865F49" w:rsidRPr="00012C3F">
        <w:rPr>
          <w:rFonts w:eastAsia="MS Mincho" w:cs="Arial"/>
          <w:sz w:val="20"/>
          <w:szCs w:val="20"/>
          <w:lang w:val="en-US" w:eastAsia="en-US" w:bidi="en-US"/>
        </w:rPr>
        <w:t>she could become pregnant again</w:t>
      </w:r>
      <w:r w:rsidR="009319C4" w:rsidRPr="00012C3F">
        <w:rPr>
          <w:rFonts w:eastAsia="MS Mincho" w:cs="Arial"/>
          <w:sz w:val="20"/>
          <w:szCs w:val="20"/>
          <w:lang w:val="en-US" w:eastAsia="en-US" w:bidi="en-US"/>
        </w:rPr>
        <w:t>. The State argued that I.V. gave her verbal consent</w:t>
      </w:r>
      <w:r w:rsidR="00865F49" w:rsidRPr="00012C3F">
        <w:rPr>
          <w:rFonts w:eastAsia="MS Mincho" w:cs="Arial"/>
          <w:sz w:val="20"/>
          <w:szCs w:val="20"/>
          <w:lang w:val="en-US" w:eastAsia="en-US" w:bidi="en-US"/>
        </w:rPr>
        <w:t xml:space="preserve">, as </w:t>
      </w:r>
      <w:r w:rsidR="009319C4" w:rsidRPr="00012C3F">
        <w:rPr>
          <w:rFonts w:eastAsia="MS Mincho" w:cs="Arial"/>
          <w:sz w:val="20"/>
          <w:szCs w:val="20"/>
          <w:lang w:val="en-US" w:eastAsia="en-US" w:bidi="en-US"/>
        </w:rPr>
        <w:t xml:space="preserve">proved by the statements of the medical team, after </w:t>
      </w:r>
      <w:r w:rsidR="00AD60B7" w:rsidRPr="00012C3F">
        <w:rPr>
          <w:rFonts w:eastAsia="MS Mincho" w:cs="Arial"/>
          <w:sz w:val="20"/>
          <w:szCs w:val="20"/>
          <w:lang w:val="en-US" w:eastAsia="en-US" w:bidi="en-US"/>
        </w:rPr>
        <w:t xml:space="preserve">they had tried </w:t>
      </w:r>
      <w:r w:rsidR="00865F49" w:rsidRPr="00012C3F">
        <w:rPr>
          <w:rFonts w:eastAsia="MS Mincho" w:cs="Arial"/>
          <w:sz w:val="20"/>
          <w:szCs w:val="20"/>
          <w:lang w:val="en-US" w:eastAsia="en-US" w:bidi="en-US"/>
        </w:rPr>
        <w:t xml:space="preserve">unsuccessfully </w:t>
      </w:r>
      <w:r w:rsidR="00AD60B7" w:rsidRPr="00012C3F">
        <w:rPr>
          <w:rFonts w:eastAsia="MS Mincho" w:cs="Arial"/>
          <w:sz w:val="20"/>
          <w:szCs w:val="20"/>
          <w:lang w:val="en-US" w:eastAsia="en-US" w:bidi="en-US"/>
        </w:rPr>
        <w:t>to find her husband to formalize the verbal authorization. The</w:t>
      </w:r>
      <w:r w:rsidR="00865F49" w:rsidRPr="00012C3F">
        <w:rPr>
          <w:rFonts w:eastAsia="MS Mincho" w:cs="Arial"/>
          <w:sz w:val="20"/>
          <w:szCs w:val="20"/>
          <w:lang w:val="en-US" w:eastAsia="en-US" w:bidi="en-US"/>
        </w:rPr>
        <w:t xml:space="preserve"> </w:t>
      </w:r>
      <w:r w:rsidR="00AD60B7" w:rsidRPr="00012C3F">
        <w:rPr>
          <w:rFonts w:eastAsia="MS Mincho" w:cs="Arial"/>
          <w:sz w:val="20"/>
          <w:szCs w:val="20"/>
          <w:lang w:val="en-US" w:eastAsia="en-US" w:bidi="en-US"/>
        </w:rPr>
        <w:t>State added that: (i) nothing revealed that I.V.’s cognitive faculty was impaired in a way that would have prevented her understanding the situation; during the operation, she did not suffer surgical stress; the administration of an epidural anesthesia would not</w:t>
      </w:r>
      <w:r w:rsidR="00865F49" w:rsidRPr="00012C3F">
        <w:rPr>
          <w:rFonts w:eastAsia="MS Mincho" w:cs="Arial"/>
          <w:sz w:val="20"/>
          <w:szCs w:val="20"/>
          <w:lang w:val="en-US" w:eastAsia="en-US" w:bidi="en-US"/>
        </w:rPr>
        <w:t xml:space="preserve"> have</w:t>
      </w:r>
      <w:r w:rsidR="00AD60B7" w:rsidRPr="00012C3F">
        <w:rPr>
          <w:rFonts w:eastAsia="MS Mincho" w:cs="Arial"/>
          <w:sz w:val="20"/>
          <w:szCs w:val="20"/>
          <w:lang w:val="en-US" w:eastAsia="en-US" w:bidi="en-US"/>
        </w:rPr>
        <w:t xml:space="preserve"> inhibit</w:t>
      </w:r>
      <w:r w:rsidR="00865F49" w:rsidRPr="00012C3F">
        <w:rPr>
          <w:rFonts w:eastAsia="MS Mincho" w:cs="Arial"/>
          <w:sz w:val="20"/>
          <w:szCs w:val="20"/>
          <w:lang w:val="en-US" w:eastAsia="en-US" w:bidi="en-US"/>
        </w:rPr>
        <w:t>ed</w:t>
      </w:r>
      <w:r w:rsidR="00AD60B7" w:rsidRPr="00012C3F">
        <w:rPr>
          <w:rFonts w:eastAsia="MS Mincho" w:cs="Arial"/>
          <w:sz w:val="20"/>
          <w:szCs w:val="20"/>
          <w:lang w:val="en-US" w:eastAsia="en-US" w:bidi="en-US"/>
        </w:rPr>
        <w:t xml:space="preserve"> her from understanding, and I.V. had full use of her intellectual capacity; (ii) in addition, there was no indication that the information provided to the patient had been misleading or distorted or that the health </w:t>
      </w:r>
      <w:r w:rsidR="00865F49" w:rsidRPr="00012C3F">
        <w:rPr>
          <w:rFonts w:eastAsia="MS Mincho" w:cs="Arial"/>
          <w:sz w:val="20"/>
          <w:szCs w:val="20"/>
          <w:lang w:val="en-US" w:eastAsia="en-US" w:bidi="en-US"/>
        </w:rPr>
        <w:t>personnel</w:t>
      </w:r>
      <w:r w:rsidR="00AD60B7" w:rsidRPr="00012C3F">
        <w:rPr>
          <w:rFonts w:eastAsia="MS Mincho" w:cs="Arial"/>
          <w:sz w:val="20"/>
          <w:szCs w:val="20"/>
          <w:lang w:val="en-US" w:eastAsia="en-US" w:bidi="en-US"/>
        </w:rPr>
        <w:t xml:space="preserve"> had exerted any kind of pressure, so that the verbal consent was provided freely by the patient on understanding that a new pregnancy would endanger her life, and (iii) owing to the circumstances of the case, it was not possible to apply the rules of written consent, and its absence did not signify the absence of consent and, in particular, a</w:t>
      </w:r>
      <w:r w:rsidR="008F5266" w:rsidRPr="00012C3F">
        <w:rPr>
          <w:rFonts w:eastAsia="MS Mincho" w:cs="Arial"/>
          <w:sz w:val="20"/>
          <w:szCs w:val="20"/>
          <w:lang w:val="en-US" w:eastAsia="en-US" w:bidi="en-US"/>
        </w:rPr>
        <w:t xml:space="preserve"> forced sterilization</w:t>
      </w:r>
      <w:r w:rsidR="00AD60B7" w:rsidRPr="00012C3F">
        <w:rPr>
          <w:rFonts w:eastAsia="MS Mincho" w:cs="Arial"/>
          <w:sz w:val="20"/>
          <w:szCs w:val="20"/>
          <w:lang w:val="en-US" w:eastAsia="en-US" w:bidi="en-US"/>
        </w:rPr>
        <w:t xml:space="preserve">. Therefore, the State considered that </w:t>
      </w:r>
      <w:r w:rsidR="00C12F6C" w:rsidRPr="00012C3F">
        <w:rPr>
          <w:rFonts w:eastAsia="MS Mincho" w:cs="Arial"/>
          <w:sz w:val="20"/>
          <w:szCs w:val="20"/>
          <w:lang w:val="en-US" w:eastAsia="en-US" w:bidi="en-US"/>
        </w:rPr>
        <w:t>the actions complied with the basic parameters of a process of</w:t>
      </w:r>
      <w:r w:rsidR="00C12F6C" w:rsidRPr="00012C3F">
        <w:rPr>
          <w:rFonts w:eastAsia="MS Mincho"/>
          <w:sz w:val="20"/>
          <w:szCs w:val="20"/>
          <w:lang w:val="en-US" w:eastAsia="en-US" w:bidi="en-US"/>
        </w:rPr>
        <w:t xml:space="preserve"> </w:t>
      </w:r>
      <w:r w:rsidR="00AC0004" w:rsidRPr="00012C3F">
        <w:rPr>
          <w:rFonts w:eastAsia="MS Mincho" w:cs="Arial"/>
          <w:sz w:val="20"/>
          <w:szCs w:val="20"/>
          <w:lang w:val="en-US" w:eastAsia="en-US" w:bidi="en-US"/>
        </w:rPr>
        <w:t>informed consent</w:t>
      </w:r>
      <w:r w:rsidR="00DD2A3F" w:rsidRPr="00012C3F">
        <w:rPr>
          <w:rFonts w:eastAsia="MS Mincho" w:cs="Arial"/>
          <w:sz w:val="20"/>
          <w:szCs w:val="20"/>
          <w:lang w:val="en-US" w:eastAsia="en-US" w:bidi="en-US"/>
        </w:rPr>
        <w:t>.</w:t>
      </w:r>
      <w:r w:rsidR="004B2395" w:rsidRPr="00012C3F">
        <w:rPr>
          <w:rFonts w:eastAsia="MS Mincho" w:cs="Arial"/>
          <w:sz w:val="20"/>
          <w:szCs w:val="20"/>
          <w:lang w:val="en-US" w:eastAsia="en-US" w:bidi="en-US"/>
        </w:rPr>
        <w:t xml:space="preserve"> </w:t>
      </w:r>
    </w:p>
    <w:p w14:paraId="6EE4509E" w14:textId="77777777" w:rsidR="004B2395" w:rsidRPr="00012C3F" w:rsidRDefault="004B2395" w:rsidP="00C12F6C">
      <w:pPr>
        <w:tabs>
          <w:tab w:val="left" w:pos="720"/>
        </w:tabs>
        <w:spacing w:line="240" w:lineRule="auto"/>
        <w:rPr>
          <w:rFonts w:eastAsia="MS Mincho"/>
          <w:sz w:val="20"/>
          <w:szCs w:val="20"/>
          <w:lang w:val="en-US" w:eastAsia="en-US" w:bidi="en-US"/>
        </w:rPr>
      </w:pPr>
    </w:p>
    <w:p w14:paraId="47F5C1CC" w14:textId="77777777" w:rsidR="004B2395" w:rsidRPr="00012C3F" w:rsidRDefault="00242C27" w:rsidP="00035A18">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cs="Arial"/>
          <w:sz w:val="20"/>
          <w:szCs w:val="20"/>
          <w:lang w:val="en-US" w:eastAsia="en-US" w:bidi="en-US"/>
        </w:rPr>
        <w:t>Additionally</w:t>
      </w:r>
      <w:r w:rsidR="004B2395" w:rsidRPr="00012C3F">
        <w:rPr>
          <w:rFonts w:eastAsia="MS Mincho" w:cs="Arial"/>
          <w:sz w:val="20"/>
          <w:szCs w:val="20"/>
          <w:lang w:val="en-US" w:eastAsia="en-US" w:bidi="en-US"/>
        </w:rPr>
        <w:t>,</w:t>
      </w:r>
      <w:r w:rsidRPr="00012C3F">
        <w:rPr>
          <w:rFonts w:eastAsia="MS Mincho" w:cs="Arial"/>
          <w:sz w:val="20"/>
          <w:szCs w:val="20"/>
          <w:lang w:val="en-US" w:eastAsia="en-US" w:bidi="en-US"/>
        </w:rPr>
        <w:t xml:space="preserve"> following the</w:t>
      </w:r>
      <w:r w:rsidR="004B2395" w:rsidRPr="00012C3F">
        <w:rPr>
          <w:rFonts w:eastAsia="MS Mincho" w:cs="Arial"/>
          <w:sz w:val="20"/>
          <w:szCs w:val="20"/>
          <w:lang w:val="en-US" w:eastAsia="en-US" w:bidi="en-US"/>
        </w:rPr>
        <w:t xml:space="preserve"> </w:t>
      </w:r>
      <w:r w:rsidR="00B257AF" w:rsidRPr="00012C3F">
        <w:rPr>
          <w:rFonts w:eastAsia="MS Mincho" w:cs="Arial"/>
          <w:sz w:val="20"/>
          <w:szCs w:val="20"/>
          <w:lang w:val="en-US" w:eastAsia="en-US" w:bidi="en-US"/>
        </w:rPr>
        <w:t>public hearing</w:t>
      </w:r>
      <w:r w:rsidR="004B2395" w:rsidRPr="00012C3F">
        <w:rPr>
          <w:rFonts w:eastAsia="MS Mincho" w:cs="Arial"/>
          <w:sz w:val="20"/>
          <w:szCs w:val="20"/>
          <w:lang w:val="en-US" w:eastAsia="en-US" w:bidi="en-US"/>
        </w:rPr>
        <w:t xml:space="preserve"> </w:t>
      </w:r>
      <w:r w:rsidRPr="00012C3F">
        <w:rPr>
          <w:rFonts w:eastAsia="MS Mincho" w:cs="Arial"/>
          <w:sz w:val="20"/>
          <w:szCs w:val="20"/>
          <w:lang w:val="en-US" w:eastAsia="en-US" w:bidi="en-US"/>
        </w:rPr>
        <w:t xml:space="preserve">of the case and in its final written arguments, the State indicated that, although it was </w:t>
      </w:r>
      <w:r w:rsidR="00865F49" w:rsidRPr="00012C3F">
        <w:rPr>
          <w:rFonts w:eastAsia="MS Mincho" w:cs="Arial"/>
          <w:sz w:val="20"/>
          <w:szCs w:val="20"/>
          <w:lang w:val="en-US" w:eastAsia="en-US" w:bidi="en-US"/>
        </w:rPr>
        <w:t>admissible</w:t>
      </w:r>
      <w:r w:rsidRPr="00012C3F">
        <w:rPr>
          <w:rFonts w:eastAsia="MS Mincho" w:cs="Arial"/>
          <w:sz w:val="20"/>
          <w:szCs w:val="20"/>
          <w:lang w:val="en-US" w:eastAsia="en-US" w:bidi="en-US"/>
        </w:rPr>
        <w:t xml:space="preserve"> for the Court to incorporate the elements of prior, free and informed consent in the interpretation of the provisions of the Convention, it would be legally incorrect to apply retroactively </w:t>
      </w:r>
      <w:r w:rsidR="00865F49" w:rsidRPr="00012C3F">
        <w:rPr>
          <w:rFonts w:eastAsia="MS Mincho" w:cs="Arial"/>
          <w:sz w:val="20"/>
          <w:szCs w:val="20"/>
          <w:lang w:val="en-US" w:eastAsia="en-US" w:bidi="en-US"/>
        </w:rPr>
        <w:t xml:space="preserve">elements </w:t>
      </w:r>
      <w:r w:rsidRPr="00012C3F">
        <w:rPr>
          <w:rFonts w:eastAsia="MS Mincho" w:cs="Arial"/>
          <w:sz w:val="20"/>
          <w:szCs w:val="20"/>
          <w:lang w:val="en-US" w:eastAsia="en-US" w:bidi="en-US"/>
        </w:rPr>
        <w:t xml:space="preserve">that not only did not exist in international law at the time of the facts, but whose complete development </w:t>
      </w:r>
      <w:r w:rsidR="00865F49" w:rsidRPr="00012C3F">
        <w:rPr>
          <w:rFonts w:eastAsia="MS Mincho" w:cs="Arial"/>
          <w:sz w:val="20"/>
          <w:szCs w:val="20"/>
          <w:lang w:val="en-US" w:eastAsia="en-US" w:bidi="en-US"/>
        </w:rPr>
        <w:t>stems</w:t>
      </w:r>
      <w:r w:rsidRPr="00012C3F">
        <w:rPr>
          <w:rFonts w:eastAsia="MS Mincho" w:cs="Arial"/>
          <w:sz w:val="20"/>
          <w:szCs w:val="20"/>
          <w:lang w:val="en-US" w:eastAsia="en-US" w:bidi="en-US"/>
        </w:rPr>
        <w:t xml:space="preserve"> from instruments that are non-binding for the State. Furthermore, it indicated that I.V.’s consent was obtained in accordance with the standards that were in force at the time, which did not require, for example, that th</w:t>
      </w:r>
      <w:r w:rsidR="00865F49" w:rsidRPr="00012C3F">
        <w:rPr>
          <w:rFonts w:eastAsia="MS Mincho" w:cs="Arial"/>
          <w:sz w:val="20"/>
          <w:szCs w:val="20"/>
          <w:lang w:val="en-US" w:eastAsia="en-US" w:bidi="en-US"/>
        </w:rPr>
        <w:t>is was</w:t>
      </w:r>
      <w:r w:rsidRPr="00012C3F">
        <w:rPr>
          <w:rFonts w:eastAsia="MS Mincho" w:cs="Arial"/>
          <w:sz w:val="20"/>
          <w:szCs w:val="20"/>
          <w:lang w:val="en-US" w:eastAsia="en-US" w:bidi="en-US"/>
        </w:rPr>
        <w:t xml:space="preserve"> written or that the health personnel should inform the patient of alternative methods. It indicated that, even </w:t>
      </w:r>
      <w:r w:rsidR="00865F49" w:rsidRPr="00012C3F">
        <w:rPr>
          <w:rFonts w:eastAsia="MS Mincho" w:cs="Arial"/>
          <w:sz w:val="20"/>
          <w:szCs w:val="20"/>
          <w:lang w:val="en-US" w:eastAsia="en-US" w:bidi="en-US"/>
        </w:rPr>
        <w:t>based on</w:t>
      </w:r>
      <w:r w:rsidRPr="00012C3F">
        <w:rPr>
          <w:rFonts w:eastAsia="MS Mincho" w:cs="Arial"/>
          <w:sz w:val="20"/>
          <w:szCs w:val="20"/>
          <w:lang w:val="en-US" w:eastAsia="en-US" w:bidi="en-US"/>
        </w:rPr>
        <w:t xml:space="preserve"> the 1994 WHO document </w:t>
      </w:r>
      <w:r w:rsidR="004B2395" w:rsidRPr="00012C3F">
        <w:rPr>
          <w:rFonts w:eastAsia="MS Mincho"/>
          <w:sz w:val="20"/>
          <w:szCs w:val="20"/>
          <w:lang w:val="en-US" w:eastAsia="en-US" w:bidi="en-US"/>
        </w:rPr>
        <w:t>“</w:t>
      </w:r>
      <w:r w:rsidR="00BD3B0B" w:rsidRPr="00012C3F">
        <w:rPr>
          <w:rFonts w:eastAsia="MS Mincho"/>
          <w:sz w:val="20"/>
          <w:szCs w:val="20"/>
          <w:lang w:val="en-US" w:eastAsia="en-US" w:bidi="en-US"/>
        </w:rPr>
        <w:t>Female sterilization: a guide to provision of services</w:t>
      </w:r>
      <w:r w:rsidRPr="00012C3F">
        <w:rPr>
          <w:rFonts w:eastAsia="MS Mincho"/>
          <w:sz w:val="20"/>
          <w:szCs w:val="20"/>
          <w:lang w:val="en-US" w:eastAsia="en-US" w:bidi="en-US"/>
        </w:rPr>
        <w:t>,</w:t>
      </w:r>
      <w:r w:rsidR="004B2395" w:rsidRPr="00012C3F">
        <w:rPr>
          <w:rFonts w:eastAsia="MS Mincho"/>
          <w:sz w:val="20"/>
          <w:szCs w:val="20"/>
          <w:lang w:val="en-US" w:eastAsia="en-US" w:bidi="en-US"/>
        </w:rPr>
        <w:t>”</w:t>
      </w:r>
      <w:r w:rsidRPr="00012C3F">
        <w:rPr>
          <w:rFonts w:eastAsia="MS Mincho"/>
          <w:sz w:val="20"/>
          <w:szCs w:val="20"/>
          <w:lang w:val="en-US" w:eastAsia="en-US" w:bidi="en-US"/>
        </w:rPr>
        <w:t xml:space="preserve"> the standard</w:t>
      </w:r>
      <w:r w:rsidR="00865F49" w:rsidRPr="00012C3F">
        <w:rPr>
          <w:rFonts w:eastAsia="MS Mincho"/>
          <w:sz w:val="20"/>
          <w:szCs w:val="20"/>
          <w:lang w:val="en-US" w:eastAsia="en-US" w:bidi="en-US"/>
        </w:rPr>
        <w:t>, in 2000,</w:t>
      </w:r>
      <w:r w:rsidRPr="00012C3F">
        <w:rPr>
          <w:rFonts w:eastAsia="MS Mincho"/>
          <w:sz w:val="20"/>
          <w:szCs w:val="20"/>
          <w:lang w:val="en-US" w:eastAsia="en-US" w:bidi="en-US"/>
        </w:rPr>
        <w:t xml:space="preserve"> was that</w:t>
      </w:r>
      <w:r w:rsidR="00006405" w:rsidRPr="00012C3F">
        <w:rPr>
          <w:rFonts w:eastAsia="MS Mincho"/>
          <w:sz w:val="20"/>
          <w:szCs w:val="20"/>
          <w:lang w:val="en-US" w:eastAsia="en-US" w:bidi="en-US"/>
        </w:rPr>
        <w:t>,</w:t>
      </w:r>
      <w:r w:rsidRPr="00012C3F">
        <w:rPr>
          <w:rFonts w:eastAsia="MS Mincho"/>
          <w:sz w:val="20"/>
          <w:szCs w:val="20"/>
          <w:lang w:val="en-US" w:eastAsia="en-US" w:bidi="en-US"/>
        </w:rPr>
        <w:t xml:space="preserve"> in cases such as that of I.V., the doctor could perform sterilization even without the patient’s consent, although this was exceptional </w:t>
      </w:r>
      <w:r w:rsidR="00006405" w:rsidRPr="00012C3F">
        <w:rPr>
          <w:rFonts w:eastAsia="MS Mincho"/>
          <w:sz w:val="20"/>
          <w:szCs w:val="20"/>
          <w:lang w:val="en-US" w:eastAsia="en-US" w:bidi="en-US"/>
        </w:rPr>
        <w:t xml:space="preserve">and </w:t>
      </w:r>
      <w:r w:rsidRPr="00012C3F">
        <w:rPr>
          <w:rFonts w:eastAsia="MS Mincho"/>
          <w:sz w:val="20"/>
          <w:szCs w:val="20"/>
          <w:lang w:val="en-US" w:eastAsia="en-US" w:bidi="en-US"/>
        </w:rPr>
        <w:t xml:space="preserve">when the sterilization arose from a medical indication and there </w:t>
      </w:r>
      <w:r w:rsidR="00035A18" w:rsidRPr="00012C3F">
        <w:rPr>
          <w:rFonts w:eastAsia="MS Mincho"/>
          <w:sz w:val="20"/>
          <w:szCs w:val="20"/>
          <w:lang w:val="en-US" w:eastAsia="en-US" w:bidi="en-US"/>
        </w:rPr>
        <w:t>were</w:t>
      </w:r>
      <w:r w:rsidRPr="00012C3F">
        <w:rPr>
          <w:rFonts w:eastAsia="MS Mincho"/>
          <w:sz w:val="20"/>
          <w:szCs w:val="20"/>
          <w:lang w:val="en-US" w:eastAsia="en-US" w:bidi="en-US"/>
        </w:rPr>
        <w:t xml:space="preserve"> reasonable and non-arbitrary </w:t>
      </w:r>
      <w:r w:rsidR="00035A18" w:rsidRPr="00012C3F">
        <w:rPr>
          <w:rFonts w:eastAsia="MS Mincho"/>
          <w:sz w:val="20"/>
          <w:szCs w:val="20"/>
          <w:lang w:val="en-US" w:eastAsia="en-US" w:bidi="en-US"/>
        </w:rPr>
        <w:t xml:space="preserve">criteria </w:t>
      </w:r>
      <w:r w:rsidR="00035A18" w:rsidRPr="00012C3F">
        <w:rPr>
          <w:rFonts w:eastAsia="MS Mincho"/>
          <w:sz w:val="20"/>
          <w:szCs w:val="20"/>
          <w:lang w:val="en-US" w:eastAsia="en-US" w:bidi="en-US"/>
        </w:rPr>
        <w:lastRenderedPageBreak/>
        <w:t>that there was a high probability that a further pregnancy would have fatal consequences</w:t>
      </w:r>
      <w:r w:rsidR="0076681C" w:rsidRPr="00012C3F">
        <w:rPr>
          <w:rFonts w:eastAsia="MS Mincho"/>
          <w:sz w:val="20"/>
          <w:szCs w:val="20"/>
          <w:lang w:val="en-US" w:eastAsia="en-US" w:bidi="en-US"/>
        </w:rPr>
        <w:t>.</w:t>
      </w:r>
      <w:r w:rsidR="0076681C" w:rsidRPr="00012C3F">
        <w:rPr>
          <w:rFonts w:eastAsia="MS Mincho"/>
          <w:b/>
          <w:sz w:val="16"/>
          <w:szCs w:val="16"/>
          <w:lang w:val="en-US" w:eastAsia="en-US" w:bidi="en-US"/>
        </w:rPr>
        <w:t xml:space="preserve"> </w:t>
      </w:r>
      <w:r w:rsidR="00A84CA0" w:rsidRPr="00012C3F">
        <w:rPr>
          <w:rFonts w:eastAsia="MS Mincho"/>
          <w:sz w:val="20"/>
          <w:szCs w:val="20"/>
          <w:lang w:val="en-US" w:eastAsia="en-US" w:bidi="en-US"/>
        </w:rPr>
        <w:t>The State</w:t>
      </w:r>
      <w:r w:rsidR="004B2395" w:rsidRPr="00012C3F">
        <w:rPr>
          <w:rFonts w:eastAsia="MS Mincho"/>
          <w:sz w:val="20"/>
          <w:szCs w:val="20"/>
          <w:lang w:val="en-US" w:eastAsia="en-US" w:bidi="en-US"/>
        </w:rPr>
        <w:t xml:space="preserve"> argu</w:t>
      </w:r>
      <w:r w:rsidR="00035A18" w:rsidRPr="00012C3F">
        <w:rPr>
          <w:rFonts w:eastAsia="MS Mincho"/>
          <w:sz w:val="20"/>
          <w:szCs w:val="20"/>
          <w:lang w:val="en-US" w:eastAsia="en-US" w:bidi="en-US"/>
        </w:rPr>
        <w:t xml:space="preserve">ed that, even though the standards authorized the doctor to perform sterilization without </w:t>
      </w:r>
      <w:r w:rsidR="00006405" w:rsidRPr="00012C3F">
        <w:rPr>
          <w:rFonts w:eastAsia="MS Mincho"/>
          <w:sz w:val="20"/>
          <w:szCs w:val="20"/>
          <w:lang w:val="en-US" w:eastAsia="en-US" w:bidi="en-US"/>
        </w:rPr>
        <w:t>I.V.’s</w:t>
      </w:r>
      <w:r w:rsidR="00035A18" w:rsidRPr="00012C3F">
        <w:rPr>
          <w:rFonts w:eastAsia="MS Mincho"/>
          <w:sz w:val="20"/>
          <w:szCs w:val="20"/>
          <w:lang w:val="en-US" w:eastAsia="en-US" w:bidi="en-US"/>
        </w:rPr>
        <w:t xml:space="preserve"> consent, he had asked for this in a prior, free and informed manner. The State alleged that</w:t>
      </w:r>
      <w:r w:rsidR="00006405" w:rsidRPr="00012C3F">
        <w:rPr>
          <w:rFonts w:eastAsia="MS Mincho"/>
          <w:sz w:val="20"/>
          <w:szCs w:val="20"/>
          <w:lang w:val="en-US" w:eastAsia="en-US" w:bidi="en-US"/>
        </w:rPr>
        <w:t>, now,</w:t>
      </w:r>
      <w:r w:rsidR="00035A18" w:rsidRPr="00012C3F">
        <w:rPr>
          <w:rFonts w:eastAsia="MS Mincho"/>
          <w:sz w:val="20"/>
          <w:szCs w:val="20"/>
          <w:lang w:val="en-US" w:eastAsia="en-US" w:bidi="en-US"/>
        </w:rPr>
        <w:t xml:space="preserve"> it has various documents, including  the 2008 “Protocol to obtain </w:t>
      </w:r>
      <w:r w:rsidR="00AC0004" w:rsidRPr="00012C3F">
        <w:rPr>
          <w:rFonts w:eastAsia="MS Mincho"/>
          <w:sz w:val="20"/>
          <w:szCs w:val="20"/>
          <w:lang w:val="en-US" w:eastAsia="en-US" w:bidi="en-US"/>
        </w:rPr>
        <w:t>informed consent</w:t>
      </w:r>
      <w:r w:rsidR="00035A18" w:rsidRPr="00012C3F">
        <w:rPr>
          <w:rFonts w:eastAsia="MS Mincho"/>
          <w:sz w:val="20"/>
          <w:szCs w:val="20"/>
          <w:lang w:val="en-US" w:eastAsia="en-US" w:bidi="en-US"/>
        </w:rPr>
        <w:t>,</w:t>
      </w:r>
      <w:r w:rsidR="00CB635A" w:rsidRPr="00012C3F">
        <w:rPr>
          <w:rFonts w:eastAsia="MS Mincho"/>
          <w:sz w:val="20"/>
          <w:szCs w:val="20"/>
          <w:lang w:val="en-US" w:eastAsia="en-US" w:bidi="en-US"/>
        </w:rPr>
        <w:t>”</w:t>
      </w:r>
      <w:r w:rsidR="004B2395" w:rsidRPr="00012C3F">
        <w:rPr>
          <w:rFonts w:eastAsia="MS Mincho"/>
          <w:sz w:val="20"/>
          <w:szCs w:val="20"/>
          <w:lang w:val="en-US" w:eastAsia="en-US" w:bidi="en-US"/>
        </w:rPr>
        <w:t xml:space="preserve"> </w:t>
      </w:r>
      <w:r w:rsidR="00035A18" w:rsidRPr="00012C3F">
        <w:rPr>
          <w:rFonts w:eastAsia="MS Mincho"/>
          <w:sz w:val="20"/>
          <w:szCs w:val="20"/>
          <w:lang w:val="en-US" w:eastAsia="en-US" w:bidi="en-US"/>
        </w:rPr>
        <w:t xml:space="preserve">which have incorporated the </w:t>
      </w:r>
      <w:r w:rsidR="00006405" w:rsidRPr="00012C3F">
        <w:rPr>
          <w:rFonts w:eastAsia="MS Mincho"/>
          <w:sz w:val="20"/>
          <w:szCs w:val="20"/>
          <w:lang w:val="en-US" w:eastAsia="en-US" w:bidi="en-US"/>
        </w:rPr>
        <w:t xml:space="preserve">relevant </w:t>
      </w:r>
      <w:r w:rsidR="00035A18" w:rsidRPr="00012C3F">
        <w:rPr>
          <w:rFonts w:eastAsia="MS Mincho"/>
          <w:sz w:val="20"/>
          <w:szCs w:val="20"/>
          <w:lang w:val="en-US" w:eastAsia="en-US" w:bidi="en-US"/>
        </w:rPr>
        <w:t>standards of international law, as it has evolved over the years.</w:t>
      </w:r>
    </w:p>
    <w:p w14:paraId="3A188773" w14:textId="77777777" w:rsidR="004B2395" w:rsidRPr="00012C3F" w:rsidRDefault="004B2395" w:rsidP="004B2395">
      <w:pPr>
        <w:widowControl/>
        <w:autoSpaceDE w:val="0"/>
        <w:autoSpaceDN w:val="0"/>
        <w:spacing w:line="240" w:lineRule="auto"/>
        <w:ind w:left="851"/>
        <w:textAlignment w:val="auto"/>
        <w:outlineLvl w:val="2"/>
        <w:rPr>
          <w:rFonts w:eastAsia="Calibri" w:cs="Arial"/>
          <w:i/>
          <w:sz w:val="20"/>
          <w:szCs w:val="20"/>
          <w:lang w:val="en-US" w:eastAsia="en-US"/>
        </w:rPr>
      </w:pPr>
    </w:p>
    <w:p w14:paraId="5A112689" w14:textId="77777777" w:rsidR="004B2395" w:rsidRPr="00012C3F" w:rsidRDefault="004B2395" w:rsidP="001F033C">
      <w:pPr>
        <w:pStyle w:val="Ttulo3"/>
        <w:tabs>
          <w:tab w:val="left" w:pos="2552"/>
        </w:tabs>
        <w:ind w:left="1701"/>
        <w:rPr>
          <w:rFonts w:eastAsia="MS Mincho" w:cs="Arial"/>
          <w:b w:val="0"/>
          <w:i/>
          <w:spacing w:val="0"/>
          <w:lang w:val="en-US" w:eastAsia="en-US"/>
        </w:rPr>
      </w:pPr>
      <w:bookmarkStart w:id="119" w:name="_Toc445290344"/>
      <w:bookmarkStart w:id="120" w:name="_Toc27486856"/>
      <w:r w:rsidRPr="00012C3F">
        <w:rPr>
          <w:rFonts w:eastAsia="MS Mincho" w:cs="Arial"/>
          <w:b w:val="0"/>
          <w:i/>
          <w:spacing w:val="0"/>
          <w:lang w:val="en-US" w:eastAsia="en-US"/>
        </w:rPr>
        <w:t xml:space="preserve">A.2.b </w:t>
      </w:r>
      <w:r w:rsidR="001F033C" w:rsidRPr="00012C3F">
        <w:rPr>
          <w:rFonts w:eastAsia="MS Mincho" w:cs="Arial"/>
          <w:b w:val="0"/>
          <w:i/>
          <w:spacing w:val="0"/>
          <w:lang w:val="en-US" w:eastAsia="en-US"/>
        </w:rPr>
        <w:tab/>
      </w:r>
      <w:r w:rsidR="006C705C" w:rsidRPr="00012C3F">
        <w:rPr>
          <w:rFonts w:eastAsia="MS Mincho" w:cs="Arial"/>
          <w:b w:val="0"/>
          <w:i/>
          <w:spacing w:val="0"/>
          <w:lang w:val="en-US" w:eastAsia="en-US"/>
        </w:rPr>
        <w:t>The right to know the truth</w:t>
      </w:r>
      <w:bookmarkEnd w:id="119"/>
      <w:bookmarkEnd w:id="120"/>
    </w:p>
    <w:p w14:paraId="5F0034DA" w14:textId="77777777" w:rsidR="004B2395" w:rsidRPr="00012C3F" w:rsidRDefault="004B2395" w:rsidP="004B2395">
      <w:pPr>
        <w:widowControl/>
        <w:autoSpaceDE w:val="0"/>
        <w:autoSpaceDN w:val="0"/>
        <w:spacing w:line="240" w:lineRule="auto"/>
        <w:textAlignment w:val="auto"/>
        <w:rPr>
          <w:rFonts w:eastAsia="Calibri" w:cs="Arial"/>
          <w:sz w:val="20"/>
          <w:szCs w:val="20"/>
          <w:lang w:val="en-US" w:eastAsia="en-US"/>
        </w:rPr>
      </w:pPr>
    </w:p>
    <w:p w14:paraId="25F87C4B" w14:textId="77777777" w:rsidR="004B2395" w:rsidRPr="00012C3F" w:rsidRDefault="00972ACF" w:rsidP="00DF3B7C">
      <w:pPr>
        <w:numPr>
          <w:ilvl w:val="0"/>
          <w:numId w:val="5"/>
        </w:numPr>
        <w:tabs>
          <w:tab w:val="left" w:pos="720"/>
          <w:tab w:val="num" w:pos="12305"/>
        </w:tabs>
        <w:spacing w:line="240" w:lineRule="auto"/>
        <w:ind w:left="0" w:firstLine="0"/>
        <w:rPr>
          <w:rFonts w:eastAsia="Calibri" w:cs="Arial"/>
          <w:b/>
          <w:sz w:val="16"/>
          <w:szCs w:val="20"/>
          <w:lang w:val="en-US" w:eastAsia="en-US"/>
        </w:rPr>
      </w:pPr>
      <w:r w:rsidRPr="00012C3F">
        <w:rPr>
          <w:rFonts w:eastAsia="Batang"/>
          <w:sz w:val="20"/>
          <w:lang w:val="en-US"/>
        </w:rPr>
        <w:t xml:space="preserve">The </w:t>
      </w:r>
      <w:r w:rsidRPr="00012C3F">
        <w:rPr>
          <w:rFonts w:eastAsia="Batang"/>
          <w:b/>
          <w:bCs/>
          <w:i/>
          <w:iCs/>
          <w:sz w:val="20"/>
          <w:lang w:val="en-US"/>
        </w:rPr>
        <w:t>representative</w:t>
      </w:r>
      <w:r w:rsidR="004B2395" w:rsidRPr="00012C3F">
        <w:rPr>
          <w:rFonts w:eastAsia="Calibri" w:cs="Arial"/>
          <w:b/>
          <w:sz w:val="20"/>
          <w:szCs w:val="20"/>
          <w:lang w:val="en-US" w:eastAsia="en-US"/>
        </w:rPr>
        <w:t xml:space="preserve"> </w:t>
      </w:r>
      <w:r w:rsidR="00035A18" w:rsidRPr="00012C3F">
        <w:rPr>
          <w:rFonts w:eastAsia="Calibri" w:cs="Arial"/>
          <w:sz w:val="20"/>
          <w:szCs w:val="20"/>
          <w:lang w:val="en-US" w:eastAsia="en-US"/>
        </w:rPr>
        <w:t>asserted that the State’s assertions that seek to show that I.V. was consulted in the peri-operati</w:t>
      </w:r>
      <w:r w:rsidR="00F45F54" w:rsidRPr="00012C3F">
        <w:rPr>
          <w:rFonts w:eastAsia="Calibri" w:cs="Arial"/>
          <w:sz w:val="20"/>
          <w:szCs w:val="20"/>
          <w:lang w:val="en-US" w:eastAsia="en-US"/>
        </w:rPr>
        <w:t>ve</w:t>
      </w:r>
      <w:r w:rsidR="00035A18" w:rsidRPr="00012C3F">
        <w:rPr>
          <w:rFonts w:eastAsia="Calibri" w:cs="Arial"/>
          <w:sz w:val="20"/>
          <w:szCs w:val="20"/>
          <w:lang w:val="en-US" w:eastAsia="en-US"/>
        </w:rPr>
        <w:t xml:space="preserve"> period and that, in July 2000, the prior, written, free and informed consent of the patient who was going to be subjected to a tubal ligation was not required, </w:t>
      </w:r>
      <w:r w:rsidR="00F45F54" w:rsidRPr="00012C3F">
        <w:rPr>
          <w:rFonts w:eastAsia="Calibri" w:cs="Arial"/>
          <w:sz w:val="20"/>
          <w:szCs w:val="20"/>
          <w:lang w:val="en-US" w:eastAsia="en-US"/>
        </w:rPr>
        <w:t>we</w:t>
      </w:r>
      <w:r w:rsidR="00035A18" w:rsidRPr="00012C3F">
        <w:rPr>
          <w:rFonts w:eastAsia="Calibri" w:cs="Arial"/>
          <w:sz w:val="20"/>
          <w:szCs w:val="20"/>
          <w:lang w:val="en-US" w:eastAsia="en-US"/>
        </w:rPr>
        <w:t xml:space="preserve">re erroneous. </w:t>
      </w:r>
      <w:r w:rsidR="00F45F54" w:rsidRPr="00012C3F">
        <w:rPr>
          <w:rFonts w:eastAsia="Calibri" w:cs="Arial"/>
          <w:sz w:val="20"/>
          <w:szCs w:val="20"/>
          <w:lang w:val="en-US" w:eastAsia="en-US"/>
        </w:rPr>
        <w:t>She</w:t>
      </w:r>
      <w:r w:rsidR="00035A18" w:rsidRPr="00012C3F">
        <w:rPr>
          <w:rFonts w:eastAsia="Calibri" w:cs="Arial"/>
          <w:sz w:val="20"/>
          <w:szCs w:val="20"/>
          <w:lang w:val="en-US" w:eastAsia="en-US"/>
        </w:rPr>
        <w:t xml:space="preserve"> </w:t>
      </w:r>
      <w:r w:rsidR="00F45F54" w:rsidRPr="00012C3F">
        <w:rPr>
          <w:rFonts w:eastAsia="Calibri" w:cs="Arial"/>
          <w:sz w:val="20"/>
          <w:szCs w:val="20"/>
          <w:lang w:val="en-US" w:eastAsia="en-US"/>
        </w:rPr>
        <w:t>argued</w:t>
      </w:r>
      <w:r w:rsidR="00035A18" w:rsidRPr="00012C3F">
        <w:rPr>
          <w:rFonts w:eastAsia="Calibri" w:cs="Arial"/>
          <w:sz w:val="20"/>
          <w:szCs w:val="20"/>
          <w:lang w:val="en-US" w:eastAsia="en-US"/>
        </w:rPr>
        <w:t xml:space="preserve"> that th</w:t>
      </w:r>
      <w:r w:rsidR="00F45F54" w:rsidRPr="00012C3F">
        <w:rPr>
          <w:rFonts w:eastAsia="Calibri" w:cs="Arial"/>
          <w:sz w:val="20"/>
          <w:szCs w:val="20"/>
          <w:lang w:val="en-US" w:eastAsia="en-US"/>
        </w:rPr>
        <w:t>o</w:t>
      </w:r>
      <w:r w:rsidR="00035A18" w:rsidRPr="00012C3F">
        <w:rPr>
          <w:rFonts w:eastAsia="Calibri" w:cs="Arial"/>
          <w:sz w:val="20"/>
          <w:szCs w:val="20"/>
          <w:lang w:val="en-US" w:eastAsia="en-US"/>
        </w:rPr>
        <w:t xml:space="preserve">se assertions “are inexact, to say the least, [and are] not in keeping with the truth, or the ‘right to the truth’ to which I.V. is entitled.” </w:t>
      </w:r>
      <w:r w:rsidR="00F45F54" w:rsidRPr="00012C3F">
        <w:rPr>
          <w:rFonts w:eastAsia="Calibri" w:cs="Arial"/>
          <w:sz w:val="20"/>
          <w:szCs w:val="20"/>
          <w:lang w:val="en-US" w:eastAsia="en-US"/>
        </w:rPr>
        <w:t>She also</w:t>
      </w:r>
      <w:r w:rsidR="004B2395" w:rsidRPr="00012C3F">
        <w:rPr>
          <w:rFonts w:eastAsia="Calibri" w:cs="Arial"/>
          <w:sz w:val="20"/>
          <w:szCs w:val="20"/>
          <w:lang w:val="en-US" w:eastAsia="en-US"/>
        </w:rPr>
        <w:t xml:space="preserve"> </w:t>
      </w:r>
      <w:r w:rsidR="00035A18" w:rsidRPr="00012C3F">
        <w:rPr>
          <w:rFonts w:eastAsia="Calibri" w:cs="Arial"/>
          <w:sz w:val="20"/>
          <w:szCs w:val="20"/>
          <w:lang w:val="en-US" w:eastAsia="en-US"/>
        </w:rPr>
        <w:t>indicated that</w:t>
      </w:r>
      <w:r w:rsidR="004B2395" w:rsidRPr="00012C3F">
        <w:rPr>
          <w:rFonts w:eastAsia="Calibri" w:cs="Arial"/>
          <w:sz w:val="20"/>
          <w:szCs w:val="20"/>
          <w:lang w:val="en-US" w:eastAsia="en-US"/>
        </w:rPr>
        <w:t xml:space="preserve"> </w:t>
      </w:r>
      <w:r w:rsidR="000E1C11" w:rsidRPr="00012C3F">
        <w:rPr>
          <w:rFonts w:eastAsia="Calibri" w:cs="Arial"/>
          <w:sz w:val="20"/>
          <w:szCs w:val="20"/>
          <w:lang w:val="en-US" w:eastAsia="en-US"/>
        </w:rPr>
        <w:t>I.V.</w:t>
      </w:r>
      <w:r w:rsidR="004B2395" w:rsidRPr="00012C3F">
        <w:rPr>
          <w:rFonts w:eastAsia="Calibri" w:cs="Arial"/>
          <w:sz w:val="20"/>
          <w:szCs w:val="20"/>
          <w:lang w:val="en-US" w:eastAsia="en-US"/>
        </w:rPr>
        <w:t xml:space="preserve"> </w:t>
      </w:r>
      <w:r w:rsidR="00035A18" w:rsidRPr="00012C3F">
        <w:rPr>
          <w:rFonts w:eastAsia="Calibri" w:cs="Arial"/>
          <w:sz w:val="20"/>
          <w:szCs w:val="20"/>
          <w:lang w:val="en-US" w:eastAsia="en-US"/>
        </w:rPr>
        <w:t>hope</w:t>
      </w:r>
      <w:r w:rsidR="00F45F54" w:rsidRPr="00012C3F">
        <w:rPr>
          <w:rFonts w:eastAsia="Calibri" w:cs="Arial"/>
          <w:sz w:val="20"/>
          <w:szCs w:val="20"/>
          <w:lang w:val="en-US" w:eastAsia="en-US"/>
        </w:rPr>
        <w:t>d</w:t>
      </w:r>
      <w:r w:rsidR="00035A18" w:rsidRPr="00012C3F">
        <w:rPr>
          <w:rFonts w:eastAsia="Calibri" w:cs="Arial"/>
          <w:sz w:val="20"/>
          <w:szCs w:val="20"/>
          <w:lang w:val="en-US" w:eastAsia="en-US"/>
        </w:rPr>
        <w:t xml:space="preserve"> that, through its jurisdiction, the Court w</w:t>
      </w:r>
      <w:r w:rsidR="00F45F54" w:rsidRPr="00012C3F">
        <w:rPr>
          <w:rFonts w:eastAsia="Calibri" w:cs="Arial"/>
          <w:sz w:val="20"/>
          <w:szCs w:val="20"/>
          <w:lang w:val="en-US" w:eastAsia="en-US"/>
        </w:rPr>
        <w:t>ould</w:t>
      </w:r>
      <w:r w:rsidR="00035A18" w:rsidRPr="00012C3F">
        <w:rPr>
          <w:rFonts w:eastAsia="Calibri" w:cs="Arial"/>
          <w:sz w:val="20"/>
          <w:szCs w:val="20"/>
          <w:lang w:val="en-US" w:eastAsia="en-US"/>
        </w:rPr>
        <w:t xml:space="preserve"> allow the comprehensive, complete and public truth to be known about the specific circumstances </w:t>
      </w:r>
      <w:r w:rsidR="00F45F54" w:rsidRPr="00012C3F">
        <w:rPr>
          <w:rFonts w:eastAsia="Calibri" w:cs="Arial"/>
          <w:sz w:val="20"/>
          <w:szCs w:val="20"/>
          <w:lang w:val="en-US" w:eastAsia="en-US"/>
        </w:rPr>
        <w:t>of the</w:t>
      </w:r>
      <w:r w:rsidR="00035A18" w:rsidRPr="00012C3F">
        <w:rPr>
          <w:rFonts w:eastAsia="Calibri" w:cs="Arial"/>
          <w:sz w:val="20"/>
          <w:szCs w:val="20"/>
          <w:lang w:val="en-US" w:eastAsia="en-US"/>
        </w:rPr>
        <w:t xml:space="preserve"> facts </w:t>
      </w:r>
      <w:r w:rsidR="00F45F54" w:rsidRPr="00012C3F">
        <w:rPr>
          <w:rFonts w:eastAsia="Calibri" w:cs="Arial"/>
          <w:sz w:val="20"/>
          <w:szCs w:val="20"/>
          <w:lang w:val="en-US" w:eastAsia="en-US"/>
        </w:rPr>
        <w:t>that</w:t>
      </w:r>
      <w:r w:rsidR="00035A18" w:rsidRPr="00012C3F">
        <w:rPr>
          <w:rFonts w:eastAsia="Calibri" w:cs="Arial"/>
          <w:sz w:val="20"/>
          <w:szCs w:val="20"/>
          <w:lang w:val="en-US" w:eastAsia="en-US"/>
        </w:rPr>
        <w:t xml:space="preserve"> occurred on</w:t>
      </w:r>
      <w:r w:rsidR="004B2395" w:rsidRPr="00012C3F">
        <w:rPr>
          <w:rFonts w:eastAsia="Calibri" w:cs="Arial"/>
          <w:sz w:val="20"/>
          <w:szCs w:val="20"/>
          <w:lang w:val="en-US" w:eastAsia="en-US"/>
        </w:rPr>
        <w:t xml:space="preserve"> </w:t>
      </w:r>
      <w:r w:rsidR="00566357" w:rsidRPr="00012C3F">
        <w:rPr>
          <w:rFonts w:eastAsia="Calibri" w:cs="Arial"/>
          <w:sz w:val="20"/>
          <w:szCs w:val="20"/>
          <w:lang w:val="en-US" w:eastAsia="en-US"/>
        </w:rPr>
        <w:t>July 1,</w:t>
      </w:r>
      <w:r w:rsidR="004B2395" w:rsidRPr="00012C3F">
        <w:rPr>
          <w:rFonts w:eastAsia="Calibri" w:cs="Arial"/>
          <w:sz w:val="20"/>
          <w:szCs w:val="20"/>
          <w:lang w:val="en-US" w:eastAsia="en-US"/>
        </w:rPr>
        <w:t xml:space="preserve"> 2000</w:t>
      </w:r>
      <w:r w:rsidR="00DD2A3F" w:rsidRPr="00012C3F">
        <w:rPr>
          <w:rFonts w:eastAsia="Calibri" w:cs="Arial"/>
          <w:sz w:val="20"/>
          <w:szCs w:val="20"/>
          <w:lang w:val="en-US" w:eastAsia="en-US"/>
        </w:rPr>
        <w:t>.</w:t>
      </w:r>
    </w:p>
    <w:p w14:paraId="48C50EB4" w14:textId="77777777" w:rsidR="004B2395" w:rsidRPr="00012C3F" w:rsidRDefault="004B2395" w:rsidP="004B2395">
      <w:pPr>
        <w:widowControl/>
        <w:tabs>
          <w:tab w:val="left" w:pos="720"/>
        </w:tabs>
        <w:adjustRightInd/>
        <w:spacing w:line="240" w:lineRule="auto"/>
        <w:ind w:right="-90"/>
        <w:textAlignment w:val="auto"/>
        <w:rPr>
          <w:rFonts w:eastAsia="MS Mincho"/>
          <w:sz w:val="20"/>
          <w:szCs w:val="20"/>
          <w:lang w:val="en-US" w:eastAsia="en-US" w:bidi="en-US"/>
        </w:rPr>
      </w:pPr>
    </w:p>
    <w:p w14:paraId="4AD1F7D7" w14:textId="77777777" w:rsidR="004B2395" w:rsidRPr="00012C3F" w:rsidRDefault="00BD056C" w:rsidP="00DF3B7C">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cs="Arial"/>
          <w:sz w:val="20"/>
          <w:szCs w:val="20"/>
          <w:lang w:val="en-US" w:eastAsia="en-US" w:bidi="en-US"/>
        </w:rPr>
        <w:t xml:space="preserve">The </w:t>
      </w:r>
      <w:r w:rsidRPr="00012C3F">
        <w:rPr>
          <w:rFonts w:eastAsia="MS Mincho" w:cs="Arial"/>
          <w:b/>
          <w:bCs/>
          <w:i/>
          <w:iCs/>
          <w:sz w:val="20"/>
          <w:szCs w:val="20"/>
          <w:lang w:val="en-US" w:eastAsia="en-US" w:bidi="en-US"/>
        </w:rPr>
        <w:t>Commission</w:t>
      </w:r>
      <w:r w:rsidR="005E5012" w:rsidRPr="00012C3F">
        <w:rPr>
          <w:rFonts w:eastAsia="MS Mincho" w:cs="Arial"/>
          <w:b/>
          <w:bCs/>
          <w:i/>
          <w:iCs/>
          <w:sz w:val="20"/>
          <w:szCs w:val="20"/>
          <w:lang w:val="en-US" w:eastAsia="en-US" w:bidi="en-US"/>
        </w:rPr>
        <w:t xml:space="preserve"> </w:t>
      </w:r>
      <w:r w:rsidR="005E5012" w:rsidRPr="00012C3F">
        <w:rPr>
          <w:rFonts w:eastAsia="MS Mincho" w:cs="Arial"/>
          <w:sz w:val="20"/>
          <w:szCs w:val="20"/>
          <w:lang w:val="en-US" w:eastAsia="en-US" w:bidi="en-US"/>
        </w:rPr>
        <w:t xml:space="preserve">and </w:t>
      </w:r>
      <w:r w:rsidR="00A84CA0" w:rsidRPr="00012C3F">
        <w:rPr>
          <w:rFonts w:eastAsia="MS Mincho" w:cs="Arial"/>
          <w:sz w:val="20"/>
          <w:szCs w:val="20"/>
          <w:lang w:val="en-US" w:eastAsia="en-US" w:bidi="en-US"/>
        </w:rPr>
        <w:t>the</w:t>
      </w:r>
      <w:r w:rsidR="00A84CA0" w:rsidRPr="00012C3F">
        <w:rPr>
          <w:rFonts w:eastAsia="MS Mincho" w:cs="Arial"/>
          <w:b/>
          <w:bCs/>
          <w:i/>
          <w:iCs/>
          <w:sz w:val="20"/>
          <w:szCs w:val="20"/>
          <w:lang w:val="en-US" w:eastAsia="en-US" w:bidi="en-US"/>
        </w:rPr>
        <w:t xml:space="preserve"> State</w:t>
      </w:r>
      <w:r w:rsidR="004B2395" w:rsidRPr="00012C3F">
        <w:rPr>
          <w:rFonts w:eastAsia="MS Mincho" w:cs="Arial"/>
          <w:sz w:val="20"/>
          <w:szCs w:val="20"/>
          <w:lang w:val="en-US" w:eastAsia="en-US" w:bidi="en-US"/>
        </w:rPr>
        <w:t xml:space="preserve"> </w:t>
      </w:r>
      <w:r w:rsidR="00035A18" w:rsidRPr="00012C3F">
        <w:rPr>
          <w:rFonts w:eastAsia="MS Mincho" w:cs="Arial"/>
          <w:sz w:val="20"/>
          <w:szCs w:val="20"/>
          <w:lang w:val="en-US" w:eastAsia="en-US" w:bidi="en-US"/>
        </w:rPr>
        <w:t>made no express mention of this point</w:t>
      </w:r>
      <w:r w:rsidR="004B2395" w:rsidRPr="00012C3F">
        <w:rPr>
          <w:rFonts w:eastAsia="MS Mincho" w:cs="Arial"/>
          <w:sz w:val="20"/>
          <w:szCs w:val="20"/>
          <w:lang w:val="en-US" w:eastAsia="en-US" w:bidi="en-US"/>
        </w:rPr>
        <w:t>.</w:t>
      </w:r>
    </w:p>
    <w:p w14:paraId="741DD4E2" w14:textId="77777777" w:rsidR="004B2395" w:rsidRPr="00012C3F" w:rsidRDefault="004B2395" w:rsidP="004B2395">
      <w:pPr>
        <w:widowControl/>
        <w:autoSpaceDE w:val="0"/>
        <w:autoSpaceDN w:val="0"/>
        <w:spacing w:line="240" w:lineRule="auto"/>
        <w:textAlignment w:val="auto"/>
        <w:rPr>
          <w:rFonts w:eastAsia="Calibri" w:cs="Arial"/>
          <w:sz w:val="20"/>
          <w:szCs w:val="20"/>
          <w:lang w:val="en-US" w:eastAsia="en-US"/>
        </w:rPr>
      </w:pPr>
    </w:p>
    <w:p w14:paraId="377CE3E1" w14:textId="77777777" w:rsidR="004B2395" w:rsidRPr="00012C3F" w:rsidRDefault="004B2395" w:rsidP="0039676A">
      <w:pPr>
        <w:pStyle w:val="Ttulo2"/>
        <w:tabs>
          <w:tab w:val="left" w:pos="1701"/>
        </w:tabs>
        <w:spacing w:before="0" w:line="240" w:lineRule="auto"/>
        <w:ind w:left="1134"/>
        <w:rPr>
          <w:rFonts w:ascii="Verdana" w:hAnsi="Verdana"/>
          <w:b w:val="0"/>
          <w:i/>
          <w:color w:val="auto"/>
          <w:sz w:val="20"/>
          <w:szCs w:val="20"/>
          <w:lang w:val="en-US"/>
        </w:rPr>
      </w:pPr>
      <w:bookmarkStart w:id="121" w:name="_Toc445290345"/>
      <w:bookmarkStart w:id="122" w:name="_Toc27486857"/>
      <w:r w:rsidRPr="00012C3F">
        <w:rPr>
          <w:rFonts w:ascii="Verdana" w:hAnsi="Verdana"/>
          <w:b w:val="0"/>
          <w:i/>
          <w:color w:val="auto"/>
          <w:sz w:val="20"/>
          <w:szCs w:val="20"/>
          <w:lang w:val="en-US"/>
        </w:rPr>
        <w:t xml:space="preserve">A.3 </w:t>
      </w:r>
      <w:r w:rsidRPr="00012C3F">
        <w:rPr>
          <w:rFonts w:ascii="Verdana" w:hAnsi="Verdana"/>
          <w:b w:val="0"/>
          <w:i/>
          <w:color w:val="auto"/>
          <w:sz w:val="20"/>
          <w:szCs w:val="20"/>
          <w:lang w:val="en-US"/>
        </w:rPr>
        <w:tab/>
      </w:r>
      <w:r w:rsidR="006C705C" w:rsidRPr="00012C3F">
        <w:rPr>
          <w:rFonts w:ascii="Verdana" w:hAnsi="Verdana"/>
          <w:b w:val="0"/>
          <w:i/>
          <w:color w:val="auto"/>
          <w:sz w:val="20"/>
          <w:szCs w:val="20"/>
          <w:lang w:val="en-US"/>
        </w:rPr>
        <w:t>Arguments on the rights</w:t>
      </w:r>
      <w:r w:rsidR="002108C0" w:rsidRPr="00012C3F">
        <w:rPr>
          <w:rFonts w:ascii="Verdana" w:hAnsi="Verdana"/>
          <w:b w:val="0"/>
          <w:i/>
          <w:color w:val="auto"/>
          <w:sz w:val="20"/>
          <w:szCs w:val="20"/>
          <w:lang w:val="en-US"/>
        </w:rPr>
        <w:t xml:space="preserve"> </w:t>
      </w:r>
      <w:r w:rsidR="006C705C" w:rsidRPr="00012C3F">
        <w:rPr>
          <w:rFonts w:ascii="Verdana" w:hAnsi="Verdana"/>
          <w:b w:val="0"/>
          <w:i/>
          <w:color w:val="auto"/>
          <w:sz w:val="20"/>
          <w:szCs w:val="20"/>
          <w:lang w:val="en-US"/>
        </w:rPr>
        <w:t xml:space="preserve">to dignity, </w:t>
      </w:r>
      <w:r w:rsidR="00DF3B7C" w:rsidRPr="00012C3F">
        <w:rPr>
          <w:rFonts w:ascii="Verdana" w:hAnsi="Verdana"/>
          <w:b w:val="0"/>
          <w:i/>
          <w:color w:val="auto"/>
          <w:sz w:val="20"/>
          <w:szCs w:val="20"/>
          <w:lang w:val="en-US"/>
        </w:rPr>
        <w:t>to private and family life, and</w:t>
      </w:r>
      <w:r w:rsidR="006C705C" w:rsidRPr="00012C3F">
        <w:rPr>
          <w:rFonts w:ascii="Verdana" w:hAnsi="Verdana"/>
          <w:b w:val="0"/>
          <w:i/>
          <w:color w:val="auto"/>
          <w:sz w:val="20"/>
          <w:szCs w:val="20"/>
          <w:lang w:val="en-US"/>
        </w:rPr>
        <w:t xml:space="preserve"> </w:t>
      </w:r>
      <w:r w:rsidR="00EF483B" w:rsidRPr="00012C3F">
        <w:rPr>
          <w:rFonts w:ascii="Verdana" w:hAnsi="Verdana"/>
          <w:b w:val="0"/>
          <w:i/>
          <w:color w:val="auto"/>
          <w:sz w:val="20"/>
          <w:szCs w:val="20"/>
          <w:lang w:val="en-US"/>
        </w:rPr>
        <w:t xml:space="preserve">to </w:t>
      </w:r>
      <w:r w:rsidR="00F45F54" w:rsidRPr="00012C3F">
        <w:rPr>
          <w:rFonts w:ascii="Verdana" w:hAnsi="Verdana"/>
          <w:b w:val="0"/>
          <w:i/>
          <w:color w:val="auto"/>
          <w:sz w:val="20"/>
          <w:szCs w:val="20"/>
          <w:lang w:val="en-US"/>
        </w:rPr>
        <w:t>raise</w:t>
      </w:r>
      <w:r w:rsidR="00EF483B" w:rsidRPr="00012C3F">
        <w:rPr>
          <w:rFonts w:ascii="Verdana" w:hAnsi="Verdana"/>
          <w:b w:val="0"/>
          <w:i/>
          <w:color w:val="auto"/>
          <w:sz w:val="20"/>
          <w:szCs w:val="20"/>
          <w:lang w:val="en-US"/>
        </w:rPr>
        <w:t xml:space="preserve"> a family</w:t>
      </w:r>
      <w:r w:rsidRPr="00012C3F">
        <w:rPr>
          <w:rFonts w:ascii="Verdana" w:hAnsi="Verdana"/>
          <w:b w:val="0"/>
          <w:i/>
          <w:color w:val="auto"/>
          <w:sz w:val="20"/>
          <w:szCs w:val="20"/>
          <w:lang w:val="en-US"/>
        </w:rPr>
        <w:t xml:space="preserve"> (</w:t>
      </w:r>
      <w:r w:rsidR="001254DE" w:rsidRPr="00012C3F">
        <w:rPr>
          <w:rFonts w:ascii="Verdana" w:hAnsi="Verdana"/>
          <w:b w:val="0"/>
          <w:i/>
          <w:color w:val="auto"/>
          <w:sz w:val="20"/>
          <w:szCs w:val="20"/>
          <w:lang w:val="en-US"/>
        </w:rPr>
        <w:t>Article</w:t>
      </w:r>
      <w:r w:rsidRPr="00012C3F">
        <w:rPr>
          <w:rFonts w:ascii="Verdana" w:hAnsi="Verdana"/>
          <w:b w:val="0"/>
          <w:i/>
          <w:color w:val="auto"/>
          <w:sz w:val="20"/>
          <w:szCs w:val="20"/>
          <w:lang w:val="en-US"/>
        </w:rPr>
        <w:t>s 1</w:t>
      </w:r>
      <w:r w:rsidR="005E5012" w:rsidRPr="00012C3F">
        <w:rPr>
          <w:rFonts w:ascii="Verdana" w:hAnsi="Verdana"/>
          <w:b w:val="0"/>
          <w:i/>
          <w:color w:val="auto"/>
          <w:sz w:val="20"/>
          <w:szCs w:val="20"/>
          <w:lang w:val="en-US"/>
        </w:rPr>
        <w:t>1(1)</w:t>
      </w:r>
      <w:r w:rsidR="00C470A3" w:rsidRPr="00012C3F">
        <w:rPr>
          <w:rFonts w:ascii="Verdana" w:hAnsi="Verdana"/>
          <w:b w:val="0"/>
          <w:i/>
          <w:color w:val="auto"/>
          <w:sz w:val="20"/>
          <w:szCs w:val="20"/>
          <w:lang w:val="en-US"/>
        </w:rPr>
        <w:t>,</w:t>
      </w:r>
      <w:r w:rsidRPr="00012C3F">
        <w:rPr>
          <w:rFonts w:ascii="Verdana" w:hAnsi="Verdana"/>
          <w:b w:val="0"/>
          <w:i/>
          <w:color w:val="auto"/>
          <w:sz w:val="20"/>
          <w:szCs w:val="20"/>
          <w:lang w:val="en-US"/>
        </w:rPr>
        <w:t xml:space="preserve"> </w:t>
      </w:r>
      <w:r w:rsidR="005E5012" w:rsidRPr="00012C3F">
        <w:rPr>
          <w:rFonts w:ascii="Verdana" w:hAnsi="Verdana"/>
          <w:b w:val="0"/>
          <w:i/>
          <w:color w:val="auto"/>
          <w:sz w:val="20"/>
          <w:szCs w:val="20"/>
          <w:lang w:val="en-US"/>
        </w:rPr>
        <w:t>11(2) and 17(2)</w:t>
      </w:r>
      <w:r w:rsidR="001254DE" w:rsidRPr="00012C3F">
        <w:rPr>
          <w:rFonts w:ascii="Verdana" w:hAnsi="Verdana"/>
          <w:b w:val="0"/>
          <w:i/>
          <w:color w:val="auto"/>
          <w:sz w:val="20"/>
          <w:szCs w:val="20"/>
          <w:lang w:val="en-US"/>
        </w:rPr>
        <w:t xml:space="preserve"> of the American Convention</w:t>
      </w:r>
      <w:r w:rsidRPr="00012C3F">
        <w:rPr>
          <w:rFonts w:ascii="Verdana" w:hAnsi="Verdana"/>
          <w:b w:val="0"/>
          <w:i/>
          <w:color w:val="auto"/>
          <w:sz w:val="20"/>
          <w:szCs w:val="20"/>
          <w:lang w:val="en-US"/>
        </w:rPr>
        <w:t>)</w:t>
      </w:r>
      <w:bookmarkEnd w:id="121"/>
      <w:bookmarkEnd w:id="122"/>
    </w:p>
    <w:p w14:paraId="4D3EF94B" w14:textId="77777777" w:rsidR="004B2395" w:rsidRPr="00012C3F" w:rsidRDefault="004B2395" w:rsidP="004B2395">
      <w:pPr>
        <w:widowControl/>
        <w:autoSpaceDE w:val="0"/>
        <w:autoSpaceDN w:val="0"/>
        <w:spacing w:line="240" w:lineRule="auto"/>
        <w:textAlignment w:val="auto"/>
        <w:outlineLvl w:val="2"/>
        <w:rPr>
          <w:rFonts w:eastAsia="Calibri" w:cs="Arial"/>
          <w:i/>
          <w:sz w:val="20"/>
          <w:szCs w:val="20"/>
          <w:lang w:val="en-US" w:eastAsia="en-US"/>
        </w:rPr>
      </w:pPr>
    </w:p>
    <w:p w14:paraId="03EE81D3" w14:textId="77777777" w:rsidR="004B2395" w:rsidRPr="00012C3F" w:rsidRDefault="00BD056C" w:rsidP="0081491F">
      <w:pPr>
        <w:numPr>
          <w:ilvl w:val="0"/>
          <w:numId w:val="5"/>
        </w:numPr>
        <w:tabs>
          <w:tab w:val="left" w:pos="720"/>
          <w:tab w:val="left" w:pos="810"/>
          <w:tab w:val="num" w:pos="12305"/>
        </w:tabs>
        <w:spacing w:line="240" w:lineRule="auto"/>
        <w:ind w:left="0" w:firstLine="0"/>
        <w:rPr>
          <w:rFonts w:eastAsia="MS Mincho"/>
          <w:sz w:val="20"/>
          <w:szCs w:val="20"/>
          <w:lang w:val="en-US" w:eastAsia="en-US" w:bidi="en-US"/>
        </w:rPr>
      </w:pPr>
      <w:r w:rsidRPr="00012C3F">
        <w:rPr>
          <w:rFonts w:eastAsia="MS Mincho" w:cs="Arial"/>
          <w:sz w:val="20"/>
          <w:szCs w:val="20"/>
          <w:lang w:val="en-US" w:eastAsia="en-US" w:bidi="en-US"/>
        </w:rPr>
        <w:t>The</w:t>
      </w:r>
      <w:r w:rsidRPr="00012C3F">
        <w:rPr>
          <w:rFonts w:eastAsia="MS Mincho" w:cs="Arial"/>
          <w:b/>
          <w:bCs/>
          <w:i/>
          <w:iCs/>
          <w:sz w:val="20"/>
          <w:szCs w:val="20"/>
          <w:lang w:val="en-US" w:eastAsia="en-US" w:bidi="en-US"/>
        </w:rPr>
        <w:t xml:space="preserve"> Commission</w:t>
      </w:r>
      <w:r w:rsidR="004B2395" w:rsidRPr="00012C3F">
        <w:rPr>
          <w:rFonts w:eastAsia="MS Mincho" w:cs="Arial"/>
          <w:sz w:val="20"/>
          <w:szCs w:val="20"/>
          <w:lang w:val="en-US" w:eastAsia="en-US" w:bidi="en-US"/>
        </w:rPr>
        <w:t xml:space="preserve"> indic</w:t>
      </w:r>
      <w:r w:rsidR="00DF3B7C" w:rsidRPr="00012C3F">
        <w:rPr>
          <w:rFonts w:eastAsia="MS Mincho" w:cs="Arial"/>
          <w:sz w:val="20"/>
          <w:szCs w:val="20"/>
          <w:lang w:val="en-US" w:eastAsia="en-US" w:bidi="en-US"/>
        </w:rPr>
        <w:t xml:space="preserve">ated that the sterilization of </w:t>
      </w:r>
      <w:r w:rsidR="000E1C11" w:rsidRPr="00012C3F">
        <w:rPr>
          <w:rFonts w:eastAsia="MS Mincho" w:cs="Arial"/>
          <w:sz w:val="20"/>
          <w:szCs w:val="20"/>
          <w:lang w:val="en-US" w:eastAsia="en-US" w:bidi="en-US"/>
        </w:rPr>
        <w:t>I.V.</w:t>
      </w:r>
      <w:r w:rsidR="00DF3B7C" w:rsidRPr="00012C3F">
        <w:rPr>
          <w:rFonts w:eastAsia="MS Mincho" w:cs="Arial"/>
          <w:sz w:val="20"/>
          <w:szCs w:val="20"/>
          <w:lang w:val="en-US" w:eastAsia="en-US" w:bidi="en-US"/>
        </w:rPr>
        <w:t xml:space="preserve"> was performed in an arbitrary manner and without </w:t>
      </w:r>
      <w:r w:rsidR="00AC0004" w:rsidRPr="00012C3F">
        <w:rPr>
          <w:rFonts w:eastAsia="MS Mincho" w:cs="Arial"/>
          <w:sz w:val="20"/>
          <w:szCs w:val="20"/>
          <w:lang w:val="en-US" w:eastAsia="en-US" w:bidi="en-US"/>
        </w:rPr>
        <w:t>informed consent</w:t>
      </w:r>
      <w:r w:rsidR="004B2395" w:rsidRPr="00012C3F">
        <w:rPr>
          <w:rFonts w:eastAsia="MS Mincho" w:cs="Arial"/>
          <w:sz w:val="20"/>
          <w:szCs w:val="20"/>
          <w:lang w:val="en-US" w:eastAsia="en-US" w:bidi="en-US"/>
        </w:rPr>
        <w:t xml:space="preserve">, </w:t>
      </w:r>
      <w:r w:rsidR="00DF3B7C" w:rsidRPr="00012C3F">
        <w:rPr>
          <w:rFonts w:eastAsia="MS Mincho" w:cs="Arial"/>
          <w:sz w:val="20"/>
          <w:szCs w:val="20"/>
          <w:lang w:val="en-US" w:eastAsia="en-US" w:bidi="en-US"/>
        </w:rPr>
        <w:t xml:space="preserve">even though there was no immediate risk to her life or health, which would only have been affected if she became pregnant in the future, and this could be prevented by less restrictive measures, such as the use of </w:t>
      </w:r>
      <w:r w:rsidR="0081491F" w:rsidRPr="00012C3F">
        <w:rPr>
          <w:rFonts w:eastAsia="MS Mincho" w:cs="Arial"/>
          <w:sz w:val="20"/>
          <w:szCs w:val="20"/>
          <w:lang w:val="en-US" w:eastAsia="en-US" w:bidi="en-US"/>
        </w:rPr>
        <w:t xml:space="preserve">non-permanent </w:t>
      </w:r>
      <w:r w:rsidR="00DF3B7C" w:rsidRPr="00012C3F">
        <w:rPr>
          <w:rFonts w:eastAsia="MS Mincho" w:cs="Arial"/>
          <w:sz w:val="20"/>
          <w:szCs w:val="20"/>
          <w:lang w:val="en-US" w:eastAsia="en-US" w:bidi="en-US"/>
        </w:rPr>
        <w:t>contraception methods</w:t>
      </w:r>
      <w:r w:rsidR="0081491F" w:rsidRPr="00012C3F">
        <w:rPr>
          <w:rFonts w:eastAsia="MS Mincho" w:cs="Arial"/>
          <w:sz w:val="20"/>
          <w:szCs w:val="20"/>
          <w:lang w:val="en-US" w:eastAsia="en-US" w:bidi="en-US"/>
        </w:rPr>
        <w:t xml:space="preserve">. </w:t>
      </w:r>
      <w:r w:rsidRPr="00012C3F">
        <w:rPr>
          <w:rFonts w:eastAsia="MS Mincho" w:cs="Arial"/>
          <w:sz w:val="20"/>
          <w:szCs w:val="20"/>
          <w:lang w:val="en-US" w:eastAsia="en-US" w:bidi="en-US"/>
        </w:rPr>
        <w:t>The Commission</w:t>
      </w:r>
      <w:r w:rsidR="004B2395" w:rsidRPr="00012C3F">
        <w:rPr>
          <w:rFonts w:eastAsia="MS Mincho" w:cs="Arial"/>
          <w:sz w:val="20"/>
          <w:szCs w:val="20"/>
          <w:lang w:val="en-US" w:eastAsia="en-US" w:bidi="en-US"/>
        </w:rPr>
        <w:t xml:space="preserve"> a</w:t>
      </w:r>
      <w:r w:rsidR="00DF3B7C" w:rsidRPr="00012C3F">
        <w:rPr>
          <w:rFonts w:eastAsia="MS Mincho" w:cs="Arial"/>
          <w:sz w:val="20"/>
          <w:szCs w:val="20"/>
          <w:lang w:val="en-US" w:eastAsia="en-US" w:bidi="en-US"/>
        </w:rPr>
        <w:t>rgued that non-consensual sterilization resulted in the permanent loss of I.V.’s reproductive capacity and, consequently, affected her right to reproductive autonomy, which included the capacity to decide freely and autonomously the number of children and the interval between births, which form</w:t>
      </w:r>
      <w:r w:rsidR="0081491F" w:rsidRPr="00012C3F">
        <w:rPr>
          <w:rFonts w:eastAsia="MS Mincho" w:cs="Arial"/>
          <w:sz w:val="20"/>
          <w:szCs w:val="20"/>
          <w:lang w:val="en-US" w:eastAsia="en-US" w:bidi="en-US"/>
        </w:rPr>
        <w:t>ed</w:t>
      </w:r>
      <w:r w:rsidR="00DF3B7C" w:rsidRPr="00012C3F">
        <w:rPr>
          <w:rFonts w:eastAsia="MS Mincho" w:cs="Arial"/>
          <w:sz w:val="20"/>
          <w:szCs w:val="20"/>
          <w:lang w:val="en-US" w:eastAsia="en-US" w:bidi="en-US"/>
        </w:rPr>
        <w:t xml:space="preserve"> part of the most intimate sphere of private and family life, pursuant to </w:t>
      </w:r>
      <w:r w:rsidR="001254DE" w:rsidRPr="00012C3F">
        <w:rPr>
          <w:rFonts w:eastAsia="MS Mincho" w:cs="Arial"/>
          <w:sz w:val="20"/>
          <w:szCs w:val="20"/>
          <w:lang w:val="en-US" w:eastAsia="en-US" w:bidi="en-US"/>
        </w:rPr>
        <w:t>Article</w:t>
      </w:r>
      <w:r w:rsidR="004B2395" w:rsidRPr="00012C3F">
        <w:rPr>
          <w:rFonts w:eastAsia="MS Mincho" w:cs="Arial"/>
          <w:sz w:val="20"/>
          <w:szCs w:val="20"/>
          <w:lang w:val="en-US" w:eastAsia="en-US" w:bidi="en-US"/>
        </w:rPr>
        <w:t xml:space="preserve"> </w:t>
      </w:r>
      <w:r w:rsidR="005E5012" w:rsidRPr="00012C3F">
        <w:rPr>
          <w:rFonts w:eastAsia="MS Mincho" w:cs="Arial"/>
          <w:sz w:val="20"/>
          <w:szCs w:val="20"/>
          <w:lang w:val="en-US" w:eastAsia="en-US" w:bidi="en-US"/>
        </w:rPr>
        <w:t>11(2)</w:t>
      </w:r>
      <w:r w:rsidR="001254DE" w:rsidRPr="00012C3F">
        <w:rPr>
          <w:rFonts w:eastAsia="MS Mincho" w:cs="Arial"/>
          <w:sz w:val="20"/>
          <w:szCs w:val="20"/>
          <w:lang w:val="en-US" w:eastAsia="en-US" w:bidi="en-US"/>
        </w:rPr>
        <w:t xml:space="preserve"> of the Convention</w:t>
      </w:r>
      <w:r w:rsidR="004B2395" w:rsidRPr="00012C3F">
        <w:rPr>
          <w:rFonts w:eastAsia="MS Mincho" w:cs="Arial"/>
          <w:sz w:val="20"/>
          <w:szCs w:val="20"/>
          <w:lang w:val="en-US" w:eastAsia="en-US" w:bidi="en-US"/>
        </w:rPr>
        <w:t xml:space="preserve">. </w:t>
      </w:r>
      <w:r w:rsidR="00DF3B7C" w:rsidRPr="00012C3F">
        <w:rPr>
          <w:rFonts w:eastAsia="MS Mincho" w:cs="Arial"/>
          <w:sz w:val="20"/>
          <w:szCs w:val="20"/>
          <w:lang w:val="en-US" w:eastAsia="en-US" w:bidi="en-US"/>
        </w:rPr>
        <w:t>Also, according to</w:t>
      </w:r>
      <w:r w:rsidR="000136CC" w:rsidRPr="00012C3F">
        <w:rPr>
          <w:rFonts w:eastAsia="MS Mincho" w:cs="Arial"/>
          <w:sz w:val="20"/>
          <w:szCs w:val="20"/>
          <w:lang w:val="en-US" w:eastAsia="en-US" w:bidi="en-US"/>
        </w:rPr>
        <w:t xml:space="preserve"> </w:t>
      </w:r>
      <w:r w:rsidR="001254DE" w:rsidRPr="00012C3F">
        <w:rPr>
          <w:rFonts w:eastAsia="MS Mincho" w:cs="Arial"/>
          <w:sz w:val="20"/>
          <w:szCs w:val="20"/>
          <w:lang w:val="en-US" w:eastAsia="en-US" w:bidi="en-US"/>
        </w:rPr>
        <w:t xml:space="preserve">the </w:t>
      </w:r>
      <w:r w:rsidR="00A84CA0" w:rsidRPr="00012C3F">
        <w:rPr>
          <w:rFonts w:eastAsia="MS Mincho" w:cs="Arial"/>
          <w:sz w:val="20"/>
          <w:szCs w:val="20"/>
          <w:lang w:val="en-US" w:eastAsia="en-US" w:bidi="en-US"/>
        </w:rPr>
        <w:t>Commission</w:t>
      </w:r>
      <w:r w:rsidR="00DF3B7C" w:rsidRPr="00012C3F">
        <w:rPr>
          <w:rFonts w:eastAsia="MS Mincho" w:cs="Arial"/>
          <w:sz w:val="20"/>
          <w:szCs w:val="20"/>
          <w:lang w:val="en-US" w:eastAsia="en-US" w:bidi="en-US"/>
        </w:rPr>
        <w:t>,</w:t>
      </w:r>
      <w:r w:rsidR="000136CC" w:rsidRPr="00012C3F">
        <w:rPr>
          <w:rFonts w:eastAsia="MS Mincho" w:cs="Arial"/>
          <w:sz w:val="20"/>
          <w:szCs w:val="20"/>
          <w:lang w:val="en-US" w:eastAsia="en-US" w:bidi="en-US"/>
        </w:rPr>
        <w:t xml:space="preserve"> </w:t>
      </w:r>
      <w:r w:rsidR="00DF3B7C" w:rsidRPr="00012C3F">
        <w:rPr>
          <w:rFonts w:eastAsia="MS Mincho" w:cs="Arial"/>
          <w:sz w:val="20"/>
          <w:szCs w:val="20"/>
          <w:lang w:val="en-US" w:eastAsia="en-US" w:bidi="en-US"/>
        </w:rPr>
        <w:t>non-consensual sterilization</w:t>
      </w:r>
      <w:r w:rsidR="004B2395" w:rsidRPr="00012C3F">
        <w:rPr>
          <w:rFonts w:eastAsia="MS Mincho" w:cs="Arial"/>
          <w:sz w:val="20"/>
          <w:szCs w:val="20"/>
          <w:lang w:val="en-US" w:eastAsia="en-US" w:bidi="en-US"/>
        </w:rPr>
        <w:t xml:space="preserve"> viol</w:t>
      </w:r>
      <w:r w:rsidR="00DF3B7C" w:rsidRPr="00012C3F">
        <w:rPr>
          <w:rFonts w:eastAsia="MS Mincho" w:cs="Arial"/>
          <w:sz w:val="20"/>
          <w:szCs w:val="20"/>
          <w:lang w:val="en-US" w:eastAsia="en-US" w:bidi="en-US"/>
        </w:rPr>
        <w:t>ated the right of</w:t>
      </w:r>
      <w:r w:rsidR="004B2395" w:rsidRPr="00012C3F">
        <w:rPr>
          <w:rFonts w:eastAsia="MS Mincho" w:cs="Arial"/>
          <w:sz w:val="20"/>
          <w:szCs w:val="20"/>
          <w:lang w:val="en-US" w:eastAsia="en-US" w:bidi="en-US"/>
        </w:rPr>
        <w:t xml:space="preserve"> </w:t>
      </w:r>
      <w:r w:rsidR="000E1C11" w:rsidRPr="00012C3F">
        <w:rPr>
          <w:rFonts w:eastAsia="MS Mincho" w:cs="Arial"/>
          <w:sz w:val="20"/>
          <w:szCs w:val="20"/>
          <w:lang w:val="en-US" w:eastAsia="en-US" w:bidi="en-US"/>
        </w:rPr>
        <w:t>I.V.</w:t>
      </w:r>
      <w:r w:rsidR="004B2395" w:rsidRPr="00012C3F">
        <w:rPr>
          <w:rFonts w:eastAsia="MS Mincho" w:cs="Arial"/>
          <w:sz w:val="20"/>
          <w:szCs w:val="20"/>
          <w:lang w:val="en-US" w:eastAsia="en-US" w:bidi="en-US"/>
        </w:rPr>
        <w:t xml:space="preserve"> </w:t>
      </w:r>
      <w:r w:rsidR="00DF3B7C" w:rsidRPr="00012C3F">
        <w:rPr>
          <w:rFonts w:eastAsia="MS Mincho" w:cs="Arial"/>
          <w:sz w:val="20"/>
          <w:szCs w:val="20"/>
          <w:lang w:val="en-US" w:eastAsia="en-US" w:bidi="en-US"/>
        </w:rPr>
        <w:t xml:space="preserve">to have the possibility of having more children, a decision that </w:t>
      </w:r>
      <w:r w:rsidR="00790B32" w:rsidRPr="00012C3F">
        <w:rPr>
          <w:rFonts w:eastAsia="MS Mincho" w:cs="Arial"/>
          <w:sz w:val="20"/>
          <w:szCs w:val="20"/>
          <w:lang w:val="en-US" w:eastAsia="en-US" w:bidi="en-US"/>
        </w:rPr>
        <w:t>wa</w:t>
      </w:r>
      <w:r w:rsidR="00DF3B7C" w:rsidRPr="00012C3F">
        <w:rPr>
          <w:rFonts w:eastAsia="MS Mincho" w:cs="Arial"/>
          <w:sz w:val="20"/>
          <w:szCs w:val="20"/>
          <w:lang w:val="en-US" w:eastAsia="en-US" w:bidi="en-US"/>
        </w:rPr>
        <w:t xml:space="preserve">s protected by the right </w:t>
      </w:r>
      <w:r w:rsidR="00EF483B" w:rsidRPr="00012C3F">
        <w:rPr>
          <w:rFonts w:eastAsia="MS Mincho" w:cs="Arial"/>
          <w:sz w:val="20"/>
          <w:szCs w:val="20"/>
          <w:lang w:val="en-US" w:eastAsia="en-US" w:bidi="en-US"/>
        </w:rPr>
        <w:t xml:space="preserve">to </w:t>
      </w:r>
      <w:r w:rsidR="0081491F" w:rsidRPr="00012C3F">
        <w:rPr>
          <w:rFonts w:eastAsia="MS Mincho" w:cs="Arial"/>
          <w:sz w:val="20"/>
          <w:szCs w:val="20"/>
          <w:lang w:val="en-US" w:eastAsia="en-US" w:bidi="en-US"/>
        </w:rPr>
        <w:t>raise a family</w:t>
      </w:r>
      <w:r w:rsidR="00DF3B7C" w:rsidRPr="00012C3F">
        <w:rPr>
          <w:rFonts w:eastAsia="MS Mincho" w:cs="Arial"/>
          <w:sz w:val="20"/>
          <w:szCs w:val="20"/>
          <w:lang w:val="en-US" w:eastAsia="en-US" w:bidi="en-US"/>
        </w:rPr>
        <w:t xml:space="preserve">, recognized in </w:t>
      </w:r>
      <w:r w:rsidR="001254DE" w:rsidRPr="00012C3F">
        <w:rPr>
          <w:rFonts w:eastAsia="MS Mincho" w:cs="Arial"/>
          <w:sz w:val="20"/>
          <w:szCs w:val="20"/>
          <w:lang w:val="en-US" w:eastAsia="en-US" w:bidi="en-US"/>
        </w:rPr>
        <w:t>Article</w:t>
      </w:r>
      <w:r w:rsidR="004B2395" w:rsidRPr="00012C3F">
        <w:rPr>
          <w:rFonts w:eastAsia="MS Mincho" w:cs="Arial"/>
          <w:sz w:val="20"/>
          <w:szCs w:val="20"/>
          <w:lang w:val="en-US" w:eastAsia="en-US" w:bidi="en-US"/>
        </w:rPr>
        <w:t xml:space="preserve"> </w:t>
      </w:r>
      <w:r w:rsidR="005E5012" w:rsidRPr="00012C3F">
        <w:rPr>
          <w:rFonts w:eastAsia="MS Mincho" w:cs="Arial"/>
          <w:sz w:val="20"/>
          <w:szCs w:val="20"/>
          <w:lang w:val="en-US" w:eastAsia="en-US" w:bidi="en-US"/>
        </w:rPr>
        <w:t>17(2)</w:t>
      </w:r>
      <w:r w:rsidR="001254DE" w:rsidRPr="00012C3F">
        <w:rPr>
          <w:rFonts w:eastAsia="MS Mincho" w:cs="Arial"/>
          <w:sz w:val="20"/>
          <w:szCs w:val="20"/>
          <w:lang w:val="en-US" w:eastAsia="en-US" w:bidi="en-US"/>
        </w:rPr>
        <w:t xml:space="preserve"> of the Convention</w:t>
      </w:r>
      <w:r w:rsidR="004B2395" w:rsidRPr="00012C3F">
        <w:rPr>
          <w:rFonts w:eastAsia="MS Mincho" w:cs="Arial"/>
          <w:sz w:val="20"/>
          <w:szCs w:val="20"/>
          <w:lang w:val="en-US" w:eastAsia="en-US" w:bidi="en-US"/>
        </w:rPr>
        <w:t xml:space="preserve">. </w:t>
      </w:r>
      <w:r w:rsidRPr="00012C3F">
        <w:rPr>
          <w:rFonts w:eastAsia="MS Mincho" w:cs="Arial"/>
          <w:sz w:val="20"/>
          <w:szCs w:val="20"/>
          <w:lang w:val="en-US" w:eastAsia="en-US" w:bidi="en-US"/>
        </w:rPr>
        <w:t>The Commission</w:t>
      </w:r>
      <w:r w:rsidR="004B2395" w:rsidRPr="00012C3F">
        <w:rPr>
          <w:rFonts w:eastAsia="MS Mincho" w:cs="Arial"/>
          <w:sz w:val="20"/>
          <w:szCs w:val="20"/>
          <w:lang w:val="en-US" w:eastAsia="en-US" w:bidi="en-US"/>
        </w:rPr>
        <w:t xml:space="preserve"> </w:t>
      </w:r>
      <w:r w:rsidR="00DF3B7C" w:rsidRPr="00012C3F">
        <w:rPr>
          <w:rFonts w:eastAsia="MS Mincho" w:cs="Arial"/>
          <w:sz w:val="20"/>
          <w:szCs w:val="20"/>
          <w:lang w:val="en-US" w:eastAsia="en-US" w:bidi="en-US"/>
        </w:rPr>
        <w:t xml:space="preserve">did not refer explicitly to the right to protection of </w:t>
      </w:r>
      <w:r w:rsidR="00790B32" w:rsidRPr="00012C3F">
        <w:rPr>
          <w:rFonts w:eastAsia="MS Mincho" w:cs="Arial"/>
          <w:sz w:val="20"/>
          <w:szCs w:val="20"/>
          <w:lang w:val="en-US" w:eastAsia="en-US" w:bidi="en-US"/>
        </w:rPr>
        <w:t>I.V.’s</w:t>
      </w:r>
      <w:r w:rsidR="00DF3B7C" w:rsidRPr="00012C3F">
        <w:rPr>
          <w:rFonts w:eastAsia="MS Mincho" w:cs="Arial"/>
          <w:sz w:val="20"/>
          <w:szCs w:val="20"/>
          <w:lang w:val="en-US" w:eastAsia="en-US" w:bidi="en-US"/>
        </w:rPr>
        <w:t xml:space="preserve"> dignity</w:t>
      </w:r>
      <w:r w:rsidR="000E1C11" w:rsidRPr="00012C3F">
        <w:rPr>
          <w:rFonts w:eastAsia="MS Mincho" w:cs="Arial"/>
          <w:sz w:val="20"/>
          <w:szCs w:val="20"/>
          <w:lang w:val="en-US" w:eastAsia="en-US" w:bidi="en-US"/>
        </w:rPr>
        <w:t>.</w:t>
      </w:r>
    </w:p>
    <w:p w14:paraId="6FF72B61" w14:textId="77777777" w:rsidR="004B2395" w:rsidRPr="00012C3F" w:rsidRDefault="004B2395" w:rsidP="00DF3B7C">
      <w:pPr>
        <w:tabs>
          <w:tab w:val="left" w:pos="720"/>
        </w:tabs>
        <w:spacing w:line="240" w:lineRule="auto"/>
        <w:rPr>
          <w:rFonts w:eastAsia="MS Mincho"/>
          <w:sz w:val="20"/>
          <w:szCs w:val="20"/>
          <w:lang w:val="en-US" w:eastAsia="en-US" w:bidi="en-US"/>
        </w:rPr>
      </w:pPr>
    </w:p>
    <w:p w14:paraId="78481D20" w14:textId="77777777" w:rsidR="00DF3B7C" w:rsidRPr="00012C3F" w:rsidRDefault="00972ACF" w:rsidP="00DF3B7C">
      <w:pPr>
        <w:numPr>
          <w:ilvl w:val="0"/>
          <w:numId w:val="5"/>
        </w:numPr>
        <w:tabs>
          <w:tab w:val="left" w:pos="720"/>
          <w:tab w:val="num" w:pos="12305"/>
        </w:tabs>
        <w:spacing w:line="240" w:lineRule="auto"/>
        <w:ind w:left="0" w:firstLine="0"/>
        <w:rPr>
          <w:rFonts w:eastAsia="MS Mincho"/>
          <w:sz w:val="20"/>
          <w:szCs w:val="20"/>
          <w:lang w:val="en-US" w:eastAsia="en-US" w:bidi="en-US"/>
        </w:rPr>
      </w:pPr>
      <w:bookmarkStart w:id="123" w:name="_Toc416260585"/>
      <w:r w:rsidRPr="00012C3F">
        <w:rPr>
          <w:rFonts w:eastAsia="MS Mincho" w:cs="Arial"/>
          <w:sz w:val="20"/>
          <w:szCs w:val="20"/>
          <w:lang w:val="en-US" w:eastAsia="en-US" w:bidi="en-US"/>
        </w:rPr>
        <w:t xml:space="preserve">The </w:t>
      </w:r>
      <w:r w:rsidRPr="00012C3F">
        <w:rPr>
          <w:rFonts w:eastAsia="MS Mincho" w:cs="Arial"/>
          <w:b/>
          <w:bCs/>
          <w:i/>
          <w:iCs/>
          <w:sz w:val="20"/>
          <w:szCs w:val="20"/>
          <w:lang w:val="en-US" w:eastAsia="en-US" w:bidi="en-US"/>
        </w:rPr>
        <w:t>representative</w:t>
      </w:r>
      <w:r w:rsidR="004B2395" w:rsidRPr="00012C3F">
        <w:rPr>
          <w:rFonts w:eastAsia="MS Mincho" w:cs="Arial"/>
          <w:b/>
          <w:sz w:val="20"/>
          <w:szCs w:val="20"/>
          <w:lang w:val="en-US" w:eastAsia="en-US" w:bidi="en-US"/>
        </w:rPr>
        <w:t xml:space="preserve"> </w:t>
      </w:r>
      <w:r w:rsidR="00DF3B7C" w:rsidRPr="00012C3F">
        <w:rPr>
          <w:rFonts w:eastAsia="MS Mincho" w:cs="Arial"/>
          <w:bCs/>
          <w:sz w:val="20"/>
          <w:szCs w:val="20"/>
          <w:lang w:val="en-US" w:eastAsia="en-US" w:bidi="en-US"/>
        </w:rPr>
        <w:t xml:space="preserve">agreed with the legal </w:t>
      </w:r>
      <w:r w:rsidR="00DB08D1" w:rsidRPr="00012C3F">
        <w:rPr>
          <w:rFonts w:eastAsia="MS Mincho" w:cs="Arial"/>
          <w:bCs/>
          <w:sz w:val="20"/>
          <w:szCs w:val="20"/>
          <w:lang w:val="en-US" w:eastAsia="en-US" w:bidi="en-US"/>
        </w:rPr>
        <w:t>grounds</w:t>
      </w:r>
      <w:r w:rsidR="00DF3B7C" w:rsidRPr="00012C3F">
        <w:rPr>
          <w:rFonts w:eastAsia="MS Mincho" w:cs="Arial"/>
          <w:bCs/>
          <w:sz w:val="20"/>
          <w:szCs w:val="20"/>
          <w:lang w:val="en-US" w:eastAsia="en-US" w:bidi="en-US"/>
        </w:rPr>
        <w:t xml:space="preserve"> and conclusions developed by the Commission in relation to the violation of </w:t>
      </w:r>
      <w:r w:rsidR="001254DE" w:rsidRPr="00012C3F">
        <w:rPr>
          <w:rFonts w:eastAsia="MS Mincho" w:cs="Arial"/>
          <w:bCs/>
          <w:sz w:val="20"/>
          <w:szCs w:val="20"/>
          <w:lang w:val="en-US" w:eastAsia="en-US" w:bidi="en-US"/>
        </w:rPr>
        <w:t>Articles</w:t>
      </w:r>
      <w:r w:rsidR="004B2395" w:rsidRPr="00012C3F">
        <w:rPr>
          <w:rFonts w:eastAsia="MS Mincho" w:cs="Arial"/>
          <w:bCs/>
          <w:sz w:val="20"/>
          <w:szCs w:val="20"/>
          <w:lang w:val="en-US" w:eastAsia="en-US" w:bidi="en-US"/>
        </w:rPr>
        <w:t xml:space="preserve"> </w:t>
      </w:r>
      <w:r w:rsidR="005E5012" w:rsidRPr="00012C3F">
        <w:rPr>
          <w:rFonts w:eastAsia="MS Mincho" w:cs="Arial"/>
          <w:bCs/>
          <w:sz w:val="20"/>
          <w:szCs w:val="20"/>
          <w:lang w:val="en-US" w:eastAsia="en-US" w:bidi="en-US"/>
        </w:rPr>
        <w:t>11(2) and 17(2)</w:t>
      </w:r>
      <w:r w:rsidR="001254DE" w:rsidRPr="00012C3F">
        <w:rPr>
          <w:rFonts w:eastAsia="MS Mincho" w:cs="Arial"/>
          <w:bCs/>
          <w:sz w:val="20"/>
          <w:szCs w:val="20"/>
          <w:lang w:val="en-US" w:eastAsia="en-US" w:bidi="en-US"/>
        </w:rPr>
        <w:t xml:space="preserve"> of the American Convention</w:t>
      </w:r>
      <w:r w:rsidR="00DF3B7C" w:rsidRPr="00012C3F">
        <w:rPr>
          <w:rFonts w:eastAsia="MS Mincho" w:cs="Arial"/>
          <w:bCs/>
          <w:sz w:val="20"/>
          <w:szCs w:val="20"/>
          <w:lang w:val="en-US" w:eastAsia="en-US" w:bidi="en-US"/>
        </w:rPr>
        <w:t xml:space="preserve"> and emphasized that, after </w:t>
      </w:r>
      <w:r w:rsidR="00566357" w:rsidRPr="00012C3F">
        <w:rPr>
          <w:rFonts w:eastAsia="MS Mincho" w:cs="Arial"/>
          <w:bCs/>
          <w:sz w:val="20"/>
          <w:szCs w:val="20"/>
          <w:lang w:val="en-US" w:eastAsia="en-US" w:bidi="en-US"/>
        </w:rPr>
        <w:t>July 1,</w:t>
      </w:r>
      <w:r w:rsidR="004B2395" w:rsidRPr="00012C3F">
        <w:rPr>
          <w:rFonts w:eastAsia="MS Mincho" w:cs="Arial"/>
          <w:bCs/>
          <w:sz w:val="20"/>
          <w:szCs w:val="20"/>
          <w:lang w:val="en-US" w:eastAsia="en-US" w:bidi="en-US"/>
        </w:rPr>
        <w:t xml:space="preserve"> 2000, </w:t>
      </w:r>
      <w:r w:rsidR="000E1C11" w:rsidRPr="00012C3F">
        <w:rPr>
          <w:rFonts w:eastAsia="MS Mincho" w:cs="Arial"/>
          <w:bCs/>
          <w:sz w:val="20"/>
          <w:szCs w:val="20"/>
          <w:lang w:val="en-US" w:eastAsia="en-US" w:bidi="en-US"/>
        </w:rPr>
        <w:t>I.V.</w:t>
      </w:r>
      <w:r w:rsidR="004B2395" w:rsidRPr="00012C3F">
        <w:rPr>
          <w:rFonts w:eastAsia="MS Mincho" w:cs="Arial"/>
          <w:bCs/>
          <w:sz w:val="20"/>
          <w:szCs w:val="20"/>
          <w:lang w:val="en-US" w:eastAsia="en-US" w:bidi="en-US"/>
        </w:rPr>
        <w:t xml:space="preserve"> </w:t>
      </w:r>
      <w:r w:rsidR="00DF3B7C" w:rsidRPr="00012C3F">
        <w:rPr>
          <w:rFonts w:eastAsia="MS Mincho" w:cs="Arial"/>
          <w:bCs/>
          <w:sz w:val="20"/>
          <w:szCs w:val="20"/>
          <w:lang w:val="en-US" w:eastAsia="en-US" w:bidi="en-US"/>
        </w:rPr>
        <w:t xml:space="preserve">was never able to decide, either alone or with her partner, on whether to become pregnant again, and that the violation of these rights was constituted even though I.V. already had children and had </w:t>
      </w:r>
      <w:r w:rsidR="00DB08D1" w:rsidRPr="00012C3F">
        <w:rPr>
          <w:rFonts w:eastAsia="MS Mincho" w:cs="Arial"/>
          <w:bCs/>
          <w:sz w:val="20"/>
          <w:szCs w:val="20"/>
          <w:lang w:val="en-US" w:eastAsia="en-US" w:bidi="en-US"/>
        </w:rPr>
        <w:t>founded</w:t>
      </w:r>
      <w:r w:rsidR="00DF3B7C" w:rsidRPr="00012C3F">
        <w:rPr>
          <w:rFonts w:eastAsia="MS Mincho" w:cs="Arial"/>
          <w:bCs/>
          <w:sz w:val="20"/>
          <w:szCs w:val="20"/>
          <w:lang w:val="en-US" w:eastAsia="en-US" w:bidi="en-US"/>
        </w:rPr>
        <w:t xml:space="preserve"> a family. She added that the fact that the authorization for </w:t>
      </w:r>
      <w:r w:rsidR="00136EDE" w:rsidRPr="00012C3F">
        <w:rPr>
          <w:rFonts w:eastAsia="MS Mincho" w:cs="Arial"/>
          <w:bCs/>
          <w:sz w:val="20"/>
          <w:szCs w:val="20"/>
          <w:lang w:val="en-US" w:eastAsia="en-US" w:bidi="en-US"/>
        </w:rPr>
        <w:t>the caesarean section</w:t>
      </w:r>
      <w:r w:rsidR="00DF3B7C" w:rsidRPr="00012C3F">
        <w:rPr>
          <w:rFonts w:eastAsia="MS Mincho" w:cs="Arial"/>
          <w:bCs/>
          <w:sz w:val="20"/>
          <w:szCs w:val="20"/>
          <w:lang w:val="en-US" w:eastAsia="en-US" w:bidi="en-US"/>
        </w:rPr>
        <w:t xml:space="preserve"> was signed by I.V.’s partner and not by her, even though she had the possibility of dong this during the five hours she waited before entering the operating theater, involved a violation of her right to privacy and her autonomy of decision in relation to her reproductive rights.</w:t>
      </w:r>
    </w:p>
    <w:p w14:paraId="01923C41" w14:textId="77777777" w:rsidR="004B2395" w:rsidRPr="00012C3F" w:rsidRDefault="004B2395" w:rsidP="00C470A3">
      <w:pPr>
        <w:tabs>
          <w:tab w:val="left" w:pos="567"/>
        </w:tabs>
        <w:spacing w:line="240" w:lineRule="auto"/>
        <w:rPr>
          <w:rFonts w:eastAsia="MS Mincho"/>
          <w:sz w:val="20"/>
          <w:szCs w:val="20"/>
          <w:lang w:val="en-US" w:eastAsia="en-US" w:bidi="en-US"/>
        </w:rPr>
      </w:pPr>
    </w:p>
    <w:p w14:paraId="621E452E" w14:textId="77777777" w:rsidR="002961DA" w:rsidRPr="00012C3F" w:rsidRDefault="00DF3B7C" w:rsidP="00DF3B7C">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sz w:val="20"/>
          <w:szCs w:val="20"/>
          <w:lang w:val="en-US" w:eastAsia="en-US" w:bidi="en-US"/>
        </w:rPr>
        <w:t>In addition</w:t>
      </w:r>
      <w:r w:rsidR="004B2395" w:rsidRPr="00012C3F">
        <w:rPr>
          <w:rFonts w:eastAsia="MS Mincho" w:cs="Arial"/>
          <w:bCs/>
          <w:sz w:val="20"/>
          <w:szCs w:val="20"/>
          <w:lang w:val="en-US" w:eastAsia="en-US" w:bidi="en-US"/>
        </w:rPr>
        <w:t xml:space="preserve">, </w:t>
      </w:r>
      <w:r w:rsidR="00972ACF" w:rsidRPr="00012C3F">
        <w:rPr>
          <w:rFonts w:eastAsia="MS Mincho" w:cs="Arial"/>
          <w:bCs/>
          <w:sz w:val="20"/>
          <w:szCs w:val="20"/>
          <w:lang w:val="en-US" w:eastAsia="en-US" w:bidi="en-US"/>
        </w:rPr>
        <w:t>the representative</w:t>
      </w:r>
      <w:r w:rsidR="004B2395" w:rsidRPr="00012C3F">
        <w:rPr>
          <w:rFonts w:eastAsia="MS Mincho" w:cs="Arial"/>
          <w:bCs/>
          <w:sz w:val="20"/>
          <w:szCs w:val="20"/>
          <w:lang w:val="en-US" w:eastAsia="en-US" w:bidi="en-US"/>
        </w:rPr>
        <w:t xml:space="preserve"> </w:t>
      </w:r>
      <w:r w:rsidRPr="00012C3F">
        <w:rPr>
          <w:rFonts w:eastAsia="MS Mincho" w:cs="Arial"/>
          <w:bCs/>
          <w:sz w:val="20"/>
          <w:szCs w:val="20"/>
          <w:lang w:val="en-US" w:eastAsia="en-US" w:bidi="en-US"/>
        </w:rPr>
        <w:t xml:space="preserve">stressed that, although </w:t>
      </w:r>
      <w:r w:rsidR="001254DE" w:rsidRPr="00012C3F">
        <w:rPr>
          <w:rFonts w:eastAsia="MS Mincho" w:cs="Arial"/>
          <w:bCs/>
          <w:sz w:val="20"/>
          <w:szCs w:val="20"/>
          <w:lang w:val="en-US" w:eastAsia="en-US" w:bidi="en-US"/>
        </w:rPr>
        <w:t xml:space="preserve">the </w:t>
      </w:r>
      <w:r w:rsidR="00A84CA0" w:rsidRPr="00012C3F">
        <w:rPr>
          <w:rFonts w:eastAsia="MS Mincho" w:cs="Arial"/>
          <w:bCs/>
          <w:sz w:val="20"/>
          <w:szCs w:val="20"/>
          <w:lang w:val="en-US" w:eastAsia="en-US" w:bidi="en-US"/>
        </w:rPr>
        <w:t>Commission</w:t>
      </w:r>
      <w:r w:rsidR="004B2395" w:rsidRPr="00012C3F">
        <w:rPr>
          <w:rFonts w:eastAsia="MS Mincho" w:cs="Arial"/>
          <w:bCs/>
          <w:sz w:val="20"/>
          <w:szCs w:val="20"/>
          <w:lang w:val="en-US" w:eastAsia="en-US" w:bidi="en-US"/>
        </w:rPr>
        <w:t xml:space="preserve"> </w:t>
      </w:r>
      <w:r w:rsidRPr="00012C3F">
        <w:rPr>
          <w:rFonts w:eastAsia="MS Mincho" w:cs="Arial"/>
          <w:bCs/>
          <w:sz w:val="20"/>
          <w:szCs w:val="20"/>
          <w:lang w:val="en-US" w:eastAsia="en-US" w:bidi="en-US"/>
        </w:rPr>
        <w:t xml:space="preserve">had merely established a violation </w:t>
      </w:r>
      <w:r w:rsidR="008A7A0F" w:rsidRPr="00012C3F">
        <w:rPr>
          <w:rFonts w:eastAsia="MS Mincho" w:cs="Arial"/>
          <w:bCs/>
          <w:sz w:val="20"/>
          <w:szCs w:val="20"/>
          <w:lang w:val="en-US" w:eastAsia="en-US" w:bidi="en-US"/>
        </w:rPr>
        <w:t>of Article</w:t>
      </w:r>
      <w:r w:rsidR="004B2395" w:rsidRPr="00012C3F">
        <w:rPr>
          <w:rFonts w:eastAsia="MS Mincho" w:cs="Arial"/>
          <w:bCs/>
          <w:sz w:val="20"/>
          <w:szCs w:val="20"/>
          <w:lang w:val="en-US" w:eastAsia="en-US" w:bidi="en-US"/>
        </w:rPr>
        <w:t xml:space="preserve"> </w:t>
      </w:r>
      <w:r w:rsidR="005E5012" w:rsidRPr="00012C3F">
        <w:rPr>
          <w:rFonts w:eastAsia="MS Mincho" w:cs="Arial"/>
          <w:bCs/>
          <w:sz w:val="20"/>
          <w:szCs w:val="20"/>
          <w:lang w:val="en-US" w:eastAsia="en-US" w:bidi="en-US"/>
        </w:rPr>
        <w:t>11(2)</w:t>
      </w:r>
      <w:r w:rsidR="001254DE" w:rsidRPr="00012C3F">
        <w:rPr>
          <w:rFonts w:eastAsia="MS Mincho" w:cs="Arial"/>
          <w:bCs/>
          <w:sz w:val="20"/>
          <w:szCs w:val="20"/>
          <w:lang w:val="en-US" w:eastAsia="en-US" w:bidi="en-US"/>
        </w:rPr>
        <w:t xml:space="preserve"> of the American Convention</w:t>
      </w:r>
      <w:r w:rsidR="004B2395" w:rsidRPr="00012C3F">
        <w:rPr>
          <w:rFonts w:eastAsia="MS Mincho" w:cs="Arial"/>
          <w:bCs/>
          <w:sz w:val="20"/>
          <w:szCs w:val="20"/>
          <w:lang w:val="en-US" w:eastAsia="en-US" w:bidi="en-US"/>
        </w:rPr>
        <w:t xml:space="preserve">, </w:t>
      </w:r>
      <w:r w:rsidR="008A7A0F" w:rsidRPr="00012C3F">
        <w:rPr>
          <w:rFonts w:eastAsia="MS Mincho" w:cs="Arial"/>
          <w:bCs/>
          <w:sz w:val="20"/>
          <w:szCs w:val="20"/>
          <w:lang w:val="en-US" w:eastAsia="en-US" w:bidi="en-US"/>
        </w:rPr>
        <w:t>Article</w:t>
      </w:r>
      <w:r w:rsidR="004605F3" w:rsidRPr="00012C3F">
        <w:rPr>
          <w:rFonts w:eastAsia="MS Mincho" w:cs="Arial"/>
          <w:bCs/>
          <w:sz w:val="20"/>
          <w:szCs w:val="20"/>
          <w:lang w:val="en-US" w:eastAsia="en-US" w:bidi="en-US"/>
        </w:rPr>
        <w:t xml:space="preserve"> </w:t>
      </w:r>
      <w:r w:rsidR="004B2395" w:rsidRPr="00012C3F">
        <w:rPr>
          <w:rFonts w:eastAsia="MS Mincho" w:cs="Arial"/>
          <w:bCs/>
          <w:sz w:val="20"/>
          <w:szCs w:val="20"/>
          <w:lang w:val="en-US" w:eastAsia="en-US" w:bidi="en-US"/>
        </w:rPr>
        <w:t>1</w:t>
      </w:r>
      <w:r w:rsidR="005E5012" w:rsidRPr="00012C3F">
        <w:rPr>
          <w:rFonts w:eastAsia="MS Mincho" w:cs="Arial"/>
          <w:bCs/>
          <w:sz w:val="20"/>
          <w:szCs w:val="20"/>
          <w:lang w:val="en-US" w:eastAsia="en-US" w:bidi="en-US"/>
        </w:rPr>
        <w:t>1(1)</w:t>
      </w:r>
      <w:r w:rsidR="004605F3" w:rsidRPr="00012C3F">
        <w:rPr>
          <w:rFonts w:eastAsia="MS Mincho" w:cs="Arial"/>
          <w:bCs/>
          <w:sz w:val="20"/>
          <w:szCs w:val="20"/>
          <w:lang w:val="en-US" w:eastAsia="en-US" w:bidi="en-US"/>
        </w:rPr>
        <w:t xml:space="preserve"> </w:t>
      </w:r>
      <w:r w:rsidR="006C705C" w:rsidRPr="00012C3F">
        <w:rPr>
          <w:rFonts w:eastAsia="MS Mincho" w:cs="Arial"/>
          <w:bCs/>
          <w:sz w:val="20"/>
          <w:szCs w:val="20"/>
          <w:lang w:val="en-US" w:eastAsia="en-US" w:bidi="en-US"/>
        </w:rPr>
        <w:t>of this instrument</w:t>
      </w:r>
      <w:r w:rsidRPr="00012C3F">
        <w:rPr>
          <w:rFonts w:eastAsia="MS Mincho" w:cs="Arial"/>
          <w:bCs/>
          <w:sz w:val="20"/>
          <w:szCs w:val="20"/>
          <w:lang w:val="en-US" w:eastAsia="en-US" w:bidi="en-US"/>
        </w:rPr>
        <w:t xml:space="preserve"> had also been violated</w:t>
      </w:r>
      <w:r w:rsidR="004B2395" w:rsidRPr="00012C3F">
        <w:rPr>
          <w:rFonts w:eastAsia="MS Mincho" w:cs="Arial"/>
          <w:bCs/>
          <w:sz w:val="20"/>
          <w:szCs w:val="20"/>
          <w:lang w:val="en-US" w:eastAsia="en-US" w:bidi="en-US"/>
        </w:rPr>
        <w:t xml:space="preserve">, </w:t>
      </w:r>
      <w:r w:rsidRPr="00012C3F">
        <w:rPr>
          <w:rFonts w:eastAsia="MS Mincho" w:cs="Arial"/>
          <w:bCs/>
          <w:sz w:val="20"/>
          <w:szCs w:val="20"/>
          <w:lang w:val="en-US" w:eastAsia="en-US" w:bidi="en-US"/>
        </w:rPr>
        <w:t xml:space="preserve">in the understanding that the State failed to recognize </w:t>
      </w:r>
      <w:r w:rsidR="00DB08D1" w:rsidRPr="00012C3F">
        <w:rPr>
          <w:rFonts w:eastAsia="MS Mincho" w:cs="Arial"/>
          <w:bCs/>
          <w:sz w:val="20"/>
          <w:szCs w:val="20"/>
          <w:lang w:val="en-US" w:eastAsia="en-US" w:bidi="en-US"/>
        </w:rPr>
        <w:t>I.V’s</w:t>
      </w:r>
      <w:r w:rsidRPr="00012C3F">
        <w:rPr>
          <w:rFonts w:eastAsia="MS Mincho" w:cs="Arial"/>
          <w:bCs/>
          <w:sz w:val="20"/>
          <w:szCs w:val="20"/>
          <w:lang w:val="en-US" w:eastAsia="en-US" w:bidi="en-US"/>
        </w:rPr>
        <w:t xml:space="preserve"> dignity due, above all: (i) </w:t>
      </w:r>
      <w:r w:rsidR="00DB08D1" w:rsidRPr="00012C3F">
        <w:rPr>
          <w:rFonts w:eastAsia="MS Mincho" w:cs="Arial"/>
          <w:bCs/>
          <w:sz w:val="20"/>
          <w:szCs w:val="20"/>
          <w:lang w:val="en-US" w:eastAsia="en-US" w:bidi="en-US"/>
        </w:rPr>
        <w:t xml:space="preserve">to the fact that </w:t>
      </w:r>
      <w:r w:rsidRPr="00012C3F">
        <w:rPr>
          <w:rFonts w:eastAsia="MS Mincho" w:cs="Arial"/>
          <w:bCs/>
          <w:sz w:val="20"/>
          <w:szCs w:val="20"/>
          <w:lang w:val="en-US" w:eastAsia="en-US" w:bidi="en-US"/>
        </w:rPr>
        <w:t xml:space="preserve">even though Bolivian Health Regulation </w:t>
      </w:r>
      <w:r w:rsidRPr="00012C3F">
        <w:rPr>
          <w:rFonts w:eastAsia="MS Mincho" w:cs="Arial"/>
          <w:sz w:val="20"/>
          <w:szCs w:val="20"/>
          <w:lang w:val="en-US" w:eastAsia="en-US" w:bidi="en-US"/>
        </w:rPr>
        <w:t>MSPS-98, was in force, I.V. was subjected, without consulting her, to a highly invasive and irreversible procedure, as if her decision “was unimportant or of no value”; (ii)</w:t>
      </w:r>
      <w:r w:rsidR="00DB08D1" w:rsidRPr="00012C3F">
        <w:rPr>
          <w:rFonts w:eastAsia="MS Mincho" w:cs="Arial"/>
          <w:sz w:val="20"/>
          <w:szCs w:val="20"/>
          <w:lang w:val="en-US" w:eastAsia="en-US" w:bidi="en-US"/>
        </w:rPr>
        <w:t xml:space="preserve"> </w:t>
      </w:r>
      <w:r w:rsidR="00DB08D1" w:rsidRPr="00012C3F">
        <w:rPr>
          <w:rFonts w:eastAsia="MS Mincho" w:cs="Arial"/>
          <w:bCs/>
          <w:sz w:val="20"/>
          <w:szCs w:val="20"/>
          <w:lang w:val="en-US" w:eastAsia="en-US" w:bidi="en-US"/>
        </w:rPr>
        <w:t xml:space="preserve">the fact that </w:t>
      </w:r>
      <w:r w:rsidRPr="00012C3F">
        <w:rPr>
          <w:rFonts w:eastAsia="MS Mincho" w:cs="Arial"/>
          <w:sz w:val="20"/>
          <w:szCs w:val="20"/>
          <w:lang w:val="en-US" w:eastAsia="en-US" w:bidi="en-US"/>
        </w:rPr>
        <w:t xml:space="preserve">the medical team tried to obtain the written consent of I.V.’s </w:t>
      </w:r>
      <w:r w:rsidR="005E73C1" w:rsidRPr="00012C3F">
        <w:rPr>
          <w:rFonts w:eastAsia="MS Mincho" w:cs="Arial"/>
          <w:sz w:val="20"/>
          <w:szCs w:val="20"/>
          <w:lang w:val="en-US" w:eastAsia="en-US" w:bidi="en-US"/>
        </w:rPr>
        <w:t>partner whe</w:t>
      </w:r>
      <w:r w:rsidR="002961DA" w:rsidRPr="00012C3F">
        <w:rPr>
          <w:rFonts w:eastAsia="MS Mincho" w:cs="Arial"/>
          <w:sz w:val="20"/>
          <w:szCs w:val="20"/>
          <w:lang w:val="en-US" w:eastAsia="en-US" w:bidi="en-US"/>
        </w:rPr>
        <w:t>n</w:t>
      </w:r>
      <w:r w:rsidR="005E73C1" w:rsidRPr="00012C3F">
        <w:rPr>
          <w:rFonts w:eastAsia="MS Mincho" w:cs="Arial"/>
          <w:sz w:val="20"/>
          <w:szCs w:val="20"/>
          <w:lang w:val="en-US" w:eastAsia="en-US" w:bidi="en-US"/>
        </w:rPr>
        <w:t xml:space="preserve"> I.V. was in the operating theater also constituted a “very serious offense to the dignity of </w:t>
      </w:r>
      <w:r w:rsidR="00134BEC" w:rsidRPr="00012C3F">
        <w:rPr>
          <w:rFonts w:eastAsia="MS Mincho" w:cs="Arial"/>
          <w:sz w:val="20"/>
          <w:szCs w:val="20"/>
          <w:lang w:val="en-US" w:eastAsia="en-US" w:bidi="en-US"/>
        </w:rPr>
        <w:t>[</w:t>
      </w:r>
      <w:r w:rsidR="000E1C11" w:rsidRPr="00012C3F">
        <w:rPr>
          <w:rFonts w:eastAsia="MS Mincho" w:cs="Arial"/>
          <w:sz w:val="20"/>
          <w:szCs w:val="20"/>
          <w:lang w:val="en-US" w:eastAsia="en-US" w:bidi="en-US"/>
        </w:rPr>
        <w:t>I.V.</w:t>
      </w:r>
      <w:r w:rsidR="00134BEC" w:rsidRPr="00012C3F">
        <w:rPr>
          <w:rFonts w:eastAsia="MS Mincho" w:cs="Arial"/>
          <w:sz w:val="20"/>
          <w:szCs w:val="20"/>
          <w:lang w:val="en-US" w:eastAsia="en-US" w:bidi="en-US"/>
        </w:rPr>
        <w:t>]</w:t>
      </w:r>
      <w:r w:rsidR="005E73C1" w:rsidRPr="00012C3F">
        <w:rPr>
          <w:rFonts w:eastAsia="MS Mincho" w:cs="Arial"/>
          <w:sz w:val="20"/>
          <w:szCs w:val="20"/>
          <w:lang w:val="en-US" w:eastAsia="en-US" w:bidi="en-US"/>
        </w:rPr>
        <w:t>,</w:t>
      </w:r>
      <w:r w:rsidR="00134BEC" w:rsidRPr="00012C3F">
        <w:rPr>
          <w:rFonts w:eastAsia="MS Mincho" w:cs="Arial"/>
          <w:sz w:val="20"/>
          <w:szCs w:val="20"/>
          <w:lang w:val="en-US" w:eastAsia="en-US" w:bidi="en-US"/>
        </w:rPr>
        <w:t>”</w:t>
      </w:r>
      <w:r w:rsidR="005E73C1" w:rsidRPr="00012C3F">
        <w:rPr>
          <w:rFonts w:eastAsia="MS Mincho" w:cs="Arial"/>
          <w:sz w:val="20"/>
          <w:szCs w:val="20"/>
          <w:lang w:val="en-US" w:eastAsia="en-US" w:bidi="en-US"/>
        </w:rPr>
        <w:t xml:space="preserve"> because the decision on the tubal ligation corresponded only</w:t>
      </w:r>
      <w:r w:rsidR="002961DA" w:rsidRPr="00012C3F">
        <w:rPr>
          <w:rFonts w:eastAsia="MS Mincho" w:cs="Arial"/>
          <w:sz w:val="20"/>
          <w:szCs w:val="20"/>
          <w:lang w:val="en-US" w:eastAsia="en-US" w:bidi="en-US"/>
        </w:rPr>
        <w:t xml:space="preserve"> </w:t>
      </w:r>
      <w:r w:rsidR="005E73C1" w:rsidRPr="00012C3F">
        <w:rPr>
          <w:rFonts w:eastAsia="MS Mincho" w:cs="Arial"/>
          <w:sz w:val="20"/>
          <w:szCs w:val="20"/>
          <w:lang w:val="en-US" w:eastAsia="en-US" w:bidi="en-US"/>
        </w:rPr>
        <w:t xml:space="preserve">and exclusively to her, based on her reproductive autonomy; (iii) </w:t>
      </w:r>
      <w:r w:rsidR="00DB08D1" w:rsidRPr="00012C3F">
        <w:rPr>
          <w:rFonts w:eastAsia="MS Mincho" w:cs="Arial"/>
          <w:sz w:val="20"/>
          <w:szCs w:val="20"/>
          <w:lang w:val="en-US" w:eastAsia="en-US" w:bidi="en-US"/>
        </w:rPr>
        <w:t xml:space="preserve">the fact that </w:t>
      </w:r>
      <w:r w:rsidR="002961DA" w:rsidRPr="00012C3F">
        <w:rPr>
          <w:rFonts w:eastAsia="MS Mincho" w:cs="Arial"/>
          <w:sz w:val="20"/>
          <w:szCs w:val="20"/>
          <w:lang w:val="en-US" w:eastAsia="en-US" w:bidi="en-US"/>
        </w:rPr>
        <w:t xml:space="preserve">on the day </w:t>
      </w:r>
      <w:r w:rsidR="002961DA" w:rsidRPr="00012C3F">
        <w:rPr>
          <w:rFonts w:eastAsia="MS Mincho" w:cs="Arial"/>
          <w:sz w:val="20"/>
          <w:szCs w:val="20"/>
          <w:lang w:val="en-US" w:eastAsia="en-US" w:bidi="en-US"/>
        </w:rPr>
        <w:lastRenderedPageBreak/>
        <w:t xml:space="preserve">following the operation, a doctor told I.V. very casually and </w:t>
      </w:r>
      <w:r w:rsidR="00DB08D1" w:rsidRPr="00012C3F">
        <w:rPr>
          <w:rFonts w:eastAsia="MS Mincho" w:cs="Arial"/>
          <w:sz w:val="20"/>
          <w:szCs w:val="20"/>
          <w:lang w:val="en-US" w:eastAsia="en-US" w:bidi="en-US"/>
        </w:rPr>
        <w:t>unconcernedly</w:t>
      </w:r>
      <w:r w:rsidR="002961DA" w:rsidRPr="00012C3F">
        <w:rPr>
          <w:rFonts w:eastAsia="MS Mincho" w:cs="Arial"/>
          <w:sz w:val="20"/>
          <w:szCs w:val="20"/>
          <w:lang w:val="en-US" w:eastAsia="en-US" w:bidi="en-US"/>
        </w:rPr>
        <w:t xml:space="preserve">, that she had been sterilized; (iv) </w:t>
      </w:r>
      <w:r w:rsidR="00DB08D1" w:rsidRPr="00012C3F">
        <w:rPr>
          <w:rFonts w:eastAsia="MS Mincho" w:cs="Arial"/>
          <w:sz w:val="20"/>
          <w:szCs w:val="20"/>
          <w:lang w:val="en-US" w:eastAsia="en-US" w:bidi="en-US"/>
        </w:rPr>
        <w:t xml:space="preserve">the fact that </w:t>
      </w:r>
      <w:r w:rsidR="002961DA" w:rsidRPr="00012C3F">
        <w:rPr>
          <w:rFonts w:eastAsia="MS Mincho" w:cs="Arial"/>
          <w:sz w:val="20"/>
          <w:szCs w:val="20"/>
          <w:lang w:val="en-US" w:eastAsia="en-US" w:bidi="en-US"/>
        </w:rPr>
        <w:t xml:space="preserve">during the procedure before the Commission, the State </w:t>
      </w:r>
      <w:r w:rsidR="00DB08D1" w:rsidRPr="00012C3F">
        <w:rPr>
          <w:rFonts w:eastAsia="MS Mincho" w:cs="Arial"/>
          <w:sz w:val="20"/>
          <w:szCs w:val="20"/>
          <w:lang w:val="en-US" w:eastAsia="en-US" w:bidi="en-US"/>
        </w:rPr>
        <w:t>argued</w:t>
      </w:r>
      <w:r w:rsidR="002961DA" w:rsidRPr="00012C3F">
        <w:rPr>
          <w:rFonts w:eastAsia="MS Mincho" w:cs="Arial"/>
          <w:sz w:val="20"/>
          <w:szCs w:val="20"/>
          <w:lang w:val="en-US" w:eastAsia="en-US" w:bidi="en-US"/>
        </w:rPr>
        <w:t xml:space="preserve"> that I.V. had not indicated </w:t>
      </w:r>
      <w:r w:rsidR="00DB08D1" w:rsidRPr="00012C3F">
        <w:rPr>
          <w:rFonts w:eastAsia="MS Mincho" w:cs="Arial"/>
          <w:sz w:val="20"/>
          <w:szCs w:val="20"/>
          <w:lang w:val="en-US" w:eastAsia="en-US" w:bidi="en-US"/>
        </w:rPr>
        <w:t xml:space="preserve">an </w:t>
      </w:r>
      <w:r w:rsidR="002961DA" w:rsidRPr="00012C3F">
        <w:rPr>
          <w:rFonts w:eastAsia="MS Mincho" w:cs="Arial"/>
          <w:sz w:val="20"/>
          <w:szCs w:val="20"/>
          <w:lang w:val="en-US" w:eastAsia="en-US" w:bidi="en-US"/>
        </w:rPr>
        <w:t xml:space="preserve">intention to request </w:t>
      </w:r>
      <w:r w:rsidR="00DB08D1" w:rsidRPr="00012C3F">
        <w:rPr>
          <w:rFonts w:eastAsia="MS Mincho" w:cs="Arial"/>
          <w:sz w:val="20"/>
          <w:szCs w:val="20"/>
          <w:lang w:val="en-US" w:eastAsia="en-US" w:bidi="en-US"/>
        </w:rPr>
        <w:t>reversal of</w:t>
      </w:r>
      <w:r w:rsidR="002961DA" w:rsidRPr="00012C3F">
        <w:rPr>
          <w:rFonts w:eastAsia="MS Mincho" w:cs="Arial"/>
          <w:sz w:val="20"/>
          <w:szCs w:val="20"/>
          <w:lang w:val="en-US" w:eastAsia="en-US" w:bidi="en-US"/>
        </w:rPr>
        <w:t xml:space="preserve"> the tubal ligation, and (v) </w:t>
      </w:r>
      <w:r w:rsidR="00DB08D1" w:rsidRPr="00012C3F">
        <w:rPr>
          <w:rFonts w:eastAsia="MS Mincho" w:cs="Arial"/>
          <w:sz w:val="20"/>
          <w:szCs w:val="20"/>
          <w:lang w:val="en-US" w:eastAsia="en-US" w:bidi="en-US"/>
        </w:rPr>
        <w:t xml:space="preserve">the fact that </w:t>
      </w:r>
      <w:r w:rsidR="002961DA" w:rsidRPr="00012C3F">
        <w:rPr>
          <w:rFonts w:eastAsia="MS Mincho" w:cs="Arial"/>
          <w:sz w:val="20"/>
          <w:szCs w:val="20"/>
          <w:lang w:val="en-US" w:eastAsia="en-US" w:bidi="en-US"/>
        </w:rPr>
        <w:t xml:space="preserve">during the domestic investigations and proceedings, which </w:t>
      </w:r>
      <w:r w:rsidR="00DB08D1" w:rsidRPr="00012C3F">
        <w:rPr>
          <w:rFonts w:eastAsia="MS Mincho" w:cs="Arial"/>
          <w:sz w:val="20"/>
          <w:szCs w:val="20"/>
          <w:lang w:val="en-US" w:eastAsia="en-US" w:bidi="en-US"/>
        </w:rPr>
        <w:t>I.V.</w:t>
      </w:r>
      <w:r w:rsidR="002961DA" w:rsidRPr="00012C3F">
        <w:rPr>
          <w:rFonts w:eastAsia="MS Mincho" w:cs="Arial"/>
          <w:sz w:val="20"/>
          <w:szCs w:val="20"/>
          <w:lang w:val="en-US" w:eastAsia="en-US" w:bidi="en-US"/>
        </w:rPr>
        <w:t xml:space="preserve"> had to promote </w:t>
      </w:r>
      <w:r w:rsidR="00DB08D1" w:rsidRPr="00012C3F">
        <w:rPr>
          <w:rFonts w:eastAsia="MS Mincho" w:cs="Arial"/>
          <w:sz w:val="20"/>
          <w:szCs w:val="20"/>
          <w:lang w:val="en-US" w:eastAsia="en-US" w:bidi="en-US"/>
        </w:rPr>
        <w:t>and</w:t>
      </w:r>
      <w:r w:rsidR="002961DA" w:rsidRPr="00012C3F">
        <w:rPr>
          <w:rFonts w:eastAsia="MS Mincho" w:cs="Arial"/>
          <w:sz w:val="20"/>
          <w:szCs w:val="20"/>
          <w:lang w:val="en-US" w:eastAsia="en-US" w:bidi="en-US"/>
        </w:rPr>
        <w:t xml:space="preserve"> take part in, she experienced</w:t>
      </w:r>
      <w:r w:rsidR="00DB08D1" w:rsidRPr="00012C3F">
        <w:rPr>
          <w:rFonts w:eastAsia="MS Mincho" w:cs="Arial"/>
          <w:sz w:val="20"/>
          <w:szCs w:val="20"/>
          <w:lang w:val="en-US" w:eastAsia="en-US" w:bidi="en-US"/>
        </w:rPr>
        <w:t xml:space="preserve"> constant</w:t>
      </w:r>
      <w:r w:rsidR="002961DA" w:rsidRPr="00012C3F">
        <w:rPr>
          <w:rFonts w:eastAsia="MS Mincho" w:cs="Arial"/>
          <w:sz w:val="20"/>
          <w:szCs w:val="20"/>
          <w:lang w:val="en-US" w:eastAsia="en-US" w:bidi="en-US"/>
        </w:rPr>
        <w:t xml:space="preserve"> re-victimization and</w:t>
      </w:r>
      <w:r w:rsidR="00DB08D1" w:rsidRPr="00012C3F">
        <w:rPr>
          <w:rFonts w:eastAsia="MS Mincho" w:cs="Arial"/>
          <w:sz w:val="20"/>
          <w:szCs w:val="20"/>
          <w:lang w:val="en-US" w:eastAsia="en-US" w:bidi="en-US"/>
        </w:rPr>
        <w:t xml:space="preserve"> was confronted by</w:t>
      </w:r>
      <w:r w:rsidR="002961DA" w:rsidRPr="00012C3F">
        <w:rPr>
          <w:rFonts w:eastAsia="MS Mincho" w:cs="Arial"/>
          <w:sz w:val="20"/>
          <w:szCs w:val="20"/>
          <w:lang w:val="en-US" w:eastAsia="en-US" w:bidi="en-US"/>
        </w:rPr>
        <w:t xml:space="preserve"> the corporate cover-up that the doctors provided to their colleagues.</w:t>
      </w:r>
    </w:p>
    <w:p w14:paraId="3E50DF10" w14:textId="77777777" w:rsidR="004B2395" w:rsidRPr="00012C3F" w:rsidRDefault="004B2395" w:rsidP="004B2395">
      <w:pPr>
        <w:tabs>
          <w:tab w:val="left" w:pos="567"/>
        </w:tabs>
        <w:spacing w:line="240" w:lineRule="auto"/>
        <w:rPr>
          <w:rFonts w:eastAsia="Calibri" w:cs="Arial"/>
          <w:sz w:val="20"/>
          <w:szCs w:val="20"/>
          <w:lang w:val="en-US"/>
        </w:rPr>
      </w:pPr>
    </w:p>
    <w:p w14:paraId="3F8A3697" w14:textId="77777777" w:rsidR="002423DE" w:rsidRPr="00012C3F" w:rsidRDefault="00A84CA0" w:rsidP="002961DA">
      <w:pPr>
        <w:widowControl/>
        <w:numPr>
          <w:ilvl w:val="0"/>
          <w:numId w:val="5"/>
        </w:numPr>
        <w:tabs>
          <w:tab w:val="left" w:pos="720"/>
          <w:tab w:val="num" w:pos="12305"/>
        </w:tabs>
        <w:autoSpaceDE w:val="0"/>
        <w:autoSpaceDN w:val="0"/>
        <w:adjustRightInd/>
        <w:spacing w:line="240" w:lineRule="auto"/>
        <w:ind w:left="0" w:right="-90" w:firstLine="0"/>
        <w:textAlignment w:val="auto"/>
        <w:rPr>
          <w:rFonts w:eastAsia="MS Mincho"/>
          <w:sz w:val="20"/>
          <w:szCs w:val="20"/>
          <w:lang w:val="en-US" w:eastAsia="en-US" w:bidi="en-US"/>
        </w:rPr>
      </w:pPr>
      <w:r w:rsidRPr="00012C3F">
        <w:rPr>
          <w:rFonts w:eastAsia="MS Mincho" w:cs="Arial"/>
          <w:sz w:val="20"/>
          <w:szCs w:val="20"/>
          <w:lang w:val="en-US" w:eastAsia="en-US" w:bidi="en-US"/>
        </w:rPr>
        <w:t xml:space="preserve">The </w:t>
      </w:r>
      <w:r w:rsidRPr="00012C3F">
        <w:rPr>
          <w:rFonts w:eastAsia="MS Mincho" w:cs="Arial"/>
          <w:b/>
          <w:bCs/>
          <w:i/>
          <w:iCs/>
          <w:sz w:val="20"/>
          <w:szCs w:val="20"/>
          <w:lang w:val="en-US" w:eastAsia="en-US" w:bidi="en-US"/>
        </w:rPr>
        <w:t>State</w:t>
      </w:r>
      <w:r w:rsidR="004B2395" w:rsidRPr="00012C3F">
        <w:rPr>
          <w:rFonts w:eastAsia="MS Mincho" w:cs="Arial"/>
          <w:sz w:val="20"/>
          <w:szCs w:val="20"/>
          <w:lang w:val="en-US" w:eastAsia="en-US" w:bidi="en-US"/>
        </w:rPr>
        <w:t xml:space="preserve"> </w:t>
      </w:r>
      <w:r w:rsidR="002423DE" w:rsidRPr="00012C3F">
        <w:rPr>
          <w:rFonts w:eastAsia="MS Mincho" w:cs="Arial"/>
          <w:sz w:val="20"/>
          <w:szCs w:val="20"/>
          <w:lang w:val="en-US" w:eastAsia="en-US" w:bidi="en-US"/>
        </w:rPr>
        <w:t>a</w:t>
      </w:r>
      <w:r w:rsidR="00FB2400" w:rsidRPr="00012C3F">
        <w:rPr>
          <w:rFonts w:eastAsia="MS Mincho" w:cs="Arial"/>
          <w:sz w:val="20"/>
          <w:szCs w:val="20"/>
          <w:lang w:val="en-US" w:eastAsia="en-US" w:bidi="en-US"/>
        </w:rPr>
        <w:t>rgued</w:t>
      </w:r>
      <w:r w:rsidR="002423DE" w:rsidRPr="00012C3F">
        <w:rPr>
          <w:rFonts w:eastAsia="MS Mincho" w:cs="Arial"/>
          <w:sz w:val="20"/>
          <w:szCs w:val="20"/>
          <w:lang w:val="en-US" w:eastAsia="en-US" w:bidi="en-US"/>
        </w:rPr>
        <w:t xml:space="preserve"> that I.V., by a “rational assessment and weighing </w:t>
      </w:r>
      <w:r w:rsidR="00DB08D1" w:rsidRPr="00012C3F">
        <w:rPr>
          <w:rFonts w:eastAsia="MS Mincho" w:cs="Arial"/>
          <w:sz w:val="20"/>
          <w:szCs w:val="20"/>
          <w:lang w:val="en-US" w:eastAsia="en-US" w:bidi="en-US"/>
        </w:rPr>
        <w:t xml:space="preserve">up </w:t>
      </w:r>
      <w:r w:rsidR="002423DE" w:rsidRPr="00012C3F">
        <w:rPr>
          <w:rFonts w:eastAsia="MS Mincho" w:cs="Arial"/>
          <w:sz w:val="20"/>
          <w:szCs w:val="20"/>
          <w:lang w:val="en-US" w:eastAsia="en-US" w:bidi="en-US"/>
        </w:rPr>
        <w:t xml:space="preserve">of her right to life versus her right to reproduction, with appropriate counseling, decided to safeguard her life in light of the imminent risk posed by a possible pregnancy, giving her consent to a tubal ligation, an autonomous decision, in which the State did not intervene.” Accordingly, the State considered that </w:t>
      </w:r>
      <w:r w:rsidR="00DB08D1" w:rsidRPr="00012C3F">
        <w:rPr>
          <w:rFonts w:eastAsia="MS Mincho" w:cs="Arial"/>
          <w:sz w:val="20"/>
          <w:szCs w:val="20"/>
          <w:lang w:val="en-US" w:eastAsia="en-US" w:bidi="en-US"/>
        </w:rPr>
        <w:t xml:space="preserve">I.V.’s </w:t>
      </w:r>
      <w:r w:rsidR="002423DE" w:rsidRPr="00012C3F">
        <w:rPr>
          <w:rFonts w:eastAsia="MS Mincho" w:cs="Arial"/>
          <w:sz w:val="20"/>
          <w:szCs w:val="20"/>
          <w:lang w:val="en-US" w:eastAsia="en-US" w:bidi="en-US"/>
        </w:rPr>
        <w:t xml:space="preserve">prior, free and voluntary consent meant that consent had been given to the tubal ligation and, therefore, the State had not interfered in the private sphere of her decisions or interfered arbitrarily or abusively in her private life, or with regard to her right to </w:t>
      </w:r>
      <w:r w:rsidR="00D64DA1" w:rsidRPr="00012C3F">
        <w:rPr>
          <w:rFonts w:eastAsia="MS Mincho" w:cs="Arial"/>
          <w:sz w:val="20"/>
          <w:szCs w:val="20"/>
          <w:lang w:val="en-US" w:eastAsia="en-US" w:bidi="en-US"/>
        </w:rPr>
        <w:t>raise</w:t>
      </w:r>
      <w:r w:rsidR="002423DE" w:rsidRPr="00012C3F">
        <w:rPr>
          <w:rFonts w:eastAsia="MS Mincho" w:cs="Arial"/>
          <w:sz w:val="20"/>
          <w:szCs w:val="20"/>
          <w:lang w:val="en-US" w:eastAsia="en-US" w:bidi="en-US"/>
        </w:rPr>
        <w:t xml:space="preserve"> a family. In addition, the State indicated that no causal nexus existed between the </w:t>
      </w:r>
      <w:r w:rsidR="00D64DA1" w:rsidRPr="00012C3F">
        <w:rPr>
          <w:rFonts w:eastAsia="MS Mincho" w:cs="Arial"/>
          <w:sz w:val="20"/>
          <w:szCs w:val="20"/>
          <w:lang w:val="en-US" w:eastAsia="en-US" w:bidi="en-US"/>
        </w:rPr>
        <w:t>procedure</w:t>
      </w:r>
      <w:r w:rsidR="002423DE" w:rsidRPr="00012C3F">
        <w:rPr>
          <w:rFonts w:eastAsia="MS Mincho" w:cs="Arial"/>
          <w:sz w:val="20"/>
          <w:szCs w:val="20"/>
          <w:lang w:val="en-US" w:eastAsia="en-US" w:bidi="en-US"/>
        </w:rPr>
        <w:t xml:space="preserve"> performed and the decision </w:t>
      </w:r>
      <w:r w:rsidR="00D64DA1" w:rsidRPr="00012C3F">
        <w:rPr>
          <w:rFonts w:eastAsia="MS Mincho" w:cs="Arial"/>
          <w:sz w:val="20"/>
          <w:szCs w:val="20"/>
          <w:lang w:val="en-US" w:eastAsia="en-US" w:bidi="en-US"/>
        </w:rPr>
        <w:t>to raise</w:t>
      </w:r>
      <w:r w:rsidR="002423DE" w:rsidRPr="00012C3F">
        <w:rPr>
          <w:rFonts w:eastAsia="MS Mincho" w:cs="Arial"/>
          <w:sz w:val="20"/>
          <w:szCs w:val="20"/>
          <w:lang w:val="en-US" w:eastAsia="en-US" w:bidi="en-US"/>
        </w:rPr>
        <w:t xml:space="preserve"> a family because, at the time, I.V. </w:t>
      </w:r>
      <w:r w:rsidR="00D64DA1" w:rsidRPr="00012C3F">
        <w:rPr>
          <w:rFonts w:eastAsia="MS Mincho" w:cs="Arial"/>
          <w:sz w:val="20"/>
          <w:szCs w:val="20"/>
          <w:lang w:val="en-US" w:eastAsia="en-US" w:bidi="en-US"/>
        </w:rPr>
        <w:t xml:space="preserve">had </w:t>
      </w:r>
      <w:r w:rsidR="002423DE" w:rsidRPr="00012C3F">
        <w:rPr>
          <w:rFonts w:eastAsia="MS Mincho" w:cs="Arial"/>
          <w:sz w:val="20"/>
          <w:szCs w:val="20"/>
          <w:lang w:val="en-US" w:eastAsia="en-US" w:bidi="en-US"/>
        </w:rPr>
        <w:t xml:space="preserve">already </w:t>
      </w:r>
      <w:r w:rsidR="00D64DA1" w:rsidRPr="00012C3F">
        <w:rPr>
          <w:rFonts w:eastAsia="MS Mincho" w:cs="Arial"/>
          <w:sz w:val="20"/>
          <w:szCs w:val="20"/>
          <w:lang w:val="en-US" w:eastAsia="en-US" w:bidi="en-US"/>
        </w:rPr>
        <w:t>founded</w:t>
      </w:r>
      <w:r w:rsidR="002423DE" w:rsidRPr="00012C3F">
        <w:rPr>
          <w:rFonts w:eastAsia="MS Mincho" w:cs="Arial"/>
          <w:sz w:val="20"/>
          <w:szCs w:val="20"/>
          <w:lang w:val="en-US" w:eastAsia="en-US" w:bidi="en-US"/>
        </w:rPr>
        <w:t xml:space="preserve"> a family. The State </w:t>
      </w:r>
      <w:r w:rsidR="00FB2400" w:rsidRPr="00012C3F">
        <w:rPr>
          <w:rFonts w:eastAsia="MS Mincho" w:cs="Arial"/>
          <w:sz w:val="20"/>
          <w:szCs w:val="20"/>
          <w:lang w:val="en-US" w:eastAsia="en-US" w:bidi="en-US"/>
        </w:rPr>
        <w:t>affirmed</w:t>
      </w:r>
      <w:r w:rsidR="002423DE" w:rsidRPr="00012C3F">
        <w:rPr>
          <w:rFonts w:eastAsia="MS Mincho" w:cs="Arial"/>
          <w:sz w:val="20"/>
          <w:szCs w:val="20"/>
          <w:lang w:val="en-US" w:eastAsia="en-US" w:bidi="en-US"/>
        </w:rPr>
        <w:t xml:space="preserve"> that the representative’s arguments were contradictory, because </w:t>
      </w:r>
      <w:r w:rsidR="00232F0D" w:rsidRPr="00012C3F">
        <w:rPr>
          <w:rFonts w:eastAsia="MS Mincho" w:cs="Arial"/>
          <w:sz w:val="20"/>
          <w:szCs w:val="20"/>
          <w:lang w:val="en-US" w:eastAsia="en-US" w:bidi="en-US"/>
        </w:rPr>
        <w:t xml:space="preserve">it contrasted the right of a man and a woman to </w:t>
      </w:r>
      <w:r w:rsidR="0081491F" w:rsidRPr="00012C3F">
        <w:rPr>
          <w:rFonts w:eastAsia="MS Mincho" w:cs="Arial"/>
          <w:sz w:val="20"/>
          <w:szCs w:val="20"/>
          <w:lang w:val="en-US" w:eastAsia="en-US" w:bidi="en-US"/>
        </w:rPr>
        <w:t>raise a family</w:t>
      </w:r>
      <w:r w:rsidR="00232F0D" w:rsidRPr="00012C3F">
        <w:rPr>
          <w:rFonts w:eastAsia="MS Mincho" w:cs="Arial"/>
          <w:sz w:val="20"/>
          <w:szCs w:val="20"/>
          <w:lang w:val="en-US" w:eastAsia="en-US" w:bidi="en-US"/>
        </w:rPr>
        <w:t>, a decision that should be taken by both of them, with the right that allows a woman to have absolute autonomy and control over her body. The State did not refer explicitly to I.V.’s right to protection of her dignity.</w:t>
      </w:r>
    </w:p>
    <w:bookmarkEnd w:id="123"/>
    <w:p w14:paraId="345D072A" w14:textId="77777777" w:rsidR="004B2395" w:rsidRPr="00012C3F" w:rsidRDefault="004B2395" w:rsidP="004B2395">
      <w:pPr>
        <w:tabs>
          <w:tab w:val="left" w:pos="567"/>
        </w:tabs>
        <w:spacing w:line="240" w:lineRule="auto"/>
        <w:rPr>
          <w:rFonts w:eastAsia="Calibri" w:cs="Arial"/>
          <w:sz w:val="20"/>
          <w:szCs w:val="20"/>
          <w:lang w:val="en-US" w:eastAsia="en-US"/>
        </w:rPr>
      </w:pPr>
    </w:p>
    <w:p w14:paraId="6FE89498" w14:textId="77777777" w:rsidR="004B2395" w:rsidRPr="00012C3F" w:rsidRDefault="004B2395" w:rsidP="0039676A">
      <w:pPr>
        <w:pStyle w:val="Ttulo2"/>
        <w:tabs>
          <w:tab w:val="left" w:pos="1701"/>
        </w:tabs>
        <w:spacing w:before="0" w:line="240" w:lineRule="auto"/>
        <w:ind w:left="1134"/>
        <w:rPr>
          <w:rFonts w:ascii="Verdana" w:hAnsi="Verdana"/>
          <w:b w:val="0"/>
          <w:i/>
          <w:color w:val="auto"/>
          <w:sz w:val="20"/>
          <w:szCs w:val="20"/>
          <w:lang w:val="en-US"/>
        </w:rPr>
      </w:pPr>
      <w:bookmarkStart w:id="124" w:name="_Toc445290348"/>
      <w:bookmarkStart w:id="125" w:name="_Toc27486858"/>
      <w:bookmarkStart w:id="126" w:name="_Toc416260586"/>
      <w:r w:rsidRPr="00012C3F">
        <w:rPr>
          <w:rFonts w:ascii="Verdana" w:hAnsi="Verdana"/>
          <w:b w:val="0"/>
          <w:i/>
          <w:color w:val="auto"/>
          <w:sz w:val="20"/>
          <w:szCs w:val="20"/>
          <w:lang w:val="en-US"/>
        </w:rPr>
        <w:t xml:space="preserve">A.4 </w:t>
      </w:r>
      <w:r w:rsidRPr="00012C3F">
        <w:rPr>
          <w:rFonts w:ascii="Verdana" w:hAnsi="Verdana"/>
          <w:b w:val="0"/>
          <w:i/>
          <w:color w:val="auto"/>
          <w:sz w:val="20"/>
          <w:szCs w:val="20"/>
          <w:lang w:val="en-US"/>
        </w:rPr>
        <w:tab/>
      </w:r>
      <w:r w:rsidR="006C705C" w:rsidRPr="00012C3F">
        <w:rPr>
          <w:rFonts w:ascii="Verdana" w:hAnsi="Verdana"/>
          <w:b w:val="0"/>
          <w:i/>
          <w:color w:val="auto"/>
          <w:sz w:val="20"/>
          <w:szCs w:val="20"/>
          <w:lang w:val="en-US"/>
        </w:rPr>
        <w:t>Arguments on the right</w:t>
      </w:r>
      <w:r w:rsidRPr="00012C3F">
        <w:rPr>
          <w:rFonts w:ascii="Verdana" w:hAnsi="Verdana"/>
          <w:b w:val="0"/>
          <w:i/>
          <w:color w:val="auto"/>
          <w:sz w:val="20"/>
          <w:szCs w:val="20"/>
          <w:lang w:val="en-US"/>
        </w:rPr>
        <w:t xml:space="preserve"> </w:t>
      </w:r>
      <w:r w:rsidR="006C705C" w:rsidRPr="00012C3F">
        <w:rPr>
          <w:rFonts w:ascii="Verdana" w:hAnsi="Verdana"/>
          <w:b w:val="0"/>
          <w:i/>
          <w:color w:val="auto"/>
          <w:sz w:val="20"/>
          <w:szCs w:val="20"/>
          <w:lang w:val="en-US"/>
        </w:rPr>
        <w:t>to recognition of juridical personality</w:t>
      </w:r>
      <w:r w:rsidRPr="00012C3F">
        <w:rPr>
          <w:rFonts w:ascii="Verdana" w:hAnsi="Verdana"/>
          <w:b w:val="0"/>
          <w:i/>
          <w:color w:val="auto"/>
          <w:sz w:val="20"/>
          <w:szCs w:val="20"/>
          <w:lang w:val="en-US"/>
        </w:rPr>
        <w:t xml:space="preserve"> (</w:t>
      </w:r>
      <w:r w:rsidR="001254DE" w:rsidRPr="00012C3F">
        <w:rPr>
          <w:rFonts w:ascii="Verdana" w:hAnsi="Verdana"/>
          <w:b w:val="0"/>
          <w:i/>
          <w:color w:val="auto"/>
          <w:sz w:val="20"/>
          <w:szCs w:val="20"/>
          <w:lang w:val="en-US"/>
        </w:rPr>
        <w:t>Article</w:t>
      </w:r>
      <w:r w:rsidRPr="00012C3F">
        <w:rPr>
          <w:rFonts w:ascii="Verdana" w:hAnsi="Verdana"/>
          <w:b w:val="0"/>
          <w:i/>
          <w:color w:val="auto"/>
          <w:sz w:val="20"/>
          <w:szCs w:val="20"/>
          <w:lang w:val="en-US"/>
        </w:rPr>
        <w:t xml:space="preserve"> 3</w:t>
      </w:r>
      <w:r w:rsidR="001254DE" w:rsidRPr="00012C3F">
        <w:rPr>
          <w:rFonts w:ascii="Verdana" w:hAnsi="Verdana"/>
          <w:b w:val="0"/>
          <w:i/>
          <w:color w:val="auto"/>
          <w:sz w:val="20"/>
          <w:szCs w:val="20"/>
          <w:lang w:val="en-US"/>
        </w:rPr>
        <w:t xml:space="preserve"> of the American Convention</w:t>
      </w:r>
      <w:r w:rsidRPr="00012C3F">
        <w:rPr>
          <w:rFonts w:ascii="Verdana" w:hAnsi="Verdana"/>
          <w:b w:val="0"/>
          <w:i/>
          <w:color w:val="auto"/>
          <w:sz w:val="20"/>
          <w:szCs w:val="20"/>
          <w:lang w:val="en-US"/>
        </w:rPr>
        <w:t>)</w:t>
      </w:r>
      <w:bookmarkEnd w:id="124"/>
      <w:bookmarkEnd w:id="125"/>
    </w:p>
    <w:p w14:paraId="48999037" w14:textId="77777777" w:rsidR="004B2395" w:rsidRPr="00012C3F" w:rsidRDefault="004B2395" w:rsidP="004B2395">
      <w:pPr>
        <w:widowControl/>
        <w:autoSpaceDE w:val="0"/>
        <w:autoSpaceDN w:val="0"/>
        <w:spacing w:line="240" w:lineRule="auto"/>
        <w:textAlignment w:val="auto"/>
        <w:rPr>
          <w:rFonts w:eastAsia="Calibri" w:cs="Arial"/>
          <w:sz w:val="20"/>
          <w:szCs w:val="20"/>
          <w:lang w:val="en-US" w:eastAsia="en-US"/>
        </w:rPr>
      </w:pPr>
    </w:p>
    <w:p w14:paraId="463E77B4" w14:textId="77777777" w:rsidR="00232F0D" w:rsidRPr="00012C3F" w:rsidRDefault="00972ACF" w:rsidP="00232F0D">
      <w:pPr>
        <w:widowControl/>
        <w:numPr>
          <w:ilvl w:val="0"/>
          <w:numId w:val="5"/>
        </w:numPr>
        <w:tabs>
          <w:tab w:val="left" w:pos="720"/>
          <w:tab w:val="num" w:pos="12305"/>
        </w:tabs>
        <w:adjustRightInd/>
        <w:spacing w:line="240" w:lineRule="auto"/>
        <w:ind w:left="0" w:right="-90" w:firstLine="0"/>
        <w:textAlignment w:val="auto"/>
        <w:rPr>
          <w:rFonts w:eastAsia="MS Mincho"/>
          <w:sz w:val="20"/>
          <w:szCs w:val="20"/>
          <w:lang w:val="en-US" w:eastAsia="en-US" w:bidi="en-US"/>
        </w:rPr>
      </w:pPr>
      <w:r w:rsidRPr="00012C3F">
        <w:rPr>
          <w:rFonts w:eastAsia="MS Mincho" w:cs="Arial"/>
          <w:sz w:val="20"/>
          <w:szCs w:val="20"/>
          <w:lang w:val="en-US" w:eastAsia="en-US" w:bidi="en-US"/>
        </w:rPr>
        <w:t xml:space="preserve">The </w:t>
      </w:r>
      <w:r w:rsidRPr="00012C3F">
        <w:rPr>
          <w:rFonts w:eastAsia="MS Mincho" w:cs="Arial"/>
          <w:b/>
          <w:bCs/>
          <w:i/>
          <w:iCs/>
          <w:sz w:val="20"/>
          <w:szCs w:val="20"/>
          <w:lang w:val="en-US" w:eastAsia="en-US" w:bidi="en-US"/>
        </w:rPr>
        <w:t>representative</w:t>
      </w:r>
      <w:r w:rsidR="004B2395" w:rsidRPr="00012C3F">
        <w:rPr>
          <w:rFonts w:eastAsia="MS Mincho" w:cs="Arial"/>
          <w:b/>
          <w:bCs/>
          <w:i/>
          <w:iCs/>
          <w:sz w:val="20"/>
          <w:szCs w:val="20"/>
          <w:lang w:val="en-US" w:eastAsia="en-US" w:bidi="en-US"/>
        </w:rPr>
        <w:t xml:space="preserve"> </w:t>
      </w:r>
      <w:r w:rsidR="00FB2400" w:rsidRPr="00012C3F">
        <w:rPr>
          <w:rFonts w:eastAsia="MS Mincho" w:cs="Arial"/>
          <w:sz w:val="20"/>
          <w:szCs w:val="20"/>
          <w:lang w:val="en-US" w:eastAsia="en-US" w:bidi="en-US"/>
        </w:rPr>
        <w:t>a</w:t>
      </w:r>
      <w:r w:rsidR="00505CB6" w:rsidRPr="00012C3F">
        <w:rPr>
          <w:rFonts w:eastAsia="MS Mincho" w:cs="Arial"/>
          <w:sz w:val="20"/>
          <w:szCs w:val="20"/>
          <w:lang w:val="en-US" w:eastAsia="en-US" w:bidi="en-US"/>
        </w:rPr>
        <w:t>rgued</w:t>
      </w:r>
      <w:r w:rsidR="00232F0D" w:rsidRPr="00012C3F">
        <w:rPr>
          <w:rFonts w:eastAsia="MS Mincho" w:cs="Arial"/>
          <w:sz w:val="20"/>
          <w:szCs w:val="20"/>
          <w:lang w:val="en-US" w:eastAsia="en-US" w:bidi="en-US"/>
        </w:rPr>
        <w:t xml:space="preserve"> that the right</w:t>
      </w:r>
      <w:r w:rsidR="004B2395" w:rsidRPr="00012C3F">
        <w:rPr>
          <w:rFonts w:eastAsia="MS Mincho" w:cs="Arial"/>
          <w:sz w:val="20"/>
          <w:szCs w:val="20"/>
          <w:lang w:val="en-US" w:eastAsia="en-US" w:bidi="en-US"/>
        </w:rPr>
        <w:t xml:space="preserve"> </w:t>
      </w:r>
      <w:r w:rsidR="006C705C" w:rsidRPr="00012C3F">
        <w:rPr>
          <w:rFonts w:eastAsia="MS Mincho" w:cs="Arial"/>
          <w:sz w:val="20"/>
          <w:szCs w:val="20"/>
          <w:lang w:val="en-US" w:eastAsia="en-US" w:bidi="en-US"/>
        </w:rPr>
        <w:t>to recognition of juridical personality</w:t>
      </w:r>
      <w:r w:rsidR="004B2395" w:rsidRPr="00012C3F">
        <w:rPr>
          <w:rFonts w:eastAsia="MS Mincho" w:cs="Arial"/>
          <w:sz w:val="20"/>
          <w:szCs w:val="20"/>
          <w:lang w:val="en-US" w:eastAsia="en-US" w:bidi="en-US"/>
        </w:rPr>
        <w:t xml:space="preserve"> </w:t>
      </w:r>
      <w:r w:rsidR="00232F0D" w:rsidRPr="00012C3F">
        <w:rPr>
          <w:rFonts w:eastAsia="MS Mincho" w:cs="Arial"/>
          <w:sz w:val="20"/>
          <w:szCs w:val="20"/>
          <w:lang w:val="en-US" w:eastAsia="en-US" w:bidi="en-US"/>
        </w:rPr>
        <w:t xml:space="preserve">was autonomous and </w:t>
      </w:r>
      <w:r w:rsidR="00FB2400" w:rsidRPr="00012C3F">
        <w:rPr>
          <w:rFonts w:eastAsia="MS Mincho" w:cs="Arial"/>
          <w:sz w:val="20"/>
          <w:szCs w:val="20"/>
          <w:lang w:val="en-US" w:eastAsia="en-US" w:bidi="en-US"/>
        </w:rPr>
        <w:t xml:space="preserve">it </w:t>
      </w:r>
      <w:r w:rsidR="00232F0D" w:rsidRPr="00012C3F">
        <w:rPr>
          <w:rFonts w:eastAsia="MS Mincho" w:cs="Arial"/>
          <w:sz w:val="20"/>
          <w:szCs w:val="20"/>
          <w:lang w:val="en-US" w:eastAsia="en-US" w:bidi="en-US"/>
        </w:rPr>
        <w:t xml:space="preserve">was not violated </w:t>
      </w:r>
      <w:r w:rsidR="00FB2400" w:rsidRPr="00012C3F">
        <w:rPr>
          <w:rFonts w:eastAsia="MS Mincho" w:cs="Arial"/>
          <w:sz w:val="20"/>
          <w:szCs w:val="20"/>
          <w:lang w:val="en-US" w:eastAsia="en-US" w:bidi="en-US"/>
        </w:rPr>
        <w:t xml:space="preserve">merely </w:t>
      </w:r>
      <w:r w:rsidR="00232F0D" w:rsidRPr="00012C3F">
        <w:rPr>
          <w:rFonts w:eastAsia="MS Mincho" w:cs="Arial"/>
          <w:sz w:val="20"/>
          <w:szCs w:val="20"/>
          <w:lang w:val="en-US" w:eastAsia="en-US" w:bidi="en-US"/>
        </w:rPr>
        <w:t xml:space="preserve">in cases of enforced disappearance. She considered that the medical team decided, unilaterally, to perform a tubal ligation on I.V.’s reproductive organ, without consulting her as to whether she consented to this procedure. </w:t>
      </w:r>
      <w:r w:rsidRPr="00012C3F">
        <w:rPr>
          <w:rFonts w:eastAsia="MS Mincho" w:cs="Arial"/>
          <w:sz w:val="20"/>
          <w:szCs w:val="20"/>
          <w:lang w:val="en-US" w:eastAsia="en-US" w:bidi="en-US"/>
        </w:rPr>
        <w:t>The representative</w:t>
      </w:r>
      <w:r w:rsidR="004B2395" w:rsidRPr="00012C3F">
        <w:rPr>
          <w:rFonts w:eastAsia="MS Mincho" w:cs="Arial"/>
          <w:sz w:val="20"/>
          <w:szCs w:val="20"/>
          <w:lang w:val="en-US" w:eastAsia="en-US" w:bidi="en-US"/>
        </w:rPr>
        <w:t xml:space="preserve"> </w:t>
      </w:r>
      <w:r w:rsidR="00232F0D" w:rsidRPr="00012C3F">
        <w:rPr>
          <w:rFonts w:eastAsia="MS Mincho" w:cs="Arial"/>
          <w:sz w:val="20"/>
          <w:szCs w:val="20"/>
          <w:lang w:val="en-US" w:eastAsia="en-US" w:bidi="en-US"/>
        </w:rPr>
        <w:t xml:space="preserve">argued that I.V. had the right to be recognized as a subject of rights by the medical team, but this did not </w:t>
      </w:r>
      <w:r w:rsidR="00FB2400" w:rsidRPr="00012C3F">
        <w:rPr>
          <w:rFonts w:eastAsia="MS Mincho" w:cs="Arial"/>
          <w:sz w:val="20"/>
          <w:szCs w:val="20"/>
          <w:lang w:val="en-US" w:eastAsia="en-US" w:bidi="en-US"/>
        </w:rPr>
        <w:t>happen</w:t>
      </w:r>
      <w:r w:rsidR="00232F0D" w:rsidRPr="00012C3F">
        <w:rPr>
          <w:rFonts w:eastAsia="MS Mincho" w:cs="Arial"/>
          <w:sz w:val="20"/>
          <w:szCs w:val="20"/>
          <w:lang w:val="en-US" w:eastAsia="en-US" w:bidi="en-US"/>
        </w:rPr>
        <w:t xml:space="preserve">, because </w:t>
      </w:r>
      <w:r w:rsidR="00FB2400" w:rsidRPr="00012C3F">
        <w:rPr>
          <w:rFonts w:eastAsia="MS Mincho" w:cs="Arial"/>
          <w:sz w:val="20"/>
          <w:szCs w:val="20"/>
          <w:lang w:val="en-US" w:eastAsia="en-US" w:bidi="en-US"/>
        </w:rPr>
        <w:t>the team</w:t>
      </w:r>
      <w:r w:rsidR="00232F0D" w:rsidRPr="00012C3F">
        <w:rPr>
          <w:rFonts w:eastAsia="MS Mincho" w:cs="Arial"/>
          <w:sz w:val="20"/>
          <w:szCs w:val="20"/>
          <w:lang w:val="en-US" w:eastAsia="en-US" w:bidi="en-US"/>
        </w:rPr>
        <w:t xml:space="preserve"> ignored the fact that the situation involved a woman with the right to decide autonomously about her private life, her humanity, her physical and emotional integrity</w:t>
      </w:r>
      <w:r w:rsidR="00FB2400" w:rsidRPr="00012C3F">
        <w:rPr>
          <w:rFonts w:eastAsia="MS Mincho" w:cs="Arial"/>
          <w:sz w:val="20"/>
          <w:szCs w:val="20"/>
          <w:lang w:val="en-US" w:eastAsia="en-US" w:bidi="en-US"/>
        </w:rPr>
        <w:t>,</w:t>
      </w:r>
      <w:r w:rsidR="00232F0D" w:rsidRPr="00012C3F">
        <w:rPr>
          <w:rFonts w:eastAsia="MS Mincho" w:cs="Arial"/>
          <w:sz w:val="20"/>
          <w:szCs w:val="20"/>
          <w:lang w:val="en-US" w:eastAsia="en-US" w:bidi="en-US"/>
        </w:rPr>
        <w:t xml:space="preserve"> and her reproductive rights. </w:t>
      </w:r>
      <w:r w:rsidRPr="00012C3F">
        <w:rPr>
          <w:rFonts w:eastAsia="MS Mincho" w:cs="Arial"/>
          <w:sz w:val="20"/>
          <w:szCs w:val="20"/>
          <w:lang w:val="en-US" w:eastAsia="en-US" w:bidi="en-US"/>
        </w:rPr>
        <w:t>The representative</w:t>
      </w:r>
      <w:r w:rsidR="004B2395" w:rsidRPr="00012C3F">
        <w:rPr>
          <w:rFonts w:eastAsia="MS Mincho" w:cs="Arial"/>
          <w:sz w:val="20"/>
          <w:szCs w:val="20"/>
          <w:lang w:val="en-US" w:eastAsia="en-US" w:bidi="en-US"/>
        </w:rPr>
        <w:t xml:space="preserve"> </w:t>
      </w:r>
      <w:r w:rsidR="00232F0D" w:rsidRPr="00012C3F">
        <w:rPr>
          <w:rFonts w:eastAsia="MS Mincho" w:cs="Arial"/>
          <w:sz w:val="20"/>
          <w:szCs w:val="20"/>
          <w:lang w:val="en-US" w:eastAsia="en-US" w:bidi="en-US"/>
        </w:rPr>
        <w:t>added that, even if the situation outlined by the State concerning I.V.’s verbal acceptance of the surgical procedure</w:t>
      </w:r>
      <w:r w:rsidR="00FB2400" w:rsidRPr="00012C3F">
        <w:rPr>
          <w:rFonts w:eastAsia="MS Mincho" w:cs="Arial"/>
          <w:sz w:val="20"/>
          <w:szCs w:val="20"/>
          <w:lang w:val="en-US" w:eastAsia="en-US" w:bidi="en-US"/>
        </w:rPr>
        <w:t xml:space="preserve"> were to be accepted</w:t>
      </w:r>
      <w:r w:rsidR="00232F0D" w:rsidRPr="00012C3F">
        <w:rPr>
          <w:rFonts w:eastAsia="MS Mincho" w:cs="Arial"/>
          <w:sz w:val="20"/>
          <w:szCs w:val="20"/>
          <w:lang w:val="en-US" w:eastAsia="en-US" w:bidi="en-US"/>
        </w:rPr>
        <w:t xml:space="preserve">, this was given at a moment in which I.V., who was under the complete control of the doctors and </w:t>
      </w:r>
      <w:r w:rsidR="00FB2400" w:rsidRPr="00012C3F">
        <w:rPr>
          <w:rFonts w:eastAsia="MS Mincho" w:cs="Arial"/>
          <w:sz w:val="20"/>
          <w:szCs w:val="20"/>
          <w:lang w:val="en-US" w:eastAsia="en-US" w:bidi="en-US"/>
        </w:rPr>
        <w:t>in the stressful and vulnerable setting of the operating theatre, did not have the cognitive capacity to understand fully what was happening; in other words, her capacity to act freely was annulled, even though this capacity is one of the essential elements of the juridical personality; thus, the said consent was invalid.</w:t>
      </w:r>
    </w:p>
    <w:p w14:paraId="6583198B" w14:textId="77777777" w:rsidR="004B2395" w:rsidRPr="00012C3F" w:rsidRDefault="004B2395" w:rsidP="00232F0D">
      <w:pPr>
        <w:widowControl/>
        <w:tabs>
          <w:tab w:val="left" w:pos="720"/>
        </w:tabs>
        <w:adjustRightInd/>
        <w:spacing w:line="240" w:lineRule="auto"/>
        <w:ind w:right="-90"/>
        <w:textAlignment w:val="auto"/>
        <w:rPr>
          <w:rFonts w:eastAsia="MS Mincho"/>
          <w:sz w:val="20"/>
          <w:szCs w:val="20"/>
          <w:lang w:val="en-US" w:eastAsia="en-US" w:bidi="en-US"/>
        </w:rPr>
      </w:pPr>
    </w:p>
    <w:p w14:paraId="7177CB93" w14:textId="77777777" w:rsidR="00FB2400" w:rsidRPr="00012C3F" w:rsidRDefault="00A84CA0" w:rsidP="00232F0D">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cs="Arial"/>
          <w:sz w:val="20"/>
          <w:szCs w:val="20"/>
          <w:lang w:val="en-US" w:eastAsia="en-US" w:bidi="en-US"/>
        </w:rPr>
        <w:t xml:space="preserve">The </w:t>
      </w:r>
      <w:r w:rsidRPr="00012C3F">
        <w:rPr>
          <w:rFonts w:eastAsia="MS Mincho" w:cs="Arial"/>
          <w:b/>
          <w:bCs/>
          <w:i/>
          <w:iCs/>
          <w:sz w:val="20"/>
          <w:szCs w:val="20"/>
          <w:lang w:val="en-US" w:eastAsia="en-US" w:bidi="en-US"/>
        </w:rPr>
        <w:t>State</w:t>
      </w:r>
      <w:r w:rsidR="004B2395" w:rsidRPr="00012C3F">
        <w:rPr>
          <w:rFonts w:eastAsia="MS Mincho" w:cs="Arial"/>
          <w:sz w:val="20"/>
          <w:szCs w:val="20"/>
          <w:lang w:val="en-US" w:eastAsia="en-US" w:bidi="en-US"/>
        </w:rPr>
        <w:t xml:space="preserve"> </w:t>
      </w:r>
      <w:r w:rsidR="00FB2400" w:rsidRPr="00012C3F">
        <w:rPr>
          <w:rFonts w:eastAsia="MS Mincho" w:cs="Arial"/>
          <w:sz w:val="20"/>
          <w:szCs w:val="20"/>
          <w:lang w:val="en-US" w:eastAsia="en-US" w:bidi="en-US"/>
        </w:rPr>
        <w:t>argued that</w:t>
      </w:r>
      <w:r w:rsidR="004B2395" w:rsidRPr="00012C3F">
        <w:rPr>
          <w:rFonts w:eastAsia="MS Mincho" w:cs="Arial"/>
          <w:sz w:val="20"/>
          <w:szCs w:val="20"/>
          <w:lang w:val="en-US" w:eastAsia="en-US" w:bidi="en-US"/>
        </w:rPr>
        <w:t xml:space="preserve"> “</w:t>
      </w:r>
      <w:r w:rsidR="00FB2400" w:rsidRPr="00012C3F">
        <w:rPr>
          <w:rFonts w:eastAsia="MS Mincho" w:cs="Arial"/>
          <w:sz w:val="20"/>
          <w:szCs w:val="20"/>
          <w:lang w:val="en-US" w:eastAsia="en-US" w:bidi="en-US"/>
        </w:rPr>
        <w:t>in this specific case</w:t>
      </w:r>
      <w:r w:rsidR="000D309F" w:rsidRPr="00012C3F">
        <w:rPr>
          <w:rFonts w:eastAsia="MS Mincho" w:cs="Arial"/>
          <w:sz w:val="20"/>
          <w:szCs w:val="20"/>
          <w:lang w:val="en-US" w:eastAsia="en-US" w:bidi="en-US"/>
        </w:rPr>
        <w:t>,</w:t>
      </w:r>
      <w:r w:rsidR="004B2395" w:rsidRPr="00012C3F">
        <w:rPr>
          <w:rFonts w:eastAsia="MS Mincho" w:cs="Arial"/>
          <w:sz w:val="20"/>
          <w:szCs w:val="20"/>
          <w:lang w:val="en-US" w:eastAsia="en-US" w:bidi="en-US"/>
        </w:rPr>
        <w:t xml:space="preserve"> </w:t>
      </w:r>
      <w:r w:rsidR="000E1C11" w:rsidRPr="00012C3F">
        <w:rPr>
          <w:rFonts w:eastAsia="MS Mincho" w:cs="Arial"/>
          <w:sz w:val="20"/>
          <w:szCs w:val="20"/>
          <w:lang w:val="en-US" w:eastAsia="en-US" w:bidi="en-US"/>
        </w:rPr>
        <w:t>I.V.</w:t>
      </w:r>
      <w:r w:rsidR="004B2395" w:rsidRPr="00012C3F">
        <w:rPr>
          <w:rFonts w:eastAsia="MS Mincho" w:cs="Arial"/>
          <w:sz w:val="20"/>
          <w:szCs w:val="20"/>
          <w:lang w:val="en-US" w:eastAsia="en-US" w:bidi="en-US"/>
        </w:rPr>
        <w:t xml:space="preserve"> </w:t>
      </w:r>
      <w:r w:rsidR="00FB2400" w:rsidRPr="00012C3F">
        <w:rPr>
          <w:rFonts w:eastAsia="MS Mincho" w:cs="Arial"/>
          <w:sz w:val="20"/>
          <w:szCs w:val="20"/>
          <w:lang w:val="en-US" w:eastAsia="en-US" w:bidi="en-US"/>
        </w:rPr>
        <w:t xml:space="preserve">was not annulled as a subject of rights and obligations, because she was able to exercise them at all times before public institutions (hospitals – in the exercise of her right to health) and jurisdictional organs, in order to denounce the perpetration of presumed offenses” and it considered that there were no grounds for analyzing </w:t>
      </w:r>
      <w:r w:rsidR="007C64CC" w:rsidRPr="00012C3F">
        <w:rPr>
          <w:rFonts w:eastAsia="MS Mincho" w:cs="Arial"/>
          <w:sz w:val="20"/>
          <w:szCs w:val="20"/>
          <w:lang w:val="en-US" w:eastAsia="en-US" w:bidi="en-US"/>
        </w:rPr>
        <w:t>“a presumed violation of I.V.’s right to juridical personality, as if the facts constituted an enforced disappearance.”</w:t>
      </w:r>
    </w:p>
    <w:p w14:paraId="1BC9BDB1" w14:textId="77777777" w:rsidR="004B2395" w:rsidRPr="00012C3F" w:rsidRDefault="004B2395" w:rsidP="00232F0D">
      <w:pPr>
        <w:tabs>
          <w:tab w:val="left" w:pos="720"/>
        </w:tabs>
        <w:spacing w:line="240" w:lineRule="auto"/>
        <w:rPr>
          <w:rFonts w:eastAsia="MS Mincho"/>
          <w:sz w:val="20"/>
          <w:szCs w:val="20"/>
          <w:lang w:val="en-US" w:eastAsia="en-US" w:bidi="en-US"/>
        </w:rPr>
      </w:pPr>
    </w:p>
    <w:p w14:paraId="257EE95F" w14:textId="77777777" w:rsidR="004B2395" w:rsidRPr="00012C3F" w:rsidRDefault="00BD056C" w:rsidP="00232F0D">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cs="Arial"/>
          <w:sz w:val="20"/>
          <w:szCs w:val="20"/>
          <w:lang w:val="en-US" w:eastAsia="en-US" w:bidi="en-US"/>
        </w:rPr>
        <w:t xml:space="preserve">The </w:t>
      </w:r>
      <w:r w:rsidRPr="00012C3F">
        <w:rPr>
          <w:rFonts w:eastAsia="MS Mincho" w:cs="Arial"/>
          <w:b/>
          <w:bCs/>
          <w:i/>
          <w:iCs/>
          <w:sz w:val="20"/>
          <w:szCs w:val="20"/>
          <w:lang w:val="en-US" w:eastAsia="en-US" w:bidi="en-US"/>
        </w:rPr>
        <w:t>Commission</w:t>
      </w:r>
      <w:r w:rsidR="004B2395" w:rsidRPr="00012C3F">
        <w:rPr>
          <w:rFonts w:eastAsia="MS Mincho" w:cs="Arial"/>
          <w:sz w:val="20"/>
          <w:szCs w:val="20"/>
          <w:lang w:val="en-US" w:eastAsia="en-US" w:bidi="en-US"/>
        </w:rPr>
        <w:t xml:space="preserve"> </w:t>
      </w:r>
      <w:r w:rsidR="00232F0D" w:rsidRPr="00012C3F">
        <w:rPr>
          <w:rFonts w:eastAsia="MS Mincho" w:cs="Arial"/>
          <w:sz w:val="20"/>
          <w:szCs w:val="20"/>
          <w:lang w:val="en-US" w:eastAsia="en-US" w:bidi="en-US"/>
        </w:rPr>
        <w:t>made no explicit reference to this right.</w:t>
      </w:r>
    </w:p>
    <w:bookmarkEnd w:id="126"/>
    <w:p w14:paraId="10CBB296" w14:textId="77777777" w:rsidR="004B2395" w:rsidRPr="00012C3F" w:rsidRDefault="004B2395" w:rsidP="00232F0D">
      <w:pPr>
        <w:tabs>
          <w:tab w:val="left" w:pos="720"/>
        </w:tabs>
        <w:spacing w:line="240" w:lineRule="auto"/>
        <w:rPr>
          <w:rFonts w:eastAsia="MS Mincho"/>
          <w:sz w:val="20"/>
          <w:szCs w:val="20"/>
          <w:lang w:val="en-US" w:eastAsia="en-US" w:bidi="en-US"/>
        </w:rPr>
      </w:pPr>
    </w:p>
    <w:p w14:paraId="718EEC7F" w14:textId="77777777" w:rsidR="004B2395" w:rsidRPr="00012C3F" w:rsidRDefault="004B2395" w:rsidP="00232F0D">
      <w:pPr>
        <w:pStyle w:val="Ttulo2"/>
        <w:tabs>
          <w:tab w:val="left" w:pos="720"/>
          <w:tab w:val="left" w:pos="1701"/>
        </w:tabs>
        <w:spacing w:before="0" w:line="240" w:lineRule="auto"/>
        <w:ind w:left="1134"/>
        <w:rPr>
          <w:rFonts w:ascii="Verdana" w:hAnsi="Verdana"/>
          <w:b w:val="0"/>
          <w:i/>
          <w:color w:val="auto"/>
          <w:sz w:val="20"/>
          <w:szCs w:val="20"/>
          <w:lang w:val="en-US"/>
        </w:rPr>
      </w:pPr>
      <w:bookmarkStart w:id="127" w:name="_Toc27486859"/>
      <w:r w:rsidRPr="00012C3F">
        <w:rPr>
          <w:rFonts w:ascii="Verdana" w:hAnsi="Verdana"/>
          <w:b w:val="0"/>
          <w:i/>
          <w:color w:val="auto"/>
          <w:sz w:val="20"/>
          <w:szCs w:val="20"/>
          <w:lang w:val="en-US"/>
        </w:rPr>
        <w:t>A.</w:t>
      </w:r>
      <w:r w:rsidR="00885EE8" w:rsidRPr="00012C3F">
        <w:rPr>
          <w:rFonts w:ascii="Verdana" w:hAnsi="Verdana"/>
          <w:b w:val="0"/>
          <w:i/>
          <w:color w:val="auto"/>
          <w:sz w:val="20"/>
          <w:szCs w:val="20"/>
          <w:lang w:val="en-US"/>
        </w:rPr>
        <w:t>5</w:t>
      </w:r>
      <w:r w:rsidRPr="00012C3F">
        <w:rPr>
          <w:rFonts w:ascii="Verdana" w:hAnsi="Verdana"/>
          <w:b w:val="0"/>
          <w:i/>
          <w:color w:val="auto"/>
          <w:sz w:val="20"/>
          <w:szCs w:val="20"/>
          <w:lang w:val="en-US"/>
        </w:rPr>
        <w:tab/>
      </w:r>
      <w:r w:rsidR="006C705C" w:rsidRPr="00012C3F">
        <w:rPr>
          <w:rFonts w:ascii="Verdana" w:hAnsi="Verdana"/>
          <w:b w:val="0"/>
          <w:i/>
          <w:color w:val="auto"/>
          <w:sz w:val="20"/>
          <w:szCs w:val="20"/>
          <w:lang w:val="en-US"/>
        </w:rPr>
        <w:t>Arguments on the</w:t>
      </w:r>
      <w:r w:rsidR="007305A3" w:rsidRPr="00012C3F">
        <w:rPr>
          <w:rFonts w:ascii="Verdana" w:hAnsi="Verdana"/>
          <w:b w:val="0"/>
          <w:i/>
          <w:color w:val="auto"/>
          <w:sz w:val="20"/>
          <w:szCs w:val="20"/>
          <w:lang w:val="en-US"/>
        </w:rPr>
        <w:t xml:space="preserve"> </w:t>
      </w:r>
      <w:r w:rsidR="007C64CC" w:rsidRPr="00012C3F">
        <w:rPr>
          <w:rFonts w:ascii="Verdana" w:hAnsi="Verdana"/>
          <w:b w:val="0"/>
          <w:i/>
          <w:color w:val="auto"/>
          <w:sz w:val="20"/>
          <w:szCs w:val="20"/>
          <w:lang w:val="en-US"/>
        </w:rPr>
        <w:t>prohibition of discrimination in relation to the alleged non-consensual sterilization</w:t>
      </w:r>
      <w:r w:rsidRPr="00012C3F">
        <w:rPr>
          <w:rFonts w:ascii="Verdana" w:hAnsi="Verdana"/>
          <w:b w:val="0"/>
          <w:i/>
          <w:color w:val="auto"/>
          <w:sz w:val="20"/>
          <w:szCs w:val="20"/>
          <w:lang w:val="en-US"/>
        </w:rPr>
        <w:t xml:space="preserve"> (</w:t>
      </w:r>
      <w:r w:rsidR="001254DE" w:rsidRPr="00012C3F">
        <w:rPr>
          <w:rFonts w:ascii="Verdana" w:hAnsi="Verdana"/>
          <w:b w:val="0"/>
          <w:i/>
          <w:color w:val="auto"/>
          <w:sz w:val="20"/>
          <w:szCs w:val="20"/>
          <w:lang w:val="en-US"/>
        </w:rPr>
        <w:t>Article</w:t>
      </w:r>
      <w:r w:rsidR="00B2417E" w:rsidRPr="00012C3F">
        <w:rPr>
          <w:rFonts w:ascii="Verdana" w:hAnsi="Verdana"/>
          <w:b w:val="0"/>
          <w:i/>
          <w:color w:val="auto"/>
          <w:sz w:val="20"/>
          <w:szCs w:val="20"/>
          <w:lang w:val="en-US"/>
        </w:rPr>
        <w:t xml:space="preserve"> </w:t>
      </w:r>
      <w:r w:rsidR="005E5012" w:rsidRPr="00012C3F">
        <w:rPr>
          <w:rFonts w:ascii="Verdana" w:hAnsi="Verdana"/>
          <w:b w:val="0"/>
          <w:i/>
          <w:color w:val="auto"/>
          <w:sz w:val="20"/>
          <w:szCs w:val="20"/>
          <w:lang w:val="en-US"/>
        </w:rPr>
        <w:t>1(1)</w:t>
      </w:r>
      <w:r w:rsidR="001254DE" w:rsidRPr="00012C3F">
        <w:rPr>
          <w:rFonts w:ascii="Verdana" w:hAnsi="Verdana"/>
          <w:b w:val="0"/>
          <w:i/>
          <w:color w:val="auto"/>
          <w:sz w:val="20"/>
          <w:szCs w:val="20"/>
          <w:lang w:val="en-US"/>
        </w:rPr>
        <w:t xml:space="preserve"> of the American Convention</w:t>
      </w:r>
      <w:r w:rsidR="00B2417E" w:rsidRPr="00012C3F">
        <w:rPr>
          <w:rFonts w:ascii="Verdana" w:hAnsi="Verdana"/>
          <w:b w:val="0"/>
          <w:i/>
          <w:color w:val="auto"/>
          <w:sz w:val="20"/>
          <w:szCs w:val="20"/>
          <w:lang w:val="en-US"/>
        </w:rPr>
        <w:t xml:space="preserve"> </w:t>
      </w:r>
      <w:r w:rsidR="006C705C" w:rsidRPr="00012C3F">
        <w:rPr>
          <w:rFonts w:ascii="Verdana" w:hAnsi="Verdana"/>
          <w:b w:val="0"/>
          <w:i/>
          <w:color w:val="auto"/>
          <w:sz w:val="20"/>
          <w:szCs w:val="20"/>
          <w:lang w:val="en-US"/>
        </w:rPr>
        <w:t>in relation to</w:t>
      </w:r>
      <w:r w:rsidR="00B2417E" w:rsidRPr="00012C3F">
        <w:rPr>
          <w:rFonts w:ascii="Verdana" w:hAnsi="Verdana"/>
          <w:b w:val="0"/>
          <w:i/>
          <w:color w:val="auto"/>
          <w:sz w:val="20"/>
          <w:szCs w:val="20"/>
          <w:lang w:val="en-US"/>
        </w:rPr>
        <w:t xml:space="preserve"> </w:t>
      </w:r>
      <w:r w:rsidR="001254DE" w:rsidRPr="00012C3F">
        <w:rPr>
          <w:rFonts w:ascii="Verdana" w:hAnsi="Verdana"/>
          <w:b w:val="0"/>
          <w:i/>
          <w:color w:val="auto"/>
          <w:sz w:val="20"/>
          <w:szCs w:val="20"/>
          <w:lang w:val="en-US"/>
        </w:rPr>
        <w:t>Articles</w:t>
      </w:r>
      <w:r w:rsidRPr="00012C3F">
        <w:rPr>
          <w:rFonts w:ascii="Verdana" w:hAnsi="Verdana"/>
          <w:b w:val="0"/>
          <w:i/>
          <w:color w:val="auto"/>
          <w:sz w:val="20"/>
          <w:szCs w:val="20"/>
          <w:lang w:val="en-US"/>
        </w:rPr>
        <w:t xml:space="preserve"> </w:t>
      </w:r>
      <w:r w:rsidR="005E5012" w:rsidRPr="00012C3F">
        <w:rPr>
          <w:rFonts w:ascii="Verdana" w:hAnsi="Verdana"/>
          <w:b w:val="0"/>
          <w:i/>
          <w:color w:val="auto"/>
          <w:sz w:val="20"/>
          <w:szCs w:val="20"/>
          <w:lang w:val="en-US"/>
        </w:rPr>
        <w:t>5(1)</w:t>
      </w:r>
      <w:r w:rsidRPr="00012C3F">
        <w:rPr>
          <w:rFonts w:ascii="Verdana" w:hAnsi="Verdana"/>
          <w:b w:val="0"/>
          <w:i/>
          <w:color w:val="auto"/>
          <w:sz w:val="20"/>
          <w:szCs w:val="20"/>
          <w:lang w:val="en-US"/>
        </w:rPr>
        <w:t>, 1</w:t>
      </w:r>
      <w:r w:rsidR="005E5012" w:rsidRPr="00012C3F">
        <w:rPr>
          <w:rFonts w:ascii="Verdana" w:hAnsi="Verdana"/>
          <w:b w:val="0"/>
          <w:i/>
          <w:color w:val="auto"/>
          <w:sz w:val="20"/>
          <w:szCs w:val="20"/>
          <w:lang w:val="en-US"/>
        </w:rPr>
        <w:t>1(1)</w:t>
      </w:r>
      <w:r w:rsidR="0039676A" w:rsidRPr="00012C3F">
        <w:rPr>
          <w:rFonts w:ascii="Verdana" w:hAnsi="Verdana"/>
          <w:b w:val="0"/>
          <w:i/>
          <w:color w:val="auto"/>
          <w:sz w:val="20"/>
          <w:szCs w:val="20"/>
          <w:lang w:val="en-US"/>
        </w:rPr>
        <w:t xml:space="preserve">, </w:t>
      </w:r>
      <w:r w:rsidR="005E5012" w:rsidRPr="00012C3F">
        <w:rPr>
          <w:rFonts w:ascii="Verdana" w:hAnsi="Verdana"/>
          <w:b w:val="0"/>
          <w:i/>
          <w:color w:val="auto"/>
          <w:sz w:val="20"/>
          <w:szCs w:val="20"/>
          <w:lang w:val="en-US"/>
        </w:rPr>
        <w:t>11(2)</w:t>
      </w:r>
      <w:r w:rsidR="0039676A" w:rsidRPr="00012C3F">
        <w:rPr>
          <w:rFonts w:ascii="Verdana" w:hAnsi="Verdana"/>
          <w:b w:val="0"/>
          <w:i/>
          <w:color w:val="auto"/>
          <w:sz w:val="20"/>
          <w:szCs w:val="20"/>
          <w:lang w:val="en-US"/>
        </w:rPr>
        <w:t xml:space="preserve">, </w:t>
      </w:r>
      <w:r w:rsidR="005E5012" w:rsidRPr="00012C3F">
        <w:rPr>
          <w:rFonts w:ascii="Verdana" w:hAnsi="Verdana"/>
          <w:b w:val="0"/>
          <w:i/>
          <w:color w:val="auto"/>
          <w:sz w:val="20"/>
          <w:szCs w:val="20"/>
          <w:lang w:val="en-US"/>
        </w:rPr>
        <w:t>13(1) and 17(2)</w:t>
      </w:r>
      <w:r w:rsidR="00B2417E" w:rsidRPr="00012C3F">
        <w:rPr>
          <w:rFonts w:ascii="Verdana" w:hAnsi="Verdana"/>
          <w:b w:val="0"/>
          <w:i/>
          <w:color w:val="auto"/>
          <w:sz w:val="20"/>
          <w:szCs w:val="20"/>
          <w:lang w:val="en-US"/>
        </w:rPr>
        <w:t xml:space="preserve"> </w:t>
      </w:r>
      <w:r w:rsidR="006C705C" w:rsidRPr="00012C3F">
        <w:rPr>
          <w:rFonts w:ascii="Verdana" w:hAnsi="Verdana"/>
          <w:b w:val="0"/>
          <w:i/>
          <w:color w:val="auto"/>
          <w:sz w:val="20"/>
          <w:szCs w:val="20"/>
          <w:lang w:val="en-US"/>
        </w:rPr>
        <w:t>of this instrument</w:t>
      </w:r>
      <w:r w:rsidRPr="00012C3F">
        <w:rPr>
          <w:rFonts w:ascii="Verdana" w:hAnsi="Verdana"/>
          <w:b w:val="0"/>
          <w:i/>
          <w:color w:val="auto"/>
          <w:sz w:val="20"/>
          <w:szCs w:val="20"/>
          <w:lang w:val="en-US"/>
        </w:rPr>
        <w:t>)</w:t>
      </w:r>
      <w:bookmarkEnd w:id="127"/>
    </w:p>
    <w:p w14:paraId="1313B355" w14:textId="77777777" w:rsidR="004B2395" w:rsidRPr="00012C3F" w:rsidRDefault="004B2395" w:rsidP="00232F0D">
      <w:pPr>
        <w:tabs>
          <w:tab w:val="left" w:pos="720"/>
        </w:tabs>
        <w:autoSpaceDE w:val="0"/>
        <w:autoSpaceDN w:val="0"/>
        <w:spacing w:line="240" w:lineRule="auto"/>
        <w:rPr>
          <w:sz w:val="20"/>
          <w:szCs w:val="20"/>
          <w:lang w:val="en-US"/>
        </w:rPr>
      </w:pPr>
    </w:p>
    <w:p w14:paraId="75D38CA2" w14:textId="77777777" w:rsidR="007C64CC" w:rsidRPr="00012C3F" w:rsidRDefault="00BD056C" w:rsidP="00232F0D">
      <w:pPr>
        <w:numPr>
          <w:ilvl w:val="0"/>
          <w:numId w:val="5"/>
        </w:numPr>
        <w:tabs>
          <w:tab w:val="left" w:pos="720"/>
          <w:tab w:val="num" w:pos="12305"/>
        </w:tabs>
        <w:spacing w:line="240" w:lineRule="auto"/>
        <w:ind w:left="0" w:firstLine="0"/>
        <w:rPr>
          <w:rFonts w:eastAsiaTheme="minorHAnsi" w:cs="Arial"/>
          <w:bCs/>
          <w:sz w:val="20"/>
          <w:szCs w:val="20"/>
          <w:lang w:val="en-US" w:eastAsia="en-US"/>
        </w:rPr>
      </w:pPr>
      <w:r w:rsidRPr="00012C3F">
        <w:rPr>
          <w:rFonts w:eastAsiaTheme="minorHAnsi" w:cs="Arial"/>
          <w:bCs/>
          <w:sz w:val="20"/>
          <w:szCs w:val="20"/>
          <w:lang w:val="en-US" w:eastAsia="en-US"/>
        </w:rPr>
        <w:t xml:space="preserve">The </w:t>
      </w:r>
      <w:r w:rsidRPr="00012C3F">
        <w:rPr>
          <w:rFonts w:eastAsiaTheme="minorHAnsi" w:cs="Arial"/>
          <w:b/>
          <w:i/>
          <w:iCs/>
          <w:sz w:val="20"/>
          <w:szCs w:val="20"/>
          <w:lang w:val="en-US" w:eastAsia="en-US"/>
        </w:rPr>
        <w:t>Commission</w:t>
      </w:r>
      <w:r w:rsidR="004B2395" w:rsidRPr="00012C3F">
        <w:rPr>
          <w:rFonts w:eastAsiaTheme="minorHAnsi" w:cs="Arial"/>
          <w:bCs/>
          <w:sz w:val="20"/>
          <w:szCs w:val="20"/>
          <w:lang w:val="en-US" w:eastAsia="en-US"/>
        </w:rPr>
        <w:t xml:space="preserve"> </w:t>
      </w:r>
      <w:r w:rsidR="007C64CC" w:rsidRPr="00012C3F">
        <w:rPr>
          <w:rFonts w:eastAsiaTheme="minorHAnsi" w:cs="Arial"/>
          <w:bCs/>
          <w:sz w:val="20"/>
          <w:szCs w:val="20"/>
          <w:lang w:val="en-US" w:eastAsia="en-US"/>
        </w:rPr>
        <w:t>indicated that</w:t>
      </w:r>
      <w:r w:rsidR="004B2395" w:rsidRPr="00012C3F">
        <w:rPr>
          <w:rFonts w:eastAsiaTheme="minorHAnsi" w:cs="Arial"/>
          <w:bCs/>
          <w:sz w:val="20"/>
          <w:szCs w:val="20"/>
          <w:lang w:val="en-US" w:eastAsia="en-US"/>
        </w:rPr>
        <w:t xml:space="preserve"> </w:t>
      </w:r>
      <w:r w:rsidR="000E1C11" w:rsidRPr="00012C3F">
        <w:rPr>
          <w:rFonts w:eastAsiaTheme="minorHAnsi" w:cs="Arial"/>
          <w:bCs/>
          <w:sz w:val="20"/>
          <w:szCs w:val="20"/>
          <w:lang w:val="en-US" w:eastAsia="en-US"/>
        </w:rPr>
        <w:t>I.V.</w:t>
      </w:r>
      <w:r w:rsidR="004B2395" w:rsidRPr="00012C3F">
        <w:rPr>
          <w:rFonts w:eastAsiaTheme="minorHAnsi" w:cs="Arial"/>
          <w:bCs/>
          <w:sz w:val="20"/>
          <w:szCs w:val="20"/>
          <w:lang w:val="en-US" w:eastAsia="en-US"/>
        </w:rPr>
        <w:t xml:space="preserve"> </w:t>
      </w:r>
      <w:r w:rsidR="007C64CC" w:rsidRPr="00012C3F">
        <w:rPr>
          <w:rFonts w:eastAsiaTheme="minorHAnsi" w:cs="Arial"/>
          <w:bCs/>
          <w:sz w:val="20"/>
          <w:szCs w:val="20"/>
          <w:lang w:val="en-US" w:eastAsia="en-US"/>
        </w:rPr>
        <w:t xml:space="preserve">was the victim of sterilization without her consent in a </w:t>
      </w:r>
      <w:r w:rsidR="007C64CC" w:rsidRPr="00012C3F">
        <w:rPr>
          <w:rFonts w:eastAsiaTheme="minorHAnsi" w:cs="Arial"/>
          <w:bCs/>
          <w:sz w:val="20"/>
          <w:szCs w:val="20"/>
          <w:lang w:val="en-US" w:eastAsia="en-US"/>
        </w:rPr>
        <w:lastRenderedPageBreak/>
        <w:t xml:space="preserve">public health institution and, as a result, permanently lost her ability to procreate and suffered psychological aftereffects, added to “the humiliation she was subjected to as the victim of a surgical procedure on her body for which her opinion was not taken into consideration, thereby violating her reproductive autonomy.” It indicated that an international consensus existed that non-consensual sterilization constituted a form of violence against women in which a series of human rights are infringed. </w:t>
      </w:r>
      <w:r w:rsidR="009C4168" w:rsidRPr="00012C3F">
        <w:rPr>
          <w:rFonts w:eastAsiaTheme="minorHAnsi" w:cs="Arial"/>
          <w:bCs/>
          <w:sz w:val="20"/>
          <w:szCs w:val="20"/>
          <w:lang w:val="en-US" w:eastAsia="en-US"/>
        </w:rPr>
        <w:t>The Commission</w:t>
      </w:r>
      <w:r w:rsidR="007C64CC" w:rsidRPr="00012C3F">
        <w:rPr>
          <w:rFonts w:eastAsiaTheme="minorHAnsi" w:cs="Arial"/>
          <w:bCs/>
          <w:sz w:val="20"/>
          <w:szCs w:val="20"/>
          <w:lang w:val="en-US" w:eastAsia="en-US"/>
        </w:rPr>
        <w:t xml:space="preserve"> added that, in the </w:t>
      </w:r>
      <w:r w:rsidR="009C4168" w:rsidRPr="00012C3F">
        <w:rPr>
          <w:rFonts w:eastAsiaTheme="minorHAnsi" w:cs="Arial"/>
          <w:bCs/>
          <w:sz w:val="20"/>
          <w:szCs w:val="20"/>
          <w:lang w:val="en-US" w:eastAsia="en-US"/>
        </w:rPr>
        <w:t>area of maternal health, it  “has considered that the States have a duty to adopt affirmative measures to guarantee the accessibility of maternal health services and their availability, acceptability and quality as part of their obligations deriving from the principles of equality and non-discrimination.”</w:t>
      </w:r>
    </w:p>
    <w:p w14:paraId="4FC70B00" w14:textId="77777777" w:rsidR="004B2395" w:rsidRPr="00012C3F" w:rsidRDefault="004B2395" w:rsidP="004B2395">
      <w:pPr>
        <w:widowControl/>
        <w:autoSpaceDE w:val="0"/>
        <w:autoSpaceDN w:val="0"/>
        <w:spacing w:line="240" w:lineRule="auto"/>
        <w:textAlignment w:val="auto"/>
        <w:rPr>
          <w:rFonts w:eastAsiaTheme="minorHAnsi" w:cs="Arial"/>
          <w:bCs/>
          <w:sz w:val="20"/>
          <w:szCs w:val="20"/>
          <w:lang w:val="en-US" w:eastAsia="en-US"/>
        </w:rPr>
      </w:pPr>
    </w:p>
    <w:p w14:paraId="21FDEB6C" w14:textId="77777777" w:rsidR="009C4168" w:rsidRPr="00012C3F" w:rsidRDefault="00BD056C" w:rsidP="009C4168">
      <w:pPr>
        <w:numPr>
          <w:ilvl w:val="0"/>
          <w:numId w:val="5"/>
        </w:numPr>
        <w:tabs>
          <w:tab w:val="left" w:pos="720"/>
          <w:tab w:val="num" w:pos="12305"/>
        </w:tabs>
        <w:spacing w:line="240" w:lineRule="auto"/>
        <w:ind w:left="0" w:firstLine="0"/>
        <w:rPr>
          <w:rFonts w:eastAsiaTheme="minorHAnsi" w:cs="Arial"/>
          <w:bCs/>
          <w:sz w:val="20"/>
          <w:szCs w:val="20"/>
          <w:lang w:val="en-US" w:eastAsia="en-US"/>
        </w:rPr>
      </w:pPr>
      <w:r w:rsidRPr="00012C3F">
        <w:rPr>
          <w:rFonts w:eastAsiaTheme="minorHAnsi" w:cs="Arial"/>
          <w:bCs/>
          <w:sz w:val="20"/>
          <w:szCs w:val="20"/>
          <w:lang w:val="en-US" w:eastAsia="en-US"/>
        </w:rPr>
        <w:t>The Commission</w:t>
      </w:r>
      <w:r w:rsidR="004B2395" w:rsidRPr="00012C3F">
        <w:rPr>
          <w:rFonts w:eastAsiaTheme="minorHAnsi" w:cs="Arial"/>
          <w:bCs/>
          <w:sz w:val="20"/>
          <w:szCs w:val="20"/>
          <w:lang w:val="en-US" w:eastAsia="en-US"/>
        </w:rPr>
        <w:t xml:space="preserve"> rec</w:t>
      </w:r>
      <w:r w:rsidR="009C4168" w:rsidRPr="00012C3F">
        <w:rPr>
          <w:rFonts w:eastAsiaTheme="minorHAnsi" w:cs="Arial"/>
          <w:bCs/>
          <w:sz w:val="20"/>
          <w:szCs w:val="20"/>
          <w:lang w:val="en-US" w:eastAsia="en-US"/>
        </w:rPr>
        <w:t xml:space="preserve">alled that it </w:t>
      </w:r>
      <w:r w:rsidR="004B2395" w:rsidRPr="00012C3F">
        <w:rPr>
          <w:rFonts w:eastAsiaTheme="minorHAnsi" w:cs="Arial"/>
          <w:bCs/>
          <w:sz w:val="20"/>
          <w:szCs w:val="20"/>
          <w:lang w:val="en-US" w:eastAsia="en-US"/>
        </w:rPr>
        <w:t>“ha</w:t>
      </w:r>
      <w:r w:rsidR="009C4168" w:rsidRPr="00012C3F">
        <w:rPr>
          <w:rFonts w:eastAsiaTheme="minorHAnsi" w:cs="Arial"/>
          <w:bCs/>
          <w:sz w:val="20"/>
          <w:szCs w:val="20"/>
          <w:lang w:val="en-US" w:eastAsia="en-US"/>
        </w:rPr>
        <w:t xml:space="preserve">s recognized that </w:t>
      </w:r>
      <w:r w:rsidR="009C4168" w:rsidRPr="00012C3F">
        <w:rPr>
          <w:rStyle w:val="Ttulo1Car"/>
          <w:b w:val="0"/>
          <w:caps w:val="0"/>
          <w:lang w:val="en-US"/>
        </w:rPr>
        <w:t xml:space="preserve">certain groups of women, as in the case of I.V., an immigrant woman of modest means, suffer discrimination throughout their lives based on one or more factors in addition to their sex, which increases their exposure to acts of violence and other violations of their human rights.” The Commission considered that “this case is an example of the multiple forms of discrimination that intersect to hinder the enjoyment and exercise of human rights by certain groups of women on the basis of their sex, immigrant status, and economic </w:t>
      </w:r>
      <w:r w:rsidR="00D933F5" w:rsidRPr="00012C3F">
        <w:rPr>
          <w:rStyle w:val="Ttulo1Car"/>
          <w:b w:val="0"/>
          <w:caps w:val="0"/>
          <w:lang w:val="en-US"/>
        </w:rPr>
        <w:t>situation</w:t>
      </w:r>
      <w:r w:rsidR="009C4168" w:rsidRPr="00012C3F">
        <w:rPr>
          <w:rStyle w:val="Ttulo1Car"/>
          <w:b w:val="0"/>
          <w:caps w:val="0"/>
          <w:lang w:val="en-US"/>
        </w:rPr>
        <w:t>.</w:t>
      </w:r>
      <w:r w:rsidR="004B2395" w:rsidRPr="00012C3F">
        <w:rPr>
          <w:rFonts w:eastAsiaTheme="minorHAnsi" w:cs="Arial"/>
          <w:bCs/>
          <w:sz w:val="20"/>
          <w:szCs w:val="20"/>
          <w:lang w:val="en-US" w:eastAsia="en-US"/>
        </w:rPr>
        <w:t xml:space="preserve">” </w:t>
      </w:r>
      <w:r w:rsidR="009C4168" w:rsidRPr="00012C3F">
        <w:rPr>
          <w:rFonts w:eastAsiaTheme="minorHAnsi" w:cs="Arial"/>
          <w:bCs/>
          <w:sz w:val="20"/>
          <w:szCs w:val="20"/>
          <w:lang w:val="en-US" w:eastAsia="en-US"/>
        </w:rPr>
        <w:t>In this regard it argued that “</w:t>
      </w:r>
      <w:r w:rsidR="009C4168" w:rsidRPr="00012C3F">
        <w:rPr>
          <w:rStyle w:val="Ttulo1Car"/>
          <w:b w:val="0"/>
          <w:caps w:val="0"/>
          <w:lang w:val="en-US"/>
        </w:rPr>
        <w:t>women migrants of scarce resources are in a special situation of vulnerability, often being forced to seek public medical services that may not be suitable to meet their needs due to the limited nature of the care options available to them</w:t>
      </w:r>
      <w:r w:rsidR="00505CB6" w:rsidRPr="00012C3F">
        <w:rPr>
          <w:rStyle w:val="Ttulo1Car"/>
          <w:b w:val="0"/>
          <w:caps w:val="0"/>
          <w:lang w:val="en-US"/>
        </w:rPr>
        <w:t>.</w:t>
      </w:r>
      <w:r w:rsidR="009C4168" w:rsidRPr="00012C3F">
        <w:rPr>
          <w:rStyle w:val="Ttulo1Car"/>
          <w:b w:val="0"/>
          <w:caps w:val="0"/>
          <w:lang w:val="en-US"/>
        </w:rPr>
        <w:t xml:space="preserve">” </w:t>
      </w:r>
    </w:p>
    <w:p w14:paraId="253D61B5" w14:textId="77777777" w:rsidR="004B2395" w:rsidRPr="00012C3F" w:rsidRDefault="004B2395" w:rsidP="004B2395">
      <w:pPr>
        <w:widowControl/>
        <w:autoSpaceDE w:val="0"/>
        <w:autoSpaceDN w:val="0"/>
        <w:spacing w:line="240" w:lineRule="auto"/>
        <w:textAlignment w:val="auto"/>
        <w:rPr>
          <w:rFonts w:eastAsiaTheme="minorHAnsi" w:cs="Arial"/>
          <w:bCs/>
          <w:sz w:val="20"/>
          <w:szCs w:val="20"/>
          <w:lang w:val="en-US" w:eastAsia="en-US"/>
        </w:rPr>
      </w:pPr>
    </w:p>
    <w:p w14:paraId="3EDA1D91" w14:textId="77777777" w:rsidR="004B2395" w:rsidRPr="00012C3F" w:rsidRDefault="009C4168" w:rsidP="00EC7024">
      <w:pPr>
        <w:numPr>
          <w:ilvl w:val="0"/>
          <w:numId w:val="5"/>
        </w:numPr>
        <w:tabs>
          <w:tab w:val="left" w:pos="720"/>
          <w:tab w:val="num" w:pos="12305"/>
        </w:tabs>
        <w:spacing w:line="240" w:lineRule="auto"/>
        <w:ind w:left="0" w:firstLine="0"/>
        <w:rPr>
          <w:rFonts w:eastAsiaTheme="minorHAnsi" w:cs="Arial"/>
          <w:bCs/>
          <w:sz w:val="20"/>
          <w:szCs w:val="20"/>
          <w:lang w:val="en-US" w:eastAsia="en-US"/>
        </w:rPr>
      </w:pPr>
      <w:r w:rsidRPr="00012C3F">
        <w:rPr>
          <w:rFonts w:eastAsiaTheme="minorHAnsi" w:cs="Arial"/>
          <w:bCs/>
          <w:sz w:val="20"/>
          <w:szCs w:val="20"/>
          <w:lang w:val="en-US" w:eastAsia="en-US"/>
        </w:rPr>
        <w:t>The</w:t>
      </w:r>
      <w:r w:rsidR="001254DE" w:rsidRPr="00012C3F">
        <w:rPr>
          <w:rFonts w:eastAsiaTheme="minorHAnsi" w:cs="Arial"/>
          <w:bCs/>
          <w:sz w:val="20"/>
          <w:szCs w:val="20"/>
          <w:lang w:val="en-US" w:eastAsia="en-US"/>
        </w:rPr>
        <w:t xml:space="preserve"> </w:t>
      </w:r>
      <w:r w:rsidR="00A84CA0" w:rsidRPr="00012C3F">
        <w:rPr>
          <w:rFonts w:eastAsiaTheme="minorHAnsi" w:cs="Arial"/>
          <w:bCs/>
          <w:sz w:val="20"/>
          <w:szCs w:val="20"/>
          <w:lang w:val="en-US" w:eastAsia="en-US"/>
        </w:rPr>
        <w:t>Commission</w:t>
      </w:r>
      <w:r w:rsidR="004B2395" w:rsidRPr="00012C3F">
        <w:rPr>
          <w:rFonts w:eastAsiaTheme="minorHAnsi" w:cs="Arial"/>
          <w:bCs/>
          <w:sz w:val="20"/>
          <w:szCs w:val="20"/>
          <w:lang w:val="en-US" w:eastAsia="en-US"/>
        </w:rPr>
        <w:t xml:space="preserve"> </w:t>
      </w:r>
      <w:r w:rsidRPr="00012C3F">
        <w:rPr>
          <w:rFonts w:eastAsiaTheme="minorHAnsi" w:cs="Arial"/>
          <w:bCs/>
          <w:sz w:val="20"/>
          <w:szCs w:val="20"/>
          <w:lang w:val="en-US" w:eastAsia="en-US"/>
        </w:rPr>
        <w:t xml:space="preserve">also argued that </w:t>
      </w:r>
      <w:r w:rsidR="00EC7024" w:rsidRPr="00012C3F">
        <w:rPr>
          <w:rFonts w:eastAsiaTheme="minorHAnsi" w:cs="Arial"/>
          <w:bCs/>
          <w:sz w:val="20"/>
          <w:szCs w:val="20"/>
          <w:lang w:val="en-US" w:eastAsia="en-US"/>
        </w:rPr>
        <w:t xml:space="preserve">there were signs that the medical team that performed the surgery on I.V. was influenced by gender stereotypes </w:t>
      </w:r>
      <w:r w:rsidR="00505CB6" w:rsidRPr="00012C3F">
        <w:rPr>
          <w:rFonts w:eastAsiaTheme="minorHAnsi" w:cs="Arial"/>
          <w:bCs/>
          <w:sz w:val="20"/>
          <w:szCs w:val="20"/>
          <w:lang w:val="en-US" w:eastAsia="en-US"/>
        </w:rPr>
        <w:t>concerning</w:t>
      </w:r>
      <w:r w:rsidR="00EC7024" w:rsidRPr="00012C3F">
        <w:rPr>
          <w:rFonts w:eastAsiaTheme="minorHAnsi" w:cs="Arial"/>
          <w:bCs/>
          <w:sz w:val="20"/>
          <w:szCs w:val="20"/>
          <w:lang w:val="en-US" w:eastAsia="en-US"/>
        </w:rPr>
        <w:t xml:space="preserve"> the inability of women to </w:t>
      </w:r>
      <w:r w:rsidR="009D3EE9" w:rsidRPr="00012C3F">
        <w:rPr>
          <w:rFonts w:eastAsiaTheme="minorHAnsi" w:cs="Arial"/>
          <w:bCs/>
          <w:sz w:val="20"/>
          <w:szCs w:val="20"/>
          <w:lang w:val="en-US" w:eastAsia="en-US"/>
        </w:rPr>
        <w:t>make</w:t>
      </w:r>
      <w:r w:rsidR="00EC7024" w:rsidRPr="00012C3F">
        <w:rPr>
          <w:rFonts w:eastAsiaTheme="minorHAnsi" w:cs="Arial"/>
          <w:bCs/>
          <w:sz w:val="20"/>
          <w:szCs w:val="20"/>
          <w:lang w:val="en-US" w:eastAsia="en-US"/>
        </w:rPr>
        <w:t xml:space="preserve"> autonomous decisions with regard to their own reproduction. In this regard, it considered that the medical decision to perform sterilization without I.V.’s informed consent reflected a notion that medical personnel are empowered to take better decisions than the woman concerned regarding control over her reproduction. According to the Commission, “</w:t>
      </w:r>
      <w:r w:rsidR="00EC7024" w:rsidRPr="00012C3F">
        <w:rPr>
          <w:rStyle w:val="Ttulo1Car"/>
          <w:b w:val="0"/>
          <w:caps w:val="0"/>
          <w:lang w:val="en-US"/>
        </w:rPr>
        <w:t>the presence of these kinds of gender stereotypes in health personnel has a differentiated impact on women and leads to discrimination  against them in the health services and especially in the provision of sexual and reproductive health care services.”</w:t>
      </w:r>
      <w:r w:rsidR="00EC7024" w:rsidRPr="00012C3F">
        <w:rPr>
          <w:rFonts w:eastAsiaTheme="minorHAnsi" w:cs="Arial"/>
          <w:bCs/>
          <w:sz w:val="20"/>
          <w:szCs w:val="20"/>
          <w:lang w:val="en-US" w:eastAsia="en-US"/>
        </w:rPr>
        <w:t xml:space="preserve"> In this regard,</w:t>
      </w:r>
      <w:r w:rsidR="004B2395" w:rsidRPr="00012C3F">
        <w:rPr>
          <w:rFonts w:eastAsiaTheme="minorHAnsi" w:cs="Arial"/>
          <w:bCs/>
          <w:sz w:val="20"/>
          <w:szCs w:val="20"/>
          <w:lang w:val="en-US" w:eastAsia="en-US"/>
        </w:rPr>
        <w:t xml:space="preserve"> </w:t>
      </w:r>
      <w:r w:rsidR="001254DE" w:rsidRPr="00012C3F">
        <w:rPr>
          <w:rFonts w:eastAsiaTheme="minorHAnsi" w:cs="Arial"/>
          <w:bCs/>
          <w:sz w:val="20"/>
          <w:szCs w:val="20"/>
          <w:lang w:val="en-US" w:eastAsia="en-US"/>
        </w:rPr>
        <w:t xml:space="preserve">the </w:t>
      </w:r>
      <w:r w:rsidR="00A84CA0" w:rsidRPr="00012C3F">
        <w:rPr>
          <w:rFonts w:eastAsiaTheme="minorHAnsi" w:cs="Arial"/>
          <w:bCs/>
          <w:sz w:val="20"/>
          <w:szCs w:val="20"/>
          <w:lang w:val="en-US" w:eastAsia="en-US"/>
        </w:rPr>
        <w:t>Commission</w:t>
      </w:r>
      <w:r w:rsidR="004B2395" w:rsidRPr="00012C3F">
        <w:rPr>
          <w:rFonts w:eastAsiaTheme="minorHAnsi" w:cs="Arial"/>
          <w:bCs/>
          <w:sz w:val="20"/>
          <w:szCs w:val="20"/>
          <w:lang w:val="en-US" w:eastAsia="en-US"/>
        </w:rPr>
        <w:t xml:space="preserve"> </w:t>
      </w:r>
      <w:r w:rsidR="00320BB4" w:rsidRPr="00012C3F">
        <w:rPr>
          <w:rFonts w:eastAsiaTheme="minorHAnsi" w:cs="Arial"/>
          <w:bCs/>
          <w:sz w:val="20"/>
          <w:szCs w:val="20"/>
          <w:lang w:val="en-US" w:eastAsia="en-US"/>
        </w:rPr>
        <w:t>rec</w:t>
      </w:r>
      <w:r w:rsidR="00EC7024" w:rsidRPr="00012C3F">
        <w:rPr>
          <w:rFonts w:eastAsiaTheme="minorHAnsi" w:cs="Arial"/>
          <w:bCs/>
          <w:sz w:val="20"/>
          <w:szCs w:val="20"/>
          <w:lang w:val="en-US" w:eastAsia="en-US"/>
        </w:rPr>
        <w:t>alled that persistent gender stereotypes in the health sector act as an obstacle to women’s access to maternal health services, which also amounts to discrimination in women’s access to health</w:t>
      </w:r>
      <w:r w:rsidR="004B2395" w:rsidRPr="00012C3F">
        <w:rPr>
          <w:rFonts w:eastAsiaTheme="minorHAnsi" w:cs="Arial"/>
          <w:bCs/>
          <w:sz w:val="20"/>
          <w:szCs w:val="20"/>
          <w:lang w:val="en-US" w:eastAsia="en-US"/>
        </w:rPr>
        <w:t>.</w:t>
      </w:r>
    </w:p>
    <w:p w14:paraId="50AD2216" w14:textId="77777777" w:rsidR="004B2395" w:rsidRPr="00012C3F" w:rsidRDefault="004B2395" w:rsidP="004B2395">
      <w:pPr>
        <w:widowControl/>
        <w:autoSpaceDE w:val="0"/>
        <w:autoSpaceDN w:val="0"/>
        <w:spacing w:line="240" w:lineRule="auto"/>
        <w:textAlignment w:val="auto"/>
        <w:rPr>
          <w:rFonts w:eastAsiaTheme="minorHAnsi" w:cs="Arial"/>
          <w:bCs/>
          <w:sz w:val="20"/>
          <w:szCs w:val="20"/>
          <w:lang w:val="en-US" w:eastAsia="en-US"/>
        </w:rPr>
      </w:pPr>
    </w:p>
    <w:p w14:paraId="1D017ABD" w14:textId="77777777" w:rsidR="004B2395" w:rsidRPr="00012C3F" w:rsidRDefault="00BD056C" w:rsidP="00916B35">
      <w:pPr>
        <w:numPr>
          <w:ilvl w:val="0"/>
          <w:numId w:val="5"/>
        </w:numPr>
        <w:tabs>
          <w:tab w:val="left" w:pos="720"/>
          <w:tab w:val="num" w:pos="12305"/>
        </w:tabs>
        <w:spacing w:line="240" w:lineRule="auto"/>
        <w:ind w:left="0" w:firstLine="0"/>
        <w:rPr>
          <w:rFonts w:eastAsiaTheme="minorHAnsi" w:cs="Arial"/>
          <w:bCs/>
          <w:sz w:val="20"/>
          <w:szCs w:val="20"/>
          <w:lang w:val="en-US" w:eastAsia="en-US"/>
        </w:rPr>
      </w:pPr>
      <w:r w:rsidRPr="00012C3F">
        <w:rPr>
          <w:rFonts w:eastAsiaTheme="minorHAnsi" w:cs="Arial"/>
          <w:bCs/>
          <w:sz w:val="20"/>
          <w:szCs w:val="20"/>
          <w:lang w:val="en-US" w:eastAsia="en-US"/>
        </w:rPr>
        <w:t>The Commission</w:t>
      </w:r>
      <w:r w:rsidR="004B2395" w:rsidRPr="00012C3F">
        <w:rPr>
          <w:rFonts w:eastAsiaTheme="minorHAnsi" w:cs="Arial"/>
          <w:bCs/>
          <w:sz w:val="20"/>
          <w:szCs w:val="20"/>
          <w:lang w:val="en-US" w:eastAsia="en-US"/>
        </w:rPr>
        <w:t xml:space="preserve"> </w:t>
      </w:r>
      <w:r w:rsidR="00320BB4" w:rsidRPr="00012C3F">
        <w:rPr>
          <w:rFonts w:eastAsiaTheme="minorHAnsi" w:cs="Arial"/>
          <w:bCs/>
          <w:sz w:val="20"/>
          <w:szCs w:val="20"/>
          <w:lang w:val="en-US" w:eastAsia="en-US"/>
        </w:rPr>
        <w:t>conclu</w:t>
      </w:r>
      <w:r w:rsidR="00EC7024" w:rsidRPr="00012C3F">
        <w:rPr>
          <w:rFonts w:eastAsiaTheme="minorHAnsi" w:cs="Arial"/>
          <w:bCs/>
          <w:sz w:val="20"/>
          <w:szCs w:val="20"/>
          <w:lang w:val="en-US" w:eastAsia="en-US"/>
        </w:rPr>
        <w:t>ded that the absence of</w:t>
      </w:r>
      <w:r w:rsidR="004B2395" w:rsidRPr="00012C3F">
        <w:rPr>
          <w:rFonts w:eastAsiaTheme="minorHAnsi" w:cs="Arial"/>
          <w:bCs/>
          <w:sz w:val="20"/>
          <w:szCs w:val="20"/>
          <w:lang w:val="en-US" w:eastAsia="en-US"/>
        </w:rPr>
        <w:t xml:space="preserve"> </w:t>
      </w:r>
      <w:r w:rsidR="00AC0004" w:rsidRPr="00012C3F">
        <w:rPr>
          <w:rFonts w:eastAsiaTheme="minorHAnsi" w:cs="Arial"/>
          <w:bCs/>
          <w:sz w:val="20"/>
          <w:szCs w:val="20"/>
          <w:lang w:val="en-US" w:eastAsia="en-US"/>
        </w:rPr>
        <w:t>informed consent</w:t>
      </w:r>
      <w:r w:rsidR="004B2395" w:rsidRPr="00012C3F">
        <w:rPr>
          <w:rFonts w:eastAsiaTheme="minorHAnsi" w:cs="Arial"/>
          <w:bCs/>
          <w:sz w:val="20"/>
          <w:szCs w:val="20"/>
          <w:lang w:val="en-US" w:eastAsia="en-US"/>
        </w:rPr>
        <w:t xml:space="preserve"> </w:t>
      </w:r>
      <w:r w:rsidR="00EC7024" w:rsidRPr="00012C3F">
        <w:rPr>
          <w:rFonts w:eastAsiaTheme="minorHAnsi" w:cs="Arial"/>
          <w:bCs/>
          <w:sz w:val="20"/>
          <w:szCs w:val="20"/>
          <w:lang w:val="en-US" w:eastAsia="en-US"/>
        </w:rPr>
        <w:t>led to</w:t>
      </w:r>
      <w:r w:rsidR="004B2395" w:rsidRPr="00012C3F">
        <w:rPr>
          <w:rFonts w:eastAsiaTheme="minorHAnsi" w:cs="Arial"/>
          <w:bCs/>
          <w:sz w:val="20"/>
          <w:szCs w:val="20"/>
          <w:lang w:val="en-US" w:eastAsia="en-US"/>
        </w:rPr>
        <w:t xml:space="preserve"> </w:t>
      </w:r>
      <w:r w:rsidR="000E1C11" w:rsidRPr="00012C3F">
        <w:rPr>
          <w:rFonts w:eastAsiaTheme="minorHAnsi" w:cs="Arial"/>
          <w:bCs/>
          <w:sz w:val="20"/>
          <w:szCs w:val="20"/>
          <w:lang w:val="en-US" w:eastAsia="en-US"/>
        </w:rPr>
        <w:t>I.V.</w:t>
      </w:r>
      <w:r w:rsidR="004B2395" w:rsidRPr="00012C3F">
        <w:rPr>
          <w:rFonts w:eastAsiaTheme="minorHAnsi" w:cs="Arial"/>
          <w:bCs/>
          <w:sz w:val="20"/>
          <w:szCs w:val="20"/>
          <w:lang w:val="en-US" w:eastAsia="en-US"/>
        </w:rPr>
        <w:t xml:space="preserve"> no</w:t>
      </w:r>
      <w:r w:rsidR="00EC7024" w:rsidRPr="00012C3F">
        <w:rPr>
          <w:rFonts w:eastAsiaTheme="minorHAnsi" w:cs="Arial"/>
          <w:bCs/>
          <w:sz w:val="20"/>
          <w:szCs w:val="20"/>
          <w:lang w:val="en-US" w:eastAsia="en-US"/>
        </w:rPr>
        <w:t xml:space="preserve">t receiving the appropriate maternal health services in relation to </w:t>
      </w:r>
      <w:r w:rsidR="00916B35" w:rsidRPr="00012C3F">
        <w:rPr>
          <w:rFonts w:eastAsiaTheme="minorHAnsi" w:cs="Arial"/>
          <w:bCs/>
          <w:sz w:val="20"/>
          <w:szCs w:val="20"/>
          <w:lang w:val="en-US" w:eastAsia="en-US"/>
        </w:rPr>
        <w:t>h</w:t>
      </w:r>
      <w:r w:rsidR="00EC7024" w:rsidRPr="00012C3F">
        <w:rPr>
          <w:rFonts w:eastAsiaTheme="minorHAnsi" w:cs="Arial"/>
          <w:bCs/>
          <w:sz w:val="20"/>
          <w:szCs w:val="20"/>
          <w:lang w:val="en-US" w:eastAsia="en-US"/>
        </w:rPr>
        <w:t>er reproductive capacity, thereby curtailing her free and autonomous choice in this sphere</w:t>
      </w:r>
      <w:r w:rsidR="00916B35" w:rsidRPr="00012C3F">
        <w:rPr>
          <w:rFonts w:eastAsiaTheme="minorHAnsi" w:cs="Arial"/>
          <w:bCs/>
          <w:sz w:val="20"/>
          <w:szCs w:val="20"/>
          <w:lang w:val="en-US" w:eastAsia="en-US"/>
        </w:rPr>
        <w:t xml:space="preserve"> unique to women. Consequently, the Commission argued that I.V.’s non-consensual sterilization constituted a form of discrimination against her in relation to the guarantee of her right to personal integrity under </w:t>
      </w:r>
      <w:r w:rsidR="001254DE" w:rsidRPr="00012C3F">
        <w:rPr>
          <w:rFonts w:eastAsiaTheme="minorHAnsi" w:cs="Arial"/>
          <w:bCs/>
          <w:sz w:val="20"/>
          <w:szCs w:val="20"/>
          <w:lang w:val="en-US" w:eastAsia="en-US"/>
        </w:rPr>
        <w:t>Article</w:t>
      </w:r>
      <w:r w:rsidR="004B2395" w:rsidRPr="00012C3F">
        <w:rPr>
          <w:rFonts w:eastAsiaTheme="minorHAnsi" w:cs="Arial"/>
          <w:bCs/>
          <w:sz w:val="20"/>
          <w:szCs w:val="20"/>
          <w:lang w:val="en-US" w:eastAsia="en-US"/>
        </w:rPr>
        <w:t xml:space="preserve"> </w:t>
      </w:r>
      <w:r w:rsidR="005E5012" w:rsidRPr="00012C3F">
        <w:rPr>
          <w:rFonts w:eastAsiaTheme="minorHAnsi" w:cs="Arial"/>
          <w:bCs/>
          <w:sz w:val="20"/>
          <w:szCs w:val="20"/>
          <w:lang w:val="en-US" w:eastAsia="en-US"/>
        </w:rPr>
        <w:t>5(1)</w:t>
      </w:r>
      <w:r w:rsidR="001254DE" w:rsidRPr="00012C3F">
        <w:rPr>
          <w:rFonts w:eastAsiaTheme="minorHAnsi" w:cs="Arial"/>
          <w:bCs/>
          <w:sz w:val="20"/>
          <w:szCs w:val="20"/>
          <w:lang w:val="en-US" w:eastAsia="en-US"/>
        </w:rPr>
        <w:t xml:space="preserve"> of the American Convention</w:t>
      </w:r>
      <w:r w:rsidR="004B2395" w:rsidRPr="00012C3F">
        <w:rPr>
          <w:rFonts w:eastAsiaTheme="minorHAnsi" w:cs="Arial"/>
          <w:bCs/>
          <w:sz w:val="20"/>
          <w:szCs w:val="20"/>
          <w:lang w:val="en-US" w:eastAsia="en-US"/>
        </w:rPr>
        <w:t>, as</w:t>
      </w:r>
      <w:r w:rsidR="00916B35" w:rsidRPr="00012C3F">
        <w:rPr>
          <w:rFonts w:eastAsiaTheme="minorHAnsi" w:cs="Arial"/>
          <w:bCs/>
          <w:sz w:val="20"/>
          <w:szCs w:val="20"/>
          <w:lang w:val="en-US" w:eastAsia="en-US"/>
        </w:rPr>
        <w:t xml:space="preserve"> well as her right to private and family life and to </w:t>
      </w:r>
      <w:r w:rsidR="0081491F" w:rsidRPr="00012C3F">
        <w:rPr>
          <w:rFonts w:eastAsiaTheme="minorHAnsi" w:cs="Arial"/>
          <w:bCs/>
          <w:sz w:val="20"/>
          <w:szCs w:val="20"/>
          <w:lang w:val="en-US" w:eastAsia="en-US"/>
        </w:rPr>
        <w:t>raise a family</w:t>
      </w:r>
      <w:r w:rsidR="00916B35" w:rsidRPr="00012C3F">
        <w:rPr>
          <w:rFonts w:eastAsiaTheme="minorHAnsi" w:cs="Arial"/>
          <w:bCs/>
          <w:sz w:val="20"/>
          <w:szCs w:val="20"/>
          <w:lang w:val="en-US" w:eastAsia="en-US"/>
        </w:rPr>
        <w:t xml:space="preserve"> under </w:t>
      </w:r>
      <w:r w:rsidR="001254DE" w:rsidRPr="00012C3F">
        <w:rPr>
          <w:rFonts w:eastAsiaTheme="minorHAnsi" w:cs="Arial"/>
          <w:bCs/>
          <w:sz w:val="20"/>
          <w:szCs w:val="20"/>
          <w:lang w:val="en-US" w:eastAsia="en-US"/>
        </w:rPr>
        <w:t>Articles</w:t>
      </w:r>
      <w:r w:rsidR="004B2395" w:rsidRPr="00012C3F">
        <w:rPr>
          <w:rFonts w:eastAsiaTheme="minorHAnsi" w:cs="Arial"/>
          <w:bCs/>
          <w:sz w:val="20"/>
          <w:szCs w:val="20"/>
          <w:lang w:val="en-US" w:eastAsia="en-US"/>
        </w:rPr>
        <w:t xml:space="preserve"> 11</w:t>
      </w:r>
      <w:r w:rsidR="005E5012" w:rsidRPr="00012C3F">
        <w:rPr>
          <w:rFonts w:eastAsiaTheme="minorHAnsi" w:cs="Arial"/>
          <w:bCs/>
          <w:sz w:val="20"/>
          <w:szCs w:val="20"/>
          <w:lang w:val="en-US" w:eastAsia="en-US"/>
        </w:rPr>
        <w:t xml:space="preserve"> and </w:t>
      </w:r>
      <w:r w:rsidR="004B2395" w:rsidRPr="00012C3F">
        <w:rPr>
          <w:rFonts w:eastAsiaTheme="minorHAnsi" w:cs="Arial"/>
          <w:bCs/>
          <w:sz w:val="20"/>
          <w:szCs w:val="20"/>
          <w:lang w:val="en-US" w:eastAsia="en-US"/>
        </w:rPr>
        <w:t>17</w:t>
      </w:r>
      <w:r w:rsidR="001254DE" w:rsidRPr="00012C3F">
        <w:rPr>
          <w:rFonts w:eastAsiaTheme="minorHAnsi" w:cs="Arial"/>
          <w:bCs/>
          <w:sz w:val="20"/>
          <w:szCs w:val="20"/>
          <w:lang w:val="en-US" w:eastAsia="en-US"/>
        </w:rPr>
        <w:t xml:space="preserve"> of the American Convention</w:t>
      </w:r>
      <w:r w:rsidR="004B2395" w:rsidRPr="00012C3F">
        <w:rPr>
          <w:rFonts w:eastAsiaTheme="minorHAnsi" w:cs="Arial"/>
          <w:bCs/>
          <w:sz w:val="20"/>
          <w:szCs w:val="20"/>
          <w:lang w:val="en-US" w:eastAsia="en-US"/>
        </w:rPr>
        <w:t>.</w:t>
      </w:r>
    </w:p>
    <w:p w14:paraId="5CCE68D8" w14:textId="77777777" w:rsidR="004B2395" w:rsidRPr="00012C3F" w:rsidRDefault="004B2395" w:rsidP="004B2395">
      <w:pPr>
        <w:widowControl/>
        <w:autoSpaceDE w:val="0"/>
        <w:autoSpaceDN w:val="0"/>
        <w:spacing w:line="240" w:lineRule="auto"/>
        <w:textAlignment w:val="auto"/>
        <w:rPr>
          <w:rFonts w:eastAsiaTheme="minorHAnsi" w:cs="Arial"/>
          <w:sz w:val="20"/>
          <w:szCs w:val="20"/>
          <w:lang w:val="en-US" w:eastAsia="en-US"/>
        </w:rPr>
      </w:pPr>
    </w:p>
    <w:p w14:paraId="75990B8B" w14:textId="77777777" w:rsidR="004B2395" w:rsidRPr="00012C3F" w:rsidRDefault="00972ACF" w:rsidP="00916B35">
      <w:pPr>
        <w:widowControl/>
        <w:numPr>
          <w:ilvl w:val="0"/>
          <w:numId w:val="5"/>
        </w:numPr>
        <w:tabs>
          <w:tab w:val="left" w:pos="720"/>
          <w:tab w:val="num" w:pos="12305"/>
        </w:tabs>
        <w:autoSpaceDE w:val="0"/>
        <w:autoSpaceDN w:val="0"/>
        <w:spacing w:line="240" w:lineRule="auto"/>
        <w:ind w:left="0" w:firstLine="0"/>
        <w:textAlignment w:val="auto"/>
        <w:rPr>
          <w:rFonts w:eastAsiaTheme="minorHAnsi" w:cs="Arial"/>
          <w:sz w:val="20"/>
          <w:szCs w:val="20"/>
          <w:lang w:val="en-US" w:eastAsia="en-US"/>
        </w:rPr>
      </w:pPr>
      <w:r w:rsidRPr="00012C3F">
        <w:rPr>
          <w:rFonts w:eastAsiaTheme="minorHAnsi" w:cs="Arial"/>
          <w:bCs/>
          <w:sz w:val="20"/>
          <w:szCs w:val="20"/>
          <w:lang w:val="en-US" w:eastAsia="en-US"/>
        </w:rPr>
        <w:t xml:space="preserve">The </w:t>
      </w:r>
      <w:r w:rsidRPr="00012C3F">
        <w:rPr>
          <w:rFonts w:eastAsiaTheme="minorHAnsi" w:cs="Arial"/>
          <w:b/>
          <w:i/>
          <w:iCs/>
          <w:sz w:val="20"/>
          <w:szCs w:val="20"/>
          <w:lang w:val="en-US" w:eastAsia="en-US"/>
        </w:rPr>
        <w:t>representative</w:t>
      </w:r>
      <w:r w:rsidR="004B2395" w:rsidRPr="00012C3F">
        <w:rPr>
          <w:rFonts w:eastAsiaTheme="minorHAnsi" w:cs="Arial"/>
          <w:b/>
          <w:i/>
          <w:iCs/>
          <w:sz w:val="20"/>
          <w:szCs w:val="20"/>
          <w:lang w:val="en-US" w:eastAsia="en-US"/>
        </w:rPr>
        <w:t xml:space="preserve"> </w:t>
      </w:r>
      <w:r w:rsidR="00916B35" w:rsidRPr="00012C3F">
        <w:rPr>
          <w:rFonts w:eastAsiaTheme="minorHAnsi" w:cs="Arial"/>
          <w:sz w:val="20"/>
          <w:szCs w:val="20"/>
          <w:lang w:val="en-US" w:eastAsia="en-US"/>
        </w:rPr>
        <w:t>indicated that discrimination existed in cases of</w:t>
      </w:r>
      <w:r w:rsidR="008F5266" w:rsidRPr="00012C3F">
        <w:rPr>
          <w:rFonts w:eastAsiaTheme="minorHAnsi" w:cs="Arial"/>
          <w:sz w:val="20"/>
          <w:szCs w:val="20"/>
          <w:lang w:val="en-US" w:eastAsia="en-US"/>
        </w:rPr>
        <w:t xml:space="preserve"> forced sterilization</w:t>
      </w:r>
      <w:r w:rsidR="00916B35" w:rsidRPr="00012C3F">
        <w:rPr>
          <w:rFonts w:eastAsiaTheme="minorHAnsi" w:cs="Arial"/>
          <w:sz w:val="20"/>
          <w:szCs w:val="20"/>
          <w:lang w:val="en-US" w:eastAsia="en-US"/>
        </w:rPr>
        <w:t xml:space="preserve"> not only </w:t>
      </w:r>
      <w:r w:rsidR="006C705C" w:rsidRPr="00012C3F">
        <w:rPr>
          <w:rFonts w:eastAsiaTheme="minorHAnsi" w:cs="Arial"/>
          <w:sz w:val="20"/>
          <w:szCs w:val="20"/>
          <w:lang w:val="en-US" w:eastAsia="en-US"/>
        </w:rPr>
        <w:t>in relation to</w:t>
      </w:r>
      <w:r w:rsidR="004B2395" w:rsidRPr="00012C3F">
        <w:rPr>
          <w:rFonts w:eastAsiaTheme="minorHAnsi" w:cs="Arial"/>
          <w:sz w:val="20"/>
          <w:szCs w:val="20"/>
          <w:lang w:val="en-US" w:eastAsia="en-US"/>
        </w:rPr>
        <w:t xml:space="preserve"> </w:t>
      </w:r>
      <w:r w:rsidR="001254DE" w:rsidRPr="00012C3F">
        <w:rPr>
          <w:rFonts w:eastAsiaTheme="minorHAnsi" w:cs="Arial"/>
          <w:sz w:val="20"/>
          <w:szCs w:val="20"/>
          <w:lang w:val="en-US" w:eastAsia="en-US"/>
        </w:rPr>
        <w:t>Articles</w:t>
      </w:r>
      <w:r w:rsidR="004B2395" w:rsidRPr="00012C3F">
        <w:rPr>
          <w:rFonts w:eastAsiaTheme="minorHAnsi" w:cs="Arial"/>
          <w:sz w:val="20"/>
          <w:szCs w:val="20"/>
          <w:lang w:val="en-US" w:eastAsia="en-US"/>
        </w:rPr>
        <w:t xml:space="preserve"> </w:t>
      </w:r>
      <w:r w:rsidR="005E5012" w:rsidRPr="00012C3F">
        <w:rPr>
          <w:rFonts w:eastAsiaTheme="minorHAnsi" w:cs="Arial"/>
          <w:sz w:val="20"/>
          <w:szCs w:val="20"/>
          <w:lang w:val="en-US" w:eastAsia="en-US"/>
        </w:rPr>
        <w:t>5(1)</w:t>
      </w:r>
      <w:r w:rsidR="004B2395" w:rsidRPr="00012C3F">
        <w:rPr>
          <w:rFonts w:eastAsiaTheme="minorHAnsi" w:cs="Arial"/>
          <w:sz w:val="20"/>
          <w:szCs w:val="20"/>
          <w:lang w:val="en-US" w:eastAsia="en-US"/>
        </w:rPr>
        <w:t xml:space="preserve">, </w:t>
      </w:r>
      <w:r w:rsidR="005E5012" w:rsidRPr="00012C3F">
        <w:rPr>
          <w:rFonts w:eastAsiaTheme="minorHAnsi" w:cs="Arial"/>
          <w:sz w:val="20"/>
          <w:szCs w:val="20"/>
          <w:lang w:val="en-US" w:eastAsia="en-US"/>
        </w:rPr>
        <w:t>11(2) and 17(2)</w:t>
      </w:r>
      <w:r w:rsidR="001254DE" w:rsidRPr="00012C3F">
        <w:rPr>
          <w:rFonts w:eastAsiaTheme="minorHAnsi" w:cs="Arial"/>
          <w:sz w:val="20"/>
          <w:szCs w:val="20"/>
          <w:lang w:val="en-US" w:eastAsia="en-US"/>
        </w:rPr>
        <w:t xml:space="preserve"> of the American Convention</w:t>
      </w:r>
      <w:r w:rsidR="00DA5641" w:rsidRPr="00012C3F">
        <w:rPr>
          <w:rFonts w:eastAsiaTheme="minorHAnsi" w:cs="Arial"/>
          <w:sz w:val="20"/>
          <w:szCs w:val="20"/>
          <w:lang w:val="en-US" w:eastAsia="en-US"/>
        </w:rPr>
        <w:t>,</w:t>
      </w:r>
      <w:r w:rsidR="004B2395" w:rsidRPr="00012C3F">
        <w:rPr>
          <w:rFonts w:eastAsiaTheme="minorHAnsi" w:cs="Arial"/>
          <w:sz w:val="20"/>
          <w:szCs w:val="20"/>
          <w:lang w:val="en-US" w:eastAsia="en-US"/>
        </w:rPr>
        <w:t xml:space="preserve"> </w:t>
      </w:r>
      <w:r w:rsidR="00916B35" w:rsidRPr="00012C3F">
        <w:rPr>
          <w:rFonts w:eastAsiaTheme="minorHAnsi" w:cs="Arial"/>
          <w:sz w:val="20"/>
          <w:szCs w:val="20"/>
          <w:lang w:val="en-US" w:eastAsia="en-US"/>
        </w:rPr>
        <w:t>but also in relation to</w:t>
      </w:r>
      <w:r w:rsidR="004B2395" w:rsidRPr="00012C3F">
        <w:rPr>
          <w:rFonts w:eastAsiaTheme="minorHAnsi" w:cs="Arial"/>
          <w:sz w:val="20"/>
          <w:szCs w:val="20"/>
          <w:lang w:val="en-US" w:eastAsia="en-US"/>
        </w:rPr>
        <w:t xml:space="preserve"> </w:t>
      </w:r>
      <w:r w:rsidR="001254DE" w:rsidRPr="00012C3F">
        <w:rPr>
          <w:rFonts w:eastAsiaTheme="minorHAnsi" w:cs="Arial"/>
          <w:sz w:val="20"/>
          <w:szCs w:val="20"/>
          <w:lang w:val="en-US" w:eastAsia="en-US"/>
        </w:rPr>
        <w:t>Article</w:t>
      </w:r>
      <w:r w:rsidR="004B2395" w:rsidRPr="00012C3F">
        <w:rPr>
          <w:rFonts w:eastAsiaTheme="minorHAnsi" w:cs="Arial"/>
          <w:sz w:val="20"/>
          <w:szCs w:val="20"/>
          <w:lang w:val="en-US" w:eastAsia="en-US"/>
        </w:rPr>
        <w:t xml:space="preserve"> </w:t>
      </w:r>
      <w:r w:rsidR="005E5012" w:rsidRPr="00012C3F">
        <w:rPr>
          <w:rFonts w:eastAsiaTheme="minorHAnsi" w:cs="Arial"/>
          <w:sz w:val="20"/>
          <w:szCs w:val="20"/>
          <w:lang w:val="en-US" w:eastAsia="en-US"/>
        </w:rPr>
        <w:t>13(1)</w:t>
      </w:r>
      <w:r w:rsidR="008873C4" w:rsidRPr="00012C3F">
        <w:rPr>
          <w:rFonts w:eastAsiaTheme="minorHAnsi" w:cs="Arial"/>
          <w:sz w:val="20"/>
          <w:szCs w:val="20"/>
          <w:lang w:val="en-US" w:eastAsia="en-US"/>
        </w:rPr>
        <w:t xml:space="preserve"> </w:t>
      </w:r>
      <w:r w:rsidR="006C705C" w:rsidRPr="00012C3F">
        <w:rPr>
          <w:rFonts w:eastAsiaTheme="minorHAnsi" w:cs="Arial"/>
          <w:sz w:val="20"/>
          <w:szCs w:val="20"/>
          <w:lang w:val="en-US" w:eastAsia="en-US"/>
        </w:rPr>
        <w:t>of this instrument</w:t>
      </w:r>
      <w:r w:rsidR="008873C4" w:rsidRPr="00012C3F">
        <w:rPr>
          <w:rFonts w:eastAsiaTheme="minorHAnsi" w:cs="Arial"/>
          <w:sz w:val="20"/>
          <w:szCs w:val="20"/>
          <w:lang w:val="en-US" w:eastAsia="en-US"/>
        </w:rPr>
        <w:t>.</w:t>
      </w:r>
      <w:r w:rsidR="008873C4" w:rsidRPr="00012C3F" w:rsidDel="008873C4">
        <w:rPr>
          <w:rFonts w:eastAsiaTheme="minorHAnsi" w:cs="Arial"/>
          <w:sz w:val="20"/>
          <w:szCs w:val="20"/>
          <w:lang w:val="en-US" w:eastAsia="en-US"/>
        </w:rPr>
        <w:t xml:space="preserve"> </w:t>
      </w:r>
      <w:r w:rsidR="00916B35" w:rsidRPr="00012C3F">
        <w:rPr>
          <w:rFonts w:eastAsiaTheme="minorHAnsi" w:cs="Arial"/>
          <w:sz w:val="20"/>
          <w:szCs w:val="20"/>
          <w:lang w:val="en-US" w:eastAsia="en-US"/>
        </w:rPr>
        <w:t xml:space="preserve">In this regard, she argued that the right to receive information (Article 13 of the American Convention) was violated based on discrimination and, also, expanded </w:t>
      </w:r>
      <w:r w:rsidR="00505CB6" w:rsidRPr="00012C3F">
        <w:rPr>
          <w:rFonts w:eastAsiaTheme="minorHAnsi" w:cs="Arial"/>
          <w:sz w:val="20"/>
          <w:szCs w:val="20"/>
          <w:lang w:val="en-US" w:eastAsia="en-US"/>
        </w:rPr>
        <w:t xml:space="preserve">on </w:t>
      </w:r>
      <w:r w:rsidR="00916B35" w:rsidRPr="00012C3F">
        <w:rPr>
          <w:rFonts w:eastAsiaTheme="minorHAnsi" w:cs="Arial"/>
          <w:sz w:val="20"/>
          <w:szCs w:val="20"/>
          <w:lang w:val="en-US" w:eastAsia="en-US"/>
        </w:rPr>
        <w:t xml:space="preserve">the factors of discrimination that presumably motivated the violation of I.V.’s rights. In particular, she argued that “enforced sterilization is a discriminatory phenomenon that affects women just as, in this case, it affected I.V. because she is a woman.” She also argued that I.V. was attended in the Women’s Hospital with the profile of being a poor woman with little schooling, </w:t>
      </w:r>
      <w:r w:rsidR="002E0435" w:rsidRPr="00012C3F">
        <w:rPr>
          <w:rFonts w:eastAsiaTheme="minorHAnsi" w:cs="Arial"/>
          <w:sz w:val="20"/>
          <w:szCs w:val="20"/>
          <w:lang w:val="en-US" w:eastAsia="en-US"/>
        </w:rPr>
        <w:t>of another national origin</w:t>
      </w:r>
      <w:r w:rsidR="00780E58" w:rsidRPr="00012C3F">
        <w:rPr>
          <w:rFonts w:eastAsiaTheme="minorHAnsi" w:cs="Arial"/>
          <w:sz w:val="20"/>
          <w:szCs w:val="20"/>
          <w:lang w:val="en-US" w:eastAsia="en-US"/>
        </w:rPr>
        <w:t>, and, according to the representative, this had given rise to feelings and attitudes of xenophobia and discrimination. Lastly, she indicated that, in addition to being a “woman,” “poor” and “Peruvian,” I.V. was and is a refugee in Bolivia and, as such, ha</w:t>
      </w:r>
      <w:r w:rsidR="002E0435" w:rsidRPr="00012C3F">
        <w:rPr>
          <w:rFonts w:eastAsiaTheme="minorHAnsi" w:cs="Arial"/>
          <w:sz w:val="20"/>
          <w:szCs w:val="20"/>
          <w:lang w:val="en-US" w:eastAsia="en-US"/>
        </w:rPr>
        <w:t>d</w:t>
      </w:r>
      <w:r w:rsidR="00780E58" w:rsidRPr="00012C3F">
        <w:rPr>
          <w:rFonts w:eastAsiaTheme="minorHAnsi" w:cs="Arial"/>
          <w:sz w:val="20"/>
          <w:szCs w:val="20"/>
          <w:lang w:val="en-US" w:eastAsia="en-US"/>
        </w:rPr>
        <w:t xml:space="preserve"> also been a victim of discrimination. In sum, she concluded that I.V. suffered numerous types of discrimination in </w:t>
      </w:r>
      <w:r w:rsidR="00583403" w:rsidRPr="00012C3F">
        <w:rPr>
          <w:rFonts w:eastAsiaTheme="minorHAnsi" w:cs="Arial"/>
          <w:sz w:val="20"/>
          <w:szCs w:val="20"/>
          <w:lang w:val="en-US" w:eastAsia="en-US"/>
        </w:rPr>
        <w:t>the Women’s Hospital</w:t>
      </w:r>
      <w:r w:rsidR="005A6FC7" w:rsidRPr="00012C3F">
        <w:rPr>
          <w:rFonts w:eastAsiaTheme="minorHAnsi" w:cs="Arial"/>
          <w:sz w:val="20"/>
          <w:szCs w:val="20"/>
          <w:lang w:val="en-US" w:eastAsia="en-US"/>
        </w:rPr>
        <w:t>.</w:t>
      </w:r>
    </w:p>
    <w:p w14:paraId="0B5CD4FA" w14:textId="77777777" w:rsidR="004B2395" w:rsidRPr="00012C3F" w:rsidRDefault="004B2395" w:rsidP="004B2395">
      <w:pPr>
        <w:widowControl/>
        <w:autoSpaceDE w:val="0"/>
        <w:autoSpaceDN w:val="0"/>
        <w:spacing w:line="240" w:lineRule="auto"/>
        <w:textAlignment w:val="auto"/>
        <w:rPr>
          <w:rFonts w:eastAsiaTheme="minorHAnsi" w:cs="Arial"/>
          <w:sz w:val="20"/>
          <w:szCs w:val="20"/>
          <w:lang w:val="en-US" w:eastAsia="en-US"/>
        </w:rPr>
      </w:pPr>
    </w:p>
    <w:p w14:paraId="03632981" w14:textId="77777777" w:rsidR="00780E58" w:rsidRPr="00012C3F" w:rsidRDefault="00A84CA0" w:rsidP="006C5FA3">
      <w:pPr>
        <w:widowControl/>
        <w:numPr>
          <w:ilvl w:val="0"/>
          <w:numId w:val="5"/>
        </w:numPr>
        <w:tabs>
          <w:tab w:val="left" w:pos="720"/>
          <w:tab w:val="num" w:pos="12305"/>
        </w:tabs>
        <w:autoSpaceDE w:val="0"/>
        <w:autoSpaceDN w:val="0"/>
        <w:spacing w:line="240" w:lineRule="auto"/>
        <w:ind w:left="0" w:firstLine="0"/>
        <w:textAlignment w:val="auto"/>
        <w:rPr>
          <w:rFonts w:eastAsiaTheme="minorHAnsi" w:cs="Arial"/>
          <w:sz w:val="20"/>
          <w:szCs w:val="20"/>
          <w:lang w:val="en-US" w:eastAsia="en-US"/>
        </w:rPr>
      </w:pPr>
      <w:r w:rsidRPr="00012C3F">
        <w:rPr>
          <w:rFonts w:eastAsiaTheme="minorHAnsi" w:cs="Arial"/>
          <w:bCs/>
          <w:sz w:val="20"/>
          <w:szCs w:val="20"/>
          <w:lang w:val="en-US" w:eastAsia="en-US"/>
        </w:rPr>
        <w:t xml:space="preserve">The </w:t>
      </w:r>
      <w:r w:rsidRPr="00012C3F">
        <w:rPr>
          <w:rFonts w:eastAsiaTheme="minorHAnsi" w:cs="Arial"/>
          <w:b/>
          <w:i/>
          <w:iCs/>
          <w:sz w:val="20"/>
          <w:szCs w:val="20"/>
          <w:lang w:val="en-US" w:eastAsia="en-US"/>
        </w:rPr>
        <w:t>State</w:t>
      </w:r>
      <w:r w:rsidR="004B2395" w:rsidRPr="00012C3F">
        <w:rPr>
          <w:rFonts w:eastAsiaTheme="minorHAnsi" w:cs="Arial"/>
          <w:sz w:val="20"/>
          <w:szCs w:val="20"/>
          <w:lang w:val="en-US" w:eastAsia="en-US"/>
        </w:rPr>
        <w:t xml:space="preserve"> </w:t>
      </w:r>
      <w:r w:rsidR="00780E58" w:rsidRPr="00012C3F">
        <w:rPr>
          <w:rFonts w:eastAsiaTheme="minorHAnsi" w:cs="Arial"/>
          <w:sz w:val="20"/>
          <w:szCs w:val="20"/>
          <w:lang w:val="en-US" w:eastAsia="en-US"/>
        </w:rPr>
        <w:t>argued that it had</w:t>
      </w:r>
      <w:r w:rsidR="004B2395" w:rsidRPr="00012C3F">
        <w:rPr>
          <w:rFonts w:eastAsiaTheme="minorHAnsi" w:cs="Arial"/>
          <w:sz w:val="20"/>
          <w:szCs w:val="20"/>
          <w:lang w:val="en-US" w:eastAsia="en-US"/>
        </w:rPr>
        <w:t xml:space="preserve"> “</w:t>
      </w:r>
      <w:r w:rsidR="00780E58" w:rsidRPr="00012C3F">
        <w:rPr>
          <w:rFonts w:eastAsiaTheme="minorHAnsi" w:cs="Arial"/>
          <w:sz w:val="20"/>
          <w:szCs w:val="20"/>
          <w:lang w:val="en-US" w:eastAsia="en-US"/>
        </w:rPr>
        <w:t xml:space="preserve">never exercised gender-based discrimination in relation to I.V.’s reproductive rights,” and noted that “there is no evidence whatsoever proving that I.V. was subjected to discriminatory treatment </w:t>
      </w:r>
      <w:r w:rsidR="00780E58" w:rsidRPr="00012C3F">
        <w:rPr>
          <w:rFonts w:eastAsiaTheme="minorHAnsi" w:cs="Arial"/>
          <w:i/>
          <w:sz w:val="20"/>
          <w:szCs w:val="20"/>
          <w:lang w:val="en-US" w:eastAsia="en-US"/>
        </w:rPr>
        <w:t>de iure</w:t>
      </w:r>
      <w:r w:rsidR="00780E58" w:rsidRPr="00012C3F">
        <w:rPr>
          <w:rFonts w:eastAsiaTheme="minorHAnsi" w:cs="Arial"/>
          <w:sz w:val="20"/>
          <w:szCs w:val="20"/>
          <w:lang w:val="en-US" w:eastAsia="en-US"/>
        </w:rPr>
        <w:t xml:space="preserve"> or </w:t>
      </w:r>
      <w:r w:rsidR="00780E58" w:rsidRPr="00012C3F">
        <w:rPr>
          <w:rFonts w:eastAsiaTheme="minorHAnsi" w:cs="Arial"/>
          <w:i/>
          <w:sz w:val="20"/>
          <w:szCs w:val="20"/>
          <w:lang w:val="en-US" w:eastAsia="en-US"/>
        </w:rPr>
        <w:t>de facto</w:t>
      </w:r>
      <w:r w:rsidR="00780E58" w:rsidRPr="00012C3F">
        <w:rPr>
          <w:rFonts w:eastAsiaTheme="minorHAnsi" w:cs="Arial"/>
          <w:iCs/>
          <w:sz w:val="20"/>
          <w:szCs w:val="20"/>
          <w:lang w:val="en-US" w:eastAsia="en-US"/>
        </w:rPr>
        <w:t xml:space="preserve"> by the State in relation to the rights recognized in </w:t>
      </w:r>
      <w:r w:rsidR="00780E58" w:rsidRPr="00012C3F">
        <w:rPr>
          <w:rFonts w:eastAsiaTheme="minorHAnsi" w:cs="Arial"/>
          <w:sz w:val="20"/>
          <w:szCs w:val="20"/>
          <w:lang w:val="en-US" w:eastAsia="en-US"/>
        </w:rPr>
        <w:t xml:space="preserve">Articles 11(2) and 17(2) of the Convention.” Regarding the inexistence of discrimination </w:t>
      </w:r>
      <w:r w:rsidR="00780E58" w:rsidRPr="00012C3F">
        <w:rPr>
          <w:rFonts w:eastAsiaTheme="minorHAnsi" w:cs="Arial"/>
          <w:i/>
          <w:sz w:val="20"/>
          <w:szCs w:val="20"/>
          <w:lang w:val="en-US" w:eastAsia="en-US"/>
        </w:rPr>
        <w:t>de iure</w:t>
      </w:r>
      <w:r w:rsidR="00780E58" w:rsidRPr="00012C3F">
        <w:rPr>
          <w:rFonts w:eastAsiaTheme="minorHAnsi" w:cs="Arial"/>
          <w:sz w:val="20"/>
          <w:szCs w:val="20"/>
          <w:lang w:val="en-US" w:eastAsia="en-US"/>
        </w:rPr>
        <w:t xml:space="preserve">, the State indicated that Bolivian law on the provision of health services </w:t>
      </w:r>
      <w:r w:rsidR="002E0435" w:rsidRPr="00012C3F">
        <w:rPr>
          <w:rFonts w:eastAsiaTheme="minorHAnsi" w:cs="Arial"/>
          <w:sz w:val="20"/>
          <w:szCs w:val="20"/>
          <w:lang w:val="en-US" w:eastAsia="en-US"/>
        </w:rPr>
        <w:t>wa</w:t>
      </w:r>
      <w:r w:rsidR="00780E58" w:rsidRPr="00012C3F">
        <w:rPr>
          <w:rFonts w:eastAsiaTheme="minorHAnsi" w:cs="Arial"/>
          <w:sz w:val="20"/>
          <w:szCs w:val="20"/>
          <w:lang w:val="en-US" w:eastAsia="en-US"/>
        </w:rPr>
        <w:t xml:space="preserve">s not exclusive, and furthermore, </w:t>
      </w:r>
      <w:r w:rsidR="002E0435" w:rsidRPr="00012C3F">
        <w:rPr>
          <w:rFonts w:eastAsiaTheme="minorHAnsi" w:cs="Arial"/>
          <w:sz w:val="20"/>
          <w:szCs w:val="20"/>
          <w:lang w:val="en-US" w:eastAsia="en-US"/>
        </w:rPr>
        <w:t xml:space="preserve">there was </w:t>
      </w:r>
      <w:r w:rsidR="00780E58" w:rsidRPr="00012C3F">
        <w:rPr>
          <w:rFonts w:eastAsiaTheme="minorHAnsi" w:cs="Arial"/>
          <w:sz w:val="20"/>
          <w:szCs w:val="20"/>
          <w:lang w:val="en-US" w:eastAsia="en-US"/>
        </w:rPr>
        <w:t xml:space="preserve">no discrimination whatsoever or discriminating criteria in the regulations on choice and informed consent (Health </w:t>
      </w:r>
      <w:r w:rsidR="006C5FA3" w:rsidRPr="00012C3F">
        <w:rPr>
          <w:rFonts w:eastAsiaTheme="minorHAnsi" w:cs="Arial"/>
          <w:sz w:val="20"/>
          <w:szCs w:val="20"/>
          <w:lang w:val="en-US" w:eastAsia="en-US"/>
        </w:rPr>
        <w:t xml:space="preserve">Regulation MSPS 4-98), or in the surgical protocols applied in this specific case. Consequently, it argued that “there is no provision whatsoever in relation to reproductive health that, based on discrimination, limits the exercise of the reproductive rights of women.” In addition, the State argued the inexistence of discrimination </w:t>
      </w:r>
      <w:r w:rsidR="006C5FA3" w:rsidRPr="00012C3F">
        <w:rPr>
          <w:rFonts w:eastAsiaTheme="minorHAnsi" w:cs="Arial"/>
          <w:i/>
          <w:sz w:val="20"/>
          <w:szCs w:val="20"/>
          <w:lang w:val="en-US" w:eastAsia="en-US"/>
        </w:rPr>
        <w:t>de facto</w:t>
      </w:r>
      <w:r w:rsidR="006C5FA3" w:rsidRPr="00012C3F">
        <w:rPr>
          <w:rFonts w:eastAsiaTheme="minorHAnsi" w:cs="Arial"/>
          <w:sz w:val="20"/>
          <w:szCs w:val="20"/>
          <w:lang w:val="en-US" w:eastAsia="en-US"/>
        </w:rPr>
        <w:t>, because the “the medical personnel performed their tasks professionally, and without making any distinctions to the detriment of I.V.” It a</w:t>
      </w:r>
      <w:r w:rsidR="002E0435" w:rsidRPr="00012C3F">
        <w:rPr>
          <w:rFonts w:eastAsiaTheme="minorHAnsi" w:cs="Arial"/>
          <w:sz w:val="20"/>
          <w:szCs w:val="20"/>
          <w:lang w:val="en-US" w:eastAsia="en-US"/>
        </w:rPr>
        <w:t>rgued</w:t>
      </w:r>
      <w:r w:rsidR="006C5FA3" w:rsidRPr="00012C3F">
        <w:rPr>
          <w:rFonts w:eastAsiaTheme="minorHAnsi" w:cs="Arial"/>
          <w:sz w:val="20"/>
          <w:szCs w:val="20"/>
          <w:lang w:val="en-US" w:eastAsia="en-US"/>
        </w:rPr>
        <w:t xml:space="preserve"> that actions, such as the performance of </w:t>
      </w:r>
      <w:r w:rsidR="00136EDE" w:rsidRPr="00012C3F">
        <w:rPr>
          <w:rFonts w:eastAsiaTheme="minorHAnsi" w:cs="Arial"/>
          <w:sz w:val="20"/>
          <w:szCs w:val="20"/>
          <w:lang w:val="en-US" w:eastAsia="en-US"/>
        </w:rPr>
        <w:t>the caesarean section</w:t>
      </w:r>
      <w:r w:rsidR="006C5FA3" w:rsidRPr="00012C3F">
        <w:rPr>
          <w:rFonts w:eastAsiaTheme="minorHAnsi" w:cs="Arial"/>
          <w:sz w:val="20"/>
          <w:szCs w:val="20"/>
          <w:lang w:val="en-US" w:eastAsia="en-US"/>
        </w:rPr>
        <w:t xml:space="preserve"> to protect her life and that of the baby, were carried out in accordance with the patient’s needs. Therefore, in its opinion, there </w:t>
      </w:r>
      <w:r w:rsidR="002E0435" w:rsidRPr="00012C3F">
        <w:rPr>
          <w:rFonts w:eastAsiaTheme="minorHAnsi" w:cs="Arial"/>
          <w:sz w:val="20"/>
          <w:szCs w:val="20"/>
          <w:lang w:val="en-US" w:eastAsia="en-US"/>
        </w:rPr>
        <w:t>wa</w:t>
      </w:r>
      <w:r w:rsidR="006C5FA3" w:rsidRPr="00012C3F">
        <w:rPr>
          <w:rFonts w:eastAsiaTheme="minorHAnsi" w:cs="Arial"/>
          <w:sz w:val="20"/>
          <w:szCs w:val="20"/>
          <w:lang w:val="en-US" w:eastAsia="en-US"/>
        </w:rPr>
        <w:t>s no record showing that the alleged numerous forms of discrimination existed, based on the fact that I.V. was a woman, a migrant, and with scarce financial resources, because she was provided with every possibility of access to health care services, and the respective controls to protect her maternal health.</w:t>
      </w:r>
    </w:p>
    <w:p w14:paraId="0E3BF390" w14:textId="77777777" w:rsidR="004B2395" w:rsidRPr="00012C3F" w:rsidRDefault="004B2395" w:rsidP="004B2395">
      <w:pPr>
        <w:widowControl/>
        <w:autoSpaceDE w:val="0"/>
        <w:autoSpaceDN w:val="0"/>
        <w:spacing w:line="240" w:lineRule="auto"/>
        <w:textAlignment w:val="auto"/>
        <w:rPr>
          <w:rFonts w:eastAsiaTheme="minorHAnsi" w:cs="Arial"/>
          <w:sz w:val="20"/>
          <w:szCs w:val="20"/>
          <w:lang w:val="en-US" w:eastAsia="en-US"/>
        </w:rPr>
      </w:pPr>
    </w:p>
    <w:p w14:paraId="2CFB898B" w14:textId="77777777" w:rsidR="006C5FA3" w:rsidRPr="00012C3F" w:rsidRDefault="006C5FA3" w:rsidP="006C5FA3">
      <w:pPr>
        <w:widowControl/>
        <w:numPr>
          <w:ilvl w:val="0"/>
          <w:numId w:val="5"/>
        </w:numPr>
        <w:tabs>
          <w:tab w:val="left" w:pos="720"/>
          <w:tab w:val="num" w:pos="12305"/>
        </w:tabs>
        <w:autoSpaceDE w:val="0"/>
        <w:autoSpaceDN w:val="0"/>
        <w:spacing w:line="240" w:lineRule="auto"/>
        <w:ind w:left="0" w:firstLine="0"/>
        <w:textAlignment w:val="auto"/>
        <w:rPr>
          <w:rFonts w:eastAsiaTheme="minorHAnsi" w:cs="Arial"/>
          <w:sz w:val="20"/>
          <w:szCs w:val="20"/>
          <w:lang w:val="en-US" w:eastAsia="en-US"/>
        </w:rPr>
      </w:pPr>
      <w:r w:rsidRPr="00012C3F">
        <w:rPr>
          <w:rFonts w:eastAsiaTheme="minorHAnsi" w:cs="Arial"/>
          <w:sz w:val="20"/>
          <w:szCs w:val="20"/>
          <w:lang w:val="en-US" w:eastAsia="en-US"/>
        </w:rPr>
        <w:t>Regarding the supposed existence of a systematic pattern of</w:t>
      </w:r>
      <w:r w:rsidR="008F5266" w:rsidRPr="00012C3F">
        <w:rPr>
          <w:rFonts w:eastAsiaTheme="minorHAnsi" w:cs="Arial"/>
          <w:sz w:val="20"/>
          <w:szCs w:val="20"/>
          <w:lang w:val="en-US" w:eastAsia="en-US"/>
        </w:rPr>
        <w:t xml:space="preserve"> forced sterilization</w:t>
      </w:r>
      <w:r w:rsidRPr="00012C3F">
        <w:rPr>
          <w:rFonts w:eastAsiaTheme="minorHAnsi" w:cs="Arial"/>
          <w:sz w:val="20"/>
          <w:szCs w:val="20"/>
          <w:lang w:val="en-US" w:eastAsia="en-US"/>
        </w:rPr>
        <w:t>, the State indicated that tubal ligation “can never be classified as a practice of</w:t>
      </w:r>
      <w:r w:rsidR="008F5266" w:rsidRPr="00012C3F">
        <w:rPr>
          <w:rFonts w:eastAsiaTheme="minorHAnsi" w:cs="Arial"/>
          <w:sz w:val="20"/>
          <w:szCs w:val="20"/>
          <w:lang w:val="en-US" w:eastAsia="en-US"/>
        </w:rPr>
        <w:t xml:space="preserve"> forced sterilization</w:t>
      </w:r>
      <w:r w:rsidRPr="00012C3F">
        <w:rPr>
          <w:rFonts w:eastAsiaTheme="minorHAnsi" w:cs="Arial"/>
          <w:sz w:val="20"/>
          <w:szCs w:val="20"/>
          <w:lang w:val="en-US" w:eastAsia="en-US"/>
        </w:rPr>
        <w:t xml:space="preserve"> based on discriminatory criteria, seeking to portray the State as a violator of human rights, </w:t>
      </w:r>
      <w:r w:rsidR="008F5266" w:rsidRPr="00012C3F">
        <w:rPr>
          <w:rFonts w:eastAsiaTheme="minorHAnsi" w:cs="Arial"/>
          <w:sz w:val="20"/>
          <w:szCs w:val="20"/>
          <w:lang w:val="en-US" w:eastAsia="en-US"/>
        </w:rPr>
        <w:t>as</w:t>
      </w:r>
      <w:r w:rsidRPr="00012C3F">
        <w:rPr>
          <w:rFonts w:eastAsiaTheme="minorHAnsi" w:cs="Arial"/>
          <w:sz w:val="20"/>
          <w:szCs w:val="20"/>
          <w:lang w:val="en-US" w:eastAsia="en-US"/>
        </w:rPr>
        <w:t xml:space="preserve"> if its actions w</w:t>
      </w:r>
      <w:r w:rsidR="008F5266" w:rsidRPr="00012C3F">
        <w:rPr>
          <w:rFonts w:eastAsiaTheme="minorHAnsi" w:cs="Arial"/>
          <w:sz w:val="20"/>
          <w:szCs w:val="20"/>
          <w:lang w:val="en-US" w:eastAsia="en-US"/>
        </w:rPr>
        <w:t>ere</w:t>
      </w:r>
      <w:r w:rsidRPr="00012C3F">
        <w:rPr>
          <w:rFonts w:eastAsiaTheme="minorHAnsi" w:cs="Arial"/>
          <w:sz w:val="20"/>
          <w:szCs w:val="20"/>
          <w:lang w:val="en-US" w:eastAsia="en-US"/>
        </w:rPr>
        <w:t xml:space="preserve"> aimed at arbitrarily limiting the reproductive freedom of women through a mass, obligatory and systematic government birth control policy</w:t>
      </w:r>
      <w:r w:rsidR="008F5266" w:rsidRPr="00012C3F">
        <w:rPr>
          <w:rFonts w:eastAsiaTheme="minorHAnsi" w:cs="Arial"/>
          <w:sz w:val="20"/>
          <w:szCs w:val="20"/>
          <w:lang w:val="en-US" w:eastAsia="en-US"/>
        </w:rPr>
        <w:t xml:space="preserve">, an argument that [… it] reject[ed]] because it was totally divorced from reality.” It also argued that, the instant case “absolutely cannot be compared to the acts of forced sterilization [that occur in other countries and] that, based on a poverty control policy, take away the right of women to decide if and when to have children, thus affecting the country’s marginalized and indigenous communities […].”  </w:t>
      </w:r>
    </w:p>
    <w:p w14:paraId="48D8761B" w14:textId="77777777" w:rsidR="004B2395" w:rsidRPr="00012C3F" w:rsidRDefault="004B2395" w:rsidP="004B2395">
      <w:pPr>
        <w:widowControl/>
        <w:autoSpaceDE w:val="0"/>
        <w:autoSpaceDN w:val="0"/>
        <w:spacing w:line="240" w:lineRule="auto"/>
        <w:textAlignment w:val="auto"/>
        <w:rPr>
          <w:rFonts w:eastAsiaTheme="minorHAnsi" w:cs="Arial"/>
          <w:sz w:val="20"/>
          <w:szCs w:val="20"/>
          <w:lang w:val="en-US" w:eastAsia="en-US"/>
        </w:rPr>
      </w:pPr>
    </w:p>
    <w:p w14:paraId="3337D721" w14:textId="77777777" w:rsidR="008F5266" w:rsidRPr="00012C3F" w:rsidRDefault="008F5266" w:rsidP="008F5266">
      <w:pPr>
        <w:numPr>
          <w:ilvl w:val="0"/>
          <w:numId w:val="5"/>
        </w:numPr>
        <w:tabs>
          <w:tab w:val="left" w:pos="720"/>
          <w:tab w:val="num" w:pos="12305"/>
        </w:tabs>
        <w:spacing w:line="240" w:lineRule="auto"/>
        <w:ind w:left="0" w:firstLine="0"/>
        <w:rPr>
          <w:rFonts w:eastAsiaTheme="minorHAnsi" w:cs="Arial"/>
          <w:b/>
          <w:sz w:val="16"/>
          <w:szCs w:val="16"/>
          <w:lang w:val="en-US" w:eastAsia="en-US"/>
        </w:rPr>
      </w:pPr>
      <w:r w:rsidRPr="00012C3F">
        <w:rPr>
          <w:rFonts w:eastAsiaTheme="minorHAnsi" w:cs="Arial"/>
          <w:sz w:val="20"/>
          <w:szCs w:val="20"/>
          <w:lang w:val="en-US" w:eastAsia="en-US"/>
        </w:rPr>
        <w:t>Lastly</w:t>
      </w:r>
      <w:r w:rsidR="004B2395" w:rsidRPr="00012C3F">
        <w:rPr>
          <w:rFonts w:eastAsiaTheme="minorHAnsi" w:cs="Arial"/>
          <w:sz w:val="20"/>
          <w:szCs w:val="20"/>
          <w:lang w:val="en-US" w:eastAsia="en-US"/>
        </w:rPr>
        <w:t xml:space="preserve">, </w:t>
      </w:r>
      <w:r w:rsidR="00A84CA0" w:rsidRPr="00012C3F">
        <w:rPr>
          <w:rFonts w:eastAsiaTheme="minorHAnsi" w:cs="Arial"/>
          <w:sz w:val="20"/>
          <w:szCs w:val="20"/>
          <w:lang w:val="en-US" w:eastAsia="en-US"/>
        </w:rPr>
        <w:t>the State</w:t>
      </w:r>
      <w:r w:rsidR="004B2395" w:rsidRPr="00012C3F">
        <w:rPr>
          <w:rFonts w:eastAsiaTheme="minorHAnsi" w:cs="Arial"/>
          <w:sz w:val="20"/>
          <w:szCs w:val="20"/>
          <w:lang w:val="en-US" w:eastAsia="en-US"/>
        </w:rPr>
        <w:t xml:space="preserve"> </w:t>
      </w:r>
      <w:r w:rsidRPr="00012C3F">
        <w:rPr>
          <w:rFonts w:eastAsiaTheme="minorHAnsi" w:cs="Arial"/>
          <w:sz w:val="20"/>
          <w:szCs w:val="20"/>
          <w:lang w:val="en-US" w:eastAsia="en-US"/>
        </w:rPr>
        <w:t>rejected the facts alleged in this case, because they did not accord with the provisions of</w:t>
      </w:r>
      <w:r w:rsidR="004B2395" w:rsidRPr="00012C3F">
        <w:rPr>
          <w:rFonts w:eastAsiaTheme="minorHAnsi" w:cs="Arial"/>
          <w:sz w:val="20"/>
          <w:szCs w:val="20"/>
          <w:lang w:val="en-US" w:eastAsia="en-US"/>
        </w:rPr>
        <w:t xml:space="preserve"> </w:t>
      </w:r>
      <w:r w:rsidR="001254DE" w:rsidRPr="00012C3F">
        <w:rPr>
          <w:rFonts w:eastAsiaTheme="minorHAnsi" w:cs="Arial"/>
          <w:sz w:val="20"/>
          <w:szCs w:val="20"/>
          <w:lang w:val="en-US" w:eastAsia="en-US"/>
        </w:rPr>
        <w:t>Articles</w:t>
      </w:r>
      <w:r w:rsidR="004B2395" w:rsidRPr="00012C3F">
        <w:rPr>
          <w:rFonts w:eastAsiaTheme="minorHAnsi" w:cs="Arial"/>
          <w:sz w:val="20"/>
          <w:szCs w:val="20"/>
          <w:lang w:val="en-US" w:eastAsia="en-US"/>
        </w:rPr>
        <w:t xml:space="preserve"> </w:t>
      </w:r>
      <w:r w:rsidR="005E5012" w:rsidRPr="00012C3F">
        <w:rPr>
          <w:rFonts w:eastAsiaTheme="minorHAnsi" w:cs="Arial"/>
          <w:sz w:val="20"/>
          <w:szCs w:val="20"/>
          <w:lang w:val="en-US" w:eastAsia="en-US"/>
        </w:rPr>
        <w:t>17(2) and 11(2)</w:t>
      </w:r>
      <w:r w:rsidR="000D4F90" w:rsidRPr="00012C3F">
        <w:rPr>
          <w:rFonts w:eastAsiaTheme="minorHAnsi" w:cs="Arial"/>
          <w:sz w:val="20"/>
          <w:szCs w:val="20"/>
          <w:lang w:val="en-US" w:eastAsia="en-US"/>
        </w:rPr>
        <w:t>,</w:t>
      </w:r>
      <w:r w:rsidR="004B2395" w:rsidRPr="00012C3F">
        <w:rPr>
          <w:rFonts w:eastAsiaTheme="minorHAnsi" w:cs="Arial"/>
          <w:sz w:val="20"/>
          <w:szCs w:val="20"/>
          <w:lang w:val="en-US" w:eastAsia="en-US"/>
        </w:rPr>
        <w:t xml:space="preserve"> </w:t>
      </w:r>
      <w:r w:rsidR="006C705C" w:rsidRPr="00012C3F">
        <w:rPr>
          <w:rFonts w:eastAsiaTheme="minorHAnsi" w:cs="Arial"/>
          <w:sz w:val="20"/>
          <w:szCs w:val="20"/>
          <w:lang w:val="en-US" w:eastAsia="en-US"/>
        </w:rPr>
        <w:t>in relation to</w:t>
      </w:r>
      <w:r w:rsidR="004B2395" w:rsidRPr="00012C3F">
        <w:rPr>
          <w:rFonts w:eastAsiaTheme="minorHAnsi" w:cs="Arial"/>
          <w:sz w:val="20"/>
          <w:szCs w:val="20"/>
          <w:lang w:val="en-US" w:eastAsia="en-US"/>
        </w:rPr>
        <w:t xml:space="preserve"> </w:t>
      </w:r>
      <w:r w:rsidR="001254DE" w:rsidRPr="00012C3F">
        <w:rPr>
          <w:rFonts w:eastAsiaTheme="minorHAnsi" w:cs="Arial"/>
          <w:sz w:val="20"/>
          <w:szCs w:val="20"/>
          <w:lang w:val="en-US" w:eastAsia="en-US"/>
        </w:rPr>
        <w:t>Article</w:t>
      </w:r>
      <w:r w:rsidR="004B2395" w:rsidRPr="00012C3F">
        <w:rPr>
          <w:rFonts w:eastAsiaTheme="minorHAnsi" w:cs="Arial"/>
          <w:sz w:val="20"/>
          <w:szCs w:val="20"/>
          <w:lang w:val="en-US" w:eastAsia="en-US"/>
        </w:rPr>
        <w:t xml:space="preserve"> </w:t>
      </w:r>
      <w:r w:rsidR="005E5012" w:rsidRPr="00012C3F">
        <w:rPr>
          <w:rFonts w:eastAsiaTheme="minorHAnsi" w:cs="Arial"/>
          <w:sz w:val="20"/>
          <w:szCs w:val="20"/>
          <w:lang w:val="en-US" w:eastAsia="en-US"/>
        </w:rPr>
        <w:t>1(1)</w:t>
      </w:r>
      <w:r w:rsidR="001254DE" w:rsidRPr="00012C3F">
        <w:rPr>
          <w:rFonts w:eastAsiaTheme="minorHAnsi" w:cs="Arial"/>
          <w:sz w:val="20"/>
          <w:szCs w:val="20"/>
          <w:lang w:val="en-US" w:eastAsia="en-US"/>
        </w:rPr>
        <w:t xml:space="preserve"> of the Convention</w:t>
      </w:r>
      <w:r w:rsidR="000D4F90" w:rsidRPr="00012C3F">
        <w:rPr>
          <w:rFonts w:eastAsiaTheme="minorHAnsi" w:cs="Arial"/>
          <w:sz w:val="20"/>
          <w:szCs w:val="20"/>
          <w:lang w:val="en-US" w:eastAsia="en-US"/>
        </w:rPr>
        <w:t xml:space="preserve">, </w:t>
      </w:r>
      <w:r w:rsidRPr="00012C3F">
        <w:rPr>
          <w:rFonts w:eastAsiaTheme="minorHAnsi" w:cs="Arial"/>
          <w:sz w:val="20"/>
          <w:szCs w:val="20"/>
          <w:lang w:val="en-US" w:eastAsia="en-US"/>
        </w:rPr>
        <w:t>since</w:t>
      </w:r>
      <w:r w:rsidR="004B2395" w:rsidRPr="00012C3F">
        <w:rPr>
          <w:rFonts w:eastAsiaTheme="minorHAnsi" w:cs="Arial"/>
          <w:sz w:val="20"/>
          <w:szCs w:val="20"/>
          <w:lang w:val="en-US" w:eastAsia="en-US"/>
        </w:rPr>
        <w:t xml:space="preserve"> </w:t>
      </w:r>
      <w:r w:rsidR="000D4F90" w:rsidRPr="00012C3F">
        <w:rPr>
          <w:rFonts w:eastAsiaTheme="minorHAnsi" w:cs="Arial"/>
          <w:sz w:val="20"/>
          <w:szCs w:val="20"/>
          <w:lang w:val="en-US" w:eastAsia="en-US"/>
        </w:rPr>
        <w:t>“</w:t>
      </w:r>
      <w:r w:rsidRPr="00012C3F">
        <w:rPr>
          <w:rFonts w:eastAsiaTheme="minorHAnsi" w:cs="Arial"/>
          <w:sz w:val="20"/>
          <w:szCs w:val="20"/>
          <w:lang w:val="en-US" w:eastAsia="en-US"/>
        </w:rPr>
        <w:t>the presumed violation of I.V.’s family life was not the result of a specific act or omission of the State to this end, but rather the result of a free, voluntary and rational decision not to conceive more children.” Accordingly, the State asked the Court to declare that the State had not violated the said provisions.</w:t>
      </w:r>
    </w:p>
    <w:p w14:paraId="0044E75B" w14:textId="77777777" w:rsidR="007A632E" w:rsidRPr="00012C3F" w:rsidRDefault="007A632E" w:rsidP="007D00D9">
      <w:pPr>
        <w:spacing w:line="240" w:lineRule="auto"/>
        <w:rPr>
          <w:sz w:val="20"/>
          <w:szCs w:val="20"/>
          <w:lang w:val="en-US"/>
        </w:rPr>
      </w:pPr>
    </w:p>
    <w:p w14:paraId="6E6C43C8" w14:textId="77777777" w:rsidR="00885EE8" w:rsidRPr="00012C3F" w:rsidRDefault="00885EE8" w:rsidP="006A16C8">
      <w:pPr>
        <w:pStyle w:val="Ttulo2"/>
        <w:tabs>
          <w:tab w:val="left" w:pos="1701"/>
        </w:tabs>
        <w:spacing w:before="0" w:line="240" w:lineRule="auto"/>
        <w:ind w:left="1134"/>
        <w:rPr>
          <w:rFonts w:ascii="Verdana" w:hAnsi="Verdana"/>
          <w:b w:val="0"/>
          <w:i/>
          <w:color w:val="auto"/>
          <w:sz w:val="20"/>
          <w:szCs w:val="20"/>
          <w:lang w:val="en-US"/>
        </w:rPr>
      </w:pPr>
      <w:bookmarkStart w:id="128" w:name="_Toc27486860"/>
      <w:r w:rsidRPr="00012C3F">
        <w:rPr>
          <w:rFonts w:ascii="Verdana" w:hAnsi="Verdana"/>
          <w:b w:val="0"/>
          <w:i/>
          <w:color w:val="auto"/>
          <w:sz w:val="20"/>
          <w:szCs w:val="20"/>
          <w:lang w:val="en-US"/>
        </w:rPr>
        <w:t>A.6</w:t>
      </w:r>
      <w:r w:rsidRPr="00012C3F">
        <w:rPr>
          <w:rFonts w:ascii="Verdana" w:hAnsi="Verdana"/>
          <w:b w:val="0"/>
          <w:i/>
          <w:color w:val="auto"/>
          <w:sz w:val="20"/>
          <w:szCs w:val="20"/>
          <w:lang w:val="en-US"/>
        </w:rPr>
        <w:tab/>
      </w:r>
      <w:r w:rsidR="006C705C" w:rsidRPr="00012C3F">
        <w:rPr>
          <w:rFonts w:ascii="Verdana" w:hAnsi="Verdana"/>
          <w:b w:val="0"/>
          <w:i/>
          <w:color w:val="auto"/>
          <w:sz w:val="20"/>
          <w:szCs w:val="20"/>
          <w:lang w:val="en-US"/>
        </w:rPr>
        <w:t>Arguments on the right</w:t>
      </w:r>
      <w:r w:rsidRPr="00012C3F">
        <w:rPr>
          <w:rFonts w:ascii="Verdana" w:hAnsi="Verdana"/>
          <w:b w:val="0"/>
          <w:i/>
          <w:color w:val="auto"/>
          <w:sz w:val="20"/>
          <w:szCs w:val="20"/>
          <w:lang w:val="en-US"/>
        </w:rPr>
        <w:t xml:space="preserve"> </w:t>
      </w:r>
      <w:r w:rsidR="006C705C" w:rsidRPr="00012C3F">
        <w:rPr>
          <w:rFonts w:ascii="Verdana" w:hAnsi="Verdana"/>
          <w:b w:val="0"/>
          <w:i/>
          <w:color w:val="auto"/>
          <w:sz w:val="20"/>
          <w:szCs w:val="20"/>
          <w:lang w:val="en-US"/>
        </w:rPr>
        <w:t xml:space="preserve">of women to a life </w:t>
      </w:r>
      <w:r w:rsidR="00836B72" w:rsidRPr="00012C3F">
        <w:rPr>
          <w:rFonts w:ascii="Verdana" w:hAnsi="Verdana"/>
          <w:b w:val="0"/>
          <w:i/>
          <w:color w:val="auto"/>
          <w:sz w:val="20"/>
          <w:szCs w:val="20"/>
          <w:lang w:val="en-US"/>
        </w:rPr>
        <w:t>free from violence</w:t>
      </w:r>
      <w:r w:rsidRPr="00012C3F">
        <w:rPr>
          <w:rFonts w:ascii="Verdana" w:hAnsi="Verdana"/>
          <w:b w:val="0"/>
          <w:i/>
          <w:color w:val="auto"/>
          <w:sz w:val="20"/>
          <w:szCs w:val="20"/>
          <w:lang w:val="en-US"/>
        </w:rPr>
        <w:t xml:space="preserve"> (</w:t>
      </w:r>
      <w:r w:rsidR="001254DE" w:rsidRPr="00012C3F">
        <w:rPr>
          <w:rFonts w:ascii="Verdana" w:hAnsi="Verdana"/>
          <w:b w:val="0"/>
          <w:i/>
          <w:color w:val="auto"/>
          <w:sz w:val="20"/>
          <w:szCs w:val="20"/>
          <w:lang w:val="en-US"/>
        </w:rPr>
        <w:t>Article</w:t>
      </w:r>
      <w:r w:rsidRPr="00012C3F">
        <w:rPr>
          <w:rFonts w:ascii="Verdana" w:hAnsi="Verdana"/>
          <w:b w:val="0"/>
          <w:i/>
          <w:color w:val="auto"/>
          <w:sz w:val="20"/>
          <w:szCs w:val="20"/>
          <w:lang w:val="en-US"/>
        </w:rPr>
        <w:t xml:space="preserve"> 7</w:t>
      </w:r>
      <w:r w:rsidR="001254DE" w:rsidRPr="00012C3F">
        <w:rPr>
          <w:rFonts w:ascii="Verdana" w:hAnsi="Verdana"/>
          <w:b w:val="0"/>
          <w:i/>
          <w:color w:val="auto"/>
          <w:sz w:val="20"/>
          <w:szCs w:val="20"/>
          <w:lang w:val="en-US"/>
        </w:rPr>
        <w:t xml:space="preserve"> of the Convention</w:t>
      </w:r>
      <w:r w:rsidRPr="00012C3F">
        <w:rPr>
          <w:rFonts w:ascii="Verdana" w:hAnsi="Verdana"/>
          <w:b w:val="0"/>
          <w:i/>
          <w:color w:val="auto"/>
          <w:sz w:val="20"/>
          <w:szCs w:val="20"/>
          <w:lang w:val="en-US"/>
        </w:rPr>
        <w:t xml:space="preserve"> </w:t>
      </w:r>
      <w:r w:rsidR="005E5012" w:rsidRPr="00012C3F">
        <w:rPr>
          <w:rFonts w:ascii="Verdana" w:hAnsi="Verdana"/>
          <w:b w:val="0"/>
          <w:i/>
          <w:color w:val="auto"/>
          <w:sz w:val="20"/>
          <w:szCs w:val="20"/>
          <w:lang w:val="en-US"/>
        </w:rPr>
        <w:t>of Belém</w:t>
      </w:r>
      <w:r w:rsidRPr="00012C3F">
        <w:rPr>
          <w:rFonts w:ascii="Verdana" w:hAnsi="Verdana"/>
          <w:b w:val="0"/>
          <w:i/>
          <w:color w:val="auto"/>
          <w:sz w:val="20"/>
          <w:szCs w:val="20"/>
          <w:lang w:val="en-US"/>
        </w:rPr>
        <w:t xml:space="preserve"> do Pará)</w:t>
      </w:r>
      <w:bookmarkEnd w:id="128"/>
    </w:p>
    <w:p w14:paraId="4A713290" w14:textId="77777777" w:rsidR="00885EE8" w:rsidRPr="00012C3F" w:rsidRDefault="00885EE8" w:rsidP="00885EE8">
      <w:pPr>
        <w:spacing w:line="240" w:lineRule="auto"/>
        <w:rPr>
          <w:sz w:val="20"/>
          <w:szCs w:val="20"/>
          <w:lang w:val="en-US"/>
        </w:rPr>
      </w:pPr>
    </w:p>
    <w:p w14:paraId="73AD9D8B" w14:textId="77777777" w:rsidR="00885EE8" w:rsidRPr="00012C3F" w:rsidRDefault="00BD056C" w:rsidP="00570C15">
      <w:pPr>
        <w:numPr>
          <w:ilvl w:val="0"/>
          <w:numId w:val="5"/>
        </w:numPr>
        <w:tabs>
          <w:tab w:val="left" w:pos="720"/>
          <w:tab w:val="num" w:pos="12305"/>
        </w:tabs>
        <w:spacing w:line="240" w:lineRule="auto"/>
        <w:ind w:left="0" w:firstLine="0"/>
        <w:rPr>
          <w:b/>
          <w:sz w:val="16"/>
          <w:szCs w:val="16"/>
          <w:lang w:val="en-US"/>
        </w:rPr>
      </w:pPr>
      <w:r w:rsidRPr="00012C3F">
        <w:rPr>
          <w:sz w:val="20"/>
          <w:szCs w:val="20"/>
          <w:lang w:val="en-US"/>
        </w:rPr>
        <w:t xml:space="preserve">The </w:t>
      </w:r>
      <w:r w:rsidRPr="00012C3F">
        <w:rPr>
          <w:b/>
          <w:bCs/>
          <w:i/>
          <w:iCs/>
          <w:sz w:val="20"/>
          <w:szCs w:val="20"/>
          <w:lang w:val="en-US"/>
        </w:rPr>
        <w:t>Commission</w:t>
      </w:r>
      <w:r w:rsidR="00885EE8" w:rsidRPr="00012C3F">
        <w:rPr>
          <w:sz w:val="20"/>
          <w:szCs w:val="20"/>
          <w:lang w:val="en-US"/>
        </w:rPr>
        <w:t xml:space="preserve"> consider</w:t>
      </w:r>
      <w:r w:rsidR="00271E24" w:rsidRPr="00012C3F">
        <w:rPr>
          <w:sz w:val="20"/>
          <w:szCs w:val="20"/>
          <w:lang w:val="en-US"/>
        </w:rPr>
        <w:t>ed that</w:t>
      </w:r>
      <w:r w:rsidR="00885EE8" w:rsidRPr="00012C3F">
        <w:rPr>
          <w:sz w:val="20"/>
          <w:szCs w:val="20"/>
          <w:lang w:val="en-US"/>
        </w:rPr>
        <w:t xml:space="preserve"> </w:t>
      </w:r>
      <w:r w:rsidR="00271E24" w:rsidRPr="00012C3F">
        <w:rPr>
          <w:sz w:val="20"/>
          <w:szCs w:val="20"/>
          <w:lang w:val="en-US"/>
        </w:rPr>
        <w:t>non-consensual sterilization</w:t>
      </w:r>
      <w:r w:rsidR="00885EE8" w:rsidRPr="00012C3F">
        <w:rPr>
          <w:sz w:val="20"/>
          <w:szCs w:val="20"/>
          <w:lang w:val="en-US"/>
        </w:rPr>
        <w:t xml:space="preserve"> </w:t>
      </w:r>
      <w:r w:rsidR="00271E24" w:rsidRPr="00012C3F">
        <w:rPr>
          <w:sz w:val="20"/>
          <w:szCs w:val="20"/>
          <w:lang w:val="en-US"/>
        </w:rPr>
        <w:t>also violated I.V.’s right to live free of all forms of violence in violation of</w:t>
      </w:r>
      <w:r w:rsidR="00271E24" w:rsidRPr="00012C3F">
        <w:rPr>
          <w:b/>
          <w:sz w:val="16"/>
          <w:szCs w:val="16"/>
          <w:lang w:val="en-US"/>
        </w:rPr>
        <w:t xml:space="preserve"> </w:t>
      </w:r>
      <w:r w:rsidR="008A7A0F" w:rsidRPr="00012C3F">
        <w:rPr>
          <w:sz w:val="20"/>
          <w:szCs w:val="20"/>
          <w:lang w:val="en-US"/>
        </w:rPr>
        <w:t>Article</w:t>
      </w:r>
      <w:r w:rsidR="00885EE8" w:rsidRPr="00012C3F">
        <w:rPr>
          <w:sz w:val="20"/>
          <w:szCs w:val="20"/>
          <w:lang w:val="en-US"/>
        </w:rPr>
        <w:t xml:space="preserve"> 7</w:t>
      </w:r>
      <w:r w:rsidR="001254DE" w:rsidRPr="00012C3F">
        <w:rPr>
          <w:sz w:val="20"/>
          <w:szCs w:val="20"/>
          <w:lang w:val="en-US"/>
        </w:rPr>
        <w:t xml:space="preserve"> of the Convention</w:t>
      </w:r>
      <w:r w:rsidR="00885EE8" w:rsidRPr="00012C3F">
        <w:rPr>
          <w:sz w:val="20"/>
          <w:szCs w:val="20"/>
          <w:lang w:val="en-US"/>
        </w:rPr>
        <w:t xml:space="preserve"> </w:t>
      </w:r>
      <w:r w:rsidR="005E5012" w:rsidRPr="00012C3F">
        <w:rPr>
          <w:sz w:val="20"/>
          <w:szCs w:val="20"/>
          <w:lang w:val="en-US"/>
        </w:rPr>
        <w:t>of Belém</w:t>
      </w:r>
      <w:r w:rsidR="00885EE8" w:rsidRPr="00012C3F">
        <w:rPr>
          <w:sz w:val="20"/>
          <w:szCs w:val="20"/>
          <w:lang w:val="en-US"/>
        </w:rPr>
        <w:t xml:space="preserve"> do Pará. </w:t>
      </w:r>
      <w:r w:rsidR="00271E24" w:rsidRPr="00012C3F">
        <w:rPr>
          <w:sz w:val="20"/>
          <w:szCs w:val="20"/>
          <w:lang w:val="en-US"/>
        </w:rPr>
        <w:t xml:space="preserve">In this regard, </w:t>
      </w:r>
      <w:r w:rsidR="001254DE" w:rsidRPr="00012C3F">
        <w:rPr>
          <w:sz w:val="20"/>
          <w:szCs w:val="20"/>
          <w:lang w:val="en-US"/>
        </w:rPr>
        <w:t xml:space="preserve">the </w:t>
      </w:r>
      <w:r w:rsidR="00A84CA0" w:rsidRPr="00012C3F">
        <w:rPr>
          <w:sz w:val="20"/>
          <w:szCs w:val="20"/>
          <w:lang w:val="en-US"/>
        </w:rPr>
        <w:t>Commission</w:t>
      </w:r>
      <w:r w:rsidR="00885EE8" w:rsidRPr="00012C3F">
        <w:rPr>
          <w:sz w:val="20"/>
          <w:szCs w:val="20"/>
          <w:lang w:val="en-US"/>
        </w:rPr>
        <w:t xml:space="preserve"> </w:t>
      </w:r>
      <w:r w:rsidR="00271E24" w:rsidRPr="00012C3F">
        <w:rPr>
          <w:sz w:val="20"/>
          <w:szCs w:val="20"/>
          <w:lang w:val="en-US"/>
        </w:rPr>
        <w:t>argued that “</w:t>
      </w:r>
      <w:r w:rsidR="00570C15" w:rsidRPr="00012C3F">
        <w:rPr>
          <w:rStyle w:val="Ttulo1Car"/>
          <w:b w:val="0"/>
          <w:caps w:val="0"/>
          <w:lang w:val="en-US"/>
        </w:rPr>
        <w:t>performing a non-consensual sterilization causes the wom</w:t>
      </w:r>
      <w:r w:rsidR="009F565E" w:rsidRPr="00012C3F">
        <w:rPr>
          <w:rStyle w:val="Ttulo1Car"/>
          <w:b w:val="0"/>
          <w:caps w:val="0"/>
          <w:lang w:val="en-US"/>
        </w:rPr>
        <w:t>a</w:t>
      </w:r>
      <w:r w:rsidR="00570C15" w:rsidRPr="00012C3F">
        <w:rPr>
          <w:rStyle w:val="Ttulo1Car"/>
          <w:b w:val="0"/>
          <w:caps w:val="0"/>
          <w:lang w:val="en-US"/>
        </w:rPr>
        <w:t>n</w:t>
      </w:r>
      <w:r w:rsidR="009F565E" w:rsidRPr="00012C3F">
        <w:rPr>
          <w:rStyle w:val="Ttulo1Car"/>
          <w:b w:val="0"/>
          <w:caps w:val="0"/>
          <w:lang w:val="en-US"/>
        </w:rPr>
        <w:t xml:space="preserve"> concerned</w:t>
      </w:r>
      <w:r w:rsidR="00570C15" w:rsidRPr="00012C3F">
        <w:rPr>
          <w:rStyle w:val="Ttulo1Car"/>
          <w:b w:val="0"/>
          <w:caps w:val="0"/>
          <w:lang w:val="en-US"/>
        </w:rPr>
        <w:t xml:space="preserve"> pain and suffering and constitutes a form of violence, with ongoing physical and psychological consequences for </w:t>
      </w:r>
      <w:r w:rsidR="009F565E" w:rsidRPr="00012C3F">
        <w:rPr>
          <w:rStyle w:val="Ttulo1Car"/>
          <w:b w:val="0"/>
          <w:caps w:val="0"/>
          <w:lang w:val="en-US"/>
        </w:rPr>
        <w:t>her</w:t>
      </w:r>
      <w:r w:rsidR="00570C15" w:rsidRPr="00012C3F">
        <w:rPr>
          <w:rStyle w:val="Ttulo1Car"/>
          <w:b w:val="0"/>
          <w:caps w:val="0"/>
          <w:lang w:val="en-US"/>
        </w:rPr>
        <w:t xml:space="preserve"> reproductive health.</w:t>
      </w:r>
      <w:r w:rsidR="00570C15" w:rsidRPr="00012C3F">
        <w:rPr>
          <w:b/>
          <w:sz w:val="16"/>
          <w:szCs w:val="16"/>
          <w:lang w:val="en-US"/>
        </w:rPr>
        <w:t xml:space="preserve">” </w:t>
      </w:r>
      <w:r w:rsidR="00885EE8" w:rsidRPr="00012C3F">
        <w:rPr>
          <w:sz w:val="20"/>
          <w:szCs w:val="20"/>
          <w:lang w:val="en-US"/>
        </w:rPr>
        <w:t>I</w:t>
      </w:r>
      <w:r w:rsidR="00570C15" w:rsidRPr="00012C3F">
        <w:rPr>
          <w:sz w:val="20"/>
          <w:szCs w:val="20"/>
          <w:lang w:val="en-US"/>
        </w:rPr>
        <w:t>t indicated that this had been expressly recognized in the l</w:t>
      </w:r>
      <w:r w:rsidR="009F565E" w:rsidRPr="00012C3F">
        <w:rPr>
          <w:sz w:val="20"/>
          <w:szCs w:val="20"/>
          <w:lang w:val="en-US"/>
        </w:rPr>
        <w:t>aws</w:t>
      </w:r>
      <w:r w:rsidR="00570C15" w:rsidRPr="00012C3F">
        <w:rPr>
          <w:sz w:val="20"/>
          <w:szCs w:val="20"/>
          <w:lang w:val="en-US"/>
        </w:rPr>
        <w:t xml:space="preserve"> of s</w:t>
      </w:r>
      <w:r w:rsidR="009F565E" w:rsidRPr="00012C3F">
        <w:rPr>
          <w:sz w:val="20"/>
          <w:szCs w:val="20"/>
          <w:lang w:val="en-US"/>
        </w:rPr>
        <w:t>everal</w:t>
      </w:r>
      <w:r w:rsidR="00570C15" w:rsidRPr="00012C3F">
        <w:rPr>
          <w:sz w:val="20"/>
          <w:szCs w:val="20"/>
          <w:lang w:val="en-US"/>
        </w:rPr>
        <w:t xml:space="preserve"> Latin American countries</w:t>
      </w:r>
      <w:r w:rsidR="009F565E" w:rsidRPr="00012C3F">
        <w:rPr>
          <w:sz w:val="20"/>
          <w:szCs w:val="20"/>
          <w:lang w:val="en-US"/>
        </w:rPr>
        <w:t>,</w:t>
      </w:r>
      <w:r w:rsidR="00570C15" w:rsidRPr="00012C3F">
        <w:rPr>
          <w:sz w:val="20"/>
          <w:szCs w:val="20"/>
          <w:lang w:val="en-US"/>
        </w:rPr>
        <w:t xml:space="preserve"> such as Argentina and Venezuela, which classif</w:t>
      </w:r>
      <w:r w:rsidR="009F565E" w:rsidRPr="00012C3F">
        <w:rPr>
          <w:sz w:val="20"/>
          <w:szCs w:val="20"/>
          <w:lang w:val="en-US"/>
        </w:rPr>
        <w:t>ied</w:t>
      </w:r>
      <w:r w:rsidR="00570C15" w:rsidRPr="00012C3F">
        <w:rPr>
          <w:sz w:val="20"/>
          <w:szCs w:val="20"/>
          <w:lang w:val="en-US"/>
        </w:rPr>
        <w:t xml:space="preserve"> forced sterilization as a form of obstetric </w:t>
      </w:r>
      <w:r w:rsidR="009F565E" w:rsidRPr="00012C3F">
        <w:rPr>
          <w:sz w:val="20"/>
          <w:szCs w:val="20"/>
          <w:lang w:val="en-US"/>
        </w:rPr>
        <w:t>or</w:t>
      </w:r>
      <w:r w:rsidR="00570C15" w:rsidRPr="00012C3F">
        <w:rPr>
          <w:sz w:val="20"/>
          <w:szCs w:val="20"/>
          <w:lang w:val="en-US"/>
        </w:rPr>
        <w:t xml:space="preserve"> autonomous violence. In the instant case, the Commission argued that</w:t>
      </w:r>
      <w:r w:rsidR="009F565E" w:rsidRPr="00012C3F">
        <w:rPr>
          <w:sz w:val="20"/>
          <w:szCs w:val="20"/>
          <w:lang w:val="en-US"/>
        </w:rPr>
        <w:t>, as a</w:t>
      </w:r>
      <w:r w:rsidR="00570C15" w:rsidRPr="00012C3F">
        <w:rPr>
          <w:sz w:val="20"/>
          <w:szCs w:val="20"/>
          <w:lang w:val="en-US"/>
        </w:rPr>
        <w:t xml:space="preserve"> result of</w:t>
      </w:r>
      <w:r w:rsidR="009F565E" w:rsidRPr="00012C3F">
        <w:rPr>
          <w:sz w:val="20"/>
          <w:szCs w:val="20"/>
          <w:lang w:val="en-US"/>
        </w:rPr>
        <w:t xml:space="preserve"> her</w:t>
      </w:r>
      <w:r w:rsidR="00570C15" w:rsidRPr="00012C3F">
        <w:rPr>
          <w:sz w:val="20"/>
          <w:szCs w:val="20"/>
          <w:lang w:val="en-US"/>
        </w:rPr>
        <w:t xml:space="preserve"> sterilization</w:t>
      </w:r>
      <w:r w:rsidR="009F565E" w:rsidRPr="00012C3F">
        <w:rPr>
          <w:sz w:val="20"/>
          <w:szCs w:val="20"/>
          <w:lang w:val="en-US"/>
        </w:rPr>
        <w:t>.</w:t>
      </w:r>
      <w:r w:rsidR="00570C15" w:rsidRPr="00012C3F">
        <w:rPr>
          <w:sz w:val="20"/>
          <w:szCs w:val="20"/>
          <w:lang w:val="en-US"/>
        </w:rPr>
        <w:t xml:space="preserve"> I.V. ha</w:t>
      </w:r>
      <w:r w:rsidR="009F565E" w:rsidRPr="00012C3F">
        <w:rPr>
          <w:sz w:val="20"/>
          <w:szCs w:val="20"/>
          <w:lang w:val="en-US"/>
        </w:rPr>
        <w:t>d</w:t>
      </w:r>
      <w:r w:rsidR="00570C15" w:rsidRPr="00012C3F">
        <w:rPr>
          <w:sz w:val="20"/>
          <w:szCs w:val="20"/>
          <w:lang w:val="en-US"/>
        </w:rPr>
        <w:t xml:space="preserve"> been prevented, permanently, from exercising her reproductive autonomy to decide freely and responsibly on the number and spacing of her children using the methods available to facilitate that right. On this basis, the Commission concluded that, in this regard, the State </w:t>
      </w:r>
      <w:r w:rsidR="009F565E" w:rsidRPr="00012C3F">
        <w:rPr>
          <w:sz w:val="20"/>
          <w:szCs w:val="20"/>
          <w:lang w:val="en-US"/>
        </w:rPr>
        <w:t xml:space="preserve">had </w:t>
      </w:r>
      <w:r w:rsidR="00570C15" w:rsidRPr="00012C3F">
        <w:rPr>
          <w:sz w:val="20"/>
          <w:szCs w:val="20"/>
          <w:lang w:val="en-US"/>
        </w:rPr>
        <w:t>violated the obligation to refrain from any act or practice of violence against women in violation of the obligations established</w:t>
      </w:r>
      <w:r w:rsidR="00570C15" w:rsidRPr="00012C3F">
        <w:rPr>
          <w:b/>
          <w:sz w:val="16"/>
          <w:szCs w:val="16"/>
          <w:lang w:val="en-US"/>
        </w:rPr>
        <w:t xml:space="preserve"> </w:t>
      </w:r>
      <w:r w:rsidR="00570C15" w:rsidRPr="00012C3F">
        <w:rPr>
          <w:sz w:val="20"/>
          <w:szCs w:val="20"/>
          <w:lang w:val="en-US"/>
        </w:rPr>
        <w:t>i</w:t>
      </w:r>
      <w:r w:rsidR="00885EE8" w:rsidRPr="00012C3F">
        <w:rPr>
          <w:sz w:val="20"/>
          <w:szCs w:val="20"/>
          <w:lang w:val="en-US"/>
        </w:rPr>
        <w:t xml:space="preserve">n </w:t>
      </w:r>
      <w:r w:rsidR="001254DE" w:rsidRPr="00012C3F">
        <w:rPr>
          <w:sz w:val="20"/>
          <w:szCs w:val="20"/>
          <w:lang w:val="en-US"/>
        </w:rPr>
        <w:t>Article</w:t>
      </w:r>
      <w:r w:rsidR="00885EE8" w:rsidRPr="00012C3F">
        <w:rPr>
          <w:sz w:val="20"/>
          <w:szCs w:val="20"/>
          <w:lang w:val="en-US"/>
        </w:rPr>
        <w:t xml:space="preserve"> 7</w:t>
      </w:r>
      <w:r w:rsidR="001254DE" w:rsidRPr="00012C3F">
        <w:rPr>
          <w:sz w:val="20"/>
          <w:szCs w:val="20"/>
          <w:lang w:val="en-US"/>
        </w:rPr>
        <w:t xml:space="preserve"> of the Convention</w:t>
      </w:r>
      <w:r w:rsidR="00885EE8" w:rsidRPr="00012C3F">
        <w:rPr>
          <w:sz w:val="20"/>
          <w:szCs w:val="20"/>
          <w:lang w:val="en-US"/>
        </w:rPr>
        <w:t xml:space="preserve"> </w:t>
      </w:r>
      <w:r w:rsidR="005E5012" w:rsidRPr="00012C3F">
        <w:rPr>
          <w:sz w:val="20"/>
          <w:szCs w:val="20"/>
          <w:lang w:val="en-US"/>
        </w:rPr>
        <w:t>of Belém</w:t>
      </w:r>
      <w:r w:rsidR="00885EE8" w:rsidRPr="00012C3F">
        <w:rPr>
          <w:sz w:val="20"/>
          <w:szCs w:val="20"/>
          <w:lang w:val="en-US"/>
        </w:rPr>
        <w:t xml:space="preserve"> do Pará.</w:t>
      </w:r>
    </w:p>
    <w:p w14:paraId="6681D887" w14:textId="77777777" w:rsidR="00885EE8" w:rsidRPr="00012C3F" w:rsidRDefault="00885EE8" w:rsidP="00885EE8">
      <w:pPr>
        <w:tabs>
          <w:tab w:val="left" w:pos="567"/>
        </w:tabs>
        <w:spacing w:line="240" w:lineRule="auto"/>
        <w:rPr>
          <w:sz w:val="20"/>
          <w:szCs w:val="20"/>
          <w:lang w:val="en-US"/>
        </w:rPr>
      </w:pPr>
    </w:p>
    <w:p w14:paraId="1E5C96C6" w14:textId="77777777" w:rsidR="00885EE8" w:rsidRPr="00012C3F" w:rsidRDefault="00972ACF" w:rsidP="00486D71">
      <w:pPr>
        <w:numPr>
          <w:ilvl w:val="0"/>
          <w:numId w:val="5"/>
        </w:numPr>
        <w:tabs>
          <w:tab w:val="left" w:pos="720"/>
          <w:tab w:val="num" w:pos="12305"/>
        </w:tabs>
        <w:spacing w:line="240" w:lineRule="auto"/>
        <w:ind w:left="0" w:firstLine="0"/>
        <w:rPr>
          <w:b/>
          <w:sz w:val="20"/>
          <w:szCs w:val="20"/>
          <w:lang w:val="en-US"/>
        </w:rPr>
      </w:pPr>
      <w:r w:rsidRPr="00012C3F">
        <w:rPr>
          <w:sz w:val="20"/>
          <w:szCs w:val="20"/>
          <w:lang w:val="en-US"/>
        </w:rPr>
        <w:lastRenderedPageBreak/>
        <w:t xml:space="preserve">The </w:t>
      </w:r>
      <w:r w:rsidRPr="00012C3F">
        <w:rPr>
          <w:b/>
          <w:bCs/>
          <w:i/>
          <w:iCs/>
          <w:sz w:val="20"/>
          <w:szCs w:val="20"/>
          <w:lang w:val="en-US"/>
        </w:rPr>
        <w:t>representative</w:t>
      </w:r>
      <w:r w:rsidR="00885EE8" w:rsidRPr="00012C3F">
        <w:rPr>
          <w:sz w:val="20"/>
          <w:szCs w:val="20"/>
          <w:lang w:val="en-US"/>
        </w:rPr>
        <w:t xml:space="preserve"> </w:t>
      </w:r>
      <w:r w:rsidR="00570C15" w:rsidRPr="00012C3F">
        <w:rPr>
          <w:sz w:val="20"/>
          <w:szCs w:val="20"/>
          <w:lang w:val="en-US"/>
        </w:rPr>
        <w:t xml:space="preserve">agreed with the legal </w:t>
      </w:r>
      <w:r w:rsidR="009F565E" w:rsidRPr="00012C3F">
        <w:rPr>
          <w:sz w:val="20"/>
          <w:szCs w:val="20"/>
          <w:lang w:val="en-US"/>
        </w:rPr>
        <w:t>grounds</w:t>
      </w:r>
      <w:r w:rsidR="00570C15" w:rsidRPr="00012C3F">
        <w:rPr>
          <w:sz w:val="20"/>
          <w:szCs w:val="20"/>
          <w:lang w:val="en-US"/>
        </w:rPr>
        <w:t xml:space="preserve"> and conclusions </w:t>
      </w:r>
      <w:r w:rsidR="00486D71" w:rsidRPr="00012C3F">
        <w:rPr>
          <w:sz w:val="20"/>
          <w:szCs w:val="20"/>
          <w:lang w:val="en-US"/>
        </w:rPr>
        <w:t>set forth by</w:t>
      </w:r>
      <w:r w:rsidR="000D230F" w:rsidRPr="00012C3F">
        <w:rPr>
          <w:sz w:val="20"/>
          <w:szCs w:val="20"/>
          <w:lang w:val="en-US"/>
        </w:rPr>
        <w:t xml:space="preserve"> </w:t>
      </w:r>
      <w:r w:rsidR="001254DE" w:rsidRPr="00012C3F">
        <w:rPr>
          <w:sz w:val="20"/>
          <w:szCs w:val="20"/>
          <w:lang w:val="en-US"/>
        </w:rPr>
        <w:t xml:space="preserve">the </w:t>
      </w:r>
      <w:r w:rsidR="00A84CA0" w:rsidRPr="00012C3F">
        <w:rPr>
          <w:sz w:val="20"/>
          <w:szCs w:val="20"/>
          <w:lang w:val="en-US"/>
        </w:rPr>
        <w:t>Commission</w:t>
      </w:r>
      <w:r w:rsidR="000D230F" w:rsidRPr="00012C3F">
        <w:rPr>
          <w:sz w:val="20"/>
          <w:szCs w:val="20"/>
          <w:lang w:val="en-US"/>
        </w:rPr>
        <w:t xml:space="preserve"> </w:t>
      </w:r>
      <w:r w:rsidR="00486D71" w:rsidRPr="00012C3F">
        <w:rPr>
          <w:sz w:val="20"/>
          <w:szCs w:val="20"/>
          <w:lang w:val="en-US"/>
        </w:rPr>
        <w:t>in its</w:t>
      </w:r>
      <w:r w:rsidR="000D230F" w:rsidRPr="00012C3F">
        <w:rPr>
          <w:sz w:val="20"/>
          <w:szCs w:val="20"/>
          <w:lang w:val="en-US"/>
        </w:rPr>
        <w:t xml:space="preserve"> </w:t>
      </w:r>
      <w:r w:rsidR="00E00902" w:rsidRPr="00012C3F">
        <w:rPr>
          <w:sz w:val="20"/>
          <w:szCs w:val="20"/>
          <w:lang w:val="en-US"/>
        </w:rPr>
        <w:t>Merits Report</w:t>
      </w:r>
      <w:r w:rsidR="00885EE8" w:rsidRPr="00012C3F">
        <w:rPr>
          <w:sz w:val="20"/>
          <w:szCs w:val="20"/>
          <w:lang w:val="en-US"/>
        </w:rPr>
        <w:t xml:space="preserve"> </w:t>
      </w:r>
      <w:r w:rsidR="00486D71" w:rsidRPr="00012C3F">
        <w:rPr>
          <w:sz w:val="20"/>
          <w:szCs w:val="20"/>
          <w:lang w:val="en-US"/>
        </w:rPr>
        <w:t>in relation to the violation of</w:t>
      </w:r>
      <w:r w:rsidR="008A7A0F" w:rsidRPr="00012C3F">
        <w:rPr>
          <w:sz w:val="20"/>
          <w:szCs w:val="20"/>
          <w:lang w:val="en-US"/>
        </w:rPr>
        <w:t xml:space="preserve"> Article</w:t>
      </w:r>
      <w:r w:rsidR="00885EE8" w:rsidRPr="00012C3F">
        <w:rPr>
          <w:sz w:val="20"/>
          <w:szCs w:val="20"/>
          <w:lang w:val="en-US"/>
        </w:rPr>
        <w:t xml:space="preserve"> 7 (a, b, c, f</w:t>
      </w:r>
      <w:r w:rsidR="005E5012" w:rsidRPr="00012C3F">
        <w:rPr>
          <w:sz w:val="20"/>
          <w:szCs w:val="20"/>
          <w:lang w:val="en-US"/>
        </w:rPr>
        <w:t xml:space="preserve"> and </w:t>
      </w:r>
      <w:r w:rsidR="00885EE8" w:rsidRPr="00012C3F">
        <w:rPr>
          <w:sz w:val="20"/>
          <w:szCs w:val="20"/>
          <w:lang w:val="en-US"/>
        </w:rPr>
        <w:t>g)</w:t>
      </w:r>
      <w:r w:rsidR="001254DE" w:rsidRPr="00012C3F">
        <w:rPr>
          <w:sz w:val="20"/>
          <w:szCs w:val="20"/>
          <w:lang w:val="en-US"/>
        </w:rPr>
        <w:t xml:space="preserve"> of the Convention</w:t>
      </w:r>
      <w:r w:rsidR="00885EE8" w:rsidRPr="00012C3F">
        <w:rPr>
          <w:sz w:val="20"/>
          <w:szCs w:val="20"/>
          <w:lang w:val="en-US"/>
        </w:rPr>
        <w:t xml:space="preserve"> </w:t>
      </w:r>
      <w:r w:rsidR="005E5012" w:rsidRPr="00012C3F">
        <w:rPr>
          <w:sz w:val="20"/>
          <w:szCs w:val="20"/>
          <w:lang w:val="en-US"/>
        </w:rPr>
        <w:t>of Belém</w:t>
      </w:r>
      <w:r w:rsidR="00885EE8" w:rsidRPr="00012C3F">
        <w:rPr>
          <w:sz w:val="20"/>
          <w:szCs w:val="20"/>
          <w:lang w:val="en-US"/>
        </w:rPr>
        <w:t xml:space="preserve"> do Pará.</w:t>
      </w:r>
    </w:p>
    <w:p w14:paraId="6110FAB3" w14:textId="77777777" w:rsidR="00885EE8" w:rsidRPr="00012C3F" w:rsidRDefault="00885EE8" w:rsidP="00486D71">
      <w:pPr>
        <w:tabs>
          <w:tab w:val="left" w:pos="720"/>
        </w:tabs>
        <w:spacing w:line="240" w:lineRule="auto"/>
        <w:rPr>
          <w:b/>
          <w:sz w:val="20"/>
          <w:szCs w:val="20"/>
          <w:lang w:val="en-US"/>
        </w:rPr>
      </w:pPr>
    </w:p>
    <w:p w14:paraId="636E9DE3" w14:textId="77777777" w:rsidR="00885EE8" w:rsidRPr="00012C3F" w:rsidRDefault="00A84CA0" w:rsidP="00486D71">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The </w:t>
      </w:r>
      <w:r w:rsidRPr="00012C3F">
        <w:rPr>
          <w:b/>
          <w:bCs/>
          <w:i/>
          <w:iCs/>
          <w:sz w:val="20"/>
          <w:szCs w:val="20"/>
          <w:lang w:val="en-US"/>
        </w:rPr>
        <w:t>State</w:t>
      </w:r>
      <w:r w:rsidR="00885EE8" w:rsidRPr="00012C3F">
        <w:rPr>
          <w:sz w:val="20"/>
          <w:szCs w:val="20"/>
          <w:lang w:val="en-US"/>
        </w:rPr>
        <w:t xml:space="preserve"> re</w:t>
      </w:r>
      <w:r w:rsidR="00486D71" w:rsidRPr="00012C3F">
        <w:rPr>
          <w:sz w:val="20"/>
          <w:szCs w:val="20"/>
          <w:lang w:val="en-US"/>
        </w:rPr>
        <w:t xml:space="preserve">jected </w:t>
      </w:r>
      <w:r w:rsidR="001254DE" w:rsidRPr="00012C3F">
        <w:rPr>
          <w:sz w:val="20"/>
          <w:szCs w:val="20"/>
          <w:lang w:val="en-US"/>
        </w:rPr>
        <w:t xml:space="preserve">the </w:t>
      </w:r>
      <w:r w:rsidRPr="00012C3F">
        <w:rPr>
          <w:sz w:val="20"/>
          <w:szCs w:val="20"/>
          <w:lang w:val="en-US"/>
        </w:rPr>
        <w:t>Commission</w:t>
      </w:r>
      <w:r w:rsidR="00486D71" w:rsidRPr="00012C3F">
        <w:rPr>
          <w:sz w:val="20"/>
          <w:szCs w:val="20"/>
          <w:lang w:val="en-US"/>
        </w:rPr>
        <w:t>’s arguments that, for I.V., the presumed</w:t>
      </w:r>
      <w:r w:rsidR="00885EE8" w:rsidRPr="00012C3F">
        <w:rPr>
          <w:sz w:val="20"/>
          <w:szCs w:val="20"/>
          <w:lang w:val="en-US"/>
        </w:rPr>
        <w:t xml:space="preserve"> </w:t>
      </w:r>
      <w:r w:rsidR="00486D71" w:rsidRPr="00012C3F">
        <w:rPr>
          <w:sz w:val="20"/>
          <w:szCs w:val="20"/>
          <w:lang w:val="en-US"/>
        </w:rPr>
        <w:t>non-consensual sterilization</w:t>
      </w:r>
      <w:r w:rsidR="00885EE8" w:rsidRPr="00012C3F">
        <w:rPr>
          <w:sz w:val="20"/>
          <w:szCs w:val="20"/>
          <w:lang w:val="en-US"/>
        </w:rPr>
        <w:t xml:space="preserve"> constitu</w:t>
      </w:r>
      <w:r w:rsidR="00486D71" w:rsidRPr="00012C3F">
        <w:rPr>
          <w:sz w:val="20"/>
          <w:szCs w:val="20"/>
          <w:lang w:val="en-US"/>
        </w:rPr>
        <w:t xml:space="preserve">ted a form of violence and interference in her private and family life, “because I.V. gave her free and voluntary consent, with appropriate counseling </w:t>
      </w:r>
      <w:r w:rsidR="009F565E" w:rsidRPr="00012C3F">
        <w:rPr>
          <w:sz w:val="20"/>
          <w:szCs w:val="20"/>
          <w:lang w:val="en-US"/>
        </w:rPr>
        <w:t>concerning</w:t>
      </w:r>
      <w:r w:rsidR="00486D71" w:rsidRPr="00012C3F">
        <w:rPr>
          <w:sz w:val="20"/>
          <w:szCs w:val="20"/>
          <w:lang w:val="en-US"/>
        </w:rPr>
        <w:t xml:space="preserve"> the risks and benefits of the procedure, so that the tubal ligation was performed as a prophylactic measure and </w:t>
      </w:r>
      <w:r w:rsidR="009F565E" w:rsidRPr="00012C3F">
        <w:rPr>
          <w:sz w:val="20"/>
          <w:szCs w:val="20"/>
          <w:lang w:val="en-US"/>
        </w:rPr>
        <w:t>to comply</w:t>
      </w:r>
      <w:r w:rsidR="00486D71" w:rsidRPr="00012C3F">
        <w:rPr>
          <w:sz w:val="20"/>
          <w:szCs w:val="20"/>
          <w:lang w:val="en-US"/>
        </w:rPr>
        <w:t xml:space="preserve"> with the protection of her life.” The State also argued that </w:t>
      </w:r>
      <w:r w:rsidR="009F565E" w:rsidRPr="00012C3F">
        <w:rPr>
          <w:sz w:val="20"/>
          <w:szCs w:val="20"/>
          <w:lang w:val="en-US"/>
        </w:rPr>
        <w:t>it</w:t>
      </w:r>
      <w:r w:rsidR="00486D71" w:rsidRPr="00012C3F">
        <w:rPr>
          <w:sz w:val="20"/>
          <w:szCs w:val="20"/>
          <w:lang w:val="en-US"/>
        </w:rPr>
        <w:t xml:space="preserve"> had not failed to comply with </w:t>
      </w:r>
      <w:r w:rsidR="001254DE" w:rsidRPr="00012C3F">
        <w:rPr>
          <w:sz w:val="20"/>
          <w:szCs w:val="20"/>
          <w:lang w:val="en-US"/>
        </w:rPr>
        <w:t>Article</w:t>
      </w:r>
      <w:r w:rsidR="00885EE8" w:rsidRPr="00012C3F">
        <w:rPr>
          <w:sz w:val="20"/>
          <w:szCs w:val="20"/>
          <w:lang w:val="en-US"/>
        </w:rPr>
        <w:t xml:space="preserve"> 7</w:t>
      </w:r>
      <w:r w:rsidR="001254DE" w:rsidRPr="00012C3F">
        <w:rPr>
          <w:sz w:val="20"/>
          <w:szCs w:val="20"/>
          <w:lang w:val="en-US"/>
        </w:rPr>
        <w:t xml:space="preserve"> of the Convention</w:t>
      </w:r>
      <w:r w:rsidR="00885EE8" w:rsidRPr="00012C3F">
        <w:rPr>
          <w:sz w:val="20"/>
          <w:szCs w:val="20"/>
          <w:lang w:val="en-US"/>
        </w:rPr>
        <w:t xml:space="preserve"> </w:t>
      </w:r>
      <w:r w:rsidR="005E5012" w:rsidRPr="00012C3F">
        <w:rPr>
          <w:sz w:val="20"/>
          <w:szCs w:val="20"/>
          <w:lang w:val="en-US"/>
        </w:rPr>
        <w:t>of Belém</w:t>
      </w:r>
      <w:r w:rsidR="00885EE8" w:rsidRPr="00012C3F">
        <w:rPr>
          <w:sz w:val="20"/>
          <w:szCs w:val="20"/>
          <w:lang w:val="en-US"/>
        </w:rPr>
        <w:t xml:space="preserve"> do Pará</w:t>
      </w:r>
      <w:r w:rsidR="00486D71" w:rsidRPr="00012C3F">
        <w:rPr>
          <w:sz w:val="20"/>
          <w:szCs w:val="20"/>
          <w:lang w:val="en-US"/>
        </w:rPr>
        <w:t>, because its public institutions had not committed any act of violence against I.V., with regard to her decision-making</w:t>
      </w:r>
      <w:r w:rsidR="009F565E" w:rsidRPr="00012C3F">
        <w:rPr>
          <w:sz w:val="20"/>
          <w:szCs w:val="20"/>
          <w:lang w:val="en-US"/>
        </w:rPr>
        <w:t xml:space="preserve"> either</w:t>
      </w:r>
      <w:r w:rsidR="00486D71" w:rsidRPr="00012C3F">
        <w:rPr>
          <w:sz w:val="20"/>
          <w:szCs w:val="20"/>
          <w:lang w:val="en-US"/>
        </w:rPr>
        <w:t xml:space="preserve"> in her private life, or </w:t>
      </w:r>
      <w:r w:rsidR="009F565E" w:rsidRPr="00012C3F">
        <w:rPr>
          <w:sz w:val="20"/>
          <w:szCs w:val="20"/>
          <w:lang w:val="en-US"/>
        </w:rPr>
        <w:t xml:space="preserve">in </w:t>
      </w:r>
      <w:r w:rsidR="00486D71" w:rsidRPr="00012C3F">
        <w:rPr>
          <w:sz w:val="20"/>
          <w:szCs w:val="20"/>
          <w:lang w:val="en-US"/>
        </w:rPr>
        <w:t>the sphere of her intimacy. Consequently, the State a</w:t>
      </w:r>
      <w:r w:rsidR="009F565E" w:rsidRPr="00012C3F">
        <w:rPr>
          <w:sz w:val="20"/>
          <w:szCs w:val="20"/>
          <w:lang w:val="en-US"/>
        </w:rPr>
        <w:t>rgue</w:t>
      </w:r>
      <w:r w:rsidR="00486D71" w:rsidRPr="00012C3F">
        <w:rPr>
          <w:sz w:val="20"/>
          <w:szCs w:val="20"/>
          <w:lang w:val="en-US"/>
        </w:rPr>
        <w:t xml:space="preserve">d that it had complied with the obligations established in </w:t>
      </w:r>
      <w:r w:rsidR="001254DE" w:rsidRPr="00012C3F">
        <w:rPr>
          <w:sz w:val="20"/>
          <w:szCs w:val="20"/>
          <w:lang w:val="en-US"/>
        </w:rPr>
        <w:t>Article</w:t>
      </w:r>
      <w:r w:rsidR="00885EE8" w:rsidRPr="00012C3F">
        <w:rPr>
          <w:sz w:val="20"/>
          <w:szCs w:val="20"/>
          <w:lang w:val="en-US"/>
        </w:rPr>
        <w:t xml:space="preserve"> 7</w:t>
      </w:r>
      <w:r w:rsidR="001254DE" w:rsidRPr="00012C3F">
        <w:rPr>
          <w:sz w:val="20"/>
          <w:szCs w:val="20"/>
          <w:lang w:val="en-US"/>
        </w:rPr>
        <w:t xml:space="preserve"> of the Convention</w:t>
      </w:r>
      <w:r w:rsidR="00885EE8" w:rsidRPr="00012C3F">
        <w:rPr>
          <w:sz w:val="20"/>
          <w:szCs w:val="20"/>
          <w:lang w:val="en-US"/>
        </w:rPr>
        <w:t xml:space="preserve"> </w:t>
      </w:r>
      <w:r w:rsidR="005E5012" w:rsidRPr="00012C3F">
        <w:rPr>
          <w:sz w:val="20"/>
          <w:szCs w:val="20"/>
          <w:lang w:val="en-US"/>
        </w:rPr>
        <w:t>of Belém</w:t>
      </w:r>
      <w:r w:rsidR="00885EE8" w:rsidRPr="00012C3F">
        <w:rPr>
          <w:sz w:val="20"/>
          <w:szCs w:val="20"/>
          <w:lang w:val="en-US"/>
        </w:rPr>
        <w:t xml:space="preserve"> do Pará.</w:t>
      </w:r>
    </w:p>
    <w:p w14:paraId="25ABE6C8" w14:textId="77777777" w:rsidR="00885EE8" w:rsidRPr="00012C3F" w:rsidRDefault="00885EE8" w:rsidP="00486D71">
      <w:pPr>
        <w:tabs>
          <w:tab w:val="left" w:pos="720"/>
        </w:tabs>
        <w:spacing w:line="240" w:lineRule="auto"/>
        <w:rPr>
          <w:sz w:val="20"/>
          <w:szCs w:val="20"/>
          <w:lang w:val="en-US"/>
        </w:rPr>
      </w:pPr>
    </w:p>
    <w:p w14:paraId="4EC14DEA" w14:textId="77777777" w:rsidR="00486D71" w:rsidRPr="00012C3F" w:rsidRDefault="00486D71" w:rsidP="00486D71">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Regarding the duty to refrain from an</w:t>
      </w:r>
      <w:r w:rsidR="00E158E4" w:rsidRPr="00012C3F">
        <w:rPr>
          <w:sz w:val="20"/>
          <w:szCs w:val="20"/>
          <w:lang w:val="en-US"/>
        </w:rPr>
        <w:t>y</w:t>
      </w:r>
      <w:r w:rsidRPr="00012C3F">
        <w:rPr>
          <w:sz w:val="20"/>
          <w:szCs w:val="20"/>
          <w:lang w:val="en-US"/>
        </w:rPr>
        <w:t xml:space="preserve"> act or practice of violence against women and to ensure that the conduct of its authorities, officials, perso</w:t>
      </w:r>
      <w:r w:rsidR="00E158E4" w:rsidRPr="00012C3F">
        <w:rPr>
          <w:sz w:val="20"/>
          <w:szCs w:val="20"/>
          <w:lang w:val="en-US"/>
        </w:rPr>
        <w:t>nnel</w:t>
      </w:r>
      <w:r w:rsidRPr="00012C3F">
        <w:rPr>
          <w:sz w:val="20"/>
          <w:szCs w:val="20"/>
          <w:lang w:val="en-US"/>
        </w:rPr>
        <w:t xml:space="preserve">, agents and institutions complied with this obligation, the State </w:t>
      </w:r>
      <w:r w:rsidR="004E2C6C" w:rsidRPr="00012C3F">
        <w:rPr>
          <w:sz w:val="20"/>
          <w:szCs w:val="20"/>
          <w:lang w:val="en-US"/>
        </w:rPr>
        <w:t>a</w:t>
      </w:r>
      <w:r w:rsidR="00E158E4" w:rsidRPr="00012C3F">
        <w:rPr>
          <w:sz w:val="20"/>
          <w:szCs w:val="20"/>
          <w:lang w:val="en-US"/>
        </w:rPr>
        <w:t>rgu</w:t>
      </w:r>
      <w:r w:rsidR="004E2C6C" w:rsidRPr="00012C3F">
        <w:rPr>
          <w:sz w:val="20"/>
          <w:szCs w:val="20"/>
          <w:lang w:val="en-US"/>
        </w:rPr>
        <w:t xml:space="preserve">ed that, during the surgical procedure, “it was I.V. who, with appropriate counseling about the risks and benefits of the procedure, gave her consent to the tubal ligation,” and that “[t]he medical personnel performed the tubal ligation procedure abiding strictly </w:t>
      </w:r>
      <w:r w:rsidR="00E158E4" w:rsidRPr="00012C3F">
        <w:rPr>
          <w:sz w:val="20"/>
          <w:szCs w:val="20"/>
          <w:lang w:val="en-US"/>
        </w:rPr>
        <w:t>by</w:t>
      </w:r>
      <w:r w:rsidR="004E2C6C" w:rsidRPr="00012C3F">
        <w:rPr>
          <w:sz w:val="20"/>
          <w:szCs w:val="20"/>
          <w:lang w:val="en-US"/>
        </w:rPr>
        <w:t xml:space="preserve"> the </w:t>
      </w:r>
      <w:r w:rsidR="004E2C6C" w:rsidRPr="00012C3F">
        <w:rPr>
          <w:i/>
          <w:sz w:val="20"/>
          <w:szCs w:val="20"/>
          <w:lang w:val="en-US"/>
        </w:rPr>
        <w:t>lex artis</w:t>
      </w:r>
      <w:r w:rsidR="004E2C6C" w:rsidRPr="00012C3F">
        <w:rPr>
          <w:sz w:val="20"/>
          <w:szCs w:val="20"/>
          <w:lang w:val="en-US"/>
        </w:rPr>
        <w:t xml:space="preserve"> of the medical profession, </w:t>
      </w:r>
      <w:r w:rsidR="00E158E4" w:rsidRPr="00012C3F">
        <w:rPr>
          <w:sz w:val="20"/>
          <w:szCs w:val="20"/>
          <w:lang w:val="en-US"/>
        </w:rPr>
        <w:t>offering</w:t>
      </w:r>
      <w:r w:rsidR="004E2C6C" w:rsidRPr="00012C3F">
        <w:rPr>
          <w:sz w:val="20"/>
          <w:szCs w:val="20"/>
          <w:lang w:val="en-US"/>
        </w:rPr>
        <w:t xml:space="preserve"> information on the procedure, performing the operation as a prophylactic measure, and providing the medical care services in accordance with the patient’s needs.” The State also argued that it had not facilitated or consented to any violence against I.V. Lastly, the State indicated that, at the time of the facts, its l</w:t>
      </w:r>
      <w:r w:rsidR="00E158E4" w:rsidRPr="00012C3F">
        <w:rPr>
          <w:sz w:val="20"/>
          <w:szCs w:val="20"/>
          <w:lang w:val="en-US"/>
        </w:rPr>
        <w:t>aws</w:t>
      </w:r>
      <w:r w:rsidR="004E2C6C" w:rsidRPr="00012C3F">
        <w:rPr>
          <w:sz w:val="20"/>
          <w:szCs w:val="20"/>
          <w:lang w:val="en-US"/>
        </w:rPr>
        <w:t xml:space="preserve"> contained provisions that protected women, as well as measures that regulated the actions of professionals trained in surgical contraceptive procedures. It added that, “even though the form for granting informed consent existed when I.V. underwent the surgical procedure, this could not be used because the patient took the decision in the operating theater, based on the best medical criteria for her health.”</w:t>
      </w:r>
    </w:p>
    <w:p w14:paraId="68D6D9E1" w14:textId="77777777" w:rsidR="00885EE8" w:rsidRPr="00012C3F" w:rsidRDefault="00885EE8" w:rsidP="00486D71">
      <w:pPr>
        <w:tabs>
          <w:tab w:val="left" w:pos="720"/>
        </w:tabs>
        <w:spacing w:line="240" w:lineRule="auto"/>
        <w:rPr>
          <w:sz w:val="20"/>
          <w:szCs w:val="20"/>
          <w:lang w:val="en-US"/>
        </w:rPr>
      </w:pPr>
    </w:p>
    <w:p w14:paraId="15717EB5" w14:textId="77777777" w:rsidR="008920BF" w:rsidRPr="00012C3F" w:rsidRDefault="009867D6" w:rsidP="00486D71">
      <w:pPr>
        <w:keepNext/>
        <w:keepLines/>
        <w:tabs>
          <w:tab w:val="left" w:pos="720"/>
          <w:tab w:val="left" w:pos="1134"/>
        </w:tabs>
        <w:spacing w:line="240" w:lineRule="auto"/>
        <w:ind w:left="567" w:firstLine="1"/>
        <w:outlineLvl w:val="1"/>
        <w:rPr>
          <w:rFonts w:eastAsia="MS Mincho"/>
          <w:b/>
          <w:bCs/>
          <w:i/>
          <w:sz w:val="20"/>
          <w:szCs w:val="20"/>
          <w:lang w:val="en-US"/>
        </w:rPr>
      </w:pPr>
      <w:bookmarkStart w:id="129" w:name="_Toc27486861"/>
      <w:r w:rsidRPr="00012C3F">
        <w:rPr>
          <w:rFonts w:eastAsia="MS Mincho"/>
          <w:b/>
          <w:bCs/>
          <w:i/>
          <w:sz w:val="20"/>
          <w:szCs w:val="20"/>
          <w:lang w:val="en-US"/>
        </w:rPr>
        <w:t>B.</w:t>
      </w:r>
      <w:r w:rsidRPr="00012C3F">
        <w:rPr>
          <w:rFonts w:eastAsia="MS Mincho"/>
          <w:b/>
          <w:bCs/>
          <w:i/>
          <w:sz w:val="20"/>
          <w:szCs w:val="20"/>
          <w:lang w:val="en-US"/>
        </w:rPr>
        <w:tab/>
      </w:r>
      <w:r w:rsidR="006C705C" w:rsidRPr="00012C3F">
        <w:rPr>
          <w:rFonts w:eastAsia="MS Mincho"/>
          <w:b/>
          <w:bCs/>
          <w:i/>
          <w:sz w:val="20"/>
          <w:szCs w:val="20"/>
          <w:lang w:val="en-US"/>
        </w:rPr>
        <w:t>Considerations</w:t>
      </w:r>
      <w:r w:rsidR="001254DE" w:rsidRPr="00012C3F">
        <w:rPr>
          <w:rFonts w:eastAsia="MS Mincho"/>
          <w:b/>
          <w:bCs/>
          <w:i/>
          <w:sz w:val="20"/>
          <w:szCs w:val="20"/>
          <w:lang w:val="en-US"/>
        </w:rPr>
        <w:t xml:space="preserve"> of the Court</w:t>
      </w:r>
      <w:bookmarkEnd w:id="129"/>
    </w:p>
    <w:p w14:paraId="3E16A3CC" w14:textId="77777777" w:rsidR="008920BF" w:rsidRPr="00012C3F" w:rsidRDefault="008920BF" w:rsidP="00486D71">
      <w:pPr>
        <w:tabs>
          <w:tab w:val="left" w:pos="720"/>
        </w:tabs>
        <w:spacing w:line="240" w:lineRule="auto"/>
        <w:rPr>
          <w:sz w:val="20"/>
          <w:szCs w:val="20"/>
          <w:lang w:val="en-US"/>
        </w:rPr>
      </w:pPr>
    </w:p>
    <w:p w14:paraId="05968BE0" w14:textId="77777777" w:rsidR="00130362" w:rsidRPr="00012C3F" w:rsidRDefault="004E2C6C" w:rsidP="00130362">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The main</w:t>
      </w:r>
      <w:r w:rsidR="00130362" w:rsidRPr="00012C3F">
        <w:rPr>
          <w:sz w:val="20"/>
          <w:szCs w:val="20"/>
          <w:lang w:val="en-US"/>
        </w:rPr>
        <w:t xml:space="preserve"> dispute in the instant case consists in determining whether</w:t>
      </w:r>
      <w:r w:rsidR="00FC0D25" w:rsidRPr="00012C3F">
        <w:rPr>
          <w:sz w:val="20"/>
          <w:szCs w:val="20"/>
          <w:lang w:val="en-US"/>
        </w:rPr>
        <w:t xml:space="preserve"> </w:t>
      </w:r>
      <w:r w:rsidR="00F36FE0" w:rsidRPr="00012C3F">
        <w:rPr>
          <w:sz w:val="20"/>
          <w:szCs w:val="20"/>
          <w:lang w:val="en-US"/>
        </w:rPr>
        <w:t>the tubal ligation</w:t>
      </w:r>
      <w:r w:rsidR="00CF3F2F" w:rsidRPr="00012C3F">
        <w:rPr>
          <w:sz w:val="20"/>
          <w:szCs w:val="20"/>
          <w:lang w:val="en-US"/>
        </w:rPr>
        <w:t xml:space="preserve"> </w:t>
      </w:r>
      <w:r w:rsidR="00FC0D25" w:rsidRPr="00012C3F">
        <w:rPr>
          <w:sz w:val="20"/>
          <w:szCs w:val="20"/>
          <w:lang w:val="en-US"/>
        </w:rPr>
        <w:t>p</w:t>
      </w:r>
      <w:r w:rsidR="00130362" w:rsidRPr="00012C3F">
        <w:rPr>
          <w:sz w:val="20"/>
          <w:szCs w:val="20"/>
          <w:lang w:val="en-US"/>
        </w:rPr>
        <w:t xml:space="preserve">erformed on </w:t>
      </w:r>
      <w:r w:rsidR="000E1C11" w:rsidRPr="00012C3F">
        <w:rPr>
          <w:sz w:val="20"/>
          <w:szCs w:val="20"/>
          <w:lang w:val="en-US"/>
        </w:rPr>
        <w:t>I.V.</w:t>
      </w:r>
      <w:r w:rsidR="00FC0D25" w:rsidRPr="00012C3F">
        <w:rPr>
          <w:sz w:val="20"/>
          <w:szCs w:val="20"/>
          <w:lang w:val="en-US"/>
        </w:rPr>
        <w:t xml:space="preserve"> </w:t>
      </w:r>
      <w:r w:rsidR="00130362" w:rsidRPr="00012C3F">
        <w:rPr>
          <w:sz w:val="20"/>
          <w:szCs w:val="20"/>
          <w:lang w:val="en-US"/>
        </w:rPr>
        <w:t xml:space="preserve">on </w:t>
      </w:r>
      <w:r w:rsidR="00566357" w:rsidRPr="00012C3F">
        <w:rPr>
          <w:sz w:val="20"/>
          <w:szCs w:val="20"/>
          <w:lang w:val="en-US"/>
        </w:rPr>
        <w:t>July 1,</w:t>
      </w:r>
      <w:r w:rsidR="00FC0D25" w:rsidRPr="00012C3F">
        <w:rPr>
          <w:sz w:val="20"/>
          <w:szCs w:val="20"/>
          <w:lang w:val="en-US"/>
        </w:rPr>
        <w:t xml:space="preserve"> 2000</w:t>
      </w:r>
      <w:r w:rsidR="00130362" w:rsidRPr="00012C3F">
        <w:rPr>
          <w:sz w:val="20"/>
          <w:szCs w:val="20"/>
          <w:lang w:val="en-US"/>
        </w:rPr>
        <w:t>,</w:t>
      </w:r>
      <w:r w:rsidR="00FC0D25" w:rsidRPr="00012C3F">
        <w:rPr>
          <w:sz w:val="20"/>
          <w:szCs w:val="20"/>
          <w:lang w:val="en-US"/>
        </w:rPr>
        <w:t xml:space="preserve"> </w:t>
      </w:r>
      <w:r w:rsidR="00130362" w:rsidRPr="00012C3F">
        <w:rPr>
          <w:sz w:val="20"/>
          <w:szCs w:val="20"/>
          <w:lang w:val="en-US"/>
        </w:rPr>
        <w:t>i</w:t>
      </w:r>
      <w:r w:rsidR="00B655DD" w:rsidRPr="00012C3F">
        <w:rPr>
          <w:sz w:val="20"/>
          <w:szCs w:val="20"/>
          <w:lang w:val="en-US"/>
        </w:rPr>
        <w:t>n Bolivia</w:t>
      </w:r>
      <w:r w:rsidR="00E158E4" w:rsidRPr="00012C3F">
        <w:rPr>
          <w:sz w:val="20"/>
          <w:szCs w:val="20"/>
          <w:lang w:val="en-US"/>
        </w:rPr>
        <w:t>,</w:t>
      </w:r>
      <w:r w:rsidR="00B655DD" w:rsidRPr="00012C3F">
        <w:rPr>
          <w:sz w:val="20"/>
          <w:szCs w:val="20"/>
          <w:lang w:val="en-US"/>
        </w:rPr>
        <w:t xml:space="preserve"> </w:t>
      </w:r>
      <w:r w:rsidR="00130362" w:rsidRPr="00012C3F">
        <w:rPr>
          <w:sz w:val="20"/>
          <w:szCs w:val="20"/>
          <w:lang w:val="en-US"/>
        </w:rPr>
        <w:t>by a public official in a State hospital was contrary to the State’s international obligations. The key aspect to elucidate is, therefore, whether this procedure was performed after the patient’s informed consent had been obtained in accordance with the parameters established in international law for this type of medical act at the time of the facts. If it is determined that this consent was not properly obtained, there is an additional dispute between the parties as to how the Court should classify the facts of this case; in other words, the legal classification that should be assigned to the conduct. Taking this into account and in order to determine whether the international responsibility of the State has been constituted, the Court finds it pertinent to proceed, first, to provide content to the s</w:t>
      </w:r>
      <w:r w:rsidR="006C705C" w:rsidRPr="00012C3F">
        <w:rPr>
          <w:sz w:val="20"/>
          <w:szCs w:val="20"/>
          <w:lang w:val="en-US"/>
        </w:rPr>
        <w:t>cope of the rights established in</w:t>
      </w:r>
      <w:r w:rsidR="00FC0D25" w:rsidRPr="00012C3F">
        <w:rPr>
          <w:sz w:val="20"/>
          <w:szCs w:val="20"/>
          <w:lang w:val="en-US"/>
        </w:rPr>
        <w:t xml:space="preserve"> </w:t>
      </w:r>
      <w:r w:rsidR="001254DE" w:rsidRPr="00012C3F">
        <w:rPr>
          <w:sz w:val="20"/>
          <w:szCs w:val="20"/>
          <w:lang w:val="en-US"/>
        </w:rPr>
        <w:t>the American Convention</w:t>
      </w:r>
      <w:r w:rsidR="00FC0D25" w:rsidRPr="00012C3F">
        <w:rPr>
          <w:sz w:val="20"/>
          <w:szCs w:val="20"/>
          <w:lang w:val="en-US"/>
        </w:rPr>
        <w:t xml:space="preserve"> </w:t>
      </w:r>
      <w:r w:rsidR="00130362" w:rsidRPr="00012C3F">
        <w:rPr>
          <w:sz w:val="20"/>
          <w:szCs w:val="20"/>
          <w:lang w:val="en-US"/>
        </w:rPr>
        <w:t xml:space="preserve">that have been alleged </w:t>
      </w:r>
      <w:r w:rsidR="006C705C" w:rsidRPr="00012C3F">
        <w:rPr>
          <w:sz w:val="20"/>
          <w:szCs w:val="20"/>
          <w:lang w:val="en-US"/>
        </w:rPr>
        <w:t>in this case</w:t>
      </w:r>
      <w:r w:rsidR="005E5012" w:rsidRPr="00012C3F">
        <w:rPr>
          <w:sz w:val="20"/>
          <w:szCs w:val="20"/>
          <w:lang w:val="en-US"/>
        </w:rPr>
        <w:t xml:space="preserve"> and </w:t>
      </w:r>
      <w:r w:rsidR="00130362" w:rsidRPr="00012C3F">
        <w:rPr>
          <w:sz w:val="20"/>
          <w:szCs w:val="20"/>
          <w:lang w:val="en-US"/>
        </w:rPr>
        <w:t xml:space="preserve">that are applicable with regard to </w:t>
      </w:r>
      <w:r w:rsidR="00A54991" w:rsidRPr="00012C3F">
        <w:rPr>
          <w:sz w:val="20"/>
          <w:szCs w:val="20"/>
          <w:lang w:val="en-US"/>
        </w:rPr>
        <w:t>sexual and reproductive health</w:t>
      </w:r>
      <w:r w:rsidR="00FC0D25" w:rsidRPr="00012C3F">
        <w:rPr>
          <w:sz w:val="20"/>
          <w:szCs w:val="20"/>
          <w:lang w:val="en-US"/>
        </w:rPr>
        <w:t>.</w:t>
      </w:r>
      <w:r w:rsidR="00910C78" w:rsidRPr="00012C3F">
        <w:rPr>
          <w:sz w:val="20"/>
          <w:szCs w:val="20"/>
          <w:lang w:val="en-US"/>
        </w:rPr>
        <w:t xml:space="preserve"> </w:t>
      </w:r>
      <w:r w:rsidR="00130362" w:rsidRPr="00012C3F">
        <w:rPr>
          <w:sz w:val="20"/>
          <w:szCs w:val="20"/>
          <w:lang w:val="en-US"/>
        </w:rPr>
        <w:t>Accordingly,</w:t>
      </w:r>
      <w:r w:rsidR="00910C78" w:rsidRPr="00012C3F">
        <w:rPr>
          <w:sz w:val="20"/>
          <w:szCs w:val="20"/>
          <w:lang w:val="en-US"/>
        </w:rPr>
        <w:t xml:space="preserve"> </w:t>
      </w:r>
      <w:r w:rsidR="001254DE" w:rsidRPr="00012C3F">
        <w:rPr>
          <w:sz w:val="20"/>
          <w:szCs w:val="20"/>
          <w:lang w:val="en-US"/>
        </w:rPr>
        <w:t>the Court</w:t>
      </w:r>
      <w:r w:rsidR="00130362" w:rsidRPr="00012C3F">
        <w:rPr>
          <w:sz w:val="20"/>
          <w:szCs w:val="20"/>
          <w:lang w:val="en-US"/>
        </w:rPr>
        <w:t xml:space="preserve"> will now interpret the scope of the rule of </w:t>
      </w:r>
      <w:r w:rsidR="00910C78" w:rsidRPr="00012C3F">
        <w:rPr>
          <w:sz w:val="20"/>
          <w:szCs w:val="20"/>
          <w:lang w:val="en-US"/>
        </w:rPr>
        <w:t xml:space="preserve"> </w:t>
      </w:r>
      <w:r w:rsidR="00AC0004" w:rsidRPr="00012C3F">
        <w:rPr>
          <w:sz w:val="20"/>
          <w:szCs w:val="20"/>
          <w:lang w:val="en-US"/>
        </w:rPr>
        <w:t>informed consent</w:t>
      </w:r>
      <w:r w:rsidR="005E5012" w:rsidRPr="00012C3F">
        <w:rPr>
          <w:sz w:val="20"/>
          <w:szCs w:val="20"/>
          <w:lang w:val="en-US"/>
        </w:rPr>
        <w:t xml:space="preserve"> and </w:t>
      </w:r>
      <w:r w:rsidR="00910C78" w:rsidRPr="00012C3F">
        <w:rPr>
          <w:sz w:val="20"/>
          <w:szCs w:val="20"/>
          <w:lang w:val="en-US"/>
        </w:rPr>
        <w:t>determin</w:t>
      </w:r>
      <w:r w:rsidR="00130362" w:rsidRPr="00012C3F">
        <w:rPr>
          <w:sz w:val="20"/>
          <w:szCs w:val="20"/>
          <w:lang w:val="en-US"/>
        </w:rPr>
        <w:t>e the parameters for the analysis of the facts of this case. The Court will then make the corresponding determinations, taking into account the factual dispute that exists concerning whether or not consent was obtained during the procedure and, if appropriate, how this was obtained. Lastly, the Court will make the corresponding determinations on the international responsibility of the State.</w:t>
      </w:r>
    </w:p>
    <w:p w14:paraId="7B80BDC7" w14:textId="77777777" w:rsidR="00FC0D25" w:rsidRPr="00012C3F" w:rsidRDefault="00FC0D25" w:rsidP="007D00D9">
      <w:pPr>
        <w:spacing w:line="240" w:lineRule="auto"/>
        <w:rPr>
          <w:sz w:val="20"/>
          <w:szCs w:val="20"/>
          <w:lang w:val="en-US"/>
        </w:rPr>
      </w:pPr>
    </w:p>
    <w:p w14:paraId="14FD7E58" w14:textId="77777777" w:rsidR="00BF32D6" w:rsidRPr="00012C3F" w:rsidRDefault="00BF32D6" w:rsidP="006A16C8">
      <w:pPr>
        <w:pStyle w:val="Ttulo2"/>
        <w:tabs>
          <w:tab w:val="left" w:pos="1701"/>
        </w:tabs>
        <w:spacing w:before="0" w:line="240" w:lineRule="auto"/>
        <w:ind w:left="1134"/>
        <w:rPr>
          <w:rFonts w:ascii="Verdana" w:hAnsi="Verdana"/>
          <w:b w:val="0"/>
          <w:i/>
          <w:color w:val="auto"/>
          <w:sz w:val="20"/>
          <w:szCs w:val="20"/>
          <w:lang w:val="en-US"/>
        </w:rPr>
      </w:pPr>
      <w:bookmarkStart w:id="130" w:name="_Toc27486862"/>
      <w:r w:rsidRPr="00012C3F">
        <w:rPr>
          <w:rFonts w:ascii="Verdana" w:hAnsi="Verdana"/>
          <w:b w:val="0"/>
          <w:i/>
          <w:color w:val="auto"/>
          <w:sz w:val="20"/>
          <w:szCs w:val="20"/>
          <w:lang w:val="en-US"/>
        </w:rPr>
        <w:t xml:space="preserve">B.1 </w:t>
      </w:r>
      <w:r w:rsidR="006A16C8" w:rsidRPr="00012C3F">
        <w:rPr>
          <w:rFonts w:ascii="Verdana" w:hAnsi="Verdana"/>
          <w:b w:val="0"/>
          <w:i/>
          <w:color w:val="auto"/>
          <w:sz w:val="20"/>
          <w:szCs w:val="20"/>
          <w:lang w:val="en-US"/>
        </w:rPr>
        <w:tab/>
      </w:r>
      <w:r w:rsidR="006C705C" w:rsidRPr="00012C3F">
        <w:rPr>
          <w:rFonts w:ascii="Verdana" w:hAnsi="Verdana"/>
          <w:b w:val="0"/>
          <w:i/>
          <w:color w:val="auto"/>
          <w:sz w:val="20"/>
          <w:szCs w:val="20"/>
          <w:lang w:val="en-US"/>
        </w:rPr>
        <w:t>Scope of the rights established in</w:t>
      </w:r>
      <w:r w:rsidR="001975E2" w:rsidRPr="00012C3F">
        <w:rPr>
          <w:rFonts w:ascii="Verdana" w:hAnsi="Verdana"/>
          <w:b w:val="0"/>
          <w:i/>
          <w:color w:val="auto"/>
          <w:sz w:val="20"/>
          <w:szCs w:val="20"/>
          <w:lang w:val="en-US"/>
        </w:rPr>
        <w:t xml:space="preserve"> </w:t>
      </w:r>
      <w:r w:rsidR="001254DE" w:rsidRPr="00012C3F">
        <w:rPr>
          <w:rFonts w:ascii="Verdana" w:hAnsi="Verdana"/>
          <w:b w:val="0"/>
          <w:i/>
          <w:color w:val="auto"/>
          <w:sz w:val="20"/>
          <w:szCs w:val="20"/>
          <w:lang w:val="en-US"/>
        </w:rPr>
        <w:t>the American Convention</w:t>
      </w:r>
      <w:r w:rsidR="001975E2" w:rsidRPr="00012C3F">
        <w:rPr>
          <w:rFonts w:ascii="Verdana" w:hAnsi="Verdana"/>
          <w:b w:val="0"/>
          <w:i/>
          <w:color w:val="auto"/>
          <w:sz w:val="20"/>
          <w:szCs w:val="20"/>
          <w:lang w:val="en-US"/>
        </w:rPr>
        <w:t xml:space="preserve"> </w:t>
      </w:r>
      <w:r w:rsidR="006C705C" w:rsidRPr="00012C3F">
        <w:rPr>
          <w:rFonts w:ascii="Verdana" w:hAnsi="Verdana"/>
          <w:b w:val="0"/>
          <w:i/>
          <w:color w:val="auto"/>
          <w:sz w:val="20"/>
          <w:szCs w:val="20"/>
          <w:lang w:val="en-US"/>
        </w:rPr>
        <w:t>in this case</w:t>
      </w:r>
      <w:bookmarkEnd w:id="130"/>
    </w:p>
    <w:p w14:paraId="5BE4C3F8" w14:textId="77777777" w:rsidR="00BF32D6" w:rsidRPr="00012C3F" w:rsidRDefault="00BF32D6" w:rsidP="007D00D9">
      <w:pPr>
        <w:spacing w:line="240" w:lineRule="auto"/>
        <w:rPr>
          <w:sz w:val="20"/>
          <w:szCs w:val="20"/>
          <w:lang w:val="en-US"/>
        </w:rPr>
      </w:pPr>
    </w:p>
    <w:p w14:paraId="723EDE4D" w14:textId="77777777" w:rsidR="00085704" w:rsidRPr="00012C3F" w:rsidRDefault="00130362" w:rsidP="00130362">
      <w:pPr>
        <w:numPr>
          <w:ilvl w:val="0"/>
          <w:numId w:val="5"/>
        </w:numPr>
        <w:tabs>
          <w:tab w:val="left" w:pos="720"/>
          <w:tab w:val="num" w:pos="1247"/>
          <w:tab w:val="num" w:pos="12305"/>
        </w:tabs>
        <w:spacing w:line="240" w:lineRule="auto"/>
        <w:ind w:left="0" w:firstLine="0"/>
        <w:rPr>
          <w:sz w:val="20"/>
          <w:szCs w:val="20"/>
          <w:lang w:val="en-US"/>
        </w:rPr>
      </w:pPr>
      <w:r w:rsidRPr="00012C3F">
        <w:rPr>
          <w:sz w:val="20"/>
          <w:szCs w:val="20"/>
          <w:lang w:val="en-US"/>
        </w:rPr>
        <w:t>In this section</w:t>
      </w:r>
      <w:r w:rsidR="00085704" w:rsidRPr="00012C3F">
        <w:rPr>
          <w:sz w:val="20"/>
          <w:szCs w:val="20"/>
          <w:lang w:val="en-US"/>
        </w:rPr>
        <w:t xml:space="preserve">, </w:t>
      </w:r>
      <w:r w:rsidR="001254DE" w:rsidRPr="00012C3F">
        <w:rPr>
          <w:sz w:val="20"/>
          <w:szCs w:val="20"/>
          <w:lang w:val="en-US"/>
        </w:rPr>
        <w:t>the Court</w:t>
      </w:r>
      <w:r w:rsidR="00085704" w:rsidRPr="00012C3F">
        <w:rPr>
          <w:sz w:val="20"/>
          <w:szCs w:val="20"/>
          <w:lang w:val="en-US"/>
        </w:rPr>
        <w:t xml:space="preserve"> </w:t>
      </w:r>
      <w:r w:rsidRPr="00012C3F">
        <w:rPr>
          <w:sz w:val="20"/>
          <w:szCs w:val="20"/>
          <w:lang w:val="en-US"/>
        </w:rPr>
        <w:t>will interpret</w:t>
      </w:r>
      <w:r w:rsidR="00085704" w:rsidRPr="00012C3F">
        <w:rPr>
          <w:sz w:val="20"/>
          <w:szCs w:val="20"/>
          <w:lang w:val="en-US"/>
        </w:rPr>
        <w:t xml:space="preserve"> </w:t>
      </w:r>
      <w:r w:rsidR="001254DE" w:rsidRPr="00012C3F">
        <w:rPr>
          <w:sz w:val="20"/>
          <w:szCs w:val="20"/>
          <w:lang w:val="en-US"/>
        </w:rPr>
        <w:t>the American Convention</w:t>
      </w:r>
      <w:r w:rsidR="00085704" w:rsidRPr="00012C3F">
        <w:rPr>
          <w:sz w:val="20"/>
          <w:szCs w:val="20"/>
          <w:lang w:val="en-US"/>
        </w:rPr>
        <w:t xml:space="preserve"> </w:t>
      </w:r>
      <w:r w:rsidRPr="00012C3F">
        <w:rPr>
          <w:sz w:val="20"/>
          <w:szCs w:val="20"/>
          <w:lang w:val="en-US"/>
        </w:rPr>
        <w:t xml:space="preserve">in order to determine the scope of the rights </w:t>
      </w:r>
      <w:r w:rsidR="006C705C" w:rsidRPr="00012C3F">
        <w:rPr>
          <w:sz w:val="20"/>
          <w:szCs w:val="20"/>
          <w:lang w:val="en-US"/>
        </w:rPr>
        <w:t>to personal integrity</w:t>
      </w:r>
      <w:r w:rsidR="00085704" w:rsidRPr="00012C3F">
        <w:rPr>
          <w:sz w:val="20"/>
          <w:szCs w:val="20"/>
          <w:lang w:val="en-US"/>
        </w:rPr>
        <w:t xml:space="preserve">, </w:t>
      </w:r>
      <w:r w:rsidR="00E445BA" w:rsidRPr="00012C3F">
        <w:rPr>
          <w:sz w:val="20"/>
          <w:szCs w:val="20"/>
          <w:lang w:val="en-US"/>
        </w:rPr>
        <w:t xml:space="preserve">to </w:t>
      </w:r>
      <w:r w:rsidRPr="00012C3F">
        <w:rPr>
          <w:sz w:val="20"/>
          <w:szCs w:val="20"/>
          <w:lang w:val="en-US"/>
        </w:rPr>
        <w:t>personal liberty</w:t>
      </w:r>
      <w:r w:rsidR="00B45E0B" w:rsidRPr="00012C3F">
        <w:rPr>
          <w:sz w:val="20"/>
          <w:szCs w:val="20"/>
          <w:lang w:val="en-US"/>
        </w:rPr>
        <w:t>,</w:t>
      </w:r>
      <w:r w:rsidR="00085704" w:rsidRPr="00012C3F">
        <w:rPr>
          <w:sz w:val="20"/>
          <w:szCs w:val="20"/>
          <w:lang w:val="en-US"/>
        </w:rPr>
        <w:t xml:space="preserve"> </w:t>
      </w:r>
      <w:r w:rsidR="00E445BA" w:rsidRPr="00012C3F">
        <w:rPr>
          <w:sz w:val="20"/>
          <w:szCs w:val="20"/>
          <w:lang w:val="en-US"/>
        </w:rPr>
        <w:t xml:space="preserve">to </w:t>
      </w:r>
      <w:r w:rsidRPr="00012C3F">
        <w:rPr>
          <w:sz w:val="20"/>
          <w:szCs w:val="20"/>
          <w:lang w:val="en-US"/>
        </w:rPr>
        <w:t>dignity</w:t>
      </w:r>
      <w:r w:rsidR="00085704" w:rsidRPr="00012C3F">
        <w:rPr>
          <w:sz w:val="20"/>
          <w:szCs w:val="20"/>
          <w:lang w:val="en-US"/>
        </w:rPr>
        <w:t xml:space="preserve">, </w:t>
      </w:r>
      <w:r w:rsidR="00E445BA" w:rsidRPr="00012C3F">
        <w:rPr>
          <w:sz w:val="20"/>
          <w:szCs w:val="20"/>
          <w:lang w:val="en-US"/>
        </w:rPr>
        <w:t xml:space="preserve">to </w:t>
      </w:r>
      <w:r w:rsidRPr="00012C3F">
        <w:rPr>
          <w:sz w:val="20"/>
          <w:szCs w:val="20"/>
          <w:lang w:val="en-US"/>
        </w:rPr>
        <w:t>private and family life</w:t>
      </w:r>
      <w:r w:rsidR="00277C1E" w:rsidRPr="00012C3F">
        <w:rPr>
          <w:sz w:val="20"/>
          <w:szCs w:val="20"/>
          <w:lang w:val="en-US"/>
        </w:rPr>
        <w:t>,</w:t>
      </w:r>
      <w:r w:rsidR="00085704" w:rsidRPr="00012C3F">
        <w:rPr>
          <w:sz w:val="20"/>
          <w:szCs w:val="20"/>
          <w:lang w:val="en-US"/>
        </w:rPr>
        <w:t xml:space="preserve"> </w:t>
      </w:r>
      <w:r w:rsidR="00EF483B" w:rsidRPr="00012C3F">
        <w:rPr>
          <w:sz w:val="20"/>
          <w:szCs w:val="20"/>
          <w:lang w:val="en-US"/>
        </w:rPr>
        <w:t xml:space="preserve">to </w:t>
      </w:r>
      <w:r w:rsidR="0081491F" w:rsidRPr="00012C3F">
        <w:rPr>
          <w:sz w:val="20"/>
          <w:szCs w:val="20"/>
          <w:lang w:val="en-US"/>
        </w:rPr>
        <w:lastRenderedPageBreak/>
        <w:t>raise a family</w:t>
      </w:r>
      <w:r w:rsidR="00E445BA" w:rsidRPr="00012C3F">
        <w:rPr>
          <w:sz w:val="20"/>
          <w:szCs w:val="20"/>
          <w:lang w:val="en-US"/>
        </w:rPr>
        <w:t>,</w:t>
      </w:r>
      <w:r w:rsidR="005E5012" w:rsidRPr="00012C3F">
        <w:rPr>
          <w:sz w:val="20"/>
          <w:szCs w:val="20"/>
          <w:lang w:val="en-US"/>
        </w:rPr>
        <w:t xml:space="preserve"> and </w:t>
      </w:r>
      <w:r w:rsidR="006C705C" w:rsidRPr="00012C3F">
        <w:rPr>
          <w:sz w:val="20"/>
          <w:szCs w:val="20"/>
          <w:lang w:val="en-US"/>
        </w:rPr>
        <w:t>of access to information</w:t>
      </w:r>
      <w:r w:rsidR="00085704" w:rsidRPr="00012C3F">
        <w:rPr>
          <w:sz w:val="20"/>
          <w:szCs w:val="20"/>
          <w:lang w:val="en-US"/>
        </w:rPr>
        <w:t xml:space="preserve">, </w:t>
      </w:r>
      <w:r w:rsidRPr="00012C3F">
        <w:rPr>
          <w:sz w:val="20"/>
          <w:szCs w:val="20"/>
          <w:lang w:val="en-US"/>
        </w:rPr>
        <w:t>as relevant to decide the dispute in this case.</w:t>
      </w:r>
    </w:p>
    <w:p w14:paraId="70E32EAC" w14:textId="77777777" w:rsidR="00085704" w:rsidRPr="00012C3F" w:rsidRDefault="00085704" w:rsidP="00085704">
      <w:pPr>
        <w:spacing w:line="240" w:lineRule="auto"/>
        <w:rPr>
          <w:sz w:val="20"/>
          <w:szCs w:val="20"/>
          <w:lang w:val="en-US"/>
        </w:rPr>
      </w:pPr>
    </w:p>
    <w:p w14:paraId="568282AE" w14:textId="77777777" w:rsidR="00761F3B" w:rsidRPr="00012C3F" w:rsidRDefault="001254DE" w:rsidP="000E11D6">
      <w:pPr>
        <w:numPr>
          <w:ilvl w:val="0"/>
          <w:numId w:val="5"/>
        </w:numPr>
        <w:tabs>
          <w:tab w:val="left" w:pos="720"/>
          <w:tab w:val="num" w:pos="1247"/>
          <w:tab w:val="num" w:pos="12305"/>
        </w:tabs>
        <w:spacing w:line="240" w:lineRule="auto"/>
        <w:ind w:left="0" w:firstLine="0"/>
        <w:rPr>
          <w:sz w:val="20"/>
          <w:szCs w:val="20"/>
          <w:lang w:val="en-US"/>
        </w:rPr>
      </w:pPr>
      <w:r w:rsidRPr="00012C3F">
        <w:rPr>
          <w:sz w:val="20"/>
          <w:szCs w:val="20"/>
          <w:lang w:val="en-US"/>
        </w:rPr>
        <w:t>The Court</w:t>
      </w:r>
      <w:r w:rsidR="00DA5CF5" w:rsidRPr="00012C3F">
        <w:rPr>
          <w:sz w:val="20"/>
          <w:szCs w:val="20"/>
          <w:lang w:val="en-US"/>
        </w:rPr>
        <w:t xml:space="preserve"> not</w:t>
      </w:r>
      <w:r w:rsidR="000E11D6" w:rsidRPr="00012C3F">
        <w:rPr>
          <w:sz w:val="20"/>
          <w:szCs w:val="20"/>
          <w:lang w:val="en-US"/>
        </w:rPr>
        <w:t>es that</w:t>
      </w:r>
      <w:r w:rsidR="00DA5CF5" w:rsidRPr="00012C3F">
        <w:rPr>
          <w:sz w:val="20"/>
          <w:szCs w:val="20"/>
          <w:lang w:val="en-US"/>
        </w:rPr>
        <w:t xml:space="preserve"> </w:t>
      </w:r>
      <w:r w:rsidRPr="00012C3F">
        <w:rPr>
          <w:sz w:val="20"/>
          <w:szCs w:val="20"/>
          <w:lang w:val="en-US"/>
        </w:rPr>
        <w:t>Article</w:t>
      </w:r>
      <w:r w:rsidR="00085704" w:rsidRPr="00012C3F">
        <w:rPr>
          <w:sz w:val="20"/>
          <w:szCs w:val="20"/>
          <w:lang w:val="en-US"/>
        </w:rPr>
        <w:t xml:space="preserve"> 11</w:t>
      </w:r>
      <w:r w:rsidRPr="00012C3F">
        <w:rPr>
          <w:sz w:val="20"/>
          <w:szCs w:val="20"/>
          <w:lang w:val="en-US"/>
        </w:rPr>
        <w:t xml:space="preserve"> of the American Convention</w:t>
      </w:r>
      <w:r w:rsidR="00085704" w:rsidRPr="00012C3F">
        <w:rPr>
          <w:sz w:val="20"/>
          <w:szCs w:val="20"/>
          <w:lang w:val="en-US"/>
        </w:rPr>
        <w:t xml:space="preserve"> prote</w:t>
      </w:r>
      <w:r w:rsidR="000E11D6" w:rsidRPr="00012C3F">
        <w:rPr>
          <w:sz w:val="20"/>
          <w:szCs w:val="20"/>
          <w:lang w:val="en-US"/>
        </w:rPr>
        <w:t xml:space="preserve">cts one of the most fundamental values of the human being, understood as a rational being; and this is recognition of his or her dignity. Indeed, the first paragraph of this article contains a universal clause of protection of dignity, which is based on both the principle of the autonomy of the individual, and the idea that </w:t>
      </w:r>
      <w:r w:rsidR="00B77C5B" w:rsidRPr="00012C3F">
        <w:rPr>
          <w:sz w:val="20"/>
          <w:szCs w:val="20"/>
          <w:lang w:val="en-US"/>
        </w:rPr>
        <w:t>all</w:t>
      </w:r>
      <w:r w:rsidR="000E11D6" w:rsidRPr="00012C3F">
        <w:rPr>
          <w:sz w:val="20"/>
          <w:szCs w:val="20"/>
          <w:lang w:val="en-US"/>
        </w:rPr>
        <w:t xml:space="preserve"> individual</w:t>
      </w:r>
      <w:r w:rsidR="00B77C5B" w:rsidRPr="00012C3F">
        <w:rPr>
          <w:sz w:val="20"/>
          <w:szCs w:val="20"/>
          <w:lang w:val="en-US"/>
        </w:rPr>
        <w:t>s</w:t>
      </w:r>
      <w:r w:rsidR="000E11D6" w:rsidRPr="00012C3F">
        <w:rPr>
          <w:sz w:val="20"/>
          <w:szCs w:val="20"/>
          <w:lang w:val="en-US"/>
        </w:rPr>
        <w:t xml:space="preserve"> should be treated equally, as ends in themselves in accordance with their intentions, will and the decision</w:t>
      </w:r>
      <w:r w:rsidR="00B77C5B" w:rsidRPr="00012C3F">
        <w:rPr>
          <w:sz w:val="20"/>
          <w:szCs w:val="20"/>
          <w:lang w:val="en-US"/>
        </w:rPr>
        <w:t>s</w:t>
      </w:r>
      <w:r w:rsidR="000E11D6" w:rsidRPr="00012C3F">
        <w:rPr>
          <w:sz w:val="20"/>
          <w:szCs w:val="20"/>
          <w:lang w:val="en-US"/>
        </w:rPr>
        <w:t xml:space="preserve"> they take about their life. Meanwhile, the second paragraph establishes the sanctity of private and family life, among other protected spheres. The Court has affirmed that this sphere of the private life of the individual is characterized by being a space of liberty exempt and immune from arbitrary and abusive interference by third parties or public authorities.</w:t>
      </w:r>
      <w:bookmarkStart w:id="131" w:name="_Ref318127168"/>
      <w:r w:rsidR="00761F3B" w:rsidRPr="00012C3F">
        <w:rPr>
          <w:sz w:val="20"/>
          <w:szCs w:val="20"/>
          <w:vertAlign w:val="superscript"/>
          <w:lang w:val="en-US"/>
        </w:rPr>
        <w:footnoteReference w:id="165"/>
      </w:r>
      <w:bookmarkEnd w:id="131"/>
    </w:p>
    <w:p w14:paraId="67DC3356" w14:textId="77777777" w:rsidR="00E56A72" w:rsidRPr="00012C3F" w:rsidRDefault="00E56A72" w:rsidP="00E56A72">
      <w:pPr>
        <w:tabs>
          <w:tab w:val="left" w:pos="567"/>
        </w:tabs>
        <w:spacing w:line="240" w:lineRule="auto"/>
        <w:rPr>
          <w:sz w:val="20"/>
          <w:szCs w:val="20"/>
          <w:lang w:val="en-US"/>
        </w:rPr>
      </w:pPr>
    </w:p>
    <w:p w14:paraId="05AA5A30" w14:textId="77777777" w:rsidR="005073A4" w:rsidRPr="00012C3F" w:rsidRDefault="000E11D6" w:rsidP="000E11D6">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ヒラギノ角ゴ Pro W3"/>
          <w:sz w:val="20"/>
          <w:szCs w:val="20"/>
          <w:lang w:val="en-US"/>
        </w:rPr>
        <w:t xml:space="preserve">That said, a crucial aspect of the recognition of dignity is every human being’s possibility </w:t>
      </w:r>
      <w:r w:rsidR="00B77C5B" w:rsidRPr="00012C3F">
        <w:rPr>
          <w:rFonts w:eastAsia="ヒラギノ角ゴ Pro W3"/>
          <w:sz w:val="20"/>
          <w:szCs w:val="20"/>
          <w:lang w:val="en-US"/>
        </w:rPr>
        <w:t>of</w:t>
      </w:r>
      <w:r w:rsidRPr="00012C3F">
        <w:rPr>
          <w:rFonts w:eastAsia="ヒラギノ角ゴ Pro W3"/>
          <w:sz w:val="20"/>
          <w:szCs w:val="20"/>
          <w:lang w:val="en-US"/>
        </w:rPr>
        <w:t xml:space="preserve"> self-determination and</w:t>
      </w:r>
      <w:r w:rsidR="00B77C5B" w:rsidRPr="00012C3F">
        <w:rPr>
          <w:rFonts w:eastAsia="ヒラギノ角ゴ Pro W3"/>
          <w:sz w:val="20"/>
          <w:szCs w:val="20"/>
          <w:lang w:val="en-US"/>
        </w:rPr>
        <w:t xml:space="preserve"> </w:t>
      </w:r>
      <w:r w:rsidRPr="00012C3F">
        <w:rPr>
          <w:rFonts w:eastAsia="ヒラギノ角ゴ Pro W3"/>
          <w:sz w:val="20"/>
          <w:szCs w:val="20"/>
          <w:lang w:val="en-US"/>
        </w:rPr>
        <w:t>free cho</w:t>
      </w:r>
      <w:r w:rsidR="00B77C5B" w:rsidRPr="00012C3F">
        <w:rPr>
          <w:rFonts w:eastAsia="ヒラギノ角ゴ Pro W3"/>
          <w:sz w:val="20"/>
          <w:szCs w:val="20"/>
          <w:lang w:val="en-US"/>
        </w:rPr>
        <w:t>ice of</w:t>
      </w:r>
      <w:r w:rsidRPr="00012C3F">
        <w:rPr>
          <w:rFonts w:eastAsia="ヒラギノ角ゴ Pro W3"/>
          <w:sz w:val="20"/>
          <w:szCs w:val="20"/>
          <w:lang w:val="en-US"/>
        </w:rPr>
        <w:t xml:space="preserve"> the options and circumstances that give a meaning to his or her existence in keeping with </w:t>
      </w:r>
      <w:r w:rsidR="00B77C5B" w:rsidRPr="00012C3F">
        <w:rPr>
          <w:rFonts w:eastAsia="ヒラギノ角ゴ Pro W3"/>
          <w:sz w:val="20"/>
          <w:szCs w:val="20"/>
          <w:lang w:val="en-US"/>
        </w:rPr>
        <w:t>their</w:t>
      </w:r>
      <w:r w:rsidRPr="00012C3F">
        <w:rPr>
          <w:rFonts w:eastAsia="ヒラギノ角ゴ Pro W3"/>
          <w:sz w:val="20"/>
          <w:szCs w:val="20"/>
          <w:lang w:val="en-US"/>
        </w:rPr>
        <w:t xml:space="preserve"> own choices and beliefs.</w:t>
      </w:r>
      <w:bookmarkStart w:id="132" w:name="_Ref318137993"/>
      <w:r w:rsidR="005073A4" w:rsidRPr="00012C3F">
        <w:rPr>
          <w:rFonts w:eastAsia="MS Mincho"/>
          <w:sz w:val="20"/>
          <w:szCs w:val="20"/>
          <w:vertAlign w:val="superscript"/>
          <w:lang w:val="en-US" w:eastAsia="en-US" w:bidi="en-US"/>
        </w:rPr>
        <w:footnoteReference w:id="166"/>
      </w:r>
      <w:bookmarkEnd w:id="132"/>
      <w:r w:rsidRPr="00012C3F">
        <w:rPr>
          <w:rFonts w:eastAsia="MS Mincho"/>
          <w:sz w:val="20"/>
          <w:szCs w:val="20"/>
          <w:lang w:val="en-US" w:eastAsia="en-US" w:bidi="en-US"/>
        </w:rPr>
        <w:t xml:space="preserve"> In this context, the principle of </w:t>
      </w:r>
      <w:r w:rsidR="00265BD9" w:rsidRPr="00012C3F">
        <w:rPr>
          <w:rFonts w:eastAsia="MS Mincho"/>
          <w:sz w:val="20"/>
          <w:szCs w:val="20"/>
          <w:lang w:val="en-US" w:eastAsia="en-US" w:bidi="en-US"/>
        </w:rPr>
        <w:t>the autonomy of the individual plays an essential role, and prohibits any State action that attempts to “instrumentalize” individual</w:t>
      </w:r>
      <w:r w:rsidR="00B77C5B" w:rsidRPr="00012C3F">
        <w:rPr>
          <w:rFonts w:eastAsia="MS Mincho"/>
          <w:sz w:val="20"/>
          <w:szCs w:val="20"/>
          <w:lang w:val="en-US" w:eastAsia="en-US" w:bidi="en-US"/>
        </w:rPr>
        <w:t>s</w:t>
      </w:r>
      <w:r w:rsidR="00265BD9" w:rsidRPr="00012C3F">
        <w:rPr>
          <w:rFonts w:eastAsia="MS Mincho"/>
          <w:sz w:val="20"/>
          <w:szCs w:val="20"/>
          <w:lang w:val="en-US" w:eastAsia="en-US" w:bidi="en-US"/>
        </w:rPr>
        <w:t xml:space="preserve">; in other words, convert </w:t>
      </w:r>
      <w:r w:rsidR="00B77C5B" w:rsidRPr="00012C3F">
        <w:rPr>
          <w:rFonts w:eastAsia="MS Mincho"/>
          <w:sz w:val="20"/>
          <w:szCs w:val="20"/>
          <w:lang w:val="en-US" w:eastAsia="en-US" w:bidi="en-US"/>
        </w:rPr>
        <w:t>them</w:t>
      </w:r>
      <w:r w:rsidR="00265BD9" w:rsidRPr="00012C3F">
        <w:rPr>
          <w:rFonts w:eastAsia="MS Mincho"/>
          <w:sz w:val="20"/>
          <w:szCs w:val="20"/>
          <w:lang w:val="en-US" w:eastAsia="en-US" w:bidi="en-US"/>
        </w:rPr>
        <w:t xml:space="preserve"> into a means for purposes unrelated to their choices about their own life, body and full development of their personality within the limits imposed by </w:t>
      </w:r>
      <w:r w:rsidR="001254DE" w:rsidRPr="00012C3F">
        <w:rPr>
          <w:rFonts w:eastAsia="MS Mincho"/>
          <w:sz w:val="20"/>
          <w:szCs w:val="20"/>
          <w:lang w:val="en-US" w:eastAsia="en-US" w:bidi="en-US"/>
        </w:rPr>
        <w:t>the Convention</w:t>
      </w:r>
      <w:r w:rsidR="00265BD9" w:rsidRPr="00012C3F">
        <w:rPr>
          <w:rFonts w:eastAsia="MS Mincho"/>
          <w:sz w:val="20"/>
          <w:szCs w:val="20"/>
          <w:lang w:val="en-US" w:eastAsia="en-US" w:bidi="en-US"/>
        </w:rPr>
        <w:t>.</w:t>
      </w:r>
      <w:r w:rsidR="005073A4" w:rsidRPr="00012C3F">
        <w:rPr>
          <w:rStyle w:val="Refdenotaalpie"/>
          <w:rFonts w:eastAsia="MS Mincho"/>
          <w:sz w:val="20"/>
          <w:szCs w:val="20"/>
          <w:lang w:val="en-US" w:eastAsia="en-US" w:bidi="en-US"/>
        </w:rPr>
        <w:footnoteReference w:id="167"/>
      </w:r>
    </w:p>
    <w:p w14:paraId="7352A526" w14:textId="77777777" w:rsidR="005073A4" w:rsidRPr="00012C3F" w:rsidRDefault="005073A4" w:rsidP="000E11D6">
      <w:pPr>
        <w:tabs>
          <w:tab w:val="left" w:pos="720"/>
        </w:tabs>
        <w:spacing w:line="240" w:lineRule="auto"/>
        <w:rPr>
          <w:sz w:val="20"/>
          <w:szCs w:val="20"/>
          <w:lang w:val="en-US"/>
        </w:rPr>
      </w:pPr>
    </w:p>
    <w:p w14:paraId="4496881C" w14:textId="77777777" w:rsidR="00A3617C" w:rsidRPr="00012C3F" w:rsidRDefault="00265BD9" w:rsidP="00265BD9">
      <w:pPr>
        <w:numPr>
          <w:ilvl w:val="0"/>
          <w:numId w:val="5"/>
        </w:numPr>
        <w:tabs>
          <w:tab w:val="left" w:pos="720"/>
          <w:tab w:val="num" w:pos="1247"/>
          <w:tab w:val="num" w:pos="12305"/>
        </w:tabs>
        <w:spacing w:line="240" w:lineRule="auto"/>
        <w:ind w:left="0" w:firstLine="0"/>
        <w:rPr>
          <w:sz w:val="20"/>
          <w:szCs w:val="20"/>
          <w:lang w:val="en-US"/>
        </w:rPr>
      </w:pPr>
      <w:r w:rsidRPr="00012C3F">
        <w:rPr>
          <w:sz w:val="20"/>
          <w:szCs w:val="20"/>
          <w:lang w:val="en-US"/>
        </w:rPr>
        <w:t xml:space="preserve">In this regard, the Court has interpreted </w:t>
      </w:r>
      <w:r w:rsidR="001254DE" w:rsidRPr="00012C3F">
        <w:rPr>
          <w:sz w:val="20"/>
          <w:szCs w:val="20"/>
          <w:lang w:val="en-US"/>
        </w:rPr>
        <w:t>Article</w:t>
      </w:r>
      <w:r w:rsidR="00A3617C" w:rsidRPr="00012C3F">
        <w:rPr>
          <w:sz w:val="20"/>
          <w:szCs w:val="20"/>
          <w:lang w:val="en-US"/>
        </w:rPr>
        <w:t xml:space="preserve"> 7</w:t>
      </w:r>
      <w:r w:rsidR="001254DE" w:rsidRPr="00012C3F">
        <w:rPr>
          <w:sz w:val="20"/>
          <w:szCs w:val="20"/>
          <w:lang w:val="en-US"/>
        </w:rPr>
        <w:t xml:space="preserve"> of the American Convention</w:t>
      </w:r>
      <w:r w:rsidR="00A3617C" w:rsidRPr="00012C3F">
        <w:rPr>
          <w:sz w:val="20"/>
          <w:szCs w:val="20"/>
          <w:lang w:val="en-US"/>
        </w:rPr>
        <w:t xml:space="preserve"> </w:t>
      </w:r>
      <w:r w:rsidRPr="00012C3F">
        <w:rPr>
          <w:sz w:val="20"/>
          <w:szCs w:val="20"/>
          <w:lang w:val="en-US"/>
        </w:rPr>
        <w:t>broadly by indicating that it includes the concept of liberty in a wide-ranging sense as the capacity to do or not to do everything that is l</w:t>
      </w:r>
      <w:r w:rsidR="00AC0815" w:rsidRPr="00012C3F">
        <w:rPr>
          <w:sz w:val="20"/>
          <w:szCs w:val="20"/>
          <w:lang w:val="en-US"/>
        </w:rPr>
        <w:t>egall</w:t>
      </w:r>
      <w:r w:rsidRPr="00012C3F">
        <w:rPr>
          <w:sz w:val="20"/>
          <w:szCs w:val="20"/>
          <w:lang w:val="en-US"/>
        </w:rPr>
        <w:t>y permitted. In other words, it constitutes the right of everyone to organize, based on the law, their individual and social life in keeping with their own choices and beliefs. Liberty, thus defined, is a basic human right</w:t>
      </w:r>
      <w:r w:rsidR="00AC0815" w:rsidRPr="00012C3F">
        <w:rPr>
          <w:sz w:val="20"/>
          <w:szCs w:val="20"/>
          <w:lang w:val="en-US"/>
        </w:rPr>
        <w:t>,</w:t>
      </w:r>
      <w:r w:rsidRPr="00012C3F">
        <w:rPr>
          <w:sz w:val="20"/>
          <w:szCs w:val="20"/>
          <w:lang w:val="en-US"/>
        </w:rPr>
        <w:t xml:space="preserve"> inherent in the attributes of the person</w:t>
      </w:r>
      <w:r w:rsidR="00AC0815" w:rsidRPr="00012C3F">
        <w:rPr>
          <w:sz w:val="20"/>
          <w:szCs w:val="20"/>
          <w:lang w:val="en-US"/>
        </w:rPr>
        <w:t>, which</w:t>
      </w:r>
      <w:r w:rsidRPr="00012C3F">
        <w:rPr>
          <w:sz w:val="20"/>
          <w:szCs w:val="20"/>
          <w:lang w:val="en-US"/>
        </w:rPr>
        <w:t xml:space="preserve"> permeates the whole </w:t>
      </w:r>
      <w:r w:rsidR="001254DE" w:rsidRPr="00012C3F">
        <w:rPr>
          <w:sz w:val="20"/>
          <w:szCs w:val="20"/>
          <w:lang w:val="en-US"/>
        </w:rPr>
        <w:t>American Convention</w:t>
      </w:r>
      <w:r w:rsidRPr="00012C3F">
        <w:rPr>
          <w:sz w:val="20"/>
          <w:szCs w:val="20"/>
          <w:lang w:val="en-US"/>
        </w:rPr>
        <w:t>.</w:t>
      </w:r>
      <w:r w:rsidR="00A3617C" w:rsidRPr="00012C3F">
        <w:rPr>
          <w:rStyle w:val="Refdenotaalpie"/>
          <w:sz w:val="20"/>
          <w:szCs w:val="20"/>
          <w:lang w:val="en-US"/>
        </w:rPr>
        <w:footnoteReference w:id="168"/>
      </w:r>
      <w:r w:rsidR="00A9444B" w:rsidRPr="00012C3F">
        <w:rPr>
          <w:sz w:val="20"/>
          <w:szCs w:val="20"/>
          <w:lang w:val="en-US"/>
        </w:rPr>
        <w:t xml:space="preserve"> </w:t>
      </w:r>
      <w:r w:rsidR="009D3EE9" w:rsidRPr="00012C3F">
        <w:rPr>
          <w:sz w:val="20"/>
          <w:szCs w:val="20"/>
          <w:lang w:val="en-US"/>
        </w:rPr>
        <w:t>Even</w:t>
      </w:r>
      <w:r w:rsidRPr="00012C3F">
        <w:rPr>
          <w:sz w:val="20"/>
          <w:szCs w:val="20"/>
          <w:lang w:val="en-US"/>
        </w:rPr>
        <w:t xml:space="preserve"> though neither</w:t>
      </w:r>
      <w:r w:rsidR="00A9444B" w:rsidRPr="00012C3F">
        <w:rPr>
          <w:sz w:val="20"/>
          <w:szCs w:val="20"/>
          <w:lang w:val="en-US"/>
        </w:rPr>
        <w:t xml:space="preserve"> </w:t>
      </w:r>
      <w:r w:rsidR="001254DE" w:rsidRPr="00012C3F">
        <w:rPr>
          <w:sz w:val="20"/>
          <w:szCs w:val="20"/>
          <w:lang w:val="en-US"/>
        </w:rPr>
        <w:t xml:space="preserve">the </w:t>
      </w:r>
      <w:r w:rsidR="00A84CA0" w:rsidRPr="00012C3F">
        <w:rPr>
          <w:sz w:val="20"/>
          <w:szCs w:val="20"/>
          <w:lang w:val="en-US"/>
        </w:rPr>
        <w:t>Commission</w:t>
      </w:r>
      <w:r w:rsidR="00A9444B" w:rsidRPr="00012C3F">
        <w:rPr>
          <w:sz w:val="20"/>
          <w:szCs w:val="20"/>
          <w:lang w:val="en-US"/>
        </w:rPr>
        <w:t xml:space="preserve"> n</w:t>
      </w:r>
      <w:r w:rsidRPr="00012C3F">
        <w:rPr>
          <w:sz w:val="20"/>
          <w:szCs w:val="20"/>
          <w:lang w:val="en-US"/>
        </w:rPr>
        <w:t>or</w:t>
      </w:r>
      <w:r w:rsidR="00A9444B" w:rsidRPr="00012C3F">
        <w:rPr>
          <w:sz w:val="20"/>
          <w:szCs w:val="20"/>
          <w:lang w:val="en-US"/>
        </w:rPr>
        <w:t xml:space="preserve"> </w:t>
      </w:r>
      <w:r w:rsidR="00972ACF" w:rsidRPr="00012C3F">
        <w:rPr>
          <w:sz w:val="20"/>
          <w:szCs w:val="20"/>
          <w:lang w:val="en-US"/>
        </w:rPr>
        <w:t>the representative</w:t>
      </w:r>
      <w:r w:rsidR="00A9444B" w:rsidRPr="00012C3F">
        <w:rPr>
          <w:sz w:val="20"/>
          <w:szCs w:val="20"/>
          <w:lang w:val="en-US"/>
        </w:rPr>
        <w:t xml:space="preserve"> </w:t>
      </w:r>
      <w:r w:rsidRPr="00012C3F">
        <w:rPr>
          <w:sz w:val="20"/>
          <w:szCs w:val="20"/>
          <w:lang w:val="en-US"/>
        </w:rPr>
        <w:t xml:space="preserve">explicitly argued the violation </w:t>
      </w:r>
      <w:r w:rsidR="008A7A0F" w:rsidRPr="00012C3F">
        <w:rPr>
          <w:sz w:val="20"/>
          <w:szCs w:val="20"/>
          <w:lang w:val="en-US"/>
        </w:rPr>
        <w:t>of Article</w:t>
      </w:r>
      <w:r w:rsidR="00A9444B" w:rsidRPr="00012C3F">
        <w:rPr>
          <w:sz w:val="20"/>
          <w:szCs w:val="20"/>
          <w:lang w:val="en-US"/>
        </w:rPr>
        <w:t xml:space="preserve"> 7</w:t>
      </w:r>
      <w:r w:rsidR="001254DE" w:rsidRPr="00012C3F">
        <w:rPr>
          <w:sz w:val="20"/>
          <w:szCs w:val="20"/>
          <w:lang w:val="en-US"/>
        </w:rPr>
        <w:t xml:space="preserve"> of the Convention</w:t>
      </w:r>
      <w:r w:rsidR="0068183F" w:rsidRPr="00012C3F">
        <w:rPr>
          <w:sz w:val="20"/>
          <w:szCs w:val="20"/>
          <w:lang w:val="en-US"/>
        </w:rPr>
        <w:t xml:space="preserve"> </w:t>
      </w:r>
      <w:r w:rsidR="006C705C" w:rsidRPr="00012C3F">
        <w:rPr>
          <w:sz w:val="20"/>
          <w:szCs w:val="20"/>
          <w:lang w:val="en-US"/>
        </w:rPr>
        <w:t>in this case</w:t>
      </w:r>
      <w:r w:rsidR="00A9444B" w:rsidRPr="00012C3F">
        <w:rPr>
          <w:sz w:val="20"/>
          <w:szCs w:val="20"/>
          <w:lang w:val="en-US"/>
        </w:rPr>
        <w:t xml:space="preserve">, </w:t>
      </w:r>
      <w:r w:rsidRPr="00012C3F">
        <w:rPr>
          <w:sz w:val="20"/>
          <w:szCs w:val="20"/>
          <w:lang w:val="en-US"/>
        </w:rPr>
        <w:t>this does not prevent the Court from applying it based on the general legal principle of</w:t>
      </w:r>
      <w:r w:rsidR="00A9444B" w:rsidRPr="00012C3F">
        <w:rPr>
          <w:sz w:val="20"/>
          <w:szCs w:val="20"/>
          <w:lang w:val="en-US"/>
        </w:rPr>
        <w:t xml:space="preserve"> </w:t>
      </w:r>
      <w:r w:rsidR="00A9444B" w:rsidRPr="00012C3F">
        <w:rPr>
          <w:i/>
          <w:sz w:val="20"/>
          <w:szCs w:val="20"/>
          <w:lang w:val="en-US"/>
        </w:rPr>
        <w:t>iura novit curia</w:t>
      </w:r>
      <w:r w:rsidR="00A9444B" w:rsidRPr="00012C3F">
        <w:rPr>
          <w:sz w:val="20"/>
          <w:szCs w:val="20"/>
          <w:lang w:val="en-US"/>
        </w:rPr>
        <w:t xml:space="preserve">, </w:t>
      </w:r>
      <w:r w:rsidRPr="00012C3F">
        <w:rPr>
          <w:sz w:val="20"/>
          <w:szCs w:val="20"/>
          <w:lang w:val="en-US"/>
        </w:rPr>
        <w:t xml:space="preserve">which international case law has used repeatedly, in the sense that the judge has the authority, and even the duty, to apply the pertinent legal provisions in a case, even when they have not been expressly </w:t>
      </w:r>
      <w:r w:rsidR="00AC0815" w:rsidRPr="00012C3F">
        <w:rPr>
          <w:sz w:val="20"/>
          <w:szCs w:val="20"/>
          <w:lang w:val="en-US"/>
        </w:rPr>
        <w:t>cit</w:t>
      </w:r>
      <w:r w:rsidRPr="00012C3F">
        <w:rPr>
          <w:sz w:val="20"/>
          <w:szCs w:val="20"/>
          <w:lang w:val="en-US"/>
        </w:rPr>
        <w:t>ed by the parties.</w:t>
      </w:r>
      <w:r w:rsidR="00A9444B" w:rsidRPr="00012C3F">
        <w:rPr>
          <w:rStyle w:val="Refdenotaalpie"/>
          <w:sz w:val="20"/>
          <w:szCs w:val="20"/>
          <w:lang w:val="en-US"/>
        </w:rPr>
        <w:footnoteReference w:id="169"/>
      </w:r>
    </w:p>
    <w:p w14:paraId="5DF063D3" w14:textId="77777777" w:rsidR="00A3617C" w:rsidRPr="00012C3F" w:rsidRDefault="00A3617C" w:rsidP="000E11D6">
      <w:pPr>
        <w:tabs>
          <w:tab w:val="left" w:pos="720"/>
          <w:tab w:val="num" w:pos="12305"/>
        </w:tabs>
        <w:spacing w:line="240" w:lineRule="auto"/>
        <w:rPr>
          <w:sz w:val="20"/>
          <w:szCs w:val="20"/>
          <w:lang w:val="en-US"/>
        </w:rPr>
      </w:pPr>
    </w:p>
    <w:p w14:paraId="6A3284B2" w14:textId="77777777" w:rsidR="00E56A72" w:rsidRPr="00012C3F" w:rsidRDefault="00265BD9" w:rsidP="00885672">
      <w:pPr>
        <w:numPr>
          <w:ilvl w:val="0"/>
          <w:numId w:val="5"/>
        </w:numPr>
        <w:tabs>
          <w:tab w:val="left" w:pos="720"/>
          <w:tab w:val="num" w:pos="12305"/>
        </w:tabs>
        <w:spacing w:line="240" w:lineRule="auto"/>
        <w:ind w:left="0" w:firstLine="0"/>
        <w:rPr>
          <w:sz w:val="20"/>
          <w:szCs w:val="20"/>
          <w:lang w:val="en-US"/>
        </w:rPr>
      </w:pPr>
      <w:r w:rsidRPr="00012C3F">
        <w:rPr>
          <w:rFonts w:eastAsia="ヒラギノ角ゴ Pro W3"/>
          <w:sz w:val="20"/>
          <w:szCs w:val="20"/>
          <w:lang w:val="en-US"/>
        </w:rPr>
        <w:t xml:space="preserve">The Court has also stipulated that the protection of the right to </w:t>
      </w:r>
      <w:r w:rsidR="00885672" w:rsidRPr="00012C3F">
        <w:rPr>
          <w:rFonts w:eastAsia="ヒラギノ角ゴ Pro W3"/>
          <w:sz w:val="20"/>
          <w:szCs w:val="20"/>
          <w:lang w:val="en-US"/>
        </w:rPr>
        <w:t>private life</w:t>
      </w:r>
      <w:r w:rsidRPr="00012C3F">
        <w:rPr>
          <w:rFonts w:eastAsia="ヒラギノ角ゴ Pro W3"/>
          <w:sz w:val="20"/>
          <w:szCs w:val="20"/>
          <w:lang w:val="en-US"/>
        </w:rPr>
        <w:t xml:space="preserve"> is not limited to the </w:t>
      </w:r>
      <w:r w:rsidR="00885672" w:rsidRPr="00012C3F">
        <w:rPr>
          <w:rFonts w:eastAsia="ヒラギノ角ゴ Pro W3"/>
          <w:sz w:val="20"/>
          <w:szCs w:val="20"/>
          <w:lang w:val="en-US"/>
        </w:rPr>
        <w:t xml:space="preserve">right to privacy, because it encompasses a series of factors related to the dignity of the individual, including, for example, the ability to develop one’s own personality and aspirations, </w:t>
      </w:r>
      <w:r w:rsidR="00885672" w:rsidRPr="00012C3F">
        <w:rPr>
          <w:sz w:val="20"/>
          <w:szCs w:val="20"/>
          <w:lang w:val="en-US"/>
        </w:rPr>
        <w:t>determine one’s own identify, and define one’s own personal relations</w:t>
      </w:r>
      <w:r w:rsidR="0072265A" w:rsidRPr="00012C3F">
        <w:rPr>
          <w:sz w:val="20"/>
          <w:szCs w:val="20"/>
          <w:lang w:val="en-US"/>
        </w:rPr>
        <w:t xml:space="preserve">. </w:t>
      </w:r>
      <w:r w:rsidR="00885672" w:rsidRPr="00012C3F">
        <w:rPr>
          <w:sz w:val="20"/>
          <w:szCs w:val="20"/>
          <w:lang w:val="en-US"/>
        </w:rPr>
        <w:t xml:space="preserve">The concept of private life </w:t>
      </w:r>
      <w:r w:rsidR="00885672" w:rsidRPr="00012C3F">
        <w:rPr>
          <w:sz w:val="20"/>
          <w:szCs w:val="20"/>
          <w:lang w:val="en-US"/>
        </w:rPr>
        <w:lastRenderedPageBreak/>
        <w:t>encompasses aspects of physical and social identity, including the right to personal autonomy, personal development, and the right to establish and develop relationships with other human beings and with the external world.</w:t>
      </w:r>
      <w:r w:rsidR="0072265A" w:rsidRPr="00012C3F">
        <w:rPr>
          <w:sz w:val="20"/>
          <w:szCs w:val="20"/>
          <w:vertAlign w:val="superscript"/>
          <w:lang w:val="en-US"/>
        </w:rPr>
        <w:footnoteReference w:id="170"/>
      </w:r>
      <w:r w:rsidR="00885672" w:rsidRPr="00012C3F">
        <w:rPr>
          <w:sz w:val="20"/>
          <w:szCs w:val="20"/>
          <w:lang w:val="en-US"/>
        </w:rPr>
        <w:t xml:space="preserve"> The effectiveness of the exercise of the right to private life is decisive for the possibility of exercising personal autonomy over the future course of events that are relevant for a person’s quality of life.</w:t>
      </w:r>
      <w:r w:rsidR="0072265A" w:rsidRPr="00012C3F">
        <w:rPr>
          <w:sz w:val="20"/>
          <w:szCs w:val="20"/>
          <w:vertAlign w:val="superscript"/>
          <w:lang w:val="en-US"/>
        </w:rPr>
        <w:footnoteReference w:id="171"/>
      </w:r>
      <w:r w:rsidR="00885672" w:rsidRPr="00012C3F">
        <w:rPr>
          <w:sz w:val="20"/>
          <w:szCs w:val="20"/>
          <w:lang w:val="en-US"/>
        </w:rPr>
        <w:t xml:space="preserve"> Private life includes the way in which individuals see themselves and how they decide to project themselves towards others,</w:t>
      </w:r>
      <w:r w:rsidR="0072265A" w:rsidRPr="00012C3F">
        <w:rPr>
          <w:sz w:val="20"/>
          <w:szCs w:val="20"/>
          <w:vertAlign w:val="superscript"/>
          <w:lang w:val="en-US"/>
        </w:rPr>
        <w:footnoteReference w:id="172"/>
      </w:r>
      <w:r w:rsidR="005E5012" w:rsidRPr="00012C3F">
        <w:rPr>
          <w:sz w:val="20"/>
          <w:szCs w:val="20"/>
          <w:lang w:val="en-US"/>
        </w:rPr>
        <w:t xml:space="preserve"> and </w:t>
      </w:r>
      <w:r w:rsidR="00885672" w:rsidRPr="00012C3F">
        <w:rPr>
          <w:sz w:val="20"/>
          <w:szCs w:val="20"/>
          <w:lang w:val="en-US"/>
        </w:rPr>
        <w:t>is an essential condition for the free development of the personality. The Court has also indicated that choices and decisions with regard to maternity form an essential part of the free development of a woman’s personality.</w:t>
      </w:r>
      <w:r w:rsidR="0072265A" w:rsidRPr="00012C3F">
        <w:rPr>
          <w:sz w:val="20"/>
          <w:szCs w:val="20"/>
          <w:vertAlign w:val="superscript"/>
          <w:lang w:val="en-US"/>
        </w:rPr>
        <w:footnoteReference w:id="173"/>
      </w:r>
      <w:r w:rsidR="00885672" w:rsidRPr="00012C3F">
        <w:rPr>
          <w:sz w:val="20"/>
          <w:szCs w:val="20"/>
          <w:lang w:val="en-US"/>
        </w:rPr>
        <w:t xml:space="preserve"> Consequently, the decision of whether or not to become a mother or father belongs to the sphere of the autonomous decisions of the individual in relation to his or her private and family life.</w:t>
      </w:r>
      <w:r w:rsidR="0072265A" w:rsidRPr="00012C3F">
        <w:rPr>
          <w:sz w:val="20"/>
          <w:szCs w:val="20"/>
          <w:vertAlign w:val="superscript"/>
          <w:lang w:val="en-US"/>
        </w:rPr>
        <w:footnoteReference w:id="174"/>
      </w:r>
    </w:p>
    <w:p w14:paraId="2F1981D9" w14:textId="77777777" w:rsidR="0072265A" w:rsidRPr="00012C3F" w:rsidRDefault="0072265A" w:rsidP="0072265A">
      <w:pPr>
        <w:tabs>
          <w:tab w:val="left" w:pos="567"/>
        </w:tabs>
        <w:spacing w:line="240" w:lineRule="auto"/>
        <w:rPr>
          <w:sz w:val="20"/>
          <w:szCs w:val="20"/>
          <w:lang w:val="en-US"/>
        </w:rPr>
      </w:pPr>
    </w:p>
    <w:p w14:paraId="00972BDE" w14:textId="77777777" w:rsidR="00744CDD" w:rsidRPr="00012C3F" w:rsidRDefault="00EF483B" w:rsidP="00885672">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On this point</w:t>
      </w:r>
      <w:r w:rsidR="00F86030" w:rsidRPr="00012C3F">
        <w:rPr>
          <w:sz w:val="20"/>
          <w:szCs w:val="20"/>
          <w:lang w:val="en-US"/>
        </w:rPr>
        <w:t xml:space="preserve">, </w:t>
      </w:r>
      <w:r w:rsidR="001254DE" w:rsidRPr="00012C3F">
        <w:rPr>
          <w:sz w:val="20"/>
          <w:szCs w:val="20"/>
          <w:lang w:val="en-US"/>
        </w:rPr>
        <w:t>the Court</w:t>
      </w:r>
      <w:r w:rsidR="00744CDD" w:rsidRPr="00012C3F">
        <w:rPr>
          <w:sz w:val="20"/>
          <w:szCs w:val="20"/>
          <w:lang w:val="en-US"/>
        </w:rPr>
        <w:t xml:space="preserve"> reiter</w:t>
      </w:r>
      <w:r w:rsidRPr="00012C3F">
        <w:rPr>
          <w:sz w:val="20"/>
          <w:szCs w:val="20"/>
          <w:lang w:val="en-US"/>
        </w:rPr>
        <w:t>ates that</w:t>
      </w:r>
      <w:r w:rsidR="00744CDD" w:rsidRPr="00012C3F">
        <w:rPr>
          <w:sz w:val="20"/>
          <w:szCs w:val="20"/>
          <w:lang w:val="en-US"/>
        </w:rPr>
        <w:t xml:space="preserve"> </w:t>
      </w:r>
      <w:r w:rsidR="001254DE" w:rsidRPr="00012C3F">
        <w:rPr>
          <w:sz w:val="20"/>
          <w:szCs w:val="20"/>
          <w:lang w:val="en-US"/>
        </w:rPr>
        <w:t>Article</w:t>
      </w:r>
      <w:r w:rsidR="00744CDD" w:rsidRPr="00012C3F">
        <w:rPr>
          <w:sz w:val="20"/>
          <w:szCs w:val="20"/>
          <w:lang w:val="en-US"/>
        </w:rPr>
        <w:t xml:space="preserve"> </w:t>
      </w:r>
      <w:r w:rsidR="005E5012" w:rsidRPr="00012C3F">
        <w:rPr>
          <w:sz w:val="20"/>
          <w:szCs w:val="20"/>
          <w:lang w:val="en-US"/>
        </w:rPr>
        <w:t>11(2)</w:t>
      </w:r>
      <w:r w:rsidR="001254DE" w:rsidRPr="00012C3F">
        <w:rPr>
          <w:sz w:val="20"/>
          <w:szCs w:val="20"/>
          <w:lang w:val="en-US"/>
        </w:rPr>
        <w:t xml:space="preserve"> of the American Convention</w:t>
      </w:r>
      <w:r w:rsidR="00744CDD" w:rsidRPr="00012C3F">
        <w:rPr>
          <w:sz w:val="20"/>
          <w:szCs w:val="20"/>
          <w:lang w:val="en-US"/>
        </w:rPr>
        <w:t xml:space="preserve"> </w:t>
      </w:r>
      <w:r w:rsidRPr="00012C3F">
        <w:rPr>
          <w:sz w:val="20"/>
          <w:szCs w:val="20"/>
          <w:lang w:val="en-US"/>
        </w:rPr>
        <w:t xml:space="preserve">is closely related to the right recognized in </w:t>
      </w:r>
      <w:r w:rsidR="001254DE" w:rsidRPr="00012C3F">
        <w:rPr>
          <w:sz w:val="20"/>
          <w:szCs w:val="20"/>
          <w:lang w:val="en-US"/>
        </w:rPr>
        <w:t>Article</w:t>
      </w:r>
      <w:r w:rsidR="00744CDD" w:rsidRPr="00012C3F">
        <w:rPr>
          <w:sz w:val="20"/>
          <w:szCs w:val="20"/>
          <w:lang w:val="en-US"/>
        </w:rPr>
        <w:t xml:space="preserve"> 17 </w:t>
      </w:r>
      <w:r w:rsidR="006C705C" w:rsidRPr="00012C3F">
        <w:rPr>
          <w:sz w:val="20"/>
          <w:szCs w:val="20"/>
          <w:lang w:val="en-US"/>
        </w:rPr>
        <w:t>of this instrument</w:t>
      </w:r>
      <w:r w:rsidRPr="00012C3F">
        <w:rPr>
          <w:sz w:val="20"/>
          <w:szCs w:val="20"/>
          <w:lang w:val="en-US"/>
        </w:rPr>
        <w:t>,</w:t>
      </w:r>
      <w:r w:rsidR="00744CDD" w:rsidRPr="00012C3F">
        <w:rPr>
          <w:sz w:val="20"/>
          <w:szCs w:val="20"/>
          <w:vertAlign w:val="superscript"/>
          <w:lang w:val="en-US"/>
        </w:rPr>
        <w:footnoteReference w:id="175"/>
      </w:r>
      <w:r w:rsidRPr="00012C3F">
        <w:rPr>
          <w:sz w:val="20"/>
          <w:szCs w:val="20"/>
          <w:lang w:val="en-US"/>
        </w:rPr>
        <w:t xml:space="preserve"> which recognizes the central role of the family and family life in the existence of the individual a</w:t>
      </w:r>
      <w:r w:rsidR="00E75AC0" w:rsidRPr="00012C3F">
        <w:rPr>
          <w:sz w:val="20"/>
          <w:szCs w:val="20"/>
          <w:lang w:val="en-US"/>
        </w:rPr>
        <w:t>nd in society in general.</w:t>
      </w:r>
      <w:r w:rsidR="00F733B6" w:rsidRPr="00012C3F">
        <w:rPr>
          <w:rStyle w:val="Refdenotaalpie"/>
          <w:sz w:val="20"/>
          <w:szCs w:val="20"/>
          <w:lang w:val="en-US"/>
        </w:rPr>
        <w:footnoteReference w:id="176"/>
      </w:r>
      <w:r w:rsidR="00744CDD" w:rsidRPr="00012C3F">
        <w:rPr>
          <w:sz w:val="20"/>
          <w:szCs w:val="20"/>
          <w:lang w:val="en-US"/>
        </w:rPr>
        <w:t xml:space="preserve"> </w:t>
      </w:r>
      <w:r w:rsidR="00E75AC0" w:rsidRPr="00012C3F">
        <w:rPr>
          <w:sz w:val="20"/>
          <w:szCs w:val="20"/>
          <w:lang w:val="en-US"/>
        </w:rPr>
        <w:t>I</w:t>
      </w:r>
      <w:r w:rsidR="00925FAA" w:rsidRPr="00012C3F">
        <w:rPr>
          <w:sz w:val="20"/>
          <w:szCs w:val="20"/>
          <w:lang w:val="en-US"/>
        </w:rPr>
        <w:t xml:space="preserve">n particular, </w:t>
      </w:r>
      <w:r w:rsidR="001254DE" w:rsidRPr="00012C3F">
        <w:rPr>
          <w:sz w:val="20"/>
          <w:szCs w:val="20"/>
          <w:lang w:val="en-US"/>
        </w:rPr>
        <w:t>Article</w:t>
      </w:r>
      <w:r w:rsidR="00744CDD" w:rsidRPr="00012C3F">
        <w:rPr>
          <w:sz w:val="20"/>
          <w:szCs w:val="20"/>
          <w:lang w:val="en-US"/>
        </w:rPr>
        <w:t xml:space="preserve"> </w:t>
      </w:r>
      <w:r w:rsidR="005E5012" w:rsidRPr="00012C3F">
        <w:rPr>
          <w:sz w:val="20"/>
          <w:szCs w:val="20"/>
          <w:lang w:val="en-US"/>
        </w:rPr>
        <w:t>17(2)</w:t>
      </w:r>
      <w:r w:rsidR="001254DE" w:rsidRPr="00012C3F">
        <w:rPr>
          <w:sz w:val="20"/>
          <w:szCs w:val="20"/>
          <w:lang w:val="en-US"/>
        </w:rPr>
        <w:t xml:space="preserve"> of the American Convention</w:t>
      </w:r>
      <w:r w:rsidR="00744CDD" w:rsidRPr="00012C3F">
        <w:rPr>
          <w:sz w:val="20"/>
          <w:szCs w:val="20"/>
          <w:lang w:val="en-US"/>
        </w:rPr>
        <w:t xml:space="preserve"> prote</w:t>
      </w:r>
      <w:r w:rsidR="00E75AC0" w:rsidRPr="00012C3F">
        <w:rPr>
          <w:sz w:val="20"/>
          <w:szCs w:val="20"/>
          <w:lang w:val="en-US"/>
        </w:rPr>
        <w:t xml:space="preserve">cts the right </w:t>
      </w:r>
      <w:r w:rsidRPr="00012C3F">
        <w:rPr>
          <w:sz w:val="20"/>
          <w:szCs w:val="20"/>
          <w:lang w:val="en-US"/>
        </w:rPr>
        <w:t xml:space="preserve">to </w:t>
      </w:r>
      <w:r w:rsidR="0081491F" w:rsidRPr="00012C3F">
        <w:rPr>
          <w:sz w:val="20"/>
          <w:szCs w:val="20"/>
          <w:lang w:val="en-US"/>
        </w:rPr>
        <w:t>raise a family</w:t>
      </w:r>
      <w:r w:rsidR="00744CDD" w:rsidRPr="00012C3F">
        <w:rPr>
          <w:sz w:val="20"/>
          <w:szCs w:val="20"/>
          <w:lang w:val="en-US"/>
        </w:rPr>
        <w:t xml:space="preserve">, </w:t>
      </w:r>
      <w:r w:rsidR="00E75AC0" w:rsidRPr="00012C3F">
        <w:rPr>
          <w:sz w:val="20"/>
          <w:szCs w:val="20"/>
          <w:lang w:val="en-US"/>
        </w:rPr>
        <w:t>which includes the possibility of procreation.</w:t>
      </w:r>
      <w:r w:rsidR="0068183F" w:rsidRPr="00012C3F">
        <w:rPr>
          <w:rStyle w:val="Refdenotaalpie"/>
          <w:sz w:val="20"/>
          <w:szCs w:val="20"/>
          <w:lang w:val="en-US"/>
        </w:rPr>
        <w:footnoteReference w:id="177"/>
      </w:r>
    </w:p>
    <w:p w14:paraId="427A8272" w14:textId="77777777" w:rsidR="00FA42D2" w:rsidRPr="00012C3F" w:rsidRDefault="00FA42D2" w:rsidP="00885672">
      <w:pPr>
        <w:tabs>
          <w:tab w:val="left" w:pos="720"/>
        </w:tabs>
        <w:spacing w:line="240" w:lineRule="auto"/>
        <w:rPr>
          <w:sz w:val="20"/>
          <w:szCs w:val="20"/>
          <w:lang w:val="en-US"/>
        </w:rPr>
      </w:pPr>
    </w:p>
    <w:p w14:paraId="70EB1BFD" w14:textId="77777777" w:rsidR="00AD41C1" w:rsidRPr="00012C3F" w:rsidRDefault="00E75AC0" w:rsidP="00E75AC0">
      <w:pPr>
        <w:numPr>
          <w:ilvl w:val="0"/>
          <w:numId w:val="5"/>
        </w:numPr>
        <w:tabs>
          <w:tab w:val="left" w:pos="720"/>
          <w:tab w:val="num" w:pos="12305"/>
        </w:tabs>
        <w:spacing w:line="240" w:lineRule="auto"/>
        <w:ind w:left="0" w:firstLine="0"/>
        <w:rPr>
          <w:sz w:val="20"/>
          <w:szCs w:val="20"/>
          <w:lang w:val="en-US"/>
        </w:rPr>
      </w:pPr>
      <w:r w:rsidRPr="00012C3F">
        <w:rPr>
          <w:bCs/>
          <w:sz w:val="20"/>
          <w:szCs w:val="20"/>
          <w:lang w:val="en-US"/>
        </w:rPr>
        <w:t>The</w:t>
      </w:r>
      <w:r w:rsidR="001254DE" w:rsidRPr="00012C3F">
        <w:rPr>
          <w:bCs/>
          <w:sz w:val="20"/>
          <w:szCs w:val="20"/>
          <w:lang w:val="en-US"/>
        </w:rPr>
        <w:t xml:space="preserve"> Court</w:t>
      </w:r>
      <w:r w:rsidR="00F733B6" w:rsidRPr="00012C3F">
        <w:rPr>
          <w:bCs/>
          <w:sz w:val="20"/>
          <w:szCs w:val="20"/>
          <w:lang w:val="en-US"/>
        </w:rPr>
        <w:t xml:space="preserve"> ha</w:t>
      </w:r>
      <w:r w:rsidRPr="00012C3F">
        <w:rPr>
          <w:bCs/>
          <w:sz w:val="20"/>
          <w:szCs w:val="20"/>
          <w:lang w:val="en-US"/>
        </w:rPr>
        <w:t xml:space="preserve">s also underlined the intrinsic connection between the rights to private life and </w:t>
      </w:r>
      <w:r w:rsidR="00F733B6" w:rsidRPr="00012C3F">
        <w:rPr>
          <w:bCs/>
          <w:sz w:val="20"/>
          <w:szCs w:val="20"/>
          <w:lang w:val="en-US"/>
        </w:rPr>
        <w:t xml:space="preserve"> </w:t>
      </w:r>
      <w:r w:rsidR="006C705C" w:rsidRPr="00012C3F">
        <w:rPr>
          <w:bCs/>
          <w:sz w:val="20"/>
          <w:szCs w:val="20"/>
          <w:lang w:val="en-US"/>
        </w:rPr>
        <w:t>to personal integrity</w:t>
      </w:r>
      <w:r w:rsidR="00F733B6" w:rsidRPr="00012C3F">
        <w:rPr>
          <w:bCs/>
          <w:sz w:val="20"/>
          <w:szCs w:val="20"/>
          <w:lang w:val="en-US"/>
        </w:rPr>
        <w:t xml:space="preserve"> </w:t>
      </w:r>
      <w:r w:rsidRPr="00012C3F">
        <w:rPr>
          <w:bCs/>
          <w:sz w:val="20"/>
          <w:szCs w:val="20"/>
          <w:lang w:val="en-US"/>
        </w:rPr>
        <w:t>and human health,</w:t>
      </w:r>
      <w:r w:rsidR="007173C5" w:rsidRPr="00012C3F">
        <w:rPr>
          <w:bCs/>
          <w:sz w:val="20"/>
          <w:szCs w:val="20"/>
          <w:vertAlign w:val="superscript"/>
          <w:lang w:val="en-US"/>
        </w:rPr>
        <w:footnoteReference w:id="178"/>
      </w:r>
      <w:r w:rsidR="005E5012" w:rsidRPr="00012C3F">
        <w:rPr>
          <w:bCs/>
          <w:sz w:val="20"/>
          <w:szCs w:val="20"/>
          <w:lang w:val="en-US"/>
        </w:rPr>
        <w:t xml:space="preserve"> and </w:t>
      </w:r>
      <w:r w:rsidRPr="00012C3F">
        <w:rPr>
          <w:bCs/>
          <w:sz w:val="20"/>
          <w:szCs w:val="20"/>
          <w:lang w:val="en-US"/>
        </w:rPr>
        <w:t xml:space="preserve">that the absence of adequate medical </w:t>
      </w:r>
      <w:r w:rsidR="00223B1E" w:rsidRPr="00012C3F">
        <w:rPr>
          <w:bCs/>
          <w:sz w:val="20"/>
          <w:szCs w:val="20"/>
          <w:lang w:val="en-US"/>
        </w:rPr>
        <w:t>care</w:t>
      </w:r>
      <w:r w:rsidRPr="00012C3F">
        <w:rPr>
          <w:bCs/>
          <w:sz w:val="20"/>
          <w:szCs w:val="20"/>
          <w:lang w:val="en-US"/>
        </w:rPr>
        <w:t xml:space="preserve"> may result in the violation </w:t>
      </w:r>
      <w:r w:rsidR="008A7A0F" w:rsidRPr="00012C3F">
        <w:rPr>
          <w:bCs/>
          <w:sz w:val="20"/>
          <w:szCs w:val="20"/>
          <w:lang w:val="en-US"/>
        </w:rPr>
        <w:t>of Article</w:t>
      </w:r>
      <w:r w:rsidR="0028036A" w:rsidRPr="00012C3F">
        <w:rPr>
          <w:bCs/>
          <w:sz w:val="20"/>
          <w:szCs w:val="20"/>
          <w:lang w:val="en-US"/>
        </w:rPr>
        <w:t xml:space="preserve"> </w:t>
      </w:r>
      <w:r w:rsidR="005E5012" w:rsidRPr="00012C3F">
        <w:rPr>
          <w:bCs/>
          <w:sz w:val="20"/>
          <w:szCs w:val="20"/>
          <w:lang w:val="en-US"/>
        </w:rPr>
        <w:t>5(1)</w:t>
      </w:r>
      <w:r w:rsidR="001254DE" w:rsidRPr="00012C3F">
        <w:rPr>
          <w:bCs/>
          <w:sz w:val="20"/>
          <w:szCs w:val="20"/>
          <w:lang w:val="en-US"/>
        </w:rPr>
        <w:t xml:space="preserve"> of the Convention</w:t>
      </w:r>
      <w:r w:rsidRPr="00012C3F">
        <w:rPr>
          <w:bCs/>
          <w:sz w:val="20"/>
          <w:szCs w:val="20"/>
          <w:lang w:val="en-US"/>
        </w:rPr>
        <w:t>.</w:t>
      </w:r>
      <w:r w:rsidR="0028036A" w:rsidRPr="00012C3F">
        <w:rPr>
          <w:bCs/>
          <w:sz w:val="20"/>
          <w:szCs w:val="20"/>
          <w:vertAlign w:val="superscript"/>
          <w:lang w:val="en-US"/>
        </w:rPr>
        <w:footnoteReference w:id="179"/>
      </w:r>
      <w:r w:rsidR="0028036A" w:rsidRPr="00012C3F">
        <w:rPr>
          <w:bCs/>
          <w:sz w:val="20"/>
          <w:szCs w:val="20"/>
          <w:lang w:val="en-US"/>
        </w:rPr>
        <w:t xml:space="preserve"> </w:t>
      </w:r>
      <w:r w:rsidR="001254DE" w:rsidRPr="00012C3F">
        <w:rPr>
          <w:bCs/>
          <w:sz w:val="20"/>
          <w:szCs w:val="20"/>
          <w:lang w:val="en-US"/>
        </w:rPr>
        <w:t>The Court</w:t>
      </w:r>
      <w:r w:rsidR="004155AB" w:rsidRPr="00012C3F">
        <w:rPr>
          <w:bCs/>
          <w:sz w:val="20"/>
          <w:szCs w:val="20"/>
          <w:lang w:val="en-US"/>
        </w:rPr>
        <w:t xml:space="preserve"> ha</w:t>
      </w:r>
      <w:r w:rsidRPr="00012C3F">
        <w:rPr>
          <w:bCs/>
          <w:sz w:val="20"/>
          <w:szCs w:val="20"/>
          <w:lang w:val="en-US"/>
        </w:rPr>
        <w:t xml:space="preserve">s established that, in order to comply with the obligation to guarantee the right to personal integrity in the area of health care, States must create an appropriate legal framework that regulates the provision of health services, establishing quality standards for public and private institutions, which prevent any risk of violating personal integrity when providing such services. In addition, the State must establish official State mechanisms to supervise and monitor health care institutions, and procedures for the administrative and </w:t>
      </w:r>
      <w:r w:rsidR="00223B1E" w:rsidRPr="00012C3F">
        <w:rPr>
          <w:bCs/>
          <w:sz w:val="20"/>
          <w:szCs w:val="20"/>
          <w:lang w:val="en-US"/>
        </w:rPr>
        <w:t>leg</w:t>
      </w:r>
      <w:r w:rsidRPr="00012C3F">
        <w:rPr>
          <w:bCs/>
          <w:sz w:val="20"/>
          <w:szCs w:val="20"/>
          <w:lang w:val="en-US"/>
        </w:rPr>
        <w:t>al protection of victims, the effectiveness of which will, ultimately, depend on how they are implemented by the corresponding administrative body.</w:t>
      </w:r>
      <w:r w:rsidR="004155AB" w:rsidRPr="00012C3F">
        <w:rPr>
          <w:bCs/>
          <w:sz w:val="20"/>
          <w:szCs w:val="20"/>
          <w:vertAlign w:val="superscript"/>
          <w:lang w:val="en-US"/>
        </w:rPr>
        <w:footnoteReference w:id="180"/>
      </w:r>
    </w:p>
    <w:p w14:paraId="069DB6A5" w14:textId="77777777" w:rsidR="00122A38" w:rsidRPr="00012C3F" w:rsidRDefault="00122A38" w:rsidP="00E75AC0">
      <w:pPr>
        <w:spacing w:line="240" w:lineRule="auto"/>
        <w:rPr>
          <w:sz w:val="20"/>
          <w:szCs w:val="20"/>
          <w:lang w:val="en-US"/>
        </w:rPr>
      </w:pPr>
    </w:p>
    <w:p w14:paraId="6B74839F" w14:textId="77777777" w:rsidR="00AD41C1" w:rsidRPr="00012C3F" w:rsidRDefault="00E2323D" w:rsidP="00E2323D">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Health</w:t>
      </w:r>
      <w:r w:rsidR="00A740DF" w:rsidRPr="00012C3F">
        <w:rPr>
          <w:sz w:val="20"/>
          <w:szCs w:val="20"/>
          <w:lang w:val="en-US"/>
        </w:rPr>
        <w:t xml:space="preserve">, </w:t>
      </w:r>
      <w:r w:rsidRPr="00012C3F">
        <w:rPr>
          <w:sz w:val="20"/>
          <w:szCs w:val="20"/>
          <w:lang w:val="en-US"/>
        </w:rPr>
        <w:t>as an integral part of the right</w:t>
      </w:r>
      <w:r w:rsidR="00A740DF" w:rsidRPr="00012C3F">
        <w:rPr>
          <w:sz w:val="20"/>
          <w:szCs w:val="20"/>
          <w:lang w:val="en-US"/>
        </w:rPr>
        <w:t xml:space="preserve"> </w:t>
      </w:r>
      <w:r w:rsidR="006C705C" w:rsidRPr="00012C3F">
        <w:rPr>
          <w:sz w:val="20"/>
          <w:szCs w:val="20"/>
          <w:lang w:val="en-US"/>
        </w:rPr>
        <w:t>to personal integrity</w:t>
      </w:r>
      <w:r w:rsidR="00A740DF" w:rsidRPr="00012C3F">
        <w:rPr>
          <w:sz w:val="20"/>
          <w:szCs w:val="20"/>
          <w:lang w:val="en-US"/>
        </w:rPr>
        <w:t>,</w:t>
      </w:r>
      <w:r w:rsidR="00122A38" w:rsidRPr="00012C3F">
        <w:rPr>
          <w:sz w:val="20"/>
          <w:szCs w:val="20"/>
          <w:lang w:val="en-US"/>
        </w:rPr>
        <w:t xml:space="preserve"> </w:t>
      </w:r>
      <w:r w:rsidRPr="00012C3F">
        <w:rPr>
          <w:sz w:val="20"/>
          <w:szCs w:val="20"/>
          <w:lang w:val="en-US"/>
        </w:rPr>
        <w:t xml:space="preserve">encompasses not only access to health care services under which everyone </w:t>
      </w:r>
      <w:r w:rsidR="00223B1E" w:rsidRPr="00012C3F">
        <w:rPr>
          <w:sz w:val="20"/>
          <w:szCs w:val="20"/>
          <w:lang w:val="en-US"/>
        </w:rPr>
        <w:t>has an</w:t>
      </w:r>
      <w:r w:rsidRPr="00012C3F">
        <w:rPr>
          <w:sz w:val="20"/>
          <w:szCs w:val="20"/>
          <w:lang w:val="en-US"/>
        </w:rPr>
        <w:t xml:space="preserve"> equal opportunit</w:t>
      </w:r>
      <w:r w:rsidR="00223B1E" w:rsidRPr="00012C3F">
        <w:rPr>
          <w:sz w:val="20"/>
          <w:szCs w:val="20"/>
          <w:lang w:val="en-US"/>
        </w:rPr>
        <w:t>y</w:t>
      </w:r>
      <w:r w:rsidRPr="00012C3F">
        <w:rPr>
          <w:sz w:val="20"/>
          <w:szCs w:val="20"/>
          <w:lang w:val="en-US"/>
        </w:rPr>
        <w:t xml:space="preserve"> to enjoy the highest </w:t>
      </w:r>
      <w:r w:rsidR="00150C5B" w:rsidRPr="00012C3F">
        <w:rPr>
          <w:sz w:val="20"/>
          <w:szCs w:val="20"/>
          <w:lang w:val="en-US"/>
        </w:rPr>
        <w:t xml:space="preserve">attainable </w:t>
      </w:r>
      <w:r w:rsidRPr="00012C3F">
        <w:rPr>
          <w:sz w:val="20"/>
          <w:szCs w:val="20"/>
          <w:lang w:val="en-US"/>
        </w:rPr>
        <w:t xml:space="preserve">level of health, but also the freedom of each individual to control his </w:t>
      </w:r>
      <w:r w:rsidR="00150C5B" w:rsidRPr="00012C3F">
        <w:rPr>
          <w:sz w:val="20"/>
          <w:szCs w:val="20"/>
          <w:lang w:val="en-US"/>
        </w:rPr>
        <w:t xml:space="preserve">or her </w:t>
      </w:r>
      <w:r w:rsidRPr="00012C3F">
        <w:rPr>
          <w:sz w:val="20"/>
          <w:szCs w:val="20"/>
          <w:lang w:val="en-US"/>
        </w:rPr>
        <w:t xml:space="preserve">own health and body, and the right </w:t>
      </w:r>
      <w:r w:rsidR="00150C5B" w:rsidRPr="00012C3F">
        <w:rPr>
          <w:sz w:val="20"/>
          <w:szCs w:val="20"/>
          <w:lang w:val="en-US"/>
        </w:rPr>
        <w:t>to be free from</w:t>
      </w:r>
      <w:r w:rsidRPr="00012C3F">
        <w:rPr>
          <w:sz w:val="20"/>
          <w:szCs w:val="20"/>
          <w:lang w:val="en-US"/>
        </w:rPr>
        <w:t xml:space="preserve"> interference, such as </w:t>
      </w:r>
      <w:r w:rsidR="00150C5B" w:rsidRPr="00012C3F">
        <w:rPr>
          <w:sz w:val="20"/>
          <w:szCs w:val="20"/>
          <w:lang w:val="en-US"/>
        </w:rPr>
        <w:t>the right to be free from</w:t>
      </w:r>
      <w:r w:rsidRPr="00012C3F">
        <w:rPr>
          <w:sz w:val="20"/>
          <w:szCs w:val="20"/>
          <w:lang w:val="en-US"/>
        </w:rPr>
        <w:t xml:space="preserve"> torture</w:t>
      </w:r>
      <w:r w:rsidR="00150C5B" w:rsidRPr="00012C3F">
        <w:rPr>
          <w:sz w:val="20"/>
          <w:szCs w:val="20"/>
          <w:lang w:val="en-US"/>
        </w:rPr>
        <w:t>,</w:t>
      </w:r>
      <w:r w:rsidRPr="00012C3F">
        <w:rPr>
          <w:sz w:val="20"/>
          <w:szCs w:val="20"/>
          <w:lang w:val="en-US"/>
        </w:rPr>
        <w:t xml:space="preserve"> non-consensual medical</w:t>
      </w:r>
      <w:r w:rsidR="00150C5B" w:rsidRPr="00012C3F">
        <w:rPr>
          <w:sz w:val="20"/>
          <w:szCs w:val="20"/>
          <w:lang w:val="en-US"/>
        </w:rPr>
        <w:t xml:space="preserve"> treatment and</w:t>
      </w:r>
      <w:r w:rsidRPr="00012C3F">
        <w:rPr>
          <w:sz w:val="20"/>
          <w:szCs w:val="20"/>
          <w:lang w:val="en-US"/>
        </w:rPr>
        <w:t xml:space="preserve"> experimen</w:t>
      </w:r>
      <w:r w:rsidR="00150C5B" w:rsidRPr="00012C3F">
        <w:rPr>
          <w:sz w:val="20"/>
          <w:szCs w:val="20"/>
          <w:lang w:val="en-US"/>
        </w:rPr>
        <w:t>tation</w:t>
      </w:r>
      <w:r w:rsidRPr="00012C3F">
        <w:rPr>
          <w:sz w:val="20"/>
          <w:szCs w:val="20"/>
          <w:lang w:val="en-US"/>
        </w:rPr>
        <w:t>.</w:t>
      </w:r>
      <w:r w:rsidR="00122A38" w:rsidRPr="00012C3F">
        <w:rPr>
          <w:rStyle w:val="Refdenotaalpie"/>
          <w:sz w:val="20"/>
          <w:szCs w:val="20"/>
          <w:lang w:val="en-US"/>
        </w:rPr>
        <w:footnoteReference w:id="181"/>
      </w:r>
      <w:r w:rsidRPr="00012C3F">
        <w:rPr>
          <w:sz w:val="20"/>
          <w:szCs w:val="20"/>
          <w:lang w:val="en-US"/>
        </w:rPr>
        <w:t xml:space="preserve"> Thus, the existence of a connection between physical and mental integrity and personal autonomy and the liberty to take decisions regarding one’s own body and health requires, on the one hand, that the State ensure and respect decisions and choices that have been made freely and responsibly and, on the other, that access to the relevant information is guaranteed so that individuals are in a position to take informed decisions on the course of action with regard to their body and health based on their personal life project. In the area of health, </w:t>
      </w:r>
      <w:r w:rsidR="00223B1E" w:rsidRPr="00012C3F">
        <w:rPr>
          <w:sz w:val="20"/>
          <w:szCs w:val="20"/>
          <w:lang w:val="en-US"/>
        </w:rPr>
        <w:t>opportune</w:t>
      </w:r>
      <w:r w:rsidRPr="00012C3F">
        <w:rPr>
          <w:sz w:val="20"/>
          <w:szCs w:val="20"/>
          <w:lang w:val="en-US"/>
        </w:rPr>
        <w:t xml:space="preserve">, complete, comprehensible and reliable information should be provided, </w:t>
      </w:r>
      <w:r w:rsidRPr="00012C3F">
        <w:rPr>
          <w:i/>
          <w:iCs/>
          <w:sz w:val="20"/>
          <w:szCs w:val="20"/>
          <w:lang w:val="en-US"/>
        </w:rPr>
        <w:t>ex officio</w:t>
      </w:r>
      <w:r w:rsidRPr="00012C3F">
        <w:rPr>
          <w:sz w:val="20"/>
          <w:szCs w:val="20"/>
          <w:lang w:val="en-US"/>
        </w:rPr>
        <w:t xml:space="preserve">, because this is essential for decision-making in </w:t>
      </w:r>
      <w:r w:rsidR="00223B1E" w:rsidRPr="00012C3F">
        <w:rPr>
          <w:sz w:val="20"/>
          <w:szCs w:val="20"/>
          <w:lang w:val="en-US"/>
        </w:rPr>
        <w:t>this</w:t>
      </w:r>
      <w:r w:rsidRPr="00012C3F">
        <w:rPr>
          <w:sz w:val="20"/>
          <w:szCs w:val="20"/>
          <w:lang w:val="en-US"/>
        </w:rPr>
        <w:t xml:space="preserve"> area.</w:t>
      </w:r>
      <w:r w:rsidR="00591941" w:rsidRPr="00012C3F">
        <w:rPr>
          <w:sz w:val="20"/>
          <w:szCs w:val="20"/>
          <w:vertAlign w:val="superscript"/>
          <w:lang w:val="en-US"/>
        </w:rPr>
        <w:footnoteReference w:id="182"/>
      </w:r>
    </w:p>
    <w:p w14:paraId="6FEA66FE" w14:textId="77777777" w:rsidR="005E18C4" w:rsidRPr="00012C3F" w:rsidRDefault="005E18C4" w:rsidP="00E75AC0">
      <w:pPr>
        <w:tabs>
          <w:tab w:val="left" w:pos="720"/>
        </w:tabs>
        <w:spacing w:line="240" w:lineRule="auto"/>
        <w:rPr>
          <w:sz w:val="20"/>
          <w:szCs w:val="20"/>
          <w:lang w:val="en-US"/>
        </w:rPr>
      </w:pPr>
      <w:bookmarkStart w:id="133" w:name="_Ref319669930"/>
    </w:p>
    <w:p w14:paraId="0E7DFE69" w14:textId="77777777" w:rsidR="005E18C4" w:rsidRPr="00012C3F" w:rsidRDefault="00E2323D" w:rsidP="000C7F5C">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In this regard, and as this Court has recognized, Article </w:t>
      </w:r>
      <w:r w:rsidR="005E18C4" w:rsidRPr="00012C3F">
        <w:rPr>
          <w:sz w:val="20"/>
          <w:szCs w:val="20"/>
          <w:lang w:val="en-US"/>
        </w:rPr>
        <w:t>13</w:t>
      </w:r>
      <w:r w:rsidR="001254DE" w:rsidRPr="00012C3F">
        <w:rPr>
          <w:sz w:val="20"/>
          <w:szCs w:val="20"/>
          <w:lang w:val="en-US"/>
        </w:rPr>
        <w:t xml:space="preserve"> of the American Convention</w:t>
      </w:r>
      <w:r w:rsidR="005E18C4" w:rsidRPr="00012C3F">
        <w:rPr>
          <w:sz w:val="20"/>
          <w:szCs w:val="20"/>
          <w:lang w:val="en-US"/>
        </w:rPr>
        <w:t xml:space="preserve"> inclu</w:t>
      </w:r>
      <w:r w:rsidRPr="00012C3F">
        <w:rPr>
          <w:sz w:val="20"/>
          <w:szCs w:val="20"/>
          <w:lang w:val="en-US"/>
        </w:rPr>
        <w:t>des the right to seek, receive and impart information and ideas of all kinds,</w:t>
      </w:r>
      <w:r w:rsidR="005E18C4" w:rsidRPr="00012C3F">
        <w:rPr>
          <w:sz w:val="20"/>
          <w:szCs w:val="20"/>
          <w:vertAlign w:val="superscript"/>
          <w:lang w:val="en-US"/>
        </w:rPr>
        <w:footnoteReference w:id="183"/>
      </w:r>
      <w:r w:rsidRPr="00012C3F">
        <w:rPr>
          <w:sz w:val="20"/>
          <w:szCs w:val="20"/>
          <w:lang w:val="en-US"/>
        </w:rPr>
        <w:t xml:space="preserve"> which protects the right </w:t>
      </w:r>
      <w:r w:rsidR="006C705C" w:rsidRPr="00012C3F">
        <w:rPr>
          <w:sz w:val="20"/>
          <w:szCs w:val="20"/>
          <w:lang w:val="en-US"/>
        </w:rPr>
        <w:t>of access to information</w:t>
      </w:r>
      <w:r w:rsidR="005E18C4" w:rsidRPr="00012C3F">
        <w:rPr>
          <w:sz w:val="20"/>
          <w:szCs w:val="20"/>
          <w:lang w:val="en-US"/>
        </w:rPr>
        <w:t>, inclu</w:t>
      </w:r>
      <w:r w:rsidRPr="00012C3F">
        <w:rPr>
          <w:sz w:val="20"/>
          <w:szCs w:val="20"/>
          <w:lang w:val="en-US"/>
        </w:rPr>
        <w:t xml:space="preserve">ding </w:t>
      </w:r>
      <w:r w:rsidR="000C7F5C" w:rsidRPr="00012C3F">
        <w:rPr>
          <w:sz w:val="20"/>
          <w:szCs w:val="20"/>
          <w:lang w:val="en-US"/>
        </w:rPr>
        <w:t xml:space="preserve">personal </w:t>
      </w:r>
      <w:r w:rsidRPr="00012C3F">
        <w:rPr>
          <w:sz w:val="20"/>
          <w:szCs w:val="20"/>
          <w:lang w:val="en-US"/>
        </w:rPr>
        <w:t>health-related information.</w:t>
      </w:r>
      <w:r w:rsidR="005E18C4" w:rsidRPr="00012C3F">
        <w:rPr>
          <w:sz w:val="20"/>
          <w:szCs w:val="20"/>
          <w:vertAlign w:val="superscript"/>
          <w:lang w:val="en-US"/>
        </w:rPr>
        <w:footnoteReference w:id="184"/>
      </w:r>
      <w:r w:rsidR="005E18C4" w:rsidRPr="00012C3F">
        <w:rPr>
          <w:sz w:val="20"/>
          <w:szCs w:val="20"/>
          <w:lang w:val="en-US"/>
        </w:rPr>
        <w:t xml:space="preserve"> </w:t>
      </w:r>
      <w:r w:rsidR="000C7F5C" w:rsidRPr="00012C3F">
        <w:rPr>
          <w:sz w:val="20"/>
          <w:szCs w:val="20"/>
          <w:lang w:val="en-US"/>
        </w:rPr>
        <w:t>The right of everyone to obtain information is supplemented by a correlative positive obligation of the State to provide this information, so that the individual may have access to receive and assess it.</w:t>
      </w:r>
      <w:r w:rsidR="005E18C4" w:rsidRPr="00012C3F">
        <w:rPr>
          <w:sz w:val="20"/>
          <w:szCs w:val="20"/>
          <w:vertAlign w:val="superscript"/>
          <w:lang w:val="en-US"/>
        </w:rPr>
        <w:footnoteReference w:id="185"/>
      </w:r>
      <w:r w:rsidR="000C7F5C" w:rsidRPr="00012C3F">
        <w:rPr>
          <w:sz w:val="20"/>
          <w:szCs w:val="20"/>
          <w:lang w:val="en-US"/>
        </w:rPr>
        <w:t xml:space="preserve"> In this regard, health personnel should not wait for </w:t>
      </w:r>
      <w:r w:rsidR="00D112BF" w:rsidRPr="00012C3F">
        <w:rPr>
          <w:sz w:val="20"/>
          <w:szCs w:val="20"/>
          <w:lang w:val="en-US"/>
        </w:rPr>
        <w:t>a</w:t>
      </w:r>
      <w:r w:rsidR="000C7F5C" w:rsidRPr="00012C3F">
        <w:rPr>
          <w:sz w:val="20"/>
          <w:szCs w:val="20"/>
          <w:lang w:val="en-US"/>
        </w:rPr>
        <w:t xml:space="preserve"> patient to request information or ask question about their health for the information to be given. The obligation of the State to provide information </w:t>
      </w:r>
      <w:r w:rsidR="000C7F5C" w:rsidRPr="00012C3F">
        <w:rPr>
          <w:i/>
          <w:iCs/>
          <w:sz w:val="20"/>
          <w:szCs w:val="20"/>
          <w:lang w:val="en-US"/>
        </w:rPr>
        <w:t>ex officio</w:t>
      </w:r>
      <w:r w:rsidR="000C7F5C" w:rsidRPr="00012C3F">
        <w:rPr>
          <w:sz w:val="20"/>
          <w:szCs w:val="20"/>
          <w:lang w:val="en-US"/>
        </w:rPr>
        <w:t xml:space="preserve">, known as “active transparency obligation,” imposes on States the duty to provide the necessary information for individuals to be able to exercise other rights, which is particularly relevant in the area of health care, because this contributes to the accessibility of the health services and to enabling individuals to take free, full, well-informed decisions. Consequently, the right of access to information has an instrumental nature to achieve the satisfaction of other rights under </w:t>
      </w:r>
      <w:r w:rsidR="001254DE" w:rsidRPr="00012C3F">
        <w:rPr>
          <w:sz w:val="20"/>
          <w:szCs w:val="20"/>
          <w:lang w:val="en-US"/>
        </w:rPr>
        <w:t>the Convention</w:t>
      </w:r>
      <w:r w:rsidR="000C7F5C" w:rsidRPr="00012C3F">
        <w:rPr>
          <w:sz w:val="20"/>
          <w:szCs w:val="20"/>
          <w:lang w:val="en-US"/>
        </w:rPr>
        <w:t>.</w:t>
      </w:r>
      <w:r w:rsidR="005E18C4" w:rsidRPr="00012C3F">
        <w:rPr>
          <w:rStyle w:val="Refdenotaalpie"/>
          <w:sz w:val="20"/>
          <w:szCs w:val="20"/>
          <w:lang w:val="en-US"/>
        </w:rPr>
        <w:footnoteReference w:id="186"/>
      </w:r>
    </w:p>
    <w:p w14:paraId="1295B76C" w14:textId="77777777" w:rsidR="009A0060" w:rsidRPr="00012C3F" w:rsidRDefault="009A0060" w:rsidP="00E75AC0">
      <w:pPr>
        <w:tabs>
          <w:tab w:val="left" w:pos="720"/>
        </w:tabs>
        <w:spacing w:line="240" w:lineRule="auto"/>
        <w:rPr>
          <w:sz w:val="20"/>
          <w:szCs w:val="20"/>
          <w:lang w:val="en-US"/>
        </w:rPr>
      </w:pPr>
    </w:p>
    <w:p w14:paraId="14AA6355" w14:textId="77777777" w:rsidR="009A0060" w:rsidRPr="00012C3F" w:rsidRDefault="00150C5B" w:rsidP="00150C5B">
      <w:pPr>
        <w:numPr>
          <w:ilvl w:val="0"/>
          <w:numId w:val="5"/>
        </w:numPr>
        <w:tabs>
          <w:tab w:val="left" w:pos="720"/>
          <w:tab w:val="num" w:pos="12305"/>
        </w:tabs>
        <w:spacing w:line="240" w:lineRule="auto"/>
        <w:ind w:left="0" w:firstLine="0"/>
        <w:rPr>
          <w:sz w:val="20"/>
          <w:szCs w:val="20"/>
          <w:lang w:val="en-US"/>
        </w:rPr>
      </w:pPr>
      <w:r w:rsidRPr="00012C3F">
        <w:rPr>
          <w:bCs/>
          <w:sz w:val="20"/>
          <w:szCs w:val="20"/>
          <w:lang w:val="en-US"/>
        </w:rPr>
        <w:t>It is evident that s</w:t>
      </w:r>
      <w:r w:rsidR="00A54991" w:rsidRPr="00012C3F">
        <w:rPr>
          <w:bCs/>
          <w:sz w:val="20"/>
          <w:szCs w:val="20"/>
          <w:lang w:val="en-US"/>
        </w:rPr>
        <w:t>exual and reproductive health</w:t>
      </w:r>
      <w:r w:rsidR="009A0060" w:rsidRPr="00012C3F">
        <w:rPr>
          <w:rStyle w:val="Refdenotaalpie"/>
          <w:bCs/>
          <w:sz w:val="20"/>
          <w:szCs w:val="20"/>
          <w:lang w:val="en-US"/>
        </w:rPr>
        <w:footnoteReference w:id="187"/>
      </w:r>
      <w:r w:rsidR="009A0060" w:rsidRPr="00012C3F">
        <w:rPr>
          <w:bCs/>
          <w:sz w:val="20"/>
          <w:szCs w:val="20"/>
          <w:lang w:val="en-US"/>
        </w:rPr>
        <w:t xml:space="preserve"> </w:t>
      </w:r>
      <w:r w:rsidRPr="00012C3F">
        <w:rPr>
          <w:bCs/>
          <w:sz w:val="20"/>
          <w:szCs w:val="20"/>
          <w:lang w:val="en-US"/>
        </w:rPr>
        <w:t xml:space="preserve">is an </w:t>
      </w:r>
      <w:r w:rsidR="009D3EE9" w:rsidRPr="00012C3F">
        <w:rPr>
          <w:bCs/>
          <w:sz w:val="20"/>
          <w:szCs w:val="20"/>
          <w:lang w:val="en-US"/>
        </w:rPr>
        <w:t>expression</w:t>
      </w:r>
      <w:r w:rsidRPr="00012C3F">
        <w:rPr>
          <w:bCs/>
          <w:sz w:val="20"/>
          <w:szCs w:val="20"/>
          <w:lang w:val="en-US"/>
        </w:rPr>
        <w:t xml:space="preserve"> of health that has </w:t>
      </w:r>
      <w:r w:rsidRPr="00012C3F">
        <w:rPr>
          <w:bCs/>
          <w:sz w:val="20"/>
          <w:szCs w:val="20"/>
          <w:lang w:val="en-US"/>
        </w:rPr>
        <w:lastRenderedPageBreak/>
        <w:t xml:space="preserve">special implications for women owing to their biological capacity to conceive and give birth. On the one hand, it is related to reproductive </w:t>
      </w:r>
      <w:r w:rsidR="00D112BF" w:rsidRPr="00012C3F">
        <w:rPr>
          <w:bCs/>
          <w:sz w:val="20"/>
          <w:szCs w:val="20"/>
          <w:lang w:val="en-US"/>
        </w:rPr>
        <w:t>freedom</w:t>
      </w:r>
      <w:r w:rsidRPr="00012C3F">
        <w:rPr>
          <w:bCs/>
          <w:sz w:val="20"/>
          <w:szCs w:val="20"/>
          <w:lang w:val="en-US"/>
        </w:rPr>
        <w:t xml:space="preserve"> and autonomy </w:t>
      </w:r>
      <w:r w:rsidR="00D112BF" w:rsidRPr="00012C3F">
        <w:rPr>
          <w:bCs/>
          <w:sz w:val="20"/>
          <w:szCs w:val="20"/>
          <w:lang w:val="en-US"/>
        </w:rPr>
        <w:t>with regard</w:t>
      </w:r>
      <w:r w:rsidRPr="00012C3F">
        <w:rPr>
          <w:bCs/>
          <w:sz w:val="20"/>
          <w:szCs w:val="20"/>
          <w:lang w:val="en-US"/>
        </w:rPr>
        <w:t xml:space="preserve"> to the right to take autonomous decisions, </w:t>
      </w:r>
      <w:r w:rsidR="00836B72" w:rsidRPr="00012C3F">
        <w:rPr>
          <w:bCs/>
          <w:sz w:val="20"/>
          <w:szCs w:val="20"/>
          <w:lang w:val="en-US"/>
        </w:rPr>
        <w:t>free from violence</w:t>
      </w:r>
      <w:r w:rsidRPr="00012C3F">
        <w:rPr>
          <w:bCs/>
          <w:sz w:val="20"/>
          <w:szCs w:val="20"/>
          <w:lang w:val="en-US"/>
        </w:rPr>
        <w:t>, coercion and discrimination</w:t>
      </w:r>
      <w:r w:rsidR="00D112BF" w:rsidRPr="00012C3F">
        <w:rPr>
          <w:bCs/>
          <w:sz w:val="20"/>
          <w:szCs w:val="20"/>
          <w:lang w:val="en-US"/>
        </w:rPr>
        <w:t>,</w:t>
      </w:r>
      <w:r w:rsidR="00B745B4" w:rsidRPr="00012C3F">
        <w:rPr>
          <w:bCs/>
          <w:sz w:val="20"/>
          <w:szCs w:val="20"/>
          <w:lang w:val="en-US"/>
        </w:rPr>
        <w:t xml:space="preserve"> </w:t>
      </w:r>
      <w:r w:rsidR="00D112BF" w:rsidRPr="00012C3F">
        <w:rPr>
          <w:bCs/>
          <w:sz w:val="20"/>
          <w:szCs w:val="20"/>
          <w:lang w:val="en-US"/>
        </w:rPr>
        <w:t>concerning</w:t>
      </w:r>
      <w:r w:rsidR="00B745B4" w:rsidRPr="00012C3F">
        <w:rPr>
          <w:bCs/>
          <w:sz w:val="20"/>
          <w:szCs w:val="20"/>
          <w:lang w:val="en-US"/>
        </w:rPr>
        <w:t xml:space="preserve"> one’s life project, body, and sexual and reproductive health</w:t>
      </w:r>
      <w:r w:rsidRPr="00012C3F">
        <w:rPr>
          <w:bCs/>
          <w:sz w:val="20"/>
          <w:szCs w:val="20"/>
          <w:lang w:val="en-US"/>
        </w:rPr>
        <w:t>.</w:t>
      </w:r>
      <w:r w:rsidR="009A0060" w:rsidRPr="00012C3F">
        <w:rPr>
          <w:rStyle w:val="Refdenotaalpie"/>
          <w:rFonts w:eastAsia="MS ????"/>
          <w:sz w:val="20"/>
          <w:szCs w:val="20"/>
          <w:lang w:val="en-US"/>
        </w:rPr>
        <w:footnoteReference w:id="188"/>
      </w:r>
      <w:r w:rsidRPr="00012C3F">
        <w:rPr>
          <w:sz w:val="20"/>
          <w:szCs w:val="20"/>
          <w:lang w:val="en-US"/>
        </w:rPr>
        <w:t xml:space="preserve"> On the other hand, it refers to both reproductive health services and information, education and the means that allow the exercise of the right to decide freely and responsibly on the number of children desired and the spacing between births.</w:t>
      </w:r>
      <w:r w:rsidR="008D6DBF" w:rsidRPr="00012C3F">
        <w:rPr>
          <w:rStyle w:val="Refdenotaalpie"/>
          <w:rFonts w:eastAsia="MS ????"/>
          <w:sz w:val="20"/>
          <w:szCs w:val="20"/>
          <w:lang w:val="en-US"/>
        </w:rPr>
        <w:footnoteReference w:id="189"/>
      </w:r>
      <w:r w:rsidR="007334E5" w:rsidRPr="00012C3F">
        <w:rPr>
          <w:sz w:val="20"/>
          <w:szCs w:val="20"/>
          <w:lang w:val="en-US"/>
        </w:rPr>
        <w:t xml:space="preserve"> </w:t>
      </w:r>
      <w:r w:rsidR="001254DE" w:rsidRPr="00012C3F">
        <w:rPr>
          <w:sz w:val="20"/>
          <w:szCs w:val="20"/>
          <w:lang w:val="en-US"/>
        </w:rPr>
        <w:t>The Court</w:t>
      </w:r>
      <w:r w:rsidR="007334E5" w:rsidRPr="00012C3F">
        <w:rPr>
          <w:bCs/>
          <w:sz w:val="20"/>
          <w:szCs w:val="20"/>
          <w:lang w:val="en-US"/>
        </w:rPr>
        <w:t xml:space="preserve"> ha</w:t>
      </w:r>
      <w:r w:rsidRPr="00012C3F">
        <w:rPr>
          <w:bCs/>
          <w:sz w:val="20"/>
          <w:szCs w:val="20"/>
          <w:lang w:val="en-US"/>
        </w:rPr>
        <w:t xml:space="preserve">s considered that “the lack of legal safeguards to take into consideration reproductive health may result in a serious impairment of reproductive </w:t>
      </w:r>
      <w:r w:rsidR="00CD065A" w:rsidRPr="00012C3F">
        <w:rPr>
          <w:bCs/>
          <w:sz w:val="20"/>
          <w:szCs w:val="20"/>
          <w:lang w:val="en-US"/>
        </w:rPr>
        <w:t xml:space="preserve">freedom </w:t>
      </w:r>
      <w:r w:rsidRPr="00012C3F">
        <w:rPr>
          <w:bCs/>
          <w:sz w:val="20"/>
          <w:szCs w:val="20"/>
          <w:lang w:val="en-US"/>
        </w:rPr>
        <w:t>and autonomy.</w:t>
      </w:r>
      <w:r w:rsidR="00B524B7" w:rsidRPr="00012C3F">
        <w:rPr>
          <w:sz w:val="20"/>
          <w:szCs w:val="20"/>
          <w:lang w:val="en-US"/>
        </w:rPr>
        <w:t>”</w:t>
      </w:r>
      <w:r w:rsidR="007334E5" w:rsidRPr="00012C3F">
        <w:rPr>
          <w:rStyle w:val="Refdenotaalpie"/>
          <w:sz w:val="20"/>
          <w:szCs w:val="20"/>
          <w:lang w:val="en-US"/>
        </w:rPr>
        <w:footnoteReference w:id="190"/>
      </w:r>
    </w:p>
    <w:p w14:paraId="67B17716" w14:textId="77777777" w:rsidR="009A0060" w:rsidRPr="00012C3F" w:rsidRDefault="009A0060" w:rsidP="009A0060">
      <w:pPr>
        <w:tabs>
          <w:tab w:val="left" w:pos="567"/>
        </w:tabs>
        <w:spacing w:line="240" w:lineRule="auto"/>
        <w:rPr>
          <w:sz w:val="20"/>
          <w:szCs w:val="20"/>
          <w:lang w:val="en-US"/>
        </w:rPr>
      </w:pPr>
    </w:p>
    <w:p w14:paraId="1E328493" w14:textId="77777777" w:rsidR="00F2382F" w:rsidRPr="00012C3F" w:rsidRDefault="00B745B4" w:rsidP="00B745B4">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I</w:t>
      </w:r>
      <w:r w:rsidR="005E18C4" w:rsidRPr="00012C3F">
        <w:rPr>
          <w:sz w:val="20"/>
          <w:szCs w:val="20"/>
          <w:lang w:val="en-US"/>
        </w:rPr>
        <w:t xml:space="preserve">n particular, </w:t>
      </w:r>
      <w:r w:rsidRPr="00012C3F">
        <w:rPr>
          <w:sz w:val="20"/>
          <w:szCs w:val="20"/>
          <w:lang w:val="en-US"/>
        </w:rPr>
        <w:t>it is worth emphasizing that according to the Committee on Economic, Social and Cultural Rights, “[r]eproductive health means that women and men have the freedom to decide if and when to reproduce and the right to be informed and to have access to safe, effective, affordable and acceptable methods of family planning of their choice as well as the right of access to appropriate health-care services […].</w:t>
      </w:r>
      <w:r w:rsidR="005E18C4" w:rsidRPr="00012C3F">
        <w:rPr>
          <w:sz w:val="20"/>
          <w:szCs w:val="20"/>
          <w:lang w:val="en-US"/>
        </w:rPr>
        <w:t>”</w:t>
      </w:r>
      <w:r w:rsidR="005E18C4" w:rsidRPr="00012C3F">
        <w:rPr>
          <w:rStyle w:val="Refdenotaalpie"/>
          <w:sz w:val="20"/>
          <w:szCs w:val="20"/>
          <w:lang w:val="en-US"/>
        </w:rPr>
        <w:footnoteReference w:id="191"/>
      </w:r>
      <w:r w:rsidRPr="00012C3F">
        <w:rPr>
          <w:sz w:val="20"/>
          <w:szCs w:val="20"/>
          <w:lang w:val="en-US"/>
        </w:rPr>
        <w:t xml:space="preserve"> Consequently, the Court finds that States must guarantee </w:t>
      </w:r>
      <w:r w:rsidR="006C705C" w:rsidRPr="00012C3F">
        <w:rPr>
          <w:sz w:val="20"/>
          <w:szCs w:val="20"/>
          <w:lang w:val="en-US"/>
        </w:rPr>
        <w:t>access to information</w:t>
      </w:r>
      <w:r w:rsidR="005E18C4" w:rsidRPr="00012C3F">
        <w:rPr>
          <w:sz w:val="20"/>
          <w:szCs w:val="20"/>
          <w:lang w:val="en-US"/>
        </w:rPr>
        <w:t xml:space="preserve"> </w:t>
      </w:r>
      <w:r w:rsidRPr="00012C3F">
        <w:rPr>
          <w:sz w:val="20"/>
          <w:szCs w:val="20"/>
          <w:lang w:val="en-US"/>
        </w:rPr>
        <w:t>on health matters, especial in the area of</w:t>
      </w:r>
      <w:r w:rsidR="005E18C4" w:rsidRPr="00012C3F">
        <w:rPr>
          <w:sz w:val="20"/>
          <w:szCs w:val="20"/>
          <w:lang w:val="en-US"/>
        </w:rPr>
        <w:t xml:space="preserve"> </w:t>
      </w:r>
      <w:r w:rsidR="00A54991" w:rsidRPr="00012C3F">
        <w:rPr>
          <w:sz w:val="20"/>
          <w:szCs w:val="20"/>
          <w:lang w:val="en-US"/>
        </w:rPr>
        <w:t>sexual and reproductive health</w:t>
      </w:r>
      <w:r w:rsidRPr="00012C3F">
        <w:rPr>
          <w:sz w:val="20"/>
          <w:szCs w:val="20"/>
          <w:lang w:val="en-US"/>
        </w:rPr>
        <w:t>,</w:t>
      </w:r>
      <w:r w:rsidR="005E18C4" w:rsidRPr="00012C3F">
        <w:rPr>
          <w:rStyle w:val="Refdenotaalpie"/>
          <w:sz w:val="20"/>
          <w:szCs w:val="20"/>
          <w:lang w:val="en-US"/>
        </w:rPr>
        <w:footnoteReference w:id="192"/>
      </w:r>
      <w:r w:rsidRPr="00012C3F">
        <w:rPr>
          <w:sz w:val="20"/>
          <w:szCs w:val="20"/>
          <w:lang w:val="en-US"/>
        </w:rPr>
        <w:t xml:space="preserve"> and the denial of this has often signified a barrier for the full exercise of this right and an impediment to </w:t>
      </w:r>
      <w:r w:rsidR="005E18C4" w:rsidRPr="00012C3F">
        <w:rPr>
          <w:sz w:val="20"/>
          <w:szCs w:val="20"/>
          <w:lang w:val="en-US"/>
        </w:rPr>
        <w:t xml:space="preserve"> </w:t>
      </w:r>
      <w:r w:rsidRPr="00012C3F">
        <w:rPr>
          <w:sz w:val="20"/>
          <w:szCs w:val="20"/>
          <w:lang w:val="en-US"/>
        </w:rPr>
        <w:t>free and full decision-making. Therefore, the Court considers that,</w:t>
      </w:r>
      <w:r w:rsidR="007B1A25" w:rsidRPr="00012C3F">
        <w:rPr>
          <w:sz w:val="20"/>
          <w:szCs w:val="20"/>
          <w:lang w:val="en-US"/>
        </w:rPr>
        <w:t xml:space="preserve"> with regard to sexual and reproductive health, the State obligation of active transparency includes the duty of health care personnel to provide information that helps ensure that people are able to take free and responsible decisions </w:t>
      </w:r>
      <w:r w:rsidR="00D112BF" w:rsidRPr="00012C3F">
        <w:rPr>
          <w:sz w:val="20"/>
          <w:szCs w:val="20"/>
          <w:lang w:val="en-US"/>
        </w:rPr>
        <w:t>concerning</w:t>
      </w:r>
      <w:r w:rsidR="007B1A25" w:rsidRPr="00012C3F">
        <w:rPr>
          <w:sz w:val="20"/>
          <w:szCs w:val="20"/>
          <w:lang w:val="en-US"/>
        </w:rPr>
        <w:t xml:space="preserve"> their own body and sexual and reproductive health, </w:t>
      </w:r>
      <w:r w:rsidR="00D112BF" w:rsidRPr="00012C3F">
        <w:rPr>
          <w:sz w:val="20"/>
          <w:szCs w:val="20"/>
          <w:lang w:val="en-US"/>
        </w:rPr>
        <w:t>and this</w:t>
      </w:r>
      <w:r w:rsidR="007B1A25" w:rsidRPr="00012C3F">
        <w:rPr>
          <w:sz w:val="20"/>
          <w:szCs w:val="20"/>
          <w:lang w:val="en-US"/>
        </w:rPr>
        <w:t xml:space="preserve"> relate</w:t>
      </w:r>
      <w:r w:rsidR="00D112BF" w:rsidRPr="00012C3F">
        <w:rPr>
          <w:sz w:val="20"/>
          <w:szCs w:val="20"/>
          <w:lang w:val="en-US"/>
        </w:rPr>
        <w:t>s</w:t>
      </w:r>
      <w:r w:rsidR="007B1A25" w:rsidRPr="00012C3F">
        <w:rPr>
          <w:sz w:val="20"/>
          <w:szCs w:val="20"/>
          <w:lang w:val="en-US"/>
        </w:rPr>
        <w:t xml:space="preserve"> to intimate aspects of their personality and their </w:t>
      </w:r>
      <w:r w:rsidR="00130362" w:rsidRPr="00012C3F">
        <w:rPr>
          <w:sz w:val="20"/>
          <w:szCs w:val="20"/>
          <w:lang w:val="en-US"/>
        </w:rPr>
        <w:t>private and family life</w:t>
      </w:r>
      <w:r w:rsidR="00F2382F" w:rsidRPr="00012C3F">
        <w:rPr>
          <w:sz w:val="20"/>
          <w:szCs w:val="20"/>
          <w:lang w:val="en-US"/>
        </w:rPr>
        <w:t>.</w:t>
      </w:r>
    </w:p>
    <w:p w14:paraId="1314BF5E" w14:textId="77777777" w:rsidR="008D6DBF" w:rsidRPr="00012C3F" w:rsidRDefault="008D6DBF" w:rsidP="008D6DBF">
      <w:pPr>
        <w:tabs>
          <w:tab w:val="left" w:pos="567"/>
        </w:tabs>
        <w:spacing w:line="240" w:lineRule="auto"/>
        <w:rPr>
          <w:sz w:val="20"/>
          <w:szCs w:val="20"/>
          <w:lang w:val="en-US"/>
        </w:rPr>
      </w:pPr>
    </w:p>
    <w:p w14:paraId="1DFE22F6" w14:textId="77777777" w:rsidR="002F18A4" w:rsidRPr="00012C3F" w:rsidRDefault="002F18A4" w:rsidP="00B745B4">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sz w:val="20"/>
          <w:szCs w:val="20"/>
          <w:lang w:val="en-US" w:eastAsia="en-US" w:bidi="en-US"/>
        </w:rPr>
        <w:t>In this sense</w:t>
      </w:r>
      <w:r w:rsidR="004367F6" w:rsidRPr="00012C3F">
        <w:rPr>
          <w:rFonts w:eastAsia="MS Mincho"/>
          <w:sz w:val="20"/>
          <w:szCs w:val="20"/>
          <w:lang w:val="en-US" w:eastAsia="en-US" w:bidi="en-US"/>
        </w:rPr>
        <w:t xml:space="preserve">, </w:t>
      </w:r>
      <w:r w:rsidR="001254DE" w:rsidRPr="00012C3F">
        <w:rPr>
          <w:rFonts w:eastAsia="MS Mincho"/>
          <w:sz w:val="20"/>
          <w:szCs w:val="20"/>
          <w:lang w:val="en-US" w:eastAsia="en-US" w:bidi="en-US"/>
        </w:rPr>
        <w:t>the Court</w:t>
      </w:r>
      <w:r w:rsidR="00832D31" w:rsidRPr="00012C3F">
        <w:rPr>
          <w:rFonts w:eastAsia="MS Mincho"/>
          <w:sz w:val="20"/>
          <w:szCs w:val="20"/>
          <w:lang w:val="en-US" w:eastAsia="en-US" w:bidi="en-US"/>
        </w:rPr>
        <w:t xml:space="preserve"> </w:t>
      </w:r>
      <w:r w:rsidRPr="00012C3F">
        <w:rPr>
          <w:rFonts w:eastAsia="MS Mincho"/>
          <w:sz w:val="20"/>
          <w:szCs w:val="20"/>
          <w:lang w:val="en-US" w:eastAsia="en-US" w:bidi="en-US"/>
        </w:rPr>
        <w:t>understands that the</w:t>
      </w:r>
      <w:r w:rsidR="00832D31" w:rsidRPr="00012C3F">
        <w:rPr>
          <w:rFonts w:eastAsia="MS Mincho"/>
          <w:sz w:val="20"/>
          <w:szCs w:val="20"/>
          <w:lang w:val="en-US" w:eastAsia="en-US" w:bidi="en-US"/>
        </w:rPr>
        <w:t xml:space="preserve"> </w:t>
      </w:r>
      <w:r w:rsidR="00AC0004" w:rsidRPr="00012C3F">
        <w:rPr>
          <w:rFonts w:eastAsia="MS Mincho"/>
          <w:bCs/>
          <w:sz w:val="20"/>
          <w:szCs w:val="20"/>
          <w:lang w:val="en-US" w:eastAsia="en-US" w:bidi="en-US"/>
        </w:rPr>
        <w:t>informed consent</w:t>
      </w:r>
      <w:r w:rsidRPr="00012C3F">
        <w:rPr>
          <w:rFonts w:eastAsia="MS Mincho"/>
          <w:bCs/>
          <w:sz w:val="20"/>
          <w:szCs w:val="20"/>
          <w:lang w:val="en-US" w:eastAsia="en-US" w:bidi="en-US"/>
        </w:rPr>
        <w:t xml:space="preserve"> of the patient</w:t>
      </w:r>
      <w:r w:rsidR="00616DDA" w:rsidRPr="00012C3F">
        <w:rPr>
          <w:rFonts w:eastAsia="MS Mincho"/>
          <w:bCs/>
          <w:sz w:val="20"/>
          <w:szCs w:val="20"/>
          <w:lang w:val="en-US" w:eastAsia="en-US" w:bidi="en-US"/>
        </w:rPr>
        <w:t xml:space="preserve"> </w:t>
      </w:r>
      <w:r w:rsidRPr="00012C3F">
        <w:rPr>
          <w:rFonts w:cs="Arial"/>
          <w:sz w:val="20"/>
          <w:szCs w:val="20"/>
          <w:lang w:val="en-US"/>
        </w:rPr>
        <w:t xml:space="preserve">is a condition </w:t>
      </w:r>
      <w:r w:rsidRPr="00012C3F">
        <w:rPr>
          <w:rFonts w:cs="Arial"/>
          <w:i/>
          <w:iCs/>
          <w:sz w:val="20"/>
          <w:szCs w:val="20"/>
          <w:lang w:val="en-US"/>
        </w:rPr>
        <w:t>sine qua non</w:t>
      </w:r>
      <w:r w:rsidRPr="00012C3F">
        <w:rPr>
          <w:rFonts w:cs="Arial"/>
          <w:sz w:val="20"/>
          <w:szCs w:val="20"/>
          <w:lang w:val="en-US"/>
        </w:rPr>
        <w:t xml:space="preserve"> in medical practice, and is based on respect for the patients’ autonomy and freedom to take their own decisions in keeping with their life project. In other words, informed consent ensures the practical effects of the norm that recognizes autonomy as an essential element of the dignity of the person</w:t>
      </w:r>
    </w:p>
    <w:p w14:paraId="398FF87B" w14:textId="77777777" w:rsidR="00915C06" w:rsidRPr="00012C3F" w:rsidRDefault="00915C06" w:rsidP="00915C06">
      <w:pPr>
        <w:pStyle w:val="Prrafodelista"/>
        <w:rPr>
          <w:rFonts w:eastAsia="MS Mincho"/>
          <w:sz w:val="20"/>
          <w:szCs w:val="20"/>
          <w:lang w:val="en-US" w:eastAsia="en-US" w:bidi="en-US"/>
        </w:rPr>
      </w:pPr>
    </w:p>
    <w:p w14:paraId="633C5A9A" w14:textId="77777777" w:rsidR="00CB2028" w:rsidRPr="00012C3F" w:rsidRDefault="004B5F0E" w:rsidP="00915C06">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cs="Arial"/>
          <w:sz w:val="20"/>
          <w:szCs w:val="20"/>
          <w:lang w:val="en-US"/>
        </w:rPr>
        <w:t xml:space="preserve">In this context, the special relationship between </w:t>
      </w:r>
      <w:r w:rsidR="00D112BF" w:rsidRPr="00012C3F">
        <w:rPr>
          <w:rFonts w:cs="Arial"/>
          <w:sz w:val="20"/>
          <w:szCs w:val="20"/>
          <w:lang w:val="en-US"/>
        </w:rPr>
        <w:t>doctor</w:t>
      </w:r>
      <w:r w:rsidRPr="00012C3F">
        <w:rPr>
          <w:rFonts w:cs="Arial"/>
          <w:sz w:val="20"/>
          <w:szCs w:val="20"/>
          <w:lang w:val="en-US"/>
        </w:rPr>
        <w:t xml:space="preserve"> and patient </w:t>
      </w:r>
      <w:r w:rsidR="00D112BF" w:rsidRPr="00012C3F">
        <w:rPr>
          <w:rFonts w:cs="Arial"/>
          <w:sz w:val="20"/>
          <w:szCs w:val="20"/>
          <w:lang w:val="en-US"/>
        </w:rPr>
        <w:t>acquires</w:t>
      </w:r>
      <w:r w:rsidRPr="00012C3F">
        <w:rPr>
          <w:rFonts w:cs="Arial"/>
          <w:sz w:val="20"/>
          <w:szCs w:val="20"/>
          <w:lang w:val="en-US"/>
        </w:rPr>
        <w:t xml:space="preserve"> special relevance. However, the Court notes that this relationship is characterized by</w:t>
      </w:r>
      <w:r w:rsidR="00D112BF" w:rsidRPr="00012C3F">
        <w:rPr>
          <w:rFonts w:cs="Arial"/>
          <w:sz w:val="20"/>
          <w:szCs w:val="20"/>
          <w:lang w:val="en-US"/>
        </w:rPr>
        <w:t xml:space="preserve"> the</w:t>
      </w:r>
      <w:r w:rsidRPr="00012C3F">
        <w:rPr>
          <w:rFonts w:cs="Arial"/>
          <w:sz w:val="20"/>
          <w:szCs w:val="20"/>
          <w:lang w:val="en-US"/>
        </w:rPr>
        <w:t xml:space="preserve"> asymmetry in the exercise of power </w:t>
      </w:r>
      <w:r w:rsidR="00D112BF" w:rsidRPr="00012C3F">
        <w:rPr>
          <w:rFonts w:cs="Arial"/>
          <w:sz w:val="20"/>
          <w:szCs w:val="20"/>
          <w:lang w:val="en-US"/>
        </w:rPr>
        <w:t>by</w:t>
      </w:r>
      <w:r w:rsidRPr="00012C3F">
        <w:rPr>
          <w:rFonts w:cs="Arial"/>
          <w:sz w:val="20"/>
          <w:szCs w:val="20"/>
          <w:lang w:val="en-US"/>
        </w:rPr>
        <w:t xml:space="preserve"> the </w:t>
      </w:r>
      <w:r w:rsidR="00467311" w:rsidRPr="00012C3F">
        <w:rPr>
          <w:rFonts w:cs="Arial"/>
          <w:sz w:val="20"/>
          <w:szCs w:val="20"/>
          <w:lang w:val="en-US"/>
        </w:rPr>
        <w:t>physician</w:t>
      </w:r>
      <w:r w:rsidRPr="00012C3F">
        <w:rPr>
          <w:rFonts w:cs="Arial"/>
          <w:sz w:val="20"/>
          <w:szCs w:val="20"/>
          <w:lang w:val="en-US"/>
        </w:rPr>
        <w:t xml:space="preserve"> based on his special professional knowledge and</w:t>
      </w:r>
      <w:r w:rsidR="00D112BF" w:rsidRPr="00012C3F">
        <w:rPr>
          <w:rFonts w:cs="Arial"/>
          <w:sz w:val="20"/>
          <w:szCs w:val="20"/>
          <w:lang w:val="en-US"/>
        </w:rPr>
        <w:t xml:space="preserve"> </w:t>
      </w:r>
      <w:r w:rsidRPr="00012C3F">
        <w:rPr>
          <w:rFonts w:cs="Arial"/>
          <w:sz w:val="20"/>
          <w:szCs w:val="20"/>
          <w:lang w:val="en-US"/>
        </w:rPr>
        <w:t xml:space="preserve">control of information. This differentiated power is regulated by certain principles of medical ethics; above all, the principles of the patient’s autonomy, </w:t>
      </w:r>
      <w:r w:rsidR="009D3EE9" w:rsidRPr="00012C3F">
        <w:rPr>
          <w:rFonts w:cs="Arial"/>
          <w:sz w:val="20"/>
          <w:szCs w:val="20"/>
          <w:lang w:val="en-US"/>
        </w:rPr>
        <w:t>beneficence</w:t>
      </w:r>
      <w:r w:rsidRPr="00012C3F">
        <w:rPr>
          <w:rFonts w:cs="Arial"/>
          <w:sz w:val="20"/>
          <w:szCs w:val="20"/>
          <w:lang w:val="en-US"/>
        </w:rPr>
        <w:t xml:space="preserve"> and not maleficence, and justice. Given that the </w:t>
      </w:r>
      <w:r w:rsidR="00467311" w:rsidRPr="00012C3F">
        <w:rPr>
          <w:rFonts w:cs="Arial"/>
          <w:sz w:val="20"/>
          <w:szCs w:val="20"/>
          <w:lang w:val="en-US"/>
        </w:rPr>
        <w:t>physician</w:t>
      </w:r>
      <w:r w:rsidRPr="00012C3F">
        <w:rPr>
          <w:rFonts w:cs="Arial"/>
          <w:sz w:val="20"/>
          <w:szCs w:val="20"/>
          <w:lang w:val="en-US"/>
        </w:rPr>
        <w:t xml:space="preserve"> is a person who also acts on the basis of his own convictions and preferences, it is </w:t>
      </w:r>
      <w:r w:rsidRPr="00012C3F">
        <w:rPr>
          <w:rFonts w:cs="Arial"/>
          <w:sz w:val="20"/>
          <w:szCs w:val="20"/>
          <w:lang w:val="en-US"/>
        </w:rPr>
        <w:lastRenderedPageBreak/>
        <w:t xml:space="preserve">plausible that some of his actions may run counter to the life project of his patients. </w:t>
      </w:r>
      <w:r w:rsidRPr="00012C3F">
        <w:rPr>
          <w:rFonts w:eastAsia="MS Mincho"/>
          <w:sz w:val="20"/>
          <w:szCs w:val="20"/>
          <w:lang w:val="en-US" w:eastAsia="en-US" w:bidi="en-US"/>
        </w:rPr>
        <w:t>In this regard</w:t>
      </w:r>
      <w:r w:rsidR="008F7091" w:rsidRPr="00012C3F">
        <w:rPr>
          <w:rFonts w:eastAsia="MS Mincho"/>
          <w:sz w:val="20"/>
          <w:szCs w:val="20"/>
          <w:lang w:val="en-US" w:eastAsia="en-US" w:bidi="en-US"/>
        </w:rPr>
        <w:t xml:space="preserve">, </w:t>
      </w:r>
      <w:r w:rsidR="001254DE" w:rsidRPr="00012C3F">
        <w:rPr>
          <w:rFonts w:eastAsia="MS Mincho"/>
          <w:sz w:val="20"/>
          <w:szCs w:val="20"/>
          <w:lang w:val="en-US" w:eastAsia="en-US" w:bidi="en-US"/>
        </w:rPr>
        <w:t>the Court</w:t>
      </w:r>
      <w:r w:rsidR="008F7091" w:rsidRPr="00012C3F">
        <w:rPr>
          <w:rFonts w:eastAsia="MS Mincho"/>
          <w:sz w:val="20"/>
          <w:szCs w:val="20"/>
          <w:lang w:val="en-US" w:eastAsia="en-US" w:bidi="en-US"/>
        </w:rPr>
        <w:t xml:space="preserve"> not</w:t>
      </w:r>
      <w:r w:rsidRPr="00012C3F">
        <w:rPr>
          <w:rFonts w:eastAsia="MS Mincho"/>
          <w:sz w:val="20"/>
          <w:szCs w:val="20"/>
          <w:lang w:val="en-US" w:eastAsia="en-US" w:bidi="en-US"/>
        </w:rPr>
        <w:t xml:space="preserve">es that the World Medical Association’s 1981 Lisbon Declaration on the Rights of the Patient, which is the first declaration that sets out general rules for </w:t>
      </w:r>
      <w:r w:rsidR="00467311" w:rsidRPr="00012C3F">
        <w:rPr>
          <w:rFonts w:eastAsia="MS Mincho"/>
          <w:sz w:val="20"/>
          <w:szCs w:val="20"/>
          <w:lang w:val="en-US" w:eastAsia="en-US" w:bidi="en-US"/>
        </w:rPr>
        <w:t>physician</w:t>
      </w:r>
      <w:r w:rsidRPr="00012C3F">
        <w:rPr>
          <w:rFonts w:eastAsia="MS Mincho"/>
          <w:sz w:val="20"/>
          <w:szCs w:val="20"/>
          <w:lang w:val="en-US" w:eastAsia="en-US" w:bidi="en-US"/>
        </w:rPr>
        <w:t xml:space="preserve">-patient relations and, specifically, the rights of patients, starts out by indicating that </w:t>
      </w:r>
      <w:r w:rsidR="00915C06" w:rsidRPr="00012C3F">
        <w:rPr>
          <w:rFonts w:eastAsia="MS Mincho"/>
          <w:sz w:val="20"/>
          <w:szCs w:val="20"/>
          <w:lang w:val="en-US" w:eastAsia="en-US" w:bidi="en-US"/>
        </w:rPr>
        <w:t>[w]hile a physician should always act according to his/her conscience, and always in the best interests of the patient,</w:t>
      </w:r>
      <w:r w:rsidR="005813EC" w:rsidRPr="00012C3F">
        <w:rPr>
          <w:rFonts w:eastAsia="MS Mincho" w:cs="Arial"/>
          <w:sz w:val="20"/>
          <w:szCs w:val="20"/>
          <w:shd w:val="clear" w:color="auto" w:fill="FFFFFF"/>
          <w:lang w:val="en-US" w:eastAsia="en-US" w:bidi="en-US"/>
        </w:rPr>
        <w:t>[</w:t>
      </w:r>
      <w:r w:rsidR="002A188F" w:rsidRPr="00012C3F">
        <w:rPr>
          <w:rFonts w:eastAsia="MS Mincho" w:cs="Arial"/>
          <w:sz w:val="20"/>
          <w:szCs w:val="20"/>
          <w:shd w:val="clear" w:color="auto" w:fill="FFFFFF"/>
          <w:vertAlign w:val="superscript"/>
          <w:lang w:val="en-US" w:eastAsia="en-US" w:bidi="en-US"/>
        </w:rPr>
        <w:footnoteReference w:id="193"/>
      </w:r>
      <w:r w:rsidR="005813EC" w:rsidRPr="00012C3F">
        <w:rPr>
          <w:rFonts w:eastAsia="MS Mincho" w:cs="Arial"/>
          <w:sz w:val="20"/>
          <w:szCs w:val="20"/>
          <w:shd w:val="clear" w:color="auto" w:fill="FFFFFF"/>
          <w:lang w:val="en-US" w:eastAsia="en-US" w:bidi="en-US"/>
        </w:rPr>
        <w:t>]</w:t>
      </w:r>
      <w:r w:rsidR="002A188F" w:rsidRPr="00012C3F">
        <w:rPr>
          <w:rFonts w:eastAsia="MS Mincho" w:cs="Arial"/>
          <w:sz w:val="20"/>
          <w:szCs w:val="20"/>
          <w:shd w:val="clear" w:color="auto" w:fill="FFFFFF"/>
          <w:lang w:val="en-US" w:eastAsia="en-US" w:bidi="en-US"/>
        </w:rPr>
        <w:t xml:space="preserve"> </w:t>
      </w:r>
      <w:r w:rsidR="00915C06" w:rsidRPr="00012C3F">
        <w:rPr>
          <w:sz w:val="20"/>
          <w:szCs w:val="20"/>
          <w:lang w:val="en-US"/>
        </w:rPr>
        <w:t>equal effort must be made to guarantee patient autonomy and justice.</w:t>
      </w:r>
      <w:r w:rsidR="00915C06" w:rsidRPr="00012C3F">
        <w:rPr>
          <w:rFonts w:eastAsia="MS Mincho" w:cs="Arial"/>
          <w:sz w:val="20"/>
          <w:szCs w:val="20"/>
          <w:shd w:val="clear" w:color="auto" w:fill="FFFFFF"/>
          <w:lang w:val="en-US" w:eastAsia="en-US" w:bidi="en-US"/>
        </w:rPr>
        <w:t xml:space="preserve"> </w:t>
      </w:r>
      <w:r w:rsidR="002A188F" w:rsidRPr="00012C3F">
        <w:rPr>
          <w:rFonts w:eastAsia="MS Mincho" w:cs="Arial"/>
          <w:sz w:val="20"/>
          <w:szCs w:val="20"/>
          <w:shd w:val="clear" w:color="auto" w:fill="FFFFFF"/>
          <w:lang w:val="en-US" w:eastAsia="en-US" w:bidi="en-US"/>
        </w:rPr>
        <w:t>[…]</w:t>
      </w:r>
      <w:r w:rsidR="00915C06" w:rsidRPr="00012C3F">
        <w:rPr>
          <w:rFonts w:eastAsia="MS Mincho" w:cs="Arial"/>
          <w:sz w:val="20"/>
          <w:szCs w:val="20"/>
          <w:shd w:val="clear" w:color="auto" w:fill="FFFFFF"/>
          <w:lang w:val="en-US" w:eastAsia="en-US" w:bidi="en-US"/>
        </w:rPr>
        <w:t>.</w:t>
      </w:r>
      <w:r w:rsidR="002A188F" w:rsidRPr="00012C3F">
        <w:rPr>
          <w:rFonts w:eastAsia="MS Mincho" w:cs="Arial"/>
          <w:sz w:val="20"/>
          <w:szCs w:val="20"/>
          <w:shd w:val="clear" w:color="auto" w:fill="FFFFFF"/>
          <w:lang w:val="en-US" w:eastAsia="en-US" w:bidi="en-US"/>
        </w:rPr>
        <w:t xml:space="preserve">” </w:t>
      </w:r>
      <w:r w:rsidR="00915C06" w:rsidRPr="00012C3F">
        <w:rPr>
          <w:rFonts w:eastAsia="MS Mincho" w:cs="Arial"/>
          <w:sz w:val="20"/>
          <w:szCs w:val="20"/>
          <w:shd w:val="clear" w:color="auto" w:fill="FFFFFF"/>
          <w:lang w:val="en-US" w:eastAsia="en-US" w:bidi="en-US"/>
        </w:rPr>
        <w:t xml:space="preserve">Therefore, </w:t>
      </w:r>
      <w:r w:rsidR="00915C06" w:rsidRPr="00012C3F">
        <w:rPr>
          <w:rFonts w:cs="Arial"/>
          <w:sz w:val="20"/>
          <w:szCs w:val="20"/>
          <w:lang w:val="en-US"/>
        </w:rPr>
        <w:t>the principle of autonomy acquires vital importance in the sphere of health, as a rule that establishes an adequate balance between the beneficial medical action and the power of decision that the patient, as an autonomous moral subject, retains in order to avoid actions of a paternalistic nature in which patients are instrumentalized to avoid harm to their health.</w:t>
      </w:r>
    </w:p>
    <w:p w14:paraId="1D6CB092" w14:textId="77777777" w:rsidR="00CB2028" w:rsidRPr="00012C3F" w:rsidRDefault="00CB2028" w:rsidP="00CB2028">
      <w:pPr>
        <w:tabs>
          <w:tab w:val="left" w:pos="567"/>
        </w:tabs>
        <w:spacing w:line="240" w:lineRule="auto"/>
        <w:rPr>
          <w:rFonts w:eastAsia="MS Mincho"/>
          <w:sz w:val="20"/>
          <w:szCs w:val="20"/>
          <w:lang w:val="en-US" w:eastAsia="en-US" w:bidi="en-US"/>
        </w:rPr>
      </w:pPr>
    </w:p>
    <w:p w14:paraId="6DBE96B8" w14:textId="77777777" w:rsidR="00A37590" w:rsidRPr="00012C3F" w:rsidRDefault="006270A9" w:rsidP="006270A9">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cs="Arial"/>
          <w:sz w:val="20"/>
          <w:szCs w:val="20"/>
          <w:lang w:val="en-US"/>
        </w:rPr>
        <w:t xml:space="preserve">The Court notes that, in the practice of medicine, recognition of informed consent as an expression of the autonomy of the individual in the sphere of health has signified a paradigm shift in the </w:t>
      </w:r>
      <w:r w:rsidR="00467311" w:rsidRPr="00012C3F">
        <w:rPr>
          <w:rFonts w:cs="Arial"/>
          <w:sz w:val="20"/>
          <w:szCs w:val="20"/>
          <w:lang w:val="en-US"/>
        </w:rPr>
        <w:t>physician</w:t>
      </w:r>
      <w:r w:rsidRPr="00012C3F">
        <w:rPr>
          <w:rFonts w:cs="Arial"/>
          <w:sz w:val="20"/>
          <w:szCs w:val="20"/>
          <w:lang w:val="en-US"/>
        </w:rPr>
        <w:t>-patient relationship, because the model of informed and free decision-making has evolved to focus on a participatory process with the patient, rather than the former paternalistic model where the physician, as the expert in the matter, was the one who decided what was best for the person who needed a particular treatment. From this perspective,</w:t>
      </w:r>
      <w:r w:rsidR="00467311" w:rsidRPr="00012C3F">
        <w:rPr>
          <w:rFonts w:cs="Arial"/>
          <w:sz w:val="20"/>
          <w:szCs w:val="20"/>
          <w:lang w:val="en-US"/>
        </w:rPr>
        <w:t xml:space="preserve"> </w:t>
      </w:r>
      <w:r w:rsidRPr="00012C3F">
        <w:rPr>
          <w:rFonts w:cs="Arial"/>
          <w:sz w:val="20"/>
          <w:szCs w:val="20"/>
          <w:lang w:val="en-US"/>
        </w:rPr>
        <w:t>patient</w:t>
      </w:r>
      <w:r w:rsidR="00467311" w:rsidRPr="00012C3F">
        <w:rPr>
          <w:rFonts w:cs="Arial"/>
          <w:sz w:val="20"/>
          <w:szCs w:val="20"/>
          <w:lang w:val="en-US"/>
        </w:rPr>
        <w:t>s are</w:t>
      </w:r>
      <w:r w:rsidRPr="00012C3F">
        <w:rPr>
          <w:rFonts w:cs="Arial"/>
          <w:sz w:val="20"/>
          <w:szCs w:val="20"/>
          <w:lang w:val="en-US"/>
        </w:rPr>
        <w:t xml:space="preserve"> empowered and collaborate with the physician as the main actor in the decisions that must be taken with regard to their bodies and health, rather than the passive subject</w:t>
      </w:r>
      <w:r w:rsidR="00467311" w:rsidRPr="00012C3F">
        <w:rPr>
          <w:rFonts w:cs="Arial"/>
          <w:sz w:val="20"/>
          <w:szCs w:val="20"/>
          <w:lang w:val="en-US"/>
        </w:rPr>
        <w:t>s</w:t>
      </w:r>
      <w:r w:rsidRPr="00012C3F">
        <w:rPr>
          <w:rFonts w:cs="Arial"/>
          <w:sz w:val="20"/>
          <w:szCs w:val="20"/>
          <w:lang w:val="en-US"/>
        </w:rPr>
        <w:t xml:space="preserve"> of this relationship. The patient is free to choose alternatives that physicians may consider contrary to their advice, and this is the most evident expression of respect for autonomy in the sphere of medicine. This paradigm shift is reflected in various international instruments which refer to the right of the patient to freely accede to a beneficial medical act or allow it to be performed, without any type of violence, coercion or discrimination, after having received appropriate and timely information prior to taking the </w:t>
      </w:r>
      <w:r w:rsidR="009D3EE9" w:rsidRPr="00012C3F">
        <w:rPr>
          <w:rFonts w:cs="Arial"/>
          <w:sz w:val="20"/>
          <w:szCs w:val="20"/>
          <w:lang w:val="en-US"/>
        </w:rPr>
        <w:t>decision</w:t>
      </w:r>
      <w:r w:rsidR="00A52E82" w:rsidRPr="00012C3F">
        <w:rPr>
          <w:rFonts w:eastAsia="MS Mincho"/>
          <w:bCs/>
          <w:sz w:val="20"/>
          <w:szCs w:val="20"/>
          <w:lang w:val="en-US" w:eastAsia="en-US" w:bidi="en-US"/>
        </w:rPr>
        <w:t>.</w:t>
      </w:r>
    </w:p>
    <w:p w14:paraId="43A90E33" w14:textId="77777777" w:rsidR="00A37590" w:rsidRPr="00012C3F" w:rsidRDefault="00A37590" w:rsidP="00A37590">
      <w:pPr>
        <w:tabs>
          <w:tab w:val="left" w:pos="567"/>
        </w:tabs>
        <w:spacing w:line="240" w:lineRule="auto"/>
        <w:rPr>
          <w:rFonts w:eastAsia="MS Mincho"/>
          <w:sz w:val="20"/>
          <w:szCs w:val="20"/>
          <w:lang w:val="en-US" w:eastAsia="en-US" w:bidi="en-US"/>
        </w:rPr>
      </w:pPr>
    </w:p>
    <w:p w14:paraId="47929005" w14:textId="77777777" w:rsidR="00F15CDC" w:rsidRPr="00012C3F" w:rsidRDefault="006270A9" w:rsidP="00936568">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cs="Arial"/>
          <w:sz w:val="20"/>
          <w:szCs w:val="20"/>
          <w:lang w:val="en-US"/>
        </w:rPr>
        <w:t xml:space="preserve">Based on the foregoing, the Court considers that informed consent with regard to the pertinence of a medical intervention with permanent consequences on the reproductive apparatus, such as tubal ligation, belongs to the sphere of </w:t>
      </w:r>
      <w:r w:rsidR="00467311" w:rsidRPr="00012C3F">
        <w:rPr>
          <w:rFonts w:cs="Arial"/>
          <w:sz w:val="20"/>
          <w:szCs w:val="20"/>
          <w:lang w:val="en-US"/>
        </w:rPr>
        <w:t xml:space="preserve">the </w:t>
      </w:r>
      <w:r w:rsidRPr="00012C3F">
        <w:rPr>
          <w:rFonts w:cs="Arial"/>
          <w:sz w:val="20"/>
          <w:szCs w:val="20"/>
          <w:lang w:val="en-US"/>
        </w:rPr>
        <w:t>autonomy and private life of a woman who can freely choose the life project that she considers most appropriate; in particular, whether or not she desires to retain her reproductive ability, the number of children she wishes to have, and the spacing between them</w:t>
      </w:r>
    </w:p>
    <w:p w14:paraId="5CABF352" w14:textId="77777777" w:rsidR="00F15CDC" w:rsidRPr="00012C3F" w:rsidRDefault="00F15CDC" w:rsidP="00936568">
      <w:pPr>
        <w:tabs>
          <w:tab w:val="left" w:pos="567"/>
          <w:tab w:val="left" w:pos="720"/>
        </w:tabs>
        <w:spacing w:line="240" w:lineRule="auto"/>
        <w:rPr>
          <w:sz w:val="20"/>
          <w:szCs w:val="20"/>
          <w:lang w:val="en-US"/>
        </w:rPr>
      </w:pPr>
    </w:p>
    <w:p w14:paraId="4BA27305" w14:textId="77777777" w:rsidR="006F28E9" w:rsidRPr="00012C3F" w:rsidRDefault="001254DE" w:rsidP="00936568">
      <w:pPr>
        <w:numPr>
          <w:ilvl w:val="0"/>
          <w:numId w:val="5"/>
        </w:numPr>
        <w:tabs>
          <w:tab w:val="left" w:pos="720"/>
          <w:tab w:val="num" w:pos="12305"/>
        </w:tabs>
        <w:spacing w:line="240" w:lineRule="auto"/>
        <w:ind w:left="0" w:firstLine="0"/>
        <w:rPr>
          <w:b/>
          <w:i/>
          <w:sz w:val="20"/>
          <w:szCs w:val="20"/>
          <w:lang w:val="en-US"/>
        </w:rPr>
      </w:pPr>
      <w:r w:rsidRPr="00012C3F">
        <w:rPr>
          <w:rFonts w:eastAsia="MS Mincho"/>
          <w:sz w:val="20"/>
          <w:szCs w:val="20"/>
          <w:lang w:val="en-US" w:eastAsia="en-US" w:bidi="en-US"/>
        </w:rPr>
        <w:t>The Court</w:t>
      </w:r>
      <w:r w:rsidR="00DB3AAC" w:rsidRPr="00012C3F">
        <w:rPr>
          <w:rFonts w:eastAsia="MS Mincho"/>
          <w:sz w:val="20"/>
          <w:szCs w:val="20"/>
          <w:lang w:val="en-US" w:eastAsia="en-US" w:bidi="en-US"/>
        </w:rPr>
        <w:t xml:space="preserve"> </w:t>
      </w:r>
      <w:r w:rsidR="006F28E9" w:rsidRPr="00012C3F">
        <w:rPr>
          <w:rFonts w:cs="Arial"/>
          <w:sz w:val="20"/>
          <w:szCs w:val="20"/>
          <w:lang w:val="en-US"/>
        </w:rPr>
        <w:t xml:space="preserve">considers that the obligation to obtain informed consent </w:t>
      </w:r>
      <w:r w:rsidR="00467311" w:rsidRPr="00012C3F">
        <w:rPr>
          <w:rFonts w:cs="Arial"/>
          <w:sz w:val="20"/>
          <w:szCs w:val="20"/>
          <w:lang w:val="en-US"/>
        </w:rPr>
        <w:t>signifies</w:t>
      </w:r>
      <w:r w:rsidR="006F28E9" w:rsidRPr="00012C3F">
        <w:rPr>
          <w:rFonts w:cs="Arial"/>
          <w:sz w:val="20"/>
          <w:szCs w:val="20"/>
          <w:lang w:val="en-US"/>
        </w:rPr>
        <w:t xml:space="preserve"> establishing limits to </w:t>
      </w:r>
      <w:r w:rsidR="004914D2" w:rsidRPr="00012C3F">
        <w:rPr>
          <w:rFonts w:cs="Arial"/>
          <w:sz w:val="20"/>
          <w:szCs w:val="20"/>
          <w:lang w:val="en-US"/>
        </w:rPr>
        <w:t>medical intervention</w:t>
      </w:r>
      <w:r w:rsidR="006F28E9" w:rsidRPr="00012C3F">
        <w:rPr>
          <w:rFonts w:cs="Arial"/>
          <w:sz w:val="20"/>
          <w:szCs w:val="20"/>
          <w:lang w:val="en-US"/>
        </w:rPr>
        <w:t xml:space="preserve"> and guaranteeing that those limits are adequate and effective in the practice, so that neither the State, nor third parties, especially the medical community, may arbitrarily interfere in the sphere of personal integrity or privacy of the individual, especially as regards access to health services and, in the case of women, family planning </w:t>
      </w:r>
      <w:r w:rsidR="00467311" w:rsidRPr="00012C3F">
        <w:rPr>
          <w:rFonts w:cs="Arial"/>
          <w:sz w:val="20"/>
          <w:szCs w:val="20"/>
          <w:lang w:val="en-US"/>
        </w:rPr>
        <w:t xml:space="preserve">and other </w:t>
      </w:r>
      <w:r w:rsidR="006F28E9" w:rsidRPr="00012C3F">
        <w:rPr>
          <w:rFonts w:cs="Arial"/>
          <w:sz w:val="20"/>
          <w:szCs w:val="20"/>
          <w:lang w:val="en-US"/>
        </w:rPr>
        <w:t>services related to sexual and reproductive health.</w:t>
      </w:r>
      <w:r w:rsidR="006F28E9" w:rsidRPr="00012C3F">
        <w:rPr>
          <w:b/>
          <w:i/>
          <w:sz w:val="20"/>
          <w:szCs w:val="20"/>
          <w:lang w:val="en-US"/>
        </w:rPr>
        <w:t xml:space="preserve"> </w:t>
      </w:r>
      <w:r w:rsidR="006F28E9" w:rsidRPr="00012C3F">
        <w:rPr>
          <w:rFonts w:cs="Arial"/>
          <w:sz w:val="20"/>
          <w:szCs w:val="20"/>
          <w:lang w:val="en-US"/>
        </w:rPr>
        <w:t xml:space="preserve">Similarly, the rule of informed consent relates to the right of access to information on health matters, because patients can only give their informed consent if they have received and understood sufficient information that allows them to take a considered decision. Consequently, in the area of health, the Court reiterates the instrumental nature of the right of access to information, because it </w:t>
      </w:r>
      <w:r w:rsidR="00467311" w:rsidRPr="00012C3F">
        <w:rPr>
          <w:rFonts w:cs="Arial"/>
          <w:sz w:val="20"/>
          <w:szCs w:val="20"/>
          <w:lang w:val="en-US"/>
        </w:rPr>
        <w:t>i</w:t>
      </w:r>
      <w:r w:rsidR="006F28E9" w:rsidRPr="00012C3F">
        <w:rPr>
          <w:rFonts w:cs="Arial"/>
          <w:sz w:val="20"/>
          <w:szCs w:val="20"/>
          <w:lang w:val="en-US"/>
        </w:rPr>
        <w:t xml:space="preserve">s an essential means to obtain informed consent and, thus, </w:t>
      </w:r>
      <w:r w:rsidR="00467311" w:rsidRPr="00012C3F">
        <w:rPr>
          <w:rFonts w:cs="Arial"/>
          <w:sz w:val="20"/>
          <w:szCs w:val="20"/>
          <w:lang w:val="en-US"/>
        </w:rPr>
        <w:t>to</w:t>
      </w:r>
      <w:r w:rsidR="006F28E9" w:rsidRPr="00012C3F">
        <w:rPr>
          <w:rFonts w:cs="Arial"/>
          <w:sz w:val="20"/>
          <w:szCs w:val="20"/>
          <w:lang w:val="en-US"/>
        </w:rPr>
        <w:t xml:space="preserve"> realiz</w:t>
      </w:r>
      <w:r w:rsidR="00467311" w:rsidRPr="00012C3F">
        <w:rPr>
          <w:rFonts w:cs="Arial"/>
          <w:sz w:val="20"/>
          <w:szCs w:val="20"/>
          <w:lang w:val="en-US"/>
        </w:rPr>
        <w:t>e</w:t>
      </w:r>
      <w:r w:rsidR="006F28E9" w:rsidRPr="00012C3F">
        <w:rPr>
          <w:rFonts w:cs="Arial"/>
          <w:sz w:val="20"/>
          <w:szCs w:val="20"/>
          <w:lang w:val="en-US"/>
        </w:rPr>
        <w:t xml:space="preserve"> the right to autonomy and liberty as regards reproductive health.</w:t>
      </w:r>
    </w:p>
    <w:p w14:paraId="322365AD" w14:textId="77777777" w:rsidR="000C54B0" w:rsidRPr="00012C3F" w:rsidRDefault="000C54B0" w:rsidP="00936568">
      <w:pPr>
        <w:tabs>
          <w:tab w:val="left" w:pos="567"/>
          <w:tab w:val="left" w:pos="720"/>
        </w:tabs>
        <w:spacing w:line="240" w:lineRule="auto"/>
        <w:rPr>
          <w:sz w:val="20"/>
          <w:szCs w:val="20"/>
          <w:lang w:val="en-US"/>
        </w:rPr>
      </w:pPr>
    </w:p>
    <w:p w14:paraId="1300760B" w14:textId="77777777" w:rsidR="00DB3AAC" w:rsidRPr="00012C3F" w:rsidRDefault="006F28E9" w:rsidP="00936568">
      <w:pPr>
        <w:numPr>
          <w:ilvl w:val="0"/>
          <w:numId w:val="5"/>
        </w:numPr>
        <w:tabs>
          <w:tab w:val="left" w:pos="720"/>
          <w:tab w:val="num" w:pos="12305"/>
        </w:tabs>
        <w:spacing w:line="240" w:lineRule="auto"/>
        <w:ind w:left="0" w:firstLine="0"/>
        <w:rPr>
          <w:b/>
          <w:i/>
          <w:sz w:val="20"/>
          <w:szCs w:val="20"/>
          <w:lang w:val="en-US"/>
        </w:rPr>
      </w:pPr>
      <w:r w:rsidRPr="00012C3F">
        <w:rPr>
          <w:rFonts w:cs="Arial"/>
          <w:sz w:val="20"/>
          <w:szCs w:val="20"/>
          <w:lang w:val="en-US"/>
        </w:rPr>
        <w:t xml:space="preserve">From the point of view of international law, informed consent is an obligation that has been established when developing the human rights of patients. It is both a legal and an ethical obligation of health personnel, who must consider it an element of medical expertise and good </w:t>
      </w:r>
      <w:r w:rsidRPr="00012C3F">
        <w:rPr>
          <w:rFonts w:cs="Arial"/>
          <w:sz w:val="20"/>
          <w:szCs w:val="20"/>
          <w:lang w:val="en-US"/>
        </w:rPr>
        <w:lastRenderedPageBreak/>
        <w:t>practice (</w:t>
      </w:r>
      <w:r w:rsidRPr="00012C3F">
        <w:rPr>
          <w:rFonts w:cs="Arial"/>
          <w:i/>
          <w:iCs/>
          <w:sz w:val="20"/>
          <w:szCs w:val="20"/>
          <w:lang w:val="en-US"/>
        </w:rPr>
        <w:t>lex artis</w:t>
      </w:r>
      <w:r w:rsidRPr="00012C3F">
        <w:rPr>
          <w:rFonts w:cs="Arial"/>
          <w:sz w:val="20"/>
          <w:szCs w:val="20"/>
          <w:lang w:val="en-US"/>
        </w:rPr>
        <w:t>) in order to ensure accessible and acceptable health services.</w:t>
      </w:r>
      <w:r w:rsidR="005D64A7" w:rsidRPr="00012C3F">
        <w:rPr>
          <w:rStyle w:val="Refdenotaalpie"/>
          <w:rFonts w:eastAsia="MS Mincho"/>
          <w:sz w:val="20"/>
          <w:szCs w:val="20"/>
          <w:lang w:val="en-US" w:eastAsia="en-US" w:bidi="en-US"/>
        </w:rPr>
        <w:footnoteReference w:id="194"/>
      </w:r>
      <w:r w:rsidR="005A66B7" w:rsidRPr="00012C3F">
        <w:rPr>
          <w:rFonts w:eastAsia="MS Mincho"/>
          <w:sz w:val="20"/>
          <w:szCs w:val="20"/>
          <w:lang w:val="en-US" w:eastAsia="en-US" w:bidi="en-US"/>
        </w:rPr>
        <w:t xml:space="preserve"> </w:t>
      </w:r>
      <w:r w:rsidRPr="00012C3F">
        <w:rPr>
          <w:rFonts w:eastAsia="MS Mincho"/>
          <w:sz w:val="20"/>
          <w:szCs w:val="20"/>
          <w:lang w:val="en-US" w:eastAsia="en-US" w:bidi="en-US"/>
        </w:rPr>
        <w:t xml:space="preserve">The Court will now establish the elements of informed consent in force at the time of the facts of this case.  </w:t>
      </w:r>
    </w:p>
    <w:p w14:paraId="13BD2F75" w14:textId="77777777" w:rsidR="00DB3AAC" w:rsidRPr="00012C3F" w:rsidRDefault="00DB3AAC" w:rsidP="00936568">
      <w:pPr>
        <w:tabs>
          <w:tab w:val="left" w:pos="567"/>
          <w:tab w:val="left" w:pos="720"/>
        </w:tabs>
        <w:spacing w:line="240" w:lineRule="auto"/>
        <w:rPr>
          <w:sz w:val="20"/>
          <w:szCs w:val="20"/>
          <w:lang w:val="en-US"/>
        </w:rPr>
      </w:pPr>
    </w:p>
    <w:p w14:paraId="5BD25C77" w14:textId="77777777" w:rsidR="00632DC0" w:rsidRPr="00012C3F" w:rsidRDefault="00632DC0" w:rsidP="00936568">
      <w:pPr>
        <w:pStyle w:val="Ttulo2"/>
        <w:tabs>
          <w:tab w:val="left" w:pos="720"/>
          <w:tab w:val="left" w:pos="1701"/>
        </w:tabs>
        <w:spacing w:before="0" w:line="240" w:lineRule="auto"/>
        <w:ind w:left="1134"/>
        <w:rPr>
          <w:rFonts w:ascii="Verdana" w:hAnsi="Verdana"/>
          <w:b w:val="0"/>
          <w:i/>
          <w:color w:val="auto"/>
          <w:sz w:val="20"/>
          <w:szCs w:val="20"/>
          <w:lang w:val="en-US"/>
        </w:rPr>
      </w:pPr>
      <w:bookmarkStart w:id="134" w:name="_Toc27486863"/>
      <w:bookmarkEnd w:id="113"/>
      <w:bookmarkEnd w:id="133"/>
      <w:r w:rsidRPr="00012C3F">
        <w:rPr>
          <w:rFonts w:ascii="Verdana" w:hAnsi="Verdana"/>
          <w:b w:val="0"/>
          <w:i/>
          <w:color w:val="auto"/>
          <w:sz w:val="20"/>
          <w:szCs w:val="20"/>
          <w:lang w:val="en-US"/>
        </w:rPr>
        <w:t xml:space="preserve">B.2 </w:t>
      </w:r>
      <w:r w:rsidRPr="00012C3F">
        <w:rPr>
          <w:rFonts w:ascii="Verdana" w:hAnsi="Verdana"/>
          <w:b w:val="0"/>
          <w:i/>
          <w:color w:val="auto"/>
          <w:sz w:val="20"/>
          <w:szCs w:val="20"/>
          <w:lang w:val="en-US"/>
        </w:rPr>
        <w:tab/>
      </w:r>
      <w:r w:rsidR="006F28E9" w:rsidRPr="00012C3F">
        <w:rPr>
          <w:rFonts w:ascii="Verdana" w:hAnsi="Verdana"/>
          <w:b w:val="0"/>
          <w:i/>
          <w:color w:val="auto"/>
          <w:sz w:val="20"/>
          <w:szCs w:val="20"/>
          <w:lang w:val="en-US"/>
        </w:rPr>
        <w:t>Consent in international law, comparative law and jurisprudence</w:t>
      </w:r>
      <w:bookmarkEnd w:id="134"/>
    </w:p>
    <w:p w14:paraId="30322D94" w14:textId="77777777" w:rsidR="00632DC0" w:rsidRPr="00012C3F" w:rsidRDefault="00632DC0" w:rsidP="00936568">
      <w:pPr>
        <w:tabs>
          <w:tab w:val="left" w:pos="720"/>
        </w:tabs>
        <w:spacing w:line="240" w:lineRule="auto"/>
        <w:rPr>
          <w:sz w:val="20"/>
          <w:szCs w:val="20"/>
          <w:lang w:val="en-US"/>
        </w:rPr>
      </w:pPr>
    </w:p>
    <w:p w14:paraId="100B5345" w14:textId="77777777" w:rsidR="00737380" w:rsidRPr="00012C3F" w:rsidRDefault="001254DE" w:rsidP="00936568">
      <w:pPr>
        <w:widowControl/>
        <w:numPr>
          <w:ilvl w:val="0"/>
          <w:numId w:val="5"/>
        </w:numPr>
        <w:tabs>
          <w:tab w:val="left" w:pos="720"/>
          <w:tab w:val="num" w:pos="12305"/>
        </w:tabs>
        <w:adjustRightInd/>
        <w:spacing w:line="240" w:lineRule="auto"/>
        <w:ind w:left="0" w:right="-90" w:firstLine="0"/>
        <w:textAlignment w:val="auto"/>
        <w:rPr>
          <w:rFonts w:eastAsia="MS Mincho"/>
          <w:sz w:val="20"/>
          <w:szCs w:val="20"/>
          <w:lang w:val="en-US" w:eastAsia="en-US" w:bidi="en-US"/>
        </w:rPr>
      </w:pPr>
      <w:r w:rsidRPr="00012C3F">
        <w:rPr>
          <w:rFonts w:eastAsia="MS Mincho"/>
          <w:sz w:val="20"/>
          <w:szCs w:val="20"/>
          <w:lang w:val="en-US" w:eastAsia="en-US" w:bidi="en-US"/>
        </w:rPr>
        <w:t>The Court</w:t>
      </w:r>
      <w:r w:rsidR="00E17AF2" w:rsidRPr="00012C3F">
        <w:rPr>
          <w:rFonts w:eastAsia="MS Mincho"/>
          <w:sz w:val="20"/>
          <w:szCs w:val="20"/>
          <w:lang w:val="en-US" w:eastAsia="en-US" w:bidi="en-US"/>
        </w:rPr>
        <w:t xml:space="preserve"> </w:t>
      </w:r>
      <w:r w:rsidR="006F28E9" w:rsidRPr="00012C3F">
        <w:rPr>
          <w:rFonts w:eastAsia="MS Mincho"/>
          <w:sz w:val="20"/>
          <w:szCs w:val="20"/>
          <w:lang w:val="en-US" w:eastAsia="en-US" w:bidi="en-US"/>
        </w:rPr>
        <w:t>h</w:t>
      </w:r>
      <w:r w:rsidR="00E17AF2" w:rsidRPr="00012C3F">
        <w:rPr>
          <w:rFonts w:eastAsia="MS Mincho"/>
          <w:sz w:val="20"/>
          <w:szCs w:val="20"/>
          <w:lang w:val="en-US" w:eastAsia="en-US" w:bidi="en-US"/>
        </w:rPr>
        <w:t>a</w:t>
      </w:r>
      <w:r w:rsidR="006F28E9" w:rsidRPr="00012C3F">
        <w:rPr>
          <w:rFonts w:eastAsia="MS Mincho"/>
          <w:sz w:val="20"/>
          <w:szCs w:val="20"/>
          <w:lang w:val="en-US" w:eastAsia="en-US" w:bidi="en-US"/>
        </w:rPr>
        <w:t>s established that States have the international obligation to obtain</w:t>
      </w:r>
      <w:r w:rsidR="00E17AF2" w:rsidRPr="00012C3F">
        <w:rPr>
          <w:rFonts w:eastAsia="MS Mincho"/>
          <w:sz w:val="20"/>
          <w:szCs w:val="20"/>
          <w:lang w:val="en-US" w:eastAsia="en-US" w:bidi="en-US"/>
        </w:rPr>
        <w:t xml:space="preserve"> </w:t>
      </w:r>
      <w:r w:rsidR="00AC0004" w:rsidRPr="00012C3F">
        <w:rPr>
          <w:rFonts w:eastAsia="MS Mincho"/>
          <w:sz w:val="20"/>
          <w:szCs w:val="20"/>
          <w:lang w:val="en-US" w:eastAsia="en-US" w:bidi="en-US"/>
        </w:rPr>
        <w:t>informed consent</w:t>
      </w:r>
      <w:r w:rsidR="00E17AF2" w:rsidRPr="00012C3F">
        <w:rPr>
          <w:rFonts w:eastAsia="MS Mincho"/>
          <w:sz w:val="20"/>
          <w:szCs w:val="20"/>
          <w:lang w:val="en-US" w:eastAsia="en-US" w:bidi="en-US"/>
        </w:rPr>
        <w:t xml:space="preserve"> </w:t>
      </w:r>
      <w:r w:rsidR="006F28E9" w:rsidRPr="00012C3F">
        <w:rPr>
          <w:rFonts w:eastAsia="MS Mincho"/>
          <w:sz w:val="20"/>
          <w:szCs w:val="20"/>
          <w:lang w:val="en-US" w:eastAsia="en-US" w:bidi="en-US"/>
        </w:rPr>
        <w:t xml:space="preserve">before </w:t>
      </w:r>
      <w:r w:rsidR="00724EF4" w:rsidRPr="00012C3F">
        <w:rPr>
          <w:rFonts w:eastAsia="MS Mincho"/>
          <w:sz w:val="20"/>
          <w:szCs w:val="20"/>
          <w:lang w:val="en-US" w:eastAsia="en-US" w:bidi="en-US"/>
        </w:rPr>
        <w:t>performing</w:t>
      </w:r>
      <w:r w:rsidR="006F28E9" w:rsidRPr="00012C3F">
        <w:rPr>
          <w:rFonts w:eastAsia="MS Mincho"/>
          <w:sz w:val="20"/>
          <w:szCs w:val="20"/>
          <w:lang w:val="en-US" w:eastAsia="en-US" w:bidi="en-US"/>
        </w:rPr>
        <w:t xml:space="preserve"> any medical act </w:t>
      </w:r>
      <w:r w:rsidR="00737380" w:rsidRPr="00012C3F">
        <w:rPr>
          <w:rFonts w:eastAsia="MS Mincho"/>
          <w:sz w:val="20"/>
          <w:szCs w:val="20"/>
          <w:lang w:val="en-US" w:eastAsia="en-US" w:bidi="en-US"/>
        </w:rPr>
        <w:t xml:space="preserve">based, above all, on the autonomy and self-determination of the individual, </w:t>
      </w:r>
      <w:r w:rsidR="00724EF4" w:rsidRPr="00012C3F">
        <w:rPr>
          <w:rFonts w:eastAsia="MS Mincho"/>
          <w:sz w:val="20"/>
          <w:szCs w:val="20"/>
          <w:lang w:val="en-US" w:eastAsia="en-US" w:bidi="en-US"/>
        </w:rPr>
        <w:t xml:space="preserve">and </w:t>
      </w:r>
      <w:r w:rsidR="00737380" w:rsidRPr="00012C3F">
        <w:rPr>
          <w:rFonts w:eastAsia="MS Mincho"/>
          <w:sz w:val="20"/>
          <w:szCs w:val="20"/>
          <w:lang w:val="en-US" w:eastAsia="en-US" w:bidi="en-US"/>
        </w:rPr>
        <w:t>as part of respect</w:t>
      </w:r>
      <w:r w:rsidR="00724EF4" w:rsidRPr="00012C3F">
        <w:rPr>
          <w:rFonts w:eastAsia="MS Mincho"/>
          <w:sz w:val="20"/>
          <w:szCs w:val="20"/>
          <w:lang w:val="en-US" w:eastAsia="en-US" w:bidi="en-US"/>
        </w:rPr>
        <w:t>ing</w:t>
      </w:r>
      <w:r w:rsidR="00737380" w:rsidRPr="00012C3F">
        <w:rPr>
          <w:rFonts w:eastAsia="MS Mincho"/>
          <w:sz w:val="20"/>
          <w:szCs w:val="20"/>
          <w:lang w:val="en-US" w:eastAsia="en-US" w:bidi="en-US"/>
        </w:rPr>
        <w:t xml:space="preserve"> and </w:t>
      </w:r>
      <w:r w:rsidR="00724EF4" w:rsidRPr="00012C3F">
        <w:rPr>
          <w:rFonts w:eastAsia="MS Mincho"/>
          <w:sz w:val="20"/>
          <w:szCs w:val="20"/>
          <w:lang w:val="en-US" w:eastAsia="en-US" w:bidi="en-US"/>
        </w:rPr>
        <w:t>ensuring</w:t>
      </w:r>
      <w:r w:rsidR="00737380" w:rsidRPr="00012C3F">
        <w:rPr>
          <w:rFonts w:eastAsia="MS Mincho"/>
          <w:sz w:val="20"/>
          <w:szCs w:val="20"/>
          <w:lang w:val="en-US" w:eastAsia="en-US" w:bidi="en-US"/>
        </w:rPr>
        <w:t xml:space="preserve"> the dignity of every human being, as well as </w:t>
      </w:r>
      <w:r w:rsidR="00724EF4" w:rsidRPr="00012C3F">
        <w:rPr>
          <w:rFonts w:eastAsia="MS Mincho"/>
          <w:sz w:val="20"/>
          <w:szCs w:val="20"/>
          <w:lang w:val="en-US" w:eastAsia="en-US" w:bidi="en-US"/>
        </w:rPr>
        <w:t>their</w:t>
      </w:r>
      <w:r w:rsidR="00737380" w:rsidRPr="00012C3F">
        <w:rPr>
          <w:rFonts w:eastAsia="MS Mincho"/>
          <w:sz w:val="20"/>
          <w:szCs w:val="20"/>
          <w:lang w:val="en-US" w:eastAsia="en-US" w:bidi="en-US"/>
        </w:rPr>
        <w:t xml:space="preserve"> right to</w:t>
      </w:r>
      <w:r w:rsidR="00724EF4" w:rsidRPr="00012C3F">
        <w:rPr>
          <w:rFonts w:eastAsia="MS Mincho"/>
          <w:sz w:val="20"/>
          <w:szCs w:val="20"/>
          <w:lang w:val="en-US" w:eastAsia="en-US" w:bidi="en-US"/>
        </w:rPr>
        <w:t xml:space="preserve"> personal</w:t>
      </w:r>
      <w:r w:rsidR="00737380" w:rsidRPr="00012C3F">
        <w:rPr>
          <w:rFonts w:eastAsia="MS Mincho"/>
          <w:sz w:val="20"/>
          <w:szCs w:val="20"/>
          <w:lang w:val="en-US" w:eastAsia="en-US" w:bidi="en-US"/>
        </w:rPr>
        <w:t xml:space="preserve"> liberty. This means that the individual may act according to his or her own wishes, </w:t>
      </w:r>
      <w:r w:rsidR="00724EF4" w:rsidRPr="00012C3F">
        <w:rPr>
          <w:rFonts w:eastAsia="MS Mincho"/>
          <w:sz w:val="20"/>
          <w:szCs w:val="20"/>
          <w:lang w:val="en-US" w:eastAsia="en-US" w:bidi="en-US"/>
        </w:rPr>
        <w:t xml:space="preserve">and </w:t>
      </w:r>
      <w:r w:rsidR="00737380" w:rsidRPr="00012C3F">
        <w:rPr>
          <w:rFonts w:eastAsia="MS Mincho"/>
          <w:sz w:val="20"/>
          <w:szCs w:val="20"/>
          <w:lang w:val="en-US" w:eastAsia="en-US" w:bidi="en-US"/>
        </w:rPr>
        <w:t xml:space="preserve">ability to consider choices, take decisions and act without the arbitrary interference of third parties, all of this within the limits established in the Convention. This is so, especially, in cases of female sterilization, because such procedures entail the permanent loss of reproductive capacity. The need to obtain informed consent protects not only the right of patients to decide freely whether they wish to submit to a medical act, but is also an essential mechanism to achieve the respect and guarantee of different human rights recognized by </w:t>
      </w:r>
      <w:r w:rsidRPr="00012C3F">
        <w:rPr>
          <w:rFonts w:eastAsia="MS Mincho"/>
          <w:sz w:val="20"/>
          <w:szCs w:val="20"/>
          <w:lang w:val="en-US" w:eastAsia="en-US" w:bidi="en-US"/>
        </w:rPr>
        <w:t>the American Convention</w:t>
      </w:r>
      <w:r w:rsidR="00E17AF2" w:rsidRPr="00012C3F">
        <w:rPr>
          <w:rFonts w:eastAsia="MS Mincho"/>
          <w:sz w:val="20"/>
          <w:szCs w:val="20"/>
          <w:lang w:val="en-US" w:eastAsia="en-US" w:bidi="en-US"/>
        </w:rPr>
        <w:t xml:space="preserve">, </w:t>
      </w:r>
      <w:r w:rsidR="00737380" w:rsidRPr="00012C3F">
        <w:rPr>
          <w:rFonts w:eastAsia="MS Mincho"/>
          <w:sz w:val="20"/>
          <w:szCs w:val="20"/>
          <w:lang w:val="en-US" w:eastAsia="en-US" w:bidi="en-US"/>
        </w:rPr>
        <w:t>such as to</w:t>
      </w:r>
      <w:r w:rsidR="00E17AF2" w:rsidRPr="00012C3F">
        <w:rPr>
          <w:rFonts w:eastAsia="MS Mincho"/>
          <w:sz w:val="20"/>
          <w:szCs w:val="20"/>
          <w:lang w:val="en-US" w:eastAsia="en-US" w:bidi="en-US"/>
        </w:rPr>
        <w:t xml:space="preserve"> </w:t>
      </w:r>
      <w:r w:rsidR="00130362" w:rsidRPr="00012C3F">
        <w:rPr>
          <w:rFonts w:eastAsia="MS Mincho"/>
          <w:sz w:val="20"/>
          <w:szCs w:val="20"/>
          <w:lang w:val="en-US" w:eastAsia="en-US" w:bidi="en-US"/>
        </w:rPr>
        <w:t>dignity</w:t>
      </w:r>
      <w:r w:rsidR="00E17AF2" w:rsidRPr="00012C3F">
        <w:rPr>
          <w:rFonts w:eastAsia="MS Mincho"/>
          <w:sz w:val="20"/>
          <w:szCs w:val="20"/>
          <w:lang w:val="en-US" w:eastAsia="en-US" w:bidi="en-US"/>
        </w:rPr>
        <w:t xml:space="preserve">, </w:t>
      </w:r>
      <w:r w:rsidR="00737380" w:rsidRPr="00012C3F">
        <w:rPr>
          <w:rFonts w:eastAsia="MS Mincho"/>
          <w:sz w:val="20"/>
          <w:szCs w:val="20"/>
          <w:lang w:val="en-US" w:eastAsia="en-US" w:bidi="en-US"/>
        </w:rPr>
        <w:t xml:space="preserve">to </w:t>
      </w:r>
      <w:r w:rsidR="00130362" w:rsidRPr="00012C3F">
        <w:rPr>
          <w:rFonts w:eastAsia="MS Mincho"/>
          <w:sz w:val="20"/>
          <w:szCs w:val="20"/>
          <w:lang w:val="en-US" w:eastAsia="en-US" w:bidi="en-US"/>
        </w:rPr>
        <w:t>personal liberty</w:t>
      </w:r>
      <w:r w:rsidR="00E17AF2" w:rsidRPr="00012C3F">
        <w:rPr>
          <w:rFonts w:eastAsia="MS Mincho"/>
          <w:sz w:val="20"/>
          <w:szCs w:val="20"/>
          <w:lang w:val="en-US" w:eastAsia="en-US" w:bidi="en-US"/>
        </w:rPr>
        <w:t xml:space="preserve">, </w:t>
      </w:r>
      <w:r w:rsidR="00737380" w:rsidRPr="00012C3F">
        <w:rPr>
          <w:rFonts w:eastAsia="MS Mincho"/>
          <w:sz w:val="20"/>
          <w:szCs w:val="20"/>
          <w:lang w:val="en-US" w:eastAsia="en-US" w:bidi="en-US"/>
        </w:rPr>
        <w:t xml:space="preserve">to </w:t>
      </w:r>
      <w:r w:rsidR="00E17AF2" w:rsidRPr="00012C3F">
        <w:rPr>
          <w:rFonts w:eastAsia="MS Mincho"/>
          <w:sz w:val="20"/>
          <w:szCs w:val="20"/>
          <w:lang w:val="en-US" w:eastAsia="en-US" w:bidi="en-US"/>
        </w:rPr>
        <w:t>personal</w:t>
      </w:r>
      <w:r w:rsidR="00737380" w:rsidRPr="00012C3F">
        <w:rPr>
          <w:rFonts w:eastAsia="MS Mincho"/>
          <w:sz w:val="20"/>
          <w:szCs w:val="20"/>
          <w:lang w:val="en-US" w:eastAsia="en-US" w:bidi="en-US"/>
        </w:rPr>
        <w:t xml:space="preserve"> integrity –</w:t>
      </w:r>
      <w:r w:rsidR="00E17AF2" w:rsidRPr="00012C3F">
        <w:rPr>
          <w:rFonts w:eastAsia="MS Mincho"/>
          <w:sz w:val="20"/>
          <w:szCs w:val="20"/>
          <w:lang w:val="en-US" w:eastAsia="en-US" w:bidi="en-US"/>
        </w:rPr>
        <w:t xml:space="preserve"> </w:t>
      </w:r>
      <w:r w:rsidR="00737380" w:rsidRPr="00012C3F">
        <w:rPr>
          <w:rFonts w:eastAsia="MS Mincho"/>
          <w:sz w:val="20"/>
          <w:szCs w:val="20"/>
          <w:lang w:val="en-US" w:eastAsia="en-US" w:bidi="en-US"/>
        </w:rPr>
        <w:t xml:space="preserve">including health care and, in particular, </w:t>
      </w:r>
      <w:r w:rsidR="00A54991" w:rsidRPr="00012C3F">
        <w:rPr>
          <w:rFonts w:eastAsia="MS Mincho"/>
          <w:sz w:val="20"/>
          <w:szCs w:val="20"/>
          <w:lang w:val="en-US" w:eastAsia="en-US" w:bidi="en-US"/>
        </w:rPr>
        <w:t>sexual and reproductive health</w:t>
      </w:r>
      <w:r w:rsidR="00724EF4" w:rsidRPr="00012C3F">
        <w:rPr>
          <w:rFonts w:eastAsia="MS Mincho"/>
          <w:sz w:val="20"/>
          <w:szCs w:val="20"/>
          <w:lang w:val="en-US" w:eastAsia="en-US" w:bidi="en-US"/>
        </w:rPr>
        <w:t xml:space="preserve"> care</w:t>
      </w:r>
      <w:r w:rsidR="00737380" w:rsidRPr="00012C3F">
        <w:rPr>
          <w:rFonts w:eastAsia="MS Mincho"/>
          <w:sz w:val="20"/>
          <w:szCs w:val="20"/>
          <w:lang w:val="en-US" w:eastAsia="en-US" w:bidi="en-US"/>
        </w:rPr>
        <w:t xml:space="preserve"> – to p</w:t>
      </w:r>
      <w:r w:rsidR="00130362" w:rsidRPr="00012C3F">
        <w:rPr>
          <w:rFonts w:eastAsia="MS Mincho"/>
          <w:sz w:val="20"/>
          <w:szCs w:val="20"/>
          <w:lang w:val="en-US" w:eastAsia="en-US" w:bidi="en-US"/>
        </w:rPr>
        <w:t>rivate and family life</w:t>
      </w:r>
      <w:r w:rsidR="005E5012" w:rsidRPr="00012C3F">
        <w:rPr>
          <w:rFonts w:eastAsia="MS Mincho"/>
          <w:sz w:val="20"/>
          <w:szCs w:val="20"/>
          <w:lang w:val="en-US" w:eastAsia="en-US" w:bidi="en-US"/>
        </w:rPr>
        <w:t xml:space="preserve"> and </w:t>
      </w:r>
      <w:r w:rsidR="00EF483B" w:rsidRPr="00012C3F">
        <w:rPr>
          <w:rFonts w:eastAsia="MS Mincho"/>
          <w:sz w:val="20"/>
          <w:szCs w:val="20"/>
          <w:lang w:val="en-US" w:eastAsia="en-US" w:bidi="en-US"/>
        </w:rPr>
        <w:t xml:space="preserve">to </w:t>
      </w:r>
      <w:r w:rsidR="0081491F" w:rsidRPr="00012C3F">
        <w:rPr>
          <w:rFonts w:eastAsia="MS Mincho"/>
          <w:sz w:val="20"/>
          <w:szCs w:val="20"/>
          <w:lang w:val="en-US" w:eastAsia="en-US" w:bidi="en-US"/>
        </w:rPr>
        <w:t>raise a family</w:t>
      </w:r>
      <w:r w:rsidR="00E17AF2" w:rsidRPr="00012C3F">
        <w:rPr>
          <w:rFonts w:eastAsia="MS Mincho"/>
          <w:sz w:val="20"/>
          <w:szCs w:val="20"/>
          <w:lang w:val="en-US" w:eastAsia="en-US" w:bidi="en-US"/>
        </w:rPr>
        <w:t xml:space="preserve">. </w:t>
      </w:r>
      <w:r w:rsidR="00737380" w:rsidRPr="00012C3F">
        <w:rPr>
          <w:rFonts w:eastAsia="MS Mincho"/>
          <w:sz w:val="20"/>
          <w:szCs w:val="20"/>
          <w:lang w:val="en-US" w:eastAsia="en-US" w:bidi="en-US"/>
        </w:rPr>
        <w:t xml:space="preserve">In addition, the Court finds that the guarantee of free consent and the right </w:t>
      </w:r>
      <w:r w:rsidR="00724EF4" w:rsidRPr="00012C3F">
        <w:rPr>
          <w:rFonts w:eastAsia="MS Mincho"/>
          <w:sz w:val="20"/>
          <w:szCs w:val="20"/>
          <w:lang w:val="en-US" w:eastAsia="en-US" w:bidi="en-US"/>
        </w:rPr>
        <w:t>to</w:t>
      </w:r>
      <w:r w:rsidR="00737380" w:rsidRPr="00012C3F">
        <w:rPr>
          <w:rFonts w:eastAsia="MS Mincho"/>
          <w:sz w:val="20"/>
          <w:szCs w:val="20"/>
          <w:lang w:val="en-US" w:eastAsia="en-US" w:bidi="en-US"/>
        </w:rPr>
        <w:t xml:space="preserve"> autonomy in the choice of contraception methods is an effective deterrence, especially in the case of women, of the practice of involuntary, non-consensual, coercive or forced sterilization.</w:t>
      </w:r>
    </w:p>
    <w:p w14:paraId="1D864301" w14:textId="77777777" w:rsidR="00E17AF2" w:rsidRPr="00012C3F" w:rsidRDefault="00E17AF2" w:rsidP="00936568">
      <w:pPr>
        <w:widowControl/>
        <w:tabs>
          <w:tab w:val="left" w:pos="720"/>
        </w:tabs>
        <w:adjustRightInd/>
        <w:spacing w:line="240" w:lineRule="auto"/>
        <w:ind w:right="-90"/>
        <w:textAlignment w:val="auto"/>
        <w:rPr>
          <w:rFonts w:eastAsia="MS Mincho"/>
          <w:sz w:val="20"/>
          <w:szCs w:val="20"/>
          <w:lang w:val="en-US" w:eastAsia="en-US" w:bidi="en-US"/>
        </w:rPr>
      </w:pPr>
    </w:p>
    <w:p w14:paraId="42C53509" w14:textId="77777777" w:rsidR="00E17AF2" w:rsidRPr="00012C3F" w:rsidRDefault="001254DE" w:rsidP="00936568">
      <w:pPr>
        <w:numPr>
          <w:ilvl w:val="0"/>
          <w:numId w:val="5"/>
        </w:numPr>
        <w:tabs>
          <w:tab w:val="left" w:pos="720"/>
          <w:tab w:val="num" w:pos="12305"/>
        </w:tabs>
        <w:spacing w:line="240" w:lineRule="auto"/>
        <w:ind w:left="0" w:firstLine="0"/>
        <w:rPr>
          <w:rFonts w:eastAsia="MS Mincho"/>
          <w:b/>
          <w:i/>
          <w:sz w:val="20"/>
          <w:szCs w:val="20"/>
          <w:lang w:val="en-US" w:eastAsia="en-US" w:bidi="en-US"/>
        </w:rPr>
      </w:pPr>
      <w:r w:rsidRPr="00012C3F">
        <w:rPr>
          <w:sz w:val="20"/>
          <w:szCs w:val="20"/>
          <w:lang w:val="en-US"/>
        </w:rPr>
        <w:t>The Court</w:t>
      </w:r>
      <w:r w:rsidR="00E17AF2" w:rsidRPr="00012C3F">
        <w:rPr>
          <w:rFonts w:eastAsia="MS Mincho"/>
          <w:sz w:val="20"/>
          <w:szCs w:val="20"/>
          <w:lang w:val="en-US" w:eastAsia="en-US" w:bidi="en-US"/>
        </w:rPr>
        <w:t xml:space="preserve"> </w:t>
      </w:r>
      <w:r w:rsidR="00936568" w:rsidRPr="00012C3F">
        <w:rPr>
          <w:rFonts w:cs="Arial"/>
          <w:sz w:val="20"/>
          <w:szCs w:val="20"/>
          <w:lang w:val="en-US"/>
        </w:rPr>
        <w:t xml:space="preserve">considers that the concept of informed consent consists in a prior decision to accept or to submit to a medical act in the broadest sense, </w:t>
      </w:r>
      <w:r w:rsidR="00724EF4" w:rsidRPr="00012C3F">
        <w:rPr>
          <w:rFonts w:cs="Arial"/>
          <w:sz w:val="20"/>
          <w:szCs w:val="20"/>
          <w:lang w:val="en-US"/>
        </w:rPr>
        <w:t>which</w:t>
      </w:r>
      <w:r w:rsidR="00936568" w:rsidRPr="00012C3F">
        <w:rPr>
          <w:rFonts w:cs="Arial"/>
          <w:sz w:val="20"/>
          <w:szCs w:val="20"/>
          <w:lang w:val="en-US"/>
        </w:rPr>
        <w:t xml:space="preserve"> has been freely obtained – in other words, without threats or coercion, improper induction or incentives – and given after obtaining adequate, complete, reliable, comprehensible and accessible information, provided that this information ha</w:t>
      </w:r>
      <w:r w:rsidR="00724EF4" w:rsidRPr="00012C3F">
        <w:rPr>
          <w:rFonts w:cs="Arial"/>
          <w:sz w:val="20"/>
          <w:szCs w:val="20"/>
          <w:lang w:val="en-US"/>
        </w:rPr>
        <w:t>s</w:t>
      </w:r>
      <w:r w:rsidR="00936568" w:rsidRPr="00012C3F">
        <w:rPr>
          <w:rFonts w:cs="Arial"/>
          <w:sz w:val="20"/>
          <w:szCs w:val="20"/>
          <w:lang w:val="en-US"/>
        </w:rPr>
        <w:t xml:space="preserve"> really been understood, which would allow the individual to give their full consent. </w:t>
      </w:r>
      <w:r w:rsidR="00936568" w:rsidRPr="00012C3F">
        <w:rPr>
          <w:rFonts w:eastAsia="Calibri" w:cs="ClassicalGaramondBT-Roman"/>
          <w:sz w:val="20"/>
          <w:szCs w:val="20"/>
          <w:lang w:val="en-US" w:eastAsia="en-US" w:bidi="en-US"/>
        </w:rPr>
        <w:t>I</w:t>
      </w:r>
      <w:r w:rsidR="00AC0004" w:rsidRPr="00012C3F">
        <w:rPr>
          <w:rFonts w:eastAsia="Calibri" w:cs="ClassicalGaramondBT-Roman"/>
          <w:sz w:val="20"/>
          <w:szCs w:val="20"/>
          <w:lang w:val="en-US" w:eastAsia="en-US" w:bidi="en-US"/>
        </w:rPr>
        <w:t>nformed consent</w:t>
      </w:r>
      <w:r w:rsidR="00E17AF2" w:rsidRPr="00012C3F">
        <w:rPr>
          <w:rFonts w:eastAsia="Calibri" w:cs="ClassicalGaramondBT-Roman"/>
          <w:sz w:val="20"/>
          <w:szCs w:val="20"/>
          <w:lang w:val="en-US" w:eastAsia="en-US" w:bidi="en-US"/>
        </w:rPr>
        <w:t xml:space="preserve"> </w:t>
      </w:r>
      <w:r w:rsidR="00936568" w:rsidRPr="00012C3F">
        <w:rPr>
          <w:rFonts w:eastAsia="Calibri" w:cs="ClassicalGaramondBT-Roman"/>
          <w:sz w:val="20"/>
          <w:szCs w:val="20"/>
          <w:lang w:val="en-US" w:eastAsia="en-US" w:bidi="en-US"/>
        </w:rPr>
        <w:t>is the positive decision to submit to a medical act resulting from a decision process</w:t>
      </w:r>
      <w:r w:rsidR="00724EF4" w:rsidRPr="00012C3F">
        <w:rPr>
          <w:rFonts w:eastAsia="Calibri" w:cs="ClassicalGaramondBT-Roman"/>
          <w:sz w:val="20"/>
          <w:szCs w:val="20"/>
          <w:lang w:val="en-US" w:eastAsia="en-US" w:bidi="en-US"/>
        </w:rPr>
        <w:t>,</w:t>
      </w:r>
      <w:r w:rsidR="00936568" w:rsidRPr="00012C3F">
        <w:rPr>
          <w:rFonts w:eastAsia="Calibri" w:cs="ClassicalGaramondBT-Roman"/>
          <w:sz w:val="20"/>
          <w:szCs w:val="20"/>
          <w:lang w:val="en-US" w:eastAsia="en-US" w:bidi="en-US"/>
        </w:rPr>
        <w:t xml:space="preserve"> or prior, free and informed choice, which constitutes a two-way mechanism of interaction in the physician-patient relationship, through which the patient plays an active role in the decision-making, thus moving away from the paternalistic view of medicine, and focusing on the autonomy of the individual</w:t>
      </w:r>
      <w:r w:rsidR="00936568" w:rsidRPr="00012C3F">
        <w:rPr>
          <w:rFonts w:eastAsia="MS Mincho"/>
          <w:b/>
          <w:i/>
          <w:sz w:val="20"/>
          <w:szCs w:val="20"/>
          <w:lang w:val="en-US" w:eastAsia="en-US" w:bidi="en-US"/>
        </w:rPr>
        <w:t xml:space="preserve"> </w:t>
      </w:r>
      <w:r w:rsidR="00936568" w:rsidRPr="00012C3F">
        <w:rPr>
          <w:rFonts w:eastAsia="Calibri" w:cs="ClassicalGaramondBT-Roman"/>
          <w:sz w:val="20"/>
          <w:szCs w:val="20"/>
          <w:lang w:val="en-US" w:eastAsia="en-US" w:bidi="en-US"/>
        </w:rPr>
        <w:t>(</w:t>
      </w:r>
      <w:r w:rsidR="00724EF4" w:rsidRPr="00012C3F">
        <w:rPr>
          <w:rFonts w:eastAsia="Calibri" w:cs="ClassicalGaramondBT-Roman"/>
          <w:i/>
          <w:sz w:val="20"/>
          <w:szCs w:val="20"/>
          <w:lang w:val="en-US" w:eastAsia="en-US" w:bidi="en-US"/>
        </w:rPr>
        <w:t>supra</w:t>
      </w:r>
      <w:r w:rsidR="00724EF4" w:rsidRPr="00012C3F">
        <w:rPr>
          <w:rFonts w:eastAsia="Calibri" w:cs="ClassicalGaramondBT-Roman"/>
          <w:sz w:val="20"/>
          <w:szCs w:val="20"/>
          <w:lang w:val="en-US" w:eastAsia="en-US" w:bidi="en-US"/>
        </w:rPr>
        <w:t xml:space="preserve"> paras. </w:t>
      </w:r>
      <w:r w:rsidR="00936568" w:rsidRPr="00012C3F">
        <w:rPr>
          <w:rFonts w:eastAsia="Calibri" w:cs="ClassicalGaramondBT-Roman"/>
          <w:sz w:val="20"/>
          <w:szCs w:val="20"/>
          <w:lang w:val="en-US" w:eastAsia="en-US" w:bidi="en-US"/>
        </w:rPr>
        <w:t>1</w:t>
      </w:r>
      <w:r w:rsidR="00FD4F89" w:rsidRPr="00012C3F">
        <w:rPr>
          <w:rFonts w:eastAsia="Calibri" w:cs="ClassicalGaramondBT-Roman"/>
          <w:sz w:val="20"/>
          <w:szCs w:val="20"/>
          <w:lang w:val="en-US" w:eastAsia="en-US" w:bidi="en-US"/>
        </w:rPr>
        <w:t>60</w:t>
      </w:r>
      <w:r w:rsidR="005E5012" w:rsidRPr="00012C3F">
        <w:rPr>
          <w:rFonts w:eastAsia="Calibri" w:cs="ClassicalGaramondBT-Roman"/>
          <w:sz w:val="20"/>
          <w:szCs w:val="20"/>
          <w:lang w:val="en-US" w:eastAsia="en-US" w:bidi="en-US"/>
        </w:rPr>
        <w:t xml:space="preserve"> and </w:t>
      </w:r>
      <w:r w:rsidR="00FD4F89" w:rsidRPr="00012C3F">
        <w:rPr>
          <w:rFonts w:eastAsia="Calibri" w:cs="ClassicalGaramondBT-Roman"/>
          <w:sz w:val="20"/>
          <w:szCs w:val="20"/>
          <w:lang w:val="en-US" w:eastAsia="en-US" w:bidi="en-US"/>
        </w:rPr>
        <w:t>161</w:t>
      </w:r>
      <w:r w:rsidR="00C26B30" w:rsidRPr="00012C3F">
        <w:rPr>
          <w:rFonts w:eastAsia="Calibri" w:cs="ClassicalGaramondBT-Roman"/>
          <w:sz w:val="20"/>
          <w:szCs w:val="20"/>
          <w:lang w:val="en-US" w:eastAsia="en-US" w:bidi="en-US"/>
        </w:rPr>
        <w:t>)</w:t>
      </w:r>
      <w:r w:rsidR="00E17AF2" w:rsidRPr="00012C3F">
        <w:rPr>
          <w:rFonts w:eastAsia="Calibri" w:cs="ClassicalGaramondBT-Roman"/>
          <w:sz w:val="20"/>
          <w:szCs w:val="20"/>
          <w:lang w:val="en-US" w:eastAsia="en-US" w:bidi="en-US"/>
        </w:rPr>
        <w:t xml:space="preserve">. </w:t>
      </w:r>
      <w:r w:rsidR="00936568" w:rsidRPr="00012C3F">
        <w:rPr>
          <w:rFonts w:eastAsia="Calibri" w:cs="ClassicalGaramondBT-Roman"/>
          <w:sz w:val="20"/>
          <w:szCs w:val="20"/>
          <w:lang w:val="en-US" w:eastAsia="en-US" w:bidi="en-US"/>
        </w:rPr>
        <w:t xml:space="preserve">This </w:t>
      </w:r>
      <w:r w:rsidR="00936568" w:rsidRPr="00012C3F">
        <w:rPr>
          <w:rFonts w:cs="Arial"/>
          <w:sz w:val="20"/>
          <w:szCs w:val="20"/>
          <w:lang w:val="en-US"/>
        </w:rPr>
        <w:t>consists not only in an act of acceptance</w:t>
      </w:r>
      <w:r w:rsidR="00936568" w:rsidRPr="00012C3F">
        <w:rPr>
          <w:rFonts w:eastAsia="Calibri" w:cs="ClassicalGaramondBT-Roman"/>
          <w:sz w:val="20"/>
          <w:szCs w:val="20"/>
          <w:lang w:val="en-US" w:eastAsia="en-US" w:bidi="en-US"/>
        </w:rPr>
        <w:t>,</w:t>
      </w:r>
      <w:r w:rsidR="00E17AF2" w:rsidRPr="00012C3F">
        <w:rPr>
          <w:rFonts w:eastAsia="Calibri" w:cs="ClassicalGaramondBT-Roman"/>
          <w:sz w:val="20"/>
          <w:szCs w:val="20"/>
          <w:vertAlign w:val="superscript"/>
          <w:lang w:val="en-US" w:eastAsia="en-US" w:bidi="en-US"/>
        </w:rPr>
        <w:footnoteReference w:id="195"/>
      </w:r>
      <w:r w:rsidR="00E17AF2" w:rsidRPr="00012C3F">
        <w:rPr>
          <w:rFonts w:eastAsia="Calibri" w:cs="ClassicalGaramondBT-Roman"/>
          <w:sz w:val="20"/>
          <w:szCs w:val="20"/>
          <w:lang w:val="en-US" w:eastAsia="en-US" w:bidi="en-US"/>
        </w:rPr>
        <w:t xml:space="preserve"> </w:t>
      </w:r>
      <w:r w:rsidR="00936568" w:rsidRPr="00012C3F">
        <w:rPr>
          <w:rFonts w:cs="Arial"/>
          <w:sz w:val="20"/>
          <w:szCs w:val="20"/>
          <w:lang w:val="en-US"/>
        </w:rPr>
        <w:t xml:space="preserve">but also in the result of a process in which the following </w:t>
      </w:r>
      <w:r w:rsidR="001C2E6D" w:rsidRPr="00012C3F">
        <w:rPr>
          <w:rFonts w:cs="Arial"/>
          <w:sz w:val="20"/>
          <w:szCs w:val="20"/>
          <w:lang w:val="en-US"/>
        </w:rPr>
        <w:t>elements</w:t>
      </w:r>
      <w:r w:rsidR="00724EF4" w:rsidRPr="00012C3F">
        <w:rPr>
          <w:rFonts w:cs="Arial"/>
          <w:sz w:val="20"/>
          <w:szCs w:val="20"/>
          <w:lang w:val="en-US"/>
        </w:rPr>
        <w:t xml:space="preserve"> must be </w:t>
      </w:r>
      <w:r w:rsidR="001C2E6D" w:rsidRPr="00012C3F">
        <w:rPr>
          <w:rFonts w:cs="Arial"/>
          <w:sz w:val="20"/>
          <w:szCs w:val="20"/>
          <w:lang w:val="en-US"/>
        </w:rPr>
        <w:t>present</w:t>
      </w:r>
      <w:r w:rsidR="00936568" w:rsidRPr="00012C3F">
        <w:rPr>
          <w:rFonts w:cs="Arial"/>
          <w:sz w:val="20"/>
          <w:szCs w:val="20"/>
          <w:lang w:val="en-US"/>
        </w:rPr>
        <w:t xml:space="preserve"> for it to be considered valid: the consent must be prior, free, full and informed. All these elements are interrelated, because consent cannot be free and full if it has not been given after</w:t>
      </w:r>
      <w:r w:rsidR="00724EF4" w:rsidRPr="00012C3F">
        <w:rPr>
          <w:rFonts w:cs="Arial"/>
          <w:sz w:val="20"/>
          <w:szCs w:val="20"/>
          <w:lang w:val="en-US"/>
        </w:rPr>
        <w:t xml:space="preserve"> the patient has</w:t>
      </w:r>
      <w:r w:rsidR="00936568" w:rsidRPr="00012C3F">
        <w:rPr>
          <w:rFonts w:cs="Arial"/>
          <w:sz w:val="20"/>
          <w:szCs w:val="20"/>
          <w:lang w:val="en-US"/>
        </w:rPr>
        <w:t xml:space="preserve"> obtain</w:t>
      </w:r>
      <w:r w:rsidR="00724EF4" w:rsidRPr="00012C3F">
        <w:rPr>
          <w:rFonts w:cs="Arial"/>
          <w:sz w:val="20"/>
          <w:szCs w:val="20"/>
          <w:lang w:val="en-US"/>
        </w:rPr>
        <w:t>ed</w:t>
      </w:r>
      <w:r w:rsidR="00936568" w:rsidRPr="00012C3F">
        <w:rPr>
          <w:rFonts w:cs="Arial"/>
          <w:sz w:val="20"/>
          <w:szCs w:val="20"/>
          <w:lang w:val="en-US"/>
        </w:rPr>
        <w:t xml:space="preserve"> and underst</w:t>
      </w:r>
      <w:r w:rsidR="00724EF4" w:rsidRPr="00012C3F">
        <w:rPr>
          <w:rFonts w:cs="Arial"/>
          <w:sz w:val="20"/>
          <w:szCs w:val="20"/>
          <w:lang w:val="en-US"/>
        </w:rPr>
        <w:t>ood</w:t>
      </w:r>
      <w:r w:rsidR="00936568" w:rsidRPr="00012C3F">
        <w:rPr>
          <w:rFonts w:cs="Arial"/>
          <w:sz w:val="20"/>
          <w:szCs w:val="20"/>
          <w:lang w:val="en-US"/>
        </w:rPr>
        <w:t xml:space="preserve"> comprehensive information</w:t>
      </w:r>
      <w:r w:rsidR="00E17AF2" w:rsidRPr="00012C3F">
        <w:rPr>
          <w:rFonts w:eastAsia="Calibri" w:cs="ClassicalGaramondBT-Roman"/>
          <w:sz w:val="20"/>
          <w:szCs w:val="20"/>
          <w:lang w:val="en-US" w:eastAsia="en-US" w:bidi="en-US"/>
        </w:rPr>
        <w:t>.</w:t>
      </w:r>
    </w:p>
    <w:p w14:paraId="2290728A" w14:textId="77777777" w:rsidR="00E17AF2" w:rsidRPr="00012C3F" w:rsidRDefault="00E17AF2" w:rsidP="00936568">
      <w:pPr>
        <w:tabs>
          <w:tab w:val="left" w:pos="720"/>
        </w:tabs>
        <w:spacing w:line="240" w:lineRule="auto"/>
        <w:rPr>
          <w:rFonts w:eastAsia="MS Mincho"/>
          <w:b/>
          <w:i/>
          <w:sz w:val="20"/>
          <w:szCs w:val="20"/>
          <w:lang w:val="en-US" w:eastAsia="en-US" w:bidi="en-US"/>
        </w:rPr>
      </w:pPr>
    </w:p>
    <w:p w14:paraId="1A86CA90" w14:textId="77777777" w:rsidR="00E17AF2" w:rsidRPr="00012C3F" w:rsidRDefault="00936568" w:rsidP="005B6F56">
      <w:pPr>
        <w:numPr>
          <w:ilvl w:val="0"/>
          <w:numId w:val="5"/>
        </w:numPr>
        <w:tabs>
          <w:tab w:val="left" w:pos="720"/>
          <w:tab w:val="num" w:pos="12305"/>
        </w:tabs>
        <w:spacing w:line="240" w:lineRule="auto"/>
        <w:ind w:left="0" w:firstLine="0"/>
        <w:rPr>
          <w:rFonts w:eastAsia="MS Mincho"/>
          <w:b/>
          <w:i/>
          <w:sz w:val="20"/>
          <w:szCs w:val="20"/>
          <w:lang w:val="en-US" w:eastAsia="en-US" w:bidi="en-US"/>
        </w:rPr>
      </w:pPr>
      <w:r w:rsidRPr="00012C3F">
        <w:rPr>
          <w:rFonts w:eastAsia="MS Mincho"/>
          <w:sz w:val="20"/>
          <w:szCs w:val="20"/>
          <w:lang w:val="en-US" w:eastAsia="en-US" w:bidi="en-US"/>
        </w:rPr>
        <w:t xml:space="preserve">In this regard, </w:t>
      </w:r>
      <w:r w:rsidR="001254DE" w:rsidRPr="00012C3F">
        <w:rPr>
          <w:rFonts w:eastAsia="MS Mincho"/>
          <w:sz w:val="20"/>
          <w:szCs w:val="20"/>
          <w:lang w:val="en-US" w:eastAsia="en-US" w:bidi="en-US"/>
        </w:rPr>
        <w:t>the Court</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finds it necessary to refer, first, to the Stat</w:t>
      </w:r>
      <w:r w:rsidR="0079674D" w:rsidRPr="00012C3F">
        <w:rPr>
          <w:rFonts w:eastAsia="MS Mincho"/>
          <w:sz w:val="20"/>
          <w:szCs w:val="20"/>
          <w:lang w:val="en-US" w:eastAsia="en-US" w:bidi="en-US"/>
        </w:rPr>
        <w:t>e</w:t>
      </w:r>
      <w:r w:rsidRPr="00012C3F">
        <w:rPr>
          <w:rFonts w:eastAsia="MS Mincho"/>
          <w:sz w:val="20"/>
          <w:szCs w:val="20"/>
          <w:lang w:val="en-US" w:eastAsia="en-US" w:bidi="en-US"/>
        </w:rPr>
        <w:t>’s argument</w:t>
      </w:r>
      <w:r w:rsidR="005B6F56" w:rsidRPr="00012C3F">
        <w:rPr>
          <w:rFonts w:eastAsia="MS Mincho"/>
          <w:sz w:val="20"/>
          <w:szCs w:val="20"/>
          <w:lang w:val="en-US" w:eastAsia="en-US" w:bidi="en-US"/>
        </w:rPr>
        <w:t xml:space="preserve"> that, </w:t>
      </w:r>
      <w:r w:rsidR="00724EF4" w:rsidRPr="00012C3F">
        <w:rPr>
          <w:rFonts w:eastAsia="MS Mincho"/>
          <w:sz w:val="20"/>
          <w:szCs w:val="20"/>
          <w:lang w:val="en-US" w:eastAsia="en-US" w:bidi="en-US"/>
        </w:rPr>
        <w:t xml:space="preserve">when </w:t>
      </w:r>
      <w:r w:rsidR="005B6F56" w:rsidRPr="00012C3F">
        <w:rPr>
          <w:rFonts w:eastAsia="MS Mincho"/>
          <w:sz w:val="20"/>
          <w:szCs w:val="20"/>
          <w:lang w:val="en-US" w:eastAsia="en-US" w:bidi="en-US"/>
        </w:rPr>
        <w:t>the facts of this case occurred, July 1, 2000, several of the standards for informed consent, in particular</w:t>
      </w:r>
      <w:r w:rsidR="001C2E6D" w:rsidRPr="00012C3F">
        <w:rPr>
          <w:rFonts w:eastAsia="MS Mincho"/>
          <w:sz w:val="20"/>
          <w:szCs w:val="20"/>
          <w:lang w:val="en-US" w:eastAsia="en-US" w:bidi="en-US"/>
        </w:rPr>
        <w:t xml:space="preserve"> regarding</w:t>
      </w:r>
      <w:r w:rsidR="005B6F56" w:rsidRPr="00012C3F">
        <w:rPr>
          <w:rFonts w:eastAsia="MS Mincho"/>
          <w:sz w:val="20"/>
          <w:szCs w:val="20"/>
          <w:lang w:val="en-US" w:eastAsia="en-US" w:bidi="en-US"/>
        </w:rPr>
        <w:t xml:space="preserve"> the information that health-care personnel should provide to the patient</w:t>
      </w:r>
      <w:r w:rsidR="00724EF4" w:rsidRPr="00012C3F">
        <w:rPr>
          <w:rFonts w:eastAsia="MS Mincho"/>
          <w:sz w:val="20"/>
          <w:szCs w:val="20"/>
          <w:lang w:val="en-US" w:eastAsia="en-US" w:bidi="en-US"/>
        </w:rPr>
        <w:t>,</w:t>
      </w:r>
      <w:r w:rsidR="005B6F56" w:rsidRPr="00012C3F">
        <w:rPr>
          <w:rFonts w:eastAsia="MS Mincho"/>
          <w:sz w:val="20"/>
          <w:szCs w:val="20"/>
          <w:lang w:val="en-US" w:eastAsia="en-US" w:bidi="en-US"/>
        </w:rPr>
        <w:t xml:space="preserve"> were not in force. The Court understands that the essential elements of consent have remained untouched throughout the evolution of the concept, as will be referred to below. However, it is possible to note that, nowadays, these elements have been incorporated into both international law and the domestic law of the States including, for example, more detail and specificity </w:t>
      </w:r>
      <w:r w:rsidR="001C2E6D" w:rsidRPr="00012C3F">
        <w:rPr>
          <w:rFonts w:eastAsia="MS Mincho"/>
          <w:sz w:val="20"/>
          <w:szCs w:val="20"/>
          <w:lang w:val="en-US" w:eastAsia="en-US" w:bidi="en-US"/>
        </w:rPr>
        <w:t>concerning</w:t>
      </w:r>
      <w:r w:rsidR="005B6F56" w:rsidRPr="00012C3F">
        <w:rPr>
          <w:rFonts w:eastAsia="MS Mincho"/>
          <w:sz w:val="20"/>
          <w:szCs w:val="20"/>
          <w:lang w:val="en-US" w:eastAsia="en-US" w:bidi="en-US"/>
        </w:rPr>
        <w:t xml:space="preserve"> the </w:t>
      </w:r>
      <w:r w:rsidR="001C2E6D" w:rsidRPr="00012C3F">
        <w:rPr>
          <w:rFonts w:eastAsia="MS Mincho"/>
          <w:sz w:val="20"/>
          <w:szCs w:val="20"/>
          <w:lang w:val="en-US" w:eastAsia="en-US" w:bidi="en-US"/>
        </w:rPr>
        <w:t xml:space="preserve">type and </w:t>
      </w:r>
      <w:r w:rsidR="005B6F56" w:rsidRPr="00012C3F">
        <w:rPr>
          <w:rFonts w:eastAsia="MS Mincho"/>
          <w:sz w:val="20"/>
          <w:szCs w:val="20"/>
          <w:lang w:val="en-US" w:eastAsia="en-US" w:bidi="en-US"/>
        </w:rPr>
        <w:t xml:space="preserve">content </w:t>
      </w:r>
      <w:r w:rsidR="001C2E6D" w:rsidRPr="00012C3F">
        <w:rPr>
          <w:rFonts w:eastAsia="MS Mincho"/>
          <w:sz w:val="20"/>
          <w:szCs w:val="20"/>
          <w:lang w:val="en-US" w:eastAsia="en-US" w:bidi="en-US"/>
        </w:rPr>
        <w:t>of the</w:t>
      </w:r>
      <w:r w:rsidR="005B6F56" w:rsidRPr="00012C3F">
        <w:rPr>
          <w:rFonts w:eastAsia="MS Mincho"/>
          <w:sz w:val="20"/>
          <w:szCs w:val="20"/>
          <w:lang w:val="en-US" w:eastAsia="en-US" w:bidi="en-US"/>
        </w:rPr>
        <w:t xml:space="preserve"> information that must be provide to the patient so that the latter can </w:t>
      </w:r>
      <w:r w:rsidR="005B6F56" w:rsidRPr="00012C3F">
        <w:rPr>
          <w:rFonts w:eastAsia="MS Mincho"/>
          <w:sz w:val="20"/>
          <w:szCs w:val="20"/>
          <w:lang w:val="en-US" w:eastAsia="en-US" w:bidi="en-US"/>
        </w:rPr>
        <w:lastRenderedPageBreak/>
        <w:t xml:space="preserve">take a decision, depending on </w:t>
      </w:r>
      <w:r w:rsidR="004914D2" w:rsidRPr="00012C3F">
        <w:rPr>
          <w:rFonts w:eastAsia="MS Mincho"/>
          <w:sz w:val="20"/>
          <w:szCs w:val="20"/>
          <w:lang w:val="en-US" w:eastAsia="en-US" w:bidi="en-US"/>
        </w:rPr>
        <w:t>the medical intervention</w:t>
      </w:r>
      <w:r w:rsidR="005B6F56" w:rsidRPr="00012C3F">
        <w:rPr>
          <w:rFonts w:eastAsia="MS Mincho"/>
          <w:sz w:val="20"/>
          <w:szCs w:val="20"/>
          <w:lang w:val="en-US" w:eastAsia="en-US" w:bidi="en-US"/>
        </w:rPr>
        <w:t xml:space="preserve"> concerned. In the Court’s opinion, this means that</w:t>
      </w:r>
      <w:r w:rsidR="001C2E6D" w:rsidRPr="00012C3F">
        <w:rPr>
          <w:rFonts w:eastAsia="MS Mincho"/>
          <w:sz w:val="20"/>
          <w:szCs w:val="20"/>
          <w:lang w:val="en-US" w:eastAsia="en-US" w:bidi="en-US"/>
        </w:rPr>
        <w:t xml:space="preserve">, </w:t>
      </w:r>
      <w:r w:rsidR="005B6F56" w:rsidRPr="00012C3F">
        <w:rPr>
          <w:rFonts w:eastAsia="MS Mincho"/>
          <w:sz w:val="20"/>
          <w:szCs w:val="20"/>
          <w:lang w:val="en-US" w:eastAsia="en-US" w:bidi="en-US"/>
        </w:rPr>
        <w:t>in a case of sterilization in 2000</w:t>
      </w:r>
      <w:r w:rsidR="001C2E6D" w:rsidRPr="00012C3F">
        <w:rPr>
          <w:rFonts w:eastAsia="MS Mincho"/>
          <w:sz w:val="20"/>
          <w:szCs w:val="20"/>
          <w:lang w:val="en-US" w:eastAsia="en-US" w:bidi="en-US"/>
        </w:rPr>
        <w:t>, the basic essential information</w:t>
      </w:r>
      <w:r w:rsidR="005B6F56" w:rsidRPr="00012C3F">
        <w:rPr>
          <w:rFonts w:eastAsia="MS Mincho"/>
          <w:sz w:val="20"/>
          <w:szCs w:val="20"/>
          <w:lang w:val="en-US" w:eastAsia="en-US" w:bidi="en-US"/>
        </w:rPr>
        <w:t xml:space="preserve"> could not be </w:t>
      </w:r>
      <w:r w:rsidR="001C2E6D" w:rsidRPr="00012C3F">
        <w:rPr>
          <w:rFonts w:eastAsia="MS Mincho"/>
          <w:sz w:val="20"/>
          <w:szCs w:val="20"/>
          <w:lang w:val="en-US" w:eastAsia="en-US" w:bidi="en-US"/>
        </w:rPr>
        <w:t>omitted</w:t>
      </w:r>
      <w:r w:rsidR="005B6F56" w:rsidRPr="00012C3F">
        <w:rPr>
          <w:rFonts w:eastAsia="MS Mincho"/>
          <w:sz w:val="20"/>
          <w:szCs w:val="20"/>
          <w:lang w:val="en-US" w:eastAsia="en-US" w:bidi="en-US"/>
        </w:rPr>
        <w:t xml:space="preserve"> by the health personnel</w:t>
      </w:r>
      <w:r w:rsidR="00E17AF2" w:rsidRPr="00012C3F">
        <w:rPr>
          <w:rFonts w:eastAsia="MS Mincho" w:cs="Arial"/>
          <w:sz w:val="20"/>
          <w:szCs w:val="20"/>
          <w:lang w:val="en-US" w:eastAsia="en-US" w:bidi="en-US"/>
        </w:rPr>
        <w:t xml:space="preserve"> (</w:t>
      </w:r>
      <w:r w:rsidR="00E17AF2" w:rsidRPr="00012C3F">
        <w:rPr>
          <w:rFonts w:eastAsia="MS Mincho" w:cs="Arial"/>
          <w:i/>
          <w:sz w:val="20"/>
          <w:szCs w:val="20"/>
          <w:lang w:val="en-US" w:eastAsia="en-US" w:bidi="en-US"/>
        </w:rPr>
        <w:t>infra</w:t>
      </w:r>
      <w:r w:rsidR="00E17AF2" w:rsidRPr="00012C3F">
        <w:rPr>
          <w:rFonts w:eastAsia="MS Mincho" w:cs="Arial"/>
          <w:sz w:val="20"/>
          <w:szCs w:val="20"/>
          <w:lang w:val="en-US" w:eastAsia="en-US" w:bidi="en-US"/>
        </w:rPr>
        <w:t xml:space="preserve"> </w:t>
      </w:r>
      <w:r w:rsidR="00370DD4" w:rsidRPr="00012C3F">
        <w:rPr>
          <w:rFonts w:eastAsia="MS Mincho" w:cs="Arial"/>
          <w:sz w:val="20"/>
          <w:szCs w:val="20"/>
          <w:lang w:val="en-US" w:eastAsia="en-US" w:bidi="en-US"/>
        </w:rPr>
        <w:t>para.</w:t>
      </w:r>
      <w:r w:rsidR="00E17AF2" w:rsidRPr="00012C3F">
        <w:rPr>
          <w:rFonts w:eastAsia="MS Mincho" w:cs="Arial"/>
          <w:sz w:val="20"/>
          <w:szCs w:val="20"/>
          <w:lang w:val="en-US" w:eastAsia="en-US" w:bidi="en-US"/>
        </w:rPr>
        <w:t xml:space="preserve"> </w:t>
      </w:r>
      <w:r w:rsidR="00824008" w:rsidRPr="00012C3F">
        <w:rPr>
          <w:rFonts w:eastAsia="MS Mincho" w:cs="Arial"/>
          <w:sz w:val="20"/>
          <w:szCs w:val="20"/>
          <w:lang w:val="en-US" w:eastAsia="en-US" w:bidi="en-US"/>
        </w:rPr>
        <w:t xml:space="preserve">190). </w:t>
      </w:r>
      <w:r w:rsidR="00E17AF2" w:rsidRPr="00012C3F">
        <w:rPr>
          <w:rFonts w:eastAsia="MS Mincho" w:cs="Arial"/>
          <w:sz w:val="20"/>
          <w:szCs w:val="20"/>
          <w:lang w:val="en-US" w:eastAsia="en-US" w:bidi="en-US"/>
        </w:rPr>
        <w:t>A</w:t>
      </w:r>
      <w:r w:rsidR="005B6F56" w:rsidRPr="00012C3F">
        <w:rPr>
          <w:rFonts w:eastAsia="MS Mincho" w:cs="Arial"/>
          <w:sz w:val="20"/>
          <w:szCs w:val="20"/>
          <w:lang w:val="en-US" w:eastAsia="en-US" w:bidi="en-US"/>
        </w:rPr>
        <w:t>lso</w:t>
      </w:r>
      <w:r w:rsidR="00E17AF2" w:rsidRPr="00012C3F">
        <w:rPr>
          <w:rFonts w:eastAsia="MS Mincho" w:cs="Arial"/>
          <w:sz w:val="20"/>
          <w:szCs w:val="20"/>
          <w:lang w:val="en-US" w:eastAsia="en-US" w:bidi="en-US"/>
        </w:rPr>
        <w:t xml:space="preserve">, </w:t>
      </w:r>
      <w:r w:rsidR="001254DE" w:rsidRPr="00012C3F">
        <w:rPr>
          <w:rFonts w:eastAsia="MS Mincho"/>
          <w:sz w:val="20"/>
          <w:szCs w:val="20"/>
          <w:lang w:val="en-US" w:eastAsia="en-US" w:bidi="en-US"/>
        </w:rPr>
        <w:t>the Court</w:t>
      </w:r>
      <w:r w:rsidR="00E17AF2" w:rsidRPr="00012C3F">
        <w:rPr>
          <w:rFonts w:eastAsia="MS Mincho"/>
          <w:sz w:val="20"/>
          <w:szCs w:val="20"/>
          <w:lang w:val="en-US" w:eastAsia="en-US" w:bidi="en-US"/>
        </w:rPr>
        <w:t xml:space="preserve"> </w:t>
      </w:r>
      <w:r w:rsidR="005B6F56" w:rsidRPr="00012C3F">
        <w:rPr>
          <w:rFonts w:eastAsia="MS Mincho"/>
          <w:sz w:val="20"/>
          <w:szCs w:val="20"/>
          <w:lang w:val="en-US" w:eastAsia="en-US" w:bidi="en-US"/>
        </w:rPr>
        <w:t>finds it opportune to recall that</w:t>
      </w:r>
      <w:r w:rsidR="001C2E6D" w:rsidRPr="00012C3F">
        <w:rPr>
          <w:rFonts w:eastAsia="MS Mincho"/>
          <w:sz w:val="20"/>
          <w:szCs w:val="20"/>
          <w:lang w:val="en-US" w:eastAsia="en-US" w:bidi="en-US"/>
        </w:rPr>
        <w:t>, based on the facts of this case,</w:t>
      </w:r>
      <w:r w:rsidR="005B6F56" w:rsidRPr="00012C3F">
        <w:rPr>
          <w:rFonts w:eastAsia="MS Mincho"/>
          <w:sz w:val="20"/>
          <w:szCs w:val="20"/>
          <w:lang w:val="en-US" w:eastAsia="en-US" w:bidi="en-US"/>
        </w:rPr>
        <w:t xml:space="preserve"> the obligation to obtain informed consent </w:t>
      </w:r>
      <w:r w:rsidR="001C2E6D" w:rsidRPr="00012C3F">
        <w:rPr>
          <w:rFonts w:eastAsia="MS Mincho"/>
          <w:sz w:val="20"/>
          <w:szCs w:val="20"/>
          <w:lang w:val="en-US" w:eastAsia="en-US" w:bidi="en-US"/>
        </w:rPr>
        <w:t>was</w:t>
      </w:r>
      <w:r w:rsidR="007B0C04" w:rsidRPr="00012C3F">
        <w:rPr>
          <w:rFonts w:eastAsia="MS Mincho"/>
          <w:sz w:val="20"/>
          <w:szCs w:val="20"/>
          <w:lang w:val="en-US" w:eastAsia="en-US" w:bidi="en-US"/>
        </w:rPr>
        <w:t xml:space="preserve"> a crucial mechanism for the effective enjoyment of other rights recognized in </w:t>
      </w:r>
      <w:r w:rsidR="007B0C04" w:rsidRPr="00012C3F">
        <w:rPr>
          <w:rFonts w:eastAsia="MS Mincho" w:cs="Arial"/>
          <w:sz w:val="20"/>
          <w:szCs w:val="20"/>
          <w:lang w:val="en-US" w:eastAsia="en-US" w:bidi="en-US"/>
        </w:rPr>
        <w:t xml:space="preserve">the </w:t>
      </w:r>
      <w:r w:rsidR="007B0C04" w:rsidRPr="00012C3F">
        <w:rPr>
          <w:rFonts w:eastAsia="MS Mincho"/>
          <w:sz w:val="20"/>
          <w:szCs w:val="20"/>
          <w:lang w:val="en-US" w:eastAsia="en-US" w:bidi="en-US"/>
        </w:rPr>
        <w:t>American Convention</w:t>
      </w:r>
      <w:r w:rsidR="001C2E6D" w:rsidRPr="00012C3F">
        <w:rPr>
          <w:rFonts w:eastAsia="MS Mincho"/>
          <w:sz w:val="20"/>
          <w:szCs w:val="20"/>
          <w:lang w:val="en-US" w:eastAsia="en-US" w:bidi="en-US"/>
        </w:rPr>
        <w:t xml:space="preserve">; thus, </w:t>
      </w:r>
      <w:r w:rsidR="007B0C04" w:rsidRPr="00012C3F">
        <w:rPr>
          <w:rFonts w:eastAsia="MS Mincho"/>
          <w:sz w:val="20"/>
          <w:szCs w:val="20"/>
          <w:lang w:val="en-US" w:eastAsia="en-US" w:bidi="en-US"/>
        </w:rPr>
        <w:t>the year in which the wrongful acts took place</w:t>
      </w:r>
      <w:r w:rsidR="001C2E6D" w:rsidRPr="00012C3F">
        <w:rPr>
          <w:rFonts w:eastAsia="MS Mincho"/>
          <w:sz w:val="20"/>
          <w:szCs w:val="20"/>
          <w:lang w:val="en-US" w:eastAsia="en-US" w:bidi="en-US"/>
        </w:rPr>
        <w:t xml:space="preserve"> was irrelevant</w:t>
      </w:r>
      <w:r w:rsidR="007B0C04" w:rsidRPr="00012C3F">
        <w:rPr>
          <w:rFonts w:eastAsia="MS Mincho"/>
          <w:sz w:val="20"/>
          <w:szCs w:val="20"/>
          <w:lang w:val="en-US" w:eastAsia="en-US" w:bidi="en-US"/>
        </w:rPr>
        <w:t xml:space="preserve">. The </w:t>
      </w:r>
      <w:r w:rsidR="007B0C04" w:rsidRPr="00012C3F">
        <w:rPr>
          <w:rFonts w:eastAsia="MS Mincho" w:cs="Arial"/>
          <w:sz w:val="20"/>
          <w:szCs w:val="20"/>
          <w:lang w:val="en-US" w:eastAsia="en-US" w:bidi="en-US"/>
        </w:rPr>
        <w:t xml:space="preserve">obligation to obtain informed consent should </w:t>
      </w:r>
      <w:r w:rsidR="001C2E6D" w:rsidRPr="00012C3F">
        <w:rPr>
          <w:rFonts w:eastAsia="MS Mincho" w:cs="Arial"/>
          <w:sz w:val="20"/>
          <w:szCs w:val="20"/>
          <w:lang w:val="en-US" w:eastAsia="en-US" w:bidi="en-US"/>
        </w:rPr>
        <w:t xml:space="preserve">have </w:t>
      </w:r>
      <w:r w:rsidR="007B0C04" w:rsidRPr="00012C3F">
        <w:rPr>
          <w:rFonts w:eastAsia="MS Mincho" w:cs="Arial"/>
          <w:sz w:val="20"/>
          <w:szCs w:val="20"/>
          <w:lang w:val="en-US" w:eastAsia="en-US" w:bidi="en-US"/>
        </w:rPr>
        <w:t>be</w:t>
      </w:r>
      <w:r w:rsidR="001C2E6D" w:rsidRPr="00012C3F">
        <w:rPr>
          <w:rFonts w:eastAsia="MS Mincho" w:cs="Arial"/>
          <w:sz w:val="20"/>
          <w:szCs w:val="20"/>
          <w:lang w:val="en-US" w:eastAsia="en-US" w:bidi="en-US"/>
        </w:rPr>
        <w:t>en</w:t>
      </w:r>
      <w:r w:rsidR="007B0C04" w:rsidRPr="00012C3F">
        <w:rPr>
          <w:rFonts w:eastAsia="MS Mincho" w:cs="Arial"/>
          <w:sz w:val="20"/>
          <w:szCs w:val="20"/>
          <w:lang w:val="en-US" w:eastAsia="en-US" w:bidi="en-US"/>
        </w:rPr>
        <w:t xml:space="preserve"> respected by the States Parties from the moment they ratified </w:t>
      </w:r>
      <w:r w:rsidR="006D715F" w:rsidRPr="00012C3F">
        <w:rPr>
          <w:rFonts w:eastAsia="MS Mincho" w:cs="Arial"/>
          <w:sz w:val="20"/>
          <w:szCs w:val="20"/>
          <w:lang w:val="en-US" w:eastAsia="en-US" w:bidi="en-US"/>
        </w:rPr>
        <w:t>this treaty</w:t>
      </w:r>
      <w:r w:rsidR="007B0C04" w:rsidRPr="00012C3F">
        <w:rPr>
          <w:rFonts w:eastAsia="MS Mincho" w:cs="Arial"/>
          <w:sz w:val="20"/>
          <w:szCs w:val="20"/>
          <w:lang w:val="en-US" w:eastAsia="en-US" w:bidi="en-US"/>
        </w:rPr>
        <w:t xml:space="preserve">; </w:t>
      </w:r>
      <w:r w:rsidR="001C2E6D" w:rsidRPr="00012C3F">
        <w:rPr>
          <w:rFonts w:eastAsia="MS Mincho" w:cs="Arial"/>
          <w:sz w:val="20"/>
          <w:szCs w:val="20"/>
          <w:lang w:val="en-US" w:eastAsia="en-US" w:bidi="en-US"/>
        </w:rPr>
        <w:t>it</w:t>
      </w:r>
      <w:r w:rsidR="007B0C04" w:rsidRPr="00012C3F">
        <w:rPr>
          <w:rFonts w:eastAsia="MS Mincho" w:cs="Arial"/>
          <w:sz w:val="20"/>
          <w:szCs w:val="20"/>
          <w:lang w:val="en-US" w:eastAsia="en-US" w:bidi="en-US"/>
        </w:rPr>
        <w:t xml:space="preserve"> d</w:t>
      </w:r>
      <w:r w:rsidR="001C2E6D" w:rsidRPr="00012C3F">
        <w:rPr>
          <w:rFonts w:eastAsia="MS Mincho" w:cs="Arial"/>
          <w:sz w:val="20"/>
          <w:szCs w:val="20"/>
          <w:lang w:val="en-US" w:eastAsia="en-US" w:bidi="en-US"/>
        </w:rPr>
        <w:t>id</w:t>
      </w:r>
      <w:r w:rsidR="007B0C04" w:rsidRPr="00012C3F">
        <w:rPr>
          <w:rFonts w:eastAsia="MS Mincho" w:cs="Arial"/>
          <w:sz w:val="20"/>
          <w:szCs w:val="20"/>
          <w:lang w:val="en-US" w:eastAsia="en-US" w:bidi="en-US"/>
        </w:rPr>
        <w:t xml:space="preserve"> not arise following </w:t>
      </w:r>
      <w:r w:rsidR="006D715F" w:rsidRPr="00012C3F">
        <w:rPr>
          <w:rFonts w:eastAsia="MS Mincho" w:cs="Arial"/>
          <w:sz w:val="20"/>
          <w:szCs w:val="20"/>
          <w:lang w:val="en-US" w:eastAsia="en-US" w:bidi="en-US"/>
        </w:rPr>
        <w:t>the Court’s</w:t>
      </w:r>
      <w:r w:rsidR="007B0C04" w:rsidRPr="00012C3F">
        <w:rPr>
          <w:rFonts w:eastAsia="MS Mincho" w:cs="Arial"/>
          <w:sz w:val="20"/>
          <w:szCs w:val="20"/>
          <w:lang w:val="en-US" w:eastAsia="en-US" w:bidi="en-US"/>
        </w:rPr>
        <w:t xml:space="preserve"> application and interpretation </w:t>
      </w:r>
      <w:r w:rsidR="006D715F" w:rsidRPr="00012C3F">
        <w:rPr>
          <w:rFonts w:eastAsia="MS Mincho" w:cs="Arial"/>
          <w:sz w:val="20"/>
          <w:szCs w:val="20"/>
          <w:lang w:val="en-US" w:eastAsia="en-US" w:bidi="en-US"/>
        </w:rPr>
        <w:t>of the Convention</w:t>
      </w:r>
      <w:r w:rsidR="007B0C04" w:rsidRPr="00012C3F">
        <w:rPr>
          <w:rFonts w:eastAsia="MS Mincho" w:cs="Arial"/>
          <w:sz w:val="20"/>
          <w:szCs w:val="20"/>
          <w:lang w:val="en-US" w:eastAsia="en-US" w:bidi="en-US"/>
        </w:rPr>
        <w:t xml:space="preserve"> in the exercise of its contentious jurisdiction.</w:t>
      </w:r>
      <w:r w:rsidR="00E17AF2" w:rsidRPr="00012C3F">
        <w:rPr>
          <w:rFonts w:eastAsia="MS Mincho"/>
          <w:sz w:val="20"/>
          <w:szCs w:val="20"/>
          <w:vertAlign w:val="superscript"/>
          <w:lang w:val="en-US" w:eastAsia="en-US" w:bidi="en-US"/>
        </w:rPr>
        <w:footnoteReference w:id="196"/>
      </w:r>
    </w:p>
    <w:p w14:paraId="4015B328" w14:textId="77777777" w:rsidR="00E17AF2" w:rsidRPr="00012C3F" w:rsidRDefault="00E17AF2" w:rsidP="00936568">
      <w:pPr>
        <w:tabs>
          <w:tab w:val="left" w:pos="567"/>
          <w:tab w:val="left" w:pos="720"/>
        </w:tabs>
        <w:spacing w:line="240" w:lineRule="auto"/>
        <w:rPr>
          <w:rFonts w:eastAsia="MS Mincho"/>
          <w:sz w:val="20"/>
          <w:szCs w:val="20"/>
          <w:lang w:val="en-US" w:eastAsia="en-US" w:bidi="en-US"/>
        </w:rPr>
      </w:pPr>
    </w:p>
    <w:p w14:paraId="1B86CBE4" w14:textId="77777777" w:rsidR="00E17AF2" w:rsidRPr="00012C3F" w:rsidRDefault="007B0C04" w:rsidP="007B0C04">
      <w:pPr>
        <w:widowControl/>
        <w:numPr>
          <w:ilvl w:val="0"/>
          <w:numId w:val="5"/>
        </w:numPr>
        <w:tabs>
          <w:tab w:val="left" w:pos="720"/>
          <w:tab w:val="num" w:pos="12305"/>
        </w:tabs>
        <w:adjustRightInd/>
        <w:spacing w:line="240" w:lineRule="auto"/>
        <w:ind w:left="0" w:right="-90" w:firstLine="0"/>
        <w:textAlignment w:val="auto"/>
        <w:rPr>
          <w:rFonts w:eastAsia="MS Mincho"/>
          <w:sz w:val="20"/>
          <w:szCs w:val="20"/>
          <w:lang w:val="en-US" w:eastAsia="en-US" w:bidi="en-US"/>
        </w:rPr>
      </w:pPr>
      <w:r w:rsidRPr="00012C3F">
        <w:rPr>
          <w:rFonts w:eastAsia="MS Mincho"/>
          <w:sz w:val="20"/>
          <w:szCs w:val="20"/>
          <w:lang w:val="en-US" w:eastAsia="en-US" w:bidi="en-US"/>
        </w:rPr>
        <w:t xml:space="preserve">That said, the Court notes that the inter-American system for the protection of human rights does not </w:t>
      </w:r>
      <w:r w:rsidR="006D715F" w:rsidRPr="00012C3F">
        <w:rPr>
          <w:rFonts w:eastAsia="MS Mincho"/>
          <w:sz w:val="20"/>
          <w:szCs w:val="20"/>
          <w:lang w:val="en-US" w:eastAsia="en-US" w:bidi="en-US"/>
        </w:rPr>
        <w:t>include</w:t>
      </w:r>
      <w:r w:rsidRPr="00012C3F">
        <w:rPr>
          <w:rFonts w:eastAsia="MS Mincho"/>
          <w:sz w:val="20"/>
          <w:szCs w:val="20"/>
          <w:lang w:val="en-US" w:eastAsia="en-US" w:bidi="en-US"/>
        </w:rPr>
        <w:t xml:space="preserve"> a treaty-based norm on</w:t>
      </w:r>
      <w:r w:rsidR="006D715F" w:rsidRPr="00012C3F">
        <w:rPr>
          <w:rFonts w:eastAsia="MS Mincho"/>
          <w:sz w:val="20"/>
          <w:szCs w:val="20"/>
          <w:lang w:val="en-US" w:eastAsia="en-US" w:bidi="en-US"/>
        </w:rPr>
        <w:t xml:space="preserve"> regional</w:t>
      </w:r>
      <w:r w:rsidRPr="00012C3F">
        <w:rPr>
          <w:rFonts w:eastAsia="MS Mincho"/>
          <w:sz w:val="20"/>
          <w:szCs w:val="20"/>
          <w:lang w:val="en-US" w:eastAsia="en-US" w:bidi="en-US"/>
        </w:rPr>
        <w:t xml:space="preserve"> bioethics and human rights that develops the scope and content of the rule of </w:t>
      </w:r>
      <w:r w:rsidR="00AC0004" w:rsidRPr="00012C3F">
        <w:rPr>
          <w:rFonts w:eastAsia="MS Mincho"/>
          <w:bCs/>
          <w:sz w:val="20"/>
          <w:szCs w:val="20"/>
          <w:lang w:val="en-US" w:eastAsia="en-US" w:bidi="en-US"/>
        </w:rPr>
        <w:t>informed consent</w:t>
      </w:r>
      <w:r w:rsidRPr="00012C3F">
        <w:rPr>
          <w:rFonts w:eastAsia="MS Mincho"/>
          <w:bCs/>
          <w:sz w:val="20"/>
          <w:szCs w:val="20"/>
          <w:lang w:val="en-US" w:eastAsia="en-US" w:bidi="en-US"/>
        </w:rPr>
        <w:t>.</w:t>
      </w:r>
      <w:r w:rsidR="00E17AF2" w:rsidRPr="00012C3F">
        <w:rPr>
          <w:rStyle w:val="Refdenotaalpie"/>
          <w:rFonts w:eastAsia="MS Mincho"/>
          <w:bCs/>
          <w:sz w:val="20"/>
          <w:szCs w:val="20"/>
          <w:lang w:val="en-US" w:eastAsia="en-US" w:bidi="en-US"/>
        </w:rPr>
        <w:footnoteReference w:id="197"/>
      </w:r>
      <w:r w:rsidRPr="00012C3F">
        <w:rPr>
          <w:rFonts w:eastAsia="MS Mincho"/>
          <w:bCs/>
          <w:sz w:val="20"/>
          <w:szCs w:val="20"/>
          <w:lang w:val="en-US" w:eastAsia="en-US" w:bidi="en-US"/>
        </w:rPr>
        <w:t xml:space="preserve"> Therefore, to interpret the scope of the State obligations in relation to the facts of this case, the Court will have recourse, based on the general rules of interpretation established in </w:t>
      </w:r>
      <w:r w:rsidRPr="00012C3F">
        <w:rPr>
          <w:rFonts w:eastAsia="MS Mincho"/>
          <w:sz w:val="20"/>
          <w:szCs w:val="20"/>
          <w:lang w:val="en-US" w:eastAsia="de-DE" w:bidi="en-US"/>
        </w:rPr>
        <w:t>Article 29 of the American Convention, and in the Vienna Convention on the Law of Treaties,</w:t>
      </w:r>
      <w:r w:rsidRPr="00012C3F">
        <w:rPr>
          <w:rFonts w:eastAsia="MS Mincho"/>
          <w:sz w:val="20"/>
          <w:szCs w:val="20"/>
          <w:vertAlign w:val="superscript"/>
          <w:lang w:val="en-US" w:eastAsia="de-DE" w:bidi="en-US"/>
        </w:rPr>
        <w:footnoteReference w:id="198"/>
      </w:r>
      <w:r w:rsidRPr="00012C3F">
        <w:rPr>
          <w:rFonts w:eastAsia="MS Mincho"/>
          <w:sz w:val="20"/>
          <w:szCs w:val="20"/>
          <w:lang w:val="en-US" w:eastAsia="de-DE" w:bidi="en-US"/>
        </w:rPr>
        <w:t xml:space="preserve"> </w:t>
      </w:r>
      <w:r w:rsidRPr="00012C3F">
        <w:rPr>
          <w:rFonts w:eastAsia="MS Mincho"/>
          <w:bCs/>
          <w:sz w:val="20"/>
          <w:szCs w:val="20"/>
          <w:lang w:val="en-US" w:eastAsia="en-US" w:bidi="en-US"/>
        </w:rPr>
        <w:t xml:space="preserve">to the international </w:t>
      </w:r>
      <w:r w:rsidRPr="00012C3F">
        <w:rPr>
          <w:rFonts w:eastAsia="MS Mincho"/>
          <w:bCs/>
          <w:i/>
          <w:sz w:val="20"/>
          <w:szCs w:val="20"/>
          <w:lang w:val="en-US" w:eastAsia="en-US" w:bidi="en-US"/>
        </w:rPr>
        <w:t>corpus juris</w:t>
      </w:r>
      <w:r w:rsidRPr="00012C3F">
        <w:rPr>
          <w:rFonts w:eastAsia="MS Mincho"/>
          <w:bCs/>
          <w:iCs/>
          <w:sz w:val="20"/>
          <w:szCs w:val="20"/>
          <w:lang w:val="en-US" w:eastAsia="en-US" w:bidi="en-US"/>
        </w:rPr>
        <w:t xml:space="preserve"> on the matter, as it has on previous occasions.</w:t>
      </w:r>
      <w:r w:rsidR="00E17AF2" w:rsidRPr="00012C3F">
        <w:rPr>
          <w:rFonts w:eastAsia="MS Mincho"/>
          <w:sz w:val="20"/>
          <w:szCs w:val="20"/>
          <w:vertAlign w:val="superscript"/>
          <w:lang w:val="en-US" w:eastAsia="en-US" w:bidi="en-US"/>
        </w:rPr>
        <w:footnoteReference w:id="199"/>
      </w:r>
      <w:r w:rsidRPr="00012C3F">
        <w:rPr>
          <w:rFonts w:eastAsia="MS Mincho"/>
          <w:sz w:val="20"/>
          <w:szCs w:val="20"/>
          <w:lang w:val="en-US" w:eastAsia="en-US" w:bidi="en-US"/>
        </w:rPr>
        <w:t xml:space="preserve"> Regarding consent, the </w:t>
      </w:r>
      <w:r w:rsidR="00E17AF2" w:rsidRPr="00012C3F">
        <w:rPr>
          <w:rFonts w:eastAsia="MS Mincho"/>
          <w:i/>
          <w:sz w:val="20"/>
          <w:szCs w:val="20"/>
          <w:lang w:val="en-US" w:eastAsia="en-US" w:bidi="en-US"/>
        </w:rPr>
        <w:t>corpus juris</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 xml:space="preserve">is based on international declarations, guidelines, opinions of expert medical committees, directives, criteria and other authorized statements by </w:t>
      </w:r>
      <w:r w:rsidR="006D715F" w:rsidRPr="00012C3F">
        <w:rPr>
          <w:rFonts w:eastAsia="MS Mincho"/>
          <w:sz w:val="20"/>
          <w:szCs w:val="20"/>
          <w:lang w:val="en-US" w:eastAsia="en-US" w:bidi="en-US"/>
        </w:rPr>
        <w:t xml:space="preserve">specialized </w:t>
      </w:r>
      <w:r w:rsidRPr="00012C3F">
        <w:rPr>
          <w:rFonts w:eastAsia="MS Mincho"/>
          <w:sz w:val="20"/>
          <w:szCs w:val="20"/>
          <w:lang w:val="en-US" w:eastAsia="en-US" w:bidi="en-US"/>
        </w:rPr>
        <w:t>bodies, such as the World Health Organization</w:t>
      </w:r>
      <w:r w:rsidR="00E17AF2" w:rsidRPr="00012C3F">
        <w:rPr>
          <w:rFonts w:eastAsia="MS Mincho"/>
          <w:sz w:val="20"/>
          <w:szCs w:val="20"/>
          <w:lang w:val="en-US" w:eastAsia="en-US" w:bidi="en-US"/>
        </w:rPr>
        <w:t xml:space="preserve"> (</w:t>
      </w:r>
      <w:r w:rsidR="001254DE" w:rsidRPr="00012C3F">
        <w:rPr>
          <w:rFonts w:eastAsia="MS Mincho"/>
          <w:sz w:val="20"/>
          <w:szCs w:val="20"/>
          <w:lang w:val="en-US" w:eastAsia="en-US" w:bidi="en-US"/>
        </w:rPr>
        <w:t>hereinafter</w:t>
      </w:r>
      <w:r w:rsidR="000339A2" w:rsidRPr="00012C3F">
        <w:rPr>
          <w:rFonts w:eastAsia="MS Mincho"/>
          <w:sz w:val="20"/>
          <w:szCs w:val="20"/>
          <w:lang w:val="en-US" w:eastAsia="en-US" w:bidi="en-US"/>
        </w:rPr>
        <w:t xml:space="preserve"> “</w:t>
      </w:r>
      <w:r w:rsidRPr="00012C3F">
        <w:rPr>
          <w:rFonts w:eastAsia="MS Mincho"/>
          <w:sz w:val="20"/>
          <w:szCs w:val="20"/>
          <w:lang w:val="en-US" w:eastAsia="en-US" w:bidi="en-US"/>
        </w:rPr>
        <w:t>WHO</w:t>
      </w:r>
      <w:r w:rsidR="000339A2" w:rsidRPr="00012C3F">
        <w:rPr>
          <w:rFonts w:eastAsia="MS Mincho"/>
          <w:sz w:val="20"/>
          <w:szCs w:val="20"/>
          <w:lang w:val="en-US" w:eastAsia="en-US" w:bidi="en-US"/>
        </w:rPr>
        <w:t>”</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 xml:space="preserve">the International Federation of Gynecology and Obstetrics </w:t>
      </w:r>
      <w:r w:rsidR="00E17AF2" w:rsidRPr="00012C3F">
        <w:rPr>
          <w:rFonts w:eastAsia="MS Mincho"/>
          <w:sz w:val="20"/>
          <w:szCs w:val="20"/>
          <w:lang w:val="en-US" w:eastAsia="en-US" w:bidi="en-US"/>
        </w:rPr>
        <w:t>(</w:t>
      </w:r>
      <w:r w:rsidR="001254DE" w:rsidRPr="00012C3F">
        <w:rPr>
          <w:rFonts w:eastAsia="MS Mincho"/>
          <w:sz w:val="20"/>
          <w:szCs w:val="20"/>
          <w:lang w:val="en-US" w:eastAsia="en-US" w:bidi="en-US"/>
        </w:rPr>
        <w:t>hereinafter</w:t>
      </w:r>
      <w:r w:rsidR="000339A2" w:rsidRPr="00012C3F">
        <w:rPr>
          <w:rFonts w:eastAsia="MS Mincho"/>
          <w:sz w:val="20"/>
          <w:szCs w:val="20"/>
          <w:lang w:val="en-US" w:eastAsia="en-US" w:bidi="en-US"/>
        </w:rPr>
        <w:t xml:space="preserve"> “</w:t>
      </w:r>
      <w:r w:rsidR="00E17AF2" w:rsidRPr="00012C3F">
        <w:rPr>
          <w:rFonts w:eastAsia="MS Mincho"/>
          <w:sz w:val="20"/>
          <w:szCs w:val="20"/>
          <w:lang w:val="en-US" w:eastAsia="en-US" w:bidi="en-US"/>
        </w:rPr>
        <w:t>FIGO</w:t>
      </w:r>
      <w:r w:rsidR="000339A2" w:rsidRPr="00012C3F">
        <w:rPr>
          <w:rFonts w:eastAsia="MS Mincho"/>
          <w:sz w:val="20"/>
          <w:szCs w:val="20"/>
          <w:lang w:val="en-US" w:eastAsia="en-US" w:bidi="en-US"/>
        </w:rPr>
        <w:t>”</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the World Medical Association</w:t>
      </w:r>
      <w:r w:rsidR="00E17AF2" w:rsidRPr="00012C3F">
        <w:rPr>
          <w:rFonts w:eastAsia="MS Mincho"/>
          <w:sz w:val="20"/>
          <w:szCs w:val="20"/>
          <w:lang w:val="en-US" w:eastAsia="en-US" w:bidi="en-US"/>
        </w:rPr>
        <w:t xml:space="preserve"> (</w:t>
      </w:r>
      <w:r w:rsidR="001254DE" w:rsidRPr="00012C3F">
        <w:rPr>
          <w:rFonts w:eastAsia="MS Mincho"/>
          <w:sz w:val="20"/>
          <w:szCs w:val="20"/>
          <w:lang w:val="en-US" w:eastAsia="en-US" w:bidi="en-US"/>
        </w:rPr>
        <w:t>hereinafter</w:t>
      </w:r>
      <w:r w:rsidR="000339A2" w:rsidRPr="00012C3F">
        <w:rPr>
          <w:rFonts w:eastAsia="MS Mincho"/>
          <w:sz w:val="20"/>
          <w:szCs w:val="20"/>
          <w:lang w:val="en-US" w:eastAsia="en-US" w:bidi="en-US"/>
        </w:rPr>
        <w:t xml:space="preserve"> </w:t>
      </w:r>
      <w:r w:rsidRPr="00012C3F">
        <w:rPr>
          <w:rFonts w:eastAsia="MS Mincho"/>
          <w:sz w:val="20"/>
          <w:szCs w:val="20"/>
          <w:lang w:val="en-US" w:eastAsia="en-US" w:bidi="en-US"/>
        </w:rPr>
        <w:t>also</w:t>
      </w:r>
      <w:r w:rsidR="000339A2" w:rsidRPr="00012C3F">
        <w:rPr>
          <w:rFonts w:eastAsia="MS Mincho"/>
          <w:sz w:val="20"/>
          <w:szCs w:val="20"/>
          <w:lang w:val="en-US" w:eastAsia="en-US" w:bidi="en-US"/>
        </w:rPr>
        <w:t xml:space="preserve"> “</w:t>
      </w:r>
      <w:r w:rsidRPr="00012C3F">
        <w:rPr>
          <w:rFonts w:eastAsia="MS Mincho"/>
          <w:sz w:val="20"/>
          <w:szCs w:val="20"/>
          <w:lang w:val="en-US" w:eastAsia="en-US" w:bidi="en-US"/>
        </w:rPr>
        <w:t>WMA</w:t>
      </w:r>
      <w:r w:rsidR="000339A2" w:rsidRPr="00012C3F">
        <w:rPr>
          <w:rFonts w:eastAsia="MS Mincho"/>
          <w:sz w:val="20"/>
          <w:szCs w:val="20"/>
          <w:lang w:val="en-US" w:eastAsia="en-US" w:bidi="en-US"/>
        </w:rPr>
        <w:t>”</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the United N</w:t>
      </w:r>
      <w:r w:rsidR="00E060D2" w:rsidRPr="00012C3F">
        <w:rPr>
          <w:sz w:val="20"/>
          <w:szCs w:val="20"/>
          <w:lang w:val="en-US"/>
        </w:rPr>
        <w:t>ations Educational, Scientific and Cultural Organization</w:t>
      </w:r>
      <w:r w:rsidR="00E17AF2" w:rsidRPr="00012C3F">
        <w:rPr>
          <w:rFonts w:eastAsia="MS Mincho"/>
          <w:sz w:val="20"/>
          <w:szCs w:val="20"/>
          <w:lang w:val="en-US" w:eastAsia="en-US" w:bidi="en-US"/>
        </w:rPr>
        <w:t xml:space="preserve"> (</w:t>
      </w:r>
      <w:r w:rsidR="001254DE" w:rsidRPr="00012C3F">
        <w:rPr>
          <w:rFonts w:eastAsia="MS Mincho"/>
          <w:sz w:val="20"/>
          <w:szCs w:val="20"/>
          <w:lang w:val="en-US" w:eastAsia="en-US" w:bidi="en-US"/>
        </w:rPr>
        <w:t>hereinafter</w:t>
      </w:r>
      <w:r w:rsidR="000339A2" w:rsidRPr="00012C3F">
        <w:rPr>
          <w:rFonts w:eastAsia="MS Mincho"/>
          <w:sz w:val="20"/>
          <w:szCs w:val="20"/>
          <w:lang w:val="en-US" w:eastAsia="en-US" w:bidi="en-US"/>
        </w:rPr>
        <w:t xml:space="preserve"> “</w:t>
      </w:r>
      <w:r w:rsidR="00E17AF2" w:rsidRPr="00012C3F">
        <w:rPr>
          <w:rFonts w:eastAsia="MS Mincho"/>
          <w:sz w:val="20"/>
          <w:szCs w:val="20"/>
          <w:lang w:val="en-US" w:eastAsia="en-US" w:bidi="en-US"/>
        </w:rPr>
        <w:t>UNESCO</w:t>
      </w:r>
      <w:r w:rsidR="000339A2" w:rsidRPr="00012C3F">
        <w:rPr>
          <w:rFonts w:eastAsia="MS Mincho"/>
          <w:sz w:val="20"/>
          <w:szCs w:val="20"/>
          <w:lang w:val="en-US" w:eastAsia="en-US" w:bidi="en-US"/>
        </w:rPr>
        <w:t>”</w:t>
      </w:r>
      <w:r w:rsidR="00E17AF2" w:rsidRPr="00012C3F">
        <w:rPr>
          <w:rFonts w:eastAsia="MS Mincho"/>
          <w:sz w:val="20"/>
          <w:szCs w:val="20"/>
          <w:lang w:val="en-US" w:eastAsia="en-US" w:bidi="en-US"/>
        </w:rPr>
        <w:t xml:space="preserve">), </w:t>
      </w:r>
      <w:r w:rsidR="00E060D2" w:rsidRPr="00012C3F">
        <w:rPr>
          <w:rFonts w:eastAsia="MS Mincho"/>
          <w:sz w:val="20"/>
          <w:szCs w:val="20"/>
          <w:lang w:val="en-US" w:eastAsia="en-US" w:bidi="en-US"/>
        </w:rPr>
        <w:t>the United Nations Treaty Bodies</w:t>
      </w:r>
      <w:r w:rsidR="00E17AF2" w:rsidRPr="00012C3F">
        <w:rPr>
          <w:rFonts w:eastAsia="MS Mincho"/>
          <w:sz w:val="20"/>
          <w:szCs w:val="20"/>
          <w:lang w:val="en-US" w:eastAsia="en-US" w:bidi="en-US"/>
        </w:rPr>
        <w:t xml:space="preserve">, </w:t>
      </w:r>
      <w:r w:rsidR="00E060D2" w:rsidRPr="00012C3F">
        <w:rPr>
          <w:rFonts w:eastAsia="MS Mincho"/>
          <w:sz w:val="20"/>
          <w:szCs w:val="20"/>
          <w:lang w:val="en-US" w:eastAsia="en-US" w:bidi="en-US"/>
        </w:rPr>
        <w:t>the Council of Europe</w:t>
      </w:r>
      <w:r w:rsidR="00E17AF2" w:rsidRPr="00012C3F">
        <w:rPr>
          <w:rFonts w:eastAsia="MS Mincho"/>
          <w:sz w:val="20"/>
          <w:szCs w:val="20"/>
          <w:lang w:val="en-US" w:eastAsia="en-US" w:bidi="en-US"/>
        </w:rPr>
        <w:t xml:space="preserve">, </w:t>
      </w:r>
      <w:r w:rsidR="006D715F" w:rsidRPr="00012C3F">
        <w:rPr>
          <w:rFonts w:eastAsia="MS Mincho"/>
          <w:sz w:val="20"/>
          <w:szCs w:val="20"/>
          <w:lang w:val="en-US" w:eastAsia="en-US" w:bidi="en-US"/>
        </w:rPr>
        <w:t xml:space="preserve">and </w:t>
      </w:r>
      <w:r w:rsidR="00E060D2" w:rsidRPr="00012C3F">
        <w:rPr>
          <w:rFonts w:eastAsia="MS Mincho"/>
          <w:sz w:val="20"/>
          <w:szCs w:val="20"/>
          <w:lang w:val="en-US" w:eastAsia="en-US" w:bidi="en-US"/>
        </w:rPr>
        <w:t>the</w:t>
      </w:r>
      <w:r w:rsidR="00E17AF2" w:rsidRPr="00012C3F">
        <w:rPr>
          <w:rFonts w:eastAsia="MS Mincho"/>
          <w:sz w:val="20"/>
          <w:szCs w:val="20"/>
          <w:lang w:val="en-US" w:eastAsia="en-US" w:bidi="en-US"/>
        </w:rPr>
        <w:t xml:space="preserve"> </w:t>
      </w:r>
      <w:r w:rsidR="00E060D2" w:rsidRPr="00012C3F">
        <w:rPr>
          <w:rFonts w:eastAsia="MS Mincho"/>
          <w:sz w:val="20"/>
          <w:szCs w:val="20"/>
          <w:lang w:val="en-US" w:eastAsia="en-US" w:bidi="en-US"/>
        </w:rPr>
        <w:t>European Court of Human Rights</w:t>
      </w:r>
      <w:r w:rsidR="00E17AF2" w:rsidRPr="00012C3F">
        <w:rPr>
          <w:rFonts w:eastAsia="MS Mincho"/>
          <w:sz w:val="20"/>
          <w:szCs w:val="20"/>
          <w:lang w:val="en-US" w:eastAsia="en-US" w:bidi="en-US"/>
        </w:rPr>
        <w:t xml:space="preserve">. </w:t>
      </w:r>
      <w:r w:rsidR="00E060D2" w:rsidRPr="00012C3F">
        <w:rPr>
          <w:rFonts w:eastAsia="MS Mincho"/>
          <w:sz w:val="20"/>
          <w:szCs w:val="20"/>
          <w:lang w:val="en-US" w:eastAsia="en-US" w:bidi="en-US"/>
        </w:rPr>
        <w:t>These agencies have established common legal standards that constitute general protection for the prior, free, full and informed nature of consent.</w:t>
      </w:r>
    </w:p>
    <w:p w14:paraId="1D48B2D0" w14:textId="77777777" w:rsidR="00E17AF2" w:rsidRPr="00012C3F" w:rsidRDefault="00E17AF2" w:rsidP="007B0C04">
      <w:pPr>
        <w:widowControl/>
        <w:tabs>
          <w:tab w:val="left" w:pos="720"/>
        </w:tabs>
        <w:adjustRightInd/>
        <w:spacing w:line="240" w:lineRule="auto"/>
        <w:ind w:right="-90"/>
        <w:textAlignment w:val="auto"/>
        <w:rPr>
          <w:rFonts w:eastAsia="MS Mincho"/>
          <w:sz w:val="20"/>
          <w:szCs w:val="20"/>
          <w:lang w:val="en-US" w:eastAsia="en-US" w:bidi="en-US"/>
        </w:rPr>
      </w:pPr>
    </w:p>
    <w:p w14:paraId="090085E5" w14:textId="77777777" w:rsidR="00E17AF2" w:rsidRPr="00012C3F" w:rsidRDefault="00E17AF2" w:rsidP="007B0C04">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sz w:val="20"/>
          <w:szCs w:val="20"/>
          <w:lang w:val="en-US" w:eastAsia="en-US" w:bidi="en-US"/>
        </w:rPr>
        <w:t>Re</w:t>
      </w:r>
      <w:r w:rsidR="00E060D2" w:rsidRPr="00012C3F">
        <w:rPr>
          <w:rFonts w:eastAsia="MS Mincho"/>
          <w:sz w:val="20"/>
          <w:szCs w:val="20"/>
          <w:lang w:val="en-US" w:eastAsia="en-US" w:bidi="en-US"/>
        </w:rPr>
        <w:t>garding the State's argument that the Commission had made numerous references to its thematic reports,</w:t>
      </w:r>
      <w:r w:rsidRPr="00012C3F">
        <w:rPr>
          <w:rStyle w:val="Refdenotaalpie"/>
          <w:rFonts w:eastAsia="MS Mincho"/>
          <w:sz w:val="20"/>
          <w:szCs w:val="20"/>
          <w:lang w:val="en-US" w:eastAsia="en-US" w:bidi="en-US"/>
        </w:rPr>
        <w:footnoteReference w:id="200"/>
      </w:r>
      <w:r w:rsidR="00E060D2" w:rsidRPr="00012C3F">
        <w:rPr>
          <w:rFonts w:eastAsia="MS Mincho"/>
          <w:sz w:val="20"/>
          <w:szCs w:val="20"/>
          <w:lang w:val="en-US" w:eastAsia="en-US" w:bidi="en-US"/>
        </w:rPr>
        <w:t xml:space="preserve"> seeking to use them to analyze the facts of the case, the Court notes that, among other sources, these were cited in the</w:t>
      </w:r>
      <w:r w:rsidRPr="00012C3F">
        <w:rPr>
          <w:rFonts w:eastAsia="MS Mincho"/>
          <w:sz w:val="20"/>
          <w:szCs w:val="20"/>
          <w:lang w:val="en-US" w:eastAsia="en-US" w:bidi="en-US"/>
        </w:rPr>
        <w:t xml:space="preserve"> </w:t>
      </w:r>
      <w:r w:rsidR="00E00902" w:rsidRPr="00012C3F">
        <w:rPr>
          <w:rFonts w:eastAsia="MS Mincho"/>
          <w:sz w:val="20"/>
          <w:szCs w:val="20"/>
          <w:lang w:val="en-US" w:eastAsia="en-US" w:bidi="en-US"/>
        </w:rPr>
        <w:t>Merits Report</w:t>
      </w:r>
      <w:r w:rsidR="00E060D2" w:rsidRPr="00012C3F">
        <w:rPr>
          <w:rFonts w:eastAsia="MS Mincho"/>
          <w:sz w:val="20"/>
          <w:szCs w:val="20"/>
          <w:lang w:val="en-US" w:eastAsia="en-US" w:bidi="en-US"/>
        </w:rPr>
        <w:t xml:space="preserve"> to interpret the scope and content of the obligations established in</w:t>
      </w:r>
      <w:r w:rsidR="001760C9" w:rsidRPr="00012C3F">
        <w:rPr>
          <w:rFonts w:eastAsia="MS Mincho"/>
          <w:sz w:val="20"/>
          <w:szCs w:val="20"/>
          <w:lang w:val="en-US" w:eastAsia="en-US" w:bidi="en-US"/>
        </w:rPr>
        <w:t xml:space="preserve"> </w:t>
      </w:r>
      <w:r w:rsidR="001254DE" w:rsidRPr="00012C3F">
        <w:rPr>
          <w:rFonts w:eastAsia="MS Mincho"/>
          <w:sz w:val="20"/>
          <w:szCs w:val="20"/>
          <w:lang w:val="en-US" w:eastAsia="en-US" w:bidi="en-US"/>
        </w:rPr>
        <w:t>the American Convention</w:t>
      </w:r>
      <w:r w:rsidRPr="00012C3F">
        <w:rPr>
          <w:rFonts w:eastAsia="MS Mincho"/>
          <w:sz w:val="20"/>
          <w:szCs w:val="20"/>
          <w:lang w:val="en-US" w:eastAsia="en-US" w:bidi="en-US"/>
        </w:rPr>
        <w:t xml:space="preserve">. </w:t>
      </w:r>
      <w:r w:rsidR="00E060D2" w:rsidRPr="00012C3F">
        <w:rPr>
          <w:rFonts w:eastAsia="MS Mincho"/>
          <w:sz w:val="20"/>
          <w:szCs w:val="20"/>
          <w:lang w:val="en-US" w:eastAsia="en-US" w:bidi="en-US"/>
        </w:rPr>
        <w:t xml:space="preserve">Even though the Court considers that the criteria established in these reports do not </w:t>
      </w:r>
      <w:r w:rsidR="006D715F" w:rsidRPr="00012C3F">
        <w:rPr>
          <w:rFonts w:eastAsia="MS Mincho"/>
          <w:sz w:val="20"/>
          <w:szCs w:val="20"/>
          <w:lang w:val="en-US" w:eastAsia="en-US" w:bidi="en-US"/>
        </w:rPr>
        <w:t>generate</w:t>
      </w:r>
      <w:r w:rsidR="00E060D2" w:rsidRPr="00012C3F">
        <w:rPr>
          <w:rFonts w:eastAsia="MS Mincho"/>
          <w:sz w:val="20"/>
          <w:szCs w:val="20"/>
          <w:lang w:val="en-US" w:eastAsia="en-US" w:bidi="en-US"/>
        </w:rPr>
        <w:t xml:space="preserve"> binding obligations for the State, this does not prevent the Commission from taking them into account</w:t>
      </w:r>
      <w:r w:rsidRPr="00012C3F">
        <w:rPr>
          <w:rFonts w:eastAsia="MS Mincho"/>
          <w:sz w:val="20"/>
          <w:szCs w:val="20"/>
          <w:lang w:val="en-US" w:eastAsia="en-US" w:bidi="en-US"/>
        </w:rPr>
        <w:t xml:space="preserve"> </w:t>
      </w:r>
      <w:r w:rsidR="00E060D2" w:rsidRPr="00012C3F">
        <w:rPr>
          <w:rFonts w:eastAsia="MS Mincho"/>
          <w:sz w:val="20"/>
          <w:szCs w:val="20"/>
          <w:lang w:val="en-US" w:eastAsia="en-US" w:bidi="en-US"/>
        </w:rPr>
        <w:t xml:space="preserve">because, when appropriate, they </w:t>
      </w:r>
      <w:r w:rsidR="006D715F" w:rsidRPr="00012C3F">
        <w:rPr>
          <w:rFonts w:eastAsia="MS Mincho"/>
          <w:sz w:val="20"/>
          <w:szCs w:val="20"/>
          <w:lang w:val="en-US" w:eastAsia="en-US" w:bidi="en-US"/>
        </w:rPr>
        <w:t>may</w:t>
      </w:r>
      <w:r w:rsidR="00E060D2" w:rsidRPr="00012C3F">
        <w:rPr>
          <w:rFonts w:eastAsia="MS Mincho"/>
          <w:sz w:val="20"/>
          <w:szCs w:val="20"/>
          <w:lang w:val="en-US" w:eastAsia="en-US" w:bidi="en-US"/>
        </w:rPr>
        <w:t xml:space="preserve"> guide or reinforce the Court’s interpretation and application of the international </w:t>
      </w:r>
      <w:r w:rsidRPr="00012C3F">
        <w:rPr>
          <w:rFonts w:eastAsia="MS Mincho"/>
          <w:i/>
          <w:sz w:val="20"/>
          <w:szCs w:val="20"/>
          <w:lang w:val="en-US" w:eastAsia="en-US" w:bidi="en-US"/>
        </w:rPr>
        <w:t>corpus juris</w:t>
      </w:r>
      <w:r w:rsidRPr="00012C3F">
        <w:rPr>
          <w:rFonts w:eastAsia="MS Mincho"/>
          <w:sz w:val="20"/>
          <w:szCs w:val="20"/>
          <w:lang w:val="en-US" w:eastAsia="en-US" w:bidi="en-US"/>
        </w:rPr>
        <w:t xml:space="preserve"> </w:t>
      </w:r>
      <w:r w:rsidR="006C705C" w:rsidRPr="00012C3F">
        <w:rPr>
          <w:rFonts w:eastAsia="MS Mincho"/>
          <w:sz w:val="20"/>
          <w:szCs w:val="20"/>
          <w:lang w:val="en-US" w:eastAsia="en-US" w:bidi="en-US"/>
        </w:rPr>
        <w:t xml:space="preserve">in this </w:t>
      </w:r>
      <w:r w:rsidR="006C705C" w:rsidRPr="00012C3F">
        <w:rPr>
          <w:rFonts w:eastAsia="MS Mincho"/>
          <w:sz w:val="20"/>
          <w:szCs w:val="20"/>
          <w:lang w:val="en-US" w:eastAsia="en-US" w:bidi="en-US"/>
        </w:rPr>
        <w:lastRenderedPageBreak/>
        <w:t>case</w:t>
      </w:r>
      <w:r w:rsidRPr="00012C3F">
        <w:rPr>
          <w:rFonts w:eastAsia="MS Mincho"/>
          <w:sz w:val="20"/>
          <w:szCs w:val="20"/>
          <w:lang w:val="en-US" w:eastAsia="en-US" w:bidi="en-US"/>
        </w:rPr>
        <w:t xml:space="preserve"> </w:t>
      </w:r>
      <w:r w:rsidR="00E060D2" w:rsidRPr="00012C3F">
        <w:rPr>
          <w:rFonts w:eastAsia="MS Mincho"/>
          <w:sz w:val="20"/>
          <w:szCs w:val="20"/>
          <w:lang w:val="en-US" w:eastAsia="en-US" w:bidi="en-US"/>
        </w:rPr>
        <w:t>insofar as they identify, systematize and analyze the relevant regional and international legal criteria</w:t>
      </w:r>
      <w:r w:rsidRPr="00012C3F">
        <w:rPr>
          <w:rFonts w:eastAsia="MS Mincho"/>
          <w:sz w:val="20"/>
          <w:szCs w:val="20"/>
          <w:lang w:val="en-US" w:eastAsia="en-US" w:bidi="en-US"/>
        </w:rPr>
        <w:t>.</w:t>
      </w:r>
    </w:p>
    <w:p w14:paraId="741D5BBC" w14:textId="77777777" w:rsidR="00E17AF2" w:rsidRPr="00012C3F" w:rsidRDefault="00E17AF2" w:rsidP="00936568">
      <w:pPr>
        <w:widowControl/>
        <w:tabs>
          <w:tab w:val="left" w:pos="720"/>
        </w:tabs>
        <w:adjustRightInd/>
        <w:spacing w:line="240" w:lineRule="auto"/>
        <w:ind w:right="-90"/>
        <w:textAlignment w:val="auto"/>
        <w:rPr>
          <w:rFonts w:eastAsia="MS Mincho"/>
          <w:sz w:val="20"/>
          <w:szCs w:val="20"/>
          <w:lang w:val="en-US" w:eastAsia="en-US" w:bidi="en-US"/>
        </w:rPr>
      </w:pPr>
    </w:p>
    <w:p w14:paraId="25552852" w14:textId="77777777" w:rsidR="00356E5D" w:rsidRPr="00012C3F" w:rsidRDefault="00356E5D" w:rsidP="00936568">
      <w:pPr>
        <w:pStyle w:val="Ttulo3"/>
        <w:tabs>
          <w:tab w:val="left" w:pos="720"/>
          <w:tab w:val="left" w:pos="2552"/>
        </w:tabs>
        <w:ind w:left="1701"/>
        <w:rPr>
          <w:rFonts w:eastAsia="MS Mincho" w:cs="Arial"/>
          <w:b w:val="0"/>
          <w:i/>
          <w:spacing w:val="0"/>
          <w:lang w:val="en-US" w:eastAsia="en-US"/>
        </w:rPr>
      </w:pPr>
      <w:bookmarkStart w:id="135" w:name="_Toc27486864"/>
      <w:r w:rsidRPr="00012C3F">
        <w:rPr>
          <w:rFonts w:eastAsia="MS Mincho" w:cs="Arial"/>
          <w:b w:val="0"/>
          <w:i/>
          <w:spacing w:val="0"/>
          <w:lang w:val="en-US" w:eastAsia="en-US"/>
        </w:rPr>
        <w:t xml:space="preserve">B.2.a </w:t>
      </w:r>
      <w:r w:rsidRPr="00012C3F">
        <w:rPr>
          <w:rFonts w:eastAsia="MS Mincho" w:cs="Arial"/>
          <w:b w:val="0"/>
          <w:i/>
          <w:spacing w:val="0"/>
          <w:lang w:val="en-US" w:eastAsia="en-US"/>
        </w:rPr>
        <w:tab/>
      </w:r>
      <w:r w:rsidR="007F2550" w:rsidRPr="00012C3F">
        <w:rPr>
          <w:rFonts w:eastAsia="MS Mincho" w:cs="Arial"/>
          <w:b w:val="0"/>
          <w:i/>
          <w:spacing w:val="0"/>
          <w:lang w:val="en-US" w:eastAsia="en-US"/>
        </w:rPr>
        <w:t>The elements of consent in international law and jurisprudence</w:t>
      </w:r>
      <w:bookmarkEnd w:id="135"/>
    </w:p>
    <w:p w14:paraId="4EF8905B" w14:textId="77777777" w:rsidR="00356E5D" w:rsidRPr="00012C3F" w:rsidRDefault="00356E5D" w:rsidP="00936568">
      <w:pPr>
        <w:widowControl/>
        <w:tabs>
          <w:tab w:val="left" w:pos="720"/>
        </w:tabs>
        <w:adjustRightInd/>
        <w:spacing w:line="240" w:lineRule="auto"/>
        <w:ind w:right="-90"/>
        <w:textAlignment w:val="auto"/>
        <w:rPr>
          <w:rFonts w:eastAsia="MS Mincho"/>
          <w:b/>
          <w:sz w:val="20"/>
          <w:szCs w:val="20"/>
          <w:lang w:val="en-US" w:eastAsia="en-US" w:bidi="en-US"/>
        </w:rPr>
      </w:pPr>
    </w:p>
    <w:p w14:paraId="30C6C03C" w14:textId="77777777" w:rsidR="00E17AF2" w:rsidRPr="00012C3F" w:rsidRDefault="007F2550" w:rsidP="00B4529F">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sz w:val="20"/>
          <w:szCs w:val="20"/>
          <w:lang w:val="en-US" w:eastAsia="en-US" w:bidi="en-US"/>
        </w:rPr>
        <w:t xml:space="preserve">The Court will now examine </w:t>
      </w:r>
      <w:r w:rsidR="00CD6FAC" w:rsidRPr="00012C3F">
        <w:rPr>
          <w:rFonts w:eastAsia="MS Mincho"/>
          <w:sz w:val="20"/>
          <w:szCs w:val="20"/>
          <w:lang w:val="en-US" w:eastAsia="en-US" w:bidi="en-US"/>
        </w:rPr>
        <w:t>how informed consent and its elements have been</w:t>
      </w:r>
      <w:r w:rsidRPr="00012C3F">
        <w:rPr>
          <w:rFonts w:eastAsia="MS Mincho"/>
          <w:sz w:val="20"/>
          <w:szCs w:val="20"/>
          <w:lang w:val="en-US" w:eastAsia="en-US" w:bidi="en-US"/>
        </w:rPr>
        <w:t xml:space="preserve"> treat</w:t>
      </w:r>
      <w:r w:rsidR="00CD6FAC" w:rsidRPr="00012C3F">
        <w:rPr>
          <w:rFonts w:eastAsia="MS Mincho"/>
          <w:sz w:val="20"/>
          <w:szCs w:val="20"/>
          <w:lang w:val="en-US" w:eastAsia="en-US" w:bidi="en-US"/>
        </w:rPr>
        <w:t>ed</w:t>
      </w:r>
      <w:r w:rsidRPr="00012C3F">
        <w:rPr>
          <w:rFonts w:eastAsia="MS Mincho"/>
          <w:sz w:val="20"/>
          <w:szCs w:val="20"/>
          <w:lang w:val="en-US" w:eastAsia="en-US" w:bidi="en-US"/>
        </w:rPr>
        <w:t xml:space="preserve"> and develop</w:t>
      </w:r>
      <w:r w:rsidR="00CD6FAC" w:rsidRPr="00012C3F">
        <w:rPr>
          <w:rFonts w:eastAsia="MS Mincho"/>
          <w:sz w:val="20"/>
          <w:szCs w:val="20"/>
          <w:lang w:val="en-US" w:eastAsia="en-US" w:bidi="en-US"/>
        </w:rPr>
        <w:t>ed at the international level, with regard to both medical interventions in general</w:t>
      </w:r>
      <w:r w:rsidR="00E17AF2" w:rsidRPr="00012C3F">
        <w:rPr>
          <w:rFonts w:eastAsia="MS Mincho"/>
          <w:sz w:val="20"/>
          <w:szCs w:val="20"/>
          <w:vertAlign w:val="superscript"/>
          <w:lang w:val="en-US" w:eastAsia="en-US" w:bidi="en-US"/>
        </w:rPr>
        <w:footnoteReference w:id="201"/>
      </w:r>
      <w:r w:rsidR="00E17AF2" w:rsidRPr="00012C3F">
        <w:rPr>
          <w:rFonts w:eastAsia="MS Mincho"/>
          <w:sz w:val="20"/>
          <w:szCs w:val="20"/>
          <w:lang w:val="en-US" w:eastAsia="en-US" w:bidi="en-US"/>
        </w:rPr>
        <w:t xml:space="preserve"> </w:t>
      </w:r>
      <w:r w:rsidR="00CD6FAC" w:rsidRPr="00012C3F">
        <w:rPr>
          <w:rFonts w:eastAsia="MS Mincho"/>
          <w:sz w:val="20"/>
          <w:szCs w:val="20"/>
          <w:lang w:val="en-US" w:eastAsia="en-US" w:bidi="en-US"/>
        </w:rPr>
        <w:t xml:space="preserve">and </w:t>
      </w:r>
      <w:r w:rsidR="006D715F" w:rsidRPr="00012C3F">
        <w:rPr>
          <w:rFonts w:eastAsia="MS Mincho"/>
          <w:sz w:val="20"/>
          <w:szCs w:val="20"/>
          <w:lang w:val="en-US" w:eastAsia="en-US" w:bidi="en-US"/>
        </w:rPr>
        <w:t>t</w:t>
      </w:r>
      <w:r w:rsidR="00CD6FAC" w:rsidRPr="00012C3F">
        <w:rPr>
          <w:rFonts w:eastAsia="MS Mincho"/>
          <w:sz w:val="20"/>
          <w:szCs w:val="20"/>
          <w:lang w:val="en-US" w:eastAsia="en-US" w:bidi="en-US"/>
        </w:rPr>
        <w:t>o the consent that should be obtained in cases of female sterilization.</w:t>
      </w:r>
    </w:p>
    <w:p w14:paraId="53C99B15" w14:textId="77777777" w:rsidR="00CD6FAC" w:rsidRPr="00012C3F" w:rsidRDefault="00CD6FAC" w:rsidP="00CD6FAC">
      <w:pPr>
        <w:tabs>
          <w:tab w:val="left" w:pos="720"/>
        </w:tabs>
        <w:spacing w:line="240" w:lineRule="auto"/>
        <w:rPr>
          <w:rFonts w:eastAsia="MS Mincho"/>
          <w:sz w:val="20"/>
          <w:szCs w:val="20"/>
          <w:lang w:val="en-US" w:eastAsia="en-US" w:bidi="en-US"/>
        </w:rPr>
      </w:pPr>
    </w:p>
    <w:p w14:paraId="784F53EF" w14:textId="77777777" w:rsidR="00E17AF2" w:rsidRPr="00012C3F" w:rsidRDefault="00EE2D33" w:rsidP="006A1060">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sz w:val="20"/>
          <w:szCs w:val="20"/>
          <w:lang w:val="en-US" w:eastAsia="en-US" w:bidi="en-US"/>
        </w:rPr>
        <w:t>I</w:t>
      </w:r>
      <w:r w:rsidR="00AC0004" w:rsidRPr="00012C3F">
        <w:rPr>
          <w:rFonts w:eastAsia="MS Mincho"/>
          <w:sz w:val="20"/>
          <w:szCs w:val="20"/>
          <w:lang w:val="en-US" w:eastAsia="en-US" w:bidi="en-US"/>
        </w:rPr>
        <w:t>nformed consent</w:t>
      </w:r>
      <w:r w:rsidR="00E17AF2" w:rsidRPr="00012C3F">
        <w:rPr>
          <w:rFonts w:eastAsia="MS Mincho"/>
          <w:sz w:val="20"/>
          <w:szCs w:val="20"/>
          <w:lang w:val="en-US" w:eastAsia="en-US" w:bidi="en-US"/>
        </w:rPr>
        <w:t xml:space="preserve"> </w:t>
      </w:r>
      <w:r w:rsidR="006A1060" w:rsidRPr="00012C3F">
        <w:rPr>
          <w:rFonts w:eastAsia="MS Mincho"/>
          <w:sz w:val="20"/>
          <w:szCs w:val="20"/>
          <w:lang w:val="en-US" w:eastAsia="en-US" w:bidi="en-US"/>
        </w:rPr>
        <w:t>was codified in the aftermath of</w:t>
      </w:r>
      <w:r w:rsidR="006A1060" w:rsidRPr="00012C3F">
        <w:rPr>
          <w:rFonts w:eastAsia="MS Mincho"/>
          <w:sz w:val="20"/>
          <w:szCs w:val="20"/>
          <w:lang w:val="en-US" w:eastAsia="en-US" w:bidi="en-US"/>
        </w:rPr>
        <w:softHyphen/>
      </w:r>
      <w:r w:rsidR="006A1060" w:rsidRPr="00012C3F">
        <w:rPr>
          <w:rFonts w:eastAsia="MS Mincho"/>
          <w:sz w:val="20"/>
          <w:szCs w:val="20"/>
          <w:lang w:val="en-US" w:eastAsia="en-US" w:bidi="en-US"/>
        </w:rPr>
        <w:softHyphen/>
        <w:t xml:space="preserve"> the Second World War</w:t>
      </w:r>
      <w:r w:rsidR="00E17AF2" w:rsidRPr="00012C3F">
        <w:rPr>
          <w:rFonts w:eastAsia="MS Mincho"/>
          <w:sz w:val="20"/>
          <w:szCs w:val="20"/>
          <w:lang w:val="en-US" w:eastAsia="en-US" w:bidi="en-US"/>
        </w:rPr>
        <w:t xml:space="preserve"> </w:t>
      </w:r>
      <w:r w:rsidR="006A1060" w:rsidRPr="00012C3F">
        <w:rPr>
          <w:rFonts w:eastAsia="MS Mincho"/>
          <w:sz w:val="20"/>
          <w:szCs w:val="20"/>
          <w:lang w:val="en-US" w:eastAsia="en-US" w:bidi="en-US"/>
        </w:rPr>
        <w:t>and in reaction to the atrocities committed with the publication of the 1947 Nuremberg Code of medical ethics. Even though this instrument referred to medical interventions arising from scientific research,</w:t>
      </w:r>
      <w:r w:rsidR="006A1060" w:rsidRPr="00012C3F">
        <w:rPr>
          <w:rStyle w:val="Refdenotaalpie"/>
          <w:rFonts w:eastAsia="MS Mincho"/>
          <w:bCs/>
          <w:sz w:val="20"/>
          <w:szCs w:val="20"/>
          <w:lang w:val="en-US" w:eastAsia="en-US" w:bidi="en-US"/>
        </w:rPr>
        <w:footnoteReference w:id="202"/>
      </w:r>
      <w:r w:rsidR="006A1060" w:rsidRPr="00012C3F">
        <w:rPr>
          <w:rFonts w:eastAsia="MS Mincho"/>
          <w:sz w:val="20"/>
          <w:szCs w:val="20"/>
          <w:lang w:val="en-US" w:eastAsia="en-US" w:bidi="en-US"/>
        </w:rPr>
        <w:t xml:space="preserve"> as of that time it was established that the voluntary consent of the human subject was absolutely necessary, and this meant that the person involved should have legal capacity to give consent, should be able to exercise free power of choice, and should have sufficient knowledge and comprehension of the elements of the subject matter involved </w:t>
      </w:r>
      <w:r w:rsidR="004239E3" w:rsidRPr="00012C3F">
        <w:rPr>
          <w:rFonts w:eastAsia="MS Mincho"/>
          <w:sz w:val="20"/>
          <w:szCs w:val="20"/>
          <w:lang w:val="en-US" w:eastAsia="en-US" w:bidi="en-US"/>
        </w:rPr>
        <w:t>to take a decision. This latter element required that the information provided should include the nature, duration and purpose of the experiment, and the method, inconveniences and effects upon the subject’s health.</w:t>
      </w:r>
      <w:r w:rsidR="00E17AF2" w:rsidRPr="00012C3F">
        <w:rPr>
          <w:rFonts w:eastAsia="MS Mincho"/>
          <w:bCs/>
          <w:sz w:val="20"/>
          <w:szCs w:val="20"/>
          <w:vertAlign w:val="superscript"/>
          <w:lang w:val="en-US" w:eastAsia="en-US" w:bidi="en-US"/>
        </w:rPr>
        <w:footnoteReference w:id="203"/>
      </w:r>
      <w:r w:rsidR="004239E3" w:rsidRPr="00012C3F">
        <w:rPr>
          <w:rFonts w:eastAsia="MS Mincho"/>
          <w:bCs/>
          <w:sz w:val="20"/>
          <w:szCs w:val="20"/>
          <w:lang w:val="en-US" w:eastAsia="en-US" w:bidi="en-US"/>
        </w:rPr>
        <w:t xml:space="preserve"> In other words, as of that time, it was understood that consent must be prior, free and </w:t>
      </w:r>
      <w:r w:rsidR="002D5C4F" w:rsidRPr="00012C3F">
        <w:rPr>
          <w:rFonts w:eastAsia="MS Mincho"/>
          <w:bCs/>
          <w:sz w:val="20"/>
          <w:szCs w:val="20"/>
          <w:lang w:val="en-US" w:eastAsia="en-US" w:bidi="en-US"/>
        </w:rPr>
        <w:t>obtained</w:t>
      </w:r>
      <w:r w:rsidR="004239E3" w:rsidRPr="00012C3F">
        <w:rPr>
          <w:rFonts w:eastAsia="MS Mincho"/>
          <w:bCs/>
          <w:sz w:val="20"/>
          <w:szCs w:val="20"/>
          <w:lang w:val="en-US" w:eastAsia="en-US" w:bidi="en-US"/>
        </w:rPr>
        <w:t xml:space="preserve"> after having received comprehensible information.</w:t>
      </w:r>
      <w:r w:rsidR="00E17AF2" w:rsidRPr="00012C3F">
        <w:rPr>
          <w:rFonts w:eastAsia="MS Mincho"/>
          <w:bCs/>
          <w:sz w:val="20"/>
          <w:szCs w:val="20"/>
          <w:lang w:val="en-US" w:eastAsia="en-US" w:bidi="en-US"/>
        </w:rPr>
        <w:t xml:space="preserve"> </w:t>
      </w:r>
    </w:p>
    <w:p w14:paraId="1653F9D4" w14:textId="77777777" w:rsidR="00E17AF2" w:rsidRPr="00012C3F" w:rsidRDefault="00E17AF2" w:rsidP="007F2550">
      <w:pPr>
        <w:tabs>
          <w:tab w:val="left" w:pos="720"/>
        </w:tabs>
        <w:spacing w:line="240" w:lineRule="auto"/>
        <w:rPr>
          <w:rFonts w:eastAsia="MS Mincho"/>
          <w:sz w:val="20"/>
          <w:szCs w:val="20"/>
          <w:lang w:val="en-US" w:eastAsia="en-US" w:bidi="en-US"/>
        </w:rPr>
      </w:pPr>
    </w:p>
    <w:p w14:paraId="2EA3F330" w14:textId="77777777" w:rsidR="00E17AF2" w:rsidRPr="00012C3F" w:rsidRDefault="00B4529F" w:rsidP="00B4529F">
      <w:pPr>
        <w:numPr>
          <w:ilvl w:val="0"/>
          <w:numId w:val="5"/>
        </w:numPr>
        <w:tabs>
          <w:tab w:val="left" w:pos="720"/>
          <w:tab w:val="num" w:pos="12305"/>
        </w:tabs>
        <w:spacing w:line="240" w:lineRule="auto"/>
        <w:ind w:left="0" w:firstLine="0"/>
        <w:rPr>
          <w:rFonts w:eastAsia="MS Mincho"/>
          <w:bCs/>
          <w:sz w:val="20"/>
          <w:szCs w:val="20"/>
          <w:lang w:val="en-US" w:eastAsia="en-US" w:bidi="en-US"/>
        </w:rPr>
      </w:pPr>
      <w:r w:rsidRPr="00012C3F">
        <w:rPr>
          <w:rFonts w:eastAsia="MS Mincho"/>
          <w:bCs/>
          <w:sz w:val="20"/>
          <w:szCs w:val="20"/>
          <w:lang w:val="en-US" w:eastAsia="en-US" w:bidi="en-US"/>
        </w:rPr>
        <w:t xml:space="preserve">After the Nuremberg Code on medical ethics, various documents have referred more specifically to patients’ rights and to medical interventions in general and have repeated the need to obtain prior consent to any medical intervention following a process of free, full and informed choice. </w:t>
      </w:r>
      <w:r w:rsidR="007B0C04" w:rsidRPr="00012C3F">
        <w:rPr>
          <w:rFonts w:eastAsia="MS Mincho"/>
          <w:bCs/>
          <w:sz w:val="20"/>
          <w:szCs w:val="20"/>
          <w:lang w:val="en-US" w:eastAsia="en-US" w:bidi="en-US"/>
        </w:rPr>
        <w:t>The World Medical Association</w:t>
      </w:r>
      <w:r w:rsidR="00E17AF2" w:rsidRPr="00012C3F">
        <w:rPr>
          <w:rFonts w:eastAsia="MS Mincho"/>
          <w:sz w:val="20"/>
          <w:szCs w:val="20"/>
          <w:lang w:val="en-US" w:eastAsia="en-US" w:bidi="en-US"/>
        </w:rPr>
        <w:t>, UNESCO</w:t>
      </w:r>
      <w:r w:rsidR="005E5012" w:rsidRPr="00012C3F">
        <w:rPr>
          <w:rFonts w:eastAsia="MS Mincho"/>
          <w:sz w:val="20"/>
          <w:szCs w:val="20"/>
          <w:lang w:val="en-US" w:eastAsia="en-US" w:bidi="en-US"/>
        </w:rPr>
        <w:t xml:space="preserve"> and </w:t>
      </w:r>
      <w:r w:rsidRPr="00012C3F">
        <w:rPr>
          <w:rFonts w:eastAsia="MS Mincho"/>
          <w:sz w:val="20"/>
          <w:szCs w:val="20"/>
          <w:lang w:val="en-US" w:eastAsia="en-US" w:bidi="en-US"/>
        </w:rPr>
        <w:t>the</w:t>
      </w:r>
      <w:r w:rsidR="00E17AF2" w:rsidRPr="00012C3F">
        <w:rPr>
          <w:rFonts w:eastAsia="MS Mincho"/>
          <w:sz w:val="20"/>
          <w:szCs w:val="20"/>
          <w:lang w:val="en-US" w:eastAsia="en-US" w:bidi="en-US"/>
        </w:rPr>
        <w:t xml:space="preserve"> </w:t>
      </w:r>
      <w:r w:rsidR="007B0C04" w:rsidRPr="00012C3F">
        <w:rPr>
          <w:rFonts w:eastAsia="MS Mincho" w:cs="ClassicalGaramondBT-Roman"/>
          <w:sz w:val="20"/>
          <w:szCs w:val="20"/>
          <w:lang w:val="en-US" w:eastAsia="en-US" w:bidi="en-US"/>
        </w:rPr>
        <w:t>WHO</w:t>
      </w:r>
      <w:r w:rsidR="00FF504A" w:rsidRPr="00012C3F">
        <w:rPr>
          <w:rFonts w:eastAsia="MS Mincho" w:cs="ClassicalGaramondBT-Roman"/>
          <w:sz w:val="20"/>
          <w:szCs w:val="20"/>
          <w:lang w:val="en-US" w:eastAsia="en-US" w:bidi="en-US"/>
        </w:rPr>
        <w:t xml:space="preserve">, </w:t>
      </w:r>
      <w:r w:rsidRPr="00012C3F">
        <w:rPr>
          <w:rFonts w:eastAsia="MS Mincho" w:cs="ClassicalGaramondBT-Roman"/>
          <w:sz w:val="20"/>
          <w:szCs w:val="20"/>
          <w:lang w:val="en-US" w:eastAsia="en-US" w:bidi="en-US"/>
        </w:rPr>
        <w:t>among other bodies, have also referred to this</w:t>
      </w:r>
      <w:r w:rsidR="00FF504A" w:rsidRPr="00012C3F">
        <w:rPr>
          <w:rFonts w:eastAsia="MS Mincho" w:cs="ClassicalGaramondBT-Roman"/>
          <w:sz w:val="20"/>
          <w:szCs w:val="20"/>
          <w:lang w:val="en-US" w:eastAsia="en-US" w:bidi="en-US"/>
        </w:rPr>
        <w:t>.</w:t>
      </w:r>
    </w:p>
    <w:p w14:paraId="62B5429D" w14:textId="77777777" w:rsidR="00E17AF2" w:rsidRPr="00012C3F" w:rsidRDefault="00E17AF2" w:rsidP="007F2550">
      <w:pPr>
        <w:tabs>
          <w:tab w:val="left" w:pos="720"/>
        </w:tabs>
        <w:spacing w:line="240" w:lineRule="auto"/>
        <w:rPr>
          <w:rFonts w:eastAsia="MS Mincho" w:cs="ClassicalGaramondBT-Roman"/>
          <w:sz w:val="20"/>
          <w:szCs w:val="20"/>
          <w:lang w:val="en-US" w:eastAsia="en-US" w:bidi="en-US"/>
        </w:rPr>
      </w:pPr>
    </w:p>
    <w:p w14:paraId="5EC97A7E" w14:textId="77777777" w:rsidR="00E17AF2" w:rsidRPr="00012C3F" w:rsidRDefault="00B4529F" w:rsidP="007F2550">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cs="ClassicalGaramondBT-Roman"/>
          <w:sz w:val="20"/>
          <w:szCs w:val="20"/>
          <w:lang w:val="en-US" w:eastAsia="en-US" w:bidi="en-US"/>
        </w:rPr>
        <w:t>Furthermore</w:t>
      </w:r>
      <w:r w:rsidR="00E17AF2" w:rsidRPr="00012C3F">
        <w:rPr>
          <w:rFonts w:eastAsia="MS Mincho" w:cs="ClassicalGaramondBT-Roman"/>
          <w:sz w:val="20"/>
          <w:szCs w:val="20"/>
          <w:lang w:val="en-US" w:eastAsia="en-US" w:bidi="en-US"/>
        </w:rPr>
        <w:t xml:space="preserve">, </w:t>
      </w:r>
      <w:r w:rsidR="006C705C" w:rsidRPr="00012C3F">
        <w:rPr>
          <w:rFonts w:eastAsia="Calibri"/>
          <w:sz w:val="20"/>
          <w:szCs w:val="20"/>
          <w:lang w:val="en-US" w:eastAsia="en-US" w:bidi="en-US"/>
        </w:rPr>
        <w:t>in relation to</w:t>
      </w:r>
      <w:r w:rsidR="00E17AF2" w:rsidRPr="00012C3F">
        <w:rPr>
          <w:rFonts w:eastAsia="Calibri"/>
          <w:sz w:val="20"/>
          <w:szCs w:val="20"/>
          <w:lang w:val="en-US" w:eastAsia="en-US" w:bidi="en-US"/>
        </w:rPr>
        <w:t xml:space="preserve"> </w:t>
      </w:r>
      <w:r w:rsidR="00E17AF2" w:rsidRPr="00012C3F">
        <w:rPr>
          <w:rFonts w:eastAsia="MS Mincho"/>
          <w:sz w:val="20"/>
          <w:szCs w:val="20"/>
          <w:lang w:val="en-US" w:eastAsia="en-US" w:bidi="en-US"/>
        </w:rPr>
        <w:t>sexual</w:t>
      </w:r>
      <w:r w:rsidR="005E5012" w:rsidRPr="00012C3F">
        <w:rPr>
          <w:rFonts w:eastAsia="MS Mincho"/>
          <w:sz w:val="20"/>
          <w:szCs w:val="20"/>
          <w:lang w:val="en-US" w:eastAsia="en-US" w:bidi="en-US"/>
        </w:rPr>
        <w:t xml:space="preserve"> and </w:t>
      </w:r>
      <w:r w:rsidR="00E17AF2" w:rsidRPr="00012C3F">
        <w:rPr>
          <w:rFonts w:eastAsia="MS Mincho"/>
          <w:sz w:val="20"/>
          <w:szCs w:val="20"/>
          <w:lang w:val="en-US" w:eastAsia="en-US" w:bidi="en-US"/>
        </w:rPr>
        <w:t>reproductiv</w:t>
      </w:r>
      <w:r w:rsidRPr="00012C3F">
        <w:rPr>
          <w:rFonts w:eastAsia="MS Mincho"/>
          <w:sz w:val="20"/>
          <w:szCs w:val="20"/>
          <w:lang w:val="en-US" w:eastAsia="en-US" w:bidi="en-US"/>
        </w:rPr>
        <w:t>e rights</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both the Programme of Action of the International Conference on Population and Development, held in Cairo in 1994,</w:t>
      </w:r>
      <w:r w:rsidR="00E17AF2" w:rsidRPr="00012C3F">
        <w:rPr>
          <w:rStyle w:val="Refdenotaalpie"/>
          <w:rFonts w:eastAsia="Calibri"/>
          <w:sz w:val="20"/>
          <w:szCs w:val="20"/>
          <w:lang w:val="en-US" w:eastAsia="en-US" w:bidi="en-US"/>
        </w:rPr>
        <w:footnoteReference w:id="204"/>
      </w:r>
      <w:r w:rsidRPr="00012C3F">
        <w:rPr>
          <w:rFonts w:eastAsia="Calibri"/>
          <w:sz w:val="20"/>
          <w:szCs w:val="20"/>
          <w:lang w:val="en-US" w:eastAsia="en-US" w:bidi="en-US"/>
        </w:rPr>
        <w:t xml:space="preserve"> and the </w:t>
      </w:r>
      <w:r w:rsidRPr="00012C3F">
        <w:rPr>
          <w:sz w:val="20"/>
          <w:szCs w:val="20"/>
          <w:lang w:val="en-US"/>
        </w:rPr>
        <w:t>Declaration and Platform for Action of the Fourth World Conference on Women</w:t>
      </w:r>
      <w:r w:rsidRPr="00012C3F">
        <w:rPr>
          <w:rFonts w:eastAsia="Calibri"/>
          <w:sz w:val="20"/>
          <w:szCs w:val="20"/>
          <w:lang w:val="en-US" w:eastAsia="en-US" w:bidi="en-US"/>
        </w:rPr>
        <w:t xml:space="preserve"> held in </w:t>
      </w:r>
      <w:r w:rsidR="00E17AF2" w:rsidRPr="00012C3F">
        <w:rPr>
          <w:rFonts w:eastAsia="Calibri"/>
          <w:sz w:val="20"/>
          <w:szCs w:val="20"/>
          <w:lang w:val="en-US" w:eastAsia="en-US" w:bidi="en-US"/>
        </w:rPr>
        <w:t xml:space="preserve">Beijing </w:t>
      </w:r>
      <w:r w:rsidRPr="00012C3F">
        <w:rPr>
          <w:rFonts w:eastAsia="Calibri"/>
          <w:sz w:val="20"/>
          <w:szCs w:val="20"/>
          <w:lang w:val="en-US" w:eastAsia="en-US" w:bidi="en-US"/>
        </w:rPr>
        <w:t>in</w:t>
      </w:r>
      <w:r w:rsidR="00E17AF2" w:rsidRPr="00012C3F">
        <w:rPr>
          <w:rFonts w:eastAsia="Calibri"/>
          <w:sz w:val="20"/>
          <w:szCs w:val="20"/>
          <w:lang w:val="en-US" w:eastAsia="en-US" w:bidi="en-US"/>
        </w:rPr>
        <w:t xml:space="preserve"> 1995</w:t>
      </w:r>
      <w:r w:rsidR="002D5C4F" w:rsidRPr="00012C3F">
        <w:rPr>
          <w:rFonts w:eastAsia="Calibri"/>
          <w:sz w:val="20"/>
          <w:szCs w:val="20"/>
          <w:lang w:val="en-US" w:eastAsia="en-US" w:bidi="en-US"/>
        </w:rPr>
        <w:t>,</w:t>
      </w:r>
      <w:r w:rsidR="00E17AF2" w:rsidRPr="00012C3F">
        <w:rPr>
          <w:rStyle w:val="Refdenotaalpie"/>
          <w:rFonts w:eastAsia="Calibri"/>
          <w:sz w:val="20"/>
          <w:szCs w:val="20"/>
          <w:lang w:val="en-US" w:eastAsia="en-US" w:bidi="en-US"/>
        </w:rPr>
        <w:footnoteReference w:id="205"/>
      </w:r>
      <w:r w:rsidRPr="00012C3F">
        <w:rPr>
          <w:rFonts w:eastAsia="Calibri"/>
          <w:sz w:val="20"/>
          <w:szCs w:val="20"/>
          <w:lang w:val="en-US" w:eastAsia="en-US" w:bidi="en-US"/>
        </w:rPr>
        <w:t xml:space="preserve"> refer to the need to obtain responsible, voluntary and informed consent for the exercise of these rights. Additionally the FIGO Committee  for the Ethical Aspects of Human Reproduction and Women’s Health has referred to the elements of consent </w:t>
      </w:r>
      <w:r w:rsidRPr="00012C3F">
        <w:rPr>
          <w:rFonts w:eastAsia="MS Mincho"/>
          <w:sz w:val="20"/>
          <w:szCs w:val="20"/>
          <w:lang w:val="en-US" w:eastAsia="en-US" w:bidi="en-US"/>
        </w:rPr>
        <w:t xml:space="preserve">in recommendations on standards for informed consent since 1995, and on female sterilization since 1989. </w:t>
      </w:r>
      <w:r w:rsidR="00BC0785" w:rsidRPr="00012C3F">
        <w:rPr>
          <w:rFonts w:eastAsia="MS Mincho"/>
          <w:sz w:val="20"/>
          <w:szCs w:val="20"/>
          <w:lang w:val="en-US" w:eastAsia="en-US" w:bidi="en-US"/>
        </w:rPr>
        <w:t xml:space="preserve">These standards were </w:t>
      </w:r>
      <w:r w:rsidR="00BC0785" w:rsidRPr="00012C3F">
        <w:rPr>
          <w:rFonts w:eastAsia="MS Mincho"/>
          <w:sz w:val="20"/>
          <w:szCs w:val="20"/>
          <w:lang w:val="en-US" w:eastAsia="en-US" w:bidi="en-US"/>
        </w:rPr>
        <w:lastRenderedPageBreak/>
        <w:t xml:space="preserve">repeated and systematized in 2014 by several agencies of the universal system when issuing a statement on “Eliminating forced, coercive and otherwise involuntary </w:t>
      </w:r>
      <w:r w:rsidR="00570C15" w:rsidRPr="00012C3F">
        <w:rPr>
          <w:rFonts w:eastAsia="MS Mincho" w:cs="ClassicalGaramondBT-Roman"/>
          <w:sz w:val="20"/>
          <w:szCs w:val="20"/>
          <w:lang w:val="en-US" w:eastAsia="en-US" w:bidi="en-US"/>
        </w:rPr>
        <w:t>sterilization</w:t>
      </w:r>
      <w:r w:rsidR="00E17AF2" w:rsidRPr="00012C3F">
        <w:rPr>
          <w:rFonts w:eastAsia="MS Mincho" w:cs="ClassicalGaramondBT-Roman"/>
          <w:sz w:val="20"/>
          <w:szCs w:val="20"/>
          <w:lang w:val="en-US" w:eastAsia="en-US" w:bidi="en-US"/>
        </w:rPr>
        <w:t>.</w:t>
      </w:r>
      <w:r w:rsidR="00BC0785" w:rsidRPr="00012C3F">
        <w:rPr>
          <w:rFonts w:eastAsia="MS Mincho" w:cs="ClassicalGaramondBT-Roman"/>
          <w:sz w:val="20"/>
          <w:szCs w:val="20"/>
          <w:lang w:val="en-US" w:eastAsia="en-US" w:bidi="en-US"/>
        </w:rPr>
        <w:t>”</w:t>
      </w:r>
    </w:p>
    <w:p w14:paraId="726D1E78" w14:textId="77777777" w:rsidR="00E17AF2" w:rsidRPr="00012C3F" w:rsidRDefault="00E17AF2" w:rsidP="00936568">
      <w:pPr>
        <w:tabs>
          <w:tab w:val="left" w:pos="567"/>
          <w:tab w:val="left" w:pos="720"/>
        </w:tabs>
        <w:spacing w:line="240" w:lineRule="auto"/>
        <w:rPr>
          <w:rFonts w:eastAsia="MS Mincho"/>
          <w:sz w:val="20"/>
          <w:szCs w:val="20"/>
          <w:lang w:val="en-US" w:eastAsia="en-US" w:bidi="en-US"/>
        </w:rPr>
      </w:pPr>
    </w:p>
    <w:p w14:paraId="5F36D49B" w14:textId="77777777" w:rsidR="00E17AF2" w:rsidRPr="00012C3F" w:rsidRDefault="00BC0785" w:rsidP="00BC0785">
      <w:pPr>
        <w:numPr>
          <w:ilvl w:val="0"/>
          <w:numId w:val="5"/>
        </w:numPr>
        <w:tabs>
          <w:tab w:val="left" w:pos="720"/>
          <w:tab w:val="num" w:pos="12305"/>
        </w:tabs>
        <w:spacing w:line="240" w:lineRule="auto"/>
        <w:ind w:left="0" w:firstLine="0"/>
        <w:rPr>
          <w:sz w:val="20"/>
          <w:szCs w:val="20"/>
          <w:lang w:val="en-US"/>
        </w:rPr>
      </w:pPr>
      <w:r w:rsidRPr="00012C3F">
        <w:rPr>
          <w:rFonts w:eastAsia="MS Mincho" w:cs="ClassicalGaramondBT-Roman"/>
          <w:sz w:val="20"/>
          <w:szCs w:val="20"/>
          <w:lang w:val="en-US" w:eastAsia="en-US" w:bidi="en-US"/>
        </w:rPr>
        <w:t xml:space="preserve">Likewise, the Court underlines that the European Court of Human Rights has interpreted the rule of </w:t>
      </w:r>
      <w:r w:rsidR="00AC0004" w:rsidRPr="00012C3F">
        <w:rPr>
          <w:rFonts w:eastAsia="MS Mincho" w:cs="ClassicalGaramondBT-Roman"/>
          <w:sz w:val="20"/>
          <w:szCs w:val="20"/>
          <w:lang w:val="en-US" w:eastAsia="en-US" w:bidi="en-US"/>
        </w:rPr>
        <w:t>informed consent</w:t>
      </w:r>
      <w:r w:rsidR="00E17AF2" w:rsidRPr="00012C3F">
        <w:rPr>
          <w:rFonts w:eastAsia="MS Mincho" w:cs="ClassicalGaramondBT-Roman"/>
          <w:sz w:val="20"/>
          <w:szCs w:val="20"/>
          <w:lang w:val="en-US" w:eastAsia="en-US" w:bidi="en-US"/>
        </w:rPr>
        <w:t xml:space="preserve"> </w:t>
      </w:r>
      <w:r w:rsidRPr="00012C3F">
        <w:rPr>
          <w:rFonts w:eastAsia="MS Mincho" w:cs="ClassicalGaramondBT-Roman"/>
          <w:sz w:val="20"/>
          <w:szCs w:val="20"/>
          <w:lang w:val="en-US" w:eastAsia="en-US" w:bidi="en-US"/>
        </w:rPr>
        <w:t>on several occasions, both in cases relat</w:t>
      </w:r>
      <w:r w:rsidR="002D5C4F" w:rsidRPr="00012C3F">
        <w:rPr>
          <w:rFonts w:eastAsia="MS Mincho" w:cs="ClassicalGaramondBT-Roman"/>
          <w:sz w:val="20"/>
          <w:szCs w:val="20"/>
          <w:lang w:val="en-US" w:eastAsia="en-US" w:bidi="en-US"/>
        </w:rPr>
        <w:t>ing</w:t>
      </w:r>
      <w:r w:rsidRPr="00012C3F">
        <w:rPr>
          <w:rFonts w:eastAsia="MS Mincho" w:cs="ClassicalGaramondBT-Roman"/>
          <w:sz w:val="20"/>
          <w:szCs w:val="20"/>
          <w:lang w:val="en-US" w:eastAsia="en-US" w:bidi="en-US"/>
        </w:rPr>
        <w:t xml:space="preserve"> to medical interventions in general,</w:t>
      </w:r>
      <w:r w:rsidR="00E17AF2" w:rsidRPr="00012C3F">
        <w:rPr>
          <w:rFonts w:eastAsia="MS Mincho" w:cs="ClassicalGaramondBT-Roman"/>
          <w:sz w:val="20"/>
          <w:szCs w:val="20"/>
          <w:vertAlign w:val="superscript"/>
          <w:lang w:val="en-US" w:eastAsia="en-US" w:bidi="en-US"/>
        </w:rPr>
        <w:footnoteReference w:id="206"/>
      </w:r>
      <w:r w:rsidRPr="00012C3F">
        <w:rPr>
          <w:rFonts w:eastAsia="MS Mincho" w:cs="ClassicalGaramondBT-Roman"/>
          <w:sz w:val="20"/>
          <w:szCs w:val="20"/>
          <w:lang w:val="en-US" w:eastAsia="en-US" w:bidi="en-US"/>
        </w:rPr>
        <w:t xml:space="preserve"> and in specific cases of female sterilization, establishing that such consent is essential for the performance of any medical intervention. In particular, the European Court decided that prior, free, full and informed consent was a requisite for a surgical sterilization procedure in relation to facts that occurred in Slovakia in 1999.</w:t>
      </w:r>
      <w:r w:rsidR="00360E36" w:rsidRPr="00012C3F">
        <w:rPr>
          <w:rStyle w:val="Refdenotaalpie"/>
          <w:rFonts w:eastAsia="MS Mincho" w:cs="ClassicalGaramondBT-Roman"/>
          <w:sz w:val="20"/>
          <w:szCs w:val="20"/>
          <w:lang w:val="en-US" w:eastAsia="en-US" w:bidi="en-US"/>
        </w:rPr>
        <w:footnoteReference w:id="207"/>
      </w:r>
      <w:r w:rsidRPr="00012C3F">
        <w:rPr>
          <w:sz w:val="20"/>
          <w:szCs w:val="20"/>
          <w:lang w:val="en-US"/>
        </w:rPr>
        <w:t xml:space="preserve"> The</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Committee for the Elimination of Discrimination against Women</w:t>
      </w:r>
      <w:r w:rsidR="00017C10" w:rsidRPr="00012C3F">
        <w:rPr>
          <w:rFonts w:eastAsia="MS Mincho"/>
          <w:sz w:val="20"/>
          <w:szCs w:val="20"/>
          <w:lang w:val="en-US" w:eastAsia="en-US" w:bidi="en-US"/>
        </w:rPr>
        <w:t xml:space="preserve"> </w:t>
      </w:r>
      <w:r w:rsidRPr="00012C3F">
        <w:rPr>
          <w:rFonts w:eastAsia="MS Mincho"/>
          <w:sz w:val="20"/>
          <w:szCs w:val="20"/>
          <w:lang w:val="en-US" w:eastAsia="en-US" w:bidi="en-US"/>
        </w:rPr>
        <w:t xml:space="preserve">ruled similarly in the case of </w:t>
      </w:r>
      <w:r w:rsidR="00E17AF2" w:rsidRPr="00012C3F">
        <w:rPr>
          <w:rFonts w:eastAsia="MS Mincho" w:cs="Calibri"/>
          <w:i/>
          <w:sz w:val="20"/>
          <w:szCs w:val="20"/>
          <w:lang w:val="en-US" w:eastAsia="en-US" w:bidi="en-US"/>
        </w:rPr>
        <w:t>A.S</w:t>
      </w:r>
      <w:r w:rsidR="002C78D7" w:rsidRPr="00012C3F">
        <w:rPr>
          <w:rFonts w:eastAsia="MS Mincho" w:cs="Calibri"/>
          <w:i/>
          <w:sz w:val="20"/>
          <w:szCs w:val="20"/>
          <w:lang w:val="en-US" w:eastAsia="en-US" w:bidi="en-US"/>
        </w:rPr>
        <w:t>.</w:t>
      </w:r>
      <w:r w:rsidR="00E17AF2" w:rsidRPr="00012C3F">
        <w:rPr>
          <w:rFonts w:eastAsia="MS Mincho" w:cs="Calibri"/>
          <w:i/>
          <w:sz w:val="20"/>
          <w:szCs w:val="20"/>
          <w:lang w:val="en-US" w:eastAsia="en-US" w:bidi="en-US"/>
        </w:rPr>
        <w:t xml:space="preserve"> </w:t>
      </w:r>
      <w:r w:rsidRPr="00012C3F">
        <w:rPr>
          <w:rFonts w:eastAsia="MS Mincho" w:cs="Calibri"/>
          <w:i/>
          <w:sz w:val="20"/>
          <w:szCs w:val="20"/>
          <w:lang w:val="en-US" w:eastAsia="en-US" w:bidi="en-US"/>
        </w:rPr>
        <w:t>v.</w:t>
      </w:r>
      <w:r w:rsidR="00E17AF2" w:rsidRPr="00012C3F">
        <w:rPr>
          <w:rFonts w:eastAsia="MS Mincho" w:cs="Calibri"/>
          <w:i/>
          <w:sz w:val="20"/>
          <w:szCs w:val="20"/>
          <w:lang w:val="en-US" w:eastAsia="en-US" w:bidi="en-US"/>
        </w:rPr>
        <w:t xml:space="preserve"> Hung</w:t>
      </w:r>
      <w:r w:rsidRPr="00012C3F">
        <w:rPr>
          <w:rFonts w:eastAsia="MS Mincho" w:cs="Calibri"/>
          <w:i/>
          <w:sz w:val="20"/>
          <w:szCs w:val="20"/>
          <w:lang w:val="en-US" w:eastAsia="en-US" w:bidi="en-US"/>
        </w:rPr>
        <w:t>ary</w:t>
      </w:r>
      <w:r w:rsidR="00EE75B9" w:rsidRPr="00012C3F">
        <w:rPr>
          <w:rFonts w:eastAsia="MS Mincho" w:cs="Calibri"/>
          <w:sz w:val="20"/>
          <w:szCs w:val="20"/>
          <w:lang w:val="en-US" w:eastAsia="en-US" w:bidi="en-US"/>
        </w:rPr>
        <w:t xml:space="preserve"> </w:t>
      </w:r>
      <w:r w:rsidRPr="00012C3F">
        <w:rPr>
          <w:rFonts w:eastAsia="MS Mincho" w:cs="Calibri"/>
          <w:sz w:val="20"/>
          <w:szCs w:val="20"/>
          <w:lang w:val="en-US" w:eastAsia="en-US" w:bidi="en-US"/>
        </w:rPr>
        <w:t xml:space="preserve">with regard to facts that took place in January </w:t>
      </w:r>
      <w:r w:rsidR="00EE75B9" w:rsidRPr="00012C3F">
        <w:rPr>
          <w:rFonts w:eastAsia="MS Mincho" w:cs="Calibri"/>
          <w:sz w:val="20"/>
          <w:szCs w:val="20"/>
          <w:lang w:val="en-US" w:eastAsia="en-US" w:bidi="en-US"/>
        </w:rPr>
        <w:t>2001</w:t>
      </w:r>
      <w:r w:rsidRPr="00012C3F">
        <w:rPr>
          <w:rFonts w:eastAsia="MS Mincho" w:cs="Calibri"/>
          <w:sz w:val="20"/>
          <w:szCs w:val="20"/>
          <w:lang w:val="en-US" w:eastAsia="en-US" w:bidi="en-US"/>
        </w:rPr>
        <w:t>.</w:t>
      </w:r>
      <w:r w:rsidR="00E17AF2" w:rsidRPr="00012C3F">
        <w:rPr>
          <w:rFonts w:eastAsia="MS Mincho" w:cs="Calibri"/>
          <w:sz w:val="20"/>
          <w:szCs w:val="20"/>
          <w:vertAlign w:val="superscript"/>
          <w:lang w:val="en-US" w:eastAsia="en-US" w:bidi="en-US"/>
        </w:rPr>
        <w:footnoteReference w:id="208"/>
      </w:r>
    </w:p>
    <w:p w14:paraId="5587379E" w14:textId="77777777" w:rsidR="00E17AF2" w:rsidRPr="00012C3F" w:rsidRDefault="00E17AF2" w:rsidP="00BC0785">
      <w:pPr>
        <w:tabs>
          <w:tab w:val="left" w:pos="720"/>
        </w:tabs>
        <w:spacing w:line="240" w:lineRule="auto"/>
        <w:rPr>
          <w:rFonts w:eastAsia="MS Mincho"/>
          <w:sz w:val="20"/>
          <w:szCs w:val="20"/>
          <w:lang w:val="en-US" w:eastAsia="en-US" w:bidi="en-US"/>
        </w:rPr>
      </w:pPr>
    </w:p>
    <w:p w14:paraId="3F6D8529" w14:textId="77777777" w:rsidR="00E17AF2" w:rsidRPr="00012C3F" w:rsidRDefault="007678C4" w:rsidP="007678C4">
      <w:pPr>
        <w:numPr>
          <w:ilvl w:val="0"/>
          <w:numId w:val="5"/>
        </w:numPr>
        <w:tabs>
          <w:tab w:val="left" w:pos="720"/>
          <w:tab w:val="num" w:pos="12305"/>
        </w:tabs>
        <w:spacing w:line="240" w:lineRule="auto"/>
        <w:ind w:left="0" w:firstLine="0"/>
        <w:rPr>
          <w:rFonts w:eastAsia="MS Mincho"/>
          <w:i/>
          <w:sz w:val="20"/>
          <w:szCs w:val="20"/>
          <w:lang w:val="en-US" w:eastAsia="en-US" w:bidi="en-US"/>
        </w:rPr>
      </w:pPr>
      <w:r w:rsidRPr="00012C3F">
        <w:rPr>
          <w:rFonts w:eastAsia="MS Mincho"/>
          <w:sz w:val="20"/>
          <w:szCs w:val="20"/>
          <w:lang w:val="en-US" w:eastAsia="en-US" w:bidi="en-US"/>
        </w:rPr>
        <w:t>As indicated</w:t>
      </w:r>
      <w:r w:rsidR="00E17AF2" w:rsidRPr="00012C3F">
        <w:rPr>
          <w:rFonts w:eastAsia="MS Mincho"/>
          <w:sz w:val="20"/>
          <w:szCs w:val="20"/>
          <w:lang w:val="en-US" w:eastAsia="en-US" w:bidi="en-US"/>
        </w:rPr>
        <w:t xml:space="preserve">, </w:t>
      </w:r>
      <w:r w:rsidR="001254DE" w:rsidRPr="00012C3F">
        <w:rPr>
          <w:rFonts w:eastAsia="MS Mincho"/>
          <w:sz w:val="20"/>
          <w:szCs w:val="20"/>
          <w:lang w:val="en-US" w:eastAsia="en-US" w:bidi="en-US"/>
        </w:rPr>
        <w:t>the Court</w:t>
      </w:r>
      <w:r w:rsidR="00E17AF2" w:rsidRPr="00012C3F">
        <w:rPr>
          <w:rFonts w:eastAsia="MS Mincho"/>
          <w:sz w:val="20"/>
          <w:szCs w:val="20"/>
          <w:lang w:val="en-US" w:eastAsia="en-US" w:bidi="en-US"/>
        </w:rPr>
        <w:t xml:space="preserve"> not</w:t>
      </w:r>
      <w:r w:rsidRPr="00012C3F">
        <w:rPr>
          <w:rFonts w:eastAsia="MS Mincho"/>
          <w:sz w:val="20"/>
          <w:szCs w:val="20"/>
          <w:lang w:val="en-US" w:eastAsia="en-US" w:bidi="en-US"/>
        </w:rPr>
        <w:t xml:space="preserve">es that the key aspect of the legal standards aimed at protecting individuals faced with medical procedures has been prior, free, full and informed consent. </w:t>
      </w:r>
      <w:r w:rsidRPr="00012C3F">
        <w:rPr>
          <w:rFonts w:cs="Arial"/>
          <w:sz w:val="20"/>
          <w:szCs w:val="20"/>
          <w:lang w:val="en-US"/>
        </w:rPr>
        <w:t xml:space="preserve">These elements, which are characteristic of valid consent, have been present in the fields of medicine and human rights since the adoption of the 1947 Nuremberg Code of medical ethics and continue to be central to the development of bioethics and law. Furthermore, the Court considers that the standards for informed consent for medical interventions in general are applicable to female sterilization because this is a surgical procedure. However, owing to the nature and gravity of the procedure, which involves a woman losing her reproductive capacity permanently, there are special factors that must be taken into account by </w:t>
      </w:r>
      <w:r w:rsidR="002D5C4F" w:rsidRPr="00012C3F">
        <w:rPr>
          <w:rFonts w:cs="Arial"/>
          <w:sz w:val="20"/>
          <w:szCs w:val="20"/>
          <w:lang w:val="en-US"/>
        </w:rPr>
        <w:t xml:space="preserve">the </w:t>
      </w:r>
      <w:r w:rsidRPr="00012C3F">
        <w:rPr>
          <w:rFonts w:cs="Arial"/>
          <w:sz w:val="20"/>
          <w:szCs w:val="20"/>
          <w:lang w:val="en-US"/>
        </w:rPr>
        <w:t>health personnel during the process of informed choice that may result in obtaining informed consent to submit to sterilization. The Court will no</w:t>
      </w:r>
      <w:r w:rsidR="002D5C4F" w:rsidRPr="00012C3F">
        <w:rPr>
          <w:rFonts w:cs="Arial"/>
          <w:sz w:val="20"/>
          <w:szCs w:val="20"/>
          <w:lang w:val="en-US"/>
        </w:rPr>
        <w:t>w</w:t>
      </w:r>
      <w:r w:rsidRPr="00012C3F">
        <w:rPr>
          <w:rFonts w:cs="Arial"/>
          <w:sz w:val="20"/>
          <w:szCs w:val="20"/>
          <w:lang w:val="en-US"/>
        </w:rPr>
        <w:t xml:space="preserve"> define the content of the essential elements of consent derived from the international</w:t>
      </w:r>
      <w:r w:rsidRPr="00012C3F">
        <w:rPr>
          <w:rFonts w:eastAsia="MS Mincho"/>
          <w:i/>
          <w:sz w:val="20"/>
          <w:szCs w:val="20"/>
          <w:lang w:val="en-US" w:eastAsia="en-US" w:bidi="en-US"/>
        </w:rPr>
        <w:t xml:space="preserve"> </w:t>
      </w:r>
      <w:r w:rsidR="00442CC5" w:rsidRPr="00012C3F">
        <w:rPr>
          <w:rFonts w:eastAsia="MS Mincho"/>
          <w:i/>
          <w:sz w:val="20"/>
          <w:szCs w:val="20"/>
          <w:lang w:val="en-US" w:eastAsia="en-US" w:bidi="en-US"/>
        </w:rPr>
        <w:t>corpus juris.</w:t>
      </w:r>
    </w:p>
    <w:p w14:paraId="679A4AC9" w14:textId="77777777" w:rsidR="00E17AF2" w:rsidRPr="00012C3F" w:rsidRDefault="00E17AF2" w:rsidP="00BC0785">
      <w:pPr>
        <w:tabs>
          <w:tab w:val="left" w:pos="720"/>
        </w:tabs>
        <w:spacing w:line="240" w:lineRule="auto"/>
        <w:rPr>
          <w:rFonts w:eastAsia="MS Mincho"/>
          <w:i/>
          <w:sz w:val="20"/>
          <w:szCs w:val="20"/>
          <w:lang w:val="en-US" w:eastAsia="en-US" w:bidi="en-US"/>
        </w:rPr>
      </w:pPr>
    </w:p>
    <w:p w14:paraId="2533F982" w14:textId="77777777" w:rsidR="00442CC5" w:rsidRPr="00012C3F" w:rsidRDefault="00442CC5" w:rsidP="00BC0785">
      <w:pPr>
        <w:tabs>
          <w:tab w:val="left" w:pos="720"/>
        </w:tabs>
        <w:spacing w:line="240" w:lineRule="auto"/>
        <w:rPr>
          <w:rFonts w:eastAsia="MS Mincho"/>
          <w:i/>
          <w:sz w:val="20"/>
          <w:szCs w:val="20"/>
          <w:lang w:val="en-US" w:eastAsia="en-US" w:bidi="en-US"/>
        </w:rPr>
      </w:pPr>
      <w:r w:rsidRPr="00012C3F">
        <w:rPr>
          <w:rFonts w:eastAsia="MS Mincho"/>
          <w:i/>
          <w:sz w:val="20"/>
          <w:szCs w:val="20"/>
          <w:lang w:val="en-US" w:eastAsia="en-US" w:bidi="en-US"/>
        </w:rPr>
        <w:tab/>
      </w:r>
      <w:r w:rsidRPr="00012C3F">
        <w:rPr>
          <w:rFonts w:eastAsia="MS Mincho"/>
          <w:i/>
          <w:sz w:val="20"/>
          <w:szCs w:val="20"/>
          <w:lang w:val="en-US" w:eastAsia="en-US" w:bidi="en-US"/>
        </w:rPr>
        <w:tab/>
      </w:r>
      <w:r w:rsidRPr="00012C3F">
        <w:rPr>
          <w:rFonts w:eastAsia="MS Mincho"/>
          <w:i/>
          <w:sz w:val="20"/>
          <w:szCs w:val="20"/>
          <w:lang w:val="en-US" w:eastAsia="en-US" w:bidi="en-US"/>
        </w:rPr>
        <w:tab/>
        <w:t xml:space="preserve">i) </w:t>
      </w:r>
      <w:r w:rsidRPr="00012C3F">
        <w:rPr>
          <w:rFonts w:eastAsia="MS Mincho"/>
          <w:i/>
          <w:sz w:val="20"/>
          <w:szCs w:val="20"/>
          <w:lang w:val="en-US" w:eastAsia="en-US" w:bidi="en-US"/>
        </w:rPr>
        <w:tab/>
      </w:r>
      <w:r w:rsidR="007678C4" w:rsidRPr="00012C3F">
        <w:rPr>
          <w:rFonts w:eastAsia="MS Mincho"/>
          <w:i/>
          <w:sz w:val="20"/>
          <w:szCs w:val="20"/>
          <w:lang w:val="en-US" w:eastAsia="en-US" w:bidi="en-US"/>
        </w:rPr>
        <w:t>The prior nature of the consent</w:t>
      </w:r>
    </w:p>
    <w:p w14:paraId="55F7A6B3" w14:textId="77777777" w:rsidR="00442CC5" w:rsidRPr="00012C3F" w:rsidRDefault="00442CC5" w:rsidP="00BC0785">
      <w:pPr>
        <w:tabs>
          <w:tab w:val="left" w:pos="720"/>
        </w:tabs>
        <w:spacing w:line="240" w:lineRule="auto"/>
        <w:rPr>
          <w:rFonts w:eastAsia="MS Mincho"/>
          <w:b/>
          <w:i/>
          <w:sz w:val="20"/>
          <w:szCs w:val="20"/>
          <w:lang w:val="en-US" w:eastAsia="en-US" w:bidi="en-US"/>
        </w:rPr>
      </w:pPr>
    </w:p>
    <w:p w14:paraId="18C2FCE4" w14:textId="77777777" w:rsidR="00891C09" w:rsidRPr="00012C3F" w:rsidRDefault="007678C4" w:rsidP="00891C09">
      <w:pPr>
        <w:numPr>
          <w:ilvl w:val="0"/>
          <w:numId w:val="5"/>
        </w:numPr>
        <w:tabs>
          <w:tab w:val="left" w:pos="720"/>
          <w:tab w:val="num" w:pos="12305"/>
        </w:tabs>
        <w:spacing w:line="240" w:lineRule="auto"/>
        <w:ind w:left="0" w:firstLine="0"/>
        <w:rPr>
          <w:rFonts w:eastAsia="Calibri" w:cs="ClassicalGaramondBT-Roman"/>
          <w:sz w:val="20"/>
          <w:szCs w:val="20"/>
          <w:lang w:val="en-US" w:eastAsia="en-US" w:bidi="en-US"/>
        </w:rPr>
      </w:pPr>
      <w:r w:rsidRPr="00012C3F">
        <w:rPr>
          <w:rFonts w:cs="Arial"/>
          <w:sz w:val="20"/>
          <w:szCs w:val="20"/>
          <w:lang w:val="en-US"/>
        </w:rPr>
        <w:t xml:space="preserve">The first element of consent to be considered is its prior nature, which means that </w:t>
      </w:r>
      <w:r w:rsidR="002D5C4F" w:rsidRPr="00012C3F">
        <w:rPr>
          <w:rFonts w:cs="Arial"/>
          <w:sz w:val="20"/>
          <w:szCs w:val="20"/>
          <w:lang w:val="en-US"/>
        </w:rPr>
        <w:t>consent</w:t>
      </w:r>
      <w:r w:rsidRPr="00012C3F">
        <w:rPr>
          <w:rFonts w:cs="Arial"/>
          <w:sz w:val="20"/>
          <w:szCs w:val="20"/>
          <w:lang w:val="en-US"/>
        </w:rPr>
        <w:t xml:space="preserve"> must always be given before any medical intervention. The Court note</w:t>
      </w:r>
      <w:r w:rsidR="002D5C4F" w:rsidRPr="00012C3F">
        <w:rPr>
          <w:rFonts w:cs="Arial"/>
          <w:sz w:val="20"/>
          <w:szCs w:val="20"/>
          <w:lang w:val="en-US"/>
        </w:rPr>
        <w:t>s</w:t>
      </w:r>
      <w:r w:rsidRPr="00012C3F">
        <w:rPr>
          <w:rFonts w:cs="Arial"/>
          <w:sz w:val="20"/>
          <w:szCs w:val="20"/>
          <w:lang w:val="en-US"/>
        </w:rPr>
        <w:t xml:space="preserve"> that it </w:t>
      </w:r>
      <w:r w:rsidR="002D5C4F" w:rsidRPr="00012C3F">
        <w:rPr>
          <w:rFonts w:cs="Arial"/>
          <w:sz w:val="20"/>
          <w:szCs w:val="20"/>
          <w:lang w:val="en-US"/>
        </w:rPr>
        <w:t>i</w:t>
      </w:r>
      <w:r w:rsidRPr="00012C3F">
        <w:rPr>
          <w:rFonts w:cs="Arial"/>
          <w:sz w:val="20"/>
          <w:szCs w:val="20"/>
          <w:lang w:val="en-US"/>
        </w:rPr>
        <w:t>s not possible to validate consent after the medical intervention had concluded</w:t>
      </w:r>
      <w:r w:rsidR="00E17AF2" w:rsidRPr="00012C3F">
        <w:rPr>
          <w:rFonts w:eastAsia="Calibri" w:cs="ClassicalGaramondBT-Roman"/>
          <w:sz w:val="20"/>
          <w:szCs w:val="20"/>
          <w:lang w:val="en-US" w:eastAsia="en-US" w:bidi="en-US"/>
        </w:rPr>
        <w:t xml:space="preserve">. </w:t>
      </w:r>
      <w:r w:rsidRPr="00012C3F">
        <w:rPr>
          <w:rFonts w:eastAsia="Calibri" w:cs="ClassicalGaramondBT-Roman"/>
          <w:sz w:val="20"/>
          <w:szCs w:val="20"/>
          <w:lang w:val="en-US" w:eastAsia="en-US" w:bidi="en-US"/>
        </w:rPr>
        <w:t>The prior nature of the consent</w:t>
      </w:r>
      <w:r w:rsidR="00E17AF2" w:rsidRPr="00012C3F">
        <w:rPr>
          <w:rFonts w:eastAsia="Calibri" w:cs="ClassicalGaramondBT-Roman"/>
          <w:sz w:val="20"/>
          <w:szCs w:val="20"/>
          <w:lang w:val="en-US" w:eastAsia="en-US" w:bidi="en-US"/>
        </w:rPr>
        <w:t xml:space="preserve"> ha</w:t>
      </w:r>
      <w:r w:rsidRPr="00012C3F">
        <w:rPr>
          <w:rFonts w:eastAsia="Calibri" w:cs="ClassicalGaramondBT-Roman"/>
          <w:sz w:val="20"/>
          <w:szCs w:val="20"/>
          <w:lang w:val="en-US" w:eastAsia="en-US" w:bidi="en-US"/>
        </w:rPr>
        <w:t>s been referred to, or is understood imp</w:t>
      </w:r>
      <w:r w:rsidR="00891C09" w:rsidRPr="00012C3F">
        <w:rPr>
          <w:rFonts w:eastAsia="Calibri" w:cs="ClassicalGaramondBT-Roman"/>
          <w:sz w:val="20"/>
          <w:szCs w:val="20"/>
          <w:lang w:val="en-US" w:eastAsia="en-US" w:bidi="en-US"/>
        </w:rPr>
        <w:t>licitly, in all the international instruments that regulate this matter.</w:t>
      </w:r>
      <w:r w:rsidR="00E17AF2" w:rsidRPr="00012C3F">
        <w:rPr>
          <w:rFonts w:eastAsia="Calibri" w:cs="ClassicalGaramondBT-Roman"/>
          <w:sz w:val="20"/>
          <w:szCs w:val="20"/>
          <w:lang w:val="en-US" w:eastAsia="en-US" w:bidi="en-US"/>
        </w:rPr>
        <w:t xml:space="preserve"> </w:t>
      </w:r>
      <w:r w:rsidR="00891C09" w:rsidRPr="00012C3F">
        <w:rPr>
          <w:rFonts w:eastAsia="Calibri" w:cs="ClassicalGaramondBT-Roman"/>
          <w:sz w:val="20"/>
          <w:szCs w:val="20"/>
          <w:lang w:val="en-US" w:eastAsia="en-US" w:bidi="en-US"/>
        </w:rPr>
        <w:t xml:space="preserve">Indeed, the 1964 Declaration of </w:t>
      </w:r>
      <w:r w:rsidR="00E17AF2" w:rsidRPr="00012C3F">
        <w:rPr>
          <w:rFonts w:eastAsia="MS Mincho"/>
          <w:bCs/>
          <w:sz w:val="20"/>
          <w:szCs w:val="20"/>
          <w:lang w:val="en-US" w:eastAsia="en-US" w:bidi="en-US"/>
        </w:rPr>
        <w:t xml:space="preserve">Helsinki </w:t>
      </w:r>
      <w:r w:rsidR="00891C09" w:rsidRPr="00012C3F">
        <w:rPr>
          <w:rFonts w:eastAsia="MS Mincho"/>
          <w:bCs/>
          <w:sz w:val="20"/>
          <w:szCs w:val="20"/>
          <w:lang w:val="en-US" w:eastAsia="en-US" w:bidi="en-US"/>
        </w:rPr>
        <w:t xml:space="preserve">on </w:t>
      </w:r>
      <w:r w:rsidR="00891C09" w:rsidRPr="00012C3F">
        <w:rPr>
          <w:bCs/>
          <w:sz w:val="20"/>
          <w:szCs w:val="20"/>
          <w:lang w:val="en-US"/>
        </w:rPr>
        <w:t>ethical principles for medical research involving human subjects</w:t>
      </w:r>
      <w:r w:rsidR="00F15D7B" w:rsidRPr="00012C3F">
        <w:rPr>
          <w:rFonts w:eastAsia="MS Mincho"/>
          <w:bCs/>
          <w:sz w:val="20"/>
          <w:szCs w:val="20"/>
          <w:vertAlign w:val="superscript"/>
          <w:lang w:val="en-US" w:eastAsia="en-US" w:bidi="en-US"/>
        </w:rPr>
        <w:footnoteReference w:id="209"/>
      </w:r>
      <w:r w:rsidR="005E5012" w:rsidRPr="00012C3F">
        <w:rPr>
          <w:rFonts w:eastAsia="MS Mincho"/>
          <w:bCs/>
          <w:sz w:val="20"/>
          <w:szCs w:val="20"/>
          <w:lang w:val="en-US" w:eastAsia="en-US" w:bidi="en-US"/>
        </w:rPr>
        <w:t xml:space="preserve"> and </w:t>
      </w:r>
      <w:r w:rsidR="00891C09" w:rsidRPr="00012C3F">
        <w:rPr>
          <w:rFonts w:eastAsia="Calibri" w:cs="ClassicalGaramondBT-Roman"/>
          <w:sz w:val="20"/>
          <w:szCs w:val="20"/>
          <w:lang w:val="en-US" w:eastAsia="en-US" w:bidi="en-US"/>
        </w:rPr>
        <w:t xml:space="preserve">the 1981 Declaration of </w:t>
      </w:r>
      <w:r w:rsidR="00E17AF2" w:rsidRPr="00012C3F">
        <w:rPr>
          <w:rFonts w:eastAsia="MS Mincho"/>
          <w:sz w:val="20"/>
          <w:szCs w:val="20"/>
          <w:lang w:val="en-US" w:eastAsia="en-US" w:bidi="en-US"/>
        </w:rPr>
        <w:t>Lisbo</w:t>
      </w:r>
      <w:r w:rsidR="00891C09" w:rsidRPr="00012C3F">
        <w:rPr>
          <w:rFonts w:eastAsia="MS Mincho"/>
          <w:sz w:val="20"/>
          <w:szCs w:val="20"/>
          <w:lang w:val="en-US" w:eastAsia="en-US" w:bidi="en-US"/>
        </w:rPr>
        <w:t>n</w:t>
      </w:r>
      <w:r w:rsidR="00E17AF2" w:rsidRPr="00012C3F">
        <w:rPr>
          <w:rFonts w:eastAsia="MS Mincho"/>
          <w:sz w:val="20"/>
          <w:szCs w:val="20"/>
          <w:lang w:val="en-US" w:eastAsia="en-US" w:bidi="en-US"/>
        </w:rPr>
        <w:t xml:space="preserve"> </w:t>
      </w:r>
      <w:r w:rsidR="00891C09" w:rsidRPr="00012C3F">
        <w:rPr>
          <w:bCs/>
          <w:sz w:val="20"/>
          <w:szCs w:val="20"/>
          <w:lang w:val="en-US"/>
        </w:rPr>
        <w:t>on the rights of the patient,</w:t>
      </w:r>
      <w:r w:rsidR="00E17AF2" w:rsidRPr="00012C3F">
        <w:rPr>
          <w:rStyle w:val="Refdenotaalpie"/>
          <w:rFonts w:eastAsia="MS Mincho"/>
          <w:sz w:val="20"/>
          <w:szCs w:val="20"/>
          <w:lang w:val="en-US" w:eastAsia="en-US" w:bidi="en-US"/>
        </w:rPr>
        <w:footnoteReference w:id="210"/>
      </w:r>
      <w:r w:rsidR="00891C09" w:rsidRPr="00012C3F">
        <w:rPr>
          <w:rFonts w:eastAsia="MS Mincho"/>
          <w:sz w:val="20"/>
          <w:szCs w:val="20"/>
          <w:lang w:val="en-US" w:eastAsia="en-US" w:bidi="en-US"/>
        </w:rPr>
        <w:t xml:space="preserve"> both adopted by </w:t>
      </w:r>
      <w:r w:rsidR="00891C09" w:rsidRPr="00012C3F">
        <w:rPr>
          <w:rFonts w:eastAsia="MS Mincho"/>
          <w:bCs/>
          <w:sz w:val="20"/>
          <w:szCs w:val="20"/>
          <w:lang w:val="en-US" w:eastAsia="en-US" w:bidi="en-US"/>
        </w:rPr>
        <w:t>t</w:t>
      </w:r>
      <w:r w:rsidR="007B0C04" w:rsidRPr="00012C3F">
        <w:rPr>
          <w:rFonts w:eastAsia="MS Mincho"/>
          <w:bCs/>
          <w:sz w:val="20"/>
          <w:szCs w:val="20"/>
          <w:lang w:val="en-US" w:eastAsia="en-US" w:bidi="en-US"/>
        </w:rPr>
        <w:t>he World Medical Association</w:t>
      </w:r>
      <w:r w:rsidR="00E17AF2" w:rsidRPr="00012C3F">
        <w:rPr>
          <w:rFonts w:eastAsia="MS Mincho"/>
          <w:sz w:val="20"/>
          <w:szCs w:val="20"/>
          <w:lang w:val="en-US" w:eastAsia="en-US" w:bidi="en-US"/>
        </w:rPr>
        <w:t xml:space="preserve">, </w:t>
      </w:r>
      <w:r w:rsidR="00891C09" w:rsidRPr="00012C3F">
        <w:rPr>
          <w:rFonts w:eastAsia="MS Mincho"/>
          <w:sz w:val="20"/>
          <w:szCs w:val="20"/>
          <w:lang w:val="en-US" w:eastAsia="en-US" w:bidi="en-US"/>
        </w:rPr>
        <w:t xml:space="preserve">as well as the 2005 Universal Declaration on Bioethics and Human Rights of </w:t>
      </w:r>
      <w:r w:rsidR="00E17AF2" w:rsidRPr="00012C3F">
        <w:rPr>
          <w:rFonts w:eastAsia="MS Mincho"/>
          <w:bCs/>
          <w:sz w:val="20"/>
          <w:szCs w:val="20"/>
          <w:lang w:val="en-US" w:eastAsia="en-US" w:bidi="en-US"/>
        </w:rPr>
        <w:t>UNESCO</w:t>
      </w:r>
      <w:r w:rsidR="00891C09" w:rsidRPr="00012C3F">
        <w:rPr>
          <w:rFonts w:eastAsia="MS Mincho"/>
          <w:bCs/>
          <w:sz w:val="20"/>
          <w:szCs w:val="20"/>
          <w:lang w:val="en-US" w:eastAsia="en-US" w:bidi="en-US"/>
        </w:rPr>
        <w:t>,</w:t>
      </w:r>
      <w:r w:rsidR="004E5810" w:rsidRPr="00012C3F">
        <w:rPr>
          <w:rStyle w:val="Refdenotaalpie"/>
          <w:rFonts w:eastAsia="MS Mincho"/>
          <w:bCs/>
          <w:sz w:val="20"/>
          <w:szCs w:val="20"/>
          <w:lang w:val="en-US" w:eastAsia="en-US" w:bidi="en-US"/>
        </w:rPr>
        <w:footnoteReference w:id="211"/>
      </w:r>
      <w:r w:rsidR="00891C09" w:rsidRPr="00012C3F">
        <w:rPr>
          <w:rFonts w:eastAsia="MS Mincho"/>
          <w:sz w:val="20"/>
          <w:szCs w:val="20"/>
          <w:lang w:val="en-US" w:eastAsia="en-US" w:bidi="en-US"/>
        </w:rPr>
        <w:t xml:space="preserve"> emphasize that “[a]</w:t>
      </w:r>
      <w:r w:rsidR="00891C09" w:rsidRPr="00012C3F">
        <w:rPr>
          <w:rFonts w:cs="Arial"/>
          <w:sz w:val="20"/>
          <w:szCs w:val="20"/>
          <w:lang w:val="en-US"/>
        </w:rPr>
        <w:t xml:space="preserve">ny preventive, diagnostic and therapeutic medical </w:t>
      </w:r>
      <w:r w:rsidR="00891C09" w:rsidRPr="00012C3F">
        <w:rPr>
          <w:rFonts w:cs="Arial"/>
          <w:sz w:val="20"/>
          <w:szCs w:val="20"/>
          <w:lang w:val="en-US"/>
        </w:rPr>
        <w:lastRenderedPageBreak/>
        <w:t>intervention is only to be carried out with the prior, free and informed consent of the person concerned.” This has been ratified also by the</w:t>
      </w:r>
      <w:r w:rsidR="00E17AF2" w:rsidRPr="00012C3F">
        <w:rPr>
          <w:rFonts w:eastAsia="MS Mincho"/>
          <w:bCs/>
          <w:sz w:val="20"/>
          <w:szCs w:val="20"/>
          <w:lang w:val="en-US" w:eastAsia="en-US" w:bidi="en-US"/>
        </w:rPr>
        <w:t xml:space="preserve"> FIGO</w:t>
      </w:r>
      <w:r w:rsidR="00891C09" w:rsidRPr="00012C3F">
        <w:rPr>
          <w:rFonts w:eastAsia="MS Mincho"/>
          <w:bCs/>
          <w:sz w:val="20"/>
          <w:szCs w:val="20"/>
          <w:lang w:val="en-US" w:eastAsia="en-US" w:bidi="en-US"/>
        </w:rPr>
        <w:t>,</w:t>
      </w:r>
      <w:r w:rsidR="00E17AF2" w:rsidRPr="00012C3F">
        <w:rPr>
          <w:rStyle w:val="Refdenotaalpie"/>
          <w:rFonts w:eastAsia="MS Mincho"/>
          <w:bCs/>
          <w:sz w:val="20"/>
          <w:szCs w:val="20"/>
          <w:lang w:val="en-US" w:eastAsia="en-US" w:bidi="en-US"/>
        </w:rPr>
        <w:footnoteReference w:id="212"/>
      </w:r>
      <w:r w:rsidR="00E17AF2" w:rsidRPr="00012C3F">
        <w:rPr>
          <w:rFonts w:eastAsia="MS Mincho"/>
          <w:bCs/>
          <w:sz w:val="20"/>
          <w:szCs w:val="20"/>
          <w:lang w:val="en-US" w:eastAsia="en-US" w:bidi="en-US"/>
        </w:rPr>
        <w:t xml:space="preserve"> </w:t>
      </w:r>
      <w:r w:rsidR="00891C09" w:rsidRPr="00012C3F">
        <w:rPr>
          <w:rFonts w:eastAsia="MS Mincho"/>
          <w:bCs/>
          <w:sz w:val="20"/>
          <w:szCs w:val="20"/>
          <w:lang w:val="en-US" w:eastAsia="en-US" w:bidi="en-US"/>
        </w:rPr>
        <w:t>the</w:t>
      </w:r>
      <w:r w:rsidR="00E17AF2" w:rsidRPr="00012C3F">
        <w:rPr>
          <w:rFonts w:eastAsia="MS Mincho"/>
          <w:bCs/>
          <w:sz w:val="20"/>
          <w:szCs w:val="20"/>
          <w:lang w:val="en-US" w:eastAsia="en-US" w:bidi="en-US"/>
        </w:rPr>
        <w:t xml:space="preserve"> </w:t>
      </w:r>
      <w:r w:rsidR="007B0C04" w:rsidRPr="00012C3F">
        <w:rPr>
          <w:rFonts w:eastAsia="MS Mincho"/>
          <w:bCs/>
          <w:sz w:val="20"/>
          <w:szCs w:val="20"/>
          <w:lang w:val="en-US" w:eastAsia="en-US" w:bidi="en-US"/>
        </w:rPr>
        <w:t>WHO</w:t>
      </w:r>
      <w:r w:rsidR="00E17AF2" w:rsidRPr="00012C3F">
        <w:rPr>
          <w:rStyle w:val="Refdenotaalpie"/>
          <w:rFonts w:eastAsia="MS Mincho"/>
          <w:bCs/>
          <w:sz w:val="20"/>
          <w:szCs w:val="20"/>
          <w:lang w:val="en-US" w:eastAsia="en-US" w:bidi="en-US"/>
        </w:rPr>
        <w:footnoteReference w:id="213"/>
      </w:r>
      <w:r w:rsidR="005E5012" w:rsidRPr="00012C3F">
        <w:rPr>
          <w:rFonts w:eastAsia="MS Mincho"/>
          <w:bCs/>
          <w:sz w:val="20"/>
          <w:szCs w:val="20"/>
          <w:lang w:val="en-US" w:eastAsia="en-US" w:bidi="en-US"/>
        </w:rPr>
        <w:t xml:space="preserve"> and </w:t>
      </w:r>
      <w:r w:rsidR="00891C09" w:rsidRPr="00012C3F">
        <w:rPr>
          <w:rFonts w:eastAsia="MS Mincho"/>
          <w:bCs/>
          <w:sz w:val="20"/>
          <w:szCs w:val="20"/>
          <w:lang w:val="en-US" w:eastAsia="en-US" w:bidi="en-US"/>
        </w:rPr>
        <w:t>the</w:t>
      </w:r>
      <w:r w:rsidR="00E17AF2" w:rsidRPr="00012C3F">
        <w:rPr>
          <w:rFonts w:eastAsia="MS Mincho"/>
          <w:bCs/>
          <w:sz w:val="20"/>
          <w:szCs w:val="20"/>
          <w:lang w:val="en-US" w:eastAsia="en-US" w:bidi="en-US"/>
        </w:rPr>
        <w:t xml:space="preserve"> </w:t>
      </w:r>
      <w:r w:rsidR="00BC0785" w:rsidRPr="00012C3F">
        <w:rPr>
          <w:rFonts w:eastAsia="MS Mincho"/>
          <w:bCs/>
          <w:sz w:val="20"/>
          <w:szCs w:val="20"/>
          <w:lang w:val="en-US" w:eastAsia="en-US" w:bidi="en-US"/>
        </w:rPr>
        <w:t>Committee for the Elimination of Discrimination against Women</w:t>
      </w:r>
      <w:r w:rsidR="00AD1189" w:rsidRPr="00012C3F">
        <w:rPr>
          <w:rFonts w:eastAsia="MS Mincho"/>
          <w:sz w:val="20"/>
          <w:szCs w:val="20"/>
          <w:lang w:val="en-US" w:eastAsia="en-US" w:bidi="en-US"/>
        </w:rPr>
        <w:t xml:space="preserve"> </w:t>
      </w:r>
      <w:r w:rsidR="00891C09" w:rsidRPr="00012C3F">
        <w:rPr>
          <w:rFonts w:eastAsia="MS Mincho"/>
          <w:bCs/>
          <w:sz w:val="20"/>
          <w:szCs w:val="20"/>
          <w:lang w:val="en-US" w:eastAsia="en-US" w:bidi="en-US"/>
        </w:rPr>
        <w:t>in its</w:t>
      </w:r>
      <w:r w:rsidR="00E17AF2" w:rsidRPr="00012C3F">
        <w:rPr>
          <w:rFonts w:eastAsia="MS Mincho"/>
          <w:bCs/>
          <w:sz w:val="20"/>
          <w:szCs w:val="20"/>
          <w:lang w:val="en-US" w:eastAsia="en-US" w:bidi="en-US"/>
        </w:rPr>
        <w:t xml:space="preserve"> </w:t>
      </w:r>
      <w:r w:rsidR="00891C09" w:rsidRPr="00012C3F">
        <w:rPr>
          <w:rFonts w:eastAsia="MS Mincho"/>
          <w:bCs/>
          <w:sz w:val="20"/>
          <w:szCs w:val="20"/>
          <w:lang w:val="en-US" w:eastAsia="en-US" w:bidi="en-US"/>
        </w:rPr>
        <w:t>General Recommendation</w:t>
      </w:r>
      <w:r w:rsidR="00E17AF2" w:rsidRPr="00012C3F">
        <w:rPr>
          <w:rFonts w:eastAsia="MS Mincho"/>
          <w:bCs/>
          <w:sz w:val="20"/>
          <w:szCs w:val="20"/>
          <w:lang w:val="en-US" w:eastAsia="en-US" w:bidi="en-US"/>
        </w:rPr>
        <w:t xml:space="preserve"> No. 24</w:t>
      </w:r>
      <w:r w:rsidR="00891C09" w:rsidRPr="00012C3F">
        <w:rPr>
          <w:rFonts w:eastAsia="MS Mincho"/>
          <w:bCs/>
          <w:sz w:val="20"/>
          <w:szCs w:val="20"/>
          <w:lang w:val="en-US" w:eastAsia="en-US" w:bidi="en-US"/>
        </w:rPr>
        <w:t>,</w:t>
      </w:r>
      <w:r w:rsidR="00E17AF2" w:rsidRPr="00012C3F">
        <w:rPr>
          <w:rStyle w:val="Refdenotaalpie"/>
          <w:rFonts w:eastAsia="MS Mincho"/>
          <w:bCs/>
          <w:sz w:val="20"/>
          <w:szCs w:val="20"/>
          <w:lang w:val="en-US" w:eastAsia="en-US" w:bidi="en-US"/>
        </w:rPr>
        <w:footnoteReference w:id="214"/>
      </w:r>
      <w:r w:rsidR="00891C09" w:rsidRPr="00012C3F">
        <w:rPr>
          <w:rFonts w:eastAsia="MS Mincho"/>
          <w:bCs/>
          <w:sz w:val="20"/>
          <w:szCs w:val="20"/>
          <w:lang w:val="en-US" w:eastAsia="en-US" w:bidi="en-US"/>
        </w:rPr>
        <w:t xml:space="preserve"> in the sense that the health services provided to women shall be acceptable only if </w:t>
      </w:r>
      <w:r w:rsidR="002D5C4F" w:rsidRPr="00012C3F">
        <w:rPr>
          <w:rFonts w:eastAsia="MS Mincho"/>
          <w:bCs/>
          <w:sz w:val="20"/>
          <w:szCs w:val="20"/>
          <w:lang w:val="en-US" w:eastAsia="en-US" w:bidi="en-US"/>
        </w:rPr>
        <w:t>women</w:t>
      </w:r>
      <w:r w:rsidR="002F1FC5" w:rsidRPr="00012C3F">
        <w:rPr>
          <w:rFonts w:eastAsia="MS Mincho"/>
          <w:bCs/>
          <w:sz w:val="20"/>
          <w:szCs w:val="20"/>
          <w:lang w:val="en-US" w:eastAsia="en-US" w:bidi="en-US"/>
        </w:rPr>
        <w:t xml:space="preserve"> give their</w:t>
      </w:r>
      <w:r w:rsidR="00891C09" w:rsidRPr="00012C3F">
        <w:rPr>
          <w:rFonts w:eastAsia="MS Mincho"/>
          <w:bCs/>
          <w:sz w:val="20"/>
          <w:szCs w:val="20"/>
          <w:lang w:val="en-US" w:eastAsia="en-US" w:bidi="en-US"/>
        </w:rPr>
        <w:t xml:space="preserve"> prior consent with full</w:t>
      </w:r>
      <w:r w:rsidR="002F1FC5" w:rsidRPr="00012C3F">
        <w:rPr>
          <w:rFonts w:eastAsia="MS Mincho"/>
          <w:bCs/>
          <w:sz w:val="20"/>
          <w:szCs w:val="20"/>
          <w:lang w:val="en-US" w:eastAsia="en-US" w:bidi="en-US"/>
        </w:rPr>
        <w:t xml:space="preserve"> awareness of the facts; in other words, if the consent </w:t>
      </w:r>
      <w:r w:rsidR="00891C09" w:rsidRPr="00012C3F">
        <w:rPr>
          <w:rFonts w:eastAsia="MS Mincho"/>
          <w:sz w:val="20"/>
          <w:szCs w:val="20"/>
          <w:lang w:val="en-US" w:eastAsia="en-US" w:bidi="en-US"/>
        </w:rPr>
        <w:t>is prior to the medical intervention.</w:t>
      </w:r>
    </w:p>
    <w:p w14:paraId="0B6C84D5" w14:textId="77777777" w:rsidR="00E17AF2" w:rsidRPr="00012C3F" w:rsidRDefault="00E17AF2" w:rsidP="00E17AF2">
      <w:pPr>
        <w:tabs>
          <w:tab w:val="left" w:pos="567"/>
        </w:tabs>
        <w:spacing w:line="240" w:lineRule="auto"/>
        <w:rPr>
          <w:rFonts w:eastAsia="Calibri" w:cs="ClassicalGaramondBT-Roman"/>
          <w:sz w:val="20"/>
          <w:szCs w:val="20"/>
          <w:lang w:val="en-US" w:eastAsia="en-US" w:bidi="en-US"/>
        </w:rPr>
      </w:pPr>
    </w:p>
    <w:p w14:paraId="5D30963A" w14:textId="77777777" w:rsidR="00167365" w:rsidRPr="00012C3F" w:rsidRDefault="00891C09" w:rsidP="00891C09">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Calibri" w:cs="ClassicalGaramondBT-Roman"/>
          <w:sz w:val="20"/>
          <w:szCs w:val="20"/>
          <w:lang w:val="en-US" w:eastAsia="en-US" w:bidi="en-US"/>
        </w:rPr>
        <w:t>That said</w:t>
      </w:r>
      <w:r w:rsidR="00E17AF2" w:rsidRPr="00012C3F">
        <w:rPr>
          <w:rFonts w:eastAsia="Calibri" w:cs="ClassicalGaramondBT-Roman"/>
          <w:sz w:val="20"/>
          <w:szCs w:val="20"/>
          <w:lang w:val="en-US" w:eastAsia="en-US" w:bidi="en-US"/>
        </w:rPr>
        <w:t xml:space="preserve">, </w:t>
      </w:r>
      <w:r w:rsidR="001254DE" w:rsidRPr="00012C3F">
        <w:rPr>
          <w:rFonts w:eastAsia="Calibri" w:cs="ClassicalGaramondBT-Roman"/>
          <w:sz w:val="20"/>
          <w:szCs w:val="20"/>
          <w:lang w:val="en-US" w:eastAsia="en-US" w:bidi="en-US"/>
        </w:rPr>
        <w:t>the Court</w:t>
      </w:r>
      <w:r w:rsidR="00E17AF2" w:rsidRPr="00012C3F">
        <w:rPr>
          <w:rFonts w:eastAsia="Calibri" w:cs="ClassicalGaramondBT-Roman"/>
          <w:sz w:val="20"/>
          <w:szCs w:val="20"/>
          <w:lang w:val="en-US" w:eastAsia="en-US" w:bidi="en-US"/>
        </w:rPr>
        <w:t xml:space="preserve"> </w:t>
      </w:r>
      <w:r w:rsidRPr="00012C3F">
        <w:rPr>
          <w:rFonts w:eastAsia="Calibri" w:cs="ClassicalGaramondBT-Roman"/>
          <w:sz w:val="20"/>
          <w:szCs w:val="20"/>
          <w:lang w:val="en-US" w:eastAsia="en-US" w:bidi="en-US"/>
        </w:rPr>
        <w:t xml:space="preserve">understands </w:t>
      </w:r>
      <w:r w:rsidR="00167365" w:rsidRPr="00012C3F">
        <w:rPr>
          <w:rFonts w:cs="Arial"/>
          <w:sz w:val="20"/>
          <w:szCs w:val="20"/>
          <w:lang w:val="en-US"/>
        </w:rPr>
        <w:t xml:space="preserve">that exceptions exist where health personnel </w:t>
      </w:r>
      <w:r w:rsidR="008E67B3" w:rsidRPr="00012C3F">
        <w:rPr>
          <w:rFonts w:cs="Arial"/>
          <w:sz w:val="20"/>
          <w:szCs w:val="20"/>
          <w:lang w:val="en-US"/>
        </w:rPr>
        <w:t>may</w:t>
      </w:r>
      <w:r w:rsidR="00167365" w:rsidRPr="00012C3F">
        <w:rPr>
          <w:rFonts w:cs="Arial"/>
          <w:sz w:val="20"/>
          <w:szCs w:val="20"/>
          <w:lang w:val="en-US"/>
        </w:rPr>
        <w:t xml:space="preserve"> act without requiring consent in cases in which the p</w:t>
      </w:r>
      <w:r w:rsidR="008E67B3" w:rsidRPr="00012C3F">
        <w:rPr>
          <w:rFonts w:cs="Arial"/>
          <w:sz w:val="20"/>
          <w:szCs w:val="20"/>
          <w:lang w:val="en-US"/>
        </w:rPr>
        <w:t>atient</w:t>
      </w:r>
      <w:r w:rsidR="00167365" w:rsidRPr="00012C3F">
        <w:rPr>
          <w:rFonts w:cs="Arial"/>
          <w:sz w:val="20"/>
          <w:szCs w:val="20"/>
          <w:lang w:val="en-US"/>
        </w:rPr>
        <w:t xml:space="preserve"> </w:t>
      </w:r>
      <w:r w:rsidR="008E67B3" w:rsidRPr="00012C3F">
        <w:rPr>
          <w:rFonts w:cs="Arial"/>
          <w:sz w:val="20"/>
          <w:szCs w:val="20"/>
          <w:lang w:val="en-US"/>
        </w:rPr>
        <w:t>i</w:t>
      </w:r>
      <w:r w:rsidR="00167365" w:rsidRPr="00012C3F">
        <w:rPr>
          <w:rFonts w:cs="Arial"/>
          <w:sz w:val="20"/>
          <w:szCs w:val="20"/>
          <w:lang w:val="en-US"/>
        </w:rPr>
        <w:t>s unable to give their consent and an immediate</w:t>
      </w:r>
      <w:r w:rsidR="008E67B3" w:rsidRPr="00012C3F">
        <w:rPr>
          <w:rFonts w:cs="Arial"/>
          <w:sz w:val="20"/>
          <w:szCs w:val="20"/>
          <w:lang w:val="en-US"/>
        </w:rPr>
        <w:t>,</w:t>
      </w:r>
      <w:r w:rsidR="00167365" w:rsidRPr="00012C3F">
        <w:rPr>
          <w:rFonts w:cs="Arial"/>
          <w:sz w:val="20"/>
          <w:szCs w:val="20"/>
          <w:lang w:val="en-US"/>
        </w:rPr>
        <w:t xml:space="preserve"> urgent or emergency surgical or medical procedure </w:t>
      </w:r>
      <w:r w:rsidR="008E67B3" w:rsidRPr="00012C3F">
        <w:rPr>
          <w:rFonts w:cs="Arial"/>
          <w:sz w:val="20"/>
          <w:szCs w:val="20"/>
          <w:lang w:val="en-US"/>
        </w:rPr>
        <w:t>i</w:t>
      </w:r>
      <w:r w:rsidR="00167365" w:rsidRPr="00012C3F">
        <w:rPr>
          <w:rFonts w:cs="Arial"/>
          <w:sz w:val="20"/>
          <w:szCs w:val="20"/>
          <w:lang w:val="en-US"/>
        </w:rPr>
        <w:t>s necessary given the serious risk to the patient’s health or life. This exception has been established in the laws of several States Parties to</w:t>
      </w:r>
      <w:r w:rsidR="001254DE" w:rsidRPr="00012C3F">
        <w:rPr>
          <w:rFonts w:eastAsia="Calibri" w:cs="ClassicalGaramondBT-Roman"/>
          <w:sz w:val="20"/>
          <w:szCs w:val="20"/>
          <w:lang w:val="en-US" w:eastAsia="en-US" w:bidi="en-US"/>
        </w:rPr>
        <w:t xml:space="preserve"> the American Convention</w:t>
      </w:r>
      <w:r w:rsidR="00E17AF2" w:rsidRPr="00012C3F">
        <w:rPr>
          <w:rFonts w:eastAsia="Calibri" w:cs="ClassicalGaramondBT-Roman"/>
          <w:sz w:val="20"/>
          <w:szCs w:val="20"/>
          <w:lang w:val="en-US" w:eastAsia="en-US" w:bidi="en-US"/>
        </w:rPr>
        <w:t xml:space="preserve">, </w:t>
      </w:r>
      <w:r w:rsidR="00167365" w:rsidRPr="00012C3F">
        <w:rPr>
          <w:rFonts w:eastAsia="Calibri" w:cs="ClassicalGaramondBT-Roman"/>
          <w:sz w:val="20"/>
          <w:szCs w:val="20"/>
          <w:lang w:val="en-US" w:eastAsia="en-US" w:bidi="en-US"/>
        </w:rPr>
        <w:t xml:space="preserve">as will be described below </w:t>
      </w:r>
      <w:r w:rsidR="00E17AF2" w:rsidRPr="00012C3F">
        <w:rPr>
          <w:rFonts w:eastAsia="Calibri" w:cs="ClassicalGaramondBT-Roman"/>
          <w:sz w:val="20"/>
          <w:szCs w:val="20"/>
          <w:lang w:val="en-US" w:eastAsia="en-US" w:bidi="en-US"/>
        </w:rPr>
        <w:t>(</w:t>
      </w:r>
      <w:r w:rsidR="00E17AF2" w:rsidRPr="00012C3F">
        <w:rPr>
          <w:rFonts w:eastAsia="Calibri" w:cs="ClassicalGaramondBT-Roman"/>
          <w:i/>
          <w:sz w:val="20"/>
          <w:szCs w:val="20"/>
          <w:lang w:val="en-US" w:eastAsia="en-US" w:bidi="en-US"/>
        </w:rPr>
        <w:t>infra</w:t>
      </w:r>
      <w:r w:rsidR="00E17AF2" w:rsidRPr="00012C3F">
        <w:rPr>
          <w:rFonts w:eastAsia="Calibri" w:cs="ClassicalGaramondBT-Roman"/>
          <w:sz w:val="20"/>
          <w:szCs w:val="20"/>
          <w:lang w:val="en-US" w:eastAsia="en-US" w:bidi="en-US"/>
        </w:rPr>
        <w:t xml:space="preserve"> </w:t>
      </w:r>
      <w:r w:rsidR="00370DD4" w:rsidRPr="00012C3F">
        <w:rPr>
          <w:rFonts w:eastAsia="Calibri" w:cs="ClassicalGaramondBT-Roman"/>
          <w:sz w:val="20"/>
          <w:szCs w:val="20"/>
          <w:lang w:val="en-US" w:eastAsia="en-US" w:bidi="en-US"/>
        </w:rPr>
        <w:t>para.</w:t>
      </w:r>
      <w:r w:rsidR="00E17AF2" w:rsidRPr="00012C3F">
        <w:rPr>
          <w:rFonts w:eastAsia="Calibri" w:cs="ClassicalGaramondBT-Roman"/>
          <w:sz w:val="20"/>
          <w:szCs w:val="20"/>
          <w:lang w:val="en-US" w:eastAsia="en-US" w:bidi="en-US"/>
        </w:rPr>
        <w:t xml:space="preserve"> </w:t>
      </w:r>
      <w:r w:rsidR="00824008" w:rsidRPr="00012C3F">
        <w:rPr>
          <w:rFonts w:eastAsia="Calibri" w:cs="ClassicalGaramondBT-Roman"/>
          <w:sz w:val="20"/>
          <w:szCs w:val="20"/>
          <w:lang w:val="en-US" w:eastAsia="en-US" w:bidi="en-US"/>
        </w:rPr>
        <w:t>200),</w:t>
      </w:r>
      <w:r w:rsidR="005E5012" w:rsidRPr="00012C3F">
        <w:rPr>
          <w:rFonts w:eastAsia="Calibri" w:cs="ClassicalGaramondBT-Roman"/>
          <w:sz w:val="20"/>
          <w:szCs w:val="20"/>
          <w:lang w:val="en-US" w:eastAsia="en-US" w:bidi="en-US"/>
        </w:rPr>
        <w:t xml:space="preserve"> and </w:t>
      </w:r>
      <w:r w:rsidR="00E17AF2" w:rsidRPr="00012C3F">
        <w:rPr>
          <w:rFonts w:eastAsia="Calibri" w:cs="ClassicalGaramondBT-Roman"/>
          <w:sz w:val="20"/>
          <w:szCs w:val="20"/>
          <w:lang w:val="en-US" w:eastAsia="en-US" w:bidi="en-US"/>
        </w:rPr>
        <w:t>ha</w:t>
      </w:r>
      <w:r w:rsidR="00167365" w:rsidRPr="00012C3F">
        <w:rPr>
          <w:rFonts w:eastAsia="Calibri" w:cs="ClassicalGaramondBT-Roman"/>
          <w:sz w:val="20"/>
          <w:szCs w:val="20"/>
          <w:lang w:val="en-US" w:eastAsia="en-US" w:bidi="en-US"/>
        </w:rPr>
        <w:t>s been recognized in the European sphere,</w:t>
      </w:r>
      <w:r w:rsidR="00E17AF2" w:rsidRPr="00012C3F">
        <w:rPr>
          <w:rStyle w:val="Refdenotaalpie"/>
          <w:rFonts w:eastAsia="Calibri" w:cs="ClassicalGaramondBT-Roman"/>
          <w:sz w:val="20"/>
          <w:szCs w:val="20"/>
          <w:lang w:val="en-US" w:eastAsia="en-US" w:bidi="en-US"/>
        </w:rPr>
        <w:footnoteReference w:id="215"/>
      </w:r>
      <w:r w:rsidR="00167365" w:rsidRPr="00012C3F">
        <w:rPr>
          <w:rFonts w:eastAsia="Calibri" w:cs="ClassicalGaramondBT-Roman"/>
          <w:sz w:val="20"/>
          <w:szCs w:val="20"/>
          <w:lang w:val="en-US" w:eastAsia="en-US" w:bidi="en-US"/>
        </w:rPr>
        <w:t xml:space="preserve"> as well as by the Special Rapporteur on the right of everyone to enjoy the highest attainable standard of physical and mental health.</w:t>
      </w:r>
      <w:r w:rsidR="00E17AF2" w:rsidRPr="00012C3F">
        <w:rPr>
          <w:rStyle w:val="Refdenotaalpie"/>
          <w:rFonts w:eastAsia="Calibri" w:cs="ClassicalGaramondBT-Roman"/>
          <w:sz w:val="20"/>
          <w:szCs w:val="20"/>
          <w:lang w:val="en-US" w:eastAsia="en-US" w:bidi="en-US"/>
        </w:rPr>
        <w:footnoteReference w:id="216"/>
      </w:r>
      <w:r w:rsidR="00167365" w:rsidRPr="00012C3F">
        <w:rPr>
          <w:sz w:val="20"/>
          <w:szCs w:val="20"/>
          <w:lang w:val="en-US"/>
        </w:rPr>
        <w:t xml:space="preserve"> The Court considers that urgency or emergency refers to the imminence of a risk </w:t>
      </w:r>
      <w:r w:rsidR="009D3EE9" w:rsidRPr="00012C3F">
        <w:rPr>
          <w:sz w:val="20"/>
          <w:szCs w:val="20"/>
          <w:lang w:val="en-US"/>
        </w:rPr>
        <w:t>and</w:t>
      </w:r>
      <w:r w:rsidR="00167365" w:rsidRPr="00012C3F">
        <w:rPr>
          <w:sz w:val="20"/>
          <w:szCs w:val="20"/>
          <w:lang w:val="en-US"/>
        </w:rPr>
        <w:t xml:space="preserve">, consequently, of a situation in which the intervention cannot be postponed, excluding those cases in which it is possible to wait to obtain consent. </w:t>
      </w:r>
      <w:r w:rsidR="00167365" w:rsidRPr="00012C3F">
        <w:rPr>
          <w:rFonts w:cs="Arial"/>
          <w:sz w:val="20"/>
          <w:szCs w:val="20"/>
          <w:lang w:val="en-US"/>
        </w:rPr>
        <w:t>Regarding tubal ligation, the Court stresse</w:t>
      </w:r>
      <w:r w:rsidR="008E67B3" w:rsidRPr="00012C3F">
        <w:rPr>
          <w:rFonts w:cs="Arial"/>
          <w:sz w:val="20"/>
          <w:szCs w:val="20"/>
          <w:lang w:val="en-US"/>
        </w:rPr>
        <w:t>s</w:t>
      </w:r>
      <w:r w:rsidR="00167365" w:rsidRPr="00012C3F">
        <w:rPr>
          <w:rFonts w:cs="Arial"/>
          <w:sz w:val="20"/>
          <w:szCs w:val="20"/>
          <w:lang w:val="en-US"/>
        </w:rPr>
        <w:t xml:space="preserve"> that this surgical procedure, </w:t>
      </w:r>
      <w:r w:rsidR="008E67B3" w:rsidRPr="00012C3F">
        <w:rPr>
          <w:rFonts w:cs="Arial"/>
          <w:sz w:val="20"/>
          <w:szCs w:val="20"/>
          <w:lang w:val="en-US"/>
        </w:rPr>
        <w:t>the</w:t>
      </w:r>
      <w:r w:rsidR="00167365" w:rsidRPr="00012C3F">
        <w:rPr>
          <w:rFonts w:cs="Arial"/>
          <w:sz w:val="20"/>
          <w:szCs w:val="20"/>
          <w:lang w:val="en-US"/>
        </w:rPr>
        <w:t xml:space="preserve"> purpose</w:t>
      </w:r>
      <w:r w:rsidR="008E67B3" w:rsidRPr="00012C3F">
        <w:rPr>
          <w:rFonts w:cs="Arial"/>
          <w:sz w:val="20"/>
          <w:szCs w:val="20"/>
          <w:lang w:val="en-US"/>
        </w:rPr>
        <w:t xml:space="preserve"> of which</w:t>
      </w:r>
      <w:r w:rsidR="00167365" w:rsidRPr="00012C3F">
        <w:rPr>
          <w:rFonts w:cs="Arial"/>
          <w:sz w:val="20"/>
          <w:szCs w:val="20"/>
          <w:lang w:val="en-US"/>
        </w:rPr>
        <w:t xml:space="preserve"> is to prevent a future pregnancy, c</w:t>
      </w:r>
      <w:r w:rsidR="008E67B3" w:rsidRPr="00012C3F">
        <w:rPr>
          <w:rFonts w:cs="Arial"/>
          <w:sz w:val="20"/>
          <w:szCs w:val="20"/>
          <w:lang w:val="en-US"/>
        </w:rPr>
        <w:t>an</w:t>
      </w:r>
      <w:r w:rsidR="00167365" w:rsidRPr="00012C3F">
        <w:rPr>
          <w:rFonts w:cs="Arial"/>
          <w:sz w:val="20"/>
          <w:szCs w:val="20"/>
          <w:lang w:val="en-US"/>
        </w:rPr>
        <w:t xml:space="preserve">not be characterized as an urgent or emergency procedure due to imminent </w:t>
      </w:r>
      <w:r w:rsidR="008E67B3" w:rsidRPr="00012C3F">
        <w:rPr>
          <w:rFonts w:cs="Arial"/>
          <w:sz w:val="20"/>
          <w:szCs w:val="20"/>
          <w:lang w:val="en-US"/>
        </w:rPr>
        <w:t>risk</w:t>
      </w:r>
      <w:r w:rsidR="00167365" w:rsidRPr="00012C3F">
        <w:rPr>
          <w:rFonts w:cs="Arial"/>
          <w:sz w:val="20"/>
          <w:szCs w:val="20"/>
          <w:lang w:val="en-US"/>
        </w:rPr>
        <w:t>, so that th</w:t>
      </w:r>
      <w:r w:rsidR="008E67B3" w:rsidRPr="00012C3F">
        <w:rPr>
          <w:rFonts w:cs="Arial"/>
          <w:sz w:val="20"/>
          <w:szCs w:val="20"/>
          <w:lang w:val="en-US"/>
        </w:rPr>
        <w:t>is</w:t>
      </w:r>
      <w:r w:rsidR="00167365" w:rsidRPr="00012C3F">
        <w:rPr>
          <w:rFonts w:cs="Arial"/>
          <w:sz w:val="20"/>
          <w:szCs w:val="20"/>
          <w:lang w:val="en-US"/>
        </w:rPr>
        <w:t xml:space="preserve"> exception is not applicable</w:t>
      </w:r>
      <w:r w:rsidR="008E67B3" w:rsidRPr="00012C3F">
        <w:rPr>
          <w:rFonts w:cs="Arial"/>
          <w:sz w:val="20"/>
          <w:szCs w:val="20"/>
          <w:lang w:val="en-US"/>
        </w:rPr>
        <w:t>.</w:t>
      </w:r>
    </w:p>
    <w:p w14:paraId="2C00076A" w14:textId="77777777" w:rsidR="00E17AF2" w:rsidRPr="00012C3F" w:rsidRDefault="00E17AF2" w:rsidP="00E17AF2">
      <w:pPr>
        <w:widowControl/>
        <w:tabs>
          <w:tab w:val="left" w:pos="720"/>
        </w:tabs>
        <w:adjustRightInd/>
        <w:spacing w:line="240" w:lineRule="auto"/>
        <w:ind w:right="-90"/>
        <w:textAlignment w:val="auto"/>
        <w:rPr>
          <w:rFonts w:eastAsia="MS Mincho"/>
          <w:sz w:val="20"/>
          <w:szCs w:val="20"/>
          <w:lang w:val="en-US" w:eastAsia="en-US" w:bidi="en-US"/>
        </w:rPr>
      </w:pPr>
    </w:p>
    <w:p w14:paraId="182926E8" w14:textId="77777777" w:rsidR="00E17AF2" w:rsidRPr="00012C3F" w:rsidRDefault="00167365" w:rsidP="00167365">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sz w:val="20"/>
          <w:szCs w:val="20"/>
          <w:lang w:val="en-US" w:eastAsia="en-US" w:bidi="en-US"/>
        </w:rPr>
        <w:t xml:space="preserve">Indeed, it must be </w:t>
      </w:r>
      <w:r w:rsidR="008E67B3" w:rsidRPr="00012C3F">
        <w:rPr>
          <w:rFonts w:eastAsia="MS Mincho"/>
          <w:sz w:val="20"/>
          <w:szCs w:val="20"/>
          <w:lang w:val="en-US" w:eastAsia="en-US" w:bidi="en-US"/>
        </w:rPr>
        <w:t>emphasized</w:t>
      </w:r>
      <w:r w:rsidRPr="00012C3F">
        <w:rPr>
          <w:rFonts w:eastAsia="MS Mincho"/>
          <w:sz w:val="20"/>
          <w:szCs w:val="20"/>
          <w:lang w:val="en-US" w:eastAsia="en-US" w:bidi="en-US"/>
        </w:rPr>
        <w:t xml:space="preserve"> that the 2011 FIGO ethical </w:t>
      </w:r>
      <w:r w:rsidR="008E67B3" w:rsidRPr="00012C3F">
        <w:rPr>
          <w:rFonts w:eastAsia="MS Mincho"/>
          <w:sz w:val="20"/>
          <w:szCs w:val="20"/>
          <w:lang w:val="en-US" w:eastAsia="en-US" w:bidi="en-US"/>
        </w:rPr>
        <w:t>recommendations</w:t>
      </w:r>
      <w:r w:rsidRPr="00012C3F">
        <w:rPr>
          <w:rFonts w:eastAsia="MS Mincho"/>
          <w:sz w:val="20"/>
          <w:szCs w:val="20"/>
          <w:lang w:val="en-US" w:eastAsia="en-US" w:bidi="en-US"/>
        </w:rPr>
        <w:t xml:space="preserve"> on </w:t>
      </w:r>
      <w:r w:rsidR="008E67B3" w:rsidRPr="00012C3F">
        <w:rPr>
          <w:rFonts w:eastAsia="MS Mincho"/>
          <w:sz w:val="20"/>
          <w:szCs w:val="20"/>
          <w:lang w:val="en-US" w:eastAsia="en-US" w:bidi="en-US"/>
        </w:rPr>
        <w:t>s</w:t>
      </w:r>
      <w:r w:rsidRPr="00012C3F">
        <w:rPr>
          <w:rFonts w:eastAsia="MS Mincho"/>
          <w:sz w:val="20"/>
          <w:szCs w:val="20"/>
          <w:lang w:val="en-US" w:eastAsia="en-US" w:bidi="en-US"/>
        </w:rPr>
        <w:t>terilization and the United Nations Inter-</w:t>
      </w:r>
      <w:r w:rsidR="008E67B3" w:rsidRPr="00012C3F">
        <w:rPr>
          <w:rFonts w:eastAsia="MS Mincho"/>
          <w:sz w:val="20"/>
          <w:szCs w:val="20"/>
          <w:lang w:val="en-US" w:eastAsia="en-US" w:bidi="en-US"/>
        </w:rPr>
        <w:t>Agency statement</w:t>
      </w:r>
      <w:r w:rsidRPr="00012C3F">
        <w:rPr>
          <w:rFonts w:eastAsia="MS Mincho"/>
          <w:sz w:val="20"/>
          <w:szCs w:val="20"/>
          <w:lang w:val="en-US" w:eastAsia="en-US" w:bidi="en-US"/>
        </w:rPr>
        <w:t xml:space="preserve"> corroborate this understanding, when they consider that, even if a future pregnancy would endanger the life and health of the woman, she would not become pregnant immediately, so that the measure can be taken subsequently.</w:t>
      </w:r>
      <w:r w:rsidR="004707E3" w:rsidRPr="00012C3F">
        <w:rPr>
          <w:rStyle w:val="Refdenotaalpie"/>
          <w:rFonts w:eastAsia="MS Mincho"/>
          <w:sz w:val="20"/>
          <w:szCs w:val="20"/>
          <w:lang w:val="en-US" w:eastAsia="en-US" w:bidi="en-US"/>
        </w:rPr>
        <w:footnoteReference w:id="217"/>
      </w:r>
      <w:r w:rsidRPr="00012C3F">
        <w:rPr>
          <w:rFonts w:eastAsia="MS Mincho" w:cs="ClassicalGaramondBT-Roman"/>
          <w:sz w:val="20"/>
          <w:szCs w:val="20"/>
          <w:lang w:val="en-US" w:eastAsia="en-US" w:bidi="en-US"/>
        </w:rPr>
        <w:t xml:space="preserve"> Thus, </w:t>
      </w:r>
      <w:r w:rsidR="00894AC0" w:rsidRPr="00012C3F">
        <w:rPr>
          <w:rFonts w:eastAsia="MS Mincho" w:cs="ClassicalGaramondBT-Roman"/>
          <w:sz w:val="20"/>
          <w:szCs w:val="20"/>
          <w:lang w:val="en-US" w:eastAsia="en-US" w:bidi="en-US"/>
        </w:rPr>
        <w:t>sterilization</w:t>
      </w:r>
      <w:r w:rsidRPr="00012C3F">
        <w:rPr>
          <w:rFonts w:eastAsia="MS Mincho" w:cs="ClassicalGaramondBT-Roman"/>
          <w:sz w:val="20"/>
          <w:szCs w:val="20"/>
          <w:lang w:val="en-US" w:eastAsia="en-US" w:bidi="en-US"/>
        </w:rPr>
        <w:t xml:space="preserve"> is not an emergency medical procedure. This reasoning was also adopted by the </w:t>
      </w:r>
      <w:r w:rsidR="00E17AF2" w:rsidRPr="00012C3F">
        <w:rPr>
          <w:rFonts w:eastAsia="MS Mincho" w:cs="ClassicalGaramondBT-Roman"/>
          <w:sz w:val="20"/>
          <w:szCs w:val="20"/>
          <w:lang w:val="en-US" w:eastAsia="en-US" w:bidi="en-US"/>
        </w:rPr>
        <w:t xml:space="preserve"> </w:t>
      </w:r>
      <w:r w:rsidR="00E060D2" w:rsidRPr="00012C3F">
        <w:rPr>
          <w:rFonts w:eastAsia="MS Mincho"/>
          <w:sz w:val="20"/>
          <w:szCs w:val="20"/>
          <w:lang w:val="en-US" w:eastAsia="en-US" w:bidi="en-US"/>
        </w:rPr>
        <w:t>European Court of Human Rights</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in the case of</w:t>
      </w:r>
      <w:r w:rsidR="00E17AF2" w:rsidRPr="00012C3F">
        <w:rPr>
          <w:rFonts w:eastAsia="MS Mincho"/>
          <w:sz w:val="20"/>
          <w:szCs w:val="20"/>
          <w:lang w:val="en-US" w:eastAsia="en-US" w:bidi="en-US"/>
        </w:rPr>
        <w:t xml:space="preserve"> </w:t>
      </w:r>
      <w:r w:rsidRPr="00012C3F">
        <w:rPr>
          <w:rFonts w:eastAsia="MS Mincho"/>
          <w:i/>
          <w:sz w:val="20"/>
          <w:szCs w:val="20"/>
          <w:lang w:val="en-US" w:eastAsia="en-US" w:bidi="en-US"/>
        </w:rPr>
        <w:t>V</w:t>
      </w:r>
      <w:r w:rsidR="000E1C11" w:rsidRPr="00012C3F">
        <w:rPr>
          <w:rFonts w:eastAsia="MS Mincho"/>
          <w:i/>
          <w:sz w:val="20"/>
          <w:szCs w:val="20"/>
          <w:lang w:val="en-US" w:eastAsia="en-US" w:bidi="en-US"/>
        </w:rPr>
        <w:t>.</w:t>
      </w:r>
      <w:r w:rsidR="00E17AF2" w:rsidRPr="00012C3F">
        <w:rPr>
          <w:rFonts w:eastAsia="MS Mincho"/>
          <w:i/>
          <w:sz w:val="20"/>
          <w:szCs w:val="20"/>
          <w:lang w:val="en-US" w:eastAsia="en-US" w:bidi="en-US"/>
        </w:rPr>
        <w:t xml:space="preserve">C. </w:t>
      </w:r>
      <w:r w:rsidR="000E1C11" w:rsidRPr="00012C3F">
        <w:rPr>
          <w:rFonts w:eastAsia="MS Mincho"/>
          <w:i/>
          <w:sz w:val="20"/>
          <w:szCs w:val="20"/>
          <w:lang w:val="en-US" w:eastAsia="en-US" w:bidi="en-US"/>
        </w:rPr>
        <w:t>v.</w:t>
      </w:r>
      <w:r w:rsidR="00E17AF2" w:rsidRPr="00012C3F">
        <w:rPr>
          <w:rFonts w:eastAsia="MS Mincho"/>
          <w:i/>
          <w:sz w:val="20"/>
          <w:szCs w:val="20"/>
          <w:lang w:val="en-US" w:eastAsia="en-US" w:bidi="en-US"/>
        </w:rPr>
        <w:t xml:space="preserve"> </w:t>
      </w:r>
      <w:r w:rsidRPr="00012C3F">
        <w:rPr>
          <w:rFonts w:eastAsia="MS Mincho"/>
          <w:i/>
          <w:sz w:val="20"/>
          <w:szCs w:val="20"/>
          <w:lang w:val="en-US" w:eastAsia="en-US" w:bidi="en-US"/>
        </w:rPr>
        <w:t>Slovakia</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 xml:space="preserve">in which the facts took place on August 23, </w:t>
      </w:r>
      <w:r w:rsidR="00E17AF2" w:rsidRPr="00012C3F">
        <w:rPr>
          <w:rFonts w:eastAsia="MS Mincho"/>
          <w:sz w:val="20"/>
          <w:szCs w:val="20"/>
          <w:lang w:val="en-US" w:eastAsia="en-US" w:bidi="en-US"/>
        </w:rPr>
        <w:t>2000</w:t>
      </w:r>
      <w:r w:rsidRPr="00012C3F">
        <w:rPr>
          <w:rFonts w:eastAsia="MS Mincho"/>
          <w:sz w:val="20"/>
          <w:szCs w:val="20"/>
          <w:lang w:val="en-US" w:eastAsia="en-US" w:bidi="en-US"/>
        </w:rPr>
        <w:t>. In its judgme</w:t>
      </w:r>
      <w:r w:rsidR="00894AC0" w:rsidRPr="00012C3F">
        <w:rPr>
          <w:rFonts w:eastAsia="MS Mincho"/>
          <w:sz w:val="20"/>
          <w:szCs w:val="20"/>
          <w:lang w:val="en-US" w:eastAsia="en-US" w:bidi="en-US"/>
        </w:rPr>
        <w:t>n</w:t>
      </w:r>
      <w:r w:rsidRPr="00012C3F">
        <w:rPr>
          <w:rFonts w:eastAsia="MS Mincho"/>
          <w:sz w:val="20"/>
          <w:szCs w:val="20"/>
          <w:lang w:val="en-US" w:eastAsia="en-US" w:bidi="en-US"/>
        </w:rPr>
        <w:t>t, the European Court concluded that</w:t>
      </w:r>
      <w:r w:rsidR="008E67B3" w:rsidRPr="00012C3F">
        <w:rPr>
          <w:rFonts w:eastAsia="MS Mincho"/>
          <w:sz w:val="20"/>
          <w:szCs w:val="20"/>
          <w:lang w:val="en-US" w:eastAsia="en-US" w:bidi="en-US"/>
        </w:rPr>
        <w:t xml:space="preserve"> the</w:t>
      </w:r>
      <w:r w:rsidRPr="00012C3F">
        <w:rPr>
          <w:rFonts w:eastAsia="MS Mincho"/>
          <w:sz w:val="20"/>
          <w:szCs w:val="20"/>
          <w:lang w:val="en-US" w:eastAsia="en-US" w:bidi="en-US"/>
        </w:rPr>
        <w:t xml:space="preserve"> tubal ligation procedure </w:t>
      </w:r>
      <w:r w:rsidRPr="00012C3F">
        <w:rPr>
          <w:rFonts w:eastAsia="MS Mincho"/>
          <w:sz w:val="20"/>
          <w:szCs w:val="20"/>
          <w:lang w:val="en-US" w:eastAsia="en-US" w:bidi="en-US"/>
        </w:rPr>
        <w:lastRenderedPageBreak/>
        <w:t xml:space="preserve">performed during </w:t>
      </w:r>
      <w:r w:rsidR="00CC232E" w:rsidRPr="00012C3F">
        <w:rPr>
          <w:rFonts w:eastAsia="MS Mincho"/>
          <w:sz w:val="20"/>
          <w:szCs w:val="20"/>
          <w:lang w:val="en-US" w:eastAsia="en-US" w:bidi="en-US"/>
        </w:rPr>
        <w:t>a caesarean section</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 xml:space="preserve">did not constitute an imminent necessity </w:t>
      </w:r>
      <w:r w:rsidR="002A0A1A" w:rsidRPr="00012C3F">
        <w:rPr>
          <w:rFonts w:eastAsia="MS Mincho"/>
          <w:sz w:val="20"/>
          <w:szCs w:val="20"/>
          <w:lang w:val="en-US" w:eastAsia="en-US" w:bidi="en-US"/>
        </w:rPr>
        <w:t xml:space="preserve">from a medical point of view </w:t>
      </w:r>
      <w:r w:rsidRPr="00012C3F">
        <w:rPr>
          <w:rFonts w:eastAsia="MS Mincho"/>
          <w:sz w:val="20"/>
          <w:szCs w:val="20"/>
          <w:lang w:val="en-US" w:eastAsia="en-US" w:bidi="en-US"/>
        </w:rPr>
        <w:t xml:space="preserve">because the threat to the patient’s life would </w:t>
      </w:r>
      <w:r w:rsidR="002A0A1A" w:rsidRPr="00012C3F">
        <w:rPr>
          <w:rFonts w:eastAsia="MS Mincho"/>
          <w:sz w:val="20"/>
          <w:szCs w:val="20"/>
          <w:lang w:val="en-US" w:eastAsia="en-US" w:bidi="en-US"/>
        </w:rPr>
        <w:t>materialize only in the event of a future pregnancy</w:t>
      </w:r>
      <w:r w:rsidRPr="00012C3F">
        <w:rPr>
          <w:rFonts w:eastAsia="MS Mincho"/>
          <w:sz w:val="20"/>
          <w:szCs w:val="20"/>
          <w:lang w:val="en-US" w:eastAsia="en-US" w:bidi="en-US"/>
        </w:rPr>
        <w:t xml:space="preserve">, so that such an intervention was not </w:t>
      </w:r>
      <w:r w:rsidR="002A0A1A" w:rsidRPr="00012C3F">
        <w:rPr>
          <w:rFonts w:eastAsia="MS Mincho"/>
          <w:sz w:val="20"/>
          <w:szCs w:val="20"/>
          <w:lang w:val="en-US" w:eastAsia="en-US" w:bidi="en-US"/>
        </w:rPr>
        <w:t xml:space="preserve">generally </w:t>
      </w:r>
      <w:r w:rsidRPr="00012C3F">
        <w:rPr>
          <w:rFonts w:eastAsia="MS Mincho"/>
          <w:sz w:val="20"/>
          <w:szCs w:val="20"/>
          <w:lang w:val="en-US" w:eastAsia="en-US" w:bidi="en-US"/>
        </w:rPr>
        <w:t>considered</w:t>
      </w:r>
      <w:r w:rsidR="002A0A1A" w:rsidRPr="00012C3F">
        <w:rPr>
          <w:rFonts w:eastAsia="MS Mincho"/>
          <w:sz w:val="20"/>
          <w:szCs w:val="20"/>
          <w:lang w:val="en-US" w:eastAsia="en-US" w:bidi="en-US"/>
        </w:rPr>
        <w:t xml:space="preserve"> as life-saving surgery</w:t>
      </w:r>
      <w:r w:rsidRPr="00012C3F">
        <w:rPr>
          <w:rFonts w:eastAsia="MS Mincho"/>
          <w:sz w:val="20"/>
          <w:szCs w:val="20"/>
          <w:lang w:val="en-US" w:eastAsia="en-US" w:bidi="en-US"/>
        </w:rPr>
        <w:t>.</w:t>
      </w:r>
      <w:r w:rsidR="00E17AF2" w:rsidRPr="00012C3F">
        <w:rPr>
          <w:rStyle w:val="Refdenotaalpie"/>
          <w:rFonts w:eastAsia="MS Mincho"/>
          <w:sz w:val="20"/>
          <w:szCs w:val="20"/>
          <w:lang w:val="en-US" w:eastAsia="en-US" w:bidi="en-US"/>
        </w:rPr>
        <w:footnoteReference w:id="218"/>
      </w:r>
    </w:p>
    <w:p w14:paraId="7DC64B00" w14:textId="77777777" w:rsidR="00E17AF2" w:rsidRPr="00012C3F" w:rsidRDefault="00E17AF2" w:rsidP="00E17AF2">
      <w:pPr>
        <w:widowControl/>
        <w:tabs>
          <w:tab w:val="left" w:pos="720"/>
        </w:tabs>
        <w:adjustRightInd/>
        <w:spacing w:line="240" w:lineRule="auto"/>
        <w:ind w:right="-90"/>
        <w:textAlignment w:val="auto"/>
        <w:rPr>
          <w:rFonts w:eastAsia="MS Mincho"/>
          <w:sz w:val="20"/>
          <w:szCs w:val="20"/>
          <w:lang w:val="en-US" w:eastAsia="en-US" w:bidi="en-US"/>
        </w:rPr>
      </w:pPr>
    </w:p>
    <w:p w14:paraId="3B382C19" w14:textId="77777777" w:rsidR="006F2C0B" w:rsidRPr="00012C3F" w:rsidRDefault="00E17AF2" w:rsidP="006F2C0B">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sz w:val="20"/>
          <w:szCs w:val="20"/>
          <w:lang w:val="en-US" w:eastAsia="en-US" w:bidi="en-US"/>
        </w:rPr>
        <w:t>Ad</w:t>
      </w:r>
      <w:r w:rsidR="00167365" w:rsidRPr="00012C3F">
        <w:rPr>
          <w:rFonts w:eastAsia="MS Mincho"/>
          <w:sz w:val="20"/>
          <w:szCs w:val="20"/>
          <w:lang w:val="en-US" w:eastAsia="en-US" w:bidi="en-US"/>
        </w:rPr>
        <w:t xml:space="preserve">ditionally, the Court cannot admit the </w:t>
      </w:r>
      <w:r w:rsidR="00D127EB" w:rsidRPr="00012C3F">
        <w:rPr>
          <w:rFonts w:eastAsia="MS Mincho"/>
          <w:sz w:val="20"/>
          <w:szCs w:val="20"/>
          <w:lang w:val="en-US" w:eastAsia="en-US" w:bidi="en-US"/>
        </w:rPr>
        <w:t xml:space="preserve">argument submitted by the State during the hearing in this case, that the medical personnel acted in accordance with the parameters established in the 1993 WHO manual entitled: </w:t>
      </w:r>
      <w:r w:rsidRPr="00012C3F">
        <w:rPr>
          <w:rFonts w:eastAsia="MS Mincho" w:cs="ClassicalGaramondBT-Roman"/>
          <w:sz w:val="20"/>
          <w:szCs w:val="20"/>
          <w:lang w:val="en-US" w:eastAsia="en-US" w:bidi="en-US"/>
        </w:rPr>
        <w:t>“</w:t>
      </w:r>
      <w:r w:rsidR="00BD3B0B" w:rsidRPr="00012C3F">
        <w:rPr>
          <w:rFonts w:eastAsia="MS Mincho" w:cs="ClassicalGaramondBT-Roman"/>
          <w:sz w:val="20"/>
          <w:szCs w:val="20"/>
          <w:lang w:val="en-US" w:eastAsia="en-US" w:bidi="en-US"/>
        </w:rPr>
        <w:t>Female sterilization: a guide to provision of services</w:t>
      </w:r>
      <w:r w:rsidR="00D127EB" w:rsidRPr="00012C3F">
        <w:rPr>
          <w:rFonts w:eastAsia="MS Mincho" w:cs="ClassicalGaramondBT-Roman"/>
          <w:sz w:val="20"/>
          <w:szCs w:val="20"/>
          <w:lang w:val="en-US" w:eastAsia="en-US" w:bidi="en-US"/>
        </w:rPr>
        <w:t>.</w:t>
      </w:r>
      <w:r w:rsidRPr="00012C3F">
        <w:rPr>
          <w:rFonts w:eastAsia="MS Mincho" w:cs="ClassicalGaramondBT-Roman"/>
          <w:sz w:val="20"/>
          <w:szCs w:val="20"/>
          <w:lang w:val="en-US" w:eastAsia="en-US" w:bidi="en-US"/>
        </w:rPr>
        <w:t xml:space="preserve">” </w:t>
      </w:r>
      <w:r w:rsidR="00A84CA0" w:rsidRPr="00012C3F">
        <w:rPr>
          <w:rFonts w:eastAsia="MS Mincho" w:cs="ClassicalGaramondBT-Roman"/>
          <w:sz w:val="20"/>
          <w:szCs w:val="20"/>
          <w:lang w:val="en-US" w:eastAsia="en-US" w:bidi="en-US"/>
        </w:rPr>
        <w:t xml:space="preserve">The </w:t>
      </w:r>
      <w:r w:rsidR="006F2C0B" w:rsidRPr="00012C3F">
        <w:rPr>
          <w:rFonts w:eastAsia="MS Mincho" w:cs="ClassicalGaramondBT-Roman"/>
          <w:sz w:val="20"/>
          <w:szCs w:val="20"/>
          <w:lang w:val="en-US" w:eastAsia="en-US" w:bidi="en-US"/>
        </w:rPr>
        <w:t xml:space="preserve">State indicated that, based on this document, there </w:t>
      </w:r>
      <w:r w:rsidR="00BC4353" w:rsidRPr="00012C3F">
        <w:rPr>
          <w:rFonts w:eastAsia="MS Mincho" w:cs="ClassicalGaramondBT-Roman"/>
          <w:sz w:val="20"/>
          <w:szCs w:val="20"/>
          <w:lang w:val="en-US" w:eastAsia="en-US" w:bidi="en-US"/>
        </w:rPr>
        <w:t>was</w:t>
      </w:r>
      <w:r w:rsidR="006F2C0B" w:rsidRPr="00012C3F">
        <w:rPr>
          <w:rFonts w:eastAsia="MS Mincho" w:cs="ClassicalGaramondBT-Roman"/>
          <w:sz w:val="20"/>
          <w:szCs w:val="20"/>
          <w:lang w:val="en-US" w:eastAsia="en-US" w:bidi="en-US"/>
        </w:rPr>
        <w:t xml:space="preserve"> a difference between voluntary surgical sterilizations and sterilizations for health reasons or medically indicated,</w:t>
      </w:r>
      <w:r w:rsidRPr="00012C3F">
        <w:rPr>
          <w:rStyle w:val="Refdenotaalpie"/>
          <w:rFonts w:eastAsia="MS Mincho" w:cs="ClassicalGaramondBT-Roman"/>
          <w:sz w:val="20"/>
          <w:szCs w:val="20"/>
          <w:lang w:val="en-US" w:eastAsia="en-US" w:bidi="en-US"/>
        </w:rPr>
        <w:footnoteReference w:id="219"/>
      </w:r>
      <w:r w:rsidR="006F2C0B" w:rsidRPr="00012C3F">
        <w:rPr>
          <w:rFonts w:eastAsia="MS Mincho" w:cs="ClassicalGaramondBT-Roman"/>
          <w:sz w:val="20"/>
          <w:szCs w:val="20"/>
          <w:lang w:val="en-US" w:eastAsia="en-US" w:bidi="en-US"/>
        </w:rPr>
        <w:t xml:space="preserve"> establishing that the latter – and always according to the State – </w:t>
      </w:r>
      <w:r w:rsidR="00BC4353" w:rsidRPr="00012C3F">
        <w:rPr>
          <w:rFonts w:eastAsia="MS Mincho" w:cs="ClassicalGaramondBT-Roman"/>
          <w:sz w:val="20"/>
          <w:szCs w:val="20"/>
          <w:lang w:val="en-US" w:eastAsia="en-US" w:bidi="en-US"/>
        </w:rPr>
        <w:t xml:space="preserve">constituted </w:t>
      </w:r>
      <w:r w:rsidR="006F2C0B" w:rsidRPr="00012C3F">
        <w:rPr>
          <w:rFonts w:eastAsia="MS Mincho" w:cs="ClassicalGaramondBT-Roman"/>
          <w:sz w:val="20"/>
          <w:szCs w:val="20"/>
          <w:lang w:val="en-US" w:eastAsia="en-US" w:bidi="en-US"/>
        </w:rPr>
        <w:t>an exception to the requirement of informed consent in cases in which there was a high probability that another pregnancy would have fatal consequences. First, the Court notes that, even though the 1993 WHO manual established that sterilizations could be performed as a result of medical indication, even in that case, such surgical procedures must be voluntary. Consequently, informed consent must be obtained. Second, even though the text of this manual refers to cases of sterilization due to medical indication in which consent may be waived,</w:t>
      </w:r>
      <w:r w:rsidR="006F2C0B" w:rsidRPr="00012C3F">
        <w:rPr>
          <w:rStyle w:val="Refdenotaalpie"/>
          <w:sz w:val="20"/>
          <w:szCs w:val="20"/>
          <w:lang w:val="en-US"/>
        </w:rPr>
        <w:footnoteReference w:id="220"/>
      </w:r>
      <w:r w:rsidR="006F2C0B" w:rsidRPr="00012C3F">
        <w:rPr>
          <w:rFonts w:eastAsia="MS Mincho" w:cs="ClassicalGaramondBT-Roman"/>
          <w:sz w:val="20"/>
          <w:szCs w:val="20"/>
          <w:lang w:val="en-US" w:eastAsia="en-US" w:bidi="en-US"/>
        </w:rPr>
        <w:t xml:space="preserve"> the Court considers that the wording of this alleged exception is imprecise, and open to two possible interpretations. On the one hand, </w:t>
      </w:r>
      <w:r w:rsidR="002F4E0E" w:rsidRPr="00012C3F">
        <w:rPr>
          <w:rFonts w:eastAsia="MS Mincho" w:cs="ClassicalGaramondBT-Roman"/>
          <w:sz w:val="20"/>
          <w:szCs w:val="20"/>
          <w:lang w:val="en-US" w:eastAsia="en-US" w:bidi="en-US"/>
        </w:rPr>
        <w:t xml:space="preserve">as </w:t>
      </w:r>
      <w:r w:rsidR="00BC4353" w:rsidRPr="00012C3F">
        <w:rPr>
          <w:rFonts w:eastAsia="MS Mincho" w:cs="ClassicalGaramondBT-Roman"/>
          <w:sz w:val="20"/>
          <w:szCs w:val="20"/>
          <w:lang w:val="en-US" w:eastAsia="en-US" w:bidi="en-US"/>
        </w:rPr>
        <w:t xml:space="preserve">the wording was </w:t>
      </w:r>
      <w:r w:rsidR="002F4E0E" w:rsidRPr="00012C3F">
        <w:rPr>
          <w:rFonts w:eastAsia="MS Mincho" w:cs="ClassicalGaramondBT-Roman"/>
          <w:sz w:val="20"/>
          <w:szCs w:val="20"/>
          <w:lang w:val="en-US" w:eastAsia="en-US" w:bidi="en-US"/>
        </w:rPr>
        <w:t xml:space="preserve">understood by I.V.’s representative, the exception was only applicable to situations of extreme gravity, such as </w:t>
      </w:r>
      <w:r w:rsidR="00730CC2" w:rsidRPr="00012C3F">
        <w:rPr>
          <w:rFonts w:eastAsia="MS Mincho" w:cs="ClassicalGaramondBT-Roman"/>
          <w:sz w:val="20"/>
          <w:szCs w:val="20"/>
          <w:lang w:val="en-US" w:eastAsia="en-US" w:bidi="en-US"/>
        </w:rPr>
        <w:t>if a woman arrive</w:t>
      </w:r>
      <w:r w:rsidR="00BC4353" w:rsidRPr="00012C3F">
        <w:rPr>
          <w:rFonts w:eastAsia="MS Mincho" w:cs="ClassicalGaramondBT-Roman"/>
          <w:sz w:val="20"/>
          <w:szCs w:val="20"/>
          <w:lang w:val="en-US" w:eastAsia="en-US" w:bidi="en-US"/>
        </w:rPr>
        <w:t>d</w:t>
      </w:r>
      <w:r w:rsidR="00730CC2" w:rsidRPr="00012C3F">
        <w:rPr>
          <w:rFonts w:eastAsia="MS Mincho" w:cs="ClassicalGaramondBT-Roman"/>
          <w:sz w:val="20"/>
          <w:szCs w:val="20"/>
          <w:lang w:val="en-US" w:eastAsia="en-US" w:bidi="en-US"/>
        </w:rPr>
        <w:t xml:space="preserve"> </w:t>
      </w:r>
      <w:r w:rsidR="00BC4353" w:rsidRPr="00012C3F">
        <w:rPr>
          <w:rFonts w:eastAsia="MS Mincho" w:cs="ClassicalGaramondBT-Roman"/>
          <w:sz w:val="20"/>
          <w:szCs w:val="20"/>
          <w:lang w:val="en-US" w:eastAsia="en-US" w:bidi="en-US"/>
        </w:rPr>
        <w:t>a</w:t>
      </w:r>
      <w:r w:rsidR="00730CC2" w:rsidRPr="00012C3F">
        <w:rPr>
          <w:rFonts w:eastAsia="MS Mincho" w:cs="ClassicalGaramondBT-Roman"/>
          <w:sz w:val="20"/>
          <w:szCs w:val="20"/>
          <w:lang w:val="en-US" w:eastAsia="en-US" w:bidi="en-US"/>
        </w:rPr>
        <w:t xml:space="preserve">t the hospital in shock </w:t>
      </w:r>
      <w:r w:rsidR="002F4E0E" w:rsidRPr="00012C3F">
        <w:rPr>
          <w:rFonts w:eastAsia="MS Mincho" w:cs="ClassicalGaramondBT-Roman"/>
          <w:sz w:val="20"/>
          <w:szCs w:val="20"/>
          <w:lang w:val="en-US" w:eastAsia="en-US" w:bidi="en-US"/>
        </w:rPr>
        <w:t xml:space="preserve">due to </w:t>
      </w:r>
      <w:r w:rsidR="00730CC2" w:rsidRPr="00012C3F">
        <w:rPr>
          <w:rFonts w:eastAsia="MS Mincho" w:cs="ClassicalGaramondBT-Roman"/>
          <w:sz w:val="20"/>
          <w:szCs w:val="20"/>
          <w:lang w:val="en-US" w:eastAsia="en-US" w:bidi="en-US"/>
        </w:rPr>
        <w:t xml:space="preserve">a ruptured </w:t>
      </w:r>
      <w:r w:rsidR="002F4E0E" w:rsidRPr="00012C3F">
        <w:rPr>
          <w:rFonts w:eastAsia="MS Mincho" w:cs="ClassicalGaramondBT-Roman"/>
          <w:sz w:val="20"/>
          <w:szCs w:val="20"/>
          <w:lang w:val="en-US" w:eastAsia="en-US" w:bidi="en-US"/>
        </w:rPr>
        <w:t>uter</w:t>
      </w:r>
      <w:r w:rsidR="00730CC2" w:rsidRPr="00012C3F">
        <w:rPr>
          <w:rFonts w:eastAsia="MS Mincho" w:cs="ClassicalGaramondBT-Roman"/>
          <w:sz w:val="20"/>
          <w:szCs w:val="20"/>
          <w:lang w:val="en-US" w:eastAsia="en-US" w:bidi="en-US"/>
        </w:rPr>
        <w:t>us</w:t>
      </w:r>
      <w:r w:rsidR="002F4E0E" w:rsidRPr="00012C3F">
        <w:rPr>
          <w:rFonts w:eastAsia="MS Mincho" w:cs="ClassicalGaramondBT-Roman"/>
          <w:sz w:val="20"/>
          <w:szCs w:val="20"/>
          <w:lang w:val="en-US" w:eastAsia="en-US" w:bidi="en-US"/>
        </w:rPr>
        <w:t>. On the other hand, in the sense understood by the State, the exception to the requirement of informed consent was applicable in cases where there was a high probability that another pregnancy would have a fatal outcome.</w:t>
      </w:r>
    </w:p>
    <w:p w14:paraId="7500808A" w14:textId="77777777" w:rsidR="00E17AF2" w:rsidRPr="00012C3F" w:rsidRDefault="00E17AF2" w:rsidP="00E17AF2">
      <w:pPr>
        <w:tabs>
          <w:tab w:val="left" w:pos="567"/>
        </w:tabs>
        <w:spacing w:line="240" w:lineRule="auto"/>
        <w:rPr>
          <w:rFonts w:eastAsia="MS Mincho"/>
          <w:sz w:val="20"/>
          <w:szCs w:val="20"/>
          <w:lang w:val="en-US" w:eastAsia="en-US" w:bidi="en-US"/>
        </w:rPr>
      </w:pPr>
    </w:p>
    <w:p w14:paraId="2F501696" w14:textId="77777777" w:rsidR="00D127EB" w:rsidRPr="00012C3F" w:rsidRDefault="002F4E0E" w:rsidP="002F4E0E">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sz w:val="20"/>
          <w:szCs w:val="20"/>
          <w:lang w:val="en-US" w:eastAsia="en-US" w:bidi="en-US"/>
        </w:rPr>
        <w:t>In this regard</w:t>
      </w:r>
      <w:r w:rsidR="00E17AF2" w:rsidRPr="00012C3F">
        <w:rPr>
          <w:rFonts w:eastAsia="MS Mincho"/>
          <w:sz w:val="20"/>
          <w:szCs w:val="20"/>
          <w:lang w:val="en-US" w:eastAsia="en-US" w:bidi="en-US"/>
        </w:rPr>
        <w:t xml:space="preserve">, </w:t>
      </w:r>
      <w:r w:rsidR="001254DE" w:rsidRPr="00012C3F">
        <w:rPr>
          <w:rFonts w:eastAsia="MS Mincho"/>
          <w:sz w:val="20"/>
          <w:szCs w:val="20"/>
          <w:lang w:val="en-US" w:eastAsia="en-US" w:bidi="en-US"/>
        </w:rPr>
        <w:t>the Court</w:t>
      </w:r>
      <w:r w:rsidR="00E17AF2" w:rsidRPr="00012C3F">
        <w:rPr>
          <w:rFonts w:eastAsia="MS Mincho"/>
          <w:sz w:val="20"/>
          <w:szCs w:val="20"/>
          <w:lang w:val="en-US" w:eastAsia="en-US" w:bidi="en-US"/>
        </w:rPr>
        <w:t xml:space="preserve"> consider</w:t>
      </w:r>
      <w:r w:rsidRPr="00012C3F">
        <w:rPr>
          <w:rFonts w:eastAsia="MS Mincho"/>
          <w:sz w:val="20"/>
          <w:szCs w:val="20"/>
          <w:lang w:val="en-US" w:eastAsia="en-US" w:bidi="en-US"/>
        </w:rPr>
        <w:t xml:space="preserve">s that the former interpretation would make that standard inapplicable to this case, because I.V. was not admitted to the hospital with </w:t>
      </w:r>
      <w:r w:rsidR="001755D5" w:rsidRPr="00012C3F">
        <w:rPr>
          <w:rFonts w:eastAsia="MS Mincho"/>
          <w:sz w:val="20"/>
          <w:szCs w:val="20"/>
          <w:lang w:val="en-US" w:eastAsia="en-US" w:bidi="en-US"/>
        </w:rPr>
        <w:t>a ruptured uterus</w:t>
      </w:r>
      <w:r w:rsidRPr="00012C3F">
        <w:rPr>
          <w:rFonts w:eastAsia="MS Mincho"/>
          <w:sz w:val="20"/>
          <w:szCs w:val="20"/>
          <w:lang w:val="en-US" w:eastAsia="en-US" w:bidi="en-US"/>
        </w:rPr>
        <w:t xml:space="preserve"> or similar diagnosis. In addition, the Court notes that, if it accepted the interpretation made by the State, this would involve assuming an isolated standard that contradicts consistent and reiterated </w:t>
      </w:r>
      <w:r w:rsidRPr="00012C3F">
        <w:rPr>
          <w:rFonts w:eastAsia="MS Mincho"/>
          <w:sz w:val="20"/>
          <w:szCs w:val="20"/>
          <w:lang w:val="en-US" w:eastAsia="en-US" w:bidi="en-US"/>
        </w:rPr>
        <w:lastRenderedPageBreak/>
        <w:t>standards contained in numerous other international documents cited by this Court.</w:t>
      </w:r>
      <w:r w:rsidR="00A11150" w:rsidRPr="00012C3F">
        <w:rPr>
          <w:rFonts w:eastAsia="MS Mincho"/>
          <w:sz w:val="20"/>
          <w:szCs w:val="20"/>
          <w:lang w:val="en-US" w:eastAsia="en-US" w:bidi="en-US"/>
        </w:rPr>
        <w:t xml:space="preserve"> In any case and given the uncertainty about the interpretation, the Court </w:t>
      </w:r>
      <w:r w:rsidR="00E17AF2" w:rsidRPr="00012C3F">
        <w:rPr>
          <w:sz w:val="20"/>
          <w:szCs w:val="20"/>
          <w:lang w:val="en-US"/>
        </w:rPr>
        <w:t>conclu</w:t>
      </w:r>
      <w:r w:rsidR="00D127EB" w:rsidRPr="00012C3F">
        <w:rPr>
          <w:sz w:val="20"/>
          <w:szCs w:val="20"/>
          <w:lang w:val="en-US"/>
        </w:rPr>
        <w:t xml:space="preserve">ded that the 1993 </w:t>
      </w:r>
      <w:r w:rsidR="00CC232E" w:rsidRPr="00012C3F">
        <w:rPr>
          <w:sz w:val="20"/>
          <w:szCs w:val="20"/>
          <w:lang w:val="en-US"/>
        </w:rPr>
        <w:t>WHO manual</w:t>
      </w:r>
      <w:r w:rsidR="00D127EB" w:rsidRPr="00012C3F">
        <w:rPr>
          <w:sz w:val="20"/>
          <w:szCs w:val="20"/>
          <w:lang w:val="en-US"/>
        </w:rPr>
        <w:t xml:space="preserve"> </w:t>
      </w:r>
      <w:r w:rsidR="00D127EB" w:rsidRPr="00012C3F">
        <w:rPr>
          <w:rFonts w:cs="Arial"/>
          <w:sz w:val="20"/>
          <w:szCs w:val="20"/>
          <w:lang w:val="en-US"/>
        </w:rPr>
        <w:t xml:space="preserve"> should be read in </w:t>
      </w:r>
      <w:r w:rsidR="00BC4353" w:rsidRPr="00012C3F">
        <w:rPr>
          <w:rFonts w:cs="Arial"/>
          <w:sz w:val="20"/>
          <w:szCs w:val="20"/>
          <w:lang w:val="en-US"/>
        </w:rPr>
        <w:t>connection with</w:t>
      </w:r>
      <w:r w:rsidR="00D127EB" w:rsidRPr="00012C3F">
        <w:rPr>
          <w:rFonts w:cs="Arial"/>
          <w:sz w:val="20"/>
          <w:szCs w:val="20"/>
          <w:lang w:val="en-US"/>
        </w:rPr>
        <w:t xml:space="preserve"> the American Convention in light of the autonomy and rights of patients, so that the exception to obtaining consent </w:t>
      </w:r>
      <w:r w:rsidR="00BC4353" w:rsidRPr="00012C3F">
        <w:rPr>
          <w:rFonts w:cs="Arial"/>
          <w:sz w:val="20"/>
          <w:szCs w:val="20"/>
          <w:lang w:val="en-US"/>
        </w:rPr>
        <w:t>i</w:t>
      </w:r>
      <w:r w:rsidR="00D127EB" w:rsidRPr="00012C3F">
        <w:rPr>
          <w:rFonts w:cs="Arial"/>
          <w:sz w:val="20"/>
          <w:szCs w:val="20"/>
          <w:lang w:val="en-US"/>
        </w:rPr>
        <w:t xml:space="preserve">s only valid in situations where there </w:t>
      </w:r>
      <w:r w:rsidR="00BC4353" w:rsidRPr="00012C3F">
        <w:rPr>
          <w:rFonts w:cs="Arial"/>
          <w:sz w:val="20"/>
          <w:szCs w:val="20"/>
          <w:lang w:val="en-US"/>
        </w:rPr>
        <w:t>are</w:t>
      </w:r>
      <w:r w:rsidR="00D127EB" w:rsidRPr="00012C3F">
        <w:rPr>
          <w:rFonts w:cs="Arial"/>
          <w:sz w:val="20"/>
          <w:szCs w:val="20"/>
          <w:lang w:val="en-US"/>
        </w:rPr>
        <w:t xml:space="preserve"> medical indications and in circumstances that me</w:t>
      </w:r>
      <w:r w:rsidR="00BC4353" w:rsidRPr="00012C3F">
        <w:rPr>
          <w:rFonts w:cs="Arial"/>
          <w:sz w:val="20"/>
          <w:szCs w:val="20"/>
          <w:lang w:val="en-US"/>
        </w:rPr>
        <w:t>e</w:t>
      </w:r>
      <w:r w:rsidR="00D127EB" w:rsidRPr="00012C3F">
        <w:rPr>
          <w:rFonts w:cs="Arial"/>
          <w:sz w:val="20"/>
          <w:szCs w:val="20"/>
          <w:lang w:val="en-US"/>
        </w:rPr>
        <w:t>t the necessary requirements of urgency and emergency for it to be admissible.</w:t>
      </w:r>
    </w:p>
    <w:p w14:paraId="2E7F3410" w14:textId="77777777" w:rsidR="00E17AF2" w:rsidRPr="00012C3F" w:rsidRDefault="00E17AF2" w:rsidP="00E17AF2">
      <w:pPr>
        <w:tabs>
          <w:tab w:val="left" w:pos="567"/>
        </w:tabs>
        <w:spacing w:line="240" w:lineRule="auto"/>
        <w:rPr>
          <w:rFonts w:eastAsia="MS Mincho"/>
          <w:sz w:val="20"/>
          <w:szCs w:val="20"/>
          <w:lang w:val="en-US" w:eastAsia="en-US" w:bidi="en-US"/>
        </w:rPr>
      </w:pPr>
    </w:p>
    <w:p w14:paraId="60FD0CCC" w14:textId="77777777" w:rsidR="00442CC5" w:rsidRPr="00012C3F" w:rsidRDefault="00442CC5" w:rsidP="00442CC5">
      <w:pPr>
        <w:tabs>
          <w:tab w:val="left" w:pos="567"/>
        </w:tabs>
        <w:spacing w:line="240" w:lineRule="auto"/>
        <w:rPr>
          <w:rFonts w:eastAsia="MS Mincho"/>
          <w:i/>
          <w:sz w:val="20"/>
          <w:szCs w:val="20"/>
          <w:lang w:val="en-US" w:eastAsia="en-US" w:bidi="en-US"/>
        </w:rPr>
      </w:pPr>
      <w:r w:rsidRPr="00012C3F">
        <w:rPr>
          <w:rFonts w:eastAsia="MS Mincho"/>
          <w:b/>
          <w:i/>
          <w:sz w:val="20"/>
          <w:szCs w:val="20"/>
          <w:lang w:val="en-US" w:eastAsia="en-US" w:bidi="en-US"/>
        </w:rPr>
        <w:tab/>
      </w:r>
      <w:r w:rsidRPr="00012C3F">
        <w:rPr>
          <w:rFonts w:eastAsia="MS Mincho"/>
          <w:b/>
          <w:i/>
          <w:sz w:val="20"/>
          <w:szCs w:val="20"/>
          <w:lang w:val="en-US" w:eastAsia="en-US" w:bidi="en-US"/>
        </w:rPr>
        <w:tab/>
      </w:r>
      <w:r w:rsidRPr="00012C3F">
        <w:rPr>
          <w:rFonts w:eastAsia="MS Mincho"/>
          <w:b/>
          <w:i/>
          <w:sz w:val="20"/>
          <w:szCs w:val="20"/>
          <w:lang w:val="en-US" w:eastAsia="en-US" w:bidi="en-US"/>
        </w:rPr>
        <w:tab/>
      </w:r>
      <w:r w:rsidRPr="00012C3F">
        <w:rPr>
          <w:rFonts w:eastAsia="MS Mincho"/>
          <w:i/>
          <w:sz w:val="20"/>
          <w:szCs w:val="20"/>
          <w:lang w:val="en-US" w:eastAsia="en-US" w:bidi="en-US"/>
        </w:rPr>
        <w:t xml:space="preserve">ii) </w:t>
      </w:r>
      <w:r w:rsidRPr="00012C3F">
        <w:rPr>
          <w:rFonts w:eastAsia="MS Mincho"/>
          <w:i/>
          <w:sz w:val="20"/>
          <w:szCs w:val="20"/>
          <w:lang w:val="en-US" w:eastAsia="en-US" w:bidi="en-US"/>
        </w:rPr>
        <w:tab/>
      </w:r>
      <w:r w:rsidR="00A645BB" w:rsidRPr="00012C3F">
        <w:rPr>
          <w:rFonts w:eastAsia="MS Mincho"/>
          <w:i/>
          <w:sz w:val="20"/>
          <w:szCs w:val="20"/>
          <w:lang w:val="en-US" w:eastAsia="en-US" w:bidi="en-US"/>
        </w:rPr>
        <w:t>The principle of free consent</w:t>
      </w:r>
    </w:p>
    <w:p w14:paraId="66E0D6C8" w14:textId="77777777" w:rsidR="00442CC5" w:rsidRPr="00012C3F" w:rsidRDefault="00442CC5" w:rsidP="00E17AF2">
      <w:pPr>
        <w:tabs>
          <w:tab w:val="left" w:pos="567"/>
        </w:tabs>
        <w:spacing w:line="240" w:lineRule="auto"/>
        <w:rPr>
          <w:rFonts w:eastAsia="MS Mincho"/>
          <w:sz w:val="20"/>
          <w:szCs w:val="20"/>
          <w:lang w:val="en-US" w:eastAsia="en-US" w:bidi="en-US"/>
        </w:rPr>
      </w:pPr>
    </w:p>
    <w:p w14:paraId="5A9CAD57" w14:textId="77777777" w:rsidR="00E17AF2" w:rsidRPr="00012C3F" w:rsidRDefault="00E10644" w:rsidP="00D127EB">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cs="Arial"/>
          <w:sz w:val="20"/>
          <w:szCs w:val="20"/>
          <w:lang w:val="en-US"/>
        </w:rPr>
        <w:t>The second element emphasizes the aspect of the freedom of the manifestation of consent. Thus, the Court considers that consent must be given in a free, voluntary and autonomous manner, without pressure of any kind, without using it as a condition for submission to other procedures or benefits, without coercion, threats or disinformation.</w:t>
      </w:r>
      <w:r w:rsidR="008C3536" w:rsidRPr="00012C3F">
        <w:rPr>
          <w:rFonts w:eastAsia="Calibri" w:cs="ClassicalGaramondBT-Roman"/>
          <w:sz w:val="20"/>
          <w:szCs w:val="20"/>
          <w:lang w:val="en-US" w:eastAsia="en-US" w:bidi="en-US"/>
        </w:rPr>
        <w:t xml:space="preserve"> </w:t>
      </w:r>
      <w:r w:rsidRPr="00012C3F">
        <w:rPr>
          <w:rFonts w:cs="Arial"/>
          <w:sz w:val="20"/>
          <w:szCs w:val="20"/>
          <w:lang w:val="en-US"/>
        </w:rPr>
        <w:t>Furthermore, consent cannot be given as a result of actions by health personnel that persuade individuals to steer their decision in a certain direction, and it cannot be the result of any type of inappropriate incentive.</w:t>
      </w:r>
      <w:r w:rsidR="00E17AF2" w:rsidRPr="00012C3F">
        <w:rPr>
          <w:rFonts w:eastAsia="Calibri" w:cs="ClassicalGaramondBT-Roman"/>
          <w:sz w:val="20"/>
          <w:szCs w:val="20"/>
          <w:lang w:val="en-US" w:eastAsia="en-US" w:bidi="en-US"/>
        </w:rPr>
        <w:t xml:space="preserve"> </w:t>
      </w:r>
      <w:r w:rsidR="00605782" w:rsidRPr="00012C3F">
        <w:rPr>
          <w:rFonts w:eastAsia="Calibri" w:cs="ClassicalGaramondBT-Roman"/>
          <w:sz w:val="20"/>
          <w:szCs w:val="20"/>
          <w:lang w:val="en-US" w:eastAsia="en-US" w:bidi="en-US"/>
        </w:rPr>
        <w:t>F</w:t>
      </w:r>
      <w:r w:rsidR="008C3536" w:rsidRPr="00012C3F">
        <w:rPr>
          <w:rFonts w:eastAsia="Calibri" w:cs="ClassicalGaramondBT-Roman"/>
          <w:sz w:val="20"/>
          <w:szCs w:val="20"/>
          <w:lang w:val="en-US" w:eastAsia="en-US" w:bidi="en-US"/>
        </w:rPr>
        <w:t xml:space="preserve">ree consent has been referred to in numerous international documents concerning consent as a mechanism that protects patients’ rights, from the Nuremberg Code of medical ethics to the </w:t>
      </w:r>
      <w:r w:rsidR="00B76CA5" w:rsidRPr="00012C3F">
        <w:rPr>
          <w:rFonts w:eastAsia="Calibri" w:cs="ClassicalGaramondBT-Roman"/>
          <w:sz w:val="20"/>
          <w:szCs w:val="20"/>
          <w:lang w:val="en-US" w:eastAsia="en-US" w:bidi="en-US"/>
        </w:rPr>
        <w:t>United Nations Interagency Statement</w:t>
      </w:r>
      <w:r w:rsidR="00E17AF2" w:rsidRPr="00012C3F">
        <w:rPr>
          <w:rStyle w:val="Refdenotaalpie"/>
          <w:rFonts w:eastAsia="Calibri" w:cs="ClassicalGaramondBT-Roman"/>
          <w:sz w:val="20"/>
          <w:szCs w:val="20"/>
          <w:lang w:val="en-US" w:eastAsia="en-US" w:bidi="en-US"/>
        </w:rPr>
        <w:footnoteReference w:id="221"/>
      </w:r>
      <w:r w:rsidR="006A1285" w:rsidRPr="00012C3F">
        <w:rPr>
          <w:rFonts w:eastAsia="Calibri" w:cs="ClassicalGaramondBT-Roman"/>
          <w:sz w:val="20"/>
          <w:szCs w:val="20"/>
          <w:lang w:val="en-US" w:eastAsia="en-US" w:bidi="en-US"/>
        </w:rPr>
        <w:t xml:space="preserve"> </w:t>
      </w:r>
      <w:r w:rsidR="00F21627" w:rsidRPr="00012C3F">
        <w:rPr>
          <w:rFonts w:eastAsia="Calibri" w:cs="ClassicalGaramondBT-Roman"/>
          <w:sz w:val="20"/>
          <w:szCs w:val="20"/>
          <w:lang w:val="en-US" w:eastAsia="en-US" w:bidi="en-US"/>
        </w:rPr>
        <w:t>(</w:t>
      </w:r>
      <w:r w:rsidR="00F21627" w:rsidRPr="00012C3F">
        <w:rPr>
          <w:rFonts w:eastAsia="Calibri" w:cs="ClassicalGaramondBT-Roman"/>
          <w:i/>
          <w:sz w:val="20"/>
          <w:szCs w:val="20"/>
          <w:lang w:val="en-US" w:eastAsia="en-US" w:bidi="en-US"/>
        </w:rPr>
        <w:t>supra</w:t>
      </w:r>
      <w:r w:rsidR="00F21627" w:rsidRPr="00012C3F">
        <w:rPr>
          <w:rFonts w:eastAsia="Calibri" w:cs="ClassicalGaramondBT-Roman"/>
          <w:sz w:val="20"/>
          <w:szCs w:val="20"/>
          <w:lang w:val="en-US" w:eastAsia="en-US" w:bidi="en-US"/>
        </w:rPr>
        <w:t xml:space="preserve"> </w:t>
      </w:r>
      <w:r w:rsidR="00370DD4" w:rsidRPr="00012C3F">
        <w:rPr>
          <w:rFonts w:eastAsia="Calibri" w:cs="ClassicalGaramondBT-Roman"/>
          <w:sz w:val="20"/>
          <w:szCs w:val="20"/>
          <w:lang w:val="en-US" w:eastAsia="en-US" w:bidi="en-US"/>
        </w:rPr>
        <w:t>paras.</w:t>
      </w:r>
      <w:r w:rsidR="00F21627" w:rsidRPr="00012C3F">
        <w:rPr>
          <w:rFonts w:eastAsia="Calibri" w:cs="ClassicalGaramondBT-Roman"/>
          <w:sz w:val="20"/>
          <w:szCs w:val="20"/>
          <w:lang w:val="en-US" w:eastAsia="en-US" w:bidi="en-US"/>
        </w:rPr>
        <w:t xml:space="preserve"> 171</w:t>
      </w:r>
      <w:r w:rsidR="005E5012" w:rsidRPr="00012C3F">
        <w:rPr>
          <w:rFonts w:eastAsia="Calibri" w:cs="ClassicalGaramondBT-Roman"/>
          <w:sz w:val="20"/>
          <w:szCs w:val="20"/>
          <w:lang w:val="en-US" w:eastAsia="en-US" w:bidi="en-US"/>
        </w:rPr>
        <w:t xml:space="preserve"> and </w:t>
      </w:r>
      <w:r w:rsidR="00F21627" w:rsidRPr="00012C3F">
        <w:rPr>
          <w:rFonts w:eastAsia="Calibri" w:cs="ClassicalGaramondBT-Roman"/>
          <w:sz w:val="20"/>
          <w:szCs w:val="20"/>
          <w:lang w:val="en-US" w:eastAsia="en-US" w:bidi="en-US"/>
        </w:rPr>
        <w:t>173)</w:t>
      </w:r>
      <w:r w:rsidR="00E17AF2" w:rsidRPr="00012C3F">
        <w:rPr>
          <w:rFonts w:eastAsia="Calibri" w:cs="ClassicalGaramondBT-Roman"/>
          <w:sz w:val="20"/>
          <w:szCs w:val="20"/>
          <w:lang w:val="en-US" w:eastAsia="en-US" w:bidi="en-US"/>
        </w:rPr>
        <w:t xml:space="preserve">. </w:t>
      </w:r>
      <w:r w:rsidR="008C3536" w:rsidRPr="00012C3F">
        <w:rPr>
          <w:rFonts w:eastAsia="Calibri" w:cs="ClassicalGaramondBT-Roman"/>
          <w:sz w:val="20"/>
          <w:szCs w:val="20"/>
          <w:lang w:val="en-US" w:eastAsia="en-US" w:bidi="en-US"/>
        </w:rPr>
        <w:t>I</w:t>
      </w:r>
      <w:r w:rsidR="00E17AF2" w:rsidRPr="00012C3F">
        <w:rPr>
          <w:rFonts w:eastAsia="Calibri" w:cs="ClassicalGaramondBT-Roman"/>
          <w:sz w:val="20"/>
          <w:szCs w:val="20"/>
          <w:lang w:val="en-US" w:eastAsia="en-US" w:bidi="en-US"/>
        </w:rPr>
        <w:t xml:space="preserve">n particular, </w:t>
      </w:r>
      <w:r w:rsidR="008C3536" w:rsidRPr="00012C3F">
        <w:rPr>
          <w:rFonts w:eastAsia="Calibri" w:cs="ClassicalGaramondBT-Roman"/>
          <w:sz w:val="20"/>
          <w:szCs w:val="20"/>
          <w:lang w:val="en-US" w:eastAsia="en-US" w:bidi="en-US"/>
        </w:rPr>
        <w:t xml:space="preserve">the </w:t>
      </w:r>
      <w:r w:rsidR="00D44167" w:rsidRPr="00012C3F">
        <w:rPr>
          <w:rFonts w:eastAsia="Calibri" w:cs="ClassicalGaramondBT-Roman"/>
          <w:sz w:val="20"/>
          <w:szCs w:val="20"/>
          <w:lang w:val="en-US" w:eastAsia="en-US" w:bidi="en-US"/>
        </w:rPr>
        <w:t>Declaration of Helsinki</w:t>
      </w:r>
      <w:r w:rsidR="008C3536" w:rsidRPr="00012C3F">
        <w:rPr>
          <w:rFonts w:eastAsia="Calibri" w:cs="ClassicalGaramondBT-Roman"/>
          <w:sz w:val="20"/>
          <w:szCs w:val="20"/>
          <w:lang w:val="en-US" w:eastAsia="en-US" w:bidi="en-US"/>
        </w:rPr>
        <w:t xml:space="preserve"> emphasizes that </w:t>
      </w:r>
      <w:r w:rsidR="00605782" w:rsidRPr="00012C3F">
        <w:rPr>
          <w:rFonts w:eastAsia="Calibri" w:cs="ClassicalGaramondBT-Roman"/>
          <w:sz w:val="20"/>
          <w:szCs w:val="20"/>
          <w:lang w:val="en-US" w:eastAsia="en-US" w:bidi="en-US"/>
        </w:rPr>
        <w:t xml:space="preserve">“[w]hen obtaining informed consent, </w:t>
      </w:r>
      <w:r w:rsidR="008C3536" w:rsidRPr="00012C3F">
        <w:rPr>
          <w:rFonts w:eastAsia="Calibri" w:cs="ClassicalGaramondBT-Roman"/>
          <w:sz w:val="20"/>
          <w:szCs w:val="20"/>
          <w:lang w:val="en-US" w:eastAsia="en-US" w:bidi="en-US"/>
        </w:rPr>
        <w:t xml:space="preserve">the </w:t>
      </w:r>
      <w:r w:rsidR="00605782" w:rsidRPr="00012C3F">
        <w:rPr>
          <w:rFonts w:eastAsia="Calibri" w:cs="ClassicalGaramondBT-Roman"/>
          <w:sz w:val="20"/>
          <w:szCs w:val="20"/>
          <w:lang w:val="en-US" w:eastAsia="en-US" w:bidi="en-US"/>
        </w:rPr>
        <w:t>physician should be particularly cautious if the subject is in a dependent relationship with the physician or may consent under duress.”</w:t>
      </w:r>
      <w:r w:rsidR="00E17AF2" w:rsidRPr="00012C3F">
        <w:rPr>
          <w:rStyle w:val="Refdenotaalpie"/>
          <w:rFonts w:eastAsia="MS Mincho" w:cs="Arial"/>
          <w:sz w:val="20"/>
          <w:szCs w:val="20"/>
          <w:lang w:val="en-US" w:eastAsia="en-US" w:bidi="en-US"/>
        </w:rPr>
        <w:footnoteReference w:id="222"/>
      </w:r>
    </w:p>
    <w:p w14:paraId="47B2D805" w14:textId="77777777" w:rsidR="00E17AF2" w:rsidRPr="00012C3F" w:rsidRDefault="00E17AF2" w:rsidP="00E17AF2">
      <w:pPr>
        <w:tabs>
          <w:tab w:val="left" w:pos="567"/>
        </w:tabs>
        <w:spacing w:line="240" w:lineRule="auto"/>
        <w:rPr>
          <w:rFonts w:eastAsia="MS Mincho"/>
          <w:sz w:val="20"/>
          <w:szCs w:val="20"/>
          <w:lang w:val="en-US" w:eastAsia="en-US" w:bidi="en-US"/>
        </w:rPr>
      </w:pPr>
    </w:p>
    <w:p w14:paraId="3316037F" w14:textId="77777777" w:rsidR="00E17AF2" w:rsidRPr="00012C3F" w:rsidRDefault="008C3536" w:rsidP="00A65E31">
      <w:pPr>
        <w:numPr>
          <w:ilvl w:val="0"/>
          <w:numId w:val="5"/>
        </w:numPr>
        <w:tabs>
          <w:tab w:val="left" w:pos="720"/>
          <w:tab w:val="num" w:pos="12305"/>
        </w:tabs>
        <w:spacing w:line="240" w:lineRule="auto"/>
        <w:ind w:left="0" w:firstLine="0"/>
        <w:rPr>
          <w:rFonts w:eastAsia="Calibri" w:cs="ClassicalGaramondBT-Roman"/>
          <w:sz w:val="20"/>
          <w:szCs w:val="20"/>
          <w:lang w:val="en-US"/>
        </w:rPr>
      </w:pPr>
      <w:r w:rsidRPr="00012C3F">
        <w:rPr>
          <w:rFonts w:eastAsia="Calibri" w:cs="ClassicalGaramondBT-Roman"/>
          <w:sz w:val="20"/>
          <w:szCs w:val="20"/>
          <w:lang w:val="en-US" w:eastAsia="en-US" w:bidi="en-US"/>
        </w:rPr>
        <w:t xml:space="preserve">Consent is personal because it must be given by the person who will undergo the procedure. Indeed, according to the Declarations of Helsinki and </w:t>
      </w:r>
      <w:r w:rsidR="00D44167" w:rsidRPr="00012C3F">
        <w:rPr>
          <w:rFonts w:eastAsia="Calibri" w:cs="ClassicalGaramondBT-Roman"/>
          <w:sz w:val="20"/>
          <w:szCs w:val="20"/>
          <w:lang w:val="en-US" w:eastAsia="en-US" w:bidi="en-US"/>
        </w:rPr>
        <w:t xml:space="preserve">of </w:t>
      </w:r>
      <w:r w:rsidRPr="00012C3F">
        <w:rPr>
          <w:rFonts w:eastAsia="Calibri" w:cs="ClassicalGaramondBT-Roman"/>
          <w:sz w:val="20"/>
          <w:szCs w:val="20"/>
          <w:lang w:val="en-US" w:eastAsia="en-US" w:bidi="en-US"/>
        </w:rPr>
        <w:t xml:space="preserve">Lisbon, as well as the Declaration on </w:t>
      </w:r>
      <w:r w:rsidR="00570C15" w:rsidRPr="00012C3F">
        <w:rPr>
          <w:rFonts w:eastAsia="Calibri" w:cs="ClassicalGaramondBT-Roman"/>
          <w:sz w:val="20"/>
          <w:szCs w:val="20"/>
          <w:lang w:val="en-US" w:eastAsia="en-US" w:bidi="en-US"/>
        </w:rPr>
        <w:t>forced sterilization</w:t>
      </w:r>
      <w:r w:rsidR="00E17AF2" w:rsidRPr="00012C3F">
        <w:rPr>
          <w:rFonts w:eastAsia="Calibri" w:cs="ClassicalGaramondBT-Roman"/>
          <w:sz w:val="20"/>
          <w:szCs w:val="20"/>
          <w:lang w:val="en-US" w:eastAsia="en-US" w:bidi="en-US"/>
        </w:rPr>
        <w:t xml:space="preserve">, </w:t>
      </w:r>
      <w:r w:rsidRPr="00012C3F">
        <w:rPr>
          <w:rFonts w:eastAsia="Calibri" w:cs="ClassicalGaramondBT-Roman"/>
          <w:sz w:val="20"/>
          <w:szCs w:val="20"/>
          <w:lang w:val="en-US" w:eastAsia="en-US" w:bidi="en-US"/>
        </w:rPr>
        <w:t xml:space="preserve">all </w:t>
      </w:r>
      <w:r w:rsidR="00D44167" w:rsidRPr="00012C3F">
        <w:rPr>
          <w:rFonts w:eastAsia="Calibri" w:cs="ClassicalGaramondBT-Roman"/>
          <w:sz w:val="20"/>
          <w:szCs w:val="20"/>
          <w:lang w:val="en-US" w:eastAsia="en-US" w:bidi="en-US"/>
        </w:rPr>
        <w:t>adopted by</w:t>
      </w:r>
      <w:r w:rsidRPr="00012C3F">
        <w:rPr>
          <w:rFonts w:eastAsia="Calibri" w:cs="ClassicalGaramondBT-Roman"/>
          <w:sz w:val="20"/>
          <w:szCs w:val="20"/>
          <w:lang w:val="en-US" w:eastAsia="en-US" w:bidi="en-US"/>
        </w:rPr>
        <w:t xml:space="preserve"> t</w:t>
      </w:r>
      <w:r w:rsidR="007B0C04" w:rsidRPr="00012C3F">
        <w:rPr>
          <w:rFonts w:eastAsia="Calibri" w:cs="ClassicalGaramondBT-Roman"/>
          <w:sz w:val="20"/>
          <w:szCs w:val="20"/>
          <w:lang w:val="en-US" w:eastAsia="en-US" w:bidi="en-US"/>
        </w:rPr>
        <w:t>he World Medical Association</w:t>
      </w:r>
      <w:r w:rsidR="00B07C9D" w:rsidRPr="00012C3F">
        <w:rPr>
          <w:rFonts w:eastAsia="Calibri" w:cs="ClassicalGaramondBT-Roman"/>
          <w:sz w:val="20"/>
          <w:szCs w:val="20"/>
          <w:lang w:val="en-US" w:eastAsia="en-US" w:bidi="en-US"/>
        </w:rPr>
        <w:t xml:space="preserve">, </w:t>
      </w:r>
      <w:r w:rsidRPr="00012C3F">
        <w:rPr>
          <w:rFonts w:eastAsia="Calibri" w:cs="ClassicalGaramondBT-Roman"/>
          <w:sz w:val="20"/>
          <w:szCs w:val="20"/>
          <w:lang w:val="en-US" w:eastAsia="en-US" w:bidi="en-US"/>
        </w:rPr>
        <w:t>only the patient may agree to undergo a medical procedure.</w:t>
      </w:r>
      <w:r w:rsidR="0095623E" w:rsidRPr="00012C3F">
        <w:rPr>
          <w:rStyle w:val="Refdenotaalpie"/>
          <w:rFonts w:eastAsia="Calibri" w:cs="ClassicalGaramondBT-Roman"/>
          <w:sz w:val="20"/>
          <w:szCs w:val="20"/>
          <w:lang w:val="en-US" w:eastAsia="en-US" w:bidi="en-US"/>
        </w:rPr>
        <w:footnoteReference w:id="223"/>
      </w:r>
      <w:r w:rsidR="00E17AF2" w:rsidRPr="00012C3F">
        <w:rPr>
          <w:rFonts w:eastAsia="Calibri" w:cs="ClassicalGaramondBT-Roman"/>
          <w:sz w:val="20"/>
          <w:szCs w:val="20"/>
          <w:lang w:val="en-US" w:eastAsia="en-US" w:bidi="en-US"/>
        </w:rPr>
        <w:t xml:space="preserve"> </w:t>
      </w:r>
      <w:r w:rsidRPr="00012C3F">
        <w:rPr>
          <w:rFonts w:eastAsia="Calibri" w:cs="ClassicalGaramondBT-Roman"/>
          <w:sz w:val="20"/>
          <w:szCs w:val="20"/>
          <w:lang w:val="en-US" w:eastAsia="en-US" w:bidi="en-US"/>
        </w:rPr>
        <w:t xml:space="preserve">In addition, the UNESCO Universal Declaration on Bioethics and Human Rights refers to </w:t>
      </w:r>
      <w:r w:rsidR="00605782" w:rsidRPr="00012C3F">
        <w:rPr>
          <w:rFonts w:eastAsia="Calibri" w:cs="ClassicalGaramondBT-Roman"/>
          <w:sz w:val="20"/>
          <w:szCs w:val="20"/>
          <w:lang w:val="en-US" w:eastAsia="en-US" w:bidi="en-US"/>
        </w:rPr>
        <w:t>“</w:t>
      </w:r>
      <w:r w:rsidRPr="00012C3F">
        <w:rPr>
          <w:rFonts w:eastAsia="Calibri" w:cs="ClassicalGaramondBT-Roman"/>
          <w:sz w:val="20"/>
          <w:szCs w:val="20"/>
          <w:lang w:val="en-US" w:eastAsia="en-US" w:bidi="en-US"/>
        </w:rPr>
        <w:t xml:space="preserve">consent by the person concerned, </w:t>
      </w:r>
      <w:r w:rsidR="00605782" w:rsidRPr="00012C3F">
        <w:rPr>
          <w:rFonts w:eastAsia="Calibri" w:cs="ClassicalGaramondBT-Roman"/>
          <w:sz w:val="20"/>
          <w:szCs w:val="20"/>
          <w:lang w:val="en-US" w:eastAsia="en-US" w:bidi="en-US"/>
        </w:rPr>
        <w:t>based on</w:t>
      </w:r>
      <w:r w:rsidRPr="00012C3F">
        <w:rPr>
          <w:rFonts w:eastAsia="Calibri" w:cs="ClassicalGaramondBT-Roman"/>
          <w:sz w:val="20"/>
          <w:szCs w:val="20"/>
          <w:lang w:val="en-US" w:eastAsia="en-US" w:bidi="en-US"/>
        </w:rPr>
        <w:t xml:space="preserve"> adequate information.</w:t>
      </w:r>
      <w:r w:rsidR="00605782" w:rsidRPr="00012C3F">
        <w:rPr>
          <w:rFonts w:eastAsia="Calibri" w:cs="ClassicalGaramondBT-Roman"/>
          <w:sz w:val="20"/>
          <w:szCs w:val="20"/>
          <w:lang w:val="en-US" w:eastAsia="en-US" w:bidi="en-US"/>
        </w:rPr>
        <w:t>”</w:t>
      </w:r>
      <w:r w:rsidR="0095623E" w:rsidRPr="00012C3F">
        <w:rPr>
          <w:rStyle w:val="Refdenotaalpie"/>
          <w:rFonts w:eastAsia="Calibri" w:cs="ClassicalGaramondBT-Roman"/>
          <w:sz w:val="20"/>
          <w:szCs w:val="20"/>
          <w:lang w:val="en-US" w:eastAsia="en-US" w:bidi="en-US"/>
        </w:rPr>
        <w:footnoteReference w:id="224"/>
      </w:r>
      <w:r w:rsidR="00E17AF2" w:rsidRPr="00012C3F">
        <w:rPr>
          <w:rFonts w:eastAsia="Calibri" w:cs="ClassicalGaramondBT-Roman"/>
          <w:sz w:val="20"/>
          <w:szCs w:val="20"/>
          <w:lang w:val="en-US"/>
        </w:rPr>
        <w:t xml:space="preserve"> </w:t>
      </w:r>
      <w:r w:rsidRPr="00012C3F">
        <w:rPr>
          <w:rFonts w:eastAsia="Calibri" w:cs="ClassicalGaramondBT-Roman"/>
          <w:sz w:val="20"/>
          <w:szCs w:val="20"/>
          <w:lang w:val="en-US" w:eastAsia="en-US" w:bidi="en-US"/>
        </w:rPr>
        <w:t>In the case of sterilization</w:t>
      </w:r>
      <w:r w:rsidR="00E17AF2" w:rsidRPr="00012C3F">
        <w:rPr>
          <w:rFonts w:eastAsia="Calibri" w:cs="ClassicalGaramondBT-Roman"/>
          <w:sz w:val="20"/>
          <w:szCs w:val="20"/>
          <w:lang w:val="en-US" w:eastAsia="en-US" w:bidi="en-US"/>
        </w:rPr>
        <w:t xml:space="preserve">, </w:t>
      </w:r>
      <w:r w:rsidR="001254DE" w:rsidRPr="00012C3F">
        <w:rPr>
          <w:rFonts w:eastAsia="Calibri" w:cs="ClassicalGaramondBT-Roman"/>
          <w:sz w:val="20"/>
          <w:szCs w:val="20"/>
          <w:lang w:val="en-US" w:eastAsia="en-US" w:bidi="en-US"/>
        </w:rPr>
        <w:t>the Court</w:t>
      </w:r>
      <w:r w:rsidR="00E17AF2" w:rsidRPr="00012C3F">
        <w:rPr>
          <w:rFonts w:eastAsia="Calibri" w:cs="ClassicalGaramondBT-Roman"/>
          <w:sz w:val="20"/>
          <w:szCs w:val="20"/>
          <w:lang w:val="en-US" w:eastAsia="en-US" w:bidi="en-US"/>
        </w:rPr>
        <w:t xml:space="preserve"> consider</w:t>
      </w:r>
      <w:r w:rsidRPr="00012C3F">
        <w:rPr>
          <w:rFonts w:eastAsia="Calibri" w:cs="ClassicalGaramondBT-Roman"/>
          <w:sz w:val="20"/>
          <w:szCs w:val="20"/>
          <w:lang w:val="en-US" w:eastAsia="en-US" w:bidi="en-US"/>
        </w:rPr>
        <w:t xml:space="preserve">s that, </w:t>
      </w:r>
      <w:r w:rsidRPr="00012C3F">
        <w:rPr>
          <w:rFonts w:cs="Arial"/>
          <w:sz w:val="20"/>
          <w:szCs w:val="20"/>
          <w:lang w:val="en-US"/>
        </w:rPr>
        <w:t>owing to its nature and the serious consequences on reproductive capacity</w:t>
      </w:r>
      <w:r w:rsidR="00B76CA5" w:rsidRPr="00012C3F">
        <w:rPr>
          <w:rFonts w:cs="Arial"/>
          <w:sz w:val="20"/>
          <w:szCs w:val="20"/>
          <w:lang w:val="en-US"/>
        </w:rPr>
        <w:t xml:space="preserve">, in relation to </w:t>
      </w:r>
      <w:r w:rsidRPr="00012C3F">
        <w:rPr>
          <w:rFonts w:cs="Arial"/>
          <w:sz w:val="20"/>
          <w:szCs w:val="20"/>
          <w:lang w:val="en-US"/>
        </w:rPr>
        <w:t xml:space="preserve">a woman’s autonomy, which entails respecting her decision on whether or not to have children and the circumstances in which she wishes to have them </w:t>
      </w:r>
      <w:r w:rsidRPr="00012C3F">
        <w:rPr>
          <w:rFonts w:eastAsia="Calibri" w:cs="ClassicalGaramondBT-Roman"/>
          <w:sz w:val="20"/>
          <w:szCs w:val="20"/>
          <w:lang w:val="en-US" w:eastAsia="en-US" w:bidi="en-US"/>
        </w:rPr>
        <w:t>(</w:t>
      </w:r>
      <w:r w:rsidRPr="00012C3F">
        <w:rPr>
          <w:rFonts w:eastAsia="Calibri" w:cs="ClassicalGaramondBT-Roman"/>
          <w:i/>
          <w:sz w:val="20"/>
          <w:szCs w:val="20"/>
          <w:lang w:val="en-US" w:eastAsia="en-US" w:bidi="en-US"/>
        </w:rPr>
        <w:t>supra</w:t>
      </w:r>
      <w:r w:rsidRPr="00012C3F">
        <w:rPr>
          <w:rFonts w:eastAsia="Calibri" w:cs="ClassicalGaramondBT-Roman"/>
          <w:sz w:val="20"/>
          <w:szCs w:val="20"/>
          <w:lang w:val="en-US" w:eastAsia="en-US" w:bidi="en-US"/>
        </w:rPr>
        <w:t xml:space="preserve"> para. 162)</w:t>
      </w:r>
      <w:r w:rsidRPr="00012C3F">
        <w:rPr>
          <w:rFonts w:cs="Arial"/>
          <w:sz w:val="20"/>
          <w:szCs w:val="20"/>
          <w:lang w:val="en-US"/>
        </w:rPr>
        <w:t xml:space="preserve">, she is the only person authorized to give consent, rather than third persons. Thus, it is </w:t>
      </w:r>
      <w:r w:rsidRPr="00012C3F">
        <w:rPr>
          <w:rFonts w:cs="Arial"/>
          <w:sz w:val="20"/>
          <w:szCs w:val="20"/>
          <w:lang w:val="en-US"/>
        </w:rPr>
        <w:lastRenderedPageBreak/>
        <w:t>not permissible to request the authorization of the partner or of any other person in order to perform sterilization</w:t>
      </w:r>
      <w:r w:rsidRPr="00012C3F">
        <w:rPr>
          <w:rFonts w:eastAsia="Calibri" w:cs="ClassicalGaramondBT-Roman"/>
          <w:sz w:val="20"/>
          <w:szCs w:val="20"/>
          <w:lang w:val="en-US"/>
        </w:rPr>
        <w:t>.</w:t>
      </w:r>
      <w:r w:rsidR="00E17AF2" w:rsidRPr="00012C3F">
        <w:rPr>
          <w:rStyle w:val="Refdenotaalpie"/>
          <w:rFonts w:eastAsia="Calibri" w:cs="ClassicalGaramondBT-Roman"/>
          <w:sz w:val="20"/>
          <w:szCs w:val="20"/>
          <w:lang w:val="en-US" w:eastAsia="en-US" w:bidi="en-US"/>
        </w:rPr>
        <w:footnoteReference w:id="225"/>
      </w:r>
      <w:r w:rsidRPr="00012C3F">
        <w:rPr>
          <w:rFonts w:eastAsia="Calibri" w:cs="ClassicalGaramondBT-Roman"/>
          <w:sz w:val="20"/>
          <w:szCs w:val="20"/>
          <w:lang w:val="en-US" w:eastAsia="en-US" w:bidi="en-US"/>
        </w:rPr>
        <w:t xml:space="preserve"> The Court also considers that, </w:t>
      </w:r>
      <w:r w:rsidR="00A65E31" w:rsidRPr="00012C3F">
        <w:rPr>
          <w:rFonts w:eastAsia="Calibri" w:cs="ClassicalGaramondBT-Roman"/>
          <w:sz w:val="20"/>
          <w:szCs w:val="20"/>
          <w:lang w:val="en-US" w:eastAsia="en-US" w:bidi="en-US"/>
        </w:rPr>
        <w:t>as it has established, sterilization is usually not an emergency procedure</w:t>
      </w:r>
      <w:r w:rsidR="00E17AF2" w:rsidRPr="00012C3F">
        <w:rPr>
          <w:rFonts w:eastAsia="Calibri" w:cs="ClassicalGaramondBT-Roman"/>
          <w:sz w:val="20"/>
          <w:szCs w:val="20"/>
          <w:lang w:val="en-US" w:eastAsia="en-US" w:bidi="en-US"/>
        </w:rPr>
        <w:t xml:space="preserve"> (</w:t>
      </w:r>
      <w:r w:rsidR="00E17AF2" w:rsidRPr="00012C3F">
        <w:rPr>
          <w:rFonts w:eastAsia="Calibri" w:cs="ClassicalGaramondBT-Roman"/>
          <w:i/>
          <w:sz w:val="20"/>
          <w:szCs w:val="20"/>
          <w:lang w:val="en-US" w:eastAsia="en-US" w:bidi="en-US"/>
        </w:rPr>
        <w:t xml:space="preserve">supra </w:t>
      </w:r>
      <w:r w:rsidR="00370DD4" w:rsidRPr="00012C3F">
        <w:rPr>
          <w:rFonts w:eastAsia="Calibri" w:cs="ClassicalGaramondBT-Roman"/>
          <w:sz w:val="20"/>
          <w:szCs w:val="20"/>
          <w:lang w:val="en-US" w:eastAsia="en-US" w:bidi="en-US"/>
        </w:rPr>
        <w:t>paras.</w:t>
      </w:r>
      <w:r w:rsidR="00E17AF2" w:rsidRPr="00012C3F">
        <w:rPr>
          <w:rFonts w:eastAsia="Calibri" w:cs="ClassicalGaramondBT-Roman"/>
          <w:sz w:val="20"/>
          <w:szCs w:val="20"/>
          <w:lang w:val="en-US" w:eastAsia="en-US" w:bidi="en-US"/>
        </w:rPr>
        <w:t xml:space="preserve"> </w:t>
      </w:r>
      <w:r w:rsidR="00BD6078" w:rsidRPr="00012C3F">
        <w:rPr>
          <w:rFonts w:eastAsia="Calibri" w:cs="ClassicalGaramondBT-Roman"/>
          <w:sz w:val="20"/>
          <w:szCs w:val="20"/>
          <w:lang w:val="en-US" w:eastAsia="en-US" w:bidi="en-US"/>
        </w:rPr>
        <w:t>177</w:t>
      </w:r>
      <w:r w:rsidR="005E5012" w:rsidRPr="00012C3F">
        <w:rPr>
          <w:rFonts w:eastAsia="Calibri" w:cs="ClassicalGaramondBT-Roman"/>
          <w:sz w:val="20"/>
          <w:szCs w:val="20"/>
          <w:lang w:val="en-US" w:eastAsia="en-US" w:bidi="en-US"/>
        </w:rPr>
        <w:t xml:space="preserve"> and </w:t>
      </w:r>
      <w:r w:rsidR="00BD6078" w:rsidRPr="00012C3F">
        <w:rPr>
          <w:rFonts w:eastAsia="Calibri" w:cs="ClassicalGaramondBT-Roman"/>
          <w:sz w:val="20"/>
          <w:szCs w:val="20"/>
          <w:lang w:val="en-US" w:eastAsia="en-US" w:bidi="en-US"/>
        </w:rPr>
        <w:t>178</w:t>
      </w:r>
      <w:r w:rsidR="00E17AF2" w:rsidRPr="00012C3F">
        <w:rPr>
          <w:rFonts w:eastAsia="Calibri" w:cs="ClassicalGaramondBT-Roman"/>
          <w:sz w:val="20"/>
          <w:szCs w:val="20"/>
          <w:lang w:val="en-US" w:eastAsia="en-US" w:bidi="en-US"/>
        </w:rPr>
        <w:t xml:space="preserve">), </w:t>
      </w:r>
      <w:r w:rsidR="00A65E31" w:rsidRPr="00012C3F">
        <w:rPr>
          <w:rFonts w:eastAsia="Calibri" w:cs="ClassicalGaramondBT-Roman"/>
          <w:sz w:val="20"/>
          <w:szCs w:val="20"/>
          <w:lang w:val="en-US" w:eastAsia="en-US" w:bidi="en-US"/>
        </w:rPr>
        <w:t xml:space="preserve">so that if the woman is unable to give her consent, it is not permissible to resort to a third person, but rather it is necessary to wait until she can give </w:t>
      </w:r>
      <w:r w:rsidR="00B76CA5" w:rsidRPr="00012C3F">
        <w:rPr>
          <w:rFonts w:eastAsia="Calibri" w:cs="ClassicalGaramondBT-Roman"/>
          <w:sz w:val="20"/>
          <w:szCs w:val="20"/>
          <w:lang w:val="en-US" w:eastAsia="en-US" w:bidi="en-US"/>
        </w:rPr>
        <w:t>this</w:t>
      </w:r>
      <w:r w:rsidR="00A65E31" w:rsidRPr="00012C3F">
        <w:rPr>
          <w:rFonts w:eastAsia="Calibri" w:cs="ClassicalGaramondBT-Roman"/>
          <w:sz w:val="20"/>
          <w:szCs w:val="20"/>
          <w:lang w:val="en-US" w:eastAsia="en-US" w:bidi="en-US"/>
        </w:rPr>
        <w:t xml:space="preserve">. </w:t>
      </w:r>
      <w:r w:rsidR="00891C09" w:rsidRPr="00012C3F">
        <w:rPr>
          <w:sz w:val="20"/>
          <w:szCs w:val="20"/>
          <w:lang w:val="en-US"/>
        </w:rPr>
        <w:t>General Recommendation</w:t>
      </w:r>
      <w:r w:rsidR="00E17AF2" w:rsidRPr="00012C3F">
        <w:rPr>
          <w:sz w:val="20"/>
          <w:szCs w:val="20"/>
          <w:lang w:val="en-US"/>
        </w:rPr>
        <w:t xml:space="preserve"> No. 21 </w:t>
      </w:r>
      <w:r w:rsidR="00A65E31" w:rsidRPr="00012C3F">
        <w:rPr>
          <w:sz w:val="20"/>
          <w:szCs w:val="20"/>
          <w:lang w:val="en-US"/>
        </w:rPr>
        <w:t>(</w:t>
      </w:r>
      <w:r w:rsidR="00E17AF2" w:rsidRPr="00012C3F">
        <w:rPr>
          <w:sz w:val="20"/>
          <w:szCs w:val="20"/>
          <w:lang w:val="en-US"/>
        </w:rPr>
        <w:t>1994</w:t>
      </w:r>
      <w:r w:rsidR="00A65E31" w:rsidRPr="00012C3F">
        <w:rPr>
          <w:sz w:val="20"/>
          <w:szCs w:val="20"/>
          <w:lang w:val="en-US"/>
        </w:rPr>
        <w:t>) of the</w:t>
      </w:r>
      <w:r w:rsidR="00E17AF2" w:rsidRPr="00012C3F">
        <w:rPr>
          <w:sz w:val="20"/>
          <w:szCs w:val="20"/>
          <w:lang w:val="en-US"/>
        </w:rPr>
        <w:t xml:space="preserve"> </w:t>
      </w:r>
      <w:r w:rsidR="00BC0785" w:rsidRPr="00012C3F">
        <w:rPr>
          <w:sz w:val="20"/>
          <w:szCs w:val="20"/>
          <w:lang w:val="en-US"/>
        </w:rPr>
        <w:t>Committee for the Elimination of Discrimination against Women</w:t>
      </w:r>
      <w:r w:rsidR="00E17AF2" w:rsidRPr="00012C3F">
        <w:rPr>
          <w:sz w:val="20"/>
          <w:szCs w:val="20"/>
          <w:lang w:val="en-US"/>
        </w:rPr>
        <w:t xml:space="preserve">, </w:t>
      </w:r>
      <w:r w:rsidR="00A65E31" w:rsidRPr="00012C3F">
        <w:rPr>
          <w:sz w:val="20"/>
          <w:szCs w:val="20"/>
          <w:lang w:val="en-US"/>
        </w:rPr>
        <w:t>General Comment</w:t>
      </w:r>
      <w:r w:rsidR="00E17AF2" w:rsidRPr="00012C3F">
        <w:rPr>
          <w:sz w:val="20"/>
          <w:szCs w:val="20"/>
          <w:lang w:val="en-US"/>
        </w:rPr>
        <w:t xml:space="preserve"> No. 28 </w:t>
      </w:r>
      <w:r w:rsidR="00A65E31" w:rsidRPr="00012C3F">
        <w:rPr>
          <w:sz w:val="20"/>
          <w:szCs w:val="20"/>
          <w:lang w:val="en-US"/>
        </w:rPr>
        <w:t>(</w:t>
      </w:r>
      <w:r w:rsidR="00E17AF2" w:rsidRPr="00012C3F">
        <w:rPr>
          <w:sz w:val="20"/>
          <w:szCs w:val="20"/>
          <w:lang w:val="en-US"/>
        </w:rPr>
        <w:t>2000</w:t>
      </w:r>
      <w:r w:rsidR="00A65E31" w:rsidRPr="00012C3F">
        <w:rPr>
          <w:sz w:val="20"/>
          <w:szCs w:val="20"/>
          <w:lang w:val="en-US"/>
        </w:rPr>
        <w:t>)</w:t>
      </w:r>
      <w:r w:rsidR="00E17AF2" w:rsidRPr="00012C3F">
        <w:rPr>
          <w:sz w:val="20"/>
          <w:szCs w:val="20"/>
          <w:lang w:val="en-US"/>
        </w:rPr>
        <w:t xml:space="preserve"> </w:t>
      </w:r>
      <w:r w:rsidR="00A65E31" w:rsidRPr="00012C3F">
        <w:rPr>
          <w:sz w:val="20"/>
          <w:szCs w:val="20"/>
          <w:lang w:val="en-US"/>
        </w:rPr>
        <w:t xml:space="preserve">of the Human Rights Committee, and also the 1993 </w:t>
      </w:r>
      <w:r w:rsidR="00CC232E" w:rsidRPr="00012C3F">
        <w:rPr>
          <w:sz w:val="20"/>
          <w:szCs w:val="20"/>
          <w:lang w:val="en-US"/>
        </w:rPr>
        <w:t>WHO manual</w:t>
      </w:r>
      <w:r w:rsidR="00A65E31" w:rsidRPr="00012C3F">
        <w:rPr>
          <w:sz w:val="20"/>
          <w:szCs w:val="20"/>
          <w:lang w:val="en-US"/>
        </w:rPr>
        <w:t xml:space="preserve">, FIGO and its recommendations from 1989 on, and the </w:t>
      </w:r>
      <w:r w:rsidR="00B76CA5" w:rsidRPr="00012C3F">
        <w:rPr>
          <w:sz w:val="20"/>
          <w:szCs w:val="20"/>
          <w:lang w:val="en-US"/>
        </w:rPr>
        <w:t>United Nations Interagency Statement</w:t>
      </w:r>
      <w:r w:rsidR="00E17AF2" w:rsidRPr="00012C3F">
        <w:rPr>
          <w:sz w:val="20"/>
          <w:szCs w:val="20"/>
          <w:lang w:val="en-US"/>
        </w:rPr>
        <w:t xml:space="preserve"> </w:t>
      </w:r>
      <w:r w:rsidR="00A65E31" w:rsidRPr="00012C3F">
        <w:rPr>
          <w:sz w:val="20"/>
          <w:szCs w:val="20"/>
          <w:lang w:val="en-US"/>
        </w:rPr>
        <w:t xml:space="preserve">all indicate that, although the decision on sterilization can be taken by the couple, this does not mean that the husband’s authorization is required for the performance of this surgical procedure, because it is a decision that only the woman may make based on her reproductive </w:t>
      </w:r>
      <w:r w:rsidR="00CD065A" w:rsidRPr="00012C3F">
        <w:rPr>
          <w:sz w:val="20"/>
          <w:szCs w:val="20"/>
          <w:lang w:val="en-US"/>
        </w:rPr>
        <w:t>freedom</w:t>
      </w:r>
      <w:r w:rsidR="00A65E31" w:rsidRPr="00012C3F">
        <w:rPr>
          <w:sz w:val="20"/>
          <w:szCs w:val="20"/>
          <w:lang w:val="en-US"/>
        </w:rPr>
        <w:t xml:space="preserve"> and autonomy.</w:t>
      </w:r>
      <w:r w:rsidR="00E17AF2" w:rsidRPr="00012C3F">
        <w:rPr>
          <w:rStyle w:val="Refdenotaalpie"/>
          <w:sz w:val="20"/>
          <w:szCs w:val="20"/>
          <w:lang w:val="en-US"/>
        </w:rPr>
        <w:footnoteReference w:id="226"/>
      </w:r>
    </w:p>
    <w:p w14:paraId="6E90E425" w14:textId="77777777" w:rsidR="00E17AF2" w:rsidRPr="00012C3F" w:rsidRDefault="00E17AF2" w:rsidP="00E17AF2">
      <w:pPr>
        <w:spacing w:line="240" w:lineRule="auto"/>
        <w:rPr>
          <w:rFonts w:eastAsia="Calibri" w:cs="ClassicalGaramondBT-Roman"/>
          <w:sz w:val="20"/>
          <w:szCs w:val="20"/>
          <w:lang w:val="en-US" w:eastAsia="en-US" w:bidi="en-US"/>
        </w:rPr>
      </w:pPr>
    </w:p>
    <w:p w14:paraId="478D4472" w14:textId="77777777" w:rsidR="00E17AF2" w:rsidRPr="00012C3F" w:rsidRDefault="00CC232E" w:rsidP="00CC232E">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Calibri" w:cs="ClassicalGaramondBT-Roman"/>
          <w:sz w:val="20"/>
          <w:szCs w:val="20"/>
          <w:lang w:val="en-US" w:eastAsia="en-US" w:bidi="en-US"/>
        </w:rPr>
        <w:t>In the</w:t>
      </w:r>
      <w:r w:rsidR="00E17AF2" w:rsidRPr="00012C3F">
        <w:rPr>
          <w:rFonts w:eastAsia="Calibri" w:cs="ClassicalGaramondBT-Roman"/>
          <w:sz w:val="20"/>
          <w:szCs w:val="20"/>
          <w:lang w:val="en-US" w:eastAsia="en-US" w:bidi="en-US"/>
        </w:rPr>
        <w:t xml:space="preserve"> </w:t>
      </w:r>
      <w:r w:rsidR="001254DE" w:rsidRPr="00012C3F">
        <w:rPr>
          <w:rFonts w:eastAsia="Calibri" w:cs="ClassicalGaramondBT-Roman"/>
          <w:sz w:val="20"/>
          <w:szCs w:val="20"/>
          <w:lang w:val="en-US" w:eastAsia="en-US" w:bidi="en-US"/>
        </w:rPr>
        <w:t>Court</w:t>
      </w:r>
      <w:r w:rsidRPr="00012C3F">
        <w:rPr>
          <w:rFonts w:eastAsia="Calibri" w:cs="ClassicalGaramondBT-Roman"/>
          <w:sz w:val="20"/>
          <w:szCs w:val="20"/>
          <w:lang w:val="en-US" w:eastAsia="en-US" w:bidi="en-US"/>
        </w:rPr>
        <w:t xml:space="preserve">’s opinion consent cannot be considered free if a woman is asked to provide it when she is not in a condition to take a fully informed decision because she is in a situation of stress and vulnerability, </w:t>
      </w:r>
      <w:r w:rsidRPr="00012C3F">
        <w:rPr>
          <w:rFonts w:eastAsia="Calibri" w:cs="ClassicalGaramondBT-Roman"/>
          <w:i/>
          <w:sz w:val="20"/>
          <w:szCs w:val="20"/>
          <w:lang w:val="en-US" w:eastAsia="en-US" w:bidi="en-US"/>
        </w:rPr>
        <w:t>inter alia,</w:t>
      </w:r>
      <w:r w:rsidRPr="00012C3F">
        <w:rPr>
          <w:rFonts w:eastAsia="Calibri" w:cs="ClassicalGaramondBT-Roman"/>
          <w:sz w:val="20"/>
          <w:szCs w:val="20"/>
          <w:lang w:val="en-US" w:eastAsia="en-US" w:bidi="en-US"/>
        </w:rPr>
        <w:t xml:space="preserve"> such as, during or immediately after giving birth or undergoing a</w:t>
      </w:r>
      <w:r w:rsidRPr="00012C3F">
        <w:rPr>
          <w:rFonts w:eastAsia="MS Mincho"/>
          <w:sz w:val="20"/>
          <w:szCs w:val="20"/>
          <w:lang w:val="en-US" w:eastAsia="en-US" w:bidi="en-US"/>
        </w:rPr>
        <w:t xml:space="preserve"> </w:t>
      </w:r>
      <w:r w:rsidRPr="00012C3F">
        <w:rPr>
          <w:rFonts w:eastAsia="Calibri" w:cs="ClassicalGaramondBT-Roman"/>
          <w:sz w:val="20"/>
          <w:szCs w:val="20"/>
          <w:lang w:val="en-US" w:eastAsia="en-US" w:bidi="en-US"/>
        </w:rPr>
        <w:t>caesarean section</w:t>
      </w:r>
      <w:r w:rsidR="00E17AF2" w:rsidRPr="00012C3F">
        <w:rPr>
          <w:rFonts w:eastAsia="Calibri" w:cs="ClassicalGaramondBT-Roman"/>
          <w:sz w:val="20"/>
          <w:szCs w:val="20"/>
          <w:lang w:val="en-US" w:eastAsia="en-US" w:bidi="en-US"/>
        </w:rPr>
        <w:t>.</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The 1993 WHO manual</w:t>
      </w:r>
      <w:r w:rsidR="00E17AF2" w:rsidRPr="00012C3F">
        <w:rPr>
          <w:rFonts w:eastAsia="MS Mincho"/>
          <w:sz w:val="20"/>
          <w:szCs w:val="20"/>
          <w:lang w:val="en-US" w:eastAsia="en-US" w:bidi="en-US"/>
        </w:rPr>
        <w:t xml:space="preserve"> </w:t>
      </w:r>
      <w:r w:rsidR="00E17AF2" w:rsidRPr="00012C3F">
        <w:rPr>
          <w:rFonts w:eastAsia="MS Mincho" w:cs="ClassicalGaramondBT-Roman"/>
          <w:sz w:val="20"/>
          <w:szCs w:val="20"/>
          <w:lang w:val="en-US" w:eastAsia="en-US" w:bidi="en-US"/>
        </w:rPr>
        <w:t>establ</w:t>
      </w:r>
      <w:r w:rsidRPr="00012C3F">
        <w:rPr>
          <w:rFonts w:eastAsia="MS Mincho" w:cs="ClassicalGaramondBT-Roman"/>
          <w:sz w:val="20"/>
          <w:szCs w:val="20"/>
          <w:lang w:val="en-US" w:eastAsia="en-US" w:bidi="en-US"/>
        </w:rPr>
        <w:t>ished that it was not appropriate for a women to opt for sterilization if there were physical or emotional factors that could limit her capacity to take an informed and well-considered decision, such as, while she was in labor, receiving sedatives or going through a difficult situation before, during or after an incident or treatment related to her pregnancy.</w:t>
      </w:r>
      <w:r w:rsidR="00E17AF2" w:rsidRPr="00012C3F">
        <w:rPr>
          <w:rFonts w:eastAsia="MS Mincho"/>
          <w:sz w:val="20"/>
          <w:szCs w:val="20"/>
          <w:vertAlign w:val="superscript"/>
          <w:lang w:val="en-US" w:eastAsia="en-US" w:bidi="en-US"/>
        </w:rPr>
        <w:footnoteReference w:id="227"/>
      </w:r>
      <w:r w:rsidRPr="00012C3F">
        <w:rPr>
          <w:rFonts w:eastAsia="MS Mincho"/>
          <w:sz w:val="20"/>
          <w:szCs w:val="20"/>
          <w:lang w:val="en-US" w:eastAsia="en-US" w:bidi="en-US"/>
        </w:rPr>
        <w:t xml:space="preserve"> This was ratified in the 2011 FIGO ethics considerations on sterilization,</w:t>
      </w:r>
      <w:r w:rsidR="00DC7B28" w:rsidRPr="00012C3F">
        <w:rPr>
          <w:rStyle w:val="Refdenotaalpie"/>
          <w:rFonts w:eastAsia="MS Mincho"/>
          <w:sz w:val="20"/>
          <w:szCs w:val="20"/>
          <w:lang w:val="en-US" w:eastAsia="en-US" w:bidi="en-US"/>
        </w:rPr>
        <w:footnoteReference w:id="228"/>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in the</w:t>
      </w:r>
      <w:r w:rsidR="00E17AF2" w:rsidRPr="00012C3F">
        <w:rPr>
          <w:rFonts w:eastAsia="MS Mincho"/>
          <w:sz w:val="20"/>
          <w:szCs w:val="20"/>
          <w:lang w:val="en-US" w:eastAsia="en-US" w:bidi="en-US"/>
        </w:rPr>
        <w:t xml:space="preserve"> </w:t>
      </w:r>
      <w:r w:rsidRPr="00012C3F">
        <w:rPr>
          <w:rFonts w:eastAsia="MS Mincho" w:cs="ClassicalGaramondBT-Roman"/>
          <w:sz w:val="20"/>
          <w:szCs w:val="20"/>
          <w:lang w:val="en-US" w:eastAsia="en-US" w:bidi="en-US"/>
        </w:rPr>
        <w:t>World Medical Association Statement on Forced and Coerced Sterilisation</w:t>
      </w:r>
      <w:r w:rsidR="00E17AF2" w:rsidRPr="00012C3F">
        <w:rPr>
          <w:rFonts w:eastAsia="MS Mincho"/>
          <w:bCs/>
          <w:sz w:val="20"/>
          <w:szCs w:val="20"/>
          <w:vertAlign w:val="superscript"/>
          <w:lang w:val="en-US" w:eastAsia="en-US" w:bidi="en-US"/>
        </w:rPr>
        <w:footnoteReference w:id="229"/>
      </w:r>
      <w:r w:rsidR="005E5012" w:rsidRPr="00012C3F">
        <w:rPr>
          <w:rFonts w:eastAsia="MS Mincho"/>
          <w:bCs/>
          <w:sz w:val="20"/>
          <w:szCs w:val="20"/>
          <w:lang w:val="en-US" w:eastAsia="en-US" w:bidi="en-US"/>
        </w:rPr>
        <w:t xml:space="preserve"> and </w:t>
      </w:r>
      <w:r w:rsidRPr="00012C3F">
        <w:rPr>
          <w:rFonts w:eastAsia="MS Mincho"/>
          <w:sz w:val="20"/>
          <w:szCs w:val="20"/>
          <w:lang w:val="en-US" w:eastAsia="en-US" w:bidi="en-US"/>
        </w:rPr>
        <w:t>i</w:t>
      </w:r>
      <w:r w:rsidR="00E17AF2" w:rsidRPr="00012C3F">
        <w:rPr>
          <w:rFonts w:eastAsia="MS Mincho"/>
          <w:sz w:val="20"/>
          <w:szCs w:val="20"/>
          <w:lang w:val="en-US" w:eastAsia="en-US" w:bidi="en-US"/>
        </w:rPr>
        <w:t xml:space="preserve">n </w:t>
      </w:r>
      <w:r w:rsidR="00A65E31" w:rsidRPr="00012C3F">
        <w:rPr>
          <w:rFonts w:eastAsia="MS Mincho" w:cs="ClassicalGaramondBT-Roman"/>
          <w:sz w:val="20"/>
          <w:szCs w:val="20"/>
          <w:lang w:val="en-US" w:eastAsia="en-US" w:bidi="en-US"/>
        </w:rPr>
        <w:t>the United Nations Interagency Statement</w:t>
      </w:r>
      <w:r w:rsidRPr="00012C3F">
        <w:rPr>
          <w:rFonts w:eastAsia="MS Mincho" w:cs="ClassicalGaramondBT-Roman"/>
          <w:sz w:val="20"/>
          <w:szCs w:val="20"/>
          <w:lang w:val="en-US" w:eastAsia="en-US" w:bidi="en-US"/>
        </w:rPr>
        <w:t>.</w:t>
      </w:r>
      <w:r w:rsidR="00E17AF2" w:rsidRPr="00012C3F">
        <w:rPr>
          <w:rStyle w:val="Refdenotaalpie"/>
          <w:rFonts w:eastAsia="MS Mincho" w:cs="ClassicalGaramondBT-Roman"/>
          <w:sz w:val="20"/>
          <w:szCs w:val="20"/>
          <w:lang w:val="en-US" w:eastAsia="en-US" w:bidi="en-US"/>
        </w:rPr>
        <w:footnoteReference w:id="230"/>
      </w:r>
      <w:r w:rsidR="00E17AF2" w:rsidRPr="00012C3F">
        <w:rPr>
          <w:rFonts w:eastAsia="MS Mincho" w:cs="ClassicalGaramondBT-Roman"/>
          <w:sz w:val="20"/>
          <w:szCs w:val="20"/>
          <w:lang w:val="en-US" w:eastAsia="en-US" w:bidi="en-US"/>
        </w:rPr>
        <w:t xml:space="preserve"> </w:t>
      </w:r>
      <w:r w:rsidRPr="00012C3F">
        <w:rPr>
          <w:rFonts w:eastAsia="MS Mincho" w:cs="ClassicalGaramondBT-Roman"/>
          <w:sz w:val="20"/>
          <w:szCs w:val="20"/>
          <w:lang w:val="en-US" w:eastAsia="en-US" w:bidi="en-US"/>
        </w:rPr>
        <w:t>The</w:t>
      </w:r>
      <w:r w:rsidR="001254DE" w:rsidRPr="00012C3F">
        <w:rPr>
          <w:rFonts w:eastAsia="MS Mincho" w:cs="ClassicalGaramondBT-Roman"/>
          <w:sz w:val="20"/>
          <w:szCs w:val="20"/>
          <w:lang w:val="en-US" w:eastAsia="en-US" w:bidi="en-US"/>
        </w:rPr>
        <w:t xml:space="preserve"> Court</w:t>
      </w:r>
      <w:r w:rsidR="00E17AF2" w:rsidRPr="00012C3F">
        <w:rPr>
          <w:rFonts w:eastAsia="MS Mincho" w:cs="ClassicalGaramondBT-Roman"/>
          <w:sz w:val="20"/>
          <w:szCs w:val="20"/>
          <w:lang w:val="en-US" w:eastAsia="en-US" w:bidi="en-US"/>
        </w:rPr>
        <w:t xml:space="preserve"> not</w:t>
      </w:r>
      <w:r w:rsidRPr="00012C3F">
        <w:rPr>
          <w:rFonts w:eastAsia="MS Mincho" w:cs="ClassicalGaramondBT-Roman"/>
          <w:sz w:val="20"/>
          <w:szCs w:val="20"/>
          <w:lang w:val="en-US" w:eastAsia="en-US" w:bidi="en-US"/>
        </w:rPr>
        <w:t>es that this standard was even included in Bolivia’s domestic law in 1997</w:t>
      </w:r>
      <w:r w:rsidR="00E17AF2" w:rsidRPr="00012C3F">
        <w:rPr>
          <w:rFonts w:eastAsia="MS Mincho" w:cs="ClassicalGaramondBT-Roman"/>
          <w:sz w:val="20"/>
          <w:szCs w:val="20"/>
          <w:lang w:val="en-US" w:eastAsia="en-US" w:bidi="en-US"/>
        </w:rPr>
        <w:t xml:space="preserve"> (</w:t>
      </w:r>
      <w:r w:rsidR="00E17AF2" w:rsidRPr="00012C3F">
        <w:rPr>
          <w:rFonts w:eastAsia="MS Mincho" w:cs="ClassicalGaramondBT-Roman"/>
          <w:i/>
          <w:sz w:val="20"/>
          <w:szCs w:val="20"/>
          <w:lang w:val="en-US" w:eastAsia="en-US" w:bidi="en-US"/>
        </w:rPr>
        <w:t>infra</w:t>
      </w:r>
      <w:r w:rsidR="00E17AF2" w:rsidRPr="00012C3F">
        <w:rPr>
          <w:rFonts w:eastAsia="MS Mincho" w:cs="ClassicalGaramondBT-Roman"/>
          <w:sz w:val="20"/>
          <w:szCs w:val="20"/>
          <w:lang w:val="en-US" w:eastAsia="en-US" w:bidi="en-US"/>
        </w:rPr>
        <w:t xml:space="preserve"> </w:t>
      </w:r>
      <w:r w:rsidR="00370DD4" w:rsidRPr="00012C3F">
        <w:rPr>
          <w:rFonts w:eastAsia="MS Mincho" w:cs="ClassicalGaramondBT-Roman"/>
          <w:sz w:val="20"/>
          <w:szCs w:val="20"/>
          <w:lang w:val="en-US" w:eastAsia="en-US" w:bidi="en-US"/>
        </w:rPr>
        <w:t>para.</w:t>
      </w:r>
      <w:r w:rsidR="00E17AF2" w:rsidRPr="00012C3F">
        <w:rPr>
          <w:rFonts w:eastAsia="MS Mincho" w:cs="ClassicalGaramondBT-Roman"/>
          <w:sz w:val="20"/>
          <w:szCs w:val="20"/>
          <w:lang w:val="en-US" w:eastAsia="en-US" w:bidi="en-US"/>
        </w:rPr>
        <w:t xml:space="preserve"> </w:t>
      </w:r>
      <w:r w:rsidR="0043433B" w:rsidRPr="00012C3F">
        <w:rPr>
          <w:rFonts w:eastAsia="MS Mincho" w:cs="ClassicalGaramondBT-Roman"/>
          <w:sz w:val="20"/>
          <w:szCs w:val="20"/>
          <w:lang w:val="en-US" w:eastAsia="en-US" w:bidi="en-US"/>
        </w:rPr>
        <w:t xml:space="preserve">212). </w:t>
      </w:r>
      <w:r w:rsidR="00215038" w:rsidRPr="00012C3F">
        <w:rPr>
          <w:rFonts w:eastAsia="MS Mincho" w:cs="ClassicalGaramondBT-Roman"/>
          <w:sz w:val="20"/>
          <w:szCs w:val="20"/>
          <w:lang w:val="en-US" w:eastAsia="en-US" w:bidi="en-US"/>
        </w:rPr>
        <w:t>Also</w:t>
      </w:r>
      <w:r w:rsidR="00E17AF2" w:rsidRPr="00012C3F">
        <w:rPr>
          <w:rFonts w:eastAsia="MS Mincho" w:cs="ClassicalGaramondBT-Roman"/>
          <w:sz w:val="20"/>
          <w:szCs w:val="20"/>
          <w:lang w:val="en-US" w:eastAsia="en-US" w:bidi="en-US"/>
        </w:rPr>
        <w:t xml:space="preserve">, </w:t>
      </w:r>
      <w:r w:rsidRPr="00012C3F">
        <w:rPr>
          <w:rFonts w:eastAsia="MS Mincho" w:cs="ClassicalGaramondBT-Roman"/>
          <w:sz w:val="20"/>
          <w:szCs w:val="20"/>
          <w:lang w:val="en-US" w:eastAsia="en-US" w:bidi="en-US"/>
        </w:rPr>
        <w:t>the Special Rapporteur on the right of everyone to the highest attainable standard of physical and mental health</w:t>
      </w:r>
      <w:r w:rsidR="00215038" w:rsidRPr="00012C3F">
        <w:rPr>
          <w:rFonts w:eastAsia="MS Mincho" w:cs="ClassicalGaramondBT-Roman"/>
          <w:sz w:val="20"/>
          <w:szCs w:val="20"/>
          <w:lang w:val="en-US" w:eastAsia="en-US" w:bidi="en-US"/>
        </w:rPr>
        <w:t xml:space="preserve"> has emphasized that: </w:t>
      </w:r>
      <w:r w:rsidR="00217C59" w:rsidRPr="00012C3F">
        <w:rPr>
          <w:sz w:val="20"/>
          <w:szCs w:val="20"/>
          <w:lang w:val="en-US"/>
        </w:rPr>
        <w:t>“[</w:t>
      </w:r>
      <w:r w:rsidR="00215038" w:rsidRPr="00012C3F">
        <w:rPr>
          <w:sz w:val="20"/>
          <w:szCs w:val="20"/>
          <w:lang w:val="en-US"/>
        </w:rPr>
        <w:t>c</w:t>
      </w:r>
      <w:r w:rsidR="00217C59" w:rsidRPr="00012C3F">
        <w:rPr>
          <w:sz w:val="20"/>
          <w:szCs w:val="20"/>
          <w:lang w:val="en-US"/>
        </w:rPr>
        <w:t>]</w:t>
      </w:r>
      <w:r w:rsidR="00215038" w:rsidRPr="00012C3F">
        <w:rPr>
          <w:sz w:val="20"/>
          <w:szCs w:val="20"/>
          <w:lang w:val="en-US"/>
        </w:rPr>
        <w:t>oercion includes</w:t>
      </w:r>
      <w:r w:rsidR="00215038" w:rsidRPr="00012C3F">
        <w:rPr>
          <w:sz w:val="11"/>
          <w:szCs w:val="11"/>
          <w:lang w:val="en-US"/>
        </w:rPr>
        <w:t xml:space="preserve"> </w:t>
      </w:r>
      <w:r w:rsidR="00215038" w:rsidRPr="00012C3F">
        <w:rPr>
          <w:sz w:val="20"/>
          <w:szCs w:val="20"/>
          <w:lang w:val="en-US"/>
        </w:rPr>
        <w:t>conditions of duress such as fatigue or stress.</w:t>
      </w:r>
      <w:r w:rsidR="00217C59" w:rsidRPr="00012C3F">
        <w:rPr>
          <w:sz w:val="20"/>
          <w:szCs w:val="20"/>
          <w:lang w:val="en-US"/>
        </w:rPr>
        <w:t>”</w:t>
      </w:r>
      <w:r w:rsidR="00E17AF2" w:rsidRPr="00012C3F">
        <w:rPr>
          <w:rStyle w:val="Refdenotaalpie"/>
          <w:rFonts w:eastAsia="Calibri" w:cs="ClassicalGaramondBT-Roman"/>
          <w:sz w:val="20"/>
          <w:szCs w:val="20"/>
          <w:lang w:val="en-US" w:eastAsia="en-US" w:bidi="en-US"/>
        </w:rPr>
        <w:footnoteReference w:id="231"/>
      </w:r>
      <w:r w:rsidR="00E17AF2" w:rsidRPr="00012C3F">
        <w:rPr>
          <w:sz w:val="20"/>
          <w:szCs w:val="20"/>
          <w:lang w:val="en-US"/>
        </w:rPr>
        <w:t xml:space="preserve"> </w:t>
      </w:r>
      <w:r w:rsidR="00215038" w:rsidRPr="00012C3F">
        <w:rPr>
          <w:sz w:val="20"/>
          <w:szCs w:val="20"/>
          <w:lang w:val="en-US"/>
        </w:rPr>
        <w:t xml:space="preserve">Similarly, the </w:t>
      </w:r>
      <w:r w:rsidR="00E060D2" w:rsidRPr="00012C3F">
        <w:rPr>
          <w:rFonts w:eastAsia="MS Mincho" w:cs="ClassicalGaramondBT-Roman"/>
          <w:sz w:val="20"/>
          <w:szCs w:val="20"/>
          <w:lang w:val="en-US" w:eastAsia="en-US" w:bidi="en-US"/>
        </w:rPr>
        <w:t xml:space="preserve">European Court of Human </w:t>
      </w:r>
      <w:r w:rsidR="00E060D2" w:rsidRPr="00012C3F">
        <w:rPr>
          <w:rFonts w:eastAsia="MS Mincho" w:cs="ClassicalGaramondBT-Roman"/>
          <w:sz w:val="20"/>
          <w:szCs w:val="20"/>
          <w:lang w:val="en-US" w:eastAsia="en-US" w:bidi="en-US"/>
        </w:rPr>
        <w:lastRenderedPageBreak/>
        <w:t>Rights</w:t>
      </w:r>
      <w:r w:rsidR="00215038" w:rsidRPr="00012C3F">
        <w:rPr>
          <w:rFonts w:eastAsia="MS Mincho" w:cs="ClassicalGaramondBT-Roman"/>
          <w:sz w:val="20"/>
          <w:szCs w:val="20"/>
          <w:lang w:val="en-US" w:eastAsia="en-US" w:bidi="en-US"/>
        </w:rPr>
        <w:t xml:space="preserve"> has concluded that </w:t>
      </w:r>
      <w:r w:rsidR="00962CEB" w:rsidRPr="00012C3F">
        <w:rPr>
          <w:rFonts w:eastAsia="MS Mincho" w:cs="ClassicalGaramondBT-Roman"/>
          <w:sz w:val="20"/>
          <w:szCs w:val="20"/>
          <w:lang w:val="en-US" w:eastAsia="en-US" w:bidi="en-US"/>
        </w:rPr>
        <w:t xml:space="preserve">asking for consent while a woman is in labor or shortly before she undergoes </w:t>
      </w:r>
      <w:r w:rsidRPr="00012C3F">
        <w:rPr>
          <w:sz w:val="20"/>
          <w:szCs w:val="20"/>
          <w:lang w:val="en-US"/>
        </w:rPr>
        <w:t>a caesarean section</w:t>
      </w:r>
      <w:r w:rsidR="00962CEB" w:rsidRPr="00012C3F">
        <w:rPr>
          <w:sz w:val="20"/>
          <w:szCs w:val="20"/>
          <w:lang w:val="en-US"/>
        </w:rPr>
        <w:t xml:space="preserve"> clearly does not permit her to take a decision of her own free will.</w:t>
      </w:r>
      <w:r w:rsidR="00E17AF2" w:rsidRPr="00012C3F">
        <w:rPr>
          <w:rStyle w:val="Refdenotaalpie"/>
          <w:sz w:val="20"/>
          <w:szCs w:val="20"/>
          <w:lang w:val="en-US"/>
        </w:rPr>
        <w:footnoteReference w:id="232"/>
      </w:r>
    </w:p>
    <w:p w14:paraId="11879D90" w14:textId="77777777" w:rsidR="00E17AF2" w:rsidRPr="00012C3F" w:rsidRDefault="00E17AF2" w:rsidP="00E17AF2">
      <w:pPr>
        <w:tabs>
          <w:tab w:val="left" w:pos="567"/>
        </w:tabs>
        <w:spacing w:line="240" w:lineRule="auto"/>
        <w:rPr>
          <w:rFonts w:eastAsia="MS Mincho"/>
          <w:sz w:val="20"/>
          <w:szCs w:val="20"/>
          <w:lang w:val="en-US" w:eastAsia="en-US" w:bidi="en-US"/>
        </w:rPr>
      </w:pPr>
    </w:p>
    <w:p w14:paraId="1AB4501E" w14:textId="77777777" w:rsidR="00E17AF2" w:rsidRPr="00012C3F" w:rsidRDefault="00F1129C" w:rsidP="00F1129C">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Calibri" w:cs="ClassicalGaramondBT-Roman"/>
          <w:sz w:val="20"/>
          <w:szCs w:val="20"/>
          <w:lang w:val="en-US" w:eastAsia="en-US" w:bidi="en-US"/>
        </w:rPr>
        <w:t>In the understanding that consent arises from the concept of autonomy and liberty, it is also understood that it can be withdrawn for any reason, without disadvantage or prejudice, even if it is only withdrawn verbally, because it is not definitive.</w:t>
      </w:r>
      <w:r w:rsidR="00E17AF2" w:rsidRPr="00012C3F">
        <w:rPr>
          <w:rStyle w:val="Refdenotaalpie"/>
          <w:rFonts w:eastAsia="Calibri" w:cs="ClassicalGaramondBT-Roman"/>
          <w:sz w:val="20"/>
          <w:szCs w:val="20"/>
          <w:lang w:val="en-US" w:eastAsia="en-US" w:bidi="en-US"/>
        </w:rPr>
        <w:footnoteReference w:id="233"/>
      </w:r>
      <w:r w:rsidRPr="00012C3F">
        <w:rPr>
          <w:rFonts w:eastAsia="Calibri" w:cs="ClassicalGaramondBT-Roman"/>
          <w:sz w:val="20"/>
          <w:szCs w:val="20"/>
          <w:lang w:val="en-US" w:eastAsia="en-US" w:bidi="en-US"/>
        </w:rPr>
        <w:t xml:space="preserve"> As previously described, obtaining consent is the </w:t>
      </w:r>
      <w:r w:rsidR="009D3EE9" w:rsidRPr="00012C3F">
        <w:rPr>
          <w:rFonts w:eastAsia="Calibri" w:cs="ClassicalGaramondBT-Roman"/>
          <w:sz w:val="20"/>
          <w:szCs w:val="20"/>
          <w:lang w:val="en-US" w:eastAsia="en-US" w:bidi="en-US"/>
        </w:rPr>
        <w:t>product</w:t>
      </w:r>
      <w:r w:rsidRPr="00012C3F">
        <w:rPr>
          <w:rFonts w:eastAsia="Calibri" w:cs="ClassicalGaramondBT-Roman"/>
          <w:sz w:val="20"/>
          <w:szCs w:val="20"/>
          <w:lang w:val="en-US" w:eastAsia="en-US" w:bidi="en-US"/>
        </w:rPr>
        <w:t xml:space="preserve"> of a two-way process between doctor and patient,</w:t>
      </w:r>
      <w:r w:rsidR="00E17AF2" w:rsidRPr="00012C3F">
        <w:rPr>
          <w:rStyle w:val="Refdenotaalpie"/>
          <w:rFonts w:eastAsia="Calibri" w:cs="ClassicalGaramondBT-Roman"/>
          <w:sz w:val="20"/>
          <w:szCs w:val="20"/>
          <w:lang w:val="en-US" w:eastAsia="en-US" w:bidi="en-US"/>
        </w:rPr>
        <w:footnoteReference w:id="234"/>
      </w:r>
      <w:r w:rsidRPr="00012C3F">
        <w:rPr>
          <w:rFonts w:eastAsia="Calibri" w:cs="ClassicalGaramondBT-Roman"/>
          <w:sz w:val="20"/>
          <w:szCs w:val="20"/>
          <w:lang w:val="en-US" w:eastAsia="en-US" w:bidi="en-US"/>
        </w:rPr>
        <w:t xml:space="preserve"> so that </w:t>
      </w:r>
      <w:r w:rsidR="00B76CA5" w:rsidRPr="00012C3F">
        <w:rPr>
          <w:rFonts w:eastAsia="Calibri" w:cs="ClassicalGaramondBT-Roman"/>
          <w:sz w:val="20"/>
          <w:szCs w:val="20"/>
          <w:lang w:val="en-US" w:eastAsia="en-US" w:bidi="en-US"/>
        </w:rPr>
        <w:t xml:space="preserve">health personnel must provide </w:t>
      </w:r>
      <w:r w:rsidRPr="00012C3F">
        <w:rPr>
          <w:rFonts w:eastAsia="Calibri" w:cs="ClassicalGaramondBT-Roman"/>
          <w:sz w:val="20"/>
          <w:szCs w:val="20"/>
          <w:lang w:val="en-US" w:eastAsia="en-US" w:bidi="en-US"/>
        </w:rPr>
        <w:t>complete</w:t>
      </w:r>
      <w:r w:rsidR="00934796" w:rsidRPr="00012C3F">
        <w:rPr>
          <w:rFonts w:eastAsia="Calibri" w:cs="ClassicalGaramondBT-Roman"/>
          <w:sz w:val="20"/>
          <w:szCs w:val="20"/>
          <w:lang w:val="en-US" w:eastAsia="en-US" w:bidi="en-US"/>
        </w:rPr>
        <w:t>, objective</w:t>
      </w:r>
      <w:r w:rsidRPr="00012C3F">
        <w:rPr>
          <w:rFonts w:eastAsia="Calibri" w:cs="ClassicalGaramondBT-Roman"/>
          <w:sz w:val="20"/>
          <w:szCs w:val="20"/>
          <w:lang w:val="en-US" w:eastAsia="en-US" w:bidi="en-US"/>
        </w:rPr>
        <w:t xml:space="preserve"> information</w:t>
      </w:r>
      <w:r w:rsidR="00934796" w:rsidRPr="00012C3F">
        <w:rPr>
          <w:rFonts w:eastAsia="Calibri" w:cs="ClassicalGaramondBT-Roman"/>
          <w:sz w:val="20"/>
          <w:szCs w:val="20"/>
          <w:lang w:val="en-US" w:eastAsia="en-US" w:bidi="en-US"/>
        </w:rPr>
        <w:t xml:space="preserve"> that is neither manipulative nor inductive, avoiding frightening the patient</w:t>
      </w:r>
      <w:r w:rsidR="00B76CA5" w:rsidRPr="00012C3F">
        <w:rPr>
          <w:rFonts w:eastAsia="Calibri" w:cs="ClassicalGaramondBT-Roman"/>
          <w:sz w:val="20"/>
          <w:szCs w:val="20"/>
          <w:lang w:val="en-US" w:eastAsia="en-US" w:bidi="en-US"/>
        </w:rPr>
        <w:t>,</w:t>
      </w:r>
      <w:r w:rsidR="00934796" w:rsidRPr="00012C3F">
        <w:rPr>
          <w:rFonts w:eastAsia="Calibri" w:cs="ClassicalGaramondBT-Roman"/>
          <w:sz w:val="20"/>
          <w:szCs w:val="20"/>
          <w:lang w:val="en-US" w:eastAsia="en-US" w:bidi="en-US"/>
        </w:rPr>
        <w:t xml:space="preserve"> because this could mean that the consent is not truly free. Uninformed consent is not a free decision.</w:t>
      </w:r>
    </w:p>
    <w:p w14:paraId="12724839" w14:textId="77777777" w:rsidR="00E17AF2" w:rsidRPr="00012C3F" w:rsidRDefault="00E17AF2" w:rsidP="00962CEB">
      <w:pPr>
        <w:tabs>
          <w:tab w:val="left" w:pos="720"/>
        </w:tabs>
        <w:spacing w:line="240" w:lineRule="auto"/>
        <w:rPr>
          <w:rFonts w:eastAsia="MS Mincho"/>
          <w:sz w:val="20"/>
          <w:szCs w:val="20"/>
          <w:lang w:val="en-US" w:eastAsia="en-US" w:bidi="en-US"/>
        </w:rPr>
      </w:pPr>
    </w:p>
    <w:p w14:paraId="45496476" w14:textId="77777777" w:rsidR="00E17AF2" w:rsidRPr="00012C3F" w:rsidRDefault="00962CEB" w:rsidP="00962CEB">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cs="Arial"/>
          <w:sz w:val="20"/>
          <w:szCs w:val="20"/>
          <w:lang w:val="en-US"/>
        </w:rPr>
        <w:t>The Court underscore</w:t>
      </w:r>
      <w:r w:rsidR="00EE3C15" w:rsidRPr="00012C3F">
        <w:rPr>
          <w:rFonts w:cs="Arial"/>
          <w:sz w:val="20"/>
          <w:szCs w:val="20"/>
          <w:lang w:val="en-US"/>
        </w:rPr>
        <w:t>s</w:t>
      </w:r>
      <w:r w:rsidRPr="00012C3F">
        <w:rPr>
          <w:rFonts w:cs="Arial"/>
          <w:sz w:val="20"/>
          <w:szCs w:val="20"/>
          <w:lang w:val="en-US"/>
        </w:rPr>
        <w:t xml:space="preserve"> that a woman’s freedom to decide and to take responsible decisions with regard to her body and her reproductive health, especially in cases of sterilization, can be undermined by discrimination in access to health care; by the differences in power relationships with the husband, the family, the community and the medical personnel;</w:t>
      </w:r>
      <w:r w:rsidRPr="00012C3F">
        <w:rPr>
          <w:rStyle w:val="Refdenotaalpie"/>
          <w:rFonts w:eastAsia="Calibri" w:cs="ClassicalGaramondBT-Roman"/>
          <w:sz w:val="20"/>
          <w:szCs w:val="20"/>
          <w:lang w:val="en-US" w:eastAsia="en-US" w:bidi="en-US"/>
        </w:rPr>
        <w:footnoteReference w:id="235"/>
      </w:r>
      <w:r w:rsidRPr="00012C3F">
        <w:rPr>
          <w:rFonts w:cs="Arial"/>
          <w:sz w:val="20"/>
          <w:szCs w:val="20"/>
          <w:lang w:val="en-US"/>
        </w:rPr>
        <w:t xml:space="preserve"> by the existence of additional factors of vulnerability,</w:t>
      </w:r>
      <w:r w:rsidRPr="00012C3F">
        <w:rPr>
          <w:rStyle w:val="Refdenotaalpie"/>
          <w:rFonts w:eastAsia="Calibri" w:cs="ClassicalGaramondBT-Roman"/>
          <w:sz w:val="20"/>
          <w:szCs w:val="20"/>
          <w:lang w:val="en-US" w:eastAsia="en-US" w:bidi="en-US"/>
        </w:rPr>
        <w:footnoteReference w:id="236"/>
      </w:r>
      <w:r w:rsidRPr="00012C3F">
        <w:rPr>
          <w:rFonts w:cs="Arial"/>
          <w:sz w:val="20"/>
          <w:szCs w:val="20"/>
          <w:lang w:val="en-US"/>
        </w:rPr>
        <w:t xml:space="preserve"> and of gender and other stereotypes among health care providers</w:t>
      </w:r>
      <w:r w:rsidR="00E17AF2" w:rsidRPr="00012C3F">
        <w:rPr>
          <w:rStyle w:val="Refdenotaalpie"/>
          <w:rFonts w:eastAsia="Calibri" w:cs="ClassicalGaramondBT-Roman"/>
          <w:sz w:val="20"/>
          <w:szCs w:val="20"/>
          <w:lang w:val="en-US" w:eastAsia="en-US" w:bidi="en-US"/>
        </w:rPr>
        <w:footnoteReference w:id="237"/>
      </w:r>
      <w:r w:rsidR="00E17AF2" w:rsidRPr="00012C3F">
        <w:rPr>
          <w:rFonts w:eastAsia="Calibri" w:cs="ClassicalGaramondBT-Roman"/>
          <w:sz w:val="20"/>
          <w:szCs w:val="20"/>
          <w:lang w:val="en-US" w:eastAsia="en-US" w:bidi="en-US"/>
        </w:rPr>
        <w:t xml:space="preserve"> (</w:t>
      </w:r>
      <w:r w:rsidR="00E17AF2" w:rsidRPr="00012C3F">
        <w:rPr>
          <w:rFonts w:eastAsia="Calibri" w:cs="ClassicalGaramondBT-Roman"/>
          <w:i/>
          <w:sz w:val="20"/>
          <w:szCs w:val="20"/>
          <w:lang w:val="en-US" w:eastAsia="en-US" w:bidi="en-US"/>
        </w:rPr>
        <w:t>infra</w:t>
      </w:r>
      <w:r w:rsidR="00E17AF2" w:rsidRPr="00012C3F">
        <w:rPr>
          <w:rFonts w:eastAsia="Calibri" w:cs="ClassicalGaramondBT-Roman"/>
          <w:sz w:val="20"/>
          <w:szCs w:val="20"/>
          <w:lang w:val="en-US" w:eastAsia="en-US" w:bidi="en-US"/>
        </w:rPr>
        <w:t xml:space="preserve"> </w:t>
      </w:r>
      <w:r w:rsidR="00370DD4" w:rsidRPr="00012C3F">
        <w:rPr>
          <w:rFonts w:eastAsia="Calibri" w:cs="ClassicalGaramondBT-Roman"/>
          <w:sz w:val="20"/>
          <w:szCs w:val="20"/>
          <w:lang w:val="en-US" w:eastAsia="en-US" w:bidi="en-US"/>
        </w:rPr>
        <w:t>para.</w:t>
      </w:r>
      <w:r w:rsidR="00E17AF2" w:rsidRPr="00012C3F">
        <w:rPr>
          <w:rFonts w:eastAsia="Calibri" w:cs="ClassicalGaramondBT-Roman"/>
          <w:sz w:val="20"/>
          <w:szCs w:val="20"/>
          <w:lang w:val="en-US" w:eastAsia="en-US" w:bidi="en-US"/>
        </w:rPr>
        <w:t xml:space="preserve"> </w:t>
      </w:r>
      <w:r w:rsidR="00926D33" w:rsidRPr="00012C3F">
        <w:rPr>
          <w:rFonts w:eastAsia="Calibri" w:cs="ClassicalGaramondBT-Roman"/>
          <w:sz w:val="20"/>
          <w:szCs w:val="20"/>
          <w:lang w:val="en-US" w:eastAsia="en-US" w:bidi="en-US"/>
        </w:rPr>
        <w:t xml:space="preserve">187). </w:t>
      </w:r>
      <w:r w:rsidRPr="00012C3F">
        <w:rPr>
          <w:rFonts w:cs="Arial"/>
          <w:sz w:val="20"/>
          <w:szCs w:val="20"/>
          <w:lang w:val="en-US"/>
        </w:rPr>
        <w:t xml:space="preserve">Factors such as race, disability and socio-economic </w:t>
      </w:r>
      <w:r w:rsidR="00212DA0" w:rsidRPr="00012C3F">
        <w:rPr>
          <w:rFonts w:cs="Arial"/>
          <w:sz w:val="20"/>
          <w:szCs w:val="20"/>
          <w:lang w:val="en-US"/>
        </w:rPr>
        <w:t>status</w:t>
      </w:r>
      <w:r w:rsidRPr="00012C3F">
        <w:rPr>
          <w:rFonts w:cs="Arial"/>
          <w:sz w:val="20"/>
          <w:szCs w:val="20"/>
          <w:lang w:val="en-US"/>
        </w:rPr>
        <w:t xml:space="preserve"> c</w:t>
      </w:r>
      <w:r w:rsidR="00EE3C15" w:rsidRPr="00012C3F">
        <w:rPr>
          <w:rFonts w:cs="Arial"/>
          <w:sz w:val="20"/>
          <w:szCs w:val="20"/>
          <w:lang w:val="en-US"/>
        </w:rPr>
        <w:t>an</w:t>
      </w:r>
      <w:r w:rsidRPr="00012C3F">
        <w:rPr>
          <w:rFonts w:cs="Arial"/>
          <w:sz w:val="20"/>
          <w:szCs w:val="20"/>
          <w:lang w:val="en-US"/>
        </w:rPr>
        <w:t>not be used as grounds to limit the patient’s freedom of choice with regard to sterilization, or to circumvent obtaining her consent.</w:t>
      </w:r>
      <w:r w:rsidR="00E17AF2" w:rsidRPr="00012C3F">
        <w:rPr>
          <w:rStyle w:val="Refdenotaalpie"/>
          <w:rFonts w:eastAsia="Calibri"/>
          <w:sz w:val="20"/>
          <w:szCs w:val="20"/>
          <w:lang w:val="en-US" w:eastAsia="en-US" w:bidi="en-US"/>
        </w:rPr>
        <w:footnoteReference w:id="238"/>
      </w:r>
    </w:p>
    <w:p w14:paraId="2B9FCDB9" w14:textId="77777777" w:rsidR="00E17AF2" w:rsidRPr="00012C3F" w:rsidRDefault="00E17AF2" w:rsidP="00E17AF2">
      <w:pPr>
        <w:tabs>
          <w:tab w:val="left" w:pos="567"/>
        </w:tabs>
        <w:spacing w:line="240" w:lineRule="auto"/>
        <w:rPr>
          <w:rFonts w:eastAsia="MS Mincho"/>
          <w:sz w:val="20"/>
          <w:szCs w:val="20"/>
          <w:lang w:val="en-US" w:eastAsia="en-US" w:bidi="en-US"/>
        </w:rPr>
      </w:pPr>
    </w:p>
    <w:p w14:paraId="2CA3F74B" w14:textId="77777777" w:rsidR="00E17AF2" w:rsidRPr="00012C3F" w:rsidRDefault="001254DE" w:rsidP="00934796">
      <w:pPr>
        <w:widowControl/>
        <w:numPr>
          <w:ilvl w:val="0"/>
          <w:numId w:val="5"/>
        </w:numPr>
        <w:tabs>
          <w:tab w:val="left" w:pos="720"/>
          <w:tab w:val="num" w:pos="12305"/>
        </w:tabs>
        <w:autoSpaceDE w:val="0"/>
        <w:autoSpaceDN w:val="0"/>
        <w:spacing w:line="240" w:lineRule="auto"/>
        <w:ind w:left="0" w:firstLine="0"/>
        <w:textAlignment w:val="auto"/>
        <w:rPr>
          <w:rFonts w:eastAsia="Calibri" w:cs="Arial"/>
          <w:sz w:val="20"/>
          <w:szCs w:val="20"/>
          <w:lang w:val="en-US"/>
        </w:rPr>
      </w:pPr>
      <w:r w:rsidRPr="00012C3F">
        <w:rPr>
          <w:rFonts w:eastAsia="MS Mincho"/>
          <w:sz w:val="20"/>
          <w:szCs w:val="20"/>
          <w:lang w:val="en-US" w:eastAsia="en-US" w:bidi="en-US"/>
        </w:rPr>
        <w:t>The</w:t>
      </w:r>
      <w:r w:rsidR="00934796" w:rsidRPr="00012C3F">
        <w:rPr>
          <w:rFonts w:cs="Arial"/>
          <w:sz w:val="20"/>
          <w:szCs w:val="20"/>
          <w:lang w:val="en-US"/>
        </w:rPr>
        <w:t xml:space="preserve"> Court recognizes that the</w:t>
      </w:r>
      <w:r w:rsidR="005C5A6E" w:rsidRPr="00012C3F">
        <w:rPr>
          <w:rFonts w:cs="Arial"/>
          <w:sz w:val="20"/>
          <w:szCs w:val="20"/>
          <w:lang w:val="en-US"/>
        </w:rPr>
        <w:t xml:space="preserve"> </w:t>
      </w:r>
      <w:r w:rsidR="00EE3C15" w:rsidRPr="00012C3F">
        <w:rPr>
          <w:rFonts w:cs="Arial"/>
          <w:sz w:val="20"/>
          <w:szCs w:val="20"/>
          <w:lang w:val="en-US"/>
        </w:rPr>
        <w:t>physician</w:t>
      </w:r>
      <w:r w:rsidR="005C5A6E" w:rsidRPr="00012C3F">
        <w:rPr>
          <w:rFonts w:cs="Arial"/>
          <w:sz w:val="20"/>
          <w:szCs w:val="20"/>
          <w:lang w:val="en-US"/>
        </w:rPr>
        <w:t>-patient</w:t>
      </w:r>
      <w:r w:rsidR="00934796" w:rsidRPr="00012C3F">
        <w:rPr>
          <w:rFonts w:cs="Arial"/>
          <w:sz w:val="20"/>
          <w:szCs w:val="20"/>
          <w:lang w:val="en-US"/>
        </w:rPr>
        <w:t xml:space="preserve"> power </w:t>
      </w:r>
      <w:r w:rsidR="005C5A6E" w:rsidRPr="00012C3F">
        <w:rPr>
          <w:rFonts w:cs="Arial"/>
          <w:sz w:val="20"/>
          <w:szCs w:val="20"/>
          <w:lang w:val="en-US"/>
        </w:rPr>
        <w:t>dynamic</w:t>
      </w:r>
      <w:r w:rsidR="00934796" w:rsidRPr="00012C3F">
        <w:rPr>
          <w:rFonts w:cs="Arial"/>
          <w:sz w:val="20"/>
          <w:szCs w:val="20"/>
          <w:lang w:val="en-US"/>
        </w:rPr>
        <w:t xml:space="preserve"> may be increased by the unequal power relations that have historically characterized relationships between men and women, as well as by the socially dominant and persistent gender stereotypes that, consciously or unconsciously, constitute the basis for practices that reinforce the position of women as </w:t>
      </w:r>
      <w:r w:rsidR="00934796" w:rsidRPr="00012C3F">
        <w:rPr>
          <w:rFonts w:cs="Arial"/>
          <w:sz w:val="20"/>
          <w:szCs w:val="20"/>
          <w:lang w:val="en-US"/>
        </w:rPr>
        <w:lastRenderedPageBreak/>
        <w:t>dependents and subordinates.</w:t>
      </w:r>
      <w:r w:rsidR="00E17AF2" w:rsidRPr="00012C3F">
        <w:rPr>
          <w:rFonts w:eastAsiaTheme="minorHAnsi" w:cs="Arial"/>
          <w:sz w:val="20"/>
          <w:szCs w:val="20"/>
          <w:vertAlign w:val="superscript"/>
          <w:lang w:val="en-US" w:eastAsia="en-US"/>
        </w:rPr>
        <w:footnoteReference w:id="239"/>
      </w:r>
      <w:r w:rsidR="00934796" w:rsidRPr="00012C3F">
        <w:rPr>
          <w:rFonts w:eastAsia="Calibri" w:cs="Arial"/>
          <w:sz w:val="20"/>
          <w:szCs w:val="20"/>
          <w:lang w:val="en-US" w:eastAsia="es-MX"/>
        </w:rPr>
        <w:t xml:space="preserve"> In this regard, the Court has recognized that the obligation to eliminate all forms of discrimination against women incorporates the obligation to eliminate discrimination based on gender stereotypes.</w:t>
      </w:r>
      <w:r w:rsidR="00E17AF2" w:rsidRPr="00012C3F">
        <w:rPr>
          <w:rFonts w:eastAsia="Batang" w:cs="Arial"/>
          <w:sz w:val="20"/>
          <w:szCs w:val="20"/>
          <w:vertAlign w:val="superscript"/>
          <w:lang w:val="en-US" w:eastAsia="es-MX"/>
        </w:rPr>
        <w:footnoteReference w:id="240"/>
      </w:r>
    </w:p>
    <w:p w14:paraId="2952BDDB" w14:textId="77777777" w:rsidR="00E17AF2" w:rsidRPr="00012C3F" w:rsidRDefault="00E17AF2" w:rsidP="00E17AF2">
      <w:pPr>
        <w:widowControl/>
        <w:autoSpaceDE w:val="0"/>
        <w:autoSpaceDN w:val="0"/>
        <w:spacing w:line="240" w:lineRule="auto"/>
        <w:textAlignment w:val="auto"/>
        <w:rPr>
          <w:rFonts w:eastAsia="Batang" w:cs="Arial"/>
          <w:sz w:val="20"/>
          <w:szCs w:val="20"/>
          <w:lang w:val="en-US" w:eastAsia="es-MX"/>
        </w:rPr>
      </w:pPr>
    </w:p>
    <w:p w14:paraId="664A4A94" w14:textId="77777777" w:rsidR="00E17AF2" w:rsidRPr="00012C3F" w:rsidRDefault="005C5A6E" w:rsidP="00F55848">
      <w:pPr>
        <w:widowControl/>
        <w:numPr>
          <w:ilvl w:val="0"/>
          <w:numId w:val="5"/>
        </w:numPr>
        <w:tabs>
          <w:tab w:val="left" w:pos="720"/>
          <w:tab w:val="num" w:pos="12305"/>
        </w:tabs>
        <w:autoSpaceDE w:val="0"/>
        <w:autoSpaceDN w:val="0"/>
        <w:spacing w:line="240" w:lineRule="auto"/>
        <w:ind w:left="0" w:firstLine="0"/>
        <w:textAlignment w:val="auto"/>
        <w:rPr>
          <w:rFonts w:eastAsia="Calibri" w:cs="Arial"/>
          <w:sz w:val="20"/>
          <w:szCs w:val="20"/>
          <w:lang w:val="en-US" w:eastAsia="es-MX"/>
        </w:rPr>
      </w:pPr>
      <w:r w:rsidRPr="00012C3F">
        <w:rPr>
          <w:rFonts w:eastAsia="Batang" w:cs="Arial"/>
          <w:sz w:val="20"/>
          <w:szCs w:val="20"/>
          <w:lang w:val="en-US" w:eastAsia="es-MX"/>
        </w:rPr>
        <w:t>Gender stereotypes refer to a preconception of the attributes, conducts or characteristics of men and women and the respective roles they play or should play.</w:t>
      </w:r>
      <w:r w:rsidR="00E17AF2" w:rsidRPr="00012C3F">
        <w:rPr>
          <w:rFonts w:eastAsia="Batang" w:cs="Arial"/>
          <w:sz w:val="20"/>
          <w:szCs w:val="20"/>
          <w:vertAlign w:val="superscript"/>
          <w:lang w:val="en-US" w:eastAsia="es-MX"/>
        </w:rPr>
        <w:footnoteReference w:id="241"/>
      </w:r>
      <w:r w:rsidR="00E17AF2" w:rsidRPr="00012C3F">
        <w:rPr>
          <w:rFonts w:eastAsia="Batang" w:cs="Arial"/>
          <w:sz w:val="20"/>
          <w:szCs w:val="20"/>
          <w:lang w:val="en-US" w:eastAsia="es-MX"/>
        </w:rPr>
        <w:t xml:space="preserve"> </w:t>
      </w:r>
      <w:r w:rsidRPr="00012C3F">
        <w:rPr>
          <w:rFonts w:cs="Arial"/>
          <w:sz w:val="20"/>
          <w:szCs w:val="20"/>
          <w:lang w:val="en-US"/>
        </w:rPr>
        <w:t>In the health care sector, gender stereotypes may result in distinctions, exclusions or restrictions that impair or annul the recognition, enjoyment or exercise of human rights and, specifically, the sexual and reproductive rights of women, based on their condition</w:t>
      </w:r>
      <w:r w:rsidR="00CD686A" w:rsidRPr="00012C3F">
        <w:rPr>
          <w:rFonts w:cs="Arial"/>
          <w:sz w:val="20"/>
          <w:szCs w:val="20"/>
          <w:lang w:val="en-US"/>
        </w:rPr>
        <w:t xml:space="preserve"> as such</w:t>
      </w:r>
      <w:r w:rsidR="00E17AF2" w:rsidRPr="00012C3F">
        <w:rPr>
          <w:rFonts w:eastAsia="Calibri" w:cs="Arial"/>
          <w:sz w:val="20"/>
          <w:szCs w:val="20"/>
          <w:lang w:val="en-US" w:eastAsia="es-MX"/>
        </w:rPr>
        <w:t xml:space="preserve">. </w:t>
      </w:r>
      <w:r w:rsidRPr="00012C3F">
        <w:rPr>
          <w:rFonts w:eastAsia="Calibri" w:cs="Arial"/>
          <w:sz w:val="20"/>
          <w:szCs w:val="20"/>
          <w:lang w:val="en-US" w:eastAsia="es-MX"/>
        </w:rPr>
        <w:t>I</w:t>
      </w:r>
      <w:r w:rsidR="00E17AF2" w:rsidRPr="00012C3F">
        <w:rPr>
          <w:rFonts w:eastAsia="Calibri" w:cs="Arial"/>
          <w:sz w:val="20"/>
          <w:szCs w:val="20"/>
          <w:lang w:val="en-US" w:eastAsia="es-MX"/>
        </w:rPr>
        <w:t xml:space="preserve">n particular, </w:t>
      </w:r>
      <w:r w:rsidR="001254DE" w:rsidRPr="00012C3F">
        <w:rPr>
          <w:rFonts w:eastAsia="Calibri" w:cs="Arial"/>
          <w:sz w:val="20"/>
          <w:szCs w:val="20"/>
          <w:lang w:val="en-US" w:eastAsia="es-MX"/>
        </w:rPr>
        <w:t>the Court</w:t>
      </w:r>
      <w:r w:rsidR="00E17AF2" w:rsidRPr="00012C3F">
        <w:rPr>
          <w:rFonts w:eastAsia="Calibri" w:cs="Arial"/>
          <w:sz w:val="20"/>
          <w:szCs w:val="20"/>
          <w:lang w:val="en-US" w:eastAsia="es-MX"/>
        </w:rPr>
        <w:t xml:space="preserve"> </w:t>
      </w:r>
      <w:r w:rsidRPr="00012C3F">
        <w:rPr>
          <w:rFonts w:cs="Arial"/>
          <w:sz w:val="20"/>
          <w:szCs w:val="20"/>
          <w:lang w:val="en-US"/>
        </w:rPr>
        <w:t>notes that negative or prejudicial gender stereotypes may have an impact on and affect a woman’s access to information on sexual and reproductive health, as well as the way in which her consent is obtained</w:t>
      </w:r>
      <w:r w:rsidR="00E17AF2" w:rsidRPr="00012C3F">
        <w:rPr>
          <w:rFonts w:eastAsia="Calibri" w:cs="Arial"/>
          <w:sz w:val="20"/>
          <w:szCs w:val="20"/>
          <w:lang w:val="en-US" w:eastAsia="es-MX"/>
        </w:rPr>
        <w:t xml:space="preserve">. </w:t>
      </w:r>
      <w:r w:rsidRPr="00012C3F">
        <w:rPr>
          <w:rFonts w:cs="Arial"/>
          <w:sz w:val="20"/>
          <w:szCs w:val="20"/>
          <w:lang w:val="en-US"/>
        </w:rPr>
        <w:t xml:space="preserve">A woman who is unaware of her sexual and reproductive rights may have a less assertive attitude towards her rights. This could lead her to have greater confidence in her doctor’s criteria, or to health professionals adopting a paternalistic attitude </w:t>
      </w:r>
      <w:r w:rsidR="00CD686A" w:rsidRPr="00012C3F">
        <w:rPr>
          <w:rFonts w:cs="Arial"/>
          <w:sz w:val="20"/>
          <w:szCs w:val="20"/>
          <w:lang w:val="en-US"/>
        </w:rPr>
        <w:t>towards</w:t>
      </w:r>
      <w:r w:rsidRPr="00012C3F">
        <w:rPr>
          <w:rFonts w:cs="Arial"/>
          <w:sz w:val="20"/>
          <w:szCs w:val="20"/>
          <w:lang w:val="en-US"/>
        </w:rPr>
        <w:t xml:space="preserve"> their patient. Both situations could open the way to a situation of the exercise of power where health professionals take decisions without taking into account the autonomy and wi</w:t>
      </w:r>
      <w:r w:rsidR="00CD686A" w:rsidRPr="00012C3F">
        <w:rPr>
          <w:rFonts w:cs="Arial"/>
          <w:sz w:val="20"/>
          <w:szCs w:val="20"/>
          <w:lang w:val="en-US"/>
        </w:rPr>
        <w:t>shes</w:t>
      </w:r>
      <w:r w:rsidRPr="00012C3F">
        <w:rPr>
          <w:rFonts w:cs="Arial"/>
          <w:sz w:val="20"/>
          <w:szCs w:val="20"/>
          <w:lang w:val="en-US"/>
        </w:rPr>
        <w:t xml:space="preserve"> of their patient</w:t>
      </w:r>
      <w:r w:rsidR="00E17AF2" w:rsidRPr="00012C3F">
        <w:rPr>
          <w:rFonts w:eastAsiaTheme="minorHAnsi" w:cs="Arial"/>
          <w:sz w:val="20"/>
          <w:szCs w:val="20"/>
          <w:lang w:val="en-US" w:eastAsia="en-US"/>
        </w:rPr>
        <w:t>.</w:t>
      </w:r>
      <w:r w:rsidR="00F55848" w:rsidRPr="00012C3F">
        <w:rPr>
          <w:rFonts w:eastAsiaTheme="minorHAnsi" w:cs="Arial"/>
          <w:sz w:val="20"/>
          <w:szCs w:val="20"/>
          <w:lang w:val="en-US" w:eastAsia="en-US"/>
        </w:rPr>
        <w:t xml:space="preserve"> </w:t>
      </w:r>
      <w:r w:rsidR="00F55848" w:rsidRPr="00012C3F">
        <w:rPr>
          <w:rFonts w:cs="Arial"/>
          <w:sz w:val="20"/>
          <w:szCs w:val="20"/>
          <w:lang w:val="en-US"/>
        </w:rPr>
        <w:t>The Court identifies some</w:t>
      </w:r>
      <w:r w:rsidR="00CD686A" w:rsidRPr="00012C3F">
        <w:rPr>
          <w:rFonts w:cs="Arial"/>
          <w:sz w:val="20"/>
          <w:szCs w:val="20"/>
          <w:lang w:val="en-US"/>
        </w:rPr>
        <w:t xml:space="preserve"> of the</w:t>
      </w:r>
      <w:r w:rsidR="00F55848" w:rsidRPr="00012C3F">
        <w:rPr>
          <w:rFonts w:cs="Arial"/>
          <w:sz w:val="20"/>
          <w:szCs w:val="20"/>
          <w:lang w:val="en-US"/>
        </w:rPr>
        <w:t xml:space="preserve"> gender stereotypes frequently applied to women in the health sector that have serious effects on the autonomy of women and their decision-making power</w:t>
      </w:r>
      <w:r w:rsidR="00CA7981" w:rsidRPr="00012C3F">
        <w:rPr>
          <w:rFonts w:eastAsia="Calibri" w:cs="Arial"/>
          <w:sz w:val="20"/>
          <w:szCs w:val="20"/>
          <w:lang w:val="en-US"/>
        </w:rPr>
        <w:t xml:space="preserve">: </w:t>
      </w:r>
      <w:r w:rsidR="00F55848" w:rsidRPr="00012C3F">
        <w:rPr>
          <w:rFonts w:eastAsia="Calibri" w:cs="Arial"/>
          <w:sz w:val="20"/>
          <w:szCs w:val="20"/>
          <w:lang w:val="en-US"/>
        </w:rPr>
        <w:t>(</w:t>
      </w:r>
      <w:r w:rsidR="00E17AF2" w:rsidRPr="00012C3F">
        <w:rPr>
          <w:rFonts w:eastAsia="Calibri" w:cs="Arial"/>
          <w:sz w:val="20"/>
          <w:szCs w:val="20"/>
          <w:lang w:val="en-US"/>
        </w:rPr>
        <w:t xml:space="preserve">i) </w:t>
      </w:r>
      <w:r w:rsidR="00F55848" w:rsidRPr="00012C3F">
        <w:rPr>
          <w:rFonts w:eastAsia="Calibri" w:cs="Arial"/>
          <w:sz w:val="20"/>
          <w:szCs w:val="20"/>
          <w:lang w:val="en-US"/>
        </w:rPr>
        <w:t xml:space="preserve">women are seen as vulnerable beings, incapable of taking reliable or consistent decisions, which results in health professionals denying </w:t>
      </w:r>
      <w:r w:rsidR="00CD686A" w:rsidRPr="00012C3F">
        <w:rPr>
          <w:rFonts w:eastAsia="Calibri" w:cs="Arial"/>
          <w:sz w:val="20"/>
          <w:szCs w:val="20"/>
          <w:lang w:val="en-US"/>
        </w:rPr>
        <w:t>women</w:t>
      </w:r>
      <w:r w:rsidR="00F55848" w:rsidRPr="00012C3F">
        <w:rPr>
          <w:rFonts w:eastAsia="Calibri" w:cs="Arial"/>
          <w:sz w:val="20"/>
          <w:szCs w:val="20"/>
          <w:lang w:val="en-US"/>
        </w:rPr>
        <w:t xml:space="preserve"> the information </w:t>
      </w:r>
      <w:r w:rsidR="00CD686A" w:rsidRPr="00012C3F">
        <w:rPr>
          <w:rFonts w:eastAsia="Calibri" w:cs="Arial"/>
          <w:sz w:val="20"/>
          <w:szCs w:val="20"/>
          <w:lang w:val="en-US"/>
        </w:rPr>
        <w:t xml:space="preserve">they </w:t>
      </w:r>
      <w:r w:rsidR="00F55848" w:rsidRPr="00012C3F">
        <w:rPr>
          <w:rFonts w:eastAsia="Calibri" w:cs="Arial"/>
          <w:sz w:val="20"/>
          <w:szCs w:val="20"/>
          <w:lang w:val="en-US"/>
        </w:rPr>
        <w:t>require</w:t>
      </w:r>
      <w:r w:rsidR="00CD686A" w:rsidRPr="00012C3F">
        <w:rPr>
          <w:rFonts w:eastAsia="Calibri" w:cs="Arial"/>
          <w:sz w:val="20"/>
          <w:szCs w:val="20"/>
          <w:lang w:val="en-US"/>
        </w:rPr>
        <w:t xml:space="preserve"> in order </w:t>
      </w:r>
      <w:r w:rsidR="00F55848" w:rsidRPr="00012C3F">
        <w:rPr>
          <w:rFonts w:eastAsia="Calibri" w:cs="Arial"/>
          <w:sz w:val="20"/>
          <w:szCs w:val="20"/>
          <w:lang w:val="en-US"/>
        </w:rPr>
        <w:t>to give their informed consent; (ii) women are considered impulsive and indecisive and in need of the guidance of a more stable person with better judgment, usually a protective man, and (iii) it is the woman who should bear the responsibility for the couple’s sexual health, so that, within a relationship, it is the woman who has the task of choosing and using a method of contraception.</w:t>
      </w:r>
      <w:r w:rsidR="000A6094" w:rsidRPr="00012C3F">
        <w:rPr>
          <w:rFonts w:eastAsiaTheme="minorHAnsi" w:cs="Arial"/>
          <w:sz w:val="20"/>
          <w:szCs w:val="20"/>
          <w:vertAlign w:val="superscript"/>
          <w:lang w:val="en-US" w:eastAsia="en-US"/>
        </w:rPr>
        <w:footnoteReference w:id="242"/>
      </w:r>
      <w:r w:rsidR="00E17AF2" w:rsidRPr="00012C3F">
        <w:rPr>
          <w:rFonts w:eastAsia="Calibri" w:cs="Arial"/>
          <w:sz w:val="20"/>
          <w:szCs w:val="20"/>
          <w:lang w:val="en-US"/>
        </w:rPr>
        <w:t xml:space="preserve"> </w:t>
      </w:r>
      <w:r w:rsidR="00F55848" w:rsidRPr="00012C3F">
        <w:rPr>
          <w:rFonts w:eastAsia="Calibri" w:cs="Arial"/>
          <w:sz w:val="20"/>
          <w:szCs w:val="20"/>
          <w:lang w:val="en-US"/>
        </w:rPr>
        <w:t xml:space="preserve">Consequently, in this case, the Court will pay special attention to this aspect in order to recognize and reject the stereotypes that lead to the impairment of the rights recognized in </w:t>
      </w:r>
      <w:r w:rsidR="001254DE" w:rsidRPr="00012C3F">
        <w:rPr>
          <w:rFonts w:eastAsia="Calibri" w:cs="Arial"/>
          <w:sz w:val="20"/>
          <w:szCs w:val="20"/>
          <w:lang w:val="en-US" w:eastAsia="es-MX"/>
        </w:rPr>
        <w:t>the Convention</w:t>
      </w:r>
      <w:r w:rsidR="00E17AF2" w:rsidRPr="00012C3F">
        <w:rPr>
          <w:rFonts w:eastAsia="Calibri" w:cs="Arial"/>
          <w:sz w:val="20"/>
          <w:szCs w:val="20"/>
          <w:lang w:val="en-US" w:eastAsia="es-MX"/>
        </w:rPr>
        <w:t>.</w:t>
      </w:r>
    </w:p>
    <w:p w14:paraId="4B1C0FAB" w14:textId="77777777" w:rsidR="00E17AF2" w:rsidRPr="00012C3F" w:rsidRDefault="00E17AF2" w:rsidP="00E17AF2">
      <w:pPr>
        <w:tabs>
          <w:tab w:val="left" w:pos="567"/>
        </w:tabs>
        <w:spacing w:line="240" w:lineRule="auto"/>
        <w:rPr>
          <w:rFonts w:eastAsia="MS Mincho"/>
          <w:sz w:val="20"/>
          <w:szCs w:val="20"/>
          <w:lang w:val="en-US" w:eastAsia="en-US" w:bidi="en-US"/>
        </w:rPr>
      </w:pPr>
    </w:p>
    <w:p w14:paraId="0E91EF49" w14:textId="77777777" w:rsidR="00E17AF2" w:rsidRPr="00012C3F" w:rsidRDefault="00F55848" w:rsidP="00A645BB">
      <w:pPr>
        <w:numPr>
          <w:ilvl w:val="0"/>
          <w:numId w:val="5"/>
        </w:numPr>
        <w:tabs>
          <w:tab w:val="left" w:pos="720"/>
          <w:tab w:val="num" w:pos="12305"/>
        </w:tabs>
        <w:spacing w:line="240" w:lineRule="auto"/>
        <w:ind w:left="0" w:firstLine="0"/>
        <w:rPr>
          <w:rFonts w:eastAsia="Calibri" w:cs="ClassicalGaramondBT-Roman"/>
          <w:sz w:val="20"/>
          <w:szCs w:val="20"/>
          <w:lang w:val="en-US" w:eastAsia="en-US" w:bidi="en-US"/>
        </w:rPr>
      </w:pPr>
      <w:r w:rsidRPr="00012C3F">
        <w:rPr>
          <w:rFonts w:eastAsia="MS Mincho"/>
          <w:sz w:val="20"/>
          <w:szCs w:val="20"/>
          <w:lang w:val="en-US" w:eastAsia="en-US" w:bidi="en-US"/>
        </w:rPr>
        <w:t xml:space="preserve">In addition, the Court finds it </w:t>
      </w:r>
      <w:r w:rsidR="00A645BB" w:rsidRPr="00012C3F">
        <w:rPr>
          <w:rFonts w:eastAsia="MS Mincho"/>
          <w:sz w:val="20"/>
          <w:szCs w:val="20"/>
          <w:lang w:val="en-US" w:eastAsia="en-US" w:bidi="en-US"/>
        </w:rPr>
        <w:t xml:space="preserve">essential </w:t>
      </w:r>
      <w:r w:rsidR="00CD686A" w:rsidRPr="00012C3F">
        <w:rPr>
          <w:rFonts w:eastAsia="MS Mincho"/>
          <w:sz w:val="20"/>
          <w:szCs w:val="20"/>
          <w:lang w:val="en-US" w:eastAsia="en-US" w:bidi="en-US"/>
        </w:rPr>
        <w:t>that</w:t>
      </w:r>
      <w:r w:rsidR="00A645BB" w:rsidRPr="00012C3F">
        <w:rPr>
          <w:rFonts w:eastAsia="MS Mincho"/>
          <w:sz w:val="20"/>
          <w:szCs w:val="20"/>
          <w:lang w:val="en-US" w:eastAsia="en-US" w:bidi="en-US"/>
        </w:rPr>
        <w:t xml:space="preserve"> medical personnel</w:t>
      </w:r>
      <w:r w:rsidR="00CD686A" w:rsidRPr="00012C3F">
        <w:rPr>
          <w:rFonts w:eastAsia="MS Mincho"/>
          <w:sz w:val="20"/>
          <w:szCs w:val="20"/>
          <w:lang w:val="en-US" w:eastAsia="en-US" w:bidi="en-US"/>
        </w:rPr>
        <w:t xml:space="preserve"> avoid</w:t>
      </w:r>
      <w:r w:rsidR="00A645BB" w:rsidRPr="00012C3F">
        <w:rPr>
          <w:rFonts w:eastAsia="MS Mincho"/>
          <w:sz w:val="20"/>
          <w:szCs w:val="20"/>
          <w:lang w:val="en-US" w:eastAsia="en-US" w:bidi="en-US"/>
        </w:rPr>
        <w:t xml:space="preserve"> inducing a patient to </w:t>
      </w:r>
      <w:r w:rsidR="00CD686A" w:rsidRPr="00012C3F">
        <w:rPr>
          <w:rFonts w:eastAsia="MS Mincho"/>
          <w:sz w:val="20"/>
          <w:szCs w:val="20"/>
          <w:lang w:val="en-US" w:eastAsia="en-US" w:bidi="en-US"/>
        </w:rPr>
        <w:t xml:space="preserve">give her </w:t>
      </w:r>
      <w:r w:rsidR="00A645BB" w:rsidRPr="00012C3F">
        <w:rPr>
          <w:rFonts w:eastAsia="MS Mincho"/>
          <w:sz w:val="20"/>
          <w:szCs w:val="20"/>
          <w:lang w:val="en-US" w:eastAsia="en-US" w:bidi="en-US"/>
        </w:rPr>
        <w:t xml:space="preserve">consent </w:t>
      </w:r>
      <w:r w:rsidR="00CD686A" w:rsidRPr="00012C3F">
        <w:rPr>
          <w:rFonts w:eastAsia="MS Mincho"/>
          <w:sz w:val="20"/>
          <w:szCs w:val="20"/>
          <w:lang w:val="en-US" w:eastAsia="en-US" w:bidi="en-US"/>
        </w:rPr>
        <w:t xml:space="preserve">to sterilization </w:t>
      </w:r>
      <w:r w:rsidR="00A645BB" w:rsidRPr="00012C3F">
        <w:rPr>
          <w:rFonts w:eastAsia="MS Mincho"/>
          <w:sz w:val="20"/>
          <w:szCs w:val="20"/>
          <w:lang w:val="en-US" w:eastAsia="en-US" w:bidi="en-US"/>
        </w:rPr>
        <w:t xml:space="preserve">because </w:t>
      </w:r>
      <w:r w:rsidR="00CD686A" w:rsidRPr="00012C3F">
        <w:rPr>
          <w:rFonts w:eastAsia="MS Mincho"/>
          <w:sz w:val="20"/>
          <w:szCs w:val="20"/>
          <w:lang w:val="en-US" w:eastAsia="en-US" w:bidi="en-US"/>
        </w:rPr>
        <w:t>she</w:t>
      </w:r>
      <w:r w:rsidR="00A645BB" w:rsidRPr="00012C3F">
        <w:rPr>
          <w:rFonts w:eastAsia="MS Mincho"/>
          <w:sz w:val="20"/>
          <w:szCs w:val="20"/>
          <w:lang w:val="en-US" w:eastAsia="en-US" w:bidi="en-US"/>
        </w:rPr>
        <w:t xml:space="preserve"> fail</w:t>
      </w:r>
      <w:r w:rsidR="00CD686A" w:rsidRPr="00012C3F">
        <w:rPr>
          <w:rFonts w:eastAsia="MS Mincho"/>
          <w:sz w:val="20"/>
          <w:szCs w:val="20"/>
          <w:lang w:val="en-US" w:eastAsia="en-US" w:bidi="en-US"/>
        </w:rPr>
        <w:t>s</w:t>
      </w:r>
      <w:r w:rsidR="00A645BB" w:rsidRPr="00012C3F">
        <w:rPr>
          <w:rFonts w:eastAsia="MS Mincho"/>
          <w:sz w:val="20"/>
          <w:szCs w:val="20"/>
          <w:lang w:val="en-US" w:eastAsia="en-US" w:bidi="en-US"/>
        </w:rPr>
        <w:t xml:space="preserve"> to understand the information provided</w:t>
      </w:r>
      <w:r w:rsidR="00CD686A" w:rsidRPr="00012C3F">
        <w:rPr>
          <w:rFonts w:eastAsia="MS Mincho"/>
          <w:sz w:val="20"/>
          <w:szCs w:val="20"/>
          <w:lang w:val="en-US" w:eastAsia="en-US" w:bidi="en-US"/>
        </w:rPr>
        <w:t>. Moreover,</w:t>
      </w:r>
      <w:r w:rsidR="00A645BB" w:rsidRPr="00012C3F">
        <w:rPr>
          <w:rFonts w:eastAsia="MS Mincho"/>
          <w:sz w:val="20"/>
          <w:szCs w:val="20"/>
          <w:lang w:val="en-US" w:eastAsia="en-US" w:bidi="en-US"/>
        </w:rPr>
        <w:t xml:space="preserve"> they must refrain from </w:t>
      </w:r>
      <w:r w:rsidR="00CD686A" w:rsidRPr="00012C3F">
        <w:rPr>
          <w:rFonts w:eastAsia="MS Mincho"/>
          <w:sz w:val="20"/>
          <w:szCs w:val="20"/>
          <w:lang w:val="en-US" w:eastAsia="en-US" w:bidi="en-US"/>
        </w:rPr>
        <w:t xml:space="preserve">going ahead with the procedure without this consent – </w:t>
      </w:r>
      <w:r w:rsidR="00A645BB" w:rsidRPr="00012C3F">
        <w:rPr>
          <w:rFonts w:eastAsia="MS Mincho"/>
          <w:sz w:val="20"/>
          <w:szCs w:val="20"/>
          <w:lang w:val="en-US" w:eastAsia="en-US" w:bidi="en-US"/>
        </w:rPr>
        <w:t xml:space="preserve">particularly in cases where the woman has </w:t>
      </w:r>
      <w:r w:rsidR="00CD686A" w:rsidRPr="00012C3F">
        <w:rPr>
          <w:rFonts w:eastAsia="MS Mincho"/>
          <w:sz w:val="20"/>
          <w:szCs w:val="20"/>
          <w:lang w:val="en-US" w:eastAsia="en-US" w:bidi="en-US"/>
        </w:rPr>
        <w:t>scarce</w:t>
      </w:r>
      <w:r w:rsidR="00A645BB" w:rsidRPr="00012C3F">
        <w:rPr>
          <w:rFonts w:eastAsia="MS Mincho"/>
          <w:sz w:val="20"/>
          <w:szCs w:val="20"/>
          <w:lang w:val="en-US" w:eastAsia="en-US" w:bidi="en-US"/>
        </w:rPr>
        <w:t xml:space="preserve"> financial resources and/or low levels of education</w:t>
      </w:r>
      <w:r w:rsidR="00CD686A" w:rsidRPr="00012C3F">
        <w:rPr>
          <w:rFonts w:eastAsia="MS Mincho"/>
          <w:sz w:val="20"/>
          <w:szCs w:val="20"/>
          <w:lang w:val="en-US" w:eastAsia="en-US" w:bidi="en-US"/>
        </w:rPr>
        <w:t xml:space="preserve"> – on</w:t>
      </w:r>
      <w:r w:rsidR="00A645BB" w:rsidRPr="00012C3F">
        <w:rPr>
          <w:rFonts w:eastAsia="MS Mincho"/>
          <w:sz w:val="20"/>
          <w:szCs w:val="20"/>
          <w:lang w:val="en-US" w:eastAsia="en-US" w:bidi="en-US"/>
        </w:rPr>
        <w:t xml:space="preserve"> the pretext that the measure is necessary as a means of population and birth control. Th</w:t>
      </w:r>
      <w:r w:rsidR="00CD686A" w:rsidRPr="00012C3F">
        <w:rPr>
          <w:rFonts w:eastAsia="MS Mincho"/>
          <w:sz w:val="20"/>
          <w:szCs w:val="20"/>
          <w:lang w:val="en-US" w:eastAsia="en-US" w:bidi="en-US"/>
        </w:rPr>
        <w:t xml:space="preserve">is </w:t>
      </w:r>
      <w:r w:rsidR="00A645BB" w:rsidRPr="00012C3F">
        <w:rPr>
          <w:rFonts w:eastAsia="MS Mincho"/>
          <w:sz w:val="20"/>
          <w:szCs w:val="20"/>
          <w:lang w:val="en-US" w:eastAsia="en-US" w:bidi="en-US"/>
        </w:rPr>
        <w:t>may, in turn, lead to</w:t>
      </w:r>
      <w:r w:rsidRPr="00012C3F">
        <w:rPr>
          <w:rFonts w:cs="Arial"/>
          <w:sz w:val="20"/>
          <w:szCs w:val="20"/>
          <w:lang w:val="en-US"/>
        </w:rPr>
        <w:t xml:space="preserve"> the situation in which a decision in favor steriliz</w:t>
      </w:r>
      <w:r w:rsidR="002F4CB5" w:rsidRPr="00012C3F">
        <w:rPr>
          <w:rFonts w:cs="Arial"/>
          <w:sz w:val="20"/>
          <w:szCs w:val="20"/>
          <w:lang w:val="en-US"/>
        </w:rPr>
        <w:t>ing</w:t>
      </w:r>
      <w:r w:rsidRPr="00012C3F">
        <w:rPr>
          <w:rFonts w:cs="Arial"/>
          <w:sz w:val="20"/>
          <w:szCs w:val="20"/>
          <w:lang w:val="en-US"/>
        </w:rPr>
        <w:t xml:space="preserve"> the woman and not the man is induced, based on the stereotype that it is the woman</w:t>
      </w:r>
      <w:r w:rsidR="002F4CB5" w:rsidRPr="00012C3F">
        <w:rPr>
          <w:rFonts w:cs="Arial"/>
          <w:sz w:val="20"/>
          <w:szCs w:val="20"/>
          <w:lang w:val="en-US"/>
        </w:rPr>
        <w:t>,</w:t>
      </w:r>
      <w:r w:rsidRPr="00012C3F">
        <w:rPr>
          <w:rFonts w:cs="Arial"/>
          <w:sz w:val="20"/>
          <w:szCs w:val="20"/>
          <w:lang w:val="en-US"/>
        </w:rPr>
        <w:t xml:space="preserve"> who plays the </w:t>
      </w:r>
      <w:r w:rsidR="002F4CB5" w:rsidRPr="00012C3F">
        <w:rPr>
          <w:rFonts w:cs="Arial"/>
          <w:sz w:val="20"/>
          <w:szCs w:val="20"/>
          <w:lang w:val="en-US"/>
        </w:rPr>
        <w:t>main</w:t>
      </w:r>
      <w:r w:rsidRPr="00012C3F">
        <w:rPr>
          <w:rFonts w:cs="Arial"/>
          <w:sz w:val="20"/>
          <w:szCs w:val="20"/>
          <w:lang w:val="en-US"/>
        </w:rPr>
        <w:t xml:space="preserve"> role in procreation</w:t>
      </w:r>
      <w:r w:rsidR="002F4CB5" w:rsidRPr="00012C3F">
        <w:rPr>
          <w:rFonts w:cs="Arial"/>
          <w:sz w:val="20"/>
          <w:szCs w:val="20"/>
          <w:lang w:val="en-US"/>
        </w:rPr>
        <w:t>,</w:t>
      </w:r>
      <w:r w:rsidRPr="00012C3F">
        <w:rPr>
          <w:rFonts w:cs="Arial"/>
          <w:sz w:val="20"/>
          <w:szCs w:val="20"/>
          <w:lang w:val="en-US"/>
        </w:rPr>
        <w:t xml:space="preserve"> who should be responsible for contraception</w:t>
      </w:r>
      <w:r w:rsidR="00A645BB" w:rsidRPr="00012C3F">
        <w:rPr>
          <w:rFonts w:eastAsia="Calibri" w:cs="ClassicalGaramondBT-Roman"/>
          <w:sz w:val="20"/>
          <w:szCs w:val="20"/>
          <w:lang w:val="en-US" w:eastAsia="en-US" w:bidi="en-US"/>
        </w:rPr>
        <w:t xml:space="preserve"> </w:t>
      </w:r>
      <w:r w:rsidR="00E17AF2" w:rsidRPr="00012C3F">
        <w:rPr>
          <w:rFonts w:eastAsia="Calibri" w:cs="ClassicalGaramondBT-Roman"/>
          <w:sz w:val="20"/>
          <w:szCs w:val="20"/>
          <w:lang w:val="en-US" w:eastAsia="en-US" w:bidi="en-US"/>
        </w:rPr>
        <w:t>(</w:t>
      </w:r>
      <w:r w:rsidR="00E17AF2" w:rsidRPr="00012C3F">
        <w:rPr>
          <w:rFonts w:eastAsia="Calibri" w:cs="ClassicalGaramondBT-Roman"/>
          <w:i/>
          <w:sz w:val="20"/>
          <w:szCs w:val="20"/>
          <w:lang w:val="en-US" w:eastAsia="en-US" w:bidi="en-US"/>
        </w:rPr>
        <w:t>infra</w:t>
      </w:r>
      <w:r w:rsidR="00E17AF2" w:rsidRPr="00012C3F">
        <w:rPr>
          <w:rFonts w:eastAsia="Calibri" w:cs="ClassicalGaramondBT-Roman"/>
          <w:sz w:val="20"/>
          <w:szCs w:val="20"/>
          <w:lang w:val="en-US" w:eastAsia="en-US" w:bidi="en-US"/>
        </w:rPr>
        <w:t xml:space="preserve"> </w:t>
      </w:r>
      <w:r w:rsidR="00370DD4" w:rsidRPr="00012C3F">
        <w:rPr>
          <w:rFonts w:eastAsia="Calibri" w:cs="ClassicalGaramondBT-Roman"/>
          <w:sz w:val="20"/>
          <w:szCs w:val="20"/>
          <w:lang w:val="en-US" w:eastAsia="en-US" w:bidi="en-US"/>
        </w:rPr>
        <w:t>para.</w:t>
      </w:r>
      <w:r w:rsidR="00E17AF2" w:rsidRPr="00012C3F">
        <w:rPr>
          <w:rFonts w:eastAsia="Calibri" w:cs="ClassicalGaramondBT-Roman"/>
          <w:sz w:val="20"/>
          <w:szCs w:val="20"/>
          <w:lang w:val="en-US" w:eastAsia="en-US" w:bidi="en-US"/>
        </w:rPr>
        <w:t xml:space="preserve"> </w:t>
      </w:r>
      <w:r w:rsidR="00926D33" w:rsidRPr="00012C3F">
        <w:rPr>
          <w:rFonts w:eastAsia="Calibri" w:cs="ClassicalGaramondBT-Roman"/>
          <w:sz w:val="20"/>
          <w:szCs w:val="20"/>
          <w:lang w:val="en-US" w:eastAsia="en-US" w:bidi="en-US"/>
        </w:rPr>
        <w:t>246).</w:t>
      </w:r>
    </w:p>
    <w:p w14:paraId="0F958709" w14:textId="77777777" w:rsidR="00E17AF2" w:rsidRPr="00012C3F" w:rsidRDefault="00E17AF2" w:rsidP="00E17AF2">
      <w:pPr>
        <w:tabs>
          <w:tab w:val="left" w:pos="567"/>
        </w:tabs>
        <w:spacing w:line="240" w:lineRule="auto"/>
        <w:rPr>
          <w:rFonts w:eastAsia="MS Mincho"/>
          <w:sz w:val="20"/>
          <w:szCs w:val="20"/>
          <w:lang w:val="en-US" w:eastAsia="en-US" w:bidi="en-US"/>
        </w:rPr>
      </w:pPr>
    </w:p>
    <w:p w14:paraId="766A0AA1" w14:textId="77777777" w:rsidR="00442CC5" w:rsidRPr="00012C3F" w:rsidRDefault="00442CC5" w:rsidP="00442CC5">
      <w:pPr>
        <w:tabs>
          <w:tab w:val="left" w:pos="567"/>
        </w:tabs>
        <w:spacing w:line="240" w:lineRule="auto"/>
        <w:rPr>
          <w:rFonts w:eastAsia="MS Mincho"/>
          <w:i/>
          <w:sz w:val="20"/>
          <w:szCs w:val="20"/>
          <w:lang w:val="en-US" w:eastAsia="en-US" w:bidi="en-US"/>
        </w:rPr>
      </w:pPr>
      <w:r w:rsidRPr="00012C3F">
        <w:rPr>
          <w:rFonts w:eastAsia="MS Mincho"/>
          <w:i/>
          <w:sz w:val="20"/>
          <w:szCs w:val="20"/>
          <w:lang w:val="en-US" w:eastAsia="en-US" w:bidi="en-US"/>
        </w:rPr>
        <w:tab/>
      </w:r>
      <w:r w:rsidRPr="00012C3F">
        <w:rPr>
          <w:rFonts w:eastAsia="MS Mincho"/>
          <w:i/>
          <w:sz w:val="20"/>
          <w:szCs w:val="20"/>
          <w:lang w:val="en-US" w:eastAsia="en-US" w:bidi="en-US"/>
        </w:rPr>
        <w:tab/>
      </w:r>
      <w:r w:rsidRPr="00012C3F">
        <w:rPr>
          <w:rFonts w:eastAsia="MS Mincho"/>
          <w:i/>
          <w:sz w:val="20"/>
          <w:szCs w:val="20"/>
          <w:lang w:val="en-US" w:eastAsia="en-US" w:bidi="en-US"/>
        </w:rPr>
        <w:tab/>
        <w:t xml:space="preserve">iii) </w:t>
      </w:r>
      <w:r w:rsidRPr="00012C3F">
        <w:rPr>
          <w:rFonts w:eastAsia="MS Mincho"/>
          <w:i/>
          <w:sz w:val="20"/>
          <w:szCs w:val="20"/>
          <w:lang w:val="en-US" w:eastAsia="en-US" w:bidi="en-US"/>
        </w:rPr>
        <w:tab/>
      </w:r>
      <w:r w:rsidR="00A645BB" w:rsidRPr="00012C3F">
        <w:rPr>
          <w:rFonts w:eastAsia="MS Mincho"/>
          <w:i/>
          <w:sz w:val="20"/>
          <w:szCs w:val="20"/>
          <w:lang w:val="en-US" w:eastAsia="en-US" w:bidi="en-US"/>
        </w:rPr>
        <w:t>The principle of full and informed consent</w:t>
      </w:r>
    </w:p>
    <w:p w14:paraId="5D26C2B0" w14:textId="77777777" w:rsidR="00442CC5" w:rsidRPr="00012C3F" w:rsidRDefault="00442CC5" w:rsidP="00E17AF2">
      <w:pPr>
        <w:tabs>
          <w:tab w:val="left" w:pos="567"/>
        </w:tabs>
        <w:spacing w:line="240" w:lineRule="auto"/>
        <w:rPr>
          <w:rFonts w:eastAsia="MS Mincho"/>
          <w:sz w:val="20"/>
          <w:szCs w:val="20"/>
          <w:lang w:val="en-US" w:eastAsia="en-US" w:bidi="en-US"/>
        </w:rPr>
      </w:pPr>
    </w:p>
    <w:p w14:paraId="3307D20C" w14:textId="77777777" w:rsidR="00E17AF2" w:rsidRPr="00012C3F" w:rsidRDefault="00A645BB" w:rsidP="00EB4C39">
      <w:pPr>
        <w:numPr>
          <w:ilvl w:val="0"/>
          <w:numId w:val="5"/>
        </w:numPr>
        <w:tabs>
          <w:tab w:val="left" w:pos="720"/>
          <w:tab w:val="num" w:pos="12305"/>
        </w:tabs>
        <w:spacing w:line="240" w:lineRule="auto"/>
        <w:ind w:left="0" w:firstLine="0"/>
        <w:rPr>
          <w:rFonts w:eastAsia="Calibri" w:cs="ClassicalGaramondBT-Roman"/>
          <w:sz w:val="20"/>
          <w:szCs w:val="20"/>
          <w:lang w:val="en-US"/>
        </w:rPr>
      </w:pPr>
      <w:r w:rsidRPr="00012C3F">
        <w:rPr>
          <w:rFonts w:cs="Arial"/>
          <w:sz w:val="20"/>
          <w:szCs w:val="20"/>
          <w:lang w:val="en-US"/>
        </w:rPr>
        <w:lastRenderedPageBreak/>
        <w:t>Lastly, the Court emphasizes that consent must be full and informed. Full consent can only be obtained after adequate, complete, reliable, comprehensible and accessible information has been received and fully understood. After analyzing several sources, the Court consider</w:t>
      </w:r>
      <w:r w:rsidR="002F4CB5" w:rsidRPr="00012C3F">
        <w:rPr>
          <w:rFonts w:cs="Arial"/>
          <w:sz w:val="20"/>
          <w:szCs w:val="20"/>
          <w:lang w:val="en-US"/>
        </w:rPr>
        <w:t>s</w:t>
      </w:r>
      <w:r w:rsidRPr="00012C3F">
        <w:rPr>
          <w:rFonts w:cs="Arial"/>
          <w:sz w:val="20"/>
          <w:szCs w:val="20"/>
          <w:lang w:val="en-US"/>
        </w:rPr>
        <w:t xml:space="preserve"> that, at the very least, health care providers should offer the following information</w:t>
      </w:r>
      <w:r w:rsidR="00E17AF2" w:rsidRPr="00012C3F">
        <w:rPr>
          <w:rFonts w:eastAsia="Calibri" w:cs="ClassicalGaramondBT-Roman"/>
          <w:sz w:val="20"/>
          <w:szCs w:val="20"/>
          <w:lang w:val="en-US" w:eastAsia="en-US" w:bidi="en-US"/>
        </w:rPr>
        <w:t>:</w:t>
      </w:r>
      <w:r w:rsidR="00E17AF2" w:rsidRPr="00012C3F">
        <w:rPr>
          <w:rFonts w:eastAsia="Calibri" w:cs="ClassicalGaramondBT-Roman"/>
          <w:sz w:val="20"/>
          <w:szCs w:val="20"/>
          <w:lang w:val="en-US"/>
        </w:rPr>
        <w:t xml:space="preserve"> </w:t>
      </w:r>
      <w:r w:rsidR="00EB4C39" w:rsidRPr="00012C3F">
        <w:rPr>
          <w:rFonts w:cs="Arial"/>
          <w:sz w:val="20"/>
          <w:szCs w:val="20"/>
          <w:lang w:val="en-US"/>
        </w:rPr>
        <w:t>(i) an evaluation of the diagnosis; (ii) the purpose, method, probable duration, and expected benefits and risks of the proposed treatment; (iii) the possible adverse effects of the proposed treatment; (iv) treatment alternatives, including those that are less in</w:t>
      </w:r>
      <w:r w:rsidR="002F4CB5" w:rsidRPr="00012C3F">
        <w:rPr>
          <w:rFonts w:cs="Arial"/>
          <w:sz w:val="20"/>
          <w:szCs w:val="20"/>
          <w:lang w:val="en-US"/>
        </w:rPr>
        <w:t>va</w:t>
      </w:r>
      <w:r w:rsidR="00EB4C39" w:rsidRPr="00012C3F">
        <w:rPr>
          <w:rFonts w:cs="Arial"/>
          <w:sz w:val="20"/>
          <w:szCs w:val="20"/>
          <w:lang w:val="en-US"/>
        </w:rPr>
        <w:t xml:space="preserve">sive, </w:t>
      </w:r>
      <w:r w:rsidR="002F4CB5" w:rsidRPr="00012C3F">
        <w:rPr>
          <w:rFonts w:cs="Arial"/>
          <w:sz w:val="20"/>
          <w:szCs w:val="20"/>
          <w:lang w:val="en-US"/>
        </w:rPr>
        <w:t>together with</w:t>
      </w:r>
      <w:r w:rsidR="00EB4C39" w:rsidRPr="00012C3F">
        <w:rPr>
          <w:rFonts w:cs="Arial"/>
          <w:sz w:val="20"/>
          <w:szCs w:val="20"/>
          <w:lang w:val="en-US"/>
        </w:rPr>
        <w:t xml:space="preserve"> the possible pain or discomfort, risks, benefits and secondary effects of the alternative treatments proposed; (v) the consequences of the treatment, and (vi) what may occur before, during and after the treatment.</w:t>
      </w:r>
      <w:r w:rsidR="00E17AF2" w:rsidRPr="00012C3F">
        <w:rPr>
          <w:rStyle w:val="Refdenotaalpie"/>
          <w:rFonts w:eastAsia="Calibri" w:cs="ClassicalGaramondBT-Roman"/>
          <w:sz w:val="20"/>
          <w:szCs w:val="20"/>
          <w:lang w:val="en-US"/>
        </w:rPr>
        <w:footnoteReference w:id="243"/>
      </w:r>
    </w:p>
    <w:p w14:paraId="4E11F6B7" w14:textId="77777777" w:rsidR="00E17AF2" w:rsidRPr="00012C3F" w:rsidRDefault="00E17AF2" w:rsidP="00E17AF2">
      <w:pPr>
        <w:tabs>
          <w:tab w:val="left" w:pos="1134"/>
        </w:tabs>
        <w:spacing w:line="240" w:lineRule="auto"/>
        <w:rPr>
          <w:rFonts w:eastAsia="Calibri" w:cs="ClassicalGaramondBT-Roman"/>
          <w:sz w:val="20"/>
          <w:szCs w:val="20"/>
          <w:lang w:val="en-US"/>
        </w:rPr>
      </w:pPr>
    </w:p>
    <w:p w14:paraId="2232BAF3" w14:textId="77777777" w:rsidR="00EB4C39" w:rsidRPr="00012C3F" w:rsidRDefault="00A84CA0" w:rsidP="00EB4C39">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The State</w:t>
      </w:r>
      <w:r w:rsidR="00E17AF2" w:rsidRPr="00012C3F">
        <w:rPr>
          <w:sz w:val="20"/>
          <w:szCs w:val="20"/>
          <w:lang w:val="en-US"/>
        </w:rPr>
        <w:t xml:space="preserve"> </w:t>
      </w:r>
      <w:r w:rsidR="00EB4C39" w:rsidRPr="00012C3F">
        <w:rPr>
          <w:sz w:val="20"/>
          <w:szCs w:val="20"/>
          <w:lang w:val="en-US"/>
        </w:rPr>
        <w:t>indicated that, in</w:t>
      </w:r>
      <w:r w:rsidR="00E17AF2" w:rsidRPr="00012C3F">
        <w:rPr>
          <w:sz w:val="20"/>
          <w:szCs w:val="20"/>
          <w:lang w:val="en-US"/>
        </w:rPr>
        <w:t xml:space="preserve"> 2000</w:t>
      </w:r>
      <w:r w:rsidR="00EB4C39" w:rsidRPr="00012C3F">
        <w:rPr>
          <w:sz w:val="20"/>
          <w:szCs w:val="20"/>
          <w:lang w:val="en-US"/>
        </w:rPr>
        <w:t>, there was no consensus on whether a patient should be informed about alternative treatments; rather</w:t>
      </w:r>
      <w:r w:rsidR="002F4CB5" w:rsidRPr="00012C3F">
        <w:rPr>
          <w:sz w:val="20"/>
          <w:szCs w:val="20"/>
          <w:lang w:val="en-US"/>
        </w:rPr>
        <w:t>,</w:t>
      </w:r>
      <w:r w:rsidR="00EB4C39" w:rsidRPr="00012C3F">
        <w:rPr>
          <w:sz w:val="20"/>
          <w:szCs w:val="20"/>
          <w:lang w:val="en-US"/>
        </w:rPr>
        <w:t xml:space="preserve"> agreement existed that information should be provided on the nature of the procedure, the purpose and risks. The Court consider</w:t>
      </w:r>
      <w:r w:rsidR="002F4CB5" w:rsidRPr="00012C3F">
        <w:rPr>
          <w:sz w:val="20"/>
          <w:szCs w:val="20"/>
          <w:lang w:val="en-US"/>
        </w:rPr>
        <w:t>s</w:t>
      </w:r>
      <w:r w:rsidR="00EB4C39" w:rsidRPr="00012C3F">
        <w:rPr>
          <w:sz w:val="20"/>
          <w:szCs w:val="20"/>
          <w:lang w:val="en-US"/>
        </w:rPr>
        <w:t xml:space="preserve"> it relevant to underscore that several international documents, and</w:t>
      </w:r>
      <w:r w:rsidR="002F4CB5" w:rsidRPr="00012C3F">
        <w:rPr>
          <w:sz w:val="20"/>
          <w:szCs w:val="20"/>
          <w:lang w:val="en-US"/>
        </w:rPr>
        <w:t xml:space="preserve"> also</w:t>
      </w:r>
      <w:r w:rsidR="00EB4C39" w:rsidRPr="00012C3F">
        <w:rPr>
          <w:sz w:val="20"/>
          <w:szCs w:val="20"/>
          <w:lang w:val="en-US"/>
        </w:rPr>
        <w:t xml:space="preserve"> the case law of the </w:t>
      </w:r>
      <w:r w:rsidR="00E060D2" w:rsidRPr="00012C3F">
        <w:rPr>
          <w:sz w:val="20"/>
          <w:szCs w:val="20"/>
          <w:lang w:val="en-US"/>
        </w:rPr>
        <w:t>European Court of Human Rights</w:t>
      </w:r>
      <w:r w:rsidR="003F35D0" w:rsidRPr="00012C3F">
        <w:rPr>
          <w:sz w:val="20"/>
          <w:szCs w:val="20"/>
          <w:lang w:val="en-US"/>
        </w:rPr>
        <w:t>,</w:t>
      </w:r>
      <w:r w:rsidR="00E17AF2" w:rsidRPr="00012C3F">
        <w:rPr>
          <w:sz w:val="20"/>
          <w:szCs w:val="20"/>
          <w:lang w:val="en-US"/>
        </w:rPr>
        <w:t xml:space="preserve"> </w:t>
      </w:r>
      <w:r w:rsidR="002F4CB5" w:rsidRPr="00012C3F">
        <w:rPr>
          <w:sz w:val="20"/>
          <w:szCs w:val="20"/>
          <w:lang w:val="en-US"/>
        </w:rPr>
        <w:t>referred to</w:t>
      </w:r>
      <w:r w:rsidR="00EB4C39" w:rsidRPr="00012C3F">
        <w:rPr>
          <w:sz w:val="20"/>
          <w:szCs w:val="20"/>
          <w:lang w:val="en-US"/>
        </w:rPr>
        <w:t xml:space="preserve"> the need to provide information on alternative</w:t>
      </w:r>
      <w:r w:rsidR="002F4CB5" w:rsidRPr="00012C3F">
        <w:rPr>
          <w:sz w:val="20"/>
          <w:szCs w:val="20"/>
          <w:lang w:val="en-US"/>
        </w:rPr>
        <w:t>s</w:t>
      </w:r>
      <w:r w:rsidR="00EB4C39" w:rsidRPr="00012C3F">
        <w:rPr>
          <w:sz w:val="20"/>
          <w:szCs w:val="20"/>
          <w:lang w:val="en-US"/>
        </w:rPr>
        <w:t xml:space="preserve"> to the patient.</w:t>
      </w:r>
      <w:r w:rsidR="00E17AF2" w:rsidRPr="00012C3F">
        <w:rPr>
          <w:rStyle w:val="Refdenotaalpie"/>
          <w:sz w:val="20"/>
          <w:szCs w:val="20"/>
          <w:lang w:val="en-US"/>
        </w:rPr>
        <w:footnoteReference w:id="244"/>
      </w:r>
      <w:r w:rsidR="00E17AF2" w:rsidRPr="00012C3F">
        <w:rPr>
          <w:sz w:val="20"/>
          <w:szCs w:val="20"/>
          <w:lang w:val="en-US"/>
        </w:rPr>
        <w:t xml:space="preserve"> </w:t>
      </w:r>
      <w:r w:rsidR="00EB4C39" w:rsidRPr="00012C3F">
        <w:rPr>
          <w:rFonts w:cs="Arial"/>
          <w:sz w:val="20"/>
          <w:szCs w:val="20"/>
          <w:lang w:val="en-US"/>
        </w:rPr>
        <w:t>In the Court’s opinion, if alternative treatments exist, this information forms part of the concept of necessary information in order to give informed consent, and providing information on these alternatives is considered a basic element of this consent.</w:t>
      </w:r>
    </w:p>
    <w:p w14:paraId="0F3AC868" w14:textId="77777777" w:rsidR="00E17AF2" w:rsidRPr="00012C3F" w:rsidRDefault="00E17AF2" w:rsidP="00E17AF2">
      <w:pPr>
        <w:tabs>
          <w:tab w:val="left" w:pos="1134"/>
        </w:tabs>
        <w:spacing w:line="240" w:lineRule="auto"/>
        <w:rPr>
          <w:rFonts w:eastAsia="Calibri" w:cs="ClassicalGaramondBT-Roman"/>
          <w:sz w:val="20"/>
          <w:szCs w:val="20"/>
          <w:lang w:val="en-US"/>
        </w:rPr>
      </w:pPr>
    </w:p>
    <w:p w14:paraId="5D27063C" w14:textId="77777777" w:rsidR="00E17AF2" w:rsidRPr="00012C3F" w:rsidRDefault="00A72663" w:rsidP="002F4CB5">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Calibri" w:cs="ClassicalGaramondBT-Roman"/>
          <w:sz w:val="20"/>
          <w:szCs w:val="20"/>
          <w:lang w:val="en-US" w:eastAsia="en-US" w:bidi="en-US"/>
        </w:rPr>
        <w:t>That said, as already established, obtaining consent should be the result of a communication process, in which qualified personnel pre</w:t>
      </w:r>
      <w:r w:rsidR="00EE5B68" w:rsidRPr="00012C3F">
        <w:rPr>
          <w:rFonts w:eastAsia="Calibri" w:cs="ClassicalGaramondBT-Roman"/>
          <w:sz w:val="20"/>
          <w:szCs w:val="20"/>
          <w:lang w:val="en-US" w:eastAsia="en-US" w:bidi="en-US"/>
        </w:rPr>
        <w:t>s</w:t>
      </w:r>
      <w:r w:rsidRPr="00012C3F">
        <w:rPr>
          <w:rFonts w:eastAsia="Calibri" w:cs="ClassicalGaramondBT-Roman"/>
          <w:sz w:val="20"/>
          <w:szCs w:val="20"/>
          <w:lang w:val="en-US" w:eastAsia="en-US" w:bidi="en-US"/>
        </w:rPr>
        <w:t xml:space="preserve">ent clear, non-technical, impartial, exact, true, timely, complete, adequate, </w:t>
      </w:r>
      <w:r w:rsidR="00EE5B68" w:rsidRPr="00012C3F">
        <w:rPr>
          <w:rFonts w:eastAsia="Calibri" w:cs="ClassicalGaramondBT-Roman"/>
          <w:sz w:val="20"/>
          <w:szCs w:val="20"/>
          <w:lang w:val="en-US" w:eastAsia="en-US" w:bidi="en-US"/>
        </w:rPr>
        <w:t xml:space="preserve">and </w:t>
      </w:r>
      <w:r w:rsidRPr="00012C3F">
        <w:rPr>
          <w:rFonts w:eastAsia="Calibri" w:cs="ClassicalGaramondBT-Roman"/>
          <w:sz w:val="20"/>
          <w:szCs w:val="20"/>
          <w:lang w:val="en-US" w:eastAsia="en-US" w:bidi="en-US"/>
        </w:rPr>
        <w:t xml:space="preserve">reliable information; in other words, information that provides the necessary elements for the adoption of an informed decision. </w:t>
      </w:r>
      <w:r w:rsidR="00EE5B68" w:rsidRPr="00012C3F">
        <w:rPr>
          <w:rFonts w:eastAsia="Calibri" w:cs="ClassicalGaramondBT-Roman"/>
          <w:sz w:val="20"/>
          <w:szCs w:val="20"/>
          <w:lang w:val="en-US" w:eastAsia="en-US" w:bidi="en-US"/>
        </w:rPr>
        <w:t>H</w:t>
      </w:r>
      <w:r w:rsidRPr="00012C3F">
        <w:rPr>
          <w:rFonts w:eastAsia="Calibri" w:cs="ClassicalGaramondBT-Roman"/>
          <w:sz w:val="20"/>
          <w:szCs w:val="20"/>
          <w:lang w:val="en-US" w:eastAsia="en-US" w:bidi="en-US"/>
        </w:rPr>
        <w:t xml:space="preserve">ealth personnel should not act in a coercive or inducive manner in order to </w:t>
      </w:r>
      <w:r w:rsidR="00EE5B68" w:rsidRPr="00012C3F">
        <w:rPr>
          <w:rFonts w:eastAsia="Calibri" w:cs="ClassicalGaramondBT-Roman"/>
          <w:sz w:val="20"/>
          <w:szCs w:val="20"/>
          <w:lang w:val="en-US" w:eastAsia="en-US" w:bidi="en-US"/>
        </w:rPr>
        <w:t xml:space="preserve">achieve </w:t>
      </w:r>
      <w:r w:rsidRPr="00012C3F">
        <w:rPr>
          <w:rFonts w:eastAsia="Calibri" w:cs="ClassicalGaramondBT-Roman"/>
          <w:sz w:val="20"/>
          <w:szCs w:val="20"/>
          <w:lang w:val="en-US" w:eastAsia="en-US" w:bidi="en-US"/>
        </w:rPr>
        <w:t xml:space="preserve">the acceptance of the medical procedure, based on the understanding that the </w:t>
      </w:r>
      <w:r w:rsidR="002F4CB5" w:rsidRPr="00012C3F">
        <w:rPr>
          <w:rFonts w:eastAsia="Calibri" w:cs="ClassicalGaramondBT-Roman"/>
          <w:sz w:val="20"/>
          <w:szCs w:val="20"/>
          <w:lang w:val="en-US" w:eastAsia="en-US" w:bidi="en-US"/>
        </w:rPr>
        <w:t>physician</w:t>
      </w:r>
      <w:r w:rsidR="002F4CB5" w:rsidRPr="00012C3F">
        <w:rPr>
          <w:rFonts w:eastAsia="MS Mincho"/>
          <w:sz w:val="20"/>
          <w:szCs w:val="20"/>
          <w:lang w:val="en-US" w:eastAsia="en-US" w:bidi="en-US"/>
        </w:rPr>
        <w:t>’s</w:t>
      </w:r>
      <w:r w:rsidR="002F4CB5" w:rsidRPr="00012C3F">
        <w:rPr>
          <w:rFonts w:eastAsia="Calibri" w:cs="ClassicalGaramondBT-Roman"/>
          <w:sz w:val="20"/>
          <w:szCs w:val="20"/>
          <w:lang w:val="en-US" w:eastAsia="en-US" w:bidi="en-US"/>
        </w:rPr>
        <w:t xml:space="preserve"> opinion</w:t>
      </w:r>
      <w:r w:rsidRPr="00012C3F">
        <w:rPr>
          <w:rFonts w:eastAsia="Calibri" w:cs="ClassicalGaramondBT-Roman"/>
          <w:sz w:val="20"/>
          <w:szCs w:val="20"/>
          <w:lang w:val="en-US" w:eastAsia="en-US" w:bidi="en-US"/>
        </w:rPr>
        <w:t xml:space="preserve"> should prevail over the patient’s desires and </w:t>
      </w:r>
      <w:r w:rsidRPr="00012C3F">
        <w:rPr>
          <w:rFonts w:eastAsia="Calibri" w:cs="ClassicalGaramondBT-Roman"/>
          <w:sz w:val="20"/>
          <w:szCs w:val="20"/>
          <w:lang w:val="en-US" w:eastAsia="en-US" w:bidi="en-US"/>
        </w:rPr>
        <w:lastRenderedPageBreak/>
        <w:t xml:space="preserve">autonomy. </w:t>
      </w:r>
      <w:r w:rsidR="00EE5B68" w:rsidRPr="00012C3F">
        <w:rPr>
          <w:rFonts w:eastAsia="Calibri" w:cs="ClassicalGaramondBT-Roman"/>
          <w:sz w:val="20"/>
          <w:szCs w:val="20"/>
          <w:lang w:val="en-US" w:eastAsia="en-US" w:bidi="en-US"/>
        </w:rPr>
        <w:t>Health care</w:t>
      </w:r>
      <w:r w:rsidRPr="00012C3F">
        <w:rPr>
          <w:rFonts w:eastAsia="Calibri" w:cs="ClassicalGaramondBT-Roman"/>
          <w:sz w:val="20"/>
          <w:szCs w:val="20"/>
          <w:lang w:val="en-US" w:eastAsia="en-US" w:bidi="en-US"/>
        </w:rPr>
        <w:t xml:space="preserve"> providers are essential agents to ensure that adequate information is provided, so that the way in which the information is presented is very important, because both the health care personnel and the patient herself may have preconceived ideas about the treatment, added to the fact that</w:t>
      </w:r>
      <w:r w:rsidR="002F4CB5" w:rsidRPr="00012C3F">
        <w:rPr>
          <w:rFonts w:eastAsia="Calibri" w:cs="ClassicalGaramondBT-Roman"/>
          <w:sz w:val="20"/>
          <w:szCs w:val="20"/>
          <w:lang w:val="en-US" w:eastAsia="en-US" w:bidi="en-US"/>
        </w:rPr>
        <w:t xml:space="preserve"> people</w:t>
      </w:r>
      <w:r w:rsidRPr="00012C3F">
        <w:rPr>
          <w:rFonts w:eastAsia="Calibri" w:cs="ClassicalGaramondBT-Roman"/>
          <w:sz w:val="20"/>
          <w:szCs w:val="20"/>
          <w:lang w:val="en-US" w:eastAsia="en-US" w:bidi="en-US"/>
        </w:rPr>
        <w:t xml:space="preserve"> frequently have </w:t>
      </w:r>
      <w:r w:rsidR="002F4CB5" w:rsidRPr="00012C3F">
        <w:rPr>
          <w:rFonts w:eastAsia="Calibri" w:cs="ClassicalGaramondBT-Roman"/>
          <w:sz w:val="20"/>
          <w:szCs w:val="20"/>
          <w:lang w:val="en-US" w:eastAsia="en-US" w:bidi="en-US"/>
        </w:rPr>
        <w:t>difficulty</w:t>
      </w:r>
      <w:r w:rsidRPr="00012C3F">
        <w:rPr>
          <w:rFonts w:eastAsia="Calibri" w:cs="ClassicalGaramondBT-Roman"/>
          <w:sz w:val="20"/>
          <w:szCs w:val="20"/>
          <w:lang w:val="en-US" w:eastAsia="en-US" w:bidi="en-US"/>
        </w:rPr>
        <w:t xml:space="preserve"> communicating ideas.</w:t>
      </w:r>
      <w:r w:rsidR="00E17AF2" w:rsidRPr="00012C3F">
        <w:rPr>
          <w:rStyle w:val="Refdenotaalpie"/>
          <w:rFonts w:eastAsia="MS Mincho"/>
          <w:bCs/>
          <w:sz w:val="20"/>
          <w:szCs w:val="20"/>
          <w:lang w:val="en-US" w:eastAsia="en-US" w:bidi="en-US"/>
        </w:rPr>
        <w:footnoteReference w:id="245"/>
      </w:r>
    </w:p>
    <w:p w14:paraId="3D271E70" w14:textId="77777777" w:rsidR="00E17AF2" w:rsidRPr="00012C3F" w:rsidRDefault="00E17AF2" w:rsidP="00E17AF2">
      <w:pPr>
        <w:tabs>
          <w:tab w:val="left" w:pos="567"/>
        </w:tabs>
        <w:spacing w:line="240" w:lineRule="auto"/>
        <w:rPr>
          <w:rFonts w:eastAsia="MS Mincho"/>
          <w:sz w:val="20"/>
          <w:szCs w:val="20"/>
          <w:lang w:val="en-US" w:eastAsia="en-US" w:bidi="en-US"/>
        </w:rPr>
      </w:pPr>
    </w:p>
    <w:p w14:paraId="20C78515" w14:textId="77777777" w:rsidR="00E17AF2" w:rsidRPr="00012C3F" w:rsidRDefault="00C36B12" w:rsidP="00EE5B68">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bCs/>
          <w:sz w:val="20"/>
          <w:szCs w:val="20"/>
          <w:lang w:val="en-US" w:eastAsia="en-US" w:bidi="en-US"/>
        </w:rPr>
        <w:t>In this regard</w:t>
      </w:r>
      <w:r w:rsidR="00E17AF2" w:rsidRPr="00012C3F">
        <w:rPr>
          <w:rFonts w:eastAsia="MS Mincho"/>
          <w:bCs/>
          <w:sz w:val="20"/>
          <w:szCs w:val="20"/>
          <w:lang w:val="en-US" w:eastAsia="en-US" w:bidi="en-US"/>
        </w:rPr>
        <w:t xml:space="preserve">, </w:t>
      </w:r>
      <w:r w:rsidR="00EE5B68" w:rsidRPr="00012C3F">
        <w:rPr>
          <w:rFonts w:cs="Arial"/>
          <w:sz w:val="20"/>
          <w:szCs w:val="20"/>
          <w:lang w:val="en-US"/>
        </w:rPr>
        <w:t>in order to ensure that the information is fully understood, the health care p</w:t>
      </w:r>
      <w:r w:rsidR="002F4CB5" w:rsidRPr="00012C3F">
        <w:rPr>
          <w:rFonts w:cs="Arial"/>
          <w:sz w:val="20"/>
          <w:szCs w:val="20"/>
          <w:lang w:val="en-US"/>
        </w:rPr>
        <w:t xml:space="preserve">roviders </w:t>
      </w:r>
      <w:r w:rsidR="00EE5B68" w:rsidRPr="00012C3F">
        <w:rPr>
          <w:rFonts w:cs="Arial"/>
          <w:sz w:val="20"/>
          <w:szCs w:val="20"/>
          <w:lang w:val="en-US"/>
        </w:rPr>
        <w:t xml:space="preserve">must take into account the particularities and needs of </w:t>
      </w:r>
      <w:r w:rsidR="0053644E" w:rsidRPr="00012C3F">
        <w:rPr>
          <w:rFonts w:cs="Arial"/>
          <w:sz w:val="20"/>
          <w:szCs w:val="20"/>
          <w:lang w:val="en-US"/>
        </w:rPr>
        <w:t xml:space="preserve">the </w:t>
      </w:r>
      <w:r w:rsidR="00EE5B68" w:rsidRPr="00012C3F">
        <w:rPr>
          <w:rFonts w:cs="Arial"/>
          <w:sz w:val="20"/>
          <w:szCs w:val="20"/>
          <w:lang w:val="en-US"/>
        </w:rPr>
        <w:t>patient,</w:t>
      </w:r>
      <w:r w:rsidR="0053644E" w:rsidRPr="00012C3F">
        <w:rPr>
          <w:rStyle w:val="Refdenotaalpie"/>
          <w:rFonts w:eastAsia="MS Mincho"/>
          <w:bCs/>
          <w:sz w:val="20"/>
          <w:szCs w:val="20"/>
          <w:lang w:val="en-US" w:eastAsia="en-US" w:bidi="en-US"/>
        </w:rPr>
        <w:footnoteReference w:id="246"/>
      </w:r>
      <w:r w:rsidR="00EE5B68" w:rsidRPr="00012C3F">
        <w:rPr>
          <w:rFonts w:cs="Arial"/>
          <w:sz w:val="20"/>
          <w:szCs w:val="20"/>
          <w:lang w:val="en-US"/>
        </w:rPr>
        <w:t xml:space="preserve"> such as their culture, religion, lifestyle, and level of education. This forms part of the obligation to provide culturally acceptable health care. </w:t>
      </w:r>
      <w:r w:rsidR="0053644E" w:rsidRPr="00012C3F">
        <w:rPr>
          <w:rFonts w:cs="Arial"/>
          <w:sz w:val="20"/>
          <w:szCs w:val="20"/>
          <w:lang w:val="en-US"/>
        </w:rPr>
        <w:t xml:space="preserve">The Court underlines that, since the </w:t>
      </w:r>
      <w:r w:rsidR="0053644E" w:rsidRPr="00012C3F">
        <w:rPr>
          <w:rFonts w:eastAsia="MS Mincho"/>
          <w:bCs/>
          <w:sz w:val="20"/>
          <w:szCs w:val="20"/>
          <w:lang w:val="en-US" w:eastAsia="en-US" w:bidi="en-US"/>
        </w:rPr>
        <w:t>Declaration of Helsinki the need was established</w:t>
      </w:r>
      <w:r w:rsidR="005B4D8A" w:rsidRPr="00012C3F">
        <w:rPr>
          <w:rFonts w:eastAsia="MS Mincho"/>
          <w:bCs/>
          <w:sz w:val="20"/>
          <w:szCs w:val="20"/>
          <w:lang w:val="en-US" w:eastAsia="en-US" w:bidi="en-US"/>
        </w:rPr>
        <w:t xml:space="preserve"> that</w:t>
      </w:r>
      <w:r w:rsidR="0053644E" w:rsidRPr="00012C3F">
        <w:rPr>
          <w:rFonts w:eastAsia="MS Mincho"/>
          <w:bCs/>
          <w:sz w:val="20"/>
          <w:szCs w:val="20"/>
          <w:lang w:val="en-US" w:eastAsia="en-US" w:bidi="en-US"/>
        </w:rPr>
        <w:t xml:space="preserve"> “</w:t>
      </w:r>
      <w:r w:rsidR="005B4D8A" w:rsidRPr="00012C3F">
        <w:rPr>
          <w:rFonts w:eastAsia="MS Mincho"/>
          <w:bCs/>
          <w:sz w:val="20"/>
          <w:szCs w:val="20"/>
          <w:lang w:val="en-US" w:eastAsia="en-US" w:bidi="en-US"/>
        </w:rPr>
        <w:t>[</w:t>
      </w:r>
      <w:r w:rsidR="0053644E" w:rsidRPr="00012C3F">
        <w:rPr>
          <w:rFonts w:eastAsia="MS Mincho"/>
          <w:bCs/>
          <w:sz w:val="20"/>
          <w:szCs w:val="20"/>
          <w:lang w:val="en-US" w:eastAsia="en-US" w:bidi="en-US"/>
        </w:rPr>
        <w:t>s</w:t>
      </w:r>
      <w:r w:rsidR="005B4D8A" w:rsidRPr="00012C3F">
        <w:rPr>
          <w:rFonts w:eastAsia="MS Mincho"/>
          <w:bCs/>
          <w:sz w:val="20"/>
          <w:szCs w:val="20"/>
          <w:lang w:val="en-US" w:eastAsia="en-US" w:bidi="en-US"/>
        </w:rPr>
        <w:t>]</w:t>
      </w:r>
      <w:r w:rsidR="0053644E" w:rsidRPr="00012C3F">
        <w:rPr>
          <w:rFonts w:eastAsia="MS Mincho"/>
          <w:bCs/>
          <w:sz w:val="20"/>
          <w:szCs w:val="20"/>
          <w:lang w:val="en-US" w:eastAsia="en-US" w:bidi="en-US"/>
        </w:rPr>
        <w:t>pecial attention</w:t>
      </w:r>
      <w:r w:rsidR="005B4D8A" w:rsidRPr="00012C3F">
        <w:rPr>
          <w:rFonts w:eastAsia="MS Mincho"/>
          <w:bCs/>
          <w:sz w:val="20"/>
          <w:szCs w:val="20"/>
          <w:lang w:val="en-US" w:eastAsia="en-US" w:bidi="en-US"/>
        </w:rPr>
        <w:t xml:space="preserve"> should be given</w:t>
      </w:r>
      <w:r w:rsidR="0053644E" w:rsidRPr="00012C3F">
        <w:rPr>
          <w:rFonts w:eastAsia="MS Mincho"/>
          <w:bCs/>
          <w:sz w:val="20"/>
          <w:szCs w:val="20"/>
          <w:lang w:val="en-US" w:eastAsia="en-US" w:bidi="en-US"/>
        </w:rPr>
        <w:t xml:space="preserve"> to the specific </w:t>
      </w:r>
      <w:r w:rsidR="005B4D8A" w:rsidRPr="00012C3F">
        <w:rPr>
          <w:rFonts w:eastAsia="MS Mincho"/>
          <w:bCs/>
          <w:sz w:val="20"/>
          <w:szCs w:val="20"/>
          <w:lang w:val="en-US" w:eastAsia="en-US" w:bidi="en-US"/>
        </w:rPr>
        <w:t xml:space="preserve">information </w:t>
      </w:r>
      <w:r w:rsidR="0053644E" w:rsidRPr="00012C3F">
        <w:rPr>
          <w:rFonts w:eastAsia="MS Mincho"/>
          <w:bCs/>
          <w:sz w:val="20"/>
          <w:szCs w:val="20"/>
          <w:lang w:val="en-US" w:eastAsia="en-US" w:bidi="en-US"/>
        </w:rPr>
        <w:t>needs of in</w:t>
      </w:r>
      <w:r w:rsidR="005B4D8A" w:rsidRPr="00012C3F">
        <w:rPr>
          <w:rFonts w:eastAsia="MS Mincho"/>
          <w:bCs/>
          <w:sz w:val="20"/>
          <w:szCs w:val="20"/>
          <w:lang w:val="en-US" w:eastAsia="en-US" w:bidi="en-US"/>
        </w:rPr>
        <w:t xml:space="preserve">dividual </w:t>
      </w:r>
      <w:r w:rsidR="0053644E" w:rsidRPr="00012C3F">
        <w:rPr>
          <w:rFonts w:eastAsia="MS Mincho"/>
          <w:bCs/>
          <w:sz w:val="20"/>
          <w:szCs w:val="20"/>
          <w:lang w:val="en-US" w:eastAsia="en-US" w:bidi="en-US"/>
        </w:rPr>
        <w:t xml:space="preserve">potential </w:t>
      </w:r>
      <w:r w:rsidR="005B4D8A" w:rsidRPr="00012C3F">
        <w:rPr>
          <w:rFonts w:eastAsia="MS Mincho"/>
          <w:bCs/>
          <w:sz w:val="20"/>
          <w:szCs w:val="20"/>
          <w:lang w:val="en-US" w:eastAsia="en-US" w:bidi="en-US"/>
        </w:rPr>
        <w:t xml:space="preserve">subjects as well as to </w:t>
      </w:r>
      <w:r w:rsidR="0053644E" w:rsidRPr="00012C3F">
        <w:rPr>
          <w:rFonts w:eastAsia="MS Mincho"/>
          <w:bCs/>
          <w:sz w:val="20"/>
          <w:szCs w:val="20"/>
          <w:lang w:val="en-US" w:eastAsia="en-US" w:bidi="en-US"/>
        </w:rPr>
        <w:t>the methods used to deliver the information.”</w:t>
      </w:r>
      <w:r w:rsidR="0053644E" w:rsidRPr="00012C3F">
        <w:rPr>
          <w:rStyle w:val="Refdenotaalpie"/>
          <w:rFonts w:eastAsia="MS Mincho" w:cs="Arial"/>
          <w:sz w:val="20"/>
          <w:szCs w:val="20"/>
          <w:lang w:val="en-US" w:eastAsia="en-US" w:bidi="en-US"/>
        </w:rPr>
        <w:footnoteReference w:id="247"/>
      </w:r>
      <w:r w:rsidR="0053644E" w:rsidRPr="00012C3F">
        <w:rPr>
          <w:rFonts w:eastAsia="MS Mincho"/>
          <w:bCs/>
          <w:sz w:val="20"/>
          <w:szCs w:val="20"/>
          <w:lang w:val="en-US" w:eastAsia="en-US" w:bidi="en-US"/>
        </w:rPr>
        <w:t xml:space="preserve"> Similarly, the </w:t>
      </w:r>
      <w:r w:rsidR="0053644E" w:rsidRPr="00012C3F">
        <w:rPr>
          <w:rFonts w:eastAsia="MS Mincho"/>
          <w:sz w:val="20"/>
          <w:szCs w:val="20"/>
          <w:lang w:val="en-US"/>
        </w:rPr>
        <w:t>Declaration of Lisbon</w:t>
      </w:r>
      <w:r w:rsidR="0053644E" w:rsidRPr="00012C3F">
        <w:rPr>
          <w:rFonts w:eastAsia="MS Mincho"/>
          <w:bCs/>
          <w:sz w:val="20"/>
          <w:szCs w:val="20"/>
          <w:lang w:val="en-US" w:eastAsia="en-US" w:bidi="en-US"/>
        </w:rPr>
        <w:t xml:space="preserve"> indicates that the information must be delivered “in a way appropriate to the </w:t>
      </w:r>
      <w:r w:rsidR="005B4D8A" w:rsidRPr="00012C3F">
        <w:rPr>
          <w:rFonts w:eastAsia="MS Mincho"/>
          <w:bCs/>
          <w:sz w:val="20"/>
          <w:szCs w:val="20"/>
          <w:lang w:val="en-US" w:eastAsia="en-US" w:bidi="en-US"/>
        </w:rPr>
        <w:t>patient’s</w:t>
      </w:r>
      <w:r w:rsidR="0053644E" w:rsidRPr="00012C3F">
        <w:rPr>
          <w:rFonts w:eastAsia="MS Mincho"/>
          <w:bCs/>
          <w:sz w:val="20"/>
          <w:szCs w:val="20"/>
          <w:lang w:val="en-US" w:eastAsia="en-US" w:bidi="en-US"/>
        </w:rPr>
        <w:t xml:space="preserve"> culture</w:t>
      </w:r>
      <w:r w:rsidR="0053644E" w:rsidRPr="00012C3F">
        <w:rPr>
          <w:rFonts w:eastAsia="MS Mincho"/>
          <w:bCs/>
          <w:sz w:val="22"/>
          <w:szCs w:val="22"/>
          <w:lang w:val="en-US" w:eastAsia="en-US" w:bidi="en-US"/>
        </w:rPr>
        <w:t xml:space="preserve"> </w:t>
      </w:r>
      <w:r w:rsidR="0053644E" w:rsidRPr="00012C3F">
        <w:rPr>
          <w:rFonts w:eastAsia="MS Mincho"/>
          <w:bCs/>
          <w:sz w:val="20"/>
          <w:szCs w:val="20"/>
          <w:lang w:val="en-US" w:eastAsia="en-US" w:bidi="en-US"/>
        </w:rPr>
        <w:t>and in such a way that the patient can understand.”</w:t>
      </w:r>
      <w:r w:rsidR="0053644E" w:rsidRPr="00012C3F">
        <w:rPr>
          <w:rStyle w:val="Refdenotaalpie"/>
          <w:rFonts w:eastAsia="MS Mincho" w:cs="Arial"/>
          <w:sz w:val="20"/>
          <w:szCs w:val="20"/>
          <w:shd w:val="clear" w:color="auto" w:fill="FFFFFF"/>
          <w:lang w:val="en-US" w:eastAsia="en-US" w:bidi="en-US"/>
        </w:rPr>
        <w:footnoteReference w:id="248"/>
      </w:r>
      <w:r w:rsidR="0053644E" w:rsidRPr="00012C3F">
        <w:rPr>
          <w:rFonts w:eastAsia="MS Mincho"/>
          <w:bCs/>
          <w:sz w:val="20"/>
          <w:szCs w:val="20"/>
          <w:lang w:val="en-US" w:eastAsia="en-US" w:bidi="en-US"/>
        </w:rPr>
        <w:t xml:space="preserve"> In this regard, the information </w:t>
      </w:r>
      <w:r w:rsidR="005B4D8A" w:rsidRPr="00012C3F">
        <w:rPr>
          <w:rFonts w:eastAsia="MS Mincho"/>
          <w:bCs/>
          <w:sz w:val="20"/>
          <w:szCs w:val="20"/>
          <w:lang w:val="en-US" w:eastAsia="en-US" w:bidi="en-US"/>
        </w:rPr>
        <w:t>should include</w:t>
      </w:r>
      <w:r w:rsidR="0053644E" w:rsidRPr="00012C3F">
        <w:rPr>
          <w:rFonts w:eastAsia="MS Mincho"/>
          <w:bCs/>
          <w:sz w:val="20"/>
          <w:szCs w:val="20"/>
          <w:lang w:val="en-US" w:eastAsia="en-US" w:bidi="en-US"/>
        </w:rPr>
        <w:t xml:space="preserve"> not only what the </w:t>
      </w:r>
      <w:r w:rsidR="005B4D8A" w:rsidRPr="00012C3F">
        <w:rPr>
          <w:rFonts w:eastAsia="MS Mincho"/>
          <w:bCs/>
          <w:sz w:val="20"/>
          <w:szCs w:val="20"/>
          <w:lang w:val="en-US" w:eastAsia="en-US" w:bidi="en-US"/>
        </w:rPr>
        <w:t>physician</w:t>
      </w:r>
      <w:r w:rsidR="0053644E" w:rsidRPr="00012C3F">
        <w:rPr>
          <w:rFonts w:eastAsia="MS Mincho"/>
          <w:bCs/>
          <w:sz w:val="20"/>
          <w:szCs w:val="20"/>
          <w:lang w:val="en-US" w:eastAsia="en-US" w:bidi="en-US"/>
        </w:rPr>
        <w:t xml:space="preserve"> </w:t>
      </w:r>
      <w:r w:rsidR="005B4D8A" w:rsidRPr="00012C3F">
        <w:rPr>
          <w:rFonts w:eastAsia="MS Mincho"/>
          <w:bCs/>
          <w:sz w:val="20"/>
          <w:szCs w:val="20"/>
          <w:lang w:val="en-US" w:eastAsia="en-US" w:bidi="en-US"/>
        </w:rPr>
        <w:t>may</w:t>
      </w:r>
      <w:r w:rsidR="0053644E" w:rsidRPr="00012C3F">
        <w:rPr>
          <w:rFonts w:eastAsia="MS Mincho"/>
          <w:bCs/>
          <w:sz w:val="20"/>
          <w:szCs w:val="20"/>
          <w:lang w:val="en-US" w:eastAsia="en-US" w:bidi="en-US"/>
        </w:rPr>
        <w:t xml:space="preserve"> consider reasonable and necessary to share, but should also focus on what is important for the patient. In other words, the information provided must have both an objective and a subjective element. Taking into account the particularities of the person is especially important when patients belong to vulnerable groups with specific needs for protection owing to </w:t>
      </w:r>
      <w:r w:rsidR="005B4D8A" w:rsidRPr="00012C3F">
        <w:rPr>
          <w:rFonts w:eastAsia="MS Mincho"/>
          <w:bCs/>
          <w:sz w:val="20"/>
          <w:szCs w:val="20"/>
          <w:lang w:val="en-US" w:eastAsia="en-US" w:bidi="en-US"/>
        </w:rPr>
        <w:t>factors</w:t>
      </w:r>
      <w:r w:rsidR="0053644E" w:rsidRPr="00012C3F">
        <w:rPr>
          <w:rFonts w:eastAsia="MS Mincho"/>
          <w:bCs/>
          <w:sz w:val="20"/>
          <w:szCs w:val="20"/>
          <w:lang w:val="en-US" w:eastAsia="en-US" w:bidi="en-US"/>
        </w:rPr>
        <w:t xml:space="preserve"> of exclusion, marginalization or discrimination, that are relevant for understanding the information. </w:t>
      </w:r>
      <w:r w:rsidR="00EE5B68" w:rsidRPr="00012C3F">
        <w:rPr>
          <w:rFonts w:cs="Arial"/>
          <w:sz w:val="20"/>
          <w:szCs w:val="20"/>
          <w:lang w:val="en-US"/>
        </w:rPr>
        <w:t>Furthermore, the Court consider</w:t>
      </w:r>
      <w:r w:rsidR="0053644E" w:rsidRPr="00012C3F">
        <w:rPr>
          <w:rFonts w:cs="Arial"/>
          <w:sz w:val="20"/>
          <w:szCs w:val="20"/>
          <w:lang w:val="en-US"/>
        </w:rPr>
        <w:t>s</w:t>
      </w:r>
      <w:r w:rsidR="00EE5B68" w:rsidRPr="00012C3F">
        <w:rPr>
          <w:rFonts w:cs="Arial"/>
          <w:sz w:val="20"/>
          <w:szCs w:val="20"/>
          <w:lang w:val="en-US"/>
        </w:rPr>
        <w:t xml:space="preserve"> that, to ensure that the information is fully understood and an informed decision can be taken, it is necessary to ensure a reasonable period of reflection, which could vary according to the conditions </w:t>
      </w:r>
      <w:r w:rsidR="0053644E" w:rsidRPr="00012C3F">
        <w:rPr>
          <w:rFonts w:cs="Arial"/>
          <w:sz w:val="20"/>
          <w:szCs w:val="20"/>
          <w:lang w:val="en-US"/>
        </w:rPr>
        <w:t>of</w:t>
      </w:r>
      <w:r w:rsidR="00EE5B68" w:rsidRPr="00012C3F">
        <w:rPr>
          <w:rFonts w:cs="Arial"/>
          <w:sz w:val="20"/>
          <w:szCs w:val="20"/>
          <w:lang w:val="en-US"/>
        </w:rPr>
        <w:t xml:space="preserve"> each case and the circumstances of each person. This constitutes a guarantee that is especially effective to avoid non-consensual or involuntary sterilizations</w:t>
      </w:r>
      <w:r w:rsidR="0053644E" w:rsidRPr="00012C3F">
        <w:rPr>
          <w:rFonts w:eastAsia="MS Mincho"/>
          <w:sz w:val="20"/>
          <w:szCs w:val="20"/>
          <w:lang w:val="en-US" w:eastAsia="en-US" w:bidi="en-US"/>
        </w:rPr>
        <w:t>.</w:t>
      </w:r>
      <w:r w:rsidR="00E17AF2" w:rsidRPr="00012C3F">
        <w:rPr>
          <w:rStyle w:val="Refdenotaalpie"/>
          <w:rFonts w:eastAsia="MS Mincho"/>
          <w:bCs/>
          <w:sz w:val="20"/>
          <w:szCs w:val="20"/>
          <w:lang w:val="en-US" w:eastAsia="en-US" w:bidi="en-US"/>
        </w:rPr>
        <w:footnoteReference w:id="249"/>
      </w:r>
    </w:p>
    <w:p w14:paraId="21493AAA" w14:textId="77777777" w:rsidR="00E17AF2" w:rsidRPr="00012C3F" w:rsidRDefault="00E17AF2" w:rsidP="00E17AF2">
      <w:pPr>
        <w:widowControl/>
        <w:tabs>
          <w:tab w:val="left" w:pos="720"/>
        </w:tabs>
        <w:adjustRightInd/>
        <w:spacing w:line="240" w:lineRule="auto"/>
        <w:ind w:right="-90"/>
        <w:textAlignment w:val="auto"/>
        <w:rPr>
          <w:sz w:val="20"/>
          <w:szCs w:val="20"/>
          <w:lang w:val="en-US"/>
        </w:rPr>
      </w:pPr>
    </w:p>
    <w:p w14:paraId="115C62E7" w14:textId="77777777" w:rsidR="00E17AF2" w:rsidRPr="00012C3F" w:rsidRDefault="0053644E" w:rsidP="00897847">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Calibri" w:cs="ClassicalGaramondBT-Roman"/>
          <w:sz w:val="20"/>
          <w:szCs w:val="20"/>
          <w:lang w:val="en-US" w:eastAsia="en-US" w:bidi="en-US"/>
        </w:rPr>
        <w:t xml:space="preserve">The Court understands that the elements indicated in the preceding paragraph are relevant in the process to obtain </w:t>
      </w:r>
      <w:r w:rsidR="00AC0004" w:rsidRPr="00012C3F">
        <w:rPr>
          <w:rFonts w:eastAsia="MS Mincho"/>
          <w:bCs/>
          <w:sz w:val="20"/>
          <w:szCs w:val="20"/>
          <w:lang w:val="en-US" w:eastAsia="en-US" w:bidi="en-US"/>
        </w:rPr>
        <w:t>informed consent</w:t>
      </w:r>
      <w:r w:rsidR="00E17AF2" w:rsidRPr="00012C3F">
        <w:rPr>
          <w:rFonts w:eastAsia="MS Mincho"/>
          <w:bCs/>
          <w:sz w:val="20"/>
          <w:szCs w:val="20"/>
          <w:lang w:val="en-US" w:eastAsia="en-US" w:bidi="en-US"/>
        </w:rPr>
        <w:t xml:space="preserve"> </w:t>
      </w:r>
      <w:r w:rsidRPr="00012C3F">
        <w:rPr>
          <w:rFonts w:eastAsia="MS Mincho"/>
          <w:bCs/>
          <w:sz w:val="20"/>
          <w:szCs w:val="20"/>
          <w:lang w:val="en-US" w:eastAsia="en-US" w:bidi="en-US"/>
        </w:rPr>
        <w:t xml:space="preserve">for female sterilization, owing to the discrimination and negative or prejudicial stereotypes that women face in the area of health care </w:t>
      </w:r>
      <w:r w:rsidR="00AF6914" w:rsidRPr="00012C3F">
        <w:rPr>
          <w:rFonts w:eastAsia="MS Mincho"/>
          <w:bCs/>
          <w:sz w:val="20"/>
          <w:szCs w:val="20"/>
          <w:lang w:val="en-US" w:eastAsia="en-US" w:bidi="en-US"/>
        </w:rPr>
        <w:t>(</w:t>
      </w:r>
      <w:r w:rsidR="00AF6914" w:rsidRPr="00012C3F">
        <w:rPr>
          <w:rFonts w:eastAsia="MS Mincho"/>
          <w:bCs/>
          <w:i/>
          <w:sz w:val="20"/>
          <w:szCs w:val="20"/>
          <w:lang w:val="en-US" w:eastAsia="en-US" w:bidi="en-US"/>
        </w:rPr>
        <w:t>supra</w:t>
      </w:r>
      <w:r w:rsidR="00AF6914" w:rsidRPr="00012C3F">
        <w:rPr>
          <w:rFonts w:eastAsia="MS Mincho"/>
          <w:bCs/>
          <w:sz w:val="20"/>
          <w:szCs w:val="20"/>
          <w:lang w:val="en-US" w:eastAsia="en-US" w:bidi="en-US"/>
        </w:rPr>
        <w:t xml:space="preserve"> </w:t>
      </w:r>
      <w:r w:rsidR="00370DD4" w:rsidRPr="00012C3F">
        <w:rPr>
          <w:rFonts w:eastAsia="MS Mincho"/>
          <w:bCs/>
          <w:sz w:val="20"/>
          <w:szCs w:val="20"/>
          <w:lang w:val="en-US" w:eastAsia="en-US" w:bidi="en-US"/>
        </w:rPr>
        <w:t>para.</w:t>
      </w:r>
      <w:r w:rsidR="00AF6914" w:rsidRPr="00012C3F">
        <w:rPr>
          <w:rFonts w:eastAsia="MS Mincho"/>
          <w:bCs/>
          <w:sz w:val="20"/>
          <w:szCs w:val="20"/>
          <w:lang w:val="en-US" w:eastAsia="en-US" w:bidi="en-US"/>
        </w:rPr>
        <w:t xml:space="preserve"> 187)</w:t>
      </w:r>
      <w:r w:rsidR="00E17AF2" w:rsidRPr="00012C3F">
        <w:rPr>
          <w:rFonts w:eastAsia="MS Mincho"/>
          <w:bCs/>
          <w:sz w:val="20"/>
          <w:szCs w:val="20"/>
          <w:lang w:val="en-US" w:eastAsia="en-US" w:bidi="en-US"/>
        </w:rPr>
        <w:t xml:space="preserve">. </w:t>
      </w:r>
      <w:r w:rsidR="00897847" w:rsidRPr="00012C3F">
        <w:rPr>
          <w:rFonts w:eastAsia="MS Mincho"/>
          <w:bCs/>
          <w:sz w:val="20"/>
          <w:szCs w:val="20"/>
          <w:lang w:val="en-US" w:eastAsia="en-US" w:bidi="en-US"/>
        </w:rPr>
        <w:t>Moreover, i</w:t>
      </w:r>
      <w:r w:rsidRPr="00012C3F">
        <w:rPr>
          <w:rFonts w:eastAsia="MS Mincho"/>
          <w:bCs/>
          <w:sz w:val="20"/>
          <w:szCs w:val="20"/>
          <w:lang w:val="en-US" w:eastAsia="en-US" w:bidi="en-US"/>
        </w:rPr>
        <w:t xml:space="preserve">n </w:t>
      </w:r>
      <w:r w:rsidR="00897847" w:rsidRPr="00012C3F">
        <w:rPr>
          <w:rFonts w:eastAsia="MS Mincho"/>
          <w:bCs/>
          <w:sz w:val="20"/>
          <w:szCs w:val="20"/>
          <w:lang w:val="en-US" w:eastAsia="en-US" w:bidi="en-US"/>
        </w:rPr>
        <w:t xml:space="preserve">these cases, the obligation to provide information is increased owing to the nature and entity of the procedure. </w:t>
      </w:r>
      <w:r w:rsidR="00897847" w:rsidRPr="00012C3F">
        <w:rPr>
          <w:rFonts w:cs="Arial"/>
          <w:sz w:val="20"/>
          <w:szCs w:val="20"/>
          <w:lang w:val="en-US"/>
        </w:rPr>
        <w:t xml:space="preserve">The special considerations that health care personnel should take into account when obtaining informed consent to sterilization, and the necessary information that such personnel should provide so that the patient may take an informed decision, should include, in addition to the above, the information that sterilization constitutes a permanent method and, since the patient may subsequently regret her sterility, the provision of information on the existence of </w:t>
      </w:r>
      <w:r w:rsidR="00897847" w:rsidRPr="00012C3F">
        <w:rPr>
          <w:rFonts w:cs="Arial"/>
          <w:sz w:val="20"/>
          <w:szCs w:val="20"/>
          <w:lang w:val="en-US"/>
        </w:rPr>
        <w:lastRenderedPageBreak/>
        <w:t>alternative, less in</w:t>
      </w:r>
      <w:r w:rsidR="00535B64" w:rsidRPr="00012C3F">
        <w:rPr>
          <w:rFonts w:cs="Arial"/>
          <w:sz w:val="20"/>
          <w:szCs w:val="20"/>
          <w:lang w:val="en-US"/>
        </w:rPr>
        <w:t>va</w:t>
      </w:r>
      <w:r w:rsidR="00897847" w:rsidRPr="00012C3F">
        <w:rPr>
          <w:rFonts w:cs="Arial"/>
          <w:sz w:val="20"/>
          <w:szCs w:val="20"/>
          <w:lang w:val="en-US"/>
        </w:rPr>
        <w:t>sive, methods of con</w:t>
      </w:r>
      <w:r w:rsidR="00535B64" w:rsidRPr="00012C3F">
        <w:rPr>
          <w:rFonts w:cs="Arial"/>
          <w:sz w:val="20"/>
          <w:szCs w:val="20"/>
          <w:lang w:val="en-US"/>
        </w:rPr>
        <w:t>tra</w:t>
      </w:r>
      <w:r w:rsidR="00897847" w:rsidRPr="00012C3F">
        <w:rPr>
          <w:rFonts w:cs="Arial"/>
          <w:sz w:val="20"/>
          <w:szCs w:val="20"/>
          <w:lang w:val="en-US"/>
        </w:rPr>
        <w:t>ception, even male contraceptive methods, because these could be an appropriate alternative. Furthermore, it is desirable to take into consideration, and provide information on the fact that, since it involves a surgical procedure, sterilization could have risks or side effects</w:t>
      </w:r>
      <w:r w:rsidR="00535B64" w:rsidRPr="00012C3F">
        <w:rPr>
          <w:rFonts w:cs="Arial"/>
          <w:sz w:val="20"/>
          <w:szCs w:val="20"/>
          <w:lang w:val="en-US"/>
        </w:rPr>
        <w:t>,</w:t>
      </w:r>
      <w:r w:rsidR="00897847" w:rsidRPr="00012C3F">
        <w:rPr>
          <w:rFonts w:cs="Arial"/>
          <w:sz w:val="20"/>
          <w:szCs w:val="20"/>
          <w:lang w:val="en-US"/>
        </w:rPr>
        <w:t xml:space="preserve"> and that there is a measurable failure rate in any method of sterilization, but also that there could be consequences if the treatment is rejected.</w:t>
      </w:r>
      <w:r w:rsidR="0048005A" w:rsidRPr="00012C3F">
        <w:rPr>
          <w:rStyle w:val="Refdenotaalpie"/>
          <w:rFonts w:eastAsia="Calibri"/>
          <w:sz w:val="20"/>
          <w:szCs w:val="20"/>
          <w:lang w:val="en-US" w:eastAsia="en-US" w:bidi="en-US"/>
        </w:rPr>
        <w:footnoteReference w:id="250"/>
      </w:r>
      <w:r w:rsidR="00E17AF2" w:rsidRPr="00012C3F">
        <w:rPr>
          <w:rFonts w:eastAsia="Calibri"/>
          <w:sz w:val="20"/>
          <w:szCs w:val="20"/>
          <w:lang w:val="en-US" w:eastAsia="en-US" w:bidi="en-US"/>
        </w:rPr>
        <w:t xml:space="preserve"> </w:t>
      </w:r>
      <w:r w:rsidR="00897847" w:rsidRPr="00012C3F">
        <w:rPr>
          <w:rFonts w:cs="Arial"/>
          <w:sz w:val="20"/>
          <w:szCs w:val="20"/>
          <w:lang w:val="en-US"/>
        </w:rPr>
        <w:t xml:space="preserve">However, it should be made clear that the decision corresponds to the woman alone, although it may be discussed with her partner </w:t>
      </w:r>
      <w:r w:rsidR="00902D92" w:rsidRPr="00012C3F">
        <w:rPr>
          <w:rFonts w:eastAsia="Calibri"/>
          <w:sz w:val="20"/>
          <w:szCs w:val="20"/>
          <w:lang w:val="en-US" w:eastAsia="en-US" w:bidi="en-US"/>
        </w:rPr>
        <w:t>(</w:t>
      </w:r>
      <w:r w:rsidR="00902D92" w:rsidRPr="00012C3F">
        <w:rPr>
          <w:rFonts w:eastAsia="Calibri"/>
          <w:i/>
          <w:sz w:val="20"/>
          <w:szCs w:val="20"/>
          <w:lang w:val="en-US" w:eastAsia="en-US" w:bidi="en-US"/>
        </w:rPr>
        <w:t>supra</w:t>
      </w:r>
      <w:r w:rsidR="00902D92" w:rsidRPr="00012C3F">
        <w:rPr>
          <w:rFonts w:eastAsia="Calibri"/>
          <w:sz w:val="20"/>
          <w:szCs w:val="20"/>
          <w:lang w:val="en-US" w:eastAsia="en-US" w:bidi="en-US"/>
        </w:rPr>
        <w:t xml:space="preserve"> </w:t>
      </w:r>
      <w:r w:rsidR="00370DD4" w:rsidRPr="00012C3F">
        <w:rPr>
          <w:rFonts w:eastAsia="Calibri"/>
          <w:sz w:val="20"/>
          <w:szCs w:val="20"/>
          <w:lang w:val="en-US" w:eastAsia="en-US" w:bidi="en-US"/>
        </w:rPr>
        <w:t>para.</w:t>
      </w:r>
      <w:r w:rsidR="00902D92" w:rsidRPr="00012C3F">
        <w:rPr>
          <w:rFonts w:eastAsia="Calibri"/>
          <w:sz w:val="20"/>
          <w:szCs w:val="20"/>
          <w:lang w:val="en-US" w:eastAsia="en-US" w:bidi="en-US"/>
        </w:rPr>
        <w:t xml:space="preserve"> </w:t>
      </w:r>
      <w:r w:rsidR="002878EC" w:rsidRPr="00012C3F">
        <w:rPr>
          <w:rFonts w:eastAsia="Calibri"/>
          <w:sz w:val="20"/>
          <w:szCs w:val="20"/>
          <w:lang w:val="en-US" w:eastAsia="en-US" w:bidi="en-US"/>
        </w:rPr>
        <w:t>182</w:t>
      </w:r>
      <w:r w:rsidR="00902D92" w:rsidRPr="00012C3F">
        <w:rPr>
          <w:rFonts w:eastAsia="Calibri"/>
          <w:sz w:val="20"/>
          <w:szCs w:val="20"/>
          <w:lang w:val="en-US" w:eastAsia="en-US" w:bidi="en-US"/>
        </w:rPr>
        <w:t>)</w:t>
      </w:r>
      <w:r w:rsidR="00E17AF2" w:rsidRPr="00012C3F">
        <w:rPr>
          <w:rFonts w:eastAsia="Calibri"/>
          <w:sz w:val="20"/>
          <w:szCs w:val="20"/>
          <w:lang w:val="en-US" w:eastAsia="en-US" w:bidi="en-US"/>
        </w:rPr>
        <w:t xml:space="preserve">. </w:t>
      </w:r>
      <w:r w:rsidR="00897847" w:rsidRPr="00012C3F">
        <w:rPr>
          <w:rFonts w:cs="Arial"/>
          <w:sz w:val="20"/>
          <w:szCs w:val="20"/>
          <w:lang w:val="en-US"/>
        </w:rPr>
        <w:t xml:space="preserve">Similarly, it is necessary to mention that, even though sterilization may be medically appropriate, it is </w:t>
      </w:r>
      <w:r w:rsidR="00535B64" w:rsidRPr="00012C3F">
        <w:rPr>
          <w:rFonts w:cs="Arial"/>
          <w:sz w:val="20"/>
          <w:szCs w:val="20"/>
          <w:lang w:val="en-US"/>
        </w:rPr>
        <w:t>neither an</w:t>
      </w:r>
      <w:r w:rsidR="00897847" w:rsidRPr="00012C3F">
        <w:rPr>
          <w:rFonts w:cs="Arial"/>
          <w:sz w:val="20"/>
          <w:szCs w:val="20"/>
          <w:lang w:val="en-US"/>
        </w:rPr>
        <w:t xml:space="preserve"> urgent </w:t>
      </w:r>
      <w:r w:rsidR="00535B64" w:rsidRPr="00012C3F">
        <w:rPr>
          <w:rFonts w:cs="Arial"/>
          <w:sz w:val="20"/>
          <w:szCs w:val="20"/>
          <w:lang w:val="en-US"/>
        </w:rPr>
        <w:t>n</w:t>
      </w:r>
      <w:r w:rsidR="00897847" w:rsidRPr="00012C3F">
        <w:rPr>
          <w:rFonts w:cs="Arial"/>
          <w:sz w:val="20"/>
          <w:szCs w:val="20"/>
          <w:lang w:val="en-US"/>
        </w:rPr>
        <w:t xml:space="preserve">or emergency measure </w:t>
      </w:r>
      <w:r w:rsidR="00902D92" w:rsidRPr="00012C3F">
        <w:rPr>
          <w:rFonts w:eastAsia="Calibri"/>
          <w:sz w:val="20"/>
          <w:szCs w:val="20"/>
          <w:lang w:val="en-US" w:eastAsia="en-US" w:bidi="en-US"/>
        </w:rPr>
        <w:t>(</w:t>
      </w:r>
      <w:r w:rsidR="00902D92" w:rsidRPr="00012C3F">
        <w:rPr>
          <w:rFonts w:eastAsia="Calibri"/>
          <w:i/>
          <w:sz w:val="20"/>
          <w:szCs w:val="20"/>
          <w:lang w:val="en-US" w:eastAsia="en-US" w:bidi="en-US"/>
        </w:rPr>
        <w:t>supra</w:t>
      </w:r>
      <w:r w:rsidR="00902D92" w:rsidRPr="00012C3F">
        <w:rPr>
          <w:rFonts w:eastAsia="Calibri"/>
          <w:sz w:val="20"/>
          <w:szCs w:val="20"/>
          <w:lang w:val="en-US" w:eastAsia="en-US" w:bidi="en-US"/>
        </w:rPr>
        <w:t xml:space="preserve"> </w:t>
      </w:r>
      <w:r w:rsidR="00370DD4" w:rsidRPr="00012C3F">
        <w:rPr>
          <w:rFonts w:eastAsia="Calibri"/>
          <w:sz w:val="20"/>
          <w:szCs w:val="20"/>
          <w:lang w:val="en-US" w:eastAsia="en-US" w:bidi="en-US"/>
        </w:rPr>
        <w:t>paras.</w:t>
      </w:r>
      <w:r w:rsidR="00902D92" w:rsidRPr="00012C3F">
        <w:rPr>
          <w:rFonts w:eastAsia="Calibri"/>
          <w:sz w:val="20"/>
          <w:szCs w:val="20"/>
          <w:lang w:val="en-US" w:eastAsia="en-US" w:bidi="en-US"/>
        </w:rPr>
        <w:t xml:space="preserve"> </w:t>
      </w:r>
      <w:r w:rsidR="002878EC" w:rsidRPr="00012C3F">
        <w:rPr>
          <w:rFonts w:eastAsia="Calibri"/>
          <w:sz w:val="20"/>
          <w:szCs w:val="20"/>
          <w:lang w:val="en-US" w:eastAsia="en-US" w:bidi="en-US"/>
        </w:rPr>
        <w:t>177</w:t>
      </w:r>
      <w:r w:rsidR="005E5012" w:rsidRPr="00012C3F">
        <w:rPr>
          <w:rFonts w:eastAsia="Calibri"/>
          <w:sz w:val="20"/>
          <w:szCs w:val="20"/>
          <w:lang w:val="en-US" w:eastAsia="en-US" w:bidi="en-US"/>
        </w:rPr>
        <w:t xml:space="preserve"> and </w:t>
      </w:r>
      <w:r w:rsidR="002878EC" w:rsidRPr="00012C3F">
        <w:rPr>
          <w:rFonts w:eastAsia="Calibri"/>
          <w:sz w:val="20"/>
          <w:szCs w:val="20"/>
          <w:lang w:val="en-US" w:eastAsia="en-US" w:bidi="en-US"/>
        </w:rPr>
        <w:t>178</w:t>
      </w:r>
      <w:r w:rsidR="00902D92" w:rsidRPr="00012C3F">
        <w:rPr>
          <w:rFonts w:eastAsia="Calibri"/>
          <w:sz w:val="20"/>
          <w:szCs w:val="20"/>
          <w:lang w:val="en-US" w:eastAsia="en-US" w:bidi="en-US"/>
        </w:rPr>
        <w:t>)</w:t>
      </w:r>
      <w:r w:rsidR="00E17AF2" w:rsidRPr="00012C3F">
        <w:rPr>
          <w:rFonts w:eastAsia="Calibri"/>
          <w:sz w:val="20"/>
          <w:szCs w:val="20"/>
          <w:lang w:val="en-US" w:eastAsia="en-US" w:bidi="en-US"/>
        </w:rPr>
        <w:t>.</w:t>
      </w:r>
    </w:p>
    <w:p w14:paraId="204AF4E9" w14:textId="77777777" w:rsidR="00E17AF2" w:rsidRPr="00012C3F" w:rsidRDefault="00E17AF2" w:rsidP="00E17AF2">
      <w:pPr>
        <w:tabs>
          <w:tab w:val="left" w:pos="567"/>
        </w:tabs>
        <w:spacing w:line="240" w:lineRule="auto"/>
        <w:rPr>
          <w:rFonts w:eastAsia="MS Mincho"/>
          <w:sz w:val="20"/>
          <w:szCs w:val="20"/>
          <w:lang w:val="en-US" w:eastAsia="en-US" w:bidi="en-US"/>
        </w:rPr>
      </w:pPr>
    </w:p>
    <w:p w14:paraId="76A262F0" w14:textId="77777777" w:rsidR="00E17AF2" w:rsidRPr="00012C3F" w:rsidRDefault="001254DE" w:rsidP="00897847">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Calibri"/>
          <w:sz w:val="20"/>
          <w:szCs w:val="20"/>
          <w:lang w:val="en-US" w:eastAsia="en-US" w:bidi="en-US"/>
        </w:rPr>
        <w:t>The Court</w:t>
      </w:r>
      <w:r w:rsidR="00E17AF2" w:rsidRPr="00012C3F">
        <w:rPr>
          <w:rFonts w:eastAsia="Calibri"/>
          <w:sz w:val="20"/>
          <w:szCs w:val="20"/>
          <w:lang w:val="en-US" w:eastAsia="en-US" w:bidi="en-US"/>
        </w:rPr>
        <w:t xml:space="preserve"> consider</w:t>
      </w:r>
      <w:r w:rsidR="00897847" w:rsidRPr="00012C3F">
        <w:rPr>
          <w:rFonts w:eastAsia="Calibri"/>
          <w:sz w:val="20"/>
          <w:szCs w:val="20"/>
          <w:lang w:val="en-US" w:eastAsia="en-US" w:bidi="en-US"/>
        </w:rPr>
        <w:t xml:space="preserve">s that, in general, the special considerations inherent </w:t>
      </w:r>
      <w:r w:rsidR="00BE25EC" w:rsidRPr="00012C3F">
        <w:rPr>
          <w:rFonts w:eastAsia="Calibri"/>
          <w:sz w:val="20"/>
          <w:szCs w:val="20"/>
          <w:lang w:val="en-US" w:eastAsia="en-US" w:bidi="en-US"/>
        </w:rPr>
        <w:t>in</w:t>
      </w:r>
      <w:r w:rsidR="00E17AF2" w:rsidRPr="00012C3F">
        <w:rPr>
          <w:rFonts w:eastAsia="Calibri"/>
          <w:sz w:val="20"/>
          <w:szCs w:val="20"/>
          <w:lang w:val="en-US" w:eastAsia="en-US" w:bidi="en-US"/>
        </w:rPr>
        <w:t xml:space="preserve"> </w:t>
      </w:r>
      <w:r w:rsidR="00AC0004" w:rsidRPr="00012C3F">
        <w:rPr>
          <w:rFonts w:eastAsia="Calibri"/>
          <w:sz w:val="20"/>
          <w:szCs w:val="20"/>
          <w:lang w:val="en-US" w:eastAsia="en-US" w:bidi="en-US"/>
        </w:rPr>
        <w:t>informed consent</w:t>
      </w:r>
      <w:r w:rsidR="00E17AF2" w:rsidRPr="00012C3F">
        <w:rPr>
          <w:rFonts w:eastAsia="Calibri"/>
          <w:sz w:val="20"/>
          <w:szCs w:val="20"/>
          <w:lang w:val="en-US" w:eastAsia="en-US" w:bidi="en-US"/>
        </w:rPr>
        <w:t xml:space="preserve"> </w:t>
      </w:r>
      <w:r w:rsidR="00897847" w:rsidRPr="00012C3F">
        <w:rPr>
          <w:rFonts w:eastAsia="Calibri"/>
          <w:sz w:val="20"/>
          <w:szCs w:val="20"/>
          <w:lang w:val="en-US" w:eastAsia="en-US" w:bidi="en-US"/>
        </w:rPr>
        <w:t>for sterilization and the necessary aspects that health care perso</w:t>
      </w:r>
      <w:r w:rsidR="00374C1A" w:rsidRPr="00012C3F">
        <w:rPr>
          <w:rFonts w:eastAsia="Calibri"/>
          <w:sz w:val="20"/>
          <w:szCs w:val="20"/>
          <w:lang w:val="en-US" w:eastAsia="en-US" w:bidi="en-US"/>
        </w:rPr>
        <w:t>n</w:t>
      </w:r>
      <w:r w:rsidR="00897847" w:rsidRPr="00012C3F">
        <w:rPr>
          <w:rFonts w:eastAsia="Calibri"/>
          <w:sz w:val="20"/>
          <w:szCs w:val="20"/>
          <w:lang w:val="en-US" w:eastAsia="en-US" w:bidi="en-US"/>
        </w:rPr>
        <w:t xml:space="preserve">nel should </w:t>
      </w:r>
      <w:r w:rsidR="00374C1A" w:rsidRPr="00012C3F">
        <w:rPr>
          <w:rFonts w:eastAsia="Calibri"/>
          <w:sz w:val="20"/>
          <w:szCs w:val="20"/>
          <w:lang w:val="en-US" w:eastAsia="en-US" w:bidi="en-US"/>
        </w:rPr>
        <w:t xml:space="preserve">address to enable the woman to take a prior, free, full and informed decision accord with the standards established by </w:t>
      </w:r>
      <w:r w:rsidR="007B0C04" w:rsidRPr="00012C3F">
        <w:rPr>
          <w:rFonts w:eastAsia="Calibri"/>
          <w:sz w:val="20"/>
          <w:szCs w:val="20"/>
          <w:lang w:val="en-US" w:eastAsia="en-US" w:bidi="en-US"/>
        </w:rPr>
        <w:t>WHO</w:t>
      </w:r>
      <w:r w:rsidR="00E17AF2" w:rsidRPr="00012C3F">
        <w:rPr>
          <w:rFonts w:eastAsia="Calibri"/>
          <w:sz w:val="20"/>
          <w:szCs w:val="20"/>
          <w:lang w:val="en-US" w:eastAsia="en-US" w:bidi="en-US"/>
        </w:rPr>
        <w:t xml:space="preserve"> </w:t>
      </w:r>
      <w:r w:rsidR="00374C1A" w:rsidRPr="00012C3F">
        <w:rPr>
          <w:rFonts w:eastAsia="Calibri"/>
          <w:sz w:val="20"/>
          <w:szCs w:val="20"/>
          <w:lang w:val="en-US" w:eastAsia="en-US" w:bidi="en-US"/>
        </w:rPr>
        <w:t>since</w:t>
      </w:r>
      <w:r w:rsidR="00E17AF2" w:rsidRPr="00012C3F">
        <w:rPr>
          <w:rFonts w:eastAsia="Calibri"/>
          <w:sz w:val="20"/>
          <w:szCs w:val="20"/>
          <w:lang w:val="en-US" w:eastAsia="en-US" w:bidi="en-US"/>
        </w:rPr>
        <w:t xml:space="preserve"> 1993</w:t>
      </w:r>
      <w:r w:rsidR="005E5012" w:rsidRPr="00012C3F">
        <w:rPr>
          <w:rFonts w:eastAsia="Calibri"/>
          <w:sz w:val="20"/>
          <w:szCs w:val="20"/>
          <w:lang w:val="en-US" w:eastAsia="en-US" w:bidi="en-US"/>
        </w:rPr>
        <w:t xml:space="preserve"> and </w:t>
      </w:r>
      <w:r w:rsidR="00E17AF2" w:rsidRPr="00012C3F">
        <w:rPr>
          <w:rFonts w:eastAsia="Calibri"/>
          <w:sz w:val="20"/>
          <w:szCs w:val="20"/>
          <w:lang w:val="en-US" w:eastAsia="en-US" w:bidi="en-US"/>
        </w:rPr>
        <w:t xml:space="preserve">FIGO </w:t>
      </w:r>
      <w:r w:rsidR="00374C1A" w:rsidRPr="00012C3F">
        <w:rPr>
          <w:rFonts w:eastAsia="Calibri"/>
          <w:sz w:val="20"/>
          <w:szCs w:val="20"/>
          <w:lang w:val="en-US" w:eastAsia="en-US" w:bidi="en-US"/>
        </w:rPr>
        <w:t>since</w:t>
      </w:r>
      <w:r w:rsidR="00E17AF2" w:rsidRPr="00012C3F">
        <w:rPr>
          <w:rFonts w:eastAsia="Calibri"/>
          <w:sz w:val="20"/>
          <w:szCs w:val="20"/>
          <w:lang w:val="en-US" w:eastAsia="en-US" w:bidi="en-US"/>
        </w:rPr>
        <w:t xml:space="preserve"> 1989</w:t>
      </w:r>
      <w:r w:rsidR="00374C1A" w:rsidRPr="00012C3F">
        <w:rPr>
          <w:rFonts w:eastAsia="Calibri"/>
          <w:sz w:val="20"/>
          <w:szCs w:val="20"/>
          <w:lang w:val="en-US" w:eastAsia="en-US" w:bidi="en-US"/>
        </w:rPr>
        <w:t>.</w:t>
      </w:r>
      <w:r w:rsidR="00E17AF2" w:rsidRPr="00012C3F">
        <w:rPr>
          <w:rStyle w:val="Refdenotaalpie"/>
          <w:rFonts w:eastAsia="Calibri"/>
          <w:sz w:val="20"/>
          <w:szCs w:val="20"/>
          <w:lang w:val="en-US" w:eastAsia="en-US" w:bidi="en-US"/>
        </w:rPr>
        <w:footnoteReference w:id="251"/>
      </w:r>
      <w:r w:rsidR="00E17AF2" w:rsidRPr="00012C3F">
        <w:rPr>
          <w:rFonts w:eastAsia="Calibri"/>
          <w:sz w:val="20"/>
          <w:szCs w:val="20"/>
          <w:lang w:val="en-US" w:eastAsia="en-US" w:bidi="en-US"/>
        </w:rPr>
        <w:t xml:space="preserve"> </w:t>
      </w:r>
      <w:r w:rsidR="00374C1A" w:rsidRPr="00012C3F">
        <w:rPr>
          <w:rFonts w:eastAsia="Calibri"/>
          <w:sz w:val="20"/>
          <w:szCs w:val="20"/>
          <w:lang w:val="en-US" w:eastAsia="en-US" w:bidi="en-US"/>
        </w:rPr>
        <w:t xml:space="preserve">Additionally, </w:t>
      </w:r>
      <w:r w:rsidR="00E17AF2" w:rsidRPr="00012C3F">
        <w:rPr>
          <w:rFonts w:eastAsia="MS Mincho"/>
          <w:bCs/>
          <w:sz w:val="20"/>
          <w:szCs w:val="20"/>
          <w:lang w:val="en-US" w:eastAsia="en-US" w:bidi="en-US"/>
        </w:rPr>
        <w:t>FIGO</w:t>
      </w:r>
      <w:r w:rsidR="005E5012" w:rsidRPr="00012C3F">
        <w:rPr>
          <w:rFonts w:eastAsia="MS Mincho"/>
          <w:bCs/>
          <w:sz w:val="20"/>
          <w:szCs w:val="20"/>
          <w:lang w:val="en-US" w:eastAsia="en-US" w:bidi="en-US"/>
        </w:rPr>
        <w:t xml:space="preserve"> and </w:t>
      </w:r>
      <w:r w:rsidR="00374C1A" w:rsidRPr="00012C3F">
        <w:rPr>
          <w:rFonts w:eastAsia="MS Mincho"/>
          <w:bCs/>
          <w:sz w:val="20"/>
          <w:szCs w:val="20"/>
          <w:lang w:val="en-US" w:eastAsia="en-US" w:bidi="en-US"/>
        </w:rPr>
        <w:t xml:space="preserve">the UN Interagency </w:t>
      </w:r>
      <w:r w:rsidR="00BE25EC" w:rsidRPr="00012C3F">
        <w:rPr>
          <w:rFonts w:eastAsia="MS Mincho"/>
          <w:bCs/>
          <w:sz w:val="20"/>
          <w:szCs w:val="20"/>
          <w:lang w:val="en-US" w:eastAsia="en-US" w:bidi="en-US"/>
        </w:rPr>
        <w:t>S</w:t>
      </w:r>
      <w:r w:rsidR="00374C1A" w:rsidRPr="00012C3F">
        <w:rPr>
          <w:rFonts w:eastAsia="MS Mincho"/>
          <w:bCs/>
          <w:sz w:val="20"/>
          <w:szCs w:val="20"/>
          <w:lang w:val="en-US" w:eastAsia="en-US" w:bidi="en-US"/>
        </w:rPr>
        <w:t>tatement have given great relevance to the obligation not to intentionally censure, retain or misinterpret information on sterilization and alternative contraceptive methods, in order to obtain consent, as this could endanger both health and basic human rights.</w:t>
      </w:r>
      <w:r w:rsidR="00E17AF2" w:rsidRPr="00012C3F">
        <w:rPr>
          <w:rStyle w:val="Refdenotaalpie"/>
          <w:rFonts w:eastAsia="MS Mincho"/>
          <w:bCs/>
          <w:sz w:val="20"/>
          <w:szCs w:val="20"/>
          <w:lang w:val="en-US" w:eastAsia="en-US" w:bidi="en-US"/>
        </w:rPr>
        <w:footnoteReference w:id="252"/>
      </w:r>
    </w:p>
    <w:p w14:paraId="4EBA784A" w14:textId="77777777" w:rsidR="00E17AF2" w:rsidRPr="00012C3F" w:rsidRDefault="00E17AF2" w:rsidP="00E17AF2">
      <w:pPr>
        <w:tabs>
          <w:tab w:val="left" w:pos="567"/>
        </w:tabs>
        <w:spacing w:line="240" w:lineRule="auto"/>
        <w:rPr>
          <w:rFonts w:eastAsia="MS Mincho"/>
          <w:sz w:val="20"/>
          <w:szCs w:val="20"/>
          <w:lang w:val="en-US" w:eastAsia="en-US" w:bidi="en-US"/>
        </w:rPr>
      </w:pPr>
    </w:p>
    <w:p w14:paraId="62A58653" w14:textId="77777777" w:rsidR="00E17AF2" w:rsidRPr="00012C3F" w:rsidRDefault="002C56A5" w:rsidP="002C56A5">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cs="Arial"/>
          <w:sz w:val="20"/>
          <w:szCs w:val="20"/>
          <w:lang w:val="en-US"/>
        </w:rPr>
        <w:t>In addition, even though there is no international consensus or one resulting from the domestic law of the States with regard to whether consent should be given verbally or in writing, the Court considers that the evidence of its existence should be documented or recorded formally in some instrument.</w:t>
      </w:r>
      <w:r w:rsidR="00E17AF2" w:rsidRPr="00012C3F">
        <w:rPr>
          <w:rStyle w:val="Refdenotaalpie"/>
          <w:rFonts w:eastAsia="Calibri"/>
          <w:sz w:val="20"/>
          <w:szCs w:val="20"/>
          <w:lang w:val="en-US" w:eastAsia="en-US" w:bidi="en-US"/>
        </w:rPr>
        <w:footnoteReference w:id="253"/>
      </w:r>
      <w:r w:rsidR="00E17AF2" w:rsidRPr="00012C3F">
        <w:rPr>
          <w:rFonts w:eastAsia="Calibri"/>
          <w:sz w:val="20"/>
          <w:szCs w:val="20"/>
          <w:lang w:val="en-US" w:eastAsia="en-US" w:bidi="en-US"/>
        </w:rPr>
        <w:t xml:space="preserve"> </w:t>
      </w:r>
      <w:r w:rsidR="00435129" w:rsidRPr="00012C3F">
        <w:rPr>
          <w:rFonts w:cs="Arial"/>
          <w:sz w:val="20"/>
          <w:szCs w:val="20"/>
          <w:lang w:val="en-US"/>
        </w:rPr>
        <w:t>T</w:t>
      </w:r>
      <w:r w:rsidRPr="00012C3F">
        <w:rPr>
          <w:rFonts w:cs="Arial"/>
          <w:sz w:val="20"/>
          <w:szCs w:val="20"/>
          <w:lang w:val="en-US"/>
        </w:rPr>
        <w:t>his will</w:t>
      </w:r>
      <w:r w:rsidR="00435129" w:rsidRPr="00012C3F">
        <w:rPr>
          <w:rFonts w:cs="Arial"/>
          <w:sz w:val="20"/>
          <w:szCs w:val="20"/>
          <w:lang w:val="en-US"/>
        </w:rPr>
        <w:t xml:space="preserve"> evidently</w:t>
      </w:r>
      <w:r w:rsidRPr="00012C3F">
        <w:rPr>
          <w:rFonts w:cs="Arial"/>
          <w:sz w:val="20"/>
          <w:szCs w:val="20"/>
          <w:lang w:val="en-US"/>
        </w:rPr>
        <w:t xml:space="preserve"> depend on each case and situation. However, the Court finds it relevant to stress that, pursuant to comparative law, all the States that</w:t>
      </w:r>
      <w:r w:rsidR="00BE25EC" w:rsidRPr="00012C3F">
        <w:rPr>
          <w:rFonts w:cs="Arial"/>
          <w:sz w:val="20"/>
          <w:szCs w:val="20"/>
          <w:lang w:val="en-US"/>
        </w:rPr>
        <w:t xml:space="preserve"> regulated</w:t>
      </w:r>
      <w:r w:rsidRPr="00012C3F">
        <w:rPr>
          <w:rFonts w:cs="Arial"/>
          <w:sz w:val="20"/>
          <w:szCs w:val="20"/>
          <w:lang w:val="en-US"/>
        </w:rPr>
        <w:t xml:space="preserve"> female surgical sterilization in their domestic law up until 2000, as well as the State</w:t>
      </w:r>
      <w:r w:rsidR="00BE25EC" w:rsidRPr="00012C3F">
        <w:rPr>
          <w:rFonts w:cs="Arial"/>
          <w:sz w:val="20"/>
          <w:szCs w:val="20"/>
          <w:lang w:val="en-US"/>
        </w:rPr>
        <w:t>s</w:t>
      </w:r>
      <w:r w:rsidRPr="00012C3F">
        <w:rPr>
          <w:rFonts w:cs="Arial"/>
          <w:sz w:val="20"/>
          <w:szCs w:val="20"/>
          <w:lang w:val="en-US"/>
        </w:rPr>
        <w:t xml:space="preserve"> that required informed consent in writing, required this, above all, for medical procedures that, owing to the</w:t>
      </w:r>
      <w:r w:rsidR="00BE25EC" w:rsidRPr="00012C3F">
        <w:rPr>
          <w:rFonts w:cs="Arial"/>
          <w:sz w:val="20"/>
          <w:szCs w:val="20"/>
          <w:lang w:val="en-US"/>
        </w:rPr>
        <w:t>ir</w:t>
      </w:r>
      <w:r w:rsidRPr="00012C3F">
        <w:rPr>
          <w:rFonts w:cs="Arial"/>
          <w:sz w:val="20"/>
          <w:szCs w:val="20"/>
          <w:lang w:val="en-US"/>
        </w:rPr>
        <w:t xml:space="preserve"> in</w:t>
      </w:r>
      <w:r w:rsidR="00BE25EC" w:rsidRPr="00012C3F">
        <w:rPr>
          <w:rFonts w:cs="Arial"/>
          <w:sz w:val="20"/>
          <w:szCs w:val="20"/>
          <w:lang w:val="en-US"/>
        </w:rPr>
        <w:t>va</w:t>
      </w:r>
      <w:r w:rsidRPr="00012C3F">
        <w:rPr>
          <w:rFonts w:cs="Arial"/>
          <w:sz w:val="20"/>
          <w:szCs w:val="20"/>
          <w:lang w:val="en-US"/>
        </w:rPr>
        <w:t>sive nature or gravity, warranted greater safety and formality in the process to obtain consent</w:t>
      </w:r>
      <w:r w:rsidR="00E17AF2" w:rsidRPr="00012C3F">
        <w:rPr>
          <w:rFonts w:eastAsia="Calibri"/>
          <w:sz w:val="20"/>
          <w:szCs w:val="20"/>
          <w:lang w:val="en-US" w:eastAsia="en-US" w:bidi="en-US"/>
        </w:rPr>
        <w:t xml:space="preserve"> (</w:t>
      </w:r>
      <w:r w:rsidR="00E17AF2" w:rsidRPr="00012C3F">
        <w:rPr>
          <w:rFonts w:eastAsia="Calibri"/>
          <w:i/>
          <w:sz w:val="20"/>
          <w:szCs w:val="20"/>
          <w:lang w:val="en-US" w:eastAsia="en-US" w:bidi="en-US"/>
        </w:rPr>
        <w:t xml:space="preserve">infra </w:t>
      </w:r>
      <w:r w:rsidR="00370DD4" w:rsidRPr="00012C3F">
        <w:rPr>
          <w:rFonts w:eastAsia="Calibri"/>
          <w:sz w:val="20"/>
          <w:szCs w:val="20"/>
          <w:lang w:val="en-US" w:eastAsia="en-US" w:bidi="en-US"/>
        </w:rPr>
        <w:t>para.</w:t>
      </w:r>
      <w:r w:rsidR="00E17AF2" w:rsidRPr="00012C3F">
        <w:rPr>
          <w:rFonts w:eastAsia="Calibri"/>
          <w:sz w:val="20"/>
          <w:szCs w:val="20"/>
          <w:lang w:val="en-US" w:eastAsia="en-US" w:bidi="en-US"/>
        </w:rPr>
        <w:t xml:space="preserve"> </w:t>
      </w:r>
      <w:r w:rsidR="009209EC" w:rsidRPr="00012C3F">
        <w:rPr>
          <w:rFonts w:eastAsia="Calibri"/>
          <w:sz w:val="20"/>
          <w:szCs w:val="20"/>
          <w:lang w:val="en-US" w:eastAsia="en-US" w:bidi="en-US"/>
        </w:rPr>
        <w:t>199).</w:t>
      </w:r>
    </w:p>
    <w:p w14:paraId="031EF705" w14:textId="77777777" w:rsidR="00E17AF2" w:rsidRPr="00012C3F" w:rsidRDefault="00E17AF2" w:rsidP="00E17AF2">
      <w:pPr>
        <w:tabs>
          <w:tab w:val="left" w:pos="567"/>
        </w:tabs>
        <w:spacing w:line="240" w:lineRule="auto"/>
        <w:rPr>
          <w:rFonts w:eastAsia="MS Mincho"/>
          <w:sz w:val="20"/>
          <w:szCs w:val="20"/>
          <w:lang w:val="en-US" w:eastAsia="en-US" w:bidi="en-US"/>
        </w:rPr>
      </w:pPr>
    </w:p>
    <w:p w14:paraId="55F73EA0" w14:textId="77777777" w:rsidR="00E17AF2" w:rsidRPr="00012C3F" w:rsidRDefault="002C56A5" w:rsidP="002C56A5">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Calibri"/>
          <w:sz w:val="20"/>
          <w:szCs w:val="20"/>
          <w:lang w:val="en-US" w:eastAsia="en-US" w:bidi="en-US"/>
        </w:rPr>
        <w:t xml:space="preserve">Notwithstanding the above, the Court agrees with the Commission that, </w:t>
      </w:r>
      <w:r w:rsidRPr="00012C3F">
        <w:rPr>
          <w:rFonts w:cs="Arial"/>
          <w:sz w:val="20"/>
          <w:szCs w:val="20"/>
          <w:lang w:val="en-US"/>
        </w:rPr>
        <w:t>in cases of female sterilization, owing to the relevance and implications of the decision and for greater legal certainty, consent should be given in writing insofar as possible. The more important the consequences of the decision to be taken, the more rigorous should be the controls to ensure that valid consent is given</w:t>
      </w:r>
      <w:r w:rsidR="00832AF9" w:rsidRPr="00012C3F">
        <w:rPr>
          <w:rFonts w:eastAsia="MS Mincho" w:cs="Calibri"/>
          <w:sz w:val="20"/>
          <w:szCs w:val="20"/>
          <w:lang w:val="en-US" w:eastAsia="en-US" w:bidi="en-US"/>
        </w:rPr>
        <w:t>.</w:t>
      </w:r>
    </w:p>
    <w:p w14:paraId="092A68BB" w14:textId="77777777" w:rsidR="00E17AF2" w:rsidRPr="00012C3F" w:rsidRDefault="00E17AF2" w:rsidP="000B1E30">
      <w:pPr>
        <w:spacing w:line="240" w:lineRule="auto"/>
        <w:rPr>
          <w:rFonts w:eastAsia="MS Mincho"/>
          <w:sz w:val="20"/>
          <w:szCs w:val="20"/>
          <w:lang w:val="en-US" w:eastAsia="en-US" w:bidi="en-US"/>
        </w:rPr>
      </w:pPr>
    </w:p>
    <w:p w14:paraId="3B0087EE" w14:textId="77777777" w:rsidR="000B1E30" w:rsidRPr="00012C3F" w:rsidRDefault="000B1E30" w:rsidP="0085451F">
      <w:pPr>
        <w:pStyle w:val="Ttulo3"/>
        <w:tabs>
          <w:tab w:val="left" w:pos="2552"/>
        </w:tabs>
        <w:ind w:left="1701"/>
        <w:rPr>
          <w:rFonts w:eastAsia="MS Mincho" w:cs="Arial"/>
          <w:b w:val="0"/>
          <w:i/>
          <w:spacing w:val="0"/>
          <w:lang w:val="en-US" w:eastAsia="en-US"/>
        </w:rPr>
      </w:pPr>
      <w:bookmarkStart w:id="136" w:name="_Toc27486865"/>
      <w:r w:rsidRPr="00012C3F">
        <w:rPr>
          <w:rFonts w:eastAsia="MS Mincho" w:cs="Arial"/>
          <w:b w:val="0"/>
          <w:i/>
          <w:spacing w:val="0"/>
          <w:lang w:val="en-US" w:eastAsia="en-US"/>
        </w:rPr>
        <w:t xml:space="preserve">B.2.b </w:t>
      </w:r>
      <w:r w:rsidRPr="00012C3F">
        <w:rPr>
          <w:rFonts w:eastAsia="MS Mincho" w:cs="Arial"/>
          <w:b w:val="0"/>
          <w:i/>
          <w:spacing w:val="0"/>
          <w:lang w:val="en-US" w:eastAsia="en-US"/>
        </w:rPr>
        <w:tab/>
      </w:r>
      <w:r w:rsidR="00690E9C" w:rsidRPr="00012C3F">
        <w:rPr>
          <w:rFonts w:eastAsia="MS Mincho" w:cs="Arial"/>
          <w:b w:val="0"/>
          <w:i/>
          <w:spacing w:val="0"/>
          <w:lang w:val="en-US" w:eastAsia="en-US"/>
        </w:rPr>
        <w:t xml:space="preserve"> The elements of consent derived from domestic legal systems</w:t>
      </w:r>
      <w:bookmarkEnd w:id="136"/>
    </w:p>
    <w:p w14:paraId="1E6B7F91" w14:textId="77777777" w:rsidR="000B1E30" w:rsidRPr="00012C3F" w:rsidRDefault="000B1E30" w:rsidP="000B1E30">
      <w:pPr>
        <w:spacing w:line="240" w:lineRule="auto"/>
        <w:ind w:left="1416"/>
        <w:rPr>
          <w:rFonts w:eastAsia="MS Mincho"/>
          <w:sz w:val="20"/>
          <w:szCs w:val="20"/>
          <w:lang w:val="en-US" w:eastAsia="en-US" w:bidi="en-US"/>
        </w:rPr>
      </w:pPr>
    </w:p>
    <w:p w14:paraId="1D09A9CE" w14:textId="77777777" w:rsidR="00E17AF2" w:rsidRPr="00012C3F" w:rsidRDefault="00690E9C" w:rsidP="00510B39">
      <w:pPr>
        <w:widowControl/>
        <w:numPr>
          <w:ilvl w:val="0"/>
          <w:numId w:val="5"/>
        </w:numPr>
        <w:tabs>
          <w:tab w:val="left" w:pos="720"/>
          <w:tab w:val="num" w:pos="12305"/>
        </w:tabs>
        <w:adjustRightInd/>
        <w:spacing w:line="240" w:lineRule="auto"/>
        <w:ind w:left="0" w:right="-90" w:firstLine="0"/>
        <w:textAlignment w:val="auto"/>
        <w:rPr>
          <w:rFonts w:eastAsia="MS Mincho"/>
          <w:b/>
          <w:i/>
          <w:sz w:val="20"/>
          <w:szCs w:val="20"/>
          <w:lang w:val="en-US" w:eastAsia="en-US" w:bidi="en-US"/>
        </w:rPr>
      </w:pPr>
      <w:r w:rsidRPr="00012C3F">
        <w:rPr>
          <w:rFonts w:eastAsia="MS Mincho"/>
          <w:sz w:val="20"/>
          <w:szCs w:val="20"/>
          <w:lang w:val="en-US" w:eastAsia="en-US" w:bidi="en-US"/>
        </w:rPr>
        <w:t>The</w:t>
      </w:r>
      <w:r w:rsidR="001254DE" w:rsidRPr="00012C3F">
        <w:rPr>
          <w:rFonts w:eastAsia="MS Mincho"/>
          <w:sz w:val="20"/>
          <w:szCs w:val="20"/>
          <w:lang w:val="en-US" w:eastAsia="en-US" w:bidi="en-US"/>
        </w:rPr>
        <w:t xml:space="preserve"> Court</w:t>
      </w:r>
      <w:r w:rsidR="00E17AF2" w:rsidRPr="00012C3F">
        <w:rPr>
          <w:rFonts w:eastAsia="MS Mincho"/>
          <w:sz w:val="20"/>
          <w:szCs w:val="20"/>
          <w:lang w:val="en-US" w:eastAsia="en-US" w:bidi="en-US"/>
        </w:rPr>
        <w:t xml:space="preserve"> consider</w:t>
      </w:r>
      <w:r w:rsidRPr="00012C3F">
        <w:rPr>
          <w:rFonts w:eastAsia="MS Mincho"/>
          <w:sz w:val="20"/>
          <w:szCs w:val="20"/>
          <w:lang w:val="en-US" w:eastAsia="en-US" w:bidi="en-US"/>
        </w:rPr>
        <w:t>s it relevant</w:t>
      </w:r>
      <w:r w:rsidR="00510B39" w:rsidRPr="00012C3F">
        <w:rPr>
          <w:rFonts w:eastAsia="MS Mincho"/>
          <w:sz w:val="20"/>
          <w:szCs w:val="20"/>
          <w:lang w:val="en-US" w:eastAsia="en-US" w:bidi="en-US"/>
        </w:rPr>
        <w:t xml:space="preserve">, from a comparative law perspective of domestic laws and jurisprudence, </w:t>
      </w:r>
      <w:r w:rsidR="00F12600" w:rsidRPr="00012C3F">
        <w:rPr>
          <w:rFonts w:eastAsia="MS Mincho"/>
          <w:sz w:val="20"/>
          <w:szCs w:val="20"/>
          <w:lang w:val="en-US" w:eastAsia="en-US" w:bidi="en-US"/>
        </w:rPr>
        <w:t xml:space="preserve">to reinforce </w:t>
      </w:r>
      <w:r w:rsidR="00510B39" w:rsidRPr="00012C3F">
        <w:rPr>
          <w:rFonts w:eastAsia="MS Mincho"/>
          <w:sz w:val="20"/>
          <w:szCs w:val="20"/>
          <w:lang w:val="en-US" w:eastAsia="en-US" w:bidi="en-US"/>
        </w:rPr>
        <w:t xml:space="preserve">the interpretation given to the rule of informed consent as a requirement prior to medical procedures and </w:t>
      </w:r>
      <w:r w:rsidR="00F12600" w:rsidRPr="00012C3F">
        <w:rPr>
          <w:rFonts w:eastAsia="MS Mincho"/>
          <w:sz w:val="20"/>
          <w:szCs w:val="20"/>
          <w:lang w:val="en-US" w:eastAsia="en-US" w:bidi="en-US"/>
        </w:rPr>
        <w:t>the</w:t>
      </w:r>
      <w:r w:rsidR="00510B39" w:rsidRPr="00012C3F">
        <w:rPr>
          <w:rFonts w:eastAsia="MS Mincho"/>
          <w:sz w:val="20"/>
          <w:szCs w:val="20"/>
          <w:lang w:val="en-US" w:eastAsia="en-US" w:bidi="en-US"/>
        </w:rPr>
        <w:t xml:space="preserve"> specific guarantees, which have also been reflected in the domestic laws and practice of various Member States of the Organization of American States (OAS), in particular, most of the State that have ratified </w:t>
      </w:r>
      <w:r w:rsidR="001254DE" w:rsidRPr="00012C3F">
        <w:rPr>
          <w:rFonts w:eastAsia="MS Mincho"/>
          <w:sz w:val="20"/>
          <w:szCs w:val="20"/>
          <w:lang w:val="en-US" w:eastAsia="en-US" w:bidi="en-US"/>
        </w:rPr>
        <w:t>the American Convention</w:t>
      </w:r>
      <w:r w:rsidR="00E17AF2" w:rsidRPr="00012C3F">
        <w:rPr>
          <w:rFonts w:eastAsia="MS Mincho"/>
          <w:sz w:val="20"/>
          <w:szCs w:val="20"/>
          <w:lang w:val="en-US" w:eastAsia="en-US" w:bidi="en-US"/>
        </w:rPr>
        <w:t xml:space="preserve">. </w:t>
      </w:r>
    </w:p>
    <w:p w14:paraId="16C40C4B" w14:textId="77777777" w:rsidR="00E17AF2" w:rsidRPr="00012C3F" w:rsidRDefault="00E17AF2" w:rsidP="00E17AF2">
      <w:pPr>
        <w:pStyle w:val="Prrafodelista"/>
        <w:spacing w:line="240" w:lineRule="auto"/>
        <w:rPr>
          <w:rFonts w:eastAsia="MS Mincho"/>
          <w:sz w:val="20"/>
          <w:szCs w:val="20"/>
          <w:lang w:val="en-US" w:eastAsia="en-US" w:bidi="en-US"/>
        </w:rPr>
      </w:pPr>
    </w:p>
    <w:p w14:paraId="7A186585" w14:textId="77777777" w:rsidR="00E17AF2" w:rsidRPr="00012C3F" w:rsidRDefault="001254DE" w:rsidP="00510B39">
      <w:pPr>
        <w:widowControl/>
        <w:numPr>
          <w:ilvl w:val="0"/>
          <w:numId w:val="5"/>
        </w:numPr>
        <w:tabs>
          <w:tab w:val="left" w:pos="720"/>
          <w:tab w:val="num" w:pos="12305"/>
        </w:tabs>
        <w:adjustRightInd/>
        <w:spacing w:line="240" w:lineRule="auto"/>
        <w:ind w:left="0" w:right="-90" w:firstLine="0"/>
        <w:textAlignment w:val="auto"/>
        <w:rPr>
          <w:rFonts w:eastAsia="MS Mincho"/>
          <w:b/>
          <w:i/>
          <w:sz w:val="20"/>
          <w:szCs w:val="20"/>
          <w:lang w:val="en-US" w:eastAsia="en-US" w:bidi="en-US"/>
        </w:rPr>
      </w:pPr>
      <w:r w:rsidRPr="00012C3F">
        <w:rPr>
          <w:rFonts w:eastAsia="MS Mincho"/>
          <w:sz w:val="20"/>
          <w:szCs w:val="20"/>
          <w:lang w:val="en-US" w:eastAsia="en-US" w:bidi="en-US"/>
        </w:rPr>
        <w:t>The Court</w:t>
      </w:r>
      <w:r w:rsidR="00E17AF2" w:rsidRPr="00012C3F">
        <w:rPr>
          <w:rFonts w:eastAsia="MS Mincho"/>
          <w:sz w:val="20"/>
          <w:szCs w:val="20"/>
          <w:lang w:val="en-US" w:eastAsia="en-US" w:bidi="en-US"/>
        </w:rPr>
        <w:t xml:space="preserve"> </w:t>
      </w:r>
      <w:r w:rsidR="00510B39" w:rsidRPr="00012C3F">
        <w:rPr>
          <w:rFonts w:eastAsia="MS Mincho"/>
          <w:sz w:val="20"/>
          <w:szCs w:val="20"/>
          <w:lang w:val="en-US" w:eastAsia="en-US" w:bidi="en-US"/>
        </w:rPr>
        <w:t xml:space="preserve">has corroborated that, by 2000, when the facts of this case occurred, many of the States </w:t>
      </w:r>
      <w:r w:rsidR="00F12600" w:rsidRPr="00012C3F">
        <w:rPr>
          <w:rFonts w:eastAsia="MS Mincho"/>
          <w:sz w:val="20"/>
          <w:szCs w:val="20"/>
          <w:lang w:val="en-US" w:eastAsia="en-US" w:bidi="en-US"/>
        </w:rPr>
        <w:t>for</w:t>
      </w:r>
      <w:r w:rsidR="00510B39" w:rsidRPr="00012C3F">
        <w:rPr>
          <w:rFonts w:eastAsia="MS Mincho"/>
          <w:sz w:val="20"/>
          <w:szCs w:val="20"/>
          <w:lang w:val="en-US" w:eastAsia="en-US" w:bidi="en-US"/>
        </w:rPr>
        <w:t xml:space="preserve"> which information is available</w:t>
      </w:r>
      <w:r w:rsidR="00E17AF2" w:rsidRPr="00012C3F">
        <w:rPr>
          <w:rFonts w:eastAsia="MS Mincho"/>
          <w:sz w:val="20"/>
          <w:szCs w:val="20"/>
          <w:vertAlign w:val="superscript"/>
          <w:lang w:val="en-US" w:eastAsia="en-US" w:bidi="en-US"/>
        </w:rPr>
        <w:footnoteReference w:id="254"/>
      </w:r>
      <w:r w:rsidR="00E17AF2" w:rsidRPr="00012C3F">
        <w:rPr>
          <w:rFonts w:eastAsia="MS Mincho"/>
          <w:sz w:val="20"/>
          <w:szCs w:val="20"/>
          <w:lang w:val="en-US" w:eastAsia="en-US" w:bidi="en-US"/>
        </w:rPr>
        <w:t xml:space="preserve"> </w:t>
      </w:r>
      <w:r w:rsidR="00510B39" w:rsidRPr="00012C3F">
        <w:rPr>
          <w:rFonts w:eastAsia="MS Mincho"/>
          <w:sz w:val="20"/>
          <w:szCs w:val="20"/>
          <w:lang w:val="en-US" w:eastAsia="en-US" w:bidi="en-US"/>
        </w:rPr>
        <w:t xml:space="preserve">had different domestic </w:t>
      </w:r>
      <w:r w:rsidR="00F12600" w:rsidRPr="00012C3F">
        <w:rPr>
          <w:rFonts w:eastAsia="MS Mincho"/>
          <w:sz w:val="20"/>
          <w:szCs w:val="20"/>
          <w:lang w:val="en-US" w:eastAsia="en-US" w:bidi="en-US"/>
        </w:rPr>
        <w:t>norms concerning</w:t>
      </w:r>
      <w:r w:rsidR="00510B39" w:rsidRPr="00012C3F">
        <w:rPr>
          <w:rFonts w:eastAsia="MS Mincho"/>
          <w:sz w:val="20"/>
          <w:szCs w:val="20"/>
          <w:lang w:val="en-US" w:eastAsia="en-US" w:bidi="en-US"/>
        </w:rPr>
        <w:t xml:space="preserve"> </w:t>
      </w:r>
      <w:r w:rsidR="00AC0004" w:rsidRPr="00012C3F">
        <w:rPr>
          <w:rFonts w:eastAsia="MS Mincho"/>
          <w:sz w:val="20"/>
          <w:szCs w:val="20"/>
          <w:lang w:val="en-US" w:eastAsia="en-US" w:bidi="en-US"/>
        </w:rPr>
        <w:t>informed consent</w:t>
      </w:r>
      <w:r w:rsidR="00E17AF2" w:rsidRPr="00012C3F">
        <w:rPr>
          <w:rFonts w:eastAsia="MS Mincho"/>
          <w:sz w:val="20"/>
          <w:szCs w:val="20"/>
          <w:lang w:val="en-US" w:eastAsia="en-US" w:bidi="en-US"/>
        </w:rPr>
        <w:t xml:space="preserve">, </w:t>
      </w:r>
      <w:r w:rsidR="00F12600" w:rsidRPr="00012C3F">
        <w:rPr>
          <w:rFonts w:eastAsia="MS Mincho"/>
          <w:sz w:val="20"/>
          <w:szCs w:val="20"/>
          <w:lang w:val="en-US" w:eastAsia="en-US" w:bidi="en-US"/>
        </w:rPr>
        <w:t>such as</w:t>
      </w:r>
      <w:r w:rsidR="00510B39" w:rsidRPr="00012C3F">
        <w:rPr>
          <w:rFonts w:eastAsia="MS Mincho"/>
          <w:sz w:val="20"/>
          <w:szCs w:val="20"/>
          <w:lang w:val="en-US" w:eastAsia="en-US" w:bidi="en-US"/>
        </w:rPr>
        <w:t xml:space="preserve"> laws, technical guidelines or resolutions of health institutions, and even relevant jurisprudence. </w:t>
      </w:r>
      <w:r w:rsidR="00F12600" w:rsidRPr="00012C3F">
        <w:rPr>
          <w:rFonts w:eastAsia="MS Mincho"/>
          <w:sz w:val="20"/>
          <w:szCs w:val="20"/>
          <w:lang w:val="en-US" w:eastAsia="en-US" w:bidi="en-US"/>
        </w:rPr>
        <w:t>The</w:t>
      </w:r>
      <w:r w:rsidR="00510B39" w:rsidRPr="00012C3F">
        <w:rPr>
          <w:rFonts w:eastAsia="MS Mincho"/>
          <w:sz w:val="20"/>
          <w:szCs w:val="20"/>
          <w:lang w:val="en-US" w:eastAsia="en-US" w:bidi="en-US"/>
        </w:rPr>
        <w:t xml:space="preserve"> vast majority had a general norm for every type of medical procedure,</w:t>
      </w:r>
      <w:r w:rsidR="00E17AF2" w:rsidRPr="00012C3F">
        <w:rPr>
          <w:rFonts w:eastAsia="MS Mincho"/>
          <w:sz w:val="20"/>
          <w:szCs w:val="20"/>
          <w:vertAlign w:val="superscript"/>
          <w:lang w:val="en-US" w:eastAsia="en-US" w:bidi="en-US"/>
        </w:rPr>
        <w:footnoteReference w:id="255"/>
      </w:r>
      <w:r w:rsidR="00510B39" w:rsidRPr="00012C3F">
        <w:rPr>
          <w:rFonts w:eastAsia="MS Mincho"/>
          <w:sz w:val="20"/>
          <w:szCs w:val="20"/>
          <w:lang w:val="en-US" w:eastAsia="en-US" w:bidi="en-US"/>
        </w:rPr>
        <w:t xml:space="preserve"> while </w:t>
      </w:r>
      <w:r w:rsidR="00510B39" w:rsidRPr="00012C3F">
        <w:rPr>
          <w:rFonts w:eastAsia="MS Mincho"/>
          <w:sz w:val="20"/>
          <w:szCs w:val="20"/>
          <w:lang w:val="en-US" w:eastAsia="en-US" w:bidi="en-US"/>
        </w:rPr>
        <w:lastRenderedPageBreak/>
        <w:t>some of them had norms applicable to more specific cases,</w:t>
      </w:r>
      <w:r w:rsidR="00E17AF2" w:rsidRPr="00012C3F">
        <w:rPr>
          <w:rFonts w:eastAsia="MS Mincho"/>
          <w:sz w:val="20"/>
          <w:szCs w:val="20"/>
          <w:vertAlign w:val="superscript"/>
          <w:lang w:val="en-US" w:eastAsia="en-US" w:bidi="en-US"/>
        </w:rPr>
        <w:footnoteReference w:id="256"/>
      </w:r>
      <w:r w:rsidR="00510B39" w:rsidRPr="00012C3F">
        <w:rPr>
          <w:rFonts w:eastAsia="MS Mincho"/>
          <w:sz w:val="20"/>
          <w:szCs w:val="20"/>
          <w:lang w:val="en-US" w:eastAsia="en-US" w:bidi="en-US"/>
        </w:rPr>
        <w:t xml:space="preserve"> even norms that regulated consent in cases of female sterilization.</w:t>
      </w:r>
      <w:r w:rsidR="00E17AF2" w:rsidRPr="00012C3F">
        <w:rPr>
          <w:rFonts w:eastAsia="MS Mincho"/>
          <w:sz w:val="20"/>
          <w:szCs w:val="20"/>
          <w:vertAlign w:val="superscript"/>
          <w:lang w:val="en-US" w:eastAsia="en-US" w:bidi="en-US"/>
        </w:rPr>
        <w:footnoteReference w:id="257"/>
      </w:r>
    </w:p>
    <w:p w14:paraId="14FB9C13" w14:textId="77777777" w:rsidR="00085C23" w:rsidRPr="00012C3F" w:rsidRDefault="00085C23" w:rsidP="00085C23">
      <w:pPr>
        <w:tabs>
          <w:tab w:val="left" w:pos="567"/>
        </w:tabs>
        <w:spacing w:line="240" w:lineRule="auto"/>
        <w:rPr>
          <w:rFonts w:eastAsia="MS Mincho"/>
          <w:sz w:val="20"/>
          <w:szCs w:val="20"/>
          <w:lang w:val="en-US" w:eastAsia="en-US" w:bidi="en-US"/>
        </w:rPr>
      </w:pPr>
    </w:p>
    <w:p w14:paraId="139F4904" w14:textId="77777777" w:rsidR="00B47F8D" w:rsidRPr="00012C3F" w:rsidRDefault="00983591" w:rsidP="00B47F8D">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sz w:val="20"/>
          <w:szCs w:val="20"/>
          <w:lang w:val="en-US" w:eastAsia="en-US" w:bidi="en-US"/>
        </w:rPr>
        <w:t xml:space="preserve">The Court notes that domestic laws have considered different elements of </w:t>
      </w:r>
      <w:r w:rsidR="00AC0004" w:rsidRPr="00012C3F">
        <w:rPr>
          <w:rFonts w:eastAsia="MS Mincho"/>
          <w:bCs/>
          <w:sz w:val="20"/>
          <w:szCs w:val="20"/>
          <w:lang w:val="en-US" w:eastAsia="en-US" w:bidi="en-US"/>
        </w:rPr>
        <w:t>informed consent</w:t>
      </w:r>
      <w:r w:rsidR="00E17AF2" w:rsidRPr="00012C3F">
        <w:rPr>
          <w:rFonts w:eastAsia="MS Mincho"/>
          <w:bCs/>
          <w:sz w:val="20"/>
          <w:szCs w:val="20"/>
          <w:lang w:val="en-US" w:eastAsia="en-US" w:bidi="en-US"/>
        </w:rPr>
        <w:t xml:space="preserve">, </w:t>
      </w:r>
      <w:r w:rsidRPr="00012C3F">
        <w:rPr>
          <w:rFonts w:eastAsia="MS Mincho"/>
          <w:bCs/>
          <w:sz w:val="20"/>
          <w:szCs w:val="20"/>
          <w:lang w:val="en-US" w:eastAsia="en-US" w:bidi="en-US"/>
        </w:rPr>
        <w:t xml:space="preserve">but, in 2000, they generally agreed that this must be prior, free and informed. Regarding </w:t>
      </w:r>
      <w:r w:rsidR="006C705C" w:rsidRPr="00012C3F">
        <w:rPr>
          <w:rFonts w:eastAsia="MS Mincho"/>
          <w:bCs/>
          <w:sz w:val="20"/>
          <w:szCs w:val="20"/>
          <w:lang w:val="en-US" w:eastAsia="en-US" w:bidi="en-US"/>
        </w:rPr>
        <w:t xml:space="preserve">access to </w:t>
      </w:r>
      <w:r w:rsidR="006C705C" w:rsidRPr="00012C3F">
        <w:rPr>
          <w:rFonts w:eastAsia="MS Mincho"/>
          <w:bCs/>
          <w:sz w:val="20"/>
          <w:szCs w:val="20"/>
          <w:lang w:val="en-US" w:eastAsia="en-US" w:bidi="en-US"/>
        </w:rPr>
        <w:lastRenderedPageBreak/>
        <w:t>information</w:t>
      </w:r>
      <w:r w:rsidR="00E17AF2" w:rsidRPr="00012C3F">
        <w:rPr>
          <w:rFonts w:eastAsia="MS Mincho"/>
          <w:bCs/>
          <w:sz w:val="20"/>
          <w:szCs w:val="20"/>
          <w:lang w:val="en-US" w:eastAsia="en-US" w:bidi="en-US"/>
        </w:rPr>
        <w:t xml:space="preserve">, </w:t>
      </w:r>
      <w:r w:rsidRPr="00012C3F">
        <w:rPr>
          <w:rFonts w:eastAsia="MS Mincho"/>
          <w:bCs/>
          <w:sz w:val="20"/>
          <w:szCs w:val="20"/>
          <w:lang w:val="en-US" w:eastAsia="en-US" w:bidi="en-US"/>
        </w:rPr>
        <w:t>the States have considered that there are different ways of classifying how information should be provided to the patient; namely, this should be full, clear, informed, autonomous, necessary and adequate, allowing for understanding and awareness.</w:t>
      </w:r>
      <w:r w:rsidR="00E17AF2" w:rsidRPr="00012C3F">
        <w:rPr>
          <w:rFonts w:eastAsia="MS Mincho"/>
          <w:bCs/>
          <w:sz w:val="20"/>
          <w:szCs w:val="20"/>
          <w:vertAlign w:val="superscript"/>
          <w:lang w:val="en-US" w:eastAsia="en-US" w:bidi="en-US"/>
        </w:rPr>
        <w:footnoteReference w:id="258"/>
      </w:r>
      <w:r w:rsidR="00E17AF2" w:rsidRPr="00012C3F">
        <w:rPr>
          <w:rFonts w:eastAsia="MS Mincho"/>
          <w:bCs/>
          <w:sz w:val="20"/>
          <w:szCs w:val="20"/>
          <w:lang w:val="en-US" w:eastAsia="en-US" w:bidi="en-US"/>
        </w:rPr>
        <w:t xml:space="preserve"> </w:t>
      </w:r>
      <w:r w:rsidR="001254DE" w:rsidRPr="00012C3F">
        <w:rPr>
          <w:rFonts w:eastAsia="MS Mincho"/>
          <w:bCs/>
          <w:sz w:val="20"/>
          <w:szCs w:val="20"/>
          <w:lang w:val="en-US" w:eastAsia="en-US" w:bidi="en-US"/>
        </w:rPr>
        <w:t>The Court</w:t>
      </w:r>
      <w:r w:rsidR="00E17AF2" w:rsidRPr="00012C3F">
        <w:rPr>
          <w:rFonts w:eastAsia="MS Mincho"/>
          <w:bCs/>
          <w:sz w:val="20"/>
          <w:szCs w:val="20"/>
          <w:lang w:val="en-US" w:eastAsia="en-US" w:bidi="en-US"/>
        </w:rPr>
        <w:t xml:space="preserve"> not</w:t>
      </w:r>
      <w:r w:rsidRPr="00012C3F">
        <w:rPr>
          <w:rFonts w:eastAsia="MS Mincho"/>
          <w:bCs/>
          <w:sz w:val="20"/>
          <w:szCs w:val="20"/>
          <w:lang w:val="en-US" w:eastAsia="en-US" w:bidi="en-US"/>
        </w:rPr>
        <w:t>es that, in 2000, the requirement for written consent was not included in the laws of all the States; nevertheless, it was included in those of</w:t>
      </w:r>
      <w:r w:rsidRPr="00012C3F">
        <w:rPr>
          <w:rFonts w:eastAsia="MS Mincho"/>
          <w:sz w:val="20"/>
          <w:szCs w:val="20"/>
          <w:lang w:val="en-US" w:eastAsia="en-US" w:bidi="en-US"/>
        </w:rPr>
        <w:t xml:space="preserve"> </w:t>
      </w:r>
      <w:r w:rsidR="00E17AF2" w:rsidRPr="00012C3F">
        <w:rPr>
          <w:rFonts w:eastAsia="MS Mincho"/>
          <w:bCs/>
          <w:sz w:val="20"/>
          <w:szCs w:val="20"/>
          <w:lang w:val="en-US" w:eastAsia="en-US" w:bidi="en-US"/>
        </w:rPr>
        <w:t xml:space="preserve">Argentina, Honduras, </w:t>
      </w:r>
      <w:r w:rsidR="00833C77" w:rsidRPr="00012C3F">
        <w:rPr>
          <w:rFonts w:eastAsia="MS Mincho"/>
          <w:bCs/>
          <w:sz w:val="20"/>
          <w:szCs w:val="20"/>
          <w:lang w:val="en-US" w:eastAsia="en-US" w:bidi="en-US"/>
        </w:rPr>
        <w:t>Peru</w:t>
      </w:r>
      <w:r w:rsidR="005E5012" w:rsidRPr="00012C3F">
        <w:rPr>
          <w:rFonts w:eastAsia="MS Mincho"/>
          <w:bCs/>
          <w:sz w:val="20"/>
          <w:szCs w:val="20"/>
          <w:lang w:val="en-US" w:eastAsia="en-US" w:bidi="en-US"/>
        </w:rPr>
        <w:t xml:space="preserve"> and </w:t>
      </w:r>
      <w:r w:rsidR="00E17AF2" w:rsidRPr="00012C3F">
        <w:rPr>
          <w:rFonts w:eastAsia="MS Mincho"/>
          <w:bCs/>
          <w:sz w:val="20"/>
          <w:szCs w:val="20"/>
          <w:lang w:val="en-US" w:eastAsia="en-US" w:bidi="en-US"/>
        </w:rPr>
        <w:t xml:space="preserve">Uruguay. Argentina </w:t>
      </w:r>
      <w:r w:rsidRPr="00012C3F">
        <w:rPr>
          <w:rFonts w:eastAsia="MS Mincho"/>
          <w:bCs/>
          <w:sz w:val="20"/>
          <w:szCs w:val="20"/>
          <w:lang w:val="en-US" w:eastAsia="en-US" w:bidi="en-US"/>
        </w:rPr>
        <w:t xml:space="preserve">required written consent in </w:t>
      </w:r>
      <w:r w:rsidR="00F12600" w:rsidRPr="00012C3F">
        <w:rPr>
          <w:rFonts w:eastAsia="MS Mincho"/>
          <w:bCs/>
          <w:sz w:val="20"/>
          <w:szCs w:val="20"/>
          <w:lang w:val="en-US" w:eastAsia="en-US" w:bidi="en-US"/>
        </w:rPr>
        <w:t>damaging</w:t>
      </w:r>
      <w:r w:rsidRPr="00012C3F">
        <w:rPr>
          <w:rFonts w:eastAsia="MS Mincho"/>
          <w:bCs/>
          <w:sz w:val="20"/>
          <w:szCs w:val="20"/>
          <w:lang w:val="en-US" w:eastAsia="en-US" w:bidi="en-US"/>
        </w:rPr>
        <w:t xml:space="preserve"> procedures;</w:t>
      </w:r>
      <w:r w:rsidR="00E17AF2" w:rsidRPr="00012C3F">
        <w:rPr>
          <w:rFonts w:eastAsia="MS Mincho"/>
          <w:bCs/>
          <w:sz w:val="20"/>
          <w:szCs w:val="20"/>
          <w:vertAlign w:val="superscript"/>
          <w:lang w:val="en-US" w:eastAsia="en-US" w:bidi="en-US"/>
        </w:rPr>
        <w:footnoteReference w:id="259"/>
      </w:r>
      <w:r w:rsidRPr="00012C3F">
        <w:rPr>
          <w:rFonts w:eastAsia="MS Mincho"/>
          <w:bCs/>
          <w:sz w:val="20"/>
          <w:szCs w:val="20"/>
          <w:lang w:val="en-US" w:eastAsia="en-US" w:bidi="en-US"/>
        </w:rPr>
        <w:t xml:space="preserve"> </w:t>
      </w:r>
      <w:r w:rsidR="00E17AF2" w:rsidRPr="00012C3F">
        <w:rPr>
          <w:rFonts w:eastAsia="MS Mincho"/>
          <w:bCs/>
          <w:sz w:val="20"/>
          <w:szCs w:val="20"/>
          <w:lang w:val="en-US" w:eastAsia="en-US" w:bidi="en-US"/>
        </w:rPr>
        <w:t xml:space="preserve">Honduras </w:t>
      </w:r>
      <w:r w:rsidRPr="00012C3F">
        <w:rPr>
          <w:rFonts w:eastAsia="MS Mincho"/>
          <w:bCs/>
          <w:sz w:val="20"/>
          <w:szCs w:val="20"/>
          <w:lang w:val="en-US" w:eastAsia="en-US" w:bidi="en-US"/>
        </w:rPr>
        <w:t xml:space="preserve">required this </w:t>
      </w:r>
      <w:r w:rsidR="00B47F8D" w:rsidRPr="00012C3F">
        <w:rPr>
          <w:rFonts w:eastAsia="MS Mincho"/>
          <w:bCs/>
          <w:sz w:val="20"/>
          <w:szCs w:val="20"/>
          <w:lang w:val="en-US" w:eastAsia="en-US" w:bidi="en-US"/>
        </w:rPr>
        <w:t>in order to submit to scientific research;</w:t>
      </w:r>
      <w:r w:rsidR="00E17AF2" w:rsidRPr="00012C3F">
        <w:rPr>
          <w:rFonts w:eastAsia="MS Mincho"/>
          <w:bCs/>
          <w:sz w:val="20"/>
          <w:szCs w:val="20"/>
          <w:vertAlign w:val="superscript"/>
          <w:lang w:val="en-US" w:eastAsia="en-US" w:bidi="en-US"/>
        </w:rPr>
        <w:footnoteReference w:id="260"/>
      </w:r>
      <w:r w:rsidR="00E17AF2" w:rsidRPr="00012C3F">
        <w:rPr>
          <w:rFonts w:eastAsia="MS Mincho"/>
          <w:bCs/>
          <w:sz w:val="20"/>
          <w:szCs w:val="20"/>
          <w:lang w:val="en-US" w:eastAsia="en-US" w:bidi="en-US"/>
        </w:rPr>
        <w:t xml:space="preserve"> </w:t>
      </w:r>
      <w:r w:rsidR="00833C77" w:rsidRPr="00012C3F">
        <w:rPr>
          <w:rFonts w:eastAsia="MS Mincho"/>
          <w:bCs/>
          <w:sz w:val="20"/>
          <w:szCs w:val="20"/>
          <w:lang w:val="en-US" w:eastAsia="en-US" w:bidi="en-US"/>
        </w:rPr>
        <w:t>Peru</w:t>
      </w:r>
      <w:r w:rsidR="00E17AF2" w:rsidRPr="00012C3F">
        <w:rPr>
          <w:rFonts w:eastAsia="MS Mincho"/>
          <w:bCs/>
          <w:sz w:val="20"/>
          <w:szCs w:val="20"/>
          <w:lang w:val="en-US" w:eastAsia="en-US" w:bidi="en-US"/>
        </w:rPr>
        <w:t xml:space="preserve"> </w:t>
      </w:r>
      <w:r w:rsidR="00B47F8D" w:rsidRPr="00012C3F">
        <w:rPr>
          <w:rFonts w:eastAsia="MS Mincho"/>
          <w:bCs/>
          <w:sz w:val="20"/>
          <w:szCs w:val="20"/>
          <w:lang w:val="en-US" w:eastAsia="en-US" w:bidi="en-US"/>
        </w:rPr>
        <w:t>requested it to apply special treatments, conduct unsafe tests or perform procedures that could affect the patient mentally or physically,</w:t>
      </w:r>
      <w:r w:rsidR="00B47F8D" w:rsidRPr="00012C3F">
        <w:rPr>
          <w:rFonts w:eastAsia="MS Mincho"/>
          <w:bCs/>
          <w:sz w:val="20"/>
          <w:szCs w:val="20"/>
          <w:vertAlign w:val="superscript"/>
          <w:lang w:val="en-US" w:eastAsia="en-US" w:bidi="en-US"/>
        </w:rPr>
        <w:t xml:space="preserve"> </w:t>
      </w:r>
      <w:r w:rsidR="00B47F8D" w:rsidRPr="00012C3F">
        <w:rPr>
          <w:rFonts w:eastAsia="MS Mincho"/>
          <w:bCs/>
          <w:sz w:val="20"/>
          <w:szCs w:val="20"/>
          <w:vertAlign w:val="superscript"/>
          <w:lang w:val="en-US" w:eastAsia="en-US" w:bidi="en-US"/>
        </w:rPr>
        <w:footnoteReference w:id="261"/>
      </w:r>
      <w:r w:rsidR="00F12600" w:rsidRPr="00012C3F">
        <w:rPr>
          <w:rFonts w:eastAsia="MS Mincho"/>
          <w:bCs/>
          <w:sz w:val="20"/>
          <w:szCs w:val="20"/>
          <w:lang w:val="en-US" w:eastAsia="en-US" w:bidi="en-US"/>
        </w:rPr>
        <w:t xml:space="preserve"> </w:t>
      </w:r>
      <w:r w:rsidR="00B47F8D" w:rsidRPr="00012C3F">
        <w:rPr>
          <w:rFonts w:eastAsia="MS Mincho"/>
          <w:bCs/>
          <w:sz w:val="20"/>
          <w:szCs w:val="20"/>
          <w:lang w:val="en-US" w:eastAsia="en-US" w:bidi="en-US"/>
        </w:rPr>
        <w:t>and Uruguay required it to authorize the use of a person’s corpse for scientific purposes.</w:t>
      </w:r>
      <w:r w:rsidR="00CC17C6" w:rsidRPr="00012C3F">
        <w:rPr>
          <w:rFonts w:eastAsia="MS Mincho"/>
          <w:bCs/>
          <w:sz w:val="20"/>
          <w:szCs w:val="20"/>
          <w:vertAlign w:val="superscript"/>
          <w:lang w:val="en-US" w:eastAsia="en-US" w:bidi="en-US"/>
        </w:rPr>
        <w:footnoteReference w:id="262"/>
      </w:r>
      <w:r w:rsidR="00B47F8D" w:rsidRPr="00012C3F">
        <w:rPr>
          <w:rFonts w:eastAsia="MS Mincho"/>
          <w:bCs/>
          <w:sz w:val="20"/>
          <w:szCs w:val="20"/>
          <w:lang w:val="en-US" w:eastAsia="en-US" w:bidi="en-US"/>
        </w:rPr>
        <w:t xml:space="preserve"> In addition, in the specific case of informed consent for female sterilization, the Court notes that all the States that had a law in this regard in 2000 required written consent in this case.</w:t>
      </w:r>
    </w:p>
    <w:p w14:paraId="60C0D633" w14:textId="77777777" w:rsidR="00E17AF2" w:rsidRPr="00012C3F" w:rsidRDefault="00E17AF2" w:rsidP="00E17AF2">
      <w:pPr>
        <w:spacing w:line="240" w:lineRule="auto"/>
        <w:ind w:left="708"/>
        <w:rPr>
          <w:bCs/>
          <w:sz w:val="20"/>
          <w:szCs w:val="20"/>
          <w:lang w:val="en-US"/>
        </w:rPr>
      </w:pPr>
    </w:p>
    <w:p w14:paraId="60E641C2" w14:textId="77777777" w:rsidR="00E17AF2" w:rsidRPr="00012C3F" w:rsidRDefault="00B47F8D" w:rsidP="00B47F8D">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bCs/>
          <w:sz w:val="20"/>
          <w:szCs w:val="20"/>
          <w:lang w:val="en-US" w:eastAsia="en-US" w:bidi="en-US"/>
        </w:rPr>
        <w:t>The Court also notes that, even though the general rule was to obtain informed consent, the laws of some States recognized the existence of exception to this rule, including cases of urgency or emergency in which consent could not be obtained. In 2000, various States regulated these exceptions.</w:t>
      </w:r>
      <w:r w:rsidR="00E17AF2" w:rsidRPr="00012C3F">
        <w:rPr>
          <w:rFonts w:eastAsia="MS Mincho"/>
          <w:sz w:val="20"/>
          <w:szCs w:val="20"/>
          <w:vertAlign w:val="superscript"/>
          <w:lang w:val="en-US" w:eastAsia="en-US" w:bidi="en-US"/>
        </w:rPr>
        <w:footnoteReference w:id="263"/>
      </w:r>
      <w:r w:rsidRPr="00012C3F">
        <w:rPr>
          <w:rFonts w:eastAsia="MS Mincho"/>
          <w:sz w:val="20"/>
          <w:szCs w:val="20"/>
          <w:lang w:val="en-US" w:eastAsia="en-US" w:bidi="en-US"/>
        </w:rPr>
        <w:t xml:space="preserve"> In the case of female sterilization</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however</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the Court has corroborated that none of the countries that regulated it, established specific exceptions in this regard.</w:t>
      </w:r>
      <w:r w:rsidR="00E17AF2" w:rsidRPr="00012C3F">
        <w:rPr>
          <w:rFonts w:eastAsia="MS Mincho"/>
          <w:sz w:val="20"/>
          <w:szCs w:val="20"/>
          <w:lang w:val="en-US" w:eastAsia="en-US" w:bidi="en-US"/>
        </w:rPr>
        <w:t xml:space="preserve"> </w:t>
      </w:r>
    </w:p>
    <w:p w14:paraId="7C75AA81" w14:textId="77777777" w:rsidR="00E17AF2" w:rsidRPr="00012C3F" w:rsidRDefault="00E17AF2" w:rsidP="00B47F8D">
      <w:pPr>
        <w:widowControl/>
        <w:tabs>
          <w:tab w:val="left" w:pos="720"/>
        </w:tabs>
        <w:adjustRightInd/>
        <w:spacing w:line="240" w:lineRule="auto"/>
        <w:ind w:right="-90"/>
        <w:textAlignment w:val="auto"/>
        <w:rPr>
          <w:rFonts w:eastAsia="MS Mincho"/>
          <w:sz w:val="20"/>
          <w:szCs w:val="20"/>
          <w:lang w:val="en-US" w:eastAsia="en-US" w:bidi="en-US"/>
        </w:rPr>
      </w:pPr>
    </w:p>
    <w:p w14:paraId="491B20CE" w14:textId="77777777" w:rsidR="00085C23" w:rsidRPr="00012C3F" w:rsidRDefault="00085C23" w:rsidP="00B47F8D">
      <w:pPr>
        <w:pStyle w:val="Ttulo3"/>
        <w:tabs>
          <w:tab w:val="clear" w:pos="567"/>
          <w:tab w:val="left" w:pos="720"/>
          <w:tab w:val="left" w:pos="2552"/>
        </w:tabs>
        <w:ind w:left="1701"/>
        <w:rPr>
          <w:rFonts w:eastAsia="MS Mincho" w:cs="Arial"/>
          <w:b w:val="0"/>
          <w:i/>
          <w:spacing w:val="0"/>
          <w:lang w:val="en-US" w:eastAsia="en-US"/>
        </w:rPr>
      </w:pPr>
      <w:bookmarkStart w:id="137" w:name="_Toc27486866"/>
      <w:r w:rsidRPr="00012C3F">
        <w:rPr>
          <w:rFonts w:eastAsia="MS Mincho" w:cs="Arial"/>
          <w:b w:val="0"/>
          <w:i/>
          <w:spacing w:val="0"/>
          <w:lang w:val="en-US" w:eastAsia="en-US"/>
        </w:rPr>
        <w:t xml:space="preserve">B.2.c </w:t>
      </w:r>
      <w:r w:rsidRPr="00012C3F">
        <w:rPr>
          <w:rFonts w:eastAsia="MS Mincho" w:cs="Arial"/>
          <w:b w:val="0"/>
          <w:i/>
          <w:spacing w:val="0"/>
          <w:lang w:val="en-US" w:eastAsia="en-US"/>
        </w:rPr>
        <w:tab/>
      </w:r>
      <w:r w:rsidR="00B47F8D" w:rsidRPr="00012C3F">
        <w:rPr>
          <w:rFonts w:eastAsia="MS Mincho" w:cs="Arial"/>
          <w:b w:val="0"/>
          <w:i/>
          <w:spacing w:val="0"/>
          <w:lang w:val="en-US" w:eastAsia="en-US"/>
        </w:rPr>
        <w:t>Conclusion</w:t>
      </w:r>
      <w:bookmarkEnd w:id="137"/>
    </w:p>
    <w:p w14:paraId="30C6681D" w14:textId="77777777" w:rsidR="00085C23" w:rsidRPr="00012C3F" w:rsidRDefault="00085C23" w:rsidP="00B47F8D">
      <w:pPr>
        <w:widowControl/>
        <w:tabs>
          <w:tab w:val="left" w:pos="720"/>
        </w:tabs>
        <w:adjustRightInd/>
        <w:spacing w:line="240" w:lineRule="auto"/>
        <w:ind w:right="-90"/>
        <w:textAlignment w:val="auto"/>
        <w:rPr>
          <w:rFonts w:eastAsia="MS Mincho"/>
          <w:sz w:val="20"/>
          <w:szCs w:val="20"/>
          <w:lang w:val="en-US" w:eastAsia="en-US" w:bidi="en-US"/>
        </w:rPr>
      </w:pPr>
    </w:p>
    <w:p w14:paraId="4694DBE1" w14:textId="77777777" w:rsidR="00B47F8D" w:rsidRPr="00012C3F" w:rsidRDefault="00B47F8D" w:rsidP="00B47F8D">
      <w:pPr>
        <w:numPr>
          <w:ilvl w:val="0"/>
          <w:numId w:val="5"/>
        </w:numPr>
        <w:tabs>
          <w:tab w:val="left" w:pos="720"/>
          <w:tab w:val="num" w:pos="12305"/>
        </w:tabs>
        <w:spacing w:line="240" w:lineRule="auto"/>
        <w:ind w:left="0" w:firstLine="0"/>
        <w:rPr>
          <w:sz w:val="20"/>
          <w:szCs w:val="20"/>
          <w:lang w:val="en-US"/>
        </w:rPr>
      </w:pPr>
      <w:r w:rsidRPr="00012C3F">
        <w:rPr>
          <w:rFonts w:eastAsia="MS Mincho"/>
          <w:sz w:val="20"/>
          <w:szCs w:val="20"/>
          <w:lang w:val="en-US" w:eastAsia="en-US" w:bidi="en-US"/>
        </w:rPr>
        <w:t xml:space="preserve">Based on the foregoing, the Court concludes that, at the time the facts of this case took place, the State had an international obligation to obtain, through its health personnel, the consent of patients for medical procedures and, especially, of women in the case of female sterilizations, and this should have complied with the characteristics of being prior, free, full and informed following a process of informed </w:t>
      </w:r>
      <w:r w:rsidR="00107617" w:rsidRPr="00012C3F">
        <w:rPr>
          <w:rFonts w:eastAsia="MS Mincho"/>
          <w:sz w:val="20"/>
          <w:szCs w:val="20"/>
          <w:lang w:val="en-US" w:eastAsia="en-US" w:bidi="en-US"/>
        </w:rPr>
        <w:t>decision-making</w:t>
      </w:r>
      <w:r w:rsidRPr="00012C3F">
        <w:rPr>
          <w:rFonts w:eastAsia="MS Mincho"/>
          <w:sz w:val="20"/>
          <w:szCs w:val="20"/>
          <w:lang w:val="en-US" w:eastAsia="en-US" w:bidi="en-US"/>
        </w:rPr>
        <w:t>.</w:t>
      </w:r>
    </w:p>
    <w:p w14:paraId="57C41B2E" w14:textId="77777777" w:rsidR="00E17AF2" w:rsidRPr="00012C3F" w:rsidRDefault="00E17AF2" w:rsidP="00B47F8D">
      <w:pPr>
        <w:widowControl/>
        <w:tabs>
          <w:tab w:val="left" w:pos="720"/>
        </w:tabs>
        <w:adjustRightInd/>
        <w:spacing w:line="240" w:lineRule="auto"/>
        <w:ind w:right="-90"/>
        <w:textAlignment w:val="auto"/>
        <w:rPr>
          <w:sz w:val="20"/>
          <w:szCs w:val="20"/>
          <w:lang w:val="en-US"/>
        </w:rPr>
      </w:pPr>
    </w:p>
    <w:p w14:paraId="1953A8C0" w14:textId="77777777" w:rsidR="00E17AF2" w:rsidRPr="00012C3F" w:rsidRDefault="00E17AF2" w:rsidP="00B47F8D">
      <w:pPr>
        <w:pStyle w:val="Ttulo2"/>
        <w:tabs>
          <w:tab w:val="left" w:pos="720"/>
          <w:tab w:val="left" w:pos="1701"/>
        </w:tabs>
        <w:spacing w:before="0" w:line="240" w:lineRule="auto"/>
        <w:ind w:left="1134"/>
        <w:rPr>
          <w:rFonts w:ascii="Verdana" w:hAnsi="Verdana"/>
          <w:b w:val="0"/>
          <w:i/>
          <w:color w:val="auto"/>
          <w:sz w:val="20"/>
          <w:szCs w:val="20"/>
          <w:lang w:val="en-US"/>
        </w:rPr>
      </w:pPr>
      <w:bookmarkStart w:id="138" w:name="_Toc465446862"/>
      <w:bookmarkStart w:id="139" w:name="_Toc27486867"/>
      <w:r w:rsidRPr="00012C3F">
        <w:rPr>
          <w:rFonts w:ascii="Verdana" w:hAnsi="Verdana"/>
          <w:b w:val="0"/>
          <w:i/>
          <w:color w:val="auto"/>
          <w:sz w:val="20"/>
          <w:szCs w:val="20"/>
          <w:lang w:val="en-US"/>
        </w:rPr>
        <w:t xml:space="preserve">B.3 </w:t>
      </w:r>
      <w:r w:rsidR="006A16C8" w:rsidRPr="00012C3F">
        <w:rPr>
          <w:rFonts w:ascii="Verdana" w:hAnsi="Verdana"/>
          <w:b w:val="0"/>
          <w:i/>
          <w:color w:val="auto"/>
          <w:sz w:val="20"/>
          <w:szCs w:val="20"/>
          <w:lang w:val="en-US"/>
        </w:rPr>
        <w:tab/>
      </w:r>
      <w:r w:rsidR="00B47F8D" w:rsidRPr="00012C3F">
        <w:rPr>
          <w:rFonts w:ascii="Verdana" w:hAnsi="Verdana"/>
          <w:b w:val="0"/>
          <w:i/>
          <w:color w:val="auto"/>
          <w:sz w:val="20"/>
          <w:szCs w:val="20"/>
          <w:lang w:val="en-US"/>
        </w:rPr>
        <w:t>Determination of the scope of the State’s international responsibility</w:t>
      </w:r>
      <w:bookmarkEnd w:id="138"/>
      <w:bookmarkEnd w:id="139"/>
    </w:p>
    <w:p w14:paraId="397D9CF3" w14:textId="77777777" w:rsidR="00E17AF2" w:rsidRPr="00012C3F" w:rsidRDefault="00E17AF2" w:rsidP="00B47F8D">
      <w:pPr>
        <w:widowControl/>
        <w:tabs>
          <w:tab w:val="left" w:pos="720"/>
        </w:tabs>
        <w:adjustRightInd/>
        <w:spacing w:line="240" w:lineRule="auto"/>
        <w:ind w:right="-90"/>
        <w:textAlignment w:val="auto"/>
        <w:rPr>
          <w:rFonts w:eastAsia="MS Mincho"/>
          <w:sz w:val="20"/>
          <w:szCs w:val="20"/>
          <w:lang w:val="en-US" w:eastAsia="en-US" w:bidi="en-US"/>
        </w:rPr>
      </w:pPr>
    </w:p>
    <w:p w14:paraId="22FAEFE5" w14:textId="77777777" w:rsidR="00E17AF2" w:rsidRPr="00012C3F" w:rsidRDefault="001254DE" w:rsidP="00B47F8D">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sz w:val="20"/>
          <w:szCs w:val="20"/>
          <w:lang w:val="en-US" w:eastAsia="en-US" w:bidi="en-US"/>
        </w:rPr>
        <w:t>The Court</w:t>
      </w:r>
      <w:r w:rsidR="00E17AF2" w:rsidRPr="00012C3F">
        <w:rPr>
          <w:rFonts w:eastAsia="MS Mincho"/>
          <w:sz w:val="20"/>
          <w:szCs w:val="20"/>
          <w:lang w:val="en-US" w:eastAsia="en-US" w:bidi="en-US"/>
        </w:rPr>
        <w:t xml:space="preserve"> not</w:t>
      </w:r>
      <w:r w:rsidR="00B47F8D" w:rsidRPr="00012C3F">
        <w:rPr>
          <w:rFonts w:eastAsia="MS Mincho"/>
          <w:sz w:val="20"/>
          <w:szCs w:val="20"/>
          <w:lang w:val="en-US" w:eastAsia="en-US" w:bidi="en-US"/>
        </w:rPr>
        <w:t xml:space="preserve">es that tubal ligation, in particular using the Pomeroy technique, is a surgical contraception method that causes sterilization; that is, it permanently deprives a woman of her biological reproductive capacity. A medical procedure of this type should be performed voluntarily, requiring prior, free, full and informed consent, as developed in the preceding section. Indeed, as expert witness </w:t>
      </w:r>
      <w:r w:rsidR="00B47F8D" w:rsidRPr="00012C3F">
        <w:rPr>
          <w:sz w:val="20"/>
          <w:szCs w:val="20"/>
          <w:lang w:val="en-US"/>
        </w:rPr>
        <w:t>Luisa Cabal indicated, “[s]</w:t>
      </w:r>
      <w:r w:rsidR="009D3EE9" w:rsidRPr="00012C3F">
        <w:rPr>
          <w:sz w:val="20"/>
          <w:szCs w:val="20"/>
          <w:lang w:val="en-US"/>
        </w:rPr>
        <w:t>sterilization</w:t>
      </w:r>
      <w:r w:rsidR="00B47F8D" w:rsidRPr="00012C3F">
        <w:rPr>
          <w:sz w:val="20"/>
          <w:szCs w:val="20"/>
          <w:lang w:val="en-US"/>
        </w:rPr>
        <w:t xml:space="preserve"> is a permanent contraceptive method that should form part of a wide range of contraception methods that everyone has the right to choose or refuse autonomously, in the exercise of their sexual a</w:t>
      </w:r>
      <w:r w:rsidR="002C2B46" w:rsidRPr="00012C3F">
        <w:rPr>
          <w:sz w:val="20"/>
          <w:szCs w:val="20"/>
          <w:lang w:val="en-US"/>
        </w:rPr>
        <w:t>n</w:t>
      </w:r>
      <w:r w:rsidR="00B47F8D" w:rsidRPr="00012C3F">
        <w:rPr>
          <w:sz w:val="20"/>
          <w:szCs w:val="20"/>
          <w:lang w:val="en-US"/>
        </w:rPr>
        <w:t>d reproductive rights.</w:t>
      </w:r>
      <w:r w:rsidR="00E17AF2" w:rsidRPr="00012C3F">
        <w:rPr>
          <w:sz w:val="20"/>
          <w:szCs w:val="20"/>
          <w:lang w:val="en-US"/>
        </w:rPr>
        <w:t>”</w:t>
      </w:r>
      <w:r w:rsidR="00E17AF2" w:rsidRPr="00012C3F">
        <w:rPr>
          <w:rStyle w:val="Refdenotaalpie"/>
          <w:sz w:val="20"/>
          <w:szCs w:val="20"/>
          <w:lang w:val="en-US"/>
        </w:rPr>
        <w:footnoteReference w:id="264"/>
      </w:r>
    </w:p>
    <w:p w14:paraId="0FD1E0F6" w14:textId="77777777" w:rsidR="00E17AF2" w:rsidRPr="00012C3F" w:rsidRDefault="00E17AF2" w:rsidP="00E17AF2">
      <w:pPr>
        <w:tabs>
          <w:tab w:val="left" w:pos="567"/>
        </w:tabs>
        <w:spacing w:line="240" w:lineRule="auto"/>
        <w:rPr>
          <w:rFonts w:eastAsia="MS Mincho"/>
          <w:sz w:val="20"/>
          <w:szCs w:val="20"/>
          <w:lang w:val="en-US" w:eastAsia="en-US" w:bidi="en-US"/>
        </w:rPr>
      </w:pPr>
    </w:p>
    <w:p w14:paraId="01AFFCC3" w14:textId="77777777" w:rsidR="00455825" w:rsidRPr="00012C3F" w:rsidRDefault="002215BF" w:rsidP="002C2B46">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bCs/>
          <w:sz w:val="20"/>
          <w:szCs w:val="20"/>
          <w:lang w:val="en-US"/>
        </w:rPr>
        <w:t>In light</w:t>
      </w:r>
      <w:r w:rsidR="00E17AF2" w:rsidRPr="00012C3F">
        <w:rPr>
          <w:rFonts w:eastAsia="MS Mincho"/>
          <w:bCs/>
          <w:sz w:val="20"/>
          <w:szCs w:val="20"/>
          <w:lang w:val="en-US"/>
        </w:rPr>
        <w:t xml:space="preserve"> </w:t>
      </w:r>
      <w:r w:rsidRPr="00012C3F">
        <w:rPr>
          <w:rFonts w:eastAsia="MS Mincho"/>
          <w:bCs/>
          <w:sz w:val="20"/>
          <w:szCs w:val="20"/>
          <w:lang w:val="en-US"/>
        </w:rPr>
        <w:t xml:space="preserve">of all the above, the Court must now determine whether the State of Bolivia had a </w:t>
      </w:r>
      <w:r w:rsidR="00E17AF2" w:rsidRPr="00012C3F">
        <w:rPr>
          <w:rFonts w:eastAsia="MS Mincho"/>
          <w:bCs/>
          <w:sz w:val="20"/>
          <w:szCs w:val="20"/>
          <w:lang w:val="en-US"/>
        </w:rPr>
        <w:t xml:space="preserve"> </w:t>
      </w:r>
      <w:r w:rsidRPr="00012C3F">
        <w:rPr>
          <w:rFonts w:eastAsia="MS Mincho"/>
          <w:bCs/>
          <w:sz w:val="20"/>
          <w:szCs w:val="20"/>
          <w:lang w:val="en-US"/>
        </w:rPr>
        <w:t xml:space="preserve">clear regulation in order to prevent the performance of </w:t>
      </w:r>
      <w:r w:rsidR="00B47F8D" w:rsidRPr="00012C3F">
        <w:rPr>
          <w:rFonts w:eastAsia="MS Mincho"/>
          <w:bCs/>
          <w:sz w:val="20"/>
          <w:szCs w:val="20"/>
          <w:lang w:val="en-US"/>
        </w:rPr>
        <w:t>female sterilizations</w:t>
      </w:r>
      <w:r w:rsidR="00E17AF2" w:rsidRPr="00012C3F">
        <w:rPr>
          <w:rFonts w:eastAsia="MS Mincho"/>
          <w:bCs/>
          <w:sz w:val="20"/>
          <w:szCs w:val="20"/>
          <w:lang w:val="en-US"/>
        </w:rPr>
        <w:t xml:space="preserve"> </w:t>
      </w:r>
      <w:r w:rsidRPr="00012C3F">
        <w:rPr>
          <w:rFonts w:eastAsia="MS Mincho"/>
          <w:bCs/>
          <w:sz w:val="20"/>
          <w:szCs w:val="20"/>
          <w:lang w:val="en-US"/>
        </w:rPr>
        <w:t>without prior, free, full and informed consent, because the State has argued before this Court that the laws and regulations cited by</w:t>
      </w:r>
      <w:r w:rsidR="00E17AF2" w:rsidRPr="00012C3F">
        <w:rPr>
          <w:rFonts w:eastAsia="MS Mincho"/>
          <w:bCs/>
          <w:sz w:val="20"/>
          <w:szCs w:val="20"/>
          <w:lang w:val="en-US"/>
        </w:rPr>
        <w:t xml:space="preserve"> </w:t>
      </w:r>
      <w:r w:rsidR="001254DE" w:rsidRPr="00012C3F">
        <w:rPr>
          <w:rFonts w:eastAsia="MS Mincho"/>
          <w:bCs/>
          <w:sz w:val="20"/>
          <w:szCs w:val="20"/>
          <w:lang w:val="en-US"/>
        </w:rPr>
        <w:t xml:space="preserve">the </w:t>
      </w:r>
      <w:r w:rsidR="00A84CA0" w:rsidRPr="00012C3F">
        <w:rPr>
          <w:rFonts w:eastAsia="MS Mincho"/>
          <w:bCs/>
          <w:sz w:val="20"/>
          <w:szCs w:val="20"/>
          <w:lang w:val="en-US"/>
        </w:rPr>
        <w:t>Commission</w:t>
      </w:r>
      <w:r w:rsidR="005E5012" w:rsidRPr="00012C3F">
        <w:rPr>
          <w:rFonts w:eastAsia="MS Mincho"/>
          <w:bCs/>
          <w:sz w:val="20"/>
          <w:szCs w:val="20"/>
          <w:lang w:val="en-US"/>
        </w:rPr>
        <w:t xml:space="preserve"> and </w:t>
      </w:r>
      <w:r w:rsidR="00972ACF" w:rsidRPr="00012C3F">
        <w:rPr>
          <w:rFonts w:eastAsia="MS Mincho"/>
          <w:bCs/>
          <w:sz w:val="20"/>
          <w:szCs w:val="20"/>
          <w:lang w:val="en-US"/>
        </w:rPr>
        <w:t>the representative</w:t>
      </w:r>
      <w:r w:rsidRPr="00012C3F">
        <w:rPr>
          <w:rFonts w:eastAsia="MS Mincho"/>
          <w:bCs/>
          <w:sz w:val="20"/>
          <w:szCs w:val="20"/>
          <w:lang w:val="en-US"/>
        </w:rPr>
        <w:t xml:space="preserve"> to substantiate the alleged violations, were not applicable in the case of I.V. </w:t>
      </w:r>
      <w:r w:rsidR="00E17AF2" w:rsidRPr="00012C3F">
        <w:rPr>
          <w:rFonts w:eastAsia="MS Mincho"/>
          <w:bCs/>
          <w:sz w:val="20"/>
          <w:szCs w:val="20"/>
          <w:lang w:val="en-US"/>
        </w:rPr>
        <w:t xml:space="preserve"> </w:t>
      </w:r>
      <w:r w:rsidR="00455825" w:rsidRPr="00012C3F">
        <w:rPr>
          <w:rFonts w:eastAsia="MS Mincho"/>
          <w:bCs/>
          <w:sz w:val="20"/>
          <w:szCs w:val="20"/>
          <w:lang w:val="en-US"/>
        </w:rPr>
        <w:t>Nevertheless, t</w:t>
      </w:r>
      <w:r w:rsidR="001254DE" w:rsidRPr="00012C3F">
        <w:rPr>
          <w:rFonts w:eastAsia="MS Mincho"/>
          <w:bCs/>
          <w:sz w:val="20"/>
          <w:szCs w:val="20"/>
          <w:lang w:val="en-US"/>
        </w:rPr>
        <w:t>he Court</w:t>
      </w:r>
      <w:r w:rsidR="00E17AF2" w:rsidRPr="00012C3F">
        <w:rPr>
          <w:rFonts w:eastAsia="MS Mincho"/>
          <w:bCs/>
          <w:sz w:val="20"/>
          <w:szCs w:val="20"/>
          <w:lang w:val="en-US"/>
        </w:rPr>
        <w:t xml:space="preserve"> </w:t>
      </w:r>
      <w:r w:rsidR="00455825" w:rsidRPr="00012C3F">
        <w:rPr>
          <w:rFonts w:eastAsia="MS Mincho"/>
          <w:bCs/>
          <w:sz w:val="20"/>
          <w:szCs w:val="20"/>
          <w:lang w:val="en-US"/>
        </w:rPr>
        <w:t xml:space="preserve">will not determine the validity of </w:t>
      </w:r>
      <w:r w:rsidR="00455825" w:rsidRPr="00012C3F">
        <w:rPr>
          <w:rFonts w:eastAsia="MS Mincho"/>
          <w:bCs/>
          <w:sz w:val="20"/>
          <w:szCs w:val="20"/>
          <w:lang w:val="en-US"/>
        </w:rPr>
        <w:lastRenderedPageBreak/>
        <w:t>these norms, because it has not been alleged that Article 2 of the Convention was violated. The Court must also decide whether the tubal ligation procedure performed on I.V. constituted a case of sterilization that was contrary to Bolivia’s international obligations resulting from the parameters defined previously with regard to the obligatory nature of ensuring that patients have given their informed consent based on their autonomy and dignity, in order to verify whether the international responsibility of the State has been generated by the actions of its public officials; in this case, its health care personnel in a public hospital.</w:t>
      </w:r>
    </w:p>
    <w:p w14:paraId="57806B94" w14:textId="77777777" w:rsidR="00E17AF2" w:rsidRPr="00012C3F" w:rsidRDefault="00E17AF2" w:rsidP="00E17AF2">
      <w:pPr>
        <w:tabs>
          <w:tab w:val="left" w:pos="567"/>
        </w:tabs>
        <w:spacing w:line="240" w:lineRule="auto"/>
        <w:rPr>
          <w:rFonts w:eastAsia="MS Mincho"/>
          <w:sz w:val="20"/>
          <w:szCs w:val="20"/>
          <w:lang w:val="en-US" w:eastAsia="en-US" w:bidi="en-US"/>
        </w:rPr>
      </w:pPr>
    </w:p>
    <w:p w14:paraId="74ABE315" w14:textId="77777777" w:rsidR="00E17AF2" w:rsidRPr="00012C3F" w:rsidRDefault="001254DE" w:rsidP="00DF71A5">
      <w:pPr>
        <w:numPr>
          <w:ilvl w:val="0"/>
          <w:numId w:val="5"/>
        </w:numPr>
        <w:tabs>
          <w:tab w:val="left" w:pos="720"/>
          <w:tab w:val="num" w:pos="12305"/>
        </w:tabs>
        <w:spacing w:line="240" w:lineRule="auto"/>
        <w:ind w:left="0" w:firstLine="0"/>
        <w:rPr>
          <w:rFonts w:eastAsia="MS Mincho"/>
          <w:b/>
          <w:bCs/>
          <w:sz w:val="20"/>
          <w:szCs w:val="20"/>
          <w:lang w:val="en-US"/>
        </w:rPr>
      </w:pPr>
      <w:r w:rsidRPr="00012C3F">
        <w:rPr>
          <w:rFonts w:eastAsia="MS Mincho"/>
          <w:sz w:val="20"/>
          <w:szCs w:val="20"/>
          <w:lang w:val="en-US" w:eastAsia="en-US" w:bidi="en-US"/>
        </w:rPr>
        <w:t>The Court</w:t>
      </w:r>
      <w:r w:rsidR="00E17AF2" w:rsidRPr="00012C3F">
        <w:rPr>
          <w:rFonts w:eastAsia="MS Mincho"/>
          <w:sz w:val="20"/>
          <w:szCs w:val="20"/>
          <w:lang w:val="en-US" w:eastAsia="en-US" w:bidi="en-US"/>
        </w:rPr>
        <w:t xml:space="preserve"> no</w:t>
      </w:r>
      <w:r w:rsidR="00117945" w:rsidRPr="00012C3F">
        <w:rPr>
          <w:rFonts w:eastAsia="MS Mincho"/>
          <w:sz w:val="20"/>
          <w:szCs w:val="20"/>
          <w:lang w:val="en-US" w:eastAsia="en-US" w:bidi="en-US"/>
        </w:rPr>
        <w:t>tes that, although the express prohibition of forced or involuntary sterilization has been established in international criminal law,</w:t>
      </w:r>
      <w:r w:rsidR="00E17AF2" w:rsidRPr="00012C3F">
        <w:rPr>
          <w:rStyle w:val="Refdenotaalpie"/>
          <w:rFonts w:eastAsia="MS Mincho"/>
          <w:sz w:val="20"/>
          <w:szCs w:val="20"/>
          <w:lang w:val="en-US" w:eastAsia="en-US" w:bidi="en-US"/>
        </w:rPr>
        <w:footnoteReference w:id="265"/>
      </w:r>
      <w:r w:rsidR="00E17AF2" w:rsidRPr="00012C3F">
        <w:rPr>
          <w:rFonts w:eastAsia="MS Mincho"/>
          <w:sz w:val="20"/>
          <w:szCs w:val="20"/>
          <w:lang w:val="en-US" w:eastAsia="en-US" w:bidi="en-US"/>
        </w:rPr>
        <w:t xml:space="preserve"> o</w:t>
      </w:r>
      <w:r w:rsidR="00117945" w:rsidRPr="00012C3F">
        <w:rPr>
          <w:rFonts w:eastAsia="MS Mincho"/>
          <w:sz w:val="20"/>
          <w:szCs w:val="20"/>
          <w:lang w:val="en-US" w:eastAsia="en-US" w:bidi="en-US"/>
        </w:rPr>
        <w:t>r in the definition of crimes at the domestic level,</w:t>
      </w:r>
      <w:r w:rsidR="00E17AF2" w:rsidRPr="00012C3F">
        <w:rPr>
          <w:rStyle w:val="Refdenotaalpie"/>
          <w:rFonts w:eastAsia="MS Mincho"/>
          <w:sz w:val="20"/>
          <w:szCs w:val="20"/>
          <w:lang w:val="en-US" w:eastAsia="en-US" w:bidi="en-US"/>
        </w:rPr>
        <w:footnoteReference w:id="266"/>
      </w:r>
      <w:r w:rsidR="00117945" w:rsidRPr="00012C3F">
        <w:rPr>
          <w:rFonts w:eastAsia="MS Mincho"/>
          <w:sz w:val="20"/>
          <w:szCs w:val="20"/>
          <w:lang w:val="en-US" w:eastAsia="en-US" w:bidi="en-US"/>
        </w:rPr>
        <w:t xml:space="preserve"> the absence of </w:t>
      </w:r>
      <w:r w:rsidR="00AC0004" w:rsidRPr="00012C3F">
        <w:rPr>
          <w:rFonts w:eastAsia="MS Mincho"/>
          <w:sz w:val="20"/>
          <w:szCs w:val="20"/>
          <w:lang w:val="en-US" w:eastAsia="en-US" w:bidi="en-US"/>
        </w:rPr>
        <w:t>informed consent</w:t>
      </w:r>
      <w:r w:rsidR="00E17AF2" w:rsidRPr="00012C3F">
        <w:rPr>
          <w:rFonts w:eastAsia="MS Mincho"/>
          <w:sz w:val="20"/>
          <w:szCs w:val="20"/>
          <w:lang w:val="en-US" w:eastAsia="en-US" w:bidi="en-US"/>
        </w:rPr>
        <w:t xml:space="preserve"> </w:t>
      </w:r>
      <w:r w:rsidR="00117945" w:rsidRPr="00012C3F">
        <w:rPr>
          <w:rFonts w:eastAsia="MS Mincho"/>
          <w:sz w:val="20"/>
          <w:szCs w:val="20"/>
          <w:lang w:val="en-US" w:eastAsia="en-US" w:bidi="en-US"/>
        </w:rPr>
        <w:t xml:space="preserve">in relation to the deprivation of a woman’s biological reproduction capacity may constitute a violation of </w:t>
      </w:r>
      <w:r w:rsidR="00DF5BD3" w:rsidRPr="00012C3F">
        <w:rPr>
          <w:rFonts w:eastAsia="MS Mincho"/>
          <w:sz w:val="20"/>
          <w:szCs w:val="20"/>
          <w:lang w:val="en-US" w:eastAsia="en-US" w:bidi="en-US"/>
        </w:rPr>
        <w:t>the rights</w:t>
      </w:r>
      <w:r w:rsidR="00E17AF2" w:rsidRPr="00012C3F">
        <w:rPr>
          <w:rFonts w:eastAsia="MS Mincho"/>
          <w:sz w:val="20"/>
          <w:szCs w:val="20"/>
          <w:lang w:val="en-US" w:eastAsia="en-US" w:bidi="en-US"/>
        </w:rPr>
        <w:t xml:space="preserve"> </w:t>
      </w:r>
      <w:r w:rsidR="00DF5BD3" w:rsidRPr="00012C3F">
        <w:rPr>
          <w:rFonts w:eastAsia="MS Mincho"/>
          <w:sz w:val="20"/>
          <w:szCs w:val="20"/>
          <w:lang w:val="en-US" w:eastAsia="en-US" w:bidi="en-US"/>
        </w:rPr>
        <w:t>recognized in</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the American Convention</w:t>
      </w:r>
      <w:r w:rsidR="00E17AF2" w:rsidRPr="00012C3F">
        <w:rPr>
          <w:rFonts w:eastAsia="MS Mincho"/>
          <w:sz w:val="20"/>
          <w:szCs w:val="20"/>
          <w:lang w:val="en-US" w:eastAsia="en-US" w:bidi="en-US"/>
        </w:rPr>
        <w:t xml:space="preserve">, </w:t>
      </w:r>
      <w:r w:rsidR="00117945" w:rsidRPr="00012C3F">
        <w:rPr>
          <w:rFonts w:eastAsia="MS Mincho"/>
          <w:sz w:val="20"/>
          <w:szCs w:val="20"/>
          <w:lang w:val="en-US" w:eastAsia="en-US" w:bidi="en-US"/>
        </w:rPr>
        <w:t>as described previously</w:t>
      </w:r>
      <w:r w:rsidR="00E17AF2" w:rsidRPr="00012C3F">
        <w:rPr>
          <w:rFonts w:eastAsia="MS Mincho"/>
          <w:sz w:val="20"/>
          <w:szCs w:val="20"/>
          <w:lang w:val="en-US" w:eastAsia="en-US" w:bidi="en-US"/>
        </w:rPr>
        <w:t xml:space="preserve">. </w:t>
      </w:r>
      <w:r w:rsidR="00117945" w:rsidRPr="00012C3F">
        <w:rPr>
          <w:rFonts w:eastAsia="MS Mincho"/>
          <w:sz w:val="20"/>
          <w:szCs w:val="20"/>
          <w:lang w:val="en-US" w:eastAsia="en-US" w:bidi="en-US"/>
        </w:rPr>
        <w:t xml:space="preserve">That said, in this case, a dispute exists about the appropriate terminology to be used. On the one hand, both </w:t>
      </w:r>
      <w:r w:rsidRPr="00012C3F">
        <w:rPr>
          <w:rFonts w:eastAsia="MS Mincho"/>
          <w:bCs/>
          <w:sz w:val="20"/>
          <w:szCs w:val="20"/>
          <w:lang w:val="en-US"/>
        </w:rPr>
        <w:t xml:space="preserve">the </w:t>
      </w:r>
      <w:r w:rsidR="00A84CA0" w:rsidRPr="00012C3F">
        <w:rPr>
          <w:rFonts w:eastAsia="MS Mincho"/>
          <w:bCs/>
          <w:sz w:val="20"/>
          <w:szCs w:val="20"/>
          <w:lang w:val="en-US"/>
        </w:rPr>
        <w:t>Commission</w:t>
      </w:r>
      <w:r w:rsidR="00E17AF2" w:rsidRPr="00012C3F">
        <w:rPr>
          <w:rFonts w:eastAsia="MS Mincho"/>
          <w:bCs/>
          <w:sz w:val="20"/>
          <w:szCs w:val="20"/>
          <w:lang w:val="en-US"/>
        </w:rPr>
        <w:t xml:space="preserve"> </w:t>
      </w:r>
      <w:r w:rsidR="00117945" w:rsidRPr="00012C3F">
        <w:rPr>
          <w:rFonts w:eastAsia="MS Mincho"/>
          <w:bCs/>
          <w:sz w:val="20"/>
          <w:szCs w:val="20"/>
          <w:lang w:val="en-US"/>
        </w:rPr>
        <w:t>and</w:t>
      </w:r>
      <w:r w:rsidR="00E17AF2" w:rsidRPr="00012C3F">
        <w:rPr>
          <w:rFonts w:eastAsia="MS Mincho"/>
          <w:bCs/>
          <w:sz w:val="20"/>
          <w:szCs w:val="20"/>
          <w:lang w:val="en-US"/>
        </w:rPr>
        <w:t xml:space="preserve"> </w:t>
      </w:r>
      <w:r w:rsidR="00972ACF" w:rsidRPr="00012C3F">
        <w:rPr>
          <w:rFonts w:eastAsia="MS Mincho"/>
          <w:bCs/>
          <w:sz w:val="20"/>
          <w:szCs w:val="20"/>
          <w:lang w:val="en-US"/>
        </w:rPr>
        <w:t>the representative</w:t>
      </w:r>
      <w:r w:rsidR="00E17AF2" w:rsidRPr="00012C3F">
        <w:rPr>
          <w:rFonts w:eastAsia="MS Mincho"/>
          <w:bCs/>
          <w:sz w:val="20"/>
          <w:szCs w:val="20"/>
          <w:lang w:val="en-US"/>
        </w:rPr>
        <w:t xml:space="preserve"> c</w:t>
      </w:r>
      <w:r w:rsidR="00117945" w:rsidRPr="00012C3F">
        <w:rPr>
          <w:rFonts w:eastAsia="MS Mincho"/>
          <w:bCs/>
          <w:sz w:val="20"/>
          <w:szCs w:val="20"/>
          <w:lang w:val="en-US"/>
        </w:rPr>
        <w:t>lassify the facts of this case as forced sterilization, while the State argued that this term belonged to international criminal law, so that, in this case, the Court should eventually refer to</w:t>
      </w:r>
      <w:r w:rsidR="00117945" w:rsidRPr="00012C3F">
        <w:rPr>
          <w:rFonts w:eastAsia="MS Mincho"/>
          <w:b/>
          <w:bCs/>
          <w:sz w:val="20"/>
          <w:szCs w:val="20"/>
          <w:lang w:val="en-US"/>
        </w:rPr>
        <w:t xml:space="preserve"> </w:t>
      </w:r>
      <w:r w:rsidR="00486D71" w:rsidRPr="00012C3F">
        <w:rPr>
          <w:rFonts w:eastAsia="MS Mincho"/>
          <w:bCs/>
          <w:sz w:val="20"/>
          <w:szCs w:val="20"/>
          <w:lang w:val="en-US"/>
        </w:rPr>
        <w:t xml:space="preserve">non-consensual </w:t>
      </w:r>
      <w:r w:rsidR="00117945" w:rsidRPr="00012C3F">
        <w:rPr>
          <w:rFonts w:eastAsia="MS Mincho"/>
          <w:bCs/>
          <w:sz w:val="20"/>
          <w:szCs w:val="20"/>
          <w:lang w:val="en-US"/>
        </w:rPr>
        <w:t xml:space="preserve">or involuntary </w:t>
      </w:r>
      <w:r w:rsidR="00486D71" w:rsidRPr="00012C3F">
        <w:rPr>
          <w:rFonts w:eastAsia="MS Mincho"/>
          <w:bCs/>
          <w:sz w:val="20"/>
          <w:szCs w:val="20"/>
          <w:lang w:val="en-US"/>
        </w:rPr>
        <w:t>sterilization</w:t>
      </w:r>
      <w:r w:rsidR="00E17AF2" w:rsidRPr="00012C3F">
        <w:rPr>
          <w:rFonts w:eastAsia="MS Mincho"/>
          <w:bCs/>
          <w:sz w:val="20"/>
          <w:szCs w:val="20"/>
          <w:lang w:val="en-US"/>
        </w:rPr>
        <w:t xml:space="preserve">. </w:t>
      </w:r>
      <w:r w:rsidRPr="00012C3F">
        <w:rPr>
          <w:rFonts w:eastAsia="MS Mincho"/>
          <w:bCs/>
          <w:sz w:val="20"/>
          <w:szCs w:val="20"/>
          <w:lang w:val="en-US"/>
        </w:rPr>
        <w:t>The Court</w:t>
      </w:r>
      <w:r w:rsidR="00E17AF2" w:rsidRPr="00012C3F">
        <w:rPr>
          <w:rFonts w:eastAsia="MS Mincho"/>
          <w:bCs/>
          <w:sz w:val="20"/>
          <w:szCs w:val="20"/>
          <w:lang w:val="en-US"/>
        </w:rPr>
        <w:t xml:space="preserve"> not</w:t>
      </w:r>
      <w:r w:rsidR="00117945" w:rsidRPr="00012C3F">
        <w:rPr>
          <w:rFonts w:eastAsia="MS Mincho"/>
          <w:bCs/>
          <w:sz w:val="20"/>
          <w:szCs w:val="20"/>
          <w:lang w:val="en-US"/>
        </w:rPr>
        <w:t>es that, in the sphere of human rights, different wording has been used by regional and international human rights agencies</w:t>
      </w:r>
      <w:r w:rsidR="00E17AF2" w:rsidRPr="00012C3F">
        <w:rPr>
          <w:rFonts w:eastAsia="MS Mincho"/>
          <w:bCs/>
          <w:sz w:val="20"/>
          <w:szCs w:val="20"/>
          <w:lang w:val="en-US"/>
        </w:rPr>
        <w:t xml:space="preserve">. </w:t>
      </w:r>
      <w:r w:rsidR="00117945" w:rsidRPr="00012C3F">
        <w:rPr>
          <w:rFonts w:eastAsia="MS Mincho"/>
          <w:bCs/>
          <w:sz w:val="20"/>
          <w:szCs w:val="20"/>
          <w:lang w:val="en-US"/>
        </w:rPr>
        <w:t>Thus, references has been made to</w:t>
      </w:r>
      <w:r w:rsidR="00E17AF2" w:rsidRPr="00012C3F">
        <w:rPr>
          <w:sz w:val="20"/>
          <w:szCs w:val="20"/>
          <w:lang w:val="en-US"/>
        </w:rPr>
        <w:t xml:space="preserve"> </w:t>
      </w:r>
      <w:r w:rsidR="00486D71" w:rsidRPr="00012C3F">
        <w:rPr>
          <w:bCs/>
          <w:sz w:val="20"/>
          <w:szCs w:val="20"/>
          <w:lang w:val="en-US"/>
        </w:rPr>
        <w:t>non-consensual sterilization</w:t>
      </w:r>
      <w:r w:rsidR="00117945" w:rsidRPr="00012C3F">
        <w:rPr>
          <w:bCs/>
          <w:sz w:val="20"/>
          <w:szCs w:val="20"/>
          <w:lang w:val="en-US"/>
        </w:rPr>
        <w:t>,</w:t>
      </w:r>
      <w:r w:rsidR="00E17AF2" w:rsidRPr="00012C3F">
        <w:rPr>
          <w:bCs/>
          <w:sz w:val="20"/>
          <w:szCs w:val="20"/>
          <w:vertAlign w:val="superscript"/>
          <w:lang w:val="en-US"/>
        </w:rPr>
        <w:footnoteReference w:id="267"/>
      </w:r>
      <w:r w:rsidR="00117945" w:rsidRPr="00012C3F">
        <w:rPr>
          <w:bCs/>
          <w:sz w:val="20"/>
          <w:szCs w:val="20"/>
          <w:lang w:val="en-US"/>
        </w:rPr>
        <w:t xml:space="preserve"> </w:t>
      </w:r>
      <w:r w:rsidR="00576689" w:rsidRPr="00012C3F">
        <w:rPr>
          <w:bCs/>
          <w:sz w:val="20"/>
          <w:szCs w:val="20"/>
          <w:lang w:val="en-US"/>
        </w:rPr>
        <w:t xml:space="preserve">forced or non-consensual </w:t>
      </w:r>
      <w:r w:rsidR="00117945" w:rsidRPr="00012C3F">
        <w:rPr>
          <w:sz w:val="20"/>
          <w:szCs w:val="20"/>
          <w:lang w:val="en-US"/>
        </w:rPr>
        <w:t>sterilization,</w:t>
      </w:r>
      <w:r w:rsidR="00E17AF2" w:rsidRPr="00012C3F">
        <w:rPr>
          <w:rStyle w:val="Refdenotaalpie"/>
          <w:rFonts w:eastAsia="Calibri"/>
          <w:sz w:val="20"/>
          <w:szCs w:val="20"/>
          <w:lang w:val="en-US"/>
        </w:rPr>
        <w:footnoteReference w:id="268"/>
      </w:r>
      <w:r w:rsidR="00E17AF2" w:rsidRPr="00012C3F">
        <w:rPr>
          <w:sz w:val="20"/>
          <w:szCs w:val="20"/>
          <w:lang w:val="en-US"/>
        </w:rPr>
        <w:t xml:space="preserve"> </w:t>
      </w:r>
      <w:r w:rsidR="00117945" w:rsidRPr="00012C3F">
        <w:rPr>
          <w:sz w:val="20"/>
          <w:szCs w:val="20"/>
          <w:lang w:val="en-US"/>
        </w:rPr>
        <w:t>involuntary sterilization,</w:t>
      </w:r>
      <w:r w:rsidR="00E17AF2" w:rsidRPr="00012C3F">
        <w:rPr>
          <w:rStyle w:val="Refdenotaalpie"/>
          <w:sz w:val="20"/>
          <w:szCs w:val="20"/>
          <w:lang w:val="en-US"/>
        </w:rPr>
        <w:footnoteReference w:id="269"/>
      </w:r>
      <w:r w:rsidR="00E17AF2" w:rsidRPr="00012C3F">
        <w:rPr>
          <w:sz w:val="20"/>
          <w:szCs w:val="20"/>
          <w:lang w:val="en-US"/>
        </w:rPr>
        <w:t xml:space="preserve"> </w:t>
      </w:r>
      <w:r w:rsidR="00576689" w:rsidRPr="00012C3F">
        <w:rPr>
          <w:sz w:val="20"/>
          <w:szCs w:val="20"/>
          <w:lang w:val="en-US"/>
        </w:rPr>
        <w:t>compulsory</w:t>
      </w:r>
      <w:r w:rsidR="00117945" w:rsidRPr="00012C3F">
        <w:rPr>
          <w:sz w:val="20"/>
          <w:szCs w:val="20"/>
          <w:lang w:val="en-US"/>
        </w:rPr>
        <w:t xml:space="preserve"> sterilization,</w:t>
      </w:r>
      <w:r w:rsidR="00E17AF2" w:rsidRPr="00012C3F">
        <w:rPr>
          <w:rStyle w:val="Refdenotaalpie"/>
          <w:rFonts w:eastAsia="Calibri"/>
          <w:sz w:val="20"/>
          <w:szCs w:val="20"/>
          <w:lang w:val="en-US"/>
        </w:rPr>
        <w:footnoteReference w:id="270"/>
      </w:r>
      <w:r w:rsidR="00E17AF2" w:rsidRPr="00012C3F">
        <w:rPr>
          <w:sz w:val="20"/>
          <w:szCs w:val="20"/>
          <w:lang w:val="en-US"/>
        </w:rPr>
        <w:t xml:space="preserve"> </w:t>
      </w:r>
      <w:r w:rsidR="00117945" w:rsidRPr="00012C3F">
        <w:rPr>
          <w:sz w:val="20"/>
          <w:szCs w:val="20"/>
          <w:lang w:val="en-US"/>
        </w:rPr>
        <w:t>forced sterilization</w:t>
      </w:r>
      <w:r w:rsidR="004A66B5" w:rsidRPr="00012C3F">
        <w:rPr>
          <w:sz w:val="20"/>
          <w:szCs w:val="20"/>
          <w:lang w:val="en-US"/>
        </w:rPr>
        <w:t>,</w:t>
      </w:r>
      <w:r w:rsidR="00E17AF2" w:rsidRPr="00012C3F">
        <w:rPr>
          <w:rStyle w:val="Refdenotaalpie"/>
          <w:rFonts w:eastAsia="Calibri"/>
          <w:sz w:val="20"/>
          <w:szCs w:val="20"/>
          <w:lang w:val="en-US"/>
        </w:rPr>
        <w:footnoteReference w:id="271"/>
      </w:r>
      <w:r w:rsidR="0012020B" w:rsidRPr="00012C3F">
        <w:rPr>
          <w:sz w:val="20"/>
          <w:szCs w:val="20"/>
          <w:lang w:val="en-US"/>
        </w:rPr>
        <w:t xml:space="preserve"> “</w:t>
      </w:r>
      <w:r w:rsidR="006841BA" w:rsidRPr="00012C3F">
        <w:rPr>
          <w:i/>
          <w:iCs/>
          <w:sz w:val="20"/>
          <w:szCs w:val="20"/>
          <w:lang w:val="en-US"/>
        </w:rPr>
        <w:t>esterilización f</w:t>
      </w:r>
      <w:r w:rsidR="009D3EE9" w:rsidRPr="00012C3F">
        <w:rPr>
          <w:i/>
          <w:iCs/>
          <w:sz w:val="20"/>
          <w:szCs w:val="20"/>
          <w:lang w:val="en-US"/>
        </w:rPr>
        <w:t>or</w:t>
      </w:r>
      <w:r w:rsidR="006841BA" w:rsidRPr="00012C3F">
        <w:rPr>
          <w:i/>
          <w:iCs/>
          <w:sz w:val="20"/>
          <w:szCs w:val="20"/>
          <w:lang w:val="en-US"/>
        </w:rPr>
        <w:t>z</w:t>
      </w:r>
      <w:r w:rsidR="009D3EE9" w:rsidRPr="00012C3F">
        <w:rPr>
          <w:i/>
          <w:iCs/>
          <w:sz w:val="20"/>
          <w:szCs w:val="20"/>
          <w:lang w:val="en-US"/>
        </w:rPr>
        <w:t>osa</w:t>
      </w:r>
      <w:r w:rsidR="0012020B" w:rsidRPr="00012C3F">
        <w:rPr>
          <w:sz w:val="20"/>
          <w:szCs w:val="20"/>
          <w:lang w:val="en-US"/>
        </w:rPr>
        <w:t>” [</w:t>
      </w:r>
      <w:r w:rsidR="00DF71A5" w:rsidRPr="00012C3F">
        <w:rPr>
          <w:sz w:val="20"/>
          <w:szCs w:val="20"/>
          <w:lang w:val="en-US"/>
        </w:rPr>
        <w:t>“</w:t>
      </w:r>
      <w:r w:rsidR="0012020B" w:rsidRPr="00012C3F">
        <w:rPr>
          <w:sz w:val="20"/>
          <w:szCs w:val="20"/>
          <w:lang w:val="en-US"/>
        </w:rPr>
        <w:t>forced</w:t>
      </w:r>
      <w:r w:rsidR="006841BA" w:rsidRPr="00012C3F">
        <w:rPr>
          <w:sz w:val="20"/>
          <w:szCs w:val="20"/>
          <w:lang w:val="en-US"/>
        </w:rPr>
        <w:t xml:space="preserve"> sterilization</w:t>
      </w:r>
      <w:r w:rsidR="00DF71A5" w:rsidRPr="00012C3F">
        <w:rPr>
          <w:sz w:val="20"/>
          <w:szCs w:val="20"/>
          <w:lang w:val="en-US"/>
        </w:rPr>
        <w:t>”</w:t>
      </w:r>
      <w:r w:rsidR="0012020B" w:rsidRPr="00012C3F">
        <w:rPr>
          <w:sz w:val="20"/>
          <w:szCs w:val="20"/>
          <w:lang w:val="en-US"/>
        </w:rPr>
        <w:t xml:space="preserve"> in English],</w:t>
      </w:r>
      <w:r w:rsidR="00E17AF2" w:rsidRPr="00012C3F">
        <w:rPr>
          <w:bCs/>
          <w:sz w:val="20"/>
          <w:szCs w:val="20"/>
          <w:vertAlign w:val="superscript"/>
          <w:lang w:val="en-US"/>
        </w:rPr>
        <w:footnoteReference w:id="272"/>
      </w:r>
      <w:r w:rsidR="005E5012" w:rsidRPr="00012C3F">
        <w:rPr>
          <w:bCs/>
          <w:sz w:val="20"/>
          <w:szCs w:val="20"/>
          <w:lang w:val="en-US"/>
        </w:rPr>
        <w:t xml:space="preserve"> and</w:t>
      </w:r>
      <w:r w:rsidR="00E17AF2" w:rsidRPr="00012C3F">
        <w:rPr>
          <w:rFonts w:eastAsia="MS Mincho"/>
          <w:bCs/>
          <w:sz w:val="20"/>
          <w:szCs w:val="20"/>
          <w:lang w:val="en-US"/>
        </w:rPr>
        <w:t xml:space="preserve"> </w:t>
      </w:r>
      <w:r w:rsidR="006F5646" w:rsidRPr="00012C3F">
        <w:rPr>
          <w:rFonts w:eastAsia="MS Mincho"/>
          <w:bCs/>
          <w:sz w:val="20"/>
          <w:szCs w:val="20"/>
          <w:lang w:val="en-US"/>
        </w:rPr>
        <w:t>coerced sterilization.</w:t>
      </w:r>
      <w:r w:rsidR="00E17AF2" w:rsidRPr="00012C3F">
        <w:rPr>
          <w:rFonts w:eastAsia="MS Mincho"/>
          <w:bCs/>
          <w:sz w:val="20"/>
          <w:szCs w:val="20"/>
          <w:vertAlign w:val="superscript"/>
          <w:lang w:val="en-US"/>
        </w:rPr>
        <w:footnoteReference w:id="273"/>
      </w:r>
      <w:r w:rsidR="00E17AF2" w:rsidRPr="00012C3F">
        <w:rPr>
          <w:rFonts w:eastAsia="MS Mincho"/>
          <w:bCs/>
          <w:sz w:val="20"/>
          <w:szCs w:val="20"/>
          <w:lang w:val="en-US"/>
        </w:rPr>
        <w:t xml:space="preserve"> </w:t>
      </w:r>
      <w:r w:rsidR="0012020B" w:rsidRPr="00012C3F">
        <w:rPr>
          <w:rFonts w:eastAsia="MS Mincho"/>
          <w:bCs/>
          <w:sz w:val="20"/>
          <w:szCs w:val="20"/>
          <w:lang w:val="en-US"/>
        </w:rPr>
        <w:t>For the purposes</w:t>
      </w:r>
      <w:r w:rsidR="00E17AF2" w:rsidRPr="00012C3F">
        <w:rPr>
          <w:rFonts w:eastAsia="MS Mincho"/>
          <w:bCs/>
          <w:sz w:val="20"/>
          <w:szCs w:val="20"/>
          <w:lang w:val="en-US"/>
        </w:rPr>
        <w:t xml:space="preserve"> </w:t>
      </w:r>
      <w:r w:rsidR="000F735E" w:rsidRPr="00012C3F">
        <w:rPr>
          <w:rFonts w:eastAsia="MS Mincho"/>
          <w:bCs/>
          <w:sz w:val="20"/>
          <w:szCs w:val="20"/>
          <w:lang w:val="en-US"/>
        </w:rPr>
        <w:t>of this judgment</w:t>
      </w:r>
      <w:r w:rsidR="00E17AF2" w:rsidRPr="00012C3F">
        <w:rPr>
          <w:rFonts w:eastAsia="MS Mincho"/>
          <w:bCs/>
          <w:sz w:val="20"/>
          <w:szCs w:val="20"/>
          <w:lang w:val="en-US"/>
        </w:rPr>
        <w:t xml:space="preserve">, </w:t>
      </w:r>
      <w:r w:rsidR="00DF71A5" w:rsidRPr="00012C3F">
        <w:rPr>
          <w:rFonts w:eastAsia="MS Mincho"/>
          <w:bCs/>
          <w:sz w:val="20"/>
          <w:szCs w:val="20"/>
          <w:lang w:val="en-US"/>
        </w:rPr>
        <w:t xml:space="preserve">the </w:t>
      </w:r>
      <w:r w:rsidR="00DF71A5" w:rsidRPr="00012C3F">
        <w:rPr>
          <w:rFonts w:eastAsia="MS Mincho"/>
          <w:bCs/>
          <w:sz w:val="20"/>
          <w:szCs w:val="20"/>
          <w:lang w:val="en-US"/>
        </w:rPr>
        <w:lastRenderedPageBreak/>
        <w:t xml:space="preserve">Court will consider </w:t>
      </w:r>
      <w:r w:rsidR="00DF3B7C" w:rsidRPr="00012C3F">
        <w:rPr>
          <w:rFonts w:eastAsia="MS Mincho"/>
          <w:bCs/>
          <w:sz w:val="20"/>
          <w:szCs w:val="20"/>
          <w:lang w:val="en-US"/>
        </w:rPr>
        <w:t>sterilization</w:t>
      </w:r>
      <w:r w:rsidR="00E17AF2" w:rsidRPr="00012C3F">
        <w:rPr>
          <w:rFonts w:eastAsia="MS Mincho"/>
          <w:bCs/>
          <w:sz w:val="20"/>
          <w:szCs w:val="20"/>
          <w:lang w:val="en-US"/>
        </w:rPr>
        <w:t xml:space="preserve"> </w:t>
      </w:r>
      <w:r w:rsidR="00DF71A5" w:rsidRPr="00012C3F">
        <w:rPr>
          <w:rFonts w:eastAsia="MS Mincho"/>
          <w:bCs/>
          <w:sz w:val="20"/>
          <w:szCs w:val="20"/>
          <w:lang w:val="en-US"/>
        </w:rPr>
        <w:t>without prior, free, full and informed consent as non-consensual or involuntary sterilization.</w:t>
      </w:r>
    </w:p>
    <w:p w14:paraId="01339711" w14:textId="77777777" w:rsidR="00E17AF2" w:rsidRPr="00012C3F" w:rsidRDefault="00E17AF2" w:rsidP="00E17AF2">
      <w:pPr>
        <w:widowControl/>
        <w:tabs>
          <w:tab w:val="left" w:pos="720"/>
        </w:tabs>
        <w:adjustRightInd/>
        <w:spacing w:line="240" w:lineRule="auto"/>
        <w:ind w:right="-90"/>
        <w:textAlignment w:val="auto"/>
        <w:rPr>
          <w:rFonts w:eastAsia="MS Mincho"/>
          <w:sz w:val="20"/>
          <w:szCs w:val="20"/>
          <w:lang w:val="en-US" w:eastAsia="en-US" w:bidi="en-US"/>
        </w:rPr>
      </w:pPr>
    </w:p>
    <w:p w14:paraId="33371329" w14:textId="77777777" w:rsidR="00E17AF2" w:rsidRPr="00012C3F" w:rsidRDefault="00DF71A5" w:rsidP="00DF71A5">
      <w:pPr>
        <w:numPr>
          <w:ilvl w:val="0"/>
          <w:numId w:val="5"/>
        </w:numPr>
        <w:tabs>
          <w:tab w:val="left" w:pos="720"/>
          <w:tab w:val="num" w:pos="12305"/>
        </w:tabs>
        <w:spacing w:line="240" w:lineRule="auto"/>
        <w:ind w:left="0" w:firstLine="0"/>
        <w:rPr>
          <w:rFonts w:eastAsia="MS Mincho"/>
          <w:bCs/>
          <w:sz w:val="20"/>
          <w:szCs w:val="20"/>
          <w:lang w:val="en-US"/>
        </w:rPr>
      </w:pPr>
      <w:r w:rsidRPr="00012C3F">
        <w:rPr>
          <w:rFonts w:eastAsia="MS Mincho"/>
          <w:sz w:val="20"/>
          <w:szCs w:val="20"/>
          <w:lang w:val="en-US" w:eastAsia="en-US" w:bidi="en-US"/>
        </w:rPr>
        <w:t xml:space="preserve">Accordingly, the Court must verify whether Bolivia complied with its obligation to respect and ensure, without discrimination, </w:t>
      </w:r>
      <w:r w:rsidR="00DF5BD3" w:rsidRPr="00012C3F">
        <w:rPr>
          <w:rFonts w:eastAsia="MS Mincho"/>
          <w:sz w:val="20"/>
          <w:szCs w:val="20"/>
          <w:lang w:val="en-US" w:eastAsia="en-US" w:bidi="en-US"/>
        </w:rPr>
        <w:t>the rights</w:t>
      </w:r>
      <w:r w:rsidR="00E17AF2" w:rsidRPr="00012C3F">
        <w:rPr>
          <w:rFonts w:eastAsia="MS Mincho"/>
          <w:sz w:val="20"/>
          <w:szCs w:val="20"/>
          <w:lang w:val="en-US" w:eastAsia="en-US" w:bidi="en-US"/>
        </w:rPr>
        <w:t xml:space="preserve"> </w:t>
      </w:r>
      <w:r w:rsidR="006C705C" w:rsidRPr="00012C3F">
        <w:rPr>
          <w:rFonts w:eastAsia="MS Mincho"/>
          <w:sz w:val="20"/>
          <w:szCs w:val="20"/>
          <w:lang w:val="en-US" w:eastAsia="en-US" w:bidi="en-US"/>
        </w:rPr>
        <w:t>to personal integrity</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to personal</w:t>
      </w:r>
      <w:r w:rsidR="00130362" w:rsidRPr="00012C3F">
        <w:rPr>
          <w:rFonts w:eastAsia="MS Mincho"/>
          <w:sz w:val="20"/>
          <w:szCs w:val="20"/>
          <w:lang w:val="en-US" w:eastAsia="en-US" w:bidi="en-US"/>
        </w:rPr>
        <w:t xml:space="preserve"> liberty</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to</w:t>
      </w:r>
      <w:r w:rsidR="00446D11" w:rsidRPr="00012C3F">
        <w:rPr>
          <w:rFonts w:eastAsia="MS Mincho"/>
          <w:sz w:val="20"/>
          <w:szCs w:val="20"/>
          <w:lang w:val="en-US" w:eastAsia="en-US" w:bidi="en-US"/>
        </w:rPr>
        <w:t xml:space="preserve"> </w:t>
      </w:r>
      <w:r w:rsidR="00130362" w:rsidRPr="00012C3F">
        <w:rPr>
          <w:rFonts w:eastAsia="MS Mincho"/>
          <w:sz w:val="20"/>
          <w:szCs w:val="20"/>
          <w:lang w:val="en-US" w:eastAsia="en-US" w:bidi="en-US"/>
        </w:rPr>
        <w:t>dignity</w:t>
      </w:r>
      <w:r w:rsidR="00446D11" w:rsidRPr="00012C3F">
        <w:rPr>
          <w:rFonts w:eastAsia="MS Mincho"/>
          <w:sz w:val="20"/>
          <w:szCs w:val="20"/>
          <w:lang w:val="en-US" w:eastAsia="en-US" w:bidi="en-US"/>
        </w:rPr>
        <w:t xml:space="preserve">, </w:t>
      </w:r>
      <w:r w:rsidRPr="00012C3F">
        <w:rPr>
          <w:rFonts w:eastAsia="MS Mincho"/>
          <w:sz w:val="20"/>
          <w:szCs w:val="20"/>
          <w:lang w:val="en-US" w:eastAsia="en-US" w:bidi="en-US"/>
        </w:rPr>
        <w:t>to</w:t>
      </w:r>
      <w:r w:rsidR="00E17AF2" w:rsidRPr="00012C3F">
        <w:rPr>
          <w:rFonts w:eastAsia="MS Mincho"/>
          <w:sz w:val="20"/>
          <w:szCs w:val="20"/>
          <w:lang w:val="en-US" w:eastAsia="en-US" w:bidi="en-US"/>
        </w:rPr>
        <w:t xml:space="preserve"> </w:t>
      </w:r>
      <w:r w:rsidR="00130362" w:rsidRPr="00012C3F">
        <w:rPr>
          <w:rFonts w:eastAsia="MS Mincho"/>
          <w:sz w:val="20"/>
          <w:szCs w:val="20"/>
          <w:lang w:val="en-US" w:eastAsia="en-US" w:bidi="en-US"/>
        </w:rPr>
        <w:t>private and family life</w:t>
      </w:r>
      <w:r w:rsidR="00E17AF2" w:rsidRPr="00012C3F">
        <w:rPr>
          <w:rFonts w:eastAsia="MS Mincho"/>
          <w:sz w:val="20"/>
          <w:szCs w:val="20"/>
          <w:lang w:val="en-US" w:eastAsia="en-US" w:bidi="en-US"/>
        </w:rPr>
        <w:t xml:space="preserve">, </w:t>
      </w:r>
      <w:r w:rsidR="00EF483B" w:rsidRPr="00012C3F">
        <w:rPr>
          <w:rFonts w:eastAsia="MS Mincho"/>
          <w:sz w:val="20"/>
          <w:szCs w:val="20"/>
          <w:lang w:val="en-US" w:eastAsia="en-US" w:bidi="en-US"/>
        </w:rPr>
        <w:t xml:space="preserve">to </w:t>
      </w:r>
      <w:r w:rsidR="0081491F" w:rsidRPr="00012C3F">
        <w:rPr>
          <w:rFonts w:eastAsia="MS Mincho"/>
          <w:sz w:val="20"/>
          <w:szCs w:val="20"/>
          <w:lang w:val="en-US" w:eastAsia="en-US" w:bidi="en-US"/>
        </w:rPr>
        <w:t>raise a family</w:t>
      </w:r>
      <w:r w:rsidR="005E5012" w:rsidRPr="00012C3F">
        <w:rPr>
          <w:rFonts w:eastAsia="MS Mincho"/>
          <w:sz w:val="20"/>
          <w:szCs w:val="20"/>
          <w:lang w:val="en-US" w:eastAsia="en-US" w:bidi="en-US"/>
        </w:rPr>
        <w:t xml:space="preserve"> and </w:t>
      </w:r>
      <w:r w:rsidR="006C705C" w:rsidRPr="00012C3F">
        <w:rPr>
          <w:rFonts w:eastAsia="MS Mincho"/>
          <w:sz w:val="20"/>
          <w:szCs w:val="20"/>
          <w:lang w:val="en-US" w:eastAsia="en-US" w:bidi="en-US"/>
        </w:rPr>
        <w:t>of access to information</w:t>
      </w:r>
      <w:r w:rsidR="00E17AF2" w:rsidRPr="00012C3F">
        <w:rPr>
          <w:rFonts w:eastAsia="MS Mincho"/>
          <w:sz w:val="20"/>
          <w:szCs w:val="20"/>
          <w:lang w:val="en-US" w:eastAsia="en-US" w:bidi="en-US"/>
        </w:rPr>
        <w:t xml:space="preserve">, </w:t>
      </w:r>
      <w:r w:rsidR="006C705C" w:rsidRPr="00012C3F">
        <w:rPr>
          <w:rFonts w:eastAsia="MS Mincho"/>
          <w:sz w:val="20"/>
          <w:szCs w:val="20"/>
          <w:lang w:val="en-US" w:eastAsia="en-US" w:bidi="en-US"/>
        </w:rPr>
        <w:t>in relation to</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 xml:space="preserve">personal autonomy </w:t>
      </w:r>
      <w:r w:rsidR="005E5012" w:rsidRPr="00012C3F">
        <w:rPr>
          <w:rFonts w:eastAsia="MS Mincho"/>
          <w:sz w:val="20"/>
          <w:szCs w:val="20"/>
          <w:lang w:val="en-US" w:eastAsia="en-US" w:bidi="en-US"/>
        </w:rPr>
        <w:t xml:space="preserve">and </w:t>
      </w:r>
      <w:r w:rsidR="00A54991" w:rsidRPr="00012C3F">
        <w:rPr>
          <w:rFonts w:eastAsia="MS Mincho"/>
          <w:sz w:val="20"/>
          <w:szCs w:val="20"/>
          <w:lang w:val="en-US" w:eastAsia="en-US" w:bidi="en-US"/>
        </w:rPr>
        <w:t>sexual and reproductive health</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by prior, free, full and informed consent</w:t>
      </w:r>
      <w:r w:rsidR="00E17AF2" w:rsidRPr="00012C3F">
        <w:rPr>
          <w:rFonts w:eastAsia="MS Mincho"/>
          <w:sz w:val="20"/>
          <w:szCs w:val="20"/>
          <w:lang w:val="en-US" w:eastAsia="en-US" w:bidi="en-US"/>
        </w:rPr>
        <w:t>.</w:t>
      </w:r>
      <w:r w:rsidR="00E17AF2" w:rsidRPr="00012C3F">
        <w:rPr>
          <w:sz w:val="20"/>
          <w:szCs w:val="20"/>
          <w:lang w:val="en-US"/>
        </w:rPr>
        <w:t xml:space="preserve"> </w:t>
      </w:r>
      <w:r w:rsidRPr="00012C3F">
        <w:rPr>
          <w:sz w:val="20"/>
          <w:szCs w:val="20"/>
          <w:lang w:val="en-US"/>
        </w:rPr>
        <w:t>Together with the foregoing, the Court must determine to what extent the facts of this case constitute</w:t>
      </w:r>
      <w:r w:rsidR="004A66B5" w:rsidRPr="00012C3F">
        <w:rPr>
          <w:sz w:val="20"/>
          <w:szCs w:val="20"/>
          <w:lang w:val="en-US"/>
        </w:rPr>
        <w:t>d</w:t>
      </w:r>
      <w:r w:rsidRPr="00012C3F">
        <w:rPr>
          <w:sz w:val="20"/>
          <w:szCs w:val="20"/>
          <w:lang w:val="en-US"/>
        </w:rPr>
        <w:t xml:space="preserve"> an act of violence against women</w:t>
      </w:r>
      <w:r w:rsidR="00E17AF2" w:rsidRPr="00012C3F">
        <w:rPr>
          <w:sz w:val="20"/>
          <w:szCs w:val="20"/>
          <w:lang w:val="en-US"/>
        </w:rPr>
        <w:t>.</w:t>
      </w:r>
    </w:p>
    <w:p w14:paraId="62E6D746" w14:textId="77777777" w:rsidR="00E17AF2" w:rsidRPr="00012C3F" w:rsidRDefault="00E17AF2" w:rsidP="00DF71A5">
      <w:pPr>
        <w:widowControl/>
        <w:tabs>
          <w:tab w:val="left" w:pos="720"/>
        </w:tabs>
        <w:adjustRightInd/>
        <w:spacing w:line="240" w:lineRule="auto"/>
        <w:ind w:right="-90"/>
        <w:textAlignment w:val="auto"/>
        <w:rPr>
          <w:rFonts w:eastAsia="MS Mincho"/>
          <w:sz w:val="20"/>
          <w:szCs w:val="20"/>
          <w:lang w:val="en-US" w:eastAsia="en-US" w:bidi="en-US"/>
        </w:rPr>
      </w:pPr>
    </w:p>
    <w:p w14:paraId="4CDD736E" w14:textId="77777777" w:rsidR="00E17AF2" w:rsidRPr="00012C3F" w:rsidRDefault="00E17AF2" w:rsidP="00DF71A5">
      <w:pPr>
        <w:pStyle w:val="Ttulo3"/>
        <w:tabs>
          <w:tab w:val="clear" w:pos="567"/>
          <w:tab w:val="left" w:pos="720"/>
          <w:tab w:val="left" w:pos="2552"/>
        </w:tabs>
        <w:ind w:left="1701"/>
        <w:rPr>
          <w:rFonts w:eastAsia="MS Mincho" w:cs="Arial"/>
          <w:b w:val="0"/>
          <w:i/>
          <w:spacing w:val="0"/>
          <w:lang w:val="en-US" w:eastAsia="en-US"/>
        </w:rPr>
      </w:pPr>
      <w:bookmarkStart w:id="140" w:name="_Toc465446863"/>
      <w:bookmarkStart w:id="141" w:name="_Toc27486868"/>
      <w:r w:rsidRPr="00012C3F">
        <w:rPr>
          <w:rFonts w:eastAsia="MS Mincho" w:cs="Arial"/>
          <w:b w:val="0"/>
          <w:i/>
          <w:spacing w:val="0"/>
          <w:lang w:val="en-US" w:eastAsia="en-US"/>
        </w:rPr>
        <w:t>B.3.a</w:t>
      </w:r>
      <w:r w:rsidRPr="00012C3F">
        <w:rPr>
          <w:rFonts w:eastAsia="MS Mincho" w:cs="Arial"/>
          <w:b w:val="0"/>
          <w:i/>
          <w:spacing w:val="0"/>
          <w:lang w:val="en-US" w:eastAsia="en-US"/>
        </w:rPr>
        <w:tab/>
      </w:r>
      <w:r w:rsidR="00DF71A5" w:rsidRPr="00012C3F">
        <w:rPr>
          <w:rFonts w:eastAsia="MS Mincho" w:cs="Arial"/>
          <w:b w:val="0"/>
          <w:i/>
          <w:spacing w:val="0"/>
          <w:lang w:val="en-US" w:eastAsia="en-US"/>
        </w:rPr>
        <w:t>Duty of prevention with regard to</w:t>
      </w:r>
      <w:r w:rsidRPr="00012C3F">
        <w:rPr>
          <w:rFonts w:eastAsia="MS Mincho" w:cs="Arial"/>
          <w:b w:val="0"/>
          <w:i/>
          <w:spacing w:val="0"/>
          <w:lang w:val="en-US" w:eastAsia="en-US"/>
        </w:rPr>
        <w:t xml:space="preserve"> </w:t>
      </w:r>
      <w:r w:rsidR="00DF5BD3" w:rsidRPr="00012C3F">
        <w:rPr>
          <w:rFonts w:eastAsia="MS Mincho" w:cs="Arial"/>
          <w:b w:val="0"/>
          <w:i/>
          <w:spacing w:val="0"/>
          <w:lang w:val="en-US" w:eastAsia="en-US"/>
        </w:rPr>
        <w:t>the rights</w:t>
      </w:r>
      <w:r w:rsidRPr="00012C3F">
        <w:rPr>
          <w:rFonts w:eastAsia="MS Mincho" w:cs="Arial"/>
          <w:b w:val="0"/>
          <w:i/>
          <w:spacing w:val="0"/>
          <w:lang w:val="en-US" w:eastAsia="en-US"/>
        </w:rPr>
        <w:t xml:space="preserve"> </w:t>
      </w:r>
      <w:r w:rsidR="00DF5BD3" w:rsidRPr="00012C3F">
        <w:rPr>
          <w:rFonts w:eastAsia="MS Mincho" w:cs="Arial"/>
          <w:b w:val="0"/>
          <w:i/>
          <w:spacing w:val="0"/>
          <w:lang w:val="en-US" w:eastAsia="en-US"/>
        </w:rPr>
        <w:t>recognized in</w:t>
      </w:r>
      <w:r w:rsidRPr="00012C3F">
        <w:rPr>
          <w:rFonts w:eastAsia="MS Mincho" w:cs="Arial"/>
          <w:b w:val="0"/>
          <w:i/>
          <w:spacing w:val="0"/>
          <w:lang w:val="en-US" w:eastAsia="en-US"/>
        </w:rPr>
        <w:t xml:space="preserve"> </w:t>
      </w:r>
      <w:r w:rsidR="001254DE" w:rsidRPr="00012C3F">
        <w:rPr>
          <w:rFonts w:eastAsia="MS Mincho" w:cs="Arial"/>
          <w:b w:val="0"/>
          <w:i/>
          <w:spacing w:val="0"/>
          <w:lang w:val="en-US" w:eastAsia="en-US"/>
        </w:rPr>
        <w:t>Articles</w:t>
      </w:r>
      <w:r w:rsidRPr="00012C3F">
        <w:rPr>
          <w:rFonts w:eastAsia="MS Mincho" w:cs="Arial"/>
          <w:b w:val="0"/>
          <w:i/>
          <w:spacing w:val="0"/>
          <w:lang w:val="en-US" w:eastAsia="en-US"/>
        </w:rPr>
        <w:t xml:space="preserve"> 5, 7, 11, 13</w:t>
      </w:r>
      <w:r w:rsidR="005E5012" w:rsidRPr="00012C3F">
        <w:rPr>
          <w:rFonts w:eastAsia="MS Mincho" w:cs="Arial"/>
          <w:b w:val="0"/>
          <w:i/>
          <w:spacing w:val="0"/>
          <w:lang w:val="en-US" w:eastAsia="en-US"/>
        </w:rPr>
        <w:t xml:space="preserve"> and </w:t>
      </w:r>
      <w:r w:rsidRPr="00012C3F">
        <w:rPr>
          <w:rFonts w:eastAsia="MS Mincho" w:cs="Arial"/>
          <w:b w:val="0"/>
          <w:i/>
          <w:spacing w:val="0"/>
          <w:lang w:val="en-US" w:eastAsia="en-US"/>
        </w:rPr>
        <w:t>17</w:t>
      </w:r>
      <w:r w:rsidR="001254DE" w:rsidRPr="00012C3F">
        <w:rPr>
          <w:rFonts w:eastAsia="MS Mincho" w:cs="Arial"/>
          <w:b w:val="0"/>
          <w:i/>
          <w:spacing w:val="0"/>
          <w:lang w:val="en-US" w:eastAsia="en-US"/>
        </w:rPr>
        <w:t xml:space="preserve"> of the American Convention</w:t>
      </w:r>
      <w:r w:rsidR="005E5012" w:rsidRPr="00012C3F">
        <w:rPr>
          <w:rFonts w:eastAsia="MS Mincho" w:cs="Arial"/>
          <w:b w:val="0"/>
          <w:i/>
          <w:spacing w:val="0"/>
          <w:lang w:val="en-US" w:eastAsia="en-US"/>
        </w:rPr>
        <w:t xml:space="preserve"> and </w:t>
      </w:r>
      <w:r w:rsidR="00DF71A5" w:rsidRPr="00012C3F">
        <w:rPr>
          <w:rFonts w:eastAsia="MS Mincho" w:cs="Arial"/>
          <w:b w:val="0"/>
          <w:i/>
          <w:spacing w:val="0"/>
          <w:lang w:val="en-US" w:eastAsia="en-US"/>
        </w:rPr>
        <w:t>7(b)</w:t>
      </w:r>
      <w:r w:rsidR="001254DE" w:rsidRPr="00012C3F">
        <w:rPr>
          <w:rFonts w:eastAsia="MS Mincho" w:cs="Arial"/>
          <w:b w:val="0"/>
          <w:i/>
          <w:spacing w:val="0"/>
          <w:lang w:val="en-US" w:eastAsia="en-US"/>
        </w:rPr>
        <w:t xml:space="preserve"> of the Convention</w:t>
      </w:r>
      <w:r w:rsidRPr="00012C3F">
        <w:rPr>
          <w:rFonts w:eastAsia="MS Mincho" w:cs="Arial"/>
          <w:b w:val="0"/>
          <w:i/>
          <w:spacing w:val="0"/>
          <w:lang w:val="en-US" w:eastAsia="en-US"/>
        </w:rPr>
        <w:t xml:space="preserve"> </w:t>
      </w:r>
      <w:r w:rsidR="005E5012" w:rsidRPr="00012C3F">
        <w:rPr>
          <w:rFonts w:eastAsia="MS Mincho" w:cs="Arial"/>
          <w:b w:val="0"/>
          <w:i/>
          <w:spacing w:val="0"/>
          <w:lang w:val="en-US" w:eastAsia="en-US"/>
        </w:rPr>
        <w:t>of Belém</w:t>
      </w:r>
      <w:r w:rsidRPr="00012C3F">
        <w:rPr>
          <w:rFonts w:eastAsia="MS Mincho" w:cs="Arial"/>
          <w:b w:val="0"/>
          <w:i/>
          <w:spacing w:val="0"/>
          <w:lang w:val="en-US" w:eastAsia="en-US"/>
        </w:rPr>
        <w:t xml:space="preserve"> do Pará</w:t>
      </w:r>
      <w:bookmarkEnd w:id="140"/>
      <w:bookmarkEnd w:id="141"/>
    </w:p>
    <w:p w14:paraId="66A220C5" w14:textId="77777777" w:rsidR="00E17AF2" w:rsidRPr="00012C3F" w:rsidRDefault="00E17AF2" w:rsidP="00DF71A5">
      <w:pPr>
        <w:widowControl/>
        <w:tabs>
          <w:tab w:val="left" w:pos="720"/>
        </w:tabs>
        <w:adjustRightInd/>
        <w:spacing w:line="240" w:lineRule="auto"/>
        <w:ind w:right="-90"/>
        <w:textAlignment w:val="auto"/>
        <w:rPr>
          <w:rFonts w:eastAsia="MS Mincho"/>
          <w:b/>
          <w:i/>
          <w:sz w:val="20"/>
          <w:szCs w:val="20"/>
          <w:lang w:val="en-US" w:eastAsia="en-US" w:bidi="en-US"/>
        </w:rPr>
      </w:pPr>
    </w:p>
    <w:p w14:paraId="74D00F4A" w14:textId="77777777" w:rsidR="00E17AF2" w:rsidRPr="00012C3F" w:rsidRDefault="001254DE" w:rsidP="001E73F2">
      <w:pPr>
        <w:numPr>
          <w:ilvl w:val="0"/>
          <w:numId w:val="5"/>
        </w:numPr>
        <w:tabs>
          <w:tab w:val="left" w:pos="720"/>
          <w:tab w:val="num" w:pos="12305"/>
        </w:tabs>
        <w:spacing w:line="240" w:lineRule="auto"/>
        <w:ind w:left="0" w:firstLine="0"/>
        <w:rPr>
          <w:rFonts w:eastAsia="MS Mincho"/>
          <w:b/>
          <w:i/>
          <w:sz w:val="20"/>
          <w:szCs w:val="20"/>
          <w:lang w:val="en-US" w:eastAsia="en-US" w:bidi="en-US"/>
        </w:rPr>
      </w:pPr>
      <w:r w:rsidRPr="00012C3F">
        <w:rPr>
          <w:rFonts w:eastAsia="MS Mincho"/>
          <w:sz w:val="20"/>
          <w:szCs w:val="20"/>
          <w:lang w:val="en-US" w:eastAsia="en-US" w:bidi="en-US"/>
        </w:rPr>
        <w:t>The Court</w:t>
      </w:r>
      <w:r w:rsidR="00E17AF2" w:rsidRPr="00012C3F">
        <w:rPr>
          <w:rFonts w:eastAsia="MS Mincho"/>
          <w:sz w:val="20"/>
          <w:szCs w:val="20"/>
          <w:lang w:val="en-US" w:eastAsia="en-US" w:bidi="en-US"/>
        </w:rPr>
        <w:t xml:space="preserve"> reitera</w:t>
      </w:r>
      <w:r w:rsidR="001E73F2" w:rsidRPr="00012C3F">
        <w:rPr>
          <w:rFonts w:eastAsia="MS Mincho"/>
          <w:sz w:val="20"/>
          <w:szCs w:val="20"/>
          <w:lang w:val="en-US" w:eastAsia="en-US" w:bidi="en-US"/>
        </w:rPr>
        <w:t>tes</w:t>
      </w:r>
      <w:r w:rsidR="00E17AF2" w:rsidRPr="00012C3F">
        <w:rPr>
          <w:rFonts w:eastAsia="MS Mincho"/>
          <w:sz w:val="20"/>
          <w:szCs w:val="20"/>
          <w:lang w:val="en-US" w:eastAsia="en-US" w:bidi="en-US"/>
        </w:rPr>
        <w:t xml:space="preserve"> </w:t>
      </w:r>
      <w:r w:rsidR="001E73F2" w:rsidRPr="00012C3F">
        <w:rPr>
          <w:rFonts w:eastAsia="MS Mincho"/>
          <w:sz w:val="20"/>
          <w:szCs w:val="20"/>
          <w:lang w:val="en-US" w:eastAsia="en-US" w:bidi="en-US"/>
        </w:rPr>
        <w:t>that it is not sufficient that States merely refrain from violating rights</w:t>
      </w:r>
      <w:r w:rsidR="004A66B5" w:rsidRPr="00012C3F">
        <w:rPr>
          <w:rFonts w:eastAsia="MS Mincho"/>
          <w:sz w:val="20"/>
          <w:szCs w:val="20"/>
          <w:lang w:val="en-US" w:eastAsia="en-US" w:bidi="en-US"/>
        </w:rPr>
        <w:t>;</w:t>
      </w:r>
      <w:r w:rsidR="001E73F2" w:rsidRPr="00012C3F">
        <w:rPr>
          <w:rFonts w:eastAsia="MS Mincho"/>
          <w:sz w:val="20"/>
          <w:szCs w:val="20"/>
          <w:lang w:val="en-US" w:eastAsia="en-US" w:bidi="en-US"/>
        </w:rPr>
        <w:t xml:space="preserve"> it is also essential that they take positive measures, determined based on the specific needs for protection of the subject of law, due either to their personal condition or </w:t>
      </w:r>
      <w:r w:rsidR="004A66B5" w:rsidRPr="00012C3F">
        <w:rPr>
          <w:rFonts w:eastAsia="MS Mincho"/>
          <w:sz w:val="20"/>
          <w:szCs w:val="20"/>
          <w:lang w:val="en-US" w:eastAsia="en-US" w:bidi="en-US"/>
        </w:rPr>
        <w:t xml:space="preserve">to </w:t>
      </w:r>
      <w:r w:rsidR="001E73F2" w:rsidRPr="00012C3F">
        <w:rPr>
          <w:rFonts w:eastAsia="MS Mincho"/>
          <w:sz w:val="20"/>
          <w:szCs w:val="20"/>
          <w:lang w:val="en-US" w:eastAsia="en-US" w:bidi="en-US"/>
        </w:rPr>
        <w:t>the specific situation in which they find themselves.</w:t>
      </w:r>
      <w:bookmarkStart w:id="142" w:name="_Ref248140230"/>
      <w:r w:rsidR="00E17AF2" w:rsidRPr="00012C3F">
        <w:rPr>
          <w:rFonts w:eastAsia="MS Mincho"/>
          <w:sz w:val="20"/>
          <w:szCs w:val="20"/>
          <w:vertAlign w:val="superscript"/>
          <w:lang w:val="en-US" w:eastAsia="en-US" w:bidi="en-US"/>
        </w:rPr>
        <w:footnoteReference w:id="274"/>
      </w:r>
      <w:bookmarkEnd w:id="142"/>
      <w:r w:rsidR="00253415" w:rsidRPr="00012C3F">
        <w:rPr>
          <w:rFonts w:eastAsia="MS Mincho"/>
          <w:sz w:val="20"/>
          <w:szCs w:val="20"/>
          <w:lang w:val="en-US" w:eastAsia="en-US" w:bidi="en-US"/>
        </w:rPr>
        <w:t xml:space="preserve"> </w:t>
      </w:r>
    </w:p>
    <w:p w14:paraId="6CE76F09" w14:textId="77777777" w:rsidR="00E17AF2" w:rsidRPr="00012C3F" w:rsidRDefault="00E17AF2" w:rsidP="00E17AF2">
      <w:pPr>
        <w:widowControl/>
        <w:tabs>
          <w:tab w:val="left" w:pos="720"/>
        </w:tabs>
        <w:adjustRightInd/>
        <w:spacing w:line="240" w:lineRule="auto"/>
        <w:ind w:right="-90"/>
        <w:textAlignment w:val="auto"/>
        <w:rPr>
          <w:rFonts w:eastAsia="MS Mincho"/>
          <w:b/>
          <w:i/>
          <w:sz w:val="20"/>
          <w:szCs w:val="20"/>
          <w:lang w:val="en-US" w:eastAsia="en-US" w:bidi="en-US"/>
        </w:rPr>
      </w:pPr>
    </w:p>
    <w:p w14:paraId="059B8E81" w14:textId="77777777" w:rsidR="00E17AF2" w:rsidRPr="00012C3F" w:rsidRDefault="001E73F2" w:rsidP="00253415">
      <w:pPr>
        <w:numPr>
          <w:ilvl w:val="0"/>
          <w:numId w:val="5"/>
        </w:numPr>
        <w:tabs>
          <w:tab w:val="left" w:pos="720"/>
          <w:tab w:val="num" w:pos="12305"/>
        </w:tabs>
        <w:spacing w:line="240" w:lineRule="auto"/>
        <w:ind w:left="0" w:firstLine="0"/>
        <w:rPr>
          <w:rFonts w:eastAsia="MS Mincho"/>
          <w:b/>
          <w:i/>
          <w:sz w:val="20"/>
          <w:szCs w:val="20"/>
          <w:lang w:val="en-US" w:eastAsia="en-US" w:bidi="en-US"/>
        </w:rPr>
      </w:pPr>
      <w:r w:rsidRPr="00012C3F">
        <w:rPr>
          <w:rFonts w:eastAsia="MS Mincho"/>
          <w:sz w:val="20"/>
          <w:szCs w:val="20"/>
          <w:lang w:val="en-US" w:eastAsia="en-US" w:bidi="en-US"/>
        </w:rPr>
        <w:t>With regard to the obligation to ensure rights, the Court has established that this may be complied with in different ways, based on the specific right that the Stat</w:t>
      </w:r>
      <w:r w:rsidR="00253415" w:rsidRPr="00012C3F">
        <w:rPr>
          <w:rFonts w:eastAsia="MS Mincho"/>
          <w:sz w:val="20"/>
          <w:szCs w:val="20"/>
          <w:lang w:val="en-US" w:eastAsia="en-US" w:bidi="en-US"/>
        </w:rPr>
        <w:t>e</w:t>
      </w:r>
      <w:r w:rsidRPr="00012C3F">
        <w:rPr>
          <w:rFonts w:eastAsia="MS Mincho"/>
          <w:sz w:val="20"/>
          <w:szCs w:val="20"/>
          <w:lang w:val="en-US" w:eastAsia="en-US" w:bidi="en-US"/>
        </w:rPr>
        <w:t xml:space="preserve"> must ensure and the particular needs for protection.</w:t>
      </w:r>
      <w:r w:rsidR="00E17AF2" w:rsidRPr="00012C3F">
        <w:rPr>
          <w:rFonts w:eastAsia="MS Mincho"/>
          <w:sz w:val="20"/>
          <w:szCs w:val="20"/>
          <w:vertAlign w:val="superscript"/>
          <w:lang w:val="en-US" w:eastAsia="en-US" w:bidi="en-US"/>
        </w:rPr>
        <w:footnoteReference w:id="275"/>
      </w:r>
      <w:r w:rsidRPr="00012C3F">
        <w:rPr>
          <w:rFonts w:eastAsia="MS Mincho"/>
          <w:sz w:val="20"/>
          <w:szCs w:val="20"/>
          <w:lang w:val="en-US" w:eastAsia="en-US" w:bidi="en-US"/>
        </w:rPr>
        <w:t xml:space="preserve"> This obligation </w:t>
      </w:r>
      <w:r w:rsidR="00253415" w:rsidRPr="00012C3F">
        <w:rPr>
          <w:rFonts w:eastAsia="MS Mincho"/>
          <w:sz w:val="20"/>
          <w:szCs w:val="20"/>
          <w:lang w:val="en-US" w:eastAsia="en-US" w:bidi="en-US"/>
        </w:rPr>
        <w:t>entails the duty</w:t>
      </w:r>
      <w:r w:rsidR="004A66B5" w:rsidRPr="00012C3F">
        <w:rPr>
          <w:rFonts w:eastAsia="MS Mincho"/>
          <w:sz w:val="20"/>
          <w:szCs w:val="20"/>
          <w:lang w:val="en-US" w:eastAsia="en-US" w:bidi="en-US"/>
        </w:rPr>
        <w:t xml:space="preserve"> of States</w:t>
      </w:r>
      <w:r w:rsidR="00253415" w:rsidRPr="00012C3F">
        <w:rPr>
          <w:rFonts w:eastAsia="MS Mincho"/>
          <w:sz w:val="20"/>
          <w:szCs w:val="20"/>
          <w:lang w:val="en-US" w:eastAsia="en-US" w:bidi="en-US"/>
        </w:rPr>
        <w:t xml:space="preserve"> to organize the whole government apparatus and, in general, all the structures through which the exercise of public authority is exercised, so that they are able to legally ensure the free and full exercise of human rights.</w:t>
      </w:r>
      <w:bookmarkStart w:id="143" w:name="_Ref248140117"/>
      <w:r w:rsidR="00E17AF2" w:rsidRPr="00012C3F">
        <w:rPr>
          <w:rFonts w:eastAsia="MS Mincho"/>
          <w:sz w:val="20"/>
          <w:szCs w:val="20"/>
          <w:vertAlign w:val="superscript"/>
          <w:lang w:val="en-US" w:eastAsia="en-US" w:bidi="en-US"/>
        </w:rPr>
        <w:footnoteReference w:id="276"/>
      </w:r>
      <w:bookmarkEnd w:id="143"/>
      <w:r w:rsidR="00253415" w:rsidRPr="00012C3F">
        <w:rPr>
          <w:rFonts w:eastAsia="MS Mincho"/>
          <w:sz w:val="20"/>
          <w:szCs w:val="20"/>
          <w:lang w:val="en-US" w:eastAsia="en-US" w:bidi="en-US"/>
        </w:rPr>
        <w:t xml:space="preserve"> As part of this obligation, </w:t>
      </w:r>
      <w:r w:rsidR="004A66B5" w:rsidRPr="00012C3F">
        <w:rPr>
          <w:rFonts w:eastAsia="MS Mincho"/>
          <w:sz w:val="20"/>
          <w:szCs w:val="20"/>
          <w:lang w:val="en-US" w:eastAsia="en-US" w:bidi="en-US"/>
        </w:rPr>
        <w:t>the State has</w:t>
      </w:r>
      <w:r w:rsidR="00253415" w:rsidRPr="00012C3F">
        <w:rPr>
          <w:rFonts w:eastAsia="MS Mincho"/>
          <w:sz w:val="20"/>
          <w:szCs w:val="20"/>
          <w:lang w:val="en-US" w:eastAsia="en-US" w:bidi="en-US"/>
        </w:rPr>
        <w:t xml:space="preserve"> the legal obligation “to prevent, within reason, the violation of human rights, to investigate seriously with the means available to it any violations committed within its jurisdiction in order to identify those responsible, to impose the pertinent punishments on them, and to ensure that the victim receives adequate redress.</w:t>
      </w:r>
      <w:r w:rsidR="00E17AF2" w:rsidRPr="00012C3F">
        <w:rPr>
          <w:rFonts w:eastAsia="MS Mincho"/>
          <w:sz w:val="20"/>
          <w:szCs w:val="20"/>
          <w:lang w:val="en-US" w:eastAsia="en-US" w:bidi="en-US"/>
        </w:rPr>
        <w:t>”</w:t>
      </w:r>
      <w:r w:rsidR="00E17AF2" w:rsidRPr="00012C3F">
        <w:rPr>
          <w:rFonts w:eastAsia="MS Mincho"/>
          <w:sz w:val="20"/>
          <w:szCs w:val="20"/>
          <w:vertAlign w:val="superscript"/>
          <w:lang w:val="en-US" w:eastAsia="en-US" w:bidi="en-US"/>
        </w:rPr>
        <w:footnoteReference w:id="277"/>
      </w:r>
      <w:bookmarkStart w:id="144" w:name="_Ref243380804"/>
    </w:p>
    <w:p w14:paraId="3BB6A36F" w14:textId="77777777" w:rsidR="00E17AF2" w:rsidRPr="00012C3F" w:rsidRDefault="00E17AF2" w:rsidP="001E73F2">
      <w:pPr>
        <w:tabs>
          <w:tab w:val="left" w:pos="720"/>
        </w:tabs>
        <w:spacing w:line="240" w:lineRule="auto"/>
        <w:rPr>
          <w:b/>
          <w:i/>
          <w:sz w:val="20"/>
          <w:szCs w:val="20"/>
          <w:lang w:val="en-US"/>
        </w:rPr>
      </w:pPr>
    </w:p>
    <w:p w14:paraId="68A8B87B" w14:textId="77777777" w:rsidR="00E17AF2" w:rsidRPr="00012C3F" w:rsidRDefault="00253415" w:rsidP="00B21DD5">
      <w:pPr>
        <w:numPr>
          <w:ilvl w:val="0"/>
          <w:numId w:val="5"/>
        </w:numPr>
        <w:tabs>
          <w:tab w:val="left" w:pos="720"/>
          <w:tab w:val="num" w:pos="12305"/>
        </w:tabs>
        <w:spacing w:line="240" w:lineRule="auto"/>
        <w:ind w:left="0" w:firstLine="0"/>
        <w:rPr>
          <w:rFonts w:eastAsia="MS Mincho"/>
          <w:b/>
          <w:i/>
          <w:sz w:val="20"/>
          <w:szCs w:val="20"/>
          <w:lang w:val="en-US" w:eastAsia="en-US" w:bidi="en-US"/>
        </w:rPr>
      </w:pPr>
      <w:r w:rsidRPr="00012C3F">
        <w:rPr>
          <w:rFonts w:eastAsia="MS Mincho"/>
          <w:sz w:val="20"/>
          <w:szCs w:val="20"/>
          <w:lang w:val="en-US" w:eastAsia="en-US" w:bidi="en-US"/>
        </w:rPr>
        <w:t>Furthermore, the Court has established that the duty of prevention, which forms part of the general obligation to ensure rights, encompasses all those measures of a legal, political, administrative and cultural nature that promote the safeguard of</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human</w:t>
      </w:r>
      <w:r w:rsidR="00DF5BD3" w:rsidRPr="00012C3F">
        <w:rPr>
          <w:rFonts w:eastAsia="MS Mincho"/>
          <w:sz w:val="20"/>
          <w:szCs w:val="20"/>
          <w:lang w:val="en-US" w:eastAsia="en-US" w:bidi="en-US"/>
        </w:rPr>
        <w:t xml:space="preserve"> rights</w:t>
      </w:r>
      <w:r w:rsidR="00E17AF2" w:rsidRPr="00012C3F">
        <w:rPr>
          <w:rFonts w:eastAsia="MS Mincho"/>
          <w:sz w:val="20"/>
          <w:szCs w:val="20"/>
          <w:lang w:val="en-US" w:eastAsia="en-US" w:bidi="en-US"/>
        </w:rPr>
        <w:t xml:space="preserve"> </w:t>
      </w:r>
      <w:r w:rsidR="005E5012" w:rsidRPr="00012C3F">
        <w:rPr>
          <w:rFonts w:eastAsia="MS Mincho"/>
          <w:sz w:val="20"/>
          <w:szCs w:val="20"/>
          <w:lang w:val="en-US" w:eastAsia="en-US" w:bidi="en-US"/>
        </w:rPr>
        <w:t xml:space="preserve">and </w:t>
      </w:r>
      <w:r w:rsidRPr="00012C3F">
        <w:rPr>
          <w:rFonts w:eastAsia="MS Mincho"/>
          <w:sz w:val="20"/>
          <w:szCs w:val="20"/>
          <w:lang w:val="en-US" w:eastAsia="en-US" w:bidi="en-US"/>
        </w:rPr>
        <w:t>that ensure that eventual violations of these rights are effectively considered and treated as a wrongful act that, as such, is liable to entail punishment for the person who commits it</w:t>
      </w:r>
      <w:r w:rsidR="00E17AF2" w:rsidRPr="00012C3F">
        <w:rPr>
          <w:rFonts w:eastAsia="MS Mincho"/>
          <w:sz w:val="20"/>
          <w:szCs w:val="20"/>
          <w:lang w:val="en-US" w:eastAsia="en-US" w:bidi="en-US"/>
        </w:rPr>
        <w:t>, as</w:t>
      </w:r>
      <w:r w:rsidRPr="00012C3F">
        <w:rPr>
          <w:rFonts w:eastAsia="MS Mincho"/>
          <w:sz w:val="20"/>
          <w:szCs w:val="20"/>
          <w:lang w:val="en-US" w:eastAsia="en-US" w:bidi="en-US"/>
        </w:rPr>
        <w:t xml:space="preserve"> well as the obligation to compensate the victims for the </w:t>
      </w:r>
      <w:r w:rsidR="004A66B5" w:rsidRPr="00012C3F">
        <w:rPr>
          <w:rFonts w:eastAsia="MS Mincho"/>
          <w:sz w:val="20"/>
          <w:szCs w:val="20"/>
          <w:lang w:val="en-US" w:eastAsia="en-US" w:bidi="en-US"/>
        </w:rPr>
        <w:t>adverse</w:t>
      </w:r>
      <w:r w:rsidRPr="00012C3F">
        <w:rPr>
          <w:rFonts w:eastAsia="MS Mincho"/>
          <w:sz w:val="20"/>
          <w:szCs w:val="20"/>
          <w:lang w:val="en-US" w:eastAsia="en-US" w:bidi="en-US"/>
        </w:rPr>
        <w:t xml:space="preserve"> consequences. It is also clear that the duty of prevention is one of means or conduct and failure to comply with it </w:t>
      </w:r>
      <w:r w:rsidR="00B21DD5" w:rsidRPr="00012C3F">
        <w:rPr>
          <w:rFonts w:eastAsia="MS Mincho"/>
          <w:sz w:val="20"/>
          <w:szCs w:val="20"/>
          <w:lang w:val="en-US" w:eastAsia="en-US" w:bidi="en-US"/>
        </w:rPr>
        <w:t xml:space="preserve">is not proved by the mere fact </w:t>
      </w:r>
      <w:r w:rsidR="00B21DD5" w:rsidRPr="00012C3F">
        <w:rPr>
          <w:rFonts w:eastAsia="MS Mincho"/>
          <w:sz w:val="20"/>
          <w:szCs w:val="20"/>
          <w:lang w:val="en-US" w:eastAsia="en-US" w:bidi="en-US"/>
        </w:rPr>
        <w:lastRenderedPageBreak/>
        <w:t>that a right has been violated.</w:t>
      </w:r>
      <w:r w:rsidR="00E17AF2" w:rsidRPr="00012C3F">
        <w:rPr>
          <w:rFonts w:eastAsia="MS Mincho"/>
          <w:sz w:val="20"/>
          <w:szCs w:val="20"/>
          <w:vertAlign w:val="superscript"/>
          <w:lang w:val="en-US" w:eastAsia="en-US" w:bidi="en-US"/>
        </w:rPr>
        <w:footnoteReference w:id="278"/>
      </w:r>
      <w:r w:rsidR="00E17AF2" w:rsidRPr="00012C3F">
        <w:rPr>
          <w:rFonts w:eastAsia="MS Mincho"/>
          <w:sz w:val="20"/>
          <w:szCs w:val="20"/>
          <w:lang w:val="en-US" w:eastAsia="en-US" w:bidi="en-US"/>
        </w:rPr>
        <w:t xml:space="preserve"> </w:t>
      </w:r>
      <w:r w:rsidR="00B21DD5" w:rsidRPr="00012C3F">
        <w:rPr>
          <w:rFonts w:eastAsia="MS Mincho"/>
          <w:bCs/>
          <w:snapToGrid w:val="0"/>
          <w:sz w:val="20"/>
          <w:szCs w:val="20"/>
          <w:lang w:val="en-US" w:eastAsia="es-ES" w:bidi="en-US"/>
        </w:rPr>
        <w:t>Similarly</w:t>
      </w:r>
      <w:r w:rsidR="00E17AF2" w:rsidRPr="00012C3F">
        <w:rPr>
          <w:rFonts w:eastAsia="MS Mincho"/>
          <w:bCs/>
          <w:snapToGrid w:val="0"/>
          <w:sz w:val="20"/>
          <w:szCs w:val="20"/>
          <w:lang w:val="en-US" w:eastAsia="es-ES" w:bidi="en-US"/>
        </w:rPr>
        <w:t xml:space="preserve">, </w:t>
      </w:r>
      <w:r w:rsidR="001254DE" w:rsidRPr="00012C3F">
        <w:rPr>
          <w:rFonts w:eastAsia="MS Mincho"/>
          <w:bCs/>
          <w:snapToGrid w:val="0"/>
          <w:sz w:val="20"/>
          <w:szCs w:val="20"/>
          <w:lang w:val="en-US" w:eastAsia="es-ES" w:bidi="en-US"/>
        </w:rPr>
        <w:t>the Court</w:t>
      </w:r>
      <w:r w:rsidR="00E17AF2" w:rsidRPr="00012C3F">
        <w:rPr>
          <w:rFonts w:eastAsia="MS Mincho"/>
          <w:bCs/>
          <w:snapToGrid w:val="0"/>
          <w:sz w:val="20"/>
          <w:szCs w:val="20"/>
          <w:lang w:val="en-US" w:eastAsia="es-ES" w:bidi="en-US"/>
        </w:rPr>
        <w:t xml:space="preserve"> ha</w:t>
      </w:r>
      <w:r w:rsidR="00B21DD5" w:rsidRPr="00012C3F">
        <w:rPr>
          <w:rFonts w:eastAsia="MS Mincho"/>
          <w:bCs/>
          <w:snapToGrid w:val="0"/>
          <w:sz w:val="20"/>
          <w:szCs w:val="20"/>
          <w:lang w:val="en-US" w:eastAsia="es-ES" w:bidi="en-US"/>
        </w:rPr>
        <w:t>s indicated that States are responsible for the regulation, supervision and monitoring of domestic health services, in both private and public centers, as well as for the implementation of a series of mechanisms addressed at ensuring that this regulation is effective.</w:t>
      </w:r>
      <w:r w:rsidR="00E17AF2" w:rsidRPr="00012C3F">
        <w:rPr>
          <w:rFonts w:eastAsia="MS Mincho"/>
          <w:sz w:val="20"/>
          <w:szCs w:val="20"/>
          <w:vertAlign w:val="superscript"/>
          <w:lang w:val="en-US" w:eastAsia="en-US" w:bidi="en-US"/>
        </w:rPr>
        <w:footnoteReference w:id="279"/>
      </w:r>
    </w:p>
    <w:p w14:paraId="2BBA3AC0" w14:textId="77777777" w:rsidR="00E17AF2" w:rsidRPr="00012C3F" w:rsidRDefault="00E17AF2" w:rsidP="008F2376">
      <w:pPr>
        <w:spacing w:line="240" w:lineRule="auto"/>
        <w:rPr>
          <w:rFonts w:eastAsia="MS Mincho"/>
          <w:b/>
          <w:i/>
          <w:sz w:val="20"/>
          <w:szCs w:val="20"/>
          <w:lang w:val="en-US" w:eastAsia="en-US" w:bidi="en-US"/>
        </w:rPr>
      </w:pPr>
    </w:p>
    <w:p w14:paraId="226C9917" w14:textId="77777777" w:rsidR="00E17AF2" w:rsidRPr="00012C3F" w:rsidRDefault="001254DE" w:rsidP="00B21DD5">
      <w:pPr>
        <w:numPr>
          <w:ilvl w:val="0"/>
          <w:numId w:val="5"/>
        </w:numPr>
        <w:tabs>
          <w:tab w:val="left" w:pos="720"/>
          <w:tab w:val="num" w:pos="12305"/>
        </w:tabs>
        <w:spacing w:line="240" w:lineRule="auto"/>
        <w:ind w:left="0" w:firstLine="0"/>
        <w:rPr>
          <w:rFonts w:eastAsia="MS Mincho"/>
          <w:b/>
          <w:i/>
          <w:sz w:val="20"/>
          <w:szCs w:val="20"/>
          <w:lang w:val="en-US"/>
        </w:rPr>
      </w:pPr>
      <w:r w:rsidRPr="00012C3F">
        <w:rPr>
          <w:rFonts w:eastAsiaTheme="minorHAnsi"/>
          <w:sz w:val="20"/>
          <w:szCs w:val="20"/>
          <w:lang w:val="en-US"/>
        </w:rPr>
        <w:t>The Court</w:t>
      </w:r>
      <w:r w:rsidR="00E17AF2" w:rsidRPr="00012C3F">
        <w:rPr>
          <w:rFonts w:eastAsiaTheme="minorHAnsi"/>
          <w:sz w:val="20"/>
          <w:szCs w:val="20"/>
          <w:lang w:val="en-US"/>
        </w:rPr>
        <w:t xml:space="preserve"> consider</w:t>
      </w:r>
      <w:r w:rsidR="00B21DD5" w:rsidRPr="00012C3F">
        <w:rPr>
          <w:rFonts w:eastAsiaTheme="minorHAnsi"/>
          <w:sz w:val="20"/>
          <w:szCs w:val="20"/>
          <w:lang w:val="en-US"/>
        </w:rPr>
        <w:t xml:space="preserve">s that the existence of a clear and coherent regulation for the provision of health care services is essential to ensure sexual and reproductive health and the corresponding responsibilities for the provision of this service. The Court finds that the existence of standards that regulate </w:t>
      </w:r>
      <w:r w:rsidR="006C705C" w:rsidRPr="00012C3F">
        <w:rPr>
          <w:rFonts w:eastAsiaTheme="minorHAnsi"/>
          <w:sz w:val="20"/>
          <w:szCs w:val="20"/>
          <w:lang w:val="en-US"/>
        </w:rPr>
        <w:t>access to information</w:t>
      </w:r>
      <w:r w:rsidR="00B21DD5" w:rsidRPr="00012C3F">
        <w:rPr>
          <w:rFonts w:eastAsiaTheme="minorHAnsi"/>
          <w:sz w:val="20"/>
          <w:szCs w:val="20"/>
          <w:lang w:val="en-US"/>
        </w:rPr>
        <w:t xml:space="preserve"> on family planning methods and every kind of information required on matters of </w:t>
      </w:r>
      <w:r w:rsidR="00E17AF2" w:rsidRPr="00012C3F">
        <w:rPr>
          <w:rFonts w:eastAsiaTheme="minorHAnsi"/>
          <w:sz w:val="20"/>
          <w:szCs w:val="20"/>
          <w:lang w:val="en-US"/>
        </w:rPr>
        <w:t>sexual</w:t>
      </w:r>
      <w:r w:rsidR="005E5012" w:rsidRPr="00012C3F">
        <w:rPr>
          <w:rFonts w:eastAsiaTheme="minorHAnsi"/>
          <w:sz w:val="20"/>
          <w:szCs w:val="20"/>
          <w:lang w:val="en-US"/>
        </w:rPr>
        <w:t xml:space="preserve"> and </w:t>
      </w:r>
      <w:r w:rsidR="00E17AF2" w:rsidRPr="00012C3F">
        <w:rPr>
          <w:rFonts w:eastAsiaTheme="minorHAnsi"/>
          <w:sz w:val="20"/>
          <w:szCs w:val="20"/>
          <w:lang w:val="en-US"/>
        </w:rPr>
        <w:t>reproductiv</w:t>
      </w:r>
      <w:r w:rsidR="00B21DD5" w:rsidRPr="00012C3F">
        <w:rPr>
          <w:rFonts w:eastAsiaTheme="minorHAnsi"/>
          <w:sz w:val="20"/>
          <w:szCs w:val="20"/>
          <w:lang w:val="en-US"/>
        </w:rPr>
        <w:t>e health, as well as the creation of laws that ensure that informed consent is obtained and establish the elements that must be respected to ensure that this is valid, contribute to the prevention of violations of the human rights of women, especially in cases such as this one.</w:t>
      </w:r>
    </w:p>
    <w:p w14:paraId="3B39C9D1" w14:textId="77777777" w:rsidR="00E17AF2" w:rsidRPr="00012C3F" w:rsidRDefault="00E17AF2" w:rsidP="00B21DD5">
      <w:pPr>
        <w:tabs>
          <w:tab w:val="left" w:pos="720"/>
        </w:tabs>
        <w:spacing w:line="240" w:lineRule="auto"/>
        <w:rPr>
          <w:rFonts w:eastAsia="MS Mincho"/>
          <w:b/>
          <w:i/>
          <w:sz w:val="20"/>
          <w:szCs w:val="20"/>
          <w:lang w:val="en-US" w:eastAsia="en-US" w:bidi="en-US"/>
        </w:rPr>
      </w:pPr>
    </w:p>
    <w:p w14:paraId="33003530" w14:textId="77777777" w:rsidR="005B071D" w:rsidRPr="00012C3F" w:rsidRDefault="007043A1" w:rsidP="005B071D">
      <w:pPr>
        <w:numPr>
          <w:ilvl w:val="0"/>
          <w:numId w:val="5"/>
        </w:numPr>
        <w:tabs>
          <w:tab w:val="left" w:pos="720"/>
          <w:tab w:val="num" w:pos="12305"/>
        </w:tabs>
        <w:spacing w:line="240" w:lineRule="auto"/>
        <w:ind w:left="0" w:firstLine="0"/>
        <w:rPr>
          <w:rFonts w:eastAsia="MS Mincho"/>
          <w:b/>
          <w:i/>
          <w:sz w:val="20"/>
          <w:szCs w:val="20"/>
          <w:lang w:val="en-US"/>
        </w:rPr>
      </w:pPr>
      <w:r w:rsidRPr="00012C3F">
        <w:rPr>
          <w:rFonts w:eastAsiaTheme="minorHAnsi"/>
          <w:sz w:val="20"/>
          <w:szCs w:val="20"/>
          <w:lang w:val="en-US"/>
        </w:rPr>
        <w:t xml:space="preserve">In this regard, </w:t>
      </w:r>
      <w:r w:rsidR="001254DE" w:rsidRPr="00012C3F">
        <w:rPr>
          <w:rFonts w:eastAsiaTheme="minorHAnsi"/>
          <w:sz w:val="20"/>
          <w:szCs w:val="20"/>
          <w:lang w:val="en-US"/>
        </w:rPr>
        <w:t>the Court</w:t>
      </w:r>
      <w:r w:rsidR="00623C22" w:rsidRPr="00012C3F">
        <w:rPr>
          <w:rFonts w:eastAsiaTheme="minorHAnsi"/>
          <w:sz w:val="20"/>
          <w:szCs w:val="20"/>
          <w:lang w:val="en-US"/>
        </w:rPr>
        <w:t xml:space="preserve"> </w:t>
      </w:r>
      <w:r w:rsidRPr="00012C3F">
        <w:rPr>
          <w:rFonts w:eastAsiaTheme="minorHAnsi"/>
          <w:sz w:val="20"/>
          <w:szCs w:val="20"/>
          <w:lang w:val="en-US"/>
        </w:rPr>
        <w:t xml:space="preserve">deems it pertinent that the laws of the States should include clear definitions of what constitutes </w:t>
      </w:r>
      <w:r w:rsidR="00AC0004" w:rsidRPr="00012C3F">
        <w:rPr>
          <w:rFonts w:eastAsiaTheme="minorHAnsi"/>
          <w:sz w:val="20"/>
          <w:szCs w:val="20"/>
          <w:lang w:val="en-US"/>
        </w:rPr>
        <w:t>informed consent</w:t>
      </w:r>
      <w:r w:rsidR="00E17AF2" w:rsidRPr="00012C3F">
        <w:rPr>
          <w:rFonts w:eastAsiaTheme="minorHAnsi"/>
          <w:sz w:val="20"/>
          <w:szCs w:val="20"/>
          <w:lang w:val="en-US"/>
        </w:rPr>
        <w:t xml:space="preserve">. </w:t>
      </w:r>
      <w:r w:rsidRPr="00012C3F">
        <w:rPr>
          <w:rFonts w:eastAsiaTheme="minorHAnsi"/>
          <w:sz w:val="20"/>
          <w:szCs w:val="20"/>
          <w:lang w:val="en-US"/>
        </w:rPr>
        <w:t>Also</w:t>
      </w:r>
      <w:r w:rsidR="00E17AF2" w:rsidRPr="00012C3F">
        <w:rPr>
          <w:rFonts w:eastAsiaTheme="minorHAnsi"/>
          <w:sz w:val="20"/>
          <w:szCs w:val="20"/>
          <w:lang w:val="en-US"/>
        </w:rPr>
        <w:t xml:space="preserve">, </w:t>
      </w:r>
      <w:r w:rsidR="007C0FB1" w:rsidRPr="00012C3F">
        <w:rPr>
          <w:rFonts w:eastAsiaTheme="minorHAnsi"/>
          <w:sz w:val="20"/>
          <w:szCs w:val="20"/>
          <w:lang w:val="en-US"/>
        </w:rPr>
        <w:t>States “should monitor public and private health centers, including hospitals and clinics, which perform sterilization procedures so as to ensure that fully informed consent is being given by the patient before any sterilization procedure is carried out</w:t>
      </w:r>
      <w:r w:rsidR="00E17AF2" w:rsidRPr="00012C3F">
        <w:rPr>
          <w:rFonts w:eastAsiaTheme="minorHAnsi"/>
          <w:sz w:val="20"/>
          <w:szCs w:val="20"/>
          <w:lang w:val="en-US"/>
        </w:rPr>
        <w:t xml:space="preserve">, </w:t>
      </w:r>
      <w:r w:rsidR="007C0FB1" w:rsidRPr="00012C3F">
        <w:rPr>
          <w:rFonts w:eastAsiaTheme="minorHAnsi"/>
          <w:sz w:val="20"/>
          <w:szCs w:val="20"/>
          <w:lang w:val="en-US"/>
        </w:rPr>
        <w:t>with the appropriate sanctions in place in the event of a breach.”</w:t>
      </w:r>
      <w:r w:rsidR="00E17AF2" w:rsidRPr="00012C3F">
        <w:rPr>
          <w:rStyle w:val="Refdenotaalpie"/>
          <w:rFonts w:eastAsiaTheme="minorHAnsi"/>
          <w:sz w:val="20"/>
          <w:szCs w:val="20"/>
          <w:lang w:val="en-US"/>
        </w:rPr>
        <w:footnoteReference w:id="280"/>
      </w:r>
      <w:r w:rsidR="00E17AF2" w:rsidRPr="00012C3F">
        <w:rPr>
          <w:rFonts w:eastAsiaTheme="minorHAnsi"/>
          <w:sz w:val="20"/>
          <w:szCs w:val="20"/>
          <w:lang w:val="en-US"/>
        </w:rPr>
        <w:t xml:space="preserve"> </w:t>
      </w:r>
      <w:r w:rsidRPr="00012C3F">
        <w:rPr>
          <w:rFonts w:eastAsiaTheme="minorHAnsi"/>
          <w:sz w:val="20"/>
          <w:szCs w:val="20"/>
          <w:lang w:val="en-US"/>
        </w:rPr>
        <w:t>In addition</w:t>
      </w:r>
      <w:r w:rsidR="00E17AF2" w:rsidRPr="00012C3F">
        <w:rPr>
          <w:rFonts w:eastAsiaTheme="minorHAnsi"/>
          <w:sz w:val="20"/>
          <w:szCs w:val="20"/>
          <w:lang w:val="en-US"/>
        </w:rPr>
        <w:t xml:space="preserve">, </w:t>
      </w:r>
      <w:r w:rsidR="001254DE" w:rsidRPr="00012C3F">
        <w:rPr>
          <w:rFonts w:eastAsiaTheme="minorHAnsi"/>
          <w:sz w:val="20"/>
          <w:szCs w:val="20"/>
          <w:lang w:val="en-US"/>
        </w:rPr>
        <w:t>Article</w:t>
      </w:r>
      <w:r w:rsidR="00E17AF2" w:rsidRPr="00012C3F">
        <w:rPr>
          <w:rFonts w:eastAsiaTheme="minorHAnsi"/>
          <w:sz w:val="20"/>
          <w:szCs w:val="20"/>
          <w:lang w:val="en-US"/>
        </w:rPr>
        <w:t xml:space="preserve"> 22 </w:t>
      </w:r>
      <w:r w:rsidRPr="00012C3F">
        <w:rPr>
          <w:rFonts w:eastAsiaTheme="minorHAnsi"/>
          <w:sz w:val="20"/>
          <w:szCs w:val="20"/>
          <w:lang w:val="en-US"/>
        </w:rPr>
        <w:t xml:space="preserve">of the UNESCO </w:t>
      </w:r>
      <w:r w:rsidRPr="00012C3F">
        <w:rPr>
          <w:rFonts w:eastAsia="MS Mincho"/>
          <w:sz w:val="20"/>
          <w:szCs w:val="20"/>
          <w:lang w:val="en-US" w:eastAsia="en-US" w:bidi="en-US"/>
        </w:rPr>
        <w:t>Universal Declaration on Bioethics and Human Rights</w:t>
      </w:r>
      <w:r w:rsidR="005A75E7" w:rsidRPr="00012C3F" w:rsidDel="005A75E7">
        <w:rPr>
          <w:rFonts w:eastAsiaTheme="minorHAnsi"/>
          <w:sz w:val="20"/>
          <w:szCs w:val="20"/>
          <w:lang w:val="en-US"/>
        </w:rPr>
        <w:t xml:space="preserve"> </w:t>
      </w:r>
      <w:r w:rsidR="00E17AF2" w:rsidRPr="00012C3F">
        <w:rPr>
          <w:rFonts w:eastAsiaTheme="minorHAnsi"/>
          <w:sz w:val="20"/>
          <w:szCs w:val="20"/>
          <w:lang w:val="en-US"/>
        </w:rPr>
        <w:t>(</w:t>
      </w:r>
      <w:r w:rsidR="00E17AF2" w:rsidRPr="00012C3F">
        <w:rPr>
          <w:rFonts w:eastAsiaTheme="minorHAnsi"/>
          <w:i/>
          <w:sz w:val="20"/>
          <w:szCs w:val="20"/>
          <w:lang w:val="en-US"/>
        </w:rPr>
        <w:t xml:space="preserve">supra </w:t>
      </w:r>
      <w:r w:rsidR="00370DD4" w:rsidRPr="00012C3F">
        <w:rPr>
          <w:rFonts w:eastAsiaTheme="minorHAnsi"/>
          <w:sz w:val="20"/>
          <w:szCs w:val="20"/>
          <w:lang w:val="en-US"/>
        </w:rPr>
        <w:t>para.</w:t>
      </w:r>
      <w:r w:rsidR="00E17AF2" w:rsidRPr="00012C3F">
        <w:rPr>
          <w:rFonts w:eastAsiaTheme="minorHAnsi"/>
          <w:sz w:val="20"/>
          <w:szCs w:val="20"/>
          <w:lang w:val="en-US"/>
        </w:rPr>
        <w:t xml:space="preserve"> </w:t>
      </w:r>
      <w:r w:rsidR="00A2783A" w:rsidRPr="00012C3F">
        <w:rPr>
          <w:rFonts w:eastAsiaTheme="minorHAnsi"/>
          <w:sz w:val="20"/>
          <w:szCs w:val="20"/>
          <w:lang w:val="en-US"/>
        </w:rPr>
        <w:t xml:space="preserve">176) </w:t>
      </w:r>
      <w:r w:rsidR="005B071D" w:rsidRPr="00012C3F">
        <w:rPr>
          <w:rFonts w:eastAsiaTheme="minorHAnsi"/>
          <w:sz w:val="20"/>
          <w:szCs w:val="20"/>
          <w:lang w:val="en-US"/>
        </w:rPr>
        <w:t>refers to the obligation of States to take all appropriate measures to give effect to the principles set out in the Declaration in accordance with international human rights law, which includes informed consent. The Court considers that, in cases of non-consensual or involuntary sterilization</w:t>
      </w:r>
      <w:r w:rsidR="00195867" w:rsidRPr="00012C3F">
        <w:rPr>
          <w:rFonts w:eastAsiaTheme="minorHAnsi"/>
          <w:sz w:val="20"/>
          <w:szCs w:val="20"/>
          <w:lang w:val="en-US"/>
        </w:rPr>
        <w:t>,</w:t>
      </w:r>
      <w:r w:rsidR="00E17AF2" w:rsidRPr="00012C3F">
        <w:rPr>
          <w:rFonts w:eastAsiaTheme="minorHAnsi"/>
          <w:sz w:val="20"/>
          <w:szCs w:val="20"/>
          <w:lang w:val="en-US"/>
        </w:rPr>
        <w:t xml:space="preserve"> </w:t>
      </w:r>
      <w:r w:rsidR="005B071D" w:rsidRPr="00012C3F">
        <w:rPr>
          <w:rFonts w:eastAsiaTheme="minorHAnsi"/>
          <w:sz w:val="20"/>
          <w:szCs w:val="20"/>
          <w:lang w:val="en-US"/>
        </w:rPr>
        <w:t xml:space="preserve">measures to prevent such procedures are of vital importance because, although the creation of mechanisms for access to justice allows rights to be guaranteed, this cannot ensure in all cases the full restoration of </w:t>
      </w:r>
      <w:r w:rsidR="004A66B5" w:rsidRPr="00012C3F">
        <w:rPr>
          <w:rFonts w:eastAsiaTheme="minorHAnsi"/>
          <w:sz w:val="20"/>
          <w:szCs w:val="20"/>
          <w:lang w:val="en-US"/>
        </w:rPr>
        <w:t xml:space="preserve">the </w:t>
      </w:r>
      <w:r w:rsidR="005B071D" w:rsidRPr="00012C3F">
        <w:rPr>
          <w:rFonts w:eastAsiaTheme="minorHAnsi"/>
          <w:sz w:val="20"/>
          <w:szCs w:val="20"/>
          <w:lang w:val="en-US"/>
        </w:rPr>
        <w:t>reproductive capacity, which has been lost owing to the surgical procedure.</w:t>
      </w:r>
    </w:p>
    <w:p w14:paraId="2A05393F" w14:textId="77777777" w:rsidR="00E17AF2" w:rsidRPr="00012C3F" w:rsidRDefault="00E17AF2" w:rsidP="00E17AF2">
      <w:pPr>
        <w:tabs>
          <w:tab w:val="left" w:pos="567"/>
        </w:tabs>
        <w:spacing w:line="240" w:lineRule="auto"/>
        <w:rPr>
          <w:rFonts w:eastAsia="MS Mincho"/>
          <w:b/>
          <w:i/>
          <w:sz w:val="20"/>
          <w:szCs w:val="20"/>
          <w:lang w:val="en-US"/>
        </w:rPr>
      </w:pPr>
    </w:p>
    <w:p w14:paraId="2571F251" w14:textId="77777777" w:rsidR="00E17AF2" w:rsidRPr="00012C3F" w:rsidRDefault="001254DE" w:rsidP="005B071D">
      <w:pPr>
        <w:numPr>
          <w:ilvl w:val="0"/>
          <w:numId w:val="5"/>
        </w:numPr>
        <w:tabs>
          <w:tab w:val="left" w:pos="720"/>
          <w:tab w:val="num" w:pos="12305"/>
        </w:tabs>
        <w:spacing w:line="240" w:lineRule="auto"/>
        <w:ind w:left="0" w:firstLine="0"/>
        <w:rPr>
          <w:rFonts w:eastAsia="MS Mincho"/>
          <w:b/>
          <w:i/>
          <w:sz w:val="20"/>
          <w:szCs w:val="20"/>
          <w:lang w:val="en-US" w:eastAsia="en-US" w:bidi="en-US"/>
        </w:rPr>
      </w:pPr>
      <w:r w:rsidRPr="00012C3F">
        <w:rPr>
          <w:rFonts w:eastAsia="MS Mincho"/>
          <w:sz w:val="20"/>
          <w:szCs w:val="20"/>
          <w:lang w:val="en-US" w:eastAsia="en-US" w:bidi="en-US"/>
        </w:rPr>
        <w:t>The Court</w:t>
      </w:r>
      <w:r w:rsidR="00E17AF2" w:rsidRPr="00012C3F">
        <w:rPr>
          <w:rFonts w:eastAsia="MS Mincho"/>
          <w:sz w:val="20"/>
          <w:szCs w:val="20"/>
          <w:lang w:val="en-US" w:eastAsia="en-US" w:bidi="en-US"/>
        </w:rPr>
        <w:t xml:space="preserve"> not</w:t>
      </w:r>
      <w:r w:rsidR="005B071D" w:rsidRPr="00012C3F">
        <w:rPr>
          <w:rFonts w:eastAsia="MS Mincho"/>
          <w:sz w:val="20"/>
          <w:szCs w:val="20"/>
          <w:lang w:val="en-US" w:eastAsia="en-US" w:bidi="en-US"/>
        </w:rPr>
        <w:t xml:space="preserve">es that, at the time of the facts, </w:t>
      </w:r>
      <w:r w:rsidR="00566357" w:rsidRPr="00012C3F">
        <w:rPr>
          <w:rFonts w:eastAsia="MS Mincho"/>
          <w:sz w:val="20"/>
          <w:szCs w:val="20"/>
          <w:lang w:val="en-US" w:eastAsia="en-US" w:bidi="en-US"/>
        </w:rPr>
        <w:t>July 1,</w:t>
      </w:r>
      <w:r w:rsidR="00E17AF2" w:rsidRPr="00012C3F">
        <w:rPr>
          <w:rFonts w:eastAsia="MS Mincho"/>
          <w:sz w:val="20"/>
          <w:szCs w:val="20"/>
          <w:lang w:val="en-US" w:eastAsia="en-US" w:bidi="en-US"/>
        </w:rPr>
        <w:t xml:space="preserve"> 2000, </w:t>
      </w:r>
      <w:r w:rsidR="005B071D" w:rsidRPr="00012C3F">
        <w:rPr>
          <w:rFonts w:eastAsia="MS Mincho"/>
          <w:sz w:val="20"/>
          <w:szCs w:val="20"/>
          <w:lang w:val="en-US" w:eastAsia="en-US" w:bidi="en-US"/>
        </w:rPr>
        <w:t>the regulations on</w:t>
      </w:r>
      <w:r w:rsidR="00E17AF2" w:rsidRPr="00012C3F">
        <w:rPr>
          <w:rFonts w:eastAsia="MS Mincho"/>
          <w:sz w:val="20"/>
          <w:szCs w:val="20"/>
          <w:lang w:val="en-US" w:eastAsia="en-US" w:bidi="en-US"/>
        </w:rPr>
        <w:t xml:space="preserve"> </w:t>
      </w:r>
      <w:r w:rsidR="00AC0004" w:rsidRPr="00012C3F">
        <w:rPr>
          <w:rFonts w:eastAsia="MS Mincho"/>
          <w:sz w:val="20"/>
          <w:szCs w:val="20"/>
          <w:lang w:val="en-US" w:eastAsia="en-US" w:bidi="en-US"/>
        </w:rPr>
        <w:t>informed consent</w:t>
      </w:r>
      <w:r w:rsidR="00E17AF2" w:rsidRPr="00012C3F">
        <w:rPr>
          <w:rFonts w:eastAsia="MS Mincho"/>
          <w:sz w:val="20"/>
          <w:szCs w:val="20"/>
          <w:lang w:val="en-US" w:eastAsia="en-US" w:bidi="en-US"/>
        </w:rPr>
        <w:t xml:space="preserve"> </w:t>
      </w:r>
      <w:r w:rsidR="006C705C" w:rsidRPr="00012C3F">
        <w:rPr>
          <w:rFonts w:eastAsia="MS Mincho"/>
          <w:sz w:val="20"/>
          <w:szCs w:val="20"/>
          <w:lang w:val="en-US" w:eastAsia="en-US" w:bidi="en-US"/>
        </w:rPr>
        <w:t>in relation to</w:t>
      </w:r>
      <w:r w:rsidR="005B071D" w:rsidRPr="00012C3F">
        <w:rPr>
          <w:rFonts w:eastAsia="MS Mincho"/>
          <w:sz w:val="20"/>
          <w:szCs w:val="20"/>
          <w:lang w:val="en-US" w:eastAsia="en-US" w:bidi="en-US"/>
        </w:rPr>
        <w:t xml:space="preserve"> surgical procedures for female sterilization in Bolivia were included in two specific norms: Bolivian Health Standard </w:t>
      </w:r>
      <w:r w:rsidR="00E17AF2" w:rsidRPr="00012C3F">
        <w:rPr>
          <w:rFonts w:eastAsia="MS Mincho"/>
          <w:sz w:val="20"/>
          <w:szCs w:val="20"/>
          <w:lang w:val="en-US" w:eastAsia="en-US" w:bidi="en-US"/>
        </w:rPr>
        <w:t>NB–SNS–04–97 (“</w:t>
      </w:r>
      <w:r w:rsidR="00435129" w:rsidRPr="00012C3F">
        <w:rPr>
          <w:rFonts w:eastAsia="MS Mincho"/>
          <w:sz w:val="20"/>
          <w:szCs w:val="20"/>
          <w:lang w:val="en-US" w:eastAsia="en-US" w:bidi="en-US"/>
        </w:rPr>
        <w:t>Voluntary surgical contraception</w:t>
      </w:r>
      <w:r w:rsidR="00E17AF2" w:rsidRPr="00012C3F">
        <w:rPr>
          <w:rFonts w:eastAsia="MS Mincho"/>
          <w:sz w:val="20"/>
          <w:szCs w:val="20"/>
          <w:lang w:val="en-US" w:eastAsia="en-US" w:bidi="en-US"/>
        </w:rPr>
        <w:t xml:space="preserve"> </w:t>
      </w:r>
      <w:r w:rsidR="005B071D" w:rsidRPr="00012C3F">
        <w:rPr>
          <w:rFonts w:eastAsia="MS Mincho"/>
          <w:sz w:val="20"/>
          <w:szCs w:val="20"/>
          <w:lang w:val="en-US" w:eastAsia="en-US" w:bidi="en-US"/>
        </w:rPr>
        <w:t>for women at high reproductive risk</w:t>
      </w:r>
      <w:r w:rsidR="00021BE1" w:rsidRPr="00012C3F">
        <w:rPr>
          <w:rFonts w:eastAsia="MS Mincho"/>
          <w:sz w:val="20"/>
          <w:szCs w:val="20"/>
          <w:lang w:val="en-US" w:eastAsia="en-US" w:bidi="en-US"/>
        </w:rPr>
        <w:t>”</w:t>
      </w:r>
      <w:r w:rsidR="00E17AF2" w:rsidRPr="00012C3F">
        <w:rPr>
          <w:rFonts w:eastAsia="MS Mincho"/>
          <w:sz w:val="20"/>
          <w:szCs w:val="20"/>
          <w:lang w:val="en-US" w:eastAsia="en-US" w:bidi="en-US"/>
        </w:rPr>
        <w:t>)</w:t>
      </w:r>
      <w:r w:rsidR="005B071D" w:rsidRPr="00012C3F">
        <w:rPr>
          <w:rFonts w:eastAsia="MS Mincho"/>
          <w:sz w:val="20"/>
          <w:szCs w:val="20"/>
          <w:lang w:val="en-US" w:eastAsia="en-US" w:bidi="en-US"/>
        </w:rPr>
        <w:t>,</w:t>
      </w:r>
      <w:r w:rsidR="00E17AF2" w:rsidRPr="00012C3F">
        <w:rPr>
          <w:rStyle w:val="Refdenotaalpie"/>
          <w:rFonts w:eastAsia="MS Mincho"/>
          <w:sz w:val="20"/>
          <w:szCs w:val="20"/>
          <w:lang w:val="en-US" w:eastAsia="en-US" w:bidi="en-US"/>
        </w:rPr>
        <w:footnoteReference w:id="281"/>
      </w:r>
      <w:r w:rsidR="00E17AF2" w:rsidRPr="00012C3F">
        <w:rPr>
          <w:rFonts w:eastAsia="MS Mincho"/>
          <w:sz w:val="20"/>
          <w:szCs w:val="20"/>
          <w:lang w:val="en-US" w:eastAsia="en-US" w:bidi="en-US"/>
        </w:rPr>
        <w:t xml:space="preserve"> a</w:t>
      </w:r>
      <w:r w:rsidR="005B071D" w:rsidRPr="00012C3F">
        <w:rPr>
          <w:rFonts w:eastAsia="MS Mincho"/>
          <w:sz w:val="20"/>
          <w:szCs w:val="20"/>
          <w:lang w:val="en-US" w:eastAsia="en-US" w:bidi="en-US"/>
        </w:rPr>
        <w:t xml:space="preserve">dopted by the National Health Secretariat in August </w:t>
      </w:r>
      <w:r w:rsidR="00E17AF2" w:rsidRPr="00012C3F">
        <w:rPr>
          <w:rFonts w:eastAsia="MS Mincho"/>
          <w:sz w:val="20"/>
          <w:szCs w:val="20"/>
          <w:lang w:val="en-US" w:eastAsia="en-US" w:bidi="en-US"/>
        </w:rPr>
        <w:t>1997 (</w:t>
      </w:r>
      <w:r w:rsidRPr="00012C3F">
        <w:rPr>
          <w:rFonts w:eastAsia="MS Mincho"/>
          <w:sz w:val="20"/>
          <w:szCs w:val="20"/>
          <w:lang w:val="en-US" w:eastAsia="en-US" w:bidi="en-US"/>
        </w:rPr>
        <w:t>hereinafter</w:t>
      </w:r>
      <w:r w:rsidR="00E17AF2" w:rsidRPr="00012C3F">
        <w:rPr>
          <w:rFonts w:eastAsia="MS Mincho"/>
          <w:sz w:val="20"/>
          <w:szCs w:val="20"/>
          <w:lang w:val="en-US" w:eastAsia="en-US" w:bidi="en-US"/>
        </w:rPr>
        <w:t xml:space="preserve"> “</w:t>
      </w:r>
      <w:r w:rsidR="005B071D" w:rsidRPr="00012C3F">
        <w:rPr>
          <w:rFonts w:eastAsia="MS Mincho"/>
          <w:sz w:val="20"/>
          <w:szCs w:val="20"/>
          <w:lang w:val="en-US" w:eastAsia="en-US" w:bidi="en-US"/>
        </w:rPr>
        <w:t>the 1997 Bolivian standard</w:t>
      </w:r>
      <w:r w:rsidR="00E17AF2" w:rsidRPr="00012C3F">
        <w:rPr>
          <w:rFonts w:eastAsia="MS Mincho"/>
          <w:sz w:val="20"/>
          <w:szCs w:val="20"/>
          <w:lang w:val="en-US" w:eastAsia="en-US" w:bidi="en-US"/>
        </w:rPr>
        <w:t>”),</w:t>
      </w:r>
      <w:r w:rsidR="005E5012" w:rsidRPr="00012C3F">
        <w:rPr>
          <w:rFonts w:eastAsia="MS Mincho"/>
          <w:sz w:val="20"/>
          <w:szCs w:val="20"/>
          <w:lang w:val="en-US" w:eastAsia="en-US" w:bidi="en-US"/>
        </w:rPr>
        <w:t xml:space="preserve"> and </w:t>
      </w:r>
      <w:r w:rsidR="005B071D" w:rsidRPr="00012C3F">
        <w:rPr>
          <w:rFonts w:eastAsia="MS Mincho"/>
          <w:sz w:val="20"/>
          <w:szCs w:val="20"/>
          <w:lang w:val="en-US" w:eastAsia="en-US" w:bidi="en-US"/>
        </w:rPr>
        <w:t xml:space="preserve">Bolivian Health Standard </w:t>
      </w:r>
      <w:r w:rsidR="00E17AF2" w:rsidRPr="00012C3F">
        <w:rPr>
          <w:rFonts w:eastAsia="MS Mincho"/>
          <w:sz w:val="20"/>
          <w:szCs w:val="20"/>
          <w:lang w:val="en-US" w:eastAsia="en-US" w:bidi="en-US"/>
        </w:rPr>
        <w:t>MSPS-98 (“</w:t>
      </w:r>
      <w:r w:rsidR="00435129" w:rsidRPr="00012C3F">
        <w:rPr>
          <w:rFonts w:eastAsia="MS Mincho"/>
          <w:sz w:val="20"/>
          <w:szCs w:val="20"/>
          <w:lang w:val="en-US" w:eastAsia="en-US" w:bidi="en-US"/>
        </w:rPr>
        <w:t>Voluntary surgical contraception</w:t>
      </w:r>
      <w:r w:rsidR="00E17AF2" w:rsidRPr="00012C3F">
        <w:rPr>
          <w:rFonts w:eastAsia="MS Mincho"/>
          <w:sz w:val="20"/>
          <w:szCs w:val="20"/>
          <w:lang w:val="en-US" w:eastAsia="en-US" w:bidi="en-US"/>
        </w:rPr>
        <w:t xml:space="preserve">. </w:t>
      </w:r>
      <w:r w:rsidR="005B071D" w:rsidRPr="00012C3F">
        <w:rPr>
          <w:rFonts w:eastAsia="MS Mincho"/>
          <w:sz w:val="20"/>
          <w:szCs w:val="20"/>
          <w:lang w:val="en-US" w:eastAsia="en-US" w:bidi="en-US"/>
        </w:rPr>
        <w:t>Bilateral tubal occlusion in reproductive risks”</w:t>
      </w:r>
      <w:r w:rsidR="00E17AF2" w:rsidRPr="00012C3F">
        <w:rPr>
          <w:rFonts w:eastAsia="MS Mincho"/>
          <w:sz w:val="20"/>
          <w:szCs w:val="20"/>
          <w:lang w:val="en-US" w:eastAsia="en-US" w:bidi="en-US"/>
        </w:rPr>
        <w:t>)</w:t>
      </w:r>
      <w:r w:rsidR="005B071D" w:rsidRPr="00012C3F">
        <w:rPr>
          <w:rFonts w:eastAsia="MS Mincho"/>
          <w:sz w:val="20"/>
          <w:szCs w:val="20"/>
          <w:lang w:val="en-US" w:eastAsia="en-US" w:bidi="en-US"/>
        </w:rPr>
        <w:t>,</w:t>
      </w:r>
      <w:r w:rsidR="00E17AF2" w:rsidRPr="00012C3F">
        <w:rPr>
          <w:rStyle w:val="Refdenotaalpie"/>
          <w:rFonts w:eastAsia="MS Mincho"/>
          <w:sz w:val="20"/>
          <w:szCs w:val="20"/>
          <w:lang w:val="en-US" w:eastAsia="en-US" w:bidi="en-US"/>
        </w:rPr>
        <w:footnoteReference w:id="282"/>
      </w:r>
      <w:r w:rsidR="00E17AF2" w:rsidRPr="00012C3F">
        <w:rPr>
          <w:rFonts w:eastAsia="MS Mincho"/>
          <w:sz w:val="20"/>
          <w:szCs w:val="20"/>
          <w:lang w:val="en-US" w:eastAsia="en-US" w:bidi="en-US"/>
        </w:rPr>
        <w:t xml:space="preserve"> </w:t>
      </w:r>
      <w:r w:rsidR="005B071D" w:rsidRPr="00012C3F">
        <w:rPr>
          <w:rFonts w:eastAsia="MS Mincho"/>
          <w:sz w:val="20"/>
          <w:szCs w:val="20"/>
          <w:lang w:val="en-US" w:eastAsia="en-US" w:bidi="en-US"/>
        </w:rPr>
        <w:t>adopted by</w:t>
      </w:r>
      <w:r w:rsidR="00E17AF2" w:rsidRPr="00012C3F">
        <w:rPr>
          <w:rFonts w:eastAsia="MS Mincho"/>
          <w:sz w:val="20"/>
          <w:szCs w:val="20"/>
          <w:lang w:val="en-US" w:eastAsia="en-US" w:bidi="en-US"/>
        </w:rPr>
        <w:t xml:space="preserve"> </w:t>
      </w:r>
      <w:r w:rsidR="002A5605" w:rsidRPr="00012C3F">
        <w:rPr>
          <w:rFonts w:eastAsia="MS Mincho"/>
          <w:sz w:val="20"/>
          <w:szCs w:val="20"/>
          <w:lang w:val="en-US" w:eastAsia="en-US" w:bidi="en-US"/>
        </w:rPr>
        <w:t>the Ministry of Health and Social Services</w:t>
      </w:r>
      <w:r w:rsidR="00E17AF2" w:rsidRPr="00012C3F">
        <w:rPr>
          <w:rFonts w:eastAsia="MS Mincho"/>
          <w:sz w:val="20"/>
          <w:szCs w:val="20"/>
          <w:lang w:val="en-US" w:eastAsia="en-US" w:bidi="en-US"/>
        </w:rPr>
        <w:t xml:space="preserve"> </w:t>
      </w:r>
      <w:r w:rsidR="005B071D" w:rsidRPr="00012C3F">
        <w:rPr>
          <w:rFonts w:eastAsia="MS Mincho"/>
          <w:sz w:val="20"/>
          <w:szCs w:val="20"/>
          <w:lang w:val="en-US" w:eastAsia="en-US" w:bidi="en-US"/>
        </w:rPr>
        <w:t>in November</w:t>
      </w:r>
      <w:r w:rsidR="00E17AF2" w:rsidRPr="00012C3F">
        <w:rPr>
          <w:rFonts w:eastAsia="MS Mincho"/>
          <w:sz w:val="20"/>
          <w:szCs w:val="20"/>
          <w:lang w:val="en-US" w:eastAsia="en-US" w:bidi="en-US"/>
        </w:rPr>
        <w:t xml:space="preserve"> 1998 (</w:t>
      </w:r>
      <w:r w:rsidRPr="00012C3F">
        <w:rPr>
          <w:rFonts w:eastAsia="MS Mincho"/>
          <w:sz w:val="20"/>
          <w:szCs w:val="20"/>
          <w:lang w:val="en-US" w:eastAsia="en-US" w:bidi="en-US"/>
        </w:rPr>
        <w:t>hereinafter</w:t>
      </w:r>
      <w:r w:rsidR="00E17AF2" w:rsidRPr="00012C3F">
        <w:rPr>
          <w:rFonts w:eastAsia="MS Mincho"/>
          <w:sz w:val="20"/>
          <w:szCs w:val="20"/>
          <w:lang w:val="en-US" w:eastAsia="en-US" w:bidi="en-US"/>
        </w:rPr>
        <w:t xml:space="preserve"> “</w:t>
      </w:r>
      <w:r w:rsidR="005B071D" w:rsidRPr="00012C3F">
        <w:rPr>
          <w:rFonts w:eastAsia="MS Mincho"/>
          <w:sz w:val="20"/>
          <w:szCs w:val="20"/>
          <w:lang w:val="en-US" w:eastAsia="en-US" w:bidi="en-US"/>
        </w:rPr>
        <w:t>the 1998 Bolivian standard</w:t>
      </w:r>
      <w:r w:rsidR="00E17AF2" w:rsidRPr="00012C3F">
        <w:rPr>
          <w:rFonts w:eastAsia="MS Mincho"/>
          <w:sz w:val="20"/>
          <w:szCs w:val="20"/>
          <w:lang w:val="en-US" w:eastAsia="en-US" w:bidi="en-US"/>
        </w:rPr>
        <w:t>”).</w:t>
      </w:r>
    </w:p>
    <w:p w14:paraId="1F69CB65" w14:textId="77777777" w:rsidR="00E17AF2" w:rsidRPr="00012C3F" w:rsidRDefault="00E17AF2" w:rsidP="00E17AF2">
      <w:pPr>
        <w:tabs>
          <w:tab w:val="left" w:pos="567"/>
        </w:tabs>
        <w:spacing w:line="240" w:lineRule="auto"/>
        <w:rPr>
          <w:rFonts w:eastAsia="MS Mincho"/>
          <w:sz w:val="20"/>
          <w:szCs w:val="20"/>
          <w:lang w:val="en-US" w:eastAsia="en-US" w:bidi="en-US"/>
        </w:rPr>
      </w:pPr>
    </w:p>
    <w:p w14:paraId="38AC9D7C" w14:textId="77777777" w:rsidR="00E17AF2" w:rsidRPr="00012C3F" w:rsidRDefault="00F9623A" w:rsidP="00F9623A">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sz w:val="20"/>
          <w:szCs w:val="20"/>
          <w:lang w:val="en-US" w:eastAsia="en-US" w:bidi="en-US"/>
        </w:rPr>
        <w:t>Under the</w:t>
      </w:r>
      <w:r w:rsidR="00E17AF2" w:rsidRPr="00012C3F">
        <w:rPr>
          <w:rFonts w:eastAsia="MS Mincho"/>
          <w:sz w:val="20"/>
          <w:szCs w:val="20"/>
          <w:lang w:val="en-US" w:eastAsia="en-US" w:bidi="en-US"/>
        </w:rPr>
        <w:t xml:space="preserve"> </w:t>
      </w:r>
      <w:r w:rsidR="005B071D" w:rsidRPr="00012C3F">
        <w:rPr>
          <w:rFonts w:eastAsia="MS Mincho"/>
          <w:sz w:val="20"/>
          <w:szCs w:val="20"/>
          <w:lang w:val="en-US" w:eastAsia="en-US" w:bidi="en-US"/>
        </w:rPr>
        <w:t xml:space="preserve">1997 </w:t>
      </w:r>
      <w:r w:rsidR="00555720" w:rsidRPr="00012C3F">
        <w:rPr>
          <w:rFonts w:eastAsia="MS Mincho"/>
          <w:sz w:val="20"/>
          <w:szCs w:val="20"/>
          <w:lang w:val="en-US" w:eastAsia="en-US" w:bidi="en-US"/>
        </w:rPr>
        <w:t>Bolivian standard,</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the purpose of voluntary surgical contraception</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for women was to reduce the cases of death due to high-risk reproductive factors,</w:t>
      </w:r>
      <w:r w:rsidR="00E17AF2" w:rsidRPr="00012C3F">
        <w:rPr>
          <w:rStyle w:val="Refdenotaalpie"/>
          <w:rFonts w:eastAsia="MS Mincho"/>
          <w:sz w:val="20"/>
          <w:szCs w:val="20"/>
          <w:lang w:val="en-US" w:eastAsia="en-US" w:bidi="en-US"/>
        </w:rPr>
        <w:footnoteReference w:id="283"/>
      </w:r>
      <w:r w:rsidR="005E5012" w:rsidRPr="00012C3F">
        <w:rPr>
          <w:rFonts w:eastAsia="MS Mincho"/>
          <w:sz w:val="20"/>
          <w:szCs w:val="20"/>
          <w:lang w:val="en-US" w:eastAsia="en-US" w:bidi="en-US"/>
        </w:rPr>
        <w:t xml:space="preserve"> and </w:t>
      </w:r>
      <w:r w:rsidRPr="00012C3F">
        <w:rPr>
          <w:rFonts w:eastAsia="MS Mincho"/>
          <w:sz w:val="20"/>
          <w:szCs w:val="20"/>
          <w:lang w:val="en-US" w:eastAsia="en-US" w:bidi="en-US"/>
        </w:rPr>
        <w:t xml:space="preserve">it was </w:t>
      </w:r>
      <w:r w:rsidRPr="00012C3F">
        <w:rPr>
          <w:rFonts w:eastAsia="MS Mincho"/>
          <w:sz w:val="20"/>
          <w:szCs w:val="20"/>
          <w:lang w:val="en-US" w:eastAsia="en-US" w:bidi="en-US"/>
        </w:rPr>
        <w:lastRenderedPageBreak/>
        <w:t>addressed a</w:t>
      </w:r>
      <w:r w:rsidR="004A66B5" w:rsidRPr="00012C3F">
        <w:rPr>
          <w:rFonts w:eastAsia="MS Mincho"/>
          <w:sz w:val="20"/>
          <w:szCs w:val="20"/>
          <w:lang w:val="en-US" w:eastAsia="en-US" w:bidi="en-US"/>
        </w:rPr>
        <w:t>t</w:t>
      </w:r>
      <w:r w:rsidRPr="00012C3F">
        <w:rPr>
          <w:rFonts w:eastAsia="MS Mincho"/>
          <w:sz w:val="20"/>
          <w:szCs w:val="20"/>
          <w:lang w:val="en-US" w:eastAsia="en-US" w:bidi="en-US"/>
        </w:rPr>
        <w:t xml:space="preserve"> women of child-bearing age, with an active sexual life, who had a high reproductive risk and desired a permanent contraceptive method. The </w:t>
      </w:r>
      <w:r w:rsidR="005B071D" w:rsidRPr="00012C3F">
        <w:rPr>
          <w:rFonts w:eastAsia="MS Mincho"/>
          <w:sz w:val="20"/>
          <w:szCs w:val="20"/>
          <w:lang w:val="en-US" w:eastAsia="en-US" w:bidi="en-US"/>
        </w:rPr>
        <w:t xml:space="preserve">1997 </w:t>
      </w:r>
      <w:r w:rsidR="00555720" w:rsidRPr="00012C3F">
        <w:rPr>
          <w:rFonts w:eastAsia="MS Mincho"/>
          <w:sz w:val="20"/>
          <w:szCs w:val="20"/>
          <w:lang w:val="en-US" w:eastAsia="en-US" w:bidi="en-US"/>
        </w:rPr>
        <w:t xml:space="preserve">Bolivian standard </w:t>
      </w:r>
      <w:r w:rsidRPr="00012C3F">
        <w:rPr>
          <w:rFonts w:eastAsia="MS Mincho"/>
          <w:sz w:val="20"/>
          <w:szCs w:val="20"/>
          <w:lang w:val="en-US" w:eastAsia="en-US" w:bidi="en-US"/>
        </w:rPr>
        <w:t xml:space="preserve">indicated that surgical contraception was a voluntary procedure that required the patient’s prior consent, after being fully informed of the sterilization procedure, its consequences, and </w:t>
      </w:r>
      <w:r w:rsidR="004A66B5" w:rsidRPr="00012C3F">
        <w:rPr>
          <w:rFonts w:eastAsia="MS Mincho"/>
          <w:sz w:val="20"/>
          <w:szCs w:val="20"/>
          <w:lang w:val="en-US" w:eastAsia="en-US" w:bidi="en-US"/>
        </w:rPr>
        <w:t>other</w:t>
      </w:r>
      <w:r w:rsidRPr="00012C3F">
        <w:rPr>
          <w:rFonts w:eastAsia="MS Mincho"/>
          <w:sz w:val="20"/>
          <w:szCs w:val="20"/>
          <w:lang w:val="en-US" w:eastAsia="en-US" w:bidi="en-US"/>
        </w:rPr>
        <w:t xml:space="preserve"> methods of contraception and their characteristics, using simple language, by trained personnel, to ensure that the information received had been understood. This standard defined informed consent in cases of sterilization as “the decision of the user to undergo a voluntary surgical sterilization after having been fully informed of the procedure and its consequences,</w:t>
      </w:r>
      <w:r w:rsidR="00E17AF2" w:rsidRPr="00012C3F">
        <w:rPr>
          <w:rFonts w:eastAsia="MS Mincho"/>
          <w:sz w:val="20"/>
          <w:szCs w:val="20"/>
          <w:lang w:val="en-US" w:eastAsia="en-US" w:bidi="en-US"/>
        </w:rPr>
        <w:t>”</w:t>
      </w:r>
      <w:r w:rsidR="00570EA8" w:rsidRPr="00012C3F">
        <w:rPr>
          <w:rStyle w:val="Refdenotaalpie"/>
          <w:rFonts w:eastAsia="MS Mincho"/>
          <w:sz w:val="20"/>
          <w:szCs w:val="20"/>
          <w:lang w:val="en-US" w:eastAsia="en-US" w:bidi="en-US"/>
        </w:rPr>
        <w:footnoteReference w:id="284"/>
      </w:r>
      <w:r w:rsidRPr="00012C3F">
        <w:rPr>
          <w:rFonts w:eastAsia="MS Mincho"/>
          <w:sz w:val="20"/>
          <w:szCs w:val="20"/>
          <w:lang w:val="en-US" w:eastAsia="en-US" w:bidi="en-US"/>
        </w:rPr>
        <w:t xml:space="preserve"> and, to this end, she had to sign </w:t>
      </w:r>
      <w:r w:rsidR="004A66B5" w:rsidRPr="00012C3F">
        <w:rPr>
          <w:rFonts w:eastAsia="MS Mincho"/>
          <w:sz w:val="20"/>
          <w:szCs w:val="20"/>
          <w:lang w:val="en-US" w:eastAsia="en-US" w:bidi="en-US"/>
        </w:rPr>
        <w:t xml:space="preserve">an </w:t>
      </w:r>
      <w:r w:rsidR="00AC0004" w:rsidRPr="00012C3F">
        <w:rPr>
          <w:rFonts w:eastAsia="MS Mincho"/>
          <w:sz w:val="20"/>
          <w:szCs w:val="20"/>
          <w:lang w:val="en-US" w:eastAsia="en-US" w:bidi="en-US"/>
        </w:rPr>
        <w:t>informed consent</w:t>
      </w:r>
      <w:r w:rsidR="004A66B5" w:rsidRPr="00012C3F">
        <w:rPr>
          <w:rFonts w:eastAsia="MS Mincho"/>
          <w:sz w:val="20"/>
          <w:szCs w:val="20"/>
          <w:lang w:val="en-US" w:eastAsia="en-US" w:bidi="en-US"/>
        </w:rPr>
        <w:t xml:space="preserve"> form</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 xml:space="preserve">which constituted the legal authorization for the procedure. The standard specifically established that it should be </w:t>
      </w:r>
      <w:r w:rsidR="004A66B5" w:rsidRPr="00012C3F">
        <w:rPr>
          <w:rFonts w:eastAsia="MS Mincho"/>
          <w:sz w:val="20"/>
          <w:szCs w:val="20"/>
          <w:lang w:val="en-US" w:eastAsia="en-US" w:bidi="en-US"/>
        </w:rPr>
        <w:t>ensured</w:t>
      </w:r>
      <w:r w:rsidRPr="00012C3F">
        <w:rPr>
          <w:rFonts w:eastAsia="MS Mincho"/>
          <w:sz w:val="20"/>
          <w:szCs w:val="20"/>
          <w:lang w:val="en-US" w:eastAsia="en-US" w:bidi="en-US"/>
        </w:rPr>
        <w:t xml:space="preserve"> that “when obtaining </w:t>
      </w:r>
      <w:r w:rsidR="004A66B5" w:rsidRPr="00012C3F">
        <w:rPr>
          <w:rFonts w:eastAsia="MS Mincho"/>
          <w:sz w:val="20"/>
          <w:szCs w:val="20"/>
          <w:lang w:val="en-US" w:eastAsia="en-US" w:bidi="en-US"/>
        </w:rPr>
        <w:t>the</w:t>
      </w:r>
      <w:r w:rsidRPr="00012C3F">
        <w:rPr>
          <w:rFonts w:eastAsia="MS Mincho"/>
          <w:sz w:val="20"/>
          <w:szCs w:val="20"/>
          <w:lang w:val="en-US" w:eastAsia="en-US" w:bidi="en-US"/>
        </w:rPr>
        <w:t xml:space="preserve"> informed consent, the user is not subject to </w:t>
      </w:r>
      <w:r w:rsidR="004A66B5" w:rsidRPr="00012C3F">
        <w:rPr>
          <w:rFonts w:eastAsia="MS Mincho"/>
          <w:sz w:val="20"/>
          <w:szCs w:val="20"/>
          <w:lang w:val="en-US" w:eastAsia="en-US" w:bidi="en-US"/>
        </w:rPr>
        <w:t>coercion</w:t>
      </w:r>
      <w:r w:rsidRPr="00012C3F">
        <w:rPr>
          <w:rFonts w:eastAsia="MS Mincho"/>
          <w:sz w:val="20"/>
          <w:szCs w:val="20"/>
          <w:lang w:val="en-US" w:eastAsia="en-US" w:bidi="en-US"/>
        </w:rPr>
        <w:t xml:space="preserve"> or to physical or emotional factors that could affect her ability to take a careful and well-considered decision on contraception.</w:t>
      </w:r>
      <w:r w:rsidR="00E17AF2" w:rsidRPr="00012C3F">
        <w:rPr>
          <w:rFonts w:eastAsia="MS Mincho"/>
          <w:sz w:val="20"/>
          <w:szCs w:val="20"/>
          <w:lang w:val="en-US" w:eastAsia="en-US" w:bidi="en-US"/>
        </w:rPr>
        <w:t>”</w:t>
      </w:r>
      <w:r w:rsidR="00E17AF2" w:rsidRPr="00012C3F">
        <w:rPr>
          <w:rStyle w:val="Refdenotaalpie"/>
          <w:rFonts w:eastAsia="MS Mincho"/>
          <w:sz w:val="20"/>
          <w:szCs w:val="20"/>
          <w:lang w:val="en-US" w:eastAsia="en-US" w:bidi="en-US"/>
        </w:rPr>
        <w:footnoteReference w:id="285"/>
      </w:r>
    </w:p>
    <w:p w14:paraId="512275F0" w14:textId="77777777" w:rsidR="00E17AF2" w:rsidRPr="00012C3F" w:rsidRDefault="00E17AF2" w:rsidP="00E17AF2">
      <w:pPr>
        <w:tabs>
          <w:tab w:val="left" w:pos="567"/>
        </w:tabs>
        <w:spacing w:line="240" w:lineRule="auto"/>
        <w:rPr>
          <w:rFonts w:eastAsia="MS Mincho"/>
          <w:sz w:val="20"/>
          <w:szCs w:val="20"/>
          <w:lang w:val="en-US" w:eastAsia="en-US" w:bidi="en-US"/>
        </w:rPr>
      </w:pPr>
    </w:p>
    <w:p w14:paraId="32135480" w14:textId="77777777" w:rsidR="00E17AF2" w:rsidRPr="00012C3F" w:rsidRDefault="00555720" w:rsidP="00F9623A">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sz w:val="20"/>
          <w:szCs w:val="20"/>
          <w:lang w:val="en-US" w:eastAsia="en-US" w:bidi="en-US"/>
        </w:rPr>
        <w:t xml:space="preserve">However, despite the requirement of </w:t>
      </w:r>
      <w:r w:rsidR="00AC0004" w:rsidRPr="00012C3F">
        <w:rPr>
          <w:rFonts w:eastAsia="MS Mincho"/>
          <w:sz w:val="20"/>
          <w:szCs w:val="20"/>
          <w:lang w:val="en-US" w:eastAsia="en-US" w:bidi="en-US"/>
        </w:rPr>
        <w:t>informed consent</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 xml:space="preserve">in cases of high reproductive risk, Rule 5 indicated that </w:t>
      </w:r>
      <w:r w:rsidR="00F9623A" w:rsidRPr="00012C3F">
        <w:rPr>
          <w:rFonts w:eastAsia="MS Mincho"/>
          <w:sz w:val="20"/>
          <w:szCs w:val="20"/>
          <w:lang w:val="en-US" w:eastAsia="en-US" w:bidi="en-US"/>
        </w:rPr>
        <w:t>voluntary surgical contraception</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could be</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performed by medical decision by a laparotomy in serious cases, duly documented by the patient’s medical history and consulted with the family,</w:t>
      </w:r>
      <w:r w:rsidR="00E17AF2" w:rsidRPr="00012C3F">
        <w:rPr>
          <w:rFonts w:eastAsia="MS Mincho"/>
          <w:sz w:val="20"/>
          <w:szCs w:val="20"/>
          <w:lang w:val="en-US" w:eastAsia="en-US" w:bidi="en-US"/>
        </w:rPr>
        <w:t>”</w:t>
      </w:r>
      <w:r w:rsidR="002C0526" w:rsidRPr="00012C3F">
        <w:rPr>
          <w:rStyle w:val="Refdenotaalpie"/>
          <w:rFonts w:eastAsia="MS Mincho"/>
          <w:sz w:val="20"/>
          <w:szCs w:val="20"/>
          <w:lang w:val="en-US" w:eastAsia="en-US" w:bidi="en-US"/>
        </w:rPr>
        <w:footnoteReference w:id="286"/>
      </w:r>
      <w:r w:rsidRPr="00012C3F">
        <w:rPr>
          <w:rFonts w:eastAsia="MS Mincho"/>
          <w:sz w:val="20"/>
          <w:szCs w:val="20"/>
          <w:lang w:val="en-US" w:eastAsia="en-US" w:bidi="en-US"/>
        </w:rPr>
        <w:t xml:space="preserve"> without specifying what this risk involved. This rule was cited in the Administrative Resolution of March 10,</w:t>
      </w:r>
      <w:r w:rsidR="00E17AF2" w:rsidRPr="00012C3F">
        <w:rPr>
          <w:rFonts w:eastAsia="MS Mincho"/>
          <w:sz w:val="20"/>
          <w:szCs w:val="20"/>
          <w:lang w:val="en-US" w:eastAsia="en-US" w:bidi="en-US"/>
        </w:rPr>
        <w:t xml:space="preserve"> 2003</w:t>
      </w:r>
      <w:r w:rsidRPr="00012C3F">
        <w:rPr>
          <w:rFonts w:eastAsia="MS Mincho"/>
          <w:sz w:val="20"/>
          <w:szCs w:val="20"/>
          <w:lang w:val="en-US" w:eastAsia="en-US" w:bidi="en-US"/>
        </w:rPr>
        <w:t>, which annulled the decision to dismiss the physician during the administrative procedure without any reasoning or substantiation</w:t>
      </w:r>
      <w:r w:rsidR="00E17AF2" w:rsidRPr="00012C3F">
        <w:rPr>
          <w:rFonts w:eastAsia="MS Mincho"/>
          <w:sz w:val="20"/>
          <w:szCs w:val="20"/>
          <w:lang w:val="en-US" w:eastAsia="en-US" w:bidi="en-US"/>
        </w:rPr>
        <w:t xml:space="preserve"> (</w:t>
      </w:r>
      <w:r w:rsidR="00E17AF2" w:rsidRPr="00012C3F">
        <w:rPr>
          <w:rFonts w:eastAsia="MS Mincho"/>
          <w:i/>
          <w:sz w:val="20"/>
          <w:szCs w:val="20"/>
          <w:lang w:val="en-US" w:eastAsia="en-US" w:bidi="en-US"/>
        </w:rPr>
        <w:t>supra</w:t>
      </w:r>
      <w:r w:rsidR="00E17AF2" w:rsidRPr="00012C3F">
        <w:rPr>
          <w:rFonts w:eastAsia="MS Mincho"/>
          <w:sz w:val="20"/>
          <w:szCs w:val="20"/>
          <w:lang w:val="en-US" w:eastAsia="en-US" w:bidi="en-US"/>
        </w:rPr>
        <w:t xml:space="preserve"> </w:t>
      </w:r>
      <w:r w:rsidR="00370DD4" w:rsidRPr="00012C3F">
        <w:rPr>
          <w:rFonts w:eastAsia="MS Mincho"/>
          <w:sz w:val="20"/>
          <w:szCs w:val="20"/>
          <w:lang w:val="en-US" w:eastAsia="en-US" w:bidi="en-US"/>
        </w:rPr>
        <w:t>para.</w:t>
      </w:r>
      <w:r w:rsidR="003F107B" w:rsidRPr="00012C3F">
        <w:rPr>
          <w:rFonts w:eastAsia="MS Mincho"/>
          <w:sz w:val="20"/>
          <w:szCs w:val="20"/>
          <w:lang w:val="en-US" w:eastAsia="en-US" w:bidi="en-US"/>
        </w:rPr>
        <w:t xml:space="preserve"> 90</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 xml:space="preserve">Similarly, Rule 6 of the </w:t>
      </w:r>
      <w:r w:rsidR="005B071D" w:rsidRPr="00012C3F">
        <w:rPr>
          <w:rFonts w:eastAsia="MS Mincho"/>
          <w:sz w:val="20"/>
          <w:szCs w:val="20"/>
          <w:lang w:val="en-US" w:eastAsia="en-US" w:bidi="en-US"/>
        </w:rPr>
        <w:t xml:space="preserve">1997 </w:t>
      </w:r>
      <w:r w:rsidRPr="00012C3F">
        <w:rPr>
          <w:rFonts w:eastAsia="MS Mincho"/>
          <w:sz w:val="20"/>
          <w:szCs w:val="20"/>
          <w:lang w:val="en-US" w:eastAsia="en-US" w:bidi="en-US"/>
        </w:rPr>
        <w:t>Bolivian standard established that, for a woman to be able to undergo</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surgical sterilization</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 xml:space="preserve">following counseling, </w:t>
      </w:r>
      <w:r w:rsidR="00411066" w:rsidRPr="00012C3F">
        <w:rPr>
          <w:rFonts w:eastAsia="MS Mincho"/>
          <w:sz w:val="20"/>
          <w:szCs w:val="20"/>
          <w:lang w:val="en-US" w:eastAsia="en-US" w:bidi="en-US"/>
        </w:rPr>
        <w:t>the</w:t>
      </w:r>
      <w:r w:rsidRPr="00012C3F">
        <w:rPr>
          <w:rFonts w:eastAsia="MS Mincho"/>
          <w:sz w:val="20"/>
          <w:szCs w:val="20"/>
          <w:lang w:val="en-US" w:eastAsia="en-US" w:bidi="en-US"/>
        </w:rPr>
        <w:t xml:space="preserve"> service authorized to perform the procedure should set up a medical committee composed of at least three professionals</w:t>
      </w:r>
      <w:r w:rsidR="00411066" w:rsidRPr="00012C3F">
        <w:rPr>
          <w:rFonts w:eastAsia="MS Mincho"/>
          <w:sz w:val="20"/>
          <w:szCs w:val="20"/>
          <w:lang w:val="en-US" w:eastAsia="en-US" w:bidi="en-US"/>
        </w:rPr>
        <w:t xml:space="preserve"> to analyze the case and,</w:t>
      </w:r>
      <w:r w:rsidRPr="00012C3F">
        <w:rPr>
          <w:rFonts w:eastAsia="MS Mincho"/>
          <w:sz w:val="20"/>
          <w:szCs w:val="20"/>
          <w:lang w:val="en-US" w:eastAsia="en-US" w:bidi="en-US"/>
        </w:rPr>
        <w:t xml:space="preserve"> when they had analyzed the case, </w:t>
      </w:r>
      <w:r w:rsidR="00411066" w:rsidRPr="00012C3F">
        <w:rPr>
          <w:rFonts w:eastAsia="MS Mincho"/>
          <w:sz w:val="20"/>
          <w:szCs w:val="20"/>
          <w:lang w:val="en-US" w:eastAsia="en-US" w:bidi="en-US"/>
        </w:rPr>
        <w:t xml:space="preserve">they </w:t>
      </w:r>
      <w:r w:rsidRPr="00012C3F">
        <w:rPr>
          <w:rFonts w:eastAsia="MS Mincho"/>
          <w:sz w:val="20"/>
          <w:szCs w:val="20"/>
          <w:lang w:val="en-US" w:eastAsia="en-US" w:bidi="en-US"/>
        </w:rPr>
        <w:t>had to prepare a decision justif</w:t>
      </w:r>
      <w:r w:rsidR="00411066" w:rsidRPr="00012C3F">
        <w:rPr>
          <w:rFonts w:eastAsia="MS Mincho"/>
          <w:sz w:val="20"/>
          <w:szCs w:val="20"/>
          <w:lang w:val="en-US" w:eastAsia="en-US" w:bidi="en-US"/>
        </w:rPr>
        <w:t>ying</w:t>
      </w:r>
      <w:r w:rsidRPr="00012C3F">
        <w:rPr>
          <w:rFonts w:eastAsia="MS Mincho"/>
          <w:sz w:val="20"/>
          <w:szCs w:val="20"/>
          <w:lang w:val="en-US" w:eastAsia="en-US" w:bidi="en-US"/>
        </w:rPr>
        <w:t xml:space="preserve"> their approval.</w:t>
      </w:r>
      <w:r w:rsidR="003F107B" w:rsidRPr="00012C3F">
        <w:rPr>
          <w:rStyle w:val="Refdenotaalpie"/>
          <w:rFonts w:eastAsia="MS Mincho"/>
          <w:sz w:val="20"/>
          <w:szCs w:val="20"/>
          <w:lang w:val="en-US" w:eastAsia="en-US" w:bidi="en-US"/>
        </w:rPr>
        <w:footnoteReference w:id="287"/>
      </w:r>
    </w:p>
    <w:p w14:paraId="2A9D83F3" w14:textId="77777777" w:rsidR="00E17AF2" w:rsidRPr="00012C3F" w:rsidRDefault="00E17AF2" w:rsidP="00F9623A">
      <w:pPr>
        <w:tabs>
          <w:tab w:val="left" w:pos="720"/>
        </w:tabs>
        <w:spacing w:line="240" w:lineRule="auto"/>
        <w:rPr>
          <w:rFonts w:eastAsia="MS Mincho"/>
          <w:sz w:val="20"/>
          <w:szCs w:val="20"/>
          <w:lang w:val="en-US" w:eastAsia="en-US" w:bidi="en-US"/>
        </w:rPr>
      </w:pPr>
    </w:p>
    <w:p w14:paraId="77DBC5C2" w14:textId="77777777" w:rsidR="00E17AF2" w:rsidRPr="00012C3F" w:rsidRDefault="00411066" w:rsidP="00F9623A">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sz w:val="20"/>
          <w:szCs w:val="20"/>
          <w:lang w:val="en-US" w:eastAsia="en-US" w:bidi="en-US"/>
        </w:rPr>
        <w:t>Meanwhile</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the</w:t>
      </w:r>
      <w:r w:rsidR="00E17AF2" w:rsidRPr="00012C3F">
        <w:rPr>
          <w:rFonts w:eastAsia="MS Mincho"/>
          <w:sz w:val="20"/>
          <w:szCs w:val="20"/>
          <w:lang w:val="en-US" w:eastAsia="en-US" w:bidi="en-US"/>
        </w:rPr>
        <w:t xml:space="preserve"> </w:t>
      </w:r>
      <w:r w:rsidR="005B071D" w:rsidRPr="00012C3F">
        <w:rPr>
          <w:rFonts w:eastAsia="MS Mincho"/>
          <w:sz w:val="20"/>
          <w:szCs w:val="20"/>
          <w:lang w:val="en-US" w:eastAsia="en-US" w:bidi="en-US"/>
        </w:rPr>
        <w:t xml:space="preserve">1998 </w:t>
      </w:r>
      <w:r w:rsidR="00555720" w:rsidRPr="00012C3F">
        <w:rPr>
          <w:rFonts w:eastAsia="MS Mincho"/>
          <w:sz w:val="20"/>
          <w:szCs w:val="20"/>
          <w:lang w:val="en-US" w:eastAsia="en-US" w:bidi="en-US"/>
        </w:rPr>
        <w:t>Bolivian standard</w:t>
      </w:r>
      <w:r w:rsidR="006339A7" w:rsidRPr="00012C3F">
        <w:rPr>
          <w:rFonts w:eastAsia="MS Mincho"/>
          <w:sz w:val="20"/>
          <w:szCs w:val="20"/>
          <w:lang w:val="en-US" w:eastAsia="en-US" w:bidi="en-US"/>
        </w:rPr>
        <w:t>s</w:t>
      </w:r>
      <w:r w:rsidR="00555720" w:rsidRPr="00012C3F">
        <w:rPr>
          <w:rFonts w:eastAsia="MS Mincho"/>
          <w:sz w:val="20"/>
          <w:szCs w:val="20"/>
          <w:lang w:val="en-US" w:eastAsia="en-US" w:bidi="en-US"/>
        </w:rPr>
        <w:t xml:space="preserve"> </w:t>
      </w:r>
      <w:r w:rsidRPr="00012C3F">
        <w:rPr>
          <w:rFonts w:eastAsia="MS Mincho"/>
          <w:sz w:val="20"/>
          <w:szCs w:val="20"/>
          <w:lang w:val="en-US" w:eastAsia="en-US" w:bidi="en-US"/>
        </w:rPr>
        <w:t>w</w:t>
      </w:r>
      <w:r w:rsidR="006339A7" w:rsidRPr="00012C3F">
        <w:rPr>
          <w:rFonts w:eastAsia="MS Mincho"/>
          <w:sz w:val="20"/>
          <w:szCs w:val="20"/>
          <w:lang w:val="en-US" w:eastAsia="en-US" w:bidi="en-US"/>
        </w:rPr>
        <w:t>ere</w:t>
      </w:r>
      <w:r w:rsidRPr="00012C3F">
        <w:rPr>
          <w:rFonts w:eastAsia="MS Mincho"/>
          <w:sz w:val="20"/>
          <w:szCs w:val="20"/>
          <w:lang w:val="en-US" w:eastAsia="en-US" w:bidi="en-US"/>
        </w:rPr>
        <w:t xml:space="preserve"> adopted to regulate the technique of bilateral tubal occlusion – a technique that results in permanent sterilization – in order to improve the quality of the comprehensive service for women with reproductive risks.</w:t>
      </w:r>
      <w:r w:rsidR="00E17AF2" w:rsidRPr="00012C3F">
        <w:rPr>
          <w:rStyle w:val="Refdenotaalpie"/>
          <w:rFonts w:eastAsia="MS Mincho"/>
          <w:sz w:val="20"/>
          <w:szCs w:val="20"/>
          <w:lang w:val="en-US" w:eastAsia="en-US" w:bidi="en-US"/>
        </w:rPr>
        <w:footnoteReference w:id="288"/>
      </w:r>
      <w:r w:rsidRPr="00012C3F">
        <w:rPr>
          <w:rFonts w:eastAsia="MS Mincho"/>
          <w:sz w:val="20"/>
          <w:szCs w:val="20"/>
          <w:lang w:val="en-US" w:eastAsia="en-US" w:bidi="en-US"/>
        </w:rPr>
        <w:t xml:space="preserve"> These standards expressly recognized</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reproductive</w:t>
      </w:r>
      <w:r w:rsidR="00DF5BD3" w:rsidRPr="00012C3F">
        <w:rPr>
          <w:rFonts w:eastAsia="MS Mincho"/>
          <w:sz w:val="20"/>
          <w:szCs w:val="20"/>
          <w:lang w:val="en-US" w:eastAsia="en-US" w:bidi="en-US"/>
        </w:rPr>
        <w:t xml:space="preserve"> rights</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including the</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right of couples and individuals to decide freely and responsibly on the number and spacing of their children</w:t>
      </w:r>
      <w:r w:rsidR="005E5012" w:rsidRPr="00012C3F">
        <w:rPr>
          <w:rFonts w:eastAsia="MS Mincho"/>
          <w:sz w:val="20"/>
          <w:szCs w:val="20"/>
          <w:lang w:val="en-US" w:eastAsia="en-US" w:bidi="en-US"/>
        </w:rPr>
        <w:t xml:space="preserve"> and </w:t>
      </w:r>
      <w:r w:rsidRPr="00012C3F">
        <w:rPr>
          <w:rFonts w:eastAsia="MS Mincho"/>
          <w:sz w:val="20"/>
          <w:szCs w:val="20"/>
          <w:lang w:val="en-US" w:eastAsia="en-US" w:bidi="en-US"/>
        </w:rPr>
        <w:t>to receive the necessary information, education and means to do this.</w:t>
      </w:r>
      <w:r w:rsidR="00E17AF2" w:rsidRPr="00012C3F">
        <w:rPr>
          <w:rFonts w:eastAsia="MS Mincho"/>
          <w:sz w:val="20"/>
          <w:szCs w:val="20"/>
          <w:lang w:val="en-US" w:eastAsia="en-US" w:bidi="en-US"/>
        </w:rPr>
        <w:t>”</w:t>
      </w:r>
      <w:r w:rsidR="005E01C8" w:rsidRPr="00012C3F">
        <w:rPr>
          <w:rStyle w:val="Refdenotaalpie"/>
          <w:rFonts w:eastAsia="MS Mincho"/>
          <w:sz w:val="20"/>
          <w:szCs w:val="20"/>
          <w:lang w:val="en-US" w:eastAsia="en-US" w:bidi="en-US"/>
        </w:rPr>
        <w:footnoteReference w:id="289"/>
      </w:r>
      <w:r w:rsidRPr="00012C3F">
        <w:rPr>
          <w:rFonts w:eastAsia="MS Mincho"/>
          <w:sz w:val="20"/>
          <w:szCs w:val="20"/>
          <w:lang w:val="en-US" w:eastAsia="en-US" w:bidi="en-US"/>
        </w:rPr>
        <w:t xml:space="preserve"> They also established that bilateral tubal occlusion would be performed, provided that the user had received adequate guidance and had confirmed her decision by signing or placing her fingerp</w:t>
      </w:r>
      <w:r w:rsidR="00A65ECD" w:rsidRPr="00012C3F">
        <w:rPr>
          <w:rFonts w:eastAsia="MS Mincho"/>
          <w:sz w:val="20"/>
          <w:szCs w:val="20"/>
          <w:lang w:val="en-US" w:eastAsia="en-US" w:bidi="en-US"/>
        </w:rPr>
        <w:t>r</w:t>
      </w:r>
      <w:r w:rsidRPr="00012C3F">
        <w:rPr>
          <w:rFonts w:eastAsia="MS Mincho"/>
          <w:sz w:val="20"/>
          <w:szCs w:val="20"/>
          <w:lang w:val="en-US" w:eastAsia="en-US" w:bidi="en-US"/>
        </w:rPr>
        <w:t>int on the</w:t>
      </w:r>
      <w:r w:rsidR="00E17AF2" w:rsidRPr="00012C3F">
        <w:rPr>
          <w:rFonts w:eastAsia="MS Mincho"/>
          <w:sz w:val="20"/>
          <w:szCs w:val="20"/>
          <w:lang w:val="en-US" w:eastAsia="en-US" w:bidi="en-US"/>
        </w:rPr>
        <w:t xml:space="preserve"> </w:t>
      </w:r>
      <w:r w:rsidR="00AC0004" w:rsidRPr="00012C3F">
        <w:rPr>
          <w:rFonts w:eastAsia="MS Mincho"/>
          <w:sz w:val="20"/>
          <w:szCs w:val="20"/>
          <w:lang w:val="en-US" w:eastAsia="en-US" w:bidi="en-US"/>
        </w:rPr>
        <w:t>informed consent</w:t>
      </w:r>
      <w:r w:rsidRPr="00012C3F">
        <w:rPr>
          <w:rFonts w:eastAsia="MS Mincho"/>
          <w:sz w:val="20"/>
          <w:szCs w:val="20"/>
          <w:lang w:val="en-US" w:eastAsia="en-US" w:bidi="en-US"/>
        </w:rPr>
        <w:t xml:space="preserve"> document.</w:t>
      </w:r>
      <w:r w:rsidR="00E17AF2" w:rsidRPr="00012C3F">
        <w:rPr>
          <w:rStyle w:val="Refdenotaalpie"/>
          <w:rFonts w:eastAsia="MS Mincho"/>
          <w:sz w:val="20"/>
          <w:szCs w:val="20"/>
          <w:lang w:val="en-US" w:eastAsia="en-US" w:bidi="en-US"/>
        </w:rPr>
        <w:footnoteReference w:id="290"/>
      </w:r>
    </w:p>
    <w:p w14:paraId="453EA46E" w14:textId="77777777" w:rsidR="00E17AF2" w:rsidRPr="00012C3F" w:rsidRDefault="00E17AF2" w:rsidP="00E17AF2">
      <w:pPr>
        <w:tabs>
          <w:tab w:val="left" w:pos="567"/>
        </w:tabs>
        <w:spacing w:line="240" w:lineRule="auto"/>
        <w:rPr>
          <w:rFonts w:eastAsia="MS Mincho"/>
          <w:sz w:val="20"/>
          <w:szCs w:val="20"/>
          <w:lang w:val="en-US" w:eastAsia="en-US" w:bidi="en-US"/>
        </w:rPr>
      </w:pPr>
    </w:p>
    <w:p w14:paraId="0F36DAAB" w14:textId="77777777" w:rsidR="00E17AF2" w:rsidRPr="00012C3F" w:rsidRDefault="00A65ECD" w:rsidP="00A65ECD">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sz w:val="20"/>
          <w:szCs w:val="20"/>
          <w:lang w:val="en-US" w:eastAsia="en-US" w:bidi="en-US"/>
        </w:rPr>
        <w:t xml:space="preserve">Despite the existence of these standards that required informed consent in writing, </w:t>
      </w:r>
      <w:r w:rsidR="009D3EE9" w:rsidRPr="00012C3F">
        <w:rPr>
          <w:rFonts w:eastAsia="MS Mincho"/>
          <w:sz w:val="20"/>
          <w:szCs w:val="20"/>
          <w:lang w:val="en-US" w:eastAsia="en-US" w:bidi="en-US"/>
        </w:rPr>
        <w:t>signed</w:t>
      </w:r>
      <w:r w:rsidRPr="00012C3F">
        <w:rPr>
          <w:rFonts w:eastAsia="MS Mincho"/>
          <w:sz w:val="20"/>
          <w:szCs w:val="20"/>
          <w:lang w:val="en-US" w:eastAsia="en-US" w:bidi="en-US"/>
        </w:rPr>
        <w:t xml:space="preserve"> by the patient, the State argued that this was not applicable to the case of I.V., because the 1997 and 1998 Bolivian standards had been adopted for cases in which patients voluntarily, regardless of pregnancy, went to a medical center to request tubal ligation. The State argued that this was not the case of I.V., because her sterilization occurred following a medical incident on the occasion of the </w:t>
      </w:r>
      <w:r w:rsidR="00CC232E" w:rsidRPr="00012C3F">
        <w:rPr>
          <w:rFonts w:eastAsia="MS Mincho"/>
          <w:sz w:val="20"/>
          <w:szCs w:val="20"/>
          <w:lang w:val="en-US" w:eastAsia="en-US" w:bidi="en-US"/>
        </w:rPr>
        <w:t>caesarean section</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 xml:space="preserve">This was ratified by statements </w:t>
      </w:r>
      <w:r w:rsidR="006339A7" w:rsidRPr="00012C3F">
        <w:rPr>
          <w:rFonts w:eastAsia="MS Mincho"/>
          <w:sz w:val="20"/>
          <w:szCs w:val="20"/>
          <w:lang w:val="en-US" w:eastAsia="en-US" w:bidi="en-US"/>
        </w:rPr>
        <w:t>made by</w:t>
      </w:r>
      <w:r w:rsidRPr="00012C3F">
        <w:rPr>
          <w:rFonts w:eastAsia="MS Mincho"/>
          <w:sz w:val="20"/>
          <w:szCs w:val="20"/>
          <w:lang w:val="en-US" w:eastAsia="en-US" w:bidi="en-US"/>
        </w:rPr>
        <w:t xml:space="preserve"> the doctors during the proceedings before this Court. In this regard, one of the doctors who intervened stated that, since the 1998 Bolivian standards were not applicable and the case of I.V. was a special case, verbal consent was permitted, stressing that, even in this situation, sterilization should be voluntary.</w:t>
      </w:r>
      <w:r w:rsidR="00E17AF2" w:rsidRPr="00012C3F">
        <w:rPr>
          <w:rStyle w:val="Refdenotaalpie"/>
          <w:rFonts w:eastAsia="MS Mincho"/>
          <w:sz w:val="20"/>
          <w:szCs w:val="20"/>
          <w:lang w:val="en-US" w:eastAsia="en-US" w:bidi="en-US"/>
        </w:rPr>
        <w:footnoteReference w:id="291"/>
      </w:r>
      <w:r w:rsidRPr="00012C3F">
        <w:rPr>
          <w:rFonts w:eastAsia="MS Mincho"/>
          <w:sz w:val="20"/>
          <w:szCs w:val="20"/>
          <w:lang w:val="en-US" w:eastAsia="en-US" w:bidi="en-US"/>
        </w:rPr>
        <w:t xml:space="preserve"> However, the other doctor indicated during the domestic administrative procedure that, although it was necessary to perform a tubal ligation from a medical perspective, it was incorrect from a legal perspective, because they should have waited until I.V., following the c-section, took the decision to undergo the said procedure.</w:t>
      </w:r>
      <w:r w:rsidR="00E17AF2" w:rsidRPr="00012C3F">
        <w:rPr>
          <w:rStyle w:val="Refdenotaalpie"/>
          <w:rFonts w:eastAsia="MS Mincho"/>
          <w:sz w:val="20"/>
          <w:szCs w:val="20"/>
          <w:lang w:val="en-US" w:eastAsia="en-US" w:bidi="en-US"/>
        </w:rPr>
        <w:footnoteReference w:id="292"/>
      </w:r>
      <w:r w:rsidRPr="00012C3F">
        <w:rPr>
          <w:rFonts w:eastAsia="MS Mincho"/>
          <w:sz w:val="20"/>
          <w:szCs w:val="20"/>
          <w:lang w:val="en-US" w:eastAsia="en-US" w:bidi="en-US"/>
        </w:rPr>
        <w:t xml:space="preserve"> Subsequently, in the statement he submitted to the Court, he asserted that what he had stated previously had been taken out of context and what he had meant to state was that, although the tubal ligation was absolutely advisable, “neither domestic law nor international protocols</w:t>
      </w:r>
      <w:r w:rsidR="00C3678E" w:rsidRPr="00012C3F">
        <w:rPr>
          <w:rFonts w:eastAsia="MS Mincho"/>
          <w:sz w:val="20"/>
          <w:szCs w:val="20"/>
          <w:lang w:val="en-US" w:eastAsia="en-US" w:bidi="en-US"/>
        </w:rPr>
        <w:t xml:space="preserve"> on the matter established a regulated and legal procedure for complex, difficult or exceptional cases,</w:t>
      </w:r>
      <w:r w:rsidR="00E17AF2" w:rsidRPr="00012C3F">
        <w:rPr>
          <w:rFonts w:eastAsia="MS Mincho"/>
          <w:sz w:val="20"/>
          <w:szCs w:val="20"/>
          <w:lang w:val="en-US" w:eastAsia="en-US" w:bidi="en-US"/>
        </w:rPr>
        <w:t>”</w:t>
      </w:r>
      <w:r w:rsidR="00E17AF2" w:rsidRPr="00012C3F">
        <w:rPr>
          <w:rStyle w:val="Refdenotaalpie"/>
          <w:rFonts w:eastAsia="MS Mincho"/>
          <w:sz w:val="20"/>
          <w:szCs w:val="20"/>
          <w:lang w:val="en-US" w:eastAsia="en-US" w:bidi="en-US"/>
        </w:rPr>
        <w:footnoteReference w:id="293"/>
      </w:r>
      <w:r w:rsidR="00C3678E" w:rsidRPr="00012C3F">
        <w:rPr>
          <w:rFonts w:eastAsia="MS Mincho"/>
          <w:sz w:val="20"/>
          <w:szCs w:val="20"/>
          <w:lang w:val="en-US" w:eastAsia="en-US" w:bidi="en-US"/>
        </w:rPr>
        <w:t xml:space="preserve"> such as that of </w:t>
      </w:r>
      <w:r w:rsidR="000E1C11" w:rsidRPr="00012C3F">
        <w:rPr>
          <w:rFonts w:eastAsia="MS Mincho"/>
          <w:sz w:val="20"/>
          <w:szCs w:val="20"/>
          <w:lang w:val="en-US" w:eastAsia="en-US" w:bidi="en-US"/>
        </w:rPr>
        <w:t>I.V.</w:t>
      </w:r>
    </w:p>
    <w:p w14:paraId="466F8945" w14:textId="77777777" w:rsidR="00E17AF2" w:rsidRPr="00012C3F" w:rsidRDefault="00E17AF2" w:rsidP="00E17AF2">
      <w:pPr>
        <w:tabs>
          <w:tab w:val="left" w:pos="567"/>
        </w:tabs>
        <w:spacing w:line="240" w:lineRule="auto"/>
        <w:rPr>
          <w:rFonts w:eastAsia="MS Mincho"/>
          <w:sz w:val="20"/>
          <w:szCs w:val="20"/>
          <w:lang w:val="en-US" w:eastAsia="en-US" w:bidi="en-US"/>
        </w:rPr>
      </w:pPr>
    </w:p>
    <w:p w14:paraId="3FF1E9EB" w14:textId="77777777" w:rsidR="00E17AF2" w:rsidRPr="00012C3F" w:rsidRDefault="00C3678E" w:rsidP="00C3678E">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sz w:val="20"/>
          <w:szCs w:val="20"/>
          <w:lang w:val="en-US" w:eastAsia="en-US" w:bidi="en-US"/>
        </w:rPr>
        <w:t>T</w:t>
      </w:r>
      <w:r w:rsidR="001254DE" w:rsidRPr="00012C3F">
        <w:rPr>
          <w:rFonts w:eastAsia="MS Mincho"/>
          <w:sz w:val="20"/>
          <w:szCs w:val="20"/>
          <w:lang w:val="en-US" w:eastAsia="en-US" w:bidi="en-US"/>
        </w:rPr>
        <w:t>he Court</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 xml:space="preserve">has corroborated that the </w:t>
      </w:r>
      <w:r w:rsidR="007F2E2D" w:rsidRPr="00012C3F">
        <w:rPr>
          <w:rFonts w:eastAsia="MS Mincho"/>
          <w:sz w:val="20"/>
          <w:szCs w:val="20"/>
          <w:lang w:val="en-US" w:eastAsia="en-US" w:bidi="en-US"/>
        </w:rPr>
        <w:t>Code of Medical Ethics</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 xml:space="preserve">in force at the time of the facts, indicated that it was an obligation of doctors to obtain a patient’s written informed consent in order to perform any medical or surgical procedure, especially in situations that entailed a risk or resulted in </w:t>
      </w:r>
      <w:r w:rsidR="006339A7" w:rsidRPr="00012C3F">
        <w:rPr>
          <w:rFonts w:eastAsia="MS Mincho"/>
          <w:sz w:val="20"/>
          <w:szCs w:val="20"/>
          <w:lang w:val="en-US" w:eastAsia="en-US" w:bidi="en-US"/>
        </w:rPr>
        <w:t>damage (</w:t>
      </w:r>
      <w:r w:rsidR="006339A7" w:rsidRPr="00012C3F">
        <w:rPr>
          <w:rFonts w:eastAsia="MS Mincho"/>
          <w:i/>
          <w:iCs/>
          <w:sz w:val="20"/>
          <w:szCs w:val="20"/>
          <w:lang w:val="en-US" w:eastAsia="en-US" w:bidi="en-US"/>
        </w:rPr>
        <w:t>mutilación</w:t>
      </w:r>
      <w:r w:rsidR="006339A7" w:rsidRPr="00012C3F">
        <w:rPr>
          <w:rFonts w:eastAsia="MS Mincho"/>
          <w:sz w:val="20"/>
          <w:szCs w:val="20"/>
          <w:lang w:val="en-US" w:eastAsia="en-US" w:bidi="en-US"/>
        </w:rPr>
        <w:t>)</w:t>
      </w:r>
      <w:r w:rsidRPr="00012C3F">
        <w:rPr>
          <w:rFonts w:eastAsia="MS Mincho"/>
          <w:sz w:val="20"/>
          <w:szCs w:val="20"/>
          <w:lang w:val="en-US" w:eastAsia="en-US" w:bidi="en-US"/>
        </w:rPr>
        <w:t>. The Code established that only in cases of emergency and when the consent could not be given, because clinical criteria recommended immediate treatment, was it possible to proceed without authorization. In the specific case of sterilization, this could only be performed at the express, voluntary and documented request of the patient, or in cases of therapeutic indication strictly determined by a medical board.</w:t>
      </w:r>
      <w:r w:rsidR="00E17AF2" w:rsidRPr="00012C3F">
        <w:rPr>
          <w:rStyle w:val="Refdenotaalpie"/>
          <w:rFonts w:eastAsia="MS Mincho"/>
          <w:sz w:val="20"/>
          <w:szCs w:val="20"/>
          <w:lang w:val="en-US" w:eastAsia="en-US" w:bidi="en-US"/>
        </w:rPr>
        <w:footnoteReference w:id="294"/>
      </w:r>
    </w:p>
    <w:p w14:paraId="3EA7ABA5" w14:textId="77777777" w:rsidR="00E17AF2" w:rsidRPr="00012C3F" w:rsidRDefault="00E17AF2" w:rsidP="00E17AF2">
      <w:pPr>
        <w:tabs>
          <w:tab w:val="left" w:pos="567"/>
        </w:tabs>
        <w:spacing w:line="240" w:lineRule="auto"/>
        <w:rPr>
          <w:rFonts w:eastAsia="MS Mincho"/>
          <w:sz w:val="20"/>
          <w:szCs w:val="20"/>
          <w:lang w:val="en-US" w:eastAsia="en-US" w:bidi="en-US"/>
        </w:rPr>
      </w:pPr>
    </w:p>
    <w:p w14:paraId="4170B986" w14:textId="77777777" w:rsidR="002B1A6F" w:rsidRPr="00012C3F" w:rsidRDefault="006339A7" w:rsidP="002B1A6F">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sz w:val="20"/>
          <w:szCs w:val="20"/>
          <w:lang w:val="en-US" w:eastAsia="en-US" w:bidi="en-US"/>
        </w:rPr>
        <w:t xml:space="preserve">The </w:t>
      </w:r>
      <w:r w:rsidR="00A84CA0" w:rsidRPr="00012C3F">
        <w:rPr>
          <w:rFonts w:eastAsia="MS Mincho"/>
          <w:sz w:val="20"/>
          <w:szCs w:val="20"/>
          <w:lang w:val="en-US" w:eastAsia="en-US" w:bidi="en-US"/>
        </w:rPr>
        <w:t>State</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 xml:space="preserve">also </w:t>
      </w:r>
      <w:r w:rsidR="00E17AF2" w:rsidRPr="00012C3F">
        <w:rPr>
          <w:rFonts w:eastAsia="MS Mincho"/>
          <w:sz w:val="20"/>
          <w:szCs w:val="20"/>
          <w:lang w:val="en-US" w:eastAsia="en-US" w:bidi="en-US"/>
        </w:rPr>
        <w:t>present</w:t>
      </w:r>
      <w:r w:rsidR="002B1A6F" w:rsidRPr="00012C3F">
        <w:rPr>
          <w:rFonts w:eastAsia="MS Mincho"/>
          <w:sz w:val="20"/>
          <w:szCs w:val="20"/>
          <w:lang w:val="en-US" w:eastAsia="en-US" w:bidi="en-US"/>
        </w:rPr>
        <w:t xml:space="preserve">ed as evidence a </w:t>
      </w:r>
      <w:r w:rsidRPr="00012C3F">
        <w:rPr>
          <w:rFonts w:eastAsia="MS Mincho"/>
          <w:sz w:val="20"/>
          <w:szCs w:val="20"/>
          <w:lang w:val="en-US" w:eastAsia="en-US" w:bidi="en-US"/>
        </w:rPr>
        <w:t>letter from</w:t>
      </w:r>
      <w:r w:rsidR="002B1A6F" w:rsidRPr="00012C3F">
        <w:rPr>
          <w:rFonts w:eastAsia="MS Mincho"/>
          <w:sz w:val="20"/>
          <w:szCs w:val="20"/>
          <w:lang w:val="en-US" w:eastAsia="en-US" w:bidi="en-US"/>
        </w:rPr>
        <w:t xml:space="preserve"> the Head of Obstetrics </w:t>
      </w:r>
      <w:r w:rsidR="00FF19ED" w:rsidRPr="00012C3F">
        <w:rPr>
          <w:rFonts w:eastAsia="MS Mincho"/>
          <w:sz w:val="20"/>
          <w:szCs w:val="20"/>
          <w:lang w:val="en-US" w:eastAsia="en-US" w:bidi="en-US"/>
        </w:rPr>
        <w:t xml:space="preserve">of the </w:t>
      </w:r>
      <w:r w:rsidR="00583403" w:rsidRPr="00012C3F">
        <w:rPr>
          <w:rFonts w:eastAsia="MS Mincho"/>
          <w:sz w:val="20"/>
          <w:szCs w:val="20"/>
          <w:lang w:val="en-US" w:eastAsia="en-US" w:bidi="en-US"/>
        </w:rPr>
        <w:t>Women’s Hospital</w:t>
      </w:r>
      <w:r w:rsidR="00E17AF2" w:rsidRPr="00012C3F">
        <w:rPr>
          <w:rFonts w:eastAsia="MS Mincho"/>
          <w:sz w:val="20"/>
          <w:szCs w:val="20"/>
          <w:lang w:val="en-US" w:eastAsia="en-US" w:bidi="en-US"/>
        </w:rPr>
        <w:t xml:space="preserve"> </w:t>
      </w:r>
      <w:r w:rsidR="002B1A6F" w:rsidRPr="00012C3F">
        <w:rPr>
          <w:rFonts w:eastAsia="MS Mincho"/>
          <w:sz w:val="20"/>
          <w:szCs w:val="20"/>
          <w:lang w:val="en-US" w:eastAsia="en-US" w:bidi="en-US"/>
        </w:rPr>
        <w:t>dated October 26,</w:t>
      </w:r>
      <w:r w:rsidR="00E17AF2" w:rsidRPr="00012C3F">
        <w:rPr>
          <w:rFonts w:eastAsia="MS Mincho"/>
          <w:sz w:val="20"/>
          <w:szCs w:val="20"/>
          <w:lang w:val="en-US" w:eastAsia="en-US" w:bidi="en-US"/>
        </w:rPr>
        <w:t xml:space="preserve"> 2015, </w:t>
      </w:r>
      <w:r w:rsidR="002B1A6F" w:rsidRPr="00012C3F">
        <w:rPr>
          <w:rFonts w:eastAsia="MS Mincho"/>
          <w:sz w:val="20"/>
          <w:szCs w:val="20"/>
          <w:lang w:val="en-US" w:eastAsia="en-US" w:bidi="en-US"/>
        </w:rPr>
        <w:t xml:space="preserve">in which he indicated that </w:t>
      </w:r>
      <w:r w:rsidR="00E17AF2" w:rsidRPr="00012C3F">
        <w:rPr>
          <w:rFonts w:eastAsiaTheme="minorHAnsi" w:cs="Arial"/>
          <w:sz w:val="20"/>
          <w:szCs w:val="20"/>
          <w:lang w:val="en-US" w:eastAsia="en-US"/>
        </w:rPr>
        <w:t>“[</w:t>
      </w:r>
      <w:r w:rsidR="002B1A6F" w:rsidRPr="00012C3F">
        <w:rPr>
          <w:rFonts w:eastAsiaTheme="minorHAnsi" w:cs="Arial"/>
          <w:sz w:val="20"/>
          <w:szCs w:val="20"/>
          <w:lang w:val="en-US" w:eastAsia="en-US"/>
        </w:rPr>
        <w:t>o</w:t>
      </w:r>
      <w:r w:rsidR="00E17AF2" w:rsidRPr="00012C3F">
        <w:rPr>
          <w:rFonts w:eastAsiaTheme="minorHAnsi" w:cs="Arial"/>
          <w:sz w:val="20"/>
          <w:szCs w:val="20"/>
          <w:lang w:val="en-US" w:eastAsia="en-US"/>
        </w:rPr>
        <w:t>]</w:t>
      </w:r>
      <w:r w:rsidR="002B1A6F" w:rsidRPr="00012C3F">
        <w:rPr>
          <w:rFonts w:eastAsiaTheme="minorHAnsi" w:cs="Arial"/>
          <w:sz w:val="20"/>
          <w:szCs w:val="20"/>
          <w:lang w:val="en-US" w:eastAsia="en-US"/>
        </w:rPr>
        <w:t xml:space="preserve">bstetrics ha[d] no specific protocols for performing tubal ligations due to medical indication, because it [was] a non-protocolized alternative procedure, and constitute[d] a special obstetric situation where, based on his experience and the obstetric evidence and in order to prevent future obstetric complications </w:t>
      </w:r>
      <w:r w:rsidR="002B1A6F" w:rsidRPr="00012C3F">
        <w:rPr>
          <w:rFonts w:eastAsiaTheme="minorHAnsi" w:cs="Arial"/>
          <w:sz w:val="20"/>
          <w:szCs w:val="20"/>
          <w:lang w:val="en-US" w:eastAsia="en-US"/>
        </w:rPr>
        <w:lastRenderedPageBreak/>
        <w:t xml:space="preserve">resulting in maternal and/or fetal death, </w:t>
      </w:r>
      <w:r w:rsidRPr="00012C3F">
        <w:rPr>
          <w:rFonts w:eastAsiaTheme="minorHAnsi" w:cs="Arial"/>
          <w:sz w:val="20"/>
          <w:szCs w:val="20"/>
          <w:lang w:val="en-US" w:eastAsia="en-US"/>
        </w:rPr>
        <w:t xml:space="preserve">the specialist decided </w:t>
      </w:r>
      <w:r w:rsidR="002B1A6F" w:rsidRPr="00012C3F">
        <w:rPr>
          <w:rFonts w:eastAsiaTheme="minorHAnsi" w:cs="Arial"/>
          <w:sz w:val="20"/>
          <w:szCs w:val="20"/>
          <w:lang w:val="en-US" w:eastAsia="en-US"/>
        </w:rPr>
        <w:t>to perform the corresponding surg</w:t>
      </w:r>
      <w:r w:rsidRPr="00012C3F">
        <w:rPr>
          <w:rFonts w:eastAsiaTheme="minorHAnsi" w:cs="Arial"/>
          <w:sz w:val="20"/>
          <w:szCs w:val="20"/>
          <w:lang w:val="en-US" w:eastAsia="en-US"/>
        </w:rPr>
        <w:t>ical procedure</w:t>
      </w:r>
      <w:r w:rsidR="002B1A6F" w:rsidRPr="00012C3F">
        <w:rPr>
          <w:rFonts w:eastAsiaTheme="minorHAnsi" w:cs="Arial"/>
          <w:sz w:val="20"/>
          <w:szCs w:val="20"/>
          <w:lang w:val="en-US" w:eastAsia="en-US"/>
        </w:rPr>
        <w:t>.</w:t>
      </w:r>
      <w:r w:rsidR="00E17AF2" w:rsidRPr="00012C3F">
        <w:rPr>
          <w:rFonts w:eastAsiaTheme="minorHAnsi" w:cs="Arial"/>
          <w:sz w:val="20"/>
          <w:szCs w:val="20"/>
          <w:lang w:val="en-US" w:eastAsia="en-US"/>
        </w:rPr>
        <w:t>”</w:t>
      </w:r>
      <w:r w:rsidR="00E17AF2" w:rsidRPr="00012C3F">
        <w:rPr>
          <w:rStyle w:val="Refdenotaalpie"/>
          <w:rFonts w:eastAsiaTheme="minorHAnsi" w:cs="Arial"/>
          <w:sz w:val="20"/>
          <w:szCs w:val="20"/>
          <w:lang w:val="en-US" w:eastAsia="en-US"/>
        </w:rPr>
        <w:footnoteReference w:id="295"/>
      </w:r>
      <w:r w:rsidR="00E17AF2" w:rsidRPr="00012C3F">
        <w:rPr>
          <w:sz w:val="20"/>
          <w:szCs w:val="20"/>
          <w:lang w:val="en-US"/>
        </w:rPr>
        <w:t xml:space="preserve"> </w:t>
      </w:r>
      <w:r w:rsidR="001254DE" w:rsidRPr="00012C3F">
        <w:rPr>
          <w:sz w:val="20"/>
          <w:szCs w:val="20"/>
          <w:lang w:val="en-US"/>
        </w:rPr>
        <w:t>The Court</w:t>
      </w:r>
      <w:r w:rsidR="00E17AF2" w:rsidRPr="00012C3F">
        <w:rPr>
          <w:sz w:val="20"/>
          <w:szCs w:val="20"/>
          <w:lang w:val="en-US"/>
        </w:rPr>
        <w:t xml:space="preserve"> not</w:t>
      </w:r>
      <w:r w:rsidR="002B1A6F" w:rsidRPr="00012C3F">
        <w:rPr>
          <w:sz w:val="20"/>
          <w:szCs w:val="20"/>
          <w:lang w:val="en-US"/>
        </w:rPr>
        <w:t xml:space="preserve">es that, according to the corresponding standards, the </w:t>
      </w:r>
      <w:r w:rsidR="00E17AF2" w:rsidRPr="00012C3F">
        <w:rPr>
          <w:sz w:val="20"/>
          <w:szCs w:val="20"/>
          <w:lang w:val="en-US"/>
        </w:rPr>
        <w:t xml:space="preserve"> </w:t>
      </w:r>
      <w:r w:rsidR="007F2E2D" w:rsidRPr="00012C3F">
        <w:rPr>
          <w:rFonts w:eastAsiaTheme="minorHAnsi" w:cs="Arial"/>
          <w:sz w:val="20"/>
          <w:szCs w:val="20"/>
          <w:lang w:val="en-US" w:eastAsia="en-US"/>
        </w:rPr>
        <w:t>Code of Medical Ethics</w:t>
      </w:r>
      <w:r w:rsidR="00E17AF2" w:rsidRPr="00012C3F">
        <w:rPr>
          <w:rFonts w:eastAsiaTheme="minorHAnsi" w:cs="Arial"/>
          <w:sz w:val="20"/>
          <w:szCs w:val="20"/>
          <w:lang w:val="en-US" w:eastAsia="en-US"/>
        </w:rPr>
        <w:t xml:space="preserve"> </w:t>
      </w:r>
      <w:r w:rsidR="002B1A6F" w:rsidRPr="00012C3F">
        <w:rPr>
          <w:rFonts w:eastAsiaTheme="minorHAnsi" w:cs="Arial"/>
          <w:sz w:val="20"/>
          <w:szCs w:val="20"/>
          <w:lang w:val="en-US" w:eastAsia="en-US"/>
        </w:rPr>
        <w:t>in force at the time required informed consent, signed by the patient to be obtained, or else a decision by a medical board.</w:t>
      </w:r>
    </w:p>
    <w:p w14:paraId="1C8A28B1" w14:textId="77777777" w:rsidR="00E17AF2" w:rsidRPr="00012C3F" w:rsidRDefault="00E17AF2" w:rsidP="00E17AF2">
      <w:pPr>
        <w:tabs>
          <w:tab w:val="left" w:pos="567"/>
        </w:tabs>
        <w:spacing w:line="240" w:lineRule="auto"/>
        <w:rPr>
          <w:rFonts w:eastAsia="MS Mincho"/>
          <w:sz w:val="20"/>
          <w:szCs w:val="20"/>
          <w:lang w:val="en-US" w:eastAsia="en-US" w:bidi="en-US"/>
        </w:rPr>
      </w:pPr>
    </w:p>
    <w:p w14:paraId="7B47CE10" w14:textId="77777777" w:rsidR="00871BF3" w:rsidRPr="00012C3F" w:rsidRDefault="001254DE" w:rsidP="00871BF3">
      <w:pPr>
        <w:numPr>
          <w:ilvl w:val="0"/>
          <w:numId w:val="5"/>
        </w:numPr>
        <w:tabs>
          <w:tab w:val="left" w:pos="720"/>
          <w:tab w:val="num" w:pos="12305"/>
        </w:tabs>
        <w:spacing w:line="240" w:lineRule="auto"/>
        <w:ind w:left="0" w:firstLine="0"/>
        <w:rPr>
          <w:rFonts w:eastAsia="MS Mincho"/>
          <w:b/>
          <w:i/>
          <w:sz w:val="20"/>
          <w:szCs w:val="20"/>
          <w:lang w:val="en-US" w:eastAsia="en-US" w:bidi="en-US"/>
        </w:rPr>
      </w:pPr>
      <w:r w:rsidRPr="00012C3F">
        <w:rPr>
          <w:rFonts w:eastAsia="MS Mincho"/>
          <w:sz w:val="20"/>
          <w:szCs w:val="20"/>
          <w:lang w:val="en-US" w:eastAsia="en-US" w:bidi="en-US"/>
        </w:rPr>
        <w:t>The Court</w:t>
      </w:r>
      <w:r w:rsidR="00E17AF2" w:rsidRPr="00012C3F">
        <w:rPr>
          <w:rFonts w:eastAsia="MS Mincho"/>
          <w:sz w:val="20"/>
          <w:szCs w:val="20"/>
          <w:lang w:val="en-US" w:eastAsia="en-US" w:bidi="en-US"/>
        </w:rPr>
        <w:t xml:space="preserve"> conclu</w:t>
      </w:r>
      <w:r w:rsidR="00871BF3" w:rsidRPr="00012C3F">
        <w:rPr>
          <w:rFonts w:eastAsia="MS Mincho"/>
          <w:sz w:val="20"/>
          <w:szCs w:val="20"/>
          <w:lang w:val="en-US" w:eastAsia="en-US" w:bidi="en-US"/>
        </w:rPr>
        <w:t xml:space="preserve">des that </w:t>
      </w:r>
      <w:r w:rsidR="006339A7" w:rsidRPr="00012C3F">
        <w:rPr>
          <w:rFonts w:eastAsia="MS Mincho"/>
          <w:sz w:val="20"/>
          <w:szCs w:val="20"/>
          <w:lang w:val="en-US" w:eastAsia="en-US" w:bidi="en-US"/>
        </w:rPr>
        <w:t xml:space="preserve">the </w:t>
      </w:r>
      <w:r w:rsidR="00871BF3" w:rsidRPr="00012C3F">
        <w:rPr>
          <w:rFonts w:eastAsia="MS Mincho"/>
          <w:sz w:val="20"/>
          <w:szCs w:val="20"/>
          <w:lang w:val="en-US" w:eastAsia="en-US" w:bidi="en-US"/>
        </w:rPr>
        <w:t xml:space="preserve">standards </w:t>
      </w:r>
      <w:r w:rsidR="006339A7" w:rsidRPr="00012C3F">
        <w:rPr>
          <w:rFonts w:eastAsia="MS Mincho"/>
          <w:sz w:val="20"/>
          <w:szCs w:val="20"/>
          <w:lang w:val="en-US" w:eastAsia="en-US" w:bidi="en-US"/>
        </w:rPr>
        <w:t>concerning</w:t>
      </w:r>
      <w:r w:rsidR="00871BF3" w:rsidRPr="00012C3F">
        <w:rPr>
          <w:rFonts w:eastAsia="MS Mincho"/>
          <w:sz w:val="20"/>
          <w:szCs w:val="20"/>
          <w:lang w:val="en-US" w:eastAsia="en-US" w:bidi="en-US"/>
        </w:rPr>
        <w:t xml:space="preserve"> </w:t>
      </w:r>
      <w:r w:rsidR="00AC0004" w:rsidRPr="00012C3F">
        <w:rPr>
          <w:rFonts w:eastAsia="MS Mincho"/>
          <w:sz w:val="20"/>
          <w:szCs w:val="20"/>
          <w:lang w:val="en-US" w:eastAsia="en-US" w:bidi="en-US"/>
        </w:rPr>
        <w:t>informed consent</w:t>
      </w:r>
      <w:r w:rsidR="005E5012" w:rsidRPr="00012C3F">
        <w:rPr>
          <w:rFonts w:eastAsia="MS Mincho"/>
          <w:sz w:val="20"/>
          <w:szCs w:val="20"/>
          <w:lang w:val="en-US" w:eastAsia="en-US" w:bidi="en-US"/>
        </w:rPr>
        <w:t xml:space="preserve"> and </w:t>
      </w:r>
      <w:r w:rsidR="00871BF3" w:rsidRPr="00012C3F">
        <w:rPr>
          <w:rFonts w:eastAsia="MS Mincho"/>
          <w:sz w:val="20"/>
          <w:szCs w:val="20"/>
          <w:lang w:val="en-US" w:eastAsia="en-US" w:bidi="en-US"/>
        </w:rPr>
        <w:t>its regulation with regard to surgical procedures for female sterilization in force in Bolivia at the time of the facts were ambiguous, imprecise and even contradictory. On the one hand, written informed consent was required and, on the other, situations were established in which “by medical decision and in grave cases,” sterilization could be performed without the conditions being clearly established in this case.</w:t>
      </w:r>
      <w:r w:rsidR="00871BF3" w:rsidRPr="00012C3F">
        <w:rPr>
          <w:rFonts w:eastAsia="MS Mincho"/>
          <w:b/>
          <w:i/>
          <w:sz w:val="20"/>
          <w:szCs w:val="20"/>
          <w:lang w:val="en-US" w:eastAsia="en-US" w:bidi="en-US"/>
        </w:rPr>
        <w:t xml:space="preserve"> </w:t>
      </w:r>
      <w:r w:rsidRPr="00012C3F">
        <w:rPr>
          <w:rFonts w:eastAsia="MS Mincho"/>
          <w:sz w:val="20"/>
          <w:szCs w:val="20"/>
          <w:lang w:val="en-US" w:eastAsia="en-US" w:bidi="en-US"/>
        </w:rPr>
        <w:t>The Court</w:t>
      </w:r>
      <w:r w:rsidR="00E17AF2" w:rsidRPr="00012C3F">
        <w:rPr>
          <w:rFonts w:eastAsia="MS Mincho"/>
          <w:sz w:val="20"/>
          <w:szCs w:val="20"/>
          <w:lang w:val="en-US" w:eastAsia="en-US" w:bidi="en-US"/>
        </w:rPr>
        <w:t xml:space="preserve"> not</w:t>
      </w:r>
      <w:r w:rsidR="00871BF3" w:rsidRPr="00012C3F">
        <w:rPr>
          <w:rFonts w:eastAsia="MS Mincho"/>
          <w:sz w:val="20"/>
          <w:szCs w:val="20"/>
          <w:lang w:val="en-US" w:eastAsia="en-US" w:bidi="en-US"/>
        </w:rPr>
        <w:t>es that, according to the statements referred to above, not even the health personnel themselves were clear about which standard should be applied in the case of I.V.</w:t>
      </w:r>
    </w:p>
    <w:p w14:paraId="0CB92BC2" w14:textId="77777777" w:rsidR="00E17AF2" w:rsidRPr="00012C3F" w:rsidRDefault="00E17AF2" w:rsidP="002B1A6F">
      <w:pPr>
        <w:tabs>
          <w:tab w:val="left" w:pos="720"/>
        </w:tabs>
        <w:spacing w:line="240" w:lineRule="auto"/>
        <w:rPr>
          <w:rFonts w:eastAsia="MS Mincho"/>
          <w:b/>
          <w:i/>
          <w:sz w:val="20"/>
          <w:szCs w:val="20"/>
          <w:lang w:val="en-US" w:eastAsia="en-US" w:bidi="en-US"/>
        </w:rPr>
      </w:pPr>
    </w:p>
    <w:p w14:paraId="36D07357" w14:textId="77777777" w:rsidR="00E17AF2" w:rsidRPr="00012C3F" w:rsidRDefault="001254DE" w:rsidP="00871BF3">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sz w:val="20"/>
          <w:szCs w:val="20"/>
          <w:lang w:val="en-US" w:eastAsia="en-US" w:bidi="en-US"/>
        </w:rPr>
        <w:t>The Court</w:t>
      </w:r>
      <w:r w:rsidR="00E17AF2" w:rsidRPr="00012C3F">
        <w:rPr>
          <w:rFonts w:eastAsia="MS Mincho"/>
          <w:sz w:val="20"/>
          <w:szCs w:val="20"/>
          <w:lang w:val="en-US" w:eastAsia="en-US" w:bidi="en-US"/>
        </w:rPr>
        <w:t xml:space="preserve"> consider</w:t>
      </w:r>
      <w:r w:rsidR="00871BF3" w:rsidRPr="00012C3F">
        <w:rPr>
          <w:rFonts w:eastAsia="MS Mincho"/>
          <w:sz w:val="20"/>
          <w:szCs w:val="20"/>
          <w:lang w:val="en-US" w:eastAsia="en-US" w:bidi="en-US"/>
        </w:rPr>
        <w:t xml:space="preserve">s that it could have been understood that the situation based on which I.V. was subjected to sterilization was regulated under the 1997 and the 1998 Bolivian standards which required a written and signed consent. The evidence before this Court reveals </w:t>
      </w:r>
      <w:r w:rsidR="00D871E8" w:rsidRPr="00012C3F">
        <w:rPr>
          <w:rFonts w:eastAsia="MS Mincho"/>
          <w:sz w:val="20"/>
          <w:szCs w:val="20"/>
          <w:lang w:val="en-US" w:eastAsia="en-US" w:bidi="en-US"/>
        </w:rPr>
        <w:t>that the decision to perform the tubal ligation on I.V. was taken during the peri-operative period, and there is no record that she gave her consent in any written form.</w:t>
      </w:r>
      <w:r w:rsidR="00E17AF2" w:rsidRPr="00012C3F">
        <w:rPr>
          <w:rStyle w:val="Refdenotaalpie"/>
          <w:rFonts w:eastAsia="MS Mincho"/>
          <w:sz w:val="20"/>
          <w:szCs w:val="20"/>
          <w:lang w:val="en-US" w:eastAsia="en-US" w:bidi="en-US"/>
        </w:rPr>
        <w:footnoteReference w:id="296"/>
      </w:r>
      <w:r w:rsidR="00D871E8" w:rsidRPr="00012C3F">
        <w:rPr>
          <w:rFonts w:eastAsia="MS Mincho"/>
          <w:sz w:val="20"/>
          <w:szCs w:val="20"/>
          <w:lang w:val="en-US" w:eastAsia="en-US" w:bidi="en-US"/>
        </w:rPr>
        <w:t xml:space="preserve"> However, the </w:t>
      </w:r>
      <w:r w:rsidR="009D3EE9" w:rsidRPr="00012C3F">
        <w:rPr>
          <w:rFonts w:eastAsia="MS Mincho"/>
          <w:sz w:val="20"/>
          <w:szCs w:val="20"/>
          <w:lang w:val="en-US" w:eastAsia="en-US" w:bidi="en-US"/>
        </w:rPr>
        <w:t>State</w:t>
      </w:r>
      <w:r w:rsidR="00D871E8" w:rsidRPr="00012C3F">
        <w:rPr>
          <w:rFonts w:eastAsia="MS Mincho"/>
          <w:sz w:val="20"/>
          <w:szCs w:val="20"/>
          <w:lang w:val="en-US" w:eastAsia="en-US" w:bidi="en-US"/>
        </w:rPr>
        <w:t xml:space="preserve"> itself has argued that the</w:t>
      </w:r>
      <w:r w:rsidR="00C149D9" w:rsidRPr="00012C3F">
        <w:rPr>
          <w:rFonts w:eastAsia="MS Mincho"/>
          <w:sz w:val="20"/>
          <w:szCs w:val="20"/>
          <w:lang w:val="en-US" w:eastAsia="en-US" w:bidi="en-US"/>
        </w:rPr>
        <w:t xml:space="preserve"> said</w:t>
      </w:r>
      <w:r w:rsidR="00D871E8" w:rsidRPr="00012C3F">
        <w:rPr>
          <w:rFonts w:eastAsia="MS Mincho"/>
          <w:sz w:val="20"/>
          <w:szCs w:val="20"/>
          <w:lang w:val="en-US" w:eastAsia="en-US" w:bidi="en-US"/>
        </w:rPr>
        <w:t xml:space="preserve"> standards were not applicable to the instant case, because the sterilization was not requested voluntarily, but responded to medical criteria.</w:t>
      </w:r>
    </w:p>
    <w:p w14:paraId="75E59D7B" w14:textId="77777777" w:rsidR="00E17AF2" w:rsidRPr="00012C3F" w:rsidRDefault="00E17AF2" w:rsidP="00E17AF2">
      <w:pPr>
        <w:tabs>
          <w:tab w:val="left" w:pos="567"/>
        </w:tabs>
        <w:spacing w:line="240" w:lineRule="auto"/>
        <w:rPr>
          <w:rFonts w:eastAsia="MS Mincho"/>
          <w:b/>
          <w:i/>
          <w:sz w:val="20"/>
          <w:szCs w:val="20"/>
          <w:lang w:val="en-US" w:eastAsia="en-US" w:bidi="en-US"/>
        </w:rPr>
      </w:pPr>
    </w:p>
    <w:p w14:paraId="04D75F77" w14:textId="77777777" w:rsidR="00D871E8" w:rsidRPr="00012C3F" w:rsidRDefault="00D871E8" w:rsidP="00D871E8">
      <w:pPr>
        <w:numPr>
          <w:ilvl w:val="0"/>
          <w:numId w:val="5"/>
        </w:numPr>
        <w:tabs>
          <w:tab w:val="left" w:pos="720"/>
          <w:tab w:val="num" w:pos="12305"/>
        </w:tabs>
        <w:spacing w:line="240" w:lineRule="auto"/>
        <w:ind w:left="0" w:firstLine="0"/>
        <w:rPr>
          <w:rFonts w:eastAsia="MS Mincho"/>
          <w:b/>
          <w:i/>
          <w:sz w:val="20"/>
          <w:szCs w:val="20"/>
          <w:lang w:val="en-US" w:eastAsia="en-US" w:bidi="en-US"/>
        </w:rPr>
      </w:pPr>
      <w:r w:rsidRPr="00012C3F">
        <w:rPr>
          <w:rFonts w:eastAsia="MS Mincho"/>
          <w:sz w:val="20"/>
          <w:szCs w:val="20"/>
          <w:lang w:val="en-US" w:eastAsia="en-US" w:bidi="en-US"/>
        </w:rPr>
        <w:t xml:space="preserve">Consequently, the Court concludes that, despite the existence of general standards on informed consent, the State of Bolivia had not adopted sufficient measure of prevention for health personnel to guarantee I.V. her right to take her own decisions on her reproductive health and the contraception methods that were most appropriate to her life project, so that she would not be subjected to sterilization without her </w:t>
      </w:r>
      <w:r w:rsidR="00DF71A5" w:rsidRPr="00012C3F">
        <w:rPr>
          <w:rFonts w:eastAsia="MS Mincho"/>
          <w:sz w:val="20"/>
          <w:szCs w:val="20"/>
          <w:lang w:val="en-US" w:eastAsia="en-US" w:bidi="en-US"/>
        </w:rPr>
        <w:t>prior, free, full and informed consent</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 xml:space="preserve">Accordingly, the Court considers that the State failed to take the necessary regulatory preventive measures that would have established clearly the medical obligation to obtain consent in cases such as that of I.V. and, therefore, failed to comply with its obligation to act with due diligence to prevent a non-consensual or involuntary sterilization. </w:t>
      </w:r>
    </w:p>
    <w:bookmarkEnd w:id="144"/>
    <w:p w14:paraId="5575FB5F" w14:textId="77777777" w:rsidR="00E17AF2" w:rsidRPr="00012C3F" w:rsidRDefault="00E17AF2" w:rsidP="00E17AF2">
      <w:pPr>
        <w:widowControl/>
        <w:autoSpaceDE w:val="0"/>
        <w:autoSpaceDN w:val="0"/>
        <w:spacing w:line="240" w:lineRule="auto"/>
        <w:textAlignment w:val="auto"/>
        <w:rPr>
          <w:rFonts w:eastAsiaTheme="minorHAnsi" w:cs="Arial"/>
          <w:sz w:val="20"/>
          <w:szCs w:val="20"/>
          <w:lang w:val="en-US" w:eastAsia="en-US"/>
        </w:rPr>
      </w:pPr>
    </w:p>
    <w:p w14:paraId="2A394C9F" w14:textId="77777777" w:rsidR="00E17AF2" w:rsidRPr="00012C3F" w:rsidRDefault="00E17AF2" w:rsidP="0085451F">
      <w:pPr>
        <w:pStyle w:val="Ttulo3"/>
        <w:tabs>
          <w:tab w:val="left" w:pos="2552"/>
        </w:tabs>
        <w:ind w:left="1701"/>
        <w:rPr>
          <w:rFonts w:eastAsia="MS Mincho" w:cs="Arial"/>
          <w:b w:val="0"/>
          <w:i/>
          <w:spacing w:val="0"/>
          <w:lang w:val="en-US" w:eastAsia="en-US"/>
        </w:rPr>
      </w:pPr>
      <w:bookmarkStart w:id="145" w:name="_Toc465446864"/>
      <w:bookmarkStart w:id="146" w:name="_Toc27486869"/>
      <w:r w:rsidRPr="00012C3F">
        <w:rPr>
          <w:rFonts w:eastAsia="MS Mincho" w:cs="Arial"/>
          <w:b w:val="0"/>
          <w:i/>
          <w:spacing w:val="0"/>
          <w:lang w:val="en-US" w:eastAsia="en-US"/>
        </w:rPr>
        <w:t>B.3.b</w:t>
      </w:r>
      <w:r w:rsidRPr="00012C3F">
        <w:rPr>
          <w:rFonts w:eastAsia="MS Mincho" w:cs="Arial"/>
          <w:b w:val="0"/>
          <w:i/>
          <w:spacing w:val="0"/>
          <w:lang w:val="en-US" w:eastAsia="en-US"/>
        </w:rPr>
        <w:tab/>
      </w:r>
      <w:r w:rsidR="00D871E8" w:rsidRPr="00012C3F">
        <w:rPr>
          <w:rFonts w:eastAsia="MS Mincho" w:cs="Arial"/>
          <w:b w:val="0"/>
          <w:i/>
          <w:spacing w:val="0"/>
          <w:lang w:val="en-US" w:eastAsia="en-US"/>
        </w:rPr>
        <w:t>Obligation to respect</w:t>
      </w:r>
      <w:r w:rsidRPr="00012C3F">
        <w:rPr>
          <w:rFonts w:eastAsia="MS Mincho" w:cs="Arial"/>
          <w:b w:val="0"/>
          <w:i/>
          <w:spacing w:val="0"/>
          <w:lang w:val="en-US" w:eastAsia="en-US"/>
        </w:rPr>
        <w:t xml:space="preserve"> </w:t>
      </w:r>
      <w:r w:rsidR="00DF5BD3" w:rsidRPr="00012C3F">
        <w:rPr>
          <w:rFonts w:eastAsia="MS Mincho" w:cs="Arial"/>
          <w:b w:val="0"/>
          <w:i/>
          <w:spacing w:val="0"/>
          <w:lang w:val="en-US" w:eastAsia="en-US"/>
        </w:rPr>
        <w:t>the rights</w:t>
      </w:r>
      <w:r w:rsidRPr="00012C3F">
        <w:rPr>
          <w:rFonts w:eastAsia="MS Mincho" w:cs="Arial"/>
          <w:b w:val="0"/>
          <w:i/>
          <w:spacing w:val="0"/>
          <w:lang w:val="en-US" w:eastAsia="en-US"/>
        </w:rPr>
        <w:t xml:space="preserve"> </w:t>
      </w:r>
      <w:r w:rsidR="00DF5BD3" w:rsidRPr="00012C3F">
        <w:rPr>
          <w:rFonts w:eastAsia="MS Mincho" w:cs="Arial"/>
          <w:b w:val="0"/>
          <w:i/>
          <w:spacing w:val="0"/>
          <w:lang w:val="en-US" w:eastAsia="en-US"/>
        </w:rPr>
        <w:t>recognized in</w:t>
      </w:r>
      <w:r w:rsidRPr="00012C3F">
        <w:rPr>
          <w:rFonts w:eastAsia="MS Mincho" w:cs="Arial"/>
          <w:b w:val="0"/>
          <w:i/>
          <w:spacing w:val="0"/>
          <w:lang w:val="en-US" w:eastAsia="en-US"/>
        </w:rPr>
        <w:t xml:space="preserve"> </w:t>
      </w:r>
      <w:r w:rsidR="001254DE" w:rsidRPr="00012C3F">
        <w:rPr>
          <w:rFonts w:eastAsia="MS Mincho" w:cs="Arial"/>
          <w:b w:val="0"/>
          <w:i/>
          <w:spacing w:val="0"/>
          <w:lang w:val="en-US" w:eastAsia="en-US"/>
        </w:rPr>
        <w:t>Articles</w:t>
      </w:r>
      <w:r w:rsidRPr="00012C3F">
        <w:rPr>
          <w:rFonts w:eastAsia="MS Mincho" w:cs="Arial"/>
          <w:b w:val="0"/>
          <w:i/>
          <w:spacing w:val="0"/>
          <w:lang w:val="en-US" w:eastAsia="en-US"/>
        </w:rPr>
        <w:t xml:space="preserve"> 5, 7, 11, 13</w:t>
      </w:r>
      <w:r w:rsidR="005E5012" w:rsidRPr="00012C3F">
        <w:rPr>
          <w:rFonts w:eastAsia="MS Mincho" w:cs="Arial"/>
          <w:b w:val="0"/>
          <w:i/>
          <w:spacing w:val="0"/>
          <w:lang w:val="en-US" w:eastAsia="en-US"/>
        </w:rPr>
        <w:t xml:space="preserve"> and </w:t>
      </w:r>
      <w:r w:rsidRPr="00012C3F">
        <w:rPr>
          <w:rFonts w:eastAsia="MS Mincho" w:cs="Arial"/>
          <w:b w:val="0"/>
          <w:i/>
          <w:spacing w:val="0"/>
          <w:lang w:val="en-US" w:eastAsia="en-US"/>
        </w:rPr>
        <w:t>17</w:t>
      </w:r>
      <w:r w:rsidR="001254DE" w:rsidRPr="00012C3F">
        <w:rPr>
          <w:rFonts w:eastAsia="MS Mincho" w:cs="Arial"/>
          <w:b w:val="0"/>
          <w:i/>
          <w:spacing w:val="0"/>
          <w:lang w:val="en-US" w:eastAsia="en-US"/>
        </w:rPr>
        <w:t xml:space="preserve"> of the American Convention</w:t>
      </w:r>
      <w:r w:rsidR="005E5012" w:rsidRPr="00012C3F">
        <w:rPr>
          <w:rFonts w:eastAsia="MS Mincho" w:cs="Arial"/>
          <w:b w:val="0"/>
          <w:i/>
          <w:spacing w:val="0"/>
          <w:lang w:val="en-US" w:eastAsia="en-US"/>
        </w:rPr>
        <w:t xml:space="preserve"> and </w:t>
      </w:r>
      <w:r w:rsidR="00D871E8" w:rsidRPr="00012C3F">
        <w:rPr>
          <w:rFonts w:eastAsia="MS Mincho" w:cs="Arial"/>
          <w:b w:val="0"/>
          <w:i/>
          <w:spacing w:val="0"/>
          <w:lang w:val="en-US" w:eastAsia="en-US"/>
        </w:rPr>
        <w:t>7(a)</w:t>
      </w:r>
      <w:r w:rsidR="001254DE" w:rsidRPr="00012C3F">
        <w:rPr>
          <w:rFonts w:eastAsia="MS Mincho" w:cs="Arial"/>
          <w:b w:val="0"/>
          <w:i/>
          <w:spacing w:val="0"/>
          <w:lang w:val="en-US" w:eastAsia="en-US"/>
        </w:rPr>
        <w:t xml:space="preserve"> of the Convention</w:t>
      </w:r>
      <w:r w:rsidRPr="00012C3F">
        <w:rPr>
          <w:rFonts w:eastAsia="MS Mincho" w:cs="Arial"/>
          <w:b w:val="0"/>
          <w:i/>
          <w:spacing w:val="0"/>
          <w:lang w:val="en-US" w:eastAsia="en-US"/>
        </w:rPr>
        <w:t xml:space="preserve"> </w:t>
      </w:r>
      <w:r w:rsidR="005E5012" w:rsidRPr="00012C3F">
        <w:rPr>
          <w:rFonts w:eastAsia="MS Mincho" w:cs="Arial"/>
          <w:b w:val="0"/>
          <w:i/>
          <w:spacing w:val="0"/>
          <w:lang w:val="en-US" w:eastAsia="en-US"/>
        </w:rPr>
        <w:t>of Belém</w:t>
      </w:r>
      <w:r w:rsidRPr="00012C3F">
        <w:rPr>
          <w:rFonts w:eastAsia="MS Mincho" w:cs="Arial"/>
          <w:b w:val="0"/>
          <w:i/>
          <w:spacing w:val="0"/>
          <w:lang w:val="en-US" w:eastAsia="en-US"/>
        </w:rPr>
        <w:t xml:space="preserve"> do Pará</w:t>
      </w:r>
      <w:bookmarkEnd w:id="145"/>
      <w:bookmarkEnd w:id="146"/>
    </w:p>
    <w:p w14:paraId="733D32D2" w14:textId="77777777" w:rsidR="00E17AF2" w:rsidRPr="00012C3F" w:rsidRDefault="00E17AF2" w:rsidP="00E17AF2">
      <w:pPr>
        <w:widowControl/>
        <w:tabs>
          <w:tab w:val="left" w:pos="720"/>
        </w:tabs>
        <w:adjustRightInd/>
        <w:spacing w:line="240" w:lineRule="auto"/>
        <w:ind w:right="-90"/>
        <w:textAlignment w:val="auto"/>
        <w:rPr>
          <w:rFonts w:eastAsia="MS Mincho"/>
          <w:sz w:val="20"/>
          <w:szCs w:val="20"/>
          <w:lang w:val="en-US" w:eastAsia="en-US" w:bidi="en-US"/>
        </w:rPr>
      </w:pPr>
    </w:p>
    <w:p w14:paraId="0DD391F0" w14:textId="77777777" w:rsidR="00E17AF2" w:rsidRPr="00012C3F" w:rsidRDefault="00D871E8" w:rsidP="00D871E8">
      <w:pPr>
        <w:numPr>
          <w:ilvl w:val="0"/>
          <w:numId w:val="5"/>
        </w:numPr>
        <w:tabs>
          <w:tab w:val="left" w:pos="720"/>
          <w:tab w:val="num" w:pos="12305"/>
        </w:tabs>
        <w:spacing w:line="240" w:lineRule="auto"/>
        <w:ind w:left="0" w:firstLine="0"/>
        <w:rPr>
          <w:rFonts w:eastAsia="MS Mincho"/>
          <w:b/>
          <w:i/>
          <w:sz w:val="20"/>
          <w:szCs w:val="20"/>
          <w:lang w:val="en-US" w:eastAsia="en-US" w:bidi="en-US"/>
        </w:rPr>
      </w:pPr>
      <w:r w:rsidRPr="00012C3F">
        <w:rPr>
          <w:rFonts w:eastAsia="MS Mincho"/>
          <w:sz w:val="20"/>
          <w:szCs w:val="20"/>
          <w:lang w:val="en-US" w:eastAsia="en-US" w:bidi="en-US"/>
        </w:rPr>
        <w:t>The Court has established that, pursuant to</w:t>
      </w:r>
      <w:r w:rsidR="00E17AF2" w:rsidRPr="00012C3F">
        <w:rPr>
          <w:rFonts w:eastAsia="MS Mincho"/>
          <w:sz w:val="20"/>
          <w:szCs w:val="20"/>
          <w:lang w:val="en-US" w:eastAsia="en-US" w:bidi="en-US"/>
        </w:rPr>
        <w:t xml:space="preserve"> </w:t>
      </w:r>
      <w:r w:rsidR="001254DE" w:rsidRPr="00012C3F">
        <w:rPr>
          <w:rFonts w:eastAsia="MS Mincho"/>
          <w:sz w:val="20"/>
          <w:szCs w:val="20"/>
          <w:lang w:val="en-US" w:eastAsia="en-US" w:bidi="en-US"/>
        </w:rPr>
        <w:t>Article</w:t>
      </w:r>
      <w:r w:rsidR="00E17AF2" w:rsidRPr="00012C3F">
        <w:rPr>
          <w:rFonts w:eastAsia="MS Mincho"/>
          <w:sz w:val="20"/>
          <w:szCs w:val="20"/>
          <w:lang w:val="en-US" w:eastAsia="en-US" w:bidi="en-US"/>
        </w:rPr>
        <w:t xml:space="preserve"> </w:t>
      </w:r>
      <w:r w:rsidR="005E5012" w:rsidRPr="00012C3F">
        <w:rPr>
          <w:rFonts w:eastAsia="MS Mincho"/>
          <w:sz w:val="20"/>
          <w:szCs w:val="20"/>
          <w:lang w:val="en-US" w:eastAsia="en-US" w:bidi="en-US"/>
        </w:rPr>
        <w:t>1(1)</w:t>
      </w:r>
      <w:r w:rsidR="001254DE" w:rsidRPr="00012C3F">
        <w:rPr>
          <w:rFonts w:eastAsia="MS Mincho"/>
          <w:sz w:val="20"/>
          <w:szCs w:val="20"/>
          <w:lang w:val="en-US" w:eastAsia="en-US" w:bidi="en-US"/>
        </w:rPr>
        <w:t xml:space="preserve"> of the Convention</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 xml:space="preserve">States are obliged to respect and ensure </w:t>
      </w:r>
      <w:r w:rsidR="00DF5BD3" w:rsidRPr="00012C3F">
        <w:rPr>
          <w:rFonts w:eastAsia="MS Mincho"/>
          <w:sz w:val="20"/>
          <w:szCs w:val="20"/>
          <w:lang w:val="en-US" w:eastAsia="en-US" w:bidi="en-US"/>
        </w:rPr>
        <w:t>the</w:t>
      </w:r>
      <w:r w:rsidRPr="00012C3F">
        <w:rPr>
          <w:rFonts w:eastAsia="MS Mincho"/>
          <w:sz w:val="20"/>
          <w:szCs w:val="20"/>
          <w:lang w:val="en-US" w:eastAsia="en-US" w:bidi="en-US"/>
        </w:rPr>
        <w:t xml:space="preserve"> human</w:t>
      </w:r>
      <w:r w:rsidR="00DF5BD3" w:rsidRPr="00012C3F">
        <w:rPr>
          <w:rFonts w:eastAsia="MS Mincho"/>
          <w:sz w:val="20"/>
          <w:szCs w:val="20"/>
          <w:lang w:val="en-US" w:eastAsia="en-US" w:bidi="en-US"/>
        </w:rPr>
        <w:t xml:space="preserve"> rights</w:t>
      </w:r>
      <w:r w:rsidR="00E17AF2" w:rsidRPr="00012C3F">
        <w:rPr>
          <w:rFonts w:eastAsia="MS Mincho"/>
          <w:sz w:val="20"/>
          <w:szCs w:val="20"/>
          <w:lang w:val="en-US" w:eastAsia="en-US" w:bidi="en-US"/>
        </w:rPr>
        <w:t xml:space="preserve"> </w:t>
      </w:r>
      <w:r w:rsidR="00DF5BD3" w:rsidRPr="00012C3F">
        <w:rPr>
          <w:rFonts w:eastAsia="MS Mincho"/>
          <w:sz w:val="20"/>
          <w:szCs w:val="20"/>
          <w:lang w:val="en-US" w:eastAsia="en-US" w:bidi="en-US"/>
        </w:rPr>
        <w:t xml:space="preserve">recognized </w:t>
      </w:r>
      <w:r w:rsidRPr="00012C3F">
        <w:rPr>
          <w:rFonts w:eastAsia="MS Mincho"/>
          <w:sz w:val="20"/>
          <w:szCs w:val="20"/>
          <w:lang w:val="en-US" w:eastAsia="en-US" w:bidi="en-US"/>
        </w:rPr>
        <w:t>therein</w:t>
      </w:r>
      <w:r w:rsidR="00E17AF2" w:rsidRPr="00012C3F">
        <w:rPr>
          <w:rFonts w:eastAsia="MS Mincho"/>
          <w:sz w:val="20"/>
          <w:szCs w:val="20"/>
          <w:lang w:val="en-US" w:eastAsia="en-US" w:bidi="en-US"/>
        </w:rPr>
        <w:t>.</w:t>
      </w:r>
      <w:r w:rsidRPr="00012C3F">
        <w:rPr>
          <w:rFonts w:eastAsia="MS Mincho"/>
          <w:sz w:val="20"/>
          <w:szCs w:val="20"/>
          <w:lang w:val="en-US" w:eastAsia="en-US" w:bidi="en-US"/>
        </w:rPr>
        <w:t xml:space="preserve"> The international responsibility </w:t>
      </w:r>
      <w:r w:rsidR="004C6FCC" w:rsidRPr="00012C3F">
        <w:rPr>
          <w:rFonts w:eastAsia="MS Mincho"/>
          <w:sz w:val="20"/>
          <w:szCs w:val="20"/>
          <w:lang w:val="en-US" w:eastAsia="en-US" w:bidi="en-US"/>
        </w:rPr>
        <w:t xml:space="preserve">of the </w:t>
      </w:r>
      <w:r w:rsidR="00A84CA0" w:rsidRPr="00012C3F">
        <w:rPr>
          <w:rFonts w:eastAsia="MS Mincho"/>
          <w:sz w:val="20"/>
          <w:szCs w:val="20"/>
          <w:lang w:val="en-US" w:eastAsia="en-US" w:bidi="en-US"/>
        </w:rPr>
        <w:t>State</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 xml:space="preserve">is based on acts or omissions of any of its powers or organs, regardless of their rank, that violate </w:t>
      </w:r>
      <w:r w:rsidR="001254DE" w:rsidRPr="00012C3F">
        <w:rPr>
          <w:rFonts w:eastAsia="MS Mincho"/>
          <w:sz w:val="20"/>
          <w:szCs w:val="20"/>
          <w:lang w:val="en-US" w:eastAsia="en-US" w:bidi="en-US"/>
        </w:rPr>
        <w:t>the American Convention</w:t>
      </w:r>
      <w:r w:rsidRPr="00012C3F">
        <w:rPr>
          <w:rFonts w:eastAsia="MS Mincho"/>
          <w:sz w:val="20"/>
          <w:szCs w:val="20"/>
          <w:lang w:val="en-US" w:eastAsia="en-US" w:bidi="en-US"/>
        </w:rPr>
        <w:t>.</w:t>
      </w:r>
      <w:r w:rsidR="00E17AF2" w:rsidRPr="00012C3F">
        <w:rPr>
          <w:rFonts w:eastAsia="MS Mincho"/>
          <w:sz w:val="20"/>
          <w:szCs w:val="20"/>
          <w:vertAlign w:val="superscript"/>
          <w:lang w:val="en-US" w:eastAsia="en-US" w:bidi="en-US"/>
        </w:rPr>
        <w:footnoteReference w:id="297"/>
      </w:r>
      <w:bookmarkStart w:id="147" w:name="_Ref117392527"/>
    </w:p>
    <w:p w14:paraId="08924A2E" w14:textId="77777777" w:rsidR="00E17AF2" w:rsidRPr="00012C3F" w:rsidRDefault="00E17AF2" w:rsidP="00D871E8">
      <w:pPr>
        <w:tabs>
          <w:tab w:val="left" w:pos="720"/>
        </w:tabs>
        <w:spacing w:line="240" w:lineRule="auto"/>
        <w:rPr>
          <w:rFonts w:eastAsia="MS Mincho"/>
          <w:b/>
          <w:i/>
          <w:sz w:val="20"/>
          <w:szCs w:val="20"/>
          <w:lang w:val="en-US" w:eastAsia="en-US" w:bidi="en-US"/>
        </w:rPr>
      </w:pPr>
    </w:p>
    <w:p w14:paraId="6F347DB5" w14:textId="77777777" w:rsidR="00E17AF2" w:rsidRPr="00012C3F" w:rsidRDefault="00E17AF2" w:rsidP="00C754CF">
      <w:pPr>
        <w:numPr>
          <w:ilvl w:val="0"/>
          <w:numId w:val="5"/>
        </w:numPr>
        <w:tabs>
          <w:tab w:val="left" w:pos="720"/>
          <w:tab w:val="num" w:pos="12305"/>
        </w:tabs>
        <w:spacing w:line="240" w:lineRule="auto"/>
        <w:ind w:left="0" w:firstLine="0"/>
        <w:rPr>
          <w:rFonts w:eastAsia="MS Mincho"/>
          <w:b/>
          <w:i/>
          <w:sz w:val="20"/>
          <w:szCs w:val="20"/>
          <w:lang w:val="en-US" w:eastAsia="en-US" w:bidi="en-US"/>
        </w:rPr>
      </w:pPr>
      <w:r w:rsidRPr="00012C3F">
        <w:rPr>
          <w:rFonts w:eastAsia="MS Mincho"/>
          <w:sz w:val="20"/>
          <w:szCs w:val="20"/>
          <w:lang w:val="en-US" w:eastAsia="en-US" w:bidi="en-US"/>
        </w:rPr>
        <w:t xml:space="preserve"> </w:t>
      </w:r>
      <w:r w:rsidR="00C754CF" w:rsidRPr="00012C3F">
        <w:rPr>
          <w:rFonts w:eastAsia="MS Mincho"/>
          <w:sz w:val="20"/>
          <w:szCs w:val="20"/>
          <w:lang w:val="en-US" w:eastAsia="en-US" w:bidi="en-US"/>
        </w:rPr>
        <w:t xml:space="preserve">Regarding the obligation of respect, the Court has maintained that the foremost obligation assumed by the State under the said article is “to respect </w:t>
      </w:r>
      <w:bookmarkEnd w:id="147"/>
      <w:r w:rsidR="00DF5BD3" w:rsidRPr="00012C3F">
        <w:rPr>
          <w:rFonts w:eastAsia="MS Mincho"/>
          <w:sz w:val="20"/>
          <w:szCs w:val="20"/>
          <w:lang w:val="en-US" w:eastAsia="en-US" w:bidi="en-US"/>
        </w:rPr>
        <w:t>the rights</w:t>
      </w:r>
      <w:r w:rsidR="005E5012" w:rsidRPr="00012C3F">
        <w:rPr>
          <w:rFonts w:eastAsia="MS Mincho"/>
          <w:sz w:val="20"/>
          <w:szCs w:val="20"/>
          <w:lang w:val="en-US" w:eastAsia="en-US" w:bidi="en-US"/>
        </w:rPr>
        <w:t xml:space="preserve"> and </w:t>
      </w:r>
      <w:r w:rsidR="00C754CF" w:rsidRPr="00012C3F">
        <w:rPr>
          <w:rFonts w:eastAsia="MS Mincho"/>
          <w:sz w:val="20"/>
          <w:szCs w:val="20"/>
          <w:lang w:val="en-US" w:eastAsia="en-US" w:bidi="en-US"/>
        </w:rPr>
        <w:t>freedoms</w:t>
      </w:r>
      <w:r w:rsidRPr="00012C3F">
        <w:rPr>
          <w:rFonts w:eastAsia="MS Mincho"/>
          <w:sz w:val="20"/>
          <w:szCs w:val="20"/>
          <w:lang w:val="en-US" w:eastAsia="en-US" w:bidi="en-US"/>
        </w:rPr>
        <w:t xml:space="preserve">” </w:t>
      </w:r>
      <w:r w:rsidR="00DF5BD3" w:rsidRPr="00012C3F">
        <w:rPr>
          <w:rFonts w:eastAsia="MS Mincho"/>
          <w:sz w:val="20"/>
          <w:szCs w:val="20"/>
          <w:lang w:val="en-US" w:eastAsia="en-US" w:bidi="en-US"/>
        </w:rPr>
        <w:t>recognized in</w:t>
      </w:r>
      <w:r w:rsidRPr="00012C3F">
        <w:rPr>
          <w:rFonts w:eastAsia="MS Mincho"/>
          <w:sz w:val="20"/>
          <w:szCs w:val="20"/>
          <w:lang w:val="en-US" w:eastAsia="en-US" w:bidi="en-US"/>
        </w:rPr>
        <w:t xml:space="preserve"> </w:t>
      </w:r>
      <w:r w:rsidR="001254DE" w:rsidRPr="00012C3F">
        <w:rPr>
          <w:rFonts w:eastAsia="MS Mincho"/>
          <w:sz w:val="20"/>
          <w:szCs w:val="20"/>
          <w:lang w:val="en-US" w:eastAsia="en-US" w:bidi="en-US"/>
        </w:rPr>
        <w:t>the Convention</w:t>
      </w:r>
      <w:r w:rsidRPr="00012C3F">
        <w:rPr>
          <w:rFonts w:eastAsia="MS Mincho"/>
          <w:sz w:val="20"/>
          <w:szCs w:val="20"/>
          <w:lang w:val="en-US" w:eastAsia="en-US" w:bidi="en-US"/>
        </w:rPr>
        <w:t xml:space="preserve">. </w:t>
      </w:r>
      <w:r w:rsidR="00C754CF" w:rsidRPr="00012C3F">
        <w:rPr>
          <w:rFonts w:eastAsia="MS Mincho"/>
          <w:sz w:val="20"/>
          <w:szCs w:val="20"/>
          <w:lang w:val="en-US" w:eastAsia="en-US" w:bidi="en-US"/>
        </w:rPr>
        <w:t>Thus, t</w:t>
      </w:r>
      <w:r w:rsidR="0016313E" w:rsidRPr="00012C3F">
        <w:rPr>
          <w:rFonts w:eastAsia="MS Mincho"/>
          <w:sz w:val="20"/>
          <w:szCs w:val="20"/>
          <w:lang w:val="en-US" w:eastAsia="en-US" w:bidi="en-US"/>
        </w:rPr>
        <w:t>he</w:t>
      </w:r>
      <w:r w:rsidR="00C754CF" w:rsidRPr="00012C3F">
        <w:rPr>
          <w:rFonts w:eastAsia="MS Mincho"/>
          <w:sz w:val="20"/>
          <w:szCs w:val="20"/>
          <w:lang w:val="en-US" w:eastAsia="en-US" w:bidi="en-US"/>
        </w:rPr>
        <w:t xml:space="preserve"> restriction of the exercise of the power of the State is necessarily </w:t>
      </w:r>
      <w:r w:rsidR="00C754CF" w:rsidRPr="00012C3F">
        <w:rPr>
          <w:rFonts w:eastAsia="MS Mincho"/>
          <w:sz w:val="20"/>
          <w:szCs w:val="20"/>
          <w:lang w:val="en-US" w:eastAsia="en-US" w:bidi="en-US"/>
        </w:rPr>
        <w:lastRenderedPageBreak/>
        <w:t>included in the protection of human rights</w:t>
      </w:r>
      <w:r w:rsidR="00C754CF" w:rsidRPr="00012C3F">
        <w:rPr>
          <w:rFonts w:eastAsia="MS Mincho"/>
          <w:bCs/>
          <w:iCs/>
          <w:sz w:val="20"/>
          <w:szCs w:val="20"/>
          <w:lang w:val="en-US" w:eastAsia="en-US" w:bidi="en-US"/>
        </w:rPr>
        <w:t>.</w:t>
      </w:r>
      <w:r w:rsidRPr="00012C3F">
        <w:rPr>
          <w:rFonts w:eastAsia="MS Mincho"/>
          <w:sz w:val="20"/>
          <w:szCs w:val="20"/>
          <w:vertAlign w:val="superscript"/>
          <w:lang w:val="en-US" w:eastAsia="en-US" w:bidi="en-US"/>
        </w:rPr>
        <w:footnoteReference w:id="298"/>
      </w:r>
      <w:r w:rsidRPr="00012C3F">
        <w:rPr>
          <w:rFonts w:eastAsia="MS Mincho"/>
          <w:sz w:val="20"/>
          <w:szCs w:val="20"/>
          <w:lang w:val="en-US" w:eastAsia="en-US" w:bidi="en-US"/>
        </w:rPr>
        <w:t xml:space="preserve"> </w:t>
      </w:r>
      <w:r w:rsidR="00C754CF" w:rsidRPr="00012C3F">
        <w:rPr>
          <w:rFonts w:eastAsia="MS Mincho"/>
          <w:sz w:val="20"/>
          <w:szCs w:val="20"/>
          <w:lang w:val="en-US" w:eastAsia="en-US" w:bidi="en-US"/>
        </w:rPr>
        <w:t xml:space="preserve">Similarly, it is a principle of international law that the State responds for actions </w:t>
      </w:r>
      <w:r w:rsidR="0016313E" w:rsidRPr="00012C3F">
        <w:rPr>
          <w:rFonts w:eastAsia="MS Mincho"/>
          <w:sz w:val="20"/>
          <w:szCs w:val="20"/>
          <w:lang w:val="en-US" w:eastAsia="en-US" w:bidi="en-US"/>
        </w:rPr>
        <w:t xml:space="preserve">executed by </w:t>
      </w:r>
      <w:r w:rsidR="00C754CF" w:rsidRPr="00012C3F">
        <w:rPr>
          <w:rFonts w:eastAsia="MS Mincho"/>
          <w:sz w:val="20"/>
          <w:szCs w:val="20"/>
          <w:lang w:val="en-US" w:eastAsia="en-US" w:bidi="en-US"/>
        </w:rPr>
        <w:t>its agents in their official capacity</w:t>
      </w:r>
      <w:r w:rsidR="0016313E" w:rsidRPr="00012C3F">
        <w:rPr>
          <w:rFonts w:eastAsia="MS Mincho"/>
          <w:sz w:val="20"/>
          <w:szCs w:val="20"/>
          <w:lang w:val="en-US" w:eastAsia="en-US" w:bidi="en-US"/>
        </w:rPr>
        <w:t>,</w:t>
      </w:r>
      <w:r w:rsidR="00C754CF" w:rsidRPr="00012C3F">
        <w:rPr>
          <w:rFonts w:eastAsia="MS Mincho"/>
          <w:sz w:val="20"/>
          <w:szCs w:val="20"/>
          <w:lang w:val="en-US" w:eastAsia="en-US" w:bidi="en-US"/>
        </w:rPr>
        <w:t xml:space="preserve"> </w:t>
      </w:r>
      <w:r w:rsidR="0016313E" w:rsidRPr="00012C3F">
        <w:rPr>
          <w:rFonts w:eastAsia="MS Mincho"/>
          <w:sz w:val="20"/>
          <w:szCs w:val="20"/>
          <w:lang w:val="en-US" w:eastAsia="en-US" w:bidi="en-US"/>
        </w:rPr>
        <w:t>and also</w:t>
      </w:r>
      <w:r w:rsidR="00C754CF" w:rsidRPr="00012C3F">
        <w:rPr>
          <w:rFonts w:eastAsia="MS Mincho"/>
          <w:sz w:val="20"/>
          <w:szCs w:val="20"/>
          <w:lang w:val="en-US" w:eastAsia="en-US" w:bidi="en-US"/>
        </w:rPr>
        <w:t xml:space="preserve"> for their omissions</w:t>
      </w:r>
      <w:r w:rsidR="0016313E" w:rsidRPr="00012C3F">
        <w:rPr>
          <w:rFonts w:eastAsia="MS Mincho"/>
          <w:sz w:val="20"/>
          <w:szCs w:val="20"/>
          <w:lang w:val="en-US" w:eastAsia="en-US" w:bidi="en-US"/>
        </w:rPr>
        <w:t>,</w:t>
      </w:r>
      <w:r w:rsidR="00C754CF" w:rsidRPr="00012C3F">
        <w:rPr>
          <w:rFonts w:eastAsia="MS Mincho"/>
          <w:sz w:val="20"/>
          <w:szCs w:val="20"/>
          <w:lang w:val="en-US" w:eastAsia="en-US" w:bidi="en-US"/>
        </w:rPr>
        <w:t xml:space="preserve"> even if they</w:t>
      </w:r>
      <w:r w:rsidR="0016313E" w:rsidRPr="00012C3F">
        <w:rPr>
          <w:rFonts w:eastAsia="MS Mincho"/>
          <w:sz w:val="20"/>
          <w:szCs w:val="20"/>
          <w:lang w:val="en-US" w:eastAsia="en-US" w:bidi="en-US"/>
        </w:rPr>
        <w:t xml:space="preserve"> are</w:t>
      </w:r>
      <w:r w:rsidR="00C754CF" w:rsidRPr="00012C3F">
        <w:rPr>
          <w:rFonts w:eastAsia="MS Mincho"/>
          <w:sz w:val="20"/>
          <w:szCs w:val="20"/>
          <w:lang w:val="en-US" w:eastAsia="en-US" w:bidi="en-US"/>
        </w:rPr>
        <w:t xml:space="preserve"> act</w:t>
      </w:r>
      <w:r w:rsidR="0016313E" w:rsidRPr="00012C3F">
        <w:rPr>
          <w:rFonts w:eastAsia="MS Mincho"/>
          <w:sz w:val="20"/>
          <w:szCs w:val="20"/>
          <w:lang w:val="en-US" w:eastAsia="en-US" w:bidi="en-US"/>
        </w:rPr>
        <w:t>ing</w:t>
      </w:r>
      <w:r w:rsidR="00C754CF" w:rsidRPr="00012C3F">
        <w:rPr>
          <w:rFonts w:eastAsia="MS Mincho"/>
          <w:sz w:val="20"/>
          <w:szCs w:val="20"/>
          <w:lang w:val="en-US" w:eastAsia="en-US" w:bidi="en-US"/>
        </w:rPr>
        <w:t xml:space="preserve"> </w:t>
      </w:r>
      <w:r w:rsidR="0016313E" w:rsidRPr="00012C3F">
        <w:rPr>
          <w:rFonts w:eastAsia="MS Mincho"/>
          <w:sz w:val="20"/>
          <w:szCs w:val="20"/>
          <w:lang w:val="en-US" w:eastAsia="en-US" w:bidi="en-US"/>
        </w:rPr>
        <w:t>outside</w:t>
      </w:r>
      <w:r w:rsidR="00C754CF" w:rsidRPr="00012C3F">
        <w:rPr>
          <w:rFonts w:eastAsia="MS Mincho"/>
          <w:sz w:val="20"/>
          <w:szCs w:val="20"/>
          <w:lang w:val="en-US" w:eastAsia="en-US" w:bidi="en-US"/>
        </w:rPr>
        <w:t xml:space="preserve"> the limits of their competence or in violation of domestic law.</w:t>
      </w:r>
      <w:r w:rsidRPr="00012C3F">
        <w:rPr>
          <w:rFonts w:eastAsia="MS Mincho"/>
          <w:sz w:val="20"/>
          <w:szCs w:val="20"/>
          <w:vertAlign w:val="superscript"/>
          <w:lang w:val="en-US" w:eastAsia="en-US" w:bidi="en-US"/>
        </w:rPr>
        <w:footnoteReference w:id="299"/>
      </w:r>
    </w:p>
    <w:p w14:paraId="4BC76F08" w14:textId="77777777" w:rsidR="00E17AF2" w:rsidRPr="00012C3F" w:rsidRDefault="00E17AF2" w:rsidP="00E17AF2">
      <w:pPr>
        <w:tabs>
          <w:tab w:val="left" w:pos="567"/>
        </w:tabs>
        <w:spacing w:line="240" w:lineRule="auto"/>
        <w:rPr>
          <w:rFonts w:eastAsia="MS Mincho"/>
          <w:sz w:val="20"/>
          <w:szCs w:val="20"/>
          <w:lang w:val="en-US" w:eastAsia="en-US" w:bidi="en-US"/>
        </w:rPr>
      </w:pPr>
    </w:p>
    <w:p w14:paraId="3CFB5D7F" w14:textId="77777777" w:rsidR="00E17AF2" w:rsidRPr="00012C3F" w:rsidRDefault="006B77D7" w:rsidP="006B77D7">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sz w:val="20"/>
          <w:szCs w:val="20"/>
          <w:lang w:val="en-US" w:eastAsia="en-US" w:bidi="en-US"/>
        </w:rPr>
        <w:t>In this regard, contrary to previous decisions of the Court,</w:t>
      </w:r>
      <w:r w:rsidR="00E17AF2" w:rsidRPr="00012C3F">
        <w:rPr>
          <w:rFonts w:eastAsia="MS Mincho"/>
          <w:sz w:val="20"/>
          <w:szCs w:val="20"/>
          <w:vertAlign w:val="superscript"/>
          <w:lang w:val="en-US" w:eastAsia="en-US" w:bidi="en-US"/>
        </w:rPr>
        <w:footnoteReference w:id="300"/>
      </w:r>
      <w:r w:rsidRPr="00012C3F">
        <w:rPr>
          <w:rFonts w:eastAsia="MS Mincho"/>
          <w:sz w:val="20"/>
          <w:szCs w:val="20"/>
          <w:lang w:val="en-US" w:eastAsia="en-US" w:bidi="en-US"/>
        </w:rPr>
        <w:t xml:space="preserve"> in which it declared the international responsibility of the State owing to </w:t>
      </w:r>
      <w:r w:rsidR="0016313E" w:rsidRPr="00012C3F">
        <w:rPr>
          <w:rFonts w:eastAsia="MS Mincho"/>
          <w:sz w:val="20"/>
          <w:szCs w:val="20"/>
          <w:lang w:val="en-US" w:eastAsia="en-US" w:bidi="en-US"/>
        </w:rPr>
        <w:t>the failure to</w:t>
      </w:r>
      <w:r w:rsidRPr="00012C3F">
        <w:rPr>
          <w:rFonts w:eastAsia="MS Mincho"/>
          <w:sz w:val="20"/>
          <w:szCs w:val="20"/>
          <w:lang w:val="en-US" w:eastAsia="en-US" w:bidi="en-US"/>
        </w:rPr>
        <w:t xml:space="preserve"> regulat</w:t>
      </w:r>
      <w:r w:rsidR="0016313E" w:rsidRPr="00012C3F">
        <w:rPr>
          <w:rFonts w:eastAsia="MS Mincho"/>
          <w:sz w:val="20"/>
          <w:szCs w:val="20"/>
          <w:lang w:val="en-US" w:eastAsia="en-US" w:bidi="en-US"/>
        </w:rPr>
        <w:t>e</w:t>
      </w:r>
      <w:r w:rsidRPr="00012C3F">
        <w:rPr>
          <w:rFonts w:eastAsia="MS Mincho"/>
          <w:sz w:val="20"/>
          <w:szCs w:val="20"/>
          <w:lang w:val="en-US" w:eastAsia="en-US" w:bidi="en-US"/>
        </w:rPr>
        <w:t xml:space="preserve"> and monitor health care provided by third parties to individuals </w:t>
      </w:r>
      <w:r w:rsidR="0016313E" w:rsidRPr="00012C3F">
        <w:rPr>
          <w:rFonts w:eastAsia="MS Mincho"/>
          <w:sz w:val="20"/>
          <w:szCs w:val="20"/>
          <w:lang w:val="en-US" w:eastAsia="en-US" w:bidi="en-US"/>
        </w:rPr>
        <w:t>subject to</w:t>
      </w:r>
      <w:r w:rsidRPr="00012C3F">
        <w:rPr>
          <w:rFonts w:eastAsia="MS Mincho"/>
          <w:sz w:val="20"/>
          <w:szCs w:val="20"/>
          <w:lang w:val="en-US" w:eastAsia="en-US" w:bidi="en-US"/>
        </w:rPr>
        <w:t xml:space="preserve"> its jurisdiction, this case refers to actions carried out by a State agent, because the sterilization of I.V. was performed in a public hospital by health care p</w:t>
      </w:r>
      <w:r w:rsidR="0016313E" w:rsidRPr="00012C3F">
        <w:rPr>
          <w:rFonts w:eastAsia="MS Mincho"/>
          <w:sz w:val="20"/>
          <w:szCs w:val="20"/>
          <w:lang w:val="en-US" w:eastAsia="en-US" w:bidi="en-US"/>
        </w:rPr>
        <w:t>roviders</w:t>
      </w:r>
      <w:r w:rsidRPr="00012C3F">
        <w:rPr>
          <w:rFonts w:eastAsia="MS Mincho"/>
          <w:sz w:val="20"/>
          <w:szCs w:val="20"/>
          <w:lang w:val="en-US" w:eastAsia="en-US" w:bidi="en-US"/>
        </w:rPr>
        <w:t xml:space="preserve"> considered public servants.</w:t>
      </w:r>
      <w:r w:rsidR="00E17AF2" w:rsidRPr="00012C3F">
        <w:rPr>
          <w:rFonts w:eastAsia="MS Mincho"/>
          <w:sz w:val="20"/>
          <w:szCs w:val="20"/>
          <w:vertAlign w:val="superscript"/>
          <w:lang w:val="en-US" w:eastAsia="en-US" w:bidi="en-US"/>
        </w:rPr>
        <w:footnoteReference w:id="301"/>
      </w:r>
      <w:r w:rsidRPr="00012C3F">
        <w:rPr>
          <w:rFonts w:eastAsia="MS Mincho"/>
          <w:sz w:val="20"/>
          <w:szCs w:val="20"/>
          <w:lang w:val="en-US" w:eastAsia="en-US" w:bidi="en-US"/>
        </w:rPr>
        <w:t xml:space="preserve"> Specifically, in the instant case, the Court notes that </w:t>
      </w:r>
      <w:r w:rsidR="0016313E" w:rsidRPr="00012C3F">
        <w:rPr>
          <w:rFonts w:eastAsia="MS Mincho"/>
          <w:sz w:val="20"/>
          <w:szCs w:val="20"/>
          <w:lang w:val="en-US" w:eastAsia="en-US" w:bidi="en-US"/>
        </w:rPr>
        <w:t xml:space="preserve">the </w:t>
      </w:r>
      <w:r w:rsidRPr="00012C3F">
        <w:rPr>
          <w:rFonts w:eastAsia="MS Mincho"/>
          <w:sz w:val="20"/>
          <w:szCs w:val="20"/>
          <w:lang w:val="en-US" w:eastAsia="en-US" w:bidi="en-US"/>
        </w:rPr>
        <w:t xml:space="preserve">health care personnel had the obligation to provide I.V. with adequate, comprehensible and accessible information on her health situation, ensure her autonomous decision on the choice of </w:t>
      </w:r>
      <w:r w:rsidR="0016313E" w:rsidRPr="00012C3F">
        <w:rPr>
          <w:rFonts w:eastAsia="MS Mincho"/>
          <w:sz w:val="20"/>
          <w:szCs w:val="20"/>
          <w:lang w:val="en-US" w:eastAsia="en-US" w:bidi="en-US"/>
        </w:rPr>
        <w:t xml:space="preserve">the </w:t>
      </w:r>
      <w:r w:rsidRPr="00012C3F">
        <w:rPr>
          <w:rFonts w:eastAsia="MS Mincho"/>
          <w:sz w:val="20"/>
          <w:szCs w:val="20"/>
          <w:lang w:val="en-US" w:eastAsia="en-US" w:bidi="en-US"/>
        </w:rPr>
        <w:t>contraceptive methods that were most appropriate for her life project, and ensure that they obtained her informed consent if she had opted for a permanent surgical procedure, such as tubal ligation using the Pomeroy technique, in order to avoid a sterilization contrary to the State’s international obligations.</w:t>
      </w:r>
    </w:p>
    <w:p w14:paraId="123EB7F1" w14:textId="77777777" w:rsidR="006B77D7" w:rsidRPr="00012C3F" w:rsidRDefault="006B77D7" w:rsidP="006B77D7">
      <w:pPr>
        <w:tabs>
          <w:tab w:val="left" w:pos="720"/>
        </w:tabs>
        <w:spacing w:line="240" w:lineRule="auto"/>
        <w:rPr>
          <w:rFonts w:eastAsia="MS Mincho"/>
          <w:sz w:val="20"/>
          <w:szCs w:val="20"/>
          <w:lang w:val="en-US" w:eastAsia="en-US" w:bidi="en-US"/>
        </w:rPr>
      </w:pPr>
    </w:p>
    <w:p w14:paraId="0B23541F" w14:textId="77777777" w:rsidR="00E17AF2" w:rsidRPr="00012C3F" w:rsidRDefault="006B77D7" w:rsidP="006B77D7">
      <w:pPr>
        <w:numPr>
          <w:ilvl w:val="0"/>
          <w:numId w:val="5"/>
        </w:numPr>
        <w:tabs>
          <w:tab w:val="left" w:pos="720"/>
          <w:tab w:val="num" w:pos="12305"/>
        </w:tabs>
        <w:spacing w:line="240" w:lineRule="auto"/>
        <w:ind w:left="0" w:firstLine="0"/>
        <w:rPr>
          <w:rFonts w:eastAsia="MS Mincho"/>
          <w:b/>
          <w:i/>
          <w:sz w:val="20"/>
          <w:szCs w:val="20"/>
          <w:lang w:val="en-US" w:eastAsia="en-US" w:bidi="en-US"/>
        </w:rPr>
      </w:pPr>
      <w:r w:rsidRPr="00012C3F">
        <w:rPr>
          <w:sz w:val="20"/>
          <w:szCs w:val="20"/>
          <w:lang w:val="en-US"/>
        </w:rPr>
        <w:t>The</w:t>
      </w:r>
      <w:r w:rsidR="001254DE" w:rsidRPr="00012C3F">
        <w:rPr>
          <w:sz w:val="20"/>
          <w:szCs w:val="20"/>
          <w:lang w:val="en-US"/>
        </w:rPr>
        <w:t xml:space="preserve"> Court</w:t>
      </w:r>
      <w:r w:rsidR="00E17AF2" w:rsidRPr="00012C3F">
        <w:rPr>
          <w:sz w:val="20"/>
          <w:szCs w:val="20"/>
          <w:lang w:val="en-US"/>
        </w:rPr>
        <w:t xml:space="preserve"> </w:t>
      </w:r>
      <w:r w:rsidRPr="00012C3F">
        <w:rPr>
          <w:sz w:val="20"/>
          <w:szCs w:val="20"/>
          <w:lang w:val="en-US"/>
        </w:rPr>
        <w:t xml:space="preserve">will now make the corresponding determinations taking into account the dispute </w:t>
      </w:r>
      <w:r w:rsidR="0016313E" w:rsidRPr="00012C3F">
        <w:rPr>
          <w:sz w:val="20"/>
          <w:szCs w:val="20"/>
          <w:lang w:val="en-US"/>
        </w:rPr>
        <w:t>over</w:t>
      </w:r>
      <w:r w:rsidRPr="00012C3F">
        <w:rPr>
          <w:sz w:val="20"/>
          <w:szCs w:val="20"/>
          <w:lang w:val="en-US"/>
        </w:rPr>
        <w:t xml:space="preserve"> the supposed verbal consent</w:t>
      </w:r>
      <w:r w:rsidR="0016313E" w:rsidRPr="00012C3F">
        <w:rPr>
          <w:sz w:val="20"/>
          <w:szCs w:val="20"/>
          <w:lang w:val="en-US"/>
        </w:rPr>
        <w:t xml:space="preserve"> obtained</w:t>
      </w:r>
      <w:r w:rsidRPr="00012C3F">
        <w:rPr>
          <w:sz w:val="20"/>
          <w:szCs w:val="20"/>
          <w:lang w:val="en-US"/>
        </w:rPr>
        <w:t xml:space="preserve"> </w:t>
      </w:r>
      <w:r w:rsidR="0016313E" w:rsidRPr="00012C3F">
        <w:rPr>
          <w:sz w:val="20"/>
          <w:szCs w:val="20"/>
          <w:lang w:val="en-US"/>
        </w:rPr>
        <w:t>during the peri-operative period for the performance of the tubal ligation</w:t>
      </w:r>
      <w:r w:rsidRPr="00012C3F">
        <w:rPr>
          <w:sz w:val="20"/>
          <w:szCs w:val="20"/>
          <w:lang w:val="en-US"/>
        </w:rPr>
        <w:t>.</w:t>
      </w:r>
    </w:p>
    <w:p w14:paraId="655EEC3F" w14:textId="77777777" w:rsidR="00E17AF2" w:rsidRPr="00012C3F" w:rsidRDefault="00E17AF2" w:rsidP="00E17AF2">
      <w:pPr>
        <w:tabs>
          <w:tab w:val="left" w:pos="567"/>
        </w:tabs>
        <w:spacing w:line="240" w:lineRule="auto"/>
        <w:rPr>
          <w:rFonts w:eastAsia="MS Mincho"/>
          <w:b/>
          <w:i/>
          <w:sz w:val="20"/>
          <w:szCs w:val="20"/>
          <w:lang w:val="en-US" w:eastAsia="en-US" w:bidi="en-US"/>
        </w:rPr>
      </w:pPr>
    </w:p>
    <w:p w14:paraId="059A1591" w14:textId="77777777" w:rsidR="00263F88" w:rsidRPr="00012C3F" w:rsidRDefault="00972ACF" w:rsidP="006B77D7">
      <w:pPr>
        <w:numPr>
          <w:ilvl w:val="0"/>
          <w:numId w:val="5"/>
        </w:numPr>
        <w:tabs>
          <w:tab w:val="left" w:pos="720"/>
          <w:tab w:val="num" w:pos="12305"/>
        </w:tabs>
        <w:spacing w:line="240" w:lineRule="auto"/>
        <w:ind w:left="0" w:firstLine="0"/>
        <w:rPr>
          <w:rFonts w:eastAsia="MS Mincho"/>
          <w:b/>
          <w:i/>
          <w:sz w:val="20"/>
          <w:szCs w:val="20"/>
          <w:lang w:val="en-US" w:eastAsia="en-US" w:bidi="en-US"/>
        </w:rPr>
      </w:pPr>
      <w:r w:rsidRPr="00012C3F">
        <w:rPr>
          <w:sz w:val="20"/>
          <w:szCs w:val="20"/>
          <w:lang w:val="en-US"/>
        </w:rPr>
        <w:t>The representative</w:t>
      </w:r>
      <w:r w:rsidR="00E17AF2" w:rsidRPr="00012C3F">
        <w:rPr>
          <w:sz w:val="20"/>
          <w:szCs w:val="20"/>
          <w:lang w:val="en-US"/>
        </w:rPr>
        <w:t xml:space="preserve"> </w:t>
      </w:r>
      <w:r w:rsidR="006B77D7" w:rsidRPr="00012C3F">
        <w:rPr>
          <w:sz w:val="20"/>
          <w:szCs w:val="20"/>
          <w:lang w:val="en-US"/>
        </w:rPr>
        <w:t xml:space="preserve">affirmed that </w:t>
      </w:r>
      <w:r w:rsidR="000E1C11" w:rsidRPr="00012C3F">
        <w:rPr>
          <w:sz w:val="20"/>
          <w:szCs w:val="20"/>
          <w:lang w:val="en-US"/>
        </w:rPr>
        <w:t>I.V.</w:t>
      </w:r>
      <w:r w:rsidR="00E17AF2" w:rsidRPr="00012C3F">
        <w:rPr>
          <w:sz w:val="20"/>
          <w:szCs w:val="20"/>
          <w:lang w:val="en-US"/>
        </w:rPr>
        <w:t xml:space="preserve"> </w:t>
      </w:r>
      <w:r w:rsidR="006B77D7" w:rsidRPr="00012C3F">
        <w:rPr>
          <w:sz w:val="20"/>
          <w:szCs w:val="20"/>
          <w:lang w:val="en-US"/>
        </w:rPr>
        <w:t>was never consulted in a prior, free and informed manner with regard to the sterilization; rather</w:t>
      </w:r>
      <w:r w:rsidR="0016313E" w:rsidRPr="00012C3F">
        <w:rPr>
          <w:sz w:val="20"/>
          <w:szCs w:val="20"/>
          <w:lang w:val="en-US"/>
        </w:rPr>
        <w:t>,</w:t>
      </w:r>
      <w:r w:rsidR="006B77D7" w:rsidRPr="00012C3F">
        <w:rPr>
          <w:sz w:val="20"/>
          <w:szCs w:val="20"/>
          <w:lang w:val="en-US"/>
        </w:rPr>
        <w:t xml:space="preserve"> she found out that she had lost her reproductive capacity permanently the day after the procedure had been performed, when the resident doctor </w:t>
      </w:r>
      <w:r w:rsidR="0016313E" w:rsidRPr="00012C3F">
        <w:rPr>
          <w:sz w:val="20"/>
          <w:szCs w:val="20"/>
          <w:lang w:val="en-US"/>
        </w:rPr>
        <w:t>informed</w:t>
      </w:r>
      <w:r w:rsidR="006B77D7" w:rsidRPr="00012C3F">
        <w:rPr>
          <w:sz w:val="20"/>
          <w:szCs w:val="20"/>
          <w:lang w:val="en-US"/>
        </w:rPr>
        <w:t xml:space="preserve"> her</w:t>
      </w:r>
      <w:r w:rsidR="00E17AF2" w:rsidRPr="00012C3F">
        <w:rPr>
          <w:rStyle w:val="Refdenotaalpie"/>
          <w:sz w:val="20"/>
          <w:szCs w:val="20"/>
          <w:lang w:val="en-US"/>
        </w:rPr>
        <w:footnoteReference w:id="302"/>
      </w:r>
      <w:r w:rsidR="00E17AF2" w:rsidRPr="00012C3F">
        <w:rPr>
          <w:sz w:val="20"/>
          <w:szCs w:val="20"/>
          <w:lang w:val="en-US"/>
        </w:rPr>
        <w:t xml:space="preserve"> (</w:t>
      </w:r>
      <w:r w:rsidR="00E17AF2" w:rsidRPr="00012C3F">
        <w:rPr>
          <w:i/>
          <w:sz w:val="20"/>
          <w:szCs w:val="20"/>
          <w:lang w:val="en-US"/>
        </w:rPr>
        <w:t>supra</w:t>
      </w:r>
      <w:r w:rsidR="00E17AF2" w:rsidRPr="00012C3F">
        <w:rPr>
          <w:sz w:val="20"/>
          <w:szCs w:val="20"/>
          <w:lang w:val="en-US"/>
        </w:rPr>
        <w:t xml:space="preserve"> </w:t>
      </w:r>
      <w:r w:rsidR="00370DD4" w:rsidRPr="00012C3F">
        <w:rPr>
          <w:sz w:val="20"/>
          <w:szCs w:val="20"/>
          <w:lang w:val="en-US"/>
        </w:rPr>
        <w:t>para.</w:t>
      </w:r>
      <w:r w:rsidR="00E17AF2" w:rsidRPr="00012C3F">
        <w:rPr>
          <w:sz w:val="20"/>
          <w:szCs w:val="20"/>
          <w:lang w:val="en-US"/>
        </w:rPr>
        <w:t xml:space="preserve"> </w:t>
      </w:r>
      <w:r w:rsidR="00A2783A" w:rsidRPr="00012C3F">
        <w:rPr>
          <w:sz w:val="20"/>
          <w:szCs w:val="20"/>
          <w:lang w:val="en-US"/>
        </w:rPr>
        <w:t>68</w:t>
      </w:r>
      <w:r w:rsidR="00E17AF2" w:rsidRPr="00012C3F">
        <w:rPr>
          <w:sz w:val="20"/>
          <w:szCs w:val="20"/>
          <w:lang w:val="en-US"/>
        </w:rPr>
        <w:t xml:space="preserve">). </w:t>
      </w:r>
      <w:r w:rsidR="006B77D7" w:rsidRPr="00012C3F">
        <w:rPr>
          <w:sz w:val="20"/>
          <w:szCs w:val="20"/>
          <w:lang w:val="en-US"/>
        </w:rPr>
        <w:t>Meanwhile</w:t>
      </w:r>
      <w:r w:rsidR="00E17AF2" w:rsidRPr="00012C3F">
        <w:rPr>
          <w:sz w:val="20"/>
          <w:szCs w:val="20"/>
          <w:lang w:val="en-US"/>
        </w:rPr>
        <w:t xml:space="preserve">, </w:t>
      </w:r>
      <w:r w:rsidR="00A84CA0" w:rsidRPr="00012C3F">
        <w:rPr>
          <w:sz w:val="20"/>
          <w:szCs w:val="20"/>
          <w:lang w:val="en-US"/>
        </w:rPr>
        <w:t>the State</w:t>
      </w:r>
      <w:r w:rsidR="00E17AF2" w:rsidRPr="00012C3F">
        <w:rPr>
          <w:sz w:val="20"/>
          <w:szCs w:val="20"/>
          <w:lang w:val="en-US"/>
        </w:rPr>
        <w:t xml:space="preserve"> re</w:t>
      </w:r>
      <w:r w:rsidR="006B77D7" w:rsidRPr="00012C3F">
        <w:rPr>
          <w:sz w:val="20"/>
          <w:szCs w:val="20"/>
          <w:lang w:val="en-US"/>
        </w:rPr>
        <w:t xml:space="preserve">jected this argument and indicated that </w:t>
      </w:r>
      <w:r w:rsidR="006B77D7" w:rsidRPr="00012C3F">
        <w:rPr>
          <w:sz w:val="20"/>
          <w:szCs w:val="20"/>
          <w:lang w:val="en-US"/>
        </w:rPr>
        <w:lastRenderedPageBreak/>
        <w:t xml:space="preserve">I.V. had </w:t>
      </w:r>
      <w:r w:rsidR="00263F88" w:rsidRPr="00012C3F">
        <w:rPr>
          <w:sz w:val="20"/>
          <w:szCs w:val="20"/>
          <w:lang w:val="en-US"/>
        </w:rPr>
        <w:t>given her verbal consent during the peri-operative period.</w:t>
      </w:r>
      <w:r w:rsidR="00E17AF2" w:rsidRPr="00012C3F">
        <w:rPr>
          <w:rStyle w:val="Refdenotaalpie"/>
          <w:sz w:val="20"/>
          <w:szCs w:val="20"/>
          <w:lang w:val="en-US"/>
        </w:rPr>
        <w:footnoteReference w:id="303"/>
      </w:r>
      <w:r w:rsidR="00263F88" w:rsidRPr="00012C3F">
        <w:rPr>
          <w:sz w:val="20"/>
          <w:szCs w:val="20"/>
          <w:lang w:val="en-US"/>
        </w:rPr>
        <w:t xml:space="preserve"> Consequently, there are contrary versions of the same fact, because while the State affirms that it had obtained the informed consent of I.V., she indicates the contrary and denies having provided this.</w:t>
      </w:r>
    </w:p>
    <w:p w14:paraId="033A05A4" w14:textId="77777777" w:rsidR="00E17AF2" w:rsidRPr="00012C3F" w:rsidRDefault="00E17AF2" w:rsidP="00E17AF2">
      <w:pPr>
        <w:tabs>
          <w:tab w:val="left" w:pos="567"/>
        </w:tabs>
        <w:spacing w:line="240" w:lineRule="auto"/>
        <w:rPr>
          <w:rFonts w:eastAsia="MS Mincho"/>
          <w:b/>
          <w:i/>
          <w:sz w:val="20"/>
          <w:szCs w:val="20"/>
          <w:lang w:val="en-US" w:eastAsia="en-US" w:bidi="en-US"/>
        </w:rPr>
      </w:pPr>
    </w:p>
    <w:p w14:paraId="63F70D43" w14:textId="77777777" w:rsidR="00E17AF2" w:rsidRPr="00012C3F" w:rsidRDefault="006C705C" w:rsidP="00263F88">
      <w:pPr>
        <w:numPr>
          <w:ilvl w:val="0"/>
          <w:numId w:val="5"/>
        </w:numPr>
        <w:tabs>
          <w:tab w:val="left" w:pos="720"/>
          <w:tab w:val="num" w:pos="12305"/>
        </w:tabs>
        <w:spacing w:line="240" w:lineRule="auto"/>
        <w:ind w:left="0" w:firstLine="0"/>
        <w:rPr>
          <w:rFonts w:eastAsia="MS Mincho"/>
          <w:b/>
          <w:i/>
          <w:sz w:val="20"/>
          <w:szCs w:val="20"/>
          <w:lang w:val="en-US" w:eastAsia="en-US" w:bidi="en-US"/>
        </w:rPr>
      </w:pPr>
      <w:r w:rsidRPr="00012C3F">
        <w:rPr>
          <w:sz w:val="20"/>
          <w:szCs w:val="20"/>
          <w:lang w:val="en-US"/>
        </w:rPr>
        <w:t>In this case</w:t>
      </w:r>
      <w:r w:rsidR="00E17AF2" w:rsidRPr="00012C3F">
        <w:rPr>
          <w:sz w:val="20"/>
          <w:szCs w:val="20"/>
          <w:lang w:val="en-US"/>
        </w:rPr>
        <w:t xml:space="preserve">, </w:t>
      </w:r>
      <w:r w:rsidR="00E00902" w:rsidRPr="00012C3F">
        <w:rPr>
          <w:sz w:val="20"/>
          <w:szCs w:val="20"/>
          <w:lang w:val="en-US"/>
        </w:rPr>
        <w:t>the presumed victim</w:t>
      </w:r>
      <w:r w:rsidR="00E17AF2" w:rsidRPr="00012C3F">
        <w:rPr>
          <w:sz w:val="20"/>
          <w:szCs w:val="20"/>
          <w:lang w:val="en-US"/>
        </w:rPr>
        <w:t xml:space="preserve"> </w:t>
      </w:r>
      <w:r w:rsidR="00263F88" w:rsidRPr="00012C3F">
        <w:rPr>
          <w:sz w:val="20"/>
          <w:szCs w:val="20"/>
          <w:lang w:val="en-US"/>
        </w:rPr>
        <w:t xml:space="preserve">had few means available to prove this fact. Her allegation is of a negative nature, indicating the inexistence of a fact that presumably occurred while she was in the absolute care of the health care personnel </w:t>
      </w:r>
      <w:r w:rsidR="0021414B" w:rsidRPr="00012C3F">
        <w:rPr>
          <w:sz w:val="20"/>
          <w:szCs w:val="20"/>
          <w:lang w:val="en-US"/>
        </w:rPr>
        <w:t xml:space="preserve">who </w:t>
      </w:r>
      <w:r w:rsidR="00263F88" w:rsidRPr="00012C3F">
        <w:rPr>
          <w:sz w:val="20"/>
          <w:szCs w:val="20"/>
          <w:lang w:val="en-US"/>
        </w:rPr>
        <w:t>were performing the caesarean section in a public health institution. The State’s allegation is of a positive nature and, therefore, possible to prove, especially if medical personnel</w:t>
      </w:r>
      <w:r w:rsidR="0021414B" w:rsidRPr="00012C3F">
        <w:rPr>
          <w:sz w:val="20"/>
          <w:szCs w:val="20"/>
          <w:lang w:val="en-US"/>
        </w:rPr>
        <w:t xml:space="preserve"> are obliged</w:t>
      </w:r>
      <w:r w:rsidR="00263F88" w:rsidRPr="00012C3F">
        <w:rPr>
          <w:sz w:val="20"/>
          <w:szCs w:val="20"/>
          <w:lang w:val="en-US"/>
        </w:rPr>
        <w:t xml:space="preserve"> to record the existence of </w:t>
      </w:r>
      <w:r w:rsidR="00AC0004" w:rsidRPr="00012C3F">
        <w:rPr>
          <w:sz w:val="20"/>
          <w:szCs w:val="20"/>
          <w:lang w:val="en-US"/>
        </w:rPr>
        <w:t>informed consent</w:t>
      </w:r>
      <w:r w:rsidR="00E17AF2" w:rsidRPr="00012C3F">
        <w:rPr>
          <w:sz w:val="20"/>
          <w:szCs w:val="20"/>
          <w:lang w:val="en-US"/>
        </w:rPr>
        <w:t xml:space="preserve"> (</w:t>
      </w:r>
      <w:r w:rsidR="00E17AF2" w:rsidRPr="00012C3F">
        <w:rPr>
          <w:i/>
          <w:sz w:val="20"/>
          <w:szCs w:val="20"/>
          <w:lang w:val="en-US"/>
        </w:rPr>
        <w:t>supra</w:t>
      </w:r>
      <w:r w:rsidR="00E17AF2" w:rsidRPr="00012C3F">
        <w:rPr>
          <w:sz w:val="20"/>
          <w:szCs w:val="20"/>
          <w:lang w:val="en-US"/>
        </w:rPr>
        <w:t xml:space="preserve"> </w:t>
      </w:r>
      <w:r w:rsidR="00370DD4" w:rsidRPr="00012C3F">
        <w:rPr>
          <w:sz w:val="20"/>
          <w:szCs w:val="20"/>
          <w:lang w:val="en-US"/>
        </w:rPr>
        <w:t>para.</w:t>
      </w:r>
      <w:r w:rsidR="00E17AF2" w:rsidRPr="00012C3F">
        <w:rPr>
          <w:sz w:val="20"/>
          <w:szCs w:val="20"/>
          <w:lang w:val="en-US"/>
        </w:rPr>
        <w:t xml:space="preserve"> </w:t>
      </w:r>
      <w:r w:rsidR="00A2783A" w:rsidRPr="00012C3F">
        <w:rPr>
          <w:sz w:val="20"/>
          <w:szCs w:val="20"/>
          <w:lang w:val="en-US"/>
        </w:rPr>
        <w:t>195</w:t>
      </w:r>
      <w:r w:rsidR="00E17AF2" w:rsidRPr="00012C3F">
        <w:rPr>
          <w:sz w:val="20"/>
          <w:szCs w:val="20"/>
          <w:lang w:val="en-US"/>
        </w:rPr>
        <w:t>).</w:t>
      </w:r>
    </w:p>
    <w:p w14:paraId="17C4B563" w14:textId="77777777" w:rsidR="00E17AF2" w:rsidRPr="00012C3F" w:rsidRDefault="00E17AF2" w:rsidP="00263F88">
      <w:pPr>
        <w:tabs>
          <w:tab w:val="left" w:pos="720"/>
        </w:tabs>
        <w:spacing w:line="240" w:lineRule="auto"/>
        <w:rPr>
          <w:rFonts w:eastAsia="MS Mincho"/>
          <w:b/>
          <w:i/>
          <w:sz w:val="20"/>
          <w:szCs w:val="20"/>
          <w:lang w:val="en-US" w:eastAsia="en-US" w:bidi="en-US"/>
        </w:rPr>
      </w:pPr>
    </w:p>
    <w:p w14:paraId="706F4C9C" w14:textId="77777777" w:rsidR="00DC01BC" w:rsidRPr="00012C3F" w:rsidRDefault="00263F88" w:rsidP="00263F88">
      <w:pPr>
        <w:numPr>
          <w:ilvl w:val="0"/>
          <w:numId w:val="5"/>
        </w:numPr>
        <w:tabs>
          <w:tab w:val="left" w:pos="720"/>
          <w:tab w:val="num" w:pos="12305"/>
        </w:tabs>
        <w:spacing w:line="240" w:lineRule="auto"/>
        <w:ind w:left="0" w:firstLine="0"/>
        <w:rPr>
          <w:rFonts w:eastAsia="MS Mincho"/>
          <w:b/>
          <w:i/>
          <w:sz w:val="20"/>
          <w:szCs w:val="20"/>
          <w:lang w:val="en-US" w:eastAsia="en-US" w:bidi="en-US"/>
        </w:rPr>
      </w:pPr>
      <w:r w:rsidRPr="00012C3F">
        <w:rPr>
          <w:sz w:val="20"/>
          <w:szCs w:val="20"/>
          <w:lang w:val="en-US"/>
        </w:rPr>
        <w:t xml:space="preserve">Nevertheless, </w:t>
      </w:r>
      <w:r w:rsidR="0040300B" w:rsidRPr="00012C3F">
        <w:rPr>
          <w:sz w:val="20"/>
          <w:szCs w:val="20"/>
          <w:lang w:val="en-US"/>
        </w:rPr>
        <w:t>leaving to one side</w:t>
      </w:r>
      <w:r w:rsidRPr="00012C3F">
        <w:rPr>
          <w:sz w:val="20"/>
          <w:szCs w:val="20"/>
          <w:lang w:val="en-US"/>
        </w:rPr>
        <w:t xml:space="preserve"> the </w:t>
      </w:r>
      <w:r w:rsidR="008C1E33" w:rsidRPr="00012C3F">
        <w:rPr>
          <w:sz w:val="20"/>
          <w:szCs w:val="20"/>
          <w:lang w:val="en-US"/>
        </w:rPr>
        <w:t>evidentiary</w:t>
      </w:r>
      <w:r w:rsidRPr="00012C3F">
        <w:rPr>
          <w:sz w:val="20"/>
          <w:szCs w:val="20"/>
          <w:lang w:val="en-US"/>
        </w:rPr>
        <w:t xml:space="preserve"> dispute on the factual circumstances, based on what it has previously indicated, the Court finds that the legal consequence of both factual versions is the same; in other words, that both in the hypothesis of the inexistence of consent, and in the hypothesis that verbal consent was obtained from I.V. during the peri-operative period, the physician failed to comply with his obligation to obtain a </w:t>
      </w:r>
      <w:r w:rsidR="00DF71A5" w:rsidRPr="00012C3F">
        <w:rPr>
          <w:sz w:val="20"/>
          <w:szCs w:val="20"/>
          <w:lang w:val="en-US"/>
        </w:rPr>
        <w:t>prior, free, full and informed consent</w:t>
      </w:r>
      <w:r w:rsidR="00DC01BC" w:rsidRPr="00012C3F">
        <w:rPr>
          <w:sz w:val="20"/>
          <w:szCs w:val="20"/>
          <w:lang w:val="en-US"/>
        </w:rPr>
        <w:t xml:space="preserve"> </w:t>
      </w:r>
      <w:r w:rsidRPr="00012C3F">
        <w:rPr>
          <w:sz w:val="20"/>
          <w:szCs w:val="20"/>
          <w:lang w:val="en-US"/>
        </w:rPr>
        <w:t xml:space="preserve">as required by </w:t>
      </w:r>
      <w:r w:rsidR="001254DE" w:rsidRPr="00012C3F">
        <w:rPr>
          <w:sz w:val="20"/>
          <w:szCs w:val="20"/>
          <w:lang w:val="en-US"/>
        </w:rPr>
        <w:t>the American Convention</w:t>
      </w:r>
      <w:r w:rsidR="00DC01BC" w:rsidRPr="00012C3F">
        <w:rPr>
          <w:sz w:val="20"/>
          <w:szCs w:val="20"/>
          <w:lang w:val="en-US"/>
        </w:rPr>
        <w:t>.</w:t>
      </w:r>
    </w:p>
    <w:p w14:paraId="78DAFEF8" w14:textId="77777777" w:rsidR="00E17AF2" w:rsidRPr="00012C3F" w:rsidRDefault="00E17AF2" w:rsidP="00E17AF2">
      <w:pPr>
        <w:tabs>
          <w:tab w:val="left" w:pos="567"/>
        </w:tabs>
        <w:spacing w:line="240" w:lineRule="auto"/>
        <w:rPr>
          <w:rFonts w:eastAsia="MS Mincho"/>
          <w:b/>
          <w:i/>
          <w:sz w:val="20"/>
          <w:szCs w:val="20"/>
          <w:lang w:val="en-US" w:eastAsia="en-US" w:bidi="en-US"/>
        </w:rPr>
      </w:pPr>
    </w:p>
    <w:p w14:paraId="04746B81" w14:textId="77777777" w:rsidR="00E17AF2" w:rsidRPr="00012C3F" w:rsidRDefault="008C1E33" w:rsidP="008C1E33">
      <w:pPr>
        <w:numPr>
          <w:ilvl w:val="0"/>
          <w:numId w:val="5"/>
        </w:numPr>
        <w:tabs>
          <w:tab w:val="left" w:pos="720"/>
          <w:tab w:val="num" w:pos="12305"/>
        </w:tabs>
        <w:spacing w:line="240" w:lineRule="auto"/>
        <w:ind w:left="0" w:firstLine="0"/>
        <w:rPr>
          <w:b/>
          <w:i/>
          <w:sz w:val="20"/>
          <w:szCs w:val="20"/>
          <w:lang w:val="en-US"/>
        </w:rPr>
      </w:pPr>
      <w:r w:rsidRPr="00012C3F">
        <w:rPr>
          <w:rFonts w:eastAsia="MS Mincho"/>
          <w:sz w:val="20"/>
          <w:szCs w:val="20"/>
          <w:lang w:val="en-US" w:eastAsia="en-US" w:bidi="en-US"/>
        </w:rPr>
        <w:t>Indeed, with regard to the version of the facts proposed by</w:t>
      </w:r>
      <w:r w:rsidR="00E17AF2" w:rsidRPr="00012C3F">
        <w:rPr>
          <w:rFonts w:eastAsia="MS Mincho"/>
          <w:sz w:val="20"/>
          <w:szCs w:val="20"/>
          <w:lang w:val="en-US" w:eastAsia="en-US" w:bidi="en-US"/>
        </w:rPr>
        <w:t xml:space="preserve"> </w:t>
      </w:r>
      <w:r w:rsidR="00972ACF" w:rsidRPr="00012C3F">
        <w:rPr>
          <w:rFonts w:eastAsia="MS Mincho"/>
          <w:sz w:val="20"/>
          <w:szCs w:val="20"/>
          <w:lang w:val="en-US" w:eastAsia="en-US" w:bidi="en-US"/>
        </w:rPr>
        <w:t>the representative</w:t>
      </w:r>
      <w:r w:rsidR="00E17AF2" w:rsidRPr="00012C3F">
        <w:rPr>
          <w:rFonts w:eastAsia="MS Mincho"/>
          <w:sz w:val="20"/>
          <w:szCs w:val="20"/>
          <w:lang w:val="en-US" w:eastAsia="en-US" w:bidi="en-US"/>
        </w:rPr>
        <w:t xml:space="preserve">, </w:t>
      </w:r>
      <w:r w:rsidR="001254DE" w:rsidRPr="00012C3F">
        <w:rPr>
          <w:rFonts w:eastAsia="MS Mincho"/>
          <w:sz w:val="20"/>
          <w:szCs w:val="20"/>
          <w:lang w:val="en-US" w:eastAsia="en-US" w:bidi="en-US"/>
        </w:rPr>
        <w:t>the Court</w:t>
      </w:r>
      <w:r w:rsidR="00E17AF2" w:rsidRPr="00012C3F">
        <w:rPr>
          <w:rFonts w:eastAsia="MS Mincho"/>
          <w:sz w:val="20"/>
          <w:szCs w:val="20"/>
          <w:lang w:val="en-US" w:eastAsia="en-US" w:bidi="en-US"/>
        </w:rPr>
        <w:t xml:space="preserve"> consider</w:t>
      </w:r>
      <w:r w:rsidRPr="00012C3F">
        <w:rPr>
          <w:rFonts w:eastAsia="MS Mincho"/>
          <w:sz w:val="20"/>
          <w:szCs w:val="20"/>
          <w:lang w:val="en-US" w:eastAsia="en-US" w:bidi="en-US"/>
        </w:rPr>
        <w:t xml:space="preserve">s that the physician’s actions were not in keeping with the treaty-based requirements, </w:t>
      </w:r>
      <w:r w:rsidRPr="00012C3F">
        <w:rPr>
          <w:rFonts w:eastAsia="MS Mincho"/>
          <w:sz w:val="20"/>
          <w:szCs w:val="20"/>
          <w:lang w:val="en-US" w:eastAsia="en-US" w:bidi="en-US"/>
        </w:rPr>
        <w:lastRenderedPageBreak/>
        <w:t xml:space="preserve">because he did not obtain I.V.’s consent before performing the said medical procedure. This is so, because sterilization is a medical procedure with serious consequences, as it results in the permanent loss of a woman’s reproductive capacity. Consequently, a female surgical sterilization should only be performed after having obtained the patient’s </w:t>
      </w:r>
      <w:r w:rsidR="00DF71A5" w:rsidRPr="00012C3F">
        <w:rPr>
          <w:rFonts w:eastAsia="MS Mincho"/>
          <w:sz w:val="20"/>
          <w:szCs w:val="20"/>
          <w:lang w:val="en-US" w:eastAsia="en-US" w:bidi="en-US"/>
        </w:rPr>
        <w:t>prior, free, full and informed consent</w:t>
      </w:r>
      <w:r w:rsidR="00E17AF2" w:rsidRPr="00012C3F">
        <w:rPr>
          <w:rFonts w:eastAsia="MS Mincho"/>
          <w:sz w:val="20"/>
          <w:szCs w:val="20"/>
          <w:lang w:val="en-US" w:eastAsia="en-US" w:bidi="en-US"/>
        </w:rPr>
        <w:t xml:space="preserve">, </w:t>
      </w:r>
      <w:r w:rsidRPr="00012C3F">
        <w:rPr>
          <w:rFonts w:eastAsia="MS Mincho"/>
          <w:sz w:val="20"/>
          <w:szCs w:val="20"/>
          <w:lang w:val="en-US" w:eastAsia="en-US" w:bidi="en-US"/>
        </w:rPr>
        <w:t>above all because the procedure consists in a significant medical procedure, which entails an important interference in a woman’s reproductive health, and also involves various aspects of her personal integrity and private life.</w:t>
      </w:r>
    </w:p>
    <w:p w14:paraId="014CEDA3" w14:textId="77777777" w:rsidR="00E17AF2" w:rsidRPr="00012C3F" w:rsidRDefault="00E17AF2" w:rsidP="00263F88">
      <w:pPr>
        <w:tabs>
          <w:tab w:val="left" w:pos="720"/>
        </w:tabs>
        <w:spacing w:line="240" w:lineRule="auto"/>
        <w:rPr>
          <w:b/>
          <w:i/>
          <w:sz w:val="20"/>
          <w:szCs w:val="20"/>
          <w:lang w:val="en-US"/>
        </w:rPr>
      </w:pPr>
    </w:p>
    <w:p w14:paraId="7F453B69" w14:textId="77777777" w:rsidR="00812DC7" w:rsidRPr="00012C3F" w:rsidRDefault="008C1E33" w:rsidP="008C1E33">
      <w:pPr>
        <w:numPr>
          <w:ilvl w:val="0"/>
          <w:numId w:val="5"/>
        </w:numPr>
        <w:tabs>
          <w:tab w:val="left" w:pos="720"/>
          <w:tab w:val="num" w:pos="12305"/>
        </w:tabs>
        <w:spacing w:line="240" w:lineRule="auto"/>
        <w:ind w:left="0" w:firstLine="0"/>
        <w:rPr>
          <w:sz w:val="20"/>
          <w:szCs w:val="20"/>
          <w:lang w:val="en-US"/>
        </w:rPr>
      </w:pPr>
      <w:r w:rsidRPr="00012C3F">
        <w:rPr>
          <w:rFonts w:eastAsia="MS Mincho"/>
          <w:sz w:val="20"/>
          <w:szCs w:val="20"/>
          <w:lang w:val="en-US" w:eastAsia="en-US" w:bidi="en-US"/>
        </w:rPr>
        <w:t>In this regard, the Court finds it relevant to point out that I.V.’s case was not of an urgent or emergenc</w:t>
      </w:r>
      <w:r w:rsidR="004540C3" w:rsidRPr="00012C3F">
        <w:rPr>
          <w:rFonts w:eastAsia="MS Mincho"/>
          <w:sz w:val="20"/>
          <w:szCs w:val="20"/>
          <w:lang w:val="en-US" w:eastAsia="en-US" w:bidi="en-US"/>
        </w:rPr>
        <w:t>y</w:t>
      </w:r>
      <w:r w:rsidRPr="00012C3F">
        <w:rPr>
          <w:rFonts w:eastAsia="MS Mincho"/>
          <w:sz w:val="20"/>
          <w:szCs w:val="20"/>
          <w:lang w:val="en-US" w:eastAsia="en-US" w:bidi="en-US"/>
        </w:rPr>
        <w:t xml:space="preserve"> medical nature because she was not in a situation of imminent risk to her life. As the Court has established, there are exceptions to the obligation to obtain</w:t>
      </w:r>
      <w:r w:rsidRPr="00012C3F">
        <w:rPr>
          <w:sz w:val="20"/>
          <w:szCs w:val="20"/>
          <w:lang w:val="en-US"/>
        </w:rPr>
        <w:t xml:space="preserve"> </w:t>
      </w:r>
      <w:r w:rsidR="00AC0004" w:rsidRPr="00012C3F">
        <w:rPr>
          <w:sz w:val="20"/>
          <w:szCs w:val="20"/>
          <w:lang w:val="en-US"/>
        </w:rPr>
        <w:t>informed consent</w:t>
      </w:r>
      <w:r w:rsidR="00DC01BC" w:rsidRPr="00012C3F">
        <w:rPr>
          <w:sz w:val="20"/>
          <w:szCs w:val="20"/>
          <w:lang w:val="en-US"/>
        </w:rPr>
        <w:t xml:space="preserve"> (</w:t>
      </w:r>
      <w:r w:rsidR="00DC01BC" w:rsidRPr="00012C3F">
        <w:rPr>
          <w:i/>
          <w:sz w:val="20"/>
          <w:szCs w:val="20"/>
          <w:lang w:val="en-US"/>
        </w:rPr>
        <w:t>supra</w:t>
      </w:r>
      <w:r w:rsidR="00DC01BC" w:rsidRPr="00012C3F">
        <w:rPr>
          <w:sz w:val="20"/>
          <w:szCs w:val="20"/>
          <w:lang w:val="en-US"/>
        </w:rPr>
        <w:t xml:space="preserve"> </w:t>
      </w:r>
      <w:r w:rsidR="00370DD4" w:rsidRPr="00012C3F">
        <w:rPr>
          <w:sz w:val="20"/>
          <w:szCs w:val="20"/>
          <w:lang w:val="en-US"/>
        </w:rPr>
        <w:t>paras.</w:t>
      </w:r>
      <w:r w:rsidR="00DC01BC" w:rsidRPr="00012C3F">
        <w:rPr>
          <w:sz w:val="20"/>
          <w:szCs w:val="20"/>
          <w:lang w:val="en-US"/>
        </w:rPr>
        <w:t xml:space="preserve"> </w:t>
      </w:r>
      <w:r w:rsidR="006D3F9E" w:rsidRPr="00012C3F">
        <w:rPr>
          <w:sz w:val="20"/>
          <w:szCs w:val="20"/>
          <w:lang w:val="en-US"/>
        </w:rPr>
        <w:t>177</w:t>
      </w:r>
      <w:r w:rsidR="005E5012" w:rsidRPr="00012C3F">
        <w:rPr>
          <w:sz w:val="20"/>
          <w:szCs w:val="20"/>
          <w:lang w:val="en-US"/>
        </w:rPr>
        <w:t xml:space="preserve"> and </w:t>
      </w:r>
      <w:r w:rsidR="006D3F9E" w:rsidRPr="00012C3F">
        <w:rPr>
          <w:sz w:val="20"/>
          <w:szCs w:val="20"/>
          <w:lang w:val="en-US"/>
        </w:rPr>
        <w:t>178</w:t>
      </w:r>
      <w:r w:rsidR="00DC01BC" w:rsidRPr="00012C3F">
        <w:rPr>
          <w:sz w:val="20"/>
          <w:szCs w:val="20"/>
          <w:lang w:val="en-US"/>
        </w:rPr>
        <w:t xml:space="preserve">). </w:t>
      </w:r>
      <w:r w:rsidRPr="00012C3F">
        <w:rPr>
          <w:sz w:val="20"/>
          <w:szCs w:val="20"/>
          <w:lang w:val="en-US"/>
        </w:rPr>
        <w:t xml:space="preserve">However, </w:t>
      </w:r>
      <w:r w:rsidR="00B47F8D" w:rsidRPr="00012C3F">
        <w:rPr>
          <w:sz w:val="20"/>
          <w:szCs w:val="20"/>
          <w:lang w:val="en-US"/>
        </w:rPr>
        <w:t>female sterilization</w:t>
      </w:r>
      <w:r w:rsidR="00DC01BC" w:rsidRPr="00012C3F">
        <w:rPr>
          <w:sz w:val="20"/>
          <w:szCs w:val="20"/>
          <w:lang w:val="en-US"/>
        </w:rPr>
        <w:t xml:space="preserve"> </w:t>
      </w:r>
      <w:r w:rsidRPr="00012C3F">
        <w:rPr>
          <w:sz w:val="20"/>
          <w:szCs w:val="20"/>
          <w:lang w:val="en-US"/>
        </w:rPr>
        <w:t>cannot be considered to fall within these exceptions. Moreover, this has been verified in the instant case because, different statements</w:t>
      </w:r>
      <w:r w:rsidR="00DC01BC" w:rsidRPr="00012C3F">
        <w:rPr>
          <w:rStyle w:val="Refdenotaalpie"/>
          <w:sz w:val="20"/>
          <w:szCs w:val="20"/>
          <w:lang w:val="en-US"/>
        </w:rPr>
        <w:footnoteReference w:id="304"/>
      </w:r>
      <w:r w:rsidR="00DC01BC" w:rsidRPr="00012C3F">
        <w:rPr>
          <w:sz w:val="20"/>
          <w:szCs w:val="20"/>
          <w:lang w:val="en-US"/>
        </w:rPr>
        <w:t xml:space="preserve"> </w:t>
      </w:r>
      <w:r w:rsidRPr="00012C3F">
        <w:rPr>
          <w:sz w:val="20"/>
          <w:szCs w:val="20"/>
          <w:lang w:val="en-US"/>
        </w:rPr>
        <w:t xml:space="preserve">have indicated that the tubal ligation was performed to protect I.V.’s life in the hypothesis of a future pregnancy owing to the danger of a possible rupture of the uterus. </w:t>
      </w:r>
      <w:r w:rsidR="00812DC7" w:rsidRPr="00012C3F">
        <w:rPr>
          <w:sz w:val="20"/>
          <w:szCs w:val="20"/>
          <w:lang w:val="en-US"/>
        </w:rPr>
        <w:t>The physician even stated during the hearing that performing the tubal ligation after the caesarean section could have been one alternative and ratified that, at the time of the caesarean section, I.V. was not in imminent risk of losing her life, but rather the risk would occur if she became pregnant again.</w:t>
      </w:r>
      <w:r w:rsidR="00DC01BC" w:rsidRPr="00012C3F">
        <w:rPr>
          <w:rStyle w:val="Refdenotaalpie"/>
          <w:sz w:val="20"/>
          <w:szCs w:val="20"/>
          <w:lang w:val="en-US"/>
        </w:rPr>
        <w:footnoteReference w:id="305"/>
      </w:r>
      <w:r w:rsidR="00812DC7" w:rsidRPr="00012C3F">
        <w:rPr>
          <w:sz w:val="20"/>
          <w:szCs w:val="20"/>
          <w:lang w:val="en-US"/>
        </w:rPr>
        <w:t xml:space="preserve"> In this regard, the Court considers that protection from a </w:t>
      </w:r>
      <w:r w:rsidR="004540C3" w:rsidRPr="00012C3F">
        <w:rPr>
          <w:sz w:val="20"/>
          <w:szCs w:val="20"/>
          <w:lang w:val="en-US"/>
        </w:rPr>
        <w:t>presumed</w:t>
      </w:r>
      <w:r w:rsidR="00812DC7" w:rsidRPr="00012C3F">
        <w:rPr>
          <w:sz w:val="20"/>
          <w:szCs w:val="20"/>
          <w:lang w:val="en-US"/>
        </w:rPr>
        <w:t xml:space="preserve"> risk that might or might not </w:t>
      </w:r>
      <w:r w:rsidR="004540C3" w:rsidRPr="00012C3F">
        <w:rPr>
          <w:sz w:val="20"/>
          <w:szCs w:val="20"/>
          <w:lang w:val="en-US"/>
        </w:rPr>
        <w:t xml:space="preserve">occur </w:t>
      </w:r>
      <w:r w:rsidR="00812DC7" w:rsidRPr="00012C3F">
        <w:rPr>
          <w:sz w:val="20"/>
          <w:szCs w:val="20"/>
          <w:lang w:val="en-US"/>
        </w:rPr>
        <w:t xml:space="preserve">in the future, could never be considered urgent or a medical emergency in which there </w:t>
      </w:r>
      <w:r w:rsidR="004540C3" w:rsidRPr="00012C3F">
        <w:rPr>
          <w:sz w:val="20"/>
          <w:szCs w:val="20"/>
          <w:lang w:val="en-US"/>
        </w:rPr>
        <w:t>was</w:t>
      </w:r>
      <w:r w:rsidR="00812DC7" w:rsidRPr="00012C3F">
        <w:rPr>
          <w:sz w:val="20"/>
          <w:szCs w:val="20"/>
          <w:lang w:val="en-US"/>
        </w:rPr>
        <w:t xml:space="preserve"> an immediate possibility of risk. Thus, the Court finds that the medical recommendation of a procedure of this nature could have been postponed in order to obtain I.V.’s informed consent.</w:t>
      </w:r>
    </w:p>
    <w:p w14:paraId="1E052A00" w14:textId="77777777" w:rsidR="00DC01BC" w:rsidRPr="00012C3F" w:rsidRDefault="00DC01BC" w:rsidP="00E17AF2">
      <w:pPr>
        <w:tabs>
          <w:tab w:val="left" w:pos="567"/>
        </w:tabs>
        <w:spacing w:line="240" w:lineRule="auto"/>
        <w:rPr>
          <w:b/>
          <w:i/>
          <w:sz w:val="20"/>
          <w:szCs w:val="20"/>
          <w:lang w:val="en-US"/>
        </w:rPr>
      </w:pPr>
    </w:p>
    <w:p w14:paraId="472914F2" w14:textId="77777777" w:rsidR="00E17AF2" w:rsidRPr="00012C3F" w:rsidRDefault="00812DC7" w:rsidP="00812DC7">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sz w:val="20"/>
          <w:szCs w:val="20"/>
          <w:lang w:val="en-US" w:eastAsia="en-US" w:bidi="en-US"/>
        </w:rPr>
        <w:t>That said, if the Court accept</w:t>
      </w:r>
      <w:r w:rsidR="00136EDE" w:rsidRPr="00012C3F">
        <w:rPr>
          <w:rFonts w:eastAsia="MS Mincho"/>
          <w:sz w:val="20"/>
          <w:szCs w:val="20"/>
          <w:lang w:val="en-US" w:eastAsia="en-US" w:bidi="en-US"/>
        </w:rPr>
        <w:t>s</w:t>
      </w:r>
      <w:r w:rsidRPr="00012C3F">
        <w:rPr>
          <w:rFonts w:eastAsia="MS Mincho"/>
          <w:sz w:val="20"/>
          <w:szCs w:val="20"/>
          <w:lang w:val="en-US" w:eastAsia="en-US" w:bidi="en-US"/>
        </w:rPr>
        <w:t xml:space="preserve"> the version of the facts proposed by the State; that is, that I.V. gave her consent verbally in the operating theater prior to the procedure,</w:t>
      </w:r>
      <w:r w:rsidR="00136EDE" w:rsidRPr="00012C3F">
        <w:rPr>
          <w:rFonts w:eastAsia="MS Mincho"/>
          <w:sz w:val="20"/>
          <w:szCs w:val="20"/>
          <w:lang w:val="en-US" w:eastAsia="en-US" w:bidi="en-US"/>
        </w:rPr>
        <w:t xml:space="preserve"> it must determine whether this was given in a free, full and informed manner, because as explained above, the mere acceptance of a procedure does not equate affirming that consent was given</w:t>
      </w:r>
      <w:r w:rsidR="00E17AF2" w:rsidRPr="00012C3F">
        <w:rPr>
          <w:rFonts w:eastAsia="MS Mincho"/>
          <w:sz w:val="20"/>
          <w:szCs w:val="20"/>
          <w:lang w:val="en-US" w:eastAsia="en-US" w:bidi="en-US"/>
        </w:rPr>
        <w:t xml:space="preserve"> (</w:t>
      </w:r>
      <w:r w:rsidR="00E17AF2" w:rsidRPr="00012C3F">
        <w:rPr>
          <w:rFonts w:eastAsia="MS Mincho"/>
          <w:i/>
          <w:sz w:val="20"/>
          <w:szCs w:val="20"/>
          <w:lang w:val="en-US" w:eastAsia="en-US" w:bidi="en-US"/>
        </w:rPr>
        <w:t xml:space="preserve">supra </w:t>
      </w:r>
      <w:r w:rsidR="00370DD4" w:rsidRPr="00012C3F">
        <w:rPr>
          <w:rFonts w:eastAsia="MS Mincho"/>
          <w:sz w:val="20"/>
          <w:szCs w:val="20"/>
          <w:lang w:val="en-US" w:eastAsia="en-US" w:bidi="en-US"/>
        </w:rPr>
        <w:t>para.</w:t>
      </w:r>
      <w:r w:rsidR="00E17AF2" w:rsidRPr="00012C3F">
        <w:rPr>
          <w:rFonts w:eastAsia="MS Mincho"/>
          <w:sz w:val="20"/>
          <w:szCs w:val="20"/>
          <w:lang w:val="en-US" w:eastAsia="en-US" w:bidi="en-US"/>
        </w:rPr>
        <w:t xml:space="preserve"> </w:t>
      </w:r>
      <w:r w:rsidR="006D3F9E" w:rsidRPr="00012C3F">
        <w:rPr>
          <w:rFonts w:eastAsia="MS Mincho"/>
          <w:sz w:val="20"/>
          <w:szCs w:val="20"/>
          <w:lang w:val="en-US" w:eastAsia="en-US" w:bidi="en-US"/>
        </w:rPr>
        <w:t>166</w:t>
      </w:r>
      <w:r w:rsidR="00E17AF2" w:rsidRPr="00012C3F">
        <w:rPr>
          <w:rFonts w:eastAsia="MS Mincho"/>
          <w:sz w:val="20"/>
          <w:szCs w:val="20"/>
          <w:lang w:val="en-US" w:eastAsia="en-US" w:bidi="en-US"/>
        </w:rPr>
        <w:t>).</w:t>
      </w:r>
    </w:p>
    <w:p w14:paraId="0E1564AE" w14:textId="77777777" w:rsidR="00E17AF2" w:rsidRPr="00012C3F" w:rsidRDefault="00E17AF2" w:rsidP="00812DC7">
      <w:pPr>
        <w:tabs>
          <w:tab w:val="left" w:pos="720"/>
        </w:tabs>
        <w:spacing w:line="240" w:lineRule="auto"/>
        <w:rPr>
          <w:rFonts w:eastAsia="MS Mincho"/>
          <w:sz w:val="20"/>
          <w:szCs w:val="20"/>
          <w:lang w:val="en-US" w:eastAsia="en-US" w:bidi="en-US"/>
        </w:rPr>
      </w:pPr>
    </w:p>
    <w:p w14:paraId="65C415BD" w14:textId="77777777" w:rsidR="00136EDE" w:rsidRPr="00012C3F" w:rsidRDefault="00136EDE" w:rsidP="00136EDE">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sz w:val="20"/>
          <w:szCs w:val="20"/>
          <w:lang w:val="en-US" w:eastAsia="en-US" w:bidi="en-US"/>
        </w:rPr>
        <w:t>On this point, the Court underscores that I.V. was in an operating theater, with her abdomen open owing to the caesarean section, in a situation of pressure, stress and vulnerability evident in a patient undergoing a surgical procedure. Also, I.V. was very tired, not only because of the duration of the caesarean section that was complicated by the adhesions found (</w:t>
      </w:r>
      <w:r w:rsidRPr="00012C3F">
        <w:rPr>
          <w:rFonts w:eastAsia="MS Mincho"/>
          <w:i/>
          <w:sz w:val="20"/>
          <w:szCs w:val="20"/>
          <w:lang w:val="en-US" w:eastAsia="en-US" w:bidi="en-US"/>
        </w:rPr>
        <w:t xml:space="preserve">supra </w:t>
      </w:r>
      <w:r w:rsidRPr="00012C3F">
        <w:rPr>
          <w:rFonts w:eastAsia="MS Mincho"/>
          <w:sz w:val="20"/>
          <w:szCs w:val="20"/>
          <w:lang w:val="en-US" w:eastAsia="en-US" w:bidi="en-US"/>
        </w:rPr>
        <w:t xml:space="preserve">para. 64), but also because, before entering the operating theater, several hours had passed between the moment she was admitted to the hospital and when she entered the operating theater. In these circumstances, the Court considers that she was in a situation that would not ensure that her consent was free and full, </w:t>
      </w:r>
      <w:r w:rsidR="004540C3" w:rsidRPr="00012C3F">
        <w:rPr>
          <w:rFonts w:eastAsia="MS Mincho"/>
          <w:sz w:val="20"/>
          <w:szCs w:val="20"/>
          <w:lang w:val="en-US" w:eastAsia="en-US" w:bidi="en-US"/>
        </w:rPr>
        <w:t>and this</w:t>
      </w:r>
      <w:r w:rsidRPr="00012C3F">
        <w:rPr>
          <w:rFonts w:eastAsia="MS Mincho"/>
          <w:sz w:val="20"/>
          <w:szCs w:val="20"/>
          <w:lang w:val="en-US" w:eastAsia="en-US" w:bidi="en-US"/>
        </w:rPr>
        <w:t xml:space="preserve"> prevented her from giving a valid consent.</w:t>
      </w:r>
    </w:p>
    <w:p w14:paraId="2E82EC25" w14:textId="77777777" w:rsidR="00933E5E" w:rsidRPr="00012C3F" w:rsidRDefault="00933E5E" w:rsidP="00933E5E">
      <w:pPr>
        <w:tabs>
          <w:tab w:val="left" w:pos="567"/>
        </w:tabs>
        <w:spacing w:line="240" w:lineRule="auto"/>
        <w:rPr>
          <w:rFonts w:eastAsia="MS Mincho"/>
          <w:sz w:val="20"/>
          <w:szCs w:val="20"/>
          <w:lang w:val="en-US" w:eastAsia="en-US" w:bidi="en-US"/>
        </w:rPr>
      </w:pPr>
    </w:p>
    <w:p w14:paraId="6FAA2446" w14:textId="77777777" w:rsidR="00E17AF2" w:rsidRPr="00012C3F" w:rsidRDefault="00933E5E" w:rsidP="00A95BE9">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sz w:val="20"/>
          <w:szCs w:val="20"/>
          <w:lang w:val="en-US"/>
        </w:rPr>
        <w:t>Ad</w:t>
      </w:r>
      <w:r w:rsidR="00136EDE" w:rsidRPr="00012C3F">
        <w:rPr>
          <w:sz w:val="20"/>
          <w:szCs w:val="20"/>
          <w:lang w:val="en-US"/>
        </w:rPr>
        <w:t>ditionally</w:t>
      </w:r>
      <w:r w:rsidRPr="00012C3F">
        <w:rPr>
          <w:sz w:val="20"/>
          <w:szCs w:val="20"/>
          <w:lang w:val="en-US"/>
        </w:rPr>
        <w:t xml:space="preserve">, </w:t>
      </w:r>
      <w:r w:rsidR="001254DE" w:rsidRPr="00012C3F">
        <w:rPr>
          <w:rFonts w:eastAsia="MS Mincho"/>
          <w:sz w:val="20"/>
          <w:szCs w:val="20"/>
          <w:lang w:val="en-US" w:eastAsia="en-US" w:bidi="en-US"/>
        </w:rPr>
        <w:t>the Court</w:t>
      </w:r>
      <w:r w:rsidRPr="00012C3F">
        <w:rPr>
          <w:rFonts w:eastAsia="MS Mincho"/>
          <w:sz w:val="20"/>
          <w:szCs w:val="20"/>
          <w:lang w:val="en-US" w:eastAsia="en-US" w:bidi="en-US"/>
        </w:rPr>
        <w:t xml:space="preserve"> consider</w:t>
      </w:r>
      <w:r w:rsidR="00136EDE" w:rsidRPr="00012C3F">
        <w:rPr>
          <w:rFonts w:eastAsia="MS Mincho"/>
          <w:sz w:val="20"/>
          <w:szCs w:val="20"/>
          <w:lang w:val="en-US" w:eastAsia="en-US" w:bidi="en-US"/>
        </w:rPr>
        <w:t xml:space="preserve">s that the information provided to I.V. was presented </w:t>
      </w:r>
      <w:r w:rsidR="00A95BE9" w:rsidRPr="00012C3F">
        <w:rPr>
          <w:rFonts w:eastAsia="MS Mincho"/>
          <w:sz w:val="20"/>
          <w:szCs w:val="20"/>
          <w:lang w:val="en-US" w:eastAsia="en-US" w:bidi="en-US"/>
        </w:rPr>
        <w:t>inopportunely at an inappropriate moment, because she was on the operating table after having undergone a</w:t>
      </w:r>
      <w:r w:rsidRPr="00012C3F">
        <w:rPr>
          <w:rFonts w:eastAsia="MS Mincho"/>
          <w:sz w:val="20"/>
          <w:szCs w:val="20"/>
          <w:lang w:val="en-US" w:eastAsia="en-US" w:bidi="en-US"/>
        </w:rPr>
        <w:t xml:space="preserve"> </w:t>
      </w:r>
      <w:r w:rsidR="00CC232E" w:rsidRPr="00012C3F">
        <w:rPr>
          <w:rFonts w:eastAsia="MS Mincho"/>
          <w:sz w:val="20"/>
          <w:szCs w:val="20"/>
          <w:lang w:val="en-US" w:eastAsia="en-US" w:bidi="en-US"/>
        </w:rPr>
        <w:t>caesarean section</w:t>
      </w:r>
      <w:r w:rsidRPr="00012C3F">
        <w:rPr>
          <w:rFonts w:eastAsia="MS Mincho"/>
          <w:sz w:val="20"/>
          <w:szCs w:val="20"/>
          <w:lang w:val="en-US" w:eastAsia="en-US" w:bidi="en-US"/>
        </w:rPr>
        <w:t>.</w:t>
      </w:r>
      <w:r w:rsidR="00A95BE9" w:rsidRPr="00012C3F">
        <w:rPr>
          <w:rFonts w:eastAsia="MS Mincho"/>
          <w:sz w:val="20"/>
          <w:szCs w:val="20"/>
          <w:lang w:val="en-US" w:eastAsia="en-US" w:bidi="en-US"/>
        </w:rPr>
        <w:t xml:space="preserve"> The Court finds that</w:t>
      </w:r>
      <w:r w:rsidR="004540C3" w:rsidRPr="00012C3F">
        <w:rPr>
          <w:rFonts w:eastAsia="MS Mincho"/>
          <w:sz w:val="20"/>
          <w:szCs w:val="20"/>
          <w:lang w:val="en-US" w:eastAsia="en-US" w:bidi="en-US"/>
        </w:rPr>
        <w:t>,</w:t>
      </w:r>
      <w:r w:rsidR="00A95BE9" w:rsidRPr="00012C3F">
        <w:rPr>
          <w:rFonts w:eastAsia="MS Mincho"/>
          <w:sz w:val="20"/>
          <w:szCs w:val="20"/>
          <w:lang w:val="en-US" w:eastAsia="en-US" w:bidi="en-US"/>
        </w:rPr>
        <w:t xml:space="preserve"> even though the medical personnel provided I.V. with basic information on the Pomeroy-type tubal ligation procedure, the circumstances did not </w:t>
      </w:r>
      <w:r w:rsidR="00A95BE9" w:rsidRPr="00012C3F">
        <w:rPr>
          <w:rFonts w:eastAsia="MS Mincho"/>
          <w:sz w:val="20"/>
          <w:szCs w:val="20"/>
          <w:lang w:val="en-US" w:eastAsia="en-US" w:bidi="en-US"/>
        </w:rPr>
        <w:lastRenderedPageBreak/>
        <w:t>allow this to be complete and adequate, or to cover essential and necessary issues such as the clear explanation of alternative and less invasive contraceptive methods to achieve the objective of preventing a unsafe future pregnancy.</w:t>
      </w:r>
      <w:r w:rsidRPr="00012C3F">
        <w:rPr>
          <w:rStyle w:val="Refdenotaalpie"/>
          <w:rFonts w:eastAsia="MS Mincho"/>
          <w:sz w:val="20"/>
          <w:szCs w:val="20"/>
          <w:lang w:val="en-US" w:eastAsia="en-US" w:bidi="en-US"/>
        </w:rPr>
        <w:footnoteReference w:id="306"/>
      </w:r>
      <w:r w:rsidR="00A95BE9" w:rsidRPr="00012C3F">
        <w:rPr>
          <w:rFonts w:eastAsia="MS Mincho"/>
          <w:sz w:val="20"/>
          <w:szCs w:val="20"/>
          <w:lang w:val="en-US" w:eastAsia="en-US" w:bidi="en-US"/>
        </w:rPr>
        <w:t xml:space="preserve"> Consequently, since I.V.’s sterilization constituted a surgical procedure that could have been postponed, the Court considers that the physician should have waited until she had been able to take a fully informed decision in this regard, in different circumstances, after having provided her with more information, particularly about alternative contraceptive methods, and after giving her more time to </w:t>
      </w:r>
      <w:r w:rsidR="00EA7244" w:rsidRPr="00012C3F">
        <w:rPr>
          <w:rFonts w:eastAsia="MS Mincho"/>
          <w:sz w:val="20"/>
          <w:szCs w:val="20"/>
          <w:lang w:val="en-US" w:eastAsia="en-US" w:bidi="en-US"/>
        </w:rPr>
        <w:t xml:space="preserve">consider her options. In addition, the Court understands that in cases of </w:t>
      </w:r>
      <w:r w:rsidR="00EA7244" w:rsidRPr="00012C3F">
        <w:rPr>
          <w:sz w:val="20"/>
          <w:szCs w:val="20"/>
          <w:lang w:val="en-US"/>
        </w:rPr>
        <w:t xml:space="preserve">female sterilization access to information on </w:t>
      </w:r>
      <w:r w:rsidR="00EA7244" w:rsidRPr="00012C3F">
        <w:rPr>
          <w:rFonts w:eastAsia="MS Mincho"/>
          <w:sz w:val="20"/>
          <w:szCs w:val="20"/>
          <w:lang w:val="en-US" w:eastAsia="en-US" w:bidi="en-US"/>
        </w:rPr>
        <w:t>alternative contraceptive methods</w:t>
      </w:r>
      <w:r w:rsidR="00EA7244" w:rsidRPr="00012C3F">
        <w:rPr>
          <w:sz w:val="20"/>
          <w:szCs w:val="20"/>
          <w:lang w:val="en-US"/>
        </w:rPr>
        <w:t xml:space="preserve"> is essential, because tubal ligation is only one method among many that could have been evaluated to achieve the same end; that is, prevent a future pregnancy. The Court has already established in other cases that access to full and comprehensible information is a component of the accessibility of health services and, consequently, it is essential in order to ensure this right</w:t>
      </w:r>
      <w:r w:rsidRPr="00012C3F">
        <w:rPr>
          <w:sz w:val="20"/>
          <w:szCs w:val="20"/>
          <w:lang w:val="en-US"/>
        </w:rPr>
        <w:t xml:space="preserve"> (</w:t>
      </w:r>
      <w:r w:rsidRPr="00012C3F">
        <w:rPr>
          <w:i/>
          <w:sz w:val="20"/>
          <w:szCs w:val="20"/>
          <w:lang w:val="en-US"/>
        </w:rPr>
        <w:t>supra</w:t>
      </w:r>
      <w:r w:rsidRPr="00012C3F">
        <w:rPr>
          <w:sz w:val="20"/>
          <w:szCs w:val="20"/>
          <w:lang w:val="en-US"/>
        </w:rPr>
        <w:t xml:space="preserve"> </w:t>
      </w:r>
      <w:r w:rsidR="00370DD4" w:rsidRPr="00012C3F">
        <w:rPr>
          <w:sz w:val="20"/>
          <w:szCs w:val="20"/>
          <w:lang w:val="en-US"/>
        </w:rPr>
        <w:t>para.</w:t>
      </w:r>
      <w:r w:rsidRPr="00012C3F">
        <w:rPr>
          <w:sz w:val="20"/>
          <w:szCs w:val="20"/>
          <w:lang w:val="en-US"/>
        </w:rPr>
        <w:t xml:space="preserve"> </w:t>
      </w:r>
      <w:r w:rsidR="00FD41A9" w:rsidRPr="00012C3F">
        <w:rPr>
          <w:sz w:val="20"/>
          <w:szCs w:val="20"/>
          <w:lang w:val="en-US"/>
        </w:rPr>
        <w:t xml:space="preserve">156). </w:t>
      </w:r>
      <w:r w:rsidR="000E1C11" w:rsidRPr="00012C3F">
        <w:rPr>
          <w:sz w:val="20"/>
          <w:szCs w:val="20"/>
          <w:lang w:val="en-US"/>
        </w:rPr>
        <w:t>I.V.</w:t>
      </w:r>
      <w:r w:rsidRPr="00012C3F">
        <w:rPr>
          <w:sz w:val="20"/>
          <w:szCs w:val="20"/>
          <w:lang w:val="en-US"/>
        </w:rPr>
        <w:t xml:space="preserve"> </w:t>
      </w:r>
      <w:r w:rsidR="00EA7244" w:rsidRPr="00012C3F">
        <w:rPr>
          <w:sz w:val="20"/>
          <w:szCs w:val="20"/>
          <w:lang w:val="en-US"/>
        </w:rPr>
        <w:t xml:space="preserve">should have been informed not only of the success rate of other contraceptive methods, but also of whether they were appropriate in her specific case. Only then would she have had the necessary information to take a free and informed decision.  </w:t>
      </w:r>
    </w:p>
    <w:p w14:paraId="6D3E93A7" w14:textId="77777777" w:rsidR="00E17AF2" w:rsidRPr="00012C3F" w:rsidRDefault="00E17AF2" w:rsidP="00E17AF2">
      <w:pPr>
        <w:tabs>
          <w:tab w:val="left" w:pos="567"/>
        </w:tabs>
        <w:spacing w:line="240" w:lineRule="auto"/>
        <w:rPr>
          <w:sz w:val="20"/>
          <w:szCs w:val="20"/>
          <w:lang w:val="en-US"/>
        </w:rPr>
      </w:pPr>
    </w:p>
    <w:p w14:paraId="14B3622F" w14:textId="77777777" w:rsidR="00E17AF2" w:rsidRPr="00012C3F" w:rsidRDefault="006C705C" w:rsidP="00EA7244">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sz w:val="20"/>
          <w:szCs w:val="20"/>
          <w:lang w:val="en-US"/>
        </w:rPr>
        <w:t xml:space="preserve">In </w:t>
      </w:r>
      <w:r w:rsidR="00EA7244" w:rsidRPr="00012C3F">
        <w:rPr>
          <w:sz w:val="20"/>
          <w:szCs w:val="20"/>
          <w:lang w:val="en-US"/>
        </w:rPr>
        <w:t>this regard, the Court considers that I.V. did not have the opportunity to think about and completely understand the consequences of her decision in the context of her situation and based on what she was told by the doctors because the Court finds that it was not reasonable to suppose that she had been able to reflect and take a decision in only 10 minutes, or even in two hours,</w:t>
      </w:r>
      <w:r w:rsidR="00E17AF2" w:rsidRPr="00012C3F">
        <w:rPr>
          <w:rStyle w:val="Refdenotaalpie"/>
          <w:sz w:val="20"/>
          <w:szCs w:val="20"/>
          <w:lang w:val="en-US"/>
        </w:rPr>
        <w:footnoteReference w:id="307"/>
      </w:r>
      <w:r w:rsidR="00AA7EA3" w:rsidRPr="00012C3F">
        <w:rPr>
          <w:sz w:val="20"/>
          <w:szCs w:val="20"/>
          <w:lang w:val="en-US"/>
        </w:rPr>
        <w:t xml:space="preserve"> </w:t>
      </w:r>
      <w:r w:rsidR="00EA7244" w:rsidRPr="00012C3F">
        <w:rPr>
          <w:sz w:val="20"/>
          <w:szCs w:val="20"/>
          <w:lang w:val="en-US"/>
        </w:rPr>
        <w:t xml:space="preserve">based on the scant information provided and in the circumstances in which she found herself. Furthermore, the information that she could possibly die if she did not undergo sterilization and became pregnant again was presented at a moment of extreme stress and vulnerability, which could have contributed to the </w:t>
      </w:r>
      <w:r w:rsidR="00E52B4F" w:rsidRPr="00012C3F">
        <w:rPr>
          <w:sz w:val="20"/>
          <w:szCs w:val="20"/>
          <w:lang w:val="en-US"/>
        </w:rPr>
        <w:t>eventual acceptance of sterilization in a situation of coercion, intimidation and profound fear for her life</w:t>
      </w:r>
      <w:r w:rsidR="00E17AF2" w:rsidRPr="00012C3F">
        <w:rPr>
          <w:rStyle w:val="Refdenotaalpie"/>
          <w:sz w:val="20"/>
          <w:szCs w:val="20"/>
          <w:lang w:val="en-US"/>
        </w:rPr>
        <w:footnoteReference w:id="308"/>
      </w:r>
      <w:r w:rsidR="00E17AF2" w:rsidRPr="00012C3F">
        <w:rPr>
          <w:sz w:val="20"/>
          <w:szCs w:val="20"/>
          <w:lang w:val="en-US"/>
        </w:rPr>
        <w:t xml:space="preserve"> (</w:t>
      </w:r>
      <w:r w:rsidR="00E17AF2" w:rsidRPr="00012C3F">
        <w:rPr>
          <w:i/>
          <w:sz w:val="20"/>
          <w:szCs w:val="20"/>
          <w:lang w:val="en-US"/>
        </w:rPr>
        <w:t>supra</w:t>
      </w:r>
      <w:r w:rsidR="00E17AF2" w:rsidRPr="00012C3F">
        <w:rPr>
          <w:sz w:val="20"/>
          <w:szCs w:val="20"/>
          <w:lang w:val="en-US"/>
        </w:rPr>
        <w:t xml:space="preserve"> </w:t>
      </w:r>
      <w:r w:rsidR="00370DD4" w:rsidRPr="00012C3F">
        <w:rPr>
          <w:sz w:val="20"/>
          <w:szCs w:val="20"/>
          <w:lang w:val="en-US"/>
        </w:rPr>
        <w:t>paras.</w:t>
      </w:r>
      <w:r w:rsidR="00E17AF2" w:rsidRPr="00012C3F">
        <w:rPr>
          <w:sz w:val="20"/>
          <w:szCs w:val="20"/>
          <w:lang w:val="en-US"/>
        </w:rPr>
        <w:t xml:space="preserve"> </w:t>
      </w:r>
      <w:r w:rsidR="007113F5" w:rsidRPr="00012C3F">
        <w:rPr>
          <w:sz w:val="20"/>
          <w:szCs w:val="20"/>
          <w:lang w:val="en-US"/>
        </w:rPr>
        <w:t>183</w:t>
      </w:r>
      <w:r w:rsidR="005E5012" w:rsidRPr="00012C3F">
        <w:rPr>
          <w:sz w:val="20"/>
          <w:szCs w:val="20"/>
          <w:lang w:val="en-US"/>
        </w:rPr>
        <w:t xml:space="preserve"> and </w:t>
      </w:r>
      <w:r w:rsidR="007113F5" w:rsidRPr="00012C3F">
        <w:rPr>
          <w:sz w:val="20"/>
          <w:szCs w:val="20"/>
          <w:lang w:val="en-US"/>
        </w:rPr>
        <w:t>231</w:t>
      </w:r>
      <w:r w:rsidR="00E17AF2" w:rsidRPr="00012C3F">
        <w:rPr>
          <w:sz w:val="20"/>
          <w:szCs w:val="20"/>
          <w:lang w:val="en-US"/>
        </w:rPr>
        <w:t>).</w:t>
      </w:r>
      <w:r w:rsidR="00E17AF2" w:rsidRPr="00012C3F">
        <w:rPr>
          <w:rFonts w:eastAsia="MS Mincho"/>
          <w:sz w:val="20"/>
          <w:szCs w:val="20"/>
          <w:lang w:val="en-US" w:eastAsia="en-US" w:bidi="en-US"/>
        </w:rPr>
        <w:t xml:space="preserve"> </w:t>
      </w:r>
      <w:r w:rsidR="00E52B4F" w:rsidRPr="00012C3F">
        <w:rPr>
          <w:rFonts w:eastAsia="MS Mincho"/>
          <w:sz w:val="20"/>
          <w:szCs w:val="20"/>
          <w:lang w:val="en-US" w:eastAsia="en-US" w:bidi="en-US"/>
        </w:rPr>
        <w:t xml:space="preserve">I.V.’s failure to understand fully the magnitude and consequences of the medical procedure </w:t>
      </w:r>
      <w:r w:rsidR="004540C3" w:rsidRPr="00012C3F">
        <w:rPr>
          <w:rFonts w:eastAsia="MS Mincho"/>
          <w:sz w:val="20"/>
          <w:szCs w:val="20"/>
          <w:lang w:val="en-US" w:eastAsia="en-US" w:bidi="en-US"/>
        </w:rPr>
        <w:t>that</w:t>
      </w:r>
      <w:r w:rsidR="00E52B4F" w:rsidRPr="00012C3F">
        <w:rPr>
          <w:rFonts w:eastAsia="MS Mincho"/>
          <w:sz w:val="20"/>
          <w:szCs w:val="20"/>
          <w:lang w:val="en-US" w:eastAsia="en-US" w:bidi="en-US"/>
        </w:rPr>
        <w:t xml:space="preserve"> she underwent is clear from the evidence in this case, because on July </w:t>
      </w:r>
      <w:r w:rsidR="00E17AF2" w:rsidRPr="00012C3F">
        <w:rPr>
          <w:rFonts w:eastAsia="MS Mincho"/>
          <w:sz w:val="20"/>
          <w:szCs w:val="20"/>
          <w:lang w:val="en-US" w:eastAsia="en-US" w:bidi="en-US"/>
        </w:rPr>
        <w:t>2</w:t>
      </w:r>
      <w:r w:rsidR="005E5012" w:rsidRPr="00012C3F">
        <w:rPr>
          <w:rFonts w:eastAsia="MS Mincho"/>
          <w:sz w:val="20"/>
          <w:szCs w:val="20"/>
          <w:lang w:val="en-US" w:eastAsia="en-US" w:bidi="en-US"/>
        </w:rPr>
        <w:t xml:space="preserve"> and </w:t>
      </w:r>
      <w:r w:rsidR="00E17AF2" w:rsidRPr="00012C3F">
        <w:rPr>
          <w:rFonts w:eastAsia="MS Mincho"/>
          <w:sz w:val="20"/>
          <w:szCs w:val="20"/>
          <w:lang w:val="en-US" w:eastAsia="en-US" w:bidi="en-US"/>
        </w:rPr>
        <w:t>3</w:t>
      </w:r>
      <w:r w:rsidR="00E52B4F" w:rsidRPr="00012C3F">
        <w:rPr>
          <w:rFonts w:eastAsia="MS Mincho"/>
          <w:sz w:val="20"/>
          <w:szCs w:val="20"/>
          <w:lang w:val="en-US" w:eastAsia="en-US" w:bidi="en-US"/>
        </w:rPr>
        <w:t xml:space="preserve">, </w:t>
      </w:r>
      <w:r w:rsidR="00C063ED" w:rsidRPr="00012C3F">
        <w:rPr>
          <w:rFonts w:eastAsia="MS Mincho"/>
          <w:sz w:val="20"/>
          <w:szCs w:val="20"/>
          <w:lang w:val="en-US" w:eastAsia="en-US" w:bidi="en-US"/>
        </w:rPr>
        <w:t>2000</w:t>
      </w:r>
      <w:r w:rsidR="00E52B4F" w:rsidRPr="00012C3F">
        <w:rPr>
          <w:rFonts w:eastAsia="MS Mincho"/>
          <w:sz w:val="20"/>
          <w:szCs w:val="20"/>
          <w:lang w:val="en-US" w:eastAsia="en-US" w:bidi="en-US"/>
        </w:rPr>
        <w:t>, she asked the doctors to explain to her again what had happened</w:t>
      </w:r>
      <w:r w:rsidR="00E17AF2" w:rsidRPr="00012C3F">
        <w:rPr>
          <w:rFonts w:eastAsia="MS Mincho"/>
          <w:sz w:val="20"/>
          <w:szCs w:val="20"/>
          <w:lang w:val="en-US" w:eastAsia="en-US" w:bidi="en-US"/>
        </w:rPr>
        <w:t xml:space="preserve"> </w:t>
      </w:r>
      <w:r w:rsidR="005E5012" w:rsidRPr="00012C3F">
        <w:rPr>
          <w:rFonts w:eastAsia="MS Mincho"/>
          <w:sz w:val="20"/>
          <w:szCs w:val="20"/>
          <w:lang w:val="en-US" w:eastAsia="en-US" w:bidi="en-US"/>
        </w:rPr>
        <w:t xml:space="preserve">and </w:t>
      </w:r>
      <w:r w:rsidR="00E52B4F" w:rsidRPr="00012C3F">
        <w:rPr>
          <w:rFonts w:eastAsia="MS Mincho"/>
          <w:sz w:val="20"/>
          <w:szCs w:val="20"/>
          <w:lang w:val="en-US" w:eastAsia="en-US" w:bidi="en-US"/>
        </w:rPr>
        <w:t>why they had sterilized her without her consent.</w:t>
      </w:r>
      <w:r w:rsidR="00E17AF2" w:rsidRPr="00012C3F">
        <w:rPr>
          <w:rFonts w:eastAsia="MS Mincho"/>
          <w:sz w:val="20"/>
          <w:szCs w:val="20"/>
          <w:vertAlign w:val="superscript"/>
          <w:lang w:val="en-US" w:eastAsia="en-US" w:bidi="en-US"/>
        </w:rPr>
        <w:footnoteReference w:id="309"/>
      </w:r>
      <w:r w:rsidR="00E17AF2" w:rsidRPr="00012C3F" w:rsidDel="00C50AF3">
        <w:rPr>
          <w:rFonts w:eastAsia="MS Mincho"/>
          <w:sz w:val="20"/>
          <w:szCs w:val="20"/>
          <w:lang w:val="en-US" w:eastAsia="en-US" w:bidi="en-US"/>
        </w:rPr>
        <w:t xml:space="preserve"> </w:t>
      </w:r>
    </w:p>
    <w:p w14:paraId="40CA69EF" w14:textId="77777777" w:rsidR="00E17AF2" w:rsidRPr="00012C3F" w:rsidRDefault="00E17AF2" w:rsidP="00E17AF2">
      <w:pPr>
        <w:tabs>
          <w:tab w:val="left" w:pos="567"/>
        </w:tabs>
        <w:spacing w:line="240" w:lineRule="auto"/>
        <w:rPr>
          <w:rFonts w:eastAsia="MS Mincho"/>
          <w:sz w:val="20"/>
          <w:szCs w:val="20"/>
          <w:lang w:val="en-US" w:eastAsia="en-US" w:bidi="en-US"/>
        </w:rPr>
      </w:pPr>
    </w:p>
    <w:p w14:paraId="304ECCE4" w14:textId="77777777" w:rsidR="00286F68" w:rsidRPr="00012C3F" w:rsidRDefault="00286F68" w:rsidP="00A44CEA">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sz w:val="20"/>
          <w:szCs w:val="20"/>
          <w:lang w:val="en-US"/>
        </w:rPr>
        <w:t xml:space="preserve">Lastly, the Court emphasizes that the decision to perform the tubal ligation was a decision that related to I.V.’s most intimate sphere. Therefore, </w:t>
      </w:r>
      <w:r w:rsidR="004540C3" w:rsidRPr="00012C3F">
        <w:rPr>
          <w:sz w:val="20"/>
          <w:szCs w:val="20"/>
          <w:lang w:val="en-US"/>
        </w:rPr>
        <w:t xml:space="preserve">based on her right to reproductive </w:t>
      </w:r>
      <w:r w:rsidR="00CD065A" w:rsidRPr="00012C3F">
        <w:rPr>
          <w:sz w:val="20"/>
          <w:szCs w:val="20"/>
          <w:lang w:val="en-US"/>
        </w:rPr>
        <w:t xml:space="preserve">freedom </w:t>
      </w:r>
      <w:r w:rsidR="004540C3" w:rsidRPr="00012C3F">
        <w:rPr>
          <w:sz w:val="20"/>
          <w:szCs w:val="20"/>
          <w:lang w:val="en-US"/>
        </w:rPr>
        <w:t xml:space="preserve">and autonomy, </w:t>
      </w:r>
      <w:r w:rsidRPr="00012C3F">
        <w:rPr>
          <w:sz w:val="20"/>
          <w:szCs w:val="20"/>
          <w:lang w:val="en-US"/>
        </w:rPr>
        <w:t xml:space="preserve">it was for </w:t>
      </w:r>
      <w:r w:rsidR="004540C3" w:rsidRPr="00012C3F">
        <w:rPr>
          <w:sz w:val="20"/>
          <w:szCs w:val="20"/>
          <w:lang w:val="en-US"/>
        </w:rPr>
        <w:t>I.V.</w:t>
      </w:r>
      <w:r w:rsidRPr="00012C3F">
        <w:rPr>
          <w:sz w:val="20"/>
          <w:szCs w:val="20"/>
          <w:lang w:val="en-US"/>
        </w:rPr>
        <w:t xml:space="preserve"> to take the decision to undergo this surgical contraceptive method, rather than choose other less in</w:t>
      </w:r>
      <w:r w:rsidR="00BE25EC" w:rsidRPr="00012C3F">
        <w:rPr>
          <w:sz w:val="20"/>
          <w:szCs w:val="20"/>
          <w:lang w:val="en-US"/>
        </w:rPr>
        <w:t>va</w:t>
      </w:r>
      <w:r w:rsidRPr="00012C3F">
        <w:rPr>
          <w:sz w:val="20"/>
          <w:szCs w:val="20"/>
          <w:lang w:val="en-US"/>
        </w:rPr>
        <w:t xml:space="preserve">sive methods, and not </w:t>
      </w:r>
      <w:r w:rsidR="004540C3" w:rsidRPr="00012C3F">
        <w:rPr>
          <w:sz w:val="20"/>
          <w:szCs w:val="20"/>
          <w:lang w:val="en-US"/>
        </w:rPr>
        <w:t>for</w:t>
      </w:r>
      <w:r w:rsidRPr="00012C3F">
        <w:rPr>
          <w:sz w:val="20"/>
          <w:szCs w:val="20"/>
          <w:lang w:val="en-US"/>
        </w:rPr>
        <w:t xml:space="preserve"> the physician or her husband. In this regard, even though the Court considers it positive to allow I.V.’s partner to take part in this decision, if she had so wished, this does not mean that he could have either given or </w:t>
      </w:r>
      <w:r w:rsidR="00280F09" w:rsidRPr="00012C3F">
        <w:rPr>
          <w:sz w:val="20"/>
          <w:szCs w:val="20"/>
          <w:lang w:val="en-US"/>
        </w:rPr>
        <w:t>confirmed</w:t>
      </w:r>
      <w:r w:rsidRPr="00012C3F">
        <w:rPr>
          <w:sz w:val="20"/>
          <w:szCs w:val="20"/>
          <w:lang w:val="en-US"/>
        </w:rPr>
        <w:t xml:space="preserve"> the consent when they tried to find him so that he could ratify a presumed verbal consent supposedly given previously by I.V. in the operating theater. Added to this, the Court finds that the form signed by J.E., I.V.’s husband</w:t>
      </w:r>
      <w:r w:rsidR="00280F09" w:rsidRPr="00012C3F">
        <w:rPr>
          <w:sz w:val="20"/>
          <w:szCs w:val="20"/>
          <w:lang w:val="en-US"/>
        </w:rPr>
        <w:t>,</w:t>
      </w:r>
      <w:r w:rsidR="002934F2" w:rsidRPr="00012C3F">
        <w:rPr>
          <w:sz w:val="20"/>
          <w:szCs w:val="20"/>
          <w:lang w:val="en-US"/>
        </w:rPr>
        <w:t xml:space="preserve"> authorizing the caesarean section (</w:t>
      </w:r>
      <w:r w:rsidR="002934F2" w:rsidRPr="00012C3F">
        <w:rPr>
          <w:i/>
          <w:sz w:val="20"/>
          <w:szCs w:val="20"/>
          <w:lang w:val="en-US"/>
        </w:rPr>
        <w:t xml:space="preserve">supra </w:t>
      </w:r>
      <w:r w:rsidR="002934F2" w:rsidRPr="00012C3F">
        <w:rPr>
          <w:sz w:val="20"/>
          <w:szCs w:val="20"/>
          <w:lang w:val="en-US"/>
        </w:rPr>
        <w:t>para. 65), in no way involved authorization or consent for the tubal ligation procedure. Consequently, the Court considers that, taking into account the State’s version of the facts, the verbal consent given by I.V. was contrary to the criteria of the Convention.</w:t>
      </w:r>
    </w:p>
    <w:p w14:paraId="5A172337" w14:textId="77777777" w:rsidR="00E17AF2" w:rsidRPr="00012C3F" w:rsidRDefault="00E17AF2" w:rsidP="00E17AF2">
      <w:pPr>
        <w:tabs>
          <w:tab w:val="left" w:pos="567"/>
        </w:tabs>
        <w:spacing w:line="240" w:lineRule="auto"/>
        <w:rPr>
          <w:rFonts w:eastAsia="MS Mincho"/>
          <w:sz w:val="20"/>
          <w:szCs w:val="20"/>
          <w:lang w:val="en-US" w:eastAsia="en-US" w:bidi="en-US"/>
        </w:rPr>
      </w:pPr>
    </w:p>
    <w:p w14:paraId="44AECD65" w14:textId="77777777" w:rsidR="00E17AF2" w:rsidRPr="00012C3F" w:rsidRDefault="002934F2" w:rsidP="002934F2">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sz w:val="20"/>
          <w:szCs w:val="20"/>
          <w:lang w:val="en-US"/>
        </w:rPr>
        <w:t xml:space="preserve">Based on all the above, the </w:t>
      </w:r>
      <w:r w:rsidR="009D3EE9" w:rsidRPr="00012C3F">
        <w:rPr>
          <w:sz w:val="20"/>
          <w:szCs w:val="20"/>
          <w:lang w:val="en-US"/>
        </w:rPr>
        <w:t>Court</w:t>
      </w:r>
      <w:r w:rsidRPr="00012C3F">
        <w:rPr>
          <w:sz w:val="20"/>
          <w:szCs w:val="20"/>
          <w:lang w:val="en-US"/>
        </w:rPr>
        <w:t xml:space="preserve"> concludes that I.V. did not express her prior, free, full and informed consent to undergo the surgical procedure of Pomeroy-type tubal ligation and, consequently, she underwent a non-consensual or involuntary sterilization. The Court considers that the fact that I.V. was subjected to a tubal ligation procedure without providing her with complete, adequate and comprehensible information in order to obtain her free consent resulted in interference and intrusion in her body, the permanent loss of her reproductive capacity</w:t>
      </w:r>
      <w:r w:rsidR="00280F09" w:rsidRPr="00012C3F">
        <w:rPr>
          <w:sz w:val="20"/>
          <w:szCs w:val="20"/>
          <w:lang w:val="en-US"/>
        </w:rPr>
        <w:t>,</w:t>
      </w:r>
      <w:r w:rsidRPr="00012C3F">
        <w:rPr>
          <w:sz w:val="20"/>
          <w:szCs w:val="20"/>
          <w:lang w:val="en-US"/>
        </w:rPr>
        <w:t xml:space="preserve"> and the violation of her autonomy in decisions related to her sexual and reproductive health. Furthermore, the non-consensual sterilization resulted in </w:t>
      </w:r>
      <w:r w:rsidR="00280F09" w:rsidRPr="00012C3F">
        <w:rPr>
          <w:sz w:val="20"/>
          <w:szCs w:val="20"/>
          <w:lang w:val="en-US"/>
        </w:rPr>
        <w:t xml:space="preserve">the </w:t>
      </w:r>
      <w:r w:rsidRPr="00012C3F">
        <w:rPr>
          <w:sz w:val="20"/>
          <w:szCs w:val="20"/>
          <w:lang w:val="en-US"/>
        </w:rPr>
        <w:t>annulment of her right to freely take decisions concerning her body and reproductive capacity, completely losing control over her most personal and intimate decisions. It also violated essential values and aspects of the dignity and private life of I.V.</w:t>
      </w:r>
      <w:r w:rsidR="00364371" w:rsidRPr="00012C3F">
        <w:rPr>
          <w:sz w:val="20"/>
          <w:szCs w:val="20"/>
          <w:lang w:val="en-US"/>
        </w:rPr>
        <w:t xml:space="preserve">, because this sterilization was an intrusion into her autonomy and reproductive freedom and an arbitrary and abusive interference in her private life, violating her right of decision regarding the number of children she wished to have and the spacing between them, and her right to raise a family through her right to procreate. Consequently, the State violated </w:t>
      </w:r>
      <w:r w:rsidR="00DF5BD3" w:rsidRPr="00012C3F">
        <w:rPr>
          <w:sz w:val="20"/>
          <w:szCs w:val="20"/>
          <w:lang w:val="en-US"/>
        </w:rPr>
        <w:t>the</w:t>
      </w:r>
      <w:r w:rsidR="00364371" w:rsidRPr="00012C3F">
        <w:rPr>
          <w:sz w:val="20"/>
          <w:szCs w:val="20"/>
          <w:lang w:val="en-US"/>
        </w:rPr>
        <w:t xml:space="preserve"> I.V.’s</w:t>
      </w:r>
      <w:r w:rsidR="00DF5BD3" w:rsidRPr="00012C3F">
        <w:rPr>
          <w:sz w:val="20"/>
          <w:szCs w:val="20"/>
          <w:lang w:val="en-US"/>
        </w:rPr>
        <w:t xml:space="preserve"> rights</w:t>
      </w:r>
      <w:r w:rsidR="00E17AF2" w:rsidRPr="00012C3F">
        <w:rPr>
          <w:sz w:val="20"/>
          <w:szCs w:val="20"/>
          <w:lang w:val="en-US"/>
        </w:rPr>
        <w:t xml:space="preserve"> </w:t>
      </w:r>
      <w:r w:rsidR="006C705C" w:rsidRPr="00012C3F">
        <w:rPr>
          <w:sz w:val="20"/>
          <w:szCs w:val="20"/>
          <w:lang w:val="en-US"/>
        </w:rPr>
        <w:t>to personal integrity</w:t>
      </w:r>
      <w:r w:rsidR="00E17AF2" w:rsidRPr="00012C3F">
        <w:rPr>
          <w:sz w:val="20"/>
          <w:szCs w:val="20"/>
          <w:lang w:val="en-US"/>
        </w:rPr>
        <w:t>,</w:t>
      </w:r>
      <w:r w:rsidR="00364371" w:rsidRPr="00012C3F">
        <w:rPr>
          <w:sz w:val="20"/>
          <w:szCs w:val="20"/>
          <w:lang w:val="en-US"/>
        </w:rPr>
        <w:t xml:space="preserve"> to</w:t>
      </w:r>
      <w:r w:rsidR="00E17AF2" w:rsidRPr="00012C3F">
        <w:rPr>
          <w:sz w:val="20"/>
          <w:szCs w:val="20"/>
          <w:lang w:val="en-US"/>
        </w:rPr>
        <w:t xml:space="preserve"> </w:t>
      </w:r>
      <w:r w:rsidR="00130362" w:rsidRPr="00012C3F">
        <w:rPr>
          <w:sz w:val="20"/>
          <w:szCs w:val="20"/>
          <w:lang w:val="en-US"/>
        </w:rPr>
        <w:t>personal liberty</w:t>
      </w:r>
      <w:r w:rsidR="00E17AF2" w:rsidRPr="00012C3F">
        <w:rPr>
          <w:sz w:val="20"/>
          <w:szCs w:val="20"/>
          <w:lang w:val="en-US"/>
        </w:rPr>
        <w:t xml:space="preserve">, </w:t>
      </w:r>
      <w:r w:rsidR="00364371" w:rsidRPr="00012C3F">
        <w:rPr>
          <w:sz w:val="20"/>
          <w:szCs w:val="20"/>
          <w:lang w:val="en-US"/>
        </w:rPr>
        <w:t>to</w:t>
      </w:r>
      <w:r w:rsidR="00E17AF2" w:rsidRPr="00012C3F">
        <w:rPr>
          <w:sz w:val="20"/>
          <w:szCs w:val="20"/>
          <w:lang w:val="en-US"/>
        </w:rPr>
        <w:t xml:space="preserve"> </w:t>
      </w:r>
      <w:r w:rsidR="00130362" w:rsidRPr="00012C3F">
        <w:rPr>
          <w:sz w:val="20"/>
          <w:szCs w:val="20"/>
          <w:lang w:val="en-US"/>
        </w:rPr>
        <w:t>dignity</w:t>
      </w:r>
      <w:r w:rsidR="00F75425" w:rsidRPr="00012C3F">
        <w:rPr>
          <w:sz w:val="20"/>
          <w:szCs w:val="20"/>
          <w:lang w:val="en-US"/>
        </w:rPr>
        <w:t xml:space="preserve">, </w:t>
      </w:r>
      <w:r w:rsidR="00364371" w:rsidRPr="00012C3F">
        <w:rPr>
          <w:sz w:val="20"/>
          <w:szCs w:val="20"/>
          <w:lang w:val="en-US"/>
        </w:rPr>
        <w:t>to</w:t>
      </w:r>
      <w:r w:rsidR="00F75425" w:rsidRPr="00012C3F">
        <w:rPr>
          <w:sz w:val="20"/>
          <w:szCs w:val="20"/>
          <w:lang w:val="en-US"/>
        </w:rPr>
        <w:t xml:space="preserve"> </w:t>
      </w:r>
      <w:r w:rsidR="00130362" w:rsidRPr="00012C3F">
        <w:rPr>
          <w:sz w:val="20"/>
          <w:szCs w:val="20"/>
          <w:lang w:val="en-US"/>
        </w:rPr>
        <w:t>private and family life</w:t>
      </w:r>
      <w:r w:rsidR="00E17AF2" w:rsidRPr="00012C3F">
        <w:rPr>
          <w:sz w:val="20"/>
          <w:szCs w:val="20"/>
          <w:lang w:val="en-US"/>
        </w:rPr>
        <w:t xml:space="preserve">, </w:t>
      </w:r>
      <w:r w:rsidR="006C705C" w:rsidRPr="00012C3F">
        <w:rPr>
          <w:sz w:val="20"/>
          <w:szCs w:val="20"/>
          <w:lang w:val="en-US"/>
        </w:rPr>
        <w:t>of access to information</w:t>
      </w:r>
      <w:r w:rsidR="00364371" w:rsidRPr="00012C3F">
        <w:rPr>
          <w:sz w:val="20"/>
          <w:szCs w:val="20"/>
          <w:lang w:val="en-US"/>
        </w:rPr>
        <w:t>,</w:t>
      </w:r>
      <w:r w:rsidR="005E5012" w:rsidRPr="00012C3F">
        <w:rPr>
          <w:sz w:val="20"/>
          <w:szCs w:val="20"/>
          <w:lang w:val="en-US"/>
        </w:rPr>
        <w:t xml:space="preserve"> and </w:t>
      </w:r>
      <w:r w:rsidR="00EF483B" w:rsidRPr="00012C3F">
        <w:rPr>
          <w:sz w:val="20"/>
          <w:szCs w:val="20"/>
          <w:lang w:val="en-US"/>
        </w:rPr>
        <w:t xml:space="preserve">to </w:t>
      </w:r>
      <w:r w:rsidR="00364371" w:rsidRPr="00012C3F">
        <w:rPr>
          <w:sz w:val="20"/>
          <w:szCs w:val="20"/>
          <w:lang w:val="en-US"/>
        </w:rPr>
        <w:t>raise</w:t>
      </w:r>
      <w:r w:rsidR="00EF483B" w:rsidRPr="00012C3F">
        <w:rPr>
          <w:sz w:val="20"/>
          <w:szCs w:val="20"/>
          <w:lang w:val="en-US"/>
        </w:rPr>
        <w:t xml:space="preserve"> a family</w:t>
      </w:r>
      <w:r w:rsidR="00364371" w:rsidRPr="00012C3F">
        <w:rPr>
          <w:sz w:val="20"/>
          <w:szCs w:val="20"/>
          <w:lang w:val="en-US"/>
        </w:rPr>
        <w:t>.</w:t>
      </w:r>
    </w:p>
    <w:p w14:paraId="010A826C" w14:textId="77777777" w:rsidR="00E17AF2" w:rsidRPr="00012C3F" w:rsidRDefault="00E17AF2" w:rsidP="00E17AF2">
      <w:pPr>
        <w:spacing w:line="240" w:lineRule="auto"/>
        <w:rPr>
          <w:sz w:val="20"/>
          <w:szCs w:val="20"/>
          <w:lang w:val="en-US"/>
        </w:rPr>
      </w:pPr>
    </w:p>
    <w:p w14:paraId="0B3A1DD6" w14:textId="77777777" w:rsidR="007C5375" w:rsidRPr="00012C3F" w:rsidRDefault="001254DE" w:rsidP="0004488C">
      <w:pPr>
        <w:numPr>
          <w:ilvl w:val="0"/>
          <w:numId w:val="5"/>
        </w:numPr>
        <w:tabs>
          <w:tab w:val="left" w:pos="720"/>
          <w:tab w:val="num" w:pos="12305"/>
        </w:tabs>
        <w:spacing w:line="240" w:lineRule="auto"/>
        <w:ind w:left="0" w:firstLine="0"/>
        <w:rPr>
          <w:sz w:val="20"/>
          <w:szCs w:val="20"/>
          <w:lang w:val="en-US"/>
        </w:rPr>
      </w:pPr>
      <w:r w:rsidRPr="00012C3F">
        <w:rPr>
          <w:rFonts w:eastAsia="MS Mincho"/>
          <w:sz w:val="20"/>
          <w:szCs w:val="20"/>
          <w:lang w:val="en-US"/>
        </w:rPr>
        <w:t>The Court</w:t>
      </w:r>
      <w:r w:rsidR="00E17AF2" w:rsidRPr="00012C3F">
        <w:rPr>
          <w:rFonts w:eastAsia="MS Mincho"/>
          <w:sz w:val="20"/>
          <w:szCs w:val="20"/>
          <w:lang w:val="en-US"/>
        </w:rPr>
        <w:t xml:space="preserve"> </w:t>
      </w:r>
      <w:r w:rsidR="00364371" w:rsidRPr="00012C3F">
        <w:rPr>
          <w:rFonts w:eastAsia="MS Mincho"/>
          <w:sz w:val="20"/>
          <w:szCs w:val="20"/>
          <w:lang w:val="en-US"/>
        </w:rPr>
        <w:t>stresses the gravity of this violation of women’s rights,</w:t>
      </w:r>
      <w:r w:rsidR="00E17AF2" w:rsidRPr="00012C3F">
        <w:rPr>
          <w:rFonts w:eastAsia="MS Mincho"/>
          <w:bCs/>
          <w:sz w:val="20"/>
          <w:szCs w:val="20"/>
          <w:vertAlign w:val="superscript"/>
          <w:lang w:val="en-US"/>
        </w:rPr>
        <w:footnoteReference w:id="310"/>
      </w:r>
      <w:r w:rsidR="00364371" w:rsidRPr="00012C3F">
        <w:rPr>
          <w:rFonts w:eastAsia="MS Mincho"/>
          <w:sz w:val="20"/>
          <w:szCs w:val="20"/>
          <w:lang w:val="en-US"/>
        </w:rPr>
        <w:t xml:space="preserve"> because it is necessary to highlight practices such as those verified in this case that may hide negative or prejudicial gender stereotypes associated with health care services and result in legitimizing, normalizing or perpetuating non-consensual sterilizations that disproportionately affect women.</w:t>
      </w:r>
      <w:r w:rsidR="00E17AF2" w:rsidRPr="00012C3F">
        <w:rPr>
          <w:rStyle w:val="Refdenotaalpie"/>
          <w:rFonts w:eastAsia="MS Mincho"/>
          <w:sz w:val="20"/>
          <w:szCs w:val="20"/>
          <w:lang w:val="en-US"/>
        </w:rPr>
        <w:footnoteReference w:id="311"/>
      </w:r>
      <w:r w:rsidR="00364371" w:rsidRPr="00012C3F">
        <w:rPr>
          <w:rFonts w:eastAsia="MS Mincho"/>
          <w:sz w:val="20"/>
          <w:szCs w:val="20"/>
          <w:lang w:val="en-US"/>
        </w:rPr>
        <w:t xml:space="preserve"> In this case, the Court considers that the medical decision to perform the sterilization procedure on I.V. without her </w:t>
      </w:r>
      <w:r w:rsidR="00DF71A5" w:rsidRPr="00012C3F">
        <w:rPr>
          <w:rFonts w:eastAsia="MS Mincho"/>
          <w:sz w:val="20"/>
          <w:szCs w:val="20"/>
          <w:lang w:val="en-US"/>
        </w:rPr>
        <w:t>prior, free, full and informed consent</w:t>
      </w:r>
      <w:r w:rsidR="00364371" w:rsidRPr="00012C3F">
        <w:rPr>
          <w:rFonts w:eastAsia="MS Mincho"/>
          <w:sz w:val="20"/>
          <w:szCs w:val="20"/>
          <w:lang w:val="en-US"/>
        </w:rPr>
        <w:t xml:space="preserve"> was prompted by a logic of paternalist care and under the preconception that the sterilization had to be performed while I.V. was in the peri-operative period following </w:t>
      </w:r>
      <w:r w:rsidR="00CC232E" w:rsidRPr="00012C3F">
        <w:rPr>
          <w:rFonts w:eastAsia="MS Mincho"/>
          <w:sz w:val="20"/>
          <w:szCs w:val="20"/>
          <w:lang w:val="en-US"/>
        </w:rPr>
        <w:t>a caesarean section</w:t>
      </w:r>
      <w:r w:rsidR="00280F09" w:rsidRPr="00012C3F">
        <w:rPr>
          <w:rFonts w:eastAsia="MS Mincho"/>
          <w:sz w:val="20"/>
          <w:szCs w:val="20"/>
          <w:lang w:val="en-US"/>
        </w:rPr>
        <w:t xml:space="preserve"> – e</w:t>
      </w:r>
      <w:r w:rsidR="00364371" w:rsidRPr="00012C3F">
        <w:rPr>
          <w:rFonts w:eastAsia="MS Mincho"/>
          <w:sz w:val="20"/>
          <w:szCs w:val="20"/>
          <w:lang w:val="en-US"/>
        </w:rPr>
        <w:t>ven though her case was not urgent or a medical emergency</w:t>
      </w:r>
      <w:r w:rsidR="00280F09" w:rsidRPr="00012C3F">
        <w:rPr>
          <w:rFonts w:eastAsia="MS Mincho"/>
          <w:sz w:val="20"/>
          <w:szCs w:val="20"/>
          <w:lang w:val="en-US"/>
        </w:rPr>
        <w:t xml:space="preserve"> –</w:t>
      </w:r>
      <w:r w:rsidR="00364371" w:rsidRPr="00012C3F">
        <w:rPr>
          <w:rFonts w:eastAsia="MS Mincho"/>
          <w:sz w:val="20"/>
          <w:szCs w:val="20"/>
          <w:lang w:val="en-US"/>
        </w:rPr>
        <w:t xml:space="preserve">based on the idea that she would not take </w:t>
      </w:r>
      <w:r w:rsidR="00280F09" w:rsidRPr="00012C3F">
        <w:rPr>
          <w:rFonts w:eastAsia="MS Mincho"/>
          <w:sz w:val="20"/>
          <w:szCs w:val="20"/>
          <w:lang w:val="en-US"/>
        </w:rPr>
        <w:t>proper</w:t>
      </w:r>
      <w:r w:rsidR="00364371" w:rsidRPr="00012C3F">
        <w:rPr>
          <w:rFonts w:eastAsia="MS Mincho"/>
          <w:sz w:val="20"/>
          <w:szCs w:val="20"/>
          <w:lang w:val="en-US"/>
        </w:rPr>
        <w:t xml:space="preserve"> decisions in the future to avoid a</w:t>
      </w:r>
      <w:r w:rsidR="007C5375" w:rsidRPr="00012C3F">
        <w:rPr>
          <w:rFonts w:eastAsia="MS Mincho"/>
          <w:sz w:val="20"/>
          <w:szCs w:val="20"/>
          <w:lang w:val="en-US"/>
        </w:rPr>
        <w:t xml:space="preserve">nother </w:t>
      </w:r>
      <w:r w:rsidR="00364371" w:rsidRPr="00012C3F">
        <w:rPr>
          <w:rFonts w:eastAsia="MS Mincho"/>
          <w:sz w:val="20"/>
          <w:szCs w:val="20"/>
          <w:lang w:val="en-US"/>
        </w:rPr>
        <w:t xml:space="preserve">pregnancy. </w:t>
      </w:r>
      <w:r w:rsidR="007C5375" w:rsidRPr="00012C3F">
        <w:rPr>
          <w:rFonts w:eastAsia="MS Mincho"/>
          <w:sz w:val="20"/>
          <w:szCs w:val="20"/>
          <w:lang w:val="en-US"/>
        </w:rPr>
        <w:t xml:space="preserve">The physician acted in this way in an unjustified paternalistic manner, by failing to acknowledge her as a moral </w:t>
      </w:r>
      <w:r w:rsidR="009D3EE9" w:rsidRPr="00012C3F">
        <w:rPr>
          <w:rFonts w:eastAsia="MS Mincho"/>
          <w:sz w:val="20"/>
          <w:szCs w:val="20"/>
          <w:lang w:val="en-US"/>
        </w:rPr>
        <w:t>decision</w:t>
      </w:r>
      <w:r w:rsidR="007C5375" w:rsidRPr="00012C3F">
        <w:rPr>
          <w:rFonts w:eastAsia="MS Mincho"/>
          <w:sz w:val="20"/>
          <w:szCs w:val="20"/>
          <w:lang w:val="en-US"/>
        </w:rPr>
        <w:t xml:space="preserve">-making agent </w:t>
      </w:r>
      <w:r w:rsidR="005E5012" w:rsidRPr="00012C3F">
        <w:rPr>
          <w:sz w:val="20"/>
          <w:szCs w:val="20"/>
          <w:lang w:val="en-US"/>
        </w:rPr>
        <w:t xml:space="preserve">and </w:t>
      </w:r>
      <w:r w:rsidR="00E17AF2" w:rsidRPr="00012C3F">
        <w:rPr>
          <w:sz w:val="20"/>
          <w:szCs w:val="20"/>
          <w:lang w:val="en-US"/>
        </w:rPr>
        <w:t>consider</w:t>
      </w:r>
      <w:r w:rsidR="007C5375" w:rsidRPr="00012C3F">
        <w:rPr>
          <w:sz w:val="20"/>
          <w:szCs w:val="20"/>
          <w:lang w:val="en-US"/>
        </w:rPr>
        <w:t xml:space="preserve">ing that, </w:t>
      </w:r>
      <w:r w:rsidR="00280F09" w:rsidRPr="00012C3F">
        <w:rPr>
          <w:sz w:val="20"/>
          <w:szCs w:val="20"/>
          <w:lang w:val="en-US"/>
        </w:rPr>
        <w:t>based on</w:t>
      </w:r>
      <w:r w:rsidR="007C5375" w:rsidRPr="00012C3F">
        <w:rPr>
          <w:sz w:val="20"/>
          <w:szCs w:val="20"/>
          <w:lang w:val="en-US"/>
        </w:rPr>
        <w:t xml:space="preserve"> his medical opinion, he had to protect I.V., by taking the decision that he considered pertinent, without giving her the opportunity to weigh the options available to her</w:t>
      </w:r>
      <w:r w:rsidR="00280F09" w:rsidRPr="00012C3F">
        <w:rPr>
          <w:sz w:val="20"/>
          <w:szCs w:val="20"/>
          <w:lang w:val="en-US"/>
        </w:rPr>
        <w:t>; thus,</w:t>
      </w:r>
      <w:r w:rsidR="007C5375" w:rsidRPr="00012C3F">
        <w:rPr>
          <w:sz w:val="20"/>
          <w:szCs w:val="20"/>
          <w:lang w:val="en-US"/>
        </w:rPr>
        <w:t xml:space="preserve"> annulling her ability to decide based on her autonomy. In addition, the physician acted with a stereotype rationale according to </w:t>
      </w:r>
      <w:r w:rsidR="007C5375" w:rsidRPr="00012C3F">
        <w:rPr>
          <w:sz w:val="20"/>
          <w:szCs w:val="20"/>
          <w:lang w:val="en-US"/>
        </w:rPr>
        <w:lastRenderedPageBreak/>
        <w:t>which only I.V. was responsible for the couple’s contracepti</w:t>
      </w:r>
      <w:r w:rsidR="00280F09" w:rsidRPr="00012C3F">
        <w:rPr>
          <w:sz w:val="20"/>
          <w:szCs w:val="20"/>
          <w:lang w:val="en-US"/>
        </w:rPr>
        <w:t>ve</w:t>
      </w:r>
      <w:r w:rsidR="007C5375" w:rsidRPr="00012C3F">
        <w:rPr>
          <w:sz w:val="20"/>
          <w:szCs w:val="20"/>
          <w:lang w:val="en-US"/>
        </w:rPr>
        <w:t xml:space="preserve"> actions. The fact that, for example, they had not mentioned the option that her husband could undergo a vasectomy, </w:t>
      </w:r>
      <w:r w:rsidR="0004488C" w:rsidRPr="00012C3F">
        <w:rPr>
          <w:sz w:val="20"/>
          <w:szCs w:val="20"/>
          <w:lang w:val="en-US"/>
        </w:rPr>
        <w:t>reveals that the physician considered that I.V. was the partner who played the main role in reproduction. Accordingly, the Court understands that the physician acted based on</w:t>
      </w:r>
      <w:r w:rsidR="00280F09" w:rsidRPr="00012C3F">
        <w:rPr>
          <w:sz w:val="20"/>
          <w:szCs w:val="20"/>
          <w:lang w:val="en-US"/>
        </w:rPr>
        <w:t xml:space="preserve"> the</w:t>
      </w:r>
      <w:r w:rsidR="0004488C" w:rsidRPr="00012C3F">
        <w:rPr>
          <w:sz w:val="20"/>
          <w:szCs w:val="20"/>
          <w:lang w:val="en-US"/>
        </w:rPr>
        <w:t xml:space="preserve"> gender stereotypes frequently applied to women in the health sector, </w:t>
      </w:r>
      <w:r w:rsidR="00280F09" w:rsidRPr="00012C3F">
        <w:rPr>
          <w:sz w:val="20"/>
          <w:szCs w:val="20"/>
          <w:lang w:val="en-US"/>
        </w:rPr>
        <w:t>distrusting</w:t>
      </w:r>
      <w:r w:rsidR="0004488C" w:rsidRPr="00012C3F">
        <w:rPr>
          <w:sz w:val="20"/>
          <w:szCs w:val="20"/>
          <w:lang w:val="en-US"/>
        </w:rPr>
        <w:t xml:space="preserve"> their decision</w:t>
      </w:r>
      <w:r w:rsidR="00280F09" w:rsidRPr="00012C3F">
        <w:rPr>
          <w:sz w:val="20"/>
          <w:szCs w:val="20"/>
          <w:lang w:val="en-US"/>
        </w:rPr>
        <w:t>-making powers</w:t>
      </w:r>
      <w:r w:rsidR="0004488C" w:rsidRPr="00012C3F">
        <w:rPr>
          <w:sz w:val="20"/>
          <w:szCs w:val="20"/>
          <w:lang w:val="en-US"/>
        </w:rPr>
        <w:t>.</w:t>
      </w:r>
    </w:p>
    <w:p w14:paraId="4F9761DA" w14:textId="77777777" w:rsidR="00E17AF2" w:rsidRPr="00012C3F" w:rsidRDefault="00E17AF2" w:rsidP="0004488C">
      <w:pPr>
        <w:tabs>
          <w:tab w:val="left" w:pos="720"/>
        </w:tabs>
        <w:spacing w:line="240" w:lineRule="auto"/>
        <w:rPr>
          <w:sz w:val="20"/>
          <w:szCs w:val="20"/>
          <w:lang w:val="en-US"/>
        </w:rPr>
      </w:pPr>
    </w:p>
    <w:p w14:paraId="7D91B5A1" w14:textId="77777777" w:rsidR="00E17AF2" w:rsidRPr="00012C3F" w:rsidRDefault="0004488C" w:rsidP="0004488C">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Batang"/>
          <w:sz w:val="20"/>
          <w:lang w:val="en-US"/>
        </w:rPr>
        <w:t xml:space="preserve">In ending this section, the Court considers that the facts that substantiate the alleged violation </w:t>
      </w:r>
      <w:r w:rsidR="008A7A0F" w:rsidRPr="00012C3F">
        <w:rPr>
          <w:rFonts w:eastAsia="Batang"/>
          <w:sz w:val="20"/>
          <w:lang w:val="en-US"/>
        </w:rPr>
        <w:t>of Article</w:t>
      </w:r>
      <w:r w:rsidR="0054061E" w:rsidRPr="00012C3F">
        <w:rPr>
          <w:rFonts w:eastAsia="Batang"/>
          <w:sz w:val="20"/>
          <w:lang w:val="en-US"/>
        </w:rPr>
        <w:t xml:space="preserve"> 3</w:t>
      </w:r>
      <w:r w:rsidR="001254DE" w:rsidRPr="00012C3F">
        <w:rPr>
          <w:rFonts w:eastAsia="Batang"/>
          <w:sz w:val="20"/>
          <w:lang w:val="en-US"/>
        </w:rPr>
        <w:t xml:space="preserve"> of the Convention</w:t>
      </w:r>
      <w:r w:rsidR="0054061E" w:rsidRPr="00012C3F">
        <w:rPr>
          <w:rFonts w:eastAsia="Batang"/>
          <w:sz w:val="20"/>
          <w:lang w:val="en-US"/>
        </w:rPr>
        <w:t xml:space="preserve"> </w:t>
      </w:r>
      <w:r w:rsidRPr="00012C3F">
        <w:rPr>
          <w:rFonts w:eastAsia="Batang"/>
          <w:sz w:val="20"/>
          <w:lang w:val="en-US"/>
        </w:rPr>
        <w:t xml:space="preserve">have already been duly considered in the </w:t>
      </w:r>
      <w:r w:rsidR="00280F09" w:rsidRPr="00012C3F">
        <w:rPr>
          <w:rFonts w:eastAsia="Batang"/>
          <w:sz w:val="20"/>
          <w:lang w:val="en-US"/>
        </w:rPr>
        <w:t>findings in</w:t>
      </w:r>
      <w:r w:rsidRPr="00012C3F">
        <w:rPr>
          <w:rFonts w:eastAsia="Batang"/>
          <w:sz w:val="20"/>
          <w:lang w:val="en-US"/>
        </w:rPr>
        <w:t xml:space="preserve"> this chapter, without it being necessary to issue a specific ruling on the right</w:t>
      </w:r>
      <w:r w:rsidRPr="00012C3F">
        <w:rPr>
          <w:rFonts w:eastAsia="MS Mincho"/>
          <w:sz w:val="20"/>
          <w:szCs w:val="20"/>
          <w:lang w:val="en-US"/>
        </w:rPr>
        <w:t xml:space="preserve"> </w:t>
      </w:r>
      <w:r w:rsidR="006C705C" w:rsidRPr="00012C3F">
        <w:rPr>
          <w:rFonts w:eastAsia="Batang"/>
          <w:sz w:val="20"/>
          <w:lang w:val="en-US"/>
        </w:rPr>
        <w:t>to recognition of juridical personality</w:t>
      </w:r>
      <w:r w:rsidR="0054061E" w:rsidRPr="00012C3F">
        <w:rPr>
          <w:rFonts w:eastAsia="Batang"/>
          <w:sz w:val="20"/>
          <w:lang w:val="en-US"/>
        </w:rPr>
        <w:t xml:space="preserve">. </w:t>
      </w:r>
      <w:r w:rsidRPr="00012C3F">
        <w:rPr>
          <w:rFonts w:eastAsia="Batang"/>
          <w:sz w:val="20"/>
          <w:lang w:val="en-US"/>
        </w:rPr>
        <w:t xml:space="preserve">Regarding the allegation of the violation </w:t>
      </w:r>
      <w:r w:rsidR="008A7A0F" w:rsidRPr="00012C3F">
        <w:rPr>
          <w:rFonts w:eastAsia="Batang"/>
          <w:sz w:val="20"/>
          <w:lang w:val="en-US"/>
        </w:rPr>
        <w:t xml:space="preserve">of </w:t>
      </w:r>
      <w:r w:rsidR="009D3EE9" w:rsidRPr="00012C3F">
        <w:rPr>
          <w:rFonts w:eastAsia="Batang"/>
          <w:sz w:val="20"/>
          <w:lang w:val="en-US"/>
        </w:rPr>
        <w:t>Article</w:t>
      </w:r>
      <w:r w:rsidR="0054061E" w:rsidRPr="00012C3F">
        <w:rPr>
          <w:rFonts w:eastAsia="Batang"/>
          <w:sz w:val="20"/>
          <w:lang w:val="en-US"/>
        </w:rPr>
        <w:t xml:space="preserve"> 13</w:t>
      </w:r>
      <w:r w:rsidR="001254DE" w:rsidRPr="00012C3F">
        <w:rPr>
          <w:rFonts w:eastAsia="Batang"/>
          <w:sz w:val="20"/>
          <w:lang w:val="en-US"/>
        </w:rPr>
        <w:t xml:space="preserve"> of the Convention</w:t>
      </w:r>
      <w:r w:rsidR="0054061E" w:rsidRPr="00012C3F">
        <w:rPr>
          <w:rFonts w:eastAsia="Batang"/>
          <w:sz w:val="20"/>
          <w:lang w:val="en-US"/>
        </w:rPr>
        <w:t xml:space="preserve"> </w:t>
      </w:r>
      <w:r w:rsidRPr="00012C3F">
        <w:rPr>
          <w:rFonts w:eastAsia="Batang"/>
          <w:sz w:val="20"/>
          <w:lang w:val="en-US"/>
        </w:rPr>
        <w:t>related to</w:t>
      </w:r>
      <w:r w:rsidR="0054061E" w:rsidRPr="00012C3F">
        <w:rPr>
          <w:rFonts w:eastAsia="Batang"/>
          <w:sz w:val="20"/>
          <w:lang w:val="en-US"/>
        </w:rPr>
        <w:t xml:space="preserve"> </w:t>
      </w:r>
      <w:r w:rsidRPr="00012C3F">
        <w:rPr>
          <w:rFonts w:eastAsia="Batang"/>
          <w:sz w:val="20"/>
          <w:lang w:val="en-US"/>
        </w:rPr>
        <w:t>t</w:t>
      </w:r>
      <w:r w:rsidR="006C705C" w:rsidRPr="00012C3F">
        <w:rPr>
          <w:rFonts w:eastAsia="Batang"/>
          <w:sz w:val="20"/>
          <w:lang w:val="en-US"/>
        </w:rPr>
        <w:t>he right to know the truth</w:t>
      </w:r>
      <w:r w:rsidR="0054061E" w:rsidRPr="00012C3F">
        <w:rPr>
          <w:rFonts w:eastAsia="Batang"/>
          <w:sz w:val="20"/>
          <w:lang w:val="en-US"/>
        </w:rPr>
        <w:t xml:space="preserve">, </w:t>
      </w:r>
      <w:r w:rsidR="001254DE" w:rsidRPr="00012C3F">
        <w:rPr>
          <w:rFonts w:eastAsia="Batang"/>
          <w:sz w:val="20"/>
          <w:lang w:val="en-US"/>
        </w:rPr>
        <w:t>the Court</w:t>
      </w:r>
      <w:r w:rsidR="0054061E" w:rsidRPr="00012C3F">
        <w:rPr>
          <w:rFonts w:eastAsia="Batang"/>
          <w:sz w:val="20"/>
          <w:lang w:val="en-US"/>
        </w:rPr>
        <w:t xml:space="preserve"> </w:t>
      </w:r>
      <w:r w:rsidRPr="00012C3F">
        <w:rPr>
          <w:rFonts w:eastAsia="Batang"/>
          <w:sz w:val="20"/>
          <w:lang w:val="en-US"/>
        </w:rPr>
        <w:t xml:space="preserve">finds that the factual basis for this </w:t>
      </w:r>
      <w:r w:rsidR="009D3EE9" w:rsidRPr="00012C3F">
        <w:rPr>
          <w:rFonts w:eastAsia="Batang"/>
          <w:sz w:val="20"/>
          <w:lang w:val="en-US"/>
        </w:rPr>
        <w:t>decision</w:t>
      </w:r>
      <w:r w:rsidRPr="00012C3F">
        <w:rPr>
          <w:rFonts w:eastAsia="Batang"/>
          <w:sz w:val="20"/>
          <w:lang w:val="en-US"/>
        </w:rPr>
        <w:t xml:space="preserve"> does not comply with conditions that would make it applicable. In particular, the Court notes that the only case in which it </w:t>
      </w:r>
      <w:r w:rsidR="00417E1B" w:rsidRPr="00012C3F">
        <w:rPr>
          <w:rFonts w:eastAsia="Batang"/>
          <w:sz w:val="20"/>
          <w:lang w:val="en-US"/>
        </w:rPr>
        <w:t xml:space="preserve">has </w:t>
      </w:r>
      <w:r w:rsidRPr="00012C3F">
        <w:rPr>
          <w:rFonts w:eastAsia="Batang"/>
          <w:sz w:val="20"/>
          <w:lang w:val="en-US"/>
        </w:rPr>
        <w:t xml:space="preserve">analyzed this right under the said article related to a specific action filed by the next of kin </w:t>
      </w:r>
      <w:r w:rsidR="00417E1B" w:rsidRPr="00012C3F">
        <w:rPr>
          <w:rFonts w:eastAsia="Batang"/>
          <w:sz w:val="20"/>
          <w:lang w:val="en-US"/>
        </w:rPr>
        <w:t>concerning</w:t>
      </w:r>
      <w:r w:rsidRPr="00012C3F">
        <w:rPr>
          <w:rFonts w:eastAsia="Batang"/>
          <w:sz w:val="20"/>
          <w:lang w:val="en-US"/>
        </w:rPr>
        <w:t xml:space="preserve"> egregious human rights violations, in order to access specific information related to access to justice.</w:t>
      </w:r>
      <w:r w:rsidR="0054061E" w:rsidRPr="00012C3F">
        <w:rPr>
          <w:rStyle w:val="Refdenotaalpie"/>
          <w:rFonts w:eastAsia="Batang"/>
          <w:sz w:val="20"/>
          <w:lang w:val="en-US"/>
        </w:rPr>
        <w:footnoteReference w:id="312"/>
      </w:r>
      <w:r w:rsidRPr="00012C3F">
        <w:rPr>
          <w:rFonts w:eastAsia="Batang"/>
          <w:sz w:val="20"/>
          <w:lang w:val="en-US"/>
        </w:rPr>
        <w:t xml:space="preserve"> Therefore, the Court concludes that it is not appropriate to issue a ruling in that respect.</w:t>
      </w:r>
    </w:p>
    <w:p w14:paraId="59F1EA4E" w14:textId="77777777" w:rsidR="00F035DC" w:rsidRPr="00012C3F" w:rsidRDefault="00F035DC" w:rsidP="003258E8">
      <w:pPr>
        <w:spacing w:line="240" w:lineRule="auto"/>
        <w:rPr>
          <w:sz w:val="20"/>
          <w:szCs w:val="20"/>
          <w:lang w:val="en-US"/>
        </w:rPr>
      </w:pPr>
    </w:p>
    <w:p w14:paraId="30B6A640" w14:textId="77777777" w:rsidR="00B863E2" w:rsidRPr="00012C3F" w:rsidRDefault="00B863E2" w:rsidP="0085451F">
      <w:pPr>
        <w:pStyle w:val="Ttulo3"/>
        <w:tabs>
          <w:tab w:val="left" w:pos="2552"/>
        </w:tabs>
        <w:ind w:left="1701"/>
        <w:rPr>
          <w:rFonts w:eastAsia="MS Mincho" w:cs="Arial"/>
          <w:b w:val="0"/>
          <w:i/>
          <w:spacing w:val="0"/>
          <w:lang w:val="en-US" w:eastAsia="en-US"/>
        </w:rPr>
      </w:pPr>
      <w:bookmarkStart w:id="148" w:name="_Toc27486870"/>
      <w:r w:rsidRPr="00012C3F">
        <w:rPr>
          <w:rFonts w:eastAsia="MS Mincho" w:cs="Arial"/>
          <w:b w:val="0"/>
          <w:i/>
          <w:spacing w:val="0"/>
          <w:lang w:val="en-US" w:eastAsia="en-US"/>
        </w:rPr>
        <w:t>B.</w:t>
      </w:r>
      <w:r w:rsidR="006D5C94" w:rsidRPr="00012C3F">
        <w:rPr>
          <w:rFonts w:eastAsia="MS Mincho" w:cs="Arial"/>
          <w:b w:val="0"/>
          <w:i/>
          <w:spacing w:val="0"/>
          <w:lang w:val="en-US" w:eastAsia="en-US"/>
        </w:rPr>
        <w:t>3</w:t>
      </w:r>
      <w:r w:rsidRPr="00012C3F">
        <w:rPr>
          <w:rFonts w:eastAsia="MS Mincho" w:cs="Arial"/>
          <w:b w:val="0"/>
          <w:i/>
          <w:spacing w:val="0"/>
          <w:lang w:val="en-US" w:eastAsia="en-US"/>
        </w:rPr>
        <w:t>.c</w:t>
      </w:r>
      <w:r w:rsidRPr="00012C3F">
        <w:rPr>
          <w:rFonts w:eastAsia="MS Mincho" w:cs="Arial"/>
          <w:b w:val="0"/>
          <w:i/>
          <w:spacing w:val="0"/>
          <w:lang w:val="en-US" w:eastAsia="en-US"/>
        </w:rPr>
        <w:tab/>
      </w:r>
      <w:r w:rsidR="00A710F6" w:rsidRPr="00012C3F">
        <w:rPr>
          <w:rFonts w:eastAsia="MS Mincho" w:cs="Arial"/>
          <w:b w:val="0"/>
          <w:i/>
          <w:spacing w:val="0"/>
          <w:lang w:val="en-US" w:eastAsia="en-US"/>
        </w:rPr>
        <w:t>Duty not to discriminate when respecting and ensuring</w:t>
      </w:r>
      <w:r w:rsidR="00C10979" w:rsidRPr="00012C3F">
        <w:rPr>
          <w:rFonts w:eastAsia="MS Mincho" w:cs="Arial"/>
          <w:b w:val="0"/>
          <w:i/>
          <w:spacing w:val="0"/>
          <w:lang w:val="en-US" w:eastAsia="en-US"/>
        </w:rPr>
        <w:t xml:space="preserve"> </w:t>
      </w:r>
      <w:r w:rsidR="00DF5BD3" w:rsidRPr="00012C3F">
        <w:rPr>
          <w:rFonts w:eastAsia="MS Mincho" w:cs="Arial"/>
          <w:b w:val="0"/>
          <w:i/>
          <w:spacing w:val="0"/>
          <w:lang w:val="en-US" w:eastAsia="en-US"/>
        </w:rPr>
        <w:t>the rights</w:t>
      </w:r>
      <w:r w:rsidRPr="00012C3F">
        <w:rPr>
          <w:rFonts w:eastAsia="MS Mincho" w:cs="Arial"/>
          <w:b w:val="0"/>
          <w:i/>
          <w:spacing w:val="0"/>
          <w:lang w:val="en-US" w:eastAsia="en-US"/>
        </w:rPr>
        <w:t xml:space="preserve"> </w:t>
      </w:r>
      <w:r w:rsidR="00DF5BD3" w:rsidRPr="00012C3F">
        <w:rPr>
          <w:rFonts w:eastAsia="MS Mincho" w:cs="Arial"/>
          <w:b w:val="0"/>
          <w:i/>
          <w:spacing w:val="0"/>
          <w:lang w:val="en-US" w:eastAsia="en-US"/>
        </w:rPr>
        <w:t>recognized in</w:t>
      </w:r>
      <w:r w:rsidRPr="00012C3F">
        <w:rPr>
          <w:rFonts w:eastAsia="MS Mincho" w:cs="Arial"/>
          <w:b w:val="0"/>
          <w:i/>
          <w:spacing w:val="0"/>
          <w:lang w:val="en-US" w:eastAsia="en-US"/>
        </w:rPr>
        <w:t xml:space="preserve"> </w:t>
      </w:r>
      <w:r w:rsidR="001254DE" w:rsidRPr="00012C3F">
        <w:rPr>
          <w:rFonts w:eastAsia="MS Mincho" w:cs="Arial"/>
          <w:b w:val="0"/>
          <w:i/>
          <w:spacing w:val="0"/>
          <w:lang w:val="en-US" w:eastAsia="en-US"/>
        </w:rPr>
        <w:t>Articles</w:t>
      </w:r>
      <w:r w:rsidRPr="00012C3F">
        <w:rPr>
          <w:rFonts w:eastAsia="MS Mincho" w:cs="Arial"/>
          <w:b w:val="0"/>
          <w:i/>
          <w:spacing w:val="0"/>
          <w:lang w:val="en-US" w:eastAsia="en-US"/>
        </w:rPr>
        <w:t xml:space="preserve"> 5, </w:t>
      </w:r>
      <w:r w:rsidR="00227F83" w:rsidRPr="00012C3F">
        <w:rPr>
          <w:rFonts w:eastAsia="MS Mincho" w:cs="Arial"/>
          <w:b w:val="0"/>
          <w:i/>
          <w:spacing w:val="0"/>
          <w:lang w:val="en-US" w:eastAsia="en-US"/>
        </w:rPr>
        <w:t xml:space="preserve">7, </w:t>
      </w:r>
      <w:r w:rsidRPr="00012C3F">
        <w:rPr>
          <w:rFonts w:eastAsia="MS Mincho" w:cs="Arial"/>
          <w:b w:val="0"/>
          <w:i/>
          <w:spacing w:val="0"/>
          <w:lang w:val="en-US" w:eastAsia="en-US"/>
        </w:rPr>
        <w:t>11, 13</w:t>
      </w:r>
      <w:r w:rsidR="005E5012" w:rsidRPr="00012C3F">
        <w:rPr>
          <w:rFonts w:eastAsia="MS Mincho" w:cs="Arial"/>
          <w:b w:val="0"/>
          <w:i/>
          <w:spacing w:val="0"/>
          <w:lang w:val="en-US" w:eastAsia="en-US"/>
        </w:rPr>
        <w:t xml:space="preserve"> and </w:t>
      </w:r>
      <w:r w:rsidRPr="00012C3F">
        <w:rPr>
          <w:rFonts w:eastAsia="MS Mincho" w:cs="Arial"/>
          <w:b w:val="0"/>
          <w:i/>
          <w:spacing w:val="0"/>
          <w:lang w:val="en-US" w:eastAsia="en-US"/>
        </w:rPr>
        <w:t>17</w:t>
      </w:r>
      <w:r w:rsidR="001254DE" w:rsidRPr="00012C3F">
        <w:rPr>
          <w:rFonts w:eastAsia="MS Mincho" w:cs="Arial"/>
          <w:b w:val="0"/>
          <w:i/>
          <w:spacing w:val="0"/>
          <w:lang w:val="en-US" w:eastAsia="en-US"/>
        </w:rPr>
        <w:t xml:space="preserve"> of the American Convention</w:t>
      </w:r>
      <w:bookmarkEnd w:id="148"/>
    </w:p>
    <w:p w14:paraId="6A14BF03" w14:textId="77777777" w:rsidR="003258E8" w:rsidRPr="00012C3F" w:rsidRDefault="003258E8" w:rsidP="003258E8">
      <w:pPr>
        <w:widowControl/>
        <w:autoSpaceDE w:val="0"/>
        <w:autoSpaceDN w:val="0"/>
        <w:spacing w:line="240" w:lineRule="auto"/>
        <w:textAlignment w:val="auto"/>
        <w:rPr>
          <w:rFonts w:eastAsiaTheme="minorHAnsi" w:cs="Arial"/>
          <w:sz w:val="20"/>
          <w:szCs w:val="20"/>
          <w:lang w:val="en-US" w:eastAsia="en-US"/>
        </w:rPr>
      </w:pPr>
    </w:p>
    <w:p w14:paraId="38F0C728" w14:textId="77777777" w:rsidR="00C10979" w:rsidRPr="00012C3F" w:rsidRDefault="001254DE" w:rsidP="00B340E2">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Times" w:cs="Arial"/>
          <w:sz w:val="20"/>
          <w:szCs w:val="20"/>
          <w:lang w:val="en-US" w:eastAsia="es-ES"/>
        </w:rPr>
        <w:t>The Court</w:t>
      </w:r>
      <w:r w:rsidR="00C10979" w:rsidRPr="00012C3F">
        <w:rPr>
          <w:rFonts w:eastAsia="Times" w:cs="Arial"/>
          <w:sz w:val="20"/>
          <w:szCs w:val="20"/>
          <w:lang w:val="en-US" w:eastAsia="es-ES"/>
        </w:rPr>
        <w:t xml:space="preserve"> ha</w:t>
      </w:r>
      <w:r w:rsidR="00B340E2" w:rsidRPr="00012C3F">
        <w:rPr>
          <w:rFonts w:eastAsia="Times" w:cs="Arial"/>
          <w:sz w:val="20"/>
          <w:szCs w:val="20"/>
          <w:lang w:val="en-US" w:eastAsia="es-ES"/>
        </w:rPr>
        <w:t xml:space="preserve">s indicated that “the notion of equality </w:t>
      </w:r>
      <w:r w:rsidR="00B340E2" w:rsidRPr="00012C3F">
        <w:rPr>
          <w:rFonts w:cs="Arial"/>
          <w:sz w:val="20"/>
          <w:szCs w:val="20"/>
          <w:lang w:val="en-US"/>
        </w:rPr>
        <w:t>springs directly from the oneness of the human family and is linked to the essential dignity of the individual. That principle cannot be reconciled with the notion that a given group has the right to privileged treatment because of its perceived superiority. It is equally irreconcilable with that notion to characterize a group as inferior and treat it with hostility or otherwise subject it to discrimination in the enjoyment of rights which are accorded to others not so classified.</w:t>
      </w:r>
      <w:r w:rsidR="00B340E2" w:rsidRPr="00012C3F">
        <w:rPr>
          <w:rFonts w:eastAsia="Times" w:cs="Arial"/>
          <w:sz w:val="20"/>
          <w:szCs w:val="20"/>
          <w:vertAlign w:val="superscript"/>
          <w:lang w:val="en-US" w:eastAsia="es-ES"/>
        </w:rPr>
        <w:footnoteReference w:id="313"/>
      </w:r>
      <w:r w:rsidR="00B340E2" w:rsidRPr="00012C3F">
        <w:rPr>
          <w:rFonts w:cs="Arial"/>
          <w:sz w:val="20"/>
          <w:szCs w:val="20"/>
          <w:lang w:val="en-US"/>
        </w:rPr>
        <w:t xml:space="preserve"> At the actual stage of evolution of international law, the fundamental principle of equality and non-discrimination has entered the domain of </w:t>
      </w:r>
      <w:r w:rsidR="00B340E2" w:rsidRPr="00012C3F">
        <w:rPr>
          <w:rFonts w:eastAsia="Calibri" w:cs="Arial"/>
          <w:i/>
          <w:sz w:val="20"/>
          <w:szCs w:val="20"/>
          <w:lang w:val="en-US" w:eastAsia="es-MX"/>
        </w:rPr>
        <w:t>jus cogens</w:t>
      </w:r>
      <w:r w:rsidR="00B340E2" w:rsidRPr="00012C3F">
        <w:rPr>
          <w:rFonts w:eastAsia="Calibri" w:cs="Arial"/>
          <w:sz w:val="20"/>
          <w:szCs w:val="20"/>
          <w:lang w:val="en-US" w:eastAsia="es-MX"/>
        </w:rPr>
        <w:t>. The legal structure of national and international public order is based on this, and it permeates the whole legal system. States must refrain from executing actions that, in any way, are addressed, directly or indirectly, at creating situations of discrimination</w:t>
      </w:r>
      <w:r w:rsidR="00B340E2" w:rsidRPr="00012C3F">
        <w:rPr>
          <w:rFonts w:cs="Arial"/>
          <w:sz w:val="20"/>
          <w:szCs w:val="20"/>
          <w:lang w:val="en-US"/>
        </w:rPr>
        <w:t xml:space="preserve"> </w:t>
      </w:r>
      <w:r w:rsidR="00C10979" w:rsidRPr="00012C3F">
        <w:rPr>
          <w:rFonts w:eastAsia="Calibri" w:cs="Arial"/>
          <w:i/>
          <w:sz w:val="20"/>
          <w:szCs w:val="20"/>
          <w:lang w:val="en-US" w:eastAsia="es-MX"/>
        </w:rPr>
        <w:t xml:space="preserve">de </w:t>
      </w:r>
      <w:r w:rsidR="00586752" w:rsidRPr="00012C3F">
        <w:rPr>
          <w:rFonts w:eastAsia="Calibri" w:cs="Arial"/>
          <w:i/>
          <w:sz w:val="20"/>
          <w:szCs w:val="20"/>
          <w:lang w:val="en-US" w:eastAsia="es-MX"/>
        </w:rPr>
        <w:t>i</w:t>
      </w:r>
      <w:r w:rsidR="00C10979" w:rsidRPr="00012C3F">
        <w:rPr>
          <w:rFonts w:eastAsia="Calibri" w:cs="Arial"/>
          <w:i/>
          <w:sz w:val="20"/>
          <w:szCs w:val="20"/>
          <w:lang w:val="en-US" w:eastAsia="es-MX"/>
        </w:rPr>
        <w:t>ure</w:t>
      </w:r>
      <w:r w:rsidR="00C10979" w:rsidRPr="00012C3F">
        <w:rPr>
          <w:rFonts w:eastAsia="Calibri" w:cs="Arial"/>
          <w:sz w:val="20"/>
          <w:szCs w:val="20"/>
          <w:lang w:val="en-US" w:eastAsia="es-MX"/>
        </w:rPr>
        <w:t xml:space="preserve"> o</w:t>
      </w:r>
      <w:r w:rsidR="00B340E2" w:rsidRPr="00012C3F">
        <w:rPr>
          <w:rFonts w:eastAsia="Calibri" w:cs="Arial"/>
          <w:sz w:val="20"/>
          <w:szCs w:val="20"/>
          <w:lang w:val="en-US" w:eastAsia="es-MX"/>
        </w:rPr>
        <w:t>r</w:t>
      </w:r>
      <w:r w:rsidR="00C10979" w:rsidRPr="00012C3F">
        <w:rPr>
          <w:rFonts w:eastAsia="Calibri" w:cs="Arial"/>
          <w:sz w:val="20"/>
          <w:szCs w:val="20"/>
          <w:lang w:val="en-US" w:eastAsia="es-MX"/>
        </w:rPr>
        <w:t xml:space="preserve"> </w:t>
      </w:r>
      <w:r w:rsidR="00C10979" w:rsidRPr="00012C3F">
        <w:rPr>
          <w:rFonts w:eastAsia="Calibri" w:cs="Arial"/>
          <w:i/>
          <w:sz w:val="20"/>
          <w:szCs w:val="20"/>
          <w:lang w:val="en-US" w:eastAsia="es-MX"/>
        </w:rPr>
        <w:t>de facto</w:t>
      </w:r>
      <w:r w:rsidR="00B340E2" w:rsidRPr="00012C3F">
        <w:rPr>
          <w:rFonts w:eastAsia="Calibri" w:cs="Arial"/>
          <w:i/>
          <w:sz w:val="20"/>
          <w:szCs w:val="20"/>
          <w:lang w:val="en-US" w:eastAsia="es-MX"/>
        </w:rPr>
        <w:t>.</w:t>
      </w:r>
      <w:r w:rsidR="00C10979" w:rsidRPr="00012C3F">
        <w:rPr>
          <w:rFonts w:eastAsia="Calibri" w:cs="Arial"/>
          <w:sz w:val="20"/>
          <w:szCs w:val="20"/>
          <w:vertAlign w:val="superscript"/>
          <w:lang w:val="en-US" w:eastAsia="es-MX"/>
        </w:rPr>
        <w:footnoteReference w:id="314"/>
      </w:r>
    </w:p>
    <w:p w14:paraId="0815270C" w14:textId="77777777" w:rsidR="00BD0211" w:rsidRPr="00012C3F" w:rsidRDefault="00BD0211" w:rsidP="00BD0211">
      <w:pPr>
        <w:tabs>
          <w:tab w:val="left" w:pos="720"/>
        </w:tabs>
        <w:spacing w:line="240" w:lineRule="auto"/>
        <w:rPr>
          <w:rFonts w:eastAsia="MS Mincho"/>
          <w:sz w:val="20"/>
          <w:szCs w:val="20"/>
          <w:lang w:val="en-US" w:eastAsia="en-US" w:bidi="en-US"/>
        </w:rPr>
      </w:pPr>
    </w:p>
    <w:p w14:paraId="2E879ED9" w14:textId="77777777" w:rsidR="00C10979" w:rsidRPr="00012C3F" w:rsidRDefault="00BD0211" w:rsidP="00BD0211">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Theme="minorHAnsi" w:cs="Arial"/>
          <w:sz w:val="20"/>
          <w:szCs w:val="20"/>
          <w:lang w:val="en-US" w:eastAsia="en-US"/>
        </w:rPr>
        <w:t>W</w:t>
      </w:r>
      <w:r w:rsidR="00B340E2" w:rsidRPr="00012C3F">
        <w:rPr>
          <w:rFonts w:eastAsiaTheme="minorHAnsi" w:cs="Arial"/>
          <w:sz w:val="20"/>
          <w:szCs w:val="20"/>
          <w:lang w:val="en-US" w:eastAsia="en-US"/>
        </w:rPr>
        <w:t>hen interpreting</w:t>
      </w:r>
      <w:r w:rsidR="00C10979" w:rsidRPr="00012C3F">
        <w:rPr>
          <w:rFonts w:eastAsiaTheme="minorHAnsi" w:cs="Arial"/>
          <w:sz w:val="20"/>
          <w:szCs w:val="20"/>
          <w:lang w:val="en-US" w:eastAsia="en-US"/>
        </w:rPr>
        <w:t xml:space="preserve"> </w:t>
      </w:r>
      <w:r w:rsidR="001254DE" w:rsidRPr="00012C3F">
        <w:rPr>
          <w:rFonts w:eastAsiaTheme="minorHAnsi" w:cs="Arial"/>
          <w:sz w:val="20"/>
          <w:szCs w:val="20"/>
          <w:lang w:val="en-US" w:eastAsia="en-US"/>
        </w:rPr>
        <w:t>Article</w:t>
      </w:r>
      <w:r w:rsidR="00C10979" w:rsidRPr="00012C3F">
        <w:rPr>
          <w:rFonts w:eastAsiaTheme="minorHAnsi" w:cs="Tahoma"/>
          <w:sz w:val="20"/>
          <w:szCs w:val="20"/>
          <w:lang w:val="en-US" w:eastAsia="en-US"/>
        </w:rPr>
        <w:t xml:space="preserve"> </w:t>
      </w:r>
      <w:r w:rsidR="005E5012" w:rsidRPr="00012C3F">
        <w:rPr>
          <w:rFonts w:eastAsiaTheme="minorHAnsi" w:cs="Tahoma"/>
          <w:sz w:val="20"/>
          <w:szCs w:val="20"/>
          <w:lang w:val="en-US" w:eastAsia="en-US"/>
        </w:rPr>
        <w:t>1(1)</w:t>
      </w:r>
      <w:r w:rsidR="001254DE" w:rsidRPr="00012C3F">
        <w:rPr>
          <w:rFonts w:eastAsiaTheme="minorHAnsi" w:cs="Tahoma"/>
          <w:sz w:val="20"/>
          <w:szCs w:val="20"/>
          <w:lang w:val="en-US" w:eastAsia="en-US"/>
        </w:rPr>
        <w:t xml:space="preserve"> of the Convention</w:t>
      </w:r>
      <w:r w:rsidR="00C10979" w:rsidRPr="00012C3F">
        <w:rPr>
          <w:rFonts w:eastAsiaTheme="minorHAnsi" w:cs="Tahoma"/>
          <w:sz w:val="20"/>
          <w:szCs w:val="20"/>
          <w:lang w:val="en-US" w:eastAsia="en-US"/>
        </w:rPr>
        <w:t>,</w:t>
      </w:r>
      <w:r w:rsidRPr="00012C3F">
        <w:rPr>
          <w:rFonts w:eastAsiaTheme="minorHAnsi" w:cs="Tahoma"/>
          <w:sz w:val="20"/>
          <w:szCs w:val="20"/>
          <w:lang w:val="en-US" w:eastAsia="en-US"/>
        </w:rPr>
        <w:t xml:space="preserve"> the Court</w:t>
      </w:r>
      <w:r w:rsidR="00C10979" w:rsidRPr="00012C3F">
        <w:rPr>
          <w:rFonts w:eastAsiaTheme="minorHAnsi" w:cs="Tahoma"/>
          <w:sz w:val="20"/>
          <w:szCs w:val="20"/>
          <w:lang w:val="en-US" w:eastAsia="en-US"/>
        </w:rPr>
        <w:t xml:space="preserve"> ha</w:t>
      </w:r>
      <w:r w:rsidR="00B340E2" w:rsidRPr="00012C3F">
        <w:rPr>
          <w:rFonts w:eastAsiaTheme="minorHAnsi" w:cs="Tahoma"/>
          <w:sz w:val="20"/>
          <w:szCs w:val="20"/>
          <w:lang w:val="en-US" w:eastAsia="en-US"/>
        </w:rPr>
        <w:t xml:space="preserve">s stipulated that </w:t>
      </w:r>
      <w:r w:rsidRPr="00012C3F">
        <w:rPr>
          <w:rFonts w:cs="Arial"/>
          <w:sz w:val="20"/>
          <w:lang w:val="en-US"/>
        </w:rPr>
        <w:t xml:space="preserve">it is </w:t>
      </w:r>
      <w:r w:rsidRPr="00012C3F">
        <w:rPr>
          <w:rFonts w:cs="Arial"/>
          <w:sz w:val="20"/>
          <w:szCs w:val="20"/>
          <w:lang w:val="en-US"/>
        </w:rPr>
        <w:t xml:space="preserve">a rule </w:t>
      </w:r>
      <w:r w:rsidRPr="00012C3F">
        <w:rPr>
          <w:rFonts w:cs="Arial"/>
          <w:sz w:val="20"/>
          <w:lang w:val="en-US"/>
        </w:rPr>
        <w:t xml:space="preserve">that is </w:t>
      </w:r>
      <w:r w:rsidRPr="00012C3F">
        <w:rPr>
          <w:rFonts w:cs="Arial"/>
          <w:sz w:val="20"/>
          <w:szCs w:val="20"/>
          <w:lang w:val="en-US"/>
        </w:rPr>
        <w:t xml:space="preserve">general in scope </w:t>
      </w:r>
      <w:r w:rsidRPr="00012C3F">
        <w:rPr>
          <w:rFonts w:cs="Arial"/>
          <w:sz w:val="20"/>
          <w:lang w:val="en-US"/>
        </w:rPr>
        <w:t>“</w:t>
      </w:r>
      <w:r w:rsidRPr="00012C3F">
        <w:rPr>
          <w:rFonts w:cs="Arial"/>
          <w:sz w:val="20"/>
          <w:szCs w:val="20"/>
          <w:lang w:val="en-US"/>
        </w:rPr>
        <w:t xml:space="preserve">which applies to all the provisions of the treaty, </w:t>
      </w:r>
      <w:r w:rsidRPr="00012C3F">
        <w:rPr>
          <w:rFonts w:cs="Arial"/>
          <w:sz w:val="20"/>
          <w:lang w:val="en-US"/>
        </w:rPr>
        <w:t xml:space="preserve">and </w:t>
      </w:r>
      <w:r w:rsidRPr="00012C3F">
        <w:rPr>
          <w:rFonts w:cs="Arial"/>
          <w:sz w:val="20"/>
          <w:szCs w:val="20"/>
          <w:lang w:val="en-US"/>
        </w:rPr>
        <w:t xml:space="preserve">imposes on the States Parties the obligation to respect and guarantee the free and full exercise of the rights and freedoms recognized therein "without any discrimination." In other words, regardless of its origin or the form it may assume, any treatment that can be considered to be discriminatory with regard to the exercise of any of the rights guaranteed under the Convention is </w:t>
      </w:r>
      <w:r w:rsidRPr="00012C3F">
        <w:rPr>
          <w:rFonts w:cs="Arial"/>
          <w:i/>
          <w:iCs/>
          <w:sz w:val="20"/>
          <w:szCs w:val="20"/>
          <w:lang w:val="en-US"/>
        </w:rPr>
        <w:t>per se</w:t>
      </w:r>
      <w:r w:rsidRPr="00012C3F">
        <w:rPr>
          <w:rFonts w:cs="Arial"/>
          <w:sz w:val="20"/>
          <w:lang w:val="en-US"/>
        </w:rPr>
        <w:t xml:space="preserve"> </w:t>
      </w:r>
      <w:r w:rsidRPr="00012C3F">
        <w:rPr>
          <w:rFonts w:cs="Arial"/>
          <w:sz w:val="20"/>
          <w:szCs w:val="20"/>
          <w:lang w:val="en-US"/>
        </w:rPr>
        <w:t>incompatible with that instrument.</w:t>
      </w:r>
      <w:r w:rsidR="00C10979" w:rsidRPr="00012C3F">
        <w:rPr>
          <w:rFonts w:eastAsiaTheme="minorHAnsi" w:cs="Tahoma"/>
          <w:sz w:val="20"/>
          <w:szCs w:val="20"/>
          <w:lang w:val="en-US" w:eastAsia="en-US"/>
        </w:rPr>
        <w:t>”</w:t>
      </w:r>
      <w:r w:rsidR="00C10979" w:rsidRPr="00012C3F">
        <w:rPr>
          <w:rFonts w:eastAsiaTheme="minorHAnsi" w:cs="Tahoma"/>
          <w:sz w:val="20"/>
          <w:szCs w:val="20"/>
          <w:vertAlign w:val="superscript"/>
          <w:lang w:val="en-US" w:eastAsia="en-US"/>
        </w:rPr>
        <w:footnoteReference w:id="315"/>
      </w:r>
    </w:p>
    <w:p w14:paraId="23E5BA1C" w14:textId="77777777" w:rsidR="00875D6F" w:rsidRPr="00012C3F" w:rsidRDefault="00875D6F" w:rsidP="00C10979">
      <w:pPr>
        <w:widowControl/>
        <w:autoSpaceDE w:val="0"/>
        <w:autoSpaceDN w:val="0"/>
        <w:spacing w:line="240" w:lineRule="auto"/>
        <w:textAlignment w:val="auto"/>
        <w:rPr>
          <w:rFonts w:eastAsiaTheme="minorHAnsi" w:cs="Arial"/>
          <w:sz w:val="20"/>
          <w:szCs w:val="20"/>
          <w:lang w:val="en-US" w:eastAsia="en-US"/>
        </w:rPr>
      </w:pPr>
    </w:p>
    <w:p w14:paraId="3F217E64" w14:textId="77777777" w:rsidR="0076525E" w:rsidRPr="00012C3F" w:rsidRDefault="00BD0211" w:rsidP="00A15704">
      <w:pPr>
        <w:numPr>
          <w:ilvl w:val="0"/>
          <w:numId w:val="5"/>
        </w:numPr>
        <w:tabs>
          <w:tab w:val="left" w:pos="720"/>
          <w:tab w:val="num" w:pos="12305"/>
        </w:tabs>
        <w:spacing w:line="240" w:lineRule="auto"/>
        <w:ind w:left="0" w:firstLine="0"/>
        <w:rPr>
          <w:rFonts w:eastAsiaTheme="minorHAnsi" w:cs="Arial"/>
          <w:sz w:val="20"/>
          <w:szCs w:val="20"/>
          <w:lang w:val="en-US" w:eastAsia="en-US"/>
        </w:rPr>
      </w:pPr>
      <w:r w:rsidRPr="00012C3F">
        <w:rPr>
          <w:rFonts w:eastAsiaTheme="minorHAnsi" w:cs="Arial"/>
          <w:sz w:val="20"/>
          <w:szCs w:val="20"/>
          <w:lang w:val="en-US" w:eastAsia="en-US"/>
        </w:rPr>
        <w:t>That said, the Court recalls that not every difference in treatment will be considered discriminatory, but only those that are based on criteria that cannot rationally be considered objective and reasonable.</w:t>
      </w:r>
      <w:r w:rsidR="000542BC" w:rsidRPr="00012C3F">
        <w:rPr>
          <w:rStyle w:val="Refdenotaalpie"/>
          <w:rFonts w:eastAsiaTheme="minorHAnsi" w:cs="Arial"/>
          <w:sz w:val="20"/>
          <w:szCs w:val="20"/>
          <w:lang w:val="en-US" w:eastAsia="en-US"/>
        </w:rPr>
        <w:footnoteReference w:id="316"/>
      </w:r>
      <w:r w:rsidRPr="00012C3F">
        <w:rPr>
          <w:rFonts w:eastAsiaTheme="minorHAnsi" w:cs="Arial"/>
          <w:sz w:val="20"/>
          <w:szCs w:val="20"/>
          <w:lang w:val="en-US" w:eastAsia="en-US"/>
        </w:rPr>
        <w:t xml:space="preserve"> When the differentiating </w:t>
      </w:r>
      <w:r w:rsidR="00417E1B" w:rsidRPr="00012C3F">
        <w:rPr>
          <w:rFonts w:eastAsiaTheme="minorHAnsi" w:cs="Arial"/>
          <w:sz w:val="20"/>
          <w:szCs w:val="20"/>
          <w:lang w:val="en-US" w:eastAsia="en-US"/>
        </w:rPr>
        <w:t>factor</w:t>
      </w:r>
      <w:r w:rsidRPr="00012C3F">
        <w:rPr>
          <w:rFonts w:eastAsiaTheme="minorHAnsi" w:cs="Arial"/>
          <w:sz w:val="20"/>
          <w:szCs w:val="20"/>
          <w:lang w:val="en-US" w:eastAsia="en-US"/>
        </w:rPr>
        <w:t xml:space="preserve"> corresponds to one of those</w:t>
      </w:r>
      <w:r w:rsidR="00417E1B" w:rsidRPr="00012C3F">
        <w:rPr>
          <w:rFonts w:eastAsiaTheme="minorHAnsi" w:cs="Arial"/>
          <w:sz w:val="20"/>
          <w:szCs w:val="20"/>
          <w:lang w:val="en-US" w:eastAsia="en-US"/>
        </w:rPr>
        <w:t xml:space="preserve"> elements</w:t>
      </w:r>
      <w:r w:rsidRPr="00012C3F">
        <w:rPr>
          <w:rFonts w:eastAsiaTheme="minorHAnsi" w:cs="Arial"/>
          <w:sz w:val="20"/>
          <w:szCs w:val="20"/>
          <w:lang w:val="en-US" w:eastAsia="en-US"/>
        </w:rPr>
        <w:t xml:space="preserve"> </w:t>
      </w:r>
      <w:r w:rsidRPr="00012C3F">
        <w:rPr>
          <w:rFonts w:eastAsiaTheme="minorHAnsi" w:cs="Arial"/>
          <w:sz w:val="20"/>
          <w:szCs w:val="20"/>
          <w:lang w:val="en-US" w:eastAsia="en-US"/>
        </w:rPr>
        <w:lastRenderedPageBreak/>
        <w:t>protected by</w:t>
      </w:r>
      <w:r w:rsidR="000542BC" w:rsidRPr="00012C3F">
        <w:rPr>
          <w:rFonts w:eastAsiaTheme="minorHAnsi" w:cs="Arial"/>
          <w:sz w:val="20"/>
          <w:szCs w:val="20"/>
          <w:lang w:val="en-US" w:eastAsia="en-US"/>
        </w:rPr>
        <w:t xml:space="preserve"> </w:t>
      </w:r>
      <w:r w:rsidR="001254DE" w:rsidRPr="00012C3F">
        <w:rPr>
          <w:rFonts w:eastAsiaTheme="minorHAnsi" w:cs="Arial"/>
          <w:sz w:val="20"/>
          <w:szCs w:val="20"/>
          <w:lang w:val="en-US" w:eastAsia="en-US"/>
        </w:rPr>
        <w:t>Article</w:t>
      </w:r>
      <w:r w:rsidR="000542BC" w:rsidRPr="00012C3F">
        <w:rPr>
          <w:rFonts w:eastAsiaTheme="minorHAnsi" w:cs="Arial"/>
          <w:sz w:val="20"/>
          <w:szCs w:val="20"/>
          <w:lang w:val="en-US" w:eastAsia="en-US"/>
        </w:rPr>
        <w:t xml:space="preserve"> </w:t>
      </w:r>
      <w:r w:rsidR="005E5012" w:rsidRPr="00012C3F">
        <w:rPr>
          <w:rFonts w:eastAsiaTheme="minorHAnsi" w:cs="Arial"/>
          <w:sz w:val="20"/>
          <w:szCs w:val="20"/>
          <w:lang w:val="en-US" w:eastAsia="en-US"/>
        </w:rPr>
        <w:t>1(1)</w:t>
      </w:r>
      <w:r w:rsidR="001254DE" w:rsidRPr="00012C3F">
        <w:rPr>
          <w:rFonts w:eastAsiaTheme="minorHAnsi" w:cs="Arial"/>
          <w:sz w:val="20"/>
          <w:szCs w:val="20"/>
          <w:lang w:val="en-US" w:eastAsia="en-US"/>
        </w:rPr>
        <w:t xml:space="preserve"> of the Convention</w:t>
      </w:r>
      <w:r w:rsidRPr="00012C3F">
        <w:rPr>
          <w:rFonts w:eastAsiaTheme="minorHAnsi" w:cs="Arial"/>
          <w:sz w:val="20"/>
          <w:szCs w:val="20"/>
          <w:lang w:val="en-US" w:eastAsia="en-US"/>
        </w:rPr>
        <w:t>, which refer to</w:t>
      </w:r>
      <w:r w:rsidR="0076525E" w:rsidRPr="00012C3F">
        <w:rPr>
          <w:rFonts w:eastAsiaTheme="minorHAnsi" w:cs="Arial"/>
          <w:sz w:val="20"/>
          <w:szCs w:val="20"/>
          <w:lang w:val="en-US" w:eastAsia="en-US"/>
        </w:rPr>
        <w:t xml:space="preserve">: </w:t>
      </w:r>
      <w:r w:rsidRPr="00012C3F">
        <w:rPr>
          <w:rFonts w:eastAsiaTheme="minorHAnsi" w:cs="Arial"/>
          <w:sz w:val="20"/>
          <w:szCs w:val="20"/>
          <w:lang w:val="en-US" w:eastAsia="en-US"/>
        </w:rPr>
        <w:t>(</w:t>
      </w:r>
      <w:r w:rsidR="00DA4B2F" w:rsidRPr="00012C3F">
        <w:rPr>
          <w:rFonts w:eastAsiaTheme="minorHAnsi" w:cs="Arial"/>
          <w:sz w:val="20"/>
          <w:szCs w:val="20"/>
          <w:lang w:val="en-US" w:eastAsia="en-US"/>
        </w:rPr>
        <w:t>i</w:t>
      </w:r>
      <w:r w:rsidR="0076525E" w:rsidRPr="00012C3F">
        <w:rPr>
          <w:rFonts w:eastAsiaTheme="minorHAnsi" w:cs="Arial"/>
          <w:sz w:val="20"/>
          <w:szCs w:val="20"/>
          <w:lang w:val="en-US" w:eastAsia="en-US"/>
        </w:rPr>
        <w:t xml:space="preserve">) </w:t>
      </w:r>
      <w:r w:rsidRPr="00012C3F">
        <w:rPr>
          <w:rFonts w:eastAsiaTheme="minorHAnsi" w:cs="Arial"/>
          <w:sz w:val="20"/>
          <w:szCs w:val="20"/>
          <w:lang w:val="en-US" w:eastAsia="en-US"/>
        </w:rPr>
        <w:t xml:space="preserve">permanent characteristics of the individual that he or she cannot renounce without losing their identity; (ii) groups that are traditionally marginalized, excluded or subordinated, and (iii) criteria that are irrelevant for an equitable distribution of </w:t>
      </w:r>
      <w:r w:rsidR="00417E1B" w:rsidRPr="00012C3F">
        <w:rPr>
          <w:rFonts w:eastAsiaTheme="minorHAnsi" w:cs="Arial"/>
          <w:sz w:val="20"/>
          <w:szCs w:val="20"/>
          <w:lang w:val="en-US" w:eastAsia="en-US"/>
        </w:rPr>
        <w:t xml:space="preserve">social benefits, </w:t>
      </w:r>
      <w:r w:rsidRPr="00012C3F">
        <w:rPr>
          <w:rFonts w:eastAsiaTheme="minorHAnsi" w:cs="Arial"/>
          <w:sz w:val="20"/>
          <w:szCs w:val="20"/>
          <w:lang w:val="en-US" w:eastAsia="en-US"/>
        </w:rPr>
        <w:t xml:space="preserve">rights and </w:t>
      </w:r>
      <w:r w:rsidR="00417E1B" w:rsidRPr="00012C3F">
        <w:rPr>
          <w:rFonts w:eastAsiaTheme="minorHAnsi" w:cs="Arial"/>
          <w:sz w:val="20"/>
          <w:szCs w:val="20"/>
          <w:lang w:val="en-US" w:eastAsia="en-US"/>
        </w:rPr>
        <w:t>charges,</w:t>
      </w:r>
      <w:r w:rsidRPr="00012C3F">
        <w:rPr>
          <w:rFonts w:eastAsiaTheme="minorHAnsi" w:cs="Arial"/>
          <w:sz w:val="20"/>
          <w:szCs w:val="20"/>
          <w:lang w:val="en-US" w:eastAsia="en-US"/>
        </w:rPr>
        <w:t xml:space="preserve"> the Court is </w:t>
      </w:r>
      <w:r w:rsidR="00417E1B" w:rsidRPr="00012C3F">
        <w:rPr>
          <w:rFonts w:eastAsiaTheme="minorHAnsi" w:cs="Arial"/>
          <w:sz w:val="20"/>
          <w:szCs w:val="20"/>
          <w:lang w:val="en-US" w:eastAsia="en-US"/>
        </w:rPr>
        <w:t>confronted</w:t>
      </w:r>
      <w:r w:rsidRPr="00012C3F">
        <w:rPr>
          <w:rFonts w:eastAsiaTheme="minorHAnsi" w:cs="Arial"/>
          <w:sz w:val="20"/>
          <w:szCs w:val="20"/>
          <w:lang w:val="en-US" w:eastAsia="en-US"/>
        </w:rPr>
        <w:t xml:space="preserve"> with an indication that the State has acted arbitrarily. The Court has established, also, that the specific criteria </w:t>
      </w:r>
      <w:r w:rsidR="00A15704" w:rsidRPr="00012C3F">
        <w:rPr>
          <w:rFonts w:eastAsiaTheme="minorHAnsi" w:cs="Arial"/>
          <w:sz w:val="20"/>
          <w:szCs w:val="20"/>
          <w:lang w:val="en-US" w:eastAsia="en-US"/>
        </w:rPr>
        <w:t xml:space="preserve">based on which discrimination is prohibited according to </w:t>
      </w:r>
      <w:r w:rsidR="00A15704" w:rsidRPr="00012C3F">
        <w:rPr>
          <w:rFonts w:eastAsiaTheme="minorHAnsi" w:cs="Arial"/>
          <w:iCs/>
          <w:sz w:val="20"/>
          <w:szCs w:val="20"/>
          <w:lang w:val="en-US" w:eastAsia="en-US"/>
        </w:rPr>
        <w:t xml:space="preserve">Article 1(1) of the American Convention, do </w:t>
      </w:r>
      <w:r w:rsidR="009D3EE9" w:rsidRPr="00012C3F">
        <w:rPr>
          <w:rFonts w:eastAsiaTheme="minorHAnsi" w:cs="Arial"/>
          <w:iCs/>
          <w:sz w:val="20"/>
          <w:szCs w:val="20"/>
          <w:lang w:val="en-US" w:eastAsia="en-US"/>
        </w:rPr>
        <w:t>not</w:t>
      </w:r>
      <w:r w:rsidR="00A15704" w:rsidRPr="00012C3F">
        <w:rPr>
          <w:rFonts w:eastAsiaTheme="minorHAnsi" w:cs="Arial"/>
          <w:iCs/>
          <w:sz w:val="20"/>
          <w:szCs w:val="20"/>
          <w:lang w:val="en-US" w:eastAsia="en-US"/>
        </w:rPr>
        <w:t xml:space="preserve"> constitute an exhaustive or limitative list</w:t>
      </w:r>
      <w:r w:rsidR="00417E1B" w:rsidRPr="00012C3F">
        <w:rPr>
          <w:rFonts w:eastAsiaTheme="minorHAnsi" w:cs="Arial"/>
          <w:iCs/>
          <w:sz w:val="20"/>
          <w:szCs w:val="20"/>
          <w:lang w:val="en-US" w:eastAsia="en-US"/>
        </w:rPr>
        <w:t>; rather,</w:t>
      </w:r>
      <w:r w:rsidR="00A15704" w:rsidRPr="00012C3F">
        <w:rPr>
          <w:rFonts w:eastAsiaTheme="minorHAnsi" w:cs="Arial"/>
          <w:iCs/>
          <w:sz w:val="20"/>
          <w:szCs w:val="20"/>
          <w:lang w:val="en-US" w:eastAsia="en-US"/>
        </w:rPr>
        <w:t xml:space="preserve"> this is merely illustrative.</w:t>
      </w:r>
      <w:r w:rsidR="00C24A33" w:rsidRPr="00012C3F">
        <w:rPr>
          <w:rStyle w:val="Refdenotaalpie"/>
          <w:rFonts w:eastAsiaTheme="minorHAnsi" w:cs="Arial"/>
          <w:bCs/>
          <w:iCs/>
          <w:sz w:val="20"/>
          <w:szCs w:val="20"/>
          <w:lang w:val="en-US" w:eastAsia="en-US"/>
        </w:rPr>
        <w:footnoteReference w:id="317"/>
      </w:r>
      <w:r w:rsidR="00A15704" w:rsidRPr="00012C3F">
        <w:rPr>
          <w:rFonts w:eastAsiaTheme="minorHAnsi" w:cs="Arial"/>
          <w:bCs/>
          <w:iCs/>
          <w:sz w:val="20"/>
          <w:szCs w:val="20"/>
          <w:lang w:val="en-US" w:eastAsia="en-US"/>
        </w:rPr>
        <w:t xml:space="preserve"> Thus, the Court finds that the wording of this article leaves the criteria open with the inclusion of the expression “any other social condition,” so that other categories may be included that were not explicitly indicated,</w:t>
      </w:r>
      <w:r w:rsidR="008A610E" w:rsidRPr="00012C3F">
        <w:rPr>
          <w:rStyle w:val="Refdenotaalpie"/>
          <w:rFonts w:eastAsiaTheme="minorHAnsi" w:cs="Arial"/>
          <w:bCs/>
          <w:iCs/>
          <w:sz w:val="20"/>
          <w:szCs w:val="20"/>
          <w:lang w:val="en-US" w:eastAsia="en-US"/>
        </w:rPr>
        <w:footnoteReference w:id="318"/>
      </w:r>
      <w:r w:rsidR="00A15704" w:rsidRPr="00012C3F">
        <w:rPr>
          <w:rFonts w:eastAsiaTheme="minorHAnsi" w:cs="Arial"/>
          <w:bCs/>
          <w:iCs/>
          <w:sz w:val="20"/>
          <w:szCs w:val="20"/>
          <w:lang w:val="en-US" w:eastAsia="en-US"/>
        </w:rPr>
        <w:t xml:space="preserve"> but which have a similar</w:t>
      </w:r>
      <w:r w:rsidR="005C5213" w:rsidRPr="00012C3F">
        <w:rPr>
          <w:rFonts w:eastAsiaTheme="minorHAnsi" w:cs="Arial"/>
          <w:bCs/>
          <w:iCs/>
          <w:sz w:val="20"/>
          <w:szCs w:val="20"/>
          <w:lang w:val="en-US" w:eastAsia="en-US"/>
        </w:rPr>
        <w:t xml:space="preserve"> </w:t>
      </w:r>
      <w:r w:rsidR="00A15704" w:rsidRPr="00012C3F">
        <w:rPr>
          <w:rFonts w:eastAsiaTheme="minorHAnsi" w:cs="Arial"/>
          <w:bCs/>
          <w:iCs/>
          <w:sz w:val="20"/>
          <w:szCs w:val="20"/>
          <w:lang w:val="en-US" w:eastAsia="en-US"/>
        </w:rPr>
        <w:t>entity, such as refugees.</w:t>
      </w:r>
      <w:r w:rsidR="005C5213" w:rsidRPr="00012C3F">
        <w:rPr>
          <w:rStyle w:val="Refdenotaalpie"/>
          <w:rFonts w:eastAsiaTheme="minorHAnsi" w:cs="Arial"/>
          <w:bCs/>
          <w:iCs/>
          <w:sz w:val="20"/>
          <w:szCs w:val="20"/>
          <w:lang w:val="en-US" w:eastAsia="en-US"/>
        </w:rPr>
        <w:footnoteReference w:id="319"/>
      </w:r>
    </w:p>
    <w:p w14:paraId="02FAA157" w14:textId="77777777" w:rsidR="0076525E" w:rsidRPr="00012C3F" w:rsidRDefault="0076525E" w:rsidP="0076525E">
      <w:pPr>
        <w:widowControl/>
        <w:autoSpaceDE w:val="0"/>
        <w:autoSpaceDN w:val="0"/>
        <w:spacing w:line="240" w:lineRule="auto"/>
        <w:textAlignment w:val="auto"/>
        <w:rPr>
          <w:rFonts w:eastAsiaTheme="minorHAnsi" w:cs="Arial"/>
          <w:sz w:val="20"/>
          <w:szCs w:val="20"/>
          <w:lang w:val="en-US" w:eastAsia="en-US"/>
        </w:rPr>
      </w:pPr>
    </w:p>
    <w:p w14:paraId="640C465E" w14:textId="77777777" w:rsidR="00FE2AF8" w:rsidRPr="00012C3F" w:rsidRDefault="00FE2AF8" w:rsidP="00A15704">
      <w:pPr>
        <w:numPr>
          <w:ilvl w:val="0"/>
          <w:numId w:val="5"/>
        </w:numPr>
        <w:tabs>
          <w:tab w:val="left" w:pos="720"/>
          <w:tab w:val="num" w:pos="12305"/>
        </w:tabs>
        <w:spacing w:line="240" w:lineRule="auto"/>
        <w:ind w:left="0" w:firstLine="0"/>
        <w:rPr>
          <w:rFonts w:eastAsiaTheme="minorHAnsi" w:cs="Arial"/>
          <w:sz w:val="20"/>
          <w:szCs w:val="20"/>
          <w:lang w:val="en-US" w:eastAsia="en-US"/>
        </w:rPr>
      </w:pPr>
      <w:r w:rsidRPr="00012C3F">
        <w:rPr>
          <w:rFonts w:eastAsiaTheme="minorHAnsi" w:cs="Arial"/>
          <w:sz w:val="20"/>
          <w:szCs w:val="20"/>
          <w:lang w:val="en-US" w:eastAsia="en-US"/>
        </w:rPr>
        <w:t xml:space="preserve">On this basis, the Court consider that the criteria for determining whether the principle of equality and non-discrimination has been violated in a specific case may have a different weight depending on the reasons why there was a difference in treatment. The Court finds that, in the case of a measure that establishes a differentiated treatment and that involves one of these categories, </w:t>
      </w:r>
      <w:r w:rsidR="00417E1B" w:rsidRPr="00012C3F">
        <w:rPr>
          <w:rFonts w:eastAsiaTheme="minorHAnsi" w:cs="Arial"/>
          <w:sz w:val="20"/>
          <w:szCs w:val="20"/>
          <w:lang w:val="en-US" w:eastAsia="en-US"/>
        </w:rPr>
        <w:t>it</w:t>
      </w:r>
      <w:r w:rsidRPr="00012C3F">
        <w:rPr>
          <w:rFonts w:eastAsiaTheme="minorHAnsi" w:cs="Arial"/>
          <w:sz w:val="20"/>
          <w:szCs w:val="20"/>
          <w:lang w:val="en-US" w:eastAsia="en-US"/>
        </w:rPr>
        <w:t xml:space="preserve"> must examine </w:t>
      </w:r>
      <w:r w:rsidR="00417E1B" w:rsidRPr="00012C3F">
        <w:rPr>
          <w:rFonts w:eastAsiaTheme="minorHAnsi" w:cs="Arial"/>
          <w:sz w:val="20"/>
          <w:szCs w:val="20"/>
          <w:lang w:val="en-US" w:eastAsia="en-US"/>
        </w:rPr>
        <w:t>this</w:t>
      </w:r>
      <w:r w:rsidRPr="00012C3F">
        <w:rPr>
          <w:rFonts w:eastAsiaTheme="minorHAnsi" w:cs="Arial"/>
          <w:sz w:val="20"/>
          <w:szCs w:val="20"/>
          <w:lang w:val="en-US" w:eastAsia="en-US"/>
        </w:rPr>
        <w:t xml:space="preserve"> strictly</w:t>
      </w:r>
      <w:r w:rsidR="00417E1B" w:rsidRPr="00012C3F">
        <w:rPr>
          <w:rFonts w:eastAsiaTheme="minorHAnsi" w:cs="Arial"/>
          <w:sz w:val="20"/>
          <w:szCs w:val="20"/>
          <w:lang w:val="en-US" w:eastAsia="en-US"/>
        </w:rPr>
        <w:t>,</w:t>
      </w:r>
      <w:r w:rsidRPr="00012C3F">
        <w:rPr>
          <w:rFonts w:eastAsiaTheme="minorHAnsi" w:cs="Arial"/>
          <w:sz w:val="20"/>
          <w:szCs w:val="20"/>
          <w:lang w:val="en-US" w:eastAsia="en-US"/>
        </w:rPr>
        <w:t xml:space="preserve"> incorporating particularly demanding elements in its analysis; </w:t>
      </w:r>
      <w:r w:rsidR="00D933F5" w:rsidRPr="00012C3F">
        <w:rPr>
          <w:rFonts w:eastAsiaTheme="minorHAnsi" w:cs="Arial"/>
          <w:sz w:val="20"/>
          <w:szCs w:val="20"/>
          <w:lang w:val="en-US" w:eastAsia="en-US"/>
        </w:rPr>
        <w:t xml:space="preserve">in other words, </w:t>
      </w:r>
      <w:r w:rsidRPr="00012C3F">
        <w:rPr>
          <w:rFonts w:eastAsiaTheme="minorHAnsi" w:cs="Arial"/>
          <w:sz w:val="20"/>
          <w:szCs w:val="20"/>
          <w:lang w:val="en-US" w:eastAsia="en-US"/>
        </w:rPr>
        <w:t xml:space="preserve">the different treatment </w:t>
      </w:r>
      <w:r w:rsidR="00D933F5" w:rsidRPr="00012C3F">
        <w:rPr>
          <w:rFonts w:eastAsiaTheme="minorHAnsi" w:cs="Arial"/>
          <w:sz w:val="20"/>
          <w:szCs w:val="20"/>
          <w:lang w:val="en-US" w:eastAsia="en-US"/>
        </w:rPr>
        <w:t>must</w:t>
      </w:r>
      <w:r w:rsidRPr="00012C3F">
        <w:rPr>
          <w:rFonts w:eastAsiaTheme="minorHAnsi" w:cs="Arial"/>
          <w:sz w:val="20"/>
          <w:szCs w:val="20"/>
          <w:lang w:val="en-US" w:eastAsia="en-US"/>
        </w:rPr>
        <w:t xml:space="preserve"> constitute a necessary measure to achieve an imperative purpose pursuant to the Convention. Thus, </w:t>
      </w:r>
      <w:r w:rsidR="00D933F5" w:rsidRPr="00012C3F">
        <w:rPr>
          <w:rFonts w:eastAsiaTheme="minorHAnsi" w:cs="Arial"/>
          <w:sz w:val="20"/>
          <w:szCs w:val="20"/>
          <w:lang w:val="en-US" w:eastAsia="en-US"/>
        </w:rPr>
        <w:t>when</w:t>
      </w:r>
      <w:r w:rsidRPr="00012C3F">
        <w:rPr>
          <w:rFonts w:eastAsiaTheme="minorHAnsi" w:cs="Arial"/>
          <w:sz w:val="20"/>
          <w:szCs w:val="20"/>
          <w:lang w:val="en-US" w:eastAsia="en-US"/>
        </w:rPr>
        <w:t xml:space="preserve"> analyz</w:t>
      </w:r>
      <w:r w:rsidR="00D933F5" w:rsidRPr="00012C3F">
        <w:rPr>
          <w:rFonts w:eastAsiaTheme="minorHAnsi" w:cs="Arial"/>
          <w:sz w:val="20"/>
          <w:szCs w:val="20"/>
          <w:lang w:val="en-US" w:eastAsia="en-US"/>
        </w:rPr>
        <w:t>ing</w:t>
      </w:r>
      <w:r w:rsidRPr="00012C3F">
        <w:rPr>
          <w:rFonts w:eastAsiaTheme="minorHAnsi" w:cs="Arial"/>
          <w:sz w:val="20"/>
          <w:szCs w:val="20"/>
          <w:lang w:val="en-US" w:eastAsia="en-US"/>
        </w:rPr>
        <w:t xml:space="preserve"> the appropriateness of the differentiating measure, the objective pursued must be not only legitimate within the framework of the Convention, but also imperative. The measure chosen must not only be appropriate and effective, but also necessary; that is, it cannot be replaced by a less harmful alternative. Additionally, this includes the application of a consideration of proportionality </w:t>
      </w:r>
      <w:r w:rsidR="00337427" w:rsidRPr="00012C3F">
        <w:rPr>
          <w:rFonts w:eastAsiaTheme="minorHAnsi" w:cs="Arial"/>
          <w:i/>
          <w:iCs/>
          <w:sz w:val="20"/>
          <w:szCs w:val="20"/>
          <w:lang w:val="en-US" w:eastAsia="en-US"/>
        </w:rPr>
        <w:t xml:space="preserve">stricto sensu, </w:t>
      </w:r>
      <w:r w:rsidR="00337427" w:rsidRPr="00012C3F">
        <w:rPr>
          <w:rFonts w:eastAsiaTheme="minorHAnsi" w:cs="Arial"/>
          <w:sz w:val="20"/>
          <w:szCs w:val="20"/>
          <w:lang w:val="en-US" w:eastAsia="en-US"/>
        </w:rPr>
        <w:t>according to which the benefits of taking the measure in question must clearly outweigh the restrictions that it imposes on the treaty-based principles that it infringes.</w:t>
      </w:r>
    </w:p>
    <w:p w14:paraId="45F47418" w14:textId="77777777" w:rsidR="0076525E" w:rsidRPr="00012C3F" w:rsidRDefault="0076525E" w:rsidP="00A15704">
      <w:pPr>
        <w:widowControl/>
        <w:tabs>
          <w:tab w:val="left" w:pos="720"/>
        </w:tabs>
        <w:autoSpaceDE w:val="0"/>
        <w:autoSpaceDN w:val="0"/>
        <w:spacing w:line="240" w:lineRule="auto"/>
        <w:textAlignment w:val="auto"/>
        <w:rPr>
          <w:rFonts w:eastAsiaTheme="minorHAnsi" w:cs="Arial"/>
          <w:sz w:val="20"/>
          <w:szCs w:val="20"/>
          <w:lang w:val="en-US" w:eastAsia="en-US"/>
        </w:rPr>
      </w:pPr>
    </w:p>
    <w:p w14:paraId="4E16956F" w14:textId="77777777" w:rsidR="00337427" w:rsidRPr="00012C3F" w:rsidRDefault="00BD056C" w:rsidP="00337427">
      <w:pPr>
        <w:numPr>
          <w:ilvl w:val="0"/>
          <w:numId w:val="5"/>
        </w:numPr>
        <w:tabs>
          <w:tab w:val="left" w:pos="720"/>
          <w:tab w:val="num" w:pos="12305"/>
        </w:tabs>
        <w:spacing w:line="240" w:lineRule="auto"/>
        <w:ind w:left="0" w:firstLine="0"/>
        <w:rPr>
          <w:rFonts w:eastAsiaTheme="minorHAnsi" w:cs="Arial"/>
          <w:sz w:val="20"/>
          <w:szCs w:val="20"/>
          <w:lang w:val="en-US" w:eastAsia="en-US"/>
        </w:rPr>
      </w:pPr>
      <w:r w:rsidRPr="00012C3F">
        <w:rPr>
          <w:rFonts w:eastAsiaTheme="minorHAnsi" w:cs="Arial"/>
          <w:sz w:val="20"/>
          <w:szCs w:val="20"/>
          <w:lang w:val="en-US" w:eastAsia="en-US"/>
        </w:rPr>
        <w:t>The Commission</w:t>
      </w:r>
      <w:r w:rsidR="003730AC" w:rsidRPr="00012C3F">
        <w:rPr>
          <w:rFonts w:eastAsiaTheme="minorHAnsi" w:cs="Arial"/>
          <w:sz w:val="20"/>
          <w:szCs w:val="20"/>
          <w:lang w:val="en-US" w:eastAsia="en-US"/>
        </w:rPr>
        <w:t xml:space="preserve"> </w:t>
      </w:r>
      <w:r w:rsidR="00D933F5" w:rsidRPr="00012C3F">
        <w:rPr>
          <w:rFonts w:eastAsiaTheme="minorHAnsi" w:cs="Arial"/>
          <w:sz w:val="20"/>
          <w:szCs w:val="20"/>
          <w:lang w:val="en-US" w:eastAsia="en-US"/>
        </w:rPr>
        <w:t xml:space="preserve">has </w:t>
      </w:r>
      <w:r w:rsidR="00337427" w:rsidRPr="00012C3F">
        <w:rPr>
          <w:rFonts w:eastAsiaTheme="minorHAnsi" w:cs="Arial"/>
          <w:sz w:val="20"/>
          <w:szCs w:val="20"/>
          <w:lang w:val="en-US" w:eastAsia="en-US"/>
        </w:rPr>
        <w:t xml:space="preserve">asserted that, “this case provides an example of the multiples forms of discrimination that affect the enjoyment and exercise of human rights of some groups of women, such as I.V., based on the intersection of various factors such as their sex, </w:t>
      </w:r>
      <w:r w:rsidR="00F46A6E" w:rsidRPr="00012C3F">
        <w:rPr>
          <w:rFonts w:eastAsiaTheme="minorHAnsi" w:cs="Arial"/>
          <w:sz w:val="20"/>
          <w:szCs w:val="20"/>
          <w:lang w:val="en-US" w:eastAsia="en-US"/>
        </w:rPr>
        <w:t>im</w:t>
      </w:r>
      <w:r w:rsidR="00337427" w:rsidRPr="00012C3F">
        <w:rPr>
          <w:rFonts w:eastAsiaTheme="minorHAnsi" w:cs="Arial"/>
          <w:sz w:val="20"/>
          <w:szCs w:val="20"/>
          <w:lang w:val="en-US" w:eastAsia="en-US"/>
        </w:rPr>
        <w:t xml:space="preserve">migrant status, and economic situation.” And, I.V.’s </w:t>
      </w:r>
      <w:r w:rsidR="00972ACF" w:rsidRPr="00012C3F">
        <w:rPr>
          <w:rFonts w:eastAsiaTheme="minorHAnsi" w:cs="Arial"/>
          <w:sz w:val="20"/>
          <w:szCs w:val="20"/>
          <w:lang w:val="en-US" w:eastAsia="en-US"/>
        </w:rPr>
        <w:t>representative</w:t>
      </w:r>
      <w:r w:rsidR="008A610E" w:rsidRPr="00012C3F">
        <w:rPr>
          <w:rFonts w:eastAsiaTheme="minorHAnsi" w:cs="Arial"/>
          <w:sz w:val="20"/>
          <w:szCs w:val="20"/>
          <w:lang w:val="en-US" w:eastAsia="en-US"/>
        </w:rPr>
        <w:t xml:space="preserve"> </w:t>
      </w:r>
      <w:r w:rsidR="00337427" w:rsidRPr="00012C3F">
        <w:rPr>
          <w:rFonts w:eastAsiaTheme="minorHAnsi" w:cs="Arial"/>
          <w:sz w:val="20"/>
          <w:szCs w:val="20"/>
          <w:lang w:val="en-US" w:eastAsia="en-US"/>
        </w:rPr>
        <w:t>argued before this Court that, subjecting her to sterilization without her consent was discriminatory based on her condition as (i) a woman; (ii) poor; (iii) Peruvian, and (iv) a refugee.</w:t>
      </w:r>
    </w:p>
    <w:p w14:paraId="536F9F8F" w14:textId="77777777" w:rsidR="00A71482" w:rsidRPr="00012C3F" w:rsidRDefault="00A71482" w:rsidP="00A15704">
      <w:pPr>
        <w:widowControl/>
        <w:tabs>
          <w:tab w:val="left" w:pos="720"/>
        </w:tabs>
        <w:autoSpaceDE w:val="0"/>
        <w:autoSpaceDN w:val="0"/>
        <w:spacing w:line="240" w:lineRule="auto"/>
        <w:textAlignment w:val="auto"/>
        <w:rPr>
          <w:rFonts w:eastAsiaTheme="minorHAnsi" w:cs="Arial"/>
          <w:sz w:val="20"/>
          <w:szCs w:val="20"/>
          <w:lang w:val="en-US" w:eastAsia="en-US"/>
        </w:rPr>
      </w:pPr>
    </w:p>
    <w:p w14:paraId="7C4921CA" w14:textId="77777777" w:rsidR="009F0E23" w:rsidRPr="00012C3F" w:rsidRDefault="001254DE" w:rsidP="0030317F">
      <w:pPr>
        <w:numPr>
          <w:ilvl w:val="0"/>
          <w:numId w:val="5"/>
        </w:numPr>
        <w:tabs>
          <w:tab w:val="left" w:pos="720"/>
          <w:tab w:val="num" w:pos="12305"/>
        </w:tabs>
        <w:spacing w:line="240" w:lineRule="auto"/>
        <w:ind w:left="0" w:firstLine="0"/>
        <w:rPr>
          <w:rFonts w:eastAsiaTheme="minorHAnsi" w:cs="Arial"/>
          <w:sz w:val="20"/>
          <w:szCs w:val="20"/>
          <w:lang w:val="en-US" w:eastAsia="en-US"/>
        </w:rPr>
      </w:pPr>
      <w:r w:rsidRPr="00012C3F">
        <w:rPr>
          <w:rFonts w:eastAsiaTheme="minorHAnsi" w:cs="Arial"/>
          <w:sz w:val="20"/>
          <w:szCs w:val="20"/>
          <w:lang w:val="en-US" w:eastAsia="en-US"/>
        </w:rPr>
        <w:t>The Court</w:t>
      </w:r>
      <w:r w:rsidR="00337427" w:rsidRPr="00012C3F">
        <w:rPr>
          <w:rFonts w:cs="Arial"/>
          <w:sz w:val="20"/>
          <w:szCs w:val="20"/>
          <w:lang w:val="en-US"/>
        </w:rPr>
        <w:t xml:space="preserve"> recognizes that, historically, a woman’s liberty and autonomy as regards her sexual and reproductive health</w:t>
      </w:r>
      <w:r w:rsidR="00672DA2" w:rsidRPr="00012C3F">
        <w:rPr>
          <w:rFonts w:cs="Arial"/>
          <w:sz w:val="20"/>
          <w:szCs w:val="20"/>
          <w:lang w:val="en-US"/>
        </w:rPr>
        <w:t>,</w:t>
      </w:r>
      <w:r w:rsidR="00337427" w:rsidRPr="00012C3F">
        <w:rPr>
          <w:rFonts w:cs="Arial"/>
          <w:sz w:val="20"/>
          <w:szCs w:val="20"/>
          <w:lang w:val="en-US"/>
        </w:rPr>
        <w:t xml:space="preserve"> ha</w:t>
      </w:r>
      <w:r w:rsidR="00672DA2" w:rsidRPr="00012C3F">
        <w:rPr>
          <w:rFonts w:cs="Arial"/>
          <w:sz w:val="20"/>
          <w:szCs w:val="20"/>
          <w:lang w:val="en-US"/>
        </w:rPr>
        <w:t>s</w:t>
      </w:r>
      <w:r w:rsidR="00337427" w:rsidRPr="00012C3F">
        <w:rPr>
          <w:rFonts w:cs="Arial"/>
          <w:sz w:val="20"/>
          <w:szCs w:val="20"/>
          <w:lang w:val="en-US"/>
        </w:rPr>
        <w:t xml:space="preserve"> been limited, restricted or annulled</w:t>
      </w:r>
      <w:r w:rsidR="00337427" w:rsidRPr="00012C3F">
        <w:rPr>
          <w:rStyle w:val="Refdenotaalpie"/>
          <w:rFonts w:eastAsiaTheme="minorHAnsi" w:cs="Arial"/>
          <w:sz w:val="20"/>
          <w:szCs w:val="20"/>
          <w:lang w:val="en-US" w:eastAsia="en-US"/>
        </w:rPr>
        <w:footnoteReference w:id="320"/>
      </w:r>
      <w:r w:rsidR="00337427" w:rsidRPr="00012C3F">
        <w:rPr>
          <w:rFonts w:cs="Arial"/>
          <w:sz w:val="20"/>
          <w:szCs w:val="20"/>
          <w:lang w:val="en-US"/>
        </w:rPr>
        <w:t xml:space="preserve"> based on negative and prejudicial gender stereotypes, as described by the physician himself during the public hearing.</w:t>
      </w:r>
      <w:r w:rsidR="00B74197" w:rsidRPr="00012C3F">
        <w:rPr>
          <w:rFonts w:eastAsiaTheme="minorHAnsi" w:cs="Arial"/>
          <w:sz w:val="20"/>
          <w:szCs w:val="20"/>
          <w:vertAlign w:val="superscript"/>
          <w:lang w:val="en-US" w:eastAsia="en-US"/>
        </w:rPr>
        <w:footnoteReference w:id="321"/>
      </w:r>
      <w:r w:rsidR="00B74197" w:rsidRPr="00012C3F">
        <w:rPr>
          <w:rFonts w:eastAsiaTheme="minorHAnsi" w:cs="Arial"/>
          <w:sz w:val="20"/>
          <w:szCs w:val="20"/>
          <w:lang w:val="en-US" w:eastAsia="en-US"/>
        </w:rPr>
        <w:t xml:space="preserve"> </w:t>
      </w:r>
      <w:r w:rsidR="0030317F" w:rsidRPr="00012C3F">
        <w:rPr>
          <w:rFonts w:cs="Arial"/>
          <w:sz w:val="20"/>
          <w:szCs w:val="20"/>
          <w:lang w:val="en-US"/>
        </w:rPr>
        <w:t>This is because, socially and culturally, men have been assigned a preponderant role in decision-making with regard to a woman’s body, and women have been seen, above all, as a reproductive entity. In particular, the Court note</w:t>
      </w:r>
      <w:r w:rsidR="0030317F" w:rsidRPr="00012C3F">
        <w:rPr>
          <w:rFonts w:cs="Arial"/>
          <w:sz w:val="20"/>
          <w:lang w:val="en-US"/>
        </w:rPr>
        <w:t>s</w:t>
      </w:r>
      <w:r w:rsidR="0030317F" w:rsidRPr="00012C3F">
        <w:rPr>
          <w:rFonts w:cs="Arial"/>
          <w:sz w:val="20"/>
          <w:szCs w:val="20"/>
          <w:lang w:val="en-US"/>
        </w:rPr>
        <w:t xml:space="preserve"> that non-consensual sterilization was influenced by the </w:t>
      </w:r>
      <w:r w:rsidR="0030317F" w:rsidRPr="00012C3F">
        <w:rPr>
          <w:rFonts w:cs="Arial"/>
          <w:sz w:val="20"/>
          <w:szCs w:val="20"/>
          <w:lang w:val="en-US"/>
        </w:rPr>
        <w:lastRenderedPageBreak/>
        <w:t>historically unequal relationship between women and men. Even though sterilization was a</w:t>
      </w:r>
      <w:r w:rsidR="0030317F" w:rsidRPr="00012C3F">
        <w:rPr>
          <w:rFonts w:cs="Arial"/>
          <w:sz w:val="20"/>
          <w:lang w:val="en-US"/>
        </w:rPr>
        <w:t xml:space="preserve"> contra</w:t>
      </w:r>
      <w:r w:rsidR="0030317F" w:rsidRPr="00012C3F">
        <w:rPr>
          <w:rFonts w:cs="Arial"/>
          <w:sz w:val="20"/>
          <w:szCs w:val="20"/>
          <w:lang w:val="en-US"/>
        </w:rPr>
        <w:t>ceptive method used by both women and men, non-consensual sterilization affected women disproportionately, because they were women, and because society assigned the reproductive function and family planning to women.</w:t>
      </w:r>
      <w:r w:rsidR="009213AE" w:rsidRPr="00012C3F">
        <w:rPr>
          <w:rFonts w:eastAsia="MS Mincho"/>
          <w:sz w:val="20"/>
          <w:szCs w:val="20"/>
          <w:vertAlign w:val="superscript"/>
          <w:lang w:val="en-US"/>
        </w:rPr>
        <w:footnoteReference w:id="322"/>
      </w:r>
      <w:r w:rsidR="0030317F" w:rsidRPr="00012C3F">
        <w:rPr>
          <w:rFonts w:cs="Arial"/>
          <w:sz w:val="20"/>
          <w:szCs w:val="20"/>
          <w:lang w:val="en-US"/>
        </w:rPr>
        <w:t xml:space="preserve"> Furthermore, the fact that women </w:t>
      </w:r>
      <w:r w:rsidR="0030317F" w:rsidRPr="00012C3F">
        <w:rPr>
          <w:rFonts w:cs="Arial"/>
          <w:sz w:val="20"/>
          <w:lang w:val="en-US"/>
        </w:rPr>
        <w:t>ar</w:t>
      </w:r>
      <w:r w:rsidR="0030317F" w:rsidRPr="00012C3F">
        <w:rPr>
          <w:rFonts w:cs="Arial"/>
          <w:sz w:val="20"/>
          <w:szCs w:val="20"/>
          <w:lang w:val="en-US"/>
        </w:rPr>
        <w:t>e the sex with the biological capacity to become pregnant and give birth mean</w:t>
      </w:r>
      <w:r w:rsidR="00672DA2" w:rsidRPr="00012C3F">
        <w:rPr>
          <w:rFonts w:cs="Arial"/>
          <w:sz w:val="20"/>
          <w:szCs w:val="20"/>
          <w:lang w:val="en-US"/>
        </w:rPr>
        <w:t>s</w:t>
      </w:r>
      <w:r w:rsidR="0030317F" w:rsidRPr="00012C3F">
        <w:rPr>
          <w:rFonts w:cs="Arial"/>
          <w:sz w:val="20"/>
          <w:szCs w:val="20"/>
          <w:lang w:val="en-US"/>
        </w:rPr>
        <w:t xml:space="preserve"> that, during a </w:t>
      </w:r>
      <w:r w:rsidR="00672DA2" w:rsidRPr="00012C3F">
        <w:rPr>
          <w:rFonts w:cs="Arial"/>
          <w:sz w:val="20"/>
          <w:szCs w:val="20"/>
          <w:lang w:val="en-US"/>
        </w:rPr>
        <w:t>c</w:t>
      </w:r>
      <w:r w:rsidR="0030317F" w:rsidRPr="00012C3F">
        <w:rPr>
          <w:rFonts w:cs="Arial"/>
          <w:sz w:val="20"/>
          <w:szCs w:val="20"/>
          <w:lang w:val="en-US"/>
        </w:rPr>
        <w:t>aesarean section, they were frequently subject</w:t>
      </w:r>
      <w:r w:rsidR="00672DA2" w:rsidRPr="00012C3F">
        <w:rPr>
          <w:rFonts w:cs="Arial"/>
          <w:sz w:val="20"/>
          <w:szCs w:val="20"/>
          <w:lang w:val="en-US"/>
        </w:rPr>
        <w:t>ed</w:t>
      </w:r>
      <w:r w:rsidR="0030317F" w:rsidRPr="00012C3F">
        <w:rPr>
          <w:rFonts w:cs="Arial"/>
          <w:sz w:val="20"/>
          <w:szCs w:val="20"/>
          <w:lang w:val="en-US"/>
        </w:rPr>
        <w:t xml:space="preserve"> to non-consensual sterilization, because they were excluded from the process of taking informed decisions with regard to their body and reproductive health on the basis of the prejudicial stereotype that they were unable to take such decisions responsibly.</w:t>
      </w:r>
      <w:r w:rsidR="009213AE" w:rsidRPr="00012C3F">
        <w:rPr>
          <w:rFonts w:eastAsia="MS Mincho"/>
          <w:sz w:val="20"/>
          <w:szCs w:val="20"/>
          <w:vertAlign w:val="superscript"/>
          <w:lang w:val="en-US"/>
        </w:rPr>
        <w:footnoteReference w:id="323"/>
      </w:r>
      <w:r w:rsidR="009213AE" w:rsidRPr="00012C3F">
        <w:rPr>
          <w:rFonts w:eastAsia="MS Mincho"/>
          <w:sz w:val="20"/>
          <w:szCs w:val="20"/>
          <w:lang w:val="en-US"/>
        </w:rPr>
        <w:t xml:space="preserve"> </w:t>
      </w:r>
      <w:r w:rsidR="0030317F" w:rsidRPr="00012C3F">
        <w:rPr>
          <w:rFonts w:cs="Arial"/>
          <w:sz w:val="20"/>
          <w:szCs w:val="20"/>
          <w:lang w:val="en-US"/>
        </w:rPr>
        <w:t>Consequently, the Court consider</w:t>
      </w:r>
      <w:r w:rsidR="00672DA2" w:rsidRPr="00012C3F">
        <w:rPr>
          <w:rFonts w:cs="Arial"/>
          <w:sz w:val="20"/>
          <w:szCs w:val="20"/>
          <w:lang w:val="en-US"/>
        </w:rPr>
        <w:t>s</w:t>
      </w:r>
      <w:r w:rsidR="0030317F" w:rsidRPr="00012C3F">
        <w:rPr>
          <w:rFonts w:cs="Arial"/>
          <w:sz w:val="20"/>
          <w:szCs w:val="20"/>
          <w:lang w:val="en-US"/>
        </w:rPr>
        <w:t xml:space="preserve"> that the strict protection provided by Article 1(1) of the Convention </w:t>
      </w:r>
      <w:r w:rsidR="00672DA2" w:rsidRPr="00012C3F">
        <w:rPr>
          <w:rFonts w:cs="Arial"/>
          <w:sz w:val="20"/>
          <w:szCs w:val="20"/>
          <w:lang w:val="en-US"/>
        </w:rPr>
        <w:t>i</w:t>
      </w:r>
      <w:r w:rsidR="0030317F" w:rsidRPr="00012C3F">
        <w:rPr>
          <w:rFonts w:cs="Arial"/>
          <w:sz w:val="20"/>
          <w:szCs w:val="20"/>
          <w:lang w:val="en-US"/>
        </w:rPr>
        <w:t xml:space="preserve">s </w:t>
      </w:r>
      <w:r w:rsidR="00672DA2" w:rsidRPr="00012C3F">
        <w:rPr>
          <w:rFonts w:cs="Arial"/>
          <w:sz w:val="20"/>
          <w:szCs w:val="20"/>
          <w:lang w:val="en-US"/>
        </w:rPr>
        <w:t>applicable</w:t>
      </w:r>
      <w:r w:rsidR="0030317F" w:rsidRPr="00012C3F">
        <w:rPr>
          <w:rFonts w:cs="Arial"/>
          <w:sz w:val="20"/>
          <w:szCs w:val="20"/>
          <w:lang w:val="en-US"/>
        </w:rPr>
        <w:t xml:space="preserve"> </w:t>
      </w:r>
      <w:r w:rsidR="00672DA2" w:rsidRPr="00012C3F">
        <w:rPr>
          <w:rFonts w:cs="Arial"/>
          <w:sz w:val="20"/>
          <w:szCs w:val="20"/>
          <w:lang w:val="en-US"/>
        </w:rPr>
        <w:t>based on</w:t>
      </w:r>
      <w:r w:rsidR="0030317F" w:rsidRPr="00012C3F">
        <w:rPr>
          <w:rFonts w:cs="Arial"/>
          <w:sz w:val="20"/>
          <w:szCs w:val="20"/>
          <w:lang w:val="en-US"/>
        </w:rPr>
        <w:t xml:space="preserve"> sex and gender</w:t>
      </w:r>
      <w:r w:rsidR="00452BE4" w:rsidRPr="00012C3F">
        <w:rPr>
          <w:rStyle w:val="Refdenotaalpie"/>
          <w:rFonts w:eastAsiaTheme="minorHAnsi" w:cs="Arial"/>
          <w:sz w:val="20"/>
          <w:szCs w:val="20"/>
          <w:lang w:val="en-US" w:eastAsia="en-US"/>
        </w:rPr>
        <w:footnoteReference w:id="324"/>
      </w:r>
      <w:r w:rsidR="0030317F" w:rsidRPr="00012C3F">
        <w:rPr>
          <w:rFonts w:cs="Arial"/>
          <w:sz w:val="20"/>
          <w:szCs w:val="20"/>
          <w:lang w:val="en-US"/>
        </w:rPr>
        <w:t xml:space="preserve"> because, traditionally, </w:t>
      </w:r>
      <w:r w:rsidR="00672DA2" w:rsidRPr="00012C3F">
        <w:rPr>
          <w:rFonts w:cs="Arial"/>
          <w:sz w:val="20"/>
          <w:szCs w:val="20"/>
          <w:lang w:val="en-US"/>
        </w:rPr>
        <w:t>w</w:t>
      </w:r>
      <w:r w:rsidR="0030317F" w:rsidRPr="00012C3F">
        <w:rPr>
          <w:rFonts w:cs="Arial"/>
          <w:sz w:val="20"/>
          <w:szCs w:val="20"/>
          <w:lang w:val="en-US"/>
        </w:rPr>
        <w:t>omen ha</w:t>
      </w:r>
      <w:r w:rsidR="00672DA2" w:rsidRPr="00012C3F">
        <w:rPr>
          <w:rFonts w:cs="Arial"/>
          <w:sz w:val="20"/>
          <w:szCs w:val="20"/>
          <w:lang w:val="en-US"/>
        </w:rPr>
        <w:t>ve</w:t>
      </w:r>
      <w:r w:rsidR="0030317F" w:rsidRPr="00012C3F">
        <w:rPr>
          <w:rFonts w:cs="Arial"/>
          <w:sz w:val="20"/>
          <w:szCs w:val="20"/>
          <w:lang w:val="en-US"/>
        </w:rPr>
        <w:t xml:space="preserve"> been marginalized and discriminated against in this regard. Therefore, the Court will examine this aspect of the case rigorously</w:t>
      </w:r>
      <w:r w:rsidR="0030317F" w:rsidRPr="00012C3F">
        <w:rPr>
          <w:rFonts w:eastAsiaTheme="minorHAnsi" w:cs="Arial"/>
          <w:sz w:val="20"/>
          <w:szCs w:val="20"/>
          <w:lang w:val="en-US" w:eastAsia="en-US"/>
        </w:rPr>
        <w:t>.</w:t>
      </w:r>
    </w:p>
    <w:p w14:paraId="1CA2315B" w14:textId="77777777" w:rsidR="0030317F" w:rsidRPr="00012C3F" w:rsidRDefault="0030317F" w:rsidP="0030317F">
      <w:pPr>
        <w:tabs>
          <w:tab w:val="left" w:pos="720"/>
        </w:tabs>
        <w:spacing w:line="240" w:lineRule="auto"/>
        <w:rPr>
          <w:rFonts w:eastAsiaTheme="minorHAnsi" w:cs="Arial"/>
          <w:sz w:val="20"/>
          <w:szCs w:val="20"/>
          <w:lang w:val="en-US" w:eastAsia="en-US"/>
        </w:rPr>
      </w:pPr>
    </w:p>
    <w:p w14:paraId="154C23FD" w14:textId="77777777" w:rsidR="00483E0B" w:rsidRPr="00012C3F" w:rsidRDefault="00C1462B" w:rsidP="00E336E5">
      <w:pPr>
        <w:numPr>
          <w:ilvl w:val="0"/>
          <w:numId w:val="5"/>
        </w:numPr>
        <w:tabs>
          <w:tab w:val="left" w:pos="720"/>
          <w:tab w:val="num" w:pos="12305"/>
        </w:tabs>
        <w:spacing w:line="240" w:lineRule="auto"/>
        <w:ind w:left="0" w:firstLine="0"/>
        <w:rPr>
          <w:rFonts w:eastAsiaTheme="minorHAnsi" w:cs="Arial"/>
          <w:iCs/>
          <w:sz w:val="20"/>
          <w:szCs w:val="20"/>
          <w:lang w:val="en-US" w:eastAsia="en-US"/>
        </w:rPr>
      </w:pPr>
      <w:r w:rsidRPr="00012C3F">
        <w:rPr>
          <w:rFonts w:eastAsiaTheme="minorHAnsi" w:cs="Arial"/>
          <w:sz w:val="20"/>
          <w:szCs w:val="20"/>
          <w:lang w:val="en-US" w:eastAsia="en-US"/>
        </w:rPr>
        <w:t xml:space="preserve">In this context, </w:t>
      </w:r>
      <w:r w:rsidR="001254DE" w:rsidRPr="00012C3F">
        <w:rPr>
          <w:rFonts w:eastAsiaTheme="minorHAnsi" w:cs="Arial"/>
          <w:iCs/>
          <w:sz w:val="20"/>
          <w:szCs w:val="20"/>
          <w:lang w:val="en-US" w:eastAsia="en-US"/>
        </w:rPr>
        <w:t>the Court</w:t>
      </w:r>
      <w:r w:rsidR="00483E0B" w:rsidRPr="00012C3F">
        <w:rPr>
          <w:rFonts w:eastAsiaTheme="minorHAnsi" w:cs="Arial"/>
          <w:iCs/>
          <w:sz w:val="20"/>
          <w:szCs w:val="20"/>
          <w:lang w:val="en-US" w:eastAsia="en-US"/>
        </w:rPr>
        <w:t xml:space="preserve"> </w:t>
      </w:r>
      <w:r w:rsidR="00E336E5" w:rsidRPr="00012C3F">
        <w:rPr>
          <w:rFonts w:eastAsiaTheme="minorHAnsi" w:cs="Arial"/>
          <w:iCs/>
          <w:sz w:val="20"/>
          <w:szCs w:val="20"/>
          <w:lang w:val="en-US" w:eastAsia="en-US"/>
        </w:rPr>
        <w:t>emphasizes that “in the case of the prohibition of discrimination based on one of the protected categories contained in Article 1(1) of the Convention, the possible restriction of a right requires a weighty and rigorous justification, which means that the reasons used by the State to differentiate treatment must be particularly s</w:t>
      </w:r>
      <w:r w:rsidR="00672DA2" w:rsidRPr="00012C3F">
        <w:rPr>
          <w:rFonts w:eastAsiaTheme="minorHAnsi" w:cs="Arial"/>
          <w:iCs/>
          <w:sz w:val="20"/>
          <w:szCs w:val="20"/>
          <w:lang w:val="en-US" w:eastAsia="en-US"/>
        </w:rPr>
        <w:t>ignificant</w:t>
      </w:r>
      <w:r w:rsidR="00E336E5" w:rsidRPr="00012C3F">
        <w:rPr>
          <w:rFonts w:eastAsiaTheme="minorHAnsi" w:cs="Arial"/>
          <w:iCs/>
          <w:sz w:val="20"/>
          <w:szCs w:val="20"/>
          <w:lang w:val="en-US" w:eastAsia="en-US"/>
        </w:rPr>
        <w:t xml:space="preserve"> and based on a thorough </w:t>
      </w:r>
      <w:r w:rsidR="00672DA2" w:rsidRPr="00012C3F">
        <w:rPr>
          <w:rFonts w:eastAsiaTheme="minorHAnsi" w:cs="Arial"/>
          <w:iCs/>
          <w:sz w:val="20"/>
          <w:szCs w:val="20"/>
          <w:lang w:val="en-US" w:eastAsia="en-US"/>
        </w:rPr>
        <w:t>substantiation</w:t>
      </w:r>
      <w:r w:rsidR="00E336E5" w:rsidRPr="00012C3F">
        <w:rPr>
          <w:rFonts w:eastAsiaTheme="minorHAnsi" w:cs="Arial"/>
          <w:iCs/>
          <w:sz w:val="20"/>
          <w:szCs w:val="20"/>
          <w:lang w:val="en-US" w:eastAsia="en-US"/>
        </w:rPr>
        <w:t>. In addition, the burden of proof is inversed, which means that it is for the authority to prove that neither the purpose nor the effects of the decision were discriminatory.</w:t>
      </w:r>
      <w:r w:rsidR="00483E0B" w:rsidRPr="00012C3F">
        <w:rPr>
          <w:rFonts w:eastAsiaTheme="minorHAnsi" w:cs="Arial"/>
          <w:iCs/>
          <w:sz w:val="20"/>
          <w:szCs w:val="20"/>
          <w:lang w:val="en-US" w:eastAsia="en-US"/>
        </w:rPr>
        <w:t>”</w:t>
      </w:r>
      <w:r w:rsidR="00483E0B" w:rsidRPr="00012C3F">
        <w:rPr>
          <w:rFonts w:eastAsiaTheme="minorHAnsi" w:cs="Arial"/>
          <w:iCs/>
          <w:sz w:val="20"/>
          <w:szCs w:val="20"/>
          <w:vertAlign w:val="superscript"/>
          <w:lang w:val="en-US" w:eastAsia="en-US"/>
        </w:rPr>
        <w:footnoteReference w:id="325"/>
      </w:r>
    </w:p>
    <w:p w14:paraId="250D4FAB" w14:textId="77777777" w:rsidR="00483E0B" w:rsidRPr="00012C3F" w:rsidRDefault="00483E0B" w:rsidP="00306849">
      <w:pPr>
        <w:widowControl/>
        <w:tabs>
          <w:tab w:val="left" w:pos="720"/>
        </w:tabs>
        <w:autoSpaceDE w:val="0"/>
        <w:autoSpaceDN w:val="0"/>
        <w:spacing w:line="240" w:lineRule="auto"/>
        <w:textAlignment w:val="auto"/>
        <w:rPr>
          <w:rFonts w:eastAsiaTheme="minorHAnsi" w:cs="Arial"/>
          <w:sz w:val="20"/>
          <w:szCs w:val="20"/>
          <w:lang w:val="en-US" w:eastAsia="en-US"/>
        </w:rPr>
      </w:pPr>
    </w:p>
    <w:p w14:paraId="0AB613CA" w14:textId="77777777" w:rsidR="00E336E5" w:rsidRPr="00012C3F" w:rsidRDefault="00E336E5" w:rsidP="00306849">
      <w:pPr>
        <w:numPr>
          <w:ilvl w:val="0"/>
          <w:numId w:val="5"/>
        </w:numPr>
        <w:tabs>
          <w:tab w:val="left" w:pos="720"/>
          <w:tab w:val="num" w:pos="12305"/>
        </w:tabs>
        <w:spacing w:line="240" w:lineRule="auto"/>
        <w:ind w:left="0" w:firstLine="0"/>
        <w:rPr>
          <w:rFonts w:eastAsiaTheme="minorHAnsi" w:cs="Arial"/>
          <w:sz w:val="20"/>
          <w:szCs w:val="20"/>
          <w:lang w:val="en-US" w:eastAsia="en-US"/>
        </w:rPr>
      </w:pPr>
      <w:r w:rsidRPr="00012C3F">
        <w:rPr>
          <w:rFonts w:eastAsiaTheme="minorHAnsi" w:cs="Arial"/>
          <w:sz w:val="20"/>
          <w:szCs w:val="20"/>
          <w:lang w:val="en-US" w:eastAsia="en-US"/>
        </w:rPr>
        <w:t>When examining the facts of this case and the State’s arguments that the purpose of the sterilization procedure was to safeguard I.V.’s life in view of the danger that a future pregnancy could involve for the patient’s life, the Court notes that the differentiating measure</w:t>
      </w:r>
      <w:r w:rsidR="00672DA2" w:rsidRPr="00012C3F">
        <w:rPr>
          <w:rFonts w:eastAsiaTheme="minorHAnsi" w:cs="Arial"/>
          <w:sz w:val="20"/>
          <w:szCs w:val="20"/>
          <w:lang w:val="en-US" w:eastAsia="en-US"/>
        </w:rPr>
        <w:t xml:space="preserve"> – that</w:t>
      </w:r>
      <w:r w:rsidRPr="00012C3F">
        <w:rPr>
          <w:rFonts w:eastAsiaTheme="minorHAnsi" w:cs="Arial"/>
          <w:sz w:val="20"/>
          <w:szCs w:val="20"/>
          <w:lang w:val="en-US" w:eastAsia="en-US"/>
        </w:rPr>
        <w:t xml:space="preserve"> is the tubal ligation performed on I.V. as a method of contraception</w:t>
      </w:r>
      <w:r w:rsidR="00672DA2" w:rsidRPr="00012C3F">
        <w:rPr>
          <w:rFonts w:eastAsiaTheme="minorHAnsi" w:cs="Arial"/>
          <w:sz w:val="20"/>
          <w:szCs w:val="20"/>
          <w:lang w:val="en-US" w:eastAsia="en-US"/>
        </w:rPr>
        <w:t xml:space="preserve"> – could, </w:t>
      </w:r>
      <w:r w:rsidRPr="00012C3F">
        <w:rPr>
          <w:rFonts w:eastAsiaTheme="minorHAnsi" w:cs="Arial"/>
          <w:sz w:val="20"/>
          <w:szCs w:val="20"/>
          <w:lang w:val="en-US" w:eastAsia="en-US"/>
        </w:rPr>
        <w:t>in principle</w:t>
      </w:r>
      <w:r w:rsidR="00672DA2" w:rsidRPr="00012C3F">
        <w:rPr>
          <w:rFonts w:eastAsiaTheme="minorHAnsi" w:cs="Arial"/>
          <w:sz w:val="20"/>
          <w:szCs w:val="20"/>
          <w:lang w:val="en-US" w:eastAsia="en-US"/>
        </w:rPr>
        <w:t>,</w:t>
      </w:r>
      <w:r w:rsidRPr="00012C3F">
        <w:rPr>
          <w:rFonts w:eastAsiaTheme="minorHAnsi" w:cs="Arial"/>
          <w:sz w:val="20"/>
          <w:szCs w:val="20"/>
          <w:lang w:val="en-US" w:eastAsia="en-US"/>
        </w:rPr>
        <w:t xml:space="preserve"> have had an objective that was </w:t>
      </w:r>
      <w:r w:rsidR="009D3EE9" w:rsidRPr="00012C3F">
        <w:rPr>
          <w:rFonts w:eastAsiaTheme="minorHAnsi" w:cs="Arial"/>
          <w:sz w:val="20"/>
          <w:szCs w:val="20"/>
          <w:lang w:val="en-US" w:eastAsia="en-US"/>
        </w:rPr>
        <w:t>not</w:t>
      </w:r>
      <w:r w:rsidRPr="00012C3F">
        <w:rPr>
          <w:rFonts w:eastAsiaTheme="minorHAnsi" w:cs="Arial"/>
          <w:sz w:val="20"/>
          <w:szCs w:val="20"/>
          <w:lang w:val="en-US" w:eastAsia="en-US"/>
        </w:rPr>
        <w:t xml:space="preserve"> only legitimate, but even imperative, insofar as it was appropriate to protect her health and possibly her life in view of the risk of another pregnancy, because she was permanently deprived of her reproductive capacity. However, it was not strictly necessary, because the same objective could have been achieved with measures that were less harmful for her autonomy and reproductive freedom and less invasive of her private and family life.</w:t>
      </w:r>
    </w:p>
    <w:p w14:paraId="0621D67F" w14:textId="77777777" w:rsidR="00871EF3" w:rsidRPr="00012C3F" w:rsidRDefault="00871EF3" w:rsidP="00306849">
      <w:pPr>
        <w:widowControl/>
        <w:tabs>
          <w:tab w:val="left" w:pos="720"/>
        </w:tabs>
        <w:autoSpaceDE w:val="0"/>
        <w:autoSpaceDN w:val="0"/>
        <w:spacing w:line="240" w:lineRule="auto"/>
        <w:textAlignment w:val="auto"/>
        <w:rPr>
          <w:rFonts w:eastAsiaTheme="minorHAnsi" w:cs="Arial"/>
          <w:sz w:val="20"/>
          <w:szCs w:val="20"/>
          <w:lang w:val="en-US" w:eastAsia="en-US"/>
        </w:rPr>
      </w:pPr>
    </w:p>
    <w:p w14:paraId="5B2E7CC2" w14:textId="77777777" w:rsidR="00D02881" w:rsidRPr="00012C3F" w:rsidRDefault="00E336E5" w:rsidP="00F07712">
      <w:pPr>
        <w:numPr>
          <w:ilvl w:val="0"/>
          <w:numId w:val="5"/>
        </w:numPr>
        <w:tabs>
          <w:tab w:val="left" w:pos="720"/>
          <w:tab w:val="num" w:pos="12305"/>
        </w:tabs>
        <w:spacing w:line="240" w:lineRule="auto"/>
        <w:ind w:left="0" w:firstLine="0"/>
        <w:rPr>
          <w:rFonts w:eastAsiaTheme="minorHAnsi" w:cs="Arial"/>
          <w:sz w:val="20"/>
          <w:szCs w:val="20"/>
          <w:lang w:val="en-US" w:eastAsia="en-US"/>
        </w:rPr>
      </w:pPr>
      <w:r w:rsidRPr="00012C3F">
        <w:rPr>
          <w:rFonts w:eastAsiaTheme="minorHAnsi" w:cs="Arial"/>
          <w:sz w:val="20"/>
          <w:szCs w:val="20"/>
          <w:lang w:val="en-US" w:eastAsia="en-US"/>
        </w:rPr>
        <w:t>Thus, the sterilization procedure denied I.V. the possibility of knowing and weighing up alternative contracepti</w:t>
      </w:r>
      <w:r w:rsidR="00D312A7" w:rsidRPr="00012C3F">
        <w:rPr>
          <w:rFonts w:eastAsiaTheme="minorHAnsi" w:cs="Arial"/>
          <w:sz w:val="20"/>
          <w:szCs w:val="20"/>
          <w:lang w:val="en-US" w:eastAsia="en-US"/>
        </w:rPr>
        <w:t>ve</w:t>
      </w:r>
      <w:r w:rsidRPr="00012C3F">
        <w:rPr>
          <w:rFonts w:eastAsiaTheme="minorHAnsi" w:cs="Arial"/>
          <w:sz w:val="20"/>
          <w:szCs w:val="20"/>
          <w:lang w:val="en-US" w:eastAsia="en-US"/>
        </w:rPr>
        <w:t xml:space="preserve"> methods</w:t>
      </w:r>
      <w:r w:rsidR="00D312A7" w:rsidRPr="00012C3F">
        <w:rPr>
          <w:rFonts w:eastAsiaTheme="minorHAnsi" w:cs="Arial"/>
          <w:sz w:val="20"/>
          <w:szCs w:val="20"/>
          <w:lang w:val="en-US" w:eastAsia="en-US"/>
        </w:rPr>
        <w:t xml:space="preserve"> and the possibility of choosing a non-permanent and less invasive method. Moreover, she did not receive information on alternative contraceptive methods that could have been taken by her husband to avoid a future pregnancy, so that I.V. was assigned the burden of family planning and reproduction. The Court considers that the sterilization procedure annulled I.V.’s decision-making power and also her autonomy in a discriminatory manner because the physician only took into account his criteria and failed to take into consideration the specific wishes and needs of his patient. Also, the fact that the physician tried to locate the husband to obtain his authorization or, in the best-case scenario, </w:t>
      </w:r>
      <w:r w:rsidR="00672DA2" w:rsidRPr="00012C3F">
        <w:rPr>
          <w:rFonts w:eastAsiaTheme="minorHAnsi" w:cs="Arial"/>
          <w:sz w:val="20"/>
          <w:szCs w:val="20"/>
          <w:lang w:val="en-US" w:eastAsia="en-US"/>
        </w:rPr>
        <w:t>ratify</w:t>
      </w:r>
      <w:r w:rsidR="00D312A7" w:rsidRPr="00012C3F">
        <w:rPr>
          <w:rFonts w:eastAsiaTheme="minorHAnsi" w:cs="Arial"/>
          <w:sz w:val="20"/>
          <w:szCs w:val="20"/>
          <w:lang w:val="en-US" w:eastAsia="en-US"/>
        </w:rPr>
        <w:t xml:space="preserve"> the consent supposedly obtained from I.V. during the peri-operative period</w:t>
      </w:r>
      <w:r w:rsidR="008063D2" w:rsidRPr="00012C3F">
        <w:rPr>
          <w:rFonts w:eastAsiaTheme="minorHAnsi" w:cs="Arial"/>
          <w:sz w:val="20"/>
          <w:szCs w:val="20"/>
          <w:lang w:val="en-US" w:eastAsia="en-US"/>
        </w:rPr>
        <w:t xml:space="preserve"> (</w:t>
      </w:r>
      <w:r w:rsidR="008063D2" w:rsidRPr="00012C3F">
        <w:rPr>
          <w:rFonts w:eastAsiaTheme="minorHAnsi" w:cs="Arial"/>
          <w:i/>
          <w:sz w:val="20"/>
          <w:szCs w:val="20"/>
          <w:lang w:val="en-US" w:eastAsia="en-US"/>
        </w:rPr>
        <w:t xml:space="preserve">supra </w:t>
      </w:r>
      <w:r w:rsidR="00370DD4" w:rsidRPr="00012C3F">
        <w:rPr>
          <w:rFonts w:eastAsiaTheme="minorHAnsi" w:cs="Arial"/>
          <w:sz w:val="20"/>
          <w:szCs w:val="20"/>
          <w:lang w:val="en-US" w:eastAsia="en-US"/>
        </w:rPr>
        <w:t>para.</w:t>
      </w:r>
      <w:r w:rsidR="00307E6C" w:rsidRPr="00012C3F">
        <w:rPr>
          <w:rFonts w:eastAsiaTheme="minorHAnsi" w:cs="Arial"/>
          <w:sz w:val="20"/>
          <w:szCs w:val="20"/>
          <w:lang w:val="en-US" w:eastAsia="en-US"/>
        </w:rPr>
        <w:t xml:space="preserve"> 65</w:t>
      </w:r>
      <w:r w:rsidR="008063D2" w:rsidRPr="00012C3F">
        <w:rPr>
          <w:rFonts w:eastAsiaTheme="minorHAnsi" w:cs="Arial"/>
          <w:sz w:val="20"/>
          <w:szCs w:val="20"/>
          <w:lang w:val="en-US" w:eastAsia="en-US"/>
        </w:rPr>
        <w:t>)</w:t>
      </w:r>
      <w:r w:rsidR="006F10C3" w:rsidRPr="00012C3F">
        <w:rPr>
          <w:rFonts w:eastAsiaTheme="minorHAnsi" w:cs="Arial"/>
          <w:sz w:val="20"/>
          <w:szCs w:val="20"/>
          <w:lang w:val="en-US" w:eastAsia="en-US"/>
        </w:rPr>
        <w:t xml:space="preserve">, </w:t>
      </w:r>
      <w:r w:rsidR="00D312A7" w:rsidRPr="00012C3F">
        <w:rPr>
          <w:rFonts w:eastAsiaTheme="minorHAnsi" w:cs="Arial"/>
          <w:sz w:val="20"/>
          <w:szCs w:val="20"/>
          <w:lang w:val="en-US" w:eastAsia="en-US"/>
        </w:rPr>
        <w:t>reveals that he acted based on the stereotype that she was not capable of taking an autonomous decision about her body. The circumstances in which the State alleges that I.V.’s consent was obtained, denied her the opportunity to take a free and informed decision in keeping with her life project. Thus, the phys</w:t>
      </w:r>
      <w:r w:rsidR="00F07712" w:rsidRPr="00012C3F">
        <w:rPr>
          <w:rFonts w:eastAsiaTheme="minorHAnsi" w:cs="Arial"/>
          <w:sz w:val="20"/>
          <w:szCs w:val="20"/>
          <w:lang w:val="en-US" w:eastAsia="en-US"/>
        </w:rPr>
        <w:t>i</w:t>
      </w:r>
      <w:r w:rsidR="00D312A7" w:rsidRPr="00012C3F">
        <w:rPr>
          <w:rFonts w:eastAsiaTheme="minorHAnsi" w:cs="Arial"/>
          <w:sz w:val="20"/>
          <w:szCs w:val="20"/>
          <w:lang w:val="en-US" w:eastAsia="en-US"/>
        </w:rPr>
        <w:t>cian performed an unjustified paternalistic medical procedure</w:t>
      </w:r>
      <w:r w:rsidR="00672DA2" w:rsidRPr="00012C3F">
        <w:rPr>
          <w:rFonts w:eastAsiaTheme="minorHAnsi" w:cs="Arial"/>
          <w:sz w:val="20"/>
          <w:szCs w:val="20"/>
          <w:lang w:val="en-US" w:eastAsia="en-US"/>
        </w:rPr>
        <w:t>,</w:t>
      </w:r>
      <w:r w:rsidR="00D312A7" w:rsidRPr="00012C3F">
        <w:rPr>
          <w:rFonts w:eastAsiaTheme="minorHAnsi" w:cs="Arial"/>
          <w:sz w:val="20"/>
          <w:szCs w:val="20"/>
          <w:lang w:val="en-US" w:eastAsia="en-US"/>
        </w:rPr>
        <w:t xml:space="preserve"> because curtailing her reproductive capacity without her </w:t>
      </w:r>
      <w:r w:rsidR="00DF71A5" w:rsidRPr="00012C3F">
        <w:rPr>
          <w:rFonts w:eastAsiaTheme="minorHAnsi" w:cs="Arial"/>
          <w:sz w:val="20"/>
          <w:szCs w:val="20"/>
          <w:lang w:val="en-US" w:eastAsia="en-US"/>
        </w:rPr>
        <w:t>prior, free, full and informed consent</w:t>
      </w:r>
      <w:r w:rsidR="005847E3" w:rsidRPr="00012C3F">
        <w:rPr>
          <w:rFonts w:eastAsiaTheme="minorHAnsi" w:cs="Arial"/>
          <w:sz w:val="20"/>
          <w:szCs w:val="20"/>
          <w:lang w:val="en-US" w:eastAsia="en-US"/>
        </w:rPr>
        <w:t xml:space="preserve"> </w:t>
      </w:r>
      <w:r w:rsidR="00D312A7" w:rsidRPr="00012C3F">
        <w:rPr>
          <w:rFonts w:eastAsiaTheme="minorHAnsi" w:cs="Arial"/>
          <w:sz w:val="20"/>
          <w:szCs w:val="20"/>
          <w:lang w:val="en-US" w:eastAsia="en-US"/>
        </w:rPr>
        <w:t xml:space="preserve">severely </w:t>
      </w:r>
      <w:r w:rsidR="005847E3" w:rsidRPr="00012C3F">
        <w:rPr>
          <w:rFonts w:eastAsiaTheme="minorHAnsi" w:cs="Arial"/>
          <w:sz w:val="20"/>
          <w:szCs w:val="20"/>
          <w:lang w:val="en-US" w:eastAsia="en-US"/>
        </w:rPr>
        <w:t>restri</w:t>
      </w:r>
      <w:r w:rsidR="00D312A7" w:rsidRPr="00012C3F">
        <w:rPr>
          <w:rFonts w:eastAsiaTheme="minorHAnsi" w:cs="Arial"/>
          <w:sz w:val="20"/>
          <w:szCs w:val="20"/>
          <w:lang w:val="en-US" w:eastAsia="en-US"/>
        </w:rPr>
        <w:t xml:space="preserve">cted I.V.’s </w:t>
      </w:r>
      <w:r w:rsidR="00D312A7" w:rsidRPr="00012C3F">
        <w:rPr>
          <w:rFonts w:eastAsiaTheme="minorHAnsi" w:cs="Arial"/>
          <w:sz w:val="20"/>
          <w:szCs w:val="20"/>
          <w:lang w:val="en-US" w:eastAsia="en-US"/>
        </w:rPr>
        <w:lastRenderedPageBreak/>
        <w:t xml:space="preserve">autonomy and freedom to take a decision regarding her body and her reproductive health, and </w:t>
      </w:r>
      <w:r w:rsidR="00F07712" w:rsidRPr="00012C3F">
        <w:rPr>
          <w:rFonts w:eastAsiaTheme="minorHAnsi" w:cs="Arial"/>
          <w:sz w:val="20"/>
          <w:szCs w:val="20"/>
          <w:lang w:val="en-US" w:eastAsia="en-US"/>
        </w:rPr>
        <w:t xml:space="preserve">interfered abusively with her private and family life, motivated by the desire to avoid harm to her future health, but without taking into consideration her </w:t>
      </w:r>
      <w:r w:rsidR="004225C5" w:rsidRPr="00012C3F">
        <w:rPr>
          <w:rFonts w:eastAsiaTheme="minorHAnsi" w:cs="Arial"/>
          <w:sz w:val="20"/>
          <w:szCs w:val="20"/>
          <w:lang w:val="en-US" w:eastAsia="en-US"/>
        </w:rPr>
        <w:t>wishes</w:t>
      </w:r>
      <w:r w:rsidR="00F07712" w:rsidRPr="00012C3F">
        <w:rPr>
          <w:rFonts w:eastAsiaTheme="minorHAnsi" w:cs="Arial"/>
          <w:sz w:val="20"/>
          <w:szCs w:val="20"/>
          <w:lang w:val="en-US" w:eastAsia="en-US"/>
        </w:rPr>
        <w:t xml:space="preserve"> and with grave consequences for her personal integrity</w:t>
      </w:r>
      <w:r w:rsidR="0061771F" w:rsidRPr="00012C3F">
        <w:rPr>
          <w:rFonts w:eastAsiaTheme="minorHAnsi" w:cs="Arial"/>
          <w:sz w:val="20"/>
          <w:szCs w:val="20"/>
          <w:lang w:val="en-US" w:eastAsia="en-US"/>
        </w:rPr>
        <w:t xml:space="preserve"> (</w:t>
      </w:r>
      <w:r w:rsidR="0061771F" w:rsidRPr="00012C3F">
        <w:rPr>
          <w:rFonts w:eastAsiaTheme="minorHAnsi" w:cs="Arial"/>
          <w:i/>
          <w:sz w:val="20"/>
          <w:szCs w:val="20"/>
          <w:lang w:val="en-US" w:eastAsia="en-US"/>
        </w:rPr>
        <w:t>infra</w:t>
      </w:r>
      <w:r w:rsidR="0061771F" w:rsidRPr="00012C3F">
        <w:rPr>
          <w:rFonts w:eastAsiaTheme="minorHAnsi" w:cs="Arial"/>
          <w:sz w:val="20"/>
          <w:szCs w:val="20"/>
          <w:lang w:val="en-US" w:eastAsia="en-US"/>
        </w:rPr>
        <w:t xml:space="preserve"> </w:t>
      </w:r>
      <w:r w:rsidR="00F07712" w:rsidRPr="00012C3F">
        <w:rPr>
          <w:rFonts w:eastAsiaTheme="minorHAnsi" w:cs="Arial"/>
          <w:sz w:val="20"/>
          <w:szCs w:val="20"/>
          <w:lang w:val="en-US" w:eastAsia="en-US"/>
        </w:rPr>
        <w:t>Chapter</w:t>
      </w:r>
      <w:r w:rsidR="0061771F" w:rsidRPr="00012C3F">
        <w:rPr>
          <w:rFonts w:eastAsiaTheme="minorHAnsi" w:cs="Arial"/>
          <w:sz w:val="20"/>
          <w:szCs w:val="20"/>
          <w:lang w:val="en-US" w:eastAsia="en-US"/>
        </w:rPr>
        <w:t xml:space="preserve"> VIII-2)</w:t>
      </w:r>
      <w:r w:rsidR="00CB79E4" w:rsidRPr="00012C3F">
        <w:rPr>
          <w:rFonts w:eastAsiaTheme="minorHAnsi" w:cs="Arial"/>
          <w:sz w:val="20"/>
          <w:szCs w:val="20"/>
          <w:lang w:val="en-US" w:eastAsia="en-US"/>
        </w:rPr>
        <w:t xml:space="preserve"> </w:t>
      </w:r>
      <w:r w:rsidR="00F07712" w:rsidRPr="00012C3F">
        <w:rPr>
          <w:rFonts w:eastAsiaTheme="minorHAnsi" w:cs="Arial"/>
          <w:sz w:val="20"/>
          <w:szCs w:val="20"/>
          <w:lang w:val="en-US" w:eastAsia="en-US"/>
        </w:rPr>
        <w:t>based on the fact that she was a woman</w:t>
      </w:r>
      <w:r w:rsidR="00D02881" w:rsidRPr="00012C3F">
        <w:rPr>
          <w:rFonts w:eastAsiaTheme="minorHAnsi" w:cs="Arial"/>
          <w:sz w:val="20"/>
          <w:szCs w:val="20"/>
          <w:lang w:val="en-US" w:eastAsia="en-US"/>
        </w:rPr>
        <w:t>.</w:t>
      </w:r>
    </w:p>
    <w:p w14:paraId="21750847" w14:textId="77777777" w:rsidR="00486AF7" w:rsidRPr="00012C3F" w:rsidRDefault="00486AF7" w:rsidP="00162DF3">
      <w:pPr>
        <w:tabs>
          <w:tab w:val="left" w:pos="567"/>
        </w:tabs>
        <w:spacing w:line="240" w:lineRule="auto"/>
        <w:rPr>
          <w:rFonts w:eastAsiaTheme="minorHAnsi" w:cs="Arial"/>
          <w:sz w:val="20"/>
          <w:szCs w:val="20"/>
          <w:lang w:val="en-US" w:eastAsia="en-US"/>
        </w:rPr>
      </w:pPr>
    </w:p>
    <w:p w14:paraId="21CB518E" w14:textId="77777777" w:rsidR="0011473D" w:rsidRPr="00012C3F" w:rsidRDefault="00F07712" w:rsidP="00F07712">
      <w:pPr>
        <w:numPr>
          <w:ilvl w:val="0"/>
          <w:numId w:val="5"/>
        </w:numPr>
        <w:tabs>
          <w:tab w:val="left" w:pos="720"/>
          <w:tab w:val="num" w:pos="12305"/>
        </w:tabs>
        <w:spacing w:line="240" w:lineRule="auto"/>
        <w:ind w:left="0" w:firstLine="0"/>
        <w:rPr>
          <w:rFonts w:eastAsiaTheme="minorHAnsi" w:cs="Arial"/>
          <w:sz w:val="20"/>
          <w:szCs w:val="20"/>
          <w:lang w:val="en-US" w:eastAsia="en-US"/>
        </w:rPr>
      </w:pPr>
      <w:r w:rsidRPr="00012C3F">
        <w:rPr>
          <w:rFonts w:eastAsiaTheme="minorHAnsi" w:cs="Arial"/>
          <w:sz w:val="20"/>
          <w:szCs w:val="20"/>
          <w:lang w:val="en-US" w:eastAsia="en-US"/>
        </w:rPr>
        <w:t>That said, the Court has also been asked to determine whether, in the case of I.V., multiple</w:t>
      </w:r>
      <w:r w:rsidR="00591C57" w:rsidRPr="00012C3F">
        <w:rPr>
          <w:rFonts w:eastAsiaTheme="minorHAnsi" w:cs="Arial"/>
          <w:sz w:val="20"/>
          <w:szCs w:val="20"/>
          <w:lang w:val="en-US" w:eastAsia="en-US"/>
        </w:rPr>
        <w:t xml:space="preserve"> forms of</w:t>
      </w:r>
      <w:r w:rsidRPr="00012C3F">
        <w:rPr>
          <w:rFonts w:eastAsiaTheme="minorHAnsi" w:cs="Arial"/>
          <w:sz w:val="20"/>
          <w:szCs w:val="20"/>
          <w:lang w:val="en-US" w:eastAsia="en-US"/>
        </w:rPr>
        <w:t xml:space="preserve"> discrimination</w:t>
      </w:r>
      <w:r w:rsidR="00591C57" w:rsidRPr="00012C3F">
        <w:rPr>
          <w:rFonts w:eastAsiaTheme="minorHAnsi" w:cs="Arial"/>
          <w:sz w:val="20"/>
          <w:szCs w:val="20"/>
          <w:lang w:val="en-US" w:eastAsia="en-US"/>
        </w:rPr>
        <w:t>s</w:t>
      </w:r>
      <w:r w:rsidRPr="00012C3F">
        <w:rPr>
          <w:rFonts w:eastAsiaTheme="minorHAnsi" w:cs="Arial"/>
          <w:sz w:val="20"/>
          <w:szCs w:val="20"/>
          <w:lang w:val="en-US" w:eastAsia="en-US"/>
        </w:rPr>
        <w:t xml:space="preserve"> occurred, and whether the different criteria alleged (</w:t>
      </w:r>
      <w:r w:rsidRPr="00012C3F">
        <w:rPr>
          <w:rFonts w:eastAsiaTheme="minorHAnsi" w:cs="Arial"/>
          <w:i/>
          <w:sz w:val="20"/>
          <w:szCs w:val="20"/>
          <w:lang w:val="en-US" w:eastAsia="en-US"/>
        </w:rPr>
        <w:t>supra</w:t>
      </w:r>
      <w:r w:rsidRPr="00012C3F">
        <w:rPr>
          <w:rFonts w:eastAsiaTheme="minorHAnsi" w:cs="Arial"/>
          <w:sz w:val="20"/>
          <w:szCs w:val="20"/>
          <w:lang w:val="en-US" w:eastAsia="en-US"/>
        </w:rPr>
        <w:t xml:space="preserve"> para. 242) converged </w:t>
      </w:r>
      <w:r w:rsidR="00591C57" w:rsidRPr="00012C3F">
        <w:rPr>
          <w:rFonts w:eastAsiaTheme="minorHAnsi" w:cs="Arial"/>
          <w:sz w:val="20"/>
          <w:szCs w:val="20"/>
          <w:lang w:val="en-US" w:eastAsia="en-US"/>
        </w:rPr>
        <w:t>and intersected</w:t>
      </w:r>
      <w:r w:rsidRPr="00012C3F">
        <w:rPr>
          <w:rFonts w:eastAsiaTheme="minorHAnsi" w:cs="Arial"/>
          <w:sz w:val="20"/>
          <w:szCs w:val="20"/>
          <w:lang w:val="en-US" w:eastAsia="en-US"/>
        </w:rPr>
        <w:t xml:space="preserve"> to configure a particular and specific situation of discrimination.</w:t>
      </w:r>
      <w:r w:rsidR="00486AF7" w:rsidRPr="00012C3F">
        <w:rPr>
          <w:rFonts w:eastAsiaTheme="minorHAnsi" w:cs="Arial"/>
          <w:iCs/>
          <w:sz w:val="20"/>
          <w:szCs w:val="20"/>
          <w:vertAlign w:val="superscript"/>
          <w:lang w:val="en-US" w:eastAsia="en-US"/>
        </w:rPr>
        <w:footnoteReference w:id="326"/>
      </w:r>
      <w:r w:rsidR="0039254B" w:rsidRPr="00012C3F">
        <w:rPr>
          <w:rFonts w:eastAsiaTheme="minorHAnsi" w:cs="Arial"/>
          <w:sz w:val="20"/>
          <w:szCs w:val="20"/>
          <w:lang w:val="en-US" w:eastAsia="en-US"/>
        </w:rPr>
        <w:t xml:space="preserve"> </w:t>
      </w:r>
      <w:r w:rsidR="001254DE" w:rsidRPr="00012C3F">
        <w:rPr>
          <w:rFonts w:eastAsia="Batang" w:cs="Times"/>
          <w:sz w:val="20"/>
          <w:lang w:val="en-US"/>
        </w:rPr>
        <w:t>The Court</w:t>
      </w:r>
      <w:r w:rsidR="00A70429" w:rsidRPr="00012C3F">
        <w:rPr>
          <w:rFonts w:eastAsia="Batang" w:cs="Times"/>
          <w:sz w:val="20"/>
          <w:lang w:val="en-US"/>
        </w:rPr>
        <w:t xml:space="preserve"> ha</w:t>
      </w:r>
      <w:r w:rsidRPr="00012C3F">
        <w:rPr>
          <w:rFonts w:eastAsia="Batang" w:cs="Times"/>
          <w:sz w:val="20"/>
          <w:lang w:val="en-US"/>
        </w:rPr>
        <w:t xml:space="preserve">s recognized that </w:t>
      </w:r>
      <w:r w:rsidR="00591C57" w:rsidRPr="00012C3F">
        <w:rPr>
          <w:rFonts w:eastAsia="Batang" w:cs="Times"/>
          <w:sz w:val="20"/>
          <w:lang w:val="en-US"/>
        </w:rPr>
        <w:t>identifiable sub</w:t>
      </w:r>
      <w:r w:rsidRPr="00012C3F">
        <w:rPr>
          <w:rFonts w:eastAsia="Batang" w:cs="Times"/>
          <w:sz w:val="20"/>
          <w:lang w:val="en-US"/>
        </w:rPr>
        <w:t>groups of women suffer from discrimination throughout their lives based on more than one factor combined with their sex, which increases their risk of suffering acts of violence and other human rights violations.</w:t>
      </w:r>
      <w:r w:rsidR="00A70429" w:rsidRPr="00012C3F">
        <w:rPr>
          <w:rFonts w:eastAsia="Batang" w:cs="Arial"/>
          <w:sz w:val="20"/>
          <w:szCs w:val="20"/>
          <w:vertAlign w:val="superscript"/>
          <w:lang w:val="en-US"/>
        </w:rPr>
        <w:footnoteReference w:id="327"/>
      </w:r>
      <w:r w:rsidRPr="00012C3F">
        <w:rPr>
          <w:rFonts w:eastAsia="Batang" w:cs="Times"/>
          <w:sz w:val="20"/>
          <w:lang w:val="en-US"/>
        </w:rPr>
        <w:t xml:space="preserve"> On this point, the Court underlines that</w:t>
      </w:r>
      <w:r w:rsidR="005C5516" w:rsidRPr="00012C3F">
        <w:rPr>
          <w:rFonts w:eastAsiaTheme="minorHAnsi" w:cs="Arial"/>
          <w:sz w:val="20"/>
          <w:szCs w:val="20"/>
          <w:lang w:val="en-US" w:eastAsia="en-US"/>
        </w:rPr>
        <w:t xml:space="preserve"> </w:t>
      </w:r>
      <w:r w:rsidR="00DF3B7C" w:rsidRPr="00012C3F">
        <w:rPr>
          <w:sz w:val="20"/>
          <w:szCs w:val="20"/>
          <w:lang w:val="en-US"/>
        </w:rPr>
        <w:t>non-consensual sterilization</w:t>
      </w:r>
      <w:r w:rsidR="005C5516" w:rsidRPr="00012C3F">
        <w:rPr>
          <w:sz w:val="20"/>
          <w:szCs w:val="20"/>
          <w:lang w:val="en-US"/>
        </w:rPr>
        <w:t xml:space="preserve"> </w:t>
      </w:r>
      <w:r w:rsidRPr="00012C3F">
        <w:rPr>
          <w:sz w:val="20"/>
          <w:szCs w:val="20"/>
          <w:lang w:val="en-US"/>
        </w:rPr>
        <w:t xml:space="preserve">is a phenomenon that, in different contexts and parts of the world has had a greater impact on women who form part of </w:t>
      </w:r>
      <w:r w:rsidR="00591C57" w:rsidRPr="00012C3F">
        <w:rPr>
          <w:sz w:val="20"/>
          <w:szCs w:val="20"/>
          <w:lang w:val="en-US"/>
        </w:rPr>
        <w:t>sub</w:t>
      </w:r>
      <w:r w:rsidRPr="00012C3F">
        <w:rPr>
          <w:sz w:val="20"/>
          <w:szCs w:val="20"/>
          <w:lang w:val="en-US"/>
        </w:rPr>
        <w:t xml:space="preserve">groups with greater vulnerability to suffer this human rights violation, due </w:t>
      </w:r>
      <w:r w:rsidR="00591C57" w:rsidRPr="00012C3F">
        <w:rPr>
          <w:sz w:val="20"/>
          <w:szCs w:val="20"/>
          <w:lang w:val="en-US"/>
        </w:rPr>
        <w:t xml:space="preserve">either </w:t>
      </w:r>
      <w:r w:rsidRPr="00012C3F">
        <w:rPr>
          <w:sz w:val="20"/>
          <w:szCs w:val="20"/>
          <w:lang w:val="en-US"/>
        </w:rPr>
        <w:t>to the</w:t>
      </w:r>
      <w:r w:rsidR="00591C57" w:rsidRPr="00012C3F">
        <w:rPr>
          <w:sz w:val="20"/>
          <w:szCs w:val="20"/>
          <w:lang w:val="en-US"/>
        </w:rPr>
        <w:t>ir</w:t>
      </w:r>
      <w:r w:rsidRPr="00012C3F">
        <w:rPr>
          <w:sz w:val="20"/>
          <w:szCs w:val="20"/>
          <w:lang w:val="en-US"/>
        </w:rPr>
        <w:t xml:space="preserve"> socio-economic </w:t>
      </w:r>
      <w:r w:rsidR="00212DA0" w:rsidRPr="00012C3F">
        <w:rPr>
          <w:sz w:val="20"/>
          <w:szCs w:val="20"/>
          <w:lang w:val="en-US"/>
        </w:rPr>
        <w:t>status</w:t>
      </w:r>
      <w:r w:rsidRPr="00012C3F">
        <w:rPr>
          <w:sz w:val="20"/>
          <w:szCs w:val="20"/>
          <w:lang w:val="en-US"/>
        </w:rPr>
        <w:t xml:space="preserve">, </w:t>
      </w:r>
      <w:r w:rsidR="00591C57" w:rsidRPr="00012C3F">
        <w:rPr>
          <w:sz w:val="20"/>
          <w:szCs w:val="20"/>
          <w:lang w:val="en-US"/>
        </w:rPr>
        <w:t xml:space="preserve">their </w:t>
      </w:r>
      <w:r w:rsidRPr="00012C3F">
        <w:rPr>
          <w:sz w:val="20"/>
          <w:szCs w:val="20"/>
          <w:lang w:val="en-US"/>
        </w:rPr>
        <w:t>race</w:t>
      </w:r>
      <w:r w:rsidR="00591C57" w:rsidRPr="00012C3F">
        <w:rPr>
          <w:sz w:val="20"/>
          <w:szCs w:val="20"/>
          <w:lang w:val="en-US"/>
        </w:rPr>
        <w:t>, their disabilities, or to the fact that they are living with HIV.</w:t>
      </w:r>
      <w:r w:rsidR="00804282" w:rsidRPr="00012C3F">
        <w:rPr>
          <w:rStyle w:val="Refdenotaalpie"/>
          <w:sz w:val="20"/>
          <w:szCs w:val="20"/>
          <w:lang w:val="en-US"/>
        </w:rPr>
        <w:footnoteReference w:id="328"/>
      </w:r>
    </w:p>
    <w:p w14:paraId="10046C30" w14:textId="77777777" w:rsidR="0011473D" w:rsidRPr="00012C3F" w:rsidRDefault="0011473D" w:rsidP="00F07712">
      <w:pPr>
        <w:tabs>
          <w:tab w:val="left" w:pos="720"/>
        </w:tabs>
        <w:spacing w:line="240" w:lineRule="auto"/>
        <w:rPr>
          <w:rFonts w:eastAsiaTheme="minorHAnsi" w:cs="Arial"/>
          <w:sz w:val="20"/>
          <w:szCs w:val="20"/>
          <w:lang w:val="en-US" w:eastAsia="en-US"/>
        </w:rPr>
      </w:pPr>
    </w:p>
    <w:p w14:paraId="14B71860" w14:textId="77777777" w:rsidR="00486AF7" w:rsidRPr="00012C3F" w:rsidRDefault="006C705C" w:rsidP="00591C57">
      <w:pPr>
        <w:numPr>
          <w:ilvl w:val="0"/>
          <w:numId w:val="5"/>
        </w:numPr>
        <w:tabs>
          <w:tab w:val="left" w:pos="720"/>
          <w:tab w:val="num" w:pos="12305"/>
        </w:tabs>
        <w:spacing w:line="240" w:lineRule="auto"/>
        <w:ind w:left="0" w:firstLine="0"/>
        <w:rPr>
          <w:rFonts w:eastAsiaTheme="minorHAnsi" w:cs="Arial"/>
          <w:sz w:val="20"/>
          <w:szCs w:val="20"/>
          <w:lang w:val="en-US" w:eastAsia="en-US"/>
        </w:rPr>
      </w:pPr>
      <w:r w:rsidRPr="00012C3F">
        <w:rPr>
          <w:rFonts w:eastAsiaTheme="minorHAnsi" w:cs="Arial"/>
          <w:sz w:val="20"/>
          <w:szCs w:val="20"/>
          <w:lang w:val="en-US" w:eastAsia="en-US"/>
        </w:rPr>
        <w:t>In this case</w:t>
      </w:r>
      <w:r w:rsidR="0011473D" w:rsidRPr="00012C3F">
        <w:rPr>
          <w:rFonts w:eastAsiaTheme="minorHAnsi" w:cs="Arial"/>
          <w:sz w:val="20"/>
          <w:szCs w:val="20"/>
          <w:lang w:val="en-US" w:eastAsia="en-US"/>
        </w:rPr>
        <w:t xml:space="preserve">, </w:t>
      </w:r>
      <w:r w:rsidR="001254DE" w:rsidRPr="00012C3F">
        <w:rPr>
          <w:rFonts w:eastAsiaTheme="minorHAnsi" w:cs="Arial"/>
          <w:sz w:val="20"/>
          <w:szCs w:val="20"/>
          <w:lang w:val="en-US" w:eastAsia="en-US"/>
        </w:rPr>
        <w:t>the Court</w:t>
      </w:r>
      <w:r w:rsidR="0011473D" w:rsidRPr="00012C3F">
        <w:rPr>
          <w:rFonts w:eastAsiaTheme="minorHAnsi" w:cs="Arial"/>
          <w:sz w:val="20"/>
          <w:szCs w:val="20"/>
          <w:lang w:val="en-US" w:eastAsia="en-US"/>
        </w:rPr>
        <w:t xml:space="preserve"> not</w:t>
      </w:r>
      <w:r w:rsidR="00591C57" w:rsidRPr="00012C3F">
        <w:rPr>
          <w:rFonts w:eastAsiaTheme="minorHAnsi" w:cs="Arial"/>
          <w:sz w:val="20"/>
          <w:szCs w:val="20"/>
          <w:lang w:val="en-US" w:eastAsia="en-US"/>
        </w:rPr>
        <w:t>es that</w:t>
      </w:r>
      <w:r w:rsidR="0011473D" w:rsidRPr="00012C3F">
        <w:rPr>
          <w:rFonts w:eastAsiaTheme="minorHAnsi" w:cs="Arial"/>
          <w:sz w:val="20"/>
          <w:szCs w:val="20"/>
          <w:lang w:val="en-US" w:eastAsia="en-US"/>
        </w:rPr>
        <w:t xml:space="preserve"> </w:t>
      </w:r>
      <w:r w:rsidR="000E1C11" w:rsidRPr="00012C3F">
        <w:rPr>
          <w:rFonts w:eastAsiaTheme="minorHAnsi" w:cs="Arial"/>
          <w:sz w:val="20"/>
          <w:szCs w:val="20"/>
          <w:lang w:val="en-US" w:eastAsia="en-US"/>
        </w:rPr>
        <w:t>I.V.</w:t>
      </w:r>
      <w:r w:rsidR="0011473D" w:rsidRPr="00012C3F">
        <w:rPr>
          <w:rFonts w:eastAsiaTheme="minorHAnsi" w:cs="Arial"/>
          <w:sz w:val="20"/>
          <w:szCs w:val="20"/>
          <w:lang w:val="en-US" w:eastAsia="en-US"/>
        </w:rPr>
        <w:t xml:space="preserve"> </w:t>
      </w:r>
      <w:r w:rsidR="00591C57" w:rsidRPr="00012C3F">
        <w:rPr>
          <w:rFonts w:eastAsiaTheme="minorHAnsi" w:cs="Arial"/>
          <w:sz w:val="20"/>
          <w:szCs w:val="20"/>
          <w:lang w:val="en-US" w:eastAsia="en-US"/>
        </w:rPr>
        <w:t xml:space="preserve">had access to the Bolivian State’s public health care services </w:t>
      </w:r>
      <w:r w:rsidR="0011473D" w:rsidRPr="00012C3F">
        <w:rPr>
          <w:rFonts w:eastAsiaTheme="minorHAnsi" w:cs="Arial"/>
          <w:sz w:val="20"/>
          <w:szCs w:val="20"/>
          <w:lang w:val="en-US" w:eastAsia="en-US"/>
        </w:rPr>
        <w:t>(</w:t>
      </w:r>
      <w:r w:rsidR="0011473D" w:rsidRPr="00012C3F">
        <w:rPr>
          <w:rFonts w:eastAsiaTheme="minorHAnsi" w:cs="Arial"/>
          <w:i/>
          <w:sz w:val="20"/>
          <w:szCs w:val="20"/>
          <w:lang w:val="en-US" w:eastAsia="en-US"/>
        </w:rPr>
        <w:t xml:space="preserve">supra </w:t>
      </w:r>
      <w:r w:rsidR="00370DD4" w:rsidRPr="00012C3F">
        <w:rPr>
          <w:rFonts w:eastAsiaTheme="minorHAnsi" w:cs="Arial"/>
          <w:sz w:val="20"/>
          <w:szCs w:val="20"/>
          <w:lang w:val="en-US" w:eastAsia="en-US"/>
        </w:rPr>
        <w:t>paras.</w:t>
      </w:r>
      <w:r w:rsidR="0011473D" w:rsidRPr="00012C3F">
        <w:rPr>
          <w:rFonts w:eastAsiaTheme="minorHAnsi" w:cs="Arial"/>
          <w:sz w:val="20"/>
          <w:szCs w:val="20"/>
          <w:lang w:val="en-US" w:eastAsia="en-US"/>
        </w:rPr>
        <w:t xml:space="preserve"> </w:t>
      </w:r>
      <w:r w:rsidR="00FD41A9" w:rsidRPr="00012C3F">
        <w:rPr>
          <w:rFonts w:eastAsiaTheme="minorHAnsi" w:cs="Arial"/>
          <w:sz w:val="20"/>
          <w:szCs w:val="20"/>
          <w:lang w:val="en-US" w:eastAsia="en-US"/>
        </w:rPr>
        <w:t>62</w:t>
      </w:r>
      <w:r w:rsidR="005E5012" w:rsidRPr="00012C3F">
        <w:rPr>
          <w:rFonts w:eastAsiaTheme="minorHAnsi" w:cs="Arial"/>
          <w:sz w:val="20"/>
          <w:szCs w:val="20"/>
          <w:lang w:val="en-US" w:eastAsia="en-US"/>
        </w:rPr>
        <w:t xml:space="preserve"> and </w:t>
      </w:r>
      <w:r w:rsidR="00FD41A9" w:rsidRPr="00012C3F">
        <w:rPr>
          <w:rFonts w:eastAsiaTheme="minorHAnsi" w:cs="Arial"/>
          <w:sz w:val="20"/>
          <w:szCs w:val="20"/>
          <w:lang w:val="en-US" w:eastAsia="en-US"/>
        </w:rPr>
        <w:t>63</w:t>
      </w:r>
      <w:r w:rsidR="0011473D" w:rsidRPr="00012C3F">
        <w:rPr>
          <w:rFonts w:eastAsiaTheme="minorHAnsi" w:cs="Arial"/>
          <w:sz w:val="20"/>
          <w:szCs w:val="20"/>
          <w:lang w:val="en-US" w:eastAsia="en-US"/>
        </w:rPr>
        <w:t>)</w:t>
      </w:r>
      <w:r w:rsidR="00727880" w:rsidRPr="00012C3F">
        <w:rPr>
          <w:rFonts w:eastAsiaTheme="minorHAnsi" w:cs="Arial"/>
          <w:sz w:val="20"/>
          <w:szCs w:val="20"/>
          <w:lang w:val="en-US" w:eastAsia="en-US"/>
        </w:rPr>
        <w:t xml:space="preserve">, </w:t>
      </w:r>
      <w:r w:rsidR="00591C57" w:rsidRPr="00012C3F">
        <w:rPr>
          <w:rFonts w:eastAsiaTheme="minorHAnsi" w:cs="Arial"/>
          <w:sz w:val="20"/>
          <w:szCs w:val="20"/>
          <w:lang w:val="en-US" w:eastAsia="en-US"/>
        </w:rPr>
        <w:t>even though the health care provided disregarded the elements of accessibility and acceptability (</w:t>
      </w:r>
      <w:r w:rsidR="00591C57" w:rsidRPr="00012C3F">
        <w:rPr>
          <w:rFonts w:eastAsiaTheme="minorHAnsi" w:cs="Arial"/>
          <w:i/>
          <w:sz w:val="20"/>
          <w:szCs w:val="20"/>
          <w:lang w:val="en-US" w:eastAsia="en-US"/>
        </w:rPr>
        <w:t xml:space="preserve">supra </w:t>
      </w:r>
      <w:r w:rsidR="00591C57" w:rsidRPr="00012C3F">
        <w:rPr>
          <w:rFonts w:eastAsiaTheme="minorHAnsi" w:cs="Arial"/>
          <w:sz w:val="20"/>
          <w:szCs w:val="20"/>
          <w:lang w:val="en-US" w:eastAsia="en-US"/>
        </w:rPr>
        <w:t xml:space="preserve">paras. 156 and 164). Despite this, </w:t>
      </w:r>
      <w:r w:rsidR="00F925D5" w:rsidRPr="00012C3F">
        <w:rPr>
          <w:rFonts w:eastAsiaTheme="minorHAnsi" w:cs="Arial"/>
          <w:sz w:val="20"/>
          <w:szCs w:val="20"/>
          <w:lang w:val="en-US" w:eastAsia="en-US"/>
        </w:rPr>
        <w:t xml:space="preserve">the facts of this case do not reveal that the decision to perform the tubal ligation on I.V. was based on her nationality of origin, her situation as a refugee, or her socio-economic </w:t>
      </w:r>
      <w:r w:rsidR="00212DA0" w:rsidRPr="00012C3F">
        <w:rPr>
          <w:rFonts w:eastAsiaTheme="minorHAnsi" w:cs="Arial"/>
          <w:sz w:val="20"/>
          <w:szCs w:val="20"/>
          <w:lang w:val="en-US" w:eastAsia="en-US"/>
        </w:rPr>
        <w:t>status</w:t>
      </w:r>
      <w:r w:rsidR="00F925D5" w:rsidRPr="00012C3F">
        <w:rPr>
          <w:rFonts w:eastAsiaTheme="minorHAnsi" w:cs="Arial"/>
          <w:sz w:val="20"/>
          <w:szCs w:val="20"/>
          <w:lang w:val="en-US" w:eastAsia="en-US"/>
        </w:rPr>
        <w:t>. Nevertheless, the Court considers that these aspects had an impact on the magnitude of the harm suffered by I.V. in the sphere of her personal integrity. And this is notwithstanding what the Court establishes below in relation to the search to obtain justice</w:t>
      </w:r>
      <w:r w:rsidR="002B7BEC" w:rsidRPr="00012C3F">
        <w:rPr>
          <w:rFonts w:eastAsia="Calibri" w:cs="Consolas"/>
          <w:sz w:val="20"/>
          <w:szCs w:val="20"/>
          <w:lang w:val="en-US"/>
        </w:rPr>
        <w:t xml:space="preserve"> (</w:t>
      </w:r>
      <w:r w:rsidR="002B7BEC" w:rsidRPr="00012C3F">
        <w:rPr>
          <w:rFonts w:eastAsia="Calibri" w:cs="Consolas"/>
          <w:i/>
          <w:sz w:val="20"/>
          <w:szCs w:val="20"/>
          <w:lang w:val="en-US"/>
        </w:rPr>
        <w:t>infra</w:t>
      </w:r>
      <w:r w:rsidR="002B7BEC" w:rsidRPr="00012C3F">
        <w:rPr>
          <w:rFonts w:eastAsia="Calibri" w:cs="Consolas"/>
          <w:sz w:val="20"/>
          <w:szCs w:val="20"/>
          <w:lang w:val="en-US"/>
        </w:rPr>
        <w:t xml:space="preserve"> </w:t>
      </w:r>
      <w:r w:rsidR="00370DD4" w:rsidRPr="00012C3F">
        <w:rPr>
          <w:rFonts w:eastAsia="Calibri" w:cs="Consolas"/>
          <w:sz w:val="20"/>
          <w:szCs w:val="20"/>
          <w:lang w:val="en-US"/>
        </w:rPr>
        <w:t>paras.</w:t>
      </w:r>
      <w:r w:rsidR="002B7BEC" w:rsidRPr="00012C3F">
        <w:rPr>
          <w:rFonts w:eastAsia="Calibri" w:cs="Consolas"/>
          <w:sz w:val="20"/>
          <w:szCs w:val="20"/>
          <w:lang w:val="en-US"/>
        </w:rPr>
        <w:t xml:space="preserve"> </w:t>
      </w:r>
      <w:r w:rsidR="00FD41A9" w:rsidRPr="00012C3F">
        <w:rPr>
          <w:rFonts w:eastAsia="Calibri" w:cs="Consolas"/>
          <w:sz w:val="20"/>
          <w:szCs w:val="20"/>
          <w:lang w:val="en-US"/>
        </w:rPr>
        <w:t xml:space="preserve">318 </w:t>
      </w:r>
      <w:r w:rsidR="00F925D5" w:rsidRPr="00012C3F">
        <w:rPr>
          <w:rFonts w:eastAsia="Calibri" w:cs="Consolas"/>
          <w:sz w:val="20"/>
          <w:szCs w:val="20"/>
          <w:lang w:val="en-US"/>
        </w:rPr>
        <w:t>to</w:t>
      </w:r>
      <w:r w:rsidR="00FD41A9" w:rsidRPr="00012C3F">
        <w:rPr>
          <w:rFonts w:eastAsia="Calibri" w:cs="Consolas"/>
          <w:sz w:val="20"/>
          <w:szCs w:val="20"/>
          <w:lang w:val="en-US"/>
        </w:rPr>
        <w:t xml:space="preserve"> 321</w:t>
      </w:r>
      <w:r w:rsidR="002B7BEC" w:rsidRPr="00012C3F">
        <w:rPr>
          <w:rFonts w:eastAsia="Calibri" w:cs="Consolas"/>
          <w:sz w:val="20"/>
          <w:szCs w:val="20"/>
          <w:lang w:val="en-US"/>
        </w:rPr>
        <w:t>)</w:t>
      </w:r>
      <w:r w:rsidR="0011473D" w:rsidRPr="00012C3F">
        <w:rPr>
          <w:rFonts w:eastAsia="Calibri" w:cs="Consolas"/>
          <w:sz w:val="20"/>
          <w:szCs w:val="20"/>
          <w:lang w:val="en-US"/>
        </w:rPr>
        <w:t>.</w:t>
      </w:r>
    </w:p>
    <w:p w14:paraId="4F2ED16C" w14:textId="77777777" w:rsidR="00162DF3" w:rsidRPr="00012C3F" w:rsidRDefault="00162DF3" w:rsidP="00F07712">
      <w:pPr>
        <w:widowControl/>
        <w:tabs>
          <w:tab w:val="left" w:pos="720"/>
        </w:tabs>
        <w:autoSpaceDE w:val="0"/>
        <w:autoSpaceDN w:val="0"/>
        <w:spacing w:line="240" w:lineRule="auto"/>
        <w:textAlignment w:val="auto"/>
        <w:rPr>
          <w:rFonts w:eastAsiaTheme="minorHAnsi" w:cs="Arial"/>
          <w:sz w:val="20"/>
          <w:szCs w:val="20"/>
          <w:lang w:val="en-US" w:eastAsia="en-US"/>
        </w:rPr>
      </w:pPr>
    </w:p>
    <w:p w14:paraId="5224FF10" w14:textId="77777777" w:rsidR="00871EF3" w:rsidRPr="00012C3F" w:rsidRDefault="00F925D5" w:rsidP="00F07712">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Theme="minorHAnsi" w:cs="Arial"/>
          <w:sz w:val="20"/>
          <w:szCs w:val="20"/>
          <w:lang w:val="en-US" w:eastAsia="en-US"/>
        </w:rPr>
        <w:t xml:space="preserve">Based on the above, the Court concludes that the State incurred international responsibility </w:t>
      </w:r>
      <w:r w:rsidR="004225C5" w:rsidRPr="00012C3F">
        <w:rPr>
          <w:rFonts w:eastAsiaTheme="minorHAnsi" w:cs="Arial"/>
          <w:sz w:val="20"/>
          <w:szCs w:val="20"/>
          <w:lang w:val="en-US" w:eastAsia="en-US"/>
        </w:rPr>
        <w:t>owing to</w:t>
      </w:r>
      <w:r w:rsidRPr="00012C3F">
        <w:rPr>
          <w:rFonts w:eastAsiaTheme="minorHAnsi" w:cs="Arial"/>
          <w:sz w:val="20"/>
          <w:szCs w:val="20"/>
          <w:lang w:val="en-US" w:eastAsia="en-US"/>
        </w:rPr>
        <w:t xml:space="preserve"> the discrimination experienced by I.V., </w:t>
      </w:r>
      <w:r w:rsidR="004225C5" w:rsidRPr="00012C3F">
        <w:rPr>
          <w:rFonts w:eastAsiaTheme="minorHAnsi" w:cs="Arial"/>
          <w:sz w:val="20"/>
          <w:szCs w:val="20"/>
          <w:lang w:val="en-US" w:eastAsia="en-US"/>
        </w:rPr>
        <w:t>on the basis of</w:t>
      </w:r>
      <w:r w:rsidRPr="00012C3F">
        <w:rPr>
          <w:rFonts w:eastAsiaTheme="minorHAnsi" w:cs="Arial"/>
          <w:sz w:val="20"/>
          <w:szCs w:val="20"/>
          <w:lang w:val="en-US" w:eastAsia="en-US"/>
        </w:rPr>
        <w:t xml:space="preserve"> her condition as a woman, with regard to the enjoyment and exercise of </w:t>
      </w:r>
      <w:r w:rsidR="00DF5BD3" w:rsidRPr="00012C3F">
        <w:rPr>
          <w:rFonts w:eastAsiaTheme="minorHAnsi" w:cs="Arial"/>
          <w:sz w:val="20"/>
          <w:szCs w:val="20"/>
          <w:lang w:val="en-US" w:eastAsia="en-US"/>
        </w:rPr>
        <w:t>the rights</w:t>
      </w:r>
      <w:r w:rsidR="00890389" w:rsidRPr="00012C3F">
        <w:rPr>
          <w:rFonts w:eastAsiaTheme="minorHAnsi" w:cs="Arial"/>
          <w:sz w:val="20"/>
          <w:szCs w:val="20"/>
          <w:lang w:val="en-US" w:eastAsia="en-US"/>
        </w:rPr>
        <w:t xml:space="preserve"> </w:t>
      </w:r>
      <w:r w:rsidRPr="00012C3F">
        <w:rPr>
          <w:rFonts w:eastAsiaTheme="minorHAnsi" w:cs="Arial"/>
          <w:sz w:val="20"/>
          <w:szCs w:val="20"/>
          <w:lang w:val="en-US" w:eastAsia="en-US"/>
        </w:rPr>
        <w:t>established in</w:t>
      </w:r>
      <w:r w:rsidR="00890389" w:rsidRPr="00012C3F">
        <w:rPr>
          <w:rFonts w:eastAsia="MS Mincho"/>
          <w:sz w:val="20"/>
          <w:szCs w:val="20"/>
          <w:lang w:val="en-US" w:eastAsia="en-US" w:bidi="en-US"/>
        </w:rPr>
        <w:t xml:space="preserve"> </w:t>
      </w:r>
      <w:r w:rsidR="001254DE" w:rsidRPr="00012C3F">
        <w:rPr>
          <w:rFonts w:eastAsia="MS Mincho"/>
          <w:sz w:val="20"/>
          <w:szCs w:val="20"/>
          <w:lang w:val="en-US" w:eastAsia="en-US" w:bidi="en-US"/>
        </w:rPr>
        <w:t>Articles</w:t>
      </w:r>
      <w:r w:rsidR="00890389" w:rsidRPr="00012C3F">
        <w:rPr>
          <w:rFonts w:eastAsia="MS Mincho"/>
          <w:sz w:val="20"/>
          <w:szCs w:val="20"/>
          <w:lang w:val="en-US" w:eastAsia="en-US" w:bidi="en-US"/>
        </w:rPr>
        <w:t xml:space="preserve"> </w:t>
      </w:r>
      <w:r w:rsidR="005E5012" w:rsidRPr="00012C3F">
        <w:rPr>
          <w:rFonts w:eastAsia="MS Mincho"/>
          <w:sz w:val="20"/>
          <w:szCs w:val="20"/>
          <w:lang w:val="en-US" w:eastAsia="en-US" w:bidi="en-US"/>
        </w:rPr>
        <w:t>5(1)</w:t>
      </w:r>
      <w:r w:rsidR="00890389" w:rsidRPr="00012C3F">
        <w:rPr>
          <w:rFonts w:eastAsia="MS Mincho"/>
          <w:sz w:val="20"/>
          <w:szCs w:val="20"/>
          <w:lang w:val="en-US" w:eastAsia="en-US" w:bidi="en-US"/>
        </w:rPr>
        <w:t>,</w:t>
      </w:r>
      <w:r w:rsidR="00F634C9" w:rsidRPr="00012C3F">
        <w:rPr>
          <w:rFonts w:eastAsia="MS Mincho"/>
          <w:sz w:val="20"/>
          <w:szCs w:val="20"/>
          <w:lang w:val="en-US" w:eastAsia="en-US" w:bidi="en-US"/>
        </w:rPr>
        <w:t xml:space="preserve"> </w:t>
      </w:r>
      <w:r w:rsidR="00F63FF1" w:rsidRPr="00012C3F">
        <w:rPr>
          <w:rFonts w:eastAsia="MS Mincho"/>
          <w:sz w:val="20"/>
          <w:szCs w:val="20"/>
          <w:lang w:val="en-US" w:eastAsia="en-US" w:bidi="en-US"/>
        </w:rPr>
        <w:t>7(1)</w:t>
      </w:r>
      <w:r w:rsidR="00F634C9" w:rsidRPr="00012C3F">
        <w:rPr>
          <w:rFonts w:eastAsia="MS Mincho"/>
          <w:sz w:val="20"/>
          <w:szCs w:val="20"/>
          <w:lang w:val="en-US" w:eastAsia="en-US" w:bidi="en-US"/>
        </w:rPr>
        <w:t>,</w:t>
      </w:r>
      <w:r w:rsidR="00890389" w:rsidRPr="00012C3F">
        <w:rPr>
          <w:rFonts w:eastAsia="MS Mincho"/>
          <w:sz w:val="20"/>
          <w:szCs w:val="20"/>
          <w:lang w:val="en-US" w:eastAsia="en-US" w:bidi="en-US"/>
        </w:rPr>
        <w:t xml:space="preserve"> 1</w:t>
      </w:r>
      <w:r w:rsidR="005E5012" w:rsidRPr="00012C3F">
        <w:rPr>
          <w:rFonts w:eastAsia="MS Mincho"/>
          <w:sz w:val="20"/>
          <w:szCs w:val="20"/>
          <w:lang w:val="en-US" w:eastAsia="en-US" w:bidi="en-US"/>
        </w:rPr>
        <w:t>1(1)</w:t>
      </w:r>
      <w:r w:rsidR="00890389" w:rsidRPr="00012C3F">
        <w:rPr>
          <w:rFonts w:eastAsia="MS Mincho"/>
          <w:sz w:val="20"/>
          <w:szCs w:val="20"/>
          <w:lang w:val="en-US" w:eastAsia="en-US" w:bidi="en-US"/>
        </w:rPr>
        <w:t xml:space="preserve">, </w:t>
      </w:r>
      <w:r w:rsidR="005E5012" w:rsidRPr="00012C3F">
        <w:rPr>
          <w:rFonts w:eastAsia="MS Mincho"/>
          <w:sz w:val="20"/>
          <w:szCs w:val="20"/>
          <w:lang w:val="en-US" w:eastAsia="en-US" w:bidi="en-US"/>
        </w:rPr>
        <w:t>11(2)</w:t>
      </w:r>
      <w:r w:rsidR="00890389" w:rsidRPr="00012C3F">
        <w:rPr>
          <w:rFonts w:eastAsia="MS Mincho"/>
          <w:sz w:val="20"/>
          <w:szCs w:val="20"/>
          <w:lang w:val="en-US" w:eastAsia="en-US" w:bidi="en-US"/>
        </w:rPr>
        <w:t xml:space="preserve">, </w:t>
      </w:r>
      <w:r w:rsidR="005E5012" w:rsidRPr="00012C3F">
        <w:rPr>
          <w:rFonts w:eastAsia="MS Mincho"/>
          <w:sz w:val="20"/>
          <w:szCs w:val="20"/>
          <w:lang w:val="en-US" w:eastAsia="en-US" w:bidi="en-US"/>
        </w:rPr>
        <w:t>13(1) and 17(2)</w:t>
      </w:r>
      <w:r w:rsidR="001254DE" w:rsidRPr="00012C3F">
        <w:rPr>
          <w:rFonts w:eastAsia="MS Mincho"/>
          <w:sz w:val="20"/>
          <w:szCs w:val="20"/>
          <w:lang w:val="en-US" w:eastAsia="en-US" w:bidi="en-US"/>
        </w:rPr>
        <w:t xml:space="preserve"> of the Convention</w:t>
      </w:r>
      <w:r w:rsidR="00890389" w:rsidRPr="00012C3F">
        <w:rPr>
          <w:rFonts w:eastAsia="MS Mincho"/>
          <w:sz w:val="20"/>
          <w:szCs w:val="20"/>
          <w:lang w:val="en-US" w:eastAsia="en-US" w:bidi="en-US"/>
        </w:rPr>
        <w:t>.</w:t>
      </w:r>
    </w:p>
    <w:p w14:paraId="7059F90D" w14:textId="77777777" w:rsidR="00871EF3" w:rsidRPr="00012C3F" w:rsidRDefault="00871EF3" w:rsidP="003258E8">
      <w:pPr>
        <w:widowControl/>
        <w:autoSpaceDE w:val="0"/>
        <w:autoSpaceDN w:val="0"/>
        <w:spacing w:line="240" w:lineRule="auto"/>
        <w:textAlignment w:val="auto"/>
        <w:rPr>
          <w:rFonts w:eastAsiaTheme="minorHAnsi" w:cs="Arial"/>
          <w:sz w:val="20"/>
          <w:szCs w:val="20"/>
          <w:lang w:val="en-US" w:eastAsia="en-US"/>
        </w:rPr>
      </w:pPr>
    </w:p>
    <w:p w14:paraId="46B46BAC" w14:textId="77777777" w:rsidR="006D5C94" w:rsidRPr="00012C3F" w:rsidRDefault="006D5C94" w:rsidP="0085451F">
      <w:pPr>
        <w:pStyle w:val="Ttulo3"/>
        <w:tabs>
          <w:tab w:val="left" w:pos="2552"/>
        </w:tabs>
        <w:ind w:left="1701"/>
        <w:rPr>
          <w:rFonts w:eastAsia="MS Mincho" w:cs="Arial"/>
          <w:b w:val="0"/>
          <w:i/>
          <w:spacing w:val="0"/>
          <w:lang w:val="en-US" w:eastAsia="en-US"/>
        </w:rPr>
      </w:pPr>
      <w:bookmarkStart w:id="149" w:name="_Toc27486871"/>
      <w:r w:rsidRPr="00012C3F">
        <w:rPr>
          <w:rFonts w:eastAsia="MS Mincho" w:cs="Arial"/>
          <w:b w:val="0"/>
          <w:i/>
          <w:spacing w:val="0"/>
          <w:lang w:val="en-US" w:eastAsia="en-US"/>
        </w:rPr>
        <w:t xml:space="preserve">B.3.d </w:t>
      </w:r>
      <w:r w:rsidR="004822DA" w:rsidRPr="00012C3F">
        <w:rPr>
          <w:rFonts w:eastAsia="MS Mincho" w:cs="Arial"/>
          <w:b w:val="0"/>
          <w:i/>
          <w:spacing w:val="0"/>
          <w:lang w:val="en-US" w:eastAsia="en-US"/>
        </w:rPr>
        <w:tab/>
      </w:r>
      <w:r w:rsidR="00A710F6" w:rsidRPr="00012C3F">
        <w:rPr>
          <w:rFonts w:eastAsia="MS Mincho" w:cs="Arial"/>
          <w:b w:val="0"/>
          <w:i/>
          <w:spacing w:val="0"/>
          <w:lang w:val="en-US" w:eastAsia="en-US"/>
        </w:rPr>
        <w:t>The right of</w:t>
      </w:r>
      <w:r w:rsidR="006C705C" w:rsidRPr="00012C3F">
        <w:rPr>
          <w:rFonts w:eastAsia="MS Mincho" w:cs="Arial"/>
          <w:b w:val="0"/>
          <w:i/>
          <w:spacing w:val="0"/>
          <w:lang w:val="en-US" w:eastAsia="en-US"/>
        </w:rPr>
        <w:t xml:space="preserve"> women to a life </w:t>
      </w:r>
      <w:r w:rsidR="00836B72" w:rsidRPr="00012C3F">
        <w:rPr>
          <w:rFonts w:eastAsia="MS Mincho" w:cs="Arial"/>
          <w:b w:val="0"/>
          <w:i/>
          <w:spacing w:val="0"/>
          <w:lang w:val="en-US" w:eastAsia="en-US"/>
        </w:rPr>
        <w:t>free from violence</w:t>
      </w:r>
      <w:r w:rsidRPr="00012C3F">
        <w:rPr>
          <w:rFonts w:eastAsia="MS Mincho" w:cs="Arial"/>
          <w:b w:val="0"/>
          <w:i/>
          <w:spacing w:val="0"/>
          <w:lang w:val="en-US" w:eastAsia="en-US"/>
        </w:rPr>
        <w:t xml:space="preserve"> </w:t>
      </w:r>
      <w:r w:rsidR="000977B9" w:rsidRPr="00012C3F">
        <w:rPr>
          <w:rFonts w:eastAsia="MS Mincho" w:cs="Arial"/>
          <w:b w:val="0"/>
          <w:i/>
          <w:spacing w:val="0"/>
          <w:lang w:val="en-US" w:eastAsia="en-US"/>
        </w:rPr>
        <w:t>(</w:t>
      </w:r>
      <w:r w:rsidR="001254DE" w:rsidRPr="00012C3F">
        <w:rPr>
          <w:rFonts w:eastAsia="MS Mincho" w:cs="Arial"/>
          <w:b w:val="0"/>
          <w:i/>
          <w:spacing w:val="0"/>
          <w:lang w:val="en-US" w:eastAsia="en-US"/>
        </w:rPr>
        <w:t>Article</w:t>
      </w:r>
      <w:r w:rsidR="000977B9" w:rsidRPr="00012C3F">
        <w:rPr>
          <w:rFonts w:eastAsia="MS Mincho" w:cs="Arial"/>
          <w:b w:val="0"/>
          <w:i/>
          <w:spacing w:val="0"/>
          <w:lang w:val="en-US" w:eastAsia="en-US"/>
        </w:rPr>
        <w:t xml:space="preserve"> </w:t>
      </w:r>
      <w:r w:rsidR="00D871E8" w:rsidRPr="00012C3F">
        <w:rPr>
          <w:rFonts w:eastAsia="MS Mincho" w:cs="Arial"/>
          <w:b w:val="0"/>
          <w:i/>
          <w:spacing w:val="0"/>
          <w:lang w:val="en-US" w:eastAsia="en-US"/>
        </w:rPr>
        <w:t>7(a)</w:t>
      </w:r>
      <w:r w:rsidR="001254DE" w:rsidRPr="00012C3F">
        <w:rPr>
          <w:rFonts w:eastAsia="MS Mincho" w:cs="Arial"/>
          <w:b w:val="0"/>
          <w:i/>
          <w:spacing w:val="0"/>
          <w:lang w:val="en-US" w:eastAsia="en-US"/>
        </w:rPr>
        <w:t xml:space="preserve"> of the Convention</w:t>
      </w:r>
      <w:r w:rsidR="00F634C9" w:rsidRPr="00012C3F">
        <w:rPr>
          <w:rFonts w:eastAsia="MS Mincho" w:cs="Arial"/>
          <w:b w:val="0"/>
          <w:i/>
          <w:spacing w:val="0"/>
          <w:lang w:val="en-US" w:eastAsia="en-US"/>
        </w:rPr>
        <w:t xml:space="preserve"> </w:t>
      </w:r>
      <w:r w:rsidR="005E5012" w:rsidRPr="00012C3F">
        <w:rPr>
          <w:rFonts w:eastAsia="MS Mincho" w:cs="Arial"/>
          <w:b w:val="0"/>
          <w:i/>
          <w:spacing w:val="0"/>
          <w:lang w:val="en-US" w:eastAsia="en-US"/>
        </w:rPr>
        <w:t>of Belém</w:t>
      </w:r>
      <w:r w:rsidR="00F634C9" w:rsidRPr="00012C3F">
        <w:rPr>
          <w:rFonts w:eastAsia="MS Mincho" w:cs="Arial"/>
          <w:b w:val="0"/>
          <w:i/>
          <w:spacing w:val="0"/>
          <w:lang w:val="en-US" w:eastAsia="en-US"/>
        </w:rPr>
        <w:t xml:space="preserve"> do Pará)</w:t>
      </w:r>
      <w:bookmarkEnd w:id="149"/>
    </w:p>
    <w:p w14:paraId="12937A62" w14:textId="77777777" w:rsidR="006D5C94" w:rsidRPr="00012C3F" w:rsidRDefault="006D5C94" w:rsidP="005C3110">
      <w:pPr>
        <w:widowControl/>
        <w:tabs>
          <w:tab w:val="left" w:pos="720"/>
        </w:tabs>
        <w:adjustRightInd/>
        <w:spacing w:line="240" w:lineRule="auto"/>
        <w:ind w:right="-90"/>
        <w:textAlignment w:val="auto"/>
        <w:rPr>
          <w:rFonts w:eastAsia="MS Mincho"/>
          <w:i/>
          <w:sz w:val="20"/>
          <w:szCs w:val="20"/>
          <w:lang w:val="en-US" w:eastAsia="en-US" w:bidi="en-US"/>
        </w:rPr>
      </w:pPr>
    </w:p>
    <w:p w14:paraId="3ECAAD5C" w14:textId="77777777" w:rsidR="00836B72" w:rsidRPr="00012C3F" w:rsidRDefault="00F925D5" w:rsidP="00836B72">
      <w:pPr>
        <w:numPr>
          <w:ilvl w:val="0"/>
          <w:numId w:val="5"/>
        </w:numPr>
        <w:tabs>
          <w:tab w:val="left" w:pos="720"/>
          <w:tab w:val="num" w:pos="12305"/>
        </w:tabs>
        <w:spacing w:line="240" w:lineRule="auto"/>
        <w:ind w:left="0" w:firstLine="0"/>
        <w:rPr>
          <w:rFonts w:eastAsia="Batang" w:cs="Arial"/>
          <w:bCs/>
          <w:sz w:val="20"/>
          <w:szCs w:val="20"/>
          <w:lang w:val="en-US" w:eastAsia="es-MX"/>
        </w:rPr>
      </w:pPr>
      <w:r w:rsidRPr="00012C3F">
        <w:rPr>
          <w:rFonts w:eastAsia="Batang" w:cs="Arial"/>
          <w:sz w:val="20"/>
          <w:szCs w:val="20"/>
          <w:lang w:val="en-US" w:eastAsia="es-MX"/>
        </w:rPr>
        <w:t xml:space="preserve">In the inter-American sphere, </w:t>
      </w:r>
      <w:r w:rsidR="001254DE" w:rsidRPr="00012C3F">
        <w:rPr>
          <w:rFonts w:eastAsia="MS Mincho"/>
          <w:sz w:val="20"/>
          <w:szCs w:val="20"/>
          <w:lang w:val="en-US" w:eastAsia="en-US" w:bidi="en-US"/>
        </w:rPr>
        <w:t xml:space="preserve">the </w:t>
      </w:r>
      <w:r w:rsidRPr="00012C3F">
        <w:rPr>
          <w:rFonts w:eastAsia="MS Mincho"/>
          <w:sz w:val="20"/>
          <w:szCs w:val="20"/>
          <w:lang w:val="en-US" w:eastAsia="en-US" w:bidi="en-US"/>
        </w:rPr>
        <w:t>Inter-American Convention for the Prevention, Punishment and Eradication of Violence against Women</w:t>
      </w:r>
      <w:r w:rsidR="00D44F80" w:rsidRPr="00012C3F">
        <w:rPr>
          <w:rStyle w:val="Textoennegrita"/>
          <w:rFonts w:cs="Tahoma"/>
          <w:b w:val="0"/>
          <w:sz w:val="20"/>
          <w:szCs w:val="20"/>
          <w:shd w:val="clear" w:color="auto" w:fill="FFFFFF"/>
          <w:lang w:val="en-US"/>
        </w:rPr>
        <w:t xml:space="preserve"> “Conven</w:t>
      </w:r>
      <w:r w:rsidRPr="00012C3F">
        <w:rPr>
          <w:rStyle w:val="Textoennegrita"/>
          <w:rFonts w:cs="Tahoma"/>
          <w:b w:val="0"/>
          <w:sz w:val="20"/>
          <w:szCs w:val="20"/>
          <w:shd w:val="clear" w:color="auto" w:fill="FFFFFF"/>
          <w:lang w:val="en-US"/>
        </w:rPr>
        <w:t>tion</w:t>
      </w:r>
      <w:r w:rsidR="00D44F80" w:rsidRPr="00012C3F">
        <w:rPr>
          <w:rStyle w:val="Textoennegrita"/>
          <w:rFonts w:cs="Tahoma"/>
          <w:b w:val="0"/>
          <w:sz w:val="20"/>
          <w:szCs w:val="20"/>
          <w:shd w:val="clear" w:color="auto" w:fill="FFFFFF"/>
          <w:lang w:val="en-US"/>
        </w:rPr>
        <w:t xml:space="preserve"> </w:t>
      </w:r>
      <w:r w:rsidR="005E5012" w:rsidRPr="00012C3F">
        <w:rPr>
          <w:rStyle w:val="Textoennegrita"/>
          <w:rFonts w:cs="Tahoma"/>
          <w:b w:val="0"/>
          <w:sz w:val="20"/>
          <w:szCs w:val="20"/>
          <w:shd w:val="clear" w:color="auto" w:fill="FFFFFF"/>
          <w:lang w:val="en-US"/>
        </w:rPr>
        <w:t>of Belém</w:t>
      </w:r>
      <w:r w:rsidR="00D44F80" w:rsidRPr="00012C3F">
        <w:rPr>
          <w:rStyle w:val="Textoennegrita"/>
          <w:rFonts w:cs="Tahoma"/>
          <w:b w:val="0"/>
          <w:sz w:val="20"/>
          <w:szCs w:val="20"/>
          <w:shd w:val="clear" w:color="auto" w:fill="FFFFFF"/>
          <w:lang w:val="en-US"/>
        </w:rPr>
        <w:t xml:space="preserve"> do Par</w:t>
      </w:r>
      <w:r w:rsidR="00E00BA5" w:rsidRPr="00012C3F">
        <w:rPr>
          <w:rStyle w:val="Textoennegrita"/>
          <w:rFonts w:cs="Tahoma"/>
          <w:b w:val="0"/>
          <w:sz w:val="20"/>
          <w:szCs w:val="20"/>
          <w:shd w:val="clear" w:color="auto" w:fill="FFFFFF"/>
          <w:lang w:val="en-US"/>
        </w:rPr>
        <w:t>á</w:t>
      </w:r>
      <w:r w:rsidR="00D44F80" w:rsidRPr="00012C3F">
        <w:rPr>
          <w:rStyle w:val="Textoennegrita"/>
          <w:rFonts w:cs="Tahoma"/>
          <w:b w:val="0"/>
          <w:sz w:val="20"/>
          <w:szCs w:val="20"/>
          <w:shd w:val="clear" w:color="auto" w:fill="FFFFFF"/>
          <w:lang w:val="en-US"/>
        </w:rPr>
        <w:t xml:space="preserve">” </w:t>
      </w:r>
      <w:r w:rsidR="00D44F80" w:rsidRPr="00012C3F">
        <w:rPr>
          <w:rFonts w:eastAsia="Batang" w:cs="Arial"/>
          <w:bCs/>
          <w:sz w:val="20"/>
          <w:szCs w:val="20"/>
          <w:lang w:val="en-US" w:eastAsia="es-MX"/>
        </w:rPr>
        <w:t>establ</w:t>
      </w:r>
      <w:r w:rsidRPr="00012C3F">
        <w:rPr>
          <w:rFonts w:eastAsia="Batang" w:cs="Arial"/>
          <w:bCs/>
          <w:sz w:val="20"/>
          <w:szCs w:val="20"/>
          <w:lang w:val="en-US" w:eastAsia="es-MX"/>
        </w:rPr>
        <w:t xml:space="preserve">ishes the right of every woman to be free from violence, and that </w:t>
      </w:r>
      <w:r w:rsidR="00836B72" w:rsidRPr="00012C3F">
        <w:rPr>
          <w:rFonts w:eastAsia="Batang" w:cs="Arial"/>
          <w:bCs/>
          <w:sz w:val="20"/>
          <w:szCs w:val="20"/>
          <w:lang w:val="en-US" w:eastAsia="es-MX"/>
        </w:rPr>
        <w:t>t</w:t>
      </w:r>
      <w:r w:rsidRPr="00012C3F">
        <w:rPr>
          <w:rFonts w:eastAsia="Batang" w:cs="Arial"/>
          <w:bCs/>
          <w:sz w:val="20"/>
          <w:szCs w:val="20"/>
          <w:lang w:val="en-US" w:eastAsia="es-MX"/>
        </w:rPr>
        <w:t xml:space="preserve">his right includes the right to be free of </w:t>
      </w:r>
      <w:r w:rsidR="00836B72" w:rsidRPr="00012C3F">
        <w:rPr>
          <w:rFonts w:eastAsia="Batang" w:cs="Arial"/>
          <w:bCs/>
          <w:sz w:val="20"/>
          <w:szCs w:val="20"/>
          <w:lang w:val="en-US" w:eastAsia="es-MX"/>
        </w:rPr>
        <w:t>all forms of discrimination.</w:t>
      </w:r>
      <w:r w:rsidR="00D44F80" w:rsidRPr="00012C3F">
        <w:rPr>
          <w:rFonts w:eastAsia="Batang" w:cs="Arial"/>
          <w:sz w:val="20"/>
          <w:szCs w:val="20"/>
          <w:vertAlign w:val="superscript"/>
          <w:lang w:val="en-US" w:eastAsia="es-MX"/>
        </w:rPr>
        <w:footnoteReference w:id="329"/>
      </w:r>
      <w:r w:rsidR="00836B72" w:rsidRPr="00012C3F">
        <w:rPr>
          <w:rFonts w:eastAsia="Batang" w:cs="Arial"/>
          <w:sz w:val="20"/>
          <w:szCs w:val="20"/>
          <w:lang w:val="en-US" w:eastAsia="es-MX"/>
        </w:rPr>
        <w:t xml:space="preserve"> In addition, it indicates that States must “</w:t>
      </w:r>
      <w:r w:rsidR="00836B72" w:rsidRPr="00012C3F">
        <w:rPr>
          <w:rFonts w:eastAsiaTheme="minorHAnsi" w:cs="Calibri"/>
          <w:color w:val="000000"/>
          <w:sz w:val="20"/>
          <w:szCs w:val="20"/>
          <w:lang w:val="en-US" w:eastAsia="en-US"/>
        </w:rPr>
        <w:t>refrain from engaging in any act or practice of violence against women and […] ensure that their authorities, officials, personnel, agents, and institutions act in conformity with this obligation.</w:t>
      </w:r>
      <w:r w:rsidR="00D44F80" w:rsidRPr="00012C3F">
        <w:rPr>
          <w:rFonts w:eastAsia="Batang" w:cs="Arial"/>
          <w:sz w:val="20"/>
          <w:szCs w:val="20"/>
          <w:lang w:val="en-US" w:eastAsia="es-MX"/>
        </w:rPr>
        <w:t>”</w:t>
      </w:r>
      <w:r w:rsidR="00D44F80" w:rsidRPr="00012C3F">
        <w:rPr>
          <w:rFonts w:eastAsia="Batang" w:cs="Arial"/>
          <w:sz w:val="20"/>
          <w:szCs w:val="20"/>
          <w:vertAlign w:val="superscript"/>
          <w:lang w:val="en-US" w:eastAsia="es-MX"/>
        </w:rPr>
        <w:footnoteReference w:id="330"/>
      </w:r>
      <w:r w:rsidR="00D44F80" w:rsidRPr="00012C3F">
        <w:rPr>
          <w:rFonts w:eastAsia="Batang" w:cs="Arial"/>
          <w:sz w:val="20"/>
          <w:szCs w:val="20"/>
          <w:lang w:val="en-US" w:eastAsia="es-MX"/>
        </w:rPr>
        <w:t xml:space="preserve"> </w:t>
      </w:r>
      <w:r w:rsidR="00836B72" w:rsidRPr="00012C3F">
        <w:rPr>
          <w:rFonts w:eastAsia="Batang" w:cs="Arial"/>
          <w:sz w:val="20"/>
          <w:szCs w:val="20"/>
          <w:lang w:val="en-US" w:eastAsia="es-MX"/>
        </w:rPr>
        <w:t xml:space="preserve">In this regard, the Court recalls that the protection of human rights is based on affirming the existence of certain sacrosanct attributes of the human being that cannot be legitimately impaired by the exercise of </w:t>
      </w:r>
      <w:r w:rsidR="00836B72" w:rsidRPr="00012C3F">
        <w:rPr>
          <w:rFonts w:eastAsia="Batang" w:cs="Arial"/>
          <w:sz w:val="20"/>
          <w:szCs w:val="20"/>
          <w:lang w:val="en-US" w:eastAsia="es-MX"/>
        </w:rPr>
        <w:lastRenderedPageBreak/>
        <w:t>public powers. These are individual spheres that the State may not violate.</w:t>
      </w:r>
      <w:r w:rsidR="00D44F80" w:rsidRPr="00012C3F">
        <w:rPr>
          <w:rFonts w:eastAsia="Batang" w:cs="Arial"/>
          <w:sz w:val="20"/>
          <w:szCs w:val="20"/>
          <w:vertAlign w:val="superscript"/>
          <w:lang w:val="en-US" w:eastAsia="es-MX"/>
        </w:rPr>
        <w:footnoteReference w:id="331"/>
      </w:r>
      <w:r w:rsidR="00D44F80" w:rsidRPr="00012C3F">
        <w:rPr>
          <w:rFonts w:eastAsia="Batang" w:cs="Arial"/>
          <w:sz w:val="20"/>
          <w:szCs w:val="20"/>
          <w:lang w:val="en-US" w:eastAsia="es-MX"/>
        </w:rPr>
        <w:t xml:space="preserve"> </w:t>
      </w:r>
      <w:r w:rsidR="00836B72" w:rsidRPr="00012C3F">
        <w:rPr>
          <w:rFonts w:eastAsia="Batang" w:cs="Arial"/>
          <w:sz w:val="20"/>
          <w:szCs w:val="20"/>
          <w:lang w:val="en-US" w:eastAsia="es-MX"/>
        </w:rPr>
        <w:t>In order to ensure this protection, the Court has considered that it is not sufficient for States to refrain from violating right</w:t>
      </w:r>
      <w:r w:rsidR="004225C5" w:rsidRPr="00012C3F">
        <w:rPr>
          <w:rFonts w:eastAsia="Batang" w:cs="Arial"/>
          <w:sz w:val="20"/>
          <w:szCs w:val="20"/>
          <w:lang w:val="en-US" w:eastAsia="es-MX"/>
        </w:rPr>
        <w:t xml:space="preserve">s; rather, </w:t>
      </w:r>
      <w:r w:rsidR="00836B72" w:rsidRPr="00012C3F">
        <w:rPr>
          <w:rFonts w:eastAsia="Batang" w:cs="Arial"/>
          <w:sz w:val="20"/>
          <w:szCs w:val="20"/>
          <w:lang w:val="en-US" w:eastAsia="es-MX"/>
        </w:rPr>
        <w:t>it is imperative that they adopt positive measures, determined in function of the specific needs for protection of the subject</w:t>
      </w:r>
      <w:r w:rsidR="004225C5" w:rsidRPr="00012C3F">
        <w:rPr>
          <w:rFonts w:eastAsia="Batang" w:cs="Arial"/>
          <w:sz w:val="20"/>
          <w:szCs w:val="20"/>
          <w:lang w:val="en-US" w:eastAsia="es-MX"/>
        </w:rPr>
        <w:t>s</w:t>
      </w:r>
      <w:r w:rsidR="00836B72" w:rsidRPr="00012C3F">
        <w:rPr>
          <w:rFonts w:eastAsia="Batang" w:cs="Arial"/>
          <w:sz w:val="20"/>
          <w:szCs w:val="20"/>
          <w:lang w:val="en-US" w:eastAsia="es-MX"/>
        </w:rPr>
        <w:t xml:space="preserve"> of law, due either to </w:t>
      </w:r>
      <w:r w:rsidR="004225C5" w:rsidRPr="00012C3F">
        <w:rPr>
          <w:rFonts w:eastAsia="Batang" w:cs="Arial"/>
          <w:sz w:val="20"/>
          <w:szCs w:val="20"/>
          <w:lang w:val="en-US" w:eastAsia="es-MX"/>
        </w:rPr>
        <w:t>their</w:t>
      </w:r>
      <w:r w:rsidR="00836B72" w:rsidRPr="00012C3F">
        <w:rPr>
          <w:rFonts w:eastAsia="Batang" w:cs="Arial"/>
          <w:sz w:val="20"/>
          <w:szCs w:val="20"/>
          <w:lang w:val="en-US" w:eastAsia="es-MX"/>
        </w:rPr>
        <w:t xml:space="preserve"> personal condition or to the specific situation in which </w:t>
      </w:r>
      <w:r w:rsidR="004225C5" w:rsidRPr="00012C3F">
        <w:rPr>
          <w:rFonts w:eastAsia="Batang" w:cs="Arial"/>
          <w:sz w:val="20"/>
          <w:szCs w:val="20"/>
          <w:lang w:val="en-US" w:eastAsia="es-MX"/>
        </w:rPr>
        <w:t>they</w:t>
      </w:r>
      <w:r w:rsidR="00836B72" w:rsidRPr="00012C3F">
        <w:rPr>
          <w:rFonts w:eastAsia="Batang" w:cs="Arial"/>
          <w:sz w:val="20"/>
          <w:szCs w:val="20"/>
          <w:lang w:val="en-US" w:eastAsia="es-MX"/>
        </w:rPr>
        <w:t xml:space="preserve"> finds </w:t>
      </w:r>
      <w:r w:rsidR="004225C5" w:rsidRPr="00012C3F">
        <w:rPr>
          <w:rFonts w:eastAsia="Batang" w:cs="Arial"/>
          <w:sz w:val="20"/>
          <w:szCs w:val="20"/>
          <w:lang w:val="en-US" w:eastAsia="es-MX"/>
        </w:rPr>
        <w:t>themselves</w:t>
      </w:r>
      <w:r w:rsidR="00836B72" w:rsidRPr="00012C3F">
        <w:rPr>
          <w:rFonts w:eastAsia="Batang" w:cs="Arial"/>
          <w:sz w:val="20"/>
          <w:szCs w:val="20"/>
          <w:lang w:val="en-US" w:eastAsia="es-MX"/>
        </w:rPr>
        <w:t>.</w:t>
      </w:r>
      <w:r w:rsidR="00D44F80" w:rsidRPr="00012C3F">
        <w:rPr>
          <w:rFonts w:eastAsia="Batang" w:cs="Arial"/>
          <w:sz w:val="20"/>
          <w:szCs w:val="20"/>
          <w:vertAlign w:val="superscript"/>
          <w:lang w:val="en-US" w:eastAsia="es-MX"/>
        </w:rPr>
        <w:footnoteReference w:id="332"/>
      </w:r>
      <w:r w:rsidR="00D44F80" w:rsidRPr="00012C3F">
        <w:rPr>
          <w:rFonts w:eastAsia="Batang" w:cs="Arial"/>
          <w:sz w:val="20"/>
          <w:szCs w:val="20"/>
          <w:lang w:val="en-US" w:eastAsia="es-MX"/>
        </w:rPr>
        <w:t xml:space="preserve"> </w:t>
      </w:r>
      <w:r w:rsidR="001254DE" w:rsidRPr="00012C3F">
        <w:rPr>
          <w:rFonts w:eastAsia="Batang" w:cs="Arial"/>
          <w:sz w:val="20"/>
          <w:szCs w:val="20"/>
          <w:lang w:val="en-US" w:eastAsia="es-MX"/>
        </w:rPr>
        <w:t>The Court</w:t>
      </w:r>
      <w:r w:rsidR="00D44F80" w:rsidRPr="00012C3F">
        <w:rPr>
          <w:rFonts w:eastAsia="Batang" w:cs="Arial"/>
          <w:sz w:val="20"/>
          <w:szCs w:val="20"/>
          <w:lang w:val="en-US" w:eastAsia="es-MX"/>
        </w:rPr>
        <w:t xml:space="preserve"> consider</w:t>
      </w:r>
      <w:r w:rsidR="00836B72" w:rsidRPr="00012C3F">
        <w:rPr>
          <w:rFonts w:eastAsia="Batang" w:cs="Arial"/>
          <w:sz w:val="20"/>
          <w:szCs w:val="20"/>
          <w:lang w:val="en-US" w:eastAsia="es-MX"/>
        </w:rPr>
        <w:t>s that this State obligation acquires special relevance when violations of the sexual and reproductive rights of women are involved, as in the case of non-consensual sterilizations performed in public hospitals.</w:t>
      </w:r>
    </w:p>
    <w:p w14:paraId="00697F43" w14:textId="77777777" w:rsidR="00D44F80" w:rsidRPr="00012C3F" w:rsidRDefault="00D44F80" w:rsidP="00D44F80">
      <w:pPr>
        <w:tabs>
          <w:tab w:val="left" w:pos="567"/>
        </w:tabs>
        <w:spacing w:line="240" w:lineRule="auto"/>
        <w:rPr>
          <w:rFonts w:eastAsia="Batang" w:cs="Arial"/>
          <w:bCs/>
          <w:sz w:val="20"/>
          <w:szCs w:val="20"/>
          <w:lang w:val="en-US" w:eastAsia="es-MX"/>
        </w:rPr>
      </w:pPr>
    </w:p>
    <w:p w14:paraId="6A43E2D6" w14:textId="77777777" w:rsidR="00D44F80" w:rsidRPr="00012C3F" w:rsidRDefault="001254DE" w:rsidP="00C6414C">
      <w:pPr>
        <w:numPr>
          <w:ilvl w:val="0"/>
          <w:numId w:val="5"/>
        </w:numPr>
        <w:tabs>
          <w:tab w:val="left" w:pos="720"/>
          <w:tab w:val="num" w:pos="12305"/>
        </w:tabs>
        <w:spacing w:line="240" w:lineRule="auto"/>
        <w:ind w:left="0" w:firstLine="0"/>
        <w:rPr>
          <w:rFonts w:eastAsia="Calibri"/>
          <w:sz w:val="20"/>
          <w:szCs w:val="20"/>
          <w:lang w:val="en-US" w:eastAsia="en-US" w:bidi="en-US"/>
        </w:rPr>
      </w:pPr>
      <w:r w:rsidRPr="00012C3F">
        <w:rPr>
          <w:rFonts w:eastAsia="MS Mincho"/>
          <w:sz w:val="20"/>
          <w:szCs w:val="20"/>
          <w:lang w:val="en-US" w:eastAsia="en-US" w:bidi="en-US"/>
        </w:rPr>
        <w:t>The Convention</w:t>
      </w:r>
      <w:r w:rsidR="00D44F80" w:rsidRPr="00012C3F">
        <w:rPr>
          <w:rStyle w:val="Textoennegrita"/>
          <w:rFonts w:cs="Tahoma"/>
          <w:b w:val="0"/>
          <w:sz w:val="20"/>
          <w:szCs w:val="20"/>
          <w:shd w:val="clear" w:color="auto" w:fill="FFFFFF"/>
          <w:lang w:val="en-US"/>
        </w:rPr>
        <w:t xml:space="preserve"> </w:t>
      </w:r>
      <w:r w:rsidR="005E5012" w:rsidRPr="00012C3F">
        <w:rPr>
          <w:rStyle w:val="Textoennegrita"/>
          <w:rFonts w:cs="Tahoma"/>
          <w:b w:val="0"/>
          <w:sz w:val="20"/>
          <w:szCs w:val="20"/>
          <w:shd w:val="clear" w:color="auto" w:fill="FFFFFF"/>
          <w:lang w:val="en-US"/>
        </w:rPr>
        <w:t>of Belém</w:t>
      </w:r>
      <w:r w:rsidR="00D44F80" w:rsidRPr="00012C3F">
        <w:rPr>
          <w:rStyle w:val="Textoennegrita"/>
          <w:rFonts w:cs="Tahoma"/>
          <w:b w:val="0"/>
          <w:sz w:val="20"/>
          <w:szCs w:val="20"/>
          <w:shd w:val="clear" w:color="auto" w:fill="FFFFFF"/>
          <w:lang w:val="en-US"/>
        </w:rPr>
        <w:t xml:space="preserve"> do Pará ha</w:t>
      </w:r>
      <w:r w:rsidR="00836B72" w:rsidRPr="00012C3F">
        <w:rPr>
          <w:rStyle w:val="Textoennegrita"/>
          <w:rFonts w:cs="Tahoma"/>
          <w:b w:val="0"/>
          <w:sz w:val="20"/>
          <w:szCs w:val="20"/>
          <w:shd w:val="clear" w:color="auto" w:fill="FFFFFF"/>
          <w:lang w:val="en-US"/>
        </w:rPr>
        <w:t>s established pa</w:t>
      </w:r>
      <w:r w:rsidR="00452BE4" w:rsidRPr="00012C3F">
        <w:rPr>
          <w:rStyle w:val="Textoennegrita"/>
          <w:rFonts w:cs="Tahoma"/>
          <w:b w:val="0"/>
          <w:sz w:val="20"/>
          <w:szCs w:val="20"/>
          <w:shd w:val="clear" w:color="auto" w:fill="FFFFFF"/>
          <w:lang w:val="en-US"/>
        </w:rPr>
        <w:t>r</w:t>
      </w:r>
      <w:r w:rsidR="00836B72" w:rsidRPr="00012C3F">
        <w:rPr>
          <w:rStyle w:val="Textoennegrita"/>
          <w:rFonts w:cs="Tahoma"/>
          <w:b w:val="0"/>
          <w:sz w:val="20"/>
          <w:szCs w:val="20"/>
          <w:shd w:val="clear" w:color="auto" w:fill="FFFFFF"/>
          <w:lang w:val="en-US"/>
        </w:rPr>
        <w:t>ameters to identify when an act constitutes violence and</w:t>
      </w:r>
      <w:r w:rsidR="00C6414C" w:rsidRPr="00012C3F">
        <w:rPr>
          <w:rStyle w:val="Textoennegrita"/>
          <w:rFonts w:cs="Tahoma"/>
          <w:b w:val="0"/>
          <w:sz w:val="20"/>
          <w:szCs w:val="20"/>
          <w:shd w:val="clear" w:color="auto" w:fill="FFFFFF"/>
          <w:lang w:val="en-US"/>
        </w:rPr>
        <w:t xml:space="preserve"> its </w:t>
      </w:r>
      <w:r w:rsidRPr="00012C3F">
        <w:rPr>
          <w:rFonts w:cs="Tahoma"/>
          <w:sz w:val="20"/>
          <w:szCs w:val="20"/>
          <w:lang w:val="en-US"/>
        </w:rPr>
        <w:t>Article</w:t>
      </w:r>
      <w:r w:rsidR="00D44F80" w:rsidRPr="00012C3F">
        <w:rPr>
          <w:rFonts w:cs="Tahoma"/>
          <w:sz w:val="20"/>
          <w:szCs w:val="20"/>
          <w:lang w:val="en-US"/>
        </w:rPr>
        <w:t xml:space="preserve"> 1</w:t>
      </w:r>
      <w:r w:rsidR="00C6414C" w:rsidRPr="00012C3F">
        <w:rPr>
          <w:rFonts w:cs="Tahoma"/>
          <w:sz w:val="20"/>
          <w:szCs w:val="20"/>
          <w:lang w:val="en-US"/>
        </w:rPr>
        <w:t xml:space="preserve"> defines this as follows: ”</w:t>
      </w:r>
      <w:r w:rsidR="00C6414C" w:rsidRPr="00012C3F">
        <w:rPr>
          <w:rFonts w:eastAsiaTheme="minorHAnsi" w:cs="Calibri"/>
          <w:color w:val="000000"/>
          <w:sz w:val="20"/>
          <w:szCs w:val="20"/>
          <w:lang w:val="en-US" w:eastAsia="en-US"/>
        </w:rPr>
        <w:t>violence against women shall be understood as any act or conduct, based on gender, which causes death or physical, sexual or psychological harm or suffering to women, whether in the public or the private sphere.</w:t>
      </w:r>
      <w:r w:rsidR="00D44F80" w:rsidRPr="00012C3F">
        <w:rPr>
          <w:rFonts w:cs="Tahoma"/>
          <w:sz w:val="20"/>
          <w:szCs w:val="20"/>
          <w:lang w:val="en-US"/>
        </w:rPr>
        <w:t>”</w:t>
      </w:r>
      <w:r w:rsidR="00D44F80" w:rsidRPr="00012C3F">
        <w:rPr>
          <w:rStyle w:val="Refdenotaalpie"/>
          <w:rFonts w:eastAsiaTheme="minorHAnsi"/>
          <w:sz w:val="20"/>
          <w:szCs w:val="20"/>
          <w:lang w:val="en-US"/>
        </w:rPr>
        <w:footnoteReference w:id="333"/>
      </w:r>
      <w:r w:rsidR="00D44F80" w:rsidRPr="00012C3F">
        <w:rPr>
          <w:rFonts w:cs="Tahoma"/>
          <w:sz w:val="20"/>
          <w:szCs w:val="20"/>
          <w:lang w:val="en-US"/>
        </w:rPr>
        <w:t xml:space="preserve"> </w:t>
      </w:r>
      <w:r w:rsidR="00C6414C" w:rsidRPr="00012C3F">
        <w:rPr>
          <w:rFonts w:cs="Tahoma"/>
          <w:sz w:val="20"/>
          <w:szCs w:val="20"/>
          <w:lang w:val="en-US"/>
        </w:rPr>
        <w:t>In addition, the Court has indicated that gender-based violence “includes acts that inflict physical, mental or sexual harm or suffering, threats of such acts, coercion, and other deprivations of liberty.</w:t>
      </w:r>
      <w:r w:rsidR="00D44F80" w:rsidRPr="00012C3F">
        <w:rPr>
          <w:sz w:val="20"/>
          <w:szCs w:val="20"/>
          <w:lang w:val="en-US"/>
        </w:rPr>
        <w:t>”</w:t>
      </w:r>
      <w:r w:rsidR="00D44F80" w:rsidRPr="00012C3F">
        <w:rPr>
          <w:rStyle w:val="Refdenotaalpie"/>
          <w:rFonts w:eastAsiaTheme="minorHAnsi"/>
          <w:sz w:val="20"/>
          <w:szCs w:val="20"/>
          <w:lang w:val="en-US"/>
        </w:rPr>
        <w:footnoteReference w:id="334"/>
      </w:r>
    </w:p>
    <w:p w14:paraId="4962201B" w14:textId="77777777" w:rsidR="00D44F80" w:rsidRPr="00012C3F" w:rsidRDefault="00D44F80" w:rsidP="00C6414C">
      <w:pPr>
        <w:widowControl/>
        <w:tabs>
          <w:tab w:val="left" w:pos="720"/>
        </w:tabs>
        <w:autoSpaceDE w:val="0"/>
        <w:autoSpaceDN w:val="0"/>
        <w:spacing w:line="240" w:lineRule="auto"/>
        <w:textAlignment w:val="auto"/>
        <w:rPr>
          <w:rFonts w:eastAsiaTheme="minorHAnsi" w:cs="Arial"/>
          <w:sz w:val="20"/>
          <w:szCs w:val="20"/>
          <w:lang w:val="en-US" w:eastAsia="en-US"/>
        </w:rPr>
      </w:pPr>
    </w:p>
    <w:p w14:paraId="54769768" w14:textId="77777777" w:rsidR="00933FD4" w:rsidRPr="00012C3F" w:rsidRDefault="00E26C77" w:rsidP="00E26C77">
      <w:pPr>
        <w:numPr>
          <w:ilvl w:val="0"/>
          <w:numId w:val="5"/>
        </w:numPr>
        <w:tabs>
          <w:tab w:val="left" w:pos="720"/>
          <w:tab w:val="num" w:pos="12305"/>
        </w:tabs>
        <w:spacing w:line="240" w:lineRule="auto"/>
        <w:ind w:left="0" w:firstLine="0"/>
        <w:rPr>
          <w:rFonts w:eastAsia="Batang" w:cs="Arial"/>
          <w:sz w:val="20"/>
          <w:szCs w:val="20"/>
          <w:lang w:val="en-US" w:eastAsia="es-MX"/>
        </w:rPr>
      </w:pPr>
      <w:r w:rsidRPr="00012C3F">
        <w:rPr>
          <w:rFonts w:cs="Tahoma"/>
          <w:sz w:val="20"/>
          <w:szCs w:val="20"/>
          <w:lang w:val="en-US"/>
        </w:rPr>
        <w:t>Bearing</w:t>
      </w:r>
      <w:r w:rsidR="00D44F80" w:rsidRPr="00012C3F">
        <w:rPr>
          <w:rFonts w:cs="Tahoma"/>
          <w:sz w:val="20"/>
          <w:szCs w:val="20"/>
          <w:lang w:val="en-US"/>
        </w:rPr>
        <w:t xml:space="preserve"> </w:t>
      </w:r>
      <w:r w:rsidRPr="00012C3F">
        <w:rPr>
          <w:rFonts w:cs="Tahoma"/>
          <w:sz w:val="20"/>
          <w:szCs w:val="20"/>
          <w:lang w:val="en-US"/>
        </w:rPr>
        <w:t>i</w:t>
      </w:r>
      <w:r w:rsidR="00D44F80" w:rsidRPr="00012C3F">
        <w:rPr>
          <w:rFonts w:cs="Tahoma"/>
          <w:sz w:val="20"/>
          <w:szCs w:val="20"/>
          <w:lang w:val="en-US"/>
        </w:rPr>
        <w:t>n</w:t>
      </w:r>
      <w:r w:rsidRPr="00012C3F">
        <w:rPr>
          <w:rFonts w:cs="Tahoma"/>
          <w:sz w:val="20"/>
          <w:szCs w:val="20"/>
          <w:lang w:val="en-US"/>
        </w:rPr>
        <w:t xml:space="preserve"> mind the definition of violence against women adopted in </w:t>
      </w:r>
      <w:r w:rsidR="001254DE" w:rsidRPr="00012C3F">
        <w:rPr>
          <w:rFonts w:cs="Tahoma"/>
          <w:sz w:val="20"/>
          <w:szCs w:val="20"/>
          <w:lang w:val="en-US"/>
        </w:rPr>
        <w:t>the Convention</w:t>
      </w:r>
      <w:r w:rsidR="00D44F80" w:rsidRPr="00012C3F">
        <w:rPr>
          <w:rFonts w:cs="Tahoma"/>
          <w:sz w:val="20"/>
          <w:szCs w:val="20"/>
          <w:lang w:val="en-US"/>
        </w:rPr>
        <w:t xml:space="preserve"> </w:t>
      </w:r>
      <w:r w:rsidR="005E5012" w:rsidRPr="00012C3F">
        <w:rPr>
          <w:rFonts w:cs="Tahoma"/>
          <w:sz w:val="20"/>
          <w:szCs w:val="20"/>
          <w:lang w:val="en-US"/>
        </w:rPr>
        <w:t>of Belém</w:t>
      </w:r>
      <w:r w:rsidR="00D44F80" w:rsidRPr="00012C3F">
        <w:rPr>
          <w:rFonts w:cs="Tahoma"/>
          <w:sz w:val="20"/>
          <w:szCs w:val="20"/>
          <w:lang w:val="en-US"/>
        </w:rPr>
        <w:t xml:space="preserve"> do Pará, </w:t>
      </w:r>
      <w:r w:rsidR="001254DE" w:rsidRPr="00012C3F">
        <w:rPr>
          <w:rFonts w:cs="Tahoma"/>
          <w:sz w:val="20"/>
          <w:szCs w:val="20"/>
          <w:lang w:val="en-US"/>
        </w:rPr>
        <w:t>the Court</w:t>
      </w:r>
      <w:r w:rsidR="00D44F80" w:rsidRPr="00012C3F">
        <w:rPr>
          <w:rFonts w:cs="Tahoma"/>
          <w:sz w:val="20"/>
          <w:szCs w:val="20"/>
          <w:lang w:val="en-US"/>
        </w:rPr>
        <w:t xml:space="preserve"> consider</w:t>
      </w:r>
      <w:r w:rsidRPr="00012C3F">
        <w:rPr>
          <w:rFonts w:cs="Tahoma"/>
          <w:sz w:val="20"/>
          <w:szCs w:val="20"/>
          <w:lang w:val="en-US"/>
        </w:rPr>
        <w:t>s that the physician should have foreseen that the intentional alteration of I.V.’s physical capacity for biological reproduction, with total disregard for her autonomy and reproductive freedom would cause her intense emotional suffering and, despite this, he did not modify his conduct in the belief that it was he who was in the best position to take the decision that he considered most beneficial for I.V. The Court finds that an intrusion of this magnitude in</w:t>
      </w:r>
      <w:r w:rsidR="004225C5" w:rsidRPr="00012C3F">
        <w:rPr>
          <w:rFonts w:cs="Tahoma"/>
          <w:sz w:val="20"/>
          <w:szCs w:val="20"/>
          <w:lang w:val="en-US"/>
        </w:rPr>
        <w:t>to</w:t>
      </w:r>
      <w:r w:rsidRPr="00012C3F">
        <w:rPr>
          <w:rFonts w:cs="Tahoma"/>
          <w:sz w:val="20"/>
          <w:szCs w:val="20"/>
          <w:lang w:val="en-US"/>
        </w:rPr>
        <w:t xml:space="preserve"> the body and the personal integrity of I.V., without her consent, foreseeably caused a significant suffering for the victim, especially given that the physician assumed for himself an extremely person decision that belonged to I.V. – which was not a life or death decision. In addition, the Court has underlined that sterilization affect</w:t>
      </w:r>
      <w:r w:rsidR="004225C5" w:rsidRPr="00012C3F">
        <w:rPr>
          <w:rFonts w:cs="Tahoma"/>
          <w:sz w:val="20"/>
          <w:szCs w:val="20"/>
          <w:lang w:val="en-US"/>
        </w:rPr>
        <w:t>s</w:t>
      </w:r>
      <w:r w:rsidRPr="00012C3F">
        <w:rPr>
          <w:rFonts w:cs="Tahoma"/>
          <w:sz w:val="20"/>
          <w:szCs w:val="20"/>
          <w:lang w:val="en-US"/>
        </w:rPr>
        <w:t xml:space="preserve"> women disproportionately because they are women and</w:t>
      </w:r>
      <w:r w:rsidR="004225C5" w:rsidRPr="00012C3F">
        <w:rPr>
          <w:rFonts w:cs="Tahoma"/>
          <w:sz w:val="20"/>
          <w:szCs w:val="20"/>
          <w:lang w:val="en-US"/>
        </w:rPr>
        <w:t>, also,</w:t>
      </w:r>
      <w:r w:rsidRPr="00012C3F">
        <w:rPr>
          <w:rFonts w:cs="Tahoma"/>
          <w:sz w:val="20"/>
          <w:szCs w:val="20"/>
          <w:lang w:val="en-US"/>
        </w:rPr>
        <w:t xml:space="preserve"> based on the perception of their primarily reproductive role and that they are not capable of taking responsible decisions on their reproductive health and family planning</w:t>
      </w:r>
      <w:r w:rsidR="00933FD4" w:rsidRPr="00012C3F">
        <w:rPr>
          <w:rFonts w:cs="Tahoma"/>
          <w:sz w:val="20"/>
          <w:szCs w:val="20"/>
          <w:lang w:val="en-US"/>
        </w:rPr>
        <w:t xml:space="preserve"> (</w:t>
      </w:r>
      <w:r w:rsidR="00DD2D75" w:rsidRPr="00012C3F">
        <w:rPr>
          <w:rFonts w:cs="Tahoma"/>
          <w:i/>
          <w:sz w:val="20"/>
          <w:szCs w:val="20"/>
          <w:lang w:val="en-US"/>
        </w:rPr>
        <w:t>supra</w:t>
      </w:r>
      <w:r w:rsidR="00DD2D75" w:rsidRPr="00012C3F">
        <w:rPr>
          <w:rFonts w:cs="Tahoma"/>
          <w:sz w:val="20"/>
          <w:szCs w:val="20"/>
          <w:lang w:val="en-US"/>
        </w:rPr>
        <w:t xml:space="preserve"> </w:t>
      </w:r>
      <w:r w:rsidR="00370DD4" w:rsidRPr="00012C3F">
        <w:rPr>
          <w:rFonts w:cs="Tahoma"/>
          <w:sz w:val="20"/>
          <w:szCs w:val="20"/>
          <w:lang w:val="en-US"/>
        </w:rPr>
        <w:t>paras.</w:t>
      </w:r>
      <w:r w:rsidR="00933FD4" w:rsidRPr="00012C3F">
        <w:rPr>
          <w:rFonts w:cs="Tahoma"/>
          <w:sz w:val="20"/>
          <w:szCs w:val="20"/>
          <w:lang w:val="en-US"/>
        </w:rPr>
        <w:t xml:space="preserve"> </w:t>
      </w:r>
      <w:r w:rsidR="00DD2D75" w:rsidRPr="00012C3F">
        <w:rPr>
          <w:rFonts w:cs="Tahoma"/>
          <w:sz w:val="20"/>
          <w:szCs w:val="20"/>
          <w:lang w:val="en-US"/>
        </w:rPr>
        <w:t>187</w:t>
      </w:r>
      <w:r w:rsidR="005E5012" w:rsidRPr="00012C3F">
        <w:rPr>
          <w:rFonts w:cs="Tahoma"/>
          <w:sz w:val="20"/>
          <w:szCs w:val="20"/>
          <w:lang w:val="en-US"/>
        </w:rPr>
        <w:t xml:space="preserve"> and </w:t>
      </w:r>
      <w:r w:rsidR="00301C6B" w:rsidRPr="00012C3F">
        <w:rPr>
          <w:rFonts w:cs="Tahoma"/>
          <w:sz w:val="20"/>
          <w:szCs w:val="20"/>
          <w:lang w:val="en-US"/>
        </w:rPr>
        <w:t>243</w:t>
      </w:r>
      <w:r w:rsidR="00933FD4" w:rsidRPr="00012C3F">
        <w:rPr>
          <w:rFonts w:cs="Tahoma"/>
          <w:sz w:val="20"/>
          <w:szCs w:val="20"/>
          <w:lang w:val="en-US"/>
        </w:rPr>
        <w:t>).</w:t>
      </w:r>
    </w:p>
    <w:p w14:paraId="649B4453" w14:textId="77777777" w:rsidR="00147909" w:rsidRPr="00012C3F" w:rsidRDefault="00147909" w:rsidP="00C6414C">
      <w:pPr>
        <w:tabs>
          <w:tab w:val="left" w:pos="720"/>
        </w:tabs>
        <w:spacing w:line="240" w:lineRule="auto"/>
        <w:rPr>
          <w:rFonts w:eastAsia="Batang" w:cs="Arial"/>
          <w:sz w:val="20"/>
          <w:szCs w:val="20"/>
          <w:lang w:val="en-US" w:eastAsia="es-MX"/>
        </w:rPr>
      </w:pPr>
    </w:p>
    <w:p w14:paraId="3399124C" w14:textId="77777777" w:rsidR="00147909" w:rsidRPr="00012C3F" w:rsidRDefault="00E26C77" w:rsidP="00C6414C">
      <w:pPr>
        <w:numPr>
          <w:ilvl w:val="0"/>
          <w:numId w:val="5"/>
        </w:numPr>
        <w:tabs>
          <w:tab w:val="left" w:pos="720"/>
          <w:tab w:val="num" w:pos="12305"/>
        </w:tabs>
        <w:spacing w:line="240" w:lineRule="auto"/>
        <w:ind w:left="0" w:firstLine="0"/>
        <w:rPr>
          <w:rFonts w:eastAsia="Batang" w:cs="Arial"/>
          <w:bCs/>
          <w:sz w:val="20"/>
          <w:szCs w:val="20"/>
          <w:lang w:val="en-US" w:eastAsia="es-MX"/>
        </w:rPr>
      </w:pPr>
      <w:r w:rsidRPr="00012C3F">
        <w:rPr>
          <w:bCs/>
          <w:sz w:val="20"/>
          <w:szCs w:val="20"/>
          <w:lang w:val="en-US"/>
        </w:rPr>
        <w:t>The right of women to live free of violence is closely related to the right to non-discrimination. The</w:t>
      </w:r>
      <w:r w:rsidR="00147909" w:rsidRPr="00012C3F">
        <w:rPr>
          <w:bCs/>
          <w:sz w:val="20"/>
          <w:szCs w:val="20"/>
          <w:lang w:val="en-US"/>
        </w:rPr>
        <w:t xml:space="preserve"> </w:t>
      </w:r>
      <w:r w:rsidR="00BC0785" w:rsidRPr="00012C3F">
        <w:rPr>
          <w:bCs/>
          <w:sz w:val="20"/>
          <w:szCs w:val="20"/>
          <w:lang w:val="en-US"/>
        </w:rPr>
        <w:t>Committee for the Elimination of Discrimination against Women</w:t>
      </w:r>
      <w:r w:rsidR="00147909" w:rsidRPr="00012C3F">
        <w:rPr>
          <w:bCs/>
          <w:sz w:val="20"/>
          <w:szCs w:val="20"/>
          <w:lang w:val="en-US"/>
        </w:rPr>
        <w:t xml:space="preserve"> </w:t>
      </w:r>
      <w:r w:rsidR="00147909" w:rsidRPr="00012C3F">
        <w:rPr>
          <w:rFonts w:eastAsia="Batang" w:cs="Arial"/>
          <w:sz w:val="20"/>
          <w:szCs w:val="20"/>
          <w:lang w:val="en-US" w:eastAsia="es-MX"/>
        </w:rPr>
        <w:t>ha</w:t>
      </w:r>
      <w:r w:rsidRPr="00012C3F">
        <w:rPr>
          <w:rFonts w:eastAsia="Batang" w:cs="Arial"/>
          <w:sz w:val="20"/>
          <w:szCs w:val="20"/>
          <w:lang w:val="en-US" w:eastAsia="es-MX"/>
        </w:rPr>
        <w:t>s indicated that “gender-based violence is a form of discrimination that seriously inhibits women’s ability to enjoy rights and freedoms on a basis of equality with men.</w:t>
      </w:r>
      <w:r w:rsidR="00147909" w:rsidRPr="00012C3F">
        <w:rPr>
          <w:rFonts w:eastAsia="Batang" w:cs="Arial"/>
          <w:sz w:val="20"/>
          <w:szCs w:val="20"/>
          <w:lang w:val="en-US" w:eastAsia="es-MX"/>
        </w:rPr>
        <w:t>”</w:t>
      </w:r>
      <w:r w:rsidR="00147909" w:rsidRPr="00012C3F">
        <w:rPr>
          <w:rFonts w:eastAsia="Batang" w:cs="Arial"/>
          <w:sz w:val="20"/>
          <w:szCs w:val="20"/>
          <w:vertAlign w:val="superscript"/>
          <w:lang w:val="en-US" w:eastAsia="es-MX"/>
        </w:rPr>
        <w:footnoteReference w:id="335"/>
      </w:r>
      <w:r w:rsidR="00147909" w:rsidRPr="00012C3F">
        <w:rPr>
          <w:rFonts w:eastAsia="Batang" w:cs="Arial"/>
          <w:sz w:val="20"/>
          <w:szCs w:val="20"/>
          <w:lang w:val="en-US" w:eastAsia="es-MX"/>
        </w:rPr>
        <w:t xml:space="preserve"> </w:t>
      </w:r>
      <w:r w:rsidR="00B0478F" w:rsidRPr="00012C3F">
        <w:rPr>
          <w:rFonts w:eastAsia="Batang" w:cs="Arial"/>
          <w:sz w:val="20"/>
          <w:szCs w:val="20"/>
          <w:lang w:val="en-US" w:eastAsia="es-MX"/>
        </w:rPr>
        <w:t>This</w:t>
      </w:r>
      <w:r w:rsidR="00147909" w:rsidRPr="00012C3F">
        <w:rPr>
          <w:rFonts w:eastAsia="Batang" w:cs="Arial"/>
          <w:sz w:val="20"/>
          <w:szCs w:val="20"/>
          <w:lang w:val="en-US" w:eastAsia="es-MX"/>
        </w:rPr>
        <w:t xml:space="preserve"> “</w:t>
      </w:r>
      <w:r w:rsidR="00B0478F" w:rsidRPr="00012C3F">
        <w:rPr>
          <w:rFonts w:eastAsia="Batang" w:cs="Arial"/>
          <w:sz w:val="20"/>
          <w:szCs w:val="20"/>
          <w:lang w:val="en-US" w:eastAsia="es-MX"/>
        </w:rPr>
        <w:t>[g]</w:t>
      </w:r>
      <w:r w:rsidR="00B0478F" w:rsidRPr="00012C3F">
        <w:rPr>
          <w:sz w:val="20"/>
          <w:szCs w:val="20"/>
          <w:lang w:val="en-US"/>
        </w:rPr>
        <w:t>ender-based violence […] inhibits the ability to enjoy rights and freedoms, including</w:t>
      </w:r>
      <w:r w:rsidR="00B0478F" w:rsidRPr="00012C3F">
        <w:rPr>
          <w:sz w:val="38"/>
          <w:szCs w:val="38"/>
          <w:lang w:val="en-US"/>
        </w:rPr>
        <w:t xml:space="preserve"> </w:t>
      </w:r>
      <w:r w:rsidR="00B0478F" w:rsidRPr="00012C3F">
        <w:rPr>
          <w:sz w:val="20"/>
          <w:szCs w:val="20"/>
          <w:lang w:val="en-US"/>
        </w:rPr>
        <w:t>economic, social and cultural rights, on a basis of equality.</w:t>
      </w:r>
      <w:r w:rsidR="00147909" w:rsidRPr="00012C3F">
        <w:rPr>
          <w:rFonts w:eastAsia="Batang" w:cs="Arial"/>
          <w:sz w:val="20"/>
          <w:szCs w:val="20"/>
          <w:lang w:val="en-US" w:eastAsia="es-MX"/>
        </w:rPr>
        <w:t>”</w:t>
      </w:r>
      <w:r w:rsidR="00147909" w:rsidRPr="00012C3F">
        <w:rPr>
          <w:rFonts w:eastAsia="Batang" w:cs="Arial"/>
          <w:sz w:val="20"/>
          <w:szCs w:val="20"/>
          <w:vertAlign w:val="superscript"/>
          <w:lang w:val="en-US" w:eastAsia="es-MX"/>
        </w:rPr>
        <w:footnoteReference w:id="336"/>
      </w:r>
      <w:r w:rsidR="00147909" w:rsidRPr="00012C3F">
        <w:rPr>
          <w:rFonts w:eastAsia="Batang" w:cs="Arial"/>
          <w:sz w:val="20"/>
          <w:szCs w:val="20"/>
          <w:lang w:val="en-US" w:eastAsia="es-MX"/>
        </w:rPr>
        <w:t>.</w:t>
      </w:r>
    </w:p>
    <w:p w14:paraId="125FC7E7" w14:textId="77777777" w:rsidR="00147909" w:rsidRPr="00012C3F" w:rsidRDefault="00147909" w:rsidP="00147909">
      <w:pPr>
        <w:tabs>
          <w:tab w:val="left" w:pos="567"/>
        </w:tabs>
        <w:spacing w:line="240" w:lineRule="auto"/>
        <w:rPr>
          <w:sz w:val="20"/>
          <w:szCs w:val="20"/>
          <w:lang w:val="en-US"/>
        </w:rPr>
      </w:pPr>
    </w:p>
    <w:p w14:paraId="7F8497AB" w14:textId="77777777" w:rsidR="00147909" w:rsidRPr="00012C3F" w:rsidRDefault="00B0478F" w:rsidP="00B0478F">
      <w:pPr>
        <w:numPr>
          <w:ilvl w:val="0"/>
          <w:numId w:val="5"/>
        </w:numPr>
        <w:tabs>
          <w:tab w:val="left" w:pos="720"/>
          <w:tab w:val="num" w:pos="12305"/>
        </w:tabs>
        <w:spacing w:line="240" w:lineRule="auto"/>
        <w:ind w:left="0" w:firstLine="0"/>
        <w:rPr>
          <w:rFonts w:eastAsia="Calibri"/>
          <w:sz w:val="20"/>
          <w:szCs w:val="20"/>
          <w:lang w:val="en-US" w:eastAsia="en-US" w:bidi="en-US"/>
        </w:rPr>
      </w:pPr>
      <w:r w:rsidRPr="00012C3F">
        <w:rPr>
          <w:rFonts w:eastAsia="Calibri"/>
          <w:sz w:val="20"/>
          <w:szCs w:val="20"/>
          <w:lang w:val="en-US" w:eastAsia="en-US" w:bidi="en-US"/>
        </w:rPr>
        <w:t xml:space="preserve">The Declaration and Platform for Action of the Fourth World Conference on Women, held in </w:t>
      </w:r>
      <w:r w:rsidRPr="00012C3F">
        <w:rPr>
          <w:rFonts w:eastAsia="Calibri"/>
          <w:sz w:val="20"/>
          <w:szCs w:val="20"/>
          <w:lang w:val="en-US" w:eastAsia="en-US" w:bidi="en-US"/>
        </w:rPr>
        <w:lastRenderedPageBreak/>
        <w:t xml:space="preserve">Beijing in 1995, recognized that </w:t>
      </w:r>
      <w:r w:rsidR="00570C15" w:rsidRPr="00012C3F">
        <w:rPr>
          <w:rFonts w:eastAsia="MS Mincho"/>
          <w:bCs/>
          <w:sz w:val="20"/>
          <w:szCs w:val="20"/>
          <w:lang w:val="en-US" w:eastAsia="en-US" w:bidi="en-US"/>
        </w:rPr>
        <w:t>forced sterilization</w:t>
      </w:r>
      <w:r w:rsidR="00147909" w:rsidRPr="00012C3F">
        <w:rPr>
          <w:rFonts w:eastAsia="MS Mincho"/>
          <w:bCs/>
          <w:sz w:val="20"/>
          <w:szCs w:val="20"/>
          <w:lang w:val="en-US" w:eastAsia="en-US" w:bidi="en-US"/>
        </w:rPr>
        <w:t xml:space="preserve"> </w:t>
      </w:r>
      <w:r w:rsidRPr="00012C3F">
        <w:rPr>
          <w:rFonts w:eastAsia="MS Mincho"/>
          <w:bCs/>
          <w:sz w:val="20"/>
          <w:szCs w:val="20"/>
          <w:lang w:val="en-US" w:eastAsia="en-US" w:bidi="en-US"/>
        </w:rPr>
        <w:t>is an act of violence against women.</w:t>
      </w:r>
      <w:r w:rsidR="00147909" w:rsidRPr="00012C3F">
        <w:rPr>
          <w:rFonts w:eastAsia="MS Mincho"/>
          <w:bCs/>
          <w:sz w:val="20"/>
          <w:szCs w:val="20"/>
          <w:vertAlign w:val="superscript"/>
          <w:lang w:val="en-US" w:eastAsia="en-US" w:bidi="en-US"/>
        </w:rPr>
        <w:footnoteReference w:id="337"/>
      </w:r>
      <w:r w:rsidR="00147909" w:rsidRPr="00012C3F">
        <w:rPr>
          <w:rFonts w:eastAsia="MS Mincho"/>
          <w:bCs/>
          <w:sz w:val="20"/>
          <w:szCs w:val="20"/>
          <w:lang w:val="en-US" w:eastAsia="en-US" w:bidi="en-US"/>
        </w:rPr>
        <w:t xml:space="preserve"> </w:t>
      </w:r>
      <w:r w:rsidRPr="00012C3F">
        <w:rPr>
          <w:rFonts w:eastAsia="MS Mincho"/>
          <w:bCs/>
          <w:sz w:val="20"/>
          <w:szCs w:val="20"/>
          <w:lang w:val="en-US" w:eastAsia="en-US" w:bidi="en-US"/>
        </w:rPr>
        <w:t xml:space="preserve">This has been reaffirmed by several of the United Nations Special Rapporteurs, the </w:t>
      </w:r>
      <w:r w:rsidR="00BC0785" w:rsidRPr="00012C3F">
        <w:rPr>
          <w:rFonts w:eastAsia="MS Mincho"/>
          <w:bCs/>
          <w:sz w:val="20"/>
          <w:szCs w:val="20"/>
          <w:lang w:val="en-US" w:eastAsia="en-US" w:bidi="en-US"/>
        </w:rPr>
        <w:t>Committee for the Elimination of Discrimination against Women</w:t>
      </w:r>
      <w:r w:rsidR="004225C5" w:rsidRPr="00012C3F">
        <w:rPr>
          <w:rFonts w:eastAsia="MS Mincho"/>
          <w:bCs/>
          <w:sz w:val="20"/>
          <w:szCs w:val="20"/>
          <w:lang w:val="en-US" w:eastAsia="en-US" w:bidi="en-US"/>
        </w:rPr>
        <w:t>,</w:t>
      </w:r>
      <w:r w:rsidR="005E5012" w:rsidRPr="00012C3F">
        <w:rPr>
          <w:rFonts w:eastAsia="MS Mincho"/>
          <w:bCs/>
          <w:sz w:val="20"/>
          <w:szCs w:val="20"/>
          <w:lang w:val="en-US" w:eastAsia="en-US" w:bidi="en-US"/>
        </w:rPr>
        <w:t xml:space="preserve"> and </w:t>
      </w:r>
      <w:r w:rsidRPr="00012C3F">
        <w:rPr>
          <w:rFonts w:eastAsia="MS Mincho"/>
          <w:bCs/>
          <w:sz w:val="20"/>
          <w:szCs w:val="20"/>
          <w:lang w:val="en-US" w:eastAsia="en-US" w:bidi="en-US"/>
        </w:rPr>
        <w:t>the</w:t>
      </w:r>
      <w:r w:rsidR="00301C6B" w:rsidRPr="00012C3F">
        <w:rPr>
          <w:rFonts w:eastAsia="MS Mincho"/>
          <w:bCs/>
          <w:sz w:val="20"/>
          <w:szCs w:val="20"/>
          <w:lang w:val="en-US" w:eastAsia="en-US" w:bidi="en-US"/>
        </w:rPr>
        <w:t xml:space="preserve"> </w:t>
      </w:r>
      <w:r w:rsidR="00A65E31" w:rsidRPr="00012C3F">
        <w:rPr>
          <w:rFonts w:eastAsia="MS Mincho"/>
          <w:bCs/>
          <w:sz w:val="20"/>
          <w:szCs w:val="20"/>
          <w:lang w:val="en-US" w:eastAsia="en-US" w:bidi="en-US"/>
        </w:rPr>
        <w:t>Human Rights Committee</w:t>
      </w:r>
      <w:r w:rsidR="00301C6B" w:rsidRPr="00012C3F">
        <w:rPr>
          <w:rFonts w:eastAsia="MS Mincho"/>
          <w:bCs/>
          <w:sz w:val="20"/>
          <w:szCs w:val="20"/>
          <w:lang w:val="en-US" w:eastAsia="en-US" w:bidi="en-US"/>
        </w:rPr>
        <w:t>,</w:t>
      </w:r>
      <w:r w:rsidRPr="00012C3F">
        <w:rPr>
          <w:rFonts w:eastAsia="MS Mincho"/>
          <w:bCs/>
          <w:sz w:val="20"/>
          <w:szCs w:val="20"/>
          <w:lang w:val="en-US" w:eastAsia="en-US" w:bidi="en-US"/>
        </w:rPr>
        <w:t xml:space="preserve"> indicating that</w:t>
      </w:r>
      <w:r w:rsidR="00147909" w:rsidRPr="00012C3F">
        <w:rPr>
          <w:rFonts w:eastAsia="MS Mincho"/>
          <w:bCs/>
          <w:sz w:val="20"/>
          <w:szCs w:val="20"/>
          <w:lang w:val="en-US" w:eastAsia="en-US" w:bidi="en-US"/>
        </w:rPr>
        <w:t xml:space="preserve"> </w:t>
      </w:r>
      <w:r w:rsidRPr="00012C3F">
        <w:rPr>
          <w:rFonts w:eastAsia="MS Mincho"/>
          <w:bCs/>
          <w:sz w:val="20"/>
          <w:szCs w:val="20"/>
          <w:lang w:val="en-US" w:eastAsia="en-US" w:bidi="en-US"/>
        </w:rPr>
        <w:t xml:space="preserve">forced, obligatory, coercive, non-consensual or involuntary </w:t>
      </w:r>
      <w:r w:rsidR="00B47F8D" w:rsidRPr="00012C3F">
        <w:rPr>
          <w:rFonts w:eastAsia="MS Mincho"/>
          <w:sz w:val="20"/>
          <w:szCs w:val="20"/>
          <w:lang w:val="en-US" w:eastAsia="en-US" w:bidi="en-US"/>
        </w:rPr>
        <w:t>female sterilization</w:t>
      </w:r>
      <w:r w:rsidRPr="00012C3F">
        <w:rPr>
          <w:rFonts w:eastAsia="MS Mincho"/>
          <w:sz w:val="20"/>
          <w:szCs w:val="20"/>
          <w:lang w:val="en-US" w:eastAsia="en-US" w:bidi="en-US"/>
        </w:rPr>
        <w:t xml:space="preserve"> constitutes an act of violence against women.</w:t>
      </w:r>
      <w:r w:rsidR="00147909" w:rsidRPr="00012C3F">
        <w:rPr>
          <w:rFonts w:eastAsia="MS Mincho"/>
          <w:sz w:val="20"/>
          <w:szCs w:val="20"/>
          <w:vertAlign w:val="superscript"/>
          <w:lang w:val="en-US" w:eastAsia="en-US" w:bidi="en-US"/>
        </w:rPr>
        <w:footnoteReference w:id="338"/>
      </w:r>
    </w:p>
    <w:p w14:paraId="1CBB8883" w14:textId="77777777" w:rsidR="00933FD4" w:rsidRPr="00012C3F" w:rsidRDefault="00933FD4" w:rsidP="00B0478F">
      <w:pPr>
        <w:tabs>
          <w:tab w:val="left" w:pos="720"/>
        </w:tabs>
        <w:spacing w:line="240" w:lineRule="auto"/>
        <w:rPr>
          <w:rFonts w:eastAsia="Batang" w:cs="Arial"/>
          <w:sz w:val="20"/>
          <w:szCs w:val="20"/>
          <w:lang w:val="en-US" w:eastAsia="es-MX"/>
        </w:rPr>
      </w:pPr>
    </w:p>
    <w:p w14:paraId="6170DA23" w14:textId="77777777" w:rsidR="00D44F80" w:rsidRPr="00012C3F" w:rsidRDefault="00E2370F" w:rsidP="00E2370F">
      <w:pPr>
        <w:numPr>
          <w:ilvl w:val="0"/>
          <w:numId w:val="5"/>
        </w:numPr>
        <w:tabs>
          <w:tab w:val="left" w:pos="720"/>
          <w:tab w:val="num" w:pos="12305"/>
        </w:tabs>
        <w:spacing w:line="240" w:lineRule="auto"/>
        <w:ind w:left="0" w:firstLine="0"/>
        <w:rPr>
          <w:rFonts w:eastAsia="Batang" w:cs="Arial"/>
          <w:sz w:val="20"/>
          <w:szCs w:val="20"/>
          <w:lang w:val="en-US" w:eastAsia="es-MX"/>
        </w:rPr>
      </w:pPr>
      <w:r w:rsidRPr="00012C3F">
        <w:rPr>
          <w:rFonts w:cs="Tahoma"/>
          <w:sz w:val="20"/>
          <w:szCs w:val="20"/>
          <w:lang w:val="en-US"/>
        </w:rPr>
        <w:t>Based on the above, the Court determines that the non</w:t>
      </w:r>
      <w:r w:rsidR="00271E24" w:rsidRPr="00012C3F">
        <w:rPr>
          <w:rFonts w:cs="Tahoma"/>
          <w:sz w:val="20"/>
          <w:szCs w:val="20"/>
          <w:lang w:val="en-US"/>
        </w:rPr>
        <w:t>-consensual</w:t>
      </w:r>
      <w:r w:rsidRPr="00012C3F">
        <w:rPr>
          <w:rFonts w:cs="Tahoma"/>
          <w:sz w:val="20"/>
          <w:szCs w:val="20"/>
          <w:lang w:val="en-US"/>
        </w:rPr>
        <w:t xml:space="preserve"> or involuntary</w:t>
      </w:r>
      <w:r w:rsidR="00271E24" w:rsidRPr="00012C3F">
        <w:rPr>
          <w:rFonts w:cs="Tahoma"/>
          <w:sz w:val="20"/>
          <w:szCs w:val="20"/>
          <w:lang w:val="en-US"/>
        </w:rPr>
        <w:t xml:space="preserve"> sterilization</w:t>
      </w:r>
      <w:r w:rsidR="003F1E3C" w:rsidRPr="00012C3F">
        <w:rPr>
          <w:rFonts w:cs="Tahoma"/>
          <w:sz w:val="20"/>
          <w:szCs w:val="20"/>
          <w:lang w:val="en-US"/>
        </w:rPr>
        <w:t xml:space="preserve"> </w:t>
      </w:r>
      <w:r w:rsidRPr="00012C3F">
        <w:rPr>
          <w:rFonts w:cs="Tahoma"/>
          <w:sz w:val="20"/>
          <w:szCs w:val="20"/>
          <w:lang w:val="en-US"/>
        </w:rPr>
        <w:t xml:space="preserve">that I.V. underwent in a public hospital, while under stress and without her informed consent, caused her serious physical and psychological harm and entailed the permanent loss of her reproductive capacity, thus constituting an act of violence and discrimination against her. Consequently, the Court concludes that the State failed to comply with its obligation to refrain from any action or practice involving violence against women and </w:t>
      </w:r>
      <w:r w:rsidR="004225C5" w:rsidRPr="00012C3F">
        <w:rPr>
          <w:rFonts w:cs="Tahoma"/>
          <w:sz w:val="20"/>
          <w:szCs w:val="20"/>
          <w:lang w:val="en-US"/>
        </w:rPr>
        <w:t xml:space="preserve">to </w:t>
      </w:r>
      <w:r w:rsidRPr="00012C3F">
        <w:rPr>
          <w:rFonts w:cs="Tahoma"/>
          <w:sz w:val="20"/>
          <w:szCs w:val="20"/>
          <w:lang w:val="en-US"/>
        </w:rPr>
        <w:t xml:space="preserve">ensure that </w:t>
      </w:r>
      <w:r w:rsidR="004225C5" w:rsidRPr="00012C3F">
        <w:rPr>
          <w:rFonts w:cs="Tahoma"/>
          <w:sz w:val="20"/>
          <w:szCs w:val="20"/>
          <w:lang w:val="en-US"/>
        </w:rPr>
        <w:t xml:space="preserve">the </w:t>
      </w:r>
      <w:r w:rsidRPr="00012C3F">
        <w:rPr>
          <w:rFonts w:cs="Tahoma"/>
          <w:sz w:val="20"/>
          <w:szCs w:val="20"/>
          <w:lang w:val="en-US"/>
        </w:rPr>
        <w:t>State</w:t>
      </w:r>
      <w:r w:rsidR="004225C5" w:rsidRPr="00012C3F">
        <w:rPr>
          <w:rFonts w:cs="Tahoma"/>
          <w:sz w:val="20"/>
          <w:szCs w:val="20"/>
          <w:lang w:val="en-US"/>
        </w:rPr>
        <w:t>’s</w:t>
      </w:r>
      <w:r w:rsidRPr="00012C3F">
        <w:rPr>
          <w:rFonts w:cs="Tahoma"/>
          <w:sz w:val="20"/>
          <w:szCs w:val="20"/>
          <w:lang w:val="en-US"/>
        </w:rPr>
        <w:t xml:space="preserve"> authorities, officials, personnel</w:t>
      </w:r>
      <w:r w:rsidR="004225C5" w:rsidRPr="00012C3F">
        <w:rPr>
          <w:rFonts w:cs="Tahoma"/>
          <w:sz w:val="20"/>
          <w:szCs w:val="20"/>
          <w:lang w:val="en-US"/>
        </w:rPr>
        <w:t>,</w:t>
      </w:r>
      <w:r w:rsidRPr="00012C3F">
        <w:rPr>
          <w:rFonts w:cs="Tahoma"/>
          <w:sz w:val="20"/>
          <w:szCs w:val="20"/>
          <w:lang w:val="en-US"/>
        </w:rPr>
        <w:t xml:space="preserve"> agents and institutions conduct themselves in conformity with this obligation, in violation of</w:t>
      </w:r>
      <w:r w:rsidRPr="00012C3F">
        <w:rPr>
          <w:rFonts w:eastAsia="Batang" w:cs="Arial"/>
          <w:sz w:val="20"/>
          <w:szCs w:val="20"/>
          <w:lang w:val="en-US" w:eastAsia="es-MX"/>
        </w:rPr>
        <w:t xml:space="preserve"> </w:t>
      </w:r>
      <w:r w:rsidR="001254DE" w:rsidRPr="00012C3F">
        <w:rPr>
          <w:rFonts w:cs="Tahoma"/>
          <w:sz w:val="20"/>
          <w:szCs w:val="20"/>
          <w:lang w:val="en-US"/>
        </w:rPr>
        <w:t>Article</w:t>
      </w:r>
      <w:r w:rsidR="00EF5C5A" w:rsidRPr="00012C3F">
        <w:rPr>
          <w:rFonts w:cs="Tahoma"/>
          <w:sz w:val="20"/>
          <w:szCs w:val="20"/>
          <w:lang w:val="en-US"/>
        </w:rPr>
        <w:t xml:space="preserve"> </w:t>
      </w:r>
      <w:r w:rsidR="00D871E8" w:rsidRPr="00012C3F">
        <w:rPr>
          <w:rFonts w:cs="Tahoma"/>
          <w:sz w:val="20"/>
          <w:szCs w:val="20"/>
          <w:lang w:val="en-US"/>
        </w:rPr>
        <w:t>7(a)</w:t>
      </w:r>
      <w:r w:rsidR="001254DE" w:rsidRPr="00012C3F">
        <w:rPr>
          <w:rFonts w:cs="Tahoma"/>
          <w:sz w:val="20"/>
          <w:szCs w:val="20"/>
          <w:lang w:val="en-US"/>
        </w:rPr>
        <w:t xml:space="preserve"> of the Convention</w:t>
      </w:r>
      <w:r w:rsidR="00EF5C5A" w:rsidRPr="00012C3F">
        <w:rPr>
          <w:rFonts w:cs="Tahoma"/>
          <w:sz w:val="20"/>
          <w:szCs w:val="20"/>
          <w:lang w:val="en-US"/>
        </w:rPr>
        <w:t xml:space="preserve"> </w:t>
      </w:r>
      <w:r w:rsidR="005E5012" w:rsidRPr="00012C3F">
        <w:rPr>
          <w:rFonts w:cs="Tahoma"/>
          <w:sz w:val="20"/>
          <w:szCs w:val="20"/>
          <w:lang w:val="en-US"/>
        </w:rPr>
        <w:t>of Belém</w:t>
      </w:r>
      <w:r w:rsidR="00EF5C5A" w:rsidRPr="00012C3F">
        <w:rPr>
          <w:rFonts w:cs="Tahoma"/>
          <w:sz w:val="20"/>
          <w:szCs w:val="20"/>
          <w:lang w:val="en-US"/>
        </w:rPr>
        <w:t xml:space="preserve"> do Pará.</w:t>
      </w:r>
    </w:p>
    <w:p w14:paraId="416D54AB" w14:textId="77777777" w:rsidR="006D5C94" w:rsidRPr="00012C3F" w:rsidRDefault="006D5C94" w:rsidP="003258E8">
      <w:pPr>
        <w:widowControl/>
        <w:autoSpaceDE w:val="0"/>
        <w:autoSpaceDN w:val="0"/>
        <w:spacing w:line="240" w:lineRule="auto"/>
        <w:textAlignment w:val="auto"/>
        <w:rPr>
          <w:rFonts w:eastAsiaTheme="minorHAnsi" w:cs="Arial"/>
          <w:sz w:val="20"/>
          <w:szCs w:val="20"/>
          <w:lang w:val="en-US" w:eastAsia="en-US"/>
        </w:rPr>
      </w:pPr>
    </w:p>
    <w:p w14:paraId="1A5609CD" w14:textId="77777777" w:rsidR="00B863E2" w:rsidRPr="00012C3F" w:rsidRDefault="00B863E2" w:rsidP="009867D6">
      <w:pPr>
        <w:keepNext/>
        <w:keepLines/>
        <w:tabs>
          <w:tab w:val="left" w:pos="1134"/>
        </w:tabs>
        <w:spacing w:line="240" w:lineRule="auto"/>
        <w:ind w:left="567" w:firstLine="1"/>
        <w:outlineLvl w:val="1"/>
        <w:rPr>
          <w:rFonts w:eastAsia="MS Mincho"/>
          <w:b/>
          <w:bCs/>
          <w:i/>
          <w:sz w:val="20"/>
          <w:szCs w:val="20"/>
          <w:lang w:val="en-US"/>
        </w:rPr>
      </w:pPr>
      <w:bookmarkStart w:id="150" w:name="_Toc461637423"/>
      <w:bookmarkStart w:id="151" w:name="_Toc27486872"/>
      <w:r w:rsidRPr="00012C3F">
        <w:rPr>
          <w:rFonts w:eastAsia="MS Mincho"/>
          <w:b/>
          <w:bCs/>
          <w:i/>
          <w:sz w:val="20"/>
          <w:szCs w:val="20"/>
          <w:lang w:val="en-US"/>
        </w:rPr>
        <w:t xml:space="preserve">C. </w:t>
      </w:r>
      <w:r w:rsidRPr="00012C3F">
        <w:rPr>
          <w:rFonts w:eastAsia="MS Mincho"/>
          <w:b/>
          <w:bCs/>
          <w:i/>
          <w:sz w:val="20"/>
          <w:szCs w:val="20"/>
          <w:lang w:val="en-US"/>
        </w:rPr>
        <w:tab/>
      </w:r>
      <w:r w:rsidR="00B47F8D" w:rsidRPr="00012C3F">
        <w:rPr>
          <w:rFonts w:eastAsia="MS Mincho"/>
          <w:b/>
          <w:bCs/>
          <w:i/>
          <w:sz w:val="20"/>
          <w:szCs w:val="20"/>
          <w:lang w:val="en-US"/>
        </w:rPr>
        <w:t>Conclusion</w:t>
      </w:r>
      <w:bookmarkEnd w:id="150"/>
      <w:bookmarkEnd w:id="151"/>
    </w:p>
    <w:p w14:paraId="71C2C39A" w14:textId="77777777" w:rsidR="008920BF" w:rsidRPr="00012C3F" w:rsidRDefault="008920BF" w:rsidP="008920BF">
      <w:pPr>
        <w:spacing w:line="240" w:lineRule="auto"/>
        <w:ind w:left="708"/>
        <w:rPr>
          <w:b/>
          <w:i/>
          <w:sz w:val="20"/>
          <w:szCs w:val="20"/>
          <w:lang w:val="en-US"/>
        </w:rPr>
      </w:pPr>
    </w:p>
    <w:p w14:paraId="57D6EBBF" w14:textId="77777777" w:rsidR="008920BF" w:rsidRPr="00012C3F" w:rsidRDefault="00306849" w:rsidP="00306849">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sz w:val="20"/>
          <w:szCs w:val="20"/>
          <w:lang w:val="en-US" w:eastAsia="en-US" w:bidi="en-US"/>
        </w:rPr>
        <w:t>Based on the above</w:t>
      </w:r>
      <w:r w:rsidR="008920BF" w:rsidRPr="00012C3F">
        <w:rPr>
          <w:rFonts w:eastAsia="MS Mincho"/>
          <w:sz w:val="20"/>
          <w:szCs w:val="20"/>
          <w:lang w:val="en-US" w:eastAsia="en-US" w:bidi="en-US"/>
        </w:rPr>
        <w:t xml:space="preserve">, </w:t>
      </w:r>
      <w:r w:rsidR="00A84CA0" w:rsidRPr="00012C3F">
        <w:rPr>
          <w:rFonts w:eastAsia="MS Mincho"/>
          <w:sz w:val="20"/>
          <w:szCs w:val="20"/>
          <w:lang w:val="en-US" w:eastAsia="en-US" w:bidi="en-US"/>
        </w:rPr>
        <w:t>the State of Bolivia</w:t>
      </w:r>
      <w:r w:rsidR="008920BF" w:rsidRPr="00012C3F">
        <w:rPr>
          <w:rFonts w:eastAsia="MS Mincho"/>
          <w:sz w:val="20"/>
          <w:szCs w:val="20"/>
          <w:lang w:val="en-US" w:eastAsia="en-US" w:bidi="en-US"/>
        </w:rPr>
        <w:t xml:space="preserve"> </w:t>
      </w:r>
      <w:r w:rsidR="00DF5BD3" w:rsidRPr="00012C3F">
        <w:rPr>
          <w:rFonts w:eastAsia="MS Mincho"/>
          <w:sz w:val="20"/>
          <w:szCs w:val="20"/>
          <w:lang w:val="en-US" w:eastAsia="en-US" w:bidi="en-US"/>
        </w:rPr>
        <w:t>is responsible for violat</w:t>
      </w:r>
      <w:r w:rsidR="004225C5" w:rsidRPr="00012C3F">
        <w:rPr>
          <w:rFonts w:eastAsia="MS Mincho"/>
          <w:sz w:val="20"/>
          <w:szCs w:val="20"/>
          <w:lang w:val="en-US" w:eastAsia="en-US" w:bidi="en-US"/>
        </w:rPr>
        <w:t>ing</w:t>
      </w:r>
      <w:r w:rsidRPr="00012C3F">
        <w:rPr>
          <w:rFonts w:eastAsia="MS Mincho"/>
          <w:sz w:val="20"/>
          <w:szCs w:val="20"/>
          <w:lang w:val="en-US" w:eastAsia="en-US" w:bidi="en-US"/>
        </w:rPr>
        <w:t xml:space="preserve"> the obligations to respect and to ensure </w:t>
      </w:r>
      <w:r w:rsidR="004225C5" w:rsidRPr="00012C3F">
        <w:rPr>
          <w:rFonts w:eastAsia="MS Mincho"/>
          <w:sz w:val="20"/>
          <w:szCs w:val="20"/>
          <w:lang w:val="en-US" w:eastAsia="en-US" w:bidi="en-US"/>
        </w:rPr>
        <w:t xml:space="preserve"> rights </w:t>
      </w:r>
      <w:r w:rsidRPr="00012C3F">
        <w:rPr>
          <w:rFonts w:eastAsia="MS Mincho"/>
          <w:sz w:val="20"/>
          <w:szCs w:val="20"/>
          <w:lang w:val="en-US" w:eastAsia="en-US" w:bidi="en-US"/>
        </w:rPr>
        <w:t xml:space="preserve">and not to discriminate with regard to the </w:t>
      </w:r>
      <w:r w:rsidR="00DF5BD3" w:rsidRPr="00012C3F">
        <w:rPr>
          <w:rFonts w:eastAsia="MS Mincho"/>
          <w:sz w:val="20"/>
          <w:szCs w:val="20"/>
          <w:lang w:val="en-US" w:eastAsia="en-US" w:bidi="en-US"/>
        </w:rPr>
        <w:t>rights</w:t>
      </w:r>
      <w:r w:rsidR="008920BF" w:rsidRPr="00012C3F">
        <w:rPr>
          <w:rFonts w:eastAsia="MS Mincho"/>
          <w:sz w:val="20"/>
          <w:szCs w:val="20"/>
          <w:lang w:val="en-US" w:eastAsia="en-US" w:bidi="en-US"/>
        </w:rPr>
        <w:t xml:space="preserve"> </w:t>
      </w:r>
      <w:r w:rsidR="00DF5BD3" w:rsidRPr="00012C3F">
        <w:rPr>
          <w:rFonts w:eastAsia="MS Mincho"/>
          <w:sz w:val="20"/>
          <w:szCs w:val="20"/>
          <w:lang w:val="en-US" w:eastAsia="en-US" w:bidi="en-US"/>
        </w:rPr>
        <w:t>recognized in</w:t>
      </w:r>
      <w:r w:rsidR="008920BF" w:rsidRPr="00012C3F">
        <w:rPr>
          <w:rFonts w:eastAsia="MS Mincho"/>
          <w:sz w:val="20"/>
          <w:szCs w:val="20"/>
          <w:lang w:val="en-US" w:eastAsia="en-US" w:bidi="en-US"/>
        </w:rPr>
        <w:t xml:space="preserve"> </w:t>
      </w:r>
      <w:r w:rsidR="001254DE" w:rsidRPr="00012C3F">
        <w:rPr>
          <w:rFonts w:eastAsia="MS Mincho"/>
          <w:sz w:val="20"/>
          <w:szCs w:val="20"/>
          <w:lang w:val="en-US" w:eastAsia="en-US" w:bidi="en-US"/>
        </w:rPr>
        <w:t>Articles</w:t>
      </w:r>
      <w:r w:rsidR="008920BF" w:rsidRPr="00012C3F">
        <w:rPr>
          <w:rFonts w:eastAsia="MS Mincho"/>
          <w:sz w:val="20"/>
          <w:szCs w:val="20"/>
          <w:lang w:val="en-US" w:eastAsia="en-US" w:bidi="en-US"/>
        </w:rPr>
        <w:t xml:space="preserve"> </w:t>
      </w:r>
      <w:r w:rsidR="005E5012" w:rsidRPr="00012C3F">
        <w:rPr>
          <w:rFonts w:eastAsia="MS Mincho"/>
          <w:sz w:val="20"/>
          <w:szCs w:val="20"/>
          <w:lang w:val="en-US" w:eastAsia="en-US" w:bidi="en-US"/>
        </w:rPr>
        <w:t>5(1)</w:t>
      </w:r>
      <w:r w:rsidR="008920BF" w:rsidRPr="00012C3F">
        <w:rPr>
          <w:rFonts w:eastAsia="MS Mincho"/>
          <w:sz w:val="20"/>
          <w:szCs w:val="20"/>
          <w:lang w:val="en-US" w:eastAsia="en-US" w:bidi="en-US"/>
        </w:rPr>
        <w:t xml:space="preserve">, </w:t>
      </w:r>
      <w:r w:rsidR="00F63FF1" w:rsidRPr="00012C3F">
        <w:rPr>
          <w:rFonts w:eastAsia="MS Mincho"/>
          <w:sz w:val="20"/>
          <w:szCs w:val="20"/>
          <w:lang w:val="en-US" w:eastAsia="en-US" w:bidi="en-US"/>
        </w:rPr>
        <w:t>7(1)</w:t>
      </w:r>
      <w:r w:rsidR="00195333" w:rsidRPr="00012C3F">
        <w:rPr>
          <w:rFonts w:eastAsia="MS Mincho"/>
          <w:sz w:val="20"/>
          <w:szCs w:val="20"/>
          <w:lang w:val="en-US" w:eastAsia="en-US" w:bidi="en-US"/>
        </w:rPr>
        <w:t xml:space="preserve">, </w:t>
      </w:r>
      <w:r w:rsidR="008920BF" w:rsidRPr="00012C3F">
        <w:rPr>
          <w:rFonts w:eastAsia="MS Mincho"/>
          <w:sz w:val="20"/>
          <w:szCs w:val="20"/>
          <w:lang w:val="en-US" w:eastAsia="en-US" w:bidi="en-US"/>
        </w:rPr>
        <w:t>1</w:t>
      </w:r>
      <w:r w:rsidR="005E5012" w:rsidRPr="00012C3F">
        <w:rPr>
          <w:rFonts w:eastAsia="MS Mincho"/>
          <w:sz w:val="20"/>
          <w:szCs w:val="20"/>
          <w:lang w:val="en-US" w:eastAsia="en-US" w:bidi="en-US"/>
        </w:rPr>
        <w:t>1(1)</w:t>
      </w:r>
      <w:r w:rsidR="008920BF" w:rsidRPr="00012C3F">
        <w:rPr>
          <w:rFonts w:eastAsia="MS Mincho"/>
          <w:sz w:val="20"/>
          <w:szCs w:val="20"/>
          <w:lang w:val="en-US" w:eastAsia="en-US" w:bidi="en-US"/>
        </w:rPr>
        <w:t xml:space="preserve">, </w:t>
      </w:r>
      <w:r w:rsidR="005E5012" w:rsidRPr="00012C3F">
        <w:rPr>
          <w:rFonts w:eastAsia="MS Mincho"/>
          <w:sz w:val="20"/>
          <w:szCs w:val="20"/>
          <w:lang w:val="en-US" w:eastAsia="en-US" w:bidi="en-US"/>
        </w:rPr>
        <w:t>11(2)</w:t>
      </w:r>
      <w:r w:rsidR="008920BF" w:rsidRPr="00012C3F">
        <w:rPr>
          <w:rFonts w:eastAsia="MS Mincho"/>
          <w:sz w:val="20"/>
          <w:szCs w:val="20"/>
          <w:lang w:val="en-US" w:eastAsia="en-US" w:bidi="en-US"/>
        </w:rPr>
        <w:t xml:space="preserve">, </w:t>
      </w:r>
      <w:r w:rsidR="005E5012" w:rsidRPr="00012C3F">
        <w:rPr>
          <w:rFonts w:eastAsia="MS Mincho"/>
          <w:sz w:val="20"/>
          <w:szCs w:val="20"/>
          <w:lang w:val="en-US" w:eastAsia="en-US" w:bidi="en-US"/>
        </w:rPr>
        <w:t>13(1) and 17(2)</w:t>
      </w:r>
      <w:r w:rsidR="008920BF" w:rsidRPr="00012C3F">
        <w:rPr>
          <w:rFonts w:eastAsia="MS Mincho"/>
          <w:sz w:val="20"/>
          <w:szCs w:val="20"/>
          <w:lang w:val="en-US" w:eastAsia="en-US" w:bidi="en-US"/>
        </w:rPr>
        <w:t xml:space="preserve">, </w:t>
      </w:r>
      <w:r w:rsidR="006C705C" w:rsidRPr="00012C3F">
        <w:rPr>
          <w:rFonts w:eastAsia="MS Mincho"/>
          <w:sz w:val="20"/>
          <w:szCs w:val="20"/>
          <w:lang w:val="en-US" w:eastAsia="en-US" w:bidi="en-US"/>
        </w:rPr>
        <w:t>in relation to</w:t>
      </w:r>
      <w:r w:rsidR="008920BF" w:rsidRPr="00012C3F">
        <w:rPr>
          <w:rFonts w:eastAsia="MS Mincho"/>
          <w:sz w:val="20"/>
          <w:szCs w:val="20"/>
          <w:lang w:val="en-US" w:eastAsia="en-US" w:bidi="en-US"/>
        </w:rPr>
        <w:t xml:space="preserve"> </w:t>
      </w:r>
      <w:r w:rsidR="001254DE" w:rsidRPr="00012C3F">
        <w:rPr>
          <w:rFonts w:eastAsia="MS Mincho"/>
          <w:sz w:val="20"/>
          <w:szCs w:val="20"/>
          <w:lang w:val="en-US" w:eastAsia="en-US" w:bidi="en-US"/>
        </w:rPr>
        <w:t>Article</w:t>
      </w:r>
      <w:r w:rsidR="008920BF" w:rsidRPr="00012C3F">
        <w:rPr>
          <w:rFonts w:eastAsia="MS Mincho"/>
          <w:sz w:val="20"/>
          <w:szCs w:val="20"/>
          <w:lang w:val="en-US" w:eastAsia="en-US" w:bidi="en-US"/>
        </w:rPr>
        <w:t xml:space="preserve"> </w:t>
      </w:r>
      <w:r w:rsidR="005E5012" w:rsidRPr="00012C3F">
        <w:rPr>
          <w:rFonts w:eastAsia="MS Mincho"/>
          <w:sz w:val="20"/>
          <w:szCs w:val="20"/>
          <w:lang w:val="en-US" w:eastAsia="en-US" w:bidi="en-US"/>
        </w:rPr>
        <w:t>1(1)</w:t>
      </w:r>
      <w:r w:rsidR="001254DE" w:rsidRPr="00012C3F">
        <w:rPr>
          <w:rFonts w:eastAsia="MS Mincho"/>
          <w:sz w:val="20"/>
          <w:szCs w:val="20"/>
          <w:lang w:val="en-US" w:eastAsia="en-US" w:bidi="en-US"/>
        </w:rPr>
        <w:t xml:space="preserve"> of the American Convention</w:t>
      </w:r>
      <w:r w:rsidR="008920BF" w:rsidRPr="00012C3F">
        <w:rPr>
          <w:rFonts w:eastAsia="MS Mincho"/>
          <w:sz w:val="20"/>
          <w:szCs w:val="20"/>
          <w:lang w:val="en-US" w:eastAsia="en-US" w:bidi="en-US"/>
        </w:rPr>
        <w:t xml:space="preserve">, </w:t>
      </w:r>
      <w:r w:rsidR="005E5012" w:rsidRPr="00012C3F">
        <w:rPr>
          <w:rFonts w:eastAsia="MS Mincho"/>
          <w:sz w:val="20"/>
          <w:szCs w:val="20"/>
          <w:lang w:val="en-US" w:eastAsia="en-US" w:bidi="en-US"/>
        </w:rPr>
        <w:t>to the detriment of</w:t>
      </w:r>
      <w:r w:rsidR="008920BF" w:rsidRPr="00012C3F">
        <w:rPr>
          <w:rFonts w:eastAsia="MS Mincho"/>
          <w:sz w:val="20"/>
          <w:szCs w:val="20"/>
          <w:lang w:val="en-US" w:eastAsia="en-US" w:bidi="en-US"/>
        </w:rPr>
        <w:t xml:space="preserve"> </w:t>
      </w:r>
      <w:r w:rsidR="000E1C11" w:rsidRPr="00012C3F">
        <w:rPr>
          <w:rFonts w:eastAsia="MS Mincho"/>
          <w:sz w:val="20"/>
          <w:szCs w:val="20"/>
          <w:lang w:val="en-US" w:eastAsia="en-US" w:bidi="en-US"/>
        </w:rPr>
        <w:t>I.V.</w:t>
      </w:r>
      <w:r w:rsidR="00AF6616" w:rsidRPr="00012C3F">
        <w:rPr>
          <w:rFonts w:eastAsia="MS Mincho"/>
          <w:sz w:val="20"/>
          <w:szCs w:val="20"/>
          <w:lang w:val="en-US" w:eastAsia="en-US" w:bidi="en-US"/>
        </w:rPr>
        <w:t xml:space="preserve"> </w:t>
      </w:r>
      <w:r w:rsidR="00C1462B" w:rsidRPr="00012C3F">
        <w:rPr>
          <w:rFonts w:eastAsia="MS Mincho"/>
          <w:sz w:val="20"/>
          <w:szCs w:val="20"/>
          <w:lang w:val="en-US" w:eastAsia="en-US" w:bidi="en-US"/>
        </w:rPr>
        <w:t>T</w:t>
      </w:r>
      <w:r w:rsidR="00A84CA0" w:rsidRPr="00012C3F">
        <w:rPr>
          <w:rFonts w:eastAsia="MS Mincho"/>
          <w:sz w:val="20"/>
          <w:szCs w:val="20"/>
          <w:lang w:val="en-US" w:eastAsia="en-US" w:bidi="en-US"/>
        </w:rPr>
        <w:t>he State</w:t>
      </w:r>
      <w:r w:rsidR="00AF6616" w:rsidRPr="00012C3F">
        <w:rPr>
          <w:rFonts w:eastAsia="MS Mincho"/>
          <w:sz w:val="20"/>
          <w:szCs w:val="20"/>
          <w:lang w:val="en-US" w:eastAsia="en-US" w:bidi="en-US"/>
        </w:rPr>
        <w:t xml:space="preserve"> </w:t>
      </w:r>
      <w:r w:rsidR="00C1462B" w:rsidRPr="00012C3F">
        <w:rPr>
          <w:rFonts w:eastAsia="MS Mincho"/>
          <w:sz w:val="20"/>
          <w:szCs w:val="20"/>
          <w:lang w:val="en-US" w:eastAsia="en-US" w:bidi="en-US"/>
        </w:rPr>
        <w:t>i</w:t>
      </w:r>
      <w:r w:rsidR="00AF6616" w:rsidRPr="00012C3F">
        <w:rPr>
          <w:rFonts w:eastAsia="MS Mincho"/>
          <w:sz w:val="20"/>
          <w:szCs w:val="20"/>
          <w:lang w:val="en-US" w:eastAsia="en-US" w:bidi="en-US"/>
        </w:rPr>
        <w:t>s</w:t>
      </w:r>
      <w:r w:rsidR="00C1462B" w:rsidRPr="00012C3F">
        <w:rPr>
          <w:rFonts w:eastAsia="MS Mincho"/>
          <w:sz w:val="20"/>
          <w:szCs w:val="20"/>
          <w:lang w:val="en-US" w:eastAsia="en-US" w:bidi="en-US"/>
        </w:rPr>
        <w:t xml:space="preserve"> also</w:t>
      </w:r>
      <w:r w:rsidR="00AF6616" w:rsidRPr="00012C3F">
        <w:rPr>
          <w:rFonts w:eastAsia="MS Mincho"/>
          <w:sz w:val="20"/>
          <w:szCs w:val="20"/>
          <w:lang w:val="en-US" w:eastAsia="en-US" w:bidi="en-US"/>
        </w:rPr>
        <w:t xml:space="preserve"> respons</w:t>
      </w:r>
      <w:r w:rsidR="00C1462B" w:rsidRPr="00012C3F">
        <w:rPr>
          <w:rFonts w:eastAsia="MS Mincho"/>
          <w:sz w:val="20"/>
          <w:szCs w:val="20"/>
          <w:lang w:val="en-US" w:eastAsia="en-US" w:bidi="en-US"/>
        </w:rPr>
        <w:t>i</w:t>
      </w:r>
      <w:r w:rsidR="00AF6616" w:rsidRPr="00012C3F">
        <w:rPr>
          <w:rFonts w:eastAsia="MS Mincho"/>
          <w:sz w:val="20"/>
          <w:szCs w:val="20"/>
          <w:lang w:val="en-US" w:eastAsia="en-US" w:bidi="en-US"/>
        </w:rPr>
        <w:t xml:space="preserve">ble </w:t>
      </w:r>
      <w:r w:rsidR="00C1462B" w:rsidRPr="00012C3F">
        <w:rPr>
          <w:rFonts w:eastAsia="MS Mincho"/>
          <w:sz w:val="20"/>
          <w:szCs w:val="20"/>
          <w:lang w:val="en-US" w:eastAsia="en-US" w:bidi="en-US"/>
        </w:rPr>
        <w:t xml:space="preserve">for failing to comply with its obligations under </w:t>
      </w:r>
      <w:r w:rsidR="001254DE" w:rsidRPr="00012C3F">
        <w:rPr>
          <w:rFonts w:eastAsia="MS Mincho"/>
          <w:sz w:val="20"/>
          <w:szCs w:val="20"/>
          <w:lang w:val="en-US" w:eastAsia="en-US" w:bidi="en-US"/>
        </w:rPr>
        <w:t>Article</w:t>
      </w:r>
      <w:r w:rsidR="00AF6616" w:rsidRPr="00012C3F">
        <w:rPr>
          <w:rFonts w:eastAsia="MS Mincho"/>
          <w:sz w:val="20"/>
          <w:szCs w:val="20"/>
          <w:lang w:val="en-US" w:eastAsia="en-US" w:bidi="en-US"/>
        </w:rPr>
        <w:t xml:space="preserve"> </w:t>
      </w:r>
      <w:r w:rsidR="00D871E8" w:rsidRPr="00012C3F">
        <w:rPr>
          <w:rFonts w:eastAsia="MS Mincho"/>
          <w:sz w:val="20"/>
          <w:szCs w:val="20"/>
          <w:lang w:val="en-US" w:eastAsia="en-US" w:bidi="en-US"/>
        </w:rPr>
        <w:t>7(a)</w:t>
      </w:r>
      <w:r w:rsidR="005E5012" w:rsidRPr="00012C3F">
        <w:rPr>
          <w:rFonts w:eastAsia="MS Mincho"/>
          <w:sz w:val="20"/>
          <w:szCs w:val="20"/>
          <w:lang w:val="en-US" w:eastAsia="en-US" w:bidi="en-US"/>
        </w:rPr>
        <w:t xml:space="preserve"> and </w:t>
      </w:r>
      <w:r w:rsidR="001B53DF" w:rsidRPr="00012C3F">
        <w:rPr>
          <w:rFonts w:eastAsia="MS Mincho"/>
          <w:sz w:val="20"/>
          <w:szCs w:val="20"/>
          <w:lang w:val="en-US" w:eastAsia="en-US" w:bidi="en-US"/>
        </w:rPr>
        <w:t>b)</w:t>
      </w:r>
      <w:r w:rsidR="001254DE" w:rsidRPr="00012C3F">
        <w:rPr>
          <w:rFonts w:eastAsia="MS Mincho"/>
          <w:sz w:val="20"/>
          <w:szCs w:val="20"/>
          <w:lang w:val="en-US" w:eastAsia="en-US" w:bidi="en-US"/>
        </w:rPr>
        <w:t xml:space="preserve"> of the Convention</w:t>
      </w:r>
      <w:r w:rsidR="00AF6616" w:rsidRPr="00012C3F">
        <w:rPr>
          <w:rFonts w:eastAsia="MS Mincho"/>
          <w:sz w:val="20"/>
          <w:szCs w:val="20"/>
          <w:lang w:val="en-US" w:eastAsia="en-US" w:bidi="en-US"/>
        </w:rPr>
        <w:t xml:space="preserve"> </w:t>
      </w:r>
      <w:r w:rsidR="005E5012" w:rsidRPr="00012C3F">
        <w:rPr>
          <w:rFonts w:eastAsia="MS Mincho"/>
          <w:sz w:val="20"/>
          <w:szCs w:val="20"/>
          <w:lang w:val="en-US" w:eastAsia="en-US" w:bidi="en-US"/>
        </w:rPr>
        <w:t>of Belém</w:t>
      </w:r>
      <w:r w:rsidR="00AF6616" w:rsidRPr="00012C3F">
        <w:rPr>
          <w:rFonts w:eastAsia="MS Mincho"/>
          <w:sz w:val="20"/>
          <w:szCs w:val="20"/>
          <w:lang w:val="en-US" w:eastAsia="en-US" w:bidi="en-US"/>
        </w:rPr>
        <w:t xml:space="preserve"> do Pará.</w:t>
      </w:r>
    </w:p>
    <w:p w14:paraId="6B1EE184" w14:textId="77777777" w:rsidR="00E71553" w:rsidRPr="00012C3F" w:rsidRDefault="00E71553" w:rsidP="006655E4">
      <w:pPr>
        <w:widowControl/>
        <w:autoSpaceDE w:val="0"/>
        <w:autoSpaceDN w:val="0"/>
        <w:spacing w:line="240" w:lineRule="auto"/>
        <w:textAlignment w:val="auto"/>
        <w:rPr>
          <w:rFonts w:eastAsiaTheme="minorHAnsi" w:cs="Arial"/>
          <w:sz w:val="20"/>
          <w:szCs w:val="20"/>
          <w:lang w:val="en-US" w:eastAsia="en-US"/>
        </w:rPr>
      </w:pPr>
    </w:p>
    <w:p w14:paraId="1ABE6AB5" w14:textId="77777777" w:rsidR="00502B43" w:rsidRPr="00012C3F" w:rsidRDefault="00502B43" w:rsidP="00502B43">
      <w:pPr>
        <w:keepNext/>
        <w:keepLines/>
        <w:tabs>
          <w:tab w:val="left" w:pos="851"/>
        </w:tabs>
        <w:spacing w:line="240" w:lineRule="auto"/>
        <w:jc w:val="center"/>
        <w:outlineLvl w:val="0"/>
        <w:rPr>
          <w:rFonts w:cs="Verdana"/>
          <w:b/>
          <w:bCs/>
          <w:caps/>
          <w:snapToGrid w:val="0"/>
          <w:sz w:val="20"/>
          <w:szCs w:val="20"/>
          <w:lang w:val="en-US"/>
        </w:rPr>
      </w:pPr>
      <w:bookmarkStart w:id="152" w:name="_Toc412482976"/>
      <w:bookmarkStart w:id="153" w:name="_Toc417045765"/>
      <w:bookmarkStart w:id="154" w:name="_Toc459158123"/>
      <w:bookmarkStart w:id="155" w:name="_Toc461208888"/>
      <w:bookmarkStart w:id="156" w:name="_Toc27486873"/>
      <w:r w:rsidRPr="00012C3F">
        <w:rPr>
          <w:rFonts w:cs="Verdana"/>
          <w:b/>
          <w:bCs/>
          <w:caps/>
          <w:snapToGrid w:val="0"/>
          <w:sz w:val="20"/>
          <w:szCs w:val="20"/>
          <w:lang w:val="en-US"/>
        </w:rPr>
        <w:t>VII</w:t>
      </w:r>
      <w:r w:rsidR="00A72628" w:rsidRPr="00012C3F">
        <w:rPr>
          <w:rFonts w:cs="Verdana"/>
          <w:b/>
          <w:bCs/>
          <w:caps/>
          <w:snapToGrid w:val="0"/>
          <w:sz w:val="20"/>
          <w:szCs w:val="20"/>
          <w:lang w:val="en-US"/>
        </w:rPr>
        <w:t>I</w:t>
      </w:r>
      <w:r w:rsidRPr="00012C3F">
        <w:rPr>
          <w:rFonts w:cs="Verdana"/>
          <w:b/>
          <w:bCs/>
          <w:caps/>
          <w:snapToGrid w:val="0"/>
          <w:sz w:val="20"/>
          <w:szCs w:val="20"/>
          <w:lang w:val="en-US"/>
        </w:rPr>
        <w:t>-</w:t>
      </w:r>
      <w:r w:rsidR="00A72628" w:rsidRPr="00012C3F">
        <w:rPr>
          <w:rFonts w:cs="Verdana"/>
          <w:b/>
          <w:bCs/>
          <w:caps/>
          <w:snapToGrid w:val="0"/>
          <w:sz w:val="20"/>
          <w:szCs w:val="20"/>
          <w:lang w:val="en-US"/>
        </w:rPr>
        <w:t>2</w:t>
      </w:r>
      <w:r w:rsidRPr="00012C3F">
        <w:rPr>
          <w:rFonts w:cs="Verdana"/>
          <w:b/>
          <w:bCs/>
          <w:caps/>
          <w:snapToGrid w:val="0"/>
          <w:sz w:val="20"/>
          <w:szCs w:val="20"/>
          <w:lang w:val="en-US"/>
        </w:rPr>
        <w:br/>
      </w:r>
      <w:bookmarkEnd w:id="152"/>
      <w:bookmarkEnd w:id="153"/>
      <w:r w:rsidR="005E1B9D" w:rsidRPr="00012C3F">
        <w:rPr>
          <w:rFonts w:cs="Verdana"/>
          <w:b/>
          <w:bCs/>
          <w:caps/>
          <w:snapToGrid w:val="0"/>
          <w:sz w:val="20"/>
          <w:szCs w:val="20"/>
          <w:lang w:val="en-US"/>
        </w:rPr>
        <w:t>RIGHT</w:t>
      </w:r>
      <w:r w:rsidRPr="00012C3F">
        <w:rPr>
          <w:rFonts w:cs="Verdana"/>
          <w:b/>
          <w:bCs/>
          <w:caps/>
          <w:snapToGrid w:val="0"/>
          <w:sz w:val="20"/>
          <w:szCs w:val="20"/>
          <w:lang w:val="en-US"/>
        </w:rPr>
        <w:t xml:space="preserve"> </w:t>
      </w:r>
      <w:r w:rsidR="006C705C" w:rsidRPr="00012C3F">
        <w:rPr>
          <w:rFonts w:cs="Verdana"/>
          <w:b/>
          <w:bCs/>
          <w:caps/>
          <w:snapToGrid w:val="0"/>
          <w:sz w:val="20"/>
          <w:szCs w:val="20"/>
          <w:lang w:val="en-US"/>
        </w:rPr>
        <w:t>TO PERSONAL INTEGRITY</w:t>
      </w:r>
      <w:r w:rsidR="005E5012" w:rsidRPr="00012C3F">
        <w:rPr>
          <w:rFonts w:cs="Verdana"/>
          <w:b/>
          <w:bCs/>
          <w:caps/>
          <w:snapToGrid w:val="0"/>
          <w:sz w:val="20"/>
          <w:szCs w:val="20"/>
          <w:lang w:val="en-US"/>
        </w:rPr>
        <w:t xml:space="preserve"> and</w:t>
      </w:r>
      <w:r w:rsidR="005E1B9D" w:rsidRPr="00012C3F">
        <w:rPr>
          <w:rFonts w:cs="Verdana"/>
          <w:b/>
          <w:bCs/>
          <w:caps/>
          <w:snapToGrid w:val="0"/>
          <w:sz w:val="20"/>
          <w:szCs w:val="20"/>
          <w:lang w:val="en-US"/>
        </w:rPr>
        <w:t xml:space="preserve"> THE PROHIBITION OF TORTURE AND OTHER CRUEL, INHUMAN OR DEGRADING TREATMENT,</w:t>
      </w:r>
      <w:r w:rsidR="00A94D8D" w:rsidRPr="00012C3F">
        <w:rPr>
          <w:rStyle w:val="Refdenotaalpie"/>
          <w:rFonts w:cs="Verdana"/>
          <w:b/>
          <w:bCs/>
          <w:caps/>
          <w:snapToGrid w:val="0"/>
          <w:sz w:val="20"/>
          <w:szCs w:val="20"/>
          <w:lang w:val="en-US"/>
        </w:rPr>
        <w:footnoteReference w:id="339"/>
      </w:r>
      <w:r w:rsidRPr="00012C3F">
        <w:rPr>
          <w:rFonts w:cs="Verdana"/>
          <w:b/>
          <w:bCs/>
          <w:caps/>
          <w:snapToGrid w:val="0"/>
          <w:sz w:val="20"/>
          <w:szCs w:val="20"/>
          <w:lang w:val="en-US"/>
        </w:rPr>
        <w:t xml:space="preserve"> </w:t>
      </w:r>
      <w:r w:rsidR="006C705C" w:rsidRPr="00012C3F">
        <w:rPr>
          <w:rFonts w:cs="Verdana"/>
          <w:b/>
          <w:bCs/>
          <w:caps/>
          <w:snapToGrid w:val="0"/>
          <w:sz w:val="20"/>
          <w:szCs w:val="20"/>
          <w:lang w:val="en-US"/>
        </w:rPr>
        <w:t xml:space="preserve">IN </w:t>
      </w:r>
      <w:r w:rsidR="005E1B9D" w:rsidRPr="00012C3F">
        <w:rPr>
          <w:rFonts w:cs="Verdana"/>
          <w:b/>
          <w:bCs/>
          <w:caps/>
          <w:snapToGrid w:val="0"/>
          <w:sz w:val="20"/>
          <w:szCs w:val="20"/>
          <w:lang w:val="en-US"/>
        </w:rPr>
        <w:t>RELATION TO THE OBLIGATIONS</w:t>
      </w:r>
      <w:r w:rsidRPr="00012C3F">
        <w:rPr>
          <w:rFonts w:cs="Verdana"/>
          <w:b/>
          <w:bCs/>
          <w:caps/>
          <w:snapToGrid w:val="0"/>
          <w:sz w:val="20"/>
          <w:szCs w:val="20"/>
          <w:lang w:val="en-US"/>
        </w:rPr>
        <w:t xml:space="preserve"> </w:t>
      </w:r>
      <w:bookmarkEnd w:id="154"/>
      <w:r w:rsidR="005E1B9D" w:rsidRPr="00012C3F">
        <w:rPr>
          <w:rFonts w:cs="Verdana"/>
          <w:b/>
          <w:bCs/>
          <w:caps/>
          <w:snapToGrid w:val="0"/>
          <w:sz w:val="20"/>
          <w:szCs w:val="20"/>
          <w:lang w:val="en-US"/>
        </w:rPr>
        <w:t xml:space="preserve">TO RESPECT AND </w:t>
      </w:r>
      <w:r w:rsidR="00E46719" w:rsidRPr="00012C3F">
        <w:rPr>
          <w:rFonts w:cs="Verdana"/>
          <w:b/>
          <w:bCs/>
          <w:caps/>
          <w:snapToGrid w:val="0"/>
          <w:sz w:val="20"/>
          <w:szCs w:val="20"/>
          <w:lang w:val="en-US"/>
        </w:rPr>
        <w:t xml:space="preserve">TO </w:t>
      </w:r>
      <w:r w:rsidR="005E1B9D" w:rsidRPr="00012C3F">
        <w:rPr>
          <w:rFonts w:cs="Verdana"/>
          <w:b/>
          <w:bCs/>
          <w:caps/>
          <w:snapToGrid w:val="0"/>
          <w:sz w:val="20"/>
          <w:szCs w:val="20"/>
          <w:lang w:val="en-US"/>
        </w:rPr>
        <w:t>ENSURE RIGHTS</w:t>
      </w:r>
      <w:bookmarkEnd w:id="155"/>
      <w:bookmarkEnd w:id="156"/>
    </w:p>
    <w:p w14:paraId="16106F02" w14:textId="77777777" w:rsidR="00502B43" w:rsidRPr="00012C3F" w:rsidRDefault="00502B43" w:rsidP="00502B43">
      <w:pPr>
        <w:tabs>
          <w:tab w:val="left" w:pos="720"/>
        </w:tabs>
        <w:spacing w:line="240" w:lineRule="auto"/>
        <w:rPr>
          <w:rFonts w:eastAsia="MS Mincho"/>
          <w:sz w:val="20"/>
          <w:szCs w:val="20"/>
          <w:lang w:val="en-US"/>
        </w:rPr>
      </w:pPr>
    </w:p>
    <w:p w14:paraId="0F7F5D9F" w14:textId="77777777" w:rsidR="00502B43" w:rsidRPr="00012C3F" w:rsidRDefault="00502B43" w:rsidP="009867D6">
      <w:pPr>
        <w:keepNext/>
        <w:keepLines/>
        <w:tabs>
          <w:tab w:val="left" w:pos="1134"/>
        </w:tabs>
        <w:spacing w:line="240" w:lineRule="auto"/>
        <w:ind w:left="567" w:firstLine="1"/>
        <w:outlineLvl w:val="1"/>
        <w:rPr>
          <w:rFonts w:eastAsia="MS Mincho"/>
          <w:b/>
          <w:bCs/>
          <w:i/>
          <w:sz w:val="20"/>
          <w:szCs w:val="20"/>
          <w:lang w:val="en-US"/>
        </w:rPr>
      </w:pPr>
      <w:bookmarkStart w:id="157" w:name="_Toc445290350"/>
      <w:bookmarkStart w:id="158" w:name="_Toc461208889"/>
      <w:bookmarkStart w:id="159" w:name="_Toc27486874"/>
      <w:r w:rsidRPr="00012C3F">
        <w:rPr>
          <w:rFonts w:eastAsia="MS Mincho"/>
          <w:b/>
          <w:bCs/>
          <w:i/>
          <w:sz w:val="20"/>
          <w:szCs w:val="20"/>
          <w:lang w:val="en-US"/>
        </w:rPr>
        <w:t xml:space="preserve">A. </w:t>
      </w:r>
      <w:r w:rsidR="009867D6" w:rsidRPr="00012C3F">
        <w:rPr>
          <w:rFonts w:eastAsia="MS Mincho"/>
          <w:b/>
          <w:bCs/>
          <w:i/>
          <w:sz w:val="20"/>
          <w:szCs w:val="20"/>
          <w:lang w:val="en-US"/>
        </w:rPr>
        <w:tab/>
      </w:r>
      <w:r w:rsidR="006C705C" w:rsidRPr="00012C3F">
        <w:rPr>
          <w:rFonts w:eastAsia="MS Mincho"/>
          <w:b/>
          <w:bCs/>
          <w:i/>
          <w:sz w:val="20"/>
          <w:szCs w:val="20"/>
          <w:lang w:val="en-US"/>
        </w:rPr>
        <w:t>Arguments of the parties</w:t>
      </w:r>
      <w:bookmarkEnd w:id="157"/>
      <w:bookmarkEnd w:id="158"/>
      <w:bookmarkEnd w:id="159"/>
    </w:p>
    <w:p w14:paraId="24375197" w14:textId="77777777" w:rsidR="00502B43" w:rsidRPr="00012C3F" w:rsidRDefault="00502B43" w:rsidP="00502B43">
      <w:pPr>
        <w:spacing w:line="240" w:lineRule="auto"/>
        <w:rPr>
          <w:lang w:val="en-US"/>
        </w:rPr>
      </w:pPr>
    </w:p>
    <w:p w14:paraId="7941C380" w14:textId="77777777" w:rsidR="008264B6" w:rsidRPr="00012C3F" w:rsidRDefault="00972ACF" w:rsidP="0042314F">
      <w:pPr>
        <w:numPr>
          <w:ilvl w:val="0"/>
          <w:numId w:val="5"/>
        </w:numPr>
        <w:tabs>
          <w:tab w:val="left" w:pos="720"/>
          <w:tab w:val="num" w:pos="12305"/>
        </w:tabs>
        <w:spacing w:line="240" w:lineRule="auto"/>
        <w:ind w:left="0" w:firstLine="0"/>
        <w:rPr>
          <w:rFonts w:eastAsia="MS Mincho" w:cs="Arial"/>
          <w:b/>
          <w:sz w:val="16"/>
          <w:szCs w:val="20"/>
          <w:lang w:val="en-US" w:eastAsia="en-US" w:bidi="en-US"/>
        </w:rPr>
      </w:pPr>
      <w:r w:rsidRPr="00012C3F">
        <w:rPr>
          <w:rFonts w:eastAsiaTheme="minorHAnsi" w:cs="Arial"/>
          <w:sz w:val="20"/>
          <w:szCs w:val="20"/>
          <w:lang w:val="en-US" w:eastAsia="en-US"/>
        </w:rPr>
        <w:t xml:space="preserve">The </w:t>
      </w:r>
      <w:r w:rsidRPr="00012C3F">
        <w:rPr>
          <w:rFonts w:eastAsiaTheme="minorHAnsi" w:cs="Arial"/>
          <w:b/>
          <w:bCs/>
          <w:i/>
          <w:iCs/>
          <w:sz w:val="20"/>
          <w:szCs w:val="20"/>
          <w:lang w:val="en-US" w:eastAsia="en-US"/>
        </w:rPr>
        <w:t>representative</w:t>
      </w:r>
      <w:r w:rsidR="008264B6" w:rsidRPr="00012C3F">
        <w:rPr>
          <w:rFonts w:eastAsia="MS Mincho" w:cs="Arial"/>
          <w:sz w:val="20"/>
          <w:szCs w:val="20"/>
          <w:lang w:val="en-US" w:eastAsia="en-US" w:bidi="en-US"/>
        </w:rPr>
        <w:t xml:space="preserve"> </w:t>
      </w:r>
      <w:r w:rsidR="0070744E" w:rsidRPr="00012C3F">
        <w:rPr>
          <w:rFonts w:eastAsia="MS Mincho" w:cs="Arial"/>
          <w:sz w:val="20"/>
          <w:szCs w:val="20"/>
          <w:lang w:val="en-US" w:eastAsia="en-US" w:bidi="en-US"/>
        </w:rPr>
        <w:t>indicated that</w:t>
      </w:r>
      <w:r w:rsidR="008264B6" w:rsidRPr="00012C3F">
        <w:rPr>
          <w:rFonts w:eastAsia="MS Mincho" w:cs="Arial"/>
          <w:sz w:val="20"/>
          <w:szCs w:val="20"/>
          <w:lang w:val="en-US" w:eastAsia="en-US" w:bidi="en-US"/>
        </w:rPr>
        <w:t xml:space="preserve"> </w:t>
      </w:r>
      <w:r w:rsidR="00A84CA0" w:rsidRPr="00012C3F">
        <w:rPr>
          <w:rFonts w:eastAsia="MS Mincho" w:cs="Arial"/>
          <w:sz w:val="20"/>
          <w:szCs w:val="20"/>
          <w:lang w:val="en-US" w:eastAsia="en-US" w:bidi="en-US"/>
        </w:rPr>
        <w:t>the State</w:t>
      </w:r>
      <w:r w:rsidR="008264B6" w:rsidRPr="00012C3F">
        <w:rPr>
          <w:rFonts w:eastAsia="MS Mincho" w:cs="Arial"/>
          <w:sz w:val="20"/>
          <w:szCs w:val="20"/>
          <w:lang w:val="en-US" w:eastAsia="en-US" w:bidi="en-US"/>
        </w:rPr>
        <w:t xml:space="preserve"> </w:t>
      </w:r>
      <w:r w:rsidR="0070744E" w:rsidRPr="00012C3F">
        <w:rPr>
          <w:rFonts w:eastAsia="MS Mincho" w:cs="Arial"/>
          <w:sz w:val="20"/>
          <w:szCs w:val="20"/>
          <w:lang w:val="en-US" w:eastAsia="en-US" w:bidi="en-US"/>
        </w:rPr>
        <w:t xml:space="preserve">had violated the three dimensions of </w:t>
      </w:r>
      <w:r w:rsidR="00BD30A1" w:rsidRPr="00012C3F">
        <w:rPr>
          <w:rFonts w:eastAsia="MS Mincho" w:cs="Arial"/>
          <w:sz w:val="20"/>
          <w:szCs w:val="20"/>
          <w:lang w:val="en-US" w:eastAsia="en-US" w:bidi="en-US"/>
        </w:rPr>
        <w:t>I.V.’s</w:t>
      </w:r>
      <w:r w:rsidR="0070744E" w:rsidRPr="00012C3F">
        <w:rPr>
          <w:rFonts w:eastAsia="MS Mincho" w:cs="Arial"/>
          <w:sz w:val="20"/>
          <w:szCs w:val="20"/>
          <w:lang w:val="en-US" w:eastAsia="en-US" w:bidi="en-US"/>
        </w:rPr>
        <w:t xml:space="preserve"> personal integrity</w:t>
      </w:r>
      <w:r w:rsidR="00BD30A1" w:rsidRPr="00012C3F">
        <w:rPr>
          <w:rFonts w:eastAsia="MS Mincho" w:cs="Arial"/>
          <w:sz w:val="20"/>
          <w:szCs w:val="20"/>
          <w:lang w:val="en-US" w:eastAsia="en-US" w:bidi="en-US"/>
        </w:rPr>
        <w:t xml:space="preserve">. </w:t>
      </w:r>
      <w:r w:rsidR="0070744E" w:rsidRPr="00012C3F">
        <w:rPr>
          <w:rFonts w:eastAsia="MS Mincho" w:cs="Arial"/>
          <w:sz w:val="20"/>
          <w:szCs w:val="20"/>
          <w:lang w:val="en-US" w:eastAsia="en-US" w:bidi="en-US"/>
        </w:rPr>
        <w:t xml:space="preserve">With regard to her physical integrity, she indicated that, as a result of the </w:t>
      </w:r>
      <w:r w:rsidR="00DF3B7C" w:rsidRPr="00012C3F">
        <w:rPr>
          <w:rFonts w:eastAsia="MS Mincho" w:cs="Arial"/>
          <w:sz w:val="20"/>
          <w:szCs w:val="20"/>
          <w:lang w:val="en-US" w:eastAsia="en-US" w:bidi="en-US"/>
        </w:rPr>
        <w:t>non-consensual sterilization</w:t>
      </w:r>
      <w:r w:rsidR="008264B6" w:rsidRPr="00012C3F">
        <w:rPr>
          <w:rFonts w:eastAsia="MS Mincho" w:cs="Arial"/>
          <w:sz w:val="20"/>
          <w:szCs w:val="20"/>
          <w:lang w:val="en-US" w:eastAsia="en-US" w:bidi="en-US"/>
        </w:rPr>
        <w:t xml:space="preserve">, </w:t>
      </w:r>
      <w:r w:rsidR="000E1C11" w:rsidRPr="00012C3F">
        <w:rPr>
          <w:rFonts w:eastAsia="MS Mincho" w:cs="Arial"/>
          <w:sz w:val="20"/>
          <w:szCs w:val="20"/>
          <w:lang w:val="en-US" w:eastAsia="en-US" w:bidi="en-US"/>
        </w:rPr>
        <w:t>I.V.</w:t>
      </w:r>
      <w:r w:rsidR="008264B6" w:rsidRPr="00012C3F">
        <w:rPr>
          <w:rFonts w:eastAsia="MS Mincho" w:cs="Arial"/>
          <w:sz w:val="20"/>
          <w:szCs w:val="20"/>
          <w:lang w:val="en-US" w:eastAsia="en-US" w:bidi="en-US"/>
        </w:rPr>
        <w:t xml:space="preserve"> </w:t>
      </w:r>
      <w:r w:rsidR="0070744E" w:rsidRPr="00012C3F">
        <w:rPr>
          <w:rFonts w:eastAsia="MS Mincho" w:cs="Arial"/>
          <w:sz w:val="20"/>
          <w:szCs w:val="20"/>
          <w:lang w:val="en-US" w:eastAsia="en-US" w:bidi="en-US"/>
        </w:rPr>
        <w:t xml:space="preserve">permanently lost her reproductive function, </w:t>
      </w:r>
      <w:r w:rsidR="00BD30A1" w:rsidRPr="00012C3F">
        <w:rPr>
          <w:rFonts w:eastAsia="MS Mincho" w:cs="Arial"/>
          <w:sz w:val="20"/>
          <w:szCs w:val="20"/>
          <w:lang w:val="en-US" w:eastAsia="en-US" w:bidi="en-US"/>
        </w:rPr>
        <w:t>and this</w:t>
      </w:r>
      <w:r w:rsidR="0070744E" w:rsidRPr="00012C3F">
        <w:rPr>
          <w:rFonts w:eastAsia="MS Mincho" w:cs="Arial"/>
          <w:sz w:val="20"/>
          <w:szCs w:val="20"/>
          <w:lang w:val="en-US" w:eastAsia="en-US" w:bidi="en-US"/>
        </w:rPr>
        <w:t xml:space="preserve"> led to the mental and moral dimensions, because I.V. felt damaged, mistreated and traumatized </w:t>
      </w:r>
      <w:r w:rsidR="00BD30A1" w:rsidRPr="00012C3F">
        <w:rPr>
          <w:rFonts w:eastAsia="MS Mincho" w:cs="Arial"/>
          <w:sz w:val="20"/>
          <w:szCs w:val="20"/>
          <w:lang w:val="en-US" w:eastAsia="en-US" w:bidi="en-US"/>
        </w:rPr>
        <w:t>since</w:t>
      </w:r>
      <w:r w:rsidR="0070744E" w:rsidRPr="00012C3F">
        <w:rPr>
          <w:rFonts w:eastAsia="MS Mincho" w:cs="Arial"/>
          <w:sz w:val="20"/>
          <w:szCs w:val="20"/>
          <w:lang w:val="en-US" w:eastAsia="en-US" w:bidi="en-US"/>
        </w:rPr>
        <w:t xml:space="preserve"> she considered that she was no longer a “whole woman.”  The arbitrary deprivation of her reproductive function destroyed her hope of conceiving a male child and produced a series of physical</w:t>
      </w:r>
      <w:r w:rsidR="00452BE4" w:rsidRPr="00012C3F">
        <w:rPr>
          <w:rFonts w:eastAsia="MS Mincho" w:cs="Arial"/>
          <w:sz w:val="20"/>
          <w:szCs w:val="20"/>
          <w:lang w:val="en-US" w:eastAsia="en-US" w:bidi="en-US"/>
        </w:rPr>
        <w:t xml:space="preserve">, sexual, psychological and psycho-social </w:t>
      </w:r>
      <w:r w:rsidR="0070744E" w:rsidRPr="00012C3F">
        <w:rPr>
          <w:rFonts w:eastAsia="MS Mincho" w:cs="Arial"/>
          <w:sz w:val="20"/>
          <w:szCs w:val="20"/>
          <w:lang w:val="en-US" w:eastAsia="en-US" w:bidi="en-US"/>
        </w:rPr>
        <w:t>effects</w:t>
      </w:r>
      <w:r w:rsidR="00452BE4" w:rsidRPr="00012C3F">
        <w:rPr>
          <w:rFonts w:eastAsia="MS Mincho" w:cs="Arial"/>
          <w:sz w:val="20"/>
          <w:szCs w:val="20"/>
          <w:lang w:val="en-US" w:eastAsia="en-US" w:bidi="en-US"/>
        </w:rPr>
        <w:t>, as well as feelings of profound anguish and suffering</w:t>
      </w:r>
      <w:r w:rsidR="0042314F" w:rsidRPr="00012C3F">
        <w:rPr>
          <w:rFonts w:eastAsia="MS Mincho" w:cs="Arial"/>
          <w:sz w:val="20"/>
          <w:szCs w:val="20"/>
          <w:lang w:val="en-US" w:eastAsia="en-US" w:bidi="en-US"/>
        </w:rPr>
        <w:t xml:space="preserve"> because an essential part of her desired life project had been taken from her.</w:t>
      </w:r>
      <w:r w:rsidR="0042314F" w:rsidRPr="00012C3F">
        <w:rPr>
          <w:rFonts w:eastAsia="MS Mincho" w:cs="Arial"/>
          <w:b/>
          <w:sz w:val="16"/>
          <w:szCs w:val="20"/>
          <w:lang w:val="en-US" w:eastAsia="en-US" w:bidi="en-US"/>
        </w:rPr>
        <w:t xml:space="preserve"> </w:t>
      </w:r>
      <w:r w:rsidRPr="00012C3F">
        <w:rPr>
          <w:rFonts w:eastAsia="MS Mincho" w:cs="Arial"/>
          <w:sz w:val="20"/>
          <w:szCs w:val="20"/>
          <w:lang w:val="en-US" w:eastAsia="en-US" w:bidi="en-US"/>
        </w:rPr>
        <w:t>The representative</w:t>
      </w:r>
      <w:r w:rsidR="008264B6" w:rsidRPr="00012C3F">
        <w:rPr>
          <w:rFonts w:eastAsia="MS Mincho" w:cs="Arial"/>
          <w:sz w:val="20"/>
          <w:szCs w:val="20"/>
          <w:lang w:val="en-US" w:eastAsia="en-US" w:bidi="en-US"/>
        </w:rPr>
        <w:t xml:space="preserve"> </w:t>
      </w:r>
      <w:r w:rsidR="0042314F" w:rsidRPr="00012C3F">
        <w:rPr>
          <w:rFonts w:eastAsia="MS Mincho" w:cs="Arial"/>
          <w:sz w:val="20"/>
          <w:szCs w:val="20"/>
          <w:lang w:val="en-US" w:eastAsia="en-US" w:bidi="en-US"/>
        </w:rPr>
        <w:lastRenderedPageBreak/>
        <w:t>indicated that</w:t>
      </w:r>
      <w:r w:rsidR="00BD30A1" w:rsidRPr="00012C3F">
        <w:rPr>
          <w:rFonts w:eastAsia="MS Mincho" w:cs="Arial"/>
          <w:sz w:val="20"/>
          <w:szCs w:val="20"/>
          <w:lang w:val="en-US" w:eastAsia="en-US" w:bidi="en-US"/>
        </w:rPr>
        <w:t xml:space="preserve"> </w:t>
      </w:r>
      <w:r w:rsidR="0042314F" w:rsidRPr="00012C3F">
        <w:rPr>
          <w:rFonts w:eastAsia="MS Mincho" w:cs="Arial"/>
          <w:sz w:val="20"/>
          <w:szCs w:val="20"/>
          <w:lang w:val="en-US" w:eastAsia="en-US" w:bidi="en-US"/>
        </w:rPr>
        <w:t>to this was added a feeling of guilt with regard to her daughters, because as a result of the sterilization and her search for justice, they had to endure her irritability and absence during their childhood and in later years.</w:t>
      </w:r>
      <w:r w:rsidR="0042314F" w:rsidRPr="00012C3F">
        <w:rPr>
          <w:rFonts w:eastAsia="MS Mincho" w:cs="Arial"/>
          <w:b/>
          <w:sz w:val="16"/>
          <w:szCs w:val="20"/>
          <w:lang w:val="en-US" w:eastAsia="en-US" w:bidi="en-US"/>
        </w:rPr>
        <w:t xml:space="preserve"> </w:t>
      </w:r>
      <w:r w:rsidRPr="00012C3F">
        <w:rPr>
          <w:rFonts w:eastAsia="MS Mincho" w:cs="Arial"/>
          <w:sz w:val="20"/>
          <w:szCs w:val="20"/>
          <w:lang w:val="en-US" w:eastAsia="en-US" w:bidi="en-US"/>
        </w:rPr>
        <w:t>The representative</w:t>
      </w:r>
      <w:r w:rsidR="008264B6" w:rsidRPr="00012C3F">
        <w:rPr>
          <w:rFonts w:eastAsia="MS Mincho" w:cs="Arial"/>
          <w:sz w:val="20"/>
          <w:szCs w:val="20"/>
          <w:lang w:val="en-US" w:eastAsia="en-US" w:bidi="en-US"/>
        </w:rPr>
        <w:t xml:space="preserve"> consider</w:t>
      </w:r>
      <w:r w:rsidR="0042314F" w:rsidRPr="00012C3F">
        <w:rPr>
          <w:rFonts w:eastAsia="MS Mincho" w:cs="Arial"/>
          <w:sz w:val="20"/>
          <w:szCs w:val="20"/>
          <w:lang w:val="en-US" w:eastAsia="en-US" w:bidi="en-US"/>
        </w:rPr>
        <w:t xml:space="preserve">ed that these aftereffects </w:t>
      </w:r>
      <w:r w:rsidR="00BD30A1" w:rsidRPr="00012C3F">
        <w:rPr>
          <w:rFonts w:eastAsia="MS Mincho" w:cs="Arial"/>
          <w:sz w:val="20"/>
          <w:szCs w:val="20"/>
          <w:lang w:val="en-US" w:eastAsia="en-US" w:bidi="en-US"/>
        </w:rPr>
        <w:t>resulted in</w:t>
      </w:r>
      <w:r w:rsidR="0042314F" w:rsidRPr="00012C3F">
        <w:rPr>
          <w:rFonts w:eastAsia="MS Mincho" w:cs="Arial"/>
          <w:sz w:val="20"/>
          <w:szCs w:val="20"/>
          <w:lang w:val="en-US" w:eastAsia="en-US" w:bidi="en-US"/>
        </w:rPr>
        <w:t xml:space="preserve"> I.V. being diagnosed with an organic </w:t>
      </w:r>
      <w:r w:rsidR="0042314F" w:rsidRPr="00012C3F">
        <w:rPr>
          <w:sz w:val="20"/>
          <w:szCs w:val="20"/>
          <w:lang w:val="en-US"/>
        </w:rPr>
        <w:t>schizophreniform disorder</w:t>
      </w:r>
      <w:r w:rsidR="008264B6" w:rsidRPr="00012C3F">
        <w:rPr>
          <w:rFonts w:eastAsia="MS Mincho" w:cs="Arial"/>
          <w:sz w:val="20"/>
          <w:szCs w:val="20"/>
          <w:lang w:val="en-US" w:eastAsia="en-US" w:bidi="en-US"/>
        </w:rPr>
        <w:t xml:space="preserve"> </w:t>
      </w:r>
      <w:r w:rsidR="0042314F" w:rsidRPr="00012C3F">
        <w:rPr>
          <w:rFonts w:eastAsia="MS Mincho" w:cs="Arial"/>
          <w:sz w:val="20"/>
          <w:szCs w:val="20"/>
          <w:lang w:val="en-US" w:eastAsia="en-US" w:bidi="en-US"/>
        </w:rPr>
        <w:t>in 2013</w:t>
      </w:r>
      <w:r w:rsidR="008264B6" w:rsidRPr="00012C3F">
        <w:rPr>
          <w:rFonts w:eastAsia="MS Mincho" w:cs="Arial"/>
          <w:sz w:val="20"/>
          <w:szCs w:val="20"/>
          <w:lang w:val="en-US" w:eastAsia="en-US" w:bidi="en-US"/>
        </w:rPr>
        <w:t>.</w:t>
      </w:r>
    </w:p>
    <w:p w14:paraId="6AF607CC" w14:textId="77777777" w:rsidR="008264B6" w:rsidRPr="00012C3F" w:rsidRDefault="008264B6" w:rsidP="00502B43">
      <w:pPr>
        <w:spacing w:line="240" w:lineRule="auto"/>
        <w:rPr>
          <w:lang w:val="en-US"/>
        </w:rPr>
      </w:pPr>
    </w:p>
    <w:p w14:paraId="7B961883" w14:textId="77777777" w:rsidR="0042314F" w:rsidRPr="00012C3F" w:rsidRDefault="00972ACF" w:rsidP="0042314F">
      <w:pPr>
        <w:numPr>
          <w:ilvl w:val="0"/>
          <w:numId w:val="5"/>
        </w:numPr>
        <w:tabs>
          <w:tab w:val="left" w:pos="720"/>
          <w:tab w:val="num" w:pos="12305"/>
        </w:tabs>
        <w:spacing w:line="240" w:lineRule="auto"/>
        <w:ind w:left="0" w:firstLine="0"/>
        <w:rPr>
          <w:rFonts w:eastAsia="Calibri" w:cs="Arial"/>
          <w:sz w:val="20"/>
          <w:szCs w:val="20"/>
          <w:lang w:val="en-US" w:eastAsia="en-US"/>
        </w:rPr>
      </w:pPr>
      <w:r w:rsidRPr="00012C3F">
        <w:rPr>
          <w:rFonts w:eastAsiaTheme="minorHAnsi" w:cs="Arial"/>
          <w:sz w:val="20"/>
          <w:szCs w:val="20"/>
          <w:lang w:val="en-US" w:eastAsia="en-US"/>
        </w:rPr>
        <w:t>The representative</w:t>
      </w:r>
      <w:r w:rsidR="00502B43" w:rsidRPr="00012C3F">
        <w:rPr>
          <w:rFonts w:eastAsia="Calibri" w:cs="Arial"/>
          <w:sz w:val="20"/>
          <w:szCs w:val="20"/>
          <w:lang w:val="en-US" w:eastAsia="en-US"/>
        </w:rPr>
        <w:t xml:space="preserve">, </w:t>
      </w:r>
      <w:r w:rsidR="0042314F" w:rsidRPr="00012C3F">
        <w:rPr>
          <w:rFonts w:eastAsia="Calibri" w:cs="Arial"/>
          <w:sz w:val="20"/>
          <w:szCs w:val="20"/>
          <w:lang w:val="en-US" w:eastAsia="en-US"/>
        </w:rPr>
        <w:t xml:space="preserve">based on the factual framework set out in the </w:t>
      </w:r>
      <w:r w:rsidR="00E00902" w:rsidRPr="00012C3F">
        <w:rPr>
          <w:rFonts w:eastAsia="Calibri" w:cs="Arial"/>
          <w:sz w:val="20"/>
          <w:szCs w:val="20"/>
          <w:lang w:val="en-US" w:eastAsia="en-US"/>
        </w:rPr>
        <w:t>Merits Report</w:t>
      </w:r>
      <w:r w:rsidR="00502B43" w:rsidRPr="00012C3F">
        <w:rPr>
          <w:rFonts w:eastAsia="Calibri" w:cs="Arial"/>
          <w:sz w:val="20"/>
          <w:szCs w:val="20"/>
          <w:lang w:val="en-US" w:eastAsia="en-US"/>
        </w:rPr>
        <w:t xml:space="preserve">, </w:t>
      </w:r>
      <w:r w:rsidR="0042314F" w:rsidRPr="00012C3F">
        <w:rPr>
          <w:rFonts w:eastAsia="Calibri" w:cs="Arial"/>
          <w:sz w:val="20"/>
          <w:szCs w:val="20"/>
          <w:lang w:val="en-US" w:eastAsia="en-US"/>
        </w:rPr>
        <w:t xml:space="preserve">argued that </w:t>
      </w:r>
      <w:r w:rsidR="008A7A0F" w:rsidRPr="00012C3F">
        <w:rPr>
          <w:rFonts w:eastAsia="Calibri" w:cs="Arial"/>
          <w:sz w:val="20"/>
          <w:szCs w:val="20"/>
          <w:lang w:val="en-US" w:eastAsia="en-US"/>
        </w:rPr>
        <w:t>Article</w:t>
      </w:r>
      <w:r w:rsidR="00502B43" w:rsidRPr="00012C3F">
        <w:rPr>
          <w:rFonts w:eastAsia="Calibri" w:cs="Arial"/>
          <w:sz w:val="20"/>
          <w:szCs w:val="20"/>
          <w:lang w:val="en-US" w:eastAsia="en-US"/>
        </w:rPr>
        <w:t xml:space="preserve"> </w:t>
      </w:r>
      <w:r w:rsidR="00B257AF" w:rsidRPr="00012C3F">
        <w:rPr>
          <w:rFonts w:eastAsia="Calibri" w:cs="Arial"/>
          <w:sz w:val="20"/>
          <w:szCs w:val="20"/>
          <w:lang w:val="en-US" w:eastAsia="en-US"/>
        </w:rPr>
        <w:t>5(2)</w:t>
      </w:r>
      <w:r w:rsidR="001254DE" w:rsidRPr="00012C3F">
        <w:rPr>
          <w:rFonts w:eastAsia="Calibri" w:cs="Arial"/>
          <w:sz w:val="20"/>
          <w:szCs w:val="20"/>
          <w:lang w:val="en-US" w:eastAsia="en-US"/>
        </w:rPr>
        <w:t xml:space="preserve"> of the American Convention</w:t>
      </w:r>
      <w:r w:rsidR="0042314F" w:rsidRPr="00012C3F">
        <w:rPr>
          <w:rFonts w:eastAsia="Calibri" w:cs="Arial"/>
          <w:sz w:val="20"/>
          <w:szCs w:val="20"/>
          <w:lang w:val="en-US" w:eastAsia="en-US"/>
        </w:rPr>
        <w:t xml:space="preserve"> had been violated</w:t>
      </w:r>
      <w:r w:rsidR="002B7B3B" w:rsidRPr="00012C3F">
        <w:rPr>
          <w:rFonts w:eastAsia="Calibri" w:cs="Arial"/>
          <w:sz w:val="20"/>
          <w:szCs w:val="20"/>
          <w:lang w:val="en-US" w:eastAsia="en-US"/>
        </w:rPr>
        <w:t xml:space="preserve"> </w:t>
      </w:r>
      <w:r w:rsidR="005E5012" w:rsidRPr="00012C3F">
        <w:rPr>
          <w:rFonts w:eastAsia="Calibri" w:cs="Arial"/>
          <w:sz w:val="20"/>
          <w:szCs w:val="20"/>
          <w:lang w:val="en-US" w:eastAsia="en-US"/>
        </w:rPr>
        <w:t>to the detriment of</w:t>
      </w:r>
      <w:r w:rsidR="002B7B3B" w:rsidRPr="00012C3F">
        <w:rPr>
          <w:rFonts w:eastAsia="Calibri" w:cs="Arial"/>
          <w:sz w:val="20"/>
          <w:szCs w:val="20"/>
          <w:lang w:val="en-US" w:eastAsia="en-US"/>
        </w:rPr>
        <w:t xml:space="preserve"> </w:t>
      </w:r>
      <w:r w:rsidR="000E1C11" w:rsidRPr="00012C3F">
        <w:rPr>
          <w:rFonts w:eastAsia="Calibri" w:cs="Arial"/>
          <w:sz w:val="20"/>
          <w:szCs w:val="20"/>
          <w:lang w:val="en-US" w:eastAsia="en-US"/>
        </w:rPr>
        <w:t>I.V.</w:t>
      </w:r>
      <w:r w:rsidR="0042314F" w:rsidRPr="00012C3F">
        <w:rPr>
          <w:rFonts w:eastAsia="Calibri" w:cs="Arial"/>
          <w:sz w:val="20"/>
          <w:szCs w:val="20"/>
          <w:lang w:val="en-US" w:eastAsia="en-US"/>
        </w:rPr>
        <w:t xml:space="preserve"> The first part of this paragraph establishes that</w:t>
      </w:r>
      <w:r w:rsidR="00502B43" w:rsidRPr="00012C3F">
        <w:rPr>
          <w:rFonts w:eastAsia="Calibri" w:cs="Arial"/>
          <w:sz w:val="20"/>
          <w:szCs w:val="20"/>
          <w:lang w:val="en-US" w:eastAsia="en-US"/>
        </w:rPr>
        <w:t>: “[n]</w:t>
      </w:r>
      <w:r w:rsidR="0042314F" w:rsidRPr="00012C3F">
        <w:rPr>
          <w:rFonts w:eastAsia="Calibri" w:cs="Arial"/>
          <w:sz w:val="20"/>
          <w:szCs w:val="20"/>
          <w:lang w:val="en-US" w:eastAsia="en-US"/>
        </w:rPr>
        <w:t xml:space="preserve">o one shall be subjected to </w:t>
      </w:r>
      <w:r w:rsidR="00502B43" w:rsidRPr="00012C3F">
        <w:rPr>
          <w:rFonts w:eastAsia="Calibri" w:cs="Arial"/>
          <w:sz w:val="20"/>
          <w:szCs w:val="20"/>
          <w:lang w:val="en-US" w:eastAsia="en-US"/>
        </w:rPr>
        <w:t>tortur</w:t>
      </w:r>
      <w:r w:rsidR="0042314F" w:rsidRPr="00012C3F">
        <w:rPr>
          <w:rFonts w:eastAsia="Calibri" w:cs="Arial"/>
          <w:sz w:val="20"/>
          <w:szCs w:val="20"/>
          <w:lang w:val="en-US" w:eastAsia="en-US"/>
        </w:rPr>
        <w:t>e or</w:t>
      </w:r>
      <w:r w:rsidR="00502B43" w:rsidRPr="00012C3F">
        <w:rPr>
          <w:rFonts w:eastAsia="Calibri" w:cs="Arial"/>
          <w:sz w:val="20"/>
          <w:szCs w:val="20"/>
          <w:lang w:val="en-US" w:eastAsia="en-US"/>
        </w:rPr>
        <w:t xml:space="preserve"> </w:t>
      </w:r>
      <w:r w:rsidR="007733E6" w:rsidRPr="00012C3F">
        <w:rPr>
          <w:rFonts w:eastAsia="Calibri" w:cs="Arial"/>
          <w:sz w:val="20"/>
          <w:szCs w:val="20"/>
          <w:lang w:val="en-US" w:eastAsia="en-US"/>
        </w:rPr>
        <w:t>cruel, inhuman or degrading treatment or punishment</w:t>
      </w:r>
      <w:r w:rsidR="0042314F" w:rsidRPr="00012C3F">
        <w:rPr>
          <w:rFonts w:eastAsia="Calibri" w:cs="Arial"/>
          <w:sz w:val="20"/>
          <w:szCs w:val="20"/>
          <w:lang w:val="en-US" w:eastAsia="en-US"/>
        </w:rPr>
        <w:t>.</w:t>
      </w:r>
      <w:r w:rsidR="00502B43" w:rsidRPr="00012C3F">
        <w:rPr>
          <w:rFonts w:eastAsia="Calibri" w:cs="Arial"/>
          <w:sz w:val="20"/>
          <w:szCs w:val="20"/>
          <w:lang w:val="en-US" w:eastAsia="en-US"/>
        </w:rPr>
        <w:t>”</w:t>
      </w:r>
      <w:r w:rsidR="0042314F" w:rsidRPr="00012C3F">
        <w:rPr>
          <w:rFonts w:eastAsia="Calibri" w:cs="Arial"/>
          <w:sz w:val="20"/>
          <w:szCs w:val="20"/>
          <w:lang w:val="en-US" w:eastAsia="en-US"/>
        </w:rPr>
        <w:t xml:space="preserve"> Following the reasoning of the Special Rapporteur on torture or cruel, inhuman or degrading treatment or punishment,</w:t>
      </w:r>
      <w:r w:rsidR="00502B43" w:rsidRPr="00012C3F">
        <w:rPr>
          <w:rFonts w:eastAsia="Calibri"/>
          <w:sz w:val="20"/>
          <w:szCs w:val="20"/>
          <w:vertAlign w:val="superscript"/>
          <w:lang w:val="en-US" w:eastAsia="en-US"/>
        </w:rPr>
        <w:footnoteReference w:id="340"/>
      </w:r>
      <w:r w:rsidR="0042314F" w:rsidRPr="00012C3F">
        <w:rPr>
          <w:rFonts w:eastAsia="Calibri" w:cs="Arial"/>
          <w:sz w:val="20"/>
          <w:szCs w:val="20"/>
          <w:lang w:val="en-US" w:eastAsia="en-US"/>
        </w:rPr>
        <w:t xml:space="preserve"> she indicated that it was important to</w:t>
      </w:r>
      <w:r w:rsidR="00877DF8" w:rsidRPr="00012C3F">
        <w:rPr>
          <w:rFonts w:eastAsia="Calibri" w:cs="Arial"/>
          <w:sz w:val="20"/>
          <w:szCs w:val="20"/>
          <w:lang w:val="en-US" w:eastAsia="en-US"/>
        </w:rPr>
        <w:t xml:space="preserve"> identify certain abuses in medical and hospital care not as mere violations of the right to health, but also as forms of torture and ill-treatment</w:t>
      </w:r>
      <w:r w:rsidR="00BD30A1" w:rsidRPr="00012C3F">
        <w:rPr>
          <w:rFonts w:eastAsia="Calibri" w:cs="Arial"/>
          <w:sz w:val="20"/>
          <w:szCs w:val="20"/>
          <w:lang w:val="en-US" w:eastAsia="en-US"/>
        </w:rPr>
        <w:t>, while</w:t>
      </w:r>
      <w:r w:rsidR="00877DF8" w:rsidRPr="00012C3F">
        <w:rPr>
          <w:rFonts w:eastAsia="Calibri" w:cs="Arial"/>
          <w:sz w:val="20"/>
          <w:szCs w:val="20"/>
          <w:lang w:val="en-US" w:eastAsia="en-US"/>
        </w:rPr>
        <w:t xml:space="preserve"> recogniz</w:t>
      </w:r>
      <w:r w:rsidR="00BD30A1" w:rsidRPr="00012C3F">
        <w:rPr>
          <w:rFonts w:eastAsia="Calibri" w:cs="Arial"/>
          <w:sz w:val="20"/>
          <w:szCs w:val="20"/>
          <w:lang w:val="en-US" w:eastAsia="en-US"/>
        </w:rPr>
        <w:t>ing</w:t>
      </w:r>
      <w:r w:rsidR="00877DF8" w:rsidRPr="00012C3F">
        <w:rPr>
          <w:rFonts w:eastAsia="Calibri" w:cs="Arial"/>
          <w:sz w:val="20"/>
          <w:szCs w:val="20"/>
          <w:lang w:val="en-US" w:eastAsia="en-US"/>
        </w:rPr>
        <w:t xml:space="preserve"> that “[t]he conceptualization of the abuses committed in health-care settings as torture or ill-treatment </w:t>
      </w:r>
      <w:r w:rsidR="00BD30A1" w:rsidRPr="00012C3F">
        <w:rPr>
          <w:rFonts w:eastAsia="Calibri" w:cs="Arial"/>
          <w:sz w:val="20"/>
          <w:szCs w:val="20"/>
          <w:lang w:val="en-US" w:eastAsia="en-US"/>
        </w:rPr>
        <w:t>is</w:t>
      </w:r>
      <w:r w:rsidR="00877DF8" w:rsidRPr="00012C3F">
        <w:rPr>
          <w:rFonts w:eastAsia="Calibri" w:cs="Arial"/>
          <w:sz w:val="20"/>
          <w:szCs w:val="20"/>
          <w:lang w:val="en-US" w:eastAsia="en-US"/>
        </w:rPr>
        <w:t xml:space="preserve"> a relatively recent phenomenon.”</w:t>
      </w:r>
    </w:p>
    <w:p w14:paraId="48376016" w14:textId="77777777" w:rsidR="00502B43" w:rsidRPr="00012C3F" w:rsidRDefault="00502B43" w:rsidP="0042314F">
      <w:pPr>
        <w:widowControl/>
        <w:tabs>
          <w:tab w:val="left" w:pos="720"/>
        </w:tabs>
        <w:autoSpaceDE w:val="0"/>
        <w:autoSpaceDN w:val="0"/>
        <w:spacing w:line="240" w:lineRule="auto"/>
        <w:textAlignment w:val="auto"/>
        <w:rPr>
          <w:rFonts w:eastAsia="Calibri" w:cs="Arial"/>
          <w:sz w:val="20"/>
          <w:szCs w:val="20"/>
          <w:lang w:val="en-US" w:eastAsia="en-US"/>
        </w:rPr>
      </w:pPr>
    </w:p>
    <w:p w14:paraId="0F6E07A2" w14:textId="77777777" w:rsidR="00502B43" w:rsidRPr="00012C3F" w:rsidRDefault="00877DF8" w:rsidP="00877DF8">
      <w:pPr>
        <w:numPr>
          <w:ilvl w:val="0"/>
          <w:numId w:val="5"/>
        </w:numPr>
        <w:tabs>
          <w:tab w:val="left" w:pos="720"/>
          <w:tab w:val="num" w:pos="12305"/>
        </w:tabs>
        <w:spacing w:line="240" w:lineRule="auto"/>
        <w:ind w:left="0" w:firstLine="0"/>
        <w:rPr>
          <w:rFonts w:eastAsia="Calibri" w:cs="Arial"/>
          <w:sz w:val="20"/>
          <w:szCs w:val="20"/>
          <w:lang w:val="en-US" w:eastAsia="en-US"/>
        </w:rPr>
      </w:pPr>
      <w:r w:rsidRPr="00012C3F">
        <w:rPr>
          <w:rFonts w:eastAsia="Calibri" w:cs="Arial"/>
          <w:sz w:val="20"/>
          <w:szCs w:val="20"/>
          <w:lang w:val="en-US" w:eastAsia="en-US"/>
        </w:rPr>
        <w:t>I</w:t>
      </w:r>
      <w:r w:rsidR="00502B43" w:rsidRPr="00012C3F">
        <w:rPr>
          <w:rFonts w:eastAsia="Calibri" w:cs="Arial"/>
          <w:sz w:val="20"/>
          <w:szCs w:val="20"/>
          <w:lang w:val="en-US" w:eastAsia="en-US"/>
        </w:rPr>
        <w:t xml:space="preserve">n </w:t>
      </w:r>
      <w:r w:rsidR="00502B43" w:rsidRPr="00012C3F">
        <w:rPr>
          <w:rFonts w:eastAsiaTheme="minorHAnsi" w:cs="Arial"/>
          <w:sz w:val="20"/>
          <w:szCs w:val="20"/>
          <w:lang w:val="en-US" w:eastAsia="en-US"/>
        </w:rPr>
        <w:t>particular</w:t>
      </w:r>
      <w:r w:rsidR="00502B43" w:rsidRPr="00012C3F">
        <w:rPr>
          <w:rFonts w:eastAsia="Calibri" w:cs="Arial"/>
          <w:sz w:val="20"/>
          <w:szCs w:val="20"/>
          <w:lang w:val="en-US" w:eastAsia="en-US"/>
        </w:rPr>
        <w:t xml:space="preserve">, </w:t>
      </w:r>
      <w:r w:rsidRPr="00012C3F">
        <w:rPr>
          <w:rFonts w:eastAsia="Calibri" w:cs="Arial"/>
          <w:sz w:val="20"/>
          <w:szCs w:val="20"/>
          <w:lang w:val="en-US" w:eastAsia="en-US"/>
        </w:rPr>
        <w:t>she argued that, on</w:t>
      </w:r>
      <w:r w:rsidR="00502B43" w:rsidRPr="00012C3F">
        <w:rPr>
          <w:rFonts w:eastAsia="Calibri" w:cs="Arial"/>
          <w:sz w:val="20"/>
          <w:szCs w:val="20"/>
          <w:lang w:val="en-US" w:eastAsia="en-US"/>
        </w:rPr>
        <w:t xml:space="preserve"> </w:t>
      </w:r>
      <w:r w:rsidR="00566357" w:rsidRPr="00012C3F">
        <w:rPr>
          <w:rFonts w:eastAsia="Calibri" w:cs="Arial"/>
          <w:sz w:val="20"/>
          <w:szCs w:val="20"/>
          <w:lang w:val="en-US" w:eastAsia="en-US"/>
        </w:rPr>
        <w:t>July 1,</w:t>
      </w:r>
      <w:r w:rsidR="00502B43" w:rsidRPr="00012C3F">
        <w:rPr>
          <w:rFonts w:eastAsia="Calibri" w:cs="Arial"/>
          <w:sz w:val="20"/>
          <w:szCs w:val="20"/>
          <w:lang w:val="en-US" w:eastAsia="en-US"/>
        </w:rPr>
        <w:t xml:space="preserve"> 2000</w:t>
      </w:r>
      <w:r w:rsidRPr="00012C3F">
        <w:rPr>
          <w:rFonts w:eastAsia="Calibri" w:cs="Arial"/>
          <w:sz w:val="20"/>
          <w:szCs w:val="20"/>
          <w:lang w:val="en-US" w:eastAsia="en-US"/>
        </w:rPr>
        <w:t>,</w:t>
      </w:r>
      <w:r w:rsidR="00502B43" w:rsidRPr="00012C3F">
        <w:rPr>
          <w:rFonts w:eastAsia="Calibri" w:cs="Arial"/>
          <w:sz w:val="20"/>
          <w:szCs w:val="20"/>
          <w:lang w:val="en-US" w:eastAsia="en-US"/>
        </w:rPr>
        <w:t xml:space="preserve"> </w:t>
      </w:r>
      <w:r w:rsidR="000E1C11" w:rsidRPr="00012C3F">
        <w:rPr>
          <w:rFonts w:eastAsia="Calibri" w:cs="Arial"/>
          <w:sz w:val="20"/>
          <w:szCs w:val="20"/>
          <w:lang w:val="en-US" w:eastAsia="en-US"/>
        </w:rPr>
        <w:t>I.V.</w:t>
      </w:r>
      <w:r w:rsidR="00502B43" w:rsidRPr="00012C3F">
        <w:rPr>
          <w:rFonts w:eastAsia="Calibri" w:cs="Arial"/>
          <w:sz w:val="20"/>
          <w:szCs w:val="20"/>
          <w:lang w:val="en-US" w:eastAsia="en-US"/>
        </w:rPr>
        <w:t xml:space="preserve"> “</w:t>
      </w:r>
      <w:r w:rsidRPr="00012C3F">
        <w:rPr>
          <w:rFonts w:eastAsia="Calibri" w:cs="Arial"/>
          <w:sz w:val="20"/>
          <w:szCs w:val="20"/>
          <w:lang w:val="en-US" w:eastAsia="en-US"/>
        </w:rPr>
        <w:t xml:space="preserve">was in a situation of […] total defenselessness, on an operating table, under the absolute control of a medical team who took the decision on her behalf, without prior, full, free and informed consent, to subject her to a tubal ligation.” She indicated that the procedure performed on I.V. was </w:t>
      </w:r>
      <w:r w:rsidR="007A5FA4" w:rsidRPr="00012C3F">
        <w:rPr>
          <w:rFonts w:eastAsia="Calibri" w:cs="Arial"/>
          <w:sz w:val="20"/>
          <w:szCs w:val="20"/>
          <w:lang w:val="en-US" w:eastAsia="en-US"/>
        </w:rPr>
        <w:t xml:space="preserve">totally invasive and irreversible, because in I.V.’s case, “there was no need, urgency or vital reason related to the patient’s survival for the doctors to proceed as they did.” Therefore, she </w:t>
      </w:r>
      <w:r w:rsidR="00BD30A1" w:rsidRPr="00012C3F">
        <w:rPr>
          <w:rFonts w:eastAsia="Calibri" w:cs="Arial"/>
          <w:sz w:val="20"/>
          <w:szCs w:val="20"/>
          <w:lang w:val="en-US" w:eastAsia="en-US"/>
        </w:rPr>
        <w:t>argued</w:t>
      </w:r>
      <w:r w:rsidR="007A5FA4" w:rsidRPr="00012C3F">
        <w:rPr>
          <w:rFonts w:eastAsia="Calibri" w:cs="Arial"/>
          <w:sz w:val="20"/>
          <w:szCs w:val="20"/>
          <w:lang w:val="en-US" w:eastAsia="en-US"/>
        </w:rPr>
        <w:t xml:space="preserve"> that I.V. “was a victim of cruel, inhuman and degrading treatment, if it was not torture.” She supported her argument and petition on “the consistent case law” of the European Court of Human Rights which, in cases relating to sterilizations performed on women who had not given their prior, full, free and informed consent, ha</w:t>
      </w:r>
      <w:r w:rsidR="00BD30A1" w:rsidRPr="00012C3F">
        <w:rPr>
          <w:rFonts w:eastAsia="Calibri" w:cs="Arial"/>
          <w:sz w:val="20"/>
          <w:szCs w:val="20"/>
          <w:lang w:val="en-US" w:eastAsia="en-US"/>
        </w:rPr>
        <w:t>s</w:t>
      </w:r>
      <w:r w:rsidR="007A5FA4" w:rsidRPr="00012C3F">
        <w:rPr>
          <w:rFonts w:eastAsia="Calibri" w:cs="Arial"/>
          <w:sz w:val="20"/>
          <w:szCs w:val="20"/>
          <w:lang w:val="en-US" w:eastAsia="en-US"/>
        </w:rPr>
        <w:t xml:space="preserve"> established the perpetration of inhuman and degrading treatment prohibited by </w:t>
      </w:r>
      <w:r w:rsidR="001254DE" w:rsidRPr="00012C3F">
        <w:rPr>
          <w:rFonts w:eastAsia="Calibri" w:cs="Arial"/>
          <w:sz w:val="20"/>
          <w:szCs w:val="20"/>
          <w:lang w:val="en-US" w:eastAsia="en-US"/>
        </w:rPr>
        <w:t>Article</w:t>
      </w:r>
      <w:r w:rsidR="00502B43" w:rsidRPr="00012C3F">
        <w:rPr>
          <w:rFonts w:eastAsia="Calibri" w:cs="Arial"/>
          <w:sz w:val="20"/>
          <w:szCs w:val="20"/>
          <w:lang w:val="en-US" w:eastAsia="en-US"/>
        </w:rPr>
        <w:t xml:space="preserve"> 3 </w:t>
      </w:r>
      <w:r w:rsidR="007A5FA4" w:rsidRPr="00012C3F">
        <w:rPr>
          <w:rFonts w:eastAsia="Calibri" w:cs="Arial"/>
          <w:sz w:val="20"/>
          <w:szCs w:val="20"/>
          <w:lang w:val="en-US" w:eastAsia="en-US"/>
        </w:rPr>
        <w:t>of the European Convention</w:t>
      </w:r>
      <w:r w:rsidR="00502B43" w:rsidRPr="00012C3F">
        <w:rPr>
          <w:rFonts w:eastAsia="Calibri" w:cs="Arial"/>
          <w:sz w:val="20"/>
          <w:szCs w:val="20"/>
          <w:lang w:val="en-US" w:eastAsia="en-US"/>
        </w:rPr>
        <w:t>.</w:t>
      </w:r>
    </w:p>
    <w:p w14:paraId="0B278AF3" w14:textId="77777777" w:rsidR="00502B43" w:rsidRPr="00012C3F" w:rsidRDefault="00502B43" w:rsidP="0042314F">
      <w:pPr>
        <w:widowControl/>
        <w:tabs>
          <w:tab w:val="left" w:pos="720"/>
        </w:tabs>
        <w:autoSpaceDE w:val="0"/>
        <w:autoSpaceDN w:val="0"/>
        <w:spacing w:line="240" w:lineRule="auto"/>
        <w:textAlignment w:val="auto"/>
        <w:rPr>
          <w:rFonts w:eastAsia="Calibri" w:cs="Arial"/>
          <w:sz w:val="20"/>
          <w:szCs w:val="20"/>
          <w:lang w:val="en-US" w:eastAsia="en-US"/>
        </w:rPr>
      </w:pPr>
    </w:p>
    <w:p w14:paraId="070A4F7E" w14:textId="77777777" w:rsidR="008F606A" w:rsidRPr="00012C3F" w:rsidRDefault="007A5FA4" w:rsidP="007A5FA4">
      <w:pPr>
        <w:numPr>
          <w:ilvl w:val="0"/>
          <w:numId w:val="5"/>
        </w:numPr>
        <w:tabs>
          <w:tab w:val="left" w:pos="720"/>
          <w:tab w:val="num" w:pos="12305"/>
        </w:tabs>
        <w:spacing w:line="240" w:lineRule="auto"/>
        <w:ind w:left="0" w:firstLine="0"/>
        <w:rPr>
          <w:rFonts w:eastAsia="Calibri" w:cs="Arial"/>
          <w:sz w:val="20"/>
          <w:szCs w:val="20"/>
          <w:lang w:val="en-US" w:eastAsia="en-US"/>
        </w:rPr>
      </w:pPr>
      <w:r w:rsidRPr="00012C3F">
        <w:rPr>
          <w:rFonts w:eastAsiaTheme="minorHAnsi" w:cs="Arial"/>
          <w:sz w:val="20"/>
          <w:szCs w:val="20"/>
          <w:lang w:val="en-US" w:eastAsia="en-US"/>
        </w:rPr>
        <w:t xml:space="preserve">She added that, “as the doctrine and case law of international human rights law establishes, for an act to be considered one of the conducts prohibited by </w:t>
      </w:r>
      <w:r w:rsidR="001254DE" w:rsidRPr="00012C3F">
        <w:rPr>
          <w:rFonts w:eastAsia="Calibri" w:cs="Arial"/>
          <w:sz w:val="20"/>
          <w:szCs w:val="20"/>
          <w:lang w:val="en-US" w:eastAsia="en-US"/>
        </w:rPr>
        <w:t>Article</w:t>
      </w:r>
      <w:r w:rsidR="00502B43" w:rsidRPr="00012C3F">
        <w:rPr>
          <w:rFonts w:eastAsia="Calibri" w:cs="Arial"/>
          <w:sz w:val="20"/>
          <w:szCs w:val="20"/>
          <w:lang w:val="en-US" w:eastAsia="en-US"/>
        </w:rPr>
        <w:t xml:space="preserve"> </w:t>
      </w:r>
      <w:r w:rsidR="00B257AF" w:rsidRPr="00012C3F">
        <w:rPr>
          <w:rFonts w:eastAsia="Calibri" w:cs="Arial"/>
          <w:sz w:val="20"/>
          <w:szCs w:val="20"/>
          <w:lang w:val="en-US" w:eastAsia="en-US"/>
        </w:rPr>
        <w:t>5(2)</w:t>
      </w:r>
      <w:r w:rsidRPr="00012C3F">
        <w:rPr>
          <w:rFonts w:eastAsia="Calibri" w:cs="Arial"/>
          <w:sz w:val="20"/>
          <w:szCs w:val="20"/>
          <w:lang w:val="en-US" w:eastAsia="en-US"/>
        </w:rPr>
        <w:t xml:space="preserve"> of the </w:t>
      </w:r>
      <w:r w:rsidR="00E87DE3" w:rsidRPr="00012C3F">
        <w:rPr>
          <w:rFonts w:eastAsia="Calibri" w:cs="Arial"/>
          <w:sz w:val="20"/>
          <w:szCs w:val="20"/>
          <w:lang w:val="en-US" w:eastAsia="en-US"/>
        </w:rPr>
        <w:t>[</w:t>
      </w:r>
      <w:r w:rsidRPr="00012C3F">
        <w:rPr>
          <w:rFonts w:eastAsia="Calibri" w:cs="Arial"/>
          <w:sz w:val="20"/>
          <w:szCs w:val="20"/>
          <w:lang w:val="en-US" w:eastAsia="en-US"/>
        </w:rPr>
        <w:t xml:space="preserve">American </w:t>
      </w:r>
      <w:r w:rsidR="00502B43" w:rsidRPr="00012C3F">
        <w:rPr>
          <w:rFonts w:eastAsia="Calibri" w:cs="Arial"/>
          <w:sz w:val="20"/>
          <w:szCs w:val="20"/>
          <w:lang w:val="en-US" w:eastAsia="en-US"/>
        </w:rPr>
        <w:t>Conven</w:t>
      </w:r>
      <w:r w:rsidRPr="00012C3F">
        <w:rPr>
          <w:rFonts w:eastAsia="Calibri" w:cs="Arial"/>
          <w:sz w:val="20"/>
          <w:szCs w:val="20"/>
          <w:lang w:val="en-US" w:eastAsia="en-US"/>
        </w:rPr>
        <w:t>tion</w:t>
      </w:r>
      <w:r w:rsidR="00E87DE3" w:rsidRPr="00012C3F">
        <w:rPr>
          <w:rFonts w:eastAsia="Calibri" w:cs="Arial"/>
          <w:sz w:val="20"/>
          <w:szCs w:val="20"/>
          <w:lang w:val="en-US" w:eastAsia="en-US"/>
        </w:rPr>
        <w:t>]</w:t>
      </w:r>
      <w:r w:rsidR="00502B43" w:rsidRPr="00012C3F">
        <w:rPr>
          <w:rFonts w:eastAsia="Calibri" w:cs="Arial"/>
          <w:sz w:val="20"/>
          <w:szCs w:val="20"/>
          <w:lang w:val="en-US" w:eastAsia="en-US"/>
        </w:rPr>
        <w:t xml:space="preserve">, </w:t>
      </w:r>
      <w:r w:rsidRPr="00012C3F">
        <w:rPr>
          <w:rFonts w:eastAsia="Calibri" w:cs="Arial"/>
          <w:sz w:val="20"/>
          <w:szCs w:val="20"/>
          <w:lang w:val="en-US" w:eastAsia="en-US"/>
        </w:rPr>
        <w:t>special attention</w:t>
      </w:r>
      <w:r w:rsidR="00BD30A1" w:rsidRPr="00012C3F">
        <w:rPr>
          <w:rFonts w:eastAsia="Calibri" w:cs="Arial"/>
          <w:sz w:val="20"/>
          <w:szCs w:val="20"/>
          <w:lang w:val="en-US" w:eastAsia="en-US"/>
        </w:rPr>
        <w:t xml:space="preserve"> must be paid</w:t>
      </w:r>
      <w:r w:rsidRPr="00012C3F">
        <w:rPr>
          <w:rFonts w:eastAsia="Calibri" w:cs="Arial"/>
          <w:sz w:val="20"/>
          <w:szCs w:val="20"/>
          <w:lang w:val="en-US" w:eastAsia="en-US"/>
        </w:rPr>
        <w:t xml:space="preserve"> to the situation and particular circumstances of the victim.”  In this case, reviewing</w:t>
      </w:r>
      <w:r w:rsidR="008F606A" w:rsidRPr="00012C3F">
        <w:rPr>
          <w:rFonts w:eastAsia="Calibri" w:cs="Arial"/>
          <w:sz w:val="20"/>
          <w:szCs w:val="20"/>
          <w:lang w:val="en-US" w:eastAsia="en-US"/>
        </w:rPr>
        <w:t xml:space="preserve"> I.V.’s life history, she affirmed that “[a] woman with a history of torture in Peru; arbitrary imprisonment because of her ideas; persecution that obliged her to take refuge in a foreign country; losses of people close to her in violent circumstances […], this is someone with regard to whom the threshold to consider her a victim of torture and cruel, inhuman or degrading treatment is much lower than that of most people […], in addition to the severity of the harm caused to I.V., her intense suffering for more than 15 years as an aftereffect of the </w:t>
      </w:r>
      <w:r w:rsidR="00570C15" w:rsidRPr="00012C3F">
        <w:rPr>
          <w:rFonts w:eastAsia="Calibri" w:cs="Arial"/>
          <w:sz w:val="20"/>
          <w:szCs w:val="20"/>
          <w:lang w:val="en-US" w:eastAsia="en-US"/>
        </w:rPr>
        <w:t>forced sterilization</w:t>
      </w:r>
      <w:r w:rsidR="00502B43" w:rsidRPr="00012C3F">
        <w:rPr>
          <w:rFonts w:eastAsia="Calibri" w:cs="Arial"/>
          <w:sz w:val="20"/>
          <w:szCs w:val="20"/>
          <w:lang w:val="en-US" w:eastAsia="en-US"/>
        </w:rPr>
        <w:t xml:space="preserve"> </w:t>
      </w:r>
      <w:r w:rsidR="008F606A" w:rsidRPr="00012C3F">
        <w:rPr>
          <w:rFonts w:eastAsia="Calibri" w:cs="Arial"/>
          <w:sz w:val="20"/>
          <w:szCs w:val="20"/>
          <w:lang w:val="en-US" w:eastAsia="en-US"/>
        </w:rPr>
        <w:t>to which she was subjected without being consulted and without obtaining her prior, full, free and informed consent, and in light of the preceding considerations, especially those formulated by the European Court’s Rapporteurs on Torture, it is clear that the right of I.V. contained in Article 5(2) of the [American Convention] was also violated.”</w:t>
      </w:r>
    </w:p>
    <w:p w14:paraId="319845A1" w14:textId="77777777" w:rsidR="00502B43" w:rsidRPr="00012C3F" w:rsidRDefault="00502B43" w:rsidP="00502B43">
      <w:pPr>
        <w:widowControl/>
        <w:autoSpaceDE w:val="0"/>
        <w:autoSpaceDN w:val="0"/>
        <w:spacing w:line="240" w:lineRule="auto"/>
        <w:textAlignment w:val="auto"/>
        <w:rPr>
          <w:rFonts w:eastAsia="Calibri" w:cs="Arial"/>
          <w:sz w:val="20"/>
          <w:szCs w:val="20"/>
          <w:lang w:val="en-US" w:eastAsia="en-US"/>
        </w:rPr>
      </w:pPr>
    </w:p>
    <w:p w14:paraId="39B3F573" w14:textId="77777777" w:rsidR="00502B43" w:rsidRPr="00012C3F" w:rsidRDefault="00A84CA0" w:rsidP="00FF3FCB">
      <w:pPr>
        <w:numPr>
          <w:ilvl w:val="0"/>
          <w:numId w:val="5"/>
        </w:numPr>
        <w:tabs>
          <w:tab w:val="left" w:pos="720"/>
          <w:tab w:val="num" w:pos="12305"/>
        </w:tabs>
        <w:spacing w:line="240" w:lineRule="auto"/>
        <w:ind w:left="0" w:firstLine="0"/>
        <w:rPr>
          <w:rFonts w:eastAsia="Calibri" w:cs="Arial"/>
          <w:sz w:val="16"/>
          <w:szCs w:val="16"/>
          <w:lang w:val="en-US" w:eastAsia="en-US"/>
        </w:rPr>
      </w:pPr>
      <w:r w:rsidRPr="00012C3F">
        <w:rPr>
          <w:rFonts w:eastAsia="Calibri" w:cs="Arial"/>
          <w:sz w:val="20"/>
          <w:szCs w:val="20"/>
          <w:lang w:val="en-US" w:eastAsia="en-US"/>
        </w:rPr>
        <w:t xml:space="preserve">The </w:t>
      </w:r>
      <w:r w:rsidRPr="00012C3F">
        <w:rPr>
          <w:rFonts w:eastAsia="Calibri" w:cs="Arial"/>
          <w:b/>
          <w:bCs/>
          <w:i/>
          <w:iCs/>
          <w:sz w:val="20"/>
          <w:szCs w:val="20"/>
          <w:lang w:val="en-US" w:eastAsia="en-US"/>
        </w:rPr>
        <w:t>State</w:t>
      </w:r>
      <w:r w:rsidR="00502B43" w:rsidRPr="00012C3F">
        <w:rPr>
          <w:rFonts w:eastAsia="Calibri" w:cs="Arial"/>
          <w:sz w:val="20"/>
          <w:szCs w:val="20"/>
          <w:lang w:val="en-US" w:eastAsia="en-US"/>
        </w:rPr>
        <w:t xml:space="preserve"> </w:t>
      </w:r>
      <w:r w:rsidR="008F606A" w:rsidRPr="00012C3F">
        <w:rPr>
          <w:rFonts w:eastAsia="Calibri" w:cs="Arial"/>
          <w:sz w:val="20"/>
          <w:szCs w:val="20"/>
          <w:lang w:val="en-US" w:eastAsia="en-US"/>
        </w:rPr>
        <w:t>indicated that</w:t>
      </w:r>
      <w:r w:rsidR="00502B43" w:rsidRPr="00012C3F">
        <w:rPr>
          <w:rFonts w:eastAsia="Calibri" w:cs="Arial"/>
          <w:sz w:val="20"/>
          <w:szCs w:val="20"/>
          <w:lang w:val="en-US" w:eastAsia="en-US"/>
        </w:rPr>
        <w:t xml:space="preserve"> “[</w:t>
      </w:r>
      <w:r w:rsidR="008F606A" w:rsidRPr="00012C3F">
        <w:rPr>
          <w:rFonts w:eastAsia="Calibri" w:cs="Arial"/>
          <w:sz w:val="20"/>
          <w:szCs w:val="20"/>
          <w:lang w:val="en-US" w:eastAsia="en-US"/>
        </w:rPr>
        <w:t>t</w:t>
      </w:r>
      <w:r w:rsidR="00502B43" w:rsidRPr="00012C3F">
        <w:rPr>
          <w:rFonts w:eastAsia="Calibri" w:cs="Arial"/>
          <w:sz w:val="20"/>
          <w:szCs w:val="20"/>
          <w:lang w:val="en-US" w:eastAsia="en-US"/>
        </w:rPr>
        <w:t>]</w:t>
      </w:r>
      <w:r w:rsidR="008F606A" w:rsidRPr="00012C3F">
        <w:rPr>
          <w:rFonts w:eastAsia="Calibri" w:cs="Arial"/>
          <w:sz w:val="20"/>
          <w:szCs w:val="20"/>
          <w:lang w:val="en-US" w:eastAsia="en-US"/>
        </w:rPr>
        <w:t xml:space="preserve">he arguments presented by </w:t>
      </w:r>
      <w:r w:rsidR="00972ACF" w:rsidRPr="00012C3F">
        <w:rPr>
          <w:rFonts w:eastAsia="Calibri" w:cs="Arial"/>
          <w:sz w:val="20"/>
          <w:szCs w:val="20"/>
          <w:lang w:val="en-US" w:eastAsia="en-US"/>
        </w:rPr>
        <w:t>the representative</w:t>
      </w:r>
      <w:r w:rsidR="008F606A" w:rsidRPr="00012C3F">
        <w:rPr>
          <w:rFonts w:eastAsia="Calibri" w:cs="Arial"/>
          <w:sz w:val="20"/>
          <w:szCs w:val="20"/>
          <w:lang w:val="en-US" w:eastAsia="en-US"/>
        </w:rPr>
        <w:t>, attributing</w:t>
      </w:r>
      <w:r w:rsidR="00FF3FCB" w:rsidRPr="00012C3F">
        <w:rPr>
          <w:rFonts w:eastAsia="Calibri" w:cs="Arial"/>
          <w:sz w:val="20"/>
          <w:szCs w:val="20"/>
          <w:lang w:val="en-US" w:eastAsia="en-US"/>
        </w:rPr>
        <w:t xml:space="preserve"> presumed facts</w:t>
      </w:r>
      <w:r w:rsidR="008F606A" w:rsidRPr="00012C3F">
        <w:rPr>
          <w:rFonts w:eastAsia="Calibri" w:cs="Arial"/>
          <w:sz w:val="20"/>
          <w:szCs w:val="20"/>
          <w:lang w:val="en-US" w:eastAsia="en-US"/>
        </w:rPr>
        <w:t xml:space="preserve"> to the Stat</w:t>
      </w:r>
      <w:r w:rsidR="00FF3FCB" w:rsidRPr="00012C3F">
        <w:rPr>
          <w:rFonts w:eastAsia="Calibri" w:cs="Arial"/>
          <w:sz w:val="20"/>
          <w:szCs w:val="20"/>
          <w:lang w:val="en-US" w:eastAsia="en-US"/>
        </w:rPr>
        <w:t xml:space="preserve">e combine two contexts: the first, regarding the psycho-social situation of I.V.  as a result of the actions carried out by the </w:t>
      </w:r>
      <w:r w:rsidR="00502B43" w:rsidRPr="00012C3F">
        <w:rPr>
          <w:rFonts w:eastAsia="Calibri" w:cs="Arial"/>
          <w:sz w:val="20"/>
          <w:szCs w:val="20"/>
          <w:lang w:val="en-US" w:eastAsia="en-US"/>
        </w:rPr>
        <w:t xml:space="preserve">DINCOTE </w:t>
      </w:r>
      <w:r w:rsidR="00FF3FCB" w:rsidRPr="00012C3F">
        <w:rPr>
          <w:rFonts w:eastAsia="Calibri" w:cs="Arial"/>
          <w:sz w:val="20"/>
          <w:szCs w:val="20"/>
          <w:lang w:val="en-US" w:eastAsia="en-US"/>
        </w:rPr>
        <w:t>in Peru, and the second, the catharsis undergone by I.V. presumably as a result of the tubal ligation.</w:t>
      </w:r>
      <w:r w:rsidR="00502B43" w:rsidRPr="00012C3F">
        <w:rPr>
          <w:rFonts w:eastAsia="Calibri" w:cs="Arial"/>
          <w:sz w:val="20"/>
          <w:szCs w:val="20"/>
          <w:lang w:val="en-US" w:eastAsia="en-US"/>
        </w:rPr>
        <w:t>”</w:t>
      </w:r>
      <w:r w:rsidR="00FF3FCB" w:rsidRPr="00012C3F">
        <w:rPr>
          <w:rFonts w:eastAsia="Calibri" w:cs="Arial"/>
          <w:sz w:val="20"/>
          <w:szCs w:val="20"/>
          <w:lang w:val="en-US" w:eastAsia="en-US"/>
        </w:rPr>
        <w:t xml:space="preserve"> In this regard, it indicated that: (i) the alleged acts of torture were committed in Peru; (ii) the surgical procedure of tubal ligation was a voluntary decision by I.V., and not an act of torture; (iii) the presumed acts of torture that took place in Peru cannot be compared to the said surgical procedure, and (iv) </w:t>
      </w:r>
      <w:r w:rsidRPr="00012C3F">
        <w:rPr>
          <w:rFonts w:eastAsia="Calibri" w:cs="Arial"/>
          <w:sz w:val="20"/>
          <w:szCs w:val="20"/>
          <w:lang w:val="en-US" w:eastAsia="en-US"/>
        </w:rPr>
        <w:t>the Bolivian State</w:t>
      </w:r>
      <w:r w:rsidR="00502B43" w:rsidRPr="00012C3F">
        <w:rPr>
          <w:rFonts w:eastAsia="Calibri" w:cs="Arial"/>
          <w:sz w:val="20"/>
          <w:szCs w:val="20"/>
          <w:lang w:val="en-US" w:eastAsia="en-US"/>
        </w:rPr>
        <w:t xml:space="preserve"> </w:t>
      </w:r>
      <w:r w:rsidR="00FF3FCB" w:rsidRPr="00012C3F">
        <w:rPr>
          <w:rFonts w:eastAsia="Calibri" w:cs="Arial"/>
          <w:sz w:val="20"/>
          <w:szCs w:val="20"/>
          <w:lang w:val="en-US" w:eastAsia="en-US"/>
        </w:rPr>
        <w:t xml:space="preserve">should not </w:t>
      </w:r>
      <w:r w:rsidR="00BD30A1" w:rsidRPr="00012C3F">
        <w:rPr>
          <w:rFonts w:eastAsia="Calibri" w:cs="Arial"/>
          <w:sz w:val="20"/>
          <w:szCs w:val="20"/>
          <w:lang w:val="en-US" w:eastAsia="en-US"/>
        </w:rPr>
        <w:t xml:space="preserve">have to </w:t>
      </w:r>
      <w:r w:rsidR="00FF3FCB" w:rsidRPr="00012C3F">
        <w:rPr>
          <w:rFonts w:eastAsia="Calibri" w:cs="Arial"/>
          <w:sz w:val="20"/>
          <w:szCs w:val="20"/>
          <w:lang w:val="en-US" w:eastAsia="en-US"/>
        </w:rPr>
        <w:t xml:space="preserve">repair the </w:t>
      </w:r>
      <w:r w:rsidR="00BD30A1" w:rsidRPr="00012C3F">
        <w:rPr>
          <w:rFonts w:eastAsia="Calibri" w:cs="Arial"/>
          <w:sz w:val="20"/>
          <w:szCs w:val="20"/>
          <w:lang w:val="en-US" w:eastAsia="en-US"/>
        </w:rPr>
        <w:t>consequences</w:t>
      </w:r>
      <w:r w:rsidR="00FF3FCB" w:rsidRPr="00012C3F">
        <w:rPr>
          <w:rFonts w:eastAsia="Calibri" w:cs="Arial"/>
          <w:sz w:val="20"/>
          <w:szCs w:val="20"/>
          <w:lang w:val="en-US" w:eastAsia="en-US"/>
        </w:rPr>
        <w:t xml:space="preserve"> of the alleged acts of  torture. Consequently, the State </w:t>
      </w:r>
      <w:r w:rsidR="00FF3FCB" w:rsidRPr="00012C3F">
        <w:rPr>
          <w:rFonts w:eastAsia="Calibri" w:cs="Arial"/>
          <w:sz w:val="20"/>
          <w:szCs w:val="20"/>
          <w:lang w:val="en-US" w:eastAsia="en-US"/>
        </w:rPr>
        <w:lastRenderedPageBreak/>
        <w:t xml:space="preserve">repudiated the claim “to attribute international responsibility </w:t>
      </w:r>
      <w:r w:rsidR="00A72600" w:rsidRPr="00012C3F">
        <w:rPr>
          <w:rFonts w:eastAsia="Calibri" w:cs="Arial"/>
          <w:sz w:val="20"/>
          <w:szCs w:val="20"/>
          <w:lang w:val="en-US" w:eastAsia="en-US"/>
        </w:rPr>
        <w:t xml:space="preserve">[to the Bolivian State] </w:t>
      </w:r>
      <w:r w:rsidR="00FF3FCB" w:rsidRPr="00012C3F">
        <w:rPr>
          <w:rFonts w:eastAsia="Calibri" w:cs="Arial"/>
          <w:sz w:val="20"/>
          <w:szCs w:val="20"/>
          <w:lang w:val="en-US" w:eastAsia="en-US"/>
        </w:rPr>
        <w:t>for the facts narrated by the representative</w:t>
      </w:r>
      <w:r w:rsidR="00A72600" w:rsidRPr="00012C3F">
        <w:rPr>
          <w:rFonts w:eastAsia="Calibri" w:cs="Arial"/>
          <w:sz w:val="20"/>
          <w:szCs w:val="20"/>
          <w:lang w:val="en-US" w:eastAsia="en-US"/>
        </w:rPr>
        <w:t xml:space="preserve">, which all respond to actions allegedly suffered in Peru, which reveals that they occurred outside the jurisdiction </w:t>
      </w:r>
      <w:r w:rsidR="004C6FCC" w:rsidRPr="00012C3F">
        <w:rPr>
          <w:rFonts w:eastAsia="Calibri" w:cs="Arial"/>
          <w:sz w:val="20"/>
          <w:szCs w:val="20"/>
          <w:lang w:val="en-US" w:eastAsia="en-US"/>
        </w:rPr>
        <w:t xml:space="preserve">of the </w:t>
      </w:r>
      <w:r w:rsidRPr="00012C3F">
        <w:rPr>
          <w:rFonts w:eastAsia="Calibri" w:cs="Arial"/>
          <w:sz w:val="20"/>
          <w:szCs w:val="20"/>
          <w:lang w:val="en-US" w:eastAsia="en-US"/>
        </w:rPr>
        <w:t>Bolivian State</w:t>
      </w:r>
      <w:r w:rsidR="00502B43" w:rsidRPr="00012C3F">
        <w:rPr>
          <w:rFonts w:eastAsia="Calibri" w:cs="Arial"/>
          <w:sz w:val="20"/>
          <w:szCs w:val="20"/>
          <w:lang w:val="en-US" w:eastAsia="en-US"/>
        </w:rPr>
        <w:t xml:space="preserve"> […]</w:t>
      </w:r>
      <w:r w:rsidR="00A72600" w:rsidRPr="00012C3F">
        <w:rPr>
          <w:rFonts w:eastAsia="Calibri" w:cs="Arial"/>
          <w:sz w:val="20"/>
          <w:szCs w:val="20"/>
          <w:lang w:val="en-US" w:eastAsia="en-US"/>
        </w:rPr>
        <w:t>.</w:t>
      </w:r>
      <w:r w:rsidR="00502B43" w:rsidRPr="00012C3F">
        <w:rPr>
          <w:rFonts w:eastAsia="Calibri" w:cs="Arial"/>
          <w:sz w:val="20"/>
          <w:szCs w:val="20"/>
          <w:lang w:val="en-US" w:eastAsia="en-US"/>
        </w:rPr>
        <w:t>”</w:t>
      </w:r>
      <w:r w:rsidR="00502B43" w:rsidRPr="00012C3F">
        <w:rPr>
          <w:rFonts w:eastAsia="Calibri" w:cs="Arial"/>
          <w:sz w:val="16"/>
          <w:szCs w:val="16"/>
          <w:lang w:val="en-US" w:eastAsia="en-US"/>
        </w:rPr>
        <w:t xml:space="preserve"> </w:t>
      </w:r>
    </w:p>
    <w:p w14:paraId="47DC0CF3" w14:textId="77777777" w:rsidR="00502B43" w:rsidRPr="00012C3F" w:rsidRDefault="00502B43" w:rsidP="00502B43">
      <w:pPr>
        <w:spacing w:line="240" w:lineRule="auto"/>
        <w:rPr>
          <w:lang w:val="en-US"/>
        </w:rPr>
      </w:pPr>
    </w:p>
    <w:p w14:paraId="5FE9ADC0" w14:textId="77777777" w:rsidR="00502B43" w:rsidRPr="00012C3F" w:rsidRDefault="00502B43" w:rsidP="009867D6">
      <w:pPr>
        <w:keepNext/>
        <w:keepLines/>
        <w:tabs>
          <w:tab w:val="left" w:pos="1134"/>
        </w:tabs>
        <w:spacing w:line="240" w:lineRule="auto"/>
        <w:ind w:left="567" w:firstLine="1"/>
        <w:outlineLvl w:val="1"/>
        <w:rPr>
          <w:rFonts w:eastAsia="MS Mincho"/>
          <w:b/>
          <w:bCs/>
          <w:i/>
          <w:sz w:val="20"/>
          <w:szCs w:val="20"/>
          <w:lang w:val="en-US"/>
        </w:rPr>
      </w:pPr>
      <w:bookmarkStart w:id="160" w:name="_Toc27486875"/>
      <w:r w:rsidRPr="00012C3F">
        <w:rPr>
          <w:rFonts w:eastAsia="MS Mincho"/>
          <w:b/>
          <w:bCs/>
          <w:i/>
          <w:sz w:val="20"/>
          <w:szCs w:val="20"/>
          <w:lang w:val="en-US"/>
        </w:rPr>
        <w:t xml:space="preserve">B. </w:t>
      </w:r>
      <w:r w:rsidRPr="00012C3F">
        <w:rPr>
          <w:rFonts w:eastAsia="MS Mincho"/>
          <w:b/>
          <w:bCs/>
          <w:i/>
          <w:sz w:val="20"/>
          <w:szCs w:val="20"/>
          <w:lang w:val="en-US"/>
        </w:rPr>
        <w:tab/>
      </w:r>
      <w:r w:rsidR="006C705C" w:rsidRPr="00012C3F">
        <w:rPr>
          <w:rFonts w:eastAsia="MS Mincho"/>
          <w:b/>
          <w:bCs/>
          <w:i/>
          <w:sz w:val="20"/>
          <w:szCs w:val="20"/>
          <w:lang w:val="en-US"/>
        </w:rPr>
        <w:t>Considerations</w:t>
      </w:r>
      <w:r w:rsidR="001254DE" w:rsidRPr="00012C3F">
        <w:rPr>
          <w:rFonts w:eastAsia="MS Mincho"/>
          <w:b/>
          <w:bCs/>
          <w:i/>
          <w:sz w:val="20"/>
          <w:szCs w:val="20"/>
          <w:lang w:val="en-US"/>
        </w:rPr>
        <w:t xml:space="preserve"> of the Court</w:t>
      </w:r>
      <w:bookmarkEnd w:id="160"/>
    </w:p>
    <w:p w14:paraId="22BB9909" w14:textId="77777777" w:rsidR="009E6D8D" w:rsidRPr="00012C3F" w:rsidRDefault="009E6D8D" w:rsidP="009E6D8D">
      <w:pPr>
        <w:tabs>
          <w:tab w:val="left" w:pos="567"/>
        </w:tabs>
        <w:spacing w:line="240" w:lineRule="auto"/>
        <w:rPr>
          <w:rFonts w:eastAsia="MS Mincho"/>
          <w:sz w:val="20"/>
          <w:szCs w:val="20"/>
          <w:lang w:val="en-US"/>
        </w:rPr>
      </w:pPr>
    </w:p>
    <w:p w14:paraId="11EAB288" w14:textId="77777777" w:rsidR="00502B43" w:rsidRPr="00012C3F" w:rsidRDefault="001254DE" w:rsidP="00AF76D1">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t>The Court</w:t>
      </w:r>
      <w:r w:rsidR="00502B43" w:rsidRPr="00012C3F">
        <w:rPr>
          <w:rFonts w:eastAsia="MS Mincho"/>
          <w:sz w:val="20"/>
          <w:szCs w:val="20"/>
          <w:lang w:val="en-US"/>
        </w:rPr>
        <w:t xml:space="preserve"> rec</w:t>
      </w:r>
      <w:r w:rsidR="00AF76D1" w:rsidRPr="00012C3F">
        <w:rPr>
          <w:rFonts w:eastAsia="MS Mincho"/>
          <w:sz w:val="20"/>
          <w:szCs w:val="20"/>
          <w:lang w:val="en-US"/>
        </w:rPr>
        <w:t>alls that</w:t>
      </w:r>
      <w:r w:rsidR="00502B43" w:rsidRPr="00012C3F">
        <w:rPr>
          <w:rFonts w:eastAsia="MS Mincho"/>
          <w:sz w:val="20"/>
          <w:szCs w:val="20"/>
          <w:lang w:val="en-US"/>
        </w:rPr>
        <w:t xml:space="preserve"> </w:t>
      </w:r>
      <w:r w:rsidR="00972ACF" w:rsidRPr="00012C3F">
        <w:rPr>
          <w:rFonts w:eastAsia="MS Mincho"/>
          <w:sz w:val="20"/>
          <w:szCs w:val="20"/>
          <w:lang w:val="en-US"/>
        </w:rPr>
        <w:t>the representative</w:t>
      </w:r>
      <w:r w:rsidR="00502B43" w:rsidRPr="00012C3F">
        <w:rPr>
          <w:rFonts w:eastAsia="MS Mincho"/>
          <w:sz w:val="20"/>
          <w:szCs w:val="20"/>
          <w:lang w:val="en-US"/>
        </w:rPr>
        <w:t xml:space="preserve"> </w:t>
      </w:r>
      <w:r w:rsidR="00AF76D1" w:rsidRPr="00012C3F">
        <w:rPr>
          <w:rFonts w:eastAsia="MS Mincho"/>
          <w:sz w:val="20"/>
          <w:szCs w:val="20"/>
          <w:lang w:val="en-US"/>
        </w:rPr>
        <w:t xml:space="preserve">may allege the violation of rights other than those submitted to the Court’s consideration by </w:t>
      </w:r>
      <w:r w:rsidRPr="00012C3F">
        <w:rPr>
          <w:rFonts w:eastAsia="MS Mincho"/>
          <w:sz w:val="20"/>
          <w:szCs w:val="20"/>
          <w:lang w:val="en-US"/>
        </w:rPr>
        <w:t xml:space="preserve">the </w:t>
      </w:r>
      <w:r w:rsidR="00A84CA0" w:rsidRPr="00012C3F">
        <w:rPr>
          <w:rFonts w:eastAsia="MS Mincho"/>
          <w:sz w:val="20"/>
          <w:szCs w:val="20"/>
          <w:lang w:val="en-US"/>
        </w:rPr>
        <w:t>Commission</w:t>
      </w:r>
      <w:r w:rsidR="00502B43" w:rsidRPr="00012C3F">
        <w:rPr>
          <w:rFonts w:eastAsia="MS Mincho"/>
          <w:sz w:val="20"/>
          <w:szCs w:val="20"/>
          <w:lang w:val="en-US"/>
        </w:rPr>
        <w:t xml:space="preserve">, </w:t>
      </w:r>
      <w:r w:rsidR="00AF76D1" w:rsidRPr="00012C3F">
        <w:rPr>
          <w:rFonts w:eastAsia="MS Mincho"/>
          <w:sz w:val="20"/>
          <w:szCs w:val="20"/>
          <w:lang w:val="en-US"/>
        </w:rPr>
        <w:t xml:space="preserve">provided they are based on the factual framework established by the latter </w:t>
      </w:r>
      <w:r w:rsidR="00502B43" w:rsidRPr="00012C3F">
        <w:rPr>
          <w:rFonts w:eastAsia="MS Mincho"/>
          <w:sz w:val="20"/>
          <w:szCs w:val="20"/>
          <w:lang w:val="en-US"/>
        </w:rPr>
        <w:t>(</w:t>
      </w:r>
      <w:r w:rsidR="00502B43" w:rsidRPr="00012C3F">
        <w:rPr>
          <w:rFonts w:eastAsia="MS Mincho"/>
          <w:i/>
          <w:sz w:val="20"/>
          <w:szCs w:val="20"/>
          <w:lang w:val="en-US"/>
        </w:rPr>
        <w:t xml:space="preserve">supra </w:t>
      </w:r>
      <w:r w:rsidR="00370DD4" w:rsidRPr="00012C3F">
        <w:rPr>
          <w:rFonts w:eastAsia="MS Mincho"/>
          <w:sz w:val="20"/>
          <w:szCs w:val="20"/>
          <w:lang w:val="en-US"/>
        </w:rPr>
        <w:t>para.</w:t>
      </w:r>
      <w:r w:rsidR="00502B43" w:rsidRPr="00012C3F">
        <w:rPr>
          <w:rFonts w:eastAsia="MS Mincho"/>
          <w:sz w:val="20"/>
          <w:szCs w:val="20"/>
          <w:lang w:val="en-US"/>
        </w:rPr>
        <w:t xml:space="preserve"> </w:t>
      </w:r>
      <w:r w:rsidR="00111B66" w:rsidRPr="00012C3F">
        <w:rPr>
          <w:rFonts w:eastAsia="MS Mincho"/>
          <w:sz w:val="20"/>
          <w:szCs w:val="20"/>
          <w:lang w:val="en-US"/>
        </w:rPr>
        <w:t>48).</w:t>
      </w:r>
    </w:p>
    <w:p w14:paraId="73CFD116" w14:textId="77777777" w:rsidR="00502B43" w:rsidRPr="00012C3F" w:rsidRDefault="00502B43" w:rsidP="00AF76D1">
      <w:pPr>
        <w:tabs>
          <w:tab w:val="left" w:pos="720"/>
        </w:tabs>
        <w:spacing w:line="240" w:lineRule="auto"/>
        <w:rPr>
          <w:rFonts w:eastAsia="MS Mincho"/>
          <w:sz w:val="20"/>
          <w:szCs w:val="20"/>
          <w:lang w:val="en-US"/>
        </w:rPr>
      </w:pPr>
    </w:p>
    <w:p w14:paraId="0695365A" w14:textId="77777777" w:rsidR="009278B1" w:rsidRPr="00012C3F" w:rsidRDefault="009278B1" w:rsidP="00CB695F">
      <w:pPr>
        <w:numPr>
          <w:ilvl w:val="0"/>
          <w:numId w:val="5"/>
        </w:numPr>
        <w:tabs>
          <w:tab w:val="left" w:pos="720"/>
          <w:tab w:val="num" w:pos="12305"/>
        </w:tabs>
        <w:spacing w:line="240" w:lineRule="auto"/>
        <w:ind w:left="0" w:firstLine="0"/>
        <w:rPr>
          <w:sz w:val="20"/>
          <w:szCs w:val="20"/>
          <w:lang w:val="en-US"/>
        </w:rPr>
      </w:pPr>
      <w:r w:rsidRPr="00012C3F">
        <w:rPr>
          <w:rFonts w:eastAsia="Batang"/>
          <w:sz w:val="20"/>
          <w:szCs w:val="20"/>
          <w:lang w:val="en-US"/>
        </w:rPr>
        <w:t>His</w:t>
      </w:r>
      <w:r w:rsidR="00AF76D1" w:rsidRPr="00012C3F">
        <w:rPr>
          <w:rFonts w:eastAsia="Batang"/>
          <w:sz w:val="20"/>
          <w:szCs w:val="20"/>
          <w:lang w:val="en-US"/>
        </w:rPr>
        <w:t>torically, the framework of protection against torture and ill-treatment has been developed in response to acts and practices that were verified, above all, during interrogations in the course of an inquiry or procedure in relation to the perpetration of a crime, as well as in the context of deprivation of liberty, as an instrument of punishment or intimidation. However, the international community has gradually come to recognize that torture and other inhuman treatment can also occur in other contexts of custody, domination or control in which the victim is defenseless, such as in the sphere of health care</w:t>
      </w:r>
      <w:r w:rsidR="00BD30A1" w:rsidRPr="00012C3F">
        <w:rPr>
          <w:rFonts w:eastAsia="Batang"/>
          <w:sz w:val="20"/>
          <w:szCs w:val="20"/>
          <w:lang w:val="en-US"/>
        </w:rPr>
        <w:t xml:space="preserve"> </w:t>
      </w:r>
      <w:r w:rsidR="00AF76D1" w:rsidRPr="00012C3F">
        <w:rPr>
          <w:rFonts w:eastAsia="Batang"/>
          <w:sz w:val="20"/>
          <w:szCs w:val="20"/>
          <w:lang w:val="en-US"/>
        </w:rPr>
        <w:t>and, specifically, reproductive health</w:t>
      </w:r>
      <w:r w:rsidR="00BD30A1" w:rsidRPr="00012C3F">
        <w:rPr>
          <w:rFonts w:eastAsia="Batang"/>
          <w:sz w:val="20"/>
          <w:szCs w:val="20"/>
          <w:lang w:val="en-US"/>
        </w:rPr>
        <w:t xml:space="preserve"> care services</w:t>
      </w:r>
      <w:r w:rsidR="00AF76D1" w:rsidRPr="00012C3F">
        <w:rPr>
          <w:rFonts w:eastAsia="Batang"/>
          <w:sz w:val="20"/>
          <w:szCs w:val="20"/>
          <w:lang w:val="en-US"/>
        </w:rPr>
        <w:t>.</w:t>
      </w:r>
      <w:r w:rsidRPr="00012C3F">
        <w:rPr>
          <w:rStyle w:val="Refdenotaalpie"/>
          <w:rFonts w:eastAsia="Calibri"/>
          <w:sz w:val="20"/>
          <w:szCs w:val="20"/>
          <w:lang w:val="en-US"/>
        </w:rPr>
        <w:footnoteReference w:id="341"/>
      </w:r>
      <w:r w:rsidR="00CB695F" w:rsidRPr="00012C3F">
        <w:rPr>
          <w:rFonts w:eastAsia="Batang"/>
          <w:sz w:val="20"/>
          <w:szCs w:val="20"/>
          <w:lang w:val="en-US"/>
        </w:rPr>
        <w:t xml:space="preserve"> In this regard, the Court underscor</w:t>
      </w:r>
      <w:r w:rsidR="002063D5" w:rsidRPr="00012C3F">
        <w:rPr>
          <w:rFonts w:eastAsia="Batang"/>
          <w:sz w:val="20"/>
          <w:szCs w:val="20"/>
          <w:lang w:val="en-US"/>
        </w:rPr>
        <w:t>e</w:t>
      </w:r>
      <w:r w:rsidR="00CB695F" w:rsidRPr="00012C3F">
        <w:rPr>
          <w:rFonts w:eastAsia="Batang"/>
          <w:sz w:val="20"/>
          <w:szCs w:val="20"/>
          <w:lang w:val="en-US"/>
        </w:rPr>
        <w:t xml:space="preserve">s the significant role played by discrimination when analyzing </w:t>
      </w:r>
      <w:r w:rsidR="00E010DD" w:rsidRPr="00012C3F">
        <w:rPr>
          <w:rFonts w:eastAsia="Batang"/>
          <w:sz w:val="20"/>
          <w:szCs w:val="20"/>
          <w:lang w:val="en-US"/>
        </w:rPr>
        <w:t>whether</w:t>
      </w:r>
      <w:r w:rsidR="002063D5" w:rsidRPr="00012C3F">
        <w:rPr>
          <w:rFonts w:eastAsia="Batang"/>
          <w:sz w:val="20"/>
          <w:szCs w:val="20"/>
          <w:lang w:val="en-US"/>
        </w:rPr>
        <w:t xml:space="preserve"> violations of women’s human rights </w:t>
      </w:r>
      <w:r w:rsidR="00E010DD" w:rsidRPr="00012C3F">
        <w:rPr>
          <w:rFonts w:eastAsia="Batang"/>
          <w:sz w:val="20"/>
          <w:szCs w:val="20"/>
          <w:lang w:val="en-US"/>
        </w:rPr>
        <w:t>equate</w:t>
      </w:r>
      <w:r w:rsidR="002063D5" w:rsidRPr="00012C3F">
        <w:rPr>
          <w:rFonts w:eastAsia="Batang"/>
          <w:sz w:val="20"/>
          <w:szCs w:val="20"/>
          <w:lang w:val="en-US"/>
        </w:rPr>
        <w:t xml:space="preserve"> gender-based torture and ill-treatment</w:t>
      </w:r>
      <w:r w:rsidR="002063D5" w:rsidRPr="00012C3F">
        <w:rPr>
          <w:sz w:val="20"/>
          <w:szCs w:val="20"/>
          <w:lang w:val="en-US"/>
        </w:rPr>
        <w:t>.</w:t>
      </w:r>
      <w:r w:rsidRPr="00012C3F">
        <w:rPr>
          <w:rStyle w:val="Refdenotaalpie"/>
          <w:sz w:val="20"/>
          <w:szCs w:val="20"/>
          <w:lang w:val="en-US"/>
        </w:rPr>
        <w:footnoteReference w:id="342"/>
      </w:r>
    </w:p>
    <w:p w14:paraId="2552C9D4" w14:textId="77777777" w:rsidR="009278B1" w:rsidRPr="00012C3F" w:rsidRDefault="009278B1" w:rsidP="00AF76D1">
      <w:pPr>
        <w:tabs>
          <w:tab w:val="left" w:pos="720"/>
        </w:tabs>
        <w:spacing w:line="240" w:lineRule="auto"/>
        <w:rPr>
          <w:sz w:val="20"/>
          <w:szCs w:val="20"/>
          <w:lang w:val="en-US"/>
        </w:rPr>
      </w:pPr>
    </w:p>
    <w:p w14:paraId="74158727" w14:textId="77777777" w:rsidR="009278B1" w:rsidRPr="00012C3F" w:rsidRDefault="001254DE" w:rsidP="002063D5">
      <w:pPr>
        <w:numPr>
          <w:ilvl w:val="0"/>
          <w:numId w:val="5"/>
        </w:numPr>
        <w:tabs>
          <w:tab w:val="left" w:pos="720"/>
          <w:tab w:val="num" w:pos="12305"/>
        </w:tabs>
        <w:spacing w:line="240" w:lineRule="auto"/>
        <w:ind w:left="0" w:firstLine="0"/>
        <w:rPr>
          <w:bCs/>
          <w:sz w:val="20"/>
          <w:szCs w:val="20"/>
          <w:lang w:val="en-US"/>
        </w:rPr>
      </w:pPr>
      <w:r w:rsidRPr="00012C3F">
        <w:rPr>
          <w:sz w:val="20"/>
          <w:szCs w:val="20"/>
          <w:lang w:val="en-US"/>
        </w:rPr>
        <w:t>The Court</w:t>
      </w:r>
      <w:r w:rsidR="009278B1" w:rsidRPr="00012C3F">
        <w:rPr>
          <w:sz w:val="20"/>
          <w:szCs w:val="20"/>
          <w:lang w:val="en-US"/>
        </w:rPr>
        <w:t xml:space="preserve"> </w:t>
      </w:r>
      <w:r w:rsidR="002063D5" w:rsidRPr="00012C3F">
        <w:rPr>
          <w:rFonts w:eastAsia="Batang"/>
          <w:sz w:val="20"/>
          <w:szCs w:val="20"/>
          <w:lang w:val="en-US"/>
        </w:rPr>
        <w:t>has already emphasized the vulnerability to torture and other forms of cruel, inhuman or degrading treatment of individuals in institutional setting such as public and private hospitals, because the medical personnel in charge of patient care exercise strong control or power over those in their care.</w:t>
      </w:r>
      <w:r w:rsidR="009278B1" w:rsidRPr="00012C3F">
        <w:rPr>
          <w:rStyle w:val="Refdenotaalpie"/>
          <w:rFonts w:eastAsia="Calibri"/>
          <w:sz w:val="20"/>
          <w:szCs w:val="20"/>
          <w:lang w:val="en-US"/>
        </w:rPr>
        <w:footnoteReference w:id="343"/>
      </w:r>
      <w:r w:rsidR="009278B1" w:rsidRPr="00012C3F">
        <w:rPr>
          <w:sz w:val="20"/>
          <w:szCs w:val="20"/>
          <w:lang w:val="en-US"/>
        </w:rPr>
        <w:t xml:space="preserve"> </w:t>
      </w:r>
      <w:r w:rsidR="002063D5" w:rsidRPr="00012C3F">
        <w:rPr>
          <w:sz w:val="20"/>
          <w:szCs w:val="20"/>
          <w:lang w:val="en-US"/>
        </w:rPr>
        <w:t xml:space="preserve">When torture and other forms of cruel, inhuman or degrading treatment are inflicted on </w:t>
      </w:r>
      <w:r w:rsidR="00E010DD" w:rsidRPr="00012C3F">
        <w:rPr>
          <w:sz w:val="20"/>
          <w:szCs w:val="20"/>
          <w:lang w:val="en-US"/>
        </w:rPr>
        <w:t>those</w:t>
      </w:r>
      <w:r w:rsidR="002063D5" w:rsidRPr="00012C3F">
        <w:rPr>
          <w:sz w:val="20"/>
          <w:szCs w:val="20"/>
          <w:lang w:val="en-US"/>
        </w:rPr>
        <w:t xml:space="preserve"> individuals, it affects their mental, physical and moral integrity and is an affront to their dignity, as well as a serious constraint to their autonomy.</w:t>
      </w:r>
      <w:r w:rsidR="009278B1" w:rsidRPr="00012C3F">
        <w:rPr>
          <w:rStyle w:val="Refdenotaalpie"/>
          <w:rFonts w:eastAsia="Calibri"/>
          <w:sz w:val="20"/>
          <w:szCs w:val="20"/>
          <w:lang w:val="en-US"/>
        </w:rPr>
        <w:footnoteReference w:id="344"/>
      </w:r>
      <w:r w:rsidR="002063D5" w:rsidRPr="00012C3F">
        <w:rPr>
          <w:sz w:val="20"/>
          <w:szCs w:val="20"/>
          <w:lang w:val="en-US"/>
        </w:rPr>
        <w:t xml:space="preserve"> Similarly, the Court has stressed the important role of </w:t>
      </w:r>
      <w:r w:rsidR="00E010DD" w:rsidRPr="00012C3F">
        <w:rPr>
          <w:sz w:val="20"/>
          <w:szCs w:val="20"/>
          <w:lang w:val="en-US"/>
        </w:rPr>
        <w:t>physicians</w:t>
      </w:r>
      <w:r w:rsidR="002063D5" w:rsidRPr="00012C3F">
        <w:rPr>
          <w:sz w:val="20"/>
          <w:szCs w:val="20"/>
          <w:lang w:val="en-US"/>
        </w:rPr>
        <w:t xml:space="preserve"> and other health-care professionals in safeguarding personal integrity and preventing torture and ill-treatment.</w:t>
      </w:r>
      <w:r w:rsidR="009278B1" w:rsidRPr="00012C3F">
        <w:rPr>
          <w:rStyle w:val="Refdenotaalpie"/>
          <w:rFonts w:eastAsia="Calibri"/>
          <w:sz w:val="20"/>
          <w:szCs w:val="20"/>
          <w:lang w:val="en-US"/>
        </w:rPr>
        <w:footnoteReference w:id="345"/>
      </w:r>
    </w:p>
    <w:p w14:paraId="78EEEBC2" w14:textId="77777777" w:rsidR="009278B1" w:rsidRPr="00012C3F" w:rsidRDefault="009278B1" w:rsidP="009278B1">
      <w:pPr>
        <w:spacing w:line="240" w:lineRule="auto"/>
        <w:rPr>
          <w:sz w:val="20"/>
          <w:szCs w:val="20"/>
          <w:lang w:val="en-US"/>
        </w:rPr>
      </w:pPr>
    </w:p>
    <w:p w14:paraId="00D776C7" w14:textId="77777777" w:rsidR="009278B1" w:rsidRPr="00012C3F" w:rsidRDefault="002063D5" w:rsidP="002063D5">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Evidently, the context of health-care services may signify a greater risk of women being subjected to acts contrary to </w:t>
      </w:r>
      <w:r w:rsidR="001254DE" w:rsidRPr="00012C3F">
        <w:rPr>
          <w:sz w:val="20"/>
          <w:szCs w:val="20"/>
          <w:lang w:val="en-US"/>
        </w:rPr>
        <w:t>Article</w:t>
      </w:r>
      <w:r w:rsidR="009278B1" w:rsidRPr="00012C3F">
        <w:rPr>
          <w:sz w:val="20"/>
          <w:szCs w:val="20"/>
          <w:lang w:val="en-US"/>
        </w:rPr>
        <w:t xml:space="preserve"> </w:t>
      </w:r>
      <w:r w:rsidR="00B257AF" w:rsidRPr="00012C3F">
        <w:rPr>
          <w:sz w:val="20"/>
          <w:szCs w:val="20"/>
          <w:lang w:val="en-US"/>
        </w:rPr>
        <w:t>5(2)</w:t>
      </w:r>
      <w:r w:rsidR="001254DE" w:rsidRPr="00012C3F">
        <w:rPr>
          <w:sz w:val="20"/>
          <w:szCs w:val="20"/>
          <w:lang w:val="en-US"/>
        </w:rPr>
        <w:t xml:space="preserve"> of the American Convention</w:t>
      </w:r>
      <w:r w:rsidR="009278B1" w:rsidRPr="00012C3F">
        <w:rPr>
          <w:sz w:val="20"/>
          <w:szCs w:val="20"/>
          <w:lang w:val="en-US"/>
        </w:rPr>
        <w:t>, especial</w:t>
      </w:r>
      <w:r w:rsidRPr="00012C3F">
        <w:rPr>
          <w:sz w:val="20"/>
          <w:szCs w:val="20"/>
          <w:lang w:val="en-US"/>
        </w:rPr>
        <w:t xml:space="preserve">ly in relation to those practices or policies addressed primarily </w:t>
      </w:r>
      <w:r w:rsidR="00E010DD" w:rsidRPr="00012C3F">
        <w:rPr>
          <w:sz w:val="20"/>
          <w:szCs w:val="20"/>
          <w:lang w:val="en-US"/>
        </w:rPr>
        <w:t>against</w:t>
      </w:r>
      <w:r w:rsidRPr="00012C3F">
        <w:rPr>
          <w:sz w:val="20"/>
          <w:szCs w:val="20"/>
          <w:lang w:val="en-US"/>
        </w:rPr>
        <w:t xml:space="preserve"> women, which affect them disproportionately, or those that women are particularly vulnerable</w:t>
      </w:r>
      <w:r w:rsidR="00E010DD" w:rsidRPr="00012C3F">
        <w:rPr>
          <w:sz w:val="20"/>
          <w:szCs w:val="20"/>
          <w:lang w:val="en-US"/>
        </w:rPr>
        <w:t xml:space="preserve"> to,</w:t>
      </w:r>
      <w:r w:rsidRPr="00012C3F">
        <w:rPr>
          <w:sz w:val="20"/>
          <w:szCs w:val="20"/>
          <w:lang w:val="en-US"/>
        </w:rPr>
        <w:t xml:space="preserve"> owing to negative or prejudicial gender-based stereotypes</w:t>
      </w:r>
      <w:r w:rsidR="009278B1" w:rsidRPr="00012C3F">
        <w:rPr>
          <w:sz w:val="20"/>
          <w:szCs w:val="20"/>
          <w:lang w:val="en-US"/>
        </w:rPr>
        <w:t>, inclu</w:t>
      </w:r>
      <w:r w:rsidRPr="00012C3F">
        <w:rPr>
          <w:sz w:val="20"/>
          <w:szCs w:val="20"/>
          <w:lang w:val="en-US"/>
        </w:rPr>
        <w:t>ding the social and cultural assignation to women of responsibility for reproductive functions and for contraception</w:t>
      </w:r>
      <w:r w:rsidR="009278B1" w:rsidRPr="00012C3F">
        <w:rPr>
          <w:sz w:val="20"/>
          <w:szCs w:val="20"/>
          <w:lang w:val="en-US"/>
        </w:rPr>
        <w:t xml:space="preserve">. </w:t>
      </w:r>
      <w:r w:rsidRPr="00012C3F">
        <w:rPr>
          <w:sz w:val="20"/>
          <w:szCs w:val="20"/>
          <w:lang w:val="en-US"/>
        </w:rPr>
        <w:t>In this regard</w:t>
      </w:r>
      <w:r w:rsidR="009278B1" w:rsidRPr="00012C3F">
        <w:rPr>
          <w:sz w:val="20"/>
          <w:szCs w:val="20"/>
          <w:lang w:val="en-US"/>
        </w:rPr>
        <w:t xml:space="preserve">, </w:t>
      </w:r>
      <w:r w:rsidR="00BF4942" w:rsidRPr="00012C3F">
        <w:rPr>
          <w:sz w:val="20"/>
          <w:szCs w:val="20"/>
          <w:lang w:val="en-US"/>
        </w:rPr>
        <w:t>the Committee against Torture</w:t>
      </w:r>
      <w:r w:rsidR="009278B1" w:rsidRPr="00012C3F">
        <w:rPr>
          <w:sz w:val="20"/>
          <w:szCs w:val="20"/>
          <w:lang w:val="en-US"/>
        </w:rPr>
        <w:t xml:space="preserve"> ha</w:t>
      </w:r>
      <w:r w:rsidRPr="00012C3F">
        <w:rPr>
          <w:sz w:val="20"/>
          <w:szCs w:val="20"/>
          <w:lang w:val="en-US"/>
        </w:rPr>
        <w:t>s recognized that the situations in which women run the risk of being subjected to</w:t>
      </w:r>
      <w:r w:rsidR="009278B1" w:rsidRPr="00012C3F">
        <w:rPr>
          <w:sz w:val="20"/>
          <w:szCs w:val="20"/>
          <w:lang w:val="en-US"/>
        </w:rPr>
        <w:t xml:space="preserve"> </w:t>
      </w:r>
      <w:r w:rsidRPr="00012C3F">
        <w:rPr>
          <w:sz w:val="20"/>
          <w:szCs w:val="20"/>
          <w:lang w:val="en-US"/>
        </w:rPr>
        <w:t>torture or cruel, inhuman or degrading treatment</w:t>
      </w:r>
      <w:r w:rsidR="002A4CAB" w:rsidRPr="00012C3F">
        <w:rPr>
          <w:sz w:val="20"/>
          <w:szCs w:val="20"/>
          <w:lang w:val="en-US"/>
        </w:rPr>
        <w:t>,</w:t>
      </w:r>
      <w:r w:rsidR="009278B1" w:rsidRPr="00012C3F">
        <w:rPr>
          <w:sz w:val="20"/>
          <w:szCs w:val="20"/>
          <w:lang w:val="en-US"/>
        </w:rPr>
        <w:t xml:space="preserve"> </w:t>
      </w:r>
      <w:r w:rsidRPr="00012C3F">
        <w:rPr>
          <w:sz w:val="20"/>
          <w:szCs w:val="20"/>
          <w:lang w:val="en-US"/>
        </w:rPr>
        <w:t xml:space="preserve">include medical </w:t>
      </w:r>
      <w:r w:rsidR="00324DB0" w:rsidRPr="00012C3F">
        <w:rPr>
          <w:sz w:val="20"/>
          <w:szCs w:val="20"/>
          <w:lang w:val="en-US"/>
        </w:rPr>
        <w:t>treatment</w:t>
      </w:r>
      <w:r w:rsidRPr="00012C3F">
        <w:rPr>
          <w:sz w:val="20"/>
          <w:szCs w:val="20"/>
          <w:lang w:val="en-US"/>
        </w:rPr>
        <w:t xml:space="preserve">, particularly </w:t>
      </w:r>
      <w:r w:rsidR="00324DB0" w:rsidRPr="00012C3F">
        <w:rPr>
          <w:sz w:val="20"/>
          <w:szCs w:val="20"/>
          <w:lang w:val="en-US"/>
        </w:rPr>
        <w:t>involving reproductive</w:t>
      </w:r>
      <w:r w:rsidRPr="00012C3F">
        <w:rPr>
          <w:sz w:val="20"/>
          <w:szCs w:val="20"/>
          <w:lang w:val="en-US"/>
        </w:rPr>
        <w:t xml:space="preserve"> </w:t>
      </w:r>
      <w:r w:rsidRPr="00012C3F">
        <w:rPr>
          <w:sz w:val="20"/>
          <w:szCs w:val="20"/>
          <w:lang w:val="en-US"/>
        </w:rPr>
        <w:lastRenderedPageBreak/>
        <w:t>decisions.</w:t>
      </w:r>
      <w:r w:rsidR="009278B1" w:rsidRPr="00012C3F">
        <w:rPr>
          <w:sz w:val="20"/>
          <w:szCs w:val="20"/>
          <w:vertAlign w:val="superscript"/>
          <w:lang w:val="en-US"/>
        </w:rPr>
        <w:footnoteReference w:id="346"/>
      </w:r>
    </w:p>
    <w:p w14:paraId="64F46929" w14:textId="77777777" w:rsidR="009278B1" w:rsidRPr="00012C3F" w:rsidRDefault="009278B1" w:rsidP="00502B43">
      <w:pPr>
        <w:tabs>
          <w:tab w:val="left" w:pos="720"/>
        </w:tabs>
        <w:spacing w:line="240" w:lineRule="auto"/>
        <w:rPr>
          <w:rFonts w:eastAsia="MS Mincho"/>
          <w:sz w:val="20"/>
          <w:szCs w:val="20"/>
          <w:lang w:val="en-US"/>
        </w:rPr>
      </w:pPr>
    </w:p>
    <w:p w14:paraId="0F7344EE" w14:textId="77777777" w:rsidR="002C45F0" w:rsidRPr="00012C3F" w:rsidRDefault="00324DB0" w:rsidP="00324DB0">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The</w:t>
      </w:r>
      <w:r w:rsidR="00D12002" w:rsidRPr="00012C3F">
        <w:rPr>
          <w:sz w:val="20"/>
          <w:szCs w:val="20"/>
          <w:lang w:val="en-US"/>
        </w:rPr>
        <w:t xml:space="preserve"> </w:t>
      </w:r>
      <w:r w:rsidR="00BC0785" w:rsidRPr="00012C3F">
        <w:rPr>
          <w:sz w:val="20"/>
          <w:szCs w:val="20"/>
          <w:lang w:val="en-US"/>
        </w:rPr>
        <w:t>Committee for the Elimination of Discrimination against Women</w:t>
      </w:r>
      <w:r w:rsidR="00D12002" w:rsidRPr="00012C3F">
        <w:rPr>
          <w:sz w:val="20"/>
          <w:szCs w:val="20"/>
          <w:lang w:val="en-US"/>
        </w:rPr>
        <w:t xml:space="preserve"> ha</w:t>
      </w:r>
      <w:r w:rsidRPr="00012C3F">
        <w:rPr>
          <w:sz w:val="20"/>
          <w:szCs w:val="20"/>
          <w:lang w:val="en-US"/>
        </w:rPr>
        <w:t xml:space="preserve">s stated that </w:t>
      </w:r>
      <w:r w:rsidRPr="00012C3F">
        <w:rPr>
          <w:rFonts w:cs="Arial"/>
          <w:sz w:val="20"/>
          <w:szCs w:val="20"/>
          <w:lang w:val="en-US"/>
        </w:rPr>
        <w:t>compulsory sterilization adversely affects women's physical and mental health.</w:t>
      </w:r>
      <w:r w:rsidR="00D12002" w:rsidRPr="00012C3F">
        <w:rPr>
          <w:sz w:val="20"/>
          <w:szCs w:val="20"/>
          <w:vertAlign w:val="superscript"/>
          <w:lang w:val="en-US"/>
        </w:rPr>
        <w:footnoteReference w:id="347"/>
      </w:r>
      <w:r w:rsidRPr="00012C3F">
        <w:rPr>
          <w:sz w:val="20"/>
          <w:szCs w:val="20"/>
          <w:lang w:val="en-US"/>
        </w:rPr>
        <w:t xml:space="preserve"> In the case of an </w:t>
      </w:r>
      <w:r w:rsidR="00117945" w:rsidRPr="00012C3F">
        <w:rPr>
          <w:sz w:val="20"/>
          <w:szCs w:val="20"/>
          <w:lang w:val="en-US"/>
        </w:rPr>
        <w:t>involuntary sterilization</w:t>
      </w:r>
      <w:r w:rsidR="00D12002" w:rsidRPr="00012C3F">
        <w:rPr>
          <w:sz w:val="20"/>
          <w:szCs w:val="20"/>
          <w:lang w:val="en-US"/>
        </w:rPr>
        <w:t xml:space="preserve">, </w:t>
      </w:r>
      <w:r w:rsidRPr="00012C3F">
        <w:rPr>
          <w:sz w:val="20"/>
          <w:szCs w:val="20"/>
          <w:lang w:val="en-US"/>
        </w:rPr>
        <w:t xml:space="preserve">the European Court has also recognized that this </w:t>
      </w:r>
      <w:r w:rsidR="002C45F0" w:rsidRPr="00012C3F">
        <w:rPr>
          <w:sz w:val="20"/>
          <w:szCs w:val="20"/>
          <w:lang w:val="en-US"/>
        </w:rPr>
        <w:t>was liable to</w:t>
      </w:r>
      <w:r w:rsidRPr="00012C3F">
        <w:rPr>
          <w:sz w:val="20"/>
          <w:szCs w:val="20"/>
          <w:lang w:val="en-US"/>
        </w:rPr>
        <w:t xml:space="preserve"> arouse feelings of fear, anguish and inferiority and entail lasting suffering</w:t>
      </w:r>
      <w:r w:rsidR="002C45F0" w:rsidRPr="00012C3F">
        <w:rPr>
          <w:sz w:val="20"/>
          <w:szCs w:val="20"/>
          <w:lang w:val="en-US"/>
        </w:rPr>
        <w:t>, and that the victim may feel degraded and humiliated on finding this out, as well as suffering depression and feelings of isolation and humiliation.</w:t>
      </w:r>
      <w:r w:rsidR="00D12002" w:rsidRPr="00012C3F">
        <w:rPr>
          <w:sz w:val="20"/>
          <w:szCs w:val="20"/>
          <w:vertAlign w:val="superscript"/>
          <w:lang w:val="en-US"/>
        </w:rPr>
        <w:footnoteReference w:id="348"/>
      </w:r>
      <w:r w:rsidR="00D12002" w:rsidRPr="00012C3F">
        <w:rPr>
          <w:sz w:val="20"/>
          <w:szCs w:val="20"/>
          <w:lang w:val="en-US"/>
        </w:rPr>
        <w:t xml:space="preserve"> </w:t>
      </w:r>
      <w:r w:rsidR="001254DE" w:rsidRPr="00012C3F">
        <w:rPr>
          <w:sz w:val="20"/>
          <w:szCs w:val="20"/>
          <w:lang w:val="en-US"/>
        </w:rPr>
        <w:t>The Inter-American Court</w:t>
      </w:r>
      <w:r w:rsidR="00D12002" w:rsidRPr="00012C3F">
        <w:rPr>
          <w:sz w:val="20"/>
          <w:szCs w:val="20"/>
          <w:lang w:val="en-US"/>
        </w:rPr>
        <w:t xml:space="preserve"> consider</w:t>
      </w:r>
      <w:r w:rsidR="002C45F0" w:rsidRPr="00012C3F">
        <w:rPr>
          <w:sz w:val="20"/>
          <w:szCs w:val="20"/>
          <w:lang w:val="en-US"/>
        </w:rPr>
        <w:t xml:space="preserve">s that non-consensual or involuntary sterilization may cause severe mental and physical suffering </w:t>
      </w:r>
      <w:r w:rsidR="00CF77B3" w:rsidRPr="00012C3F">
        <w:rPr>
          <w:sz w:val="20"/>
          <w:szCs w:val="20"/>
          <w:lang w:val="en-US"/>
        </w:rPr>
        <w:t>by permanently ending a woman’s reproductive capacity, causing infertility</w:t>
      </w:r>
      <w:r w:rsidR="00E010DD" w:rsidRPr="00012C3F">
        <w:rPr>
          <w:sz w:val="20"/>
          <w:szCs w:val="20"/>
          <w:lang w:val="en-US"/>
        </w:rPr>
        <w:t>,</w:t>
      </w:r>
      <w:r w:rsidR="00CF77B3" w:rsidRPr="00012C3F">
        <w:rPr>
          <w:sz w:val="20"/>
          <w:szCs w:val="20"/>
          <w:lang w:val="en-US"/>
        </w:rPr>
        <w:t xml:space="preserve"> and imposing serious and lasting physical changes without her consent.</w:t>
      </w:r>
    </w:p>
    <w:p w14:paraId="54282724" w14:textId="77777777" w:rsidR="00D12002" w:rsidRPr="00012C3F" w:rsidRDefault="00D12002" w:rsidP="00324DB0">
      <w:pPr>
        <w:tabs>
          <w:tab w:val="left" w:pos="720"/>
        </w:tabs>
        <w:spacing w:line="240" w:lineRule="auto"/>
        <w:rPr>
          <w:rFonts w:eastAsia="MS Mincho"/>
          <w:sz w:val="20"/>
          <w:szCs w:val="20"/>
          <w:lang w:val="en-US"/>
        </w:rPr>
      </w:pPr>
    </w:p>
    <w:p w14:paraId="23727143" w14:textId="77777777" w:rsidR="00502B43" w:rsidRPr="00012C3F" w:rsidRDefault="00CF77B3" w:rsidP="00CF77B3">
      <w:pPr>
        <w:numPr>
          <w:ilvl w:val="0"/>
          <w:numId w:val="5"/>
        </w:numPr>
        <w:tabs>
          <w:tab w:val="left" w:pos="720"/>
          <w:tab w:val="num" w:pos="12305"/>
        </w:tabs>
        <w:spacing w:line="240" w:lineRule="auto"/>
        <w:ind w:left="0" w:firstLine="0"/>
        <w:rPr>
          <w:rFonts w:eastAsia="Batang"/>
          <w:b/>
          <w:sz w:val="20"/>
          <w:szCs w:val="20"/>
          <w:lang w:val="en-US"/>
        </w:rPr>
      </w:pPr>
      <w:r w:rsidRPr="00012C3F">
        <w:rPr>
          <w:rFonts w:eastAsia="Batang"/>
          <w:sz w:val="20"/>
          <w:szCs w:val="20"/>
          <w:lang w:val="en-US"/>
        </w:rPr>
        <w:t>This Court has indicated that the violation of a person’s right to physical and mental integrity has diverse connotations of degree, which range from torture to other types of abuse or cruel, inhuman or degrading treatment, the physical and mental effects of which vary in intensity based on endogenous and exogenous factors</w:t>
      </w:r>
      <w:r w:rsidR="00502B43" w:rsidRPr="00012C3F">
        <w:rPr>
          <w:rFonts w:eastAsia="Batang"/>
          <w:sz w:val="20"/>
          <w:szCs w:val="20"/>
          <w:lang w:val="en-US"/>
        </w:rPr>
        <w:t xml:space="preserve"> (</w:t>
      </w:r>
      <w:r w:rsidRPr="00012C3F">
        <w:rPr>
          <w:rFonts w:eastAsia="Batang"/>
          <w:sz w:val="20"/>
          <w:szCs w:val="20"/>
          <w:lang w:val="en-US"/>
        </w:rPr>
        <w:t xml:space="preserve">including </w:t>
      </w:r>
      <w:r w:rsidR="00502B43" w:rsidRPr="00012C3F">
        <w:rPr>
          <w:rFonts w:eastAsia="Batang"/>
          <w:sz w:val="20"/>
          <w:szCs w:val="20"/>
          <w:lang w:val="en-US"/>
        </w:rPr>
        <w:t>dura</w:t>
      </w:r>
      <w:r w:rsidRPr="00012C3F">
        <w:rPr>
          <w:rFonts w:eastAsia="Batang"/>
          <w:sz w:val="20"/>
          <w:szCs w:val="20"/>
          <w:lang w:val="en-US"/>
        </w:rPr>
        <w:t>tion of the treatment, age, sex, health situation, context, and vulnerability), which must be analyzed in each specific situation.</w:t>
      </w:r>
      <w:r w:rsidRPr="00012C3F">
        <w:rPr>
          <w:rFonts w:eastAsia="Batang"/>
          <w:sz w:val="20"/>
          <w:szCs w:val="20"/>
          <w:vertAlign w:val="superscript"/>
          <w:lang w:val="en-US" w:bidi="en-US"/>
        </w:rPr>
        <w:footnoteReference w:id="349"/>
      </w:r>
      <w:r w:rsidRPr="00012C3F">
        <w:rPr>
          <w:rFonts w:eastAsia="Batang"/>
          <w:sz w:val="20"/>
          <w:szCs w:val="20"/>
          <w:lang w:val="en-US"/>
        </w:rPr>
        <w:t xml:space="preserve"> In other words, the personal characteristics of a supposed victim of torture or cruel, inhuman or degrading treatment must be taken into account when determining whether his or her personal integrity has been violated, because these characteristics may change the individual perception of the reality and, consequently, increase the suffering and feelings of humiliation when subjected to certain treatment</w:t>
      </w:r>
      <w:r w:rsidRPr="00012C3F">
        <w:rPr>
          <w:rFonts w:eastAsia="Batang"/>
          <w:bCs/>
          <w:sz w:val="20"/>
          <w:szCs w:val="20"/>
          <w:lang w:val="en-US"/>
        </w:rPr>
        <w:t>.</w:t>
      </w:r>
      <w:r w:rsidR="00502B43" w:rsidRPr="00012C3F">
        <w:rPr>
          <w:rFonts w:eastAsia="Batang"/>
          <w:sz w:val="20"/>
          <w:szCs w:val="20"/>
          <w:vertAlign w:val="superscript"/>
          <w:lang w:val="en-US"/>
        </w:rPr>
        <w:footnoteReference w:id="350"/>
      </w:r>
      <w:r w:rsidR="0018429A" w:rsidRPr="00012C3F">
        <w:rPr>
          <w:rFonts w:eastAsia="Batang"/>
          <w:sz w:val="20"/>
          <w:szCs w:val="20"/>
          <w:lang w:val="en-US"/>
        </w:rPr>
        <w:t xml:space="preserve"> </w:t>
      </w:r>
      <w:r w:rsidRPr="00012C3F">
        <w:rPr>
          <w:sz w:val="20"/>
          <w:szCs w:val="20"/>
          <w:lang w:val="en-US"/>
        </w:rPr>
        <w:t xml:space="preserve">In this regard, the Court stresses that every individual experiences suffering in a different way and, thus, it will depend on the multiple factors that make each person unique. Thus, it would be unreasonable to </w:t>
      </w:r>
      <w:r w:rsidR="00B33B07" w:rsidRPr="00012C3F">
        <w:rPr>
          <w:sz w:val="20"/>
          <w:szCs w:val="20"/>
          <w:lang w:val="en-US"/>
        </w:rPr>
        <w:t>excise</w:t>
      </w:r>
      <w:r w:rsidRPr="00012C3F">
        <w:rPr>
          <w:sz w:val="20"/>
          <w:szCs w:val="20"/>
          <w:lang w:val="en-US"/>
        </w:rPr>
        <w:t xml:space="preserve"> past experiences from the way an individual feels suffering</w:t>
      </w:r>
      <w:r w:rsidR="00B33B07" w:rsidRPr="00012C3F">
        <w:rPr>
          <w:sz w:val="20"/>
          <w:szCs w:val="20"/>
          <w:lang w:val="en-US"/>
        </w:rPr>
        <w:t>. On this basis, the Court will take into account the endogenous and exogenous factors when evaluating the intensity of the suffering.</w:t>
      </w:r>
      <w:r w:rsidR="0018429A" w:rsidRPr="00012C3F">
        <w:rPr>
          <w:rFonts w:eastAsia="Calibri"/>
          <w:sz w:val="20"/>
          <w:vertAlign w:val="superscript"/>
          <w:lang w:val="en-US"/>
        </w:rPr>
        <w:footnoteReference w:id="351"/>
      </w:r>
    </w:p>
    <w:p w14:paraId="786FE15E" w14:textId="77777777" w:rsidR="004E179E" w:rsidRPr="00012C3F" w:rsidRDefault="004E179E" w:rsidP="00324DB0">
      <w:pPr>
        <w:widowControl/>
        <w:tabs>
          <w:tab w:val="left" w:pos="720"/>
        </w:tabs>
        <w:autoSpaceDE w:val="0"/>
        <w:autoSpaceDN w:val="0"/>
        <w:spacing w:line="240" w:lineRule="auto"/>
        <w:textAlignment w:val="auto"/>
        <w:rPr>
          <w:rFonts w:eastAsia="Batang"/>
          <w:sz w:val="20"/>
          <w:szCs w:val="20"/>
          <w:lang w:val="en-US"/>
        </w:rPr>
      </w:pPr>
    </w:p>
    <w:p w14:paraId="7725BEAB" w14:textId="77777777" w:rsidR="00704856" w:rsidRPr="00012C3F" w:rsidRDefault="00B33B07" w:rsidP="00D02595">
      <w:pPr>
        <w:numPr>
          <w:ilvl w:val="0"/>
          <w:numId w:val="5"/>
        </w:numPr>
        <w:tabs>
          <w:tab w:val="left" w:pos="720"/>
          <w:tab w:val="num" w:pos="12305"/>
        </w:tabs>
        <w:spacing w:line="240" w:lineRule="auto"/>
        <w:ind w:left="0" w:firstLine="0"/>
        <w:rPr>
          <w:rFonts w:eastAsia="Batang"/>
          <w:sz w:val="20"/>
          <w:szCs w:val="20"/>
          <w:lang w:val="en-US"/>
        </w:rPr>
      </w:pPr>
      <w:r w:rsidRPr="00012C3F">
        <w:rPr>
          <w:sz w:val="20"/>
          <w:szCs w:val="20"/>
          <w:lang w:val="en-US"/>
        </w:rPr>
        <w:t xml:space="preserve">On analyzing the intensity of the suffering experienced by I.V., </w:t>
      </w:r>
      <w:r w:rsidR="001254DE" w:rsidRPr="00012C3F">
        <w:rPr>
          <w:sz w:val="20"/>
          <w:szCs w:val="20"/>
          <w:lang w:val="en-US"/>
        </w:rPr>
        <w:t>the Court</w:t>
      </w:r>
      <w:r w:rsidR="00CF63E8" w:rsidRPr="00012C3F">
        <w:rPr>
          <w:sz w:val="20"/>
          <w:szCs w:val="20"/>
          <w:lang w:val="en-US"/>
        </w:rPr>
        <w:t xml:space="preserve"> </w:t>
      </w:r>
      <w:r w:rsidR="008834E4" w:rsidRPr="00012C3F">
        <w:rPr>
          <w:sz w:val="20"/>
          <w:szCs w:val="20"/>
          <w:lang w:val="en-US"/>
        </w:rPr>
        <w:t>conclu</w:t>
      </w:r>
      <w:r w:rsidRPr="00012C3F">
        <w:rPr>
          <w:sz w:val="20"/>
          <w:szCs w:val="20"/>
          <w:lang w:val="en-US"/>
        </w:rPr>
        <w:t>des that</w:t>
      </w:r>
      <w:r w:rsidR="00704856" w:rsidRPr="00012C3F">
        <w:rPr>
          <w:rFonts w:eastAsia="Batang"/>
          <w:sz w:val="20"/>
          <w:szCs w:val="20"/>
          <w:lang w:val="en-US"/>
        </w:rPr>
        <w:t xml:space="preserve">: </w:t>
      </w:r>
      <w:r w:rsidRPr="00012C3F">
        <w:rPr>
          <w:rFonts w:eastAsia="Batang"/>
          <w:sz w:val="20"/>
          <w:szCs w:val="20"/>
          <w:lang w:val="en-US"/>
        </w:rPr>
        <w:t>(</w:t>
      </w:r>
      <w:r w:rsidR="00704856" w:rsidRPr="00012C3F">
        <w:rPr>
          <w:rFonts w:eastAsia="Batang"/>
          <w:sz w:val="20"/>
          <w:szCs w:val="20"/>
          <w:lang w:val="en-US"/>
        </w:rPr>
        <w:t xml:space="preserve">i) </w:t>
      </w:r>
      <w:r w:rsidR="000E1C11" w:rsidRPr="00012C3F">
        <w:rPr>
          <w:rFonts w:eastAsia="Batang"/>
          <w:sz w:val="20"/>
          <w:szCs w:val="20"/>
          <w:lang w:val="en-US"/>
        </w:rPr>
        <w:t>I.V.</w:t>
      </w:r>
      <w:r w:rsidR="00704856" w:rsidRPr="00012C3F">
        <w:rPr>
          <w:rFonts w:eastAsia="Batang"/>
          <w:sz w:val="20"/>
          <w:szCs w:val="20"/>
          <w:lang w:val="en-US"/>
        </w:rPr>
        <w:t xml:space="preserve"> </w:t>
      </w:r>
      <w:r w:rsidRPr="00012C3F">
        <w:rPr>
          <w:rFonts w:eastAsia="Batang"/>
          <w:sz w:val="20"/>
          <w:szCs w:val="20"/>
          <w:lang w:val="en-US"/>
        </w:rPr>
        <w:t>lost her reproductive capacity permanently, and the functioning of her reproductive organs was modified</w:t>
      </w:r>
      <w:r w:rsidR="00704856" w:rsidRPr="00012C3F">
        <w:rPr>
          <w:rFonts w:eastAsia="Batang"/>
          <w:sz w:val="20"/>
          <w:szCs w:val="20"/>
          <w:lang w:val="en-US"/>
        </w:rPr>
        <w:t xml:space="preserve">; </w:t>
      </w:r>
      <w:r w:rsidRPr="00012C3F">
        <w:rPr>
          <w:rFonts w:eastAsia="Batang"/>
          <w:sz w:val="20"/>
          <w:szCs w:val="20"/>
          <w:lang w:val="en-US"/>
        </w:rPr>
        <w:t>(</w:t>
      </w:r>
      <w:r w:rsidR="00704856" w:rsidRPr="00012C3F">
        <w:rPr>
          <w:rFonts w:eastAsia="Batang"/>
          <w:sz w:val="20"/>
          <w:szCs w:val="20"/>
          <w:lang w:val="en-US"/>
        </w:rPr>
        <w:t xml:space="preserve">ii) </w:t>
      </w:r>
      <w:r w:rsidR="000E1C11" w:rsidRPr="00012C3F">
        <w:rPr>
          <w:rFonts w:eastAsia="Batang"/>
          <w:sz w:val="20"/>
          <w:szCs w:val="20"/>
          <w:lang w:val="en-US"/>
        </w:rPr>
        <w:t>I.V.</w:t>
      </w:r>
      <w:r w:rsidR="00704856" w:rsidRPr="00012C3F">
        <w:rPr>
          <w:rFonts w:eastAsia="Batang"/>
          <w:sz w:val="20"/>
          <w:szCs w:val="20"/>
          <w:lang w:val="en-US"/>
        </w:rPr>
        <w:t xml:space="preserve"> </w:t>
      </w:r>
      <w:r w:rsidRPr="00012C3F">
        <w:rPr>
          <w:rFonts w:eastAsia="Batang"/>
          <w:sz w:val="20"/>
          <w:szCs w:val="20"/>
          <w:lang w:val="en-US"/>
        </w:rPr>
        <w:t>also experienced physical consequences that involved a subsequent surgical procedure because she was diagnosed with placental remains</w:t>
      </w:r>
      <w:r w:rsidR="00704856" w:rsidRPr="00012C3F">
        <w:rPr>
          <w:rFonts w:eastAsia="Batang"/>
          <w:sz w:val="20"/>
          <w:szCs w:val="20"/>
          <w:lang w:val="en-US"/>
        </w:rPr>
        <w:t xml:space="preserve"> </w:t>
      </w:r>
      <w:r w:rsidRPr="00012C3F">
        <w:rPr>
          <w:sz w:val="20"/>
          <w:szCs w:val="20"/>
          <w:lang w:val="en-US"/>
        </w:rPr>
        <w:t>in the endometrial cavity</w:t>
      </w:r>
      <w:r w:rsidR="00704856" w:rsidRPr="00012C3F">
        <w:rPr>
          <w:rStyle w:val="Refdenotaalpie"/>
          <w:rFonts w:eastAsia="Batang"/>
          <w:sz w:val="20"/>
          <w:szCs w:val="20"/>
          <w:lang w:val="en-US"/>
        </w:rPr>
        <w:footnoteReference w:id="352"/>
      </w:r>
      <w:r w:rsidR="00704856" w:rsidRPr="00012C3F">
        <w:rPr>
          <w:rFonts w:eastAsia="Batang"/>
          <w:sz w:val="20"/>
          <w:szCs w:val="20"/>
          <w:lang w:val="en-US"/>
        </w:rPr>
        <w:t xml:space="preserve"> </w:t>
      </w:r>
      <w:r w:rsidR="00704856" w:rsidRPr="00012C3F">
        <w:rPr>
          <w:sz w:val="20"/>
          <w:szCs w:val="20"/>
          <w:lang w:val="en-US"/>
        </w:rPr>
        <w:t>(</w:t>
      </w:r>
      <w:r w:rsidR="00704856" w:rsidRPr="00012C3F">
        <w:rPr>
          <w:i/>
          <w:sz w:val="20"/>
          <w:szCs w:val="20"/>
          <w:lang w:val="en-US"/>
        </w:rPr>
        <w:t>supra</w:t>
      </w:r>
      <w:r w:rsidR="00704856" w:rsidRPr="00012C3F">
        <w:rPr>
          <w:sz w:val="20"/>
          <w:szCs w:val="20"/>
          <w:lang w:val="en-US"/>
        </w:rPr>
        <w:t xml:space="preserve"> </w:t>
      </w:r>
      <w:r w:rsidR="00370DD4" w:rsidRPr="00012C3F">
        <w:rPr>
          <w:sz w:val="20"/>
          <w:szCs w:val="20"/>
          <w:lang w:val="en-US"/>
        </w:rPr>
        <w:lastRenderedPageBreak/>
        <w:t>para.</w:t>
      </w:r>
      <w:r w:rsidR="00704856" w:rsidRPr="00012C3F">
        <w:rPr>
          <w:sz w:val="20"/>
          <w:szCs w:val="20"/>
          <w:lang w:val="en-US"/>
        </w:rPr>
        <w:t xml:space="preserve"> </w:t>
      </w:r>
      <w:r w:rsidR="00111B66" w:rsidRPr="00012C3F">
        <w:rPr>
          <w:sz w:val="20"/>
          <w:szCs w:val="20"/>
          <w:lang w:val="en-US"/>
        </w:rPr>
        <w:t>114</w:t>
      </w:r>
      <w:r w:rsidR="00704856" w:rsidRPr="00012C3F">
        <w:rPr>
          <w:sz w:val="20"/>
          <w:szCs w:val="20"/>
          <w:lang w:val="en-US"/>
        </w:rPr>
        <w:t xml:space="preserve">); </w:t>
      </w:r>
      <w:r w:rsidR="00D02595" w:rsidRPr="00012C3F">
        <w:rPr>
          <w:sz w:val="20"/>
          <w:szCs w:val="20"/>
          <w:lang w:val="en-US"/>
        </w:rPr>
        <w:t>(</w:t>
      </w:r>
      <w:r w:rsidR="00704856" w:rsidRPr="00012C3F">
        <w:rPr>
          <w:sz w:val="20"/>
          <w:szCs w:val="20"/>
          <w:lang w:val="en-US"/>
        </w:rPr>
        <w:t xml:space="preserve">iii) </w:t>
      </w:r>
      <w:r w:rsidR="000E1C11" w:rsidRPr="00012C3F">
        <w:rPr>
          <w:sz w:val="20"/>
          <w:szCs w:val="20"/>
          <w:lang w:val="en-US"/>
        </w:rPr>
        <w:t>I.V.</w:t>
      </w:r>
      <w:r w:rsidR="00D02595" w:rsidRPr="00012C3F">
        <w:rPr>
          <w:sz w:val="20"/>
          <w:szCs w:val="20"/>
          <w:lang w:val="en-US"/>
        </w:rPr>
        <w:t xml:space="preserve"> suffered severe psychological effects that required psychiatric treatment </w:t>
      </w:r>
      <w:r w:rsidR="00704856" w:rsidRPr="00012C3F">
        <w:rPr>
          <w:sz w:val="20"/>
          <w:szCs w:val="20"/>
          <w:lang w:val="en-US"/>
        </w:rPr>
        <w:t>(</w:t>
      </w:r>
      <w:r w:rsidR="00704856" w:rsidRPr="00012C3F">
        <w:rPr>
          <w:i/>
          <w:sz w:val="20"/>
          <w:szCs w:val="20"/>
          <w:lang w:val="en-US"/>
        </w:rPr>
        <w:t>supra</w:t>
      </w:r>
      <w:r w:rsidR="00704856" w:rsidRPr="00012C3F">
        <w:rPr>
          <w:sz w:val="20"/>
          <w:szCs w:val="20"/>
          <w:lang w:val="en-US"/>
        </w:rPr>
        <w:t xml:space="preserve"> </w:t>
      </w:r>
      <w:r w:rsidR="00370DD4" w:rsidRPr="00012C3F">
        <w:rPr>
          <w:sz w:val="20"/>
          <w:szCs w:val="20"/>
          <w:lang w:val="en-US"/>
        </w:rPr>
        <w:t>para.</w:t>
      </w:r>
      <w:r w:rsidR="00704856" w:rsidRPr="00012C3F">
        <w:rPr>
          <w:sz w:val="20"/>
          <w:szCs w:val="20"/>
          <w:lang w:val="en-US"/>
        </w:rPr>
        <w:t xml:space="preserve"> </w:t>
      </w:r>
      <w:r w:rsidR="00111B66" w:rsidRPr="00012C3F">
        <w:rPr>
          <w:sz w:val="20"/>
          <w:szCs w:val="20"/>
          <w:lang w:val="en-US"/>
        </w:rPr>
        <w:t>115</w:t>
      </w:r>
      <w:r w:rsidR="00704856" w:rsidRPr="00012C3F">
        <w:rPr>
          <w:sz w:val="20"/>
          <w:szCs w:val="20"/>
          <w:lang w:val="en-US"/>
        </w:rPr>
        <w:t>)</w:t>
      </w:r>
      <w:r w:rsidR="00704856" w:rsidRPr="00012C3F">
        <w:rPr>
          <w:rFonts w:eastAsia="Batang"/>
          <w:sz w:val="20"/>
          <w:szCs w:val="20"/>
          <w:lang w:val="en-US"/>
        </w:rPr>
        <w:t>, inclu</w:t>
      </w:r>
      <w:r w:rsidR="00D02595" w:rsidRPr="00012C3F">
        <w:rPr>
          <w:rFonts w:eastAsia="Batang"/>
          <w:sz w:val="20"/>
          <w:szCs w:val="20"/>
          <w:lang w:val="en-US"/>
        </w:rPr>
        <w:t>ding feelings of anguish, frustration and guilt, as well as of devaluation as a woman that have aroused feelings of shame;</w:t>
      </w:r>
      <w:r w:rsidR="00704856" w:rsidRPr="00012C3F">
        <w:rPr>
          <w:rStyle w:val="Refdenotaalpie"/>
          <w:rFonts w:eastAsia="Batang"/>
          <w:sz w:val="20"/>
          <w:szCs w:val="20"/>
          <w:lang w:val="en-US"/>
        </w:rPr>
        <w:footnoteReference w:id="353"/>
      </w:r>
      <w:r w:rsidR="00704856" w:rsidRPr="00012C3F">
        <w:rPr>
          <w:rFonts w:eastAsia="Batang"/>
          <w:sz w:val="20"/>
          <w:szCs w:val="20"/>
          <w:lang w:val="en-US"/>
        </w:rPr>
        <w:t xml:space="preserve"> </w:t>
      </w:r>
      <w:r w:rsidR="00D02595" w:rsidRPr="00012C3F">
        <w:rPr>
          <w:rFonts w:eastAsia="Batang"/>
          <w:sz w:val="20"/>
          <w:szCs w:val="20"/>
          <w:lang w:val="en-US"/>
        </w:rPr>
        <w:t>(</w:t>
      </w:r>
      <w:r w:rsidR="00704856" w:rsidRPr="00012C3F">
        <w:rPr>
          <w:rFonts w:eastAsia="Batang"/>
          <w:sz w:val="20"/>
          <w:szCs w:val="20"/>
          <w:lang w:val="en-US"/>
        </w:rPr>
        <w:t xml:space="preserve">iv) </w:t>
      </w:r>
      <w:r w:rsidR="00271E24" w:rsidRPr="00012C3F">
        <w:rPr>
          <w:rFonts w:eastAsia="Batang"/>
          <w:sz w:val="20"/>
          <w:szCs w:val="20"/>
          <w:lang w:val="en-US"/>
        </w:rPr>
        <w:t>non-consensual sterilization</w:t>
      </w:r>
      <w:r w:rsidR="00413F6D" w:rsidRPr="00012C3F">
        <w:rPr>
          <w:rFonts w:eastAsia="Batang"/>
          <w:sz w:val="20"/>
          <w:szCs w:val="20"/>
          <w:lang w:val="en-US"/>
        </w:rPr>
        <w:t xml:space="preserve"> </w:t>
      </w:r>
      <w:r w:rsidR="00D02595" w:rsidRPr="00012C3F">
        <w:rPr>
          <w:rFonts w:eastAsia="Batang"/>
          <w:sz w:val="20"/>
          <w:szCs w:val="20"/>
          <w:lang w:val="en-US"/>
        </w:rPr>
        <w:t>prejudiced her private life, and led to the temporary separation from her husband, a situation which caused emotional suffering;</w:t>
      </w:r>
      <w:r w:rsidR="00D02595" w:rsidRPr="00012C3F">
        <w:rPr>
          <w:rStyle w:val="Refdenotaalpie"/>
          <w:rFonts w:eastAsia="Batang"/>
          <w:sz w:val="20"/>
          <w:szCs w:val="20"/>
          <w:lang w:val="en-US"/>
        </w:rPr>
        <w:footnoteReference w:id="354"/>
      </w:r>
      <w:r w:rsidR="00D02595" w:rsidRPr="00012C3F">
        <w:rPr>
          <w:rFonts w:eastAsia="Batang"/>
          <w:sz w:val="20"/>
          <w:szCs w:val="20"/>
          <w:lang w:val="en-US"/>
        </w:rPr>
        <w:t xml:space="preserve"> (v) non-consensual sterilization had different kinds of effects on her family and, in particular, on her daughters,</w:t>
      </w:r>
      <w:r w:rsidR="00704856" w:rsidRPr="00012C3F">
        <w:rPr>
          <w:rStyle w:val="Refdenotaalpie"/>
          <w:rFonts w:eastAsia="Batang"/>
          <w:sz w:val="20"/>
          <w:szCs w:val="20"/>
          <w:lang w:val="en-US"/>
        </w:rPr>
        <w:footnoteReference w:id="355"/>
      </w:r>
      <w:r w:rsidR="00704856" w:rsidRPr="00012C3F">
        <w:rPr>
          <w:rFonts w:eastAsia="Batang"/>
          <w:sz w:val="20"/>
          <w:szCs w:val="20"/>
          <w:lang w:val="en-US"/>
        </w:rPr>
        <w:t xml:space="preserve"> </w:t>
      </w:r>
      <w:r w:rsidR="00D02595" w:rsidRPr="00012C3F">
        <w:rPr>
          <w:rFonts w:eastAsia="Batang"/>
          <w:sz w:val="20"/>
          <w:szCs w:val="20"/>
          <w:lang w:val="en-US"/>
        </w:rPr>
        <w:t>which led to feelings of guilt</w:t>
      </w:r>
      <w:r w:rsidR="00704856" w:rsidRPr="00012C3F">
        <w:rPr>
          <w:rStyle w:val="Refdenotaalpie"/>
          <w:rFonts w:eastAsia="Batang"/>
          <w:sz w:val="20"/>
          <w:szCs w:val="20"/>
          <w:lang w:val="en-US"/>
        </w:rPr>
        <w:footnoteReference w:id="356"/>
      </w:r>
      <w:r w:rsidR="00704856" w:rsidRPr="00012C3F">
        <w:rPr>
          <w:rFonts w:eastAsia="Batang"/>
          <w:sz w:val="20"/>
          <w:szCs w:val="20"/>
          <w:lang w:val="en-US"/>
        </w:rPr>
        <w:t xml:space="preserve"> </w:t>
      </w:r>
      <w:r w:rsidR="00704856" w:rsidRPr="00012C3F">
        <w:rPr>
          <w:sz w:val="20"/>
          <w:szCs w:val="20"/>
          <w:lang w:val="en-US"/>
        </w:rPr>
        <w:t>(</w:t>
      </w:r>
      <w:r w:rsidR="00704856" w:rsidRPr="00012C3F">
        <w:rPr>
          <w:i/>
          <w:sz w:val="20"/>
          <w:szCs w:val="20"/>
          <w:lang w:val="en-US"/>
        </w:rPr>
        <w:t>supra</w:t>
      </w:r>
      <w:r w:rsidR="00704856" w:rsidRPr="00012C3F">
        <w:rPr>
          <w:sz w:val="20"/>
          <w:szCs w:val="20"/>
          <w:lang w:val="en-US"/>
        </w:rPr>
        <w:t xml:space="preserve"> </w:t>
      </w:r>
      <w:r w:rsidR="00370DD4" w:rsidRPr="00012C3F">
        <w:rPr>
          <w:sz w:val="20"/>
          <w:szCs w:val="20"/>
          <w:lang w:val="en-US"/>
        </w:rPr>
        <w:t>para.</w:t>
      </w:r>
      <w:r w:rsidR="00704856" w:rsidRPr="00012C3F">
        <w:rPr>
          <w:sz w:val="20"/>
          <w:szCs w:val="20"/>
          <w:lang w:val="en-US"/>
        </w:rPr>
        <w:t xml:space="preserve"> </w:t>
      </w:r>
      <w:r w:rsidR="00111B66" w:rsidRPr="00012C3F">
        <w:rPr>
          <w:sz w:val="20"/>
          <w:szCs w:val="20"/>
          <w:lang w:val="en-US"/>
        </w:rPr>
        <w:t>115</w:t>
      </w:r>
      <w:r w:rsidR="00704856" w:rsidRPr="00012C3F">
        <w:rPr>
          <w:sz w:val="20"/>
          <w:szCs w:val="20"/>
          <w:lang w:val="en-US"/>
        </w:rPr>
        <w:t>)</w:t>
      </w:r>
      <w:r w:rsidR="00704856" w:rsidRPr="00012C3F">
        <w:rPr>
          <w:rFonts w:eastAsia="Batang"/>
          <w:sz w:val="20"/>
          <w:szCs w:val="20"/>
          <w:lang w:val="en-US"/>
        </w:rPr>
        <w:t xml:space="preserve">; </w:t>
      </w:r>
      <w:r w:rsidR="00D02595" w:rsidRPr="00012C3F">
        <w:rPr>
          <w:rFonts w:eastAsia="Batang"/>
          <w:sz w:val="20"/>
          <w:szCs w:val="20"/>
          <w:lang w:val="en-US"/>
        </w:rPr>
        <w:t>(</w:t>
      </w:r>
      <w:r w:rsidR="00704856" w:rsidRPr="00012C3F">
        <w:rPr>
          <w:rFonts w:eastAsia="Batang"/>
          <w:sz w:val="20"/>
          <w:szCs w:val="20"/>
          <w:lang w:val="en-US"/>
        </w:rPr>
        <w:t xml:space="preserve">vi) </w:t>
      </w:r>
      <w:r w:rsidR="00271E24" w:rsidRPr="00012C3F">
        <w:rPr>
          <w:rFonts w:eastAsia="Batang"/>
          <w:sz w:val="20"/>
          <w:szCs w:val="20"/>
          <w:lang w:val="en-US"/>
        </w:rPr>
        <w:t>non-consensual sterilization</w:t>
      </w:r>
      <w:r w:rsidR="00413F6D" w:rsidRPr="00012C3F">
        <w:rPr>
          <w:rFonts w:eastAsia="Batang"/>
          <w:sz w:val="20"/>
          <w:szCs w:val="20"/>
          <w:lang w:val="en-US"/>
        </w:rPr>
        <w:t xml:space="preserve"> </w:t>
      </w:r>
      <w:r w:rsidR="00D02595" w:rsidRPr="00012C3F">
        <w:rPr>
          <w:rFonts w:eastAsia="Batang"/>
          <w:sz w:val="20"/>
          <w:szCs w:val="20"/>
          <w:lang w:val="en-US"/>
        </w:rPr>
        <w:t>resulted in a financial burden for</w:t>
      </w:r>
      <w:r w:rsidR="00704856" w:rsidRPr="00012C3F">
        <w:rPr>
          <w:rFonts w:eastAsia="Batang"/>
          <w:sz w:val="20"/>
          <w:szCs w:val="20"/>
          <w:lang w:val="en-US"/>
        </w:rPr>
        <w:t xml:space="preserve"> </w:t>
      </w:r>
      <w:r w:rsidR="000E1C11" w:rsidRPr="00012C3F">
        <w:rPr>
          <w:rFonts w:eastAsia="Batang"/>
          <w:sz w:val="20"/>
          <w:szCs w:val="20"/>
          <w:lang w:val="en-US"/>
        </w:rPr>
        <w:t>I.V.</w:t>
      </w:r>
      <w:r w:rsidR="00704856" w:rsidRPr="00012C3F">
        <w:rPr>
          <w:rFonts w:eastAsia="Batang"/>
          <w:sz w:val="20"/>
          <w:szCs w:val="20"/>
          <w:lang w:val="en-US"/>
        </w:rPr>
        <w:t xml:space="preserve"> </w:t>
      </w:r>
      <w:r w:rsidR="00E010DD" w:rsidRPr="00012C3F">
        <w:rPr>
          <w:rFonts w:eastAsia="Batang"/>
          <w:sz w:val="20"/>
          <w:szCs w:val="20"/>
          <w:lang w:val="en-US"/>
        </w:rPr>
        <w:t>arising from</w:t>
      </w:r>
      <w:r w:rsidR="00D02595" w:rsidRPr="00012C3F">
        <w:rPr>
          <w:rFonts w:eastAsia="Batang"/>
          <w:sz w:val="20"/>
          <w:szCs w:val="20"/>
          <w:lang w:val="en-US"/>
        </w:rPr>
        <w:t xml:space="preserve"> the subsequent medical care in a setting that inspired her confidence</w:t>
      </w:r>
      <w:r w:rsidR="00E010DD" w:rsidRPr="00012C3F">
        <w:rPr>
          <w:rFonts w:eastAsia="Batang"/>
          <w:sz w:val="20"/>
          <w:szCs w:val="20"/>
          <w:lang w:val="en-US"/>
        </w:rPr>
        <w:t>,</w:t>
      </w:r>
      <w:r w:rsidR="00D02595" w:rsidRPr="00012C3F">
        <w:rPr>
          <w:rFonts w:eastAsia="Batang"/>
          <w:sz w:val="20"/>
          <w:szCs w:val="20"/>
          <w:lang w:val="en-US"/>
        </w:rPr>
        <w:t xml:space="preserve"> and </w:t>
      </w:r>
      <w:r w:rsidR="00E010DD" w:rsidRPr="00012C3F">
        <w:rPr>
          <w:rFonts w:eastAsia="Batang"/>
          <w:sz w:val="20"/>
          <w:szCs w:val="20"/>
          <w:lang w:val="en-US"/>
        </w:rPr>
        <w:t>from</w:t>
      </w:r>
      <w:r w:rsidR="00D02595" w:rsidRPr="00012C3F">
        <w:rPr>
          <w:rFonts w:eastAsia="Batang"/>
          <w:sz w:val="20"/>
          <w:szCs w:val="20"/>
          <w:lang w:val="en-US"/>
        </w:rPr>
        <w:t xml:space="preserve"> the search for justice,</w:t>
      </w:r>
      <w:r w:rsidR="00704856" w:rsidRPr="00012C3F">
        <w:rPr>
          <w:rStyle w:val="Refdenotaalpie"/>
          <w:rFonts w:eastAsia="Batang"/>
          <w:sz w:val="20"/>
          <w:szCs w:val="20"/>
          <w:lang w:val="en-US"/>
        </w:rPr>
        <w:footnoteReference w:id="357"/>
      </w:r>
      <w:r w:rsidR="005E5012" w:rsidRPr="00012C3F">
        <w:rPr>
          <w:rFonts w:eastAsia="Batang"/>
          <w:sz w:val="20"/>
          <w:szCs w:val="20"/>
          <w:lang w:val="en-US"/>
        </w:rPr>
        <w:t xml:space="preserve"> and </w:t>
      </w:r>
      <w:r w:rsidR="00D02595" w:rsidRPr="00012C3F">
        <w:rPr>
          <w:rFonts w:eastAsia="Batang"/>
          <w:sz w:val="20"/>
          <w:szCs w:val="20"/>
          <w:lang w:val="en-US"/>
        </w:rPr>
        <w:t>(</w:t>
      </w:r>
      <w:r w:rsidR="00704856" w:rsidRPr="00012C3F">
        <w:rPr>
          <w:rFonts w:eastAsia="Batang"/>
          <w:sz w:val="20"/>
          <w:szCs w:val="20"/>
          <w:lang w:val="en-US"/>
        </w:rPr>
        <w:t xml:space="preserve">vii) </w:t>
      </w:r>
      <w:r w:rsidR="00D02595" w:rsidRPr="00012C3F">
        <w:rPr>
          <w:rFonts w:eastAsia="Batang"/>
          <w:sz w:val="20"/>
          <w:szCs w:val="20"/>
          <w:lang w:val="en-US"/>
        </w:rPr>
        <w:t xml:space="preserve">the lack of response from the judicial system </w:t>
      </w:r>
      <w:r w:rsidR="00704856" w:rsidRPr="00012C3F">
        <w:rPr>
          <w:sz w:val="20"/>
          <w:szCs w:val="20"/>
          <w:lang w:val="en-US"/>
        </w:rPr>
        <w:t>(</w:t>
      </w:r>
      <w:r w:rsidR="00704856" w:rsidRPr="00012C3F">
        <w:rPr>
          <w:i/>
          <w:sz w:val="20"/>
          <w:szCs w:val="20"/>
          <w:lang w:val="en-US"/>
        </w:rPr>
        <w:t>supra</w:t>
      </w:r>
      <w:r w:rsidR="00704856" w:rsidRPr="00012C3F">
        <w:rPr>
          <w:sz w:val="20"/>
          <w:szCs w:val="20"/>
          <w:lang w:val="en-US"/>
        </w:rPr>
        <w:t xml:space="preserve"> </w:t>
      </w:r>
      <w:r w:rsidR="00370DD4" w:rsidRPr="00012C3F">
        <w:rPr>
          <w:sz w:val="20"/>
          <w:szCs w:val="20"/>
          <w:lang w:val="en-US"/>
        </w:rPr>
        <w:t>paras.</w:t>
      </w:r>
      <w:r w:rsidR="00704856" w:rsidRPr="00012C3F">
        <w:rPr>
          <w:sz w:val="20"/>
          <w:szCs w:val="20"/>
          <w:lang w:val="en-US"/>
        </w:rPr>
        <w:t xml:space="preserve"> </w:t>
      </w:r>
      <w:r w:rsidR="00111B66" w:rsidRPr="00012C3F">
        <w:rPr>
          <w:sz w:val="20"/>
          <w:szCs w:val="20"/>
          <w:lang w:val="en-US"/>
        </w:rPr>
        <w:t xml:space="preserve">111 </w:t>
      </w:r>
      <w:r w:rsidR="00D02595" w:rsidRPr="00012C3F">
        <w:rPr>
          <w:sz w:val="20"/>
          <w:szCs w:val="20"/>
          <w:lang w:val="en-US"/>
        </w:rPr>
        <w:t>to</w:t>
      </w:r>
      <w:r w:rsidR="00111B66" w:rsidRPr="00012C3F">
        <w:rPr>
          <w:sz w:val="20"/>
          <w:szCs w:val="20"/>
          <w:lang w:val="en-US"/>
        </w:rPr>
        <w:t xml:space="preserve"> 113</w:t>
      </w:r>
      <w:r w:rsidR="00704856" w:rsidRPr="00012C3F">
        <w:rPr>
          <w:sz w:val="20"/>
          <w:szCs w:val="20"/>
          <w:lang w:val="en-US"/>
        </w:rPr>
        <w:t xml:space="preserve"> </w:t>
      </w:r>
      <w:r w:rsidR="00D02595" w:rsidRPr="00012C3F">
        <w:rPr>
          <w:sz w:val="20"/>
          <w:szCs w:val="20"/>
          <w:lang w:val="en-US"/>
        </w:rPr>
        <w:t>and</w:t>
      </w:r>
      <w:r w:rsidR="00704856" w:rsidRPr="00012C3F">
        <w:rPr>
          <w:sz w:val="20"/>
          <w:szCs w:val="20"/>
          <w:lang w:val="en-US"/>
        </w:rPr>
        <w:t xml:space="preserve"> </w:t>
      </w:r>
      <w:r w:rsidR="00704856" w:rsidRPr="00012C3F">
        <w:rPr>
          <w:i/>
          <w:sz w:val="20"/>
          <w:szCs w:val="20"/>
          <w:lang w:val="en-US"/>
        </w:rPr>
        <w:t>infra</w:t>
      </w:r>
      <w:r w:rsidR="00704856" w:rsidRPr="00012C3F">
        <w:rPr>
          <w:sz w:val="20"/>
          <w:szCs w:val="20"/>
          <w:lang w:val="en-US"/>
        </w:rPr>
        <w:t xml:space="preserve"> </w:t>
      </w:r>
      <w:r w:rsidR="00370DD4" w:rsidRPr="00012C3F">
        <w:rPr>
          <w:sz w:val="20"/>
          <w:szCs w:val="20"/>
          <w:lang w:val="en-US"/>
        </w:rPr>
        <w:t>para.</w:t>
      </w:r>
      <w:r w:rsidR="00704856" w:rsidRPr="00012C3F">
        <w:rPr>
          <w:sz w:val="20"/>
          <w:szCs w:val="20"/>
          <w:lang w:val="en-US"/>
        </w:rPr>
        <w:t xml:space="preserve"> </w:t>
      </w:r>
      <w:r w:rsidR="00111B66" w:rsidRPr="00012C3F">
        <w:rPr>
          <w:sz w:val="20"/>
          <w:szCs w:val="20"/>
          <w:lang w:val="en-US"/>
        </w:rPr>
        <w:t>314</w:t>
      </w:r>
      <w:r w:rsidR="00704856" w:rsidRPr="00012C3F">
        <w:rPr>
          <w:sz w:val="20"/>
          <w:szCs w:val="20"/>
          <w:lang w:val="en-US"/>
        </w:rPr>
        <w:t xml:space="preserve">), </w:t>
      </w:r>
      <w:r w:rsidR="00D02595" w:rsidRPr="00012C3F">
        <w:rPr>
          <w:sz w:val="20"/>
          <w:szCs w:val="20"/>
          <w:lang w:val="en-US"/>
        </w:rPr>
        <w:t>led to her feeling powerless and frustrated.</w:t>
      </w:r>
      <w:r w:rsidR="00704856" w:rsidRPr="00012C3F">
        <w:rPr>
          <w:rStyle w:val="Refdenotaalpie"/>
          <w:rFonts w:eastAsia="Calibri"/>
          <w:sz w:val="20"/>
          <w:szCs w:val="20"/>
          <w:lang w:val="en-US"/>
        </w:rPr>
        <w:footnoteReference w:id="358"/>
      </w:r>
      <w:r w:rsidR="00D02595" w:rsidRPr="00012C3F">
        <w:rPr>
          <w:sz w:val="20"/>
          <w:szCs w:val="20"/>
          <w:lang w:val="en-US"/>
        </w:rPr>
        <w:t xml:space="preserve"> In sum, it is clear that </w:t>
      </w:r>
      <w:r w:rsidR="00271E24" w:rsidRPr="00012C3F">
        <w:rPr>
          <w:rFonts w:eastAsia="Batang"/>
          <w:sz w:val="20"/>
          <w:szCs w:val="20"/>
          <w:lang w:val="en-US"/>
        </w:rPr>
        <w:t>non-consensual</w:t>
      </w:r>
      <w:r w:rsidR="00D02595" w:rsidRPr="00012C3F">
        <w:rPr>
          <w:rFonts w:eastAsia="Batang"/>
          <w:sz w:val="20"/>
          <w:szCs w:val="20"/>
          <w:lang w:val="en-US"/>
        </w:rPr>
        <w:t xml:space="preserve"> or involuntary</w:t>
      </w:r>
      <w:r w:rsidR="00271E24" w:rsidRPr="00012C3F">
        <w:rPr>
          <w:rFonts w:eastAsia="Batang"/>
          <w:sz w:val="20"/>
          <w:szCs w:val="20"/>
          <w:lang w:val="en-US"/>
        </w:rPr>
        <w:t xml:space="preserve"> sterilization</w:t>
      </w:r>
      <w:r w:rsidR="00D02595" w:rsidRPr="00012C3F">
        <w:rPr>
          <w:rFonts w:eastAsia="Batang"/>
          <w:sz w:val="20"/>
          <w:szCs w:val="20"/>
          <w:lang w:val="en-US"/>
        </w:rPr>
        <w:t>, with the consequent impossibility to conceive, caused I.V. lasting physical and mental suffering, as well as considera</w:t>
      </w:r>
      <w:r w:rsidR="00FA018A" w:rsidRPr="00012C3F">
        <w:rPr>
          <w:rFonts w:eastAsia="Batang"/>
          <w:sz w:val="20"/>
          <w:szCs w:val="20"/>
          <w:lang w:val="en-US"/>
        </w:rPr>
        <w:t>ble</w:t>
      </w:r>
      <w:r w:rsidR="00D02595" w:rsidRPr="00012C3F">
        <w:rPr>
          <w:rFonts w:eastAsia="Batang"/>
          <w:sz w:val="20"/>
          <w:szCs w:val="20"/>
          <w:lang w:val="en-US"/>
        </w:rPr>
        <w:t xml:space="preserve"> emotional</w:t>
      </w:r>
      <w:r w:rsidR="00FA018A" w:rsidRPr="00012C3F">
        <w:rPr>
          <w:rFonts w:eastAsia="Batang"/>
          <w:sz w:val="20"/>
          <w:szCs w:val="20"/>
          <w:lang w:val="en-US"/>
        </w:rPr>
        <w:t xml:space="preserve"> pain, on a personal, family and social level.</w:t>
      </w:r>
    </w:p>
    <w:p w14:paraId="7E109922" w14:textId="77777777" w:rsidR="00502B43" w:rsidRPr="00012C3F" w:rsidRDefault="00502B43" w:rsidP="00502B43">
      <w:pPr>
        <w:spacing w:line="240" w:lineRule="auto"/>
        <w:rPr>
          <w:sz w:val="20"/>
          <w:szCs w:val="20"/>
          <w:lang w:val="en-US"/>
        </w:rPr>
      </w:pPr>
    </w:p>
    <w:p w14:paraId="5DCFA6A9" w14:textId="77777777" w:rsidR="00502B43" w:rsidRPr="00012C3F" w:rsidRDefault="00FA018A" w:rsidP="00FA018A">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In this regard, the Court notes that the sterilization had a radical effect on I.V.’s life. Thus, I.V. stated before the Court:</w:t>
      </w:r>
      <w:r w:rsidR="00502B43" w:rsidRPr="00012C3F">
        <w:rPr>
          <w:rStyle w:val="Refdenotaalpie"/>
          <w:rFonts w:eastAsia="Calibri"/>
          <w:sz w:val="20"/>
          <w:szCs w:val="20"/>
          <w:lang w:val="en-US"/>
        </w:rPr>
        <w:footnoteReference w:id="359"/>
      </w:r>
    </w:p>
    <w:p w14:paraId="02397E3C" w14:textId="77777777" w:rsidR="00502B43" w:rsidRPr="00012C3F" w:rsidRDefault="00502B43" w:rsidP="00502B43">
      <w:pPr>
        <w:spacing w:line="240" w:lineRule="auto"/>
        <w:rPr>
          <w:sz w:val="20"/>
          <w:szCs w:val="20"/>
          <w:lang w:val="en-US"/>
        </w:rPr>
      </w:pPr>
    </w:p>
    <w:p w14:paraId="72AC794B" w14:textId="77777777" w:rsidR="00502B43" w:rsidRPr="00012C3F" w:rsidRDefault="00502B43" w:rsidP="00712C2D">
      <w:pPr>
        <w:spacing w:line="240" w:lineRule="auto"/>
        <w:ind w:left="567" w:right="616"/>
        <w:rPr>
          <w:sz w:val="16"/>
          <w:szCs w:val="16"/>
          <w:lang w:val="en-US"/>
        </w:rPr>
      </w:pPr>
      <w:r w:rsidRPr="00012C3F">
        <w:rPr>
          <w:sz w:val="16"/>
          <w:szCs w:val="16"/>
          <w:lang w:val="en-US"/>
        </w:rPr>
        <w:t xml:space="preserve">[…] </w:t>
      </w:r>
      <w:r w:rsidR="00242684" w:rsidRPr="00012C3F">
        <w:rPr>
          <w:sz w:val="16"/>
          <w:szCs w:val="16"/>
          <w:lang w:val="en-US"/>
        </w:rPr>
        <w:t>this tubal ligation</w:t>
      </w:r>
      <w:r w:rsidR="00712C2D" w:rsidRPr="00012C3F">
        <w:rPr>
          <w:sz w:val="16"/>
          <w:szCs w:val="16"/>
          <w:lang w:val="en-US"/>
        </w:rPr>
        <w:t xml:space="preserve">, which was arbitrary, non-consensual, inhuman and </w:t>
      </w:r>
      <w:r w:rsidR="00242684" w:rsidRPr="00012C3F">
        <w:rPr>
          <w:sz w:val="16"/>
          <w:szCs w:val="16"/>
          <w:lang w:val="en-US"/>
        </w:rPr>
        <w:t>without my consent exhausted me profoundly, and also my family</w:t>
      </w:r>
      <w:r w:rsidR="00712C2D" w:rsidRPr="00012C3F">
        <w:rPr>
          <w:sz w:val="16"/>
          <w:szCs w:val="16"/>
          <w:lang w:val="en-US"/>
        </w:rPr>
        <w:t>.</w:t>
      </w:r>
      <w:r w:rsidR="00242684" w:rsidRPr="00012C3F">
        <w:rPr>
          <w:sz w:val="16"/>
          <w:szCs w:val="16"/>
          <w:lang w:val="en-US"/>
        </w:rPr>
        <w:t xml:space="preserve"> </w:t>
      </w:r>
      <w:r w:rsidR="00712C2D" w:rsidRPr="00012C3F">
        <w:rPr>
          <w:sz w:val="16"/>
          <w:szCs w:val="16"/>
          <w:lang w:val="en-US"/>
        </w:rPr>
        <w:t>I</w:t>
      </w:r>
      <w:r w:rsidR="00242684" w:rsidRPr="00012C3F">
        <w:rPr>
          <w:sz w:val="16"/>
          <w:szCs w:val="16"/>
          <w:lang w:val="en-US"/>
        </w:rPr>
        <w:t xml:space="preserve">t also </w:t>
      </w:r>
      <w:r w:rsidR="00712C2D" w:rsidRPr="00012C3F">
        <w:rPr>
          <w:sz w:val="16"/>
          <w:szCs w:val="16"/>
          <w:lang w:val="en-US"/>
        </w:rPr>
        <w:t>resulted in</w:t>
      </w:r>
      <w:r w:rsidR="00242684" w:rsidRPr="00012C3F">
        <w:rPr>
          <w:sz w:val="16"/>
          <w:szCs w:val="16"/>
          <w:lang w:val="en-US"/>
        </w:rPr>
        <w:t xml:space="preserve"> the break-up of the family, my separation from my husband</w:t>
      </w:r>
      <w:r w:rsidR="00712C2D" w:rsidRPr="00012C3F">
        <w:rPr>
          <w:sz w:val="16"/>
          <w:szCs w:val="16"/>
          <w:lang w:val="en-US"/>
        </w:rPr>
        <w:t>.</w:t>
      </w:r>
      <w:r w:rsidR="00242684" w:rsidRPr="00012C3F">
        <w:rPr>
          <w:sz w:val="16"/>
          <w:szCs w:val="16"/>
          <w:lang w:val="en-US"/>
        </w:rPr>
        <w:t xml:space="preserve"> </w:t>
      </w:r>
      <w:r w:rsidR="00712C2D" w:rsidRPr="00012C3F">
        <w:rPr>
          <w:sz w:val="16"/>
          <w:szCs w:val="16"/>
          <w:lang w:val="en-US"/>
        </w:rPr>
        <w:t>In addition, i</w:t>
      </w:r>
      <w:r w:rsidR="00242684" w:rsidRPr="00012C3F">
        <w:rPr>
          <w:sz w:val="16"/>
          <w:szCs w:val="16"/>
          <w:lang w:val="en-US"/>
        </w:rPr>
        <w:t>t led to my young daughter N.V. cutting her veins due to all the problems result</w:t>
      </w:r>
      <w:r w:rsidR="00173D28" w:rsidRPr="00012C3F">
        <w:rPr>
          <w:sz w:val="16"/>
          <w:szCs w:val="16"/>
          <w:lang w:val="en-US"/>
        </w:rPr>
        <w:t>ing</w:t>
      </w:r>
      <w:r w:rsidR="00242684" w:rsidRPr="00012C3F">
        <w:rPr>
          <w:sz w:val="16"/>
          <w:szCs w:val="16"/>
          <w:lang w:val="en-US"/>
        </w:rPr>
        <w:t xml:space="preserve"> from this sterilization that they did to me and, even today, I feel profound anguish that I was unable to take proper care of my girls, who were so young, because I was concentrating on this fight, in my trust in justice, that these things should not remain unpunished</w:t>
      </w:r>
      <w:r w:rsidR="00173D28" w:rsidRPr="00012C3F">
        <w:rPr>
          <w:sz w:val="16"/>
          <w:szCs w:val="16"/>
          <w:lang w:val="en-US"/>
        </w:rPr>
        <w:t>.</w:t>
      </w:r>
      <w:r w:rsidR="00242684" w:rsidRPr="00012C3F">
        <w:rPr>
          <w:sz w:val="16"/>
          <w:szCs w:val="16"/>
          <w:lang w:val="en-US"/>
        </w:rPr>
        <w:t xml:space="preserve"> I was involved in the administrative procedure and in the judicial proceedings and this has even caused my little girl to feel guilty, because even when she was very little, she though that it was owing to her birth that she was to blame for what happened to me. The State doesn’t know all the suffering, all the pain, all the sacrifice we have been through. The State doesn’t know the difficulties we have faced, owing to </w:t>
      </w:r>
      <w:r w:rsidR="00173D28" w:rsidRPr="00012C3F">
        <w:rPr>
          <w:sz w:val="16"/>
          <w:szCs w:val="16"/>
          <w:lang w:val="en-US"/>
        </w:rPr>
        <w:t>all the</w:t>
      </w:r>
      <w:r w:rsidR="00242684" w:rsidRPr="00012C3F">
        <w:rPr>
          <w:sz w:val="16"/>
          <w:szCs w:val="16"/>
          <w:lang w:val="en-US"/>
        </w:rPr>
        <w:t xml:space="preserve"> effort, </w:t>
      </w:r>
      <w:r w:rsidR="00173D28" w:rsidRPr="00012C3F">
        <w:rPr>
          <w:sz w:val="16"/>
          <w:szCs w:val="16"/>
          <w:lang w:val="en-US"/>
        </w:rPr>
        <w:t>all the struggle</w:t>
      </w:r>
      <w:r w:rsidR="00242684" w:rsidRPr="00012C3F">
        <w:rPr>
          <w:sz w:val="16"/>
          <w:szCs w:val="16"/>
          <w:lang w:val="en-US"/>
        </w:rPr>
        <w:t>, so much pain. My body couldn</w:t>
      </w:r>
      <w:r w:rsidR="00173D28" w:rsidRPr="00012C3F">
        <w:rPr>
          <w:sz w:val="16"/>
          <w:szCs w:val="16"/>
          <w:lang w:val="en-US"/>
        </w:rPr>
        <w:t>’</w:t>
      </w:r>
      <w:r w:rsidR="00242684" w:rsidRPr="00012C3F">
        <w:rPr>
          <w:sz w:val="16"/>
          <w:szCs w:val="16"/>
          <w:lang w:val="en-US"/>
        </w:rPr>
        <w:t xml:space="preserve">t resist this; my mind could bear it no longer and I had a mental health crisis in November 2013 and this is why they had to </w:t>
      </w:r>
      <w:r w:rsidR="00712C2D" w:rsidRPr="00012C3F">
        <w:rPr>
          <w:sz w:val="16"/>
          <w:szCs w:val="16"/>
          <w:lang w:val="en-US"/>
        </w:rPr>
        <w:t>put me in a mental health hospital. I was interned there for three weeks and my children have seen all this pain, all this suffering, seeing how their mother escaped from the house, fleeing from the house barefoot and in p</w:t>
      </w:r>
      <w:r w:rsidR="00173D28" w:rsidRPr="00012C3F">
        <w:rPr>
          <w:sz w:val="16"/>
          <w:szCs w:val="16"/>
          <w:lang w:val="en-US"/>
        </w:rPr>
        <w:t>a</w:t>
      </w:r>
      <w:r w:rsidR="00712C2D" w:rsidRPr="00012C3F">
        <w:rPr>
          <w:sz w:val="16"/>
          <w:szCs w:val="16"/>
          <w:lang w:val="en-US"/>
        </w:rPr>
        <w:t>jamas, and now the doctor</w:t>
      </w:r>
      <w:r w:rsidR="00E010DD" w:rsidRPr="00012C3F">
        <w:rPr>
          <w:sz w:val="16"/>
          <w:szCs w:val="16"/>
          <w:lang w:val="en-US"/>
        </w:rPr>
        <w:t>s</w:t>
      </w:r>
      <w:r w:rsidR="00712C2D" w:rsidRPr="00012C3F">
        <w:rPr>
          <w:sz w:val="16"/>
          <w:szCs w:val="16"/>
          <w:lang w:val="en-US"/>
        </w:rPr>
        <w:t xml:space="preserve"> who have seen me have told me that I must take </w:t>
      </w:r>
      <w:r w:rsidRPr="00012C3F">
        <w:rPr>
          <w:sz w:val="16"/>
          <w:szCs w:val="16"/>
          <w:lang w:val="en-US"/>
        </w:rPr>
        <w:t>carbamazepin</w:t>
      </w:r>
      <w:r w:rsidR="00712C2D" w:rsidRPr="00012C3F">
        <w:rPr>
          <w:sz w:val="16"/>
          <w:szCs w:val="16"/>
          <w:lang w:val="en-US"/>
        </w:rPr>
        <w:t>e</w:t>
      </w:r>
      <w:r w:rsidR="005E5012" w:rsidRPr="00012C3F">
        <w:rPr>
          <w:sz w:val="16"/>
          <w:szCs w:val="16"/>
          <w:lang w:val="en-US"/>
        </w:rPr>
        <w:t xml:space="preserve"> and </w:t>
      </w:r>
      <w:r w:rsidRPr="00012C3F">
        <w:rPr>
          <w:sz w:val="16"/>
          <w:szCs w:val="16"/>
          <w:lang w:val="en-US"/>
        </w:rPr>
        <w:t>alopurinol</w:t>
      </w:r>
      <w:r w:rsidR="00712C2D" w:rsidRPr="00012C3F">
        <w:rPr>
          <w:sz w:val="16"/>
          <w:szCs w:val="16"/>
          <w:lang w:val="en-US"/>
        </w:rPr>
        <w:t xml:space="preserve"> for</w:t>
      </w:r>
      <w:r w:rsidR="00173D28" w:rsidRPr="00012C3F">
        <w:rPr>
          <w:sz w:val="16"/>
          <w:szCs w:val="16"/>
          <w:lang w:val="en-US"/>
        </w:rPr>
        <w:t xml:space="preserve"> </w:t>
      </w:r>
      <w:r w:rsidR="00712C2D" w:rsidRPr="00012C3F">
        <w:rPr>
          <w:sz w:val="16"/>
          <w:szCs w:val="16"/>
          <w:lang w:val="en-US"/>
        </w:rPr>
        <w:t xml:space="preserve">as long as I live, owing to all the suffering I have experienced, for the non-consensual sterilization that they did to me. They destroyed my reproductive system; they curtailed my right to be a mother again, they prevented me from having a male child; they caused pain and suffering to two children; they harmed me in a number of ways, I could even have died, because they left placental remains which resulted in </w:t>
      </w:r>
      <w:r w:rsidRPr="00012C3F">
        <w:rPr>
          <w:sz w:val="16"/>
          <w:szCs w:val="16"/>
          <w:lang w:val="en-US"/>
        </w:rPr>
        <w:t>endometritis</w:t>
      </w:r>
      <w:r w:rsidR="00712C2D" w:rsidRPr="00012C3F">
        <w:rPr>
          <w:sz w:val="16"/>
          <w:szCs w:val="16"/>
          <w:lang w:val="en-US"/>
        </w:rPr>
        <w:t>, and if this had not been treated promptly it could have led to my death.</w:t>
      </w:r>
      <w:r w:rsidRPr="00012C3F">
        <w:rPr>
          <w:sz w:val="16"/>
          <w:szCs w:val="16"/>
          <w:lang w:val="en-US"/>
        </w:rPr>
        <w:t xml:space="preserve"> </w:t>
      </w:r>
    </w:p>
    <w:p w14:paraId="5DB6269C" w14:textId="77777777" w:rsidR="00FC2379" w:rsidRPr="00012C3F" w:rsidRDefault="00FC2379" w:rsidP="00FC2379">
      <w:pPr>
        <w:tabs>
          <w:tab w:val="left" w:pos="567"/>
        </w:tabs>
        <w:spacing w:line="240" w:lineRule="auto"/>
        <w:rPr>
          <w:sz w:val="20"/>
          <w:szCs w:val="20"/>
          <w:lang w:val="en-US"/>
        </w:rPr>
      </w:pPr>
    </w:p>
    <w:p w14:paraId="2FF422E3" w14:textId="77777777" w:rsidR="00F00053" w:rsidRPr="00012C3F" w:rsidRDefault="00173D28" w:rsidP="00173D28">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lastRenderedPageBreak/>
        <w:t>Based on all the above, the Court concludes that the</w:t>
      </w:r>
      <w:r w:rsidR="00362CC1" w:rsidRPr="00012C3F">
        <w:rPr>
          <w:sz w:val="20"/>
          <w:szCs w:val="20"/>
          <w:lang w:val="en-US"/>
        </w:rPr>
        <w:t xml:space="preserve"> </w:t>
      </w:r>
      <w:r w:rsidR="00271E24" w:rsidRPr="00012C3F">
        <w:rPr>
          <w:sz w:val="20"/>
          <w:szCs w:val="20"/>
          <w:lang w:val="en-US"/>
        </w:rPr>
        <w:t>non-consensual</w:t>
      </w:r>
      <w:r w:rsidRPr="00012C3F">
        <w:rPr>
          <w:sz w:val="20"/>
          <w:szCs w:val="20"/>
          <w:lang w:val="en-US"/>
        </w:rPr>
        <w:t xml:space="preserve"> or involuntary</w:t>
      </w:r>
      <w:r w:rsidR="00271E24" w:rsidRPr="00012C3F">
        <w:rPr>
          <w:sz w:val="20"/>
          <w:szCs w:val="20"/>
          <w:lang w:val="en-US"/>
        </w:rPr>
        <w:t xml:space="preserve"> sterilization</w:t>
      </w:r>
      <w:r w:rsidR="00246782" w:rsidRPr="00012C3F">
        <w:rPr>
          <w:sz w:val="20"/>
          <w:szCs w:val="20"/>
          <w:lang w:val="en-US"/>
        </w:rPr>
        <w:t xml:space="preserve"> </w:t>
      </w:r>
      <w:r w:rsidRPr="00012C3F">
        <w:rPr>
          <w:sz w:val="20"/>
          <w:szCs w:val="20"/>
          <w:lang w:val="en-US"/>
        </w:rPr>
        <w:t>to which I.V. was subjected, in the particular circumstances of this case that have been described, constituted cruel, inhuman and degrading treatment, contrary to human dignity and, therefore, constituted a violation</w:t>
      </w:r>
      <w:r w:rsidR="00EA2F5A" w:rsidRPr="00012C3F">
        <w:rPr>
          <w:sz w:val="20"/>
          <w:szCs w:val="20"/>
          <w:lang w:val="en-US"/>
        </w:rPr>
        <w:t xml:space="preserve"> </w:t>
      </w:r>
      <w:r w:rsidR="008A7A0F" w:rsidRPr="00012C3F">
        <w:rPr>
          <w:sz w:val="20"/>
          <w:lang w:val="en-US"/>
        </w:rPr>
        <w:t>of Article</w:t>
      </w:r>
      <w:r w:rsidR="000723CB" w:rsidRPr="00012C3F">
        <w:rPr>
          <w:sz w:val="20"/>
          <w:lang w:val="en-US"/>
        </w:rPr>
        <w:t xml:space="preserve"> </w:t>
      </w:r>
      <w:r w:rsidR="005E5012" w:rsidRPr="00012C3F">
        <w:rPr>
          <w:sz w:val="20"/>
          <w:lang w:val="en-US"/>
        </w:rPr>
        <w:t xml:space="preserve">5(1) and </w:t>
      </w:r>
      <w:r w:rsidR="00B257AF" w:rsidRPr="00012C3F">
        <w:rPr>
          <w:sz w:val="20"/>
          <w:lang w:val="en-US"/>
        </w:rPr>
        <w:t>5(2)</w:t>
      </w:r>
      <w:r w:rsidR="001254DE" w:rsidRPr="00012C3F">
        <w:rPr>
          <w:sz w:val="20"/>
          <w:lang w:val="en-US"/>
        </w:rPr>
        <w:t xml:space="preserve"> of the American Convention</w:t>
      </w:r>
      <w:r w:rsidR="000723CB" w:rsidRPr="00012C3F">
        <w:rPr>
          <w:sz w:val="20"/>
          <w:lang w:val="en-US"/>
        </w:rPr>
        <w:t xml:space="preserve">, </w:t>
      </w:r>
      <w:r w:rsidR="006C705C" w:rsidRPr="00012C3F">
        <w:rPr>
          <w:sz w:val="20"/>
          <w:lang w:val="en-US"/>
        </w:rPr>
        <w:t>in relation to</w:t>
      </w:r>
      <w:r w:rsidR="000723CB" w:rsidRPr="00012C3F">
        <w:rPr>
          <w:sz w:val="20"/>
          <w:lang w:val="en-US"/>
        </w:rPr>
        <w:t xml:space="preserve"> </w:t>
      </w:r>
      <w:r w:rsidR="001254DE" w:rsidRPr="00012C3F">
        <w:rPr>
          <w:sz w:val="20"/>
          <w:lang w:val="en-US"/>
        </w:rPr>
        <w:t>Article</w:t>
      </w:r>
      <w:r w:rsidR="000723CB" w:rsidRPr="00012C3F">
        <w:rPr>
          <w:sz w:val="20"/>
          <w:lang w:val="en-US"/>
        </w:rPr>
        <w:t xml:space="preserve"> </w:t>
      </w:r>
      <w:r w:rsidR="005E5012" w:rsidRPr="00012C3F">
        <w:rPr>
          <w:sz w:val="20"/>
          <w:lang w:val="en-US"/>
        </w:rPr>
        <w:t>1(1)</w:t>
      </w:r>
      <w:r w:rsidR="000723CB" w:rsidRPr="00012C3F">
        <w:rPr>
          <w:sz w:val="20"/>
          <w:lang w:val="en-US"/>
        </w:rPr>
        <w:t xml:space="preserve"> </w:t>
      </w:r>
      <w:r w:rsidR="00EA2F5A" w:rsidRPr="00012C3F">
        <w:rPr>
          <w:sz w:val="20"/>
          <w:lang w:val="en-US"/>
        </w:rPr>
        <w:t>of this instrument</w:t>
      </w:r>
      <w:r w:rsidR="000723CB" w:rsidRPr="00012C3F">
        <w:rPr>
          <w:sz w:val="20"/>
          <w:lang w:val="en-US"/>
        </w:rPr>
        <w:t xml:space="preserve">, </w:t>
      </w:r>
      <w:r w:rsidR="005E5012" w:rsidRPr="00012C3F">
        <w:rPr>
          <w:sz w:val="20"/>
          <w:szCs w:val="20"/>
          <w:lang w:val="en-US"/>
        </w:rPr>
        <w:t>to the detriment of</w:t>
      </w:r>
      <w:r w:rsidR="00362CC1" w:rsidRPr="00012C3F">
        <w:rPr>
          <w:sz w:val="20"/>
          <w:szCs w:val="20"/>
          <w:lang w:val="en-US"/>
        </w:rPr>
        <w:t xml:space="preserve"> </w:t>
      </w:r>
      <w:r w:rsidR="000E1C11" w:rsidRPr="00012C3F">
        <w:rPr>
          <w:sz w:val="20"/>
          <w:szCs w:val="20"/>
          <w:lang w:val="en-US"/>
        </w:rPr>
        <w:t>I.V.</w:t>
      </w:r>
    </w:p>
    <w:p w14:paraId="43EB2DBD" w14:textId="77777777" w:rsidR="00502B43" w:rsidRPr="00012C3F" w:rsidRDefault="00502B43" w:rsidP="00502B43">
      <w:pPr>
        <w:spacing w:line="240" w:lineRule="auto"/>
        <w:rPr>
          <w:sz w:val="20"/>
          <w:szCs w:val="20"/>
          <w:lang w:val="en-US"/>
        </w:rPr>
      </w:pPr>
    </w:p>
    <w:p w14:paraId="30468C3E" w14:textId="77777777" w:rsidR="00502B43" w:rsidRPr="00012C3F" w:rsidRDefault="00502B43" w:rsidP="00502B43">
      <w:pPr>
        <w:keepNext/>
        <w:keepLines/>
        <w:tabs>
          <w:tab w:val="left" w:pos="851"/>
        </w:tabs>
        <w:spacing w:line="240" w:lineRule="auto"/>
        <w:jc w:val="center"/>
        <w:outlineLvl w:val="0"/>
        <w:rPr>
          <w:rFonts w:cs="Verdana"/>
          <w:b/>
          <w:bCs/>
          <w:caps/>
          <w:snapToGrid w:val="0"/>
          <w:sz w:val="20"/>
          <w:szCs w:val="20"/>
          <w:lang w:val="en-US"/>
        </w:rPr>
      </w:pPr>
      <w:bookmarkStart w:id="161" w:name="_Toc461305142"/>
      <w:bookmarkStart w:id="162" w:name="_Toc27486876"/>
      <w:r w:rsidRPr="00012C3F">
        <w:rPr>
          <w:rFonts w:cs="Verdana"/>
          <w:b/>
          <w:bCs/>
          <w:caps/>
          <w:snapToGrid w:val="0"/>
          <w:sz w:val="20"/>
          <w:szCs w:val="20"/>
          <w:lang w:val="en-US"/>
        </w:rPr>
        <w:t>VI</w:t>
      </w:r>
      <w:r w:rsidR="00A72628" w:rsidRPr="00012C3F">
        <w:rPr>
          <w:rFonts w:cs="Verdana"/>
          <w:b/>
          <w:bCs/>
          <w:caps/>
          <w:snapToGrid w:val="0"/>
          <w:sz w:val="20"/>
          <w:szCs w:val="20"/>
          <w:lang w:val="en-US"/>
        </w:rPr>
        <w:t>I</w:t>
      </w:r>
      <w:r w:rsidRPr="00012C3F">
        <w:rPr>
          <w:rFonts w:cs="Verdana"/>
          <w:b/>
          <w:bCs/>
          <w:caps/>
          <w:snapToGrid w:val="0"/>
          <w:sz w:val="20"/>
          <w:szCs w:val="20"/>
          <w:lang w:val="en-US"/>
        </w:rPr>
        <w:t>I-</w:t>
      </w:r>
      <w:r w:rsidR="00A72628" w:rsidRPr="00012C3F">
        <w:rPr>
          <w:rFonts w:cs="Verdana"/>
          <w:b/>
          <w:bCs/>
          <w:caps/>
          <w:snapToGrid w:val="0"/>
          <w:sz w:val="20"/>
          <w:szCs w:val="20"/>
          <w:lang w:val="en-US"/>
        </w:rPr>
        <w:t>3</w:t>
      </w:r>
      <w:r w:rsidRPr="00012C3F">
        <w:rPr>
          <w:rFonts w:cs="Verdana"/>
          <w:b/>
          <w:bCs/>
          <w:caps/>
          <w:snapToGrid w:val="0"/>
          <w:sz w:val="20"/>
          <w:szCs w:val="20"/>
          <w:lang w:val="en-US"/>
        </w:rPr>
        <w:br/>
      </w:r>
      <w:r w:rsidR="00E46719" w:rsidRPr="00012C3F">
        <w:rPr>
          <w:rFonts w:cs="Verdana"/>
          <w:b/>
          <w:bCs/>
          <w:caps/>
          <w:snapToGrid w:val="0"/>
          <w:sz w:val="20"/>
          <w:szCs w:val="20"/>
          <w:lang w:val="en-US"/>
        </w:rPr>
        <w:t>RIGHTS TO JUDICIAL GUARANTEES</w:t>
      </w:r>
      <w:r w:rsidR="006801CD" w:rsidRPr="00012C3F">
        <w:rPr>
          <w:rStyle w:val="Refdenotaalpie"/>
          <w:rFonts w:cs="Verdana"/>
          <w:b/>
          <w:bCs/>
          <w:caps/>
          <w:snapToGrid w:val="0"/>
          <w:sz w:val="20"/>
          <w:szCs w:val="20"/>
          <w:lang w:val="en-US"/>
        </w:rPr>
        <w:footnoteReference w:id="360"/>
      </w:r>
      <w:r w:rsidR="005E5012" w:rsidRPr="00012C3F">
        <w:rPr>
          <w:rFonts w:cs="Verdana"/>
          <w:b/>
          <w:bCs/>
          <w:caps/>
          <w:snapToGrid w:val="0"/>
          <w:sz w:val="20"/>
          <w:szCs w:val="20"/>
          <w:lang w:val="en-US"/>
        </w:rPr>
        <w:t xml:space="preserve"> and </w:t>
      </w:r>
      <w:r w:rsidR="00E46719" w:rsidRPr="00012C3F">
        <w:rPr>
          <w:rFonts w:cs="Verdana"/>
          <w:b/>
          <w:bCs/>
          <w:caps/>
          <w:snapToGrid w:val="0"/>
          <w:sz w:val="20"/>
          <w:szCs w:val="20"/>
          <w:lang w:val="en-US"/>
        </w:rPr>
        <w:t>TO JUDICIAL PROTECTION,</w:t>
      </w:r>
      <w:r w:rsidR="006801CD" w:rsidRPr="00012C3F">
        <w:rPr>
          <w:rStyle w:val="Refdenotaalpie"/>
          <w:rFonts w:cs="Verdana"/>
          <w:b/>
          <w:bCs/>
          <w:caps/>
          <w:snapToGrid w:val="0"/>
          <w:sz w:val="20"/>
          <w:szCs w:val="20"/>
          <w:lang w:val="en-US"/>
        </w:rPr>
        <w:footnoteReference w:id="361"/>
      </w:r>
      <w:r w:rsidRPr="00012C3F">
        <w:rPr>
          <w:rFonts w:cs="Verdana"/>
          <w:b/>
          <w:bCs/>
          <w:caps/>
          <w:snapToGrid w:val="0"/>
          <w:sz w:val="20"/>
          <w:szCs w:val="20"/>
          <w:lang w:val="en-US"/>
        </w:rPr>
        <w:t xml:space="preserve"> </w:t>
      </w:r>
      <w:r w:rsidR="006C705C" w:rsidRPr="00012C3F">
        <w:rPr>
          <w:rFonts w:cs="Verdana"/>
          <w:b/>
          <w:bCs/>
          <w:caps/>
          <w:snapToGrid w:val="0"/>
          <w:sz w:val="20"/>
          <w:szCs w:val="20"/>
          <w:lang w:val="en-US"/>
        </w:rPr>
        <w:t xml:space="preserve">IN </w:t>
      </w:r>
      <w:r w:rsidR="005E1B9D" w:rsidRPr="00012C3F">
        <w:rPr>
          <w:rFonts w:cs="Verdana"/>
          <w:b/>
          <w:bCs/>
          <w:caps/>
          <w:snapToGrid w:val="0"/>
          <w:sz w:val="20"/>
          <w:szCs w:val="20"/>
          <w:lang w:val="en-US"/>
        </w:rPr>
        <w:t>RELATION TO THE OBLIGATIONS</w:t>
      </w:r>
      <w:r w:rsidRPr="00012C3F">
        <w:rPr>
          <w:rFonts w:cs="Verdana"/>
          <w:b/>
          <w:bCs/>
          <w:caps/>
          <w:snapToGrid w:val="0"/>
          <w:sz w:val="20"/>
          <w:szCs w:val="20"/>
          <w:lang w:val="en-US"/>
        </w:rPr>
        <w:t xml:space="preserve"> </w:t>
      </w:r>
      <w:r w:rsidR="005E1B9D" w:rsidRPr="00012C3F">
        <w:rPr>
          <w:rFonts w:cs="Verdana"/>
          <w:b/>
          <w:bCs/>
          <w:caps/>
          <w:snapToGrid w:val="0"/>
          <w:sz w:val="20"/>
          <w:szCs w:val="20"/>
          <w:lang w:val="en-US"/>
        </w:rPr>
        <w:t xml:space="preserve">TO RESPECT </w:t>
      </w:r>
      <w:r w:rsidR="00E46719" w:rsidRPr="00012C3F">
        <w:rPr>
          <w:rFonts w:cs="Verdana"/>
          <w:b/>
          <w:bCs/>
          <w:caps/>
          <w:snapToGrid w:val="0"/>
          <w:sz w:val="20"/>
          <w:szCs w:val="20"/>
          <w:lang w:val="en-US"/>
        </w:rPr>
        <w:t>AND TO ENSURE RIGHTS</w:t>
      </w:r>
      <w:r w:rsidR="005E5012" w:rsidRPr="00012C3F">
        <w:rPr>
          <w:rFonts w:cs="Verdana"/>
          <w:b/>
          <w:bCs/>
          <w:caps/>
          <w:snapToGrid w:val="0"/>
          <w:sz w:val="20"/>
          <w:szCs w:val="20"/>
          <w:lang w:val="en-US"/>
        </w:rPr>
        <w:t xml:space="preserve"> </w:t>
      </w:r>
      <w:r w:rsidR="00E46719" w:rsidRPr="00012C3F">
        <w:rPr>
          <w:rFonts w:cs="Verdana"/>
          <w:b/>
          <w:bCs/>
          <w:caps/>
          <w:snapToGrid w:val="0"/>
          <w:sz w:val="20"/>
          <w:szCs w:val="20"/>
          <w:lang w:val="en-US"/>
        </w:rPr>
        <w:t>WITHOUT DISCRIMINATION</w:t>
      </w:r>
      <w:r w:rsidR="005E5012" w:rsidRPr="00012C3F">
        <w:rPr>
          <w:rFonts w:cs="Verdana"/>
          <w:b/>
          <w:bCs/>
          <w:caps/>
          <w:snapToGrid w:val="0"/>
          <w:sz w:val="20"/>
          <w:szCs w:val="20"/>
          <w:lang w:val="en-US"/>
        </w:rPr>
        <w:t xml:space="preserve"> and </w:t>
      </w:r>
      <w:r w:rsidR="00F63FF1" w:rsidRPr="00012C3F">
        <w:rPr>
          <w:rFonts w:cs="Verdana"/>
          <w:b/>
          <w:bCs/>
          <w:caps/>
          <w:snapToGrid w:val="0"/>
          <w:sz w:val="20"/>
          <w:szCs w:val="20"/>
          <w:lang w:val="en-US"/>
        </w:rPr>
        <w:t>Article</w:t>
      </w:r>
      <w:r w:rsidRPr="00012C3F">
        <w:rPr>
          <w:rFonts w:cs="Verdana"/>
          <w:b/>
          <w:bCs/>
          <w:caps/>
          <w:snapToGrid w:val="0"/>
          <w:sz w:val="20"/>
          <w:szCs w:val="20"/>
          <w:lang w:val="en-US"/>
        </w:rPr>
        <w:t xml:space="preserve"> </w:t>
      </w:r>
      <w:r w:rsidRPr="00012C3F">
        <w:rPr>
          <w:rFonts w:eastAsia="MS Mincho"/>
          <w:b/>
          <w:bCs/>
          <w:sz w:val="20"/>
          <w:szCs w:val="20"/>
          <w:lang w:val="en-US"/>
        </w:rPr>
        <w:t>7</w:t>
      </w:r>
      <w:r w:rsidR="001254DE" w:rsidRPr="00012C3F">
        <w:rPr>
          <w:rFonts w:eastAsia="MS Mincho"/>
          <w:b/>
          <w:bCs/>
          <w:sz w:val="20"/>
          <w:szCs w:val="20"/>
          <w:lang w:val="en-US"/>
        </w:rPr>
        <w:t xml:space="preserve"> </w:t>
      </w:r>
      <w:r w:rsidR="00E46719" w:rsidRPr="00012C3F">
        <w:rPr>
          <w:rFonts w:eastAsia="MS Mincho"/>
          <w:b/>
          <w:bCs/>
          <w:sz w:val="20"/>
          <w:szCs w:val="20"/>
          <w:lang w:val="en-US"/>
        </w:rPr>
        <w:t>OF THE</w:t>
      </w:r>
      <w:r w:rsidR="001254DE" w:rsidRPr="00012C3F">
        <w:rPr>
          <w:rFonts w:eastAsia="MS Mincho"/>
          <w:b/>
          <w:bCs/>
          <w:sz w:val="20"/>
          <w:szCs w:val="20"/>
          <w:lang w:val="en-US"/>
        </w:rPr>
        <w:t xml:space="preserve"> CONVENTION</w:t>
      </w:r>
      <w:r w:rsidRPr="00012C3F">
        <w:rPr>
          <w:rFonts w:eastAsia="MS Mincho"/>
          <w:b/>
          <w:bCs/>
          <w:sz w:val="20"/>
          <w:szCs w:val="20"/>
          <w:lang w:val="en-US"/>
        </w:rPr>
        <w:t xml:space="preserve"> </w:t>
      </w:r>
      <w:r w:rsidR="005E5012" w:rsidRPr="00012C3F">
        <w:rPr>
          <w:rFonts w:eastAsia="MS Mincho"/>
          <w:b/>
          <w:bCs/>
          <w:sz w:val="20"/>
          <w:szCs w:val="20"/>
          <w:lang w:val="en-US"/>
        </w:rPr>
        <w:t>OF BELÉM</w:t>
      </w:r>
      <w:r w:rsidRPr="00012C3F">
        <w:rPr>
          <w:rFonts w:eastAsia="MS Mincho"/>
          <w:b/>
          <w:bCs/>
          <w:sz w:val="20"/>
          <w:szCs w:val="20"/>
          <w:lang w:val="en-US"/>
        </w:rPr>
        <w:t xml:space="preserve"> DO PARÁ</w:t>
      </w:r>
      <w:bookmarkEnd w:id="161"/>
      <w:r w:rsidR="003D34BB" w:rsidRPr="00012C3F">
        <w:rPr>
          <w:rStyle w:val="Refdenotaalpie"/>
          <w:rFonts w:eastAsia="MS Mincho"/>
          <w:b/>
          <w:bCs/>
          <w:sz w:val="20"/>
          <w:szCs w:val="20"/>
          <w:lang w:val="en-US"/>
        </w:rPr>
        <w:footnoteReference w:id="362"/>
      </w:r>
      <w:bookmarkEnd w:id="162"/>
    </w:p>
    <w:p w14:paraId="1D7F0589" w14:textId="77777777" w:rsidR="00502B43" w:rsidRPr="00012C3F" w:rsidRDefault="00502B43" w:rsidP="00502B43">
      <w:pPr>
        <w:tabs>
          <w:tab w:val="left" w:pos="720"/>
        </w:tabs>
        <w:spacing w:line="240" w:lineRule="auto"/>
        <w:rPr>
          <w:rFonts w:eastAsia="MS Mincho"/>
          <w:sz w:val="20"/>
          <w:szCs w:val="20"/>
          <w:lang w:val="en-US"/>
        </w:rPr>
      </w:pPr>
    </w:p>
    <w:p w14:paraId="2D041889" w14:textId="77777777" w:rsidR="00502B43" w:rsidRPr="00012C3F" w:rsidRDefault="00EA2F5A" w:rsidP="005629BB">
      <w:pPr>
        <w:numPr>
          <w:ilvl w:val="0"/>
          <w:numId w:val="5"/>
        </w:numPr>
        <w:tabs>
          <w:tab w:val="left" w:pos="720"/>
          <w:tab w:val="num" w:pos="12305"/>
        </w:tabs>
        <w:spacing w:line="240" w:lineRule="auto"/>
        <w:ind w:left="0" w:firstLine="0"/>
        <w:rPr>
          <w:rFonts w:eastAsia="MS Mincho"/>
          <w:sz w:val="20"/>
          <w:szCs w:val="20"/>
          <w:lang w:val="en-US"/>
        </w:rPr>
      </w:pPr>
      <w:r w:rsidRPr="00012C3F">
        <w:rPr>
          <w:sz w:val="20"/>
          <w:szCs w:val="20"/>
          <w:lang w:val="en-US"/>
        </w:rPr>
        <w:t>In this chapter, the Court will analyze</w:t>
      </w:r>
      <w:r w:rsidR="005629BB" w:rsidRPr="00012C3F">
        <w:rPr>
          <w:sz w:val="20"/>
          <w:szCs w:val="20"/>
          <w:lang w:val="en-US"/>
        </w:rPr>
        <w:t xml:space="preserve"> the alleged violations of</w:t>
      </w:r>
      <w:r w:rsidR="005629BB" w:rsidRPr="00012C3F">
        <w:rPr>
          <w:rFonts w:eastAsia="MS Mincho"/>
          <w:sz w:val="20"/>
          <w:szCs w:val="20"/>
          <w:lang w:val="en-US"/>
        </w:rPr>
        <w:t xml:space="preserve"> </w:t>
      </w:r>
      <w:r w:rsidR="001254DE" w:rsidRPr="00012C3F">
        <w:rPr>
          <w:sz w:val="20"/>
          <w:szCs w:val="20"/>
          <w:lang w:val="en-US"/>
        </w:rPr>
        <w:t>Articles</w:t>
      </w:r>
      <w:r w:rsidR="00502B43" w:rsidRPr="00012C3F">
        <w:rPr>
          <w:sz w:val="20"/>
          <w:szCs w:val="20"/>
          <w:lang w:val="en-US"/>
        </w:rPr>
        <w:t xml:space="preserve"> </w:t>
      </w:r>
      <w:r w:rsidR="005E5012" w:rsidRPr="00012C3F">
        <w:rPr>
          <w:sz w:val="20"/>
          <w:szCs w:val="20"/>
          <w:lang w:val="en-US"/>
        </w:rPr>
        <w:t xml:space="preserve">8(1) and </w:t>
      </w:r>
      <w:r w:rsidR="00502B43" w:rsidRPr="00012C3F">
        <w:rPr>
          <w:sz w:val="20"/>
          <w:szCs w:val="20"/>
          <w:lang w:val="en-US"/>
        </w:rPr>
        <w:t>2</w:t>
      </w:r>
      <w:r w:rsidR="005E5012" w:rsidRPr="00012C3F">
        <w:rPr>
          <w:sz w:val="20"/>
          <w:szCs w:val="20"/>
          <w:lang w:val="en-US"/>
        </w:rPr>
        <w:t>5(1)</w:t>
      </w:r>
      <w:r w:rsidR="001254DE" w:rsidRPr="00012C3F">
        <w:rPr>
          <w:sz w:val="20"/>
          <w:szCs w:val="20"/>
          <w:lang w:val="en-US"/>
        </w:rPr>
        <w:t xml:space="preserve"> of the American Convention</w:t>
      </w:r>
      <w:r w:rsidR="005E5012" w:rsidRPr="00012C3F">
        <w:rPr>
          <w:sz w:val="20"/>
          <w:szCs w:val="20"/>
          <w:lang w:val="en-US"/>
        </w:rPr>
        <w:t xml:space="preserve"> and </w:t>
      </w:r>
      <w:r w:rsidR="005629BB" w:rsidRPr="00012C3F">
        <w:rPr>
          <w:sz w:val="20"/>
          <w:szCs w:val="20"/>
          <w:lang w:val="en-US"/>
        </w:rPr>
        <w:t>the supposed failure to comply with the obligations established in</w:t>
      </w:r>
      <w:r w:rsidR="00502B43" w:rsidRPr="00012C3F">
        <w:rPr>
          <w:sz w:val="20"/>
          <w:szCs w:val="20"/>
          <w:lang w:val="en-US"/>
        </w:rPr>
        <w:t xml:space="preserve"> </w:t>
      </w:r>
      <w:r w:rsidR="005629BB" w:rsidRPr="00012C3F">
        <w:rPr>
          <w:rFonts w:eastAsia="MS Mincho"/>
          <w:sz w:val="20"/>
          <w:szCs w:val="20"/>
          <w:lang w:val="en-US"/>
        </w:rPr>
        <w:t>paragraphs</w:t>
      </w:r>
      <w:r w:rsidR="00502B43" w:rsidRPr="00012C3F">
        <w:rPr>
          <w:rFonts w:eastAsia="MS Mincho"/>
          <w:sz w:val="20"/>
          <w:szCs w:val="20"/>
          <w:lang w:val="en-US"/>
        </w:rPr>
        <w:t xml:space="preserve"> </w:t>
      </w:r>
      <w:r w:rsidR="005629BB" w:rsidRPr="00012C3F">
        <w:rPr>
          <w:rFonts w:eastAsia="MS Mincho"/>
          <w:sz w:val="20"/>
          <w:szCs w:val="20"/>
          <w:lang w:val="en-US"/>
        </w:rPr>
        <w:t>(</w:t>
      </w:r>
      <w:r w:rsidR="00502B43" w:rsidRPr="00012C3F">
        <w:rPr>
          <w:rFonts w:eastAsia="MS Mincho"/>
          <w:sz w:val="20"/>
          <w:szCs w:val="20"/>
          <w:lang w:val="en-US"/>
        </w:rPr>
        <w:t>b),</w:t>
      </w:r>
      <w:r w:rsidR="002E1325" w:rsidRPr="00012C3F">
        <w:rPr>
          <w:rFonts w:eastAsia="MS Mincho"/>
          <w:sz w:val="20"/>
          <w:szCs w:val="20"/>
          <w:lang w:val="en-US"/>
        </w:rPr>
        <w:t xml:space="preserve"> </w:t>
      </w:r>
      <w:r w:rsidR="005629BB" w:rsidRPr="00012C3F">
        <w:rPr>
          <w:rFonts w:eastAsia="MS Mincho"/>
          <w:sz w:val="20"/>
          <w:szCs w:val="20"/>
          <w:lang w:val="en-US"/>
        </w:rPr>
        <w:t>(</w:t>
      </w:r>
      <w:r w:rsidR="002E1325" w:rsidRPr="00012C3F">
        <w:rPr>
          <w:rFonts w:eastAsia="MS Mincho"/>
          <w:sz w:val="20"/>
          <w:szCs w:val="20"/>
          <w:lang w:val="en-US"/>
        </w:rPr>
        <w:t>c),</w:t>
      </w:r>
      <w:r w:rsidR="00502B43" w:rsidRPr="00012C3F">
        <w:rPr>
          <w:rFonts w:eastAsia="MS Mincho"/>
          <w:sz w:val="20"/>
          <w:szCs w:val="20"/>
          <w:lang w:val="en-US"/>
        </w:rPr>
        <w:t xml:space="preserve"> </w:t>
      </w:r>
      <w:r w:rsidR="005629BB" w:rsidRPr="00012C3F">
        <w:rPr>
          <w:rFonts w:eastAsia="MS Mincho"/>
          <w:sz w:val="20"/>
          <w:szCs w:val="20"/>
          <w:lang w:val="en-US"/>
        </w:rPr>
        <w:t>(</w:t>
      </w:r>
      <w:r w:rsidR="00502B43" w:rsidRPr="00012C3F">
        <w:rPr>
          <w:rFonts w:eastAsia="MS Mincho"/>
          <w:sz w:val="20"/>
          <w:szCs w:val="20"/>
          <w:lang w:val="en-US"/>
        </w:rPr>
        <w:t>f)</w:t>
      </w:r>
      <w:r w:rsidR="005E5012" w:rsidRPr="00012C3F">
        <w:rPr>
          <w:rFonts w:eastAsia="MS Mincho"/>
          <w:sz w:val="20"/>
          <w:szCs w:val="20"/>
          <w:lang w:val="en-US"/>
        </w:rPr>
        <w:t xml:space="preserve"> and </w:t>
      </w:r>
      <w:r w:rsidR="005629BB" w:rsidRPr="00012C3F">
        <w:rPr>
          <w:rFonts w:eastAsia="MS Mincho"/>
          <w:sz w:val="20"/>
          <w:szCs w:val="20"/>
          <w:lang w:val="en-US"/>
        </w:rPr>
        <w:t>(</w:t>
      </w:r>
      <w:r w:rsidR="00502B43" w:rsidRPr="00012C3F">
        <w:rPr>
          <w:rFonts w:eastAsia="MS Mincho"/>
          <w:sz w:val="20"/>
          <w:szCs w:val="20"/>
          <w:lang w:val="en-US"/>
        </w:rPr>
        <w:t>g)</w:t>
      </w:r>
      <w:r w:rsidR="005629BB" w:rsidRPr="00012C3F">
        <w:rPr>
          <w:rFonts w:eastAsia="MS Mincho"/>
          <w:sz w:val="20"/>
          <w:szCs w:val="20"/>
          <w:lang w:val="en-US"/>
        </w:rPr>
        <w:t xml:space="preserve"> of </w:t>
      </w:r>
      <w:r w:rsidR="005629BB" w:rsidRPr="00012C3F">
        <w:rPr>
          <w:sz w:val="20"/>
          <w:szCs w:val="20"/>
          <w:lang w:val="en-US"/>
        </w:rPr>
        <w:t xml:space="preserve">Article 7 </w:t>
      </w:r>
      <w:r w:rsidR="001254DE" w:rsidRPr="00012C3F">
        <w:rPr>
          <w:rFonts w:eastAsia="MS Mincho"/>
          <w:sz w:val="20"/>
          <w:szCs w:val="20"/>
          <w:lang w:val="en-US"/>
        </w:rPr>
        <w:t xml:space="preserve">of the </w:t>
      </w:r>
      <w:r w:rsidR="001254DE" w:rsidRPr="00012C3F">
        <w:rPr>
          <w:sz w:val="20"/>
          <w:szCs w:val="20"/>
          <w:lang w:val="en-US"/>
        </w:rPr>
        <w:t>Convention</w:t>
      </w:r>
      <w:r w:rsidR="00502B43" w:rsidRPr="00012C3F">
        <w:rPr>
          <w:sz w:val="20"/>
          <w:szCs w:val="20"/>
          <w:lang w:val="en-US"/>
        </w:rPr>
        <w:t xml:space="preserve"> </w:t>
      </w:r>
      <w:r w:rsidR="005E5012" w:rsidRPr="00012C3F">
        <w:rPr>
          <w:sz w:val="20"/>
          <w:szCs w:val="20"/>
          <w:lang w:val="en-US"/>
        </w:rPr>
        <w:t>of Belém</w:t>
      </w:r>
      <w:r w:rsidR="00502B43" w:rsidRPr="00012C3F">
        <w:rPr>
          <w:sz w:val="20"/>
          <w:szCs w:val="20"/>
          <w:lang w:val="en-US"/>
        </w:rPr>
        <w:t xml:space="preserve"> do Pará. </w:t>
      </w:r>
      <w:r w:rsidR="005629BB" w:rsidRPr="00012C3F">
        <w:rPr>
          <w:sz w:val="20"/>
          <w:szCs w:val="20"/>
          <w:lang w:val="en-US"/>
        </w:rPr>
        <w:t xml:space="preserve">It will also address the arguments relating to the supposed discrimination in access to justice based on gender and economic </w:t>
      </w:r>
      <w:r w:rsidR="00212DA0" w:rsidRPr="00012C3F">
        <w:rPr>
          <w:sz w:val="20"/>
          <w:szCs w:val="20"/>
          <w:lang w:val="en-US"/>
        </w:rPr>
        <w:t>status</w:t>
      </w:r>
      <w:r w:rsidR="005629BB" w:rsidRPr="00012C3F">
        <w:rPr>
          <w:sz w:val="20"/>
          <w:szCs w:val="20"/>
          <w:lang w:val="en-US"/>
        </w:rPr>
        <w:t>, in the terms</w:t>
      </w:r>
      <w:r w:rsidR="005629BB" w:rsidRPr="00012C3F">
        <w:rPr>
          <w:rFonts w:eastAsia="MS Mincho"/>
          <w:sz w:val="20"/>
          <w:szCs w:val="20"/>
          <w:lang w:val="en-US"/>
        </w:rPr>
        <w:t xml:space="preserve"> </w:t>
      </w:r>
      <w:r w:rsidR="008A7A0F" w:rsidRPr="00012C3F">
        <w:rPr>
          <w:sz w:val="20"/>
          <w:szCs w:val="20"/>
          <w:lang w:val="en-US"/>
        </w:rPr>
        <w:t>of Article</w:t>
      </w:r>
      <w:r w:rsidR="00502B43" w:rsidRPr="00012C3F">
        <w:rPr>
          <w:sz w:val="20"/>
          <w:szCs w:val="20"/>
          <w:lang w:val="en-US"/>
        </w:rPr>
        <w:t xml:space="preserve"> </w:t>
      </w:r>
      <w:r w:rsidR="005E5012" w:rsidRPr="00012C3F">
        <w:rPr>
          <w:sz w:val="20"/>
          <w:szCs w:val="20"/>
          <w:lang w:val="en-US"/>
        </w:rPr>
        <w:t>1(1)</w:t>
      </w:r>
      <w:r w:rsidR="001254DE" w:rsidRPr="00012C3F">
        <w:rPr>
          <w:sz w:val="20"/>
          <w:szCs w:val="20"/>
          <w:lang w:val="en-US"/>
        </w:rPr>
        <w:t xml:space="preserve"> of the American Convention</w:t>
      </w:r>
      <w:r w:rsidR="00502B43" w:rsidRPr="00012C3F">
        <w:rPr>
          <w:sz w:val="20"/>
          <w:szCs w:val="20"/>
          <w:lang w:val="en-US"/>
        </w:rPr>
        <w:t xml:space="preserve">. </w:t>
      </w:r>
      <w:r w:rsidR="005629BB" w:rsidRPr="00012C3F">
        <w:rPr>
          <w:sz w:val="20"/>
          <w:szCs w:val="20"/>
          <w:lang w:val="en-US"/>
        </w:rPr>
        <w:t xml:space="preserve">In addition, it will </w:t>
      </w:r>
      <w:r w:rsidR="00BF673B" w:rsidRPr="00012C3F">
        <w:rPr>
          <w:sz w:val="20"/>
          <w:szCs w:val="20"/>
          <w:lang w:val="en-US"/>
        </w:rPr>
        <w:t>consider</w:t>
      </w:r>
      <w:r w:rsidR="005629BB" w:rsidRPr="00012C3F">
        <w:rPr>
          <w:sz w:val="20"/>
          <w:szCs w:val="20"/>
          <w:lang w:val="en-US"/>
        </w:rPr>
        <w:t xml:space="preserve"> the arguments </w:t>
      </w:r>
      <w:r w:rsidR="00972ACF" w:rsidRPr="00012C3F">
        <w:rPr>
          <w:sz w:val="20"/>
          <w:szCs w:val="20"/>
          <w:lang w:val="en-US"/>
        </w:rPr>
        <w:t>of the representative</w:t>
      </w:r>
      <w:r w:rsidR="00502B43" w:rsidRPr="00012C3F">
        <w:rPr>
          <w:sz w:val="20"/>
          <w:szCs w:val="20"/>
          <w:lang w:val="en-US"/>
        </w:rPr>
        <w:t xml:space="preserve"> </w:t>
      </w:r>
      <w:r w:rsidR="005629BB" w:rsidRPr="00012C3F">
        <w:rPr>
          <w:sz w:val="20"/>
          <w:szCs w:val="20"/>
          <w:lang w:val="en-US"/>
        </w:rPr>
        <w:t>in relation to</w:t>
      </w:r>
      <w:r w:rsidR="008A7A0F" w:rsidRPr="00012C3F">
        <w:rPr>
          <w:sz w:val="20"/>
          <w:szCs w:val="20"/>
          <w:lang w:val="en-US"/>
        </w:rPr>
        <w:t xml:space="preserve"> Article</w:t>
      </w:r>
      <w:r w:rsidR="00502B43" w:rsidRPr="00012C3F">
        <w:rPr>
          <w:sz w:val="20"/>
          <w:szCs w:val="20"/>
          <w:lang w:val="en-US"/>
        </w:rPr>
        <w:t xml:space="preserve"> 2</w:t>
      </w:r>
      <w:r w:rsidR="00B257AF" w:rsidRPr="00012C3F">
        <w:rPr>
          <w:sz w:val="20"/>
          <w:szCs w:val="20"/>
          <w:lang w:val="en-US"/>
        </w:rPr>
        <w:t>5(2)</w:t>
      </w:r>
      <w:r w:rsidR="005629BB" w:rsidRPr="00012C3F">
        <w:rPr>
          <w:sz w:val="20"/>
          <w:szCs w:val="20"/>
          <w:lang w:val="en-US"/>
        </w:rPr>
        <w:t>(</w:t>
      </w:r>
      <w:r w:rsidR="00502B43" w:rsidRPr="00012C3F">
        <w:rPr>
          <w:sz w:val="20"/>
          <w:szCs w:val="20"/>
          <w:lang w:val="en-US"/>
        </w:rPr>
        <w:t>a)</w:t>
      </w:r>
      <w:r w:rsidR="001254DE" w:rsidRPr="00012C3F">
        <w:rPr>
          <w:sz w:val="20"/>
          <w:szCs w:val="20"/>
          <w:lang w:val="en-US"/>
        </w:rPr>
        <w:t xml:space="preserve"> of the American Convention</w:t>
      </w:r>
      <w:r w:rsidR="00502B43" w:rsidRPr="00012C3F">
        <w:rPr>
          <w:sz w:val="20"/>
          <w:szCs w:val="20"/>
          <w:lang w:val="en-US"/>
        </w:rPr>
        <w:t xml:space="preserve">, </w:t>
      </w:r>
      <w:r w:rsidR="005629BB" w:rsidRPr="00012C3F">
        <w:rPr>
          <w:sz w:val="20"/>
          <w:szCs w:val="20"/>
          <w:lang w:val="en-US"/>
        </w:rPr>
        <w:t xml:space="preserve">regarding the obligation </w:t>
      </w:r>
      <w:r w:rsidR="00A710F6" w:rsidRPr="00012C3F">
        <w:rPr>
          <w:sz w:val="20"/>
          <w:szCs w:val="20"/>
          <w:lang w:val="en-US"/>
        </w:rPr>
        <w:t>to ensure that the competent authority established by the laws of the State</w:t>
      </w:r>
      <w:r w:rsidR="00502B43" w:rsidRPr="00012C3F">
        <w:rPr>
          <w:sz w:val="20"/>
          <w:szCs w:val="20"/>
          <w:lang w:val="en-US"/>
        </w:rPr>
        <w:t xml:space="preserve"> </w:t>
      </w:r>
      <w:r w:rsidR="00A710F6" w:rsidRPr="00012C3F">
        <w:rPr>
          <w:sz w:val="20"/>
          <w:szCs w:val="20"/>
          <w:lang w:val="en-US"/>
        </w:rPr>
        <w:t>will determine the rights of everyone who files a remedy</w:t>
      </w:r>
      <w:r w:rsidR="00502B43" w:rsidRPr="00012C3F">
        <w:rPr>
          <w:rFonts w:eastAsia="MS Mincho"/>
          <w:sz w:val="20"/>
          <w:szCs w:val="20"/>
          <w:lang w:val="en-US"/>
        </w:rPr>
        <w:t xml:space="preserve"> (</w:t>
      </w:r>
      <w:r w:rsidR="00502B43" w:rsidRPr="00012C3F">
        <w:rPr>
          <w:rFonts w:eastAsia="MS Mincho"/>
          <w:i/>
          <w:sz w:val="20"/>
          <w:szCs w:val="20"/>
          <w:lang w:val="en-US"/>
        </w:rPr>
        <w:t xml:space="preserve">supra </w:t>
      </w:r>
      <w:r w:rsidR="00370DD4" w:rsidRPr="00012C3F">
        <w:rPr>
          <w:rFonts w:eastAsia="MS Mincho"/>
          <w:sz w:val="20"/>
          <w:szCs w:val="20"/>
          <w:lang w:val="en-US"/>
        </w:rPr>
        <w:t>para.</w:t>
      </w:r>
      <w:r w:rsidR="00502B43" w:rsidRPr="00012C3F">
        <w:rPr>
          <w:rFonts w:eastAsia="MS Mincho"/>
          <w:sz w:val="20"/>
          <w:szCs w:val="20"/>
          <w:lang w:val="en-US"/>
        </w:rPr>
        <w:t xml:space="preserve"> </w:t>
      </w:r>
      <w:r w:rsidR="00D06231" w:rsidRPr="00012C3F">
        <w:rPr>
          <w:rFonts w:eastAsia="MS Mincho"/>
          <w:sz w:val="20"/>
          <w:szCs w:val="20"/>
          <w:lang w:val="en-US"/>
        </w:rPr>
        <w:t>49</w:t>
      </w:r>
      <w:r w:rsidR="00502B43" w:rsidRPr="00012C3F">
        <w:rPr>
          <w:rFonts w:eastAsia="MS Mincho"/>
          <w:sz w:val="20"/>
          <w:szCs w:val="20"/>
          <w:lang w:val="en-US"/>
        </w:rPr>
        <w:t>).</w:t>
      </w:r>
    </w:p>
    <w:p w14:paraId="112E095A" w14:textId="77777777" w:rsidR="00502B43" w:rsidRPr="00012C3F" w:rsidRDefault="00502B43" w:rsidP="00EA2F5A">
      <w:pPr>
        <w:tabs>
          <w:tab w:val="left" w:pos="720"/>
        </w:tabs>
        <w:spacing w:line="240" w:lineRule="auto"/>
        <w:rPr>
          <w:rFonts w:eastAsia="MS Mincho"/>
          <w:sz w:val="20"/>
          <w:szCs w:val="20"/>
          <w:lang w:val="en-US"/>
        </w:rPr>
      </w:pPr>
    </w:p>
    <w:p w14:paraId="2E298369" w14:textId="77777777" w:rsidR="00502B43" w:rsidRPr="00012C3F" w:rsidRDefault="009867D6" w:rsidP="00EA2F5A">
      <w:pPr>
        <w:keepNext/>
        <w:keepLines/>
        <w:tabs>
          <w:tab w:val="left" w:pos="720"/>
          <w:tab w:val="left" w:pos="1134"/>
        </w:tabs>
        <w:spacing w:line="240" w:lineRule="auto"/>
        <w:ind w:left="567" w:firstLine="1"/>
        <w:outlineLvl w:val="1"/>
        <w:rPr>
          <w:rFonts w:eastAsia="MS Mincho"/>
          <w:b/>
          <w:bCs/>
          <w:i/>
          <w:sz w:val="20"/>
          <w:szCs w:val="20"/>
          <w:lang w:val="en-US"/>
        </w:rPr>
      </w:pPr>
      <w:bookmarkStart w:id="164" w:name="_Toc461305143"/>
      <w:bookmarkStart w:id="165" w:name="_Toc27486877"/>
      <w:r w:rsidRPr="00012C3F">
        <w:rPr>
          <w:rFonts w:eastAsia="MS Mincho"/>
          <w:b/>
          <w:bCs/>
          <w:i/>
          <w:sz w:val="20"/>
          <w:szCs w:val="20"/>
          <w:lang w:val="en-US"/>
        </w:rPr>
        <w:t xml:space="preserve">A. </w:t>
      </w:r>
      <w:r w:rsidRPr="00012C3F">
        <w:rPr>
          <w:rFonts w:eastAsia="MS Mincho"/>
          <w:b/>
          <w:bCs/>
          <w:i/>
          <w:sz w:val="20"/>
          <w:szCs w:val="20"/>
          <w:lang w:val="en-US"/>
        </w:rPr>
        <w:tab/>
      </w:r>
      <w:r w:rsidR="006C705C" w:rsidRPr="00012C3F">
        <w:rPr>
          <w:rFonts w:eastAsia="MS Mincho"/>
          <w:b/>
          <w:bCs/>
          <w:i/>
          <w:sz w:val="20"/>
          <w:szCs w:val="20"/>
          <w:lang w:val="en-US"/>
        </w:rPr>
        <w:t>Arguments of the parties</w:t>
      </w:r>
      <w:r w:rsidR="005E5012" w:rsidRPr="00012C3F">
        <w:rPr>
          <w:rFonts w:eastAsia="MS Mincho"/>
          <w:b/>
          <w:bCs/>
          <w:i/>
          <w:sz w:val="20"/>
          <w:szCs w:val="20"/>
          <w:lang w:val="en-US"/>
        </w:rPr>
        <w:t xml:space="preserve"> and </w:t>
      </w:r>
      <w:r w:rsidR="001254DE" w:rsidRPr="00012C3F">
        <w:rPr>
          <w:rFonts w:eastAsia="MS Mincho"/>
          <w:b/>
          <w:bCs/>
          <w:i/>
          <w:sz w:val="20"/>
          <w:szCs w:val="20"/>
          <w:lang w:val="en-US"/>
        </w:rPr>
        <w:t xml:space="preserve">of the </w:t>
      </w:r>
      <w:r w:rsidR="00A84CA0" w:rsidRPr="00012C3F">
        <w:rPr>
          <w:rFonts w:eastAsia="MS Mincho"/>
          <w:b/>
          <w:bCs/>
          <w:i/>
          <w:sz w:val="20"/>
          <w:szCs w:val="20"/>
          <w:lang w:val="en-US"/>
        </w:rPr>
        <w:t>Commission</w:t>
      </w:r>
      <w:bookmarkEnd w:id="164"/>
      <w:bookmarkEnd w:id="165"/>
    </w:p>
    <w:p w14:paraId="09A31217" w14:textId="77777777" w:rsidR="00502B43" w:rsidRPr="00012C3F" w:rsidRDefault="00502B43" w:rsidP="00EA2F5A">
      <w:pPr>
        <w:tabs>
          <w:tab w:val="left" w:pos="720"/>
        </w:tabs>
        <w:spacing w:line="240" w:lineRule="auto"/>
        <w:rPr>
          <w:rFonts w:eastAsia="MS Mincho"/>
          <w:sz w:val="20"/>
          <w:szCs w:val="20"/>
          <w:lang w:val="en-US"/>
        </w:rPr>
      </w:pPr>
    </w:p>
    <w:p w14:paraId="4FF99FA5" w14:textId="77777777" w:rsidR="00502B43" w:rsidRPr="00012C3F" w:rsidRDefault="00502B43" w:rsidP="00EA2F5A">
      <w:pPr>
        <w:pStyle w:val="Ttulo2"/>
        <w:tabs>
          <w:tab w:val="left" w:pos="720"/>
          <w:tab w:val="left" w:pos="1701"/>
        </w:tabs>
        <w:spacing w:before="0" w:line="240" w:lineRule="auto"/>
        <w:ind w:left="1134"/>
        <w:rPr>
          <w:rFonts w:ascii="Verdana" w:hAnsi="Verdana"/>
          <w:b w:val="0"/>
          <w:i/>
          <w:color w:val="auto"/>
          <w:sz w:val="20"/>
          <w:szCs w:val="20"/>
          <w:lang w:val="en-US"/>
        </w:rPr>
      </w:pPr>
      <w:bookmarkStart w:id="166" w:name="_Toc459158126"/>
      <w:bookmarkStart w:id="167" w:name="_Toc461305144"/>
      <w:bookmarkStart w:id="168" w:name="_Toc27486878"/>
      <w:r w:rsidRPr="00012C3F">
        <w:rPr>
          <w:rFonts w:ascii="Verdana" w:hAnsi="Verdana"/>
          <w:b w:val="0"/>
          <w:i/>
          <w:color w:val="auto"/>
          <w:sz w:val="20"/>
          <w:szCs w:val="20"/>
          <w:lang w:val="en-US"/>
        </w:rPr>
        <w:t xml:space="preserve">A.1 </w:t>
      </w:r>
      <w:bookmarkEnd w:id="166"/>
      <w:r w:rsidR="006A16C8" w:rsidRPr="00012C3F">
        <w:rPr>
          <w:rFonts w:ascii="Verdana" w:hAnsi="Verdana"/>
          <w:b w:val="0"/>
          <w:i/>
          <w:color w:val="auto"/>
          <w:sz w:val="20"/>
          <w:szCs w:val="20"/>
          <w:lang w:val="en-US"/>
        </w:rPr>
        <w:tab/>
      </w:r>
      <w:r w:rsidR="00A710F6" w:rsidRPr="00012C3F">
        <w:rPr>
          <w:rFonts w:ascii="Verdana" w:hAnsi="Verdana"/>
          <w:b w:val="0"/>
          <w:i/>
          <w:color w:val="auto"/>
          <w:sz w:val="20"/>
          <w:szCs w:val="20"/>
          <w:lang w:val="en-US"/>
        </w:rPr>
        <w:t>Arguments on</w:t>
      </w:r>
      <w:r w:rsidRPr="00012C3F">
        <w:rPr>
          <w:rFonts w:ascii="Verdana" w:hAnsi="Verdana"/>
          <w:b w:val="0"/>
          <w:i/>
          <w:color w:val="auto"/>
          <w:sz w:val="20"/>
          <w:szCs w:val="20"/>
          <w:lang w:val="en-US"/>
        </w:rPr>
        <w:t xml:space="preserve"> </w:t>
      </w:r>
      <w:r w:rsidR="00A710F6" w:rsidRPr="00012C3F">
        <w:rPr>
          <w:rFonts w:ascii="Verdana" w:hAnsi="Verdana"/>
          <w:b w:val="0"/>
          <w:i/>
          <w:color w:val="auto"/>
          <w:sz w:val="20"/>
          <w:szCs w:val="20"/>
          <w:lang w:val="en-US"/>
        </w:rPr>
        <w:t>access to justice</w:t>
      </w:r>
      <w:bookmarkEnd w:id="167"/>
      <w:bookmarkEnd w:id="168"/>
    </w:p>
    <w:p w14:paraId="366E6BFC" w14:textId="77777777" w:rsidR="00502B43" w:rsidRPr="00012C3F" w:rsidRDefault="00502B43" w:rsidP="00EA2F5A">
      <w:pPr>
        <w:tabs>
          <w:tab w:val="left" w:pos="720"/>
        </w:tabs>
        <w:spacing w:line="240" w:lineRule="auto"/>
        <w:rPr>
          <w:rFonts w:eastAsia="MS Mincho"/>
          <w:sz w:val="20"/>
          <w:szCs w:val="20"/>
          <w:lang w:val="en-US"/>
        </w:rPr>
      </w:pPr>
    </w:p>
    <w:p w14:paraId="453183BB" w14:textId="77777777" w:rsidR="00502B43" w:rsidRPr="00012C3F" w:rsidRDefault="00BD056C" w:rsidP="000A4DC1">
      <w:pPr>
        <w:numPr>
          <w:ilvl w:val="0"/>
          <w:numId w:val="5"/>
        </w:numPr>
        <w:tabs>
          <w:tab w:val="left" w:pos="720"/>
          <w:tab w:val="num" w:pos="12305"/>
        </w:tabs>
        <w:spacing w:line="240" w:lineRule="auto"/>
        <w:ind w:left="0" w:firstLine="0"/>
        <w:rPr>
          <w:rFonts w:eastAsia="Calibri" w:cs="Arial"/>
          <w:sz w:val="20"/>
          <w:szCs w:val="20"/>
          <w:lang w:val="en-US" w:eastAsia="en-US"/>
        </w:rPr>
      </w:pPr>
      <w:r w:rsidRPr="00012C3F">
        <w:rPr>
          <w:rFonts w:eastAsia="MS Mincho"/>
          <w:sz w:val="20"/>
          <w:szCs w:val="20"/>
          <w:lang w:val="en-US"/>
        </w:rPr>
        <w:t xml:space="preserve">The </w:t>
      </w:r>
      <w:r w:rsidRPr="00012C3F">
        <w:rPr>
          <w:rFonts w:eastAsia="MS Mincho"/>
          <w:b/>
          <w:bCs/>
          <w:i/>
          <w:iCs/>
          <w:sz w:val="20"/>
          <w:szCs w:val="20"/>
          <w:lang w:val="en-US"/>
        </w:rPr>
        <w:t>Commission</w:t>
      </w:r>
      <w:r w:rsidR="00502B43" w:rsidRPr="00012C3F">
        <w:rPr>
          <w:rFonts w:eastAsia="MS Mincho"/>
          <w:sz w:val="20"/>
          <w:szCs w:val="20"/>
          <w:lang w:val="en-US"/>
        </w:rPr>
        <w:t xml:space="preserve"> </w:t>
      </w:r>
      <w:r w:rsidR="00BF673B" w:rsidRPr="00012C3F">
        <w:rPr>
          <w:rFonts w:eastAsia="MS Mincho"/>
          <w:sz w:val="20"/>
          <w:szCs w:val="20"/>
          <w:lang w:val="en-US"/>
        </w:rPr>
        <w:t>recalled that the</w:t>
      </w:r>
      <w:r w:rsidR="00502B43" w:rsidRPr="00012C3F">
        <w:rPr>
          <w:rFonts w:eastAsia="MS Mincho"/>
          <w:sz w:val="20"/>
          <w:szCs w:val="20"/>
          <w:lang w:val="en-US"/>
        </w:rPr>
        <w:t xml:space="preserve"> </w:t>
      </w:r>
      <w:r w:rsidR="00BF673B" w:rsidRPr="00012C3F">
        <w:rPr>
          <w:rFonts w:eastAsia="MS Mincho"/>
          <w:sz w:val="20"/>
          <w:szCs w:val="20"/>
          <w:lang w:val="en-US"/>
        </w:rPr>
        <w:t>c</w:t>
      </w:r>
      <w:r w:rsidR="006C705C" w:rsidRPr="00012C3F">
        <w:rPr>
          <w:rFonts w:eastAsia="MS Mincho"/>
          <w:sz w:val="20"/>
          <w:szCs w:val="20"/>
          <w:lang w:val="en-US"/>
        </w:rPr>
        <w:t>riminal proceedings</w:t>
      </w:r>
      <w:r w:rsidR="00502B43" w:rsidRPr="00012C3F">
        <w:rPr>
          <w:rFonts w:eastAsia="MS Mincho"/>
          <w:sz w:val="20"/>
          <w:szCs w:val="20"/>
          <w:lang w:val="en-US"/>
        </w:rPr>
        <w:t xml:space="preserve"> “</w:t>
      </w:r>
      <w:r w:rsidR="000A4DC1" w:rsidRPr="00012C3F">
        <w:rPr>
          <w:rFonts w:eastAsia="MS Mincho"/>
          <w:sz w:val="20"/>
          <w:szCs w:val="20"/>
          <w:lang w:val="en-US"/>
        </w:rPr>
        <w:t>went on for four years without a final judgment being handed down on the merits of the case.”</w:t>
      </w:r>
      <w:r w:rsidR="00502B43" w:rsidRPr="00012C3F">
        <w:rPr>
          <w:rFonts w:eastAsia="MS Mincho"/>
          <w:sz w:val="20"/>
          <w:szCs w:val="20"/>
          <w:lang w:val="en-US"/>
        </w:rPr>
        <w:t xml:space="preserve"> </w:t>
      </w:r>
      <w:r w:rsidR="000A4DC1" w:rsidRPr="00012C3F">
        <w:rPr>
          <w:rFonts w:eastAsia="MS Mincho"/>
          <w:sz w:val="20"/>
          <w:szCs w:val="20"/>
          <w:lang w:val="en-US"/>
        </w:rPr>
        <w:t>The</w:t>
      </w:r>
      <w:r w:rsidR="001254DE" w:rsidRPr="00012C3F">
        <w:rPr>
          <w:rFonts w:eastAsia="MS Mincho"/>
          <w:sz w:val="20"/>
          <w:szCs w:val="20"/>
          <w:lang w:val="en-US"/>
        </w:rPr>
        <w:t xml:space="preserve"> </w:t>
      </w:r>
      <w:r w:rsidR="00A84CA0" w:rsidRPr="00012C3F">
        <w:rPr>
          <w:rFonts w:eastAsia="MS Mincho"/>
          <w:sz w:val="20"/>
          <w:szCs w:val="20"/>
          <w:lang w:val="en-US"/>
        </w:rPr>
        <w:t>Commission</w:t>
      </w:r>
      <w:r w:rsidR="000A4DC1" w:rsidRPr="00012C3F">
        <w:rPr>
          <w:rFonts w:eastAsia="MS Mincho"/>
          <w:sz w:val="20"/>
          <w:szCs w:val="20"/>
          <w:lang w:val="en-US"/>
        </w:rPr>
        <w:t xml:space="preserve"> also underlined that, during the proceedings two judgments were handed down that explicitly recognized that </w:t>
      </w:r>
      <w:r w:rsidR="000A4DC1" w:rsidRPr="00012C3F">
        <w:rPr>
          <w:rFonts w:eastAsia="MS Mincho"/>
          <w:sz w:val="20"/>
          <w:szCs w:val="20"/>
          <w:lang w:val="en-US"/>
        </w:rPr>
        <w:lastRenderedPageBreak/>
        <w:t>during the trial process various procedural errors and delays had taken place that can be attributed to the organs responsible administering justice, as a result of which the criminal proceedings were declared to have extinguished and the case was archived</w:t>
      </w:r>
      <w:r w:rsidR="00502B43" w:rsidRPr="00012C3F">
        <w:rPr>
          <w:rFonts w:eastAsia="MS Mincho"/>
          <w:sz w:val="20"/>
          <w:szCs w:val="20"/>
          <w:lang w:val="en-US"/>
        </w:rPr>
        <w:t xml:space="preserve">. </w:t>
      </w:r>
      <w:r w:rsidRPr="00012C3F">
        <w:rPr>
          <w:rFonts w:eastAsia="MS Mincho"/>
          <w:sz w:val="20"/>
          <w:szCs w:val="20"/>
          <w:lang w:val="en-US"/>
        </w:rPr>
        <w:t>The Commission</w:t>
      </w:r>
      <w:r w:rsidR="00502B43" w:rsidRPr="00012C3F">
        <w:rPr>
          <w:rFonts w:eastAsia="MS Mincho"/>
          <w:sz w:val="20"/>
          <w:szCs w:val="20"/>
          <w:lang w:val="en-US"/>
        </w:rPr>
        <w:t xml:space="preserve"> consider</w:t>
      </w:r>
      <w:r w:rsidR="000A4DC1" w:rsidRPr="00012C3F">
        <w:rPr>
          <w:rFonts w:eastAsia="MS Mincho"/>
          <w:sz w:val="20"/>
          <w:szCs w:val="20"/>
          <w:lang w:val="en-US"/>
        </w:rPr>
        <w:t xml:space="preserve">ed that “the way the Judiciary acted was ineffective, because the procedural defects and unwarranted delays verified during the criminal proceedings, as a result of which the criminal action was declared to have extinguished, resulted in a denial of justice for I.V., depriving her of her right to judicial determination of responsibilities derived from the human rights violation to which she had been subjected and to reparation for the harm done.” Consequently, the Commission concluded that “the State, through the actions of the Judiciary and its health care system, violated I.V.’s right of access to justice and her right to judicial guarantees and judicial protection in violation of </w:t>
      </w:r>
      <w:r w:rsidR="001254DE" w:rsidRPr="00012C3F">
        <w:rPr>
          <w:rFonts w:eastAsia="MS Mincho"/>
          <w:sz w:val="20"/>
          <w:szCs w:val="20"/>
          <w:lang w:val="en-US"/>
        </w:rPr>
        <w:t>Articles</w:t>
      </w:r>
      <w:r w:rsidR="00502B43" w:rsidRPr="00012C3F">
        <w:rPr>
          <w:rFonts w:eastAsia="MS Mincho"/>
          <w:sz w:val="20"/>
          <w:szCs w:val="20"/>
          <w:lang w:val="en-US"/>
        </w:rPr>
        <w:t xml:space="preserve"> </w:t>
      </w:r>
      <w:r w:rsidR="005E5012" w:rsidRPr="00012C3F">
        <w:rPr>
          <w:rFonts w:eastAsia="MS Mincho"/>
          <w:sz w:val="20"/>
          <w:szCs w:val="20"/>
          <w:lang w:val="en-US"/>
        </w:rPr>
        <w:t xml:space="preserve">8(1) and </w:t>
      </w:r>
      <w:r w:rsidR="00502B43" w:rsidRPr="00012C3F">
        <w:rPr>
          <w:rFonts w:eastAsia="MS Mincho"/>
          <w:sz w:val="20"/>
          <w:szCs w:val="20"/>
          <w:lang w:val="en-US"/>
        </w:rPr>
        <w:t>2</w:t>
      </w:r>
      <w:r w:rsidR="005E5012" w:rsidRPr="00012C3F">
        <w:rPr>
          <w:rFonts w:eastAsia="MS Mincho"/>
          <w:sz w:val="20"/>
          <w:szCs w:val="20"/>
          <w:lang w:val="en-US"/>
        </w:rPr>
        <w:t>5(1)</w:t>
      </w:r>
      <w:r w:rsidR="001254DE" w:rsidRPr="00012C3F">
        <w:rPr>
          <w:rFonts w:eastAsia="MS Mincho"/>
          <w:sz w:val="20"/>
          <w:szCs w:val="20"/>
          <w:lang w:val="en-US"/>
        </w:rPr>
        <w:t xml:space="preserve"> of the American Convention</w:t>
      </w:r>
      <w:r w:rsidR="00502B43" w:rsidRPr="00012C3F">
        <w:rPr>
          <w:rFonts w:eastAsia="MS Mincho"/>
          <w:sz w:val="20"/>
          <w:szCs w:val="20"/>
          <w:lang w:val="en-US"/>
        </w:rPr>
        <w:t xml:space="preserve">, </w:t>
      </w:r>
      <w:r w:rsidR="006C705C" w:rsidRPr="00012C3F">
        <w:rPr>
          <w:rFonts w:eastAsia="MS Mincho"/>
          <w:sz w:val="20"/>
          <w:szCs w:val="20"/>
          <w:lang w:val="en-US"/>
        </w:rPr>
        <w:t xml:space="preserve">in </w:t>
      </w:r>
      <w:r w:rsidR="000A4DC1" w:rsidRPr="00012C3F">
        <w:rPr>
          <w:rFonts w:eastAsia="MS Mincho"/>
          <w:sz w:val="20"/>
          <w:szCs w:val="20"/>
          <w:lang w:val="en-US"/>
        </w:rPr>
        <w:t>conjunction with</w:t>
      </w:r>
      <w:r w:rsidR="00502B43" w:rsidRPr="00012C3F">
        <w:rPr>
          <w:rFonts w:eastAsia="MS Mincho"/>
          <w:sz w:val="20"/>
          <w:szCs w:val="20"/>
          <w:lang w:val="en-US"/>
        </w:rPr>
        <w:t xml:space="preserve"> </w:t>
      </w:r>
      <w:r w:rsidR="000A4DC1" w:rsidRPr="00012C3F">
        <w:rPr>
          <w:rFonts w:eastAsia="MS Mincho"/>
          <w:sz w:val="20"/>
          <w:szCs w:val="20"/>
          <w:lang w:val="en-US"/>
        </w:rPr>
        <w:t xml:space="preserve">the obligation not to discriminate established in </w:t>
      </w:r>
      <w:r w:rsidR="001254DE" w:rsidRPr="00012C3F">
        <w:rPr>
          <w:rFonts w:eastAsia="MS Mincho"/>
          <w:sz w:val="20"/>
          <w:szCs w:val="20"/>
          <w:lang w:val="en-US"/>
        </w:rPr>
        <w:t>Article</w:t>
      </w:r>
      <w:r w:rsidR="00502B43" w:rsidRPr="00012C3F">
        <w:rPr>
          <w:rFonts w:eastAsia="MS Mincho"/>
          <w:sz w:val="20"/>
          <w:szCs w:val="20"/>
          <w:lang w:val="en-US"/>
        </w:rPr>
        <w:t xml:space="preserve"> </w:t>
      </w:r>
      <w:r w:rsidR="005E5012" w:rsidRPr="00012C3F">
        <w:rPr>
          <w:rFonts w:eastAsia="MS Mincho"/>
          <w:sz w:val="20"/>
          <w:szCs w:val="20"/>
          <w:lang w:val="en-US"/>
        </w:rPr>
        <w:t>1(1)</w:t>
      </w:r>
      <w:r w:rsidR="00502B43" w:rsidRPr="00012C3F">
        <w:rPr>
          <w:rFonts w:eastAsia="MS Mincho"/>
          <w:sz w:val="20"/>
          <w:szCs w:val="20"/>
          <w:lang w:val="en-US"/>
        </w:rPr>
        <w:t xml:space="preserve"> </w:t>
      </w:r>
      <w:r w:rsidR="005E5012" w:rsidRPr="00012C3F">
        <w:rPr>
          <w:rFonts w:eastAsia="MS Mincho"/>
          <w:sz w:val="20"/>
          <w:szCs w:val="20"/>
          <w:lang w:val="en-US"/>
        </w:rPr>
        <w:t>of this instrument</w:t>
      </w:r>
      <w:r w:rsidR="00502B43" w:rsidRPr="00012C3F">
        <w:rPr>
          <w:rFonts w:eastAsia="MS Mincho"/>
          <w:sz w:val="20"/>
          <w:szCs w:val="20"/>
          <w:lang w:val="en-US"/>
        </w:rPr>
        <w:t>”.</w:t>
      </w:r>
    </w:p>
    <w:p w14:paraId="179766F7" w14:textId="77777777" w:rsidR="00502B43" w:rsidRPr="00012C3F" w:rsidRDefault="00502B43" w:rsidP="00502B43">
      <w:pPr>
        <w:tabs>
          <w:tab w:val="left" w:pos="720"/>
        </w:tabs>
        <w:spacing w:line="240" w:lineRule="auto"/>
        <w:rPr>
          <w:rFonts w:eastAsia="MS Mincho"/>
          <w:sz w:val="20"/>
          <w:szCs w:val="20"/>
          <w:lang w:val="en-US"/>
        </w:rPr>
      </w:pPr>
    </w:p>
    <w:p w14:paraId="2655D6E4" w14:textId="77777777" w:rsidR="00502B43" w:rsidRPr="00012C3F" w:rsidRDefault="000A4DC1" w:rsidP="00D677EF">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t>In its final observations</w:t>
      </w:r>
      <w:r w:rsidR="00502B43" w:rsidRPr="00012C3F">
        <w:rPr>
          <w:rFonts w:eastAsia="MS Mincho"/>
          <w:sz w:val="20"/>
          <w:szCs w:val="20"/>
          <w:lang w:val="en-US"/>
        </w:rPr>
        <w:t xml:space="preserve">, </w:t>
      </w:r>
      <w:r w:rsidR="001254DE" w:rsidRPr="00012C3F">
        <w:rPr>
          <w:rFonts w:eastAsia="MS Mincho"/>
          <w:sz w:val="20"/>
          <w:szCs w:val="20"/>
          <w:lang w:val="en-US"/>
        </w:rPr>
        <w:t xml:space="preserve">the </w:t>
      </w:r>
      <w:r w:rsidR="00A84CA0" w:rsidRPr="00012C3F">
        <w:rPr>
          <w:rFonts w:eastAsia="MS Mincho"/>
          <w:sz w:val="20"/>
          <w:szCs w:val="20"/>
          <w:lang w:val="en-US"/>
        </w:rPr>
        <w:t>Commission</w:t>
      </w:r>
      <w:r w:rsidR="00502B43" w:rsidRPr="00012C3F">
        <w:rPr>
          <w:rFonts w:eastAsia="MS Mincho"/>
          <w:sz w:val="20"/>
          <w:szCs w:val="20"/>
          <w:lang w:val="en-US"/>
        </w:rPr>
        <w:t xml:space="preserve"> </w:t>
      </w:r>
      <w:r w:rsidRPr="00012C3F">
        <w:rPr>
          <w:rFonts w:eastAsia="MS Mincho"/>
          <w:sz w:val="20"/>
          <w:szCs w:val="20"/>
          <w:lang w:val="en-US"/>
        </w:rPr>
        <w:t>a</w:t>
      </w:r>
      <w:r w:rsidR="00D677EF" w:rsidRPr="00012C3F">
        <w:rPr>
          <w:rFonts w:eastAsia="MS Mincho"/>
          <w:sz w:val="20"/>
          <w:szCs w:val="20"/>
          <w:lang w:val="en-US"/>
        </w:rPr>
        <w:t>rgued</w:t>
      </w:r>
      <w:r w:rsidRPr="00012C3F">
        <w:rPr>
          <w:rFonts w:eastAsia="MS Mincho"/>
          <w:sz w:val="20"/>
          <w:szCs w:val="20"/>
          <w:lang w:val="en-US"/>
        </w:rPr>
        <w:t xml:space="preserve"> that, in cases related to human rights violations as a result of a medical procedure, </w:t>
      </w:r>
      <w:r w:rsidR="00D677EF" w:rsidRPr="00012C3F">
        <w:rPr>
          <w:rFonts w:eastAsia="MS Mincho"/>
          <w:sz w:val="20"/>
          <w:szCs w:val="20"/>
          <w:lang w:val="en-US"/>
        </w:rPr>
        <w:t xml:space="preserve">an investigation should be conducted with due diligence, with the proper guarantees and within a reasonable time. Regarding due diligence in the conduct of </w:t>
      </w:r>
      <w:r w:rsidR="00A710F6" w:rsidRPr="00012C3F">
        <w:rPr>
          <w:rFonts w:eastAsia="MS Mincho"/>
          <w:sz w:val="20"/>
          <w:szCs w:val="20"/>
          <w:lang w:val="en-US"/>
        </w:rPr>
        <w:t>the criminal</w:t>
      </w:r>
      <w:r w:rsidR="006C705C" w:rsidRPr="00012C3F">
        <w:rPr>
          <w:rFonts w:eastAsia="MS Mincho"/>
          <w:sz w:val="20"/>
          <w:szCs w:val="20"/>
          <w:lang w:val="en-US"/>
        </w:rPr>
        <w:t xml:space="preserve"> proceedings</w:t>
      </w:r>
      <w:r w:rsidR="00502B43" w:rsidRPr="00012C3F">
        <w:rPr>
          <w:rFonts w:eastAsia="MS Mincho"/>
          <w:sz w:val="20"/>
          <w:szCs w:val="20"/>
          <w:lang w:val="en-US"/>
        </w:rPr>
        <w:t xml:space="preserve">, </w:t>
      </w:r>
      <w:r w:rsidR="001254DE" w:rsidRPr="00012C3F">
        <w:rPr>
          <w:rFonts w:eastAsia="MS Mincho"/>
          <w:sz w:val="20"/>
          <w:szCs w:val="20"/>
          <w:lang w:val="en-US"/>
        </w:rPr>
        <w:t xml:space="preserve">the </w:t>
      </w:r>
      <w:r w:rsidR="00A84CA0" w:rsidRPr="00012C3F">
        <w:rPr>
          <w:rFonts w:eastAsia="MS Mincho"/>
          <w:sz w:val="20"/>
          <w:szCs w:val="20"/>
          <w:lang w:val="en-US"/>
        </w:rPr>
        <w:t>Commission</w:t>
      </w:r>
      <w:r w:rsidR="00502B43" w:rsidRPr="00012C3F">
        <w:rPr>
          <w:rFonts w:eastAsia="MS Mincho"/>
          <w:sz w:val="20"/>
          <w:szCs w:val="20"/>
          <w:lang w:val="en-US"/>
        </w:rPr>
        <w:t xml:space="preserve"> </w:t>
      </w:r>
      <w:r w:rsidR="00D677EF" w:rsidRPr="00012C3F">
        <w:rPr>
          <w:rFonts w:eastAsia="MS Mincho"/>
          <w:sz w:val="20"/>
          <w:szCs w:val="20"/>
          <w:lang w:val="en-US"/>
        </w:rPr>
        <w:t xml:space="preserve">indicated that, during the years it lasted, numerous procedural defects and errors occurred, and also additional delays to establish a court with lay judges and </w:t>
      </w:r>
      <w:r w:rsidR="00606749" w:rsidRPr="00012C3F">
        <w:rPr>
          <w:rFonts w:eastAsia="MS Mincho"/>
          <w:sz w:val="20"/>
          <w:szCs w:val="20"/>
          <w:lang w:val="en-US"/>
        </w:rPr>
        <w:t xml:space="preserve">due to </w:t>
      </w:r>
      <w:r w:rsidR="00D677EF" w:rsidRPr="00012C3F">
        <w:rPr>
          <w:rFonts w:eastAsia="MS Mincho"/>
          <w:sz w:val="20"/>
          <w:szCs w:val="20"/>
          <w:lang w:val="en-US"/>
        </w:rPr>
        <w:t xml:space="preserve">the filing of the case far from where the facts had occurred and from I.V.’s places of residence, hampering the participation of victim, expert witnesses and witnesses. According to the Commission, these flaws and delays not only resulted in the ineffectiveness of the investigation, but also the extinction of </w:t>
      </w:r>
      <w:r w:rsidR="00A710F6" w:rsidRPr="00012C3F">
        <w:rPr>
          <w:rFonts w:eastAsia="MS Mincho"/>
          <w:sz w:val="20"/>
          <w:szCs w:val="20"/>
          <w:lang w:val="en-US"/>
        </w:rPr>
        <w:t>the criminal</w:t>
      </w:r>
      <w:r w:rsidR="006C705C" w:rsidRPr="00012C3F">
        <w:rPr>
          <w:rFonts w:eastAsia="MS Mincho"/>
          <w:sz w:val="20"/>
          <w:szCs w:val="20"/>
          <w:lang w:val="en-US"/>
        </w:rPr>
        <w:t xml:space="preserve"> proceedings</w:t>
      </w:r>
      <w:r w:rsidR="00502B43" w:rsidRPr="00012C3F">
        <w:rPr>
          <w:rFonts w:eastAsia="MS Mincho"/>
          <w:sz w:val="20"/>
          <w:szCs w:val="20"/>
          <w:lang w:val="en-US"/>
        </w:rPr>
        <w:t xml:space="preserve">, </w:t>
      </w:r>
      <w:r w:rsidR="00D677EF" w:rsidRPr="00012C3F">
        <w:rPr>
          <w:rFonts w:eastAsia="MS Mincho"/>
          <w:sz w:val="20"/>
          <w:szCs w:val="20"/>
          <w:lang w:val="en-US"/>
        </w:rPr>
        <w:t xml:space="preserve">preventing I.V. from being able to have recourse to civil proceedings to obtain reparation because, according to the information available, domestic law subordinated this possibility to the existence of a guilty verdict. This situation engaged the international responsibility </w:t>
      </w:r>
      <w:r w:rsidR="004C6FCC" w:rsidRPr="00012C3F">
        <w:rPr>
          <w:rFonts w:eastAsia="MS Mincho"/>
          <w:sz w:val="20"/>
          <w:szCs w:val="20"/>
          <w:lang w:val="en-US"/>
        </w:rPr>
        <w:t xml:space="preserve">of the </w:t>
      </w:r>
      <w:r w:rsidR="00A84CA0" w:rsidRPr="00012C3F">
        <w:rPr>
          <w:rFonts w:eastAsia="MS Mincho"/>
          <w:sz w:val="20"/>
          <w:szCs w:val="20"/>
          <w:lang w:val="en-US"/>
        </w:rPr>
        <w:t>State of Bolivia</w:t>
      </w:r>
      <w:r w:rsidR="00502B43" w:rsidRPr="00012C3F">
        <w:rPr>
          <w:rFonts w:eastAsia="MS Mincho"/>
          <w:sz w:val="20"/>
          <w:szCs w:val="20"/>
          <w:lang w:val="en-US"/>
        </w:rPr>
        <w:t xml:space="preserve"> </w:t>
      </w:r>
      <w:r w:rsidR="00D677EF" w:rsidRPr="00012C3F">
        <w:rPr>
          <w:rFonts w:eastAsia="MS Mincho"/>
          <w:sz w:val="20"/>
          <w:szCs w:val="20"/>
          <w:lang w:val="en-US"/>
        </w:rPr>
        <w:t>under</w:t>
      </w:r>
      <w:r w:rsidR="00502B43" w:rsidRPr="00012C3F">
        <w:rPr>
          <w:rFonts w:eastAsia="MS Mincho"/>
          <w:sz w:val="20"/>
          <w:szCs w:val="20"/>
          <w:lang w:val="en-US"/>
        </w:rPr>
        <w:t xml:space="preserve"> </w:t>
      </w:r>
      <w:r w:rsidR="001254DE" w:rsidRPr="00012C3F">
        <w:rPr>
          <w:rFonts w:eastAsia="MS Mincho"/>
          <w:sz w:val="20"/>
          <w:szCs w:val="20"/>
          <w:lang w:val="en-US"/>
        </w:rPr>
        <w:t>Articles</w:t>
      </w:r>
      <w:r w:rsidR="00502B43" w:rsidRPr="00012C3F">
        <w:rPr>
          <w:rFonts w:eastAsia="MS Mincho"/>
          <w:sz w:val="20"/>
          <w:szCs w:val="20"/>
          <w:lang w:val="en-US"/>
        </w:rPr>
        <w:t xml:space="preserve"> 8</w:t>
      </w:r>
      <w:r w:rsidR="005E5012" w:rsidRPr="00012C3F">
        <w:rPr>
          <w:rFonts w:eastAsia="MS Mincho"/>
          <w:sz w:val="20"/>
          <w:szCs w:val="20"/>
          <w:lang w:val="en-US"/>
        </w:rPr>
        <w:t xml:space="preserve"> and </w:t>
      </w:r>
      <w:r w:rsidR="00502B43" w:rsidRPr="00012C3F">
        <w:rPr>
          <w:rFonts w:eastAsia="MS Mincho"/>
          <w:sz w:val="20"/>
          <w:szCs w:val="20"/>
          <w:lang w:val="en-US"/>
        </w:rPr>
        <w:t>25</w:t>
      </w:r>
      <w:r w:rsidR="001254DE" w:rsidRPr="00012C3F">
        <w:rPr>
          <w:rFonts w:eastAsia="MS Mincho"/>
          <w:sz w:val="20"/>
          <w:szCs w:val="20"/>
          <w:lang w:val="en-US"/>
        </w:rPr>
        <w:t xml:space="preserve"> of the Convention</w:t>
      </w:r>
      <w:r w:rsidR="005E5012" w:rsidRPr="00012C3F">
        <w:rPr>
          <w:rFonts w:eastAsia="MS Mincho"/>
          <w:sz w:val="20"/>
          <w:szCs w:val="20"/>
          <w:lang w:val="en-US"/>
        </w:rPr>
        <w:t xml:space="preserve"> and </w:t>
      </w:r>
      <w:r w:rsidR="00502B43" w:rsidRPr="00012C3F">
        <w:rPr>
          <w:rFonts w:eastAsia="MS Mincho"/>
          <w:sz w:val="20"/>
          <w:szCs w:val="20"/>
          <w:lang w:val="en-US"/>
        </w:rPr>
        <w:t>7</w:t>
      </w:r>
      <w:r w:rsidR="001254DE" w:rsidRPr="00012C3F">
        <w:rPr>
          <w:rFonts w:eastAsia="MS Mincho"/>
          <w:sz w:val="20"/>
          <w:szCs w:val="20"/>
          <w:lang w:val="en-US"/>
        </w:rPr>
        <w:t xml:space="preserve"> of the Convention</w:t>
      </w:r>
      <w:r w:rsidR="00502B43" w:rsidRPr="00012C3F">
        <w:rPr>
          <w:rFonts w:eastAsia="MS Mincho"/>
          <w:sz w:val="20"/>
          <w:szCs w:val="20"/>
          <w:lang w:val="en-US"/>
        </w:rPr>
        <w:t xml:space="preserve"> </w:t>
      </w:r>
      <w:r w:rsidR="005E5012" w:rsidRPr="00012C3F">
        <w:rPr>
          <w:rFonts w:eastAsia="MS Mincho"/>
          <w:sz w:val="20"/>
          <w:szCs w:val="20"/>
          <w:lang w:val="en-US"/>
        </w:rPr>
        <w:t>of Belém</w:t>
      </w:r>
      <w:r w:rsidR="00502B43" w:rsidRPr="00012C3F">
        <w:rPr>
          <w:rFonts w:eastAsia="MS Mincho"/>
          <w:sz w:val="20"/>
          <w:szCs w:val="20"/>
          <w:lang w:val="en-US"/>
        </w:rPr>
        <w:t xml:space="preserve"> do Pará.</w:t>
      </w:r>
    </w:p>
    <w:p w14:paraId="4621B568" w14:textId="77777777" w:rsidR="00502B43" w:rsidRPr="00012C3F" w:rsidRDefault="00502B43" w:rsidP="000A4DC1">
      <w:pPr>
        <w:widowControl/>
        <w:tabs>
          <w:tab w:val="left" w:pos="720"/>
        </w:tabs>
        <w:autoSpaceDE w:val="0"/>
        <w:autoSpaceDN w:val="0"/>
        <w:spacing w:line="240" w:lineRule="auto"/>
        <w:jc w:val="left"/>
        <w:textAlignment w:val="auto"/>
        <w:rPr>
          <w:rFonts w:eastAsia="MS Mincho"/>
          <w:sz w:val="20"/>
          <w:szCs w:val="20"/>
          <w:lang w:val="en-US"/>
        </w:rPr>
      </w:pPr>
    </w:p>
    <w:p w14:paraId="163922B0" w14:textId="77777777" w:rsidR="00AC7D4F" w:rsidRPr="00012C3F" w:rsidRDefault="00972ACF" w:rsidP="00AC7D4F">
      <w:pPr>
        <w:numPr>
          <w:ilvl w:val="0"/>
          <w:numId w:val="5"/>
        </w:numPr>
        <w:tabs>
          <w:tab w:val="left" w:pos="720"/>
          <w:tab w:val="num" w:pos="12305"/>
        </w:tabs>
        <w:spacing w:line="240" w:lineRule="auto"/>
        <w:ind w:left="0" w:firstLine="0"/>
        <w:rPr>
          <w:rFonts w:eastAsia="MS Mincho"/>
          <w:b/>
          <w:sz w:val="20"/>
          <w:szCs w:val="20"/>
          <w:lang w:val="en-US"/>
        </w:rPr>
      </w:pPr>
      <w:r w:rsidRPr="00012C3F">
        <w:rPr>
          <w:rFonts w:eastAsia="MS Mincho"/>
          <w:sz w:val="20"/>
          <w:szCs w:val="20"/>
          <w:lang w:val="en-US"/>
        </w:rPr>
        <w:t xml:space="preserve">The </w:t>
      </w:r>
      <w:r w:rsidRPr="00012C3F">
        <w:rPr>
          <w:rFonts w:eastAsia="MS Mincho"/>
          <w:b/>
          <w:bCs/>
          <w:i/>
          <w:iCs/>
          <w:sz w:val="20"/>
          <w:szCs w:val="20"/>
          <w:lang w:val="en-US"/>
        </w:rPr>
        <w:t>representative</w:t>
      </w:r>
      <w:r w:rsidR="00502B43" w:rsidRPr="00012C3F">
        <w:rPr>
          <w:rFonts w:eastAsia="MS Mincho"/>
          <w:b/>
          <w:sz w:val="20"/>
          <w:szCs w:val="20"/>
          <w:lang w:val="en-US"/>
        </w:rPr>
        <w:t xml:space="preserve"> </w:t>
      </w:r>
      <w:r w:rsidR="00606749" w:rsidRPr="00012C3F">
        <w:rPr>
          <w:rFonts w:eastAsia="MS Mincho"/>
          <w:sz w:val="20"/>
          <w:szCs w:val="20"/>
          <w:lang w:val="en-US"/>
        </w:rPr>
        <w:t>agreed with</w:t>
      </w:r>
      <w:r w:rsidR="0042562B" w:rsidRPr="00012C3F">
        <w:rPr>
          <w:rFonts w:eastAsia="MS Mincho"/>
          <w:sz w:val="20"/>
          <w:szCs w:val="20"/>
          <w:lang w:val="en-US"/>
        </w:rPr>
        <w:t xml:space="preserve"> the legal grounds and conclusions </w:t>
      </w:r>
      <w:r w:rsidR="00606749" w:rsidRPr="00012C3F">
        <w:rPr>
          <w:rFonts w:eastAsia="MS Mincho"/>
          <w:sz w:val="20"/>
          <w:szCs w:val="20"/>
          <w:lang w:val="en-US"/>
        </w:rPr>
        <w:t xml:space="preserve">relating </w:t>
      </w:r>
      <w:r w:rsidR="0042562B" w:rsidRPr="00012C3F">
        <w:rPr>
          <w:rFonts w:eastAsia="MS Mincho"/>
          <w:sz w:val="20"/>
          <w:szCs w:val="20"/>
          <w:lang w:val="en-US"/>
        </w:rPr>
        <w:t>to the violation of</w:t>
      </w:r>
      <w:r w:rsidR="0042562B" w:rsidRPr="00012C3F">
        <w:rPr>
          <w:rFonts w:eastAsia="MS Mincho"/>
          <w:b/>
          <w:sz w:val="20"/>
          <w:szCs w:val="20"/>
          <w:lang w:val="en-US"/>
        </w:rPr>
        <w:t xml:space="preserve"> </w:t>
      </w:r>
      <w:r w:rsidR="001254DE" w:rsidRPr="00012C3F">
        <w:rPr>
          <w:rFonts w:eastAsia="MS Mincho"/>
          <w:sz w:val="20"/>
          <w:szCs w:val="20"/>
          <w:lang w:val="en-US"/>
        </w:rPr>
        <w:t>Articles</w:t>
      </w:r>
      <w:r w:rsidR="00502B43" w:rsidRPr="00012C3F">
        <w:rPr>
          <w:rFonts w:eastAsia="MS Mincho"/>
          <w:sz w:val="20"/>
          <w:szCs w:val="20"/>
          <w:lang w:val="en-US"/>
        </w:rPr>
        <w:t xml:space="preserve"> </w:t>
      </w:r>
      <w:r w:rsidR="005E5012" w:rsidRPr="00012C3F">
        <w:rPr>
          <w:rFonts w:eastAsia="MS Mincho"/>
          <w:sz w:val="20"/>
          <w:szCs w:val="20"/>
          <w:lang w:val="en-US"/>
        </w:rPr>
        <w:t xml:space="preserve">8(1) and </w:t>
      </w:r>
      <w:r w:rsidR="00502B43" w:rsidRPr="00012C3F">
        <w:rPr>
          <w:rFonts w:eastAsia="MS Mincho"/>
          <w:sz w:val="20"/>
          <w:szCs w:val="20"/>
          <w:lang w:val="en-US"/>
        </w:rPr>
        <w:t>2</w:t>
      </w:r>
      <w:r w:rsidR="005E5012" w:rsidRPr="00012C3F">
        <w:rPr>
          <w:rFonts w:eastAsia="MS Mincho"/>
          <w:sz w:val="20"/>
          <w:szCs w:val="20"/>
          <w:lang w:val="en-US"/>
        </w:rPr>
        <w:t>5(1)</w:t>
      </w:r>
      <w:r w:rsidR="00502B43" w:rsidRPr="00012C3F">
        <w:rPr>
          <w:rFonts w:eastAsia="MS Mincho"/>
          <w:sz w:val="20"/>
          <w:szCs w:val="20"/>
          <w:lang w:val="en-US"/>
        </w:rPr>
        <w:t xml:space="preserve"> </w:t>
      </w:r>
      <w:r w:rsidR="001254DE" w:rsidRPr="00012C3F">
        <w:rPr>
          <w:rFonts w:eastAsia="MS Mincho"/>
          <w:sz w:val="20"/>
          <w:szCs w:val="20"/>
          <w:lang w:val="en-US"/>
        </w:rPr>
        <w:t xml:space="preserve">the American </w:t>
      </w:r>
      <w:r w:rsidR="00AC7D4F" w:rsidRPr="00012C3F">
        <w:rPr>
          <w:rFonts w:eastAsia="MS Mincho"/>
          <w:sz w:val="20"/>
          <w:szCs w:val="20"/>
          <w:lang w:val="en-US"/>
        </w:rPr>
        <w:t xml:space="preserve">Convention developed in the Commission’s </w:t>
      </w:r>
      <w:r w:rsidR="00E00902" w:rsidRPr="00012C3F">
        <w:rPr>
          <w:rFonts w:eastAsia="MS Mincho"/>
          <w:sz w:val="20"/>
          <w:szCs w:val="20"/>
          <w:lang w:val="en-US"/>
        </w:rPr>
        <w:t>Merits Report</w:t>
      </w:r>
      <w:r w:rsidR="00502B43" w:rsidRPr="00012C3F">
        <w:rPr>
          <w:rFonts w:eastAsia="MS Mincho"/>
          <w:sz w:val="20"/>
          <w:szCs w:val="20"/>
          <w:lang w:val="en-US"/>
        </w:rPr>
        <w:t xml:space="preserve">. </w:t>
      </w:r>
      <w:r w:rsidR="00AC7D4F" w:rsidRPr="00012C3F">
        <w:rPr>
          <w:rFonts w:eastAsia="MS Mincho"/>
          <w:sz w:val="20"/>
          <w:szCs w:val="20"/>
          <w:lang w:val="en-US"/>
        </w:rPr>
        <w:t xml:space="preserve">In addition, she </w:t>
      </w:r>
      <w:r w:rsidR="00606749" w:rsidRPr="00012C3F">
        <w:rPr>
          <w:rFonts w:eastAsia="MS Mincho"/>
          <w:sz w:val="20"/>
          <w:szCs w:val="20"/>
          <w:lang w:val="en-US"/>
        </w:rPr>
        <w:t>argued</w:t>
      </w:r>
      <w:r w:rsidR="00AC7D4F" w:rsidRPr="00012C3F">
        <w:rPr>
          <w:rFonts w:eastAsia="MS Mincho"/>
          <w:sz w:val="20"/>
          <w:szCs w:val="20"/>
          <w:lang w:val="en-US"/>
        </w:rPr>
        <w:t xml:space="preserve"> “that the denial of justice and violations of due process suffered by I.V. during the said criminal case, not only involve the judicial officials and, therefore, the Judiciary of the Bolivian State, they also involved the Public Prosecution Service and its prosecutors.” She indicated that the complaints and requests that I.V. filed before the La Paz District Prosecutor ask</w:t>
      </w:r>
      <w:r w:rsidR="00606749" w:rsidRPr="00012C3F">
        <w:rPr>
          <w:rFonts w:eastAsia="MS Mincho"/>
          <w:sz w:val="20"/>
          <w:szCs w:val="20"/>
          <w:lang w:val="en-US"/>
        </w:rPr>
        <w:t>ing</w:t>
      </w:r>
      <w:r w:rsidR="00AC7D4F" w:rsidRPr="00012C3F">
        <w:rPr>
          <w:rFonts w:eastAsia="MS Mincho"/>
          <w:sz w:val="20"/>
          <w:szCs w:val="20"/>
          <w:lang w:val="en-US"/>
        </w:rPr>
        <w:t xml:space="preserve"> him to change the prosecutor assigned to the case because </w:t>
      </w:r>
      <w:r w:rsidR="00606749" w:rsidRPr="00012C3F">
        <w:rPr>
          <w:rFonts w:eastAsia="MS Mincho"/>
          <w:sz w:val="20"/>
          <w:szCs w:val="20"/>
          <w:lang w:val="en-US"/>
        </w:rPr>
        <w:t>she</w:t>
      </w:r>
      <w:r w:rsidR="00AC7D4F" w:rsidRPr="00012C3F">
        <w:rPr>
          <w:rFonts w:eastAsia="MS Mincho"/>
          <w:sz w:val="20"/>
          <w:szCs w:val="20"/>
          <w:lang w:val="en-US"/>
        </w:rPr>
        <w:t xml:space="preserve"> had abandoned it</w:t>
      </w:r>
      <w:r w:rsidR="00606749" w:rsidRPr="00012C3F">
        <w:rPr>
          <w:rFonts w:eastAsia="MS Mincho"/>
          <w:sz w:val="20"/>
          <w:szCs w:val="20"/>
          <w:lang w:val="en-US"/>
        </w:rPr>
        <w:t>,</w:t>
      </w:r>
      <w:r w:rsidR="00AC7D4F" w:rsidRPr="00012C3F">
        <w:rPr>
          <w:rFonts w:eastAsia="MS Mincho"/>
          <w:sz w:val="20"/>
          <w:szCs w:val="20"/>
          <w:lang w:val="en-US"/>
        </w:rPr>
        <w:t xml:space="preserve"> was evidence that not only the judges who intervened in the proceedings had violated I.V.’s human rights with their delaying actions, but also the prosecutors</w:t>
      </w:r>
      <w:r w:rsidR="00AC7D4F" w:rsidRPr="00012C3F">
        <w:rPr>
          <w:rFonts w:eastAsia="MS Mincho"/>
          <w:b/>
          <w:sz w:val="20"/>
          <w:szCs w:val="20"/>
          <w:lang w:val="en-US"/>
        </w:rPr>
        <w:t xml:space="preserve"> </w:t>
      </w:r>
      <w:r w:rsidR="00660869" w:rsidRPr="00012C3F">
        <w:rPr>
          <w:rFonts w:eastAsia="MS Mincho"/>
          <w:sz w:val="20"/>
          <w:szCs w:val="20"/>
          <w:lang w:val="en-US"/>
        </w:rPr>
        <w:t xml:space="preserve">of the </w:t>
      </w:r>
      <w:r w:rsidR="00716C7D" w:rsidRPr="00012C3F">
        <w:rPr>
          <w:rFonts w:eastAsia="MS Mincho"/>
          <w:sz w:val="20"/>
          <w:szCs w:val="20"/>
          <w:lang w:val="en-US"/>
        </w:rPr>
        <w:t>Public Prosecution Service</w:t>
      </w:r>
      <w:r w:rsidR="00502B43" w:rsidRPr="00012C3F">
        <w:rPr>
          <w:rFonts w:eastAsia="MS Mincho"/>
          <w:sz w:val="20"/>
          <w:szCs w:val="20"/>
          <w:lang w:val="en-US"/>
        </w:rPr>
        <w:t xml:space="preserve"> </w:t>
      </w:r>
      <w:r w:rsidR="00AC7D4F" w:rsidRPr="00012C3F">
        <w:rPr>
          <w:rFonts w:eastAsia="MS Mincho"/>
          <w:sz w:val="20"/>
          <w:szCs w:val="20"/>
          <w:lang w:val="en-US"/>
        </w:rPr>
        <w:t xml:space="preserve">were responsible for that outcome. In </w:t>
      </w:r>
      <w:r w:rsidRPr="00012C3F">
        <w:rPr>
          <w:rFonts w:eastAsia="MS Mincho"/>
          <w:sz w:val="20"/>
          <w:szCs w:val="20"/>
          <w:lang w:val="en-US"/>
        </w:rPr>
        <w:t>the representative</w:t>
      </w:r>
      <w:r w:rsidR="00AC7D4F" w:rsidRPr="00012C3F">
        <w:rPr>
          <w:rFonts w:eastAsia="MS Mincho"/>
          <w:sz w:val="20"/>
          <w:szCs w:val="20"/>
          <w:lang w:val="en-US"/>
        </w:rPr>
        <w:t xml:space="preserve">’s opinion, both the Judiciary and the Public Prosecution Service were responsible </w:t>
      </w:r>
      <w:r w:rsidR="00BA477E" w:rsidRPr="00012C3F">
        <w:rPr>
          <w:rFonts w:eastAsia="MS Mincho"/>
          <w:sz w:val="20"/>
          <w:szCs w:val="20"/>
          <w:lang w:val="en-US"/>
        </w:rPr>
        <w:t>for the fact that the proceedings were archived without a decision on the merits, ensuring the impunity of the State agents who violated the rights of I.V. and, at the same time, the presumed victim was not provide</w:t>
      </w:r>
      <w:r w:rsidR="00606749" w:rsidRPr="00012C3F">
        <w:rPr>
          <w:rFonts w:eastAsia="MS Mincho"/>
          <w:sz w:val="20"/>
          <w:szCs w:val="20"/>
          <w:lang w:val="en-US"/>
        </w:rPr>
        <w:t>d</w:t>
      </w:r>
      <w:r w:rsidR="00BA477E" w:rsidRPr="00012C3F">
        <w:rPr>
          <w:rFonts w:eastAsia="MS Mincho"/>
          <w:sz w:val="20"/>
          <w:szCs w:val="20"/>
          <w:lang w:val="en-US"/>
        </w:rPr>
        <w:t xml:space="preserve"> with effective judicial protection.</w:t>
      </w:r>
    </w:p>
    <w:p w14:paraId="28F46D7D" w14:textId="77777777" w:rsidR="00502B43" w:rsidRPr="00012C3F" w:rsidRDefault="00502B43" w:rsidP="00502B43">
      <w:pPr>
        <w:tabs>
          <w:tab w:val="left" w:pos="720"/>
        </w:tabs>
        <w:spacing w:line="240" w:lineRule="auto"/>
        <w:rPr>
          <w:rFonts w:eastAsia="MS Mincho"/>
          <w:b/>
          <w:sz w:val="20"/>
          <w:szCs w:val="20"/>
          <w:lang w:val="en-US"/>
        </w:rPr>
      </w:pPr>
    </w:p>
    <w:p w14:paraId="44192D0D" w14:textId="77777777" w:rsidR="00502B43" w:rsidRPr="00012C3F" w:rsidRDefault="00A84CA0" w:rsidP="00BA477E">
      <w:pPr>
        <w:numPr>
          <w:ilvl w:val="0"/>
          <w:numId w:val="5"/>
        </w:numPr>
        <w:tabs>
          <w:tab w:val="left" w:pos="720"/>
          <w:tab w:val="num" w:pos="12305"/>
        </w:tabs>
        <w:spacing w:line="240" w:lineRule="auto"/>
        <w:ind w:left="0" w:firstLine="0"/>
        <w:rPr>
          <w:rFonts w:eastAsia="MS Mincho"/>
          <w:b/>
          <w:sz w:val="20"/>
          <w:szCs w:val="20"/>
          <w:lang w:val="en-US"/>
        </w:rPr>
      </w:pPr>
      <w:r w:rsidRPr="00012C3F">
        <w:rPr>
          <w:rFonts w:eastAsia="MS Mincho"/>
          <w:sz w:val="20"/>
          <w:szCs w:val="20"/>
          <w:lang w:val="en-US"/>
        </w:rPr>
        <w:t xml:space="preserve">The </w:t>
      </w:r>
      <w:r w:rsidRPr="00012C3F">
        <w:rPr>
          <w:rFonts w:eastAsia="MS Mincho"/>
          <w:b/>
          <w:bCs/>
          <w:i/>
          <w:iCs/>
          <w:sz w:val="20"/>
          <w:szCs w:val="20"/>
          <w:lang w:val="en-US"/>
        </w:rPr>
        <w:t>State</w:t>
      </w:r>
      <w:r w:rsidR="00502B43" w:rsidRPr="00012C3F">
        <w:rPr>
          <w:rFonts w:eastAsia="MS Mincho"/>
          <w:sz w:val="20"/>
          <w:szCs w:val="20"/>
          <w:lang w:val="en-US"/>
        </w:rPr>
        <w:t xml:space="preserve"> argu</w:t>
      </w:r>
      <w:r w:rsidR="00BA477E" w:rsidRPr="00012C3F">
        <w:rPr>
          <w:rFonts w:eastAsia="MS Mincho"/>
          <w:sz w:val="20"/>
          <w:szCs w:val="20"/>
          <w:lang w:val="en-US"/>
        </w:rPr>
        <w:t>ed that the c</w:t>
      </w:r>
      <w:r w:rsidR="006C705C" w:rsidRPr="00012C3F">
        <w:rPr>
          <w:rFonts w:eastAsia="MS Mincho"/>
          <w:sz w:val="20"/>
          <w:szCs w:val="20"/>
          <w:lang w:val="en-US"/>
        </w:rPr>
        <w:t xml:space="preserve">riminal </w:t>
      </w:r>
      <w:r w:rsidR="00606749" w:rsidRPr="00012C3F">
        <w:rPr>
          <w:rFonts w:eastAsia="MS Mincho"/>
          <w:sz w:val="20"/>
          <w:szCs w:val="20"/>
          <w:lang w:val="en-US"/>
        </w:rPr>
        <w:t>proceedings</w:t>
      </w:r>
      <w:r w:rsidR="00517E1A" w:rsidRPr="00012C3F">
        <w:rPr>
          <w:rFonts w:eastAsia="MS Mincho"/>
          <w:sz w:val="20"/>
          <w:szCs w:val="20"/>
          <w:lang w:val="en-US"/>
        </w:rPr>
        <w:t xml:space="preserve"> </w:t>
      </w:r>
      <w:r w:rsidR="00606749" w:rsidRPr="00012C3F">
        <w:rPr>
          <w:rFonts w:eastAsia="MS Mincho"/>
          <w:sz w:val="20"/>
          <w:szCs w:val="20"/>
          <w:lang w:val="en-US"/>
        </w:rPr>
        <w:t>were undertaken</w:t>
      </w:r>
      <w:r w:rsidR="00BA477E" w:rsidRPr="00012C3F">
        <w:rPr>
          <w:rFonts w:eastAsia="MS Mincho"/>
          <w:sz w:val="20"/>
          <w:szCs w:val="20"/>
          <w:lang w:val="en-US"/>
        </w:rPr>
        <w:t xml:space="preserve"> diligently and decisions were taken within a reasonable time until it culminated with a decision that extinguished the criminal action. Regarding the evaluation of the reasonable time in criminal proceedings, the State affirmed that, “taking into account the complexity of the matter, the lack of interest of I.V., the activation of the</w:t>
      </w:r>
      <w:r w:rsidR="00606749" w:rsidRPr="00012C3F">
        <w:rPr>
          <w:rFonts w:eastAsia="MS Mincho"/>
          <w:sz w:val="20"/>
          <w:szCs w:val="20"/>
          <w:lang w:val="en-US"/>
        </w:rPr>
        <w:t xml:space="preserve"> parties’</w:t>
      </w:r>
      <w:r w:rsidR="00BA477E" w:rsidRPr="00012C3F">
        <w:rPr>
          <w:rFonts w:eastAsia="MS Mincho"/>
          <w:sz w:val="20"/>
          <w:szCs w:val="20"/>
          <w:lang w:val="en-US"/>
        </w:rPr>
        <w:t xml:space="preserve"> procedural guarantees, and that the overall duration of the proceedings was in keeping with the standards of a reasonable time, there are no objective elements that would determine any violation of Article</w:t>
      </w:r>
      <w:r w:rsidR="00BA477E" w:rsidRPr="00012C3F">
        <w:rPr>
          <w:rFonts w:eastAsia="MS Mincho"/>
          <w:b/>
          <w:sz w:val="20"/>
          <w:szCs w:val="20"/>
          <w:lang w:val="en-US"/>
        </w:rPr>
        <w:t xml:space="preserve"> </w:t>
      </w:r>
      <w:r w:rsidR="005E5012" w:rsidRPr="00012C3F">
        <w:rPr>
          <w:rFonts w:eastAsia="MS Mincho"/>
          <w:sz w:val="20"/>
          <w:szCs w:val="20"/>
          <w:lang w:val="en-US"/>
        </w:rPr>
        <w:t>8(1)</w:t>
      </w:r>
      <w:r w:rsidR="001254DE" w:rsidRPr="00012C3F">
        <w:rPr>
          <w:rFonts w:eastAsia="MS Mincho"/>
          <w:sz w:val="20"/>
          <w:szCs w:val="20"/>
          <w:lang w:val="en-US"/>
        </w:rPr>
        <w:t xml:space="preserve"> of the Convention</w:t>
      </w:r>
      <w:r w:rsidR="00502B43" w:rsidRPr="00012C3F">
        <w:rPr>
          <w:rFonts w:eastAsia="MS Mincho"/>
          <w:sz w:val="20"/>
          <w:szCs w:val="20"/>
          <w:lang w:val="en-US"/>
        </w:rPr>
        <w:t xml:space="preserve"> </w:t>
      </w:r>
      <w:r w:rsidR="005E5012" w:rsidRPr="00012C3F">
        <w:rPr>
          <w:rFonts w:eastAsia="MS Mincho"/>
          <w:sz w:val="20"/>
          <w:szCs w:val="20"/>
          <w:lang w:val="en-US"/>
        </w:rPr>
        <w:t>to the detriment of</w:t>
      </w:r>
      <w:r w:rsidR="00502B43" w:rsidRPr="00012C3F">
        <w:rPr>
          <w:rFonts w:eastAsia="MS Mincho"/>
          <w:sz w:val="20"/>
          <w:szCs w:val="20"/>
          <w:lang w:val="en-US"/>
        </w:rPr>
        <w:t xml:space="preserve"> </w:t>
      </w:r>
      <w:r w:rsidR="000E1C11" w:rsidRPr="00012C3F">
        <w:rPr>
          <w:rFonts w:eastAsia="MS Mincho"/>
          <w:sz w:val="20"/>
          <w:szCs w:val="20"/>
          <w:lang w:val="en-US"/>
        </w:rPr>
        <w:t>I.V.</w:t>
      </w:r>
      <w:r w:rsidR="00502B43" w:rsidRPr="00012C3F">
        <w:rPr>
          <w:rFonts w:eastAsia="MS Mincho"/>
          <w:sz w:val="20"/>
          <w:szCs w:val="20"/>
          <w:lang w:val="en-US"/>
        </w:rPr>
        <w:t>”</w:t>
      </w:r>
    </w:p>
    <w:p w14:paraId="14E220FE" w14:textId="77777777" w:rsidR="00502B43" w:rsidRPr="00012C3F" w:rsidRDefault="00502B43" w:rsidP="00BA477E">
      <w:pPr>
        <w:tabs>
          <w:tab w:val="left" w:pos="720"/>
        </w:tabs>
        <w:spacing w:line="240" w:lineRule="auto"/>
        <w:rPr>
          <w:rFonts w:eastAsia="MS Mincho"/>
          <w:sz w:val="20"/>
          <w:szCs w:val="20"/>
          <w:lang w:val="en-US"/>
        </w:rPr>
      </w:pPr>
    </w:p>
    <w:p w14:paraId="42187EE0" w14:textId="77777777" w:rsidR="00502B43" w:rsidRPr="00012C3F" w:rsidRDefault="00BA477E" w:rsidP="00C20A64">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t>In its final arguments</w:t>
      </w:r>
      <w:r w:rsidR="00502B43" w:rsidRPr="00012C3F">
        <w:rPr>
          <w:rFonts w:eastAsia="MS Mincho"/>
          <w:sz w:val="20"/>
          <w:szCs w:val="20"/>
          <w:lang w:val="en-US"/>
        </w:rPr>
        <w:t xml:space="preserve">, </w:t>
      </w:r>
      <w:r w:rsidR="00A84CA0" w:rsidRPr="00012C3F">
        <w:rPr>
          <w:rFonts w:eastAsia="MS Mincho"/>
          <w:sz w:val="20"/>
          <w:szCs w:val="20"/>
          <w:lang w:val="en-US"/>
        </w:rPr>
        <w:t>the State</w:t>
      </w:r>
      <w:r w:rsidR="00502B43" w:rsidRPr="00012C3F">
        <w:rPr>
          <w:rFonts w:eastAsia="MS Mincho"/>
          <w:sz w:val="20"/>
          <w:szCs w:val="20"/>
          <w:lang w:val="en-US"/>
        </w:rPr>
        <w:t xml:space="preserve"> </w:t>
      </w:r>
      <w:r w:rsidR="00606749" w:rsidRPr="00012C3F">
        <w:rPr>
          <w:rFonts w:eastAsia="MS Mincho"/>
          <w:sz w:val="20"/>
          <w:szCs w:val="20"/>
          <w:lang w:val="en-US"/>
        </w:rPr>
        <w:t>indicate</w:t>
      </w:r>
      <w:r w:rsidRPr="00012C3F">
        <w:rPr>
          <w:rFonts w:eastAsia="MS Mincho"/>
          <w:sz w:val="20"/>
          <w:szCs w:val="20"/>
          <w:lang w:val="en-US"/>
        </w:rPr>
        <w:t xml:space="preserve">d, citing case law of the </w:t>
      </w:r>
      <w:r w:rsidR="00E060D2" w:rsidRPr="00012C3F">
        <w:rPr>
          <w:rFonts w:eastAsia="MS Mincho"/>
          <w:sz w:val="20"/>
          <w:szCs w:val="20"/>
          <w:lang w:val="en-US"/>
        </w:rPr>
        <w:t>European Court of Human Rights</w:t>
      </w:r>
      <w:r w:rsidR="00502B43" w:rsidRPr="00012C3F">
        <w:rPr>
          <w:rFonts w:eastAsia="MS Mincho"/>
          <w:sz w:val="20"/>
          <w:szCs w:val="20"/>
          <w:lang w:val="en-US"/>
        </w:rPr>
        <w:t xml:space="preserve">, </w:t>
      </w:r>
      <w:r w:rsidRPr="00012C3F">
        <w:rPr>
          <w:rFonts w:eastAsia="MS Mincho"/>
          <w:sz w:val="20"/>
          <w:szCs w:val="20"/>
          <w:lang w:val="en-US"/>
        </w:rPr>
        <w:t xml:space="preserve">that this case “did not warrant criminal </w:t>
      </w:r>
      <w:r w:rsidR="006C705C" w:rsidRPr="00012C3F">
        <w:rPr>
          <w:rFonts w:eastAsia="MS Mincho"/>
          <w:sz w:val="20"/>
          <w:szCs w:val="20"/>
          <w:lang w:val="en-US"/>
        </w:rPr>
        <w:t>proceedings</w:t>
      </w:r>
      <w:r w:rsidR="00502B43" w:rsidRPr="00012C3F">
        <w:rPr>
          <w:rFonts w:eastAsia="MS Mincho"/>
          <w:sz w:val="20"/>
          <w:szCs w:val="20"/>
          <w:lang w:val="en-US"/>
        </w:rPr>
        <w:t xml:space="preserve"> </w:t>
      </w:r>
      <w:r w:rsidRPr="00012C3F">
        <w:rPr>
          <w:rFonts w:eastAsia="MS Mincho"/>
          <w:sz w:val="20"/>
          <w:szCs w:val="20"/>
          <w:lang w:val="en-US"/>
        </w:rPr>
        <w:t>to decide it</w:t>
      </w:r>
      <w:r w:rsidR="00606749" w:rsidRPr="00012C3F">
        <w:rPr>
          <w:rFonts w:eastAsia="MS Mincho"/>
          <w:sz w:val="20"/>
          <w:szCs w:val="20"/>
          <w:lang w:val="en-US"/>
        </w:rPr>
        <w:t>,</w:t>
      </w:r>
      <w:r w:rsidR="00502B43" w:rsidRPr="00012C3F">
        <w:rPr>
          <w:rFonts w:eastAsia="MS Mincho"/>
          <w:sz w:val="20"/>
          <w:szCs w:val="20"/>
          <w:lang w:val="en-US"/>
        </w:rPr>
        <w:t>”</w:t>
      </w:r>
      <w:r w:rsidRPr="00012C3F">
        <w:rPr>
          <w:rFonts w:eastAsia="MS Mincho"/>
          <w:sz w:val="20"/>
          <w:szCs w:val="20"/>
          <w:lang w:val="en-US"/>
        </w:rPr>
        <w:t xml:space="preserve"> </w:t>
      </w:r>
      <w:r w:rsidR="00606749" w:rsidRPr="00012C3F">
        <w:rPr>
          <w:rFonts w:eastAsia="MS Mincho"/>
          <w:sz w:val="20"/>
          <w:szCs w:val="20"/>
          <w:lang w:val="en-US"/>
        </w:rPr>
        <w:t>and that</w:t>
      </w:r>
      <w:r w:rsidRPr="00012C3F">
        <w:rPr>
          <w:rFonts w:eastAsia="MS Mincho"/>
          <w:sz w:val="20"/>
          <w:szCs w:val="20"/>
          <w:lang w:val="en-US"/>
        </w:rPr>
        <w:t xml:space="preserve"> the disciplinary administrative procedure was sufficient to ensure I.V.’s access to justice</w:t>
      </w:r>
      <w:r w:rsidR="00465A3E" w:rsidRPr="00012C3F">
        <w:rPr>
          <w:rFonts w:eastAsia="MS Mincho"/>
          <w:sz w:val="20"/>
          <w:szCs w:val="20"/>
          <w:lang w:val="en-US"/>
        </w:rPr>
        <w:t xml:space="preserve">. According to the State, during the said procedure, which had all the characteristics of a judicial proceeding, “”all the </w:t>
      </w:r>
      <w:r w:rsidR="00465A3E" w:rsidRPr="00012C3F">
        <w:rPr>
          <w:rFonts w:eastAsia="MS Mincho"/>
          <w:sz w:val="20"/>
          <w:szCs w:val="20"/>
          <w:lang w:val="en-US"/>
        </w:rPr>
        <w:lastRenderedPageBreak/>
        <w:t>judicial guarantees were realized.” The State also indicated that, since it had a disciplinary vocation, this procedure could have ended in the definitive dismissal of the physician</w:t>
      </w:r>
      <w:r w:rsidR="00606749" w:rsidRPr="00012C3F">
        <w:rPr>
          <w:rFonts w:eastAsia="MS Mincho"/>
          <w:sz w:val="20"/>
          <w:szCs w:val="20"/>
          <w:lang w:val="en-US"/>
        </w:rPr>
        <w:t>. However,</w:t>
      </w:r>
      <w:r w:rsidR="00465A3E" w:rsidRPr="00012C3F">
        <w:rPr>
          <w:rFonts w:eastAsia="MS Mincho"/>
          <w:sz w:val="20"/>
          <w:szCs w:val="20"/>
          <w:lang w:val="en-US"/>
        </w:rPr>
        <w:t xml:space="preserve"> did not happen because, in a </w:t>
      </w:r>
      <w:r w:rsidR="00606749" w:rsidRPr="00012C3F">
        <w:rPr>
          <w:rFonts w:eastAsia="MS Mincho"/>
          <w:sz w:val="20"/>
          <w:szCs w:val="20"/>
          <w:lang w:val="en-US"/>
        </w:rPr>
        <w:t>substantiated</w:t>
      </w:r>
      <w:r w:rsidR="00465A3E" w:rsidRPr="00012C3F">
        <w:rPr>
          <w:rFonts w:eastAsia="MS Mincho"/>
          <w:sz w:val="20"/>
          <w:szCs w:val="20"/>
          <w:lang w:val="en-US"/>
        </w:rPr>
        <w:t xml:space="preserve"> decision to acquit him that is now final, it was determined that the physician “acted pursuant to Bolivian health laws and to preserve I.V.’s future and maternal well-being. In sum, the State considered that it would be contradictory to criminally convict a </w:t>
      </w:r>
      <w:r w:rsidR="00606749" w:rsidRPr="00012C3F">
        <w:rPr>
          <w:rFonts w:eastAsia="MS Mincho"/>
          <w:sz w:val="20"/>
          <w:szCs w:val="20"/>
          <w:lang w:val="en-US"/>
        </w:rPr>
        <w:t>physician</w:t>
      </w:r>
      <w:r w:rsidR="00465A3E" w:rsidRPr="00012C3F">
        <w:rPr>
          <w:rFonts w:eastAsia="MS Mincho"/>
          <w:sz w:val="20"/>
          <w:szCs w:val="20"/>
          <w:lang w:val="en-US"/>
        </w:rPr>
        <w:t xml:space="preserve"> for a medical act carried out in the absence of </w:t>
      </w:r>
      <w:r w:rsidR="00801F6D" w:rsidRPr="00012C3F">
        <w:rPr>
          <w:rFonts w:eastAsia="MS Mincho"/>
          <w:sz w:val="20"/>
          <w:szCs w:val="20"/>
          <w:lang w:val="en-US"/>
        </w:rPr>
        <w:t>malice</w:t>
      </w:r>
      <w:r w:rsidR="00465A3E" w:rsidRPr="00012C3F">
        <w:rPr>
          <w:rFonts w:eastAsia="MS Mincho"/>
          <w:sz w:val="20"/>
          <w:szCs w:val="20"/>
          <w:lang w:val="en-US"/>
        </w:rPr>
        <w:t xml:space="preserve">. Therefore, it concluded that it had complied with its obligation to </w:t>
      </w:r>
      <w:r w:rsidR="00324A17" w:rsidRPr="00012C3F">
        <w:rPr>
          <w:rFonts w:eastAsia="MS Mincho"/>
          <w:sz w:val="20"/>
          <w:szCs w:val="20"/>
          <w:lang w:val="en-US"/>
        </w:rPr>
        <w:t>provide</w:t>
      </w:r>
      <w:r w:rsidR="00465A3E" w:rsidRPr="00012C3F">
        <w:rPr>
          <w:rFonts w:eastAsia="MS Mincho"/>
          <w:sz w:val="20"/>
          <w:szCs w:val="20"/>
          <w:lang w:val="en-US"/>
        </w:rPr>
        <w:t xml:space="preserve"> proper judicial guarantees and judicial protection to I.V. through the a</w:t>
      </w:r>
      <w:r w:rsidR="0099356C" w:rsidRPr="00012C3F">
        <w:rPr>
          <w:rFonts w:eastAsia="MS Mincho"/>
          <w:sz w:val="20"/>
          <w:szCs w:val="20"/>
          <w:lang w:val="en-US"/>
        </w:rPr>
        <w:t>dministrative proce</w:t>
      </w:r>
      <w:r w:rsidR="00465A3E" w:rsidRPr="00012C3F">
        <w:rPr>
          <w:rFonts w:eastAsia="MS Mincho"/>
          <w:sz w:val="20"/>
          <w:szCs w:val="20"/>
          <w:lang w:val="en-US"/>
        </w:rPr>
        <w:t>dure that was implemented.</w:t>
      </w:r>
    </w:p>
    <w:p w14:paraId="40C81F9B" w14:textId="77777777" w:rsidR="00465A3E" w:rsidRPr="00012C3F" w:rsidRDefault="00465A3E" w:rsidP="00465A3E">
      <w:pPr>
        <w:tabs>
          <w:tab w:val="left" w:pos="720"/>
        </w:tabs>
        <w:spacing w:line="240" w:lineRule="auto"/>
        <w:rPr>
          <w:rFonts w:eastAsia="MS Mincho"/>
          <w:sz w:val="20"/>
          <w:szCs w:val="20"/>
          <w:lang w:val="en-US"/>
        </w:rPr>
      </w:pPr>
    </w:p>
    <w:p w14:paraId="58715B0B" w14:textId="77777777" w:rsidR="00465A3E" w:rsidRPr="00012C3F" w:rsidRDefault="00502B43" w:rsidP="00465A3E">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t>Ad</w:t>
      </w:r>
      <w:r w:rsidR="00465A3E" w:rsidRPr="00012C3F">
        <w:rPr>
          <w:rFonts w:eastAsia="MS Mincho"/>
          <w:sz w:val="20"/>
          <w:szCs w:val="20"/>
          <w:lang w:val="en-US"/>
        </w:rPr>
        <w:t xml:space="preserve">ditionally, the State indicated that it was not the function </w:t>
      </w:r>
      <w:r w:rsidR="001254DE" w:rsidRPr="00012C3F">
        <w:rPr>
          <w:rFonts w:eastAsia="MS Mincho"/>
          <w:sz w:val="20"/>
          <w:szCs w:val="20"/>
          <w:lang w:val="en-US"/>
        </w:rPr>
        <w:t>of the Inter-American Court</w:t>
      </w:r>
      <w:r w:rsidRPr="00012C3F">
        <w:rPr>
          <w:rFonts w:eastAsia="MS Mincho"/>
          <w:sz w:val="20"/>
          <w:szCs w:val="20"/>
          <w:lang w:val="en-US"/>
        </w:rPr>
        <w:t xml:space="preserve"> </w:t>
      </w:r>
      <w:r w:rsidR="00465A3E" w:rsidRPr="00012C3F">
        <w:rPr>
          <w:rFonts w:eastAsia="MS Mincho"/>
          <w:sz w:val="20"/>
          <w:szCs w:val="20"/>
          <w:lang w:val="en-US"/>
        </w:rPr>
        <w:t>to</w:t>
      </w:r>
      <w:r w:rsidR="00BC4CA3" w:rsidRPr="00012C3F">
        <w:rPr>
          <w:rFonts w:eastAsia="MS Mincho"/>
          <w:sz w:val="20"/>
          <w:szCs w:val="20"/>
          <w:lang w:val="en-US"/>
        </w:rPr>
        <w:t xml:space="preserve"> </w:t>
      </w:r>
      <w:r w:rsidR="00465A3E" w:rsidRPr="00012C3F">
        <w:rPr>
          <w:rFonts w:eastAsia="MS Mincho"/>
          <w:sz w:val="20"/>
          <w:szCs w:val="20"/>
          <w:lang w:val="en-US"/>
        </w:rPr>
        <w:t>act as a “fourth instance,” in the sense that it was not for it to act as a high court</w:t>
      </w:r>
      <w:r w:rsidR="00BC4CA3" w:rsidRPr="00012C3F">
        <w:rPr>
          <w:rFonts w:eastAsia="MS Mincho"/>
          <w:sz w:val="20"/>
          <w:szCs w:val="20"/>
          <w:lang w:val="en-US"/>
        </w:rPr>
        <w:t xml:space="preserve"> with regard to domestic proceedings, and it could only review a decision handed down by domestic courts if there had been a flagrant violation of the Convention, which had not occurred in this case. In this regard, it argued that the domestic proceedings not only corresponded to a serious, just and impartial trial, but that the hypothesis finally accepted was the result of all the evidence collected during the proceedings. Consequently, the State argued that “the Court should respect the decisions made in the domestic sphere, since there was no evidence of a </w:t>
      </w:r>
      <w:r w:rsidR="00324A17" w:rsidRPr="00012C3F">
        <w:rPr>
          <w:rFonts w:eastAsia="MS Mincho"/>
          <w:sz w:val="20"/>
          <w:szCs w:val="20"/>
          <w:lang w:val="en-US"/>
        </w:rPr>
        <w:t>defect</w:t>
      </w:r>
      <w:r w:rsidR="00BC4CA3" w:rsidRPr="00012C3F">
        <w:rPr>
          <w:rFonts w:eastAsia="MS Mincho"/>
          <w:sz w:val="20"/>
          <w:szCs w:val="20"/>
          <w:lang w:val="en-US"/>
        </w:rPr>
        <w:t xml:space="preserve"> related to the treaty-based guarantees.” The State also argued that I.V. had not become a complainant in the case, which revealed a lack of diligence on her part in the processing of the case. Furthermore, it indicated that I.V. had not filed </w:t>
      </w:r>
      <w:r w:rsidR="00324A17" w:rsidRPr="00012C3F">
        <w:rPr>
          <w:rFonts w:eastAsia="MS Mincho"/>
          <w:sz w:val="20"/>
          <w:szCs w:val="20"/>
          <w:lang w:val="en-US"/>
        </w:rPr>
        <w:t xml:space="preserve">a </w:t>
      </w:r>
      <w:r w:rsidR="00BC4CA3" w:rsidRPr="00012C3F">
        <w:rPr>
          <w:rFonts w:eastAsia="MS Mincho"/>
          <w:sz w:val="20"/>
          <w:szCs w:val="20"/>
          <w:lang w:val="en-US"/>
        </w:rPr>
        <w:t xml:space="preserve">disciplinary complaint against the domestic judges because she considered that </w:t>
      </w:r>
      <w:r w:rsidR="00324A17" w:rsidRPr="00012C3F">
        <w:rPr>
          <w:rFonts w:eastAsia="MS Mincho"/>
          <w:sz w:val="20"/>
          <w:szCs w:val="20"/>
          <w:lang w:val="en-US"/>
        </w:rPr>
        <w:t>they had</w:t>
      </w:r>
      <w:r w:rsidR="00BC4CA3" w:rsidRPr="00012C3F">
        <w:rPr>
          <w:rFonts w:eastAsia="MS Mincho"/>
          <w:sz w:val="20"/>
          <w:szCs w:val="20"/>
          <w:lang w:val="en-US"/>
        </w:rPr>
        <w:t xml:space="preserve"> unjustifiably delaying her criminal </w:t>
      </w:r>
      <w:r w:rsidR="00324A17" w:rsidRPr="00012C3F">
        <w:rPr>
          <w:rFonts w:eastAsia="MS Mincho"/>
          <w:sz w:val="20"/>
          <w:szCs w:val="20"/>
          <w:lang w:val="en-US"/>
        </w:rPr>
        <w:t>action</w:t>
      </w:r>
      <w:r w:rsidR="00BC4CA3" w:rsidRPr="00012C3F">
        <w:rPr>
          <w:rFonts w:eastAsia="MS Mincho"/>
          <w:sz w:val="20"/>
          <w:szCs w:val="20"/>
          <w:lang w:val="en-US"/>
        </w:rPr>
        <w:t>, and this should be taken into account in the analysis of the reasonable time.</w:t>
      </w:r>
    </w:p>
    <w:p w14:paraId="0FBE97C1" w14:textId="77777777" w:rsidR="00502B43" w:rsidRPr="00012C3F" w:rsidRDefault="00502B43" w:rsidP="00502B43">
      <w:pPr>
        <w:tabs>
          <w:tab w:val="left" w:pos="720"/>
        </w:tabs>
        <w:spacing w:line="240" w:lineRule="auto"/>
        <w:rPr>
          <w:rFonts w:eastAsia="MS Mincho"/>
          <w:b/>
          <w:sz w:val="20"/>
          <w:szCs w:val="20"/>
          <w:lang w:val="en-US"/>
        </w:rPr>
      </w:pPr>
    </w:p>
    <w:p w14:paraId="1DD08A07" w14:textId="77777777" w:rsidR="00502B43" w:rsidRPr="00012C3F" w:rsidRDefault="00502B43" w:rsidP="006A16C8">
      <w:pPr>
        <w:pStyle w:val="Ttulo2"/>
        <w:tabs>
          <w:tab w:val="left" w:pos="1701"/>
        </w:tabs>
        <w:spacing w:before="0" w:line="240" w:lineRule="auto"/>
        <w:ind w:left="1134"/>
        <w:rPr>
          <w:rFonts w:ascii="Verdana" w:hAnsi="Verdana"/>
          <w:b w:val="0"/>
          <w:i/>
          <w:color w:val="auto"/>
          <w:sz w:val="20"/>
          <w:szCs w:val="20"/>
          <w:lang w:val="en-US"/>
        </w:rPr>
      </w:pPr>
      <w:bookmarkStart w:id="169" w:name="_Toc461305145"/>
      <w:bookmarkStart w:id="170" w:name="_Toc27486879"/>
      <w:r w:rsidRPr="00012C3F">
        <w:rPr>
          <w:rFonts w:ascii="Verdana" w:hAnsi="Verdana"/>
          <w:b w:val="0"/>
          <w:i/>
          <w:color w:val="auto"/>
          <w:sz w:val="20"/>
          <w:szCs w:val="20"/>
          <w:lang w:val="en-US"/>
        </w:rPr>
        <w:t xml:space="preserve">A.2 </w:t>
      </w:r>
      <w:r w:rsidR="006A16C8" w:rsidRPr="00012C3F">
        <w:rPr>
          <w:rFonts w:ascii="Verdana" w:hAnsi="Verdana"/>
          <w:b w:val="0"/>
          <w:i/>
          <w:color w:val="auto"/>
          <w:sz w:val="20"/>
          <w:szCs w:val="20"/>
          <w:lang w:val="en-US"/>
        </w:rPr>
        <w:tab/>
      </w:r>
      <w:r w:rsidR="00A710F6" w:rsidRPr="00012C3F">
        <w:rPr>
          <w:rFonts w:ascii="Verdana" w:hAnsi="Verdana"/>
          <w:b w:val="0"/>
          <w:i/>
          <w:color w:val="auto"/>
          <w:sz w:val="20"/>
          <w:szCs w:val="20"/>
          <w:lang w:val="en-US"/>
        </w:rPr>
        <w:t>Arguments on</w:t>
      </w:r>
      <w:r w:rsidRPr="00012C3F">
        <w:rPr>
          <w:rFonts w:ascii="Verdana" w:hAnsi="Verdana"/>
          <w:b w:val="0"/>
          <w:i/>
          <w:color w:val="auto"/>
          <w:sz w:val="20"/>
          <w:szCs w:val="20"/>
          <w:lang w:val="en-US"/>
        </w:rPr>
        <w:t xml:space="preserve"> </w:t>
      </w:r>
      <w:r w:rsidR="001254DE" w:rsidRPr="00012C3F">
        <w:rPr>
          <w:rFonts w:ascii="Verdana" w:hAnsi="Verdana"/>
          <w:b w:val="0"/>
          <w:i/>
          <w:color w:val="auto"/>
          <w:sz w:val="20"/>
          <w:szCs w:val="20"/>
          <w:lang w:val="en-US"/>
        </w:rPr>
        <w:t>the Convention</w:t>
      </w:r>
      <w:r w:rsidRPr="00012C3F">
        <w:rPr>
          <w:rFonts w:ascii="Verdana" w:hAnsi="Verdana"/>
          <w:b w:val="0"/>
          <w:i/>
          <w:color w:val="auto"/>
          <w:sz w:val="20"/>
          <w:szCs w:val="20"/>
          <w:lang w:val="en-US"/>
        </w:rPr>
        <w:t xml:space="preserve"> </w:t>
      </w:r>
      <w:r w:rsidR="005E5012" w:rsidRPr="00012C3F">
        <w:rPr>
          <w:rFonts w:ascii="Verdana" w:hAnsi="Verdana"/>
          <w:b w:val="0"/>
          <w:i/>
          <w:color w:val="auto"/>
          <w:sz w:val="20"/>
          <w:szCs w:val="20"/>
          <w:lang w:val="en-US"/>
        </w:rPr>
        <w:t>of Belém</w:t>
      </w:r>
      <w:r w:rsidRPr="00012C3F">
        <w:rPr>
          <w:rFonts w:ascii="Verdana" w:hAnsi="Verdana"/>
          <w:b w:val="0"/>
          <w:i/>
          <w:color w:val="auto"/>
          <w:sz w:val="20"/>
          <w:szCs w:val="20"/>
          <w:lang w:val="en-US"/>
        </w:rPr>
        <w:t xml:space="preserve"> do Pará</w:t>
      </w:r>
      <w:bookmarkEnd w:id="169"/>
      <w:bookmarkEnd w:id="170"/>
    </w:p>
    <w:p w14:paraId="644BE9E2" w14:textId="77777777" w:rsidR="00502B43" w:rsidRPr="00012C3F" w:rsidRDefault="00502B43" w:rsidP="00502B43">
      <w:pPr>
        <w:tabs>
          <w:tab w:val="left" w:pos="720"/>
        </w:tabs>
        <w:spacing w:line="240" w:lineRule="auto"/>
        <w:rPr>
          <w:rFonts w:eastAsia="MS Mincho"/>
          <w:b/>
          <w:sz w:val="20"/>
          <w:szCs w:val="20"/>
          <w:lang w:val="en-US"/>
        </w:rPr>
      </w:pPr>
    </w:p>
    <w:p w14:paraId="4F587DE9" w14:textId="77777777" w:rsidR="00502B43" w:rsidRPr="00012C3F" w:rsidRDefault="00764B38" w:rsidP="00764B38">
      <w:pPr>
        <w:widowControl/>
        <w:numPr>
          <w:ilvl w:val="0"/>
          <w:numId w:val="5"/>
        </w:numPr>
        <w:tabs>
          <w:tab w:val="left" w:pos="720"/>
          <w:tab w:val="num" w:pos="12305"/>
        </w:tabs>
        <w:autoSpaceDE w:val="0"/>
        <w:autoSpaceDN w:val="0"/>
        <w:spacing w:line="240" w:lineRule="auto"/>
        <w:ind w:left="0" w:firstLine="0"/>
        <w:textAlignment w:val="auto"/>
        <w:rPr>
          <w:rFonts w:eastAsia="Calibri" w:cs="Arial"/>
          <w:sz w:val="20"/>
          <w:szCs w:val="20"/>
          <w:lang w:val="en-US" w:eastAsia="en-US"/>
        </w:rPr>
      </w:pPr>
      <w:r w:rsidRPr="00012C3F">
        <w:rPr>
          <w:rFonts w:eastAsia="Calibri" w:cs="Arial"/>
          <w:sz w:val="20"/>
          <w:szCs w:val="20"/>
          <w:lang w:val="en-US" w:eastAsia="en-US"/>
        </w:rPr>
        <w:t xml:space="preserve">In light of the relationship between violence and discrimination, </w:t>
      </w:r>
      <w:r w:rsidR="001254DE" w:rsidRPr="00012C3F">
        <w:rPr>
          <w:rFonts w:eastAsia="Calibri" w:cs="Arial"/>
          <w:sz w:val="20"/>
          <w:szCs w:val="20"/>
          <w:lang w:val="en-US" w:eastAsia="en-US"/>
        </w:rPr>
        <w:t xml:space="preserve">the </w:t>
      </w:r>
      <w:r w:rsidR="00A84CA0" w:rsidRPr="00012C3F">
        <w:rPr>
          <w:rFonts w:eastAsia="Calibri" w:cs="Arial"/>
          <w:b/>
          <w:bCs/>
          <w:i/>
          <w:iCs/>
          <w:sz w:val="20"/>
          <w:szCs w:val="20"/>
          <w:lang w:val="en-US" w:eastAsia="en-US"/>
        </w:rPr>
        <w:t>Commission</w:t>
      </w:r>
      <w:r w:rsidR="00502B43" w:rsidRPr="00012C3F">
        <w:rPr>
          <w:rFonts w:eastAsia="Calibri" w:cs="Arial"/>
          <w:sz w:val="20"/>
          <w:szCs w:val="20"/>
          <w:lang w:val="en-US" w:eastAsia="en-US"/>
        </w:rPr>
        <w:t xml:space="preserve"> not</w:t>
      </w:r>
      <w:r w:rsidRPr="00012C3F">
        <w:rPr>
          <w:rFonts w:eastAsia="Calibri" w:cs="Arial"/>
          <w:sz w:val="20"/>
          <w:szCs w:val="20"/>
          <w:lang w:val="en-US" w:eastAsia="en-US"/>
        </w:rPr>
        <w:t xml:space="preserve">ed that “the failure to punish an act of violence against women may also constitute a form of discrimination.” Accordingly, </w:t>
      </w:r>
      <w:r w:rsidR="001254DE" w:rsidRPr="00012C3F">
        <w:rPr>
          <w:rFonts w:eastAsia="Calibri" w:cs="Arial"/>
          <w:sz w:val="20"/>
          <w:szCs w:val="20"/>
          <w:lang w:val="en-US" w:eastAsia="en-US"/>
        </w:rPr>
        <w:t xml:space="preserve">the </w:t>
      </w:r>
      <w:r w:rsidR="00A84CA0" w:rsidRPr="00012C3F">
        <w:rPr>
          <w:rFonts w:eastAsia="Calibri" w:cs="Arial"/>
          <w:sz w:val="20"/>
          <w:szCs w:val="20"/>
          <w:lang w:val="en-US" w:eastAsia="en-US"/>
        </w:rPr>
        <w:t>Commission</w:t>
      </w:r>
      <w:r w:rsidR="00502B43" w:rsidRPr="00012C3F">
        <w:rPr>
          <w:rFonts w:eastAsia="Calibri" w:cs="Arial"/>
          <w:sz w:val="20"/>
          <w:szCs w:val="20"/>
          <w:lang w:val="en-US" w:eastAsia="en-US"/>
        </w:rPr>
        <w:t xml:space="preserve"> </w:t>
      </w:r>
      <w:r w:rsidRPr="00012C3F">
        <w:rPr>
          <w:rFonts w:eastAsia="Calibri" w:cs="Arial"/>
          <w:sz w:val="20"/>
          <w:szCs w:val="20"/>
          <w:lang w:val="en-US" w:eastAsia="en-US"/>
        </w:rPr>
        <w:t>argued that</w:t>
      </w:r>
      <w:r w:rsidR="00502B43" w:rsidRPr="00012C3F">
        <w:rPr>
          <w:rFonts w:eastAsia="Calibri" w:cs="Arial"/>
          <w:sz w:val="20"/>
          <w:szCs w:val="20"/>
          <w:lang w:val="en-US" w:eastAsia="en-US"/>
        </w:rPr>
        <w:t>, “</w:t>
      </w:r>
      <w:r w:rsidRPr="00012C3F">
        <w:rPr>
          <w:rFonts w:eastAsia="Calibri" w:cs="Arial"/>
          <w:sz w:val="20"/>
          <w:szCs w:val="20"/>
          <w:lang w:val="en-US" w:eastAsia="en-US"/>
        </w:rPr>
        <w:t>given that</w:t>
      </w:r>
      <w:r w:rsidR="00502B43" w:rsidRPr="00012C3F">
        <w:rPr>
          <w:rFonts w:eastAsia="Calibri" w:cs="Arial"/>
          <w:sz w:val="20"/>
          <w:szCs w:val="20"/>
          <w:lang w:val="en-US" w:eastAsia="en-US"/>
        </w:rPr>
        <w:t xml:space="preserve"> </w:t>
      </w:r>
      <w:r w:rsidR="00271E24" w:rsidRPr="00012C3F">
        <w:rPr>
          <w:rFonts w:eastAsia="Calibri" w:cs="Arial"/>
          <w:sz w:val="20"/>
          <w:szCs w:val="20"/>
          <w:lang w:val="en-US" w:eastAsia="en-US"/>
        </w:rPr>
        <w:t>non-consensual sterilization</w:t>
      </w:r>
      <w:r w:rsidR="00502B43" w:rsidRPr="00012C3F">
        <w:rPr>
          <w:rFonts w:eastAsia="Calibri" w:cs="Arial"/>
          <w:sz w:val="20"/>
          <w:szCs w:val="20"/>
          <w:lang w:val="en-US" w:eastAsia="en-US"/>
        </w:rPr>
        <w:t xml:space="preserve"> </w:t>
      </w:r>
      <w:r w:rsidRPr="00012C3F">
        <w:rPr>
          <w:rFonts w:eastAsia="Calibri" w:cs="Arial"/>
          <w:sz w:val="20"/>
          <w:szCs w:val="20"/>
          <w:lang w:val="en-US" w:eastAsia="en-US"/>
        </w:rPr>
        <w:t xml:space="preserve">is a form of violence against women, </w:t>
      </w:r>
      <w:r w:rsidR="00A84CA0" w:rsidRPr="00012C3F">
        <w:rPr>
          <w:rFonts w:eastAsia="Calibri" w:cs="Arial"/>
          <w:sz w:val="20"/>
          <w:szCs w:val="20"/>
          <w:lang w:val="en-US" w:eastAsia="en-US"/>
        </w:rPr>
        <w:t>the State</w:t>
      </w:r>
      <w:r w:rsidR="00502B43" w:rsidRPr="00012C3F">
        <w:rPr>
          <w:rFonts w:eastAsia="Calibri" w:cs="Arial"/>
          <w:sz w:val="20"/>
          <w:szCs w:val="20"/>
          <w:lang w:val="en-US" w:eastAsia="en-US"/>
        </w:rPr>
        <w:t xml:space="preserve"> </w:t>
      </w:r>
      <w:r w:rsidRPr="00012C3F">
        <w:rPr>
          <w:rFonts w:eastAsia="Calibri" w:cs="Arial"/>
          <w:sz w:val="20"/>
          <w:szCs w:val="20"/>
          <w:lang w:val="en-US" w:eastAsia="en-US"/>
        </w:rPr>
        <w:t xml:space="preserve">should have acted with due diligence to investigate and punish those responsible for it.” However, in this case, “no punishment was ordered against those responsible for the non-consensual sterilization performed on I.V.” Consequently, the Commission considered that “the lack of punishment in this case constitutes a violation of the obligations established in </w:t>
      </w:r>
      <w:r w:rsidR="001254DE" w:rsidRPr="00012C3F">
        <w:rPr>
          <w:rFonts w:eastAsia="Calibri" w:cs="Arial"/>
          <w:sz w:val="20"/>
          <w:szCs w:val="20"/>
          <w:lang w:val="en-US" w:eastAsia="en-US"/>
        </w:rPr>
        <w:t>Article</w:t>
      </w:r>
      <w:r w:rsidR="006A16C8" w:rsidRPr="00012C3F">
        <w:rPr>
          <w:rFonts w:eastAsia="Calibri" w:cs="Arial"/>
          <w:sz w:val="20"/>
          <w:szCs w:val="20"/>
          <w:lang w:val="en-US" w:eastAsia="en-US"/>
        </w:rPr>
        <w:t xml:space="preserve"> </w:t>
      </w:r>
      <w:r w:rsidR="00DF71A5" w:rsidRPr="00012C3F">
        <w:rPr>
          <w:rFonts w:eastAsia="Calibri" w:cs="Arial"/>
          <w:sz w:val="20"/>
          <w:szCs w:val="20"/>
          <w:lang w:val="en-US" w:eastAsia="en-US"/>
        </w:rPr>
        <w:t>7(b)</w:t>
      </w:r>
      <w:r w:rsidR="001254DE" w:rsidRPr="00012C3F">
        <w:rPr>
          <w:rFonts w:eastAsia="Calibri" w:cs="Arial"/>
          <w:sz w:val="20"/>
          <w:szCs w:val="20"/>
          <w:lang w:val="en-US" w:eastAsia="en-US"/>
        </w:rPr>
        <w:t xml:space="preserve"> of the Convention</w:t>
      </w:r>
      <w:r w:rsidR="00502B43" w:rsidRPr="00012C3F">
        <w:rPr>
          <w:rFonts w:eastAsia="Calibri" w:cs="Arial"/>
          <w:sz w:val="20"/>
          <w:szCs w:val="20"/>
          <w:lang w:val="en-US" w:eastAsia="en-US"/>
        </w:rPr>
        <w:t xml:space="preserve"> </w:t>
      </w:r>
      <w:r w:rsidR="005E5012" w:rsidRPr="00012C3F">
        <w:rPr>
          <w:rFonts w:eastAsia="Calibri" w:cs="Arial"/>
          <w:sz w:val="20"/>
          <w:szCs w:val="20"/>
          <w:lang w:val="en-US" w:eastAsia="en-US"/>
        </w:rPr>
        <w:t>of Belém</w:t>
      </w:r>
      <w:r w:rsidR="00502B43" w:rsidRPr="00012C3F">
        <w:rPr>
          <w:rFonts w:eastAsia="Calibri" w:cs="Arial"/>
          <w:sz w:val="20"/>
          <w:szCs w:val="20"/>
          <w:lang w:val="en-US" w:eastAsia="en-US"/>
        </w:rPr>
        <w:t xml:space="preserve"> do Pará </w:t>
      </w:r>
      <w:r w:rsidRPr="00012C3F">
        <w:rPr>
          <w:rFonts w:eastAsia="Calibri" w:cs="Arial"/>
          <w:sz w:val="20"/>
          <w:szCs w:val="20"/>
          <w:lang w:val="en-US" w:eastAsia="en-US"/>
        </w:rPr>
        <w:t xml:space="preserve">and, at the same time, a form of discrimination against </w:t>
      </w:r>
      <w:r w:rsidR="000E1C11" w:rsidRPr="00012C3F">
        <w:rPr>
          <w:rFonts w:eastAsia="Calibri" w:cs="Arial"/>
          <w:sz w:val="20"/>
          <w:szCs w:val="20"/>
          <w:lang w:val="en-US" w:eastAsia="en-US"/>
        </w:rPr>
        <w:t>I.V.</w:t>
      </w:r>
      <w:r w:rsidR="00502B43" w:rsidRPr="00012C3F">
        <w:rPr>
          <w:rFonts w:eastAsia="Calibri" w:cs="Arial"/>
          <w:sz w:val="20"/>
          <w:szCs w:val="20"/>
          <w:lang w:val="en-US" w:eastAsia="en-US"/>
        </w:rPr>
        <w:t>”</w:t>
      </w:r>
      <w:r w:rsidRPr="00012C3F">
        <w:rPr>
          <w:rFonts w:eastAsia="Calibri" w:cs="Arial"/>
          <w:sz w:val="20"/>
          <w:szCs w:val="20"/>
          <w:lang w:val="en-US" w:eastAsia="en-US"/>
        </w:rPr>
        <w:t xml:space="preserve"> It also considered “that the numerous delays and instances of negligence attributable to the Judiciary during the criminal proceedings regarding the sterilization performed on I.V., which resulted in the extinction of the criminal </w:t>
      </w:r>
      <w:r w:rsidR="00D2362D" w:rsidRPr="00012C3F">
        <w:rPr>
          <w:rFonts w:eastAsia="Calibri" w:cs="Arial"/>
          <w:sz w:val="20"/>
          <w:szCs w:val="20"/>
          <w:lang w:val="en-US" w:eastAsia="en-US"/>
        </w:rPr>
        <w:t>action</w:t>
      </w:r>
      <w:r w:rsidRPr="00012C3F">
        <w:rPr>
          <w:rFonts w:eastAsia="Calibri" w:cs="Arial"/>
          <w:sz w:val="20"/>
          <w:szCs w:val="20"/>
          <w:lang w:val="en-US" w:eastAsia="en-US"/>
        </w:rPr>
        <w:t xml:space="preserve">, violated the obligations established in paragraphs (f) and (g) of the said </w:t>
      </w:r>
      <w:r w:rsidR="001254DE" w:rsidRPr="00012C3F">
        <w:rPr>
          <w:rFonts w:eastAsia="Calibri" w:cs="Arial"/>
          <w:sz w:val="20"/>
          <w:szCs w:val="20"/>
          <w:lang w:val="en-US" w:eastAsia="en-US"/>
        </w:rPr>
        <w:t>Article</w:t>
      </w:r>
      <w:r w:rsidR="00502B43" w:rsidRPr="00012C3F">
        <w:rPr>
          <w:rFonts w:eastAsia="Calibri" w:cs="Arial"/>
          <w:sz w:val="20"/>
          <w:szCs w:val="20"/>
          <w:lang w:val="en-US" w:eastAsia="en-US"/>
        </w:rPr>
        <w:t xml:space="preserve"> 7</w:t>
      </w:r>
      <w:r w:rsidR="001254DE" w:rsidRPr="00012C3F">
        <w:rPr>
          <w:rFonts w:eastAsia="Calibri" w:cs="Arial"/>
          <w:sz w:val="20"/>
          <w:szCs w:val="20"/>
          <w:lang w:val="en-US" w:eastAsia="en-US"/>
        </w:rPr>
        <w:t xml:space="preserve"> of the Convention</w:t>
      </w:r>
      <w:r w:rsidR="00502B43" w:rsidRPr="00012C3F">
        <w:rPr>
          <w:rFonts w:eastAsia="Calibri" w:cs="Arial"/>
          <w:sz w:val="20"/>
          <w:szCs w:val="20"/>
          <w:lang w:val="en-US" w:eastAsia="en-US"/>
        </w:rPr>
        <w:t xml:space="preserve"> </w:t>
      </w:r>
      <w:r w:rsidR="005E5012" w:rsidRPr="00012C3F">
        <w:rPr>
          <w:rFonts w:eastAsia="Calibri" w:cs="Arial"/>
          <w:sz w:val="20"/>
          <w:szCs w:val="20"/>
          <w:lang w:val="en-US" w:eastAsia="en-US"/>
        </w:rPr>
        <w:t>of Belém</w:t>
      </w:r>
      <w:r w:rsidR="00502B43" w:rsidRPr="00012C3F">
        <w:rPr>
          <w:rFonts w:eastAsia="Calibri" w:cs="Arial"/>
          <w:sz w:val="20"/>
          <w:szCs w:val="20"/>
          <w:lang w:val="en-US" w:eastAsia="en-US"/>
        </w:rPr>
        <w:t xml:space="preserve"> do Pará</w:t>
      </w:r>
      <w:r w:rsidRPr="00012C3F">
        <w:rPr>
          <w:rFonts w:eastAsia="Calibri" w:cs="Arial"/>
          <w:sz w:val="20"/>
          <w:szCs w:val="20"/>
          <w:lang w:val="en-US" w:eastAsia="en-US"/>
        </w:rPr>
        <w:t>.</w:t>
      </w:r>
      <w:r w:rsidR="00502B43" w:rsidRPr="00012C3F">
        <w:rPr>
          <w:rFonts w:eastAsia="Calibri" w:cs="Arial"/>
          <w:sz w:val="20"/>
          <w:szCs w:val="20"/>
          <w:lang w:val="en-US" w:eastAsia="en-US"/>
        </w:rPr>
        <w:t>”</w:t>
      </w:r>
      <w:r w:rsidRPr="00012C3F">
        <w:rPr>
          <w:rFonts w:eastAsia="Calibri" w:cs="Arial"/>
          <w:sz w:val="20"/>
          <w:szCs w:val="20"/>
          <w:lang w:val="en-US" w:eastAsia="en-US"/>
        </w:rPr>
        <w:t xml:space="preserve"> On this basis, </w:t>
      </w:r>
      <w:r w:rsidR="001254DE" w:rsidRPr="00012C3F">
        <w:rPr>
          <w:rFonts w:eastAsia="Calibri" w:cs="Arial"/>
          <w:sz w:val="20"/>
          <w:szCs w:val="20"/>
          <w:lang w:val="en-US" w:eastAsia="en-US"/>
        </w:rPr>
        <w:t xml:space="preserve">the </w:t>
      </w:r>
      <w:r w:rsidR="00A84CA0" w:rsidRPr="00012C3F">
        <w:rPr>
          <w:rFonts w:eastAsia="Calibri" w:cs="Arial"/>
          <w:sz w:val="20"/>
          <w:szCs w:val="20"/>
          <w:lang w:val="en-US" w:eastAsia="en-US"/>
        </w:rPr>
        <w:t>Commission</w:t>
      </w:r>
      <w:r w:rsidR="00502B43" w:rsidRPr="00012C3F">
        <w:rPr>
          <w:rFonts w:eastAsia="Calibri" w:cs="Arial"/>
          <w:sz w:val="20"/>
          <w:szCs w:val="20"/>
          <w:lang w:val="en-US" w:eastAsia="en-US"/>
        </w:rPr>
        <w:t xml:space="preserve"> conclu</w:t>
      </w:r>
      <w:r w:rsidRPr="00012C3F">
        <w:rPr>
          <w:rFonts w:eastAsia="Calibri" w:cs="Arial"/>
          <w:sz w:val="20"/>
          <w:szCs w:val="20"/>
          <w:lang w:val="en-US" w:eastAsia="en-US"/>
        </w:rPr>
        <w:t>ded</w:t>
      </w:r>
      <w:r w:rsidR="00502B43" w:rsidRPr="00012C3F">
        <w:rPr>
          <w:rFonts w:eastAsia="Calibri" w:cs="Arial"/>
          <w:sz w:val="20"/>
          <w:szCs w:val="20"/>
          <w:lang w:val="en-US" w:eastAsia="en-US"/>
        </w:rPr>
        <w:t xml:space="preserve"> “</w:t>
      </w:r>
      <w:r w:rsidRPr="00012C3F">
        <w:rPr>
          <w:rFonts w:eastAsia="Calibri" w:cs="Arial"/>
          <w:sz w:val="20"/>
          <w:szCs w:val="20"/>
          <w:lang w:val="en-US" w:eastAsia="en-US"/>
        </w:rPr>
        <w:t xml:space="preserve">that, in this matter, the State violated the duty to refrain from any practice or act of violence against women, thereby contravening the obligations established in </w:t>
      </w:r>
      <w:r w:rsidR="001254DE" w:rsidRPr="00012C3F">
        <w:rPr>
          <w:rFonts w:eastAsia="Calibri" w:cs="Arial"/>
          <w:sz w:val="20"/>
          <w:szCs w:val="20"/>
          <w:lang w:val="en-US" w:eastAsia="en-US"/>
        </w:rPr>
        <w:t>Article</w:t>
      </w:r>
      <w:r w:rsidR="00502B43" w:rsidRPr="00012C3F">
        <w:rPr>
          <w:rFonts w:eastAsia="Calibri" w:cs="Arial"/>
          <w:sz w:val="20"/>
          <w:szCs w:val="20"/>
          <w:lang w:val="en-US" w:eastAsia="en-US"/>
        </w:rPr>
        <w:t xml:space="preserve"> 7</w:t>
      </w:r>
      <w:r w:rsidR="001254DE" w:rsidRPr="00012C3F">
        <w:rPr>
          <w:rFonts w:eastAsia="Calibri" w:cs="Arial"/>
          <w:sz w:val="20"/>
          <w:szCs w:val="20"/>
          <w:lang w:val="en-US" w:eastAsia="en-US"/>
        </w:rPr>
        <w:t xml:space="preserve"> of the Convention</w:t>
      </w:r>
      <w:r w:rsidR="00502B43" w:rsidRPr="00012C3F">
        <w:rPr>
          <w:rFonts w:eastAsia="Calibri" w:cs="Arial"/>
          <w:sz w:val="20"/>
          <w:szCs w:val="20"/>
          <w:lang w:val="en-US" w:eastAsia="en-US"/>
        </w:rPr>
        <w:t xml:space="preserve"> </w:t>
      </w:r>
      <w:r w:rsidR="005E5012" w:rsidRPr="00012C3F">
        <w:rPr>
          <w:rFonts w:eastAsia="Calibri" w:cs="Arial"/>
          <w:sz w:val="20"/>
          <w:szCs w:val="20"/>
          <w:lang w:val="en-US" w:eastAsia="en-US"/>
        </w:rPr>
        <w:t>of Belém</w:t>
      </w:r>
      <w:r w:rsidR="00502B43" w:rsidRPr="00012C3F">
        <w:rPr>
          <w:rFonts w:eastAsia="Calibri" w:cs="Arial"/>
          <w:sz w:val="20"/>
          <w:szCs w:val="20"/>
          <w:lang w:val="en-US" w:eastAsia="en-US"/>
        </w:rPr>
        <w:t xml:space="preserve"> do Pará,</w:t>
      </w:r>
      <w:r w:rsidR="005E5012" w:rsidRPr="00012C3F">
        <w:rPr>
          <w:rFonts w:eastAsia="Calibri" w:cs="Arial"/>
          <w:sz w:val="20"/>
          <w:szCs w:val="20"/>
          <w:lang w:val="en-US" w:eastAsia="en-US"/>
        </w:rPr>
        <w:t xml:space="preserve"> and</w:t>
      </w:r>
      <w:r w:rsidRPr="00012C3F">
        <w:rPr>
          <w:rFonts w:eastAsia="Calibri" w:cs="Arial"/>
          <w:sz w:val="20"/>
          <w:szCs w:val="20"/>
          <w:lang w:val="en-US" w:eastAsia="en-US"/>
        </w:rPr>
        <w:t xml:space="preserve"> failed to abide by its duty to act with the necessary due diligence to punish </w:t>
      </w:r>
      <w:r w:rsidR="00C06F01" w:rsidRPr="00012C3F">
        <w:rPr>
          <w:rFonts w:eastAsia="Calibri" w:cs="Arial"/>
          <w:sz w:val="20"/>
          <w:szCs w:val="20"/>
          <w:lang w:val="en-US" w:eastAsia="en-US"/>
        </w:rPr>
        <w:t xml:space="preserve">these </w:t>
      </w:r>
      <w:r w:rsidR="00D2362D" w:rsidRPr="00012C3F">
        <w:rPr>
          <w:rFonts w:eastAsia="Calibri" w:cs="Arial"/>
          <w:sz w:val="20"/>
          <w:szCs w:val="20"/>
          <w:lang w:val="en-US" w:eastAsia="en-US"/>
        </w:rPr>
        <w:t>kinds</w:t>
      </w:r>
      <w:r w:rsidRPr="00012C3F">
        <w:rPr>
          <w:rFonts w:eastAsia="Calibri" w:cs="Arial"/>
          <w:sz w:val="20"/>
          <w:szCs w:val="20"/>
          <w:lang w:val="en-US" w:eastAsia="en-US"/>
        </w:rPr>
        <w:t xml:space="preserve"> of act</w:t>
      </w:r>
      <w:r w:rsidR="00C06F01" w:rsidRPr="00012C3F">
        <w:rPr>
          <w:rFonts w:eastAsia="Calibri" w:cs="Arial"/>
          <w:sz w:val="20"/>
          <w:szCs w:val="20"/>
          <w:lang w:val="en-US" w:eastAsia="en-US"/>
        </w:rPr>
        <w:t>s</w:t>
      </w:r>
      <w:r w:rsidRPr="00012C3F">
        <w:rPr>
          <w:rFonts w:eastAsia="Calibri" w:cs="Arial"/>
          <w:sz w:val="20"/>
          <w:szCs w:val="20"/>
          <w:lang w:val="en-US" w:eastAsia="en-US"/>
        </w:rPr>
        <w:t>.”</w:t>
      </w:r>
      <w:r w:rsidR="005E5012" w:rsidRPr="00012C3F">
        <w:rPr>
          <w:rFonts w:eastAsia="Calibri" w:cs="Arial"/>
          <w:sz w:val="20"/>
          <w:szCs w:val="20"/>
          <w:lang w:val="en-US" w:eastAsia="en-US"/>
        </w:rPr>
        <w:t xml:space="preserve"> </w:t>
      </w:r>
    </w:p>
    <w:p w14:paraId="10E32253" w14:textId="77777777" w:rsidR="00502B43" w:rsidRPr="00012C3F" w:rsidRDefault="00502B43" w:rsidP="00B65FE0">
      <w:pPr>
        <w:widowControl/>
        <w:tabs>
          <w:tab w:val="left" w:pos="720"/>
        </w:tabs>
        <w:autoSpaceDE w:val="0"/>
        <w:autoSpaceDN w:val="0"/>
        <w:spacing w:line="240" w:lineRule="auto"/>
        <w:textAlignment w:val="auto"/>
        <w:rPr>
          <w:rFonts w:eastAsia="Calibri" w:cs="Arial"/>
          <w:sz w:val="20"/>
          <w:szCs w:val="20"/>
          <w:lang w:val="en-US" w:eastAsia="en-US"/>
        </w:rPr>
      </w:pPr>
    </w:p>
    <w:p w14:paraId="74A872FC" w14:textId="77777777" w:rsidR="00502B43" w:rsidRPr="00012C3F" w:rsidRDefault="00972ACF" w:rsidP="00B65FE0">
      <w:pPr>
        <w:numPr>
          <w:ilvl w:val="0"/>
          <w:numId w:val="5"/>
        </w:numPr>
        <w:tabs>
          <w:tab w:val="left" w:pos="720"/>
          <w:tab w:val="num" w:pos="12305"/>
        </w:tabs>
        <w:spacing w:line="240" w:lineRule="auto"/>
        <w:ind w:left="0" w:firstLine="0"/>
        <w:rPr>
          <w:rFonts w:eastAsia="Calibri" w:cs="Arial"/>
          <w:b/>
          <w:sz w:val="16"/>
          <w:szCs w:val="20"/>
          <w:lang w:val="en-US" w:eastAsia="en-US"/>
        </w:rPr>
      </w:pPr>
      <w:r w:rsidRPr="00012C3F">
        <w:rPr>
          <w:rFonts w:eastAsia="Calibri" w:cs="Arial"/>
          <w:sz w:val="20"/>
          <w:szCs w:val="20"/>
          <w:lang w:val="en-US" w:eastAsia="en-US"/>
        </w:rPr>
        <w:t>The</w:t>
      </w:r>
      <w:r w:rsidRPr="00012C3F">
        <w:rPr>
          <w:rFonts w:eastAsia="Calibri" w:cs="Arial"/>
          <w:b/>
          <w:bCs/>
          <w:i/>
          <w:iCs/>
          <w:sz w:val="20"/>
          <w:szCs w:val="20"/>
          <w:lang w:val="en-US" w:eastAsia="en-US"/>
        </w:rPr>
        <w:t xml:space="preserve"> representative</w:t>
      </w:r>
      <w:r w:rsidR="00502B43" w:rsidRPr="00012C3F">
        <w:rPr>
          <w:rFonts w:eastAsia="Calibri" w:cs="Arial"/>
          <w:sz w:val="20"/>
          <w:szCs w:val="20"/>
          <w:lang w:val="en-US" w:eastAsia="en-US"/>
        </w:rPr>
        <w:t xml:space="preserve"> </w:t>
      </w:r>
      <w:r w:rsidR="00D2362D" w:rsidRPr="00012C3F">
        <w:rPr>
          <w:rFonts w:eastAsia="MS Mincho"/>
          <w:sz w:val="20"/>
          <w:szCs w:val="20"/>
          <w:lang w:val="en-US"/>
        </w:rPr>
        <w:t>agreed with</w:t>
      </w:r>
      <w:r w:rsidR="00B65FE0" w:rsidRPr="00012C3F">
        <w:rPr>
          <w:rFonts w:eastAsia="MS Mincho"/>
          <w:sz w:val="20"/>
          <w:szCs w:val="20"/>
          <w:lang w:val="en-US"/>
        </w:rPr>
        <w:t xml:space="preserve"> the legal grounds and conclusions set forth by </w:t>
      </w:r>
      <w:r w:rsidR="001254DE" w:rsidRPr="00012C3F">
        <w:rPr>
          <w:rFonts w:eastAsia="Calibri" w:cs="Arial"/>
          <w:sz w:val="20"/>
          <w:szCs w:val="20"/>
          <w:lang w:val="en-US" w:eastAsia="en-US"/>
        </w:rPr>
        <w:t xml:space="preserve">the </w:t>
      </w:r>
      <w:r w:rsidR="00A84CA0" w:rsidRPr="00012C3F">
        <w:rPr>
          <w:rFonts w:eastAsia="Calibri" w:cs="Arial"/>
          <w:sz w:val="20"/>
          <w:szCs w:val="20"/>
          <w:lang w:val="en-US" w:eastAsia="en-US"/>
        </w:rPr>
        <w:t>Commission</w:t>
      </w:r>
      <w:r w:rsidR="00CC3CAA" w:rsidRPr="00012C3F">
        <w:rPr>
          <w:rFonts w:eastAsia="Calibri" w:cs="Arial"/>
          <w:sz w:val="20"/>
          <w:szCs w:val="20"/>
          <w:lang w:val="en-US" w:eastAsia="en-US"/>
        </w:rPr>
        <w:t xml:space="preserve"> </w:t>
      </w:r>
      <w:r w:rsidR="00B65FE0" w:rsidRPr="00012C3F">
        <w:rPr>
          <w:rFonts w:eastAsia="Calibri" w:cs="Arial"/>
          <w:sz w:val="20"/>
          <w:szCs w:val="20"/>
          <w:lang w:val="en-US" w:eastAsia="en-US"/>
        </w:rPr>
        <w:t xml:space="preserve">in </w:t>
      </w:r>
      <w:r w:rsidR="009D3EE9" w:rsidRPr="00012C3F">
        <w:rPr>
          <w:rFonts w:eastAsia="Calibri" w:cs="Arial"/>
          <w:sz w:val="20"/>
          <w:szCs w:val="20"/>
          <w:lang w:val="en-US" w:eastAsia="en-US"/>
        </w:rPr>
        <w:t>its</w:t>
      </w:r>
      <w:r w:rsidR="00CC3CAA" w:rsidRPr="00012C3F">
        <w:rPr>
          <w:rFonts w:eastAsia="Calibri" w:cs="Arial"/>
          <w:sz w:val="20"/>
          <w:szCs w:val="20"/>
          <w:lang w:val="en-US" w:eastAsia="en-US"/>
        </w:rPr>
        <w:t xml:space="preserve"> </w:t>
      </w:r>
      <w:r w:rsidR="00E00902" w:rsidRPr="00012C3F">
        <w:rPr>
          <w:rFonts w:eastAsia="Calibri" w:cs="Arial"/>
          <w:sz w:val="20"/>
          <w:szCs w:val="20"/>
          <w:lang w:val="en-US" w:eastAsia="en-US"/>
        </w:rPr>
        <w:t>Merits Report</w:t>
      </w:r>
      <w:r w:rsidR="00B65FE0" w:rsidRPr="00012C3F">
        <w:rPr>
          <w:rFonts w:eastAsia="Calibri" w:cs="Arial"/>
          <w:sz w:val="20"/>
          <w:szCs w:val="20"/>
          <w:lang w:val="en-US" w:eastAsia="en-US"/>
        </w:rPr>
        <w:t xml:space="preserve"> in relation to the violation </w:t>
      </w:r>
      <w:r w:rsidR="008A7A0F" w:rsidRPr="00012C3F">
        <w:rPr>
          <w:rFonts w:eastAsia="Calibri" w:cs="Arial"/>
          <w:sz w:val="20"/>
          <w:szCs w:val="20"/>
          <w:lang w:val="en-US" w:eastAsia="en-US"/>
        </w:rPr>
        <w:t>of Article</w:t>
      </w:r>
      <w:r w:rsidR="00502B43" w:rsidRPr="00012C3F">
        <w:rPr>
          <w:rFonts w:eastAsia="Calibri" w:cs="Arial"/>
          <w:sz w:val="20"/>
          <w:szCs w:val="20"/>
          <w:lang w:val="en-US" w:eastAsia="en-US"/>
        </w:rPr>
        <w:t xml:space="preserve"> 7 (a, b, c, f</w:t>
      </w:r>
      <w:r w:rsidR="005E5012" w:rsidRPr="00012C3F">
        <w:rPr>
          <w:rFonts w:eastAsia="Calibri" w:cs="Arial"/>
          <w:sz w:val="20"/>
          <w:szCs w:val="20"/>
          <w:lang w:val="en-US" w:eastAsia="en-US"/>
        </w:rPr>
        <w:t xml:space="preserve"> and </w:t>
      </w:r>
      <w:r w:rsidR="00502B43" w:rsidRPr="00012C3F">
        <w:rPr>
          <w:rFonts w:eastAsia="Calibri" w:cs="Arial"/>
          <w:sz w:val="20"/>
          <w:szCs w:val="20"/>
          <w:lang w:val="en-US" w:eastAsia="en-US"/>
        </w:rPr>
        <w:t>g)</w:t>
      </w:r>
      <w:r w:rsidR="001254DE" w:rsidRPr="00012C3F">
        <w:rPr>
          <w:rFonts w:eastAsia="Calibri" w:cs="Arial"/>
          <w:sz w:val="20"/>
          <w:szCs w:val="20"/>
          <w:lang w:val="en-US" w:eastAsia="en-US"/>
        </w:rPr>
        <w:t xml:space="preserve"> of the Convention</w:t>
      </w:r>
      <w:r w:rsidR="00502B43" w:rsidRPr="00012C3F">
        <w:rPr>
          <w:rFonts w:eastAsia="Calibri" w:cs="Arial"/>
          <w:sz w:val="20"/>
          <w:szCs w:val="20"/>
          <w:lang w:val="en-US" w:eastAsia="en-US"/>
        </w:rPr>
        <w:t xml:space="preserve"> </w:t>
      </w:r>
      <w:r w:rsidR="005E5012" w:rsidRPr="00012C3F">
        <w:rPr>
          <w:rFonts w:eastAsia="Calibri" w:cs="Arial"/>
          <w:sz w:val="20"/>
          <w:szCs w:val="20"/>
          <w:lang w:val="en-US" w:eastAsia="en-US"/>
        </w:rPr>
        <w:t>of Belém</w:t>
      </w:r>
      <w:r w:rsidR="00502B43" w:rsidRPr="00012C3F">
        <w:rPr>
          <w:rFonts w:eastAsia="Calibri" w:cs="Arial"/>
          <w:sz w:val="20"/>
          <w:szCs w:val="20"/>
          <w:lang w:val="en-US" w:eastAsia="en-US"/>
        </w:rPr>
        <w:t xml:space="preserve"> do Pará.</w:t>
      </w:r>
      <w:r w:rsidR="00502B43" w:rsidRPr="00012C3F">
        <w:rPr>
          <w:rFonts w:eastAsia="Calibri" w:cs="Arial"/>
          <w:b/>
          <w:sz w:val="16"/>
          <w:szCs w:val="20"/>
          <w:lang w:val="en-US" w:eastAsia="en-US"/>
        </w:rPr>
        <w:t xml:space="preserve"> </w:t>
      </w:r>
    </w:p>
    <w:p w14:paraId="7D502D85" w14:textId="77777777" w:rsidR="00502B43" w:rsidRPr="00012C3F" w:rsidRDefault="00502B43" w:rsidP="00B65FE0">
      <w:pPr>
        <w:widowControl/>
        <w:tabs>
          <w:tab w:val="left" w:pos="720"/>
        </w:tabs>
        <w:autoSpaceDE w:val="0"/>
        <w:autoSpaceDN w:val="0"/>
        <w:spacing w:line="240" w:lineRule="auto"/>
        <w:textAlignment w:val="auto"/>
        <w:rPr>
          <w:rFonts w:eastAsia="Calibri" w:cs="Arial"/>
          <w:b/>
          <w:sz w:val="16"/>
          <w:szCs w:val="20"/>
          <w:lang w:val="en-US" w:eastAsia="en-US"/>
        </w:rPr>
      </w:pPr>
    </w:p>
    <w:p w14:paraId="07EF50D0" w14:textId="77777777" w:rsidR="00502B43" w:rsidRPr="00012C3F" w:rsidRDefault="009D3EE9" w:rsidP="00B65FE0">
      <w:pPr>
        <w:numPr>
          <w:ilvl w:val="0"/>
          <w:numId w:val="5"/>
        </w:numPr>
        <w:tabs>
          <w:tab w:val="left" w:pos="720"/>
          <w:tab w:val="num" w:pos="12305"/>
        </w:tabs>
        <w:spacing w:line="240" w:lineRule="auto"/>
        <w:ind w:left="0" w:firstLine="0"/>
        <w:rPr>
          <w:rFonts w:eastAsia="Calibri" w:cs="Arial"/>
          <w:sz w:val="20"/>
          <w:szCs w:val="20"/>
          <w:lang w:val="en-US" w:eastAsia="en-US"/>
        </w:rPr>
      </w:pPr>
      <w:r w:rsidRPr="00012C3F">
        <w:rPr>
          <w:rFonts w:eastAsia="Calibri" w:cs="Arial"/>
          <w:sz w:val="20"/>
          <w:szCs w:val="20"/>
          <w:lang w:val="en-US" w:eastAsia="en-US"/>
        </w:rPr>
        <w:t>With regard</w:t>
      </w:r>
      <w:r w:rsidR="00C06F01" w:rsidRPr="00012C3F">
        <w:rPr>
          <w:rFonts w:eastAsia="Calibri" w:cs="Arial"/>
          <w:sz w:val="20"/>
          <w:szCs w:val="20"/>
          <w:lang w:val="en-US" w:eastAsia="en-US"/>
        </w:rPr>
        <w:t xml:space="preserve"> to the obligation to act with due diligence to prevent, investigate and punish violence against women</w:t>
      </w:r>
      <w:r w:rsidR="00502B43" w:rsidRPr="00012C3F">
        <w:rPr>
          <w:rFonts w:eastAsia="Calibri" w:cs="Arial"/>
          <w:sz w:val="20"/>
          <w:szCs w:val="20"/>
          <w:lang w:val="en-US" w:eastAsia="en-US"/>
        </w:rPr>
        <w:t xml:space="preserve">, </w:t>
      </w:r>
      <w:r w:rsidR="00A84CA0" w:rsidRPr="00012C3F">
        <w:rPr>
          <w:rFonts w:eastAsia="Calibri" w:cs="Arial"/>
          <w:sz w:val="20"/>
          <w:szCs w:val="20"/>
          <w:lang w:val="en-US" w:eastAsia="en-US"/>
        </w:rPr>
        <w:t xml:space="preserve">the </w:t>
      </w:r>
      <w:r w:rsidR="00A84CA0" w:rsidRPr="00012C3F">
        <w:rPr>
          <w:rFonts w:eastAsia="Calibri" w:cs="Arial"/>
          <w:b/>
          <w:bCs/>
          <w:i/>
          <w:iCs/>
          <w:sz w:val="20"/>
          <w:szCs w:val="20"/>
          <w:lang w:val="en-US" w:eastAsia="en-US"/>
        </w:rPr>
        <w:t>State</w:t>
      </w:r>
      <w:r w:rsidR="00502B43" w:rsidRPr="00012C3F">
        <w:rPr>
          <w:rFonts w:eastAsia="Calibri" w:cs="Arial"/>
          <w:sz w:val="20"/>
          <w:szCs w:val="20"/>
          <w:lang w:val="en-US" w:eastAsia="en-US"/>
        </w:rPr>
        <w:t xml:space="preserve"> </w:t>
      </w:r>
      <w:r w:rsidR="00C06F01" w:rsidRPr="00012C3F">
        <w:rPr>
          <w:rFonts w:eastAsia="Calibri" w:cs="Arial"/>
          <w:sz w:val="20"/>
          <w:szCs w:val="20"/>
          <w:lang w:val="en-US" w:eastAsia="en-US"/>
        </w:rPr>
        <w:t>indicated that it</w:t>
      </w:r>
      <w:r w:rsidR="00502B43" w:rsidRPr="00012C3F">
        <w:rPr>
          <w:rFonts w:eastAsia="Calibri" w:cs="Arial"/>
          <w:sz w:val="20"/>
          <w:szCs w:val="20"/>
          <w:lang w:val="en-US" w:eastAsia="en-US"/>
        </w:rPr>
        <w:t xml:space="preserve"> </w:t>
      </w:r>
      <w:r w:rsidR="00C06F01" w:rsidRPr="00012C3F">
        <w:rPr>
          <w:rFonts w:eastAsia="Calibri" w:cs="Arial"/>
          <w:sz w:val="20"/>
          <w:szCs w:val="20"/>
          <w:lang w:val="en-US" w:eastAsia="en-US"/>
        </w:rPr>
        <w:t xml:space="preserve">had </w:t>
      </w:r>
      <w:r w:rsidR="00502B43" w:rsidRPr="00012C3F">
        <w:rPr>
          <w:rFonts w:eastAsia="Calibri" w:cs="Arial"/>
          <w:sz w:val="20"/>
          <w:szCs w:val="20"/>
          <w:lang w:val="en-US" w:eastAsia="en-US"/>
        </w:rPr>
        <w:t>“act</w:t>
      </w:r>
      <w:r w:rsidR="00C06F01" w:rsidRPr="00012C3F">
        <w:rPr>
          <w:rFonts w:eastAsia="Calibri" w:cs="Arial"/>
          <w:sz w:val="20"/>
          <w:szCs w:val="20"/>
          <w:lang w:val="en-US" w:eastAsia="en-US"/>
        </w:rPr>
        <w:t xml:space="preserve">ed with due diligence to prevent, investigate and punish the presumed violence against I.V., because she had been able to have recourse to the corresponding instances to assert her right” and it had “complied with its obligations established in Article 7(b) of the Convention, because in light of treaty-based law, the State had not promoted or consented to any type of violence against </w:t>
      </w:r>
      <w:r w:rsidR="000E1C11" w:rsidRPr="00012C3F">
        <w:rPr>
          <w:rFonts w:eastAsia="Calibri" w:cs="Arial"/>
          <w:sz w:val="20"/>
          <w:szCs w:val="20"/>
          <w:lang w:val="en-US" w:eastAsia="en-US"/>
        </w:rPr>
        <w:t>I.V.</w:t>
      </w:r>
      <w:r w:rsidR="00502B43" w:rsidRPr="00012C3F">
        <w:rPr>
          <w:rFonts w:eastAsia="Calibri" w:cs="Arial"/>
          <w:sz w:val="20"/>
          <w:szCs w:val="20"/>
          <w:lang w:val="en-US" w:eastAsia="en-US"/>
        </w:rPr>
        <w:t>”</w:t>
      </w:r>
    </w:p>
    <w:p w14:paraId="02FBFB08" w14:textId="77777777" w:rsidR="00502B43" w:rsidRPr="00012C3F" w:rsidRDefault="00502B43" w:rsidP="00502B43">
      <w:pPr>
        <w:widowControl/>
        <w:autoSpaceDE w:val="0"/>
        <w:autoSpaceDN w:val="0"/>
        <w:spacing w:line="240" w:lineRule="auto"/>
        <w:textAlignment w:val="auto"/>
        <w:rPr>
          <w:rFonts w:eastAsia="Calibri" w:cs="Arial"/>
          <w:sz w:val="20"/>
          <w:szCs w:val="20"/>
          <w:lang w:val="en-US" w:eastAsia="en-US"/>
        </w:rPr>
      </w:pPr>
    </w:p>
    <w:p w14:paraId="17DA0F9E" w14:textId="77777777" w:rsidR="00502B43" w:rsidRPr="00012C3F" w:rsidRDefault="00C06F01" w:rsidP="00C06F01">
      <w:pPr>
        <w:numPr>
          <w:ilvl w:val="0"/>
          <w:numId w:val="5"/>
        </w:numPr>
        <w:tabs>
          <w:tab w:val="left" w:pos="720"/>
          <w:tab w:val="num" w:pos="12305"/>
        </w:tabs>
        <w:spacing w:line="240" w:lineRule="auto"/>
        <w:ind w:left="0" w:firstLine="0"/>
        <w:rPr>
          <w:rFonts w:eastAsia="Calibri" w:cs="Arial"/>
          <w:b/>
          <w:sz w:val="16"/>
          <w:szCs w:val="16"/>
          <w:lang w:val="en-US" w:eastAsia="en-US"/>
        </w:rPr>
      </w:pPr>
      <w:r w:rsidRPr="00012C3F">
        <w:rPr>
          <w:rFonts w:eastAsia="Calibri" w:cs="Arial"/>
          <w:sz w:val="20"/>
          <w:szCs w:val="20"/>
          <w:lang w:val="en-US" w:eastAsia="en-US"/>
        </w:rPr>
        <w:lastRenderedPageBreak/>
        <w:t>Regarding the obligation to establish fair and effective legal procedures for women who have been subjected to violence, which include measures of protection, a prompt trial, and effective access to such proceedings and</w:t>
      </w:r>
      <w:r w:rsidR="00D2362D" w:rsidRPr="00012C3F">
        <w:rPr>
          <w:rFonts w:eastAsia="Calibri" w:cs="Arial"/>
          <w:sz w:val="20"/>
          <w:szCs w:val="20"/>
          <w:lang w:val="en-US" w:eastAsia="en-US"/>
        </w:rPr>
        <w:t xml:space="preserve"> also</w:t>
      </w:r>
      <w:r w:rsidRPr="00012C3F">
        <w:rPr>
          <w:rFonts w:eastAsia="Calibri" w:cs="Arial"/>
          <w:sz w:val="20"/>
          <w:szCs w:val="20"/>
          <w:lang w:val="en-US" w:eastAsia="en-US"/>
        </w:rPr>
        <w:t xml:space="preserve"> to establish the necessary administrative and judicial mechanisms to ensure that a woman who has been the subject of violence has effective access to redress, reparation of the harm, or other just and effective measures of compensation, the State observed that “using the appropriate remedies, at both the administrative and the judicial level, I.V. was able to assert her claims in accordance with the legal framework in force and, although the result was not favorable to her, this does not mean that the State had not provided adequate and effective remedies for her protection</w:t>
      </w:r>
      <w:r w:rsidR="00B13829" w:rsidRPr="00012C3F">
        <w:rPr>
          <w:rFonts w:eastAsia="Calibri" w:cs="Arial"/>
          <w:sz w:val="20"/>
          <w:szCs w:val="20"/>
          <w:lang w:val="en-US" w:eastAsia="en-US"/>
        </w:rPr>
        <w:t>; to the contrary, I.V. was provided with both ordinary and special remedies that she failed to file or exhaust.” Based on these considerations, the State concluded that it was not responsible for the alleged violation</w:t>
      </w:r>
      <w:r w:rsidR="00B13829" w:rsidRPr="00012C3F">
        <w:rPr>
          <w:rFonts w:eastAsia="Calibri" w:cs="Arial"/>
          <w:b/>
          <w:sz w:val="16"/>
          <w:szCs w:val="16"/>
          <w:lang w:val="en-US" w:eastAsia="en-US"/>
        </w:rPr>
        <w:t xml:space="preserve"> </w:t>
      </w:r>
      <w:r w:rsidR="008A7A0F" w:rsidRPr="00012C3F">
        <w:rPr>
          <w:rFonts w:eastAsia="Calibri" w:cs="Arial"/>
          <w:sz w:val="20"/>
          <w:szCs w:val="20"/>
          <w:lang w:val="en-US" w:eastAsia="en-US"/>
        </w:rPr>
        <w:t>of Article</w:t>
      </w:r>
      <w:r w:rsidR="00502B43" w:rsidRPr="00012C3F">
        <w:rPr>
          <w:rFonts w:eastAsia="Calibri" w:cs="Arial"/>
          <w:sz w:val="20"/>
          <w:szCs w:val="20"/>
          <w:lang w:val="en-US" w:eastAsia="en-US"/>
        </w:rPr>
        <w:t xml:space="preserve"> 7</w:t>
      </w:r>
      <w:r w:rsidR="001254DE" w:rsidRPr="00012C3F">
        <w:rPr>
          <w:rFonts w:eastAsia="Calibri" w:cs="Arial"/>
          <w:sz w:val="20"/>
          <w:szCs w:val="20"/>
          <w:lang w:val="en-US" w:eastAsia="en-US"/>
        </w:rPr>
        <w:t xml:space="preserve"> of the Convention</w:t>
      </w:r>
      <w:r w:rsidR="00502B43" w:rsidRPr="00012C3F">
        <w:rPr>
          <w:rFonts w:eastAsia="Calibri" w:cs="Arial"/>
          <w:sz w:val="20"/>
          <w:szCs w:val="20"/>
          <w:lang w:val="en-US" w:eastAsia="en-US"/>
        </w:rPr>
        <w:t xml:space="preserve"> </w:t>
      </w:r>
      <w:r w:rsidR="005E5012" w:rsidRPr="00012C3F">
        <w:rPr>
          <w:rFonts w:eastAsia="Calibri" w:cs="Arial"/>
          <w:sz w:val="20"/>
          <w:szCs w:val="20"/>
          <w:lang w:val="en-US" w:eastAsia="en-US"/>
        </w:rPr>
        <w:t>of Belém</w:t>
      </w:r>
      <w:r w:rsidR="00502B43" w:rsidRPr="00012C3F">
        <w:rPr>
          <w:rFonts w:eastAsia="Calibri" w:cs="Arial"/>
          <w:sz w:val="20"/>
          <w:szCs w:val="20"/>
          <w:lang w:val="en-US" w:eastAsia="en-US"/>
        </w:rPr>
        <w:t xml:space="preserve"> do Pará, </w:t>
      </w:r>
      <w:r w:rsidR="00B13829" w:rsidRPr="00012C3F">
        <w:rPr>
          <w:rFonts w:eastAsia="Calibri" w:cs="Arial"/>
          <w:sz w:val="20"/>
          <w:szCs w:val="20"/>
          <w:lang w:val="en-US" w:eastAsia="en-US"/>
        </w:rPr>
        <w:t xml:space="preserve">because it had complied with its treaty-based obligations to protect women and, in particular, to ensure that I.V. had full </w:t>
      </w:r>
      <w:r w:rsidR="00A710F6" w:rsidRPr="00012C3F">
        <w:rPr>
          <w:rFonts w:eastAsia="Calibri" w:cs="Arial"/>
          <w:sz w:val="20"/>
          <w:szCs w:val="20"/>
          <w:lang w:val="en-US" w:eastAsia="en-US"/>
        </w:rPr>
        <w:t>access to justice</w:t>
      </w:r>
      <w:r w:rsidR="00502B43" w:rsidRPr="00012C3F">
        <w:rPr>
          <w:rFonts w:eastAsia="Calibri" w:cs="Arial"/>
          <w:sz w:val="20"/>
          <w:szCs w:val="20"/>
          <w:lang w:val="en-US" w:eastAsia="en-US"/>
        </w:rPr>
        <w:t>.</w:t>
      </w:r>
    </w:p>
    <w:p w14:paraId="2395CC3C" w14:textId="77777777" w:rsidR="00502B43" w:rsidRPr="00012C3F" w:rsidRDefault="00502B43" w:rsidP="00C06F01">
      <w:pPr>
        <w:tabs>
          <w:tab w:val="left" w:pos="720"/>
        </w:tabs>
        <w:spacing w:line="240" w:lineRule="auto"/>
        <w:rPr>
          <w:rFonts w:eastAsia="MS Mincho"/>
          <w:sz w:val="20"/>
          <w:szCs w:val="20"/>
          <w:lang w:val="en-US"/>
        </w:rPr>
      </w:pPr>
    </w:p>
    <w:p w14:paraId="44C8EE3E" w14:textId="77777777" w:rsidR="00502B43" w:rsidRPr="00012C3F" w:rsidRDefault="00502B43" w:rsidP="00C06F01">
      <w:pPr>
        <w:pStyle w:val="Ttulo2"/>
        <w:tabs>
          <w:tab w:val="left" w:pos="720"/>
          <w:tab w:val="left" w:pos="1701"/>
        </w:tabs>
        <w:spacing w:before="0" w:line="240" w:lineRule="auto"/>
        <w:ind w:left="1134"/>
        <w:rPr>
          <w:rFonts w:ascii="Verdana" w:hAnsi="Verdana"/>
          <w:b w:val="0"/>
          <w:i/>
          <w:color w:val="auto"/>
          <w:sz w:val="20"/>
          <w:szCs w:val="20"/>
          <w:lang w:val="en-US"/>
        </w:rPr>
      </w:pPr>
      <w:bookmarkStart w:id="171" w:name="_Toc461305146"/>
      <w:bookmarkStart w:id="172" w:name="_Toc27486880"/>
      <w:r w:rsidRPr="00012C3F">
        <w:rPr>
          <w:rFonts w:ascii="Verdana" w:hAnsi="Verdana"/>
          <w:b w:val="0"/>
          <w:i/>
          <w:color w:val="auto"/>
          <w:sz w:val="20"/>
          <w:szCs w:val="20"/>
          <w:lang w:val="en-US"/>
        </w:rPr>
        <w:t xml:space="preserve">A.3 </w:t>
      </w:r>
      <w:r w:rsidR="006A16C8" w:rsidRPr="00012C3F">
        <w:rPr>
          <w:rFonts w:ascii="Verdana" w:hAnsi="Verdana"/>
          <w:b w:val="0"/>
          <w:i/>
          <w:color w:val="auto"/>
          <w:sz w:val="20"/>
          <w:szCs w:val="20"/>
          <w:lang w:val="en-US"/>
        </w:rPr>
        <w:tab/>
      </w:r>
      <w:r w:rsidR="00A710F6" w:rsidRPr="00012C3F">
        <w:rPr>
          <w:rFonts w:ascii="Verdana" w:hAnsi="Verdana"/>
          <w:b w:val="0"/>
          <w:i/>
          <w:color w:val="auto"/>
          <w:sz w:val="20"/>
          <w:szCs w:val="20"/>
          <w:lang w:val="en-US"/>
        </w:rPr>
        <w:t>Arguments on</w:t>
      </w:r>
      <w:r w:rsidRPr="00012C3F">
        <w:rPr>
          <w:rFonts w:ascii="Verdana" w:hAnsi="Verdana"/>
          <w:b w:val="0"/>
          <w:i/>
          <w:color w:val="auto"/>
          <w:sz w:val="20"/>
          <w:szCs w:val="20"/>
          <w:lang w:val="en-US"/>
        </w:rPr>
        <w:t xml:space="preserve"> </w:t>
      </w:r>
      <w:r w:rsidR="00A710F6" w:rsidRPr="00012C3F">
        <w:rPr>
          <w:rFonts w:ascii="Verdana" w:hAnsi="Verdana"/>
          <w:b w:val="0"/>
          <w:i/>
          <w:color w:val="auto"/>
          <w:sz w:val="20"/>
          <w:szCs w:val="20"/>
          <w:lang w:val="en-US"/>
        </w:rPr>
        <w:t>discrimination in access to justice</w:t>
      </w:r>
      <w:bookmarkEnd w:id="171"/>
      <w:bookmarkEnd w:id="172"/>
    </w:p>
    <w:p w14:paraId="6B688F32" w14:textId="77777777" w:rsidR="00502B43" w:rsidRPr="00012C3F" w:rsidRDefault="00502B43" w:rsidP="00C06F01">
      <w:pPr>
        <w:tabs>
          <w:tab w:val="left" w:pos="720"/>
        </w:tabs>
        <w:spacing w:line="240" w:lineRule="auto"/>
        <w:rPr>
          <w:rFonts w:eastAsia="MS Mincho"/>
          <w:sz w:val="20"/>
          <w:szCs w:val="20"/>
          <w:lang w:val="en-US"/>
        </w:rPr>
      </w:pPr>
    </w:p>
    <w:p w14:paraId="254A66BA" w14:textId="77777777" w:rsidR="00502B43" w:rsidRPr="00012C3F" w:rsidRDefault="00BD056C" w:rsidP="00C20A64">
      <w:pPr>
        <w:numPr>
          <w:ilvl w:val="0"/>
          <w:numId w:val="5"/>
        </w:numPr>
        <w:tabs>
          <w:tab w:val="left" w:pos="720"/>
          <w:tab w:val="num" w:pos="12305"/>
        </w:tabs>
        <w:spacing w:line="240" w:lineRule="auto"/>
        <w:ind w:left="0" w:firstLine="0"/>
        <w:rPr>
          <w:rFonts w:eastAsia="Calibri" w:cs="Arial"/>
          <w:b/>
          <w:sz w:val="16"/>
          <w:szCs w:val="20"/>
          <w:lang w:val="en-US" w:eastAsia="en-US"/>
        </w:rPr>
      </w:pPr>
      <w:r w:rsidRPr="00012C3F">
        <w:rPr>
          <w:rFonts w:eastAsia="Calibri" w:cs="Arial"/>
          <w:sz w:val="20"/>
          <w:szCs w:val="20"/>
          <w:lang w:val="en-US" w:eastAsia="en-US"/>
        </w:rPr>
        <w:t xml:space="preserve">The </w:t>
      </w:r>
      <w:r w:rsidRPr="00012C3F">
        <w:rPr>
          <w:rFonts w:eastAsia="Calibri" w:cs="Arial"/>
          <w:b/>
          <w:bCs/>
          <w:i/>
          <w:iCs/>
          <w:sz w:val="20"/>
          <w:szCs w:val="20"/>
          <w:lang w:val="en-US" w:eastAsia="en-US"/>
        </w:rPr>
        <w:t>Commission</w:t>
      </w:r>
      <w:r w:rsidR="00502B43" w:rsidRPr="00012C3F">
        <w:rPr>
          <w:rFonts w:eastAsia="Calibri" w:cs="Arial"/>
          <w:sz w:val="20"/>
          <w:szCs w:val="20"/>
          <w:lang w:val="en-US" w:eastAsia="en-US"/>
        </w:rPr>
        <w:t xml:space="preserve"> reiter</w:t>
      </w:r>
      <w:r w:rsidR="00C20A64" w:rsidRPr="00012C3F">
        <w:rPr>
          <w:rFonts w:eastAsia="Calibri" w:cs="Arial"/>
          <w:sz w:val="20"/>
          <w:szCs w:val="20"/>
          <w:lang w:val="en-US" w:eastAsia="en-US"/>
        </w:rPr>
        <w:t>ated that</w:t>
      </w:r>
      <w:r w:rsidR="00502B43" w:rsidRPr="00012C3F">
        <w:rPr>
          <w:rFonts w:eastAsia="Calibri" w:cs="Arial"/>
          <w:sz w:val="20"/>
          <w:szCs w:val="20"/>
          <w:lang w:val="en-US" w:eastAsia="en-US"/>
        </w:rPr>
        <w:t xml:space="preserve"> “</w:t>
      </w:r>
      <w:r w:rsidR="00C20A64" w:rsidRPr="00012C3F">
        <w:rPr>
          <w:rFonts w:eastAsia="Calibri" w:cs="Arial"/>
          <w:sz w:val="20"/>
          <w:szCs w:val="20"/>
          <w:lang w:val="en-US" w:eastAsia="en-US"/>
        </w:rPr>
        <w:t xml:space="preserve">States have a duty to guarantee appropriate </w:t>
      </w:r>
      <w:r w:rsidR="00D2362D" w:rsidRPr="00012C3F">
        <w:rPr>
          <w:rFonts w:eastAsia="Calibri" w:cs="Arial"/>
          <w:sz w:val="20"/>
          <w:szCs w:val="20"/>
          <w:lang w:val="en-US" w:eastAsia="en-US"/>
        </w:rPr>
        <w:t>a</w:t>
      </w:r>
      <w:r w:rsidR="00C20A64" w:rsidRPr="00012C3F">
        <w:rPr>
          <w:rFonts w:eastAsia="Calibri" w:cs="Arial"/>
          <w:sz w:val="20"/>
          <w:szCs w:val="20"/>
          <w:lang w:val="en-US" w:eastAsia="en-US"/>
        </w:rPr>
        <w:t>ccess to justice for women when any of their human rights are violated, including those relating to their sexual and reproductive health. There are two dimensions associated with this duty. The first is</w:t>
      </w:r>
      <w:r w:rsidR="00C20A64" w:rsidRPr="00012C3F">
        <w:rPr>
          <w:rFonts w:eastAsia="Calibri" w:cs="Arial"/>
          <w:b/>
          <w:sz w:val="16"/>
          <w:szCs w:val="20"/>
          <w:lang w:val="en-US" w:eastAsia="en-US"/>
        </w:rPr>
        <w:t xml:space="preserve"> </w:t>
      </w:r>
      <w:r w:rsidR="00C20A64" w:rsidRPr="00012C3F">
        <w:rPr>
          <w:rStyle w:val="Ttulo1Car"/>
          <w:b w:val="0"/>
          <w:caps w:val="0"/>
          <w:lang w:val="en-US"/>
        </w:rPr>
        <w:t>criminal sanctions when acts occur that may constitute a form of violence against women. […] A second dimension has to do with the need to address the causes and systemic flaws that gave rise to the human rights violation under review. The impunity of violations of women's rights – including their sexual and reproductive rights – constitutes a form of discrimination against them and undermines the obligation not to discriminate included in Article 1(1) of the American Convention.”</w:t>
      </w:r>
      <w:r w:rsidR="00C20A64" w:rsidRPr="00012C3F">
        <w:rPr>
          <w:rFonts w:eastAsia="Calibri" w:cs="Arial"/>
          <w:b/>
          <w:sz w:val="16"/>
          <w:szCs w:val="20"/>
          <w:lang w:val="en-US" w:eastAsia="en-US"/>
        </w:rPr>
        <w:t xml:space="preserve"> </w:t>
      </w:r>
      <w:r w:rsidR="00C20A64" w:rsidRPr="00012C3F">
        <w:rPr>
          <w:rFonts w:eastAsia="Calibri" w:cs="Arial"/>
          <w:sz w:val="20"/>
          <w:szCs w:val="20"/>
          <w:lang w:val="en-US" w:eastAsia="en-US"/>
        </w:rPr>
        <w:t>Consequently, i</w:t>
      </w:r>
      <w:r w:rsidR="006C705C" w:rsidRPr="00012C3F">
        <w:rPr>
          <w:rFonts w:eastAsia="Calibri" w:cs="Arial"/>
          <w:sz w:val="20"/>
          <w:szCs w:val="20"/>
          <w:lang w:val="en-US" w:eastAsia="en-US"/>
        </w:rPr>
        <w:t>n this case</w:t>
      </w:r>
      <w:r w:rsidR="00502B43" w:rsidRPr="00012C3F">
        <w:rPr>
          <w:rFonts w:eastAsia="Calibri" w:cs="Arial"/>
          <w:sz w:val="20"/>
          <w:szCs w:val="20"/>
          <w:lang w:val="en-US" w:eastAsia="en-US"/>
        </w:rPr>
        <w:t xml:space="preserve">, </w:t>
      </w:r>
      <w:r w:rsidR="001254DE" w:rsidRPr="00012C3F">
        <w:rPr>
          <w:rFonts w:eastAsia="Calibri" w:cs="Arial"/>
          <w:sz w:val="20"/>
          <w:szCs w:val="20"/>
          <w:lang w:val="en-US" w:eastAsia="en-US"/>
        </w:rPr>
        <w:t xml:space="preserve">the </w:t>
      </w:r>
      <w:r w:rsidR="00A84CA0" w:rsidRPr="00012C3F">
        <w:rPr>
          <w:rFonts w:eastAsia="Calibri" w:cs="Arial"/>
          <w:sz w:val="20"/>
          <w:szCs w:val="20"/>
          <w:lang w:val="en-US" w:eastAsia="en-US"/>
        </w:rPr>
        <w:t>Commission</w:t>
      </w:r>
      <w:r w:rsidR="00502B43" w:rsidRPr="00012C3F">
        <w:rPr>
          <w:rFonts w:eastAsia="Calibri" w:cs="Arial"/>
          <w:sz w:val="20"/>
          <w:szCs w:val="20"/>
          <w:lang w:val="en-US" w:eastAsia="en-US"/>
        </w:rPr>
        <w:t xml:space="preserve"> </w:t>
      </w:r>
      <w:r w:rsidR="00C20A64" w:rsidRPr="00012C3F">
        <w:rPr>
          <w:rFonts w:eastAsia="Calibri" w:cs="Arial"/>
          <w:sz w:val="20"/>
          <w:szCs w:val="20"/>
          <w:lang w:val="en-US" w:eastAsia="en-US"/>
        </w:rPr>
        <w:t>argued that</w:t>
      </w:r>
      <w:r w:rsidR="00502B43" w:rsidRPr="00012C3F">
        <w:rPr>
          <w:rFonts w:eastAsia="Calibri" w:cs="Arial"/>
          <w:sz w:val="20"/>
          <w:szCs w:val="20"/>
          <w:lang w:val="en-US" w:eastAsia="en-US"/>
        </w:rPr>
        <w:t xml:space="preserve"> “</w:t>
      </w:r>
      <w:r w:rsidR="00C20A64" w:rsidRPr="00012C3F">
        <w:rPr>
          <w:rStyle w:val="Ttulo1Car"/>
          <w:b w:val="0"/>
          <w:caps w:val="0"/>
          <w:lang w:val="en-US"/>
        </w:rPr>
        <w:t>the denial of justice for I.V. derived from procedural deficiencies during the criminal proceedings, and the fact that the violations of her human rights, including her reproductive rights, went unpunished, constituted a form of discrimination in the exercise of her rights to judicial guarantees and judicial protection</w:t>
      </w:r>
      <w:r w:rsidR="00502B43" w:rsidRPr="00012C3F">
        <w:rPr>
          <w:rFonts w:eastAsia="Calibri" w:cs="Arial"/>
          <w:sz w:val="20"/>
          <w:szCs w:val="20"/>
          <w:lang w:val="en-US" w:eastAsia="en-US"/>
        </w:rPr>
        <w:t>.</w:t>
      </w:r>
      <w:r w:rsidR="00C20A64" w:rsidRPr="00012C3F">
        <w:rPr>
          <w:rFonts w:eastAsia="Calibri" w:cs="Arial"/>
          <w:sz w:val="20"/>
          <w:szCs w:val="20"/>
          <w:lang w:val="en-US" w:eastAsia="en-US"/>
        </w:rPr>
        <w:t>”</w:t>
      </w:r>
    </w:p>
    <w:p w14:paraId="3253C743" w14:textId="77777777" w:rsidR="00502B43" w:rsidRPr="00012C3F" w:rsidRDefault="00502B43" w:rsidP="00502B43">
      <w:pPr>
        <w:widowControl/>
        <w:autoSpaceDE w:val="0"/>
        <w:autoSpaceDN w:val="0"/>
        <w:spacing w:line="240" w:lineRule="auto"/>
        <w:textAlignment w:val="auto"/>
        <w:rPr>
          <w:rFonts w:eastAsia="Calibri" w:cs="Arial"/>
          <w:sz w:val="20"/>
          <w:szCs w:val="20"/>
          <w:lang w:val="en-US" w:eastAsia="en-US"/>
        </w:rPr>
      </w:pPr>
    </w:p>
    <w:p w14:paraId="53101913" w14:textId="77777777" w:rsidR="00A30508" w:rsidRPr="00012C3F" w:rsidRDefault="00972ACF" w:rsidP="003848FD">
      <w:pPr>
        <w:numPr>
          <w:ilvl w:val="0"/>
          <w:numId w:val="5"/>
        </w:numPr>
        <w:tabs>
          <w:tab w:val="left" w:pos="720"/>
          <w:tab w:val="num" w:pos="12305"/>
        </w:tabs>
        <w:spacing w:line="240" w:lineRule="auto"/>
        <w:ind w:left="0" w:firstLine="0"/>
        <w:rPr>
          <w:rFonts w:eastAsia="Calibri" w:cs="Arial"/>
          <w:sz w:val="20"/>
          <w:szCs w:val="20"/>
          <w:lang w:val="en-US" w:eastAsia="en-US"/>
        </w:rPr>
      </w:pPr>
      <w:r w:rsidRPr="00012C3F">
        <w:rPr>
          <w:rFonts w:eastAsia="Calibri" w:cs="Arial"/>
          <w:sz w:val="20"/>
          <w:szCs w:val="20"/>
          <w:lang w:val="en-US" w:eastAsia="en-US"/>
        </w:rPr>
        <w:t xml:space="preserve">The </w:t>
      </w:r>
      <w:r w:rsidRPr="00012C3F">
        <w:rPr>
          <w:rFonts w:eastAsia="Calibri" w:cs="Arial"/>
          <w:b/>
          <w:bCs/>
          <w:i/>
          <w:iCs/>
          <w:sz w:val="20"/>
          <w:szCs w:val="20"/>
          <w:lang w:val="en-US" w:eastAsia="en-US"/>
        </w:rPr>
        <w:t>representative</w:t>
      </w:r>
      <w:r w:rsidR="00502B43" w:rsidRPr="00012C3F">
        <w:rPr>
          <w:rFonts w:eastAsia="Calibri" w:cs="Arial"/>
          <w:sz w:val="20"/>
          <w:szCs w:val="20"/>
          <w:lang w:val="en-US" w:eastAsia="en-US"/>
        </w:rPr>
        <w:t xml:space="preserve"> indic</w:t>
      </w:r>
      <w:r w:rsidR="00C20A64" w:rsidRPr="00012C3F">
        <w:rPr>
          <w:rFonts w:eastAsia="Calibri" w:cs="Arial"/>
          <w:sz w:val="20"/>
          <w:szCs w:val="20"/>
          <w:lang w:val="en-US" w:eastAsia="en-US"/>
        </w:rPr>
        <w:t>ated that the element</w:t>
      </w:r>
      <w:r w:rsidR="003A3EF8" w:rsidRPr="00012C3F">
        <w:rPr>
          <w:rFonts w:eastAsia="Calibri" w:cs="Arial"/>
          <w:sz w:val="20"/>
          <w:szCs w:val="20"/>
          <w:lang w:val="en-US" w:eastAsia="en-US"/>
        </w:rPr>
        <w:t>s</w:t>
      </w:r>
      <w:r w:rsidR="00C20A64" w:rsidRPr="00012C3F">
        <w:rPr>
          <w:rFonts w:eastAsia="Calibri" w:cs="Arial"/>
          <w:sz w:val="20"/>
          <w:szCs w:val="20"/>
          <w:lang w:val="en-US" w:eastAsia="en-US"/>
        </w:rPr>
        <w:t xml:space="preserve"> described in </w:t>
      </w:r>
      <w:r w:rsidR="001254DE" w:rsidRPr="00012C3F">
        <w:rPr>
          <w:rFonts w:eastAsia="Calibri" w:cs="Arial"/>
          <w:sz w:val="20"/>
          <w:szCs w:val="20"/>
          <w:lang w:val="en-US" w:eastAsia="en-US"/>
        </w:rPr>
        <w:t xml:space="preserve">the Inter-American </w:t>
      </w:r>
      <w:r w:rsidR="00A84CA0" w:rsidRPr="00012C3F">
        <w:rPr>
          <w:rFonts w:eastAsia="Calibri" w:cs="Arial"/>
          <w:sz w:val="20"/>
          <w:szCs w:val="20"/>
          <w:lang w:val="en-US" w:eastAsia="en-US"/>
        </w:rPr>
        <w:t>Commission</w:t>
      </w:r>
      <w:r w:rsidR="00C20A64" w:rsidRPr="00012C3F">
        <w:rPr>
          <w:rFonts w:eastAsia="Calibri" w:cs="Arial"/>
          <w:sz w:val="20"/>
          <w:szCs w:val="20"/>
          <w:lang w:val="en-US" w:eastAsia="en-US"/>
        </w:rPr>
        <w:t>’s report on</w:t>
      </w:r>
      <w:r w:rsidR="00502B43" w:rsidRPr="00012C3F">
        <w:rPr>
          <w:rFonts w:eastAsia="Calibri" w:cs="Arial"/>
          <w:sz w:val="20"/>
          <w:szCs w:val="20"/>
          <w:lang w:val="en-US" w:eastAsia="en-US"/>
        </w:rPr>
        <w:t xml:space="preserve"> “</w:t>
      </w:r>
      <w:r w:rsidR="00A710F6" w:rsidRPr="00012C3F">
        <w:rPr>
          <w:rFonts w:eastAsia="Calibri" w:cs="Arial"/>
          <w:sz w:val="20"/>
          <w:szCs w:val="20"/>
          <w:lang w:val="en-US" w:eastAsia="en-US"/>
        </w:rPr>
        <w:t xml:space="preserve">Access to </w:t>
      </w:r>
      <w:r w:rsidR="00C20A64" w:rsidRPr="00012C3F">
        <w:rPr>
          <w:rFonts w:eastAsia="Calibri" w:cs="Arial"/>
          <w:sz w:val="20"/>
          <w:szCs w:val="20"/>
          <w:lang w:val="en-US" w:eastAsia="en-US"/>
        </w:rPr>
        <w:t>J</w:t>
      </w:r>
      <w:r w:rsidR="00A710F6" w:rsidRPr="00012C3F">
        <w:rPr>
          <w:rFonts w:eastAsia="Calibri" w:cs="Arial"/>
          <w:sz w:val="20"/>
          <w:szCs w:val="20"/>
          <w:lang w:val="en-US" w:eastAsia="en-US"/>
        </w:rPr>
        <w:t>ustice</w:t>
      </w:r>
      <w:r w:rsidR="00502B43" w:rsidRPr="00012C3F">
        <w:rPr>
          <w:rFonts w:eastAsia="Calibri" w:cs="Arial"/>
          <w:sz w:val="20"/>
          <w:szCs w:val="20"/>
          <w:lang w:val="en-US" w:eastAsia="en-US"/>
        </w:rPr>
        <w:t xml:space="preserve"> </w:t>
      </w:r>
      <w:r w:rsidR="00C20A64" w:rsidRPr="00012C3F">
        <w:rPr>
          <w:rFonts w:eastAsia="Calibri" w:cs="Arial"/>
          <w:sz w:val="20"/>
          <w:szCs w:val="20"/>
          <w:lang w:val="en-US" w:eastAsia="en-US"/>
        </w:rPr>
        <w:t xml:space="preserve">for Women Victims of </w:t>
      </w:r>
      <w:r w:rsidR="00502B43" w:rsidRPr="00012C3F">
        <w:rPr>
          <w:rFonts w:eastAsia="Calibri" w:cs="Arial"/>
          <w:sz w:val="20"/>
          <w:szCs w:val="20"/>
          <w:lang w:val="en-US" w:eastAsia="en-US"/>
        </w:rPr>
        <w:t>Violenc</w:t>
      </w:r>
      <w:r w:rsidR="00C20A64" w:rsidRPr="00012C3F">
        <w:rPr>
          <w:rFonts w:eastAsia="Calibri" w:cs="Arial"/>
          <w:sz w:val="20"/>
          <w:szCs w:val="20"/>
          <w:lang w:val="en-US" w:eastAsia="en-US"/>
        </w:rPr>
        <w:t>e in the Americas</w:t>
      </w:r>
      <w:r w:rsidR="003A3EF8" w:rsidRPr="00012C3F">
        <w:rPr>
          <w:rFonts w:eastAsia="Calibri" w:cs="Arial"/>
          <w:sz w:val="20"/>
          <w:szCs w:val="20"/>
          <w:lang w:val="en-US" w:eastAsia="en-US"/>
        </w:rPr>
        <w:t>,</w:t>
      </w:r>
      <w:r w:rsidR="00C20A64" w:rsidRPr="00012C3F">
        <w:rPr>
          <w:rFonts w:eastAsia="Calibri" w:cs="Arial"/>
          <w:sz w:val="20"/>
          <w:szCs w:val="20"/>
          <w:lang w:val="en-US" w:eastAsia="en-US"/>
        </w:rPr>
        <w:t xml:space="preserve">” </w:t>
      </w:r>
      <w:r w:rsidR="003A3EF8" w:rsidRPr="00012C3F">
        <w:rPr>
          <w:rFonts w:eastAsia="Calibri" w:cs="Arial"/>
          <w:sz w:val="20"/>
          <w:szCs w:val="20"/>
          <w:lang w:val="en-US" w:eastAsia="en-US"/>
        </w:rPr>
        <w:t>which “reflect […] open gender-based discrimination against women, characterized the investigations and the criminal proceedings against those who wronged I.V., and resulted in promoting total impunity.” She argued that “[t]he violations of</w:t>
      </w:r>
      <w:r w:rsidR="00502B43" w:rsidRPr="00012C3F">
        <w:rPr>
          <w:rFonts w:eastAsia="Calibri" w:cs="Arial"/>
          <w:sz w:val="20"/>
          <w:szCs w:val="20"/>
          <w:lang w:val="en-US" w:eastAsia="en-US"/>
        </w:rPr>
        <w:t xml:space="preserve"> [</w:t>
      </w:r>
      <w:r w:rsidR="001254DE" w:rsidRPr="00012C3F">
        <w:rPr>
          <w:rFonts w:eastAsia="Calibri" w:cs="Arial"/>
          <w:sz w:val="20"/>
          <w:szCs w:val="20"/>
          <w:lang w:val="en-US" w:eastAsia="en-US"/>
        </w:rPr>
        <w:t>Article</w:t>
      </w:r>
      <w:r w:rsidR="00502B43" w:rsidRPr="00012C3F">
        <w:rPr>
          <w:rFonts w:eastAsia="Calibri" w:cs="Arial"/>
          <w:sz w:val="20"/>
          <w:szCs w:val="20"/>
          <w:lang w:val="en-US" w:eastAsia="en-US"/>
        </w:rPr>
        <w:t>s] 8</w:t>
      </w:r>
      <w:r w:rsidR="005E5012" w:rsidRPr="00012C3F">
        <w:rPr>
          <w:rFonts w:eastAsia="Calibri" w:cs="Arial"/>
          <w:sz w:val="20"/>
          <w:szCs w:val="20"/>
          <w:lang w:val="en-US" w:eastAsia="en-US"/>
        </w:rPr>
        <w:t xml:space="preserve"> and </w:t>
      </w:r>
      <w:r w:rsidR="00502B43" w:rsidRPr="00012C3F">
        <w:rPr>
          <w:rFonts w:eastAsia="Calibri" w:cs="Arial"/>
          <w:sz w:val="20"/>
          <w:szCs w:val="20"/>
          <w:lang w:val="en-US" w:eastAsia="en-US"/>
        </w:rPr>
        <w:t>25</w:t>
      </w:r>
      <w:r w:rsidR="001254DE" w:rsidRPr="00012C3F">
        <w:rPr>
          <w:rFonts w:eastAsia="Calibri" w:cs="Arial"/>
          <w:sz w:val="20"/>
          <w:szCs w:val="20"/>
          <w:lang w:val="en-US" w:eastAsia="en-US"/>
        </w:rPr>
        <w:t xml:space="preserve"> of the American Convention</w:t>
      </w:r>
      <w:r w:rsidR="00502B43" w:rsidRPr="00012C3F">
        <w:rPr>
          <w:rFonts w:eastAsia="Calibri" w:cs="Arial"/>
          <w:sz w:val="20"/>
          <w:szCs w:val="20"/>
          <w:lang w:val="en-US" w:eastAsia="en-US"/>
        </w:rPr>
        <w:t xml:space="preserve"> </w:t>
      </w:r>
      <w:r w:rsidR="003A3EF8" w:rsidRPr="00012C3F">
        <w:rPr>
          <w:rFonts w:eastAsia="Calibri" w:cs="Arial"/>
          <w:sz w:val="20"/>
          <w:szCs w:val="20"/>
          <w:lang w:val="en-US" w:eastAsia="en-US"/>
        </w:rPr>
        <w:t>established by</w:t>
      </w:r>
      <w:r w:rsidR="00502B43" w:rsidRPr="00012C3F">
        <w:rPr>
          <w:rFonts w:eastAsia="Calibri" w:cs="Arial"/>
          <w:sz w:val="20"/>
          <w:szCs w:val="20"/>
          <w:lang w:val="en-US" w:eastAsia="en-US"/>
        </w:rPr>
        <w:t xml:space="preserve"> </w:t>
      </w:r>
      <w:r w:rsidR="001254DE" w:rsidRPr="00012C3F">
        <w:rPr>
          <w:rFonts w:eastAsia="Calibri" w:cs="Arial"/>
          <w:sz w:val="20"/>
          <w:szCs w:val="20"/>
          <w:lang w:val="en-US" w:eastAsia="en-US"/>
        </w:rPr>
        <w:t xml:space="preserve">the </w:t>
      </w:r>
      <w:r w:rsidR="00A84CA0" w:rsidRPr="00012C3F">
        <w:rPr>
          <w:rFonts w:eastAsia="Calibri" w:cs="Arial"/>
          <w:sz w:val="20"/>
          <w:szCs w:val="20"/>
          <w:lang w:val="en-US" w:eastAsia="en-US"/>
        </w:rPr>
        <w:t>Commission</w:t>
      </w:r>
      <w:r w:rsidR="00502B43" w:rsidRPr="00012C3F">
        <w:rPr>
          <w:rFonts w:eastAsia="Calibri" w:cs="Arial"/>
          <w:sz w:val="20"/>
          <w:szCs w:val="20"/>
          <w:lang w:val="en-US" w:eastAsia="en-US"/>
        </w:rPr>
        <w:t xml:space="preserve"> </w:t>
      </w:r>
      <w:r w:rsidR="003A3EF8" w:rsidRPr="00012C3F">
        <w:rPr>
          <w:rFonts w:eastAsia="Calibri" w:cs="Arial"/>
          <w:sz w:val="20"/>
          <w:szCs w:val="20"/>
          <w:lang w:val="en-US" w:eastAsia="en-US"/>
        </w:rPr>
        <w:t>in</w:t>
      </w:r>
      <w:r w:rsidR="00502B43" w:rsidRPr="00012C3F">
        <w:rPr>
          <w:rFonts w:eastAsia="Calibri" w:cs="Arial"/>
          <w:sz w:val="20"/>
          <w:szCs w:val="20"/>
          <w:lang w:val="en-US" w:eastAsia="en-US"/>
        </w:rPr>
        <w:t xml:space="preserve"> </w:t>
      </w:r>
      <w:r w:rsidR="00E00902" w:rsidRPr="00012C3F">
        <w:rPr>
          <w:rFonts w:eastAsia="Calibri" w:cs="Arial"/>
          <w:sz w:val="20"/>
          <w:szCs w:val="20"/>
          <w:lang w:val="en-US" w:eastAsia="en-US"/>
        </w:rPr>
        <w:t>Merits Report</w:t>
      </w:r>
      <w:r w:rsidR="00502B43" w:rsidRPr="00012C3F">
        <w:rPr>
          <w:rFonts w:eastAsia="Calibri" w:cs="Arial"/>
          <w:sz w:val="20"/>
          <w:szCs w:val="20"/>
          <w:lang w:val="en-US" w:eastAsia="en-US"/>
        </w:rPr>
        <w:t xml:space="preserve"> 72/14 </w:t>
      </w:r>
      <w:r w:rsidR="003A3EF8" w:rsidRPr="00012C3F">
        <w:rPr>
          <w:rFonts w:eastAsia="Calibri" w:cs="Arial"/>
          <w:sz w:val="20"/>
          <w:szCs w:val="20"/>
          <w:lang w:val="en-US" w:eastAsia="en-US"/>
        </w:rPr>
        <w:t>are</w:t>
      </w:r>
      <w:r w:rsidR="00502B43" w:rsidRPr="00012C3F">
        <w:rPr>
          <w:rFonts w:eastAsia="Calibri" w:cs="Arial"/>
          <w:sz w:val="20"/>
          <w:szCs w:val="20"/>
          <w:lang w:val="en-US" w:eastAsia="en-US"/>
        </w:rPr>
        <w:t xml:space="preserve"> ‘</w:t>
      </w:r>
      <w:r w:rsidR="003A3EF8" w:rsidRPr="00012C3F">
        <w:rPr>
          <w:rFonts w:eastAsia="Calibri" w:cs="Arial"/>
          <w:sz w:val="20"/>
          <w:szCs w:val="20"/>
          <w:lang w:val="en-US" w:eastAsia="en-US"/>
        </w:rPr>
        <w:t>the result’</w:t>
      </w:r>
      <w:r w:rsidR="00502B43" w:rsidRPr="00012C3F">
        <w:rPr>
          <w:rFonts w:eastAsia="Calibri" w:cs="Arial"/>
          <w:sz w:val="20"/>
          <w:szCs w:val="20"/>
          <w:lang w:val="en-US" w:eastAsia="en-US"/>
        </w:rPr>
        <w:t xml:space="preserve"> </w:t>
      </w:r>
      <w:r w:rsidR="003A3EF8" w:rsidRPr="00012C3F">
        <w:rPr>
          <w:rFonts w:eastAsia="Calibri" w:cs="Arial"/>
          <w:sz w:val="20"/>
          <w:szCs w:val="20"/>
          <w:lang w:val="en-US" w:eastAsia="en-US"/>
        </w:rPr>
        <w:t>of the perverse c</w:t>
      </w:r>
      <w:r w:rsidR="006C705C" w:rsidRPr="00012C3F">
        <w:rPr>
          <w:rFonts w:eastAsia="Calibri" w:cs="Arial"/>
          <w:sz w:val="20"/>
          <w:szCs w:val="20"/>
          <w:lang w:val="en-US" w:eastAsia="en-US"/>
        </w:rPr>
        <w:t>riminal proceedings</w:t>
      </w:r>
      <w:r w:rsidR="00502B43" w:rsidRPr="00012C3F">
        <w:rPr>
          <w:rFonts w:eastAsia="Calibri" w:cs="Arial"/>
          <w:sz w:val="20"/>
          <w:szCs w:val="20"/>
          <w:lang w:val="en-US" w:eastAsia="en-US"/>
        </w:rPr>
        <w:t xml:space="preserve"> </w:t>
      </w:r>
      <w:r w:rsidR="003A3EF8" w:rsidRPr="00012C3F">
        <w:rPr>
          <w:rFonts w:eastAsia="Calibri" w:cs="Arial"/>
          <w:sz w:val="20"/>
          <w:szCs w:val="20"/>
          <w:lang w:val="en-US" w:eastAsia="en-US"/>
        </w:rPr>
        <w:t xml:space="preserve">by which I.V. tried to obtain justice, but ‘the reason’ for that result […] was […] the gender-based discrimination against her and her modest financial </w:t>
      </w:r>
      <w:r w:rsidR="00D2362D" w:rsidRPr="00012C3F">
        <w:rPr>
          <w:rFonts w:eastAsia="Calibri" w:cs="Arial"/>
          <w:sz w:val="20"/>
          <w:szCs w:val="20"/>
          <w:lang w:val="en-US" w:eastAsia="en-US"/>
        </w:rPr>
        <w:t>situation</w:t>
      </w:r>
      <w:r w:rsidR="003A3EF8" w:rsidRPr="00012C3F">
        <w:rPr>
          <w:rFonts w:eastAsia="Calibri" w:cs="Arial"/>
          <w:sz w:val="20"/>
          <w:szCs w:val="20"/>
          <w:lang w:val="en-US" w:eastAsia="en-US"/>
        </w:rPr>
        <w:t>.” She noted that “neither at the domestic level, nor before the [Commission], had the State contested th</w:t>
      </w:r>
      <w:r w:rsidR="00D2362D" w:rsidRPr="00012C3F">
        <w:rPr>
          <w:rFonts w:eastAsia="Calibri" w:cs="Arial"/>
          <w:sz w:val="20"/>
          <w:szCs w:val="20"/>
          <w:lang w:val="en-US" w:eastAsia="en-US"/>
        </w:rPr>
        <w:t>e</w:t>
      </w:r>
      <w:r w:rsidR="003A3EF8" w:rsidRPr="00012C3F">
        <w:rPr>
          <w:rFonts w:eastAsia="Calibri" w:cs="Arial"/>
          <w:sz w:val="20"/>
          <w:szCs w:val="20"/>
          <w:lang w:val="en-US" w:eastAsia="en-US"/>
        </w:rPr>
        <w:t xml:space="preserve"> fact that the judicial guarantee</w:t>
      </w:r>
      <w:r w:rsidR="00D2362D" w:rsidRPr="00012C3F">
        <w:rPr>
          <w:rFonts w:eastAsia="Calibri" w:cs="Arial"/>
          <w:sz w:val="20"/>
          <w:szCs w:val="20"/>
          <w:lang w:val="en-US" w:eastAsia="en-US"/>
        </w:rPr>
        <w:t>s</w:t>
      </w:r>
      <w:r w:rsidR="003A3EF8" w:rsidRPr="00012C3F">
        <w:rPr>
          <w:rFonts w:eastAsia="Calibri" w:cs="Arial"/>
          <w:sz w:val="20"/>
          <w:szCs w:val="20"/>
          <w:lang w:val="en-US" w:eastAsia="en-US"/>
        </w:rPr>
        <w:t xml:space="preserve"> of a reasonable time </w:t>
      </w:r>
      <w:r w:rsidR="00D2362D" w:rsidRPr="00012C3F">
        <w:rPr>
          <w:rFonts w:eastAsia="Calibri" w:cs="Arial"/>
          <w:sz w:val="20"/>
          <w:szCs w:val="20"/>
          <w:lang w:val="en-US" w:eastAsia="en-US"/>
        </w:rPr>
        <w:t>and</w:t>
      </w:r>
      <w:r w:rsidR="003A3EF8" w:rsidRPr="00012C3F">
        <w:rPr>
          <w:rFonts w:eastAsia="Calibri" w:cs="Arial"/>
          <w:sz w:val="20"/>
          <w:szCs w:val="20"/>
          <w:lang w:val="en-US" w:eastAsia="en-US"/>
        </w:rPr>
        <w:t xml:space="preserve"> the celerity that judicial proceedings should respect had been violated </w:t>
      </w:r>
      <w:r w:rsidR="005E5012" w:rsidRPr="00012C3F">
        <w:rPr>
          <w:rFonts w:eastAsia="Calibri" w:cs="Arial"/>
          <w:sz w:val="20"/>
          <w:szCs w:val="20"/>
          <w:lang w:val="en-US" w:eastAsia="en-US"/>
        </w:rPr>
        <w:t>to the detriment of</w:t>
      </w:r>
      <w:r w:rsidR="00502B43" w:rsidRPr="00012C3F">
        <w:rPr>
          <w:rFonts w:eastAsia="Calibri" w:cs="Arial"/>
          <w:sz w:val="20"/>
          <w:szCs w:val="20"/>
          <w:lang w:val="en-US" w:eastAsia="en-US"/>
        </w:rPr>
        <w:t xml:space="preserve"> </w:t>
      </w:r>
      <w:r w:rsidR="000E1C11" w:rsidRPr="00012C3F">
        <w:rPr>
          <w:rFonts w:eastAsia="Calibri" w:cs="Arial"/>
          <w:sz w:val="20"/>
          <w:szCs w:val="20"/>
          <w:lang w:val="en-US" w:eastAsia="en-US"/>
        </w:rPr>
        <w:t>I.V.</w:t>
      </w:r>
      <w:r w:rsidR="00502B43" w:rsidRPr="00012C3F">
        <w:rPr>
          <w:rFonts w:eastAsia="Calibri" w:cs="Arial"/>
          <w:sz w:val="20"/>
          <w:szCs w:val="20"/>
          <w:lang w:val="en-US" w:eastAsia="en-US"/>
        </w:rPr>
        <w:t>”</w:t>
      </w:r>
      <w:r w:rsidR="003A3EF8" w:rsidRPr="00012C3F">
        <w:rPr>
          <w:rFonts w:eastAsia="Calibri" w:cs="Arial"/>
          <w:sz w:val="20"/>
          <w:szCs w:val="20"/>
          <w:lang w:val="en-US" w:eastAsia="en-US"/>
        </w:rPr>
        <w:t xml:space="preserve"> In this regard, she argued that the mere fact that the criminal proceedings had been archived in the domestic sphere because it had lasted more than the three years established by the </w:t>
      </w:r>
      <w:r w:rsidR="003848FD" w:rsidRPr="00012C3F">
        <w:rPr>
          <w:rFonts w:eastAsia="Calibri" w:cs="Arial"/>
          <w:sz w:val="20"/>
          <w:szCs w:val="20"/>
          <w:lang w:val="en-US" w:eastAsia="en-US"/>
        </w:rPr>
        <w:t xml:space="preserve">code of criminal procedure, and that responsibility for this extinction of the criminal action and termination of the proceedings had been attributed by the </w:t>
      </w:r>
      <w:r w:rsidR="00493EFF" w:rsidRPr="00012C3F">
        <w:rPr>
          <w:rFonts w:eastAsia="Calibri" w:cs="Arial"/>
          <w:sz w:val="20"/>
          <w:szCs w:val="20"/>
          <w:lang w:val="en-US" w:eastAsia="en-US"/>
        </w:rPr>
        <w:t>Judiciary</w:t>
      </w:r>
      <w:r w:rsidR="003848FD" w:rsidRPr="00012C3F">
        <w:rPr>
          <w:rFonts w:eastAsia="Calibri" w:cs="Arial"/>
          <w:sz w:val="20"/>
          <w:szCs w:val="20"/>
          <w:lang w:val="en-US" w:eastAsia="en-US"/>
        </w:rPr>
        <w:t xml:space="preserve"> itself to the organs of the Bolivian criminal justice system, “exempts the victim and her representatives from having to provide further evidence to prove a fact that has been amply proved (and confessed).” She indicated that “[t]he indifference towards I.V.‘s case is reflected perfectly in the two judicial decisions mentioned previously </w:t>
      </w:r>
      <w:r w:rsidR="00502B43" w:rsidRPr="00012C3F">
        <w:rPr>
          <w:rFonts w:eastAsia="Calibri" w:cs="Arial"/>
          <w:sz w:val="20"/>
          <w:szCs w:val="20"/>
          <w:lang w:val="en-US" w:eastAsia="en-US"/>
        </w:rPr>
        <w:t>(</w:t>
      </w:r>
      <w:r w:rsidR="003848FD" w:rsidRPr="00012C3F">
        <w:rPr>
          <w:rFonts w:eastAsia="Calibri" w:cs="Arial"/>
          <w:sz w:val="20"/>
          <w:szCs w:val="20"/>
          <w:lang w:val="en-US" w:eastAsia="en-US"/>
        </w:rPr>
        <w:t>Ruling No. 13/06</w:t>
      </w:r>
      <w:r w:rsidR="00502B43" w:rsidRPr="00012C3F">
        <w:rPr>
          <w:rFonts w:eastAsia="Calibri" w:cs="Arial"/>
          <w:sz w:val="20"/>
          <w:szCs w:val="20"/>
          <w:lang w:val="en-US" w:eastAsia="en-US"/>
        </w:rPr>
        <w:t xml:space="preserve"> </w:t>
      </w:r>
      <w:r w:rsidR="003848FD" w:rsidRPr="00012C3F">
        <w:rPr>
          <w:rFonts w:eastAsia="Calibri" w:cs="Arial"/>
          <w:sz w:val="20"/>
          <w:szCs w:val="20"/>
          <w:lang w:val="en-US" w:eastAsia="en-US"/>
        </w:rPr>
        <w:t xml:space="preserve">of the Fourth Criminal Trial Court </w:t>
      </w:r>
      <w:r w:rsidR="005E5012" w:rsidRPr="00012C3F">
        <w:rPr>
          <w:rFonts w:eastAsia="Calibri" w:cs="Arial"/>
          <w:sz w:val="20"/>
          <w:szCs w:val="20"/>
          <w:lang w:val="en-US" w:eastAsia="en-US"/>
        </w:rPr>
        <w:t xml:space="preserve">and </w:t>
      </w:r>
      <w:r w:rsidR="003848FD" w:rsidRPr="00012C3F">
        <w:rPr>
          <w:rFonts w:eastAsia="Calibri" w:cs="Arial"/>
          <w:sz w:val="20"/>
          <w:szCs w:val="20"/>
          <w:lang w:val="en-US" w:eastAsia="en-US"/>
        </w:rPr>
        <w:t>Ruling No. 514/06</w:t>
      </w:r>
      <w:r w:rsidR="00502B43" w:rsidRPr="00012C3F">
        <w:rPr>
          <w:rFonts w:eastAsia="Calibri" w:cs="Arial"/>
          <w:sz w:val="20"/>
          <w:szCs w:val="20"/>
          <w:lang w:val="en-US" w:eastAsia="en-US"/>
        </w:rPr>
        <w:t xml:space="preserve"> </w:t>
      </w:r>
      <w:r w:rsidR="003848FD" w:rsidRPr="00012C3F">
        <w:rPr>
          <w:rFonts w:eastAsia="Calibri" w:cs="Arial"/>
          <w:sz w:val="20"/>
          <w:szCs w:val="20"/>
          <w:lang w:val="en-US" w:eastAsia="en-US"/>
        </w:rPr>
        <w:t>of</w:t>
      </w:r>
      <w:r w:rsidR="00502B43" w:rsidRPr="00012C3F">
        <w:rPr>
          <w:rFonts w:eastAsia="Calibri" w:cs="Arial"/>
          <w:sz w:val="20"/>
          <w:szCs w:val="20"/>
          <w:lang w:val="en-US" w:eastAsia="en-US"/>
        </w:rPr>
        <w:t xml:space="preserve"> </w:t>
      </w:r>
      <w:r w:rsidR="002D178D" w:rsidRPr="00012C3F">
        <w:rPr>
          <w:rFonts w:eastAsia="Calibri" w:cs="Arial"/>
          <w:sz w:val="20"/>
          <w:szCs w:val="20"/>
          <w:lang w:val="en-US" w:eastAsia="en-US"/>
        </w:rPr>
        <w:t>the First Criminal Chamber</w:t>
      </w:r>
      <w:r w:rsidR="001254DE" w:rsidRPr="00012C3F">
        <w:rPr>
          <w:rFonts w:eastAsia="Calibri" w:cs="Arial"/>
          <w:sz w:val="20"/>
          <w:szCs w:val="20"/>
          <w:lang w:val="en-US" w:eastAsia="en-US"/>
        </w:rPr>
        <w:t xml:space="preserve"> of the </w:t>
      </w:r>
      <w:r w:rsidR="00280806" w:rsidRPr="00012C3F">
        <w:rPr>
          <w:rFonts w:eastAsia="Calibri" w:cs="Arial"/>
          <w:sz w:val="20"/>
          <w:szCs w:val="20"/>
          <w:lang w:val="en-US" w:eastAsia="en-US"/>
        </w:rPr>
        <w:t>La Paz Superior Court of Justice</w:t>
      </w:r>
      <w:r w:rsidR="00502B43" w:rsidRPr="00012C3F">
        <w:rPr>
          <w:rFonts w:eastAsia="Calibri" w:cs="Arial"/>
          <w:sz w:val="20"/>
          <w:szCs w:val="20"/>
          <w:lang w:val="en-US" w:eastAsia="en-US"/>
        </w:rPr>
        <w:t xml:space="preserve">), </w:t>
      </w:r>
      <w:r w:rsidR="00A30508" w:rsidRPr="00012C3F">
        <w:rPr>
          <w:rFonts w:eastAsia="Calibri" w:cs="Arial"/>
          <w:sz w:val="20"/>
          <w:szCs w:val="20"/>
          <w:lang w:val="en-US" w:eastAsia="en-US"/>
        </w:rPr>
        <w:t xml:space="preserve">which refer to the </w:t>
      </w:r>
      <w:r w:rsidR="00502B43" w:rsidRPr="00012C3F">
        <w:rPr>
          <w:rFonts w:eastAsia="Calibri" w:cs="Arial"/>
          <w:sz w:val="20"/>
          <w:szCs w:val="20"/>
          <w:lang w:val="en-US" w:eastAsia="en-US"/>
        </w:rPr>
        <w:t>‘</w:t>
      </w:r>
      <w:r w:rsidR="00A30508" w:rsidRPr="00012C3F">
        <w:rPr>
          <w:rFonts w:eastAsia="Calibri" w:cs="Arial"/>
          <w:sz w:val="20"/>
          <w:szCs w:val="20"/>
          <w:lang w:val="en-US" w:eastAsia="en-US"/>
        </w:rPr>
        <w:t>lack of action’ of the agents of justice who failed to give priority to the case for ‘trivial reasons</w:t>
      </w:r>
      <w:r w:rsidR="00502B43" w:rsidRPr="00012C3F">
        <w:rPr>
          <w:rFonts w:eastAsia="Calibri" w:cs="Arial"/>
          <w:sz w:val="20"/>
          <w:szCs w:val="20"/>
          <w:lang w:val="en-US" w:eastAsia="en-US"/>
        </w:rPr>
        <w:t>,</w:t>
      </w:r>
      <w:r w:rsidR="00A30508" w:rsidRPr="00012C3F">
        <w:rPr>
          <w:rFonts w:eastAsia="Calibri" w:cs="Arial"/>
          <w:sz w:val="20"/>
          <w:szCs w:val="20"/>
          <w:lang w:val="en-US" w:eastAsia="en-US"/>
        </w:rPr>
        <w:t>’</w:t>
      </w:r>
      <w:r w:rsidR="00502B43" w:rsidRPr="00012C3F">
        <w:rPr>
          <w:rFonts w:eastAsia="Calibri" w:cs="Arial"/>
          <w:sz w:val="20"/>
          <w:szCs w:val="20"/>
          <w:lang w:val="en-US" w:eastAsia="en-US"/>
        </w:rPr>
        <w:t xml:space="preserve"> </w:t>
      </w:r>
      <w:r w:rsidR="00A30508" w:rsidRPr="00012C3F">
        <w:rPr>
          <w:rFonts w:eastAsia="Calibri" w:cs="Arial"/>
          <w:sz w:val="20"/>
          <w:szCs w:val="20"/>
          <w:lang w:val="en-US" w:eastAsia="en-US"/>
        </w:rPr>
        <w:t>that were</w:t>
      </w:r>
      <w:r w:rsidR="00502B43" w:rsidRPr="00012C3F">
        <w:rPr>
          <w:rFonts w:eastAsia="Calibri" w:cs="Arial"/>
          <w:sz w:val="20"/>
          <w:szCs w:val="20"/>
          <w:lang w:val="en-US" w:eastAsia="en-US"/>
        </w:rPr>
        <w:t xml:space="preserve"> ‘deficient’</w:t>
      </w:r>
      <w:r w:rsidR="005E5012" w:rsidRPr="00012C3F">
        <w:rPr>
          <w:rFonts w:eastAsia="Calibri" w:cs="Arial"/>
          <w:sz w:val="20"/>
          <w:szCs w:val="20"/>
          <w:lang w:val="en-US" w:eastAsia="en-US"/>
        </w:rPr>
        <w:t xml:space="preserve"> and </w:t>
      </w:r>
      <w:r w:rsidR="00A30508" w:rsidRPr="00012C3F">
        <w:rPr>
          <w:rFonts w:eastAsia="Calibri" w:cs="Arial"/>
          <w:sz w:val="20"/>
          <w:szCs w:val="20"/>
          <w:lang w:val="en-US" w:eastAsia="en-US"/>
        </w:rPr>
        <w:t>that</w:t>
      </w:r>
      <w:r w:rsidR="00502B43" w:rsidRPr="00012C3F">
        <w:rPr>
          <w:rFonts w:eastAsia="Calibri" w:cs="Arial"/>
          <w:sz w:val="20"/>
          <w:szCs w:val="20"/>
          <w:lang w:val="en-US" w:eastAsia="en-US"/>
        </w:rPr>
        <w:t xml:space="preserve"> ‘</w:t>
      </w:r>
      <w:r w:rsidR="00750097" w:rsidRPr="00012C3F">
        <w:rPr>
          <w:rFonts w:eastAsia="Calibri" w:cs="Arial"/>
          <w:sz w:val="20"/>
          <w:szCs w:val="20"/>
          <w:lang w:val="en-US" w:eastAsia="en-US"/>
        </w:rPr>
        <w:t>played around</w:t>
      </w:r>
      <w:r w:rsidR="00A30508" w:rsidRPr="00012C3F">
        <w:rPr>
          <w:rFonts w:eastAsia="Calibri" w:cs="Arial"/>
          <w:sz w:val="20"/>
          <w:szCs w:val="20"/>
          <w:lang w:val="en-US" w:eastAsia="en-US"/>
        </w:rPr>
        <w:t xml:space="preserve"> with the law.</w:t>
      </w:r>
      <w:r w:rsidR="00502B43" w:rsidRPr="00012C3F">
        <w:rPr>
          <w:rFonts w:eastAsia="Calibri" w:cs="Arial"/>
          <w:sz w:val="20"/>
          <w:szCs w:val="20"/>
          <w:lang w:val="en-US" w:eastAsia="en-US"/>
        </w:rPr>
        <w:t xml:space="preserve">” </w:t>
      </w:r>
      <w:r w:rsidR="00A30508" w:rsidRPr="00012C3F">
        <w:rPr>
          <w:rFonts w:eastAsia="Calibri" w:cs="Arial"/>
          <w:sz w:val="20"/>
          <w:szCs w:val="20"/>
          <w:lang w:val="en-US" w:eastAsia="en-US"/>
        </w:rPr>
        <w:t xml:space="preserve">She added that “[a]nother inconceivable </w:t>
      </w:r>
      <w:r w:rsidR="00493EFF" w:rsidRPr="00012C3F">
        <w:rPr>
          <w:rFonts w:eastAsia="Calibri" w:cs="Arial"/>
          <w:sz w:val="20"/>
          <w:szCs w:val="20"/>
          <w:lang w:val="en-US" w:eastAsia="en-US"/>
        </w:rPr>
        <w:t>f</w:t>
      </w:r>
      <w:r w:rsidR="00A30508" w:rsidRPr="00012C3F">
        <w:rPr>
          <w:rFonts w:eastAsia="Calibri" w:cs="Arial"/>
          <w:sz w:val="20"/>
          <w:szCs w:val="20"/>
          <w:lang w:val="en-US" w:eastAsia="en-US"/>
        </w:rPr>
        <w:t xml:space="preserve">act” was that, given that the offense of forced sterilization had not been criminalized at the time, the criminal charges were filed for the offense of “severe injuries”; however, in the second criminal trial, the Copacabana Trial Court convicted the </w:t>
      </w:r>
      <w:r w:rsidR="00A30508" w:rsidRPr="00012C3F">
        <w:rPr>
          <w:rFonts w:eastAsia="Calibri" w:cs="Arial"/>
          <w:sz w:val="20"/>
          <w:szCs w:val="20"/>
          <w:lang w:val="en-US" w:eastAsia="en-US"/>
        </w:rPr>
        <w:lastRenderedPageBreak/>
        <w:t>physician of the offense of culpable injury, sentencing him to a fine,</w:t>
      </w:r>
      <w:r w:rsidR="00750097" w:rsidRPr="00012C3F">
        <w:rPr>
          <w:rFonts w:eastAsia="Calibri" w:cs="Arial"/>
          <w:sz w:val="20"/>
          <w:szCs w:val="20"/>
          <w:lang w:val="en-US" w:eastAsia="en-US"/>
        </w:rPr>
        <w:t xml:space="preserve"> rather than to imprisonment, which in the representative’s opinion revealed “I.V., discredited victim, woman without credibility, and offense reduced to the very minimum.” </w:t>
      </w:r>
    </w:p>
    <w:p w14:paraId="2B9ECF89" w14:textId="77777777" w:rsidR="00502B43" w:rsidRPr="00012C3F" w:rsidRDefault="00502B43" w:rsidP="00502B43">
      <w:pPr>
        <w:widowControl/>
        <w:autoSpaceDE w:val="0"/>
        <w:autoSpaceDN w:val="0"/>
        <w:spacing w:line="240" w:lineRule="auto"/>
        <w:textAlignment w:val="auto"/>
        <w:rPr>
          <w:rFonts w:eastAsia="Calibri" w:cs="Arial"/>
          <w:sz w:val="20"/>
          <w:szCs w:val="20"/>
          <w:lang w:val="en-US" w:eastAsia="en-US"/>
        </w:rPr>
      </w:pPr>
    </w:p>
    <w:p w14:paraId="068C8840" w14:textId="77777777" w:rsidR="00F46A6E" w:rsidRPr="00012C3F" w:rsidRDefault="00750097" w:rsidP="00750097">
      <w:pPr>
        <w:numPr>
          <w:ilvl w:val="0"/>
          <w:numId w:val="5"/>
        </w:numPr>
        <w:tabs>
          <w:tab w:val="left" w:pos="720"/>
          <w:tab w:val="num" w:pos="12305"/>
        </w:tabs>
        <w:spacing w:line="240" w:lineRule="auto"/>
        <w:ind w:left="0" w:firstLine="0"/>
        <w:rPr>
          <w:rFonts w:eastAsia="Calibri" w:cs="Arial"/>
          <w:b/>
          <w:sz w:val="18"/>
          <w:szCs w:val="20"/>
          <w:lang w:val="en-US" w:eastAsia="en-US"/>
        </w:rPr>
      </w:pPr>
      <w:r w:rsidRPr="00012C3F">
        <w:rPr>
          <w:rFonts w:eastAsia="Calibri" w:cs="Arial"/>
          <w:sz w:val="20"/>
          <w:szCs w:val="20"/>
          <w:lang w:val="en-US" w:eastAsia="en-US"/>
        </w:rPr>
        <w:t xml:space="preserve">She indicated that, in addition to the gender-based discrimination, “the agents of justice who took part in I.V.’s proceedings were deficient, ineffective and played around with the law, because they considered the victim to be woman with few financial resources and, therefore, doubly vulnerable, doubly discriminable, and doubly victim.” Accordingly, she concluded that the relationship between the provisions </w:t>
      </w:r>
      <w:r w:rsidR="001254DE" w:rsidRPr="00012C3F">
        <w:rPr>
          <w:rFonts w:eastAsia="Calibri" w:cs="Arial"/>
          <w:sz w:val="20"/>
          <w:szCs w:val="20"/>
          <w:lang w:val="en-US" w:eastAsia="en-US"/>
        </w:rPr>
        <w:t>of the American Convention</w:t>
      </w:r>
      <w:r w:rsidR="00502B43" w:rsidRPr="00012C3F">
        <w:rPr>
          <w:rFonts w:eastAsia="Calibri" w:cs="Arial"/>
          <w:sz w:val="20"/>
          <w:szCs w:val="20"/>
          <w:lang w:val="en-US" w:eastAsia="en-US"/>
        </w:rPr>
        <w:t xml:space="preserve"> </w:t>
      </w:r>
      <w:r w:rsidRPr="00012C3F">
        <w:rPr>
          <w:rFonts w:eastAsia="Calibri" w:cs="Arial"/>
          <w:sz w:val="20"/>
          <w:szCs w:val="20"/>
          <w:lang w:val="en-US" w:eastAsia="en-US"/>
        </w:rPr>
        <w:t>violat</w:t>
      </w:r>
      <w:r w:rsidR="00493EFF" w:rsidRPr="00012C3F">
        <w:rPr>
          <w:rFonts w:eastAsia="Calibri" w:cs="Arial"/>
          <w:sz w:val="20"/>
          <w:szCs w:val="20"/>
          <w:lang w:val="en-US" w:eastAsia="en-US"/>
        </w:rPr>
        <w:t>ed</w:t>
      </w:r>
      <w:r w:rsidRPr="00012C3F">
        <w:rPr>
          <w:rFonts w:eastAsia="Calibri" w:cs="Arial"/>
          <w:sz w:val="20"/>
          <w:szCs w:val="20"/>
          <w:lang w:val="en-US" w:eastAsia="en-US"/>
        </w:rPr>
        <w:t xml:space="preserve"> in this case and</w:t>
      </w:r>
      <w:r w:rsidR="00502B43" w:rsidRPr="00012C3F">
        <w:rPr>
          <w:rFonts w:eastAsia="Calibri" w:cs="Arial"/>
          <w:sz w:val="20"/>
          <w:szCs w:val="20"/>
          <w:lang w:val="en-US" w:eastAsia="en-US"/>
        </w:rPr>
        <w:t xml:space="preserve"> </w:t>
      </w:r>
      <w:r w:rsidR="001254DE" w:rsidRPr="00012C3F">
        <w:rPr>
          <w:rFonts w:eastAsia="Calibri" w:cs="Arial"/>
          <w:sz w:val="20"/>
          <w:szCs w:val="20"/>
          <w:lang w:val="en-US" w:eastAsia="en-US"/>
        </w:rPr>
        <w:t>Article</w:t>
      </w:r>
      <w:r w:rsidR="00502B43" w:rsidRPr="00012C3F">
        <w:rPr>
          <w:rFonts w:eastAsia="Calibri" w:cs="Arial"/>
          <w:sz w:val="20"/>
          <w:szCs w:val="20"/>
          <w:lang w:val="en-US" w:eastAsia="en-US"/>
        </w:rPr>
        <w:t xml:space="preserve"> </w:t>
      </w:r>
      <w:r w:rsidR="005E5012" w:rsidRPr="00012C3F">
        <w:rPr>
          <w:rFonts w:eastAsia="Calibri" w:cs="Arial"/>
          <w:sz w:val="20"/>
          <w:szCs w:val="20"/>
          <w:lang w:val="en-US" w:eastAsia="en-US"/>
        </w:rPr>
        <w:t>1(1)</w:t>
      </w:r>
      <w:r w:rsidR="0093185C" w:rsidRPr="00012C3F">
        <w:rPr>
          <w:rFonts w:eastAsia="Calibri" w:cs="Arial"/>
          <w:sz w:val="20"/>
          <w:szCs w:val="20"/>
          <w:lang w:val="en-US" w:eastAsia="en-US"/>
        </w:rPr>
        <w:t xml:space="preserve"> </w:t>
      </w:r>
      <w:r w:rsidR="006C705C" w:rsidRPr="00012C3F">
        <w:rPr>
          <w:rFonts w:eastAsia="Calibri" w:cs="Arial"/>
          <w:sz w:val="20"/>
          <w:szCs w:val="20"/>
          <w:lang w:val="en-US" w:eastAsia="en-US"/>
        </w:rPr>
        <w:t>of this instrument</w:t>
      </w:r>
      <w:r w:rsidR="00502B43" w:rsidRPr="00012C3F">
        <w:rPr>
          <w:rFonts w:eastAsia="Calibri" w:cs="Arial"/>
          <w:sz w:val="20"/>
          <w:szCs w:val="20"/>
          <w:lang w:val="en-US" w:eastAsia="en-US"/>
        </w:rPr>
        <w:t xml:space="preserve"> </w:t>
      </w:r>
      <w:r w:rsidRPr="00012C3F">
        <w:rPr>
          <w:rFonts w:eastAsia="Calibri" w:cs="Arial"/>
          <w:sz w:val="20"/>
          <w:szCs w:val="20"/>
          <w:lang w:val="en-US" w:eastAsia="en-US"/>
        </w:rPr>
        <w:t>should necessarily take into account the reasons that led the different Stat</w:t>
      </w:r>
      <w:r w:rsidR="00F46A6E" w:rsidRPr="00012C3F">
        <w:rPr>
          <w:rFonts w:eastAsia="Calibri" w:cs="Arial"/>
          <w:sz w:val="20"/>
          <w:szCs w:val="20"/>
          <w:lang w:val="en-US" w:eastAsia="en-US"/>
        </w:rPr>
        <w:t>e</w:t>
      </w:r>
      <w:r w:rsidRPr="00012C3F">
        <w:rPr>
          <w:rFonts w:eastAsia="Calibri" w:cs="Arial"/>
          <w:sz w:val="20"/>
          <w:szCs w:val="20"/>
          <w:lang w:val="en-US" w:eastAsia="en-US"/>
        </w:rPr>
        <w:t xml:space="preserve"> agents to violate each of the rights that were </w:t>
      </w:r>
      <w:r w:rsidR="00493EFF" w:rsidRPr="00012C3F">
        <w:rPr>
          <w:rFonts w:eastAsia="Calibri" w:cs="Arial"/>
          <w:sz w:val="20"/>
          <w:szCs w:val="20"/>
          <w:lang w:val="en-US" w:eastAsia="en-US"/>
        </w:rPr>
        <w:t>infringed</w:t>
      </w:r>
      <w:r w:rsidR="00F46A6E" w:rsidRPr="00012C3F">
        <w:rPr>
          <w:rFonts w:eastAsia="Calibri" w:cs="Arial"/>
          <w:sz w:val="20"/>
          <w:szCs w:val="20"/>
          <w:lang w:val="en-US" w:eastAsia="en-US"/>
        </w:rPr>
        <w:t xml:space="preserve"> in the case of I.V. On this basis, she asked that the Court, in its judgment, for each article of the Convention that Bolivia had violated, note its connection to Article 1(1) of the American Convention comprehensively; in other words, also stressing the discriminatory nature of each violation, discrimination based on sex, gender, economic </w:t>
      </w:r>
      <w:r w:rsidR="00212DA0" w:rsidRPr="00012C3F">
        <w:rPr>
          <w:rFonts w:eastAsia="Calibri" w:cs="Arial"/>
          <w:sz w:val="20"/>
          <w:szCs w:val="20"/>
          <w:lang w:val="en-US" w:eastAsia="en-US"/>
        </w:rPr>
        <w:t>status</w:t>
      </w:r>
      <w:r w:rsidR="00F46A6E" w:rsidRPr="00012C3F">
        <w:rPr>
          <w:rFonts w:eastAsia="Calibri" w:cs="Arial"/>
          <w:sz w:val="20"/>
          <w:szCs w:val="20"/>
          <w:lang w:val="en-US" w:eastAsia="en-US"/>
        </w:rPr>
        <w:t xml:space="preserve">, national origin and refugee status (as </w:t>
      </w:r>
      <w:r w:rsidR="00493EFF" w:rsidRPr="00012C3F">
        <w:rPr>
          <w:rFonts w:eastAsia="Calibri" w:cs="Arial"/>
          <w:sz w:val="20"/>
          <w:szCs w:val="20"/>
          <w:lang w:val="en-US" w:eastAsia="en-US"/>
        </w:rPr>
        <w:t>“</w:t>
      </w:r>
      <w:r w:rsidR="00F46A6E" w:rsidRPr="00012C3F">
        <w:rPr>
          <w:rFonts w:eastAsia="Calibri" w:cs="Arial"/>
          <w:sz w:val="20"/>
          <w:szCs w:val="20"/>
          <w:lang w:val="en-US" w:eastAsia="en-US"/>
        </w:rPr>
        <w:t>any other social condition</w:t>
      </w:r>
      <w:r w:rsidR="00493EFF" w:rsidRPr="00012C3F">
        <w:rPr>
          <w:rFonts w:eastAsia="Calibri" w:cs="Arial"/>
          <w:sz w:val="20"/>
          <w:szCs w:val="20"/>
          <w:lang w:val="en-US" w:eastAsia="en-US"/>
        </w:rPr>
        <w:t>”</w:t>
      </w:r>
      <w:r w:rsidR="00F46A6E" w:rsidRPr="00012C3F">
        <w:rPr>
          <w:rFonts w:eastAsia="Calibri" w:cs="Arial"/>
          <w:sz w:val="20"/>
          <w:szCs w:val="20"/>
          <w:lang w:val="en-US" w:eastAsia="en-US"/>
        </w:rPr>
        <w:t>)</w:t>
      </w:r>
      <w:r w:rsidR="00493EFF" w:rsidRPr="00012C3F">
        <w:rPr>
          <w:rFonts w:eastAsia="Calibri" w:cs="Arial"/>
          <w:sz w:val="20"/>
          <w:szCs w:val="20"/>
          <w:lang w:val="en-US" w:eastAsia="en-US"/>
        </w:rPr>
        <w:t>.</w:t>
      </w:r>
    </w:p>
    <w:p w14:paraId="5853ABAE" w14:textId="77777777" w:rsidR="00502B43" w:rsidRPr="00012C3F" w:rsidRDefault="00502B43" w:rsidP="00750097">
      <w:pPr>
        <w:widowControl/>
        <w:tabs>
          <w:tab w:val="left" w:pos="720"/>
        </w:tabs>
        <w:autoSpaceDE w:val="0"/>
        <w:autoSpaceDN w:val="0"/>
        <w:spacing w:line="240" w:lineRule="auto"/>
        <w:textAlignment w:val="auto"/>
        <w:rPr>
          <w:rFonts w:eastAsia="Calibri" w:cs="Arial"/>
          <w:b/>
          <w:sz w:val="18"/>
          <w:szCs w:val="20"/>
          <w:lang w:val="en-US" w:eastAsia="en-US"/>
        </w:rPr>
      </w:pPr>
    </w:p>
    <w:p w14:paraId="1CEE2767" w14:textId="77777777" w:rsidR="00F46A6E" w:rsidRPr="00012C3F" w:rsidRDefault="00A84CA0" w:rsidP="00750097">
      <w:pPr>
        <w:numPr>
          <w:ilvl w:val="0"/>
          <w:numId w:val="5"/>
        </w:numPr>
        <w:tabs>
          <w:tab w:val="left" w:pos="720"/>
          <w:tab w:val="num" w:pos="12305"/>
        </w:tabs>
        <w:spacing w:line="240" w:lineRule="auto"/>
        <w:ind w:left="0" w:firstLine="0"/>
        <w:rPr>
          <w:rFonts w:eastAsia="MS Mincho"/>
          <w:b/>
          <w:sz w:val="20"/>
          <w:szCs w:val="20"/>
          <w:lang w:val="en-US"/>
        </w:rPr>
      </w:pPr>
      <w:r w:rsidRPr="00012C3F">
        <w:rPr>
          <w:rFonts w:eastAsia="Calibri" w:cs="Arial"/>
          <w:sz w:val="20"/>
          <w:szCs w:val="20"/>
          <w:lang w:val="en-US" w:eastAsia="en-US"/>
        </w:rPr>
        <w:t xml:space="preserve">The </w:t>
      </w:r>
      <w:r w:rsidRPr="00012C3F">
        <w:rPr>
          <w:rFonts w:eastAsia="Calibri" w:cs="Arial"/>
          <w:b/>
          <w:bCs/>
          <w:i/>
          <w:iCs/>
          <w:sz w:val="20"/>
          <w:szCs w:val="20"/>
          <w:lang w:val="en-US" w:eastAsia="en-US"/>
        </w:rPr>
        <w:t>State</w:t>
      </w:r>
      <w:r w:rsidR="00502B43" w:rsidRPr="00012C3F">
        <w:rPr>
          <w:rFonts w:eastAsia="Calibri" w:cs="Arial"/>
          <w:sz w:val="20"/>
          <w:szCs w:val="20"/>
          <w:lang w:val="en-US" w:eastAsia="en-US"/>
        </w:rPr>
        <w:t xml:space="preserve"> </w:t>
      </w:r>
      <w:r w:rsidR="00F46A6E" w:rsidRPr="00012C3F">
        <w:rPr>
          <w:rFonts w:eastAsia="Calibri" w:cs="Arial"/>
          <w:sz w:val="20"/>
          <w:szCs w:val="20"/>
          <w:lang w:val="en-US" w:eastAsia="en-US"/>
        </w:rPr>
        <w:t xml:space="preserve">indicated, in its final arguments, that there was no evidence of any discriminatory intention on the part of the State. In this regard, it asserted that both the judicial and the administrative proceedings </w:t>
      </w:r>
      <w:r w:rsidR="00493EFF" w:rsidRPr="00012C3F">
        <w:rPr>
          <w:rFonts w:eastAsia="Calibri" w:cs="Arial"/>
          <w:sz w:val="20"/>
          <w:szCs w:val="20"/>
          <w:lang w:val="en-US" w:eastAsia="en-US"/>
        </w:rPr>
        <w:t xml:space="preserve">had </w:t>
      </w:r>
      <w:r w:rsidR="00F46A6E" w:rsidRPr="00012C3F">
        <w:rPr>
          <w:rFonts w:eastAsia="Calibri" w:cs="Arial"/>
          <w:sz w:val="20"/>
          <w:szCs w:val="20"/>
          <w:lang w:val="en-US" w:eastAsia="en-US"/>
        </w:rPr>
        <w:t>agreed on the physician’s absence of malice. Therefore, Bolivia had complied fully with its obligations relate</w:t>
      </w:r>
      <w:r w:rsidR="00493EFF" w:rsidRPr="00012C3F">
        <w:rPr>
          <w:rFonts w:eastAsia="Calibri" w:cs="Arial"/>
          <w:sz w:val="20"/>
          <w:szCs w:val="20"/>
          <w:lang w:val="en-US" w:eastAsia="en-US"/>
        </w:rPr>
        <w:t>d</w:t>
      </w:r>
      <w:r w:rsidR="00F46A6E" w:rsidRPr="00012C3F">
        <w:rPr>
          <w:rFonts w:eastAsia="Calibri" w:cs="Arial"/>
          <w:sz w:val="20"/>
          <w:szCs w:val="20"/>
          <w:lang w:val="en-US" w:eastAsia="en-US"/>
        </w:rPr>
        <w:t xml:space="preserve"> to the </w:t>
      </w:r>
      <w:r w:rsidR="00BA177B" w:rsidRPr="00012C3F">
        <w:rPr>
          <w:rFonts w:eastAsia="Calibri" w:cs="Arial"/>
          <w:sz w:val="20"/>
          <w:szCs w:val="20"/>
          <w:lang w:val="en-US" w:eastAsia="en-US"/>
        </w:rPr>
        <w:t>principle and right of non-discrimination.</w:t>
      </w:r>
    </w:p>
    <w:p w14:paraId="776A5130" w14:textId="77777777" w:rsidR="00FD7A2F" w:rsidRPr="00012C3F" w:rsidRDefault="00FD7A2F" w:rsidP="00750097">
      <w:pPr>
        <w:tabs>
          <w:tab w:val="left" w:pos="720"/>
        </w:tabs>
        <w:spacing w:line="240" w:lineRule="auto"/>
        <w:rPr>
          <w:rFonts w:eastAsia="MS Mincho"/>
          <w:sz w:val="20"/>
          <w:szCs w:val="20"/>
          <w:lang w:val="en-US"/>
        </w:rPr>
      </w:pPr>
    </w:p>
    <w:p w14:paraId="44B9962C" w14:textId="77777777" w:rsidR="00FD7A2F" w:rsidRPr="00012C3F" w:rsidRDefault="00FD7A2F" w:rsidP="00750097">
      <w:pPr>
        <w:pStyle w:val="Ttulo2"/>
        <w:tabs>
          <w:tab w:val="left" w:pos="720"/>
          <w:tab w:val="left" w:pos="1701"/>
        </w:tabs>
        <w:spacing w:before="0" w:line="240" w:lineRule="auto"/>
        <w:ind w:left="1134"/>
        <w:rPr>
          <w:rFonts w:ascii="Verdana" w:hAnsi="Verdana"/>
          <w:b w:val="0"/>
          <w:i/>
          <w:color w:val="auto"/>
          <w:sz w:val="20"/>
          <w:szCs w:val="20"/>
          <w:lang w:val="en-US"/>
        </w:rPr>
      </w:pPr>
      <w:bookmarkStart w:id="173" w:name="_Toc445290351"/>
      <w:bookmarkStart w:id="174" w:name="_Toc461305149"/>
      <w:bookmarkStart w:id="175" w:name="_Toc27486881"/>
      <w:r w:rsidRPr="00012C3F">
        <w:rPr>
          <w:rFonts w:ascii="Verdana" w:hAnsi="Verdana"/>
          <w:b w:val="0"/>
          <w:i/>
          <w:color w:val="auto"/>
          <w:sz w:val="20"/>
          <w:szCs w:val="20"/>
          <w:lang w:val="en-US"/>
        </w:rPr>
        <w:t xml:space="preserve">A.4 </w:t>
      </w:r>
      <w:r w:rsidR="006A16C8" w:rsidRPr="00012C3F">
        <w:rPr>
          <w:rFonts w:ascii="Verdana" w:hAnsi="Verdana"/>
          <w:b w:val="0"/>
          <w:i/>
          <w:color w:val="auto"/>
          <w:sz w:val="20"/>
          <w:szCs w:val="20"/>
          <w:lang w:val="en-US"/>
        </w:rPr>
        <w:tab/>
      </w:r>
      <w:r w:rsidR="006C705C" w:rsidRPr="00012C3F">
        <w:rPr>
          <w:rFonts w:ascii="Verdana" w:hAnsi="Verdana"/>
          <w:b w:val="0"/>
          <w:i/>
          <w:color w:val="auto"/>
          <w:sz w:val="20"/>
          <w:szCs w:val="20"/>
          <w:lang w:val="en-US"/>
        </w:rPr>
        <w:t>Arguments on the</w:t>
      </w:r>
      <w:r w:rsidR="00A464D8" w:rsidRPr="00012C3F">
        <w:rPr>
          <w:rFonts w:ascii="Verdana" w:hAnsi="Verdana"/>
          <w:b w:val="0"/>
          <w:i/>
          <w:color w:val="auto"/>
          <w:sz w:val="20"/>
          <w:szCs w:val="20"/>
          <w:lang w:val="en-US"/>
        </w:rPr>
        <w:t xml:space="preserve"> </w:t>
      </w:r>
      <w:r w:rsidR="00A710F6" w:rsidRPr="00012C3F">
        <w:rPr>
          <w:rFonts w:ascii="Verdana" w:hAnsi="Verdana"/>
          <w:b w:val="0"/>
          <w:i/>
          <w:color w:val="auto"/>
          <w:sz w:val="20"/>
          <w:szCs w:val="20"/>
          <w:lang w:val="en-US"/>
        </w:rPr>
        <w:t>obligation to ensure that the competent authority established by the laws of the State</w:t>
      </w:r>
      <w:r w:rsidRPr="00012C3F">
        <w:rPr>
          <w:rFonts w:ascii="Verdana" w:hAnsi="Verdana"/>
          <w:b w:val="0"/>
          <w:i/>
          <w:color w:val="auto"/>
          <w:sz w:val="20"/>
          <w:szCs w:val="20"/>
          <w:lang w:val="en-US"/>
        </w:rPr>
        <w:t xml:space="preserve"> </w:t>
      </w:r>
      <w:r w:rsidR="00A710F6" w:rsidRPr="00012C3F">
        <w:rPr>
          <w:rFonts w:ascii="Verdana" w:hAnsi="Verdana"/>
          <w:b w:val="0"/>
          <w:i/>
          <w:color w:val="auto"/>
          <w:sz w:val="20"/>
          <w:szCs w:val="20"/>
          <w:lang w:val="en-US"/>
        </w:rPr>
        <w:t>will determine the rights of everyone who files a remedy</w:t>
      </w:r>
      <w:bookmarkEnd w:id="173"/>
      <w:bookmarkEnd w:id="174"/>
      <w:bookmarkEnd w:id="175"/>
    </w:p>
    <w:p w14:paraId="1EC2FA04" w14:textId="77777777" w:rsidR="00FD7A2F" w:rsidRPr="00012C3F" w:rsidRDefault="00FD7A2F" w:rsidP="00750097">
      <w:pPr>
        <w:tabs>
          <w:tab w:val="left" w:pos="720"/>
        </w:tabs>
        <w:spacing w:line="240" w:lineRule="auto"/>
        <w:rPr>
          <w:rFonts w:eastAsia="MS Mincho"/>
          <w:sz w:val="20"/>
          <w:szCs w:val="20"/>
          <w:lang w:val="en-US"/>
        </w:rPr>
      </w:pPr>
    </w:p>
    <w:p w14:paraId="38FE31BD" w14:textId="77777777" w:rsidR="00FD7A2F" w:rsidRPr="00012C3F" w:rsidRDefault="00972ACF" w:rsidP="00F778D8">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Batang"/>
          <w:sz w:val="20"/>
          <w:szCs w:val="20"/>
          <w:lang w:val="en-US" w:eastAsia="es-MX"/>
        </w:rPr>
        <w:t xml:space="preserve">The </w:t>
      </w:r>
      <w:r w:rsidRPr="00012C3F">
        <w:rPr>
          <w:rFonts w:eastAsia="Batang"/>
          <w:b/>
          <w:bCs/>
          <w:i/>
          <w:iCs/>
          <w:sz w:val="20"/>
          <w:szCs w:val="20"/>
          <w:lang w:val="en-US" w:eastAsia="es-MX"/>
        </w:rPr>
        <w:t>representative</w:t>
      </w:r>
      <w:r w:rsidR="00FD7A2F" w:rsidRPr="00012C3F">
        <w:rPr>
          <w:rFonts w:eastAsia="MS Mincho"/>
          <w:b/>
          <w:i/>
          <w:sz w:val="20"/>
          <w:szCs w:val="20"/>
          <w:lang w:val="en-US"/>
        </w:rPr>
        <w:t xml:space="preserve"> </w:t>
      </w:r>
      <w:r w:rsidR="00F778D8" w:rsidRPr="00012C3F">
        <w:rPr>
          <w:rFonts w:eastAsia="MS Mincho"/>
          <w:sz w:val="20"/>
          <w:szCs w:val="20"/>
          <w:lang w:val="en-US"/>
        </w:rPr>
        <w:t xml:space="preserve">submitted additional arguments concerning the violation </w:t>
      </w:r>
      <w:r w:rsidR="008A7A0F" w:rsidRPr="00012C3F">
        <w:rPr>
          <w:rFonts w:eastAsia="MS Mincho"/>
          <w:sz w:val="20"/>
          <w:szCs w:val="20"/>
          <w:lang w:val="en-US"/>
        </w:rPr>
        <w:t>of Article</w:t>
      </w:r>
      <w:r w:rsidR="00AC11E1" w:rsidRPr="00012C3F">
        <w:rPr>
          <w:rFonts w:eastAsia="MS Mincho"/>
          <w:sz w:val="20"/>
          <w:szCs w:val="20"/>
          <w:lang w:val="en-US"/>
        </w:rPr>
        <w:t xml:space="preserve"> 2</w:t>
      </w:r>
      <w:r w:rsidR="00B257AF" w:rsidRPr="00012C3F">
        <w:rPr>
          <w:rFonts w:eastAsia="MS Mincho"/>
          <w:sz w:val="20"/>
          <w:szCs w:val="20"/>
          <w:lang w:val="en-US"/>
        </w:rPr>
        <w:t>5(2)</w:t>
      </w:r>
      <w:r w:rsidR="00F778D8" w:rsidRPr="00012C3F">
        <w:rPr>
          <w:rFonts w:eastAsia="MS Mincho"/>
          <w:sz w:val="20"/>
          <w:szCs w:val="20"/>
          <w:lang w:val="en-US"/>
        </w:rPr>
        <w:t>(</w:t>
      </w:r>
      <w:r w:rsidR="00FD7A2F" w:rsidRPr="00012C3F">
        <w:rPr>
          <w:rFonts w:eastAsia="MS Mincho"/>
          <w:sz w:val="20"/>
          <w:szCs w:val="20"/>
          <w:lang w:val="en-US"/>
        </w:rPr>
        <w:t>a)</w:t>
      </w:r>
      <w:r w:rsidR="001254DE" w:rsidRPr="00012C3F">
        <w:rPr>
          <w:rFonts w:eastAsia="MS Mincho"/>
          <w:sz w:val="20"/>
          <w:szCs w:val="20"/>
          <w:lang w:val="en-US"/>
        </w:rPr>
        <w:t xml:space="preserve"> of the Convention</w:t>
      </w:r>
      <w:r w:rsidR="00FD7A2F" w:rsidRPr="00012C3F">
        <w:rPr>
          <w:rFonts w:eastAsia="MS Mincho"/>
          <w:sz w:val="20"/>
          <w:szCs w:val="20"/>
          <w:lang w:val="en-US"/>
        </w:rPr>
        <w:t>.</w:t>
      </w:r>
      <w:r w:rsidR="00FD7A2F" w:rsidRPr="00012C3F">
        <w:rPr>
          <w:rFonts w:eastAsia="MS Mincho"/>
          <w:b/>
          <w:sz w:val="20"/>
          <w:szCs w:val="20"/>
          <w:lang w:val="en-US"/>
        </w:rPr>
        <w:t xml:space="preserve"> </w:t>
      </w:r>
      <w:r w:rsidR="00F778D8" w:rsidRPr="00012C3F">
        <w:rPr>
          <w:rFonts w:eastAsia="MS Mincho"/>
          <w:bCs/>
          <w:sz w:val="20"/>
          <w:szCs w:val="20"/>
          <w:lang w:val="en-US"/>
        </w:rPr>
        <w:t>In this regard, she asked that “the Court declare this […] additional violation when it hands down judgment, in the understanding that the Bolivian jurisdictional authority did not take a decision on I.V.’s rights; [rather] instead of this, it archived the criminal case on the grounds that the proceedings had gone beyond the temporal limit of three years that proceedings on a matter such as this should take.” Therefore, the representative argued that the Bolivian court had not taken a decision as it was supposed to do under</w:t>
      </w:r>
      <w:r w:rsidR="00F778D8" w:rsidRPr="00012C3F">
        <w:rPr>
          <w:rFonts w:eastAsia="MS Mincho"/>
          <w:sz w:val="20"/>
          <w:szCs w:val="20"/>
          <w:lang w:val="en-US"/>
        </w:rPr>
        <w:t xml:space="preserve"> </w:t>
      </w:r>
      <w:r w:rsidR="008A7A0F" w:rsidRPr="00012C3F">
        <w:rPr>
          <w:rFonts w:eastAsia="MS Mincho"/>
          <w:sz w:val="20"/>
          <w:szCs w:val="20"/>
          <w:lang w:val="en-US"/>
        </w:rPr>
        <w:t>Article</w:t>
      </w:r>
      <w:r w:rsidR="00AC11E1" w:rsidRPr="00012C3F">
        <w:rPr>
          <w:rFonts w:eastAsia="MS Mincho"/>
          <w:sz w:val="20"/>
          <w:szCs w:val="20"/>
          <w:lang w:val="en-US"/>
        </w:rPr>
        <w:t xml:space="preserve"> 2</w:t>
      </w:r>
      <w:r w:rsidR="00B257AF" w:rsidRPr="00012C3F">
        <w:rPr>
          <w:rFonts w:eastAsia="MS Mincho"/>
          <w:sz w:val="20"/>
          <w:szCs w:val="20"/>
          <w:lang w:val="en-US"/>
        </w:rPr>
        <w:t>5(2)</w:t>
      </w:r>
      <w:r w:rsidR="00F778D8" w:rsidRPr="00012C3F">
        <w:rPr>
          <w:rFonts w:eastAsia="MS Mincho"/>
          <w:sz w:val="20"/>
          <w:szCs w:val="20"/>
          <w:lang w:val="en-US"/>
        </w:rPr>
        <w:t>(</w:t>
      </w:r>
      <w:r w:rsidR="00FD7A2F" w:rsidRPr="00012C3F">
        <w:rPr>
          <w:rFonts w:eastAsia="MS Mincho"/>
          <w:sz w:val="20"/>
          <w:szCs w:val="20"/>
          <w:lang w:val="en-US"/>
        </w:rPr>
        <w:t>a)</w:t>
      </w:r>
      <w:r w:rsidR="004345DD" w:rsidRPr="00012C3F">
        <w:rPr>
          <w:rFonts w:eastAsia="MS Mincho"/>
          <w:sz w:val="20"/>
          <w:szCs w:val="20"/>
          <w:lang w:val="en-US"/>
        </w:rPr>
        <w:t xml:space="preserve"> </w:t>
      </w:r>
      <w:r w:rsidR="00F778D8" w:rsidRPr="00012C3F">
        <w:rPr>
          <w:rFonts w:eastAsia="MS Mincho"/>
          <w:sz w:val="20"/>
          <w:szCs w:val="20"/>
          <w:lang w:val="en-US"/>
        </w:rPr>
        <w:t>because, on procedural grounds caused by the court itself, it  granted impunity to those who had violated I.V.’s rights.</w:t>
      </w:r>
    </w:p>
    <w:p w14:paraId="0AC6E1AD" w14:textId="77777777" w:rsidR="00FD7A2F" w:rsidRPr="00012C3F" w:rsidRDefault="00FD7A2F" w:rsidP="00750097">
      <w:pPr>
        <w:tabs>
          <w:tab w:val="left" w:pos="720"/>
        </w:tabs>
        <w:spacing w:line="240" w:lineRule="auto"/>
        <w:rPr>
          <w:rFonts w:eastAsia="MS Mincho"/>
          <w:sz w:val="20"/>
          <w:szCs w:val="20"/>
          <w:lang w:val="en-US"/>
        </w:rPr>
      </w:pPr>
    </w:p>
    <w:p w14:paraId="0ACC5E4D" w14:textId="77777777" w:rsidR="00F778D8" w:rsidRPr="00012C3F" w:rsidRDefault="00A84CA0" w:rsidP="00750097">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Batang"/>
          <w:sz w:val="20"/>
          <w:szCs w:val="20"/>
          <w:lang w:val="en-US" w:eastAsia="es-MX"/>
        </w:rPr>
        <w:t xml:space="preserve">The </w:t>
      </w:r>
      <w:r w:rsidRPr="00012C3F">
        <w:rPr>
          <w:rFonts w:eastAsia="Batang"/>
          <w:b/>
          <w:bCs/>
          <w:i/>
          <w:iCs/>
          <w:sz w:val="20"/>
          <w:szCs w:val="20"/>
          <w:lang w:val="en-US" w:eastAsia="es-MX"/>
        </w:rPr>
        <w:t>State</w:t>
      </w:r>
      <w:r w:rsidR="00FD7A2F" w:rsidRPr="00012C3F">
        <w:rPr>
          <w:rFonts w:eastAsia="MS Mincho"/>
          <w:sz w:val="20"/>
          <w:szCs w:val="20"/>
          <w:lang w:val="en-US"/>
        </w:rPr>
        <w:t xml:space="preserve"> a</w:t>
      </w:r>
      <w:r w:rsidR="003D618E" w:rsidRPr="00012C3F">
        <w:rPr>
          <w:rFonts w:eastAsia="MS Mincho"/>
          <w:sz w:val="20"/>
          <w:szCs w:val="20"/>
          <w:lang w:val="en-US"/>
        </w:rPr>
        <w:t>sserte</w:t>
      </w:r>
      <w:r w:rsidR="00F778D8" w:rsidRPr="00012C3F">
        <w:rPr>
          <w:rFonts w:eastAsia="MS Mincho"/>
          <w:sz w:val="20"/>
          <w:szCs w:val="20"/>
          <w:lang w:val="en-US"/>
        </w:rPr>
        <w:t>d that the arguments presented by</w:t>
      </w:r>
      <w:r w:rsidR="00FD7A2F" w:rsidRPr="00012C3F">
        <w:rPr>
          <w:rFonts w:eastAsia="MS Mincho"/>
          <w:sz w:val="20"/>
          <w:szCs w:val="20"/>
          <w:lang w:val="en-US"/>
        </w:rPr>
        <w:t xml:space="preserve"> </w:t>
      </w:r>
      <w:r w:rsidR="00972ACF" w:rsidRPr="00012C3F">
        <w:rPr>
          <w:rFonts w:eastAsia="MS Mincho"/>
          <w:sz w:val="20"/>
          <w:szCs w:val="20"/>
          <w:lang w:val="en-US"/>
        </w:rPr>
        <w:t>the representative</w:t>
      </w:r>
      <w:r w:rsidR="00FD7A2F" w:rsidRPr="00012C3F">
        <w:rPr>
          <w:rFonts w:eastAsia="MS Mincho"/>
          <w:sz w:val="20"/>
          <w:szCs w:val="20"/>
          <w:lang w:val="en-US"/>
        </w:rPr>
        <w:t xml:space="preserve"> </w:t>
      </w:r>
      <w:r w:rsidR="00F778D8" w:rsidRPr="00012C3F">
        <w:rPr>
          <w:rFonts w:eastAsia="MS Mincho"/>
          <w:sz w:val="20"/>
          <w:szCs w:val="20"/>
          <w:lang w:val="en-US"/>
        </w:rPr>
        <w:t xml:space="preserve">regarding the presumed violation </w:t>
      </w:r>
      <w:r w:rsidR="008A7A0F" w:rsidRPr="00012C3F">
        <w:rPr>
          <w:rFonts w:eastAsia="MS Mincho"/>
          <w:sz w:val="20"/>
          <w:szCs w:val="20"/>
          <w:lang w:val="en-US"/>
        </w:rPr>
        <w:t>of Article</w:t>
      </w:r>
      <w:r w:rsidR="00FD7A2F" w:rsidRPr="00012C3F">
        <w:rPr>
          <w:rFonts w:eastAsia="MS Mincho"/>
          <w:sz w:val="20"/>
          <w:szCs w:val="20"/>
          <w:lang w:val="en-US"/>
        </w:rPr>
        <w:t xml:space="preserve"> 2</w:t>
      </w:r>
      <w:r w:rsidR="00B257AF" w:rsidRPr="00012C3F">
        <w:rPr>
          <w:rFonts w:eastAsia="MS Mincho"/>
          <w:sz w:val="20"/>
          <w:szCs w:val="20"/>
          <w:lang w:val="en-US"/>
        </w:rPr>
        <w:t>5(2)</w:t>
      </w:r>
      <w:r w:rsidR="00F778D8" w:rsidRPr="00012C3F">
        <w:rPr>
          <w:rFonts w:eastAsia="MS Mincho"/>
          <w:sz w:val="20"/>
          <w:szCs w:val="20"/>
          <w:lang w:val="en-US"/>
        </w:rPr>
        <w:t>(</w:t>
      </w:r>
      <w:r w:rsidR="00FD7A2F" w:rsidRPr="00012C3F">
        <w:rPr>
          <w:rFonts w:eastAsia="MS Mincho"/>
          <w:sz w:val="20"/>
          <w:szCs w:val="20"/>
          <w:lang w:val="en-US"/>
        </w:rPr>
        <w:t>a)</w:t>
      </w:r>
      <w:r w:rsidR="001254DE" w:rsidRPr="00012C3F">
        <w:rPr>
          <w:rFonts w:eastAsia="MS Mincho"/>
          <w:sz w:val="20"/>
          <w:szCs w:val="20"/>
          <w:lang w:val="en-US"/>
        </w:rPr>
        <w:t xml:space="preserve"> of the Convention</w:t>
      </w:r>
      <w:r w:rsidR="00FD7A2F" w:rsidRPr="00012C3F">
        <w:rPr>
          <w:rFonts w:eastAsia="MS Mincho"/>
          <w:sz w:val="20"/>
          <w:szCs w:val="20"/>
          <w:lang w:val="en-US"/>
        </w:rPr>
        <w:t>, corresponde</w:t>
      </w:r>
      <w:r w:rsidR="00F778D8" w:rsidRPr="00012C3F">
        <w:rPr>
          <w:rFonts w:eastAsia="MS Mincho"/>
          <w:sz w:val="20"/>
          <w:szCs w:val="20"/>
          <w:lang w:val="en-US"/>
        </w:rPr>
        <w:t>d to “citations from reports and documents that were not pertinent and that did not provide appropriate grounds for violations of the said article or reveal</w:t>
      </w:r>
      <w:r w:rsidR="00493EFF" w:rsidRPr="00012C3F">
        <w:rPr>
          <w:rFonts w:eastAsia="MS Mincho"/>
          <w:sz w:val="20"/>
          <w:szCs w:val="20"/>
          <w:lang w:val="en-US"/>
        </w:rPr>
        <w:t>,</w:t>
      </w:r>
      <w:r w:rsidR="00F778D8" w:rsidRPr="00012C3F">
        <w:rPr>
          <w:rFonts w:eastAsia="MS Mincho"/>
          <w:sz w:val="20"/>
          <w:szCs w:val="20"/>
          <w:lang w:val="en-US"/>
        </w:rPr>
        <w:t xml:space="preserve"> </w:t>
      </w:r>
      <w:r w:rsidR="00493EFF" w:rsidRPr="00012C3F">
        <w:rPr>
          <w:rFonts w:eastAsia="MS Mincho"/>
          <w:sz w:val="20"/>
          <w:szCs w:val="20"/>
          <w:lang w:val="en-US"/>
        </w:rPr>
        <w:t>by</w:t>
      </w:r>
      <w:r w:rsidR="00F778D8" w:rsidRPr="00012C3F">
        <w:rPr>
          <w:rFonts w:eastAsia="MS Mincho"/>
          <w:sz w:val="20"/>
          <w:szCs w:val="20"/>
          <w:lang w:val="en-US"/>
        </w:rPr>
        <w:t xml:space="preserve"> specific acts</w:t>
      </w:r>
      <w:r w:rsidR="00493EFF" w:rsidRPr="00012C3F">
        <w:rPr>
          <w:rFonts w:eastAsia="MS Mincho"/>
          <w:sz w:val="20"/>
          <w:szCs w:val="20"/>
          <w:lang w:val="en-US"/>
        </w:rPr>
        <w:t>,</w:t>
      </w:r>
      <w:r w:rsidR="00F778D8" w:rsidRPr="00012C3F">
        <w:rPr>
          <w:rFonts w:eastAsia="MS Mincho"/>
          <w:sz w:val="20"/>
          <w:szCs w:val="20"/>
          <w:lang w:val="en-US"/>
        </w:rPr>
        <w:t xml:space="preserve"> the presumed failure to comply with the obligation to decide on a right when a remedy is filed.” Accordingly, </w:t>
      </w:r>
      <w:r w:rsidR="003D618E" w:rsidRPr="00012C3F">
        <w:rPr>
          <w:rFonts w:eastAsia="MS Mincho"/>
          <w:sz w:val="20"/>
          <w:szCs w:val="20"/>
          <w:lang w:val="en-US"/>
        </w:rPr>
        <w:t xml:space="preserve">“the Court should not take this allegation into account.” Regarding the right to judicial protection, it argued that the laws of Bolivia guaranteed I.V. access to simple, effective and prompt remedies, specifically, cassation and the constitutional amparo, “which were neither filed nor exhausted.” Regarding the remedies used by I.V., the incidental appeal, the </w:t>
      </w:r>
      <w:r w:rsidR="00C16DEA" w:rsidRPr="00012C3F">
        <w:rPr>
          <w:rFonts w:eastAsia="MS Mincho"/>
          <w:sz w:val="20"/>
          <w:szCs w:val="20"/>
          <w:lang w:val="en-US"/>
        </w:rPr>
        <w:t>cassation procedure</w:t>
      </w:r>
      <w:r w:rsidR="003D618E" w:rsidRPr="00012C3F">
        <w:rPr>
          <w:rFonts w:eastAsia="MS Mincho"/>
          <w:sz w:val="20"/>
          <w:szCs w:val="20"/>
          <w:lang w:val="en-US"/>
        </w:rPr>
        <w:t>, and the appeal against the extinction, the State argued that they were processed in accordance with the established legal procedure, ensuring her right to due process, so that the State had not violated the guarantees and the right to judicial protection of I.V.</w:t>
      </w:r>
    </w:p>
    <w:p w14:paraId="5D4A6924" w14:textId="77777777" w:rsidR="00FD7A2F" w:rsidRPr="00012C3F" w:rsidRDefault="00FD7A2F" w:rsidP="00502B43">
      <w:pPr>
        <w:tabs>
          <w:tab w:val="left" w:pos="720"/>
        </w:tabs>
        <w:spacing w:line="240" w:lineRule="auto"/>
        <w:rPr>
          <w:rFonts w:eastAsia="MS Mincho"/>
          <w:b/>
          <w:sz w:val="20"/>
          <w:szCs w:val="20"/>
          <w:lang w:val="en-US"/>
        </w:rPr>
      </w:pPr>
    </w:p>
    <w:p w14:paraId="0AB07AA0" w14:textId="77777777" w:rsidR="00502B43" w:rsidRPr="00012C3F" w:rsidRDefault="00502B43" w:rsidP="009867D6">
      <w:pPr>
        <w:keepNext/>
        <w:keepLines/>
        <w:tabs>
          <w:tab w:val="left" w:pos="1134"/>
        </w:tabs>
        <w:spacing w:line="240" w:lineRule="auto"/>
        <w:ind w:left="567" w:firstLine="1"/>
        <w:outlineLvl w:val="1"/>
        <w:rPr>
          <w:rFonts w:eastAsia="MS Mincho"/>
          <w:b/>
          <w:bCs/>
          <w:i/>
          <w:sz w:val="20"/>
          <w:szCs w:val="20"/>
          <w:lang w:val="en-US"/>
        </w:rPr>
      </w:pPr>
      <w:bookmarkStart w:id="176" w:name="_Toc27486882"/>
      <w:r w:rsidRPr="00012C3F">
        <w:rPr>
          <w:rFonts w:eastAsia="MS Mincho"/>
          <w:b/>
          <w:bCs/>
          <w:i/>
          <w:sz w:val="20"/>
          <w:szCs w:val="20"/>
          <w:lang w:val="en-US"/>
        </w:rPr>
        <w:t>B.</w:t>
      </w:r>
      <w:r w:rsidRPr="00012C3F">
        <w:rPr>
          <w:rFonts w:eastAsia="MS Mincho"/>
          <w:b/>
          <w:bCs/>
          <w:i/>
          <w:sz w:val="20"/>
          <w:szCs w:val="20"/>
          <w:lang w:val="en-US"/>
        </w:rPr>
        <w:tab/>
      </w:r>
      <w:r w:rsidR="006C705C" w:rsidRPr="00012C3F">
        <w:rPr>
          <w:rFonts w:eastAsia="MS Mincho"/>
          <w:b/>
          <w:bCs/>
          <w:i/>
          <w:sz w:val="20"/>
          <w:szCs w:val="20"/>
          <w:lang w:val="en-US"/>
        </w:rPr>
        <w:t>Considerations</w:t>
      </w:r>
      <w:r w:rsidR="001254DE" w:rsidRPr="00012C3F">
        <w:rPr>
          <w:rFonts w:eastAsia="MS Mincho"/>
          <w:b/>
          <w:bCs/>
          <w:i/>
          <w:sz w:val="20"/>
          <w:szCs w:val="20"/>
          <w:lang w:val="en-US"/>
        </w:rPr>
        <w:t xml:space="preserve"> of the Court</w:t>
      </w:r>
      <w:bookmarkEnd w:id="176"/>
    </w:p>
    <w:p w14:paraId="2F5CF8DC" w14:textId="77777777" w:rsidR="00502B43" w:rsidRPr="00012C3F" w:rsidRDefault="00502B43" w:rsidP="00502B43">
      <w:pPr>
        <w:tabs>
          <w:tab w:val="left" w:pos="720"/>
        </w:tabs>
        <w:spacing w:line="240" w:lineRule="auto"/>
        <w:rPr>
          <w:rFonts w:eastAsia="MS Mincho"/>
          <w:b/>
          <w:sz w:val="20"/>
          <w:szCs w:val="20"/>
          <w:lang w:val="en-US"/>
        </w:rPr>
      </w:pPr>
    </w:p>
    <w:p w14:paraId="1CC3D442" w14:textId="77777777" w:rsidR="00657616" w:rsidRPr="00012C3F" w:rsidRDefault="003D618E" w:rsidP="003D618E">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Calibri" w:cs="Arial"/>
          <w:sz w:val="20"/>
          <w:szCs w:val="20"/>
          <w:lang w:val="en-US" w:eastAsia="en-US"/>
        </w:rPr>
        <w:t xml:space="preserve">Before proceeding to analyze the merits in relation to </w:t>
      </w:r>
      <w:r w:rsidR="001254DE" w:rsidRPr="00012C3F">
        <w:rPr>
          <w:rFonts w:eastAsia="MS Mincho"/>
          <w:sz w:val="20"/>
          <w:szCs w:val="20"/>
          <w:lang w:val="en-US"/>
        </w:rPr>
        <w:t>Articles</w:t>
      </w:r>
      <w:r w:rsidR="00502B43" w:rsidRPr="00012C3F">
        <w:rPr>
          <w:rFonts w:eastAsia="MS Mincho"/>
          <w:sz w:val="20"/>
          <w:szCs w:val="20"/>
          <w:lang w:val="en-US"/>
        </w:rPr>
        <w:t xml:space="preserve"> 8</w:t>
      </w:r>
      <w:r w:rsidR="005E5012" w:rsidRPr="00012C3F">
        <w:rPr>
          <w:rFonts w:eastAsia="MS Mincho"/>
          <w:sz w:val="20"/>
          <w:szCs w:val="20"/>
          <w:lang w:val="en-US"/>
        </w:rPr>
        <w:t xml:space="preserve"> and </w:t>
      </w:r>
      <w:r w:rsidR="00502B43" w:rsidRPr="00012C3F">
        <w:rPr>
          <w:rFonts w:eastAsia="MS Mincho"/>
          <w:sz w:val="20"/>
          <w:szCs w:val="20"/>
          <w:lang w:val="en-US"/>
        </w:rPr>
        <w:t>25</w:t>
      </w:r>
      <w:r w:rsidR="001254DE" w:rsidRPr="00012C3F">
        <w:rPr>
          <w:rFonts w:eastAsia="MS Mincho"/>
          <w:sz w:val="20"/>
          <w:szCs w:val="20"/>
          <w:lang w:val="en-US"/>
        </w:rPr>
        <w:t xml:space="preserve"> of the Convention</w:t>
      </w:r>
      <w:r w:rsidR="00502B43" w:rsidRPr="00012C3F">
        <w:rPr>
          <w:rFonts w:eastAsia="MS Mincho"/>
          <w:sz w:val="20"/>
          <w:szCs w:val="20"/>
          <w:lang w:val="en-US"/>
        </w:rPr>
        <w:t xml:space="preserve">, </w:t>
      </w:r>
      <w:r w:rsidR="001254DE" w:rsidRPr="00012C3F">
        <w:rPr>
          <w:rFonts w:eastAsia="MS Mincho"/>
          <w:sz w:val="20"/>
          <w:szCs w:val="20"/>
          <w:lang w:val="en-US"/>
        </w:rPr>
        <w:t>the Court</w:t>
      </w:r>
      <w:r w:rsidR="00502B43" w:rsidRPr="00012C3F">
        <w:rPr>
          <w:rFonts w:eastAsia="MS Mincho"/>
          <w:sz w:val="20"/>
          <w:szCs w:val="20"/>
          <w:lang w:val="en-US"/>
        </w:rPr>
        <w:t xml:space="preserve"> </w:t>
      </w:r>
      <w:r w:rsidRPr="00012C3F">
        <w:rPr>
          <w:rFonts w:eastAsia="MS Mincho"/>
          <w:sz w:val="20"/>
          <w:szCs w:val="20"/>
          <w:lang w:val="en-US"/>
        </w:rPr>
        <w:t xml:space="preserve">finds it pertinent to provide some clarifications </w:t>
      </w:r>
      <w:r w:rsidR="006C705C" w:rsidRPr="00012C3F">
        <w:rPr>
          <w:rFonts w:eastAsia="MS Mincho"/>
          <w:sz w:val="20"/>
          <w:szCs w:val="20"/>
          <w:lang w:val="en-US"/>
        </w:rPr>
        <w:t>in relation to</w:t>
      </w:r>
      <w:r w:rsidR="00502B43" w:rsidRPr="00012C3F">
        <w:rPr>
          <w:rFonts w:eastAsia="MS Mincho"/>
          <w:sz w:val="20"/>
          <w:szCs w:val="20"/>
          <w:lang w:val="en-US"/>
        </w:rPr>
        <w:t xml:space="preserve"> </w:t>
      </w:r>
      <w:r w:rsidRPr="00012C3F">
        <w:rPr>
          <w:rFonts w:eastAsia="MS Mincho"/>
          <w:sz w:val="20"/>
          <w:szCs w:val="20"/>
          <w:lang w:val="en-US"/>
        </w:rPr>
        <w:t>the different arguments presented. First, the Court notes that the State changed its legal arguments</w:t>
      </w:r>
      <w:r w:rsidR="00493EFF" w:rsidRPr="00012C3F">
        <w:rPr>
          <w:rFonts w:eastAsia="MS Mincho"/>
          <w:sz w:val="20"/>
          <w:szCs w:val="20"/>
          <w:lang w:val="en-US"/>
        </w:rPr>
        <w:t>, starting</w:t>
      </w:r>
      <w:r w:rsidRPr="00012C3F">
        <w:rPr>
          <w:rFonts w:eastAsia="MS Mincho"/>
          <w:sz w:val="20"/>
          <w:szCs w:val="20"/>
          <w:lang w:val="en-US"/>
        </w:rPr>
        <w:t xml:space="preserve"> </w:t>
      </w:r>
      <w:r w:rsidR="00493EFF" w:rsidRPr="00012C3F">
        <w:rPr>
          <w:rFonts w:eastAsia="MS Mincho"/>
          <w:sz w:val="20"/>
          <w:szCs w:val="20"/>
          <w:lang w:val="en-US"/>
        </w:rPr>
        <w:t>during</w:t>
      </w:r>
      <w:r w:rsidRPr="00012C3F">
        <w:rPr>
          <w:rFonts w:eastAsia="MS Mincho"/>
          <w:sz w:val="20"/>
          <w:szCs w:val="20"/>
          <w:lang w:val="en-US"/>
        </w:rPr>
        <w:t xml:space="preserve"> the </w:t>
      </w:r>
      <w:r w:rsidR="00B257AF" w:rsidRPr="00012C3F">
        <w:rPr>
          <w:rFonts w:eastAsia="MS Mincho"/>
          <w:sz w:val="20"/>
          <w:szCs w:val="20"/>
          <w:lang w:val="en-US"/>
        </w:rPr>
        <w:t>public hearing</w:t>
      </w:r>
      <w:r w:rsidR="00493EFF" w:rsidRPr="00012C3F">
        <w:rPr>
          <w:rFonts w:eastAsia="MS Mincho"/>
          <w:sz w:val="20"/>
          <w:szCs w:val="20"/>
          <w:lang w:val="en-US"/>
        </w:rPr>
        <w:t>,</w:t>
      </w:r>
      <w:r w:rsidR="00502B43" w:rsidRPr="00012C3F">
        <w:rPr>
          <w:rFonts w:eastAsia="MS Mincho"/>
          <w:sz w:val="20"/>
          <w:szCs w:val="20"/>
          <w:lang w:val="en-US"/>
        </w:rPr>
        <w:t xml:space="preserve"> </w:t>
      </w:r>
      <w:r w:rsidRPr="00012C3F">
        <w:rPr>
          <w:rFonts w:eastAsia="MS Mincho"/>
          <w:sz w:val="20"/>
          <w:szCs w:val="20"/>
          <w:lang w:val="en-US"/>
        </w:rPr>
        <w:t>in relation to its a</w:t>
      </w:r>
      <w:r w:rsidR="00B257AF" w:rsidRPr="00012C3F">
        <w:rPr>
          <w:rFonts w:eastAsia="MS Mincho"/>
          <w:sz w:val="20"/>
          <w:szCs w:val="20"/>
          <w:lang w:val="en-US"/>
        </w:rPr>
        <w:t>nswering brief</w:t>
      </w:r>
      <w:r w:rsidR="00502B43" w:rsidRPr="00012C3F">
        <w:rPr>
          <w:rFonts w:eastAsia="MS Mincho"/>
          <w:sz w:val="20"/>
          <w:szCs w:val="20"/>
          <w:lang w:val="en-US"/>
        </w:rPr>
        <w:t xml:space="preserve">. </w:t>
      </w:r>
      <w:r w:rsidR="00657616" w:rsidRPr="00012C3F">
        <w:rPr>
          <w:rFonts w:eastAsia="MS Mincho"/>
          <w:sz w:val="20"/>
          <w:szCs w:val="20"/>
          <w:lang w:val="en-US"/>
        </w:rPr>
        <w:t>I</w:t>
      </w:r>
      <w:r w:rsidR="00502B43" w:rsidRPr="00012C3F">
        <w:rPr>
          <w:rFonts w:eastAsia="MS Mincho"/>
          <w:sz w:val="20"/>
          <w:szCs w:val="20"/>
          <w:lang w:val="en-US"/>
        </w:rPr>
        <w:t xml:space="preserve">n particular, </w:t>
      </w:r>
      <w:r w:rsidRPr="00012C3F">
        <w:rPr>
          <w:rFonts w:eastAsia="MS Mincho"/>
          <w:sz w:val="20"/>
          <w:szCs w:val="20"/>
          <w:lang w:val="en-US"/>
        </w:rPr>
        <w:t>the</w:t>
      </w:r>
      <w:r w:rsidR="00657616" w:rsidRPr="00012C3F">
        <w:rPr>
          <w:rFonts w:eastAsia="MS Mincho"/>
          <w:sz w:val="20"/>
          <w:szCs w:val="20"/>
          <w:lang w:val="en-US"/>
        </w:rPr>
        <w:t xml:space="preserve"> arguments</w:t>
      </w:r>
      <w:r w:rsidRPr="00012C3F">
        <w:rPr>
          <w:rFonts w:eastAsia="MS Mincho"/>
          <w:sz w:val="20"/>
          <w:szCs w:val="20"/>
          <w:lang w:val="en-US"/>
        </w:rPr>
        <w:t xml:space="preserve"> described above </w:t>
      </w:r>
      <w:r w:rsidRPr="00012C3F">
        <w:rPr>
          <w:rFonts w:eastAsia="MS Mincho"/>
          <w:sz w:val="20"/>
          <w:szCs w:val="20"/>
          <w:lang w:val="en-US"/>
        </w:rPr>
        <w:lastRenderedPageBreak/>
        <w:t xml:space="preserve">concerning the inappropriateness of criminal proceedings in this case, the alleged failure </w:t>
      </w:r>
      <w:r w:rsidR="00493EFF" w:rsidRPr="00012C3F">
        <w:rPr>
          <w:rFonts w:eastAsia="MS Mincho"/>
          <w:sz w:val="20"/>
          <w:szCs w:val="20"/>
          <w:lang w:val="en-US"/>
        </w:rPr>
        <w:t>of</w:t>
      </w:r>
      <w:r w:rsidRPr="00012C3F">
        <w:rPr>
          <w:rFonts w:eastAsia="MS Mincho"/>
          <w:sz w:val="20"/>
          <w:szCs w:val="20"/>
          <w:lang w:val="en-US"/>
        </w:rPr>
        <w:t xml:space="preserve"> I.V. to </w:t>
      </w:r>
      <w:r w:rsidR="00657616" w:rsidRPr="00012C3F">
        <w:rPr>
          <w:rFonts w:eastAsia="MS Mincho"/>
          <w:sz w:val="20"/>
          <w:szCs w:val="20"/>
          <w:lang w:val="en-US"/>
        </w:rPr>
        <w:t>become a complainant in the proceedings, and the fact that she did not denounce the domestic judges, were submitted for the first time in its final oral and written arguments before this Court. The Court recalls that</w:t>
      </w:r>
      <w:r w:rsidR="00493EFF" w:rsidRPr="00012C3F">
        <w:rPr>
          <w:rFonts w:eastAsia="MS Mincho"/>
          <w:sz w:val="20"/>
          <w:szCs w:val="20"/>
          <w:lang w:val="en-US"/>
        </w:rPr>
        <w:t xml:space="preserve"> the</w:t>
      </w:r>
      <w:r w:rsidR="00657616" w:rsidRPr="00012C3F">
        <w:rPr>
          <w:rFonts w:eastAsia="MS Mincho"/>
          <w:sz w:val="20"/>
          <w:szCs w:val="20"/>
          <w:lang w:val="en-US"/>
        </w:rPr>
        <w:t xml:space="preserve"> final arguments are essentially an opportunity to systematize the legal and factual arguments that have already been presented at the proper opportunity.</w:t>
      </w:r>
      <w:r w:rsidR="00502B43" w:rsidRPr="00012C3F">
        <w:rPr>
          <w:rStyle w:val="Refdenotaalpie"/>
          <w:rFonts w:eastAsia="MS Mincho"/>
          <w:sz w:val="20"/>
          <w:lang w:val="en-US"/>
        </w:rPr>
        <w:footnoteReference w:id="363"/>
      </w:r>
      <w:r w:rsidR="00BE5A0C" w:rsidRPr="00012C3F">
        <w:rPr>
          <w:rFonts w:eastAsia="MS Mincho"/>
          <w:sz w:val="20"/>
          <w:szCs w:val="20"/>
          <w:lang w:val="en-US"/>
        </w:rPr>
        <w:t xml:space="preserve"> </w:t>
      </w:r>
      <w:r w:rsidR="006C705C" w:rsidRPr="00012C3F">
        <w:rPr>
          <w:rFonts w:eastAsia="MS Mincho"/>
          <w:sz w:val="20"/>
          <w:szCs w:val="20"/>
          <w:lang w:val="en-US"/>
        </w:rPr>
        <w:t>In this case</w:t>
      </w:r>
      <w:r w:rsidR="00BE5A0C" w:rsidRPr="00012C3F">
        <w:rPr>
          <w:rFonts w:eastAsia="MS Mincho"/>
          <w:sz w:val="20"/>
          <w:szCs w:val="20"/>
          <w:lang w:val="en-US"/>
        </w:rPr>
        <w:t xml:space="preserve">, </w:t>
      </w:r>
      <w:r w:rsidR="001254DE" w:rsidRPr="00012C3F">
        <w:rPr>
          <w:rFonts w:eastAsia="MS Mincho"/>
          <w:sz w:val="20"/>
          <w:szCs w:val="20"/>
          <w:lang w:val="en-US"/>
        </w:rPr>
        <w:t>the Court</w:t>
      </w:r>
      <w:r w:rsidR="00BE5A0C" w:rsidRPr="00012C3F">
        <w:rPr>
          <w:rFonts w:eastAsia="MS Mincho"/>
          <w:sz w:val="20"/>
          <w:szCs w:val="20"/>
          <w:lang w:val="en-US"/>
        </w:rPr>
        <w:t xml:space="preserve"> </w:t>
      </w:r>
      <w:r w:rsidR="00657616" w:rsidRPr="00012C3F">
        <w:rPr>
          <w:rFonts w:eastAsia="MS Mincho"/>
          <w:sz w:val="20"/>
          <w:szCs w:val="20"/>
          <w:lang w:val="en-US"/>
        </w:rPr>
        <w:t xml:space="preserve">considers that these arguments, even though they were submitted in relation to the merits of the matters, refer to questions of admissibility and could be considered </w:t>
      </w:r>
      <w:r w:rsidR="008B4719" w:rsidRPr="00012C3F">
        <w:rPr>
          <w:rFonts w:eastAsia="MS Mincho"/>
          <w:sz w:val="20"/>
          <w:szCs w:val="20"/>
          <w:lang w:val="en-US"/>
        </w:rPr>
        <w:t>partially</w:t>
      </w:r>
      <w:r w:rsidR="00657616" w:rsidRPr="00012C3F">
        <w:rPr>
          <w:rFonts w:eastAsia="MS Mincho"/>
          <w:sz w:val="20"/>
          <w:szCs w:val="20"/>
          <w:lang w:val="en-US"/>
        </w:rPr>
        <w:t xml:space="preserve"> contradict</w:t>
      </w:r>
      <w:r w:rsidR="008B4719" w:rsidRPr="00012C3F">
        <w:rPr>
          <w:rFonts w:eastAsia="MS Mincho"/>
          <w:sz w:val="20"/>
          <w:szCs w:val="20"/>
          <w:lang w:val="en-US"/>
        </w:rPr>
        <w:t>ory</w:t>
      </w:r>
      <w:r w:rsidR="00657616" w:rsidRPr="00012C3F">
        <w:rPr>
          <w:rFonts w:eastAsia="MS Mincho"/>
          <w:sz w:val="20"/>
          <w:szCs w:val="20"/>
          <w:lang w:val="en-US"/>
        </w:rPr>
        <w:t xml:space="preserve"> to the objection of failure to exhaust domestic remedies filed by the State. Hence, they will not be taken into account, because their presentation was time-barred.</w:t>
      </w:r>
    </w:p>
    <w:p w14:paraId="1FB2B4A1" w14:textId="77777777" w:rsidR="00BE5A0C" w:rsidRPr="00012C3F" w:rsidRDefault="00BE5A0C" w:rsidP="00BE5A0C">
      <w:pPr>
        <w:tabs>
          <w:tab w:val="left" w:pos="567"/>
        </w:tabs>
        <w:spacing w:line="240" w:lineRule="auto"/>
        <w:rPr>
          <w:rFonts w:eastAsia="MS Mincho"/>
          <w:sz w:val="20"/>
          <w:szCs w:val="20"/>
          <w:lang w:val="en-US"/>
        </w:rPr>
      </w:pPr>
    </w:p>
    <w:p w14:paraId="25C8575C" w14:textId="77777777" w:rsidR="00502B43" w:rsidRPr="00012C3F" w:rsidRDefault="00657616" w:rsidP="00375A37">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t xml:space="preserve">In addition, </w:t>
      </w:r>
      <w:r w:rsidR="008B4719" w:rsidRPr="00012C3F">
        <w:rPr>
          <w:rFonts w:eastAsia="MS Mincho"/>
          <w:sz w:val="20"/>
          <w:szCs w:val="20"/>
          <w:lang w:val="en-US"/>
        </w:rPr>
        <w:t>regarding</w:t>
      </w:r>
      <w:r w:rsidRPr="00012C3F">
        <w:rPr>
          <w:rFonts w:eastAsia="MS Mincho"/>
          <w:sz w:val="20"/>
          <w:szCs w:val="20"/>
          <w:lang w:val="en-US"/>
        </w:rPr>
        <w:t xml:space="preserve"> the State’s arguments concerning the fourth instance, the Court finds it pertinent to recall that the international jurisdiction does not exercise the functions of a court of “fourth instance,” nor is it a higher court or a court of appeal to resolve disagreements </w:t>
      </w:r>
      <w:r w:rsidR="008B4719" w:rsidRPr="00012C3F">
        <w:rPr>
          <w:rFonts w:eastAsia="MS Mincho"/>
          <w:sz w:val="20"/>
          <w:szCs w:val="20"/>
          <w:lang w:val="en-US"/>
        </w:rPr>
        <w:t>between</w:t>
      </w:r>
      <w:r w:rsidRPr="00012C3F">
        <w:rPr>
          <w:rFonts w:eastAsia="MS Mincho"/>
          <w:sz w:val="20"/>
          <w:szCs w:val="20"/>
          <w:lang w:val="en-US"/>
        </w:rPr>
        <w:t xml:space="preserve"> the parties regarding </w:t>
      </w:r>
      <w:r w:rsidR="008B4719" w:rsidRPr="00012C3F">
        <w:rPr>
          <w:rFonts w:eastAsia="MS Mincho"/>
          <w:sz w:val="20"/>
          <w:szCs w:val="20"/>
          <w:lang w:val="en-US"/>
        </w:rPr>
        <w:t>aspects</w:t>
      </w:r>
      <w:r w:rsidRPr="00012C3F">
        <w:rPr>
          <w:rFonts w:eastAsia="MS Mincho"/>
          <w:sz w:val="20"/>
          <w:szCs w:val="20"/>
          <w:lang w:val="en-US"/>
        </w:rPr>
        <w:t xml:space="preserve"> of a</w:t>
      </w:r>
      <w:r w:rsidR="006C705C" w:rsidRPr="00012C3F">
        <w:rPr>
          <w:rFonts w:eastAsia="MS Mincho"/>
          <w:sz w:val="20"/>
          <w:szCs w:val="20"/>
          <w:lang w:val="en-US"/>
        </w:rPr>
        <w:t>ssessment of the evidence</w:t>
      </w:r>
      <w:r w:rsidR="00502B43" w:rsidRPr="00012C3F">
        <w:rPr>
          <w:rFonts w:eastAsia="MS Mincho"/>
          <w:sz w:val="20"/>
          <w:szCs w:val="20"/>
          <w:lang w:val="en-US"/>
        </w:rPr>
        <w:t xml:space="preserve"> o</w:t>
      </w:r>
      <w:r w:rsidRPr="00012C3F">
        <w:rPr>
          <w:rFonts w:eastAsia="MS Mincho"/>
          <w:sz w:val="20"/>
          <w:szCs w:val="20"/>
          <w:lang w:val="en-US"/>
        </w:rPr>
        <w:t xml:space="preserve">r application of domestic law on </w:t>
      </w:r>
      <w:r w:rsidR="008B4719" w:rsidRPr="00012C3F">
        <w:rPr>
          <w:rFonts w:eastAsia="MS Mincho"/>
          <w:sz w:val="20"/>
          <w:szCs w:val="20"/>
          <w:lang w:val="en-US"/>
        </w:rPr>
        <w:t xml:space="preserve">matters </w:t>
      </w:r>
      <w:r w:rsidRPr="00012C3F">
        <w:rPr>
          <w:rFonts w:eastAsia="MS Mincho"/>
          <w:sz w:val="20"/>
          <w:szCs w:val="20"/>
          <w:lang w:val="en-US"/>
        </w:rPr>
        <w:t>that are not directly related to compliance with international human rights obligations.</w:t>
      </w:r>
      <w:r w:rsidRPr="00012C3F">
        <w:rPr>
          <w:rFonts w:eastAsia="MS Mincho"/>
          <w:sz w:val="20"/>
          <w:szCs w:val="20"/>
          <w:vertAlign w:val="superscript"/>
          <w:lang w:val="en-US"/>
        </w:rPr>
        <w:footnoteReference w:id="364"/>
      </w:r>
      <w:r w:rsidRPr="00012C3F">
        <w:rPr>
          <w:rFonts w:eastAsia="MS Mincho"/>
          <w:sz w:val="20"/>
          <w:szCs w:val="20"/>
          <w:lang w:val="en-US"/>
        </w:rPr>
        <w:t xml:space="preserve"> On this point, it is pertinent to recall that the Court has stated that, </w:t>
      </w:r>
      <w:r w:rsidR="00E748EB" w:rsidRPr="00012C3F">
        <w:rPr>
          <w:rFonts w:eastAsia="MS Mincho"/>
          <w:sz w:val="20"/>
          <w:szCs w:val="20"/>
          <w:lang w:val="en-US"/>
        </w:rPr>
        <w:t xml:space="preserve">if </w:t>
      </w:r>
      <w:r w:rsidR="008B4719" w:rsidRPr="00012C3F">
        <w:rPr>
          <w:rFonts w:eastAsia="MS Mincho"/>
          <w:sz w:val="20"/>
          <w:szCs w:val="20"/>
          <w:lang w:val="en-US"/>
        </w:rPr>
        <w:t>the intention is for</w:t>
      </w:r>
      <w:r w:rsidR="00E748EB" w:rsidRPr="00012C3F">
        <w:rPr>
          <w:rFonts w:eastAsia="MS Mincho"/>
          <w:sz w:val="20"/>
          <w:szCs w:val="20"/>
          <w:lang w:val="en-US"/>
        </w:rPr>
        <w:t xml:space="preserve"> the Court to act as a higher court in relation to the scope of the evidence and of domestic law, this would </w:t>
      </w:r>
      <w:r w:rsidR="008B4719" w:rsidRPr="00012C3F">
        <w:rPr>
          <w:rFonts w:eastAsia="MS Mincho"/>
          <w:sz w:val="20"/>
          <w:szCs w:val="20"/>
          <w:lang w:val="en-US"/>
        </w:rPr>
        <w:t>involve</w:t>
      </w:r>
      <w:r w:rsidR="00E748EB" w:rsidRPr="00012C3F">
        <w:rPr>
          <w:rFonts w:eastAsia="MS Mincho"/>
          <w:sz w:val="20"/>
          <w:szCs w:val="20"/>
          <w:lang w:val="en-US"/>
        </w:rPr>
        <w:t xml:space="preserve"> submitting</w:t>
      </w:r>
      <w:r w:rsidR="008B4719" w:rsidRPr="00012C3F">
        <w:rPr>
          <w:rFonts w:eastAsia="MS Mincho"/>
          <w:sz w:val="20"/>
          <w:szCs w:val="20"/>
          <w:lang w:val="en-US"/>
        </w:rPr>
        <w:t xml:space="preserve"> to the Court</w:t>
      </w:r>
      <w:r w:rsidR="00E748EB" w:rsidRPr="00012C3F">
        <w:rPr>
          <w:rFonts w:eastAsia="MS Mincho"/>
          <w:sz w:val="20"/>
          <w:szCs w:val="20"/>
          <w:lang w:val="en-US"/>
        </w:rPr>
        <w:t xml:space="preserve"> a matter </w:t>
      </w:r>
      <w:r w:rsidR="008B4719" w:rsidRPr="00012C3F">
        <w:rPr>
          <w:rFonts w:eastAsia="MS Mincho"/>
          <w:sz w:val="20"/>
          <w:szCs w:val="20"/>
          <w:lang w:val="en-US"/>
        </w:rPr>
        <w:t>regarding</w:t>
      </w:r>
      <w:r w:rsidR="00E748EB" w:rsidRPr="00012C3F">
        <w:rPr>
          <w:rFonts w:eastAsia="MS Mincho"/>
          <w:sz w:val="20"/>
          <w:szCs w:val="20"/>
          <w:lang w:val="en-US"/>
        </w:rPr>
        <w:t xml:space="preserve"> which </w:t>
      </w:r>
      <w:r w:rsidR="008B4719" w:rsidRPr="00012C3F">
        <w:rPr>
          <w:rFonts w:eastAsia="MS Mincho"/>
          <w:sz w:val="20"/>
          <w:szCs w:val="20"/>
          <w:lang w:val="en-US"/>
        </w:rPr>
        <w:t xml:space="preserve">it </w:t>
      </w:r>
      <w:r w:rsidR="00E748EB" w:rsidRPr="00012C3F">
        <w:rPr>
          <w:rFonts w:eastAsia="MS Mincho"/>
          <w:sz w:val="20"/>
          <w:szCs w:val="20"/>
          <w:lang w:val="en-US"/>
        </w:rPr>
        <w:t>could not rule and does not have jurisdiction owing to the subsidiary competence of an international court. In this regard, the scope for the Inter-American Court to review a ruling of a domestic court relates to whether that decision  violated international treaties for which the Court has jurisdiction.</w:t>
      </w:r>
      <w:r w:rsidR="00502B43" w:rsidRPr="00012C3F">
        <w:rPr>
          <w:rFonts w:eastAsia="MS Mincho"/>
          <w:sz w:val="20"/>
          <w:szCs w:val="20"/>
          <w:vertAlign w:val="superscript"/>
          <w:lang w:val="en-US"/>
        </w:rPr>
        <w:footnoteReference w:id="365"/>
      </w:r>
      <w:r w:rsidR="00502B43" w:rsidRPr="00012C3F">
        <w:rPr>
          <w:rFonts w:eastAsia="MS Mincho"/>
          <w:sz w:val="20"/>
          <w:szCs w:val="20"/>
          <w:lang w:val="en-US"/>
        </w:rPr>
        <w:t xml:space="preserve"> </w:t>
      </w:r>
      <w:r w:rsidR="008B4719" w:rsidRPr="00012C3F">
        <w:rPr>
          <w:rFonts w:eastAsia="MS Mincho"/>
          <w:sz w:val="20"/>
          <w:szCs w:val="20"/>
          <w:lang w:val="en-US"/>
        </w:rPr>
        <w:t>If this is the case</w:t>
      </w:r>
      <w:r w:rsidR="00E748EB" w:rsidRPr="00012C3F">
        <w:rPr>
          <w:rFonts w:eastAsia="MS Mincho"/>
          <w:sz w:val="20"/>
          <w:szCs w:val="20"/>
          <w:lang w:val="en-US"/>
        </w:rPr>
        <w:t>, the determination of whether or not the actions of administrative or judicial organs constitute</w:t>
      </w:r>
      <w:r w:rsidR="008B4719" w:rsidRPr="00012C3F">
        <w:rPr>
          <w:rFonts w:eastAsia="MS Mincho"/>
          <w:sz w:val="20"/>
          <w:szCs w:val="20"/>
          <w:lang w:val="en-US"/>
        </w:rPr>
        <w:t>d</w:t>
      </w:r>
      <w:r w:rsidR="00E748EB" w:rsidRPr="00012C3F">
        <w:rPr>
          <w:rFonts w:eastAsia="MS Mincho"/>
          <w:sz w:val="20"/>
          <w:szCs w:val="20"/>
          <w:lang w:val="en-US"/>
        </w:rPr>
        <w:t xml:space="preserve"> a violation of the State’s international obligations may result in the Court having to examine the respective domestic proceedings to establish whether they were compatible with </w:t>
      </w:r>
      <w:r w:rsidR="001254DE" w:rsidRPr="00012C3F">
        <w:rPr>
          <w:rFonts w:eastAsia="MS Mincho"/>
          <w:sz w:val="20"/>
          <w:szCs w:val="20"/>
          <w:lang w:val="en-US"/>
        </w:rPr>
        <w:t>the American Convention</w:t>
      </w:r>
      <w:r w:rsidR="00E748EB" w:rsidRPr="00012C3F">
        <w:rPr>
          <w:rFonts w:eastAsia="MS Mincho"/>
          <w:sz w:val="20"/>
          <w:szCs w:val="20"/>
          <w:lang w:val="en-US"/>
        </w:rPr>
        <w:t>.</w:t>
      </w:r>
      <w:r w:rsidR="00502B43" w:rsidRPr="00012C3F">
        <w:rPr>
          <w:rFonts w:eastAsia="MS Mincho"/>
          <w:sz w:val="20"/>
          <w:szCs w:val="20"/>
          <w:vertAlign w:val="superscript"/>
          <w:lang w:val="en-US"/>
        </w:rPr>
        <w:footnoteReference w:id="366"/>
      </w:r>
    </w:p>
    <w:p w14:paraId="11CC3A38" w14:textId="77777777" w:rsidR="00E748EB" w:rsidRPr="00012C3F" w:rsidRDefault="00E748EB" w:rsidP="00E748EB">
      <w:pPr>
        <w:tabs>
          <w:tab w:val="left" w:pos="720"/>
        </w:tabs>
        <w:spacing w:line="240" w:lineRule="auto"/>
        <w:rPr>
          <w:rFonts w:eastAsia="MS Mincho"/>
          <w:sz w:val="20"/>
          <w:szCs w:val="20"/>
          <w:lang w:val="en-US"/>
        </w:rPr>
      </w:pPr>
    </w:p>
    <w:p w14:paraId="62E228FE" w14:textId="77777777" w:rsidR="00107455" w:rsidRPr="00012C3F" w:rsidRDefault="001254DE" w:rsidP="00DF3CCC">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t>The Court</w:t>
      </w:r>
      <w:r w:rsidR="00AA380D" w:rsidRPr="00012C3F">
        <w:rPr>
          <w:rFonts w:eastAsia="MS Mincho"/>
          <w:sz w:val="20"/>
          <w:szCs w:val="20"/>
          <w:lang w:val="en-US"/>
        </w:rPr>
        <w:t xml:space="preserve"> rec</w:t>
      </w:r>
      <w:r w:rsidR="00E748EB" w:rsidRPr="00012C3F">
        <w:rPr>
          <w:rFonts w:eastAsia="MS Mincho"/>
          <w:sz w:val="20"/>
          <w:szCs w:val="20"/>
          <w:lang w:val="en-US"/>
        </w:rPr>
        <w:t>alls that, regarding the</w:t>
      </w:r>
      <w:r w:rsidR="00DF3CCC" w:rsidRPr="00012C3F">
        <w:rPr>
          <w:rFonts w:eastAsia="MS Mincho"/>
          <w:sz w:val="20"/>
          <w:szCs w:val="20"/>
          <w:lang w:val="en-US"/>
        </w:rPr>
        <w:t xml:space="preserve"> </w:t>
      </w:r>
      <w:r w:rsidR="00E748EB" w:rsidRPr="00012C3F">
        <w:rPr>
          <w:rFonts w:eastAsia="MS Mincho"/>
          <w:sz w:val="20"/>
          <w:szCs w:val="20"/>
          <w:lang w:val="en-US"/>
        </w:rPr>
        <w:t>facts of this case, three audits were conducted</w:t>
      </w:r>
      <w:r w:rsidR="00DF3CCC" w:rsidRPr="00012C3F">
        <w:rPr>
          <w:rFonts w:eastAsia="MS Mincho"/>
          <w:sz w:val="20"/>
          <w:szCs w:val="20"/>
          <w:lang w:val="en-US"/>
        </w:rPr>
        <w:t>;</w:t>
      </w:r>
      <w:r w:rsidR="00E748EB" w:rsidRPr="00012C3F">
        <w:rPr>
          <w:rFonts w:eastAsia="MS Mincho"/>
          <w:sz w:val="20"/>
          <w:szCs w:val="20"/>
          <w:lang w:val="en-US"/>
        </w:rPr>
        <w:t xml:space="preserve"> </w:t>
      </w:r>
      <w:r w:rsidR="008379AC" w:rsidRPr="00012C3F">
        <w:rPr>
          <w:rFonts w:eastAsia="MS Mincho"/>
          <w:sz w:val="20"/>
          <w:szCs w:val="20"/>
          <w:lang w:val="en-US"/>
        </w:rPr>
        <w:t xml:space="preserve">the Ethics </w:t>
      </w:r>
      <w:r w:rsidR="00F36FE0" w:rsidRPr="00012C3F">
        <w:rPr>
          <w:rFonts w:eastAsia="MS Mincho"/>
          <w:sz w:val="20"/>
          <w:szCs w:val="20"/>
          <w:lang w:val="en-US"/>
        </w:rPr>
        <w:t>Tribunal of the La</w:t>
      </w:r>
      <w:r w:rsidR="008379AC" w:rsidRPr="00012C3F">
        <w:rPr>
          <w:rFonts w:eastAsia="MS Mincho"/>
          <w:sz w:val="20"/>
          <w:szCs w:val="20"/>
          <w:lang w:val="en-US"/>
        </w:rPr>
        <w:t xml:space="preserve"> Paz Departmental </w:t>
      </w:r>
      <w:r w:rsidR="00164743" w:rsidRPr="00012C3F">
        <w:rPr>
          <w:rFonts w:eastAsia="MS Mincho"/>
          <w:sz w:val="20"/>
          <w:szCs w:val="20"/>
          <w:lang w:val="en-US"/>
        </w:rPr>
        <w:t>Medical Association</w:t>
      </w:r>
      <w:r w:rsidR="00DF3CCC" w:rsidRPr="00012C3F">
        <w:rPr>
          <w:rFonts w:eastAsia="MS Mincho"/>
          <w:sz w:val="20"/>
          <w:szCs w:val="20"/>
          <w:lang w:val="en-US"/>
        </w:rPr>
        <w:t xml:space="preserve"> issued a ruling;</w:t>
      </w:r>
      <w:r w:rsidR="00AA380D" w:rsidRPr="00012C3F">
        <w:rPr>
          <w:rFonts w:eastAsia="MS Mincho"/>
          <w:sz w:val="20"/>
          <w:szCs w:val="20"/>
          <w:lang w:val="en-US"/>
        </w:rPr>
        <w:t xml:space="preserve"> </w:t>
      </w:r>
      <w:r w:rsidR="00DF3CCC" w:rsidRPr="00012C3F">
        <w:rPr>
          <w:rFonts w:eastAsia="MS Mincho"/>
          <w:sz w:val="20"/>
          <w:szCs w:val="20"/>
          <w:lang w:val="en-US"/>
        </w:rPr>
        <w:t xml:space="preserve">an administrative proceeding was conducted before </w:t>
      </w:r>
      <w:r w:rsidR="00833C77" w:rsidRPr="00012C3F">
        <w:rPr>
          <w:rFonts w:eastAsia="MS Mincho"/>
          <w:sz w:val="20"/>
          <w:szCs w:val="20"/>
          <w:lang w:val="en-US"/>
        </w:rPr>
        <w:t>the Legal Advisory Services Unit</w:t>
      </w:r>
      <w:r w:rsidR="00AA380D" w:rsidRPr="00012C3F">
        <w:rPr>
          <w:sz w:val="20"/>
          <w:szCs w:val="20"/>
          <w:lang w:val="en-US"/>
        </w:rPr>
        <w:t xml:space="preserve"> </w:t>
      </w:r>
      <w:r w:rsidR="00833C77" w:rsidRPr="00012C3F">
        <w:rPr>
          <w:sz w:val="20"/>
          <w:szCs w:val="20"/>
          <w:lang w:val="en-US"/>
        </w:rPr>
        <w:t>of the La Paz Departmental Health Service</w:t>
      </w:r>
      <w:r w:rsidR="005E5012" w:rsidRPr="00012C3F">
        <w:rPr>
          <w:rFonts w:eastAsia="MS Mincho"/>
          <w:sz w:val="20"/>
          <w:szCs w:val="20"/>
          <w:lang w:val="en-US"/>
        </w:rPr>
        <w:t xml:space="preserve"> and </w:t>
      </w:r>
      <w:r w:rsidR="00DF3CCC" w:rsidRPr="00012C3F">
        <w:rPr>
          <w:rFonts w:eastAsia="MS Mincho"/>
          <w:sz w:val="20"/>
          <w:szCs w:val="20"/>
          <w:lang w:val="en-US"/>
        </w:rPr>
        <w:t>also</w:t>
      </w:r>
      <w:r w:rsidR="00AA380D" w:rsidRPr="00012C3F">
        <w:rPr>
          <w:rFonts w:eastAsia="MS Mincho"/>
          <w:sz w:val="20"/>
          <w:szCs w:val="20"/>
          <w:lang w:val="en-US"/>
        </w:rPr>
        <w:t xml:space="preserve"> </w:t>
      </w:r>
      <w:r w:rsidR="00DF3CCC" w:rsidRPr="00012C3F">
        <w:rPr>
          <w:rFonts w:eastAsia="MS Mincho"/>
          <w:sz w:val="20"/>
          <w:szCs w:val="20"/>
          <w:lang w:val="en-US"/>
        </w:rPr>
        <w:t>c</w:t>
      </w:r>
      <w:r w:rsidR="006C705C" w:rsidRPr="00012C3F">
        <w:rPr>
          <w:rFonts w:eastAsia="MS Mincho"/>
          <w:sz w:val="20"/>
          <w:szCs w:val="20"/>
          <w:lang w:val="en-US"/>
        </w:rPr>
        <w:t>riminal proceedings</w:t>
      </w:r>
      <w:r w:rsidR="00AA380D" w:rsidRPr="00012C3F">
        <w:rPr>
          <w:rFonts w:eastAsia="MS Mincho"/>
          <w:sz w:val="20"/>
          <w:szCs w:val="20"/>
          <w:lang w:val="en-US"/>
        </w:rPr>
        <w:t xml:space="preserve"> </w:t>
      </w:r>
      <w:r w:rsidR="00DF3CCC" w:rsidRPr="00012C3F">
        <w:rPr>
          <w:rFonts w:eastAsia="MS Mincho"/>
          <w:sz w:val="20"/>
          <w:szCs w:val="20"/>
          <w:lang w:val="en-US"/>
        </w:rPr>
        <w:t>for the offense of injuries that ended with the extinction of the criminal action</w:t>
      </w:r>
      <w:r w:rsidR="00F57C5C" w:rsidRPr="00012C3F">
        <w:rPr>
          <w:rFonts w:eastAsia="MS Mincho"/>
          <w:sz w:val="20"/>
          <w:szCs w:val="20"/>
          <w:lang w:val="en-US"/>
        </w:rPr>
        <w:t xml:space="preserve"> (</w:t>
      </w:r>
      <w:r w:rsidR="00F57C5C" w:rsidRPr="00012C3F">
        <w:rPr>
          <w:rFonts w:eastAsia="MS Mincho"/>
          <w:i/>
          <w:sz w:val="20"/>
          <w:szCs w:val="20"/>
          <w:lang w:val="en-US"/>
        </w:rPr>
        <w:t>supra</w:t>
      </w:r>
      <w:r w:rsidR="00F57C5C" w:rsidRPr="00012C3F">
        <w:rPr>
          <w:rFonts w:eastAsia="MS Mincho"/>
          <w:sz w:val="20"/>
          <w:szCs w:val="20"/>
          <w:lang w:val="en-US"/>
        </w:rPr>
        <w:t xml:space="preserve"> </w:t>
      </w:r>
      <w:r w:rsidR="00370DD4" w:rsidRPr="00012C3F">
        <w:rPr>
          <w:rFonts w:eastAsia="MS Mincho"/>
          <w:sz w:val="20"/>
          <w:szCs w:val="20"/>
          <w:lang w:val="en-US"/>
        </w:rPr>
        <w:t>paras.</w:t>
      </w:r>
      <w:r w:rsidR="00F57C5C" w:rsidRPr="00012C3F">
        <w:rPr>
          <w:rFonts w:eastAsia="MS Mincho"/>
          <w:sz w:val="20"/>
          <w:szCs w:val="20"/>
          <w:lang w:val="en-US"/>
        </w:rPr>
        <w:t xml:space="preserve"> </w:t>
      </w:r>
      <w:r w:rsidR="00CD5C6F" w:rsidRPr="00012C3F">
        <w:rPr>
          <w:rFonts w:eastAsia="MS Mincho"/>
          <w:sz w:val="20"/>
          <w:szCs w:val="20"/>
          <w:lang w:val="en-US"/>
        </w:rPr>
        <w:t>72</w:t>
      </w:r>
      <w:r w:rsidR="00D06231" w:rsidRPr="00012C3F">
        <w:rPr>
          <w:rFonts w:eastAsia="MS Mincho"/>
          <w:sz w:val="20"/>
          <w:szCs w:val="20"/>
          <w:lang w:val="en-US"/>
        </w:rPr>
        <w:t xml:space="preserve"> </w:t>
      </w:r>
      <w:r w:rsidR="00DF3CCC" w:rsidRPr="00012C3F">
        <w:rPr>
          <w:rFonts w:eastAsia="MS Mincho"/>
          <w:sz w:val="20"/>
          <w:szCs w:val="20"/>
          <w:lang w:val="en-US"/>
        </w:rPr>
        <w:t>to</w:t>
      </w:r>
      <w:r w:rsidR="00D06231" w:rsidRPr="00012C3F">
        <w:rPr>
          <w:rFonts w:eastAsia="MS Mincho"/>
          <w:sz w:val="20"/>
          <w:szCs w:val="20"/>
          <w:lang w:val="en-US"/>
        </w:rPr>
        <w:t xml:space="preserve"> 113</w:t>
      </w:r>
      <w:r w:rsidR="00F57C5C" w:rsidRPr="00012C3F">
        <w:rPr>
          <w:rFonts w:eastAsia="MS Mincho"/>
          <w:sz w:val="20"/>
          <w:szCs w:val="20"/>
          <w:lang w:val="en-US"/>
        </w:rPr>
        <w:t>)</w:t>
      </w:r>
      <w:r w:rsidR="00AA380D" w:rsidRPr="00012C3F">
        <w:rPr>
          <w:rFonts w:eastAsia="MS Mincho"/>
          <w:sz w:val="20"/>
          <w:szCs w:val="20"/>
          <w:lang w:val="en-US"/>
        </w:rPr>
        <w:t xml:space="preserve">. </w:t>
      </w:r>
      <w:r w:rsidR="00DF3CCC" w:rsidRPr="00012C3F">
        <w:rPr>
          <w:rFonts w:eastAsia="MS Mincho"/>
          <w:sz w:val="20"/>
          <w:szCs w:val="20"/>
          <w:lang w:val="en-US"/>
        </w:rPr>
        <w:t xml:space="preserve">Despite the different </w:t>
      </w:r>
      <w:r w:rsidR="008B4719" w:rsidRPr="00012C3F">
        <w:rPr>
          <w:rFonts w:eastAsia="MS Mincho"/>
          <w:sz w:val="20"/>
          <w:szCs w:val="20"/>
          <w:lang w:val="en-US"/>
        </w:rPr>
        <w:t>measures</w:t>
      </w:r>
      <w:r w:rsidR="00DF3CCC" w:rsidRPr="00012C3F">
        <w:rPr>
          <w:rFonts w:eastAsia="MS Mincho"/>
          <w:sz w:val="20"/>
          <w:szCs w:val="20"/>
          <w:lang w:val="en-US"/>
        </w:rPr>
        <w:t xml:space="preserve"> taken by the State as a result of I.V.’s complaints, no one has been declared responsible, in either the disciplinary, administrative or criminal processes, for the non-</w:t>
      </w:r>
      <w:r w:rsidR="00271E24" w:rsidRPr="00012C3F">
        <w:rPr>
          <w:rFonts w:eastAsia="MS Mincho"/>
          <w:sz w:val="20"/>
          <w:szCs w:val="20"/>
          <w:lang w:val="en-US"/>
        </w:rPr>
        <w:t>consensual sterilization</w:t>
      </w:r>
      <w:r w:rsidR="00107455" w:rsidRPr="00012C3F">
        <w:rPr>
          <w:rFonts w:eastAsia="MS Mincho"/>
          <w:sz w:val="20"/>
          <w:szCs w:val="20"/>
          <w:lang w:val="en-US"/>
        </w:rPr>
        <w:t xml:space="preserve"> </w:t>
      </w:r>
      <w:r w:rsidR="00DF3CCC" w:rsidRPr="00012C3F">
        <w:rPr>
          <w:rFonts w:eastAsia="MS Mincho"/>
          <w:sz w:val="20"/>
          <w:szCs w:val="20"/>
          <w:lang w:val="en-US"/>
        </w:rPr>
        <w:t xml:space="preserve">to </w:t>
      </w:r>
      <w:r w:rsidR="009D3EE9" w:rsidRPr="00012C3F">
        <w:rPr>
          <w:rFonts w:eastAsia="MS Mincho"/>
          <w:sz w:val="20"/>
          <w:szCs w:val="20"/>
          <w:lang w:val="en-US"/>
        </w:rPr>
        <w:t>which</w:t>
      </w:r>
      <w:r w:rsidR="00DF3CCC" w:rsidRPr="00012C3F">
        <w:rPr>
          <w:rFonts w:eastAsia="MS Mincho"/>
          <w:sz w:val="20"/>
          <w:szCs w:val="20"/>
          <w:lang w:val="en-US"/>
        </w:rPr>
        <w:t xml:space="preserve"> I.V. was subjected, and she has not received civil reparation owing to the decision that extinguished the criminal action</w:t>
      </w:r>
      <w:r w:rsidR="00107455" w:rsidRPr="00012C3F">
        <w:rPr>
          <w:rFonts w:eastAsia="MS Mincho"/>
          <w:sz w:val="20"/>
          <w:szCs w:val="20"/>
          <w:lang w:val="en-US"/>
        </w:rPr>
        <w:t>.</w:t>
      </w:r>
    </w:p>
    <w:p w14:paraId="194B9063" w14:textId="77777777" w:rsidR="00107455" w:rsidRPr="00012C3F" w:rsidRDefault="00107455" w:rsidP="00107455">
      <w:pPr>
        <w:tabs>
          <w:tab w:val="left" w:pos="720"/>
        </w:tabs>
        <w:spacing w:line="240" w:lineRule="auto"/>
        <w:rPr>
          <w:rFonts w:eastAsia="MS Mincho"/>
          <w:sz w:val="20"/>
          <w:szCs w:val="20"/>
          <w:lang w:val="en-US"/>
        </w:rPr>
      </w:pPr>
    </w:p>
    <w:p w14:paraId="02EEDFF7" w14:textId="77777777" w:rsidR="00921596" w:rsidRPr="00012C3F" w:rsidRDefault="001254DE" w:rsidP="00B357BB">
      <w:pPr>
        <w:numPr>
          <w:ilvl w:val="0"/>
          <w:numId w:val="5"/>
        </w:numPr>
        <w:tabs>
          <w:tab w:val="left" w:pos="567"/>
          <w:tab w:val="num" w:pos="12305"/>
        </w:tabs>
        <w:spacing w:line="240" w:lineRule="auto"/>
        <w:ind w:left="0" w:firstLine="0"/>
        <w:rPr>
          <w:rFonts w:eastAsia="MS Mincho"/>
          <w:sz w:val="20"/>
          <w:szCs w:val="20"/>
          <w:lang w:val="en-US"/>
        </w:rPr>
      </w:pPr>
      <w:r w:rsidRPr="00012C3F">
        <w:rPr>
          <w:rFonts w:eastAsia="MS Mincho"/>
          <w:sz w:val="20"/>
          <w:szCs w:val="20"/>
          <w:lang w:val="en-US"/>
        </w:rPr>
        <w:t>The Court</w:t>
      </w:r>
      <w:r w:rsidR="00640E30" w:rsidRPr="00012C3F">
        <w:rPr>
          <w:rFonts w:eastAsia="MS Mincho"/>
          <w:sz w:val="20"/>
          <w:szCs w:val="20"/>
          <w:lang w:val="en-US"/>
        </w:rPr>
        <w:t xml:space="preserve"> not</w:t>
      </w:r>
      <w:r w:rsidR="00DF3CCC" w:rsidRPr="00012C3F">
        <w:rPr>
          <w:rFonts w:eastAsia="MS Mincho"/>
          <w:sz w:val="20"/>
          <w:szCs w:val="20"/>
          <w:lang w:val="en-US"/>
        </w:rPr>
        <w:t>es that, based on this factual framework, the arguments concerning</w:t>
      </w:r>
      <w:r w:rsidR="00640E30" w:rsidRPr="00012C3F">
        <w:rPr>
          <w:rFonts w:eastAsia="MS Mincho"/>
          <w:sz w:val="20"/>
          <w:szCs w:val="20"/>
          <w:lang w:val="en-US"/>
        </w:rPr>
        <w:t xml:space="preserve"> </w:t>
      </w:r>
      <w:r w:rsidRPr="00012C3F">
        <w:rPr>
          <w:rFonts w:eastAsia="MS Mincho"/>
          <w:sz w:val="20"/>
          <w:szCs w:val="20"/>
          <w:lang w:val="en-US"/>
        </w:rPr>
        <w:t>Articles</w:t>
      </w:r>
      <w:r w:rsidR="00640E30" w:rsidRPr="00012C3F">
        <w:rPr>
          <w:rFonts w:eastAsia="MS Mincho"/>
          <w:sz w:val="20"/>
          <w:szCs w:val="20"/>
          <w:lang w:val="en-US"/>
        </w:rPr>
        <w:t xml:space="preserve"> </w:t>
      </w:r>
      <w:r w:rsidR="005E5012" w:rsidRPr="00012C3F">
        <w:rPr>
          <w:rFonts w:eastAsia="MS Mincho"/>
          <w:sz w:val="20"/>
          <w:szCs w:val="20"/>
          <w:lang w:val="en-US"/>
        </w:rPr>
        <w:t xml:space="preserve">8(1) and </w:t>
      </w:r>
      <w:r w:rsidR="00640E30" w:rsidRPr="00012C3F">
        <w:rPr>
          <w:rFonts w:eastAsia="MS Mincho"/>
          <w:sz w:val="20"/>
          <w:szCs w:val="20"/>
          <w:lang w:val="en-US"/>
        </w:rPr>
        <w:t>2</w:t>
      </w:r>
      <w:r w:rsidR="005E5012" w:rsidRPr="00012C3F">
        <w:rPr>
          <w:rFonts w:eastAsia="MS Mincho"/>
          <w:sz w:val="20"/>
          <w:szCs w:val="20"/>
          <w:lang w:val="en-US"/>
        </w:rPr>
        <w:t>5(1)</w:t>
      </w:r>
      <w:r w:rsidR="00640E30" w:rsidRPr="00012C3F">
        <w:rPr>
          <w:rFonts w:eastAsia="MS Mincho"/>
          <w:sz w:val="20"/>
          <w:szCs w:val="20"/>
          <w:lang w:val="en-US"/>
        </w:rPr>
        <w:t xml:space="preserve"> </w:t>
      </w:r>
      <w:r w:rsidR="00DF3CCC" w:rsidRPr="00012C3F">
        <w:rPr>
          <w:rFonts w:eastAsia="MS Mincho"/>
          <w:sz w:val="20"/>
          <w:szCs w:val="20"/>
          <w:lang w:val="en-US"/>
        </w:rPr>
        <w:t>were centered on the c</w:t>
      </w:r>
      <w:r w:rsidR="006C705C" w:rsidRPr="00012C3F">
        <w:rPr>
          <w:rFonts w:eastAsia="MS Mincho"/>
          <w:sz w:val="20"/>
          <w:szCs w:val="20"/>
          <w:lang w:val="en-US"/>
        </w:rPr>
        <w:t>riminal proceedings</w:t>
      </w:r>
      <w:r w:rsidR="00640E30" w:rsidRPr="00012C3F">
        <w:rPr>
          <w:rFonts w:eastAsia="MS Mincho"/>
          <w:sz w:val="20"/>
          <w:szCs w:val="20"/>
          <w:lang w:val="en-US"/>
        </w:rPr>
        <w:t xml:space="preserve">. </w:t>
      </w:r>
      <w:r w:rsidR="00DF3CCC" w:rsidRPr="00012C3F">
        <w:rPr>
          <w:rFonts w:eastAsia="MS Mincho"/>
          <w:sz w:val="20"/>
          <w:szCs w:val="20"/>
          <w:lang w:val="en-US"/>
        </w:rPr>
        <w:t>In their main briefs, t</w:t>
      </w:r>
      <w:r w:rsidR="00BD056C" w:rsidRPr="00012C3F">
        <w:rPr>
          <w:rFonts w:eastAsia="MS Mincho"/>
          <w:sz w:val="20"/>
          <w:szCs w:val="20"/>
          <w:lang w:val="en-US"/>
        </w:rPr>
        <w:t>he Commission</w:t>
      </w:r>
      <w:r w:rsidR="005E5012" w:rsidRPr="00012C3F">
        <w:rPr>
          <w:rFonts w:eastAsia="MS Mincho"/>
          <w:sz w:val="20"/>
          <w:szCs w:val="20"/>
          <w:lang w:val="en-US"/>
        </w:rPr>
        <w:t xml:space="preserve"> and </w:t>
      </w:r>
      <w:r w:rsidR="00972ACF" w:rsidRPr="00012C3F">
        <w:rPr>
          <w:rFonts w:eastAsia="MS Mincho"/>
          <w:sz w:val="20"/>
          <w:szCs w:val="20"/>
          <w:lang w:val="en-US"/>
        </w:rPr>
        <w:t>the representative</w:t>
      </w:r>
      <w:r w:rsidR="00502B43" w:rsidRPr="00012C3F">
        <w:rPr>
          <w:rFonts w:eastAsia="MS Mincho"/>
          <w:sz w:val="20"/>
          <w:szCs w:val="20"/>
          <w:lang w:val="en-US"/>
        </w:rPr>
        <w:t xml:space="preserve"> argu</w:t>
      </w:r>
      <w:r w:rsidR="00DF3CCC" w:rsidRPr="00012C3F">
        <w:rPr>
          <w:rFonts w:eastAsia="MS Mincho"/>
          <w:sz w:val="20"/>
          <w:szCs w:val="20"/>
          <w:lang w:val="en-US"/>
        </w:rPr>
        <w:t>ed that the c</w:t>
      </w:r>
      <w:r w:rsidR="006C705C" w:rsidRPr="00012C3F">
        <w:rPr>
          <w:rFonts w:eastAsia="MS Mincho"/>
          <w:sz w:val="20"/>
          <w:szCs w:val="20"/>
          <w:lang w:val="en-US"/>
        </w:rPr>
        <w:t>riminal proceedings</w:t>
      </w:r>
      <w:r w:rsidR="00A34109" w:rsidRPr="00012C3F">
        <w:rPr>
          <w:rFonts w:eastAsia="MS Mincho"/>
          <w:sz w:val="20"/>
          <w:szCs w:val="20"/>
          <w:lang w:val="en-US"/>
        </w:rPr>
        <w:t xml:space="preserve"> </w:t>
      </w:r>
      <w:r w:rsidR="00DF3CCC" w:rsidRPr="00012C3F">
        <w:rPr>
          <w:rFonts w:eastAsia="MS Mincho"/>
          <w:sz w:val="20"/>
          <w:szCs w:val="20"/>
          <w:lang w:val="en-US"/>
        </w:rPr>
        <w:t>filed owing to the complaints made by I.V. constituted a denial of justice pursuant to</w:t>
      </w:r>
      <w:r w:rsidRPr="00012C3F">
        <w:rPr>
          <w:rFonts w:eastAsia="MS Mincho"/>
          <w:sz w:val="20"/>
          <w:szCs w:val="20"/>
          <w:lang w:val="en-US"/>
        </w:rPr>
        <w:t xml:space="preserve"> the American Convention</w:t>
      </w:r>
      <w:r w:rsidR="00502B43" w:rsidRPr="00012C3F">
        <w:rPr>
          <w:rFonts w:eastAsia="MS Mincho"/>
          <w:sz w:val="20"/>
          <w:szCs w:val="20"/>
          <w:lang w:val="en-US"/>
        </w:rPr>
        <w:t xml:space="preserve">, </w:t>
      </w:r>
      <w:r w:rsidR="00DF3CCC" w:rsidRPr="00012C3F">
        <w:rPr>
          <w:rFonts w:eastAsia="MS Mincho"/>
          <w:sz w:val="20"/>
          <w:szCs w:val="20"/>
          <w:lang w:val="en-US"/>
        </w:rPr>
        <w:t xml:space="preserve">because they were not conducted with due diligence and because a series of irregularities existed that </w:t>
      </w:r>
      <w:r w:rsidR="00B357BB" w:rsidRPr="00012C3F">
        <w:rPr>
          <w:rFonts w:eastAsia="MS Mincho"/>
          <w:sz w:val="20"/>
          <w:szCs w:val="20"/>
          <w:lang w:val="en-US"/>
        </w:rPr>
        <w:t xml:space="preserve">resulted in their culmination without a decision on the merits in application of the extinction of the criminal action, </w:t>
      </w:r>
      <w:r w:rsidR="00B357BB" w:rsidRPr="00012C3F">
        <w:rPr>
          <w:rFonts w:eastAsia="MS Mincho"/>
          <w:sz w:val="20"/>
          <w:szCs w:val="20"/>
          <w:lang w:val="en-US"/>
        </w:rPr>
        <w:lastRenderedPageBreak/>
        <w:t>four years after the proceedings had been initiated.</w:t>
      </w:r>
      <w:r w:rsidR="00E91CF7" w:rsidRPr="00012C3F">
        <w:rPr>
          <w:rFonts w:eastAsia="MS Mincho"/>
          <w:sz w:val="20"/>
          <w:szCs w:val="20"/>
          <w:lang w:val="en-US"/>
        </w:rPr>
        <w:t xml:space="preserve"> However, at a later stage, the State included arguments aimed at proving the effectiveness of the administrative proceeding conducted in this case. Accordingly, the Commission, in its final observations, also referred to the effectiveness of the administrative proceeding. Consequently, the Court finds it opportune, before examining the State’s actions in the context of the criminal proceedings in light of the arguments of the parties concerning the alleged violations of the Convention, to begin by including some brief general considerations on </w:t>
      </w:r>
      <w:r w:rsidR="00A710F6" w:rsidRPr="00012C3F">
        <w:rPr>
          <w:rFonts w:eastAsia="MS Mincho"/>
          <w:sz w:val="20"/>
          <w:szCs w:val="20"/>
          <w:lang w:val="en-US"/>
        </w:rPr>
        <w:t xml:space="preserve">access to </w:t>
      </w:r>
      <w:r w:rsidR="008B4719" w:rsidRPr="00012C3F">
        <w:rPr>
          <w:rFonts w:eastAsia="MS Mincho"/>
          <w:sz w:val="20"/>
          <w:szCs w:val="20"/>
          <w:lang w:val="en-US"/>
        </w:rPr>
        <w:t>justice in cases of violation of</w:t>
      </w:r>
      <w:r w:rsidR="00DF5BD3" w:rsidRPr="00012C3F">
        <w:rPr>
          <w:rFonts w:eastAsia="MS Mincho"/>
          <w:sz w:val="20"/>
          <w:szCs w:val="20"/>
          <w:lang w:val="en-US"/>
        </w:rPr>
        <w:t xml:space="preserve"> </w:t>
      </w:r>
      <w:r w:rsidR="00A710F6" w:rsidRPr="00012C3F">
        <w:rPr>
          <w:rFonts w:eastAsia="MS Mincho"/>
          <w:sz w:val="20"/>
          <w:szCs w:val="20"/>
          <w:lang w:val="en-US"/>
        </w:rPr>
        <w:t>sexual and reproductive rights</w:t>
      </w:r>
      <w:r w:rsidR="00A809A6" w:rsidRPr="00012C3F">
        <w:rPr>
          <w:rFonts w:eastAsia="MS Mincho"/>
          <w:sz w:val="20"/>
          <w:szCs w:val="20"/>
          <w:lang w:val="en-US"/>
        </w:rPr>
        <w:t>.</w:t>
      </w:r>
      <w:r w:rsidR="00523226" w:rsidRPr="00012C3F">
        <w:rPr>
          <w:rFonts w:eastAsia="MS Mincho"/>
          <w:sz w:val="20"/>
          <w:szCs w:val="20"/>
          <w:lang w:val="en-US"/>
        </w:rPr>
        <w:t xml:space="preserve"> </w:t>
      </w:r>
      <w:r w:rsidR="00E91CF7" w:rsidRPr="00012C3F">
        <w:rPr>
          <w:rFonts w:eastAsia="MS Mincho"/>
          <w:sz w:val="20"/>
          <w:szCs w:val="20"/>
          <w:lang w:val="en-US"/>
        </w:rPr>
        <w:t>However,</w:t>
      </w:r>
      <w:r w:rsidR="00523226" w:rsidRPr="00012C3F">
        <w:rPr>
          <w:rFonts w:eastAsia="MS Mincho"/>
          <w:sz w:val="20"/>
          <w:szCs w:val="20"/>
          <w:lang w:val="en-US"/>
        </w:rPr>
        <w:t xml:space="preserve"> </w:t>
      </w:r>
      <w:r w:rsidRPr="00012C3F">
        <w:rPr>
          <w:rFonts w:eastAsia="MS Mincho"/>
          <w:sz w:val="20"/>
          <w:szCs w:val="20"/>
          <w:lang w:val="en-US"/>
        </w:rPr>
        <w:t>the Court</w:t>
      </w:r>
      <w:r w:rsidR="00523226" w:rsidRPr="00012C3F">
        <w:rPr>
          <w:rFonts w:eastAsia="MS Mincho"/>
          <w:sz w:val="20"/>
          <w:szCs w:val="20"/>
          <w:lang w:val="en-US"/>
        </w:rPr>
        <w:t xml:space="preserve"> </w:t>
      </w:r>
      <w:r w:rsidR="00E91CF7" w:rsidRPr="00012C3F">
        <w:rPr>
          <w:rFonts w:eastAsia="MS Mincho"/>
          <w:sz w:val="20"/>
          <w:szCs w:val="20"/>
          <w:lang w:val="en-US"/>
        </w:rPr>
        <w:t>will not rule on possible violations in the context of the a</w:t>
      </w:r>
      <w:r w:rsidR="0099356C" w:rsidRPr="00012C3F">
        <w:rPr>
          <w:rFonts w:eastAsia="MS Mincho"/>
          <w:sz w:val="20"/>
          <w:szCs w:val="20"/>
          <w:lang w:val="en-US"/>
        </w:rPr>
        <w:t>dministrative proceeding</w:t>
      </w:r>
      <w:r w:rsidR="00E91CF7" w:rsidRPr="00012C3F">
        <w:rPr>
          <w:rFonts w:eastAsia="MS Mincho"/>
          <w:sz w:val="20"/>
          <w:szCs w:val="20"/>
          <w:lang w:val="en-US"/>
        </w:rPr>
        <w:t xml:space="preserve">, because no specific arguments have been presented relating to a violation of </w:t>
      </w:r>
      <w:r w:rsidRPr="00012C3F">
        <w:rPr>
          <w:rFonts w:eastAsia="MS Mincho"/>
          <w:sz w:val="20"/>
          <w:szCs w:val="20"/>
          <w:lang w:val="en-US"/>
        </w:rPr>
        <w:t>Articles</w:t>
      </w:r>
      <w:r w:rsidR="00523226" w:rsidRPr="00012C3F">
        <w:rPr>
          <w:rFonts w:eastAsia="MS Mincho"/>
          <w:sz w:val="20"/>
          <w:szCs w:val="20"/>
          <w:lang w:val="en-US"/>
        </w:rPr>
        <w:t xml:space="preserve"> 8</w:t>
      </w:r>
      <w:r w:rsidR="005E5012" w:rsidRPr="00012C3F">
        <w:rPr>
          <w:rFonts w:eastAsia="MS Mincho"/>
          <w:sz w:val="20"/>
          <w:szCs w:val="20"/>
          <w:lang w:val="en-US"/>
        </w:rPr>
        <w:t xml:space="preserve"> and </w:t>
      </w:r>
      <w:r w:rsidR="00523226" w:rsidRPr="00012C3F">
        <w:rPr>
          <w:rFonts w:eastAsia="MS Mincho"/>
          <w:sz w:val="20"/>
          <w:szCs w:val="20"/>
          <w:lang w:val="en-US"/>
        </w:rPr>
        <w:t>25</w:t>
      </w:r>
      <w:r w:rsidRPr="00012C3F">
        <w:rPr>
          <w:rFonts w:eastAsia="MS Mincho"/>
          <w:sz w:val="20"/>
          <w:szCs w:val="20"/>
          <w:lang w:val="en-US"/>
        </w:rPr>
        <w:t xml:space="preserve"> of the Convention</w:t>
      </w:r>
      <w:r w:rsidR="00523226" w:rsidRPr="00012C3F">
        <w:rPr>
          <w:rFonts w:eastAsia="MS Mincho"/>
          <w:sz w:val="20"/>
          <w:szCs w:val="20"/>
          <w:lang w:val="en-US"/>
        </w:rPr>
        <w:t xml:space="preserve"> </w:t>
      </w:r>
      <w:r w:rsidR="00E91CF7" w:rsidRPr="00012C3F">
        <w:rPr>
          <w:rFonts w:eastAsia="MS Mincho"/>
          <w:sz w:val="20"/>
          <w:szCs w:val="20"/>
          <w:lang w:val="en-US"/>
        </w:rPr>
        <w:t>in that sphere</w:t>
      </w:r>
      <w:r w:rsidR="00523226" w:rsidRPr="00012C3F">
        <w:rPr>
          <w:rFonts w:eastAsia="MS Mincho"/>
          <w:sz w:val="20"/>
          <w:szCs w:val="20"/>
          <w:lang w:val="en-US"/>
        </w:rPr>
        <w:t>.</w:t>
      </w:r>
    </w:p>
    <w:p w14:paraId="2112AA79" w14:textId="77777777" w:rsidR="00921596" w:rsidRPr="00012C3F" w:rsidRDefault="00921596" w:rsidP="00B14DC5">
      <w:pPr>
        <w:tabs>
          <w:tab w:val="left" w:pos="720"/>
        </w:tabs>
        <w:spacing w:line="240" w:lineRule="auto"/>
        <w:rPr>
          <w:rFonts w:eastAsia="MS Mincho"/>
          <w:sz w:val="20"/>
          <w:szCs w:val="20"/>
          <w:lang w:val="en-US"/>
        </w:rPr>
      </w:pPr>
    </w:p>
    <w:p w14:paraId="6422B016" w14:textId="77777777" w:rsidR="00502B43" w:rsidRPr="00012C3F" w:rsidRDefault="002F2869" w:rsidP="006A16C8">
      <w:pPr>
        <w:pStyle w:val="Ttulo2"/>
        <w:tabs>
          <w:tab w:val="left" w:pos="1701"/>
        </w:tabs>
        <w:spacing w:before="0" w:line="240" w:lineRule="auto"/>
        <w:ind w:left="1134"/>
        <w:rPr>
          <w:rFonts w:ascii="Verdana" w:hAnsi="Verdana"/>
          <w:b w:val="0"/>
          <w:i/>
          <w:color w:val="auto"/>
          <w:sz w:val="20"/>
          <w:szCs w:val="20"/>
          <w:lang w:val="en-US"/>
        </w:rPr>
      </w:pPr>
      <w:bookmarkStart w:id="177" w:name="_Toc461305147"/>
      <w:bookmarkStart w:id="178" w:name="_Toc27486883"/>
      <w:r w:rsidRPr="00012C3F">
        <w:rPr>
          <w:rFonts w:ascii="Verdana" w:hAnsi="Verdana"/>
          <w:b w:val="0"/>
          <w:i/>
          <w:color w:val="auto"/>
          <w:sz w:val="20"/>
          <w:szCs w:val="20"/>
          <w:lang w:val="en-US"/>
        </w:rPr>
        <w:t>B.</w:t>
      </w:r>
      <w:r w:rsidR="00B14DC5" w:rsidRPr="00012C3F">
        <w:rPr>
          <w:rFonts w:ascii="Verdana" w:hAnsi="Verdana"/>
          <w:b w:val="0"/>
          <w:i/>
          <w:color w:val="auto"/>
          <w:sz w:val="20"/>
          <w:szCs w:val="20"/>
          <w:lang w:val="en-US"/>
        </w:rPr>
        <w:t xml:space="preserve">1 </w:t>
      </w:r>
      <w:r w:rsidR="00B14DC5" w:rsidRPr="00012C3F">
        <w:rPr>
          <w:rFonts w:ascii="Verdana" w:hAnsi="Verdana"/>
          <w:b w:val="0"/>
          <w:i/>
          <w:color w:val="auto"/>
          <w:sz w:val="20"/>
          <w:szCs w:val="20"/>
          <w:lang w:val="en-US"/>
        </w:rPr>
        <w:tab/>
      </w:r>
      <w:r w:rsidR="00A710F6" w:rsidRPr="00012C3F">
        <w:rPr>
          <w:rFonts w:ascii="Verdana" w:hAnsi="Verdana"/>
          <w:b w:val="0"/>
          <w:i/>
          <w:color w:val="auto"/>
          <w:sz w:val="20"/>
          <w:szCs w:val="20"/>
          <w:lang w:val="en-US"/>
        </w:rPr>
        <w:t xml:space="preserve">Access to </w:t>
      </w:r>
      <w:r w:rsidR="008B4719" w:rsidRPr="00012C3F">
        <w:rPr>
          <w:rFonts w:ascii="Verdana" w:hAnsi="Verdana"/>
          <w:b w:val="0"/>
          <w:i/>
          <w:color w:val="auto"/>
          <w:sz w:val="20"/>
          <w:szCs w:val="20"/>
          <w:lang w:val="en-US"/>
        </w:rPr>
        <w:t xml:space="preserve">justice in cases of violation of sexual </w:t>
      </w:r>
      <w:r w:rsidR="00A710F6" w:rsidRPr="00012C3F">
        <w:rPr>
          <w:rFonts w:ascii="Verdana" w:hAnsi="Verdana"/>
          <w:b w:val="0"/>
          <w:i/>
          <w:color w:val="auto"/>
          <w:sz w:val="20"/>
          <w:szCs w:val="20"/>
          <w:lang w:val="en-US"/>
        </w:rPr>
        <w:t>and reproductive rights</w:t>
      </w:r>
      <w:bookmarkEnd w:id="177"/>
      <w:bookmarkEnd w:id="178"/>
    </w:p>
    <w:p w14:paraId="21CA1B74" w14:textId="77777777" w:rsidR="00502B43" w:rsidRPr="00012C3F" w:rsidRDefault="00502B43" w:rsidP="00B14DC5">
      <w:pPr>
        <w:tabs>
          <w:tab w:val="left" w:pos="720"/>
        </w:tabs>
        <w:spacing w:line="240" w:lineRule="auto"/>
        <w:rPr>
          <w:rFonts w:eastAsia="MS Mincho"/>
          <w:sz w:val="20"/>
          <w:szCs w:val="20"/>
          <w:lang w:val="en-US"/>
        </w:rPr>
      </w:pPr>
    </w:p>
    <w:p w14:paraId="618BF459" w14:textId="77777777" w:rsidR="00502B43" w:rsidRPr="00012C3F" w:rsidRDefault="00E91CF7" w:rsidP="00E91CF7">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t xml:space="preserve">This Court has repeatedly indicated that the right of </w:t>
      </w:r>
      <w:r w:rsidR="00A710F6" w:rsidRPr="00012C3F">
        <w:rPr>
          <w:rFonts w:eastAsia="MS Mincho"/>
          <w:sz w:val="20"/>
          <w:szCs w:val="20"/>
          <w:lang w:val="en-US"/>
        </w:rPr>
        <w:t>access to justice</w:t>
      </w:r>
      <w:r w:rsidR="00502B43" w:rsidRPr="00012C3F">
        <w:rPr>
          <w:rFonts w:eastAsia="MS Mincho"/>
          <w:sz w:val="20"/>
          <w:szCs w:val="20"/>
          <w:lang w:val="en-US"/>
        </w:rPr>
        <w:t xml:space="preserve"> </w:t>
      </w:r>
      <w:r w:rsidRPr="00012C3F">
        <w:rPr>
          <w:rFonts w:eastAsia="MS Mincho"/>
          <w:sz w:val="20"/>
          <w:szCs w:val="20"/>
          <w:lang w:val="en-US"/>
        </w:rPr>
        <w:t>must ensure, within a reasonable time, the right of the presumed victims or their next of kin that everything necessary is done to know the truth of what happened, establish the respective responsibilities, and punish those responsible.</w:t>
      </w:r>
      <w:r w:rsidR="00502B43" w:rsidRPr="00012C3F">
        <w:rPr>
          <w:rFonts w:eastAsia="MS Mincho"/>
          <w:sz w:val="20"/>
          <w:szCs w:val="20"/>
          <w:vertAlign w:val="superscript"/>
          <w:lang w:val="en-US"/>
        </w:rPr>
        <w:footnoteReference w:id="367"/>
      </w:r>
      <w:r w:rsidRPr="00012C3F">
        <w:rPr>
          <w:rFonts w:eastAsia="MS Mincho"/>
          <w:sz w:val="20"/>
          <w:szCs w:val="20"/>
          <w:lang w:val="en-US"/>
        </w:rPr>
        <w:t xml:space="preserve"> To this end, and pursuant to </w:t>
      </w:r>
      <w:r w:rsidR="001254DE" w:rsidRPr="00012C3F">
        <w:rPr>
          <w:rFonts w:eastAsia="Calibri"/>
          <w:sz w:val="20"/>
          <w:szCs w:val="20"/>
          <w:lang w:val="en-US"/>
        </w:rPr>
        <w:t>the American Convention</w:t>
      </w:r>
      <w:r w:rsidR="00502B43" w:rsidRPr="00012C3F">
        <w:rPr>
          <w:rFonts w:eastAsia="Calibri"/>
          <w:sz w:val="20"/>
          <w:szCs w:val="20"/>
          <w:lang w:val="en-US"/>
        </w:rPr>
        <w:t xml:space="preserve">, </w:t>
      </w:r>
      <w:r w:rsidRPr="00012C3F">
        <w:rPr>
          <w:rFonts w:eastAsia="Calibri"/>
          <w:sz w:val="20"/>
          <w:szCs w:val="20"/>
          <w:lang w:val="en-US"/>
        </w:rPr>
        <w:t xml:space="preserve">the States Parties are obliged to provide effective judicial remedies to the victims of human rights violations </w:t>
      </w:r>
      <w:r w:rsidR="00502B43" w:rsidRPr="00012C3F">
        <w:rPr>
          <w:rFonts w:eastAsia="Calibri"/>
          <w:sz w:val="20"/>
          <w:szCs w:val="20"/>
          <w:lang w:val="en-US"/>
        </w:rPr>
        <w:t>(</w:t>
      </w:r>
      <w:r w:rsidR="001254DE" w:rsidRPr="00012C3F">
        <w:rPr>
          <w:rFonts w:eastAsia="Calibri"/>
          <w:sz w:val="20"/>
          <w:szCs w:val="20"/>
          <w:lang w:val="en-US"/>
        </w:rPr>
        <w:t>Article</w:t>
      </w:r>
      <w:r w:rsidR="00502B43" w:rsidRPr="00012C3F">
        <w:rPr>
          <w:rFonts w:eastAsia="Calibri"/>
          <w:sz w:val="20"/>
          <w:szCs w:val="20"/>
          <w:lang w:val="en-US"/>
        </w:rPr>
        <w:t xml:space="preserve"> 25), re</w:t>
      </w:r>
      <w:r w:rsidRPr="00012C3F">
        <w:rPr>
          <w:rFonts w:eastAsia="Calibri"/>
          <w:sz w:val="20"/>
          <w:szCs w:val="20"/>
          <w:lang w:val="en-US"/>
        </w:rPr>
        <w:t xml:space="preserve">medies that must be executed in accordance with the rules of due process of law </w:t>
      </w:r>
      <w:r w:rsidR="00502B43" w:rsidRPr="00012C3F">
        <w:rPr>
          <w:rFonts w:eastAsia="Calibri"/>
          <w:sz w:val="20"/>
          <w:szCs w:val="20"/>
          <w:lang w:val="en-US"/>
        </w:rPr>
        <w:t>(</w:t>
      </w:r>
      <w:r w:rsidR="001254DE" w:rsidRPr="00012C3F">
        <w:rPr>
          <w:rFonts w:eastAsia="Calibri"/>
          <w:sz w:val="20"/>
          <w:szCs w:val="20"/>
          <w:lang w:val="en-US"/>
        </w:rPr>
        <w:t>Article</w:t>
      </w:r>
      <w:r w:rsidR="00502B43" w:rsidRPr="00012C3F">
        <w:rPr>
          <w:rFonts w:eastAsia="Calibri"/>
          <w:sz w:val="20"/>
          <w:szCs w:val="20"/>
          <w:lang w:val="en-US"/>
        </w:rPr>
        <w:t xml:space="preserve"> </w:t>
      </w:r>
      <w:r w:rsidR="005E5012" w:rsidRPr="00012C3F">
        <w:rPr>
          <w:rFonts w:eastAsia="Calibri"/>
          <w:sz w:val="20"/>
          <w:szCs w:val="20"/>
          <w:lang w:val="en-US"/>
        </w:rPr>
        <w:t>8(1)</w:t>
      </w:r>
      <w:r w:rsidR="00502B43" w:rsidRPr="00012C3F">
        <w:rPr>
          <w:rFonts w:eastAsia="Calibri"/>
          <w:sz w:val="20"/>
          <w:szCs w:val="20"/>
          <w:lang w:val="en-US"/>
        </w:rPr>
        <w:t>)</w:t>
      </w:r>
      <w:r w:rsidRPr="00012C3F">
        <w:rPr>
          <w:rFonts w:eastAsia="Calibri"/>
          <w:sz w:val="20"/>
          <w:szCs w:val="20"/>
          <w:lang w:val="en-US"/>
        </w:rPr>
        <w:t>,</w:t>
      </w:r>
      <w:r w:rsidR="00502B43" w:rsidRPr="00012C3F">
        <w:rPr>
          <w:rFonts w:eastAsia="Calibri"/>
          <w:sz w:val="20"/>
          <w:szCs w:val="20"/>
          <w:vertAlign w:val="superscript"/>
          <w:lang w:val="en-US"/>
        </w:rPr>
        <w:footnoteReference w:id="368"/>
      </w:r>
      <w:r w:rsidR="00502B43" w:rsidRPr="00012C3F">
        <w:rPr>
          <w:rFonts w:eastAsia="Calibri"/>
          <w:sz w:val="20"/>
          <w:szCs w:val="20"/>
          <w:lang w:val="en-US"/>
        </w:rPr>
        <w:t xml:space="preserve"> </w:t>
      </w:r>
      <w:r w:rsidRPr="00012C3F">
        <w:rPr>
          <w:rFonts w:eastAsia="Calibri"/>
          <w:sz w:val="20"/>
          <w:szCs w:val="20"/>
          <w:lang w:val="en-US"/>
        </w:rPr>
        <w:t xml:space="preserve">all of this within the general obligation of the States to ensure the free and full exercise of the rights recognized by the Convention to all persons subject to their jurisdiction </w:t>
      </w:r>
      <w:r w:rsidR="00502B43" w:rsidRPr="00012C3F">
        <w:rPr>
          <w:rFonts w:eastAsia="Calibri"/>
          <w:sz w:val="20"/>
          <w:szCs w:val="20"/>
          <w:lang w:val="en-US"/>
        </w:rPr>
        <w:t>(</w:t>
      </w:r>
      <w:r w:rsidR="001254DE" w:rsidRPr="00012C3F">
        <w:rPr>
          <w:rFonts w:eastAsia="Calibri"/>
          <w:sz w:val="20"/>
          <w:szCs w:val="20"/>
          <w:lang w:val="en-US"/>
        </w:rPr>
        <w:t>Article</w:t>
      </w:r>
      <w:r w:rsidR="00502B43" w:rsidRPr="00012C3F">
        <w:rPr>
          <w:rFonts w:eastAsia="Calibri"/>
          <w:sz w:val="20"/>
          <w:szCs w:val="20"/>
          <w:lang w:val="en-US"/>
        </w:rPr>
        <w:t xml:space="preserve"> </w:t>
      </w:r>
      <w:r w:rsidR="005E5012" w:rsidRPr="00012C3F">
        <w:rPr>
          <w:rFonts w:eastAsia="Calibri"/>
          <w:sz w:val="20"/>
          <w:szCs w:val="20"/>
          <w:lang w:val="en-US"/>
        </w:rPr>
        <w:t>1(1)</w:t>
      </w:r>
      <w:r w:rsidR="00502B43" w:rsidRPr="00012C3F">
        <w:rPr>
          <w:rFonts w:eastAsia="Calibri"/>
          <w:sz w:val="20"/>
          <w:szCs w:val="20"/>
          <w:lang w:val="en-US"/>
        </w:rPr>
        <w:t>)</w:t>
      </w:r>
      <w:r w:rsidRPr="00012C3F">
        <w:rPr>
          <w:rFonts w:eastAsia="Calibri"/>
          <w:sz w:val="20"/>
          <w:szCs w:val="20"/>
          <w:lang w:val="en-US"/>
        </w:rPr>
        <w:t>.</w:t>
      </w:r>
      <w:r w:rsidR="00502B43" w:rsidRPr="00012C3F">
        <w:rPr>
          <w:rFonts w:eastAsia="Calibri"/>
          <w:sz w:val="20"/>
          <w:szCs w:val="20"/>
          <w:vertAlign w:val="superscript"/>
          <w:lang w:val="en-US"/>
        </w:rPr>
        <w:footnoteReference w:id="369"/>
      </w:r>
    </w:p>
    <w:p w14:paraId="5129F7E9" w14:textId="77777777" w:rsidR="00502B43" w:rsidRPr="00012C3F" w:rsidRDefault="00502B43" w:rsidP="00502B43">
      <w:pPr>
        <w:tabs>
          <w:tab w:val="left" w:pos="720"/>
        </w:tabs>
        <w:spacing w:line="240" w:lineRule="auto"/>
        <w:rPr>
          <w:rFonts w:eastAsia="MS Mincho"/>
          <w:sz w:val="20"/>
          <w:szCs w:val="20"/>
          <w:lang w:val="en-US"/>
        </w:rPr>
      </w:pPr>
    </w:p>
    <w:p w14:paraId="52188FF8" w14:textId="77777777" w:rsidR="00502B43" w:rsidRPr="00012C3F" w:rsidRDefault="00E91CF7" w:rsidP="00E91CF7">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t>Consequently</w:t>
      </w:r>
      <w:r w:rsidR="00502B43" w:rsidRPr="00012C3F">
        <w:rPr>
          <w:rFonts w:eastAsia="MS Mincho"/>
          <w:sz w:val="20"/>
          <w:szCs w:val="20"/>
          <w:lang w:val="en-US"/>
        </w:rPr>
        <w:t xml:space="preserve">, </w:t>
      </w:r>
      <w:r w:rsidR="001254DE" w:rsidRPr="00012C3F">
        <w:rPr>
          <w:rFonts w:eastAsia="MS Mincho"/>
          <w:sz w:val="20"/>
          <w:szCs w:val="20"/>
          <w:lang w:val="en-US"/>
        </w:rPr>
        <w:t>Articles</w:t>
      </w:r>
      <w:r w:rsidR="00502B43" w:rsidRPr="00012C3F">
        <w:rPr>
          <w:rFonts w:eastAsia="MS Mincho"/>
          <w:sz w:val="20"/>
          <w:szCs w:val="20"/>
          <w:lang w:val="en-US"/>
        </w:rPr>
        <w:t xml:space="preserve"> 8</w:t>
      </w:r>
      <w:r w:rsidR="005E5012" w:rsidRPr="00012C3F">
        <w:rPr>
          <w:rFonts w:eastAsia="MS Mincho"/>
          <w:sz w:val="20"/>
          <w:szCs w:val="20"/>
          <w:lang w:val="en-US"/>
        </w:rPr>
        <w:t xml:space="preserve"> and </w:t>
      </w:r>
      <w:r w:rsidR="00502B43" w:rsidRPr="00012C3F">
        <w:rPr>
          <w:rFonts w:eastAsia="MS Mincho"/>
          <w:sz w:val="20"/>
          <w:szCs w:val="20"/>
          <w:lang w:val="en-US"/>
        </w:rPr>
        <w:t>25</w:t>
      </w:r>
      <w:r w:rsidR="001254DE" w:rsidRPr="00012C3F">
        <w:rPr>
          <w:rFonts w:eastAsia="MS Mincho"/>
          <w:sz w:val="20"/>
          <w:szCs w:val="20"/>
          <w:lang w:val="en-US"/>
        </w:rPr>
        <w:t xml:space="preserve"> of the Convention</w:t>
      </w:r>
      <w:r w:rsidR="00502B43" w:rsidRPr="00012C3F">
        <w:rPr>
          <w:rFonts w:eastAsia="MS Mincho"/>
          <w:sz w:val="20"/>
          <w:szCs w:val="20"/>
          <w:lang w:val="en-US"/>
        </w:rPr>
        <w:t xml:space="preserve"> </w:t>
      </w:r>
      <w:r w:rsidRPr="00012C3F">
        <w:rPr>
          <w:rFonts w:eastAsia="MS Mincho"/>
          <w:sz w:val="20"/>
          <w:szCs w:val="20"/>
          <w:lang w:val="en-US"/>
        </w:rPr>
        <w:t xml:space="preserve">signify that the victims of human rights violations </w:t>
      </w:r>
      <w:r w:rsidR="00BB427E" w:rsidRPr="00012C3F">
        <w:rPr>
          <w:rFonts w:eastAsia="MS Mincho"/>
          <w:sz w:val="20"/>
          <w:szCs w:val="20"/>
          <w:lang w:val="en-US"/>
        </w:rPr>
        <w:t xml:space="preserve">should have appropriate judicial remedies to establish whether a human rights violation has been committed and to provide appropriate means to rectify this. Such remedies must also be effective pursuant to </w:t>
      </w:r>
      <w:r w:rsidR="008A7A0F" w:rsidRPr="00012C3F">
        <w:rPr>
          <w:rFonts w:eastAsia="MS Mincho"/>
          <w:sz w:val="20"/>
          <w:szCs w:val="20"/>
          <w:lang w:val="en-US"/>
        </w:rPr>
        <w:t>Article</w:t>
      </w:r>
      <w:r w:rsidR="00502B43" w:rsidRPr="00012C3F">
        <w:rPr>
          <w:rFonts w:eastAsia="MS Mincho"/>
          <w:sz w:val="20"/>
          <w:szCs w:val="20"/>
          <w:lang w:val="en-US"/>
        </w:rPr>
        <w:t xml:space="preserve"> 2</w:t>
      </w:r>
      <w:r w:rsidR="005E5012" w:rsidRPr="00012C3F">
        <w:rPr>
          <w:rFonts w:eastAsia="MS Mincho"/>
          <w:sz w:val="20"/>
          <w:szCs w:val="20"/>
          <w:lang w:val="en-US"/>
        </w:rPr>
        <w:t>5(1)</w:t>
      </w:r>
      <w:r w:rsidR="001254DE" w:rsidRPr="00012C3F">
        <w:rPr>
          <w:rFonts w:eastAsia="MS Mincho"/>
          <w:sz w:val="20"/>
          <w:szCs w:val="20"/>
          <w:lang w:val="en-US"/>
        </w:rPr>
        <w:t xml:space="preserve"> of the Convention</w:t>
      </w:r>
      <w:r w:rsidR="00BB427E" w:rsidRPr="00012C3F">
        <w:rPr>
          <w:rFonts w:eastAsia="MS Mincho"/>
          <w:sz w:val="20"/>
          <w:szCs w:val="20"/>
          <w:lang w:val="en-US"/>
        </w:rPr>
        <w:t>; that is, “able to produce the result for which they were conceived.</w:t>
      </w:r>
      <w:r w:rsidR="00502B43" w:rsidRPr="00012C3F">
        <w:rPr>
          <w:rFonts w:eastAsia="MS Mincho"/>
          <w:sz w:val="20"/>
          <w:szCs w:val="20"/>
          <w:lang w:val="en-US"/>
        </w:rPr>
        <w:t>”</w:t>
      </w:r>
      <w:r w:rsidR="00502B43" w:rsidRPr="00012C3F">
        <w:rPr>
          <w:rFonts w:eastAsia="MS Mincho"/>
          <w:sz w:val="20"/>
          <w:szCs w:val="20"/>
          <w:vertAlign w:val="superscript"/>
          <w:lang w:val="en-US"/>
        </w:rPr>
        <w:footnoteReference w:id="370"/>
      </w:r>
    </w:p>
    <w:p w14:paraId="1357ED45" w14:textId="77777777" w:rsidR="00502B43" w:rsidRPr="00012C3F" w:rsidRDefault="00502B43" w:rsidP="00E91CF7">
      <w:pPr>
        <w:tabs>
          <w:tab w:val="left" w:pos="720"/>
        </w:tabs>
        <w:spacing w:line="240" w:lineRule="auto"/>
        <w:rPr>
          <w:rFonts w:eastAsia="MS Mincho"/>
          <w:sz w:val="20"/>
          <w:szCs w:val="20"/>
          <w:lang w:val="en-US"/>
        </w:rPr>
      </w:pPr>
    </w:p>
    <w:p w14:paraId="2F36312E" w14:textId="77777777" w:rsidR="00502B43" w:rsidRPr="00012C3F" w:rsidRDefault="00BB427E" w:rsidP="00BB427E">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t xml:space="preserve">When interpreting the text </w:t>
      </w:r>
      <w:r w:rsidR="008A7A0F" w:rsidRPr="00012C3F">
        <w:rPr>
          <w:rFonts w:eastAsia="MS Mincho"/>
          <w:sz w:val="20"/>
          <w:szCs w:val="20"/>
          <w:lang w:val="en-US"/>
        </w:rPr>
        <w:t>of Article</w:t>
      </w:r>
      <w:r w:rsidR="00502B43" w:rsidRPr="00012C3F">
        <w:rPr>
          <w:rFonts w:eastAsia="MS Mincho"/>
          <w:sz w:val="20"/>
          <w:szCs w:val="20"/>
          <w:lang w:val="en-US"/>
        </w:rPr>
        <w:t xml:space="preserve"> 2</w:t>
      </w:r>
      <w:r w:rsidR="005E5012" w:rsidRPr="00012C3F">
        <w:rPr>
          <w:rFonts w:eastAsia="MS Mincho"/>
          <w:sz w:val="20"/>
          <w:szCs w:val="20"/>
          <w:lang w:val="en-US"/>
        </w:rPr>
        <w:t>5(1)</w:t>
      </w:r>
      <w:r w:rsidR="001254DE" w:rsidRPr="00012C3F">
        <w:rPr>
          <w:rFonts w:eastAsia="MS Mincho"/>
          <w:sz w:val="20"/>
          <w:szCs w:val="20"/>
          <w:lang w:val="en-US"/>
        </w:rPr>
        <w:t xml:space="preserve"> of the Convention</w:t>
      </w:r>
      <w:r w:rsidR="00502B43" w:rsidRPr="00012C3F">
        <w:rPr>
          <w:rFonts w:eastAsia="MS Mincho"/>
          <w:sz w:val="20"/>
          <w:szCs w:val="20"/>
          <w:lang w:val="en-US"/>
        </w:rPr>
        <w:t xml:space="preserve">, </w:t>
      </w:r>
      <w:r w:rsidR="001254DE" w:rsidRPr="00012C3F">
        <w:rPr>
          <w:rFonts w:eastAsia="MS Mincho"/>
          <w:sz w:val="20"/>
          <w:szCs w:val="20"/>
          <w:lang w:val="en-US"/>
        </w:rPr>
        <w:t>the Court</w:t>
      </w:r>
      <w:r w:rsidR="00502B43" w:rsidRPr="00012C3F">
        <w:rPr>
          <w:rFonts w:eastAsia="MS Mincho"/>
          <w:sz w:val="20"/>
          <w:szCs w:val="20"/>
          <w:lang w:val="en-US"/>
        </w:rPr>
        <w:t xml:space="preserve"> ha</w:t>
      </w:r>
      <w:r w:rsidRPr="00012C3F">
        <w:rPr>
          <w:rFonts w:eastAsia="MS Mincho"/>
          <w:sz w:val="20"/>
          <w:szCs w:val="20"/>
          <w:lang w:val="en-US"/>
        </w:rPr>
        <w:t>s affirmed</w:t>
      </w:r>
      <w:r w:rsidR="00502B43" w:rsidRPr="00012C3F">
        <w:rPr>
          <w:rFonts w:eastAsia="MS Mincho"/>
          <w:sz w:val="20"/>
          <w:szCs w:val="20"/>
          <w:lang w:val="en-US"/>
        </w:rPr>
        <w:t xml:space="preserve"> </w:t>
      </w:r>
      <w:r w:rsidRPr="00012C3F">
        <w:rPr>
          <w:rFonts w:eastAsia="MS Mincho"/>
          <w:sz w:val="20"/>
          <w:szCs w:val="20"/>
          <w:lang w:val="en-US"/>
        </w:rPr>
        <w:t xml:space="preserve"> on other occasions, that the obligation of the State to provide a judicial remedy is not limited to the mere existence of the courts or the formal proceedings or even to the possibility of having recourse to the courts. Rather, the State is obliged to take positive measures to ensure that the remedies it provides through it judicial system are “truly effective to establish whether or not a violation of human rights has occurred and to provide reparation.</w:t>
      </w:r>
      <w:r w:rsidR="00502B43" w:rsidRPr="00012C3F">
        <w:rPr>
          <w:rFonts w:eastAsia="MS Mincho"/>
          <w:sz w:val="20"/>
          <w:szCs w:val="20"/>
          <w:lang w:val="en-US"/>
        </w:rPr>
        <w:t>”</w:t>
      </w:r>
      <w:r w:rsidR="00502B43" w:rsidRPr="00012C3F">
        <w:rPr>
          <w:rFonts w:eastAsia="MS Mincho"/>
          <w:sz w:val="20"/>
          <w:szCs w:val="20"/>
          <w:vertAlign w:val="superscript"/>
          <w:lang w:val="en-US"/>
        </w:rPr>
        <w:footnoteReference w:id="371"/>
      </w:r>
      <w:r w:rsidRPr="00012C3F">
        <w:rPr>
          <w:rFonts w:eastAsia="MS Mincho"/>
          <w:sz w:val="20"/>
          <w:szCs w:val="20"/>
          <w:lang w:val="en-US"/>
        </w:rPr>
        <w:t xml:space="preserve"> This means that the mere formal existence of the remedies is not sufficient; rather, in order for them to be considered effective, they must recognize and resolve the factors of real inequality of the </w:t>
      </w:r>
      <w:r w:rsidR="00502B43" w:rsidRPr="00012C3F">
        <w:rPr>
          <w:rFonts w:eastAsia="MS Mincho"/>
          <w:sz w:val="20"/>
          <w:szCs w:val="20"/>
          <w:lang w:val="en-US"/>
        </w:rPr>
        <w:t xml:space="preserve">justiciables, </w:t>
      </w:r>
      <w:r w:rsidRPr="00012C3F">
        <w:rPr>
          <w:rFonts w:eastAsia="MS Mincho"/>
          <w:sz w:val="20"/>
          <w:szCs w:val="20"/>
          <w:lang w:val="en-US"/>
        </w:rPr>
        <w:t xml:space="preserve">providing results or responses to the violations of the human rights recognized in </w:t>
      </w:r>
      <w:r w:rsidR="001254DE" w:rsidRPr="00012C3F">
        <w:rPr>
          <w:rFonts w:eastAsia="MS Mincho"/>
          <w:sz w:val="20"/>
          <w:szCs w:val="20"/>
          <w:lang w:val="en-US"/>
        </w:rPr>
        <w:t>the Convention</w:t>
      </w:r>
      <w:r w:rsidR="00502B43" w:rsidRPr="00012C3F">
        <w:rPr>
          <w:rFonts w:eastAsia="MS Mincho"/>
          <w:sz w:val="20"/>
          <w:szCs w:val="20"/>
          <w:lang w:val="en-US"/>
        </w:rPr>
        <w:t xml:space="preserve">. </w:t>
      </w:r>
      <w:r w:rsidRPr="00012C3F">
        <w:rPr>
          <w:rFonts w:eastAsia="MS Mincho"/>
          <w:sz w:val="20"/>
          <w:szCs w:val="20"/>
          <w:lang w:val="en-US"/>
        </w:rPr>
        <w:t xml:space="preserve">Thus, the Court has declared that “the inexistence of an effective remedy against violations of the rights recognized in </w:t>
      </w:r>
      <w:r w:rsidR="001254DE" w:rsidRPr="00012C3F">
        <w:rPr>
          <w:rFonts w:eastAsia="MS Mincho"/>
          <w:sz w:val="20"/>
          <w:szCs w:val="20"/>
          <w:lang w:val="en-US"/>
        </w:rPr>
        <w:t>the Convention</w:t>
      </w:r>
      <w:r w:rsidR="00502B43" w:rsidRPr="00012C3F">
        <w:rPr>
          <w:rFonts w:eastAsia="MS Mincho"/>
          <w:sz w:val="20"/>
          <w:szCs w:val="20"/>
          <w:lang w:val="en-US"/>
        </w:rPr>
        <w:t xml:space="preserve"> constitu</w:t>
      </w:r>
      <w:r w:rsidRPr="00012C3F">
        <w:rPr>
          <w:rFonts w:eastAsia="MS Mincho"/>
          <w:sz w:val="20"/>
          <w:szCs w:val="20"/>
          <w:lang w:val="en-US"/>
        </w:rPr>
        <w:t xml:space="preserve">tes a violation </w:t>
      </w:r>
      <w:r w:rsidR="006C705C" w:rsidRPr="00012C3F">
        <w:rPr>
          <w:rFonts w:eastAsia="MS Mincho"/>
          <w:sz w:val="20"/>
          <w:szCs w:val="20"/>
          <w:lang w:val="en-US"/>
        </w:rPr>
        <w:t>of this instrument</w:t>
      </w:r>
      <w:r w:rsidR="00502B43" w:rsidRPr="00012C3F">
        <w:rPr>
          <w:rFonts w:eastAsia="MS Mincho"/>
          <w:sz w:val="20"/>
          <w:szCs w:val="20"/>
          <w:lang w:val="en-US"/>
        </w:rPr>
        <w:t xml:space="preserve"> </w:t>
      </w:r>
      <w:r w:rsidRPr="00012C3F">
        <w:rPr>
          <w:rFonts w:eastAsia="MS Mincho"/>
          <w:sz w:val="20"/>
          <w:szCs w:val="20"/>
          <w:lang w:val="en-US"/>
        </w:rPr>
        <w:t>by the</w:t>
      </w:r>
      <w:r w:rsidR="00A84CA0" w:rsidRPr="00012C3F">
        <w:rPr>
          <w:rFonts w:eastAsia="MS Mincho"/>
          <w:sz w:val="20"/>
          <w:szCs w:val="20"/>
          <w:lang w:val="en-US"/>
        </w:rPr>
        <w:t xml:space="preserve"> State</w:t>
      </w:r>
      <w:r w:rsidR="00502B43" w:rsidRPr="00012C3F">
        <w:rPr>
          <w:rFonts w:eastAsia="MS Mincho"/>
          <w:sz w:val="20"/>
          <w:szCs w:val="20"/>
          <w:lang w:val="en-US"/>
        </w:rPr>
        <w:t xml:space="preserve"> Part</w:t>
      </w:r>
      <w:r w:rsidRPr="00012C3F">
        <w:rPr>
          <w:rFonts w:eastAsia="MS Mincho"/>
          <w:sz w:val="20"/>
          <w:szCs w:val="20"/>
          <w:lang w:val="en-US"/>
        </w:rPr>
        <w:t xml:space="preserve">y in which this </w:t>
      </w:r>
      <w:r w:rsidRPr="00012C3F">
        <w:rPr>
          <w:rFonts w:eastAsia="MS Mincho"/>
          <w:sz w:val="20"/>
          <w:szCs w:val="20"/>
          <w:lang w:val="en-US"/>
        </w:rPr>
        <w:lastRenderedPageBreak/>
        <w:t>situation exists.</w:t>
      </w:r>
      <w:r w:rsidR="00502B43" w:rsidRPr="00012C3F">
        <w:rPr>
          <w:rFonts w:eastAsia="MS Mincho"/>
          <w:sz w:val="20"/>
          <w:szCs w:val="20"/>
          <w:lang w:val="en-US"/>
        </w:rPr>
        <w:t>”</w:t>
      </w:r>
      <w:r w:rsidR="00502B43" w:rsidRPr="00012C3F">
        <w:rPr>
          <w:rFonts w:eastAsia="MS Mincho"/>
          <w:sz w:val="20"/>
          <w:szCs w:val="20"/>
          <w:vertAlign w:val="superscript"/>
          <w:lang w:val="en-US"/>
        </w:rPr>
        <w:footnoteReference w:id="372"/>
      </w:r>
    </w:p>
    <w:p w14:paraId="4D0985A1" w14:textId="77777777" w:rsidR="00502B43" w:rsidRPr="00012C3F" w:rsidRDefault="00502B43" w:rsidP="00502B43">
      <w:pPr>
        <w:tabs>
          <w:tab w:val="left" w:pos="720"/>
        </w:tabs>
        <w:spacing w:line="240" w:lineRule="auto"/>
        <w:rPr>
          <w:rFonts w:eastAsia="MS Mincho"/>
          <w:sz w:val="20"/>
          <w:szCs w:val="20"/>
          <w:lang w:val="en-US"/>
        </w:rPr>
      </w:pPr>
    </w:p>
    <w:p w14:paraId="01585C1E" w14:textId="77777777" w:rsidR="00502B43" w:rsidRPr="00012C3F" w:rsidRDefault="00BB427E" w:rsidP="00BB427E">
      <w:pPr>
        <w:numPr>
          <w:ilvl w:val="0"/>
          <w:numId w:val="5"/>
        </w:numPr>
        <w:tabs>
          <w:tab w:val="left" w:pos="720"/>
          <w:tab w:val="num" w:pos="12305"/>
        </w:tabs>
        <w:spacing w:line="240" w:lineRule="auto"/>
        <w:ind w:left="0" w:firstLine="0"/>
        <w:rPr>
          <w:rFonts w:eastAsia="MS Mincho"/>
          <w:sz w:val="20"/>
          <w:szCs w:val="20"/>
          <w:lang w:val="en-US"/>
        </w:rPr>
      </w:pPr>
      <w:r w:rsidRPr="00012C3F">
        <w:rPr>
          <w:sz w:val="20"/>
          <w:szCs w:val="20"/>
          <w:lang w:val="en-US"/>
        </w:rPr>
        <w:t>In cases of violence against women, the general obligations established in</w:t>
      </w:r>
      <w:r w:rsidR="00502B43" w:rsidRPr="00012C3F">
        <w:rPr>
          <w:sz w:val="20"/>
          <w:szCs w:val="20"/>
          <w:lang w:val="en-US"/>
        </w:rPr>
        <w:t xml:space="preserve"> </w:t>
      </w:r>
      <w:r w:rsidR="001254DE" w:rsidRPr="00012C3F">
        <w:rPr>
          <w:sz w:val="20"/>
          <w:szCs w:val="20"/>
          <w:lang w:val="en-US"/>
        </w:rPr>
        <w:t>Articles</w:t>
      </w:r>
      <w:r w:rsidR="00502B43" w:rsidRPr="00012C3F">
        <w:rPr>
          <w:sz w:val="20"/>
          <w:szCs w:val="20"/>
          <w:lang w:val="en-US"/>
        </w:rPr>
        <w:t xml:space="preserve"> 8</w:t>
      </w:r>
      <w:r w:rsidR="005E5012" w:rsidRPr="00012C3F">
        <w:rPr>
          <w:sz w:val="20"/>
          <w:szCs w:val="20"/>
          <w:lang w:val="en-US"/>
        </w:rPr>
        <w:t xml:space="preserve"> and </w:t>
      </w:r>
      <w:r w:rsidR="00502B43" w:rsidRPr="00012C3F">
        <w:rPr>
          <w:sz w:val="20"/>
          <w:szCs w:val="20"/>
          <w:lang w:val="en-US"/>
        </w:rPr>
        <w:t>25</w:t>
      </w:r>
      <w:r w:rsidR="001254DE" w:rsidRPr="00012C3F">
        <w:rPr>
          <w:sz w:val="20"/>
          <w:szCs w:val="20"/>
          <w:lang w:val="en-US"/>
        </w:rPr>
        <w:t xml:space="preserve"> of the American Convention</w:t>
      </w:r>
      <w:r w:rsidR="00502B43" w:rsidRPr="00012C3F">
        <w:rPr>
          <w:sz w:val="20"/>
          <w:szCs w:val="20"/>
          <w:lang w:val="en-US"/>
        </w:rPr>
        <w:t xml:space="preserve"> </w:t>
      </w:r>
      <w:r w:rsidRPr="00012C3F">
        <w:rPr>
          <w:sz w:val="20"/>
          <w:szCs w:val="20"/>
          <w:lang w:val="en-US"/>
        </w:rPr>
        <w:t xml:space="preserve">are supplemented and reinforced for those States that are parties, by the obligations arising from the specific inter-American treaty, </w:t>
      </w:r>
      <w:r w:rsidR="001254DE" w:rsidRPr="00012C3F">
        <w:rPr>
          <w:sz w:val="20"/>
          <w:szCs w:val="20"/>
          <w:lang w:val="en-US"/>
        </w:rPr>
        <w:t>the Convention</w:t>
      </w:r>
      <w:r w:rsidR="00502B43" w:rsidRPr="00012C3F">
        <w:rPr>
          <w:sz w:val="20"/>
          <w:szCs w:val="20"/>
          <w:lang w:val="en-US"/>
        </w:rPr>
        <w:t xml:space="preserve"> </w:t>
      </w:r>
      <w:r w:rsidR="005E5012" w:rsidRPr="00012C3F">
        <w:rPr>
          <w:sz w:val="20"/>
          <w:szCs w:val="20"/>
          <w:lang w:val="en-US"/>
        </w:rPr>
        <w:t>of Belém</w:t>
      </w:r>
      <w:r w:rsidR="00502B43" w:rsidRPr="00012C3F">
        <w:rPr>
          <w:sz w:val="20"/>
          <w:szCs w:val="20"/>
          <w:lang w:val="en-US"/>
        </w:rPr>
        <w:t xml:space="preserve"> do Pará</w:t>
      </w:r>
      <w:r w:rsidRPr="00012C3F">
        <w:rPr>
          <w:sz w:val="20"/>
          <w:szCs w:val="20"/>
          <w:lang w:val="en-US"/>
        </w:rPr>
        <w:t>.</w:t>
      </w:r>
      <w:r w:rsidR="00502B43" w:rsidRPr="00012C3F">
        <w:rPr>
          <w:rFonts w:eastAsia="MS Mincho"/>
          <w:sz w:val="20"/>
          <w:szCs w:val="20"/>
          <w:vertAlign w:val="superscript"/>
          <w:lang w:val="en-US"/>
        </w:rPr>
        <w:footnoteReference w:id="373"/>
      </w:r>
      <w:r w:rsidR="00502B43" w:rsidRPr="00012C3F">
        <w:rPr>
          <w:sz w:val="20"/>
          <w:szCs w:val="20"/>
          <w:lang w:val="en-US"/>
        </w:rPr>
        <w:t xml:space="preserve"> </w:t>
      </w:r>
      <w:r w:rsidR="00F63FF1" w:rsidRPr="00012C3F">
        <w:rPr>
          <w:rFonts w:eastAsia="MS Mincho"/>
          <w:sz w:val="20"/>
          <w:szCs w:val="20"/>
          <w:lang w:val="en-US"/>
        </w:rPr>
        <w:t>Article</w:t>
      </w:r>
      <w:r w:rsidR="00502B43" w:rsidRPr="00012C3F">
        <w:rPr>
          <w:rFonts w:eastAsia="MS Mincho"/>
          <w:sz w:val="20"/>
          <w:szCs w:val="20"/>
          <w:lang w:val="en-US"/>
        </w:rPr>
        <w:t xml:space="preserve"> 7</w:t>
      </w:r>
      <w:r w:rsidR="001254DE" w:rsidRPr="00012C3F">
        <w:rPr>
          <w:rFonts w:eastAsia="MS Mincho"/>
          <w:sz w:val="20"/>
          <w:szCs w:val="20"/>
          <w:lang w:val="en-US"/>
        </w:rPr>
        <w:t xml:space="preserve"> of the Convention</w:t>
      </w:r>
      <w:r w:rsidR="00502B43" w:rsidRPr="00012C3F">
        <w:rPr>
          <w:rFonts w:eastAsia="MS Mincho"/>
          <w:sz w:val="20"/>
          <w:szCs w:val="20"/>
          <w:lang w:val="en-US"/>
        </w:rPr>
        <w:t xml:space="preserve"> </w:t>
      </w:r>
      <w:r w:rsidR="005E5012" w:rsidRPr="00012C3F">
        <w:rPr>
          <w:rFonts w:eastAsia="MS Mincho"/>
          <w:sz w:val="20"/>
          <w:szCs w:val="20"/>
          <w:lang w:val="en-US"/>
        </w:rPr>
        <w:t>of Belém</w:t>
      </w:r>
      <w:r w:rsidR="00502B43" w:rsidRPr="00012C3F">
        <w:rPr>
          <w:rFonts w:eastAsia="MS Mincho"/>
          <w:sz w:val="20"/>
          <w:szCs w:val="20"/>
          <w:lang w:val="en-US"/>
        </w:rPr>
        <w:t xml:space="preserve"> do Pará</w:t>
      </w:r>
      <w:r w:rsidRPr="00012C3F">
        <w:rPr>
          <w:rFonts w:eastAsia="MS Mincho"/>
          <w:sz w:val="20"/>
          <w:szCs w:val="20"/>
          <w:lang w:val="en-US"/>
        </w:rPr>
        <w:t xml:space="preserve"> requires </w:t>
      </w:r>
      <w:r w:rsidR="00544148" w:rsidRPr="00012C3F">
        <w:rPr>
          <w:rFonts w:eastAsia="MS Mincho"/>
          <w:sz w:val="20"/>
          <w:szCs w:val="20"/>
          <w:lang w:val="en-US"/>
        </w:rPr>
        <w:t>that States take action to prevent, punish and eradicate violence against women by the adoption of a series of measures and public policies that include:</w:t>
      </w:r>
    </w:p>
    <w:p w14:paraId="35D28A38" w14:textId="77777777" w:rsidR="00502B43" w:rsidRPr="00012C3F" w:rsidRDefault="00502B43" w:rsidP="00502B43">
      <w:pPr>
        <w:tabs>
          <w:tab w:val="left" w:pos="720"/>
        </w:tabs>
        <w:spacing w:line="240" w:lineRule="auto"/>
        <w:rPr>
          <w:rFonts w:eastAsia="MS Mincho"/>
          <w:sz w:val="20"/>
          <w:szCs w:val="20"/>
          <w:lang w:val="en-US"/>
        </w:rPr>
      </w:pPr>
    </w:p>
    <w:p w14:paraId="690D5D56" w14:textId="77777777" w:rsidR="00544148" w:rsidRPr="00012C3F" w:rsidRDefault="00544148" w:rsidP="008376E9">
      <w:pPr>
        <w:pStyle w:val="Default"/>
        <w:spacing w:after="120"/>
        <w:ind w:left="720" w:right="810"/>
        <w:rPr>
          <w:rFonts w:ascii="Verdana" w:hAnsi="Verdana"/>
          <w:sz w:val="16"/>
          <w:szCs w:val="16"/>
          <w:lang w:val="en-US"/>
        </w:rPr>
      </w:pPr>
      <w:r w:rsidRPr="00012C3F">
        <w:rPr>
          <w:rFonts w:ascii="Verdana" w:hAnsi="Verdana"/>
          <w:sz w:val="16"/>
          <w:szCs w:val="16"/>
          <w:lang w:val="en-US"/>
        </w:rPr>
        <w:t xml:space="preserve">b. apply due diligence to prevent, investigate and impose penalties for violence against women; </w:t>
      </w:r>
    </w:p>
    <w:p w14:paraId="40C28D20" w14:textId="77777777" w:rsidR="00544148" w:rsidRPr="00012C3F" w:rsidRDefault="00544148" w:rsidP="008376E9">
      <w:pPr>
        <w:pStyle w:val="Default"/>
        <w:tabs>
          <w:tab w:val="left" w:pos="567"/>
        </w:tabs>
        <w:spacing w:after="120"/>
        <w:ind w:left="720" w:right="810"/>
        <w:jc w:val="both"/>
        <w:rPr>
          <w:rFonts w:ascii="Verdana" w:hAnsi="Verdana"/>
          <w:sz w:val="16"/>
          <w:szCs w:val="16"/>
          <w:lang w:val="en-US"/>
        </w:rPr>
      </w:pPr>
      <w:r w:rsidRPr="00012C3F">
        <w:rPr>
          <w:rFonts w:ascii="Verdana" w:hAnsi="Verdana"/>
          <w:sz w:val="16"/>
          <w:szCs w:val="16"/>
          <w:lang w:val="en-US"/>
        </w:rPr>
        <w:t xml:space="preserve">c. include in their domestic legislation penal, civil, administrative and any other type of provisions that may be needed to prevent, punish and eradicate violence against women and to adopt appropriate administrative measures where necessary; </w:t>
      </w:r>
    </w:p>
    <w:p w14:paraId="02ACD926" w14:textId="77777777" w:rsidR="00544148" w:rsidRPr="00012C3F" w:rsidRDefault="00544148" w:rsidP="008376E9">
      <w:pPr>
        <w:pStyle w:val="Default"/>
        <w:tabs>
          <w:tab w:val="left" w:pos="567"/>
        </w:tabs>
        <w:spacing w:after="120"/>
        <w:ind w:left="720" w:right="810"/>
        <w:jc w:val="both"/>
        <w:rPr>
          <w:rFonts w:ascii="Verdana" w:hAnsi="Verdana"/>
          <w:sz w:val="16"/>
          <w:szCs w:val="16"/>
          <w:lang w:val="en-US"/>
        </w:rPr>
      </w:pPr>
      <w:r w:rsidRPr="00012C3F">
        <w:rPr>
          <w:rFonts w:ascii="Verdana" w:hAnsi="Verdana"/>
          <w:sz w:val="16"/>
          <w:szCs w:val="16"/>
          <w:lang w:val="en-US"/>
        </w:rPr>
        <w:t>[…]</w:t>
      </w:r>
    </w:p>
    <w:p w14:paraId="3C133616" w14:textId="77777777" w:rsidR="00544148" w:rsidRPr="00012C3F" w:rsidRDefault="00544148" w:rsidP="008376E9">
      <w:pPr>
        <w:pStyle w:val="Default"/>
        <w:tabs>
          <w:tab w:val="left" w:pos="567"/>
        </w:tabs>
        <w:spacing w:after="120"/>
        <w:ind w:left="720" w:right="810"/>
        <w:jc w:val="both"/>
        <w:rPr>
          <w:rFonts w:ascii="Verdana" w:hAnsi="Verdana"/>
          <w:sz w:val="16"/>
          <w:szCs w:val="16"/>
          <w:lang w:val="en-US"/>
        </w:rPr>
      </w:pPr>
      <w:r w:rsidRPr="00012C3F">
        <w:rPr>
          <w:rFonts w:ascii="Verdana" w:hAnsi="Verdana"/>
          <w:sz w:val="16"/>
          <w:szCs w:val="16"/>
          <w:lang w:val="en-US"/>
        </w:rPr>
        <w:t xml:space="preserve">f. establish fair and effective legal procedures for women who have been subjected to violence which include, among others, protective measures, a timely hearing and effective access to such procedures; </w:t>
      </w:r>
    </w:p>
    <w:p w14:paraId="480EB513" w14:textId="77777777" w:rsidR="00502B43" w:rsidRPr="00012C3F" w:rsidRDefault="00544148" w:rsidP="00274D37">
      <w:pPr>
        <w:pStyle w:val="Default"/>
        <w:tabs>
          <w:tab w:val="left" w:pos="567"/>
        </w:tabs>
        <w:spacing w:after="200"/>
        <w:ind w:left="720" w:right="810"/>
        <w:jc w:val="both"/>
        <w:rPr>
          <w:rFonts w:ascii="Verdana" w:hAnsi="Verdana"/>
          <w:sz w:val="16"/>
          <w:szCs w:val="16"/>
          <w:lang w:val="en-US"/>
        </w:rPr>
      </w:pPr>
      <w:r w:rsidRPr="00012C3F">
        <w:rPr>
          <w:rFonts w:ascii="Verdana" w:hAnsi="Verdana"/>
          <w:sz w:val="16"/>
          <w:szCs w:val="16"/>
          <w:lang w:val="en-US"/>
        </w:rPr>
        <w:t>g. establish the necessary legal and administrative mechanisms to ensure that women subjected to violence have effective access to restitution, reparations or other just and effective remedies[.]</w:t>
      </w:r>
    </w:p>
    <w:p w14:paraId="77456487" w14:textId="77777777" w:rsidR="00502B43" w:rsidRPr="00012C3F" w:rsidRDefault="001254DE" w:rsidP="008376E9">
      <w:pPr>
        <w:numPr>
          <w:ilvl w:val="0"/>
          <w:numId w:val="5"/>
        </w:numPr>
        <w:tabs>
          <w:tab w:val="left" w:pos="720"/>
          <w:tab w:val="num" w:pos="12305"/>
        </w:tabs>
        <w:spacing w:line="240" w:lineRule="auto"/>
        <w:ind w:left="0" w:firstLine="0"/>
        <w:rPr>
          <w:rFonts w:eastAsia="MS Mincho"/>
          <w:bCs/>
          <w:sz w:val="20"/>
          <w:szCs w:val="20"/>
          <w:lang w:val="en-US"/>
        </w:rPr>
      </w:pPr>
      <w:r w:rsidRPr="00012C3F">
        <w:rPr>
          <w:rFonts w:eastAsia="MS Mincho"/>
          <w:bCs/>
          <w:sz w:val="20"/>
          <w:szCs w:val="20"/>
          <w:lang w:val="en-US"/>
        </w:rPr>
        <w:t>The Court</w:t>
      </w:r>
      <w:r w:rsidR="00502B43" w:rsidRPr="00012C3F">
        <w:rPr>
          <w:rFonts w:eastAsia="MS Mincho"/>
          <w:bCs/>
          <w:sz w:val="20"/>
          <w:szCs w:val="20"/>
          <w:lang w:val="en-US"/>
        </w:rPr>
        <w:t xml:space="preserve"> </w:t>
      </w:r>
      <w:r w:rsidR="00502B43" w:rsidRPr="00012C3F">
        <w:rPr>
          <w:rFonts w:eastAsia="MS Mincho"/>
          <w:sz w:val="20"/>
          <w:szCs w:val="20"/>
          <w:lang w:val="en-US"/>
        </w:rPr>
        <w:t>ha</w:t>
      </w:r>
      <w:r w:rsidR="008376E9" w:rsidRPr="00012C3F">
        <w:rPr>
          <w:rFonts w:eastAsia="MS Mincho"/>
          <w:sz w:val="20"/>
          <w:szCs w:val="20"/>
          <w:lang w:val="en-US"/>
        </w:rPr>
        <w:t>s indicated that, when an act of violence is committed against a woman</w:t>
      </w:r>
      <w:r w:rsidR="00274D37" w:rsidRPr="00012C3F">
        <w:rPr>
          <w:rFonts w:eastAsia="MS Mincho"/>
          <w:sz w:val="20"/>
          <w:szCs w:val="20"/>
          <w:lang w:val="en-US"/>
        </w:rPr>
        <w:t>,</w:t>
      </w:r>
      <w:r w:rsidR="008376E9" w:rsidRPr="00012C3F">
        <w:rPr>
          <w:rFonts w:eastAsia="MS Mincho"/>
          <w:sz w:val="20"/>
          <w:szCs w:val="20"/>
          <w:lang w:val="en-US"/>
        </w:rPr>
        <w:t xml:space="preserve"> it is particularly important that the authorities in charge of the investigation conduct it effectively and with determination, taking into account the duty of society to reject violence against women and the obligations of the State to eradicate it and to ensure that </w:t>
      </w:r>
      <w:r w:rsidR="00274D37" w:rsidRPr="00012C3F">
        <w:rPr>
          <w:rFonts w:eastAsia="MS Mincho"/>
          <w:sz w:val="20"/>
          <w:szCs w:val="20"/>
          <w:lang w:val="en-US"/>
        </w:rPr>
        <w:t xml:space="preserve">the </w:t>
      </w:r>
      <w:r w:rsidR="008376E9" w:rsidRPr="00012C3F">
        <w:rPr>
          <w:rFonts w:eastAsia="MS Mincho"/>
          <w:sz w:val="20"/>
          <w:szCs w:val="20"/>
          <w:lang w:val="en-US"/>
        </w:rPr>
        <w:t>victims have confidence in the State institutions for their protection.</w:t>
      </w:r>
      <w:r w:rsidR="00502B43" w:rsidRPr="00012C3F">
        <w:rPr>
          <w:rFonts w:eastAsia="MS Mincho"/>
          <w:sz w:val="20"/>
          <w:szCs w:val="20"/>
          <w:vertAlign w:val="superscript"/>
          <w:lang w:val="en-US"/>
        </w:rPr>
        <w:footnoteReference w:id="374"/>
      </w:r>
      <w:r w:rsidR="00502B43" w:rsidRPr="00012C3F">
        <w:rPr>
          <w:rFonts w:eastAsia="MS Mincho"/>
          <w:bCs/>
          <w:sz w:val="20"/>
          <w:szCs w:val="20"/>
          <w:lang w:val="en-US"/>
        </w:rPr>
        <w:t>.</w:t>
      </w:r>
    </w:p>
    <w:p w14:paraId="3C2E8BF3" w14:textId="77777777" w:rsidR="00502B43" w:rsidRPr="00012C3F" w:rsidRDefault="00502B43" w:rsidP="00502B43">
      <w:pPr>
        <w:tabs>
          <w:tab w:val="left" w:pos="720"/>
        </w:tabs>
        <w:spacing w:line="240" w:lineRule="auto"/>
        <w:rPr>
          <w:rFonts w:eastAsia="MS Mincho"/>
          <w:bCs/>
          <w:sz w:val="20"/>
          <w:szCs w:val="20"/>
          <w:lang w:val="en-US"/>
        </w:rPr>
      </w:pPr>
    </w:p>
    <w:p w14:paraId="60BBBB52" w14:textId="77777777" w:rsidR="00502B43" w:rsidRPr="00012C3F" w:rsidRDefault="00271E24" w:rsidP="009C5B29">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t>Non-consensual</w:t>
      </w:r>
      <w:r w:rsidR="009C5B29" w:rsidRPr="00012C3F">
        <w:rPr>
          <w:rFonts w:eastAsia="MS Mincho"/>
          <w:sz w:val="20"/>
          <w:szCs w:val="20"/>
          <w:lang w:val="en-US"/>
        </w:rPr>
        <w:t xml:space="preserve"> </w:t>
      </w:r>
      <w:r w:rsidR="008376E9" w:rsidRPr="00012C3F">
        <w:rPr>
          <w:rFonts w:eastAsia="MS Mincho"/>
          <w:sz w:val="20"/>
          <w:szCs w:val="20"/>
          <w:lang w:val="en-US"/>
        </w:rPr>
        <w:t>or involuntary</w:t>
      </w:r>
      <w:r w:rsidRPr="00012C3F">
        <w:rPr>
          <w:rFonts w:eastAsia="MS Mincho"/>
          <w:sz w:val="20"/>
          <w:szCs w:val="20"/>
          <w:lang w:val="en-US"/>
        </w:rPr>
        <w:t xml:space="preserve"> sterilization</w:t>
      </w:r>
      <w:r w:rsidR="008376E9" w:rsidRPr="00012C3F">
        <w:rPr>
          <w:rFonts w:eastAsia="MS Mincho"/>
          <w:sz w:val="20"/>
          <w:szCs w:val="20"/>
          <w:lang w:val="en-US"/>
        </w:rPr>
        <w:t xml:space="preserve"> </w:t>
      </w:r>
      <w:r w:rsidR="009C5B29" w:rsidRPr="00012C3F">
        <w:rPr>
          <w:rFonts w:eastAsia="MS Mincho"/>
          <w:sz w:val="20"/>
          <w:szCs w:val="20"/>
          <w:lang w:val="en-US"/>
        </w:rPr>
        <w:t>is</w:t>
      </w:r>
      <w:r w:rsidR="008376E9" w:rsidRPr="00012C3F">
        <w:rPr>
          <w:rFonts w:eastAsia="MS Mincho"/>
          <w:sz w:val="20"/>
          <w:szCs w:val="20"/>
          <w:lang w:val="en-US"/>
        </w:rPr>
        <w:t xml:space="preserve"> one of the many practices encompasse</w:t>
      </w:r>
      <w:r w:rsidR="009C5B29" w:rsidRPr="00012C3F">
        <w:rPr>
          <w:rFonts w:eastAsia="MS Mincho"/>
          <w:sz w:val="20"/>
          <w:szCs w:val="20"/>
          <w:lang w:val="en-US"/>
        </w:rPr>
        <w:t>d by</w:t>
      </w:r>
      <w:r w:rsidR="008376E9" w:rsidRPr="00012C3F">
        <w:rPr>
          <w:rFonts w:eastAsia="MS Mincho"/>
          <w:sz w:val="20"/>
          <w:szCs w:val="20"/>
          <w:lang w:val="en-US"/>
        </w:rPr>
        <w:t xml:space="preserve"> the concept of violence against women</w:t>
      </w:r>
      <w:r w:rsidR="007E5683" w:rsidRPr="00012C3F">
        <w:rPr>
          <w:rFonts w:eastAsia="MS Mincho"/>
          <w:sz w:val="20"/>
          <w:szCs w:val="20"/>
          <w:lang w:val="en-US"/>
        </w:rPr>
        <w:t xml:space="preserve"> </w:t>
      </w:r>
      <w:r w:rsidR="00502B43" w:rsidRPr="00012C3F">
        <w:rPr>
          <w:rFonts w:eastAsia="MS Mincho"/>
          <w:sz w:val="20"/>
          <w:szCs w:val="20"/>
          <w:lang w:val="en-US"/>
        </w:rPr>
        <w:t>(</w:t>
      </w:r>
      <w:r w:rsidR="00502B43" w:rsidRPr="00012C3F">
        <w:rPr>
          <w:rFonts w:eastAsia="MS Mincho"/>
          <w:i/>
          <w:sz w:val="20"/>
          <w:szCs w:val="20"/>
          <w:lang w:val="en-US"/>
        </w:rPr>
        <w:t xml:space="preserve">supra </w:t>
      </w:r>
      <w:r w:rsidR="00370DD4" w:rsidRPr="00012C3F">
        <w:rPr>
          <w:rFonts w:eastAsia="MS Mincho"/>
          <w:sz w:val="20"/>
          <w:szCs w:val="20"/>
          <w:lang w:val="en-US"/>
        </w:rPr>
        <w:t>para.</w:t>
      </w:r>
      <w:r w:rsidR="00502B43" w:rsidRPr="00012C3F">
        <w:rPr>
          <w:rFonts w:eastAsia="MS Mincho"/>
          <w:sz w:val="20"/>
          <w:szCs w:val="20"/>
          <w:lang w:val="en-US"/>
        </w:rPr>
        <w:t xml:space="preserve"> </w:t>
      </w:r>
      <w:r w:rsidR="00D97344" w:rsidRPr="00012C3F">
        <w:rPr>
          <w:rFonts w:eastAsia="MS Mincho"/>
          <w:sz w:val="20"/>
          <w:szCs w:val="20"/>
          <w:lang w:val="en-US"/>
        </w:rPr>
        <w:t>254</w:t>
      </w:r>
      <w:r w:rsidR="00502B43" w:rsidRPr="00012C3F">
        <w:rPr>
          <w:rFonts w:eastAsia="MS Mincho"/>
          <w:sz w:val="20"/>
          <w:szCs w:val="20"/>
          <w:lang w:val="en-US"/>
        </w:rPr>
        <w:t xml:space="preserve">) </w:t>
      </w:r>
      <w:r w:rsidR="009C5B29" w:rsidRPr="00012C3F">
        <w:rPr>
          <w:rFonts w:eastAsia="MS Mincho"/>
          <w:sz w:val="20"/>
          <w:szCs w:val="20"/>
          <w:lang w:val="en-US"/>
        </w:rPr>
        <w:t>and, to this extent, the standards development in this Court’s case law regarding the obligation to investigate in cases of violence against women become applicable. However, contrary to previous cases which related to rape, death, ill-treatment and violations of personal liberty committed in a general context of violence against women,</w:t>
      </w:r>
      <w:r w:rsidR="00502B43" w:rsidRPr="00012C3F">
        <w:rPr>
          <w:rStyle w:val="Refdenotaalpie"/>
          <w:bCs/>
          <w:sz w:val="20"/>
          <w:lang w:val="en-US"/>
        </w:rPr>
        <w:footnoteReference w:id="375"/>
      </w:r>
      <w:r w:rsidR="00502B43" w:rsidRPr="00012C3F">
        <w:rPr>
          <w:rFonts w:eastAsia="MS Mincho"/>
          <w:sz w:val="20"/>
          <w:szCs w:val="20"/>
          <w:lang w:val="en-US"/>
        </w:rPr>
        <w:t xml:space="preserve"> </w:t>
      </w:r>
      <w:r w:rsidR="001254DE" w:rsidRPr="00012C3F">
        <w:rPr>
          <w:rFonts w:eastAsia="MS Mincho"/>
          <w:sz w:val="20"/>
          <w:szCs w:val="20"/>
          <w:lang w:val="en-US"/>
        </w:rPr>
        <w:t>the Court</w:t>
      </w:r>
      <w:r w:rsidR="00502B43" w:rsidRPr="00012C3F">
        <w:rPr>
          <w:rFonts w:eastAsia="MS Mincho"/>
          <w:sz w:val="20"/>
          <w:szCs w:val="20"/>
          <w:lang w:val="en-US"/>
        </w:rPr>
        <w:t xml:space="preserve"> not</w:t>
      </w:r>
      <w:r w:rsidR="009C5B29" w:rsidRPr="00012C3F">
        <w:rPr>
          <w:rFonts w:eastAsia="MS Mincho"/>
          <w:sz w:val="20"/>
          <w:szCs w:val="20"/>
          <w:lang w:val="en-US"/>
        </w:rPr>
        <w:t>es that this cases refers to a violation of</w:t>
      </w:r>
      <w:r w:rsidR="00DF5BD3" w:rsidRPr="00012C3F">
        <w:rPr>
          <w:rFonts w:eastAsia="MS Mincho"/>
          <w:sz w:val="20"/>
          <w:szCs w:val="20"/>
          <w:lang w:val="en-US"/>
        </w:rPr>
        <w:t xml:space="preserve"> </w:t>
      </w:r>
      <w:r w:rsidR="00A710F6" w:rsidRPr="00012C3F">
        <w:rPr>
          <w:rFonts w:eastAsia="MS Mincho"/>
          <w:sz w:val="20"/>
          <w:szCs w:val="20"/>
          <w:lang w:val="en-US"/>
        </w:rPr>
        <w:t>sexual and reproductive rights</w:t>
      </w:r>
      <w:r w:rsidR="00502B43" w:rsidRPr="00012C3F">
        <w:rPr>
          <w:rFonts w:eastAsia="MS Mincho"/>
          <w:sz w:val="20"/>
          <w:szCs w:val="20"/>
          <w:lang w:val="en-US"/>
        </w:rPr>
        <w:t xml:space="preserve">, </w:t>
      </w:r>
      <w:r w:rsidR="009C5B29" w:rsidRPr="00012C3F">
        <w:rPr>
          <w:rFonts w:eastAsia="MS Mincho"/>
          <w:sz w:val="20"/>
          <w:szCs w:val="20"/>
          <w:lang w:val="en-US"/>
        </w:rPr>
        <w:t xml:space="preserve">in which the physician deprived I.V. of her reproductive function without her </w:t>
      </w:r>
      <w:r w:rsidR="00AC0004" w:rsidRPr="00012C3F">
        <w:rPr>
          <w:rFonts w:eastAsia="MS Mincho"/>
          <w:sz w:val="20"/>
          <w:szCs w:val="20"/>
          <w:lang w:val="en-US"/>
        </w:rPr>
        <w:t>informed consent</w:t>
      </w:r>
      <w:r w:rsidR="00502B43" w:rsidRPr="00012C3F">
        <w:rPr>
          <w:rFonts w:eastAsia="MS Mincho"/>
          <w:sz w:val="20"/>
          <w:szCs w:val="20"/>
          <w:lang w:val="en-US"/>
        </w:rPr>
        <w:t xml:space="preserve"> </w:t>
      </w:r>
      <w:r w:rsidR="009C5B29" w:rsidRPr="00012C3F">
        <w:rPr>
          <w:rFonts w:eastAsia="MS Mincho"/>
          <w:sz w:val="20"/>
          <w:szCs w:val="20"/>
          <w:lang w:val="en-US"/>
        </w:rPr>
        <w:t>in a public hospital during a c</w:t>
      </w:r>
      <w:r w:rsidR="00D22661" w:rsidRPr="00012C3F">
        <w:rPr>
          <w:rFonts w:eastAsia="MS Mincho"/>
          <w:sz w:val="20"/>
          <w:szCs w:val="20"/>
          <w:lang w:val="en-US"/>
        </w:rPr>
        <w:t>aesarean section</w:t>
      </w:r>
      <w:r w:rsidR="009C5B29" w:rsidRPr="00012C3F">
        <w:rPr>
          <w:rFonts w:eastAsia="MS Mincho"/>
          <w:sz w:val="20"/>
          <w:szCs w:val="20"/>
          <w:lang w:val="en-US"/>
        </w:rPr>
        <w:t>. According to the evidence that has been presented, this non-consensual sterilization did not form part of a State policy and did not take place during an armed conflict or as part of a general and systematic attack on the civilian population. However, in this Court’s opinion, this does not mean that the said act should be classified merely as the ineptitude of the physician</w:t>
      </w:r>
      <w:r w:rsidR="00502B43" w:rsidRPr="00012C3F">
        <w:rPr>
          <w:rFonts w:eastAsia="MS Mincho"/>
          <w:sz w:val="20"/>
          <w:szCs w:val="20"/>
          <w:lang w:val="en-US"/>
        </w:rPr>
        <w:t xml:space="preserve">, </w:t>
      </w:r>
      <w:r w:rsidR="009C5B29" w:rsidRPr="00012C3F">
        <w:rPr>
          <w:rFonts w:eastAsia="MS Mincho"/>
          <w:sz w:val="20"/>
          <w:szCs w:val="20"/>
          <w:lang w:val="en-US"/>
        </w:rPr>
        <w:t>but rather it constitutes a significant violation of human rights and, i</w:t>
      </w:r>
      <w:r w:rsidR="00502B43" w:rsidRPr="00012C3F">
        <w:rPr>
          <w:rFonts w:eastAsia="MS Mincho"/>
          <w:sz w:val="20"/>
          <w:szCs w:val="20"/>
          <w:lang w:val="en-US"/>
        </w:rPr>
        <w:t xml:space="preserve">n particular, </w:t>
      </w:r>
      <w:r w:rsidR="009C5B29" w:rsidRPr="00012C3F">
        <w:rPr>
          <w:rFonts w:eastAsia="MS Mincho"/>
          <w:sz w:val="20"/>
          <w:szCs w:val="20"/>
          <w:lang w:val="en-US"/>
        </w:rPr>
        <w:t xml:space="preserve">a crass disregard for </w:t>
      </w:r>
      <w:r w:rsidR="00DF5BD3" w:rsidRPr="00012C3F">
        <w:rPr>
          <w:rFonts w:eastAsia="MS Mincho"/>
          <w:sz w:val="20"/>
          <w:szCs w:val="20"/>
          <w:lang w:val="en-US"/>
        </w:rPr>
        <w:t xml:space="preserve">the </w:t>
      </w:r>
      <w:r w:rsidR="00A710F6" w:rsidRPr="00012C3F">
        <w:rPr>
          <w:rFonts w:eastAsia="MS Mincho"/>
          <w:sz w:val="20"/>
          <w:szCs w:val="20"/>
          <w:lang w:val="en-US"/>
        </w:rPr>
        <w:t>sexual and reproductive rights</w:t>
      </w:r>
      <w:r w:rsidR="005E5012" w:rsidRPr="00012C3F">
        <w:rPr>
          <w:rFonts w:eastAsia="MS Mincho"/>
          <w:sz w:val="20"/>
          <w:szCs w:val="20"/>
          <w:lang w:val="en-US"/>
        </w:rPr>
        <w:t xml:space="preserve"> and </w:t>
      </w:r>
      <w:r w:rsidR="009C5B29" w:rsidRPr="00012C3F">
        <w:rPr>
          <w:rFonts w:eastAsia="MS Mincho"/>
          <w:sz w:val="20"/>
          <w:szCs w:val="20"/>
          <w:lang w:val="en-US"/>
        </w:rPr>
        <w:t>the autonomy of women.</w:t>
      </w:r>
    </w:p>
    <w:p w14:paraId="1D0E3506" w14:textId="77777777" w:rsidR="00502B43" w:rsidRPr="00012C3F" w:rsidRDefault="00502B43" w:rsidP="00502B43">
      <w:pPr>
        <w:tabs>
          <w:tab w:val="left" w:pos="720"/>
        </w:tabs>
        <w:spacing w:line="240" w:lineRule="auto"/>
        <w:rPr>
          <w:rFonts w:eastAsia="MS Mincho"/>
          <w:sz w:val="20"/>
          <w:szCs w:val="20"/>
          <w:lang w:val="en-US"/>
        </w:rPr>
      </w:pPr>
    </w:p>
    <w:p w14:paraId="4514E0CD" w14:textId="77777777" w:rsidR="00502B43" w:rsidRPr="00012C3F" w:rsidRDefault="009F52EA" w:rsidP="009F52EA">
      <w:pPr>
        <w:numPr>
          <w:ilvl w:val="0"/>
          <w:numId w:val="5"/>
        </w:numPr>
        <w:tabs>
          <w:tab w:val="left" w:pos="720"/>
          <w:tab w:val="num" w:pos="12305"/>
        </w:tabs>
        <w:spacing w:line="240" w:lineRule="auto"/>
        <w:ind w:left="0" w:firstLine="0"/>
        <w:rPr>
          <w:rFonts w:eastAsia="MS Mincho"/>
          <w:sz w:val="20"/>
          <w:szCs w:val="20"/>
          <w:lang w:val="en-US"/>
        </w:rPr>
      </w:pPr>
      <w:r w:rsidRPr="00012C3F">
        <w:rPr>
          <w:sz w:val="20"/>
          <w:szCs w:val="20"/>
          <w:lang w:val="en-US"/>
        </w:rPr>
        <w:lastRenderedPageBreak/>
        <w:t xml:space="preserve">Indeed, as stressed by the </w:t>
      </w:r>
      <w:r w:rsidRPr="00012C3F">
        <w:rPr>
          <w:color w:val="000000" w:themeColor="text1"/>
          <w:sz w:val="20"/>
          <w:szCs w:val="20"/>
          <w:lang w:val="en-US"/>
        </w:rPr>
        <w:t>Special Rapporteur on violence against women, its causes and consequences</w:t>
      </w:r>
      <w:r w:rsidR="00502B43" w:rsidRPr="00012C3F">
        <w:rPr>
          <w:sz w:val="20"/>
          <w:szCs w:val="20"/>
          <w:lang w:val="en-US"/>
        </w:rPr>
        <w:t>, “</w:t>
      </w:r>
      <w:r w:rsidRPr="00012C3F">
        <w:rPr>
          <w:sz w:val="20"/>
          <w:szCs w:val="20"/>
          <w:lang w:val="en-US"/>
        </w:rPr>
        <w:t>[v]iolence and violations of women’s reproductive health may result either from direct State action, via harmful reproductive policies, or from State failure to meet its core obligations to promote the empowerment of women[, and this implies] the State’s obligation to act with due diligence to prevent, investigate, and punish violation.</w:t>
      </w:r>
      <w:r w:rsidR="00502B43" w:rsidRPr="00012C3F">
        <w:rPr>
          <w:rFonts w:eastAsia="MS Mincho"/>
          <w:sz w:val="20"/>
          <w:szCs w:val="20"/>
          <w:lang w:val="en-US"/>
        </w:rPr>
        <w:t>”</w:t>
      </w:r>
      <w:r w:rsidR="00502B43" w:rsidRPr="00012C3F">
        <w:rPr>
          <w:rStyle w:val="Refdenotaalpie"/>
          <w:rFonts w:eastAsia="MS Mincho"/>
          <w:sz w:val="20"/>
          <w:lang w:val="en-US"/>
        </w:rPr>
        <w:footnoteReference w:id="376"/>
      </w:r>
    </w:p>
    <w:p w14:paraId="4D00E619" w14:textId="77777777" w:rsidR="00AC7939" w:rsidRPr="00012C3F" w:rsidRDefault="00AC7939" w:rsidP="009F52EA">
      <w:pPr>
        <w:tabs>
          <w:tab w:val="left" w:pos="720"/>
        </w:tabs>
        <w:spacing w:line="240" w:lineRule="auto"/>
        <w:rPr>
          <w:rFonts w:eastAsia="MS Mincho"/>
          <w:sz w:val="20"/>
          <w:szCs w:val="20"/>
          <w:lang w:val="en-US"/>
        </w:rPr>
      </w:pPr>
    </w:p>
    <w:p w14:paraId="36882DD1" w14:textId="77777777" w:rsidR="00B81E4D" w:rsidRPr="00012C3F" w:rsidRDefault="009F52EA" w:rsidP="009F52EA">
      <w:pPr>
        <w:numPr>
          <w:ilvl w:val="0"/>
          <w:numId w:val="5"/>
        </w:numPr>
        <w:tabs>
          <w:tab w:val="left" w:pos="720"/>
          <w:tab w:val="num" w:pos="12305"/>
        </w:tabs>
        <w:spacing w:line="240" w:lineRule="auto"/>
        <w:ind w:left="0" w:firstLine="0"/>
        <w:rPr>
          <w:rFonts w:eastAsia="MS Mincho"/>
          <w:sz w:val="20"/>
          <w:szCs w:val="20"/>
          <w:lang w:val="en-US"/>
        </w:rPr>
      </w:pPr>
      <w:r w:rsidRPr="00012C3F">
        <w:rPr>
          <w:sz w:val="20"/>
          <w:szCs w:val="20"/>
          <w:lang w:val="en-US"/>
        </w:rPr>
        <w:t xml:space="preserve">Therefore, the protection of </w:t>
      </w:r>
      <w:r w:rsidR="00DF5BD3" w:rsidRPr="00012C3F">
        <w:rPr>
          <w:sz w:val="20"/>
          <w:szCs w:val="20"/>
          <w:lang w:val="en-US"/>
        </w:rPr>
        <w:t>the rights</w:t>
      </w:r>
      <w:r w:rsidR="00375A37" w:rsidRPr="00012C3F">
        <w:rPr>
          <w:sz w:val="20"/>
          <w:szCs w:val="20"/>
          <w:lang w:val="en-US"/>
        </w:rPr>
        <w:t xml:space="preserve"> of women by </w:t>
      </w:r>
      <w:r w:rsidR="00B81E4D" w:rsidRPr="00012C3F">
        <w:rPr>
          <w:sz w:val="20"/>
          <w:szCs w:val="20"/>
          <w:lang w:val="en-US"/>
        </w:rPr>
        <w:t>a</w:t>
      </w:r>
      <w:r w:rsidR="00375A37" w:rsidRPr="00012C3F">
        <w:rPr>
          <w:sz w:val="20"/>
          <w:szCs w:val="20"/>
          <w:lang w:val="en-US"/>
        </w:rPr>
        <w:t>ccess to opportune, adequate and effective remedies</w:t>
      </w:r>
      <w:r w:rsidR="00B81E4D" w:rsidRPr="00012C3F">
        <w:rPr>
          <w:sz w:val="20"/>
          <w:szCs w:val="20"/>
          <w:lang w:val="en-US"/>
        </w:rPr>
        <w:t xml:space="preserve"> to redress such violations comprehensively and to avoid a recurrence of such facts in future is extremely relevant if it is considered that, nowadays, in the context of medical care and access to health care services, women continue to be vulnerable to violations of their sexual and reproductive rights, in most cases through discriminatory practices that are the result of the application of prejudicial stereotypes.</w:t>
      </w:r>
    </w:p>
    <w:p w14:paraId="21527183" w14:textId="77777777" w:rsidR="00502B43" w:rsidRPr="00012C3F" w:rsidRDefault="00502B43" w:rsidP="00502B43">
      <w:pPr>
        <w:tabs>
          <w:tab w:val="left" w:pos="720"/>
        </w:tabs>
        <w:spacing w:line="240" w:lineRule="auto"/>
        <w:rPr>
          <w:rFonts w:eastAsia="MS Mincho"/>
          <w:sz w:val="20"/>
          <w:szCs w:val="20"/>
          <w:lang w:val="en-US"/>
        </w:rPr>
      </w:pPr>
    </w:p>
    <w:p w14:paraId="72D9661C" w14:textId="77777777" w:rsidR="00AC7939" w:rsidRPr="00012C3F" w:rsidRDefault="008C36B0" w:rsidP="008C36B0">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t xml:space="preserve">That said, </w:t>
      </w:r>
      <w:r w:rsidR="001254DE" w:rsidRPr="00012C3F">
        <w:rPr>
          <w:rFonts w:eastAsia="MS Mincho"/>
          <w:sz w:val="20"/>
          <w:szCs w:val="20"/>
          <w:lang w:val="en-US"/>
        </w:rPr>
        <w:t>the Court</w:t>
      </w:r>
      <w:r w:rsidR="00502B43" w:rsidRPr="00012C3F">
        <w:rPr>
          <w:rFonts w:eastAsia="MS Mincho"/>
          <w:sz w:val="20"/>
          <w:szCs w:val="20"/>
          <w:lang w:val="en-US"/>
        </w:rPr>
        <w:t xml:space="preserve"> consider</w:t>
      </w:r>
      <w:r w:rsidRPr="00012C3F">
        <w:rPr>
          <w:rFonts w:eastAsia="MS Mincho"/>
          <w:sz w:val="20"/>
          <w:szCs w:val="20"/>
          <w:lang w:val="en-US"/>
        </w:rPr>
        <w:t xml:space="preserve">s that the need </w:t>
      </w:r>
      <w:r w:rsidR="00B1199F" w:rsidRPr="00012C3F">
        <w:rPr>
          <w:rFonts w:eastAsia="MS Mincho"/>
          <w:sz w:val="20"/>
          <w:szCs w:val="20"/>
          <w:lang w:val="en-US"/>
        </w:rPr>
        <w:t>to</w:t>
      </w:r>
      <w:r w:rsidRPr="00012C3F">
        <w:rPr>
          <w:rFonts w:eastAsia="MS Mincho"/>
          <w:sz w:val="20"/>
          <w:szCs w:val="20"/>
          <w:lang w:val="en-US"/>
        </w:rPr>
        <w:t xml:space="preserve"> criminalize certain violations of </w:t>
      </w:r>
      <w:r w:rsidR="00274D37" w:rsidRPr="00012C3F">
        <w:rPr>
          <w:rFonts w:eastAsia="MS Mincho"/>
          <w:sz w:val="20"/>
          <w:szCs w:val="20"/>
          <w:lang w:val="en-US"/>
        </w:rPr>
        <w:t>sexual and reproductive rights</w:t>
      </w:r>
      <w:r w:rsidRPr="00012C3F">
        <w:rPr>
          <w:rFonts w:eastAsia="MS Mincho"/>
          <w:sz w:val="20"/>
          <w:szCs w:val="20"/>
          <w:lang w:val="en-US"/>
        </w:rPr>
        <w:t xml:space="preserve">, as well as the evaluation of cases in which a criminal investigation is appropriate, should respond to a careful and balanced examination of the circumstances of the case, since some criminal offenses may be openly incompatible with human rights obligations because they limit or deny access to </w:t>
      </w:r>
      <w:r w:rsidR="00502B43" w:rsidRPr="00012C3F">
        <w:rPr>
          <w:rFonts w:eastAsia="MS Mincho"/>
          <w:sz w:val="20"/>
          <w:szCs w:val="20"/>
          <w:lang w:val="en-US"/>
        </w:rPr>
        <w:t>sexual</w:t>
      </w:r>
      <w:r w:rsidR="005E5012" w:rsidRPr="00012C3F">
        <w:rPr>
          <w:rFonts w:eastAsia="MS Mincho"/>
          <w:sz w:val="20"/>
          <w:szCs w:val="20"/>
          <w:lang w:val="en-US"/>
        </w:rPr>
        <w:t xml:space="preserve"> and </w:t>
      </w:r>
      <w:r w:rsidR="00502B43" w:rsidRPr="00012C3F">
        <w:rPr>
          <w:rFonts w:eastAsia="MS Mincho"/>
          <w:sz w:val="20"/>
          <w:szCs w:val="20"/>
          <w:lang w:val="en-US"/>
        </w:rPr>
        <w:t>reproductiv</w:t>
      </w:r>
      <w:r w:rsidRPr="00012C3F">
        <w:rPr>
          <w:rFonts w:eastAsia="MS Mincho"/>
          <w:sz w:val="20"/>
          <w:szCs w:val="20"/>
          <w:lang w:val="en-US"/>
        </w:rPr>
        <w:t>e health.</w:t>
      </w:r>
      <w:r w:rsidR="00502B43" w:rsidRPr="00012C3F">
        <w:rPr>
          <w:rStyle w:val="Refdenotaalpie"/>
          <w:rFonts w:eastAsia="MS Mincho"/>
          <w:sz w:val="20"/>
          <w:lang w:val="en-US"/>
        </w:rPr>
        <w:footnoteReference w:id="377"/>
      </w:r>
    </w:p>
    <w:p w14:paraId="192F30DE" w14:textId="77777777" w:rsidR="00AC7939" w:rsidRPr="00012C3F" w:rsidRDefault="00AC7939" w:rsidP="009F52EA">
      <w:pPr>
        <w:tabs>
          <w:tab w:val="left" w:pos="720"/>
        </w:tabs>
        <w:spacing w:line="240" w:lineRule="auto"/>
        <w:rPr>
          <w:rFonts w:eastAsia="MS Mincho"/>
          <w:sz w:val="20"/>
          <w:szCs w:val="20"/>
          <w:lang w:val="en-US"/>
        </w:rPr>
      </w:pPr>
    </w:p>
    <w:p w14:paraId="42726F51" w14:textId="77777777" w:rsidR="00502B43" w:rsidRPr="00012C3F" w:rsidRDefault="008C36B0" w:rsidP="008C36B0">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t>It is clear that international criminal law establishes an obligatio</w:t>
      </w:r>
      <w:r w:rsidR="00274D37" w:rsidRPr="00012C3F">
        <w:rPr>
          <w:rFonts w:eastAsia="MS Mincho"/>
          <w:sz w:val="20"/>
          <w:szCs w:val="20"/>
          <w:lang w:val="en-US"/>
        </w:rPr>
        <w:t>n,</w:t>
      </w:r>
      <w:r w:rsidRPr="00012C3F">
        <w:rPr>
          <w:rFonts w:eastAsia="MS Mincho"/>
          <w:sz w:val="20"/>
          <w:szCs w:val="20"/>
          <w:lang w:val="en-US"/>
        </w:rPr>
        <w:t xml:space="preserve"> as a domestic legal reflection of the Rome Statute</w:t>
      </w:r>
      <w:r w:rsidR="00274D37" w:rsidRPr="00012C3F">
        <w:rPr>
          <w:rFonts w:eastAsia="MS Mincho"/>
          <w:sz w:val="20"/>
          <w:szCs w:val="20"/>
          <w:lang w:val="en-US"/>
        </w:rPr>
        <w:t>,</w:t>
      </w:r>
      <w:r w:rsidRPr="00012C3F">
        <w:rPr>
          <w:rFonts w:eastAsia="MS Mincho"/>
          <w:sz w:val="20"/>
          <w:szCs w:val="20"/>
          <w:lang w:val="en-US"/>
        </w:rPr>
        <w:t xml:space="preserve"> to define forced sterilization as a crime against humanity and a war crime </w:t>
      </w:r>
      <w:r w:rsidR="004A27D9" w:rsidRPr="00012C3F">
        <w:rPr>
          <w:rFonts w:eastAsia="MS Mincho"/>
          <w:sz w:val="20"/>
          <w:szCs w:val="20"/>
          <w:lang w:val="en-US"/>
        </w:rPr>
        <w:t>(</w:t>
      </w:r>
      <w:r w:rsidR="004A27D9" w:rsidRPr="00012C3F">
        <w:rPr>
          <w:rFonts w:eastAsia="MS Mincho"/>
          <w:i/>
          <w:sz w:val="20"/>
          <w:szCs w:val="20"/>
          <w:lang w:val="en-US"/>
        </w:rPr>
        <w:t>supra</w:t>
      </w:r>
      <w:r w:rsidR="004A27D9" w:rsidRPr="00012C3F">
        <w:rPr>
          <w:rFonts w:eastAsia="MS Mincho"/>
          <w:sz w:val="20"/>
          <w:szCs w:val="20"/>
          <w:lang w:val="en-US"/>
        </w:rPr>
        <w:t xml:space="preserve"> </w:t>
      </w:r>
      <w:r w:rsidR="00370DD4" w:rsidRPr="00012C3F">
        <w:rPr>
          <w:rFonts w:eastAsia="MS Mincho"/>
          <w:sz w:val="20"/>
          <w:szCs w:val="20"/>
          <w:lang w:val="en-US"/>
        </w:rPr>
        <w:t>para.</w:t>
      </w:r>
      <w:r w:rsidR="004A27D9" w:rsidRPr="00012C3F">
        <w:rPr>
          <w:rFonts w:eastAsia="MS Mincho"/>
          <w:sz w:val="20"/>
          <w:szCs w:val="20"/>
          <w:lang w:val="en-US"/>
        </w:rPr>
        <w:t xml:space="preserve"> 204)</w:t>
      </w:r>
      <w:r w:rsidR="00502B43" w:rsidRPr="00012C3F">
        <w:rPr>
          <w:sz w:val="20"/>
          <w:szCs w:val="20"/>
          <w:lang w:val="en-US"/>
        </w:rPr>
        <w:t xml:space="preserve">, </w:t>
      </w:r>
      <w:r w:rsidRPr="00012C3F">
        <w:rPr>
          <w:sz w:val="20"/>
          <w:szCs w:val="20"/>
          <w:lang w:val="en-US"/>
        </w:rPr>
        <w:t>and this practice may even constitute an act of genocide.</w:t>
      </w:r>
      <w:r w:rsidR="00502B43" w:rsidRPr="00012C3F">
        <w:rPr>
          <w:rStyle w:val="Refdenotaalpie"/>
          <w:sz w:val="20"/>
          <w:lang w:val="en-US"/>
        </w:rPr>
        <w:footnoteReference w:id="378"/>
      </w:r>
      <w:r w:rsidRPr="00012C3F">
        <w:rPr>
          <w:rFonts w:eastAsia="MS Mincho"/>
          <w:sz w:val="20"/>
          <w:szCs w:val="20"/>
          <w:lang w:val="en-US"/>
        </w:rPr>
        <w:t xml:space="preserve"> That obligation evidently</w:t>
      </w:r>
      <w:r w:rsidR="00502B43" w:rsidRPr="00012C3F">
        <w:rPr>
          <w:rFonts w:eastAsia="MS Mincho"/>
          <w:sz w:val="20"/>
          <w:szCs w:val="20"/>
          <w:lang w:val="en-US"/>
        </w:rPr>
        <w:t xml:space="preserve"> </w:t>
      </w:r>
      <w:r w:rsidRPr="00012C3F">
        <w:rPr>
          <w:rFonts w:eastAsia="MS Mincho"/>
          <w:sz w:val="20"/>
          <w:szCs w:val="20"/>
          <w:lang w:val="en-US"/>
        </w:rPr>
        <w:t xml:space="preserve">involves an obligation to investigate </w:t>
      </w:r>
      <w:r w:rsidR="00502B43" w:rsidRPr="00012C3F">
        <w:rPr>
          <w:rFonts w:eastAsia="MS Mincho"/>
          <w:i/>
          <w:sz w:val="20"/>
          <w:szCs w:val="20"/>
          <w:lang w:val="en-US"/>
        </w:rPr>
        <w:t xml:space="preserve">ex officio </w:t>
      </w:r>
      <w:r w:rsidRPr="00012C3F">
        <w:rPr>
          <w:rFonts w:eastAsia="MS Mincho"/>
          <w:sz w:val="20"/>
          <w:szCs w:val="20"/>
          <w:lang w:val="en-US"/>
        </w:rPr>
        <w:t>such conduct</w:t>
      </w:r>
      <w:r w:rsidR="00502B43" w:rsidRPr="00012C3F">
        <w:rPr>
          <w:rFonts w:eastAsia="MS Mincho"/>
          <w:sz w:val="20"/>
          <w:szCs w:val="20"/>
          <w:lang w:val="en-US"/>
        </w:rPr>
        <w:t xml:space="preserve">. </w:t>
      </w:r>
    </w:p>
    <w:p w14:paraId="3B2558E2" w14:textId="77777777" w:rsidR="00502B43" w:rsidRPr="00012C3F" w:rsidRDefault="00502B43" w:rsidP="009F52EA">
      <w:pPr>
        <w:tabs>
          <w:tab w:val="left" w:pos="720"/>
        </w:tabs>
        <w:spacing w:line="240" w:lineRule="auto"/>
        <w:rPr>
          <w:rFonts w:eastAsia="MS Mincho"/>
          <w:sz w:val="20"/>
          <w:szCs w:val="20"/>
          <w:lang w:val="en-US"/>
        </w:rPr>
      </w:pPr>
    </w:p>
    <w:p w14:paraId="22CFA381" w14:textId="77777777" w:rsidR="00502B43" w:rsidRPr="00012C3F" w:rsidRDefault="00377495" w:rsidP="006F75F3">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t>Regarding i</w:t>
      </w:r>
      <w:r w:rsidR="008C36B0" w:rsidRPr="00012C3F">
        <w:rPr>
          <w:rFonts w:eastAsia="MS Mincho"/>
          <w:sz w:val="20"/>
          <w:szCs w:val="20"/>
          <w:lang w:val="en-US"/>
        </w:rPr>
        <w:t>nternational practice</w:t>
      </w:r>
      <w:r w:rsidRPr="00012C3F">
        <w:rPr>
          <w:rFonts w:eastAsia="MS Mincho"/>
          <w:sz w:val="20"/>
          <w:szCs w:val="20"/>
          <w:lang w:val="en-US"/>
        </w:rPr>
        <w:t>,</w:t>
      </w:r>
      <w:r w:rsidR="008C36B0" w:rsidRPr="00012C3F">
        <w:rPr>
          <w:rFonts w:eastAsia="MS Mincho"/>
          <w:sz w:val="20"/>
          <w:szCs w:val="20"/>
          <w:lang w:val="en-US"/>
        </w:rPr>
        <w:t xml:space="preserve"> the </w:t>
      </w:r>
      <w:r w:rsidR="00BC0785" w:rsidRPr="00012C3F">
        <w:rPr>
          <w:rFonts w:eastAsia="MS Mincho"/>
          <w:sz w:val="20"/>
          <w:szCs w:val="20"/>
          <w:lang w:val="en-US"/>
        </w:rPr>
        <w:t>Committee for the Elimination of Discrimination against Women</w:t>
      </w:r>
      <w:r w:rsidR="000B5D06" w:rsidRPr="00012C3F" w:rsidDel="000B5D06">
        <w:rPr>
          <w:rFonts w:eastAsia="MS Mincho"/>
          <w:sz w:val="20"/>
          <w:szCs w:val="20"/>
          <w:lang w:val="en-US"/>
        </w:rPr>
        <w:t xml:space="preserve"> </w:t>
      </w:r>
      <w:r w:rsidR="008C36B0" w:rsidRPr="00012C3F">
        <w:rPr>
          <w:rFonts w:eastAsia="MS Mincho"/>
          <w:sz w:val="20"/>
          <w:szCs w:val="20"/>
          <w:lang w:val="en-US"/>
        </w:rPr>
        <w:t>has ruled</w:t>
      </w:r>
      <w:r w:rsidRPr="00012C3F">
        <w:rPr>
          <w:rFonts w:eastAsia="MS Mincho"/>
          <w:sz w:val="20"/>
          <w:szCs w:val="20"/>
          <w:lang w:val="en-US"/>
        </w:rPr>
        <w:t xml:space="preserve"> </w:t>
      </w:r>
      <w:r w:rsidR="008C36B0" w:rsidRPr="00012C3F">
        <w:rPr>
          <w:rFonts w:eastAsia="MS Mincho"/>
          <w:sz w:val="20"/>
          <w:szCs w:val="20"/>
          <w:lang w:val="en-US"/>
        </w:rPr>
        <w:t xml:space="preserve">on the obligation of States to adopt effective measures to prevent and </w:t>
      </w:r>
      <w:r w:rsidR="006F75F3" w:rsidRPr="00012C3F">
        <w:rPr>
          <w:rFonts w:eastAsia="MS Mincho"/>
          <w:sz w:val="20"/>
          <w:szCs w:val="20"/>
          <w:lang w:val="en-US"/>
        </w:rPr>
        <w:t>remedy non-consensual, involuntary, coerced or forced sterilizations, including establishing appropriate sanctions and measures of compensation.</w:t>
      </w:r>
      <w:r w:rsidR="00A053F1" w:rsidRPr="00012C3F">
        <w:rPr>
          <w:rStyle w:val="Refdenotaalpie"/>
          <w:sz w:val="20"/>
          <w:lang w:val="en-US"/>
        </w:rPr>
        <w:footnoteReference w:id="379"/>
      </w:r>
      <w:r w:rsidR="006F75F3" w:rsidRPr="00012C3F">
        <w:rPr>
          <w:rFonts w:eastAsia="MS Mincho"/>
          <w:sz w:val="20"/>
          <w:szCs w:val="20"/>
          <w:lang w:val="en-US"/>
        </w:rPr>
        <w:t xml:space="preserve"> Thus, in its </w:t>
      </w:r>
      <w:r w:rsidR="00891C09" w:rsidRPr="00012C3F">
        <w:rPr>
          <w:rFonts w:eastAsia="MS Mincho"/>
          <w:sz w:val="20"/>
          <w:szCs w:val="20"/>
          <w:lang w:val="en-US"/>
        </w:rPr>
        <w:t>General Recommendation</w:t>
      </w:r>
      <w:r w:rsidR="00502B43" w:rsidRPr="00012C3F">
        <w:rPr>
          <w:rFonts w:eastAsia="MS Mincho"/>
          <w:sz w:val="20"/>
          <w:szCs w:val="20"/>
          <w:lang w:val="en-US"/>
        </w:rPr>
        <w:t xml:space="preserve"> N</w:t>
      </w:r>
      <w:r w:rsidR="000B5D06" w:rsidRPr="00012C3F">
        <w:rPr>
          <w:rFonts w:eastAsia="MS Mincho"/>
          <w:sz w:val="20"/>
          <w:szCs w:val="20"/>
          <w:lang w:val="en-US"/>
        </w:rPr>
        <w:t>o.</w:t>
      </w:r>
      <w:r w:rsidR="00502B43" w:rsidRPr="00012C3F">
        <w:rPr>
          <w:rFonts w:eastAsia="MS Mincho"/>
          <w:sz w:val="20"/>
          <w:szCs w:val="20"/>
          <w:lang w:val="en-US"/>
        </w:rPr>
        <w:t xml:space="preserve"> 24 </w:t>
      </w:r>
      <w:r w:rsidR="006F75F3" w:rsidRPr="00012C3F">
        <w:rPr>
          <w:rFonts w:eastAsia="MS Mincho"/>
          <w:sz w:val="20"/>
          <w:szCs w:val="20"/>
          <w:lang w:val="en-US"/>
        </w:rPr>
        <w:t>of</w:t>
      </w:r>
      <w:r w:rsidR="000B5D06" w:rsidRPr="00012C3F">
        <w:rPr>
          <w:rFonts w:eastAsia="MS Mincho"/>
          <w:sz w:val="20"/>
          <w:szCs w:val="20"/>
          <w:lang w:val="en-US"/>
        </w:rPr>
        <w:t xml:space="preserve"> </w:t>
      </w:r>
      <w:r w:rsidR="00502B43" w:rsidRPr="00012C3F">
        <w:rPr>
          <w:rFonts w:eastAsia="MS Mincho"/>
          <w:sz w:val="20"/>
          <w:szCs w:val="20"/>
          <w:lang w:val="en-US"/>
        </w:rPr>
        <w:t>1999</w:t>
      </w:r>
      <w:r w:rsidR="006F75F3" w:rsidRPr="00012C3F">
        <w:rPr>
          <w:rFonts w:eastAsia="MS Mincho"/>
          <w:sz w:val="20"/>
          <w:szCs w:val="20"/>
          <w:lang w:val="en-US"/>
        </w:rPr>
        <w:t>, it indicated that “</w:t>
      </w:r>
      <w:r w:rsidR="006F75F3" w:rsidRPr="00012C3F">
        <w:rPr>
          <w:sz w:val="20"/>
          <w:szCs w:val="20"/>
          <w:lang w:val="en-US"/>
        </w:rPr>
        <w:t>States parties should not permit forms of coercion, such as non-consensual sterilization, […] that violate women’s rights to informed consent and dignity.</w:t>
      </w:r>
      <w:r w:rsidR="00502B43" w:rsidRPr="00012C3F">
        <w:rPr>
          <w:rFonts w:eastAsia="MS Mincho"/>
          <w:sz w:val="20"/>
          <w:szCs w:val="20"/>
          <w:lang w:val="en-US"/>
        </w:rPr>
        <w:t>”</w:t>
      </w:r>
      <w:r w:rsidR="00502B43" w:rsidRPr="00012C3F">
        <w:rPr>
          <w:rStyle w:val="Refdenotaalpie"/>
          <w:rFonts w:eastAsia="MS Mincho"/>
          <w:sz w:val="20"/>
          <w:lang w:val="en-US"/>
        </w:rPr>
        <w:footnoteReference w:id="380"/>
      </w:r>
    </w:p>
    <w:p w14:paraId="12C057B2" w14:textId="77777777" w:rsidR="00502B43" w:rsidRPr="00012C3F" w:rsidRDefault="00502B43" w:rsidP="00502B43">
      <w:pPr>
        <w:tabs>
          <w:tab w:val="left" w:pos="720"/>
        </w:tabs>
        <w:spacing w:line="240" w:lineRule="auto"/>
        <w:rPr>
          <w:rFonts w:eastAsia="MS Mincho"/>
          <w:sz w:val="20"/>
          <w:szCs w:val="20"/>
          <w:lang w:val="en-US"/>
        </w:rPr>
      </w:pPr>
    </w:p>
    <w:p w14:paraId="77F0F43E" w14:textId="77777777" w:rsidR="00502B43" w:rsidRPr="00012C3F" w:rsidRDefault="007C0FB1" w:rsidP="00377495">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t>Meanwhile</w:t>
      </w:r>
      <w:r w:rsidR="00502B43" w:rsidRPr="00012C3F">
        <w:rPr>
          <w:rFonts w:eastAsia="MS Mincho"/>
          <w:sz w:val="20"/>
          <w:szCs w:val="20"/>
          <w:lang w:val="en-US"/>
        </w:rPr>
        <w:t xml:space="preserve">, </w:t>
      </w:r>
      <w:r w:rsidRPr="00012C3F">
        <w:rPr>
          <w:rFonts w:eastAsia="MS Mincho"/>
          <w:sz w:val="20"/>
          <w:szCs w:val="20"/>
          <w:lang w:val="en-US"/>
        </w:rPr>
        <w:t>the</w:t>
      </w:r>
      <w:r w:rsidR="00502B43" w:rsidRPr="00012C3F">
        <w:rPr>
          <w:rFonts w:eastAsia="MS Mincho"/>
          <w:sz w:val="20"/>
          <w:szCs w:val="20"/>
          <w:lang w:val="en-US"/>
        </w:rPr>
        <w:t xml:space="preserve"> </w:t>
      </w:r>
      <w:r w:rsidR="00A65E31" w:rsidRPr="00012C3F">
        <w:rPr>
          <w:rFonts w:eastAsia="MS Mincho"/>
          <w:sz w:val="20"/>
          <w:szCs w:val="20"/>
          <w:lang w:val="en-US"/>
        </w:rPr>
        <w:t>Human Rights Committee</w:t>
      </w:r>
      <w:r w:rsidR="00502B43" w:rsidRPr="00012C3F">
        <w:rPr>
          <w:rFonts w:eastAsia="MS Mincho"/>
          <w:sz w:val="20"/>
          <w:szCs w:val="20"/>
          <w:lang w:val="en-US"/>
        </w:rPr>
        <w:t xml:space="preserve"> ha</w:t>
      </w:r>
      <w:r w:rsidRPr="00012C3F">
        <w:rPr>
          <w:rFonts w:eastAsia="MS Mincho"/>
          <w:sz w:val="20"/>
          <w:szCs w:val="20"/>
          <w:lang w:val="en-US"/>
        </w:rPr>
        <w:t>s recognized the importance of establishing in domestic law a right to compensation of people subjected to forced sterilization,</w:t>
      </w:r>
      <w:r w:rsidR="00502B43" w:rsidRPr="00012C3F">
        <w:rPr>
          <w:rStyle w:val="Refdenotaalpie"/>
          <w:rFonts w:eastAsia="MS Mincho"/>
          <w:sz w:val="20"/>
          <w:lang w:val="en-US"/>
        </w:rPr>
        <w:footnoteReference w:id="381"/>
      </w:r>
      <w:r w:rsidRPr="00012C3F">
        <w:rPr>
          <w:rFonts w:eastAsia="MS Mincho"/>
          <w:sz w:val="20"/>
          <w:szCs w:val="20"/>
          <w:lang w:val="en-US"/>
        </w:rPr>
        <w:t xml:space="preserve"> as well as </w:t>
      </w:r>
      <w:r w:rsidRPr="00012C3F">
        <w:rPr>
          <w:rFonts w:eastAsia="MS Mincho"/>
          <w:sz w:val="20"/>
          <w:szCs w:val="20"/>
          <w:lang w:val="en-US"/>
        </w:rPr>
        <w:lastRenderedPageBreak/>
        <w:t xml:space="preserve">mechanisms to ensure that all procedures are following </w:t>
      </w:r>
      <w:r w:rsidR="00377495" w:rsidRPr="00012C3F">
        <w:rPr>
          <w:rFonts w:eastAsia="MS Mincho"/>
          <w:sz w:val="20"/>
          <w:szCs w:val="20"/>
          <w:lang w:val="en-US"/>
        </w:rPr>
        <w:t>in</w:t>
      </w:r>
      <w:r w:rsidRPr="00012C3F">
        <w:rPr>
          <w:rFonts w:eastAsia="MS Mincho"/>
          <w:sz w:val="20"/>
          <w:szCs w:val="20"/>
          <w:lang w:val="en-US"/>
        </w:rPr>
        <w:t xml:space="preserve"> obtain</w:t>
      </w:r>
      <w:r w:rsidR="00377495" w:rsidRPr="00012C3F">
        <w:rPr>
          <w:rFonts w:eastAsia="MS Mincho"/>
          <w:sz w:val="20"/>
          <w:szCs w:val="20"/>
          <w:lang w:val="en-US"/>
        </w:rPr>
        <w:t>ing</w:t>
      </w:r>
      <w:r w:rsidRPr="00012C3F">
        <w:rPr>
          <w:rFonts w:eastAsia="MS Mincho"/>
          <w:sz w:val="20"/>
          <w:szCs w:val="20"/>
          <w:lang w:val="en-US"/>
        </w:rPr>
        <w:t xml:space="preserve"> the full and informed consent of women and, </w:t>
      </w:r>
      <w:r w:rsidR="00377495" w:rsidRPr="00012C3F">
        <w:rPr>
          <w:rFonts w:eastAsia="MS Mincho"/>
          <w:sz w:val="20"/>
          <w:szCs w:val="20"/>
          <w:lang w:val="en-US"/>
        </w:rPr>
        <w:t xml:space="preserve">to </w:t>
      </w:r>
      <w:r w:rsidRPr="00012C3F">
        <w:rPr>
          <w:rFonts w:eastAsia="MS Mincho"/>
          <w:sz w:val="20"/>
          <w:szCs w:val="20"/>
          <w:lang w:val="en-US"/>
        </w:rPr>
        <w:t>investigate what happened if this has not been obtained.</w:t>
      </w:r>
      <w:r w:rsidR="00502B43" w:rsidRPr="00012C3F">
        <w:rPr>
          <w:rStyle w:val="Refdenotaalpie"/>
          <w:rFonts w:eastAsia="MS Mincho"/>
          <w:sz w:val="20"/>
          <w:lang w:val="en-US"/>
        </w:rPr>
        <w:footnoteReference w:id="382"/>
      </w:r>
    </w:p>
    <w:p w14:paraId="71D6F1A5" w14:textId="77777777" w:rsidR="00502B43" w:rsidRPr="00012C3F" w:rsidRDefault="00502B43" w:rsidP="00502B43">
      <w:pPr>
        <w:tabs>
          <w:tab w:val="left" w:pos="720"/>
        </w:tabs>
        <w:spacing w:line="240" w:lineRule="auto"/>
        <w:rPr>
          <w:rFonts w:eastAsia="MS Mincho"/>
          <w:sz w:val="20"/>
          <w:szCs w:val="20"/>
          <w:lang w:val="en-US"/>
        </w:rPr>
      </w:pPr>
    </w:p>
    <w:p w14:paraId="5E014259" w14:textId="77777777" w:rsidR="00915FF6" w:rsidRPr="00012C3F" w:rsidRDefault="00A516FC" w:rsidP="002C4395">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t xml:space="preserve">Furthermore, </w:t>
      </w:r>
      <w:r w:rsidR="00BF4942" w:rsidRPr="00012C3F">
        <w:rPr>
          <w:rFonts w:eastAsia="MS Mincho"/>
          <w:sz w:val="20"/>
          <w:szCs w:val="20"/>
          <w:lang w:val="en-US"/>
        </w:rPr>
        <w:t>the Committee against Torture</w:t>
      </w:r>
      <w:r w:rsidR="00502B43" w:rsidRPr="00012C3F">
        <w:rPr>
          <w:rFonts w:eastAsia="MS Mincho"/>
          <w:sz w:val="20"/>
          <w:szCs w:val="20"/>
          <w:lang w:val="en-US"/>
        </w:rPr>
        <w:t xml:space="preserve"> ha</w:t>
      </w:r>
      <w:r w:rsidR="00BF4942" w:rsidRPr="00012C3F">
        <w:rPr>
          <w:rFonts w:eastAsia="MS Mincho"/>
          <w:sz w:val="20"/>
          <w:szCs w:val="20"/>
          <w:lang w:val="en-US"/>
        </w:rPr>
        <w:t>s accorded particular importance to rapid, impartial, exhaustive and effective investigation in cases in which persistent reports of involuntary, forced or coerced sterilizations</w:t>
      </w:r>
      <w:r w:rsidR="00377495" w:rsidRPr="00012C3F">
        <w:rPr>
          <w:rFonts w:eastAsia="MS Mincho"/>
          <w:sz w:val="20"/>
          <w:szCs w:val="20"/>
          <w:lang w:val="en-US"/>
        </w:rPr>
        <w:t xml:space="preserve"> are verified</w:t>
      </w:r>
      <w:r w:rsidR="00BF4942" w:rsidRPr="00012C3F">
        <w:rPr>
          <w:rFonts w:eastAsia="MS Mincho"/>
          <w:sz w:val="20"/>
          <w:szCs w:val="20"/>
          <w:lang w:val="en-US"/>
        </w:rPr>
        <w:t xml:space="preserve"> </w:t>
      </w:r>
      <w:r w:rsidR="00A64210" w:rsidRPr="00012C3F">
        <w:rPr>
          <w:rFonts w:eastAsia="MS Mincho"/>
          <w:sz w:val="20"/>
          <w:szCs w:val="20"/>
          <w:lang w:val="en-US"/>
        </w:rPr>
        <w:t>in order to identify and punish those involved in such practices, and provide the victims with fair and adequate compensation.</w:t>
      </w:r>
      <w:r w:rsidR="00210DF6" w:rsidRPr="00012C3F">
        <w:rPr>
          <w:rStyle w:val="Refdenotaalpie"/>
          <w:sz w:val="20"/>
          <w:lang w:val="en-US"/>
        </w:rPr>
        <w:footnoteReference w:id="383"/>
      </w:r>
      <w:r w:rsidR="00915FF6" w:rsidRPr="00012C3F">
        <w:rPr>
          <w:rFonts w:eastAsia="MS Mincho"/>
          <w:sz w:val="20"/>
          <w:szCs w:val="20"/>
          <w:lang w:val="en-US"/>
        </w:rPr>
        <w:t xml:space="preserve"> </w:t>
      </w:r>
    </w:p>
    <w:p w14:paraId="715B3076" w14:textId="77777777" w:rsidR="00915FF6" w:rsidRPr="00012C3F" w:rsidRDefault="00915FF6" w:rsidP="002C4395">
      <w:pPr>
        <w:tabs>
          <w:tab w:val="left" w:pos="720"/>
        </w:tabs>
        <w:spacing w:line="240" w:lineRule="auto"/>
        <w:rPr>
          <w:rFonts w:eastAsia="MS Mincho"/>
          <w:sz w:val="20"/>
          <w:szCs w:val="20"/>
          <w:lang w:val="en-US"/>
        </w:rPr>
      </w:pPr>
    </w:p>
    <w:p w14:paraId="525F20CB" w14:textId="77777777" w:rsidR="00502B43" w:rsidRPr="00012C3F" w:rsidRDefault="00A516FC" w:rsidP="00A516FC">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t>In its General Comment</w:t>
      </w:r>
      <w:r w:rsidR="00915FF6" w:rsidRPr="00012C3F">
        <w:rPr>
          <w:rFonts w:eastAsia="MS Mincho"/>
          <w:sz w:val="20"/>
          <w:szCs w:val="20"/>
          <w:lang w:val="en-US"/>
        </w:rPr>
        <w:t xml:space="preserve"> N</w:t>
      </w:r>
      <w:r w:rsidR="000B5D06" w:rsidRPr="00012C3F">
        <w:rPr>
          <w:rFonts w:eastAsia="MS Mincho"/>
          <w:sz w:val="20"/>
          <w:szCs w:val="20"/>
          <w:lang w:val="en-US"/>
        </w:rPr>
        <w:t>o.</w:t>
      </w:r>
      <w:r w:rsidR="00915FF6" w:rsidRPr="00012C3F">
        <w:rPr>
          <w:rFonts w:eastAsia="MS Mincho"/>
          <w:sz w:val="20"/>
          <w:szCs w:val="20"/>
          <w:lang w:val="en-US"/>
        </w:rPr>
        <w:t xml:space="preserve"> 22</w:t>
      </w:r>
      <w:r w:rsidR="000B5D06" w:rsidRPr="00012C3F">
        <w:rPr>
          <w:rFonts w:eastAsia="MS Mincho"/>
          <w:sz w:val="20"/>
          <w:szCs w:val="20"/>
          <w:lang w:val="en-US"/>
        </w:rPr>
        <w:t xml:space="preserve"> </w:t>
      </w:r>
      <w:r w:rsidRPr="00012C3F">
        <w:rPr>
          <w:rFonts w:eastAsia="MS Mincho"/>
          <w:sz w:val="20"/>
          <w:szCs w:val="20"/>
          <w:lang w:val="en-US"/>
        </w:rPr>
        <w:t>of</w:t>
      </w:r>
      <w:r w:rsidR="000B5D06" w:rsidRPr="00012C3F">
        <w:rPr>
          <w:rFonts w:eastAsia="MS Mincho"/>
          <w:sz w:val="20"/>
          <w:szCs w:val="20"/>
          <w:lang w:val="en-US"/>
        </w:rPr>
        <w:t xml:space="preserve"> 2016</w:t>
      </w:r>
      <w:r w:rsidRPr="00012C3F">
        <w:rPr>
          <w:rFonts w:eastAsia="MS Mincho"/>
          <w:sz w:val="20"/>
          <w:szCs w:val="20"/>
          <w:lang w:val="en-US"/>
        </w:rPr>
        <w:t xml:space="preserve"> on the right to </w:t>
      </w:r>
      <w:r w:rsidR="00A54991" w:rsidRPr="00012C3F">
        <w:rPr>
          <w:rFonts w:eastAsia="MS Mincho"/>
          <w:sz w:val="20"/>
          <w:szCs w:val="20"/>
          <w:lang w:val="en-US"/>
        </w:rPr>
        <w:t>sexual and reproductive health</w:t>
      </w:r>
      <w:r w:rsidR="00915FF6" w:rsidRPr="00012C3F">
        <w:rPr>
          <w:rFonts w:eastAsia="MS Mincho"/>
          <w:sz w:val="20"/>
          <w:szCs w:val="20"/>
          <w:lang w:val="en-US"/>
        </w:rPr>
        <w:t xml:space="preserve">, </w:t>
      </w:r>
      <w:r w:rsidR="00377495" w:rsidRPr="00012C3F">
        <w:rPr>
          <w:rFonts w:eastAsia="MS Mincho"/>
          <w:sz w:val="20"/>
          <w:szCs w:val="20"/>
          <w:lang w:val="en-US"/>
        </w:rPr>
        <w:t xml:space="preserve">the </w:t>
      </w:r>
      <w:r w:rsidRPr="00012C3F">
        <w:rPr>
          <w:sz w:val="20"/>
          <w:szCs w:val="20"/>
          <w:lang w:val="en-US"/>
        </w:rPr>
        <w:t>Committee on Economic, Social and Cultural Rights indicated that States Parties “must put in place laws, policies and programmes to prevent, address and remediate violations of the right of all individuals to autonomous decision-making on matters regarding their sexual and reproductive health, free from violence, coercion and discrimination.”</w:t>
      </w:r>
      <w:r w:rsidR="00596E5A" w:rsidRPr="00012C3F">
        <w:rPr>
          <w:rStyle w:val="Refdenotaalpie"/>
          <w:rFonts w:eastAsia="MS Mincho"/>
          <w:sz w:val="20"/>
          <w:szCs w:val="20"/>
          <w:lang w:val="en-US"/>
        </w:rPr>
        <w:footnoteReference w:id="384"/>
      </w:r>
    </w:p>
    <w:p w14:paraId="2679E463" w14:textId="77777777" w:rsidR="00915FF6" w:rsidRPr="00012C3F" w:rsidRDefault="00915FF6" w:rsidP="002C4395">
      <w:pPr>
        <w:tabs>
          <w:tab w:val="left" w:pos="720"/>
        </w:tabs>
        <w:spacing w:line="240" w:lineRule="auto"/>
        <w:rPr>
          <w:rFonts w:eastAsia="MS Mincho"/>
          <w:sz w:val="20"/>
          <w:szCs w:val="20"/>
          <w:lang w:val="en-US"/>
        </w:rPr>
      </w:pPr>
    </w:p>
    <w:p w14:paraId="2D3B7F3C" w14:textId="77777777" w:rsidR="00502B43" w:rsidRPr="00012C3F" w:rsidRDefault="002C4395" w:rsidP="002C4395">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t>T</w:t>
      </w:r>
      <w:r w:rsidRPr="00012C3F">
        <w:rPr>
          <w:sz w:val="20"/>
          <w:szCs w:val="20"/>
          <w:lang w:val="en-US"/>
        </w:rPr>
        <w:t>he Special Rapporteur on torture and other cruel, inhuman or degrading treatment or punishment</w:t>
      </w:r>
      <w:r w:rsidR="00A516FC" w:rsidRPr="00012C3F">
        <w:rPr>
          <w:sz w:val="20"/>
          <w:szCs w:val="20"/>
          <w:lang w:val="en-US"/>
        </w:rPr>
        <w:t xml:space="preserve"> has also called upon States to adopt measures with regard to abuses in health care settings and, in particular, to</w:t>
      </w:r>
      <w:r w:rsidR="00502B43" w:rsidRPr="00012C3F">
        <w:rPr>
          <w:rFonts w:eastAsia="MS Mincho"/>
          <w:sz w:val="20"/>
          <w:szCs w:val="20"/>
          <w:lang w:val="en-US"/>
        </w:rPr>
        <w:t>:</w:t>
      </w:r>
    </w:p>
    <w:p w14:paraId="5E8CEF65" w14:textId="77777777" w:rsidR="00502B43" w:rsidRPr="00012C3F" w:rsidRDefault="00502B43" w:rsidP="002C4395">
      <w:pPr>
        <w:tabs>
          <w:tab w:val="left" w:pos="720"/>
        </w:tabs>
        <w:spacing w:line="240" w:lineRule="auto"/>
        <w:rPr>
          <w:rFonts w:eastAsia="MS Mincho"/>
          <w:sz w:val="20"/>
          <w:szCs w:val="20"/>
          <w:lang w:val="en-US"/>
        </w:rPr>
      </w:pPr>
    </w:p>
    <w:p w14:paraId="5FC8E449" w14:textId="77777777" w:rsidR="00502B43" w:rsidRPr="00012C3F" w:rsidRDefault="00502B43" w:rsidP="002C4395">
      <w:pPr>
        <w:pStyle w:val="s5891fd46"/>
        <w:shd w:val="clear" w:color="auto" w:fill="FFFFFF"/>
        <w:tabs>
          <w:tab w:val="left" w:pos="720"/>
        </w:tabs>
        <w:spacing w:before="0" w:beforeAutospacing="0" w:after="0" w:afterAutospacing="0"/>
        <w:ind w:left="720" w:right="584"/>
        <w:jc w:val="both"/>
        <w:rPr>
          <w:rFonts w:ascii="Verdana" w:eastAsia="MS Mincho" w:hAnsi="Verdana"/>
          <w:sz w:val="16"/>
          <w:szCs w:val="16"/>
          <w:lang w:val="en-US"/>
        </w:rPr>
      </w:pPr>
      <w:r w:rsidRPr="00012C3F">
        <w:rPr>
          <w:rFonts w:ascii="Verdana" w:eastAsia="MS Mincho" w:hAnsi="Verdana"/>
          <w:sz w:val="16"/>
          <w:szCs w:val="16"/>
          <w:lang w:val="en-US"/>
        </w:rPr>
        <w:t xml:space="preserve">72. […] </w:t>
      </w:r>
      <w:r w:rsidR="00A516FC" w:rsidRPr="00012C3F">
        <w:rPr>
          <w:rFonts w:ascii="Verdana" w:eastAsia="MS Mincho" w:hAnsi="Verdana"/>
          <w:sz w:val="16"/>
          <w:szCs w:val="16"/>
          <w:lang w:val="en-US"/>
        </w:rPr>
        <w:t>(</w:t>
      </w:r>
      <w:r w:rsidRPr="00012C3F">
        <w:rPr>
          <w:rFonts w:ascii="Verdana" w:eastAsia="MS Mincho" w:hAnsi="Verdana"/>
          <w:sz w:val="16"/>
          <w:szCs w:val="16"/>
          <w:lang w:val="en-US"/>
        </w:rPr>
        <w:t xml:space="preserve">e) </w:t>
      </w:r>
      <w:r w:rsidR="00A516FC" w:rsidRPr="00012C3F">
        <w:rPr>
          <w:rFonts w:ascii="Verdana" w:hAnsi="Verdana" w:cs="Arial"/>
          <w:sz w:val="16"/>
          <w:szCs w:val="16"/>
          <w:lang w:val="en-US"/>
        </w:rPr>
        <w:t>Outlaw forced or coerced sterilization in all circumstances and provide special protection to individuals belonging to marginalized groups; and ensure that health-care providers obtain free, full and informed consent for such procedures and fully explain the risks, benefits and alternatives in a comprehensible format, without resorting to threats or inducements, in every case</w:t>
      </w:r>
      <w:r w:rsidRPr="00012C3F">
        <w:rPr>
          <w:rFonts w:ascii="Verdana" w:eastAsia="MS Mincho" w:hAnsi="Verdana"/>
          <w:sz w:val="16"/>
          <w:szCs w:val="16"/>
          <w:lang w:val="en-US"/>
        </w:rPr>
        <w:t>[</w:t>
      </w:r>
      <w:r w:rsidR="00A516FC" w:rsidRPr="00012C3F">
        <w:rPr>
          <w:rFonts w:ascii="Verdana" w:eastAsia="MS Mincho" w:hAnsi="Verdana"/>
          <w:sz w:val="16"/>
          <w:szCs w:val="16"/>
          <w:lang w:val="en-US"/>
        </w:rPr>
        <w:t>.</w:t>
      </w:r>
      <w:r w:rsidR="00D64073" w:rsidRPr="00012C3F">
        <w:rPr>
          <w:rFonts w:ascii="Verdana" w:eastAsia="MS Mincho" w:hAnsi="Verdana"/>
          <w:sz w:val="16"/>
          <w:szCs w:val="16"/>
          <w:vertAlign w:val="superscript"/>
          <w:lang w:val="en-US"/>
        </w:rPr>
        <w:footnoteReference w:id="385"/>
      </w:r>
      <w:r w:rsidRPr="00012C3F">
        <w:rPr>
          <w:rFonts w:ascii="Verdana" w:eastAsia="MS Mincho" w:hAnsi="Verdana"/>
          <w:sz w:val="16"/>
          <w:szCs w:val="16"/>
          <w:lang w:val="en-US"/>
        </w:rPr>
        <w:t>]</w:t>
      </w:r>
    </w:p>
    <w:p w14:paraId="38EAA241" w14:textId="77777777" w:rsidR="00502B43" w:rsidRPr="00012C3F" w:rsidRDefault="00502B43" w:rsidP="002C4395">
      <w:pPr>
        <w:tabs>
          <w:tab w:val="left" w:pos="720"/>
        </w:tabs>
        <w:spacing w:line="240" w:lineRule="auto"/>
        <w:rPr>
          <w:rFonts w:eastAsia="MS Mincho"/>
          <w:sz w:val="20"/>
          <w:szCs w:val="20"/>
          <w:lang w:val="en-US"/>
        </w:rPr>
      </w:pPr>
    </w:p>
    <w:p w14:paraId="1C5F7A5F" w14:textId="77777777" w:rsidR="00502B43" w:rsidRPr="00012C3F" w:rsidRDefault="00502B43" w:rsidP="00455A2C">
      <w:pPr>
        <w:numPr>
          <w:ilvl w:val="0"/>
          <w:numId w:val="5"/>
        </w:numPr>
        <w:tabs>
          <w:tab w:val="left" w:pos="720"/>
          <w:tab w:val="num" w:pos="12305"/>
        </w:tabs>
        <w:spacing w:line="240" w:lineRule="auto"/>
        <w:ind w:left="0" w:firstLine="0"/>
        <w:rPr>
          <w:sz w:val="20"/>
          <w:szCs w:val="20"/>
          <w:lang w:val="en-US"/>
        </w:rPr>
      </w:pPr>
      <w:r w:rsidRPr="00012C3F">
        <w:rPr>
          <w:rFonts w:eastAsia="MS Mincho"/>
          <w:sz w:val="20"/>
          <w:szCs w:val="20"/>
          <w:lang w:val="en-US"/>
        </w:rPr>
        <w:t>Ad</w:t>
      </w:r>
      <w:r w:rsidR="00A516FC" w:rsidRPr="00012C3F">
        <w:rPr>
          <w:rFonts w:eastAsia="MS Mincho"/>
          <w:sz w:val="20"/>
          <w:szCs w:val="20"/>
          <w:lang w:val="en-US"/>
        </w:rPr>
        <w:t>ditionally</w:t>
      </w:r>
      <w:r w:rsidRPr="00012C3F">
        <w:rPr>
          <w:sz w:val="20"/>
          <w:szCs w:val="20"/>
          <w:lang w:val="en-US"/>
        </w:rPr>
        <w:t xml:space="preserve">, </w:t>
      </w:r>
      <w:r w:rsidR="00A65E31" w:rsidRPr="00012C3F">
        <w:rPr>
          <w:sz w:val="20"/>
          <w:szCs w:val="20"/>
          <w:lang w:val="en-US"/>
        </w:rPr>
        <w:t>the United Nations Interagency Statement</w:t>
      </w:r>
      <w:r w:rsidR="00EE7DAA" w:rsidRPr="00012C3F">
        <w:rPr>
          <w:sz w:val="20"/>
          <w:szCs w:val="20"/>
          <w:lang w:val="en-US"/>
        </w:rPr>
        <w:t xml:space="preserve"> </w:t>
      </w:r>
      <w:r w:rsidRPr="00012C3F">
        <w:rPr>
          <w:sz w:val="20"/>
          <w:szCs w:val="20"/>
          <w:lang w:val="en-US"/>
        </w:rPr>
        <w:t>establ</w:t>
      </w:r>
      <w:r w:rsidR="00A516FC" w:rsidRPr="00012C3F">
        <w:rPr>
          <w:sz w:val="20"/>
          <w:szCs w:val="20"/>
          <w:lang w:val="en-US"/>
        </w:rPr>
        <w:t xml:space="preserve">ished that </w:t>
      </w:r>
      <w:r w:rsidR="002D490E" w:rsidRPr="00012C3F">
        <w:rPr>
          <w:sz w:val="20"/>
          <w:szCs w:val="20"/>
          <w:lang w:val="en-US"/>
        </w:rPr>
        <w:t>access should be provided “</w:t>
      </w:r>
      <w:r w:rsidR="002D490E" w:rsidRPr="00012C3F">
        <w:rPr>
          <w:rFonts w:cs="Arial"/>
          <w:sz w:val="20"/>
          <w:szCs w:val="20"/>
          <w:lang w:val="en-US"/>
        </w:rPr>
        <w:t xml:space="preserve">to administrative and </w:t>
      </w:r>
      <w:r w:rsidR="002D490E" w:rsidRPr="00012C3F">
        <w:rPr>
          <w:rStyle w:val="highlight"/>
          <w:rFonts w:eastAsia="Calibri" w:cs="Arial"/>
          <w:sz w:val="20"/>
          <w:szCs w:val="20"/>
          <w:lang w:val="en-US"/>
        </w:rPr>
        <w:t>judicial</w:t>
      </w:r>
      <w:r w:rsidR="002D490E" w:rsidRPr="00012C3F">
        <w:rPr>
          <w:rFonts w:cs="Arial"/>
          <w:sz w:val="20"/>
          <w:szCs w:val="20"/>
          <w:lang w:val="en-US"/>
        </w:rPr>
        <w:t xml:space="preserve"> redress mechanisms, remedies and reparations for all people who were subjected to forced, coercive or involuntary sterilization procedures, including compensation for the consequences” and</w:t>
      </w:r>
      <w:r w:rsidR="00377495" w:rsidRPr="00012C3F">
        <w:rPr>
          <w:rFonts w:cs="Arial"/>
          <w:sz w:val="20"/>
          <w:szCs w:val="20"/>
          <w:lang w:val="en-US"/>
        </w:rPr>
        <w:t xml:space="preserve"> that States should</w:t>
      </w:r>
      <w:r w:rsidR="002D490E" w:rsidRPr="00012C3F">
        <w:rPr>
          <w:rFonts w:cs="Arial"/>
          <w:sz w:val="20"/>
          <w:szCs w:val="20"/>
          <w:lang w:val="en-US"/>
        </w:rPr>
        <w:t xml:space="preserve"> “[p]romptly, independently and impartially investigate all incidents of forced sterilization and ensure appropriate sanctions where responsibility has been established.”</w:t>
      </w:r>
      <w:r w:rsidRPr="00012C3F">
        <w:rPr>
          <w:rStyle w:val="Refdenotaalpie"/>
          <w:sz w:val="20"/>
          <w:lang w:val="en-US"/>
        </w:rPr>
        <w:footnoteReference w:id="386"/>
      </w:r>
    </w:p>
    <w:p w14:paraId="15E6516D" w14:textId="77777777" w:rsidR="00502B43" w:rsidRPr="00012C3F" w:rsidRDefault="00502B43" w:rsidP="002C4395">
      <w:pPr>
        <w:tabs>
          <w:tab w:val="left" w:pos="720"/>
        </w:tabs>
        <w:spacing w:line="240" w:lineRule="auto"/>
        <w:rPr>
          <w:rFonts w:eastAsia="MS Mincho"/>
          <w:sz w:val="20"/>
          <w:szCs w:val="20"/>
          <w:lang w:val="en-US"/>
        </w:rPr>
      </w:pPr>
    </w:p>
    <w:p w14:paraId="3FCE7DF1" w14:textId="77777777" w:rsidR="00B469FE" w:rsidRPr="00012C3F" w:rsidRDefault="002D490E" w:rsidP="002C4395">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t>The Inter-American Commi</w:t>
      </w:r>
      <w:r w:rsidR="005D55EB" w:rsidRPr="00012C3F">
        <w:rPr>
          <w:rFonts w:eastAsia="MS Mincho"/>
          <w:sz w:val="20"/>
          <w:szCs w:val="20"/>
          <w:lang w:val="en-US"/>
        </w:rPr>
        <w:t>ssion</w:t>
      </w:r>
      <w:r w:rsidRPr="00012C3F">
        <w:rPr>
          <w:rFonts w:eastAsia="MS Mincho"/>
          <w:sz w:val="20"/>
          <w:szCs w:val="20"/>
          <w:lang w:val="en-US"/>
        </w:rPr>
        <w:t xml:space="preserve"> of Women in its Second Hemispheric Report on the </w:t>
      </w:r>
      <w:r w:rsidR="00B469FE" w:rsidRPr="00012C3F">
        <w:rPr>
          <w:rFonts w:eastAsia="MS Mincho"/>
          <w:sz w:val="20"/>
          <w:szCs w:val="20"/>
          <w:lang w:val="en-US"/>
        </w:rPr>
        <w:t>Implementa</w:t>
      </w:r>
      <w:r w:rsidRPr="00012C3F">
        <w:rPr>
          <w:rFonts w:eastAsia="MS Mincho"/>
          <w:sz w:val="20"/>
          <w:szCs w:val="20"/>
          <w:lang w:val="en-US"/>
        </w:rPr>
        <w:t>tio</w:t>
      </w:r>
      <w:r w:rsidR="00B469FE" w:rsidRPr="00012C3F">
        <w:rPr>
          <w:rFonts w:eastAsia="MS Mincho"/>
          <w:sz w:val="20"/>
          <w:szCs w:val="20"/>
          <w:lang w:val="en-US"/>
        </w:rPr>
        <w:t>n</w:t>
      </w:r>
      <w:r w:rsidR="001254DE" w:rsidRPr="00012C3F">
        <w:rPr>
          <w:rFonts w:eastAsia="MS Mincho"/>
          <w:sz w:val="20"/>
          <w:szCs w:val="20"/>
          <w:lang w:val="en-US"/>
        </w:rPr>
        <w:t xml:space="preserve"> of the Convention</w:t>
      </w:r>
      <w:r w:rsidR="00B469FE" w:rsidRPr="00012C3F">
        <w:rPr>
          <w:rFonts w:eastAsia="MS Mincho"/>
          <w:sz w:val="20"/>
          <w:szCs w:val="20"/>
          <w:lang w:val="en-US"/>
        </w:rPr>
        <w:t xml:space="preserve"> </w:t>
      </w:r>
      <w:r w:rsidR="005E5012" w:rsidRPr="00012C3F">
        <w:rPr>
          <w:rFonts w:eastAsia="MS Mincho"/>
          <w:sz w:val="20"/>
          <w:szCs w:val="20"/>
          <w:lang w:val="en-US"/>
        </w:rPr>
        <w:t>of Belém</w:t>
      </w:r>
      <w:r w:rsidR="00B469FE" w:rsidRPr="00012C3F">
        <w:rPr>
          <w:rFonts w:eastAsia="MS Mincho"/>
          <w:sz w:val="20"/>
          <w:szCs w:val="20"/>
          <w:lang w:val="en-US"/>
        </w:rPr>
        <w:t xml:space="preserve"> do Pará</w:t>
      </w:r>
      <w:r w:rsidR="00B469FE" w:rsidRPr="00012C3F">
        <w:rPr>
          <w:rFonts w:eastAsia="MS Mincho"/>
          <w:sz w:val="20"/>
          <w:szCs w:val="20"/>
          <w:vertAlign w:val="superscript"/>
          <w:lang w:val="en-US"/>
        </w:rPr>
        <w:footnoteReference w:id="387"/>
      </w:r>
      <w:r w:rsidRPr="00012C3F">
        <w:rPr>
          <w:rFonts w:eastAsia="MS Mincho"/>
          <w:sz w:val="20"/>
          <w:szCs w:val="20"/>
          <w:lang w:val="en-US"/>
        </w:rPr>
        <w:t xml:space="preserve"> recommended </w:t>
      </w:r>
      <w:r w:rsidR="005D55EB" w:rsidRPr="00012C3F">
        <w:rPr>
          <w:rFonts w:eastAsia="MS Mincho"/>
          <w:sz w:val="20"/>
          <w:szCs w:val="20"/>
          <w:lang w:val="en-US"/>
        </w:rPr>
        <w:t>making</w:t>
      </w:r>
      <w:r w:rsidR="00B469FE" w:rsidRPr="00012C3F">
        <w:rPr>
          <w:rFonts w:eastAsia="MS Mincho"/>
          <w:sz w:val="20"/>
          <w:szCs w:val="20"/>
          <w:lang w:val="en-US"/>
        </w:rPr>
        <w:t xml:space="preserve"> </w:t>
      </w:r>
      <w:r w:rsidR="00570C15" w:rsidRPr="00012C3F">
        <w:rPr>
          <w:rFonts w:eastAsia="MS Mincho"/>
          <w:sz w:val="20"/>
          <w:szCs w:val="20"/>
          <w:lang w:val="en-US"/>
        </w:rPr>
        <w:t>forced sterilization</w:t>
      </w:r>
      <w:r w:rsidR="00B469FE" w:rsidRPr="00012C3F">
        <w:rPr>
          <w:rFonts w:eastAsia="MS Mincho"/>
          <w:sz w:val="20"/>
          <w:szCs w:val="20"/>
          <w:lang w:val="en-US"/>
        </w:rPr>
        <w:t xml:space="preserve"> </w:t>
      </w:r>
      <w:r w:rsidR="005D55EB" w:rsidRPr="00012C3F">
        <w:rPr>
          <w:rFonts w:eastAsia="MS Mincho"/>
          <w:sz w:val="20"/>
          <w:szCs w:val="20"/>
          <w:lang w:val="en-US"/>
        </w:rPr>
        <w:t>“</w:t>
      </w:r>
      <w:r w:rsidRPr="00012C3F">
        <w:rPr>
          <w:rFonts w:eastAsia="MS Mincho"/>
          <w:sz w:val="20"/>
          <w:szCs w:val="20"/>
          <w:lang w:val="en-US"/>
        </w:rPr>
        <w:t>a</w:t>
      </w:r>
      <w:r w:rsidR="005D55EB" w:rsidRPr="00012C3F">
        <w:rPr>
          <w:rFonts w:eastAsia="MS Mincho"/>
          <w:sz w:val="20"/>
          <w:szCs w:val="20"/>
          <w:lang w:val="en-US"/>
        </w:rPr>
        <w:t xml:space="preserve"> common crime, so that the individual perpetrator can be prosecuted for forcibly sterilizing individual victims.”</w:t>
      </w:r>
    </w:p>
    <w:p w14:paraId="6FC25AFE" w14:textId="77777777" w:rsidR="00B469FE" w:rsidRPr="00012C3F" w:rsidRDefault="00B469FE" w:rsidP="00502B43">
      <w:pPr>
        <w:tabs>
          <w:tab w:val="left" w:pos="720"/>
        </w:tabs>
        <w:spacing w:line="240" w:lineRule="auto"/>
        <w:rPr>
          <w:rFonts w:eastAsia="MS Mincho"/>
          <w:sz w:val="20"/>
          <w:szCs w:val="20"/>
          <w:lang w:val="en-US"/>
        </w:rPr>
      </w:pPr>
    </w:p>
    <w:p w14:paraId="0E29B751" w14:textId="77777777" w:rsidR="00502B43" w:rsidRPr="00012C3F" w:rsidRDefault="005D55EB" w:rsidP="005D55EB">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lastRenderedPageBreak/>
        <w:t xml:space="preserve">Meanwhile, the case law of the </w:t>
      </w:r>
      <w:r w:rsidR="00E060D2" w:rsidRPr="00012C3F">
        <w:rPr>
          <w:rFonts w:eastAsia="MS Mincho"/>
          <w:sz w:val="20"/>
          <w:szCs w:val="20"/>
          <w:lang w:val="en-US"/>
        </w:rPr>
        <w:t>European Court of Human Rights</w:t>
      </w:r>
      <w:r w:rsidR="00502B43" w:rsidRPr="00012C3F">
        <w:rPr>
          <w:rFonts w:eastAsia="MS Mincho"/>
          <w:sz w:val="20"/>
          <w:szCs w:val="20"/>
          <w:lang w:val="en-US"/>
        </w:rPr>
        <w:t xml:space="preserve">, </w:t>
      </w:r>
      <w:r w:rsidRPr="00012C3F">
        <w:rPr>
          <w:rFonts w:eastAsia="MS Mincho"/>
          <w:sz w:val="20"/>
          <w:szCs w:val="20"/>
          <w:lang w:val="en-US"/>
        </w:rPr>
        <w:t>which was abundantly cited in the arguments of the parties, has referred mainly to the positive obligations in cases of non-consensual sterilization, which were examined under the procedural obligation of the prohibition of ill-treatment. The European Court argued that</w:t>
      </w:r>
      <w:r w:rsidR="00502B43" w:rsidRPr="00012C3F">
        <w:rPr>
          <w:rFonts w:eastAsia="MS Mincho"/>
          <w:sz w:val="20"/>
          <w:szCs w:val="20"/>
          <w:lang w:val="en-US"/>
        </w:rPr>
        <w:t>:</w:t>
      </w:r>
    </w:p>
    <w:p w14:paraId="716A4769" w14:textId="77777777" w:rsidR="00502B43" w:rsidRPr="00012C3F" w:rsidRDefault="00502B43" w:rsidP="00502B43">
      <w:pPr>
        <w:tabs>
          <w:tab w:val="left" w:pos="720"/>
        </w:tabs>
        <w:spacing w:line="240" w:lineRule="auto"/>
        <w:rPr>
          <w:rFonts w:eastAsia="MS Mincho"/>
          <w:sz w:val="20"/>
          <w:szCs w:val="20"/>
          <w:lang w:val="en-US"/>
        </w:rPr>
      </w:pPr>
    </w:p>
    <w:p w14:paraId="15426EB3" w14:textId="77777777" w:rsidR="00502B43" w:rsidRPr="00012C3F" w:rsidRDefault="00502B43" w:rsidP="008764BB">
      <w:pPr>
        <w:pStyle w:val="s5891fd46"/>
        <w:shd w:val="clear" w:color="auto" w:fill="FFFFFF"/>
        <w:spacing w:before="0" w:beforeAutospacing="0" w:after="120" w:afterAutospacing="0"/>
        <w:ind w:left="720" w:right="584"/>
        <w:jc w:val="both"/>
        <w:rPr>
          <w:rFonts w:ascii="Verdana" w:hAnsi="Verdana" w:cs="Arial"/>
          <w:sz w:val="16"/>
          <w:szCs w:val="16"/>
          <w:lang w:val="en-US"/>
        </w:rPr>
      </w:pPr>
      <w:r w:rsidRPr="00012C3F">
        <w:rPr>
          <w:rStyle w:val="sb8d990e2"/>
          <w:rFonts w:ascii="Verdana" w:hAnsi="Verdana" w:cs="Arial"/>
          <w:sz w:val="16"/>
          <w:szCs w:val="16"/>
          <w:lang w:val="en-US"/>
        </w:rPr>
        <w:t xml:space="preserve">123. </w:t>
      </w:r>
      <w:r w:rsidR="005D55EB" w:rsidRPr="00012C3F">
        <w:rPr>
          <w:rStyle w:val="sb8d990e2"/>
          <w:rFonts w:ascii="Verdana" w:hAnsi="Verdana"/>
          <w:sz w:val="16"/>
          <w:szCs w:val="16"/>
          <w:lang w:val="en-US"/>
        </w:rPr>
        <w:t xml:space="preserve">Articles 1 and 3 of the Convention impose positive obligations on the Contracting Parties, designed to prevent and provide redress for various forms of ill-treatment. In particular, in a similar manner to cases raising an issue under Article 2 of the Convention, there is a requirement to conduct an effective official investigation </w:t>
      </w:r>
      <w:r w:rsidRPr="00012C3F">
        <w:rPr>
          <w:rStyle w:val="sb8d990e2"/>
          <w:rFonts w:ascii="Verdana" w:hAnsi="Verdana" w:cs="Arial"/>
          <w:sz w:val="16"/>
          <w:szCs w:val="16"/>
          <w:lang w:val="en-US"/>
        </w:rPr>
        <w:t>[…].</w:t>
      </w:r>
    </w:p>
    <w:p w14:paraId="309D7DB4" w14:textId="77777777" w:rsidR="00502B43" w:rsidRPr="00012C3F" w:rsidRDefault="00502B43" w:rsidP="008764BB">
      <w:pPr>
        <w:pStyle w:val="s5891fd46"/>
        <w:shd w:val="clear" w:color="auto" w:fill="FFFFFF"/>
        <w:spacing w:before="0" w:beforeAutospacing="0" w:after="120" w:afterAutospacing="0"/>
        <w:ind w:left="720" w:right="584"/>
        <w:jc w:val="both"/>
        <w:rPr>
          <w:rFonts w:ascii="Verdana" w:hAnsi="Verdana" w:cs="Arial"/>
          <w:sz w:val="16"/>
          <w:szCs w:val="16"/>
          <w:lang w:val="en-US"/>
        </w:rPr>
      </w:pPr>
      <w:r w:rsidRPr="00012C3F">
        <w:rPr>
          <w:rStyle w:val="sb8d990e2"/>
          <w:rFonts w:ascii="Verdana" w:hAnsi="Verdana" w:cs="Arial"/>
          <w:sz w:val="16"/>
          <w:szCs w:val="16"/>
          <w:lang w:val="en-US"/>
        </w:rPr>
        <w:t xml:space="preserve">124. </w:t>
      </w:r>
      <w:r w:rsidR="005D55EB" w:rsidRPr="00012C3F">
        <w:rPr>
          <w:rStyle w:val="sb8d990e2"/>
          <w:rFonts w:ascii="Verdana" w:hAnsi="Verdana"/>
          <w:sz w:val="16"/>
          <w:szCs w:val="16"/>
          <w:lang w:val="en-US"/>
        </w:rPr>
        <w:t xml:space="preserve">The investigation in such cases must be thorough and expeditious. However, the failure of any given investigation to produce conclusions does not, by itself, mean that it was ineffective: an obligation to investigate “is not an obligation of result, but of means” </w:t>
      </w:r>
      <w:r w:rsidRPr="00012C3F">
        <w:rPr>
          <w:rStyle w:val="sb8d990e2"/>
          <w:rFonts w:ascii="Verdana" w:hAnsi="Verdana" w:cs="Arial"/>
          <w:sz w:val="16"/>
          <w:szCs w:val="16"/>
          <w:lang w:val="en-US"/>
        </w:rPr>
        <w:t>[…].</w:t>
      </w:r>
    </w:p>
    <w:p w14:paraId="24EC3078" w14:textId="77777777" w:rsidR="00502B43" w:rsidRPr="00012C3F" w:rsidRDefault="00502B43" w:rsidP="008764BB">
      <w:pPr>
        <w:pStyle w:val="s5891fd46"/>
        <w:shd w:val="clear" w:color="auto" w:fill="FFFFFF"/>
        <w:spacing w:before="0" w:beforeAutospacing="0" w:after="0" w:afterAutospacing="0"/>
        <w:ind w:left="720" w:right="584"/>
        <w:jc w:val="both"/>
        <w:rPr>
          <w:rFonts w:ascii="Arial" w:hAnsi="Arial" w:cs="Arial"/>
          <w:sz w:val="17"/>
          <w:szCs w:val="17"/>
          <w:lang w:val="en-US"/>
        </w:rPr>
      </w:pPr>
      <w:r w:rsidRPr="00012C3F">
        <w:rPr>
          <w:rStyle w:val="sb8d990e2"/>
          <w:rFonts w:ascii="Verdana" w:hAnsi="Verdana" w:cs="Arial"/>
          <w:sz w:val="16"/>
          <w:szCs w:val="16"/>
          <w:lang w:val="en-US"/>
        </w:rPr>
        <w:t xml:space="preserve">125. </w:t>
      </w:r>
      <w:r w:rsidR="00F02416" w:rsidRPr="00012C3F">
        <w:rPr>
          <w:rStyle w:val="sb8d990e2"/>
          <w:rFonts w:ascii="Verdana" w:hAnsi="Verdana"/>
          <w:sz w:val="16"/>
          <w:szCs w:val="16"/>
          <w:lang w:val="en-US"/>
        </w:rPr>
        <w:t xml:space="preserve">In cases raising issues under Article 2 of the Convention in the context of alleged medical malpractice the Court has held that where the infringement of the right to life or to personal integrity is not caused intentionally, the positive obligation imposed by Article 2 to set up an effective judicial system does not necessarily require the provision of a criminal-law remedy in every case. In the specific sphere of medical negligence the obligation may for instance also be satisfied if the legal system affords victims a remedy in the civil courts, either alone or in conjunction with a remedy in the criminal courts, enabling any liability of the doctors concerned to be established and any appropriate civil redress, such as an order for damages and for the publication of the decision, to be obtained </w:t>
      </w:r>
      <w:r w:rsidRPr="00012C3F">
        <w:rPr>
          <w:rStyle w:val="sb8d990e2"/>
          <w:rFonts w:ascii="Verdana" w:hAnsi="Verdana" w:cs="Arial"/>
          <w:sz w:val="16"/>
          <w:szCs w:val="16"/>
          <w:lang w:val="en-US"/>
        </w:rPr>
        <w:t>[…]</w:t>
      </w:r>
      <w:r w:rsidR="00F02416" w:rsidRPr="00012C3F">
        <w:rPr>
          <w:rStyle w:val="sb8d990e2"/>
          <w:rFonts w:ascii="Verdana" w:hAnsi="Verdana" w:cs="Arial"/>
          <w:sz w:val="16"/>
          <w:szCs w:val="16"/>
          <w:lang w:val="en-US"/>
        </w:rPr>
        <w:t>.</w:t>
      </w:r>
      <w:r w:rsidRPr="00012C3F">
        <w:rPr>
          <w:rStyle w:val="Refdenotaalpie"/>
          <w:rFonts w:ascii="Verdana" w:hAnsi="Verdana"/>
          <w:sz w:val="16"/>
          <w:lang w:val="en-US"/>
        </w:rPr>
        <w:footnoteReference w:id="388"/>
      </w:r>
    </w:p>
    <w:p w14:paraId="140C296A" w14:textId="77777777" w:rsidR="00502B43" w:rsidRPr="00012C3F" w:rsidRDefault="00502B43" w:rsidP="00DB07A7">
      <w:pPr>
        <w:tabs>
          <w:tab w:val="left" w:pos="720"/>
        </w:tabs>
        <w:spacing w:line="240" w:lineRule="auto"/>
        <w:rPr>
          <w:rFonts w:eastAsia="MS Mincho"/>
          <w:sz w:val="20"/>
          <w:szCs w:val="20"/>
          <w:lang w:val="en-US"/>
        </w:rPr>
      </w:pPr>
    </w:p>
    <w:p w14:paraId="319D755D" w14:textId="77777777" w:rsidR="00E54588" w:rsidRPr="00012C3F" w:rsidRDefault="0030317F" w:rsidP="0030317F">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t>Ultimately</w:t>
      </w:r>
      <w:r w:rsidR="00502B43" w:rsidRPr="00012C3F">
        <w:rPr>
          <w:rFonts w:eastAsia="MS Mincho"/>
          <w:sz w:val="20"/>
          <w:szCs w:val="20"/>
          <w:lang w:val="en-US"/>
        </w:rPr>
        <w:t xml:space="preserve">, </w:t>
      </w:r>
      <w:r w:rsidRPr="00012C3F">
        <w:rPr>
          <w:rFonts w:cs="Arial"/>
          <w:sz w:val="20"/>
          <w:szCs w:val="20"/>
          <w:lang w:val="en-US"/>
        </w:rPr>
        <w:t>a review of international practice reveal</w:t>
      </w:r>
      <w:r w:rsidRPr="00012C3F">
        <w:rPr>
          <w:rFonts w:cs="Arial"/>
          <w:sz w:val="20"/>
          <w:lang w:val="en-US"/>
        </w:rPr>
        <w:t>s</w:t>
      </w:r>
      <w:r w:rsidRPr="00012C3F">
        <w:rPr>
          <w:rFonts w:cs="Arial"/>
          <w:sz w:val="20"/>
          <w:szCs w:val="20"/>
          <w:lang w:val="en-US"/>
        </w:rPr>
        <w:t xml:space="preserve"> that a wide range of measures </w:t>
      </w:r>
      <w:r w:rsidRPr="00012C3F">
        <w:rPr>
          <w:rFonts w:cs="Arial"/>
          <w:sz w:val="20"/>
          <w:lang w:val="en-US"/>
        </w:rPr>
        <w:t>a</w:t>
      </w:r>
      <w:r w:rsidRPr="00012C3F">
        <w:rPr>
          <w:rFonts w:cs="Arial"/>
          <w:sz w:val="20"/>
          <w:szCs w:val="20"/>
          <w:lang w:val="en-US"/>
        </w:rPr>
        <w:t>re considered appropriate to remedy a non-consensual, involuntary, coerced or forced sterilization, depending on the circumstances of the case and the context in which the facts occurred. Nevertheless, the Court consider</w:t>
      </w:r>
      <w:r w:rsidRPr="00012C3F">
        <w:rPr>
          <w:rFonts w:cs="Arial"/>
          <w:sz w:val="20"/>
          <w:lang w:val="en-US"/>
        </w:rPr>
        <w:t>s</w:t>
      </w:r>
      <w:r w:rsidRPr="00012C3F">
        <w:rPr>
          <w:rFonts w:cs="Arial"/>
          <w:sz w:val="20"/>
          <w:szCs w:val="20"/>
          <w:lang w:val="en-US"/>
        </w:rPr>
        <w:t xml:space="preserve"> it necessary to </w:t>
      </w:r>
      <w:r w:rsidRPr="00012C3F">
        <w:rPr>
          <w:rFonts w:cs="Arial"/>
          <w:sz w:val="20"/>
          <w:lang w:val="en-US"/>
        </w:rPr>
        <w:t>indicate</w:t>
      </w:r>
      <w:r w:rsidRPr="00012C3F">
        <w:rPr>
          <w:rFonts w:cs="Arial"/>
          <w:sz w:val="20"/>
          <w:szCs w:val="20"/>
          <w:lang w:val="en-US"/>
        </w:rPr>
        <w:t xml:space="preserve"> that, if prior, free, full and informed consent </w:t>
      </w:r>
      <w:r w:rsidRPr="00012C3F">
        <w:rPr>
          <w:rFonts w:cs="Arial"/>
          <w:sz w:val="20"/>
          <w:lang w:val="en-US"/>
        </w:rPr>
        <w:t>i</w:t>
      </w:r>
      <w:r w:rsidRPr="00012C3F">
        <w:rPr>
          <w:rFonts w:cs="Arial"/>
          <w:sz w:val="20"/>
          <w:szCs w:val="20"/>
          <w:lang w:val="en-US"/>
        </w:rPr>
        <w:t xml:space="preserve">s an essential requirement to guarantee that a sterilization </w:t>
      </w:r>
      <w:r w:rsidRPr="00012C3F">
        <w:rPr>
          <w:rFonts w:cs="Arial"/>
          <w:sz w:val="20"/>
          <w:lang w:val="en-US"/>
        </w:rPr>
        <w:t>i</w:t>
      </w:r>
      <w:r w:rsidRPr="00012C3F">
        <w:rPr>
          <w:rFonts w:cs="Arial"/>
          <w:sz w:val="20"/>
          <w:szCs w:val="20"/>
          <w:lang w:val="en-US"/>
        </w:rPr>
        <w:t>s not contrary to international standards, the possibility should also exist to file a claim before the corresponding authorities in those cases in which the physician ha</w:t>
      </w:r>
      <w:r w:rsidRPr="00012C3F">
        <w:rPr>
          <w:rFonts w:cs="Arial"/>
          <w:sz w:val="20"/>
          <w:lang w:val="en-US"/>
        </w:rPr>
        <w:t>s</w:t>
      </w:r>
      <w:r w:rsidRPr="00012C3F">
        <w:rPr>
          <w:rFonts w:cs="Arial"/>
          <w:sz w:val="20"/>
          <w:szCs w:val="20"/>
          <w:lang w:val="en-US"/>
        </w:rPr>
        <w:t xml:space="preserve"> failed to comply with that ethical and legal requirement</w:t>
      </w:r>
      <w:r w:rsidR="00291795" w:rsidRPr="00012C3F">
        <w:rPr>
          <w:rFonts w:cs="Arial"/>
          <w:sz w:val="20"/>
          <w:szCs w:val="20"/>
          <w:lang w:val="en-US"/>
        </w:rPr>
        <w:t>s</w:t>
      </w:r>
      <w:r w:rsidRPr="00012C3F">
        <w:rPr>
          <w:rFonts w:cs="Arial"/>
          <w:sz w:val="20"/>
          <w:szCs w:val="20"/>
          <w:lang w:val="en-US"/>
        </w:rPr>
        <w:t xml:space="preserve"> of medical practice, in order to establish the corresponding responsibilities and have access to compensation</w:t>
      </w:r>
      <w:r w:rsidR="00E54588" w:rsidRPr="00012C3F">
        <w:rPr>
          <w:rFonts w:eastAsia="MS Mincho"/>
          <w:sz w:val="20"/>
          <w:szCs w:val="20"/>
          <w:lang w:val="en-US"/>
        </w:rPr>
        <w:t xml:space="preserve">. </w:t>
      </w:r>
      <w:r w:rsidRPr="00012C3F">
        <w:rPr>
          <w:rFonts w:cs="Arial"/>
          <w:sz w:val="20"/>
          <w:szCs w:val="20"/>
          <w:lang w:val="en-US"/>
        </w:rPr>
        <w:t>The</w:t>
      </w:r>
      <w:r w:rsidRPr="00012C3F">
        <w:rPr>
          <w:rFonts w:cs="Arial"/>
          <w:sz w:val="20"/>
          <w:lang w:val="en-US"/>
        </w:rPr>
        <w:t xml:space="preserve">se measures </w:t>
      </w:r>
      <w:r w:rsidRPr="00012C3F">
        <w:rPr>
          <w:rFonts w:cs="Arial"/>
          <w:sz w:val="20"/>
          <w:szCs w:val="20"/>
          <w:lang w:val="en-US"/>
        </w:rPr>
        <w:t>should include the availability</w:t>
      </w:r>
      <w:r w:rsidR="00091030" w:rsidRPr="00012C3F">
        <w:rPr>
          <w:rFonts w:cs="Arial"/>
          <w:sz w:val="20"/>
          <w:szCs w:val="20"/>
          <w:lang w:val="en-US"/>
        </w:rPr>
        <w:t xml:space="preserve"> of</w:t>
      </w:r>
      <w:r w:rsidRPr="00012C3F">
        <w:rPr>
          <w:rFonts w:cs="Arial"/>
          <w:sz w:val="20"/>
          <w:szCs w:val="20"/>
          <w:lang w:val="en-US"/>
        </w:rPr>
        <w:t xml:space="preserve"> and access to administrative and judicial remedies to file claims if prior, free, full and informed consent ha</w:t>
      </w:r>
      <w:r w:rsidR="00091030" w:rsidRPr="00012C3F">
        <w:rPr>
          <w:rFonts w:cs="Arial"/>
          <w:sz w:val="20"/>
          <w:szCs w:val="20"/>
          <w:lang w:val="en-US"/>
        </w:rPr>
        <w:t>s</w:t>
      </w:r>
      <w:r w:rsidRPr="00012C3F">
        <w:rPr>
          <w:rFonts w:cs="Arial"/>
          <w:sz w:val="20"/>
          <w:szCs w:val="20"/>
          <w:lang w:val="en-US"/>
        </w:rPr>
        <w:t xml:space="preserve"> not been obtained, and the right for such claims to be examined promptly and impartially</w:t>
      </w:r>
      <w:r w:rsidR="00E54588" w:rsidRPr="00012C3F">
        <w:rPr>
          <w:rFonts w:eastAsia="MS Mincho"/>
          <w:sz w:val="20"/>
          <w:szCs w:val="20"/>
          <w:lang w:val="en-US"/>
        </w:rPr>
        <w:t xml:space="preserve">. </w:t>
      </w:r>
      <w:r w:rsidRPr="00012C3F">
        <w:rPr>
          <w:rFonts w:cs="Arial"/>
          <w:sz w:val="20"/>
          <w:szCs w:val="20"/>
          <w:lang w:val="en-US"/>
        </w:rPr>
        <w:t>To the contrary, th</w:t>
      </w:r>
      <w:r w:rsidR="00091030" w:rsidRPr="00012C3F">
        <w:rPr>
          <w:rFonts w:cs="Arial"/>
          <w:sz w:val="20"/>
          <w:szCs w:val="20"/>
          <w:lang w:val="en-US"/>
        </w:rPr>
        <w:t>is</w:t>
      </w:r>
      <w:r w:rsidRPr="00012C3F">
        <w:rPr>
          <w:rFonts w:cs="Arial"/>
          <w:sz w:val="20"/>
          <w:szCs w:val="20"/>
          <w:lang w:val="en-US"/>
        </w:rPr>
        <w:t xml:space="preserve"> would deny the practical effects of the rule of informed consent</w:t>
      </w:r>
      <w:r w:rsidRPr="00012C3F">
        <w:rPr>
          <w:rFonts w:eastAsia="MS Mincho"/>
          <w:sz w:val="20"/>
          <w:szCs w:val="20"/>
          <w:lang w:val="en-US"/>
        </w:rPr>
        <w:t xml:space="preserve"> .</w:t>
      </w:r>
    </w:p>
    <w:p w14:paraId="00AC50EC" w14:textId="77777777" w:rsidR="00E54588" w:rsidRPr="00012C3F" w:rsidRDefault="00E54588" w:rsidP="00E54588">
      <w:pPr>
        <w:tabs>
          <w:tab w:val="left" w:pos="567"/>
        </w:tabs>
        <w:spacing w:line="240" w:lineRule="auto"/>
        <w:rPr>
          <w:rFonts w:eastAsia="MS Mincho"/>
          <w:sz w:val="20"/>
          <w:szCs w:val="20"/>
          <w:lang w:val="en-US"/>
        </w:rPr>
      </w:pPr>
    </w:p>
    <w:p w14:paraId="6DA922EE" w14:textId="77777777" w:rsidR="00B469FE" w:rsidRPr="00012C3F" w:rsidRDefault="001C4B9F" w:rsidP="008764BB">
      <w:pPr>
        <w:numPr>
          <w:ilvl w:val="0"/>
          <w:numId w:val="5"/>
        </w:numPr>
        <w:tabs>
          <w:tab w:val="left" w:pos="720"/>
          <w:tab w:val="num" w:pos="12305"/>
        </w:tabs>
        <w:spacing w:line="240" w:lineRule="auto"/>
        <w:ind w:left="0" w:firstLine="0"/>
        <w:rPr>
          <w:rFonts w:eastAsia="MS Mincho"/>
          <w:sz w:val="20"/>
          <w:szCs w:val="20"/>
          <w:lang w:val="en-US"/>
        </w:rPr>
      </w:pPr>
      <w:r w:rsidRPr="00012C3F">
        <w:rPr>
          <w:rFonts w:cs="Arial"/>
          <w:sz w:val="20"/>
          <w:szCs w:val="20"/>
          <w:lang w:val="en-US"/>
        </w:rPr>
        <w:t>In brief, the Court consider</w:t>
      </w:r>
      <w:r w:rsidRPr="00012C3F">
        <w:rPr>
          <w:rFonts w:cs="Arial"/>
          <w:sz w:val="20"/>
          <w:lang w:val="en-US"/>
        </w:rPr>
        <w:t>s</w:t>
      </w:r>
      <w:r w:rsidRPr="00012C3F">
        <w:rPr>
          <w:rFonts w:cs="Arial"/>
          <w:sz w:val="20"/>
          <w:szCs w:val="20"/>
          <w:lang w:val="en-US"/>
        </w:rPr>
        <w:t xml:space="preserve"> that there </w:t>
      </w:r>
      <w:r w:rsidRPr="00012C3F">
        <w:rPr>
          <w:rFonts w:cs="Arial"/>
          <w:sz w:val="20"/>
          <w:lang w:val="en-US"/>
        </w:rPr>
        <w:t>i</w:t>
      </w:r>
      <w:r w:rsidRPr="00012C3F">
        <w:rPr>
          <w:rFonts w:cs="Arial"/>
          <w:sz w:val="20"/>
          <w:szCs w:val="20"/>
          <w:lang w:val="en-US"/>
        </w:rPr>
        <w:t>s growing recognition that the practice of non-consensual, involuntary, coerced or forced sterilization c</w:t>
      </w:r>
      <w:r w:rsidRPr="00012C3F">
        <w:rPr>
          <w:rFonts w:cs="Arial"/>
          <w:sz w:val="20"/>
          <w:lang w:val="en-US"/>
        </w:rPr>
        <w:t>an</w:t>
      </w:r>
      <w:r w:rsidRPr="00012C3F">
        <w:rPr>
          <w:rFonts w:cs="Arial"/>
          <w:sz w:val="20"/>
          <w:szCs w:val="20"/>
          <w:lang w:val="en-US"/>
        </w:rPr>
        <w:t>not remain unpunished, because th</w:t>
      </w:r>
      <w:r w:rsidRPr="00012C3F">
        <w:rPr>
          <w:rFonts w:cs="Arial"/>
          <w:sz w:val="20"/>
          <w:lang w:val="en-US"/>
        </w:rPr>
        <w:t>is</w:t>
      </w:r>
      <w:r w:rsidRPr="00012C3F">
        <w:rPr>
          <w:rFonts w:cs="Arial"/>
          <w:sz w:val="20"/>
          <w:szCs w:val="20"/>
          <w:lang w:val="en-US"/>
        </w:rPr>
        <w:t xml:space="preserve"> would lead to perpetuating discriminatory stereotypes in the area of reproductive health at the institutional level based on the belief that women </w:t>
      </w:r>
      <w:r w:rsidRPr="00012C3F">
        <w:rPr>
          <w:rFonts w:cs="Arial"/>
          <w:sz w:val="20"/>
          <w:lang w:val="en-US"/>
        </w:rPr>
        <w:t>a</w:t>
      </w:r>
      <w:r w:rsidRPr="00012C3F">
        <w:rPr>
          <w:rFonts w:cs="Arial"/>
          <w:sz w:val="20"/>
          <w:szCs w:val="20"/>
          <w:lang w:val="en-US"/>
        </w:rPr>
        <w:t>re not competent to take decisions concerning their own bodies and health</w:t>
      </w:r>
      <w:r w:rsidR="00B469FE" w:rsidRPr="00012C3F">
        <w:rPr>
          <w:rFonts w:eastAsia="MS Mincho"/>
          <w:sz w:val="20"/>
          <w:szCs w:val="20"/>
          <w:lang w:val="en-US"/>
        </w:rPr>
        <w:t xml:space="preserve">. </w:t>
      </w:r>
      <w:r w:rsidRPr="00012C3F">
        <w:rPr>
          <w:rFonts w:cs="Arial"/>
          <w:sz w:val="20"/>
          <w:lang w:val="en-US"/>
        </w:rPr>
        <w:t>This does</w:t>
      </w:r>
      <w:r w:rsidRPr="00012C3F">
        <w:rPr>
          <w:rFonts w:cs="Arial"/>
          <w:sz w:val="20"/>
          <w:szCs w:val="20"/>
          <w:lang w:val="en-US"/>
        </w:rPr>
        <w:t xml:space="preserve"> not necessarily mean that criminal proceedings </w:t>
      </w:r>
      <w:r w:rsidRPr="00012C3F">
        <w:rPr>
          <w:rFonts w:cs="Arial"/>
          <w:sz w:val="20"/>
          <w:lang w:val="en-US"/>
        </w:rPr>
        <w:t>a</w:t>
      </w:r>
      <w:r w:rsidRPr="00012C3F">
        <w:rPr>
          <w:rFonts w:cs="Arial"/>
          <w:sz w:val="20"/>
          <w:szCs w:val="20"/>
          <w:lang w:val="en-US"/>
        </w:rPr>
        <w:t>re required in every case, but that the State should provide mechanisms for filing c</w:t>
      </w:r>
      <w:r w:rsidR="00091030" w:rsidRPr="00012C3F">
        <w:rPr>
          <w:rFonts w:cs="Arial"/>
          <w:sz w:val="20"/>
          <w:szCs w:val="20"/>
          <w:lang w:val="en-US"/>
        </w:rPr>
        <w:t>omplaint</w:t>
      </w:r>
      <w:r w:rsidRPr="00012C3F">
        <w:rPr>
          <w:rFonts w:cs="Arial"/>
          <w:sz w:val="20"/>
          <w:szCs w:val="20"/>
          <w:lang w:val="en-US"/>
        </w:rPr>
        <w:t xml:space="preserve">s, which </w:t>
      </w:r>
      <w:r w:rsidRPr="00012C3F">
        <w:rPr>
          <w:rFonts w:cs="Arial"/>
          <w:sz w:val="20"/>
          <w:lang w:val="en-US"/>
        </w:rPr>
        <w:t>a</w:t>
      </w:r>
      <w:r w:rsidRPr="00012C3F">
        <w:rPr>
          <w:rFonts w:cs="Arial"/>
          <w:sz w:val="20"/>
          <w:szCs w:val="20"/>
          <w:lang w:val="en-US"/>
        </w:rPr>
        <w:t>re adequate and effective to establish individual responsibilities, in either the disciplinary, administrative or judicial sphere, as appropriate, so as to ensure adequate redress to the victim</w:t>
      </w:r>
      <w:r w:rsidR="00B469FE" w:rsidRPr="00012C3F">
        <w:rPr>
          <w:rFonts w:eastAsia="MS Mincho"/>
          <w:sz w:val="20"/>
          <w:szCs w:val="20"/>
          <w:lang w:val="en-US"/>
        </w:rPr>
        <w:t>.</w:t>
      </w:r>
    </w:p>
    <w:p w14:paraId="0CAE0352" w14:textId="77777777" w:rsidR="00B469FE" w:rsidRPr="00012C3F" w:rsidRDefault="00B469FE" w:rsidP="008764BB">
      <w:pPr>
        <w:tabs>
          <w:tab w:val="left" w:pos="720"/>
        </w:tabs>
        <w:spacing w:line="240" w:lineRule="auto"/>
        <w:rPr>
          <w:rFonts w:eastAsia="MS Mincho"/>
          <w:sz w:val="20"/>
          <w:szCs w:val="20"/>
          <w:lang w:val="en-US"/>
        </w:rPr>
      </w:pPr>
    </w:p>
    <w:p w14:paraId="0AC20D60" w14:textId="77777777" w:rsidR="00B469FE" w:rsidRPr="00012C3F" w:rsidRDefault="002B493C" w:rsidP="002B493C">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t>That said</w:t>
      </w:r>
      <w:r w:rsidR="00384CD3" w:rsidRPr="00012C3F">
        <w:rPr>
          <w:rFonts w:eastAsia="MS Mincho"/>
          <w:sz w:val="20"/>
          <w:szCs w:val="20"/>
          <w:lang w:val="en-US"/>
        </w:rPr>
        <w:t xml:space="preserve">, </w:t>
      </w:r>
      <w:r w:rsidRPr="00012C3F">
        <w:rPr>
          <w:rFonts w:eastAsia="MS Mincho"/>
          <w:sz w:val="20"/>
          <w:szCs w:val="20"/>
          <w:lang w:val="en-US"/>
        </w:rPr>
        <w:t xml:space="preserve">in its case law this Court has established that the obligation to conduct a criminal investigation and the corresponding right of the presumed victims or their next of kin derives not only from the treaty-based norms of international law that are binding for the States Parties, but </w:t>
      </w:r>
      <w:r w:rsidR="00091030" w:rsidRPr="00012C3F">
        <w:rPr>
          <w:rFonts w:eastAsia="MS Mincho"/>
          <w:sz w:val="20"/>
          <w:szCs w:val="20"/>
          <w:lang w:val="en-US"/>
        </w:rPr>
        <w:t>is</w:t>
      </w:r>
      <w:r w:rsidRPr="00012C3F">
        <w:rPr>
          <w:rFonts w:eastAsia="MS Mincho"/>
          <w:sz w:val="20"/>
          <w:szCs w:val="20"/>
          <w:lang w:val="en-US"/>
        </w:rPr>
        <w:t xml:space="preserve"> also derived from domestic law relating to the obligation to investigate, </w:t>
      </w:r>
      <w:r w:rsidRPr="00012C3F">
        <w:rPr>
          <w:rFonts w:eastAsia="MS Mincho"/>
          <w:i/>
          <w:iCs/>
          <w:sz w:val="20"/>
          <w:szCs w:val="20"/>
          <w:lang w:val="en-US"/>
        </w:rPr>
        <w:t>ex officio</w:t>
      </w:r>
      <w:r w:rsidRPr="00012C3F">
        <w:rPr>
          <w:rFonts w:eastAsia="MS Mincho"/>
          <w:sz w:val="20"/>
          <w:szCs w:val="20"/>
          <w:lang w:val="en-US"/>
        </w:rPr>
        <w:t xml:space="preserve">, certain wrongful acts, and from the laws that permit victims or their next of kin to file actions and submit complaints, evidence and motions or any other element in order to play a procedural role in the </w:t>
      </w:r>
      <w:r w:rsidRPr="00012C3F">
        <w:rPr>
          <w:rFonts w:eastAsia="MS Mincho"/>
          <w:sz w:val="20"/>
          <w:szCs w:val="20"/>
          <w:lang w:val="en-US"/>
        </w:rPr>
        <w:lastRenderedPageBreak/>
        <w:t>criminal investigation with the aim of establishing the truth of the facts.</w:t>
      </w:r>
      <w:r w:rsidR="00384CD3" w:rsidRPr="00012C3F">
        <w:rPr>
          <w:rFonts w:eastAsia="MS Mincho"/>
          <w:sz w:val="20"/>
          <w:szCs w:val="20"/>
          <w:vertAlign w:val="superscript"/>
          <w:lang w:val="en-US"/>
        </w:rPr>
        <w:footnoteReference w:id="389"/>
      </w:r>
      <w:r w:rsidR="00B469FE" w:rsidRPr="00012C3F">
        <w:rPr>
          <w:rFonts w:eastAsia="MS Mincho"/>
          <w:sz w:val="20"/>
          <w:szCs w:val="20"/>
          <w:lang w:val="en-US"/>
        </w:rPr>
        <w:t xml:space="preserve"> </w:t>
      </w:r>
      <w:r w:rsidRPr="00012C3F">
        <w:rPr>
          <w:rFonts w:eastAsia="MS Mincho"/>
          <w:sz w:val="20"/>
          <w:szCs w:val="20"/>
          <w:lang w:val="en-US"/>
        </w:rPr>
        <w:t xml:space="preserve">Given the fact that, </w:t>
      </w:r>
      <w:r w:rsidR="006C705C" w:rsidRPr="00012C3F">
        <w:rPr>
          <w:rFonts w:eastAsia="MS Mincho"/>
          <w:sz w:val="20"/>
          <w:szCs w:val="20"/>
          <w:lang w:val="en-US"/>
        </w:rPr>
        <w:t>in this case</w:t>
      </w:r>
      <w:r w:rsidRPr="00012C3F">
        <w:rPr>
          <w:rFonts w:eastAsia="MS Mincho"/>
          <w:sz w:val="20"/>
          <w:szCs w:val="20"/>
          <w:lang w:val="en-US"/>
        </w:rPr>
        <w:t>, c</w:t>
      </w:r>
      <w:r w:rsidR="006C705C" w:rsidRPr="00012C3F">
        <w:rPr>
          <w:rFonts w:eastAsia="MS Mincho"/>
          <w:sz w:val="20"/>
          <w:szCs w:val="20"/>
          <w:lang w:val="en-US"/>
        </w:rPr>
        <w:t>riminal proceedings</w:t>
      </w:r>
      <w:r w:rsidR="00B469FE" w:rsidRPr="00012C3F">
        <w:rPr>
          <w:rFonts w:eastAsia="MS Mincho"/>
          <w:sz w:val="20"/>
          <w:szCs w:val="20"/>
          <w:lang w:val="en-US"/>
        </w:rPr>
        <w:t xml:space="preserve"> </w:t>
      </w:r>
      <w:r w:rsidRPr="00012C3F">
        <w:rPr>
          <w:rFonts w:eastAsia="MS Mincho"/>
          <w:sz w:val="20"/>
          <w:szCs w:val="20"/>
          <w:lang w:val="en-US"/>
        </w:rPr>
        <w:t xml:space="preserve">were instituted for the offense of injuries, the Court will now examine whether the corresponding actions aimed at establishing the criminal responsibility of the physician for the </w:t>
      </w:r>
      <w:r w:rsidR="00271E24" w:rsidRPr="00012C3F">
        <w:rPr>
          <w:rFonts w:eastAsia="MS Mincho"/>
          <w:sz w:val="20"/>
          <w:szCs w:val="20"/>
          <w:lang w:val="en-US"/>
        </w:rPr>
        <w:t>non-consensual sterilization</w:t>
      </w:r>
      <w:r w:rsidR="00B469FE" w:rsidRPr="00012C3F">
        <w:rPr>
          <w:rFonts w:eastAsia="MS Mincho"/>
          <w:sz w:val="20"/>
          <w:szCs w:val="20"/>
          <w:lang w:val="en-US"/>
        </w:rPr>
        <w:t xml:space="preserve"> </w:t>
      </w:r>
      <w:r w:rsidRPr="00012C3F">
        <w:rPr>
          <w:rFonts w:eastAsia="MS Mincho"/>
          <w:sz w:val="20"/>
          <w:szCs w:val="20"/>
          <w:lang w:val="en-US"/>
        </w:rPr>
        <w:t>of</w:t>
      </w:r>
      <w:r w:rsidR="00B469FE" w:rsidRPr="00012C3F">
        <w:rPr>
          <w:rFonts w:eastAsia="MS Mincho"/>
          <w:sz w:val="20"/>
          <w:szCs w:val="20"/>
          <w:lang w:val="en-US"/>
        </w:rPr>
        <w:t xml:space="preserve"> </w:t>
      </w:r>
      <w:r w:rsidR="000E1C11" w:rsidRPr="00012C3F">
        <w:rPr>
          <w:rFonts w:eastAsia="MS Mincho"/>
          <w:sz w:val="20"/>
          <w:szCs w:val="20"/>
          <w:lang w:val="en-US"/>
        </w:rPr>
        <w:t>I.V.</w:t>
      </w:r>
      <w:r w:rsidR="00B646E3" w:rsidRPr="00012C3F">
        <w:rPr>
          <w:rFonts w:eastAsia="MS Mincho"/>
          <w:sz w:val="20"/>
          <w:szCs w:val="20"/>
          <w:lang w:val="en-US"/>
        </w:rPr>
        <w:t xml:space="preserve"> </w:t>
      </w:r>
      <w:r w:rsidRPr="00012C3F">
        <w:rPr>
          <w:rFonts w:eastAsia="MS Mincho"/>
          <w:sz w:val="20"/>
          <w:szCs w:val="20"/>
          <w:lang w:val="en-US"/>
        </w:rPr>
        <w:t>were in accordance with</w:t>
      </w:r>
      <w:r w:rsidR="00B646E3" w:rsidRPr="00012C3F">
        <w:rPr>
          <w:rFonts w:eastAsia="MS Mincho"/>
          <w:sz w:val="20"/>
          <w:szCs w:val="20"/>
          <w:lang w:val="en-US"/>
        </w:rPr>
        <w:t xml:space="preserve"> </w:t>
      </w:r>
      <w:r w:rsidR="001254DE" w:rsidRPr="00012C3F">
        <w:rPr>
          <w:rFonts w:eastAsia="MS Mincho"/>
          <w:sz w:val="20"/>
          <w:szCs w:val="20"/>
          <w:lang w:val="en-US"/>
        </w:rPr>
        <w:t>the American Convention</w:t>
      </w:r>
      <w:r w:rsidR="00B646E3" w:rsidRPr="00012C3F">
        <w:rPr>
          <w:rFonts w:eastAsia="MS Mincho"/>
          <w:sz w:val="20"/>
          <w:szCs w:val="20"/>
          <w:lang w:val="en-US"/>
        </w:rPr>
        <w:t>.</w:t>
      </w:r>
    </w:p>
    <w:p w14:paraId="5187D246" w14:textId="77777777" w:rsidR="00502B43" w:rsidRPr="00012C3F" w:rsidRDefault="00502B43" w:rsidP="00145A34">
      <w:pPr>
        <w:tabs>
          <w:tab w:val="left" w:pos="567"/>
          <w:tab w:val="left" w:pos="720"/>
        </w:tabs>
        <w:spacing w:line="240" w:lineRule="auto"/>
        <w:rPr>
          <w:rFonts w:eastAsia="MS Mincho"/>
          <w:b/>
          <w:sz w:val="20"/>
          <w:szCs w:val="20"/>
          <w:lang w:val="en-US"/>
        </w:rPr>
      </w:pPr>
    </w:p>
    <w:p w14:paraId="629A9C52" w14:textId="77777777" w:rsidR="00994B32" w:rsidRPr="00012C3F" w:rsidRDefault="00994B32" w:rsidP="006A16C8">
      <w:pPr>
        <w:pStyle w:val="Ttulo2"/>
        <w:tabs>
          <w:tab w:val="left" w:pos="1701"/>
        </w:tabs>
        <w:spacing w:before="0" w:line="240" w:lineRule="auto"/>
        <w:ind w:left="1134"/>
        <w:rPr>
          <w:rFonts w:ascii="Verdana" w:hAnsi="Verdana"/>
          <w:b w:val="0"/>
          <w:i/>
          <w:color w:val="auto"/>
          <w:sz w:val="20"/>
          <w:szCs w:val="20"/>
          <w:lang w:val="en-US"/>
        </w:rPr>
      </w:pPr>
      <w:bookmarkStart w:id="179" w:name="_Toc27486884"/>
      <w:r w:rsidRPr="00012C3F">
        <w:rPr>
          <w:rFonts w:ascii="Verdana" w:hAnsi="Verdana"/>
          <w:b w:val="0"/>
          <w:i/>
          <w:color w:val="auto"/>
          <w:sz w:val="20"/>
          <w:szCs w:val="20"/>
          <w:lang w:val="en-US"/>
        </w:rPr>
        <w:t xml:space="preserve">B.2 </w:t>
      </w:r>
      <w:r w:rsidRPr="00012C3F">
        <w:rPr>
          <w:rFonts w:ascii="Verdana" w:hAnsi="Verdana"/>
          <w:b w:val="0"/>
          <w:i/>
          <w:color w:val="auto"/>
          <w:sz w:val="20"/>
          <w:szCs w:val="20"/>
          <w:lang w:val="en-US"/>
        </w:rPr>
        <w:tab/>
      </w:r>
      <w:r w:rsidR="00A710F6" w:rsidRPr="00012C3F">
        <w:rPr>
          <w:rFonts w:ascii="Verdana" w:hAnsi="Verdana"/>
          <w:b w:val="0"/>
          <w:i/>
          <w:color w:val="auto"/>
          <w:sz w:val="20"/>
          <w:szCs w:val="20"/>
          <w:lang w:val="en-US"/>
        </w:rPr>
        <w:t xml:space="preserve">Determination of the effects of </w:t>
      </w:r>
      <w:r w:rsidR="00EB6905" w:rsidRPr="00012C3F">
        <w:rPr>
          <w:rFonts w:ascii="Verdana" w:hAnsi="Verdana"/>
          <w:b w:val="0"/>
          <w:i/>
          <w:color w:val="auto"/>
          <w:sz w:val="20"/>
          <w:szCs w:val="20"/>
          <w:lang w:val="en-US"/>
        </w:rPr>
        <w:t>the closure of the criminal</w:t>
      </w:r>
      <w:r w:rsidR="006C705C" w:rsidRPr="00012C3F">
        <w:rPr>
          <w:rFonts w:ascii="Verdana" w:hAnsi="Verdana"/>
          <w:b w:val="0"/>
          <w:i/>
          <w:color w:val="auto"/>
          <w:sz w:val="20"/>
          <w:szCs w:val="20"/>
          <w:lang w:val="en-US"/>
        </w:rPr>
        <w:t xml:space="preserve"> proceedings</w:t>
      </w:r>
      <w:bookmarkEnd w:id="179"/>
    </w:p>
    <w:p w14:paraId="606BEE46" w14:textId="77777777" w:rsidR="00994B32" w:rsidRPr="00012C3F" w:rsidRDefault="00994B32" w:rsidP="00994B32">
      <w:pPr>
        <w:tabs>
          <w:tab w:val="left" w:pos="720"/>
        </w:tabs>
        <w:spacing w:line="240" w:lineRule="auto"/>
        <w:rPr>
          <w:rFonts w:eastAsia="MS Mincho"/>
          <w:sz w:val="20"/>
          <w:szCs w:val="20"/>
          <w:lang w:val="en-US"/>
        </w:rPr>
      </w:pPr>
    </w:p>
    <w:p w14:paraId="27A0D045" w14:textId="77777777" w:rsidR="00F62FF3" w:rsidRPr="00012C3F" w:rsidRDefault="00EB6905" w:rsidP="00F62FF3">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t>According to t</w:t>
      </w:r>
      <w:r w:rsidR="00F62FF3" w:rsidRPr="00012C3F">
        <w:rPr>
          <w:rFonts w:eastAsia="MS Mincho"/>
          <w:sz w:val="20"/>
          <w:szCs w:val="20"/>
          <w:lang w:val="en-US"/>
        </w:rPr>
        <w:t xml:space="preserve">he widely disseminated jurisprudence of the countries of this hemisphere surgical procedures of a therapeutic nature (curative or palliative) </w:t>
      </w:r>
      <w:r w:rsidRPr="00012C3F">
        <w:rPr>
          <w:rFonts w:eastAsia="MS Mincho"/>
          <w:sz w:val="20"/>
          <w:szCs w:val="20"/>
          <w:lang w:val="en-US"/>
        </w:rPr>
        <w:t xml:space="preserve">do not correspond to the </w:t>
      </w:r>
      <w:r w:rsidR="0009029E" w:rsidRPr="00012C3F">
        <w:rPr>
          <w:rFonts w:eastAsia="MS Mincho"/>
          <w:sz w:val="20"/>
          <w:szCs w:val="20"/>
          <w:lang w:val="en-US"/>
        </w:rPr>
        <w:t xml:space="preserve">offense of </w:t>
      </w:r>
      <w:r w:rsidRPr="00012C3F">
        <w:rPr>
          <w:rFonts w:eastAsia="MS Mincho"/>
          <w:sz w:val="20"/>
          <w:szCs w:val="20"/>
          <w:lang w:val="en-US"/>
        </w:rPr>
        <w:t>“</w:t>
      </w:r>
      <w:r w:rsidR="0009029E" w:rsidRPr="00012C3F">
        <w:rPr>
          <w:rFonts w:eastAsia="MS Mincho"/>
          <w:sz w:val="20"/>
          <w:szCs w:val="20"/>
          <w:lang w:val="en-US"/>
        </w:rPr>
        <w:t>injuries.</w:t>
      </w:r>
      <w:r w:rsidRPr="00012C3F">
        <w:rPr>
          <w:rFonts w:eastAsia="MS Mincho"/>
          <w:sz w:val="20"/>
          <w:szCs w:val="20"/>
          <w:lang w:val="en-US"/>
        </w:rPr>
        <w:t>”</w:t>
      </w:r>
      <w:r w:rsidR="0009029E" w:rsidRPr="00012C3F">
        <w:rPr>
          <w:rFonts w:eastAsia="MS Mincho"/>
          <w:sz w:val="20"/>
          <w:szCs w:val="20"/>
          <w:lang w:val="en-US"/>
        </w:rPr>
        <w:t xml:space="preserve"> Even though this circumstance has not been alleged, and considering that it would be an effective</w:t>
      </w:r>
      <w:r w:rsidRPr="00012C3F">
        <w:rPr>
          <w:rFonts w:eastAsia="MS Mincho"/>
          <w:sz w:val="20"/>
          <w:szCs w:val="20"/>
          <w:lang w:val="en-US"/>
        </w:rPr>
        <w:t xml:space="preserve"> plea for the</w:t>
      </w:r>
      <w:r w:rsidR="0009029E" w:rsidRPr="00012C3F">
        <w:rPr>
          <w:rFonts w:eastAsia="MS Mincho"/>
          <w:sz w:val="20"/>
          <w:szCs w:val="20"/>
          <w:lang w:val="en-US"/>
        </w:rPr>
        <w:t xml:space="preserve"> defense, it is an inherent duty of a rigorous judicial process to examine and discard this possibility,</w:t>
      </w:r>
      <w:r w:rsidRPr="00012C3F">
        <w:rPr>
          <w:rFonts w:eastAsia="MS Mincho"/>
          <w:sz w:val="20"/>
          <w:szCs w:val="20"/>
          <w:lang w:val="en-US"/>
        </w:rPr>
        <w:t xml:space="preserve"> in order </w:t>
      </w:r>
      <w:r w:rsidR="0009029E" w:rsidRPr="00012C3F">
        <w:rPr>
          <w:rFonts w:eastAsia="MS Mincho"/>
          <w:sz w:val="20"/>
          <w:szCs w:val="20"/>
          <w:lang w:val="en-US"/>
        </w:rPr>
        <w:t>to make it clear that the closure of the criminal proceedings prejudiced the victim.</w:t>
      </w:r>
    </w:p>
    <w:p w14:paraId="5F629C90" w14:textId="77777777" w:rsidR="00994B32" w:rsidRPr="00012C3F" w:rsidRDefault="00994B32" w:rsidP="00F62FF3">
      <w:pPr>
        <w:tabs>
          <w:tab w:val="left" w:pos="720"/>
        </w:tabs>
        <w:spacing w:line="240" w:lineRule="auto"/>
        <w:rPr>
          <w:rFonts w:eastAsia="MS Mincho"/>
          <w:sz w:val="20"/>
          <w:szCs w:val="20"/>
          <w:lang w:val="en-US"/>
        </w:rPr>
      </w:pPr>
    </w:p>
    <w:p w14:paraId="651D34AD" w14:textId="77777777" w:rsidR="00DB57C0" w:rsidRPr="00012C3F" w:rsidRDefault="0009029E" w:rsidP="0009029E">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t xml:space="preserve">In this case, the purpose of the procedure performed on I.V. was of a preventive, therapeutic nature, which would </w:t>
      </w:r>
      <w:r w:rsidR="00EB6905" w:rsidRPr="00012C3F">
        <w:rPr>
          <w:rFonts w:eastAsia="MS Mincho"/>
          <w:sz w:val="20"/>
          <w:szCs w:val="20"/>
          <w:lang w:val="en-US"/>
        </w:rPr>
        <w:t>not constitute</w:t>
      </w:r>
      <w:r w:rsidRPr="00012C3F">
        <w:rPr>
          <w:rFonts w:eastAsia="MS Mincho"/>
          <w:sz w:val="20"/>
          <w:szCs w:val="20"/>
          <w:lang w:val="en-US"/>
        </w:rPr>
        <w:t xml:space="preserve"> </w:t>
      </w:r>
      <w:r w:rsidR="00EB6905" w:rsidRPr="00012C3F">
        <w:rPr>
          <w:rFonts w:eastAsia="MS Mincho"/>
          <w:sz w:val="20"/>
          <w:szCs w:val="20"/>
          <w:lang w:val="en-US"/>
        </w:rPr>
        <w:t>“</w:t>
      </w:r>
      <w:r w:rsidRPr="00012C3F">
        <w:rPr>
          <w:rFonts w:eastAsia="MS Mincho"/>
          <w:sz w:val="20"/>
          <w:szCs w:val="20"/>
          <w:lang w:val="en-US"/>
        </w:rPr>
        <w:t>injuries</w:t>
      </w:r>
      <w:r w:rsidR="00EB6905" w:rsidRPr="00012C3F">
        <w:rPr>
          <w:rFonts w:eastAsia="MS Mincho"/>
          <w:sz w:val="20"/>
          <w:szCs w:val="20"/>
          <w:lang w:val="en-US"/>
        </w:rPr>
        <w:t>”</w:t>
      </w:r>
      <w:r w:rsidRPr="00012C3F">
        <w:rPr>
          <w:rFonts w:eastAsia="MS Mincho"/>
          <w:sz w:val="20"/>
          <w:szCs w:val="20"/>
          <w:lang w:val="en-US"/>
        </w:rPr>
        <w:t xml:space="preserve"> if it had been carried out in accordance with the rules of medical practice; that is, respect</w:t>
      </w:r>
      <w:r w:rsidR="00EB6905" w:rsidRPr="00012C3F">
        <w:rPr>
          <w:rFonts w:eastAsia="MS Mincho"/>
          <w:sz w:val="20"/>
          <w:szCs w:val="20"/>
          <w:lang w:val="en-US"/>
        </w:rPr>
        <w:t>ing</w:t>
      </w:r>
      <w:r w:rsidRPr="00012C3F">
        <w:rPr>
          <w:rFonts w:eastAsia="MS Mincho"/>
          <w:sz w:val="20"/>
          <w:szCs w:val="20"/>
          <w:lang w:val="en-US"/>
        </w:rPr>
        <w:t xml:space="preserve"> the obligation of care that corresponds to the profession, because, to the contrary, the </w:t>
      </w:r>
      <w:r w:rsidR="00091030" w:rsidRPr="00012C3F">
        <w:rPr>
          <w:rFonts w:eastAsia="MS Mincho"/>
          <w:sz w:val="20"/>
          <w:szCs w:val="20"/>
          <w:lang w:val="en-US"/>
        </w:rPr>
        <w:t>physician</w:t>
      </w:r>
      <w:r w:rsidRPr="00012C3F">
        <w:rPr>
          <w:rFonts w:eastAsia="MS Mincho"/>
          <w:sz w:val="20"/>
          <w:szCs w:val="20"/>
          <w:lang w:val="en-US"/>
        </w:rPr>
        <w:t xml:space="preserve"> would have incurred fault liability (imprudence or negligence). The </w:t>
      </w:r>
      <w:r w:rsidR="00EB6905" w:rsidRPr="00012C3F">
        <w:rPr>
          <w:rFonts w:eastAsia="MS Mincho"/>
          <w:sz w:val="20"/>
          <w:szCs w:val="20"/>
          <w:lang w:val="en-US"/>
        </w:rPr>
        <w:t xml:space="preserve">non-criminal </w:t>
      </w:r>
      <w:r w:rsidRPr="00012C3F">
        <w:rPr>
          <w:rFonts w:eastAsia="MS Mincho"/>
          <w:sz w:val="20"/>
          <w:szCs w:val="20"/>
          <w:lang w:val="en-US"/>
        </w:rPr>
        <w:t>nature</w:t>
      </w:r>
      <w:r w:rsidR="00AB551F" w:rsidRPr="00012C3F">
        <w:rPr>
          <w:rFonts w:eastAsia="MS Mincho"/>
          <w:sz w:val="20"/>
          <w:szCs w:val="20"/>
          <w:lang w:val="en-US"/>
        </w:rPr>
        <w:t xml:space="preserve"> of procedures</w:t>
      </w:r>
      <w:r w:rsidRPr="00012C3F">
        <w:rPr>
          <w:rFonts w:eastAsia="MS Mincho"/>
          <w:sz w:val="20"/>
          <w:szCs w:val="20"/>
          <w:lang w:val="en-US"/>
        </w:rPr>
        <w:t xml:space="preserve"> is conditioned by the </w:t>
      </w:r>
      <w:r w:rsidR="00DB57C0" w:rsidRPr="00012C3F">
        <w:rPr>
          <w:rFonts w:eastAsia="MS Mincho"/>
          <w:sz w:val="20"/>
          <w:szCs w:val="20"/>
          <w:lang w:val="en-US"/>
        </w:rPr>
        <w:t>observance of the duty of care in accordance with the rules of medical practice. This duty obliges doctor</w:t>
      </w:r>
      <w:r w:rsidR="00EB6905" w:rsidRPr="00012C3F">
        <w:rPr>
          <w:rFonts w:eastAsia="MS Mincho"/>
          <w:sz w:val="20"/>
          <w:szCs w:val="20"/>
          <w:lang w:val="en-US"/>
        </w:rPr>
        <w:t>s</w:t>
      </w:r>
      <w:r w:rsidR="00DB57C0" w:rsidRPr="00012C3F">
        <w:rPr>
          <w:rFonts w:eastAsia="MS Mincho"/>
          <w:sz w:val="20"/>
          <w:szCs w:val="20"/>
          <w:lang w:val="en-US"/>
        </w:rPr>
        <w:t xml:space="preserve"> to take special care to ensure that </w:t>
      </w:r>
      <w:r w:rsidR="00EB6905" w:rsidRPr="00012C3F">
        <w:rPr>
          <w:rFonts w:eastAsia="MS Mincho"/>
          <w:sz w:val="20"/>
          <w:szCs w:val="20"/>
          <w:lang w:val="en-US"/>
        </w:rPr>
        <w:t>their</w:t>
      </w:r>
      <w:r w:rsidR="00DB57C0" w:rsidRPr="00012C3F">
        <w:rPr>
          <w:rFonts w:eastAsia="MS Mincho"/>
          <w:sz w:val="20"/>
          <w:szCs w:val="20"/>
          <w:lang w:val="en-US"/>
        </w:rPr>
        <w:t xml:space="preserve"> intervention</w:t>
      </w:r>
      <w:r w:rsidR="00EB6905" w:rsidRPr="00012C3F">
        <w:rPr>
          <w:rFonts w:eastAsia="MS Mincho"/>
          <w:sz w:val="20"/>
          <w:szCs w:val="20"/>
          <w:lang w:val="en-US"/>
        </w:rPr>
        <w:t>s</w:t>
      </w:r>
      <w:r w:rsidR="00DB57C0" w:rsidRPr="00012C3F">
        <w:rPr>
          <w:rFonts w:eastAsia="MS Mincho"/>
          <w:sz w:val="20"/>
          <w:szCs w:val="20"/>
          <w:lang w:val="en-US"/>
        </w:rPr>
        <w:t xml:space="preserve"> will improve the patient’s health and will not cause new and greater harms or paradoxical effects. Health, according to the classic definition of the WHO,</w:t>
      </w:r>
      <w:r w:rsidR="00335B72" w:rsidRPr="00012C3F">
        <w:rPr>
          <w:rStyle w:val="Refdenotaalpie"/>
          <w:rFonts w:eastAsia="MS Mincho"/>
          <w:sz w:val="20"/>
          <w:szCs w:val="20"/>
          <w:lang w:val="en-US"/>
        </w:rPr>
        <w:footnoteReference w:id="390"/>
      </w:r>
      <w:r w:rsidR="00994B32" w:rsidRPr="00012C3F">
        <w:rPr>
          <w:rFonts w:eastAsia="MS Mincho"/>
          <w:sz w:val="20"/>
          <w:szCs w:val="20"/>
          <w:lang w:val="en-US"/>
        </w:rPr>
        <w:t xml:space="preserve"> </w:t>
      </w:r>
      <w:r w:rsidR="00DB57C0" w:rsidRPr="00012C3F">
        <w:rPr>
          <w:rFonts w:eastAsia="MS Mincho"/>
          <w:sz w:val="20"/>
          <w:szCs w:val="20"/>
          <w:lang w:val="en-US"/>
        </w:rPr>
        <w:t xml:space="preserve">is a state of biological and psychological balance. In the case of I.V., it has been proved that, as a result of the sterilization, even though the risk of a possible future pregnancy was neutralized, she </w:t>
      </w:r>
      <w:r w:rsidR="00AB551F" w:rsidRPr="00012C3F">
        <w:rPr>
          <w:rFonts w:eastAsia="MS Mincho"/>
          <w:sz w:val="20"/>
          <w:szCs w:val="20"/>
          <w:lang w:val="en-US"/>
        </w:rPr>
        <w:t xml:space="preserve">has </w:t>
      </w:r>
      <w:r w:rsidR="00DB57C0" w:rsidRPr="00012C3F">
        <w:rPr>
          <w:rFonts w:eastAsia="MS Mincho"/>
          <w:sz w:val="20"/>
          <w:szCs w:val="20"/>
          <w:lang w:val="en-US"/>
        </w:rPr>
        <w:t xml:space="preserve">suffered very </w:t>
      </w:r>
      <w:r w:rsidR="00AB551F" w:rsidRPr="00012C3F">
        <w:rPr>
          <w:rFonts w:eastAsia="MS Mincho"/>
          <w:sz w:val="20"/>
          <w:szCs w:val="20"/>
          <w:lang w:val="en-US"/>
        </w:rPr>
        <w:t>severe</w:t>
      </w:r>
      <w:r w:rsidR="00DB57C0" w:rsidRPr="00012C3F">
        <w:rPr>
          <w:rFonts w:eastAsia="MS Mincho"/>
          <w:sz w:val="20"/>
          <w:szCs w:val="20"/>
          <w:lang w:val="en-US"/>
        </w:rPr>
        <w:t xml:space="preserve"> </w:t>
      </w:r>
      <w:r w:rsidR="00091030" w:rsidRPr="00012C3F">
        <w:rPr>
          <w:rFonts w:eastAsia="MS Mincho"/>
          <w:sz w:val="20"/>
          <w:szCs w:val="20"/>
          <w:lang w:val="en-US"/>
        </w:rPr>
        <w:t xml:space="preserve">and </w:t>
      </w:r>
      <w:r w:rsidR="00DB57C0" w:rsidRPr="00012C3F">
        <w:rPr>
          <w:rFonts w:eastAsia="MS Mincho"/>
          <w:sz w:val="20"/>
          <w:szCs w:val="20"/>
          <w:lang w:val="en-US"/>
        </w:rPr>
        <w:t>real psychological</w:t>
      </w:r>
      <w:r w:rsidR="00EB6905" w:rsidRPr="00012C3F">
        <w:rPr>
          <w:rFonts w:eastAsia="MS Mincho"/>
          <w:sz w:val="20"/>
          <w:szCs w:val="20"/>
          <w:lang w:val="en-US"/>
        </w:rPr>
        <w:t xml:space="preserve"> harm, consisting in psychotic or similar episode</w:t>
      </w:r>
      <w:r w:rsidR="00AB551F" w:rsidRPr="00012C3F">
        <w:rPr>
          <w:rFonts w:eastAsia="MS Mincho"/>
          <w:sz w:val="20"/>
          <w:szCs w:val="20"/>
          <w:lang w:val="en-US"/>
        </w:rPr>
        <w:t>s</w:t>
      </w:r>
      <w:r w:rsidR="00EB6905" w:rsidRPr="00012C3F">
        <w:rPr>
          <w:rFonts w:eastAsia="MS Mincho"/>
          <w:sz w:val="20"/>
          <w:szCs w:val="20"/>
          <w:lang w:val="en-US"/>
        </w:rPr>
        <w:t>, characterized especially by intermittent persecutory delusions that required her internment in a psychiatric ward. These considerations allow the Court to conclude that the victim was harmed as a result of being deprived of the possibility of obtaining a judgment.</w:t>
      </w:r>
    </w:p>
    <w:p w14:paraId="2C7AAE0F" w14:textId="77777777" w:rsidR="00994B32" w:rsidRPr="00012C3F" w:rsidRDefault="00994B32" w:rsidP="00145A34">
      <w:pPr>
        <w:tabs>
          <w:tab w:val="left" w:pos="567"/>
          <w:tab w:val="left" w:pos="720"/>
        </w:tabs>
        <w:spacing w:line="240" w:lineRule="auto"/>
        <w:rPr>
          <w:rFonts w:eastAsia="MS Mincho"/>
          <w:sz w:val="20"/>
          <w:szCs w:val="20"/>
          <w:lang w:val="en-US"/>
        </w:rPr>
      </w:pPr>
    </w:p>
    <w:p w14:paraId="79744DC9" w14:textId="77777777" w:rsidR="00502B43" w:rsidRPr="00012C3F" w:rsidRDefault="00B14DC5" w:rsidP="0005131A">
      <w:pPr>
        <w:pStyle w:val="Ttulo2"/>
        <w:tabs>
          <w:tab w:val="left" w:pos="1701"/>
        </w:tabs>
        <w:spacing w:before="0" w:line="240" w:lineRule="auto"/>
        <w:ind w:left="1134"/>
        <w:rPr>
          <w:rFonts w:ascii="Verdana" w:hAnsi="Verdana"/>
          <w:b w:val="0"/>
          <w:i/>
          <w:color w:val="auto"/>
          <w:sz w:val="20"/>
          <w:szCs w:val="20"/>
          <w:lang w:val="en-US"/>
        </w:rPr>
      </w:pPr>
      <w:bookmarkStart w:id="180" w:name="_Toc461305148"/>
      <w:bookmarkStart w:id="181" w:name="_Toc27486885"/>
      <w:r w:rsidRPr="00012C3F">
        <w:rPr>
          <w:rFonts w:ascii="Verdana" w:hAnsi="Verdana"/>
          <w:b w:val="0"/>
          <w:i/>
          <w:color w:val="auto"/>
          <w:sz w:val="20"/>
          <w:szCs w:val="20"/>
          <w:lang w:val="en-US"/>
        </w:rPr>
        <w:t>B</w:t>
      </w:r>
      <w:r w:rsidR="00502B43" w:rsidRPr="00012C3F">
        <w:rPr>
          <w:rFonts w:ascii="Verdana" w:hAnsi="Verdana"/>
          <w:b w:val="0"/>
          <w:i/>
          <w:color w:val="auto"/>
          <w:sz w:val="20"/>
          <w:szCs w:val="20"/>
          <w:lang w:val="en-US"/>
        </w:rPr>
        <w:t>.</w:t>
      </w:r>
      <w:r w:rsidR="00994B32" w:rsidRPr="00012C3F">
        <w:rPr>
          <w:rFonts w:ascii="Verdana" w:hAnsi="Verdana"/>
          <w:b w:val="0"/>
          <w:i/>
          <w:color w:val="auto"/>
          <w:sz w:val="20"/>
          <w:szCs w:val="20"/>
          <w:lang w:val="en-US"/>
        </w:rPr>
        <w:t>3</w:t>
      </w:r>
      <w:r w:rsidR="00502B43" w:rsidRPr="00012C3F">
        <w:rPr>
          <w:rFonts w:ascii="Verdana" w:hAnsi="Verdana"/>
          <w:b w:val="0"/>
          <w:i/>
          <w:color w:val="auto"/>
          <w:sz w:val="20"/>
          <w:szCs w:val="20"/>
          <w:lang w:val="en-US"/>
        </w:rPr>
        <w:t xml:space="preserve"> </w:t>
      </w:r>
      <w:r w:rsidR="00502B43" w:rsidRPr="00012C3F">
        <w:rPr>
          <w:rFonts w:ascii="Verdana" w:hAnsi="Verdana"/>
          <w:b w:val="0"/>
          <w:i/>
          <w:color w:val="auto"/>
          <w:sz w:val="20"/>
          <w:szCs w:val="20"/>
          <w:lang w:val="en-US"/>
        </w:rPr>
        <w:tab/>
      </w:r>
      <w:r w:rsidR="00B47F8D" w:rsidRPr="00012C3F">
        <w:rPr>
          <w:rFonts w:ascii="Verdana" w:hAnsi="Verdana"/>
          <w:b w:val="0"/>
          <w:i/>
          <w:color w:val="auto"/>
          <w:sz w:val="20"/>
          <w:szCs w:val="20"/>
          <w:lang w:val="en-US"/>
        </w:rPr>
        <w:t>Determination of the scope of the State’s international responsibility</w:t>
      </w:r>
      <w:r w:rsidRPr="00012C3F">
        <w:rPr>
          <w:rFonts w:ascii="Verdana" w:hAnsi="Verdana"/>
          <w:b w:val="0"/>
          <w:i/>
          <w:color w:val="auto"/>
          <w:sz w:val="20"/>
          <w:szCs w:val="20"/>
          <w:lang w:val="en-US"/>
        </w:rPr>
        <w:t xml:space="preserve"> </w:t>
      </w:r>
      <w:r w:rsidR="00A710F6" w:rsidRPr="00012C3F">
        <w:rPr>
          <w:rFonts w:ascii="Verdana" w:hAnsi="Verdana"/>
          <w:b w:val="0"/>
          <w:i/>
          <w:color w:val="auto"/>
          <w:sz w:val="20"/>
          <w:szCs w:val="20"/>
          <w:lang w:val="en-US"/>
        </w:rPr>
        <w:t>owing to the criminal</w:t>
      </w:r>
      <w:r w:rsidR="006C705C" w:rsidRPr="00012C3F">
        <w:rPr>
          <w:rFonts w:ascii="Verdana" w:hAnsi="Verdana"/>
          <w:b w:val="0"/>
          <w:i/>
          <w:color w:val="auto"/>
          <w:sz w:val="20"/>
          <w:szCs w:val="20"/>
          <w:lang w:val="en-US"/>
        </w:rPr>
        <w:t xml:space="preserve"> proceedings</w:t>
      </w:r>
      <w:bookmarkEnd w:id="180"/>
      <w:bookmarkEnd w:id="181"/>
    </w:p>
    <w:p w14:paraId="7DD91E23" w14:textId="77777777" w:rsidR="00502B43" w:rsidRPr="00012C3F" w:rsidRDefault="00502B43" w:rsidP="00502B43">
      <w:pPr>
        <w:tabs>
          <w:tab w:val="left" w:pos="720"/>
        </w:tabs>
        <w:spacing w:line="240" w:lineRule="auto"/>
        <w:rPr>
          <w:rFonts w:eastAsia="MS Mincho"/>
          <w:sz w:val="20"/>
          <w:szCs w:val="20"/>
          <w:lang w:val="en-US"/>
        </w:rPr>
      </w:pPr>
    </w:p>
    <w:p w14:paraId="0D662A51" w14:textId="77777777" w:rsidR="00502B43" w:rsidRPr="00012C3F" w:rsidRDefault="00AB551F" w:rsidP="00AB551F">
      <w:pPr>
        <w:numPr>
          <w:ilvl w:val="0"/>
          <w:numId w:val="5"/>
        </w:numPr>
        <w:tabs>
          <w:tab w:val="left" w:pos="720"/>
          <w:tab w:val="num" w:pos="12305"/>
        </w:tabs>
        <w:spacing w:line="240" w:lineRule="auto"/>
        <w:ind w:left="0" w:firstLine="0"/>
        <w:rPr>
          <w:rFonts w:eastAsia="MS Mincho"/>
          <w:b/>
          <w:sz w:val="20"/>
          <w:szCs w:val="20"/>
          <w:lang w:val="en-US"/>
        </w:rPr>
      </w:pPr>
      <w:r w:rsidRPr="00012C3F">
        <w:rPr>
          <w:rFonts w:eastAsia="MS Mincho"/>
          <w:sz w:val="20"/>
          <w:szCs w:val="20"/>
          <w:lang w:val="en-US"/>
        </w:rPr>
        <w:t xml:space="preserve">In its consistent case law, the Court has indicated that the obligation to investigate is an obligation of means and not of results that must be assumed by the State as an inherent legal duty and not as a </w:t>
      </w:r>
      <w:r w:rsidR="00091030" w:rsidRPr="00012C3F">
        <w:rPr>
          <w:rFonts w:eastAsia="MS Mincho"/>
          <w:sz w:val="20"/>
          <w:szCs w:val="20"/>
          <w:lang w:val="en-US"/>
        </w:rPr>
        <w:t>mere</w:t>
      </w:r>
      <w:r w:rsidRPr="00012C3F">
        <w:rPr>
          <w:rFonts w:eastAsia="MS Mincho"/>
          <w:sz w:val="20"/>
          <w:szCs w:val="20"/>
          <w:lang w:val="en-US"/>
        </w:rPr>
        <w:t xml:space="preserve"> formality preordained to be ineffective, or as a </w:t>
      </w:r>
      <w:r w:rsidR="00091030" w:rsidRPr="00012C3F">
        <w:rPr>
          <w:rFonts w:eastAsia="MS Mincho"/>
          <w:sz w:val="20"/>
          <w:szCs w:val="20"/>
          <w:lang w:val="en-US"/>
        </w:rPr>
        <w:t xml:space="preserve">measure </w:t>
      </w:r>
      <w:r w:rsidRPr="00012C3F">
        <w:rPr>
          <w:rFonts w:eastAsia="MS Mincho"/>
          <w:sz w:val="20"/>
          <w:szCs w:val="20"/>
          <w:lang w:val="en-US"/>
        </w:rPr>
        <w:t>taken by private interests that depends on the procedural initiative of the victims or their next of kin or on the contribution of probative elements</w:t>
      </w:r>
      <w:r w:rsidR="00091030" w:rsidRPr="00012C3F">
        <w:rPr>
          <w:rFonts w:eastAsia="MS Mincho"/>
          <w:sz w:val="20"/>
          <w:szCs w:val="20"/>
          <w:lang w:val="en-US"/>
        </w:rPr>
        <w:t xml:space="preserve"> by private individuals</w:t>
      </w:r>
      <w:r w:rsidRPr="00012C3F">
        <w:rPr>
          <w:rFonts w:eastAsia="MS Mincho"/>
          <w:sz w:val="20"/>
          <w:szCs w:val="20"/>
          <w:lang w:val="en-US"/>
        </w:rPr>
        <w:t>.</w:t>
      </w:r>
      <w:r w:rsidR="00502B43" w:rsidRPr="00012C3F">
        <w:rPr>
          <w:rFonts w:eastAsia="MS Mincho"/>
          <w:sz w:val="20"/>
          <w:szCs w:val="20"/>
          <w:vertAlign w:val="superscript"/>
          <w:lang w:val="en-US"/>
        </w:rPr>
        <w:footnoteReference w:id="391"/>
      </w:r>
      <w:r w:rsidR="00502B43" w:rsidRPr="00012C3F">
        <w:rPr>
          <w:rFonts w:eastAsia="MS Mincho"/>
          <w:sz w:val="20"/>
          <w:szCs w:val="20"/>
          <w:lang w:val="en-US"/>
        </w:rPr>
        <w:t xml:space="preserve"> </w:t>
      </w:r>
      <w:r w:rsidRPr="00012C3F">
        <w:rPr>
          <w:rFonts w:eastAsia="MS Mincho"/>
          <w:sz w:val="20"/>
          <w:szCs w:val="20"/>
          <w:lang w:val="en-US"/>
        </w:rPr>
        <w:t>In addition, due diligence requires that the investigating agency should take all the steps and make all the inquiries necessary to achieve the result pursued</w:t>
      </w:r>
      <w:r w:rsidR="00502B43" w:rsidRPr="00012C3F">
        <w:rPr>
          <w:rFonts w:eastAsia="MS Mincho"/>
          <w:sz w:val="20"/>
          <w:szCs w:val="20"/>
          <w:lang w:val="en-US"/>
        </w:rPr>
        <w:t xml:space="preserve">. </w:t>
      </w:r>
      <w:r w:rsidRPr="00012C3F">
        <w:rPr>
          <w:rFonts w:eastAsia="MS Mincho"/>
          <w:sz w:val="20"/>
          <w:szCs w:val="20"/>
          <w:lang w:val="en-US"/>
        </w:rPr>
        <w:t xml:space="preserve">To the contrary, the investigation is ineffective in the terms </w:t>
      </w:r>
      <w:r w:rsidR="001254DE" w:rsidRPr="00012C3F">
        <w:rPr>
          <w:rFonts w:eastAsia="MS Mincho"/>
          <w:sz w:val="20"/>
          <w:szCs w:val="20"/>
          <w:lang w:val="en-US"/>
        </w:rPr>
        <w:t>of the Convention</w:t>
      </w:r>
      <w:r w:rsidRPr="00012C3F">
        <w:rPr>
          <w:rFonts w:eastAsia="MS Mincho"/>
          <w:sz w:val="20"/>
          <w:szCs w:val="20"/>
          <w:lang w:val="en-US"/>
        </w:rPr>
        <w:t>.</w:t>
      </w:r>
      <w:r w:rsidR="00502B43" w:rsidRPr="00012C3F">
        <w:rPr>
          <w:rFonts w:eastAsia="MS Mincho"/>
          <w:sz w:val="20"/>
          <w:szCs w:val="20"/>
          <w:vertAlign w:val="superscript"/>
          <w:lang w:val="en-US"/>
        </w:rPr>
        <w:footnoteReference w:id="392"/>
      </w:r>
    </w:p>
    <w:p w14:paraId="237213CF" w14:textId="77777777" w:rsidR="00502B43" w:rsidRPr="00012C3F" w:rsidRDefault="00502B43" w:rsidP="00502B43">
      <w:pPr>
        <w:tabs>
          <w:tab w:val="left" w:pos="720"/>
        </w:tabs>
        <w:spacing w:line="240" w:lineRule="auto"/>
        <w:rPr>
          <w:rFonts w:eastAsia="MS Mincho"/>
          <w:sz w:val="20"/>
          <w:szCs w:val="20"/>
          <w:lang w:val="en-US"/>
        </w:rPr>
      </w:pPr>
    </w:p>
    <w:p w14:paraId="6A6EB062" w14:textId="77777777" w:rsidR="006B1865" w:rsidRPr="00012C3F" w:rsidRDefault="001254DE" w:rsidP="00501966">
      <w:pPr>
        <w:numPr>
          <w:ilvl w:val="0"/>
          <w:numId w:val="5"/>
        </w:numPr>
        <w:tabs>
          <w:tab w:val="left" w:pos="720"/>
          <w:tab w:val="num" w:pos="12305"/>
        </w:tabs>
        <w:spacing w:line="240" w:lineRule="auto"/>
        <w:ind w:left="0" w:firstLine="0"/>
        <w:rPr>
          <w:rFonts w:cs="Arial"/>
          <w:sz w:val="20"/>
          <w:szCs w:val="20"/>
          <w:lang w:val="en-US"/>
        </w:rPr>
      </w:pPr>
      <w:r w:rsidRPr="00012C3F">
        <w:rPr>
          <w:rFonts w:cs="Arial"/>
          <w:sz w:val="20"/>
          <w:szCs w:val="20"/>
          <w:lang w:val="en-US"/>
        </w:rPr>
        <w:lastRenderedPageBreak/>
        <w:t>The Court</w:t>
      </w:r>
      <w:r w:rsidR="00D61D4C" w:rsidRPr="00012C3F">
        <w:rPr>
          <w:rFonts w:cs="Arial"/>
          <w:sz w:val="20"/>
          <w:szCs w:val="20"/>
          <w:lang w:val="en-US"/>
        </w:rPr>
        <w:t xml:space="preserve"> conside</w:t>
      </w:r>
      <w:r w:rsidR="00AB551F" w:rsidRPr="00012C3F">
        <w:rPr>
          <w:rFonts w:cs="Arial"/>
          <w:sz w:val="20"/>
          <w:szCs w:val="20"/>
          <w:lang w:val="en-US"/>
        </w:rPr>
        <w:t>rs that</w:t>
      </w:r>
      <w:r w:rsidR="00D61D4C" w:rsidRPr="00012C3F">
        <w:rPr>
          <w:rFonts w:cs="Arial"/>
          <w:sz w:val="20"/>
          <w:szCs w:val="20"/>
          <w:lang w:val="en-US"/>
        </w:rPr>
        <w:t xml:space="preserve"> </w:t>
      </w:r>
      <w:r w:rsidR="00A84CA0" w:rsidRPr="00012C3F">
        <w:rPr>
          <w:rFonts w:cs="Arial"/>
          <w:sz w:val="20"/>
          <w:szCs w:val="20"/>
          <w:lang w:val="en-US"/>
        </w:rPr>
        <w:t>the State</w:t>
      </w:r>
      <w:r w:rsidR="00D61D4C" w:rsidRPr="00012C3F">
        <w:rPr>
          <w:rFonts w:cs="Arial"/>
          <w:sz w:val="20"/>
          <w:szCs w:val="20"/>
          <w:lang w:val="en-US"/>
        </w:rPr>
        <w:t xml:space="preserve"> </w:t>
      </w:r>
      <w:r w:rsidR="00AB551F" w:rsidRPr="00012C3F">
        <w:rPr>
          <w:rFonts w:cs="Arial"/>
          <w:sz w:val="20"/>
          <w:szCs w:val="20"/>
          <w:lang w:val="en-US"/>
        </w:rPr>
        <w:t xml:space="preserve">had the </w:t>
      </w:r>
      <w:r w:rsidR="00091030" w:rsidRPr="00012C3F">
        <w:rPr>
          <w:rFonts w:cs="Arial"/>
          <w:sz w:val="20"/>
          <w:szCs w:val="20"/>
          <w:lang w:val="en-US"/>
        </w:rPr>
        <w:t>obligation</w:t>
      </w:r>
      <w:r w:rsidR="00AB551F" w:rsidRPr="00012C3F">
        <w:rPr>
          <w:rFonts w:cs="Arial"/>
          <w:sz w:val="20"/>
          <w:szCs w:val="20"/>
          <w:lang w:val="en-US"/>
        </w:rPr>
        <w:t xml:space="preserve"> to act with due diligence and to adopt the pertinent measures to avoid delays in the processing of the proceedings,</w:t>
      </w:r>
      <w:r w:rsidR="00091030" w:rsidRPr="00012C3F">
        <w:rPr>
          <w:rFonts w:cs="Arial"/>
          <w:sz w:val="20"/>
          <w:szCs w:val="20"/>
          <w:lang w:val="en-US"/>
        </w:rPr>
        <w:t xml:space="preserve"> and</w:t>
      </w:r>
      <w:r w:rsidR="00AB551F" w:rsidRPr="00012C3F">
        <w:rPr>
          <w:rFonts w:cs="Arial"/>
          <w:sz w:val="20"/>
          <w:szCs w:val="20"/>
          <w:lang w:val="en-US"/>
        </w:rPr>
        <w:t xml:space="preserve"> to ensure the prompt settlement of the case in order to prevent the facts remaining unpunished, as occurred in this case. However, on examining the State’s actions during the criminal proceedings conducted into the facts, the Court finds that a series of obstacles and flaws were verified that undermined the effectiveness of the proceedings and resulted in a declaration that the criminal action had extinguished </w:t>
      </w:r>
      <w:r w:rsidR="009728B2" w:rsidRPr="00012C3F">
        <w:rPr>
          <w:rFonts w:cs="Arial"/>
          <w:sz w:val="20"/>
          <w:szCs w:val="20"/>
          <w:lang w:val="en-US"/>
        </w:rPr>
        <w:t>after four years had passed without a final decision. First, the Court notes that, on four separate occasions, it was not possible to constitute the court that was supposed to hold the oral trial</w:t>
      </w:r>
      <w:r w:rsidR="00856442" w:rsidRPr="00012C3F">
        <w:rPr>
          <w:rFonts w:cs="Arial"/>
          <w:sz w:val="20"/>
          <w:szCs w:val="20"/>
          <w:lang w:val="en-US"/>
        </w:rPr>
        <w:t xml:space="preserve"> (</w:t>
      </w:r>
      <w:r w:rsidR="00856442" w:rsidRPr="00012C3F">
        <w:rPr>
          <w:rFonts w:cs="Arial"/>
          <w:i/>
          <w:sz w:val="20"/>
          <w:szCs w:val="20"/>
          <w:lang w:val="en-US"/>
        </w:rPr>
        <w:t xml:space="preserve">supra </w:t>
      </w:r>
      <w:r w:rsidR="00370DD4" w:rsidRPr="00012C3F">
        <w:rPr>
          <w:rFonts w:cs="Arial"/>
          <w:sz w:val="20"/>
          <w:szCs w:val="20"/>
          <w:lang w:val="en-US"/>
        </w:rPr>
        <w:t>paras.</w:t>
      </w:r>
      <w:r w:rsidR="00856442" w:rsidRPr="00012C3F">
        <w:rPr>
          <w:rFonts w:cs="Arial"/>
          <w:sz w:val="20"/>
          <w:szCs w:val="20"/>
          <w:lang w:val="en-US"/>
        </w:rPr>
        <w:t xml:space="preserve"> </w:t>
      </w:r>
      <w:r w:rsidR="00D97344" w:rsidRPr="00012C3F">
        <w:rPr>
          <w:rFonts w:cs="Arial"/>
          <w:sz w:val="20"/>
          <w:szCs w:val="20"/>
          <w:lang w:val="en-US"/>
        </w:rPr>
        <w:t>95, 97, 98</w:t>
      </w:r>
      <w:r w:rsidR="005E5012" w:rsidRPr="00012C3F">
        <w:rPr>
          <w:rFonts w:cs="Arial"/>
          <w:sz w:val="20"/>
          <w:szCs w:val="20"/>
          <w:lang w:val="en-US"/>
        </w:rPr>
        <w:t xml:space="preserve"> and </w:t>
      </w:r>
      <w:r w:rsidR="00D97344" w:rsidRPr="00012C3F">
        <w:rPr>
          <w:rFonts w:cs="Arial"/>
          <w:sz w:val="20"/>
          <w:szCs w:val="20"/>
          <w:lang w:val="en-US"/>
        </w:rPr>
        <w:t>99</w:t>
      </w:r>
      <w:r w:rsidR="00856442" w:rsidRPr="00012C3F">
        <w:rPr>
          <w:rFonts w:cs="Arial"/>
          <w:sz w:val="20"/>
          <w:szCs w:val="20"/>
          <w:lang w:val="en-US"/>
        </w:rPr>
        <w:t>)</w:t>
      </w:r>
      <w:r w:rsidR="00502B43" w:rsidRPr="00012C3F">
        <w:rPr>
          <w:rFonts w:cs="Arial"/>
          <w:sz w:val="20"/>
          <w:szCs w:val="20"/>
          <w:lang w:val="en-US"/>
        </w:rPr>
        <w:t xml:space="preserve">, </w:t>
      </w:r>
      <w:r w:rsidR="009728B2" w:rsidRPr="00012C3F">
        <w:rPr>
          <w:rFonts w:cs="Arial"/>
          <w:sz w:val="20"/>
          <w:szCs w:val="20"/>
          <w:lang w:val="en-US"/>
        </w:rPr>
        <w:t xml:space="preserve">thereby delaying the proper progress of the proceedings. This was because the candidates for the posts of lay judges had not received notification or because, on the day that the court was supposed to be constituted, an insufficient number of citizens came forward to constitute the court jury. In the Court’s opinion, this reveals a systemic problem because, </w:t>
      </w:r>
      <w:r w:rsidR="00091030" w:rsidRPr="00012C3F">
        <w:rPr>
          <w:rFonts w:cs="Arial"/>
          <w:sz w:val="20"/>
          <w:szCs w:val="20"/>
          <w:lang w:val="en-US"/>
        </w:rPr>
        <w:t>al</w:t>
      </w:r>
      <w:r w:rsidR="009728B2" w:rsidRPr="00012C3F">
        <w:rPr>
          <w:rFonts w:cs="Arial"/>
          <w:sz w:val="20"/>
          <w:szCs w:val="20"/>
          <w:lang w:val="en-US"/>
        </w:rPr>
        <w:t xml:space="preserve">though this situation </w:t>
      </w:r>
      <w:r w:rsidR="00212DA0" w:rsidRPr="00012C3F">
        <w:rPr>
          <w:rFonts w:cs="Arial"/>
          <w:sz w:val="20"/>
          <w:szCs w:val="20"/>
          <w:lang w:val="en-US"/>
        </w:rPr>
        <w:t>had been</w:t>
      </w:r>
      <w:r w:rsidR="009728B2" w:rsidRPr="00012C3F">
        <w:rPr>
          <w:rFonts w:cs="Arial"/>
          <w:sz w:val="20"/>
          <w:szCs w:val="20"/>
          <w:lang w:val="en-US"/>
        </w:rPr>
        <w:t xml:space="preserve"> verified in this case, it was repeated in different jurisdictions. Also, </w:t>
      </w:r>
      <w:r w:rsidR="000326B5" w:rsidRPr="00012C3F">
        <w:rPr>
          <w:rFonts w:cs="Arial"/>
          <w:sz w:val="20"/>
          <w:szCs w:val="20"/>
          <w:lang w:val="en-US"/>
        </w:rPr>
        <w:t xml:space="preserve">on another occasion, the defense counsel and the prosecutor </w:t>
      </w:r>
      <w:r w:rsidR="00212DA0" w:rsidRPr="00012C3F">
        <w:rPr>
          <w:rFonts w:cs="Arial"/>
          <w:sz w:val="20"/>
          <w:szCs w:val="20"/>
          <w:lang w:val="en-US"/>
        </w:rPr>
        <w:t>establishe</w:t>
      </w:r>
      <w:r w:rsidR="000326B5" w:rsidRPr="00012C3F">
        <w:rPr>
          <w:rFonts w:cs="Arial"/>
          <w:sz w:val="20"/>
          <w:szCs w:val="20"/>
          <w:lang w:val="en-US"/>
        </w:rPr>
        <w:t xml:space="preserve">d that the lay judges had been elected improperly and this resulted in a criminal complaint for </w:t>
      </w:r>
      <w:r w:rsidR="000326B5" w:rsidRPr="00012C3F">
        <w:rPr>
          <w:sz w:val="20"/>
          <w:szCs w:val="20"/>
          <w:lang w:val="en-US"/>
        </w:rPr>
        <w:t>malfeasance against one of the judges</w:t>
      </w:r>
      <w:r w:rsidR="002F67EC" w:rsidRPr="00012C3F">
        <w:rPr>
          <w:rStyle w:val="Refdenotaalpie"/>
          <w:rFonts w:cs="Arial"/>
          <w:sz w:val="20"/>
          <w:szCs w:val="20"/>
          <w:lang w:val="en-US"/>
        </w:rPr>
        <w:footnoteReference w:id="393"/>
      </w:r>
      <w:r w:rsidR="002F67EC" w:rsidRPr="00012C3F">
        <w:rPr>
          <w:rFonts w:cs="Arial"/>
          <w:sz w:val="20"/>
          <w:szCs w:val="20"/>
          <w:lang w:val="en-US"/>
        </w:rPr>
        <w:t xml:space="preserve"> (</w:t>
      </w:r>
      <w:r w:rsidR="002F67EC" w:rsidRPr="00012C3F">
        <w:rPr>
          <w:rFonts w:cs="Arial"/>
          <w:i/>
          <w:sz w:val="20"/>
          <w:szCs w:val="20"/>
          <w:lang w:val="en-US"/>
        </w:rPr>
        <w:t>supra</w:t>
      </w:r>
      <w:r w:rsidR="002F67EC" w:rsidRPr="00012C3F">
        <w:rPr>
          <w:rFonts w:cs="Arial"/>
          <w:sz w:val="20"/>
          <w:szCs w:val="20"/>
          <w:lang w:val="en-US"/>
        </w:rPr>
        <w:t xml:space="preserve"> </w:t>
      </w:r>
      <w:r w:rsidR="00370DD4" w:rsidRPr="00012C3F">
        <w:rPr>
          <w:rFonts w:cs="Arial"/>
          <w:sz w:val="20"/>
          <w:szCs w:val="20"/>
          <w:lang w:val="en-US"/>
        </w:rPr>
        <w:t>para.</w:t>
      </w:r>
      <w:r w:rsidR="002F67EC" w:rsidRPr="00012C3F">
        <w:rPr>
          <w:rFonts w:cs="Arial"/>
          <w:sz w:val="20"/>
          <w:szCs w:val="20"/>
          <w:lang w:val="en-US"/>
        </w:rPr>
        <w:t xml:space="preserve"> 96)</w:t>
      </w:r>
      <w:r w:rsidR="00502B43" w:rsidRPr="00012C3F">
        <w:rPr>
          <w:rFonts w:cs="Arial"/>
          <w:sz w:val="20"/>
          <w:szCs w:val="20"/>
          <w:lang w:val="en-US"/>
        </w:rPr>
        <w:t xml:space="preserve">. </w:t>
      </w:r>
      <w:r w:rsidR="000326B5" w:rsidRPr="00012C3F">
        <w:rPr>
          <w:rFonts w:cs="Arial"/>
          <w:sz w:val="20"/>
          <w:szCs w:val="20"/>
          <w:lang w:val="en-US"/>
        </w:rPr>
        <w:t>Lastly, it is noticeable that, on two occasions, convictions were struck down owing to procedural flaws; once for a deficient action of the court itself when recording the proceedings of the oral trial, and the other when delivering the judgment</w:t>
      </w:r>
      <w:r w:rsidR="00E459D5" w:rsidRPr="00012C3F">
        <w:rPr>
          <w:rFonts w:cs="Arial"/>
          <w:sz w:val="20"/>
          <w:szCs w:val="20"/>
          <w:lang w:val="en-US"/>
        </w:rPr>
        <w:t xml:space="preserve"> (</w:t>
      </w:r>
      <w:r w:rsidR="00E459D5" w:rsidRPr="00012C3F">
        <w:rPr>
          <w:rFonts w:cs="Arial"/>
          <w:i/>
          <w:sz w:val="20"/>
          <w:szCs w:val="20"/>
          <w:lang w:val="en-US"/>
        </w:rPr>
        <w:t>supra</w:t>
      </w:r>
      <w:r w:rsidR="00E459D5" w:rsidRPr="00012C3F">
        <w:rPr>
          <w:rFonts w:cs="Arial"/>
          <w:sz w:val="20"/>
          <w:szCs w:val="20"/>
          <w:lang w:val="en-US"/>
        </w:rPr>
        <w:t xml:space="preserve"> </w:t>
      </w:r>
      <w:r w:rsidR="00370DD4" w:rsidRPr="00012C3F">
        <w:rPr>
          <w:rFonts w:cs="Arial"/>
          <w:sz w:val="20"/>
          <w:szCs w:val="20"/>
          <w:lang w:val="en-US"/>
        </w:rPr>
        <w:t>paras.</w:t>
      </w:r>
      <w:r w:rsidR="00E459D5" w:rsidRPr="00012C3F">
        <w:rPr>
          <w:rFonts w:cs="Arial"/>
          <w:sz w:val="20"/>
          <w:szCs w:val="20"/>
          <w:lang w:val="en-US"/>
        </w:rPr>
        <w:t xml:space="preserve"> </w:t>
      </w:r>
      <w:r w:rsidR="002F67EC" w:rsidRPr="00012C3F">
        <w:rPr>
          <w:rFonts w:cs="Arial"/>
          <w:sz w:val="20"/>
          <w:szCs w:val="20"/>
          <w:lang w:val="en-US"/>
        </w:rPr>
        <w:t>94</w:t>
      </w:r>
      <w:r w:rsidR="005E5012" w:rsidRPr="00012C3F">
        <w:rPr>
          <w:rFonts w:cs="Arial"/>
          <w:sz w:val="20"/>
          <w:szCs w:val="20"/>
          <w:lang w:val="en-US"/>
        </w:rPr>
        <w:t xml:space="preserve"> and </w:t>
      </w:r>
      <w:r w:rsidR="002F67EC" w:rsidRPr="00012C3F">
        <w:rPr>
          <w:rFonts w:cs="Arial"/>
          <w:sz w:val="20"/>
          <w:szCs w:val="20"/>
          <w:lang w:val="en-US"/>
        </w:rPr>
        <w:t>102</w:t>
      </w:r>
      <w:r w:rsidR="00E459D5" w:rsidRPr="00012C3F">
        <w:rPr>
          <w:rFonts w:cs="Arial"/>
          <w:sz w:val="20"/>
          <w:szCs w:val="20"/>
          <w:lang w:val="en-US"/>
        </w:rPr>
        <w:t>)</w:t>
      </w:r>
      <w:r w:rsidR="00502B43" w:rsidRPr="00012C3F">
        <w:rPr>
          <w:rFonts w:cs="Arial"/>
          <w:sz w:val="20"/>
          <w:szCs w:val="20"/>
          <w:lang w:val="en-US"/>
        </w:rPr>
        <w:t>.</w:t>
      </w:r>
      <w:r w:rsidR="004307E1" w:rsidRPr="00012C3F">
        <w:rPr>
          <w:rFonts w:cs="Arial"/>
          <w:sz w:val="20"/>
          <w:szCs w:val="20"/>
          <w:lang w:val="en-US"/>
        </w:rPr>
        <w:t xml:space="preserve"> </w:t>
      </w:r>
      <w:r w:rsidR="000326B5" w:rsidRPr="00012C3F">
        <w:rPr>
          <w:rFonts w:cs="Arial"/>
          <w:sz w:val="20"/>
          <w:szCs w:val="20"/>
          <w:lang w:val="en-US"/>
        </w:rPr>
        <w:t>I</w:t>
      </w:r>
      <w:r w:rsidR="004307E1" w:rsidRPr="00012C3F">
        <w:rPr>
          <w:rFonts w:cs="Arial"/>
          <w:sz w:val="20"/>
          <w:szCs w:val="20"/>
          <w:lang w:val="en-US"/>
        </w:rPr>
        <w:t xml:space="preserve">n </w:t>
      </w:r>
      <w:r w:rsidR="00B47F8D" w:rsidRPr="00012C3F">
        <w:rPr>
          <w:rFonts w:cs="Arial"/>
          <w:sz w:val="20"/>
          <w:szCs w:val="20"/>
          <w:lang w:val="en-US"/>
        </w:rPr>
        <w:t>conclusion</w:t>
      </w:r>
      <w:r w:rsidR="004307E1" w:rsidRPr="00012C3F">
        <w:rPr>
          <w:rFonts w:cs="Arial"/>
          <w:sz w:val="20"/>
          <w:szCs w:val="20"/>
          <w:lang w:val="en-US"/>
        </w:rPr>
        <w:t xml:space="preserve">, </w:t>
      </w:r>
      <w:r w:rsidRPr="00012C3F">
        <w:rPr>
          <w:rFonts w:cs="Arial"/>
          <w:sz w:val="20"/>
          <w:szCs w:val="20"/>
          <w:lang w:val="en-US"/>
        </w:rPr>
        <w:t>the Court</w:t>
      </w:r>
      <w:r w:rsidR="005D2883" w:rsidRPr="00012C3F">
        <w:rPr>
          <w:rFonts w:cs="Arial"/>
          <w:sz w:val="20"/>
          <w:szCs w:val="20"/>
          <w:lang w:val="en-US"/>
        </w:rPr>
        <w:t xml:space="preserve"> consider</w:t>
      </w:r>
      <w:r w:rsidR="000326B5" w:rsidRPr="00012C3F">
        <w:rPr>
          <w:rFonts w:cs="Arial"/>
          <w:sz w:val="20"/>
          <w:szCs w:val="20"/>
          <w:lang w:val="en-US"/>
        </w:rPr>
        <w:t>s that the authorities failed to ensure that I.V. had effective</w:t>
      </w:r>
      <w:r w:rsidR="00212DA0" w:rsidRPr="00012C3F">
        <w:rPr>
          <w:rFonts w:cs="Arial"/>
          <w:sz w:val="20"/>
          <w:szCs w:val="20"/>
          <w:lang w:val="en-US"/>
        </w:rPr>
        <w:t xml:space="preserve"> access</w:t>
      </w:r>
      <w:r w:rsidR="000326B5" w:rsidRPr="00012C3F">
        <w:rPr>
          <w:rFonts w:cs="Arial"/>
          <w:sz w:val="20"/>
          <w:szCs w:val="20"/>
          <w:lang w:val="en-US"/>
        </w:rPr>
        <w:t xml:space="preserve"> </w:t>
      </w:r>
      <w:r w:rsidR="00A710F6" w:rsidRPr="00012C3F">
        <w:rPr>
          <w:rFonts w:cs="Arial"/>
          <w:sz w:val="20"/>
          <w:szCs w:val="20"/>
          <w:lang w:val="en-US"/>
        </w:rPr>
        <w:t>to justice</w:t>
      </w:r>
      <w:r w:rsidR="005747CB" w:rsidRPr="00012C3F">
        <w:rPr>
          <w:rFonts w:cs="Arial"/>
          <w:sz w:val="20"/>
          <w:szCs w:val="20"/>
          <w:lang w:val="en-US"/>
        </w:rPr>
        <w:t xml:space="preserve"> </w:t>
      </w:r>
      <w:r w:rsidR="000326B5" w:rsidRPr="00012C3F">
        <w:rPr>
          <w:rFonts w:cs="Arial"/>
          <w:sz w:val="20"/>
          <w:szCs w:val="20"/>
          <w:lang w:val="en-US"/>
        </w:rPr>
        <w:t>to remedy the violations of her rights.</w:t>
      </w:r>
    </w:p>
    <w:p w14:paraId="337184AE" w14:textId="77777777" w:rsidR="000326B5" w:rsidRPr="00012C3F" w:rsidRDefault="000326B5" w:rsidP="000326B5">
      <w:pPr>
        <w:tabs>
          <w:tab w:val="left" w:pos="720"/>
        </w:tabs>
        <w:spacing w:line="240" w:lineRule="auto"/>
        <w:rPr>
          <w:rFonts w:cs="Arial"/>
          <w:sz w:val="20"/>
          <w:szCs w:val="20"/>
          <w:lang w:val="en-US"/>
        </w:rPr>
      </w:pPr>
    </w:p>
    <w:p w14:paraId="24FBE253" w14:textId="77777777" w:rsidR="00502B43" w:rsidRPr="00012C3F" w:rsidRDefault="001254DE" w:rsidP="004A1A70">
      <w:pPr>
        <w:numPr>
          <w:ilvl w:val="0"/>
          <w:numId w:val="5"/>
        </w:numPr>
        <w:tabs>
          <w:tab w:val="left" w:pos="720"/>
          <w:tab w:val="num" w:pos="12305"/>
        </w:tabs>
        <w:spacing w:line="240" w:lineRule="auto"/>
        <w:ind w:left="0" w:firstLine="0"/>
        <w:rPr>
          <w:rFonts w:eastAsia="Batang"/>
          <w:sz w:val="20"/>
          <w:szCs w:val="20"/>
          <w:lang w:val="en-US" w:eastAsia="es-MX"/>
        </w:rPr>
      </w:pPr>
      <w:r w:rsidRPr="00012C3F">
        <w:rPr>
          <w:rFonts w:eastAsia="Batang"/>
          <w:sz w:val="20"/>
          <w:szCs w:val="20"/>
          <w:lang w:val="en-US" w:eastAsia="es-MX"/>
        </w:rPr>
        <w:t>The Court</w:t>
      </w:r>
      <w:r w:rsidR="00502B43" w:rsidRPr="00012C3F">
        <w:rPr>
          <w:rFonts w:eastAsia="Batang"/>
          <w:sz w:val="20"/>
          <w:szCs w:val="20"/>
          <w:lang w:val="en-US" w:eastAsia="es-MX"/>
        </w:rPr>
        <w:t xml:space="preserve"> </w:t>
      </w:r>
      <w:r w:rsidR="00502B43" w:rsidRPr="00012C3F">
        <w:rPr>
          <w:rFonts w:eastAsia="MS Mincho"/>
          <w:sz w:val="20"/>
          <w:szCs w:val="20"/>
          <w:lang w:val="en-US"/>
        </w:rPr>
        <w:t>reitera</w:t>
      </w:r>
      <w:r w:rsidR="004A1A70" w:rsidRPr="00012C3F">
        <w:rPr>
          <w:rFonts w:eastAsia="MS Mincho"/>
          <w:sz w:val="20"/>
          <w:szCs w:val="20"/>
          <w:lang w:val="en-US"/>
        </w:rPr>
        <w:t xml:space="preserve">tes that the ineffectiveness of the judicial system in individual cases of violence against women promotes a culture of impunity that facilitates and encourages the repetition of acts of violence, in general, and sends a message that violence against women may be tolerated and accepted, and this leads to its perpetuation and </w:t>
      </w:r>
      <w:r w:rsidR="00212DA0" w:rsidRPr="00012C3F">
        <w:rPr>
          <w:rFonts w:eastAsia="MS Mincho"/>
          <w:sz w:val="20"/>
          <w:szCs w:val="20"/>
          <w:lang w:val="en-US"/>
        </w:rPr>
        <w:t xml:space="preserve">the </w:t>
      </w:r>
      <w:r w:rsidR="004A1A70" w:rsidRPr="00012C3F">
        <w:rPr>
          <w:rFonts w:eastAsia="MS Mincho"/>
          <w:sz w:val="20"/>
          <w:szCs w:val="20"/>
          <w:lang w:val="en-US"/>
        </w:rPr>
        <w:t xml:space="preserve">social acceptance of the phenomenon, </w:t>
      </w:r>
      <w:r w:rsidR="00212DA0" w:rsidRPr="00012C3F">
        <w:rPr>
          <w:rFonts w:eastAsia="MS Mincho"/>
          <w:sz w:val="20"/>
          <w:szCs w:val="20"/>
          <w:lang w:val="en-US"/>
        </w:rPr>
        <w:t xml:space="preserve">to </w:t>
      </w:r>
      <w:r w:rsidR="004A1A70" w:rsidRPr="00012C3F">
        <w:rPr>
          <w:rFonts w:eastAsia="MS Mincho"/>
          <w:sz w:val="20"/>
          <w:szCs w:val="20"/>
          <w:lang w:val="en-US"/>
        </w:rPr>
        <w:t xml:space="preserve">the feeling and sensation of insecurity for women, and also </w:t>
      </w:r>
      <w:r w:rsidR="00212DA0" w:rsidRPr="00012C3F">
        <w:rPr>
          <w:rFonts w:eastAsia="MS Mincho"/>
          <w:sz w:val="20"/>
          <w:szCs w:val="20"/>
          <w:lang w:val="en-US"/>
        </w:rPr>
        <w:t xml:space="preserve">to </w:t>
      </w:r>
      <w:r w:rsidR="004A1A70" w:rsidRPr="00012C3F">
        <w:rPr>
          <w:rFonts w:eastAsia="MS Mincho"/>
          <w:sz w:val="20"/>
          <w:szCs w:val="20"/>
          <w:lang w:val="en-US"/>
        </w:rPr>
        <w:t xml:space="preserve">their persistent </w:t>
      </w:r>
      <w:r w:rsidR="00212DA0" w:rsidRPr="00012C3F">
        <w:rPr>
          <w:rFonts w:eastAsia="MS Mincho"/>
          <w:sz w:val="20"/>
          <w:szCs w:val="20"/>
          <w:lang w:val="en-US"/>
        </w:rPr>
        <w:t>lack of confidence in</w:t>
      </w:r>
      <w:r w:rsidR="004A1A70" w:rsidRPr="00012C3F">
        <w:rPr>
          <w:rFonts w:eastAsia="MS Mincho"/>
          <w:sz w:val="20"/>
          <w:szCs w:val="20"/>
          <w:lang w:val="en-US"/>
        </w:rPr>
        <w:t xml:space="preserve"> the system for the administration of justice.</w:t>
      </w:r>
      <w:r w:rsidR="00502B43" w:rsidRPr="00012C3F">
        <w:rPr>
          <w:rFonts w:eastAsia="Batang"/>
          <w:sz w:val="20"/>
          <w:szCs w:val="20"/>
          <w:vertAlign w:val="superscript"/>
          <w:lang w:val="en-US" w:eastAsia="es-MX"/>
        </w:rPr>
        <w:footnoteReference w:id="394"/>
      </w:r>
      <w:r w:rsidR="00502B43" w:rsidRPr="00012C3F">
        <w:rPr>
          <w:rFonts w:eastAsia="Batang"/>
          <w:sz w:val="20"/>
          <w:szCs w:val="20"/>
          <w:lang w:val="en-US" w:eastAsia="es-MX"/>
        </w:rPr>
        <w:t xml:space="preserve"> </w:t>
      </w:r>
      <w:r w:rsidR="004A1A70" w:rsidRPr="00012C3F">
        <w:rPr>
          <w:rFonts w:eastAsia="Batang"/>
          <w:sz w:val="20"/>
          <w:szCs w:val="20"/>
          <w:lang w:val="en-US" w:eastAsia="es-MX"/>
        </w:rPr>
        <w:t xml:space="preserve">This ineffectiveness or indifference constitutes, </w:t>
      </w:r>
      <w:r w:rsidR="00212DA0" w:rsidRPr="00012C3F">
        <w:rPr>
          <w:rFonts w:eastAsia="Batang"/>
          <w:sz w:val="20"/>
          <w:szCs w:val="20"/>
          <w:lang w:val="en-US" w:eastAsia="es-MX"/>
        </w:rPr>
        <w:t>in</w:t>
      </w:r>
      <w:r w:rsidR="004A1A70" w:rsidRPr="00012C3F">
        <w:rPr>
          <w:rFonts w:eastAsia="Batang"/>
          <w:sz w:val="20"/>
          <w:szCs w:val="20"/>
          <w:lang w:val="en-US" w:eastAsia="es-MX"/>
        </w:rPr>
        <w:t xml:space="preserve"> itself, discrimination against women in </w:t>
      </w:r>
      <w:r w:rsidR="00A710F6" w:rsidRPr="00012C3F">
        <w:rPr>
          <w:rFonts w:eastAsia="Batang"/>
          <w:sz w:val="20"/>
          <w:szCs w:val="20"/>
          <w:lang w:val="en-US" w:eastAsia="es-MX"/>
        </w:rPr>
        <w:t>access to justice</w:t>
      </w:r>
      <w:r w:rsidR="00502B43" w:rsidRPr="00012C3F">
        <w:rPr>
          <w:rFonts w:eastAsia="Batang"/>
          <w:sz w:val="20"/>
          <w:szCs w:val="20"/>
          <w:lang w:val="en-US" w:eastAsia="es-MX"/>
        </w:rPr>
        <w:t>.</w:t>
      </w:r>
    </w:p>
    <w:p w14:paraId="6E265F32" w14:textId="77777777" w:rsidR="00502B43" w:rsidRPr="00012C3F" w:rsidRDefault="00502B43" w:rsidP="004A1A70">
      <w:pPr>
        <w:tabs>
          <w:tab w:val="left" w:pos="720"/>
        </w:tabs>
        <w:spacing w:line="240" w:lineRule="auto"/>
        <w:rPr>
          <w:rFonts w:eastAsia="Batang"/>
          <w:sz w:val="20"/>
          <w:szCs w:val="20"/>
          <w:lang w:val="en-US" w:eastAsia="es-MX"/>
        </w:rPr>
      </w:pPr>
    </w:p>
    <w:p w14:paraId="511EE139" w14:textId="77777777" w:rsidR="004A1A70" w:rsidRPr="00012C3F" w:rsidRDefault="004A1A70" w:rsidP="004A1A70">
      <w:pPr>
        <w:numPr>
          <w:ilvl w:val="0"/>
          <w:numId w:val="5"/>
        </w:numPr>
        <w:tabs>
          <w:tab w:val="left" w:pos="720"/>
          <w:tab w:val="num" w:pos="12305"/>
        </w:tabs>
        <w:spacing w:line="240" w:lineRule="auto"/>
        <w:ind w:left="0" w:firstLine="0"/>
        <w:rPr>
          <w:rFonts w:eastAsia="Batang"/>
          <w:sz w:val="20"/>
          <w:szCs w:val="20"/>
          <w:lang w:val="en-US" w:eastAsia="es-MX"/>
        </w:rPr>
      </w:pPr>
      <w:r w:rsidRPr="00012C3F">
        <w:rPr>
          <w:rFonts w:eastAsia="Batang"/>
          <w:sz w:val="20"/>
          <w:szCs w:val="20"/>
          <w:lang w:val="en-US" w:eastAsia="es-MX"/>
        </w:rPr>
        <w:t xml:space="preserve">The Court also notes that, in the case of </w:t>
      </w:r>
      <w:r w:rsidR="000E1C11" w:rsidRPr="00012C3F">
        <w:rPr>
          <w:rFonts w:eastAsia="Batang"/>
          <w:sz w:val="20"/>
          <w:szCs w:val="20"/>
          <w:lang w:val="en-US" w:eastAsia="es-MX"/>
        </w:rPr>
        <w:t>I.V.</w:t>
      </w:r>
      <w:r w:rsidRPr="00012C3F">
        <w:rPr>
          <w:rFonts w:eastAsia="Batang"/>
          <w:sz w:val="20"/>
          <w:szCs w:val="20"/>
          <w:lang w:val="en-US" w:eastAsia="es-MX"/>
        </w:rPr>
        <w:t>, multiple factors of discrimination in access to justice converged intersectionally, associated with her condition as a woman, her socio-economic s</w:t>
      </w:r>
      <w:r w:rsidR="00D933F5" w:rsidRPr="00012C3F">
        <w:rPr>
          <w:rFonts w:eastAsia="Batang"/>
          <w:sz w:val="20"/>
          <w:szCs w:val="20"/>
          <w:lang w:val="en-US" w:eastAsia="es-MX"/>
        </w:rPr>
        <w:t>ituation</w:t>
      </w:r>
      <w:r w:rsidRPr="00012C3F">
        <w:rPr>
          <w:rFonts w:eastAsia="Batang"/>
          <w:sz w:val="20"/>
          <w:szCs w:val="20"/>
          <w:lang w:val="en-US" w:eastAsia="es-MX"/>
        </w:rPr>
        <w:t>, and her condition as a refugee.</w:t>
      </w:r>
    </w:p>
    <w:p w14:paraId="28B31C74" w14:textId="77777777" w:rsidR="009A3CB2" w:rsidRPr="00012C3F" w:rsidRDefault="009A3CB2" w:rsidP="004A1A70">
      <w:pPr>
        <w:tabs>
          <w:tab w:val="left" w:pos="720"/>
        </w:tabs>
        <w:spacing w:line="240" w:lineRule="auto"/>
        <w:rPr>
          <w:rFonts w:eastAsia="Batang"/>
          <w:b/>
          <w:sz w:val="20"/>
          <w:szCs w:val="20"/>
          <w:lang w:val="en-US" w:eastAsia="es-MX"/>
        </w:rPr>
      </w:pPr>
    </w:p>
    <w:p w14:paraId="7A575252" w14:textId="77777777" w:rsidR="00502B43" w:rsidRPr="00012C3F" w:rsidRDefault="004A1A70" w:rsidP="00CA632B">
      <w:pPr>
        <w:numPr>
          <w:ilvl w:val="0"/>
          <w:numId w:val="5"/>
        </w:numPr>
        <w:tabs>
          <w:tab w:val="left" w:pos="720"/>
          <w:tab w:val="num" w:pos="12305"/>
        </w:tabs>
        <w:spacing w:line="240" w:lineRule="auto"/>
        <w:ind w:left="0" w:firstLine="0"/>
        <w:rPr>
          <w:rFonts w:cs="Arial"/>
          <w:sz w:val="20"/>
          <w:szCs w:val="20"/>
          <w:lang w:val="en-US"/>
        </w:rPr>
      </w:pPr>
      <w:r w:rsidRPr="00012C3F">
        <w:rPr>
          <w:rFonts w:eastAsia="Batang"/>
          <w:sz w:val="20"/>
          <w:szCs w:val="20"/>
          <w:lang w:val="en-US" w:eastAsia="es-MX"/>
        </w:rPr>
        <w:t>Indeed</w:t>
      </w:r>
      <w:r w:rsidR="009A3CB2" w:rsidRPr="00012C3F">
        <w:rPr>
          <w:rFonts w:eastAsia="Batang"/>
          <w:sz w:val="20"/>
          <w:szCs w:val="20"/>
          <w:lang w:val="en-US" w:eastAsia="es-MX"/>
        </w:rPr>
        <w:t xml:space="preserve">, </w:t>
      </w:r>
      <w:r w:rsidR="006C705C" w:rsidRPr="00012C3F">
        <w:rPr>
          <w:rFonts w:eastAsia="Batang"/>
          <w:sz w:val="20"/>
          <w:szCs w:val="20"/>
          <w:lang w:val="en-US" w:eastAsia="es-MX"/>
        </w:rPr>
        <w:t>in this case</w:t>
      </w:r>
      <w:r w:rsidR="00502B43" w:rsidRPr="00012C3F">
        <w:rPr>
          <w:rFonts w:cs="Arial"/>
          <w:sz w:val="20"/>
          <w:szCs w:val="20"/>
          <w:lang w:val="en-US"/>
        </w:rPr>
        <w:t xml:space="preserve">, </w:t>
      </w:r>
      <w:r w:rsidRPr="00012C3F">
        <w:rPr>
          <w:rFonts w:cs="Arial"/>
          <w:sz w:val="20"/>
          <w:szCs w:val="20"/>
          <w:lang w:val="en-US"/>
        </w:rPr>
        <w:t xml:space="preserve">this discrimination also </w:t>
      </w:r>
      <w:r w:rsidR="00CA632B" w:rsidRPr="00012C3F">
        <w:rPr>
          <w:rFonts w:cs="Arial"/>
          <w:sz w:val="20"/>
          <w:szCs w:val="20"/>
          <w:lang w:val="en-US"/>
        </w:rPr>
        <w:t xml:space="preserve">resulted </w:t>
      </w:r>
      <w:r w:rsidR="00212DA0" w:rsidRPr="00012C3F">
        <w:rPr>
          <w:rFonts w:cs="Arial"/>
          <w:sz w:val="20"/>
          <w:szCs w:val="20"/>
          <w:lang w:val="en-US"/>
        </w:rPr>
        <w:t>in</w:t>
      </w:r>
      <w:r w:rsidR="00CA632B" w:rsidRPr="00012C3F">
        <w:rPr>
          <w:rFonts w:cs="Arial"/>
          <w:sz w:val="20"/>
          <w:szCs w:val="20"/>
          <w:lang w:val="en-US"/>
        </w:rPr>
        <w:t xml:space="preserve"> a violation of </w:t>
      </w:r>
      <w:r w:rsidR="00A710F6" w:rsidRPr="00012C3F">
        <w:rPr>
          <w:rFonts w:cs="Arial"/>
          <w:sz w:val="20"/>
          <w:szCs w:val="20"/>
          <w:lang w:val="en-US"/>
        </w:rPr>
        <w:t>access to justice</w:t>
      </w:r>
      <w:r w:rsidR="00502B43" w:rsidRPr="00012C3F">
        <w:rPr>
          <w:rFonts w:cs="Arial"/>
          <w:sz w:val="20"/>
          <w:szCs w:val="20"/>
          <w:lang w:val="en-US"/>
        </w:rPr>
        <w:t xml:space="preserve"> </w:t>
      </w:r>
      <w:r w:rsidR="00CA632B" w:rsidRPr="00012C3F">
        <w:rPr>
          <w:rFonts w:cs="Arial"/>
          <w:sz w:val="20"/>
          <w:szCs w:val="20"/>
          <w:lang w:val="en-US"/>
        </w:rPr>
        <w:t>based on I.V.’s socio-economic s</w:t>
      </w:r>
      <w:r w:rsidR="00D933F5" w:rsidRPr="00012C3F">
        <w:rPr>
          <w:rFonts w:cs="Arial"/>
          <w:sz w:val="20"/>
          <w:szCs w:val="20"/>
          <w:lang w:val="en-US"/>
        </w:rPr>
        <w:t>ituation</w:t>
      </w:r>
      <w:r w:rsidR="00CA632B" w:rsidRPr="00012C3F">
        <w:rPr>
          <w:rFonts w:cs="Arial"/>
          <w:sz w:val="20"/>
          <w:szCs w:val="20"/>
          <w:lang w:val="en-US"/>
        </w:rPr>
        <w:t>, because the changes in jurisdiction for hearing the case at the s</w:t>
      </w:r>
      <w:r w:rsidR="00212DA0" w:rsidRPr="00012C3F">
        <w:rPr>
          <w:rFonts w:cs="Arial"/>
          <w:sz w:val="20"/>
          <w:szCs w:val="20"/>
          <w:lang w:val="en-US"/>
        </w:rPr>
        <w:t>t</w:t>
      </w:r>
      <w:r w:rsidR="00CA632B" w:rsidRPr="00012C3F">
        <w:rPr>
          <w:rFonts w:cs="Arial"/>
          <w:sz w:val="20"/>
          <w:szCs w:val="20"/>
          <w:lang w:val="en-US"/>
        </w:rPr>
        <w:t>age of the second and third criminal trial, created a geographical obstacle to the accessibility of the court. This involved the high socio-economic cost of having to travel a great distance – and even having</w:t>
      </w:r>
      <w:r w:rsidR="00212DA0" w:rsidRPr="00012C3F">
        <w:rPr>
          <w:rFonts w:cs="Arial"/>
          <w:sz w:val="20"/>
          <w:szCs w:val="20"/>
          <w:lang w:val="en-US"/>
        </w:rPr>
        <w:t xml:space="preserve"> to</w:t>
      </w:r>
      <w:r w:rsidR="00CA632B" w:rsidRPr="00012C3F">
        <w:rPr>
          <w:rFonts w:cs="Arial"/>
          <w:sz w:val="20"/>
          <w:szCs w:val="20"/>
          <w:lang w:val="en-US"/>
        </w:rPr>
        <w:t xml:space="preserve"> travel approximately 255 km. in the case of the proceedings before the Sica Sica Court – and having to pay for the transportation, accommodation and other costs of the </w:t>
      </w:r>
      <w:r w:rsidR="00212DA0" w:rsidRPr="00012C3F">
        <w:rPr>
          <w:rFonts w:cs="Arial"/>
          <w:sz w:val="20"/>
          <w:szCs w:val="20"/>
          <w:lang w:val="en-US"/>
        </w:rPr>
        <w:t>journey</w:t>
      </w:r>
      <w:r w:rsidR="00CA632B" w:rsidRPr="00012C3F">
        <w:rPr>
          <w:rFonts w:cs="Arial"/>
          <w:sz w:val="20"/>
          <w:szCs w:val="20"/>
          <w:lang w:val="en-US"/>
        </w:rPr>
        <w:t xml:space="preserve"> not only for herself but also for the witnesses, which evidently resulted in an unjustified impairment of her right to obtain justice. This constituted discrimination in access to justice based on socio-economic status pursuant to </w:t>
      </w:r>
      <w:r w:rsidR="008A7A0F" w:rsidRPr="00012C3F">
        <w:rPr>
          <w:rFonts w:cs="Arial"/>
          <w:sz w:val="20"/>
          <w:szCs w:val="20"/>
          <w:lang w:val="en-US"/>
        </w:rPr>
        <w:t>Article</w:t>
      </w:r>
      <w:r w:rsidR="00502B43" w:rsidRPr="00012C3F">
        <w:rPr>
          <w:rFonts w:cs="Arial"/>
          <w:sz w:val="20"/>
          <w:szCs w:val="20"/>
          <w:lang w:val="en-US"/>
        </w:rPr>
        <w:t xml:space="preserve"> </w:t>
      </w:r>
      <w:r w:rsidR="005E5012" w:rsidRPr="00012C3F">
        <w:rPr>
          <w:rFonts w:cs="Arial"/>
          <w:sz w:val="20"/>
          <w:szCs w:val="20"/>
          <w:lang w:val="en-US"/>
        </w:rPr>
        <w:t>1(1)</w:t>
      </w:r>
      <w:r w:rsidR="001254DE" w:rsidRPr="00012C3F">
        <w:rPr>
          <w:rFonts w:cs="Arial"/>
          <w:sz w:val="20"/>
          <w:szCs w:val="20"/>
          <w:lang w:val="en-US"/>
        </w:rPr>
        <w:t xml:space="preserve"> of the Convention</w:t>
      </w:r>
      <w:r w:rsidR="00502B43" w:rsidRPr="00012C3F">
        <w:rPr>
          <w:rFonts w:cs="Arial"/>
          <w:sz w:val="20"/>
          <w:szCs w:val="20"/>
          <w:lang w:val="en-US"/>
        </w:rPr>
        <w:t>.</w:t>
      </w:r>
    </w:p>
    <w:p w14:paraId="02FE1F3C" w14:textId="77777777" w:rsidR="00502B43" w:rsidRPr="00012C3F" w:rsidRDefault="00502B43" w:rsidP="00502B43">
      <w:pPr>
        <w:tabs>
          <w:tab w:val="left" w:pos="720"/>
        </w:tabs>
        <w:spacing w:line="240" w:lineRule="auto"/>
        <w:rPr>
          <w:rFonts w:eastAsia="MS Mincho"/>
          <w:sz w:val="20"/>
          <w:szCs w:val="20"/>
          <w:lang w:val="en-US"/>
        </w:rPr>
      </w:pPr>
    </w:p>
    <w:p w14:paraId="6A00F59E" w14:textId="77777777" w:rsidR="00DC7A53" w:rsidRPr="00012C3F" w:rsidRDefault="00CA632B" w:rsidP="00CA632B">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t xml:space="preserve">In addition, the Court notes that the fact that she had refugee status, in other words, that she was a person who had been </w:t>
      </w:r>
      <w:r w:rsidR="00FB39C4" w:rsidRPr="00012C3F">
        <w:rPr>
          <w:rFonts w:eastAsia="MS Mincho"/>
          <w:sz w:val="20"/>
          <w:szCs w:val="20"/>
          <w:lang w:val="en-US"/>
        </w:rPr>
        <w:t>forced</w:t>
      </w:r>
      <w:r w:rsidRPr="00012C3F">
        <w:rPr>
          <w:rFonts w:eastAsia="MS Mincho"/>
          <w:sz w:val="20"/>
          <w:szCs w:val="20"/>
          <w:lang w:val="en-US"/>
        </w:rPr>
        <w:t xml:space="preserve"> to flee from her country of origin and seek international </w:t>
      </w:r>
      <w:r w:rsidRPr="00012C3F">
        <w:rPr>
          <w:rFonts w:eastAsia="MS Mincho"/>
          <w:sz w:val="20"/>
          <w:szCs w:val="20"/>
          <w:lang w:val="en-US"/>
        </w:rPr>
        <w:lastRenderedPageBreak/>
        <w:t>protection because she had a well-founded fear of persecution, meant that I.V. and her husband again felt unprotected in their search to obtain justice because, as a result of their claims, they were subject to different types of pressure, including inquiries about the terms</w:t>
      </w:r>
      <w:r w:rsidR="00FB39C4" w:rsidRPr="00012C3F">
        <w:rPr>
          <w:rFonts w:eastAsia="MS Mincho"/>
          <w:sz w:val="20"/>
          <w:szCs w:val="20"/>
          <w:lang w:val="en-US"/>
        </w:rPr>
        <w:t xml:space="preserve"> and conditions</w:t>
      </w:r>
      <w:r w:rsidRPr="00012C3F">
        <w:rPr>
          <w:rFonts w:eastAsia="MS Mincho"/>
          <w:sz w:val="20"/>
          <w:szCs w:val="20"/>
          <w:lang w:val="en-US"/>
        </w:rPr>
        <w:t xml:space="preserve"> of their residence in  </w:t>
      </w:r>
      <w:r w:rsidR="00EB1D96" w:rsidRPr="00012C3F">
        <w:rPr>
          <w:rFonts w:eastAsia="MS Mincho"/>
          <w:sz w:val="20"/>
          <w:szCs w:val="20"/>
          <w:lang w:val="en-US"/>
        </w:rPr>
        <w:t>Bolivia</w:t>
      </w:r>
      <w:r w:rsidRPr="00012C3F">
        <w:rPr>
          <w:rFonts w:eastAsia="MS Mincho"/>
          <w:sz w:val="20"/>
          <w:szCs w:val="20"/>
          <w:lang w:val="en-US"/>
        </w:rPr>
        <w:t>.</w:t>
      </w:r>
      <w:r w:rsidR="00DC7A53" w:rsidRPr="00012C3F">
        <w:rPr>
          <w:rStyle w:val="Refdenotaalpie"/>
          <w:rFonts w:eastAsia="MS Mincho"/>
          <w:sz w:val="20"/>
          <w:szCs w:val="20"/>
          <w:lang w:val="en-US"/>
        </w:rPr>
        <w:footnoteReference w:id="395"/>
      </w:r>
    </w:p>
    <w:p w14:paraId="41DBB0C7" w14:textId="77777777" w:rsidR="000277A2" w:rsidRPr="00012C3F" w:rsidRDefault="000277A2" w:rsidP="00502B43">
      <w:pPr>
        <w:tabs>
          <w:tab w:val="left" w:pos="720"/>
        </w:tabs>
        <w:spacing w:line="240" w:lineRule="auto"/>
        <w:rPr>
          <w:rFonts w:eastAsia="MS Mincho"/>
          <w:sz w:val="20"/>
          <w:szCs w:val="20"/>
          <w:lang w:val="en-US"/>
        </w:rPr>
      </w:pPr>
    </w:p>
    <w:p w14:paraId="24198EDF" w14:textId="77777777" w:rsidR="009A3CB2" w:rsidRPr="00012C3F" w:rsidRDefault="00CA632B" w:rsidP="00CA632B">
      <w:pPr>
        <w:numPr>
          <w:ilvl w:val="0"/>
          <w:numId w:val="5"/>
        </w:numPr>
        <w:tabs>
          <w:tab w:val="left" w:pos="720"/>
          <w:tab w:val="num" w:pos="12305"/>
        </w:tabs>
        <w:spacing w:line="240" w:lineRule="auto"/>
        <w:ind w:left="0" w:firstLine="0"/>
        <w:rPr>
          <w:rFonts w:eastAsia="Batang"/>
          <w:sz w:val="20"/>
          <w:szCs w:val="20"/>
          <w:lang w:val="en-US" w:eastAsia="es-MX"/>
        </w:rPr>
      </w:pPr>
      <w:r w:rsidRPr="00012C3F">
        <w:rPr>
          <w:rFonts w:eastAsia="Batang"/>
          <w:sz w:val="20"/>
          <w:szCs w:val="20"/>
          <w:lang w:val="en-US" w:eastAsia="es-MX"/>
        </w:rPr>
        <w:t xml:space="preserve">The discrimination experienced by I.V. in </w:t>
      </w:r>
      <w:r w:rsidR="00A710F6" w:rsidRPr="00012C3F">
        <w:rPr>
          <w:rFonts w:eastAsia="Batang"/>
          <w:sz w:val="20"/>
          <w:szCs w:val="20"/>
          <w:lang w:val="en-US" w:eastAsia="es-MX"/>
        </w:rPr>
        <w:t>access to justice</w:t>
      </w:r>
      <w:r w:rsidR="009A3CB2" w:rsidRPr="00012C3F">
        <w:rPr>
          <w:rFonts w:eastAsia="Batang"/>
          <w:sz w:val="20"/>
          <w:szCs w:val="20"/>
          <w:lang w:val="en-US" w:eastAsia="es-MX"/>
        </w:rPr>
        <w:t xml:space="preserve"> </w:t>
      </w:r>
      <w:r w:rsidRPr="00012C3F">
        <w:rPr>
          <w:rFonts w:eastAsia="Batang"/>
          <w:sz w:val="20"/>
          <w:szCs w:val="20"/>
          <w:lang w:val="en-US" w:eastAsia="es-MX"/>
        </w:rPr>
        <w:t xml:space="preserve">was </w:t>
      </w:r>
      <w:r w:rsidR="00532BC1" w:rsidRPr="00012C3F">
        <w:rPr>
          <w:rFonts w:eastAsia="Batang"/>
          <w:sz w:val="20"/>
          <w:szCs w:val="20"/>
          <w:lang w:val="en-US" w:eastAsia="es-MX"/>
        </w:rPr>
        <w:t xml:space="preserve">caused not only by numerous factors, but also arose from a specific form of discrimination resulted from the intersection of these factors; that is, if any of these factors had </w:t>
      </w:r>
      <w:r w:rsidR="009D3EE9" w:rsidRPr="00012C3F">
        <w:rPr>
          <w:rFonts w:eastAsia="Batang"/>
          <w:sz w:val="20"/>
          <w:szCs w:val="20"/>
          <w:lang w:val="en-US" w:eastAsia="es-MX"/>
        </w:rPr>
        <w:t>not</w:t>
      </w:r>
      <w:r w:rsidR="00532BC1" w:rsidRPr="00012C3F">
        <w:rPr>
          <w:rFonts w:eastAsia="Batang"/>
          <w:sz w:val="20"/>
          <w:szCs w:val="20"/>
          <w:lang w:val="en-US" w:eastAsia="es-MX"/>
        </w:rPr>
        <w:t xml:space="preserve"> existed, the discrimination would have been of a different nature.</w:t>
      </w:r>
      <w:r w:rsidR="004214E3" w:rsidRPr="00012C3F">
        <w:rPr>
          <w:rStyle w:val="Refdenotaalpie"/>
          <w:rFonts w:eastAsia="Batang"/>
          <w:sz w:val="20"/>
          <w:szCs w:val="20"/>
          <w:lang w:val="en-US" w:eastAsia="es-MX"/>
        </w:rPr>
        <w:footnoteReference w:id="396"/>
      </w:r>
    </w:p>
    <w:p w14:paraId="038ACCEB" w14:textId="77777777" w:rsidR="009816FB" w:rsidRPr="00012C3F" w:rsidRDefault="009816FB" w:rsidP="00CA632B">
      <w:pPr>
        <w:tabs>
          <w:tab w:val="left" w:pos="720"/>
        </w:tabs>
        <w:spacing w:line="240" w:lineRule="auto"/>
        <w:rPr>
          <w:rFonts w:eastAsia="MS Mincho"/>
          <w:b/>
          <w:sz w:val="20"/>
          <w:szCs w:val="20"/>
          <w:lang w:val="en-US"/>
        </w:rPr>
      </w:pPr>
    </w:p>
    <w:p w14:paraId="7EE406EB" w14:textId="77777777" w:rsidR="009816FB" w:rsidRPr="00012C3F" w:rsidRDefault="009816FB" w:rsidP="00CA632B">
      <w:pPr>
        <w:pStyle w:val="Ttulo2"/>
        <w:tabs>
          <w:tab w:val="left" w:pos="720"/>
          <w:tab w:val="left" w:pos="1701"/>
        </w:tabs>
        <w:spacing w:before="0" w:line="240" w:lineRule="auto"/>
        <w:ind w:left="1134"/>
        <w:rPr>
          <w:rFonts w:ascii="Verdana" w:hAnsi="Verdana"/>
          <w:b w:val="0"/>
          <w:i/>
          <w:color w:val="auto"/>
          <w:sz w:val="20"/>
          <w:szCs w:val="20"/>
          <w:lang w:val="en-US"/>
        </w:rPr>
      </w:pPr>
      <w:bookmarkStart w:id="182" w:name="_Toc27486886"/>
      <w:r w:rsidRPr="00012C3F">
        <w:rPr>
          <w:rFonts w:ascii="Verdana" w:hAnsi="Verdana"/>
          <w:b w:val="0"/>
          <w:i/>
          <w:color w:val="auto"/>
          <w:sz w:val="20"/>
          <w:szCs w:val="20"/>
          <w:lang w:val="en-US"/>
        </w:rPr>
        <w:t>B</w:t>
      </w:r>
      <w:r w:rsidR="00DF0C3D" w:rsidRPr="00012C3F">
        <w:rPr>
          <w:rFonts w:ascii="Verdana" w:hAnsi="Verdana"/>
          <w:b w:val="0"/>
          <w:i/>
          <w:color w:val="auto"/>
          <w:sz w:val="20"/>
          <w:szCs w:val="20"/>
          <w:lang w:val="en-US"/>
        </w:rPr>
        <w:t>.</w:t>
      </w:r>
      <w:r w:rsidRPr="00012C3F">
        <w:rPr>
          <w:rFonts w:ascii="Verdana" w:hAnsi="Verdana"/>
          <w:b w:val="0"/>
          <w:i/>
          <w:color w:val="auto"/>
          <w:sz w:val="20"/>
          <w:szCs w:val="20"/>
          <w:lang w:val="en-US"/>
        </w:rPr>
        <w:t xml:space="preserve">4 </w:t>
      </w:r>
      <w:r w:rsidR="0005131A" w:rsidRPr="00012C3F">
        <w:rPr>
          <w:rFonts w:ascii="Verdana" w:hAnsi="Verdana"/>
          <w:b w:val="0"/>
          <w:i/>
          <w:color w:val="auto"/>
          <w:sz w:val="20"/>
          <w:szCs w:val="20"/>
          <w:lang w:val="en-US"/>
        </w:rPr>
        <w:tab/>
      </w:r>
      <w:r w:rsidR="00B47F8D" w:rsidRPr="00012C3F">
        <w:rPr>
          <w:rFonts w:ascii="Verdana" w:hAnsi="Verdana"/>
          <w:b w:val="0"/>
          <w:i/>
          <w:color w:val="auto"/>
          <w:sz w:val="20"/>
          <w:szCs w:val="20"/>
          <w:lang w:val="en-US"/>
        </w:rPr>
        <w:t>Conclusion</w:t>
      </w:r>
      <w:bookmarkEnd w:id="182"/>
    </w:p>
    <w:p w14:paraId="0CEA6461" w14:textId="77777777" w:rsidR="009816FB" w:rsidRPr="00012C3F" w:rsidRDefault="009816FB" w:rsidP="00CA632B">
      <w:pPr>
        <w:tabs>
          <w:tab w:val="left" w:pos="720"/>
        </w:tabs>
        <w:spacing w:line="240" w:lineRule="auto"/>
        <w:rPr>
          <w:rFonts w:eastAsia="MS Mincho"/>
          <w:sz w:val="20"/>
          <w:szCs w:val="20"/>
          <w:lang w:val="en-US"/>
        </w:rPr>
      </w:pPr>
    </w:p>
    <w:p w14:paraId="17198C39" w14:textId="77777777" w:rsidR="00502B43" w:rsidRPr="00012C3F" w:rsidRDefault="00532BC1" w:rsidP="00CA632B">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MS Mincho"/>
          <w:sz w:val="20"/>
          <w:szCs w:val="20"/>
          <w:lang w:val="en-US"/>
        </w:rPr>
        <w:t xml:space="preserve">Based on the above, the Court concludes that the State failed to comply with its obligation to ensure, without discrimination, the right of </w:t>
      </w:r>
      <w:r w:rsidR="00A710F6" w:rsidRPr="00012C3F">
        <w:rPr>
          <w:rFonts w:cs="Arial"/>
          <w:sz w:val="20"/>
          <w:szCs w:val="20"/>
          <w:lang w:val="en-US" w:eastAsia="ja-JP"/>
        </w:rPr>
        <w:t>access to justice</w:t>
      </w:r>
      <w:r w:rsidR="00502B43" w:rsidRPr="00012C3F">
        <w:rPr>
          <w:rFonts w:cs="Arial"/>
          <w:sz w:val="20"/>
          <w:szCs w:val="20"/>
          <w:lang w:val="en-US" w:eastAsia="ja-JP"/>
        </w:rPr>
        <w:t xml:space="preserve"> </w:t>
      </w:r>
      <w:r w:rsidRPr="00012C3F">
        <w:rPr>
          <w:rFonts w:cs="Arial"/>
          <w:sz w:val="20"/>
          <w:szCs w:val="20"/>
          <w:lang w:val="en-US" w:eastAsia="ja-JP"/>
        </w:rPr>
        <w:t>pursuant to</w:t>
      </w:r>
      <w:r w:rsidR="00502B43" w:rsidRPr="00012C3F">
        <w:rPr>
          <w:rFonts w:cs="Arial"/>
          <w:sz w:val="20"/>
          <w:szCs w:val="20"/>
          <w:lang w:val="en-US" w:eastAsia="ja-JP"/>
        </w:rPr>
        <w:t xml:space="preserve"> </w:t>
      </w:r>
      <w:r w:rsidR="001254DE" w:rsidRPr="00012C3F">
        <w:rPr>
          <w:rFonts w:cs="Arial"/>
          <w:sz w:val="20"/>
          <w:szCs w:val="20"/>
          <w:lang w:val="en-US" w:eastAsia="ja-JP"/>
        </w:rPr>
        <w:t>Articles</w:t>
      </w:r>
      <w:r w:rsidR="00502B43" w:rsidRPr="00012C3F">
        <w:rPr>
          <w:rFonts w:cs="Arial"/>
          <w:sz w:val="20"/>
          <w:szCs w:val="20"/>
          <w:lang w:val="en-US" w:eastAsia="ja-JP"/>
        </w:rPr>
        <w:t xml:space="preserve"> </w:t>
      </w:r>
      <w:r w:rsidR="005E5012" w:rsidRPr="00012C3F">
        <w:rPr>
          <w:rFonts w:cs="Arial"/>
          <w:sz w:val="20"/>
          <w:szCs w:val="20"/>
          <w:lang w:val="en-US" w:eastAsia="ja-JP"/>
        </w:rPr>
        <w:t xml:space="preserve">8(1) and </w:t>
      </w:r>
      <w:r w:rsidR="00502B43" w:rsidRPr="00012C3F">
        <w:rPr>
          <w:rFonts w:cs="Arial"/>
          <w:sz w:val="20"/>
          <w:szCs w:val="20"/>
          <w:lang w:val="en-US" w:eastAsia="ja-JP"/>
        </w:rPr>
        <w:t>2</w:t>
      </w:r>
      <w:r w:rsidR="005E5012" w:rsidRPr="00012C3F">
        <w:rPr>
          <w:rFonts w:cs="Arial"/>
          <w:sz w:val="20"/>
          <w:szCs w:val="20"/>
          <w:lang w:val="en-US" w:eastAsia="ja-JP"/>
        </w:rPr>
        <w:t>5(1)</w:t>
      </w:r>
      <w:r w:rsidR="001254DE" w:rsidRPr="00012C3F">
        <w:rPr>
          <w:rFonts w:cs="Arial"/>
          <w:sz w:val="20"/>
          <w:szCs w:val="20"/>
          <w:lang w:val="en-US" w:eastAsia="ja-JP"/>
        </w:rPr>
        <w:t xml:space="preserve"> of the American Convention</w:t>
      </w:r>
      <w:r w:rsidR="00502B43" w:rsidRPr="00012C3F">
        <w:rPr>
          <w:rFonts w:cs="Arial"/>
          <w:sz w:val="20"/>
          <w:szCs w:val="20"/>
          <w:lang w:val="en-US" w:eastAsia="ja-JP"/>
        </w:rPr>
        <w:t xml:space="preserve">, </w:t>
      </w:r>
      <w:r w:rsidRPr="00012C3F">
        <w:rPr>
          <w:rFonts w:cs="Arial"/>
          <w:sz w:val="20"/>
          <w:szCs w:val="20"/>
          <w:lang w:val="en-US" w:eastAsia="ja-JP"/>
        </w:rPr>
        <w:t>in relation to</w:t>
      </w:r>
      <w:r w:rsidR="00502B43" w:rsidRPr="00012C3F">
        <w:rPr>
          <w:rFonts w:cs="Arial"/>
          <w:sz w:val="20"/>
          <w:szCs w:val="20"/>
          <w:lang w:val="en-US" w:eastAsia="ja-JP"/>
        </w:rPr>
        <w:t xml:space="preserve"> </w:t>
      </w:r>
      <w:r w:rsidR="001254DE" w:rsidRPr="00012C3F">
        <w:rPr>
          <w:rFonts w:cs="Arial"/>
          <w:sz w:val="20"/>
          <w:szCs w:val="20"/>
          <w:lang w:val="en-US" w:eastAsia="ja-JP"/>
        </w:rPr>
        <w:t>Article</w:t>
      </w:r>
      <w:r w:rsidR="00502B43" w:rsidRPr="00012C3F">
        <w:rPr>
          <w:rFonts w:cs="Arial"/>
          <w:sz w:val="20"/>
          <w:szCs w:val="20"/>
          <w:lang w:val="en-US" w:eastAsia="ja-JP"/>
        </w:rPr>
        <w:t xml:space="preserve"> </w:t>
      </w:r>
      <w:r w:rsidR="005E5012" w:rsidRPr="00012C3F">
        <w:rPr>
          <w:rFonts w:cs="Arial"/>
          <w:sz w:val="20"/>
          <w:szCs w:val="20"/>
          <w:lang w:val="en-US" w:eastAsia="ja-JP"/>
        </w:rPr>
        <w:t>1(1)</w:t>
      </w:r>
      <w:r w:rsidR="00502B43" w:rsidRPr="00012C3F">
        <w:rPr>
          <w:rFonts w:cs="Arial"/>
          <w:sz w:val="20"/>
          <w:szCs w:val="20"/>
          <w:lang w:val="en-US" w:eastAsia="ja-JP"/>
        </w:rPr>
        <w:t xml:space="preserve"> </w:t>
      </w:r>
      <w:r w:rsidR="005E5012" w:rsidRPr="00012C3F">
        <w:rPr>
          <w:rFonts w:cs="Arial"/>
          <w:sz w:val="20"/>
          <w:szCs w:val="20"/>
          <w:lang w:val="en-US" w:eastAsia="ja-JP"/>
        </w:rPr>
        <w:t>of this instrument</w:t>
      </w:r>
      <w:r w:rsidR="00502B43" w:rsidRPr="00012C3F">
        <w:rPr>
          <w:rFonts w:cs="Arial"/>
          <w:sz w:val="20"/>
          <w:szCs w:val="20"/>
          <w:lang w:val="en-US" w:eastAsia="ja-JP"/>
        </w:rPr>
        <w:t xml:space="preserve">. </w:t>
      </w:r>
      <w:r w:rsidRPr="00012C3F">
        <w:rPr>
          <w:rFonts w:eastAsia="MS Mincho"/>
          <w:sz w:val="20"/>
          <w:szCs w:val="20"/>
          <w:lang w:val="en-US"/>
        </w:rPr>
        <w:t>In addition</w:t>
      </w:r>
      <w:r w:rsidR="00502B43" w:rsidRPr="00012C3F">
        <w:rPr>
          <w:rFonts w:eastAsia="MS Mincho"/>
          <w:sz w:val="20"/>
          <w:szCs w:val="20"/>
          <w:lang w:val="en-US"/>
        </w:rPr>
        <w:t xml:space="preserve">, </w:t>
      </w:r>
      <w:r w:rsidR="00A84CA0" w:rsidRPr="00012C3F">
        <w:rPr>
          <w:rFonts w:eastAsia="MS Mincho"/>
          <w:sz w:val="20"/>
          <w:szCs w:val="20"/>
          <w:lang w:val="en-US"/>
        </w:rPr>
        <w:t>the State of Bolivia</w:t>
      </w:r>
      <w:r w:rsidR="00502B43" w:rsidRPr="00012C3F">
        <w:rPr>
          <w:rFonts w:eastAsia="MS Mincho"/>
          <w:sz w:val="20"/>
          <w:szCs w:val="20"/>
          <w:lang w:val="en-US"/>
        </w:rPr>
        <w:t xml:space="preserve"> </w:t>
      </w:r>
      <w:r w:rsidRPr="00012C3F">
        <w:rPr>
          <w:rFonts w:eastAsia="MS Mincho"/>
          <w:sz w:val="20"/>
          <w:szCs w:val="20"/>
          <w:lang w:val="en-US"/>
        </w:rPr>
        <w:t xml:space="preserve">failed to comply with its positive obligation to take measures to prevent and to remedy discriminatory situations in violation </w:t>
      </w:r>
      <w:r w:rsidR="008A7A0F" w:rsidRPr="00012C3F">
        <w:rPr>
          <w:rFonts w:eastAsia="MS Mincho"/>
          <w:sz w:val="20"/>
          <w:szCs w:val="20"/>
          <w:lang w:val="en-US"/>
        </w:rPr>
        <w:t>of Article</w:t>
      </w:r>
      <w:r w:rsidR="00502B43" w:rsidRPr="00012C3F">
        <w:rPr>
          <w:rFonts w:eastAsia="MS Mincho"/>
          <w:sz w:val="20"/>
          <w:szCs w:val="20"/>
          <w:lang w:val="en-US"/>
        </w:rPr>
        <w:t xml:space="preserve"> </w:t>
      </w:r>
      <w:r w:rsidR="00DF71A5" w:rsidRPr="00012C3F">
        <w:rPr>
          <w:rFonts w:eastAsia="MS Mincho"/>
          <w:sz w:val="20"/>
          <w:szCs w:val="20"/>
          <w:lang w:val="en-US"/>
        </w:rPr>
        <w:t>7(b)</w:t>
      </w:r>
      <w:r w:rsidR="001E1D73" w:rsidRPr="00012C3F">
        <w:rPr>
          <w:rFonts w:eastAsia="MS Mincho"/>
          <w:sz w:val="20"/>
          <w:szCs w:val="20"/>
          <w:lang w:val="en-US" w:eastAsia="en-US" w:bidi="en-US"/>
        </w:rPr>
        <w:t xml:space="preserve">, </w:t>
      </w:r>
      <w:r w:rsidRPr="00012C3F">
        <w:rPr>
          <w:rFonts w:eastAsia="MS Mincho"/>
          <w:sz w:val="20"/>
          <w:szCs w:val="20"/>
          <w:lang w:val="en-US" w:eastAsia="en-US" w:bidi="en-US"/>
        </w:rPr>
        <w:t>(</w:t>
      </w:r>
      <w:r w:rsidR="001E1D73" w:rsidRPr="00012C3F">
        <w:rPr>
          <w:rFonts w:eastAsia="MS Mincho"/>
          <w:sz w:val="20"/>
          <w:szCs w:val="20"/>
          <w:lang w:val="en-US" w:eastAsia="en-US" w:bidi="en-US"/>
        </w:rPr>
        <w:t xml:space="preserve">c), </w:t>
      </w:r>
      <w:r w:rsidRPr="00012C3F">
        <w:rPr>
          <w:rFonts w:eastAsia="MS Mincho"/>
          <w:sz w:val="20"/>
          <w:szCs w:val="20"/>
          <w:lang w:val="en-US" w:eastAsia="en-US" w:bidi="en-US"/>
        </w:rPr>
        <w:t>(</w:t>
      </w:r>
      <w:r w:rsidR="001E1D73" w:rsidRPr="00012C3F">
        <w:rPr>
          <w:rFonts w:eastAsia="MS Mincho"/>
          <w:sz w:val="20"/>
          <w:szCs w:val="20"/>
          <w:lang w:val="en-US" w:eastAsia="en-US" w:bidi="en-US"/>
        </w:rPr>
        <w:t>f)</w:t>
      </w:r>
      <w:r w:rsidR="005E5012" w:rsidRPr="00012C3F">
        <w:rPr>
          <w:rFonts w:eastAsia="MS Mincho"/>
          <w:sz w:val="20"/>
          <w:szCs w:val="20"/>
          <w:lang w:val="en-US" w:eastAsia="en-US" w:bidi="en-US"/>
        </w:rPr>
        <w:t xml:space="preserve"> and </w:t>
      </w:r>
      <w:r w:rsidRPr="00012C3F">
        <w:rPr>
          <w:rFonts w:eastAsia="MS Mincho"/>
          <w:sz w:val="20"/>
          <w:szCs w:val="20"/>
          <w:lang w:val="en-US" w:eastAsia="en-US" w:bidi="en-US"/>
        </w:rPr>
        <w:t>(</w:t>
      </w:r>
      <w:r w:rsidR="001E1D73" w:rsidRPr="00012C3F">
        <w:rPr>
          <w:rFonts w:eastAsia="MS Mincho"/>
          <w:sz w:val="20"/>
          <w:szCs w:val="20"/>
          <w:lang w:val="en-US" w:eastAsia="en-US" w:bidi="en-US"/>
        </w:rPr>
        <w:t>g)</w:t>
      </w:r>
      <w:r w:rsidR="001254DE" w:rsidRPr="00012C3F">
        <w:rPr>
          <w:rFonts w:eastAsia="MS Mincho"/>
          <w:sz w:val="20"/>
          <w:szCs w:val="20"/>
          <w:lang w:val="en-US"/>
        </w:rPr>
        <w:t xml:space="preserve"> of the Convention</w:t>
      </w:r>
      <w:r w:rsidR="00502B43" w:rsidRPr="00012C3F">
        <w:rPr>
          <w:rFonts w:eastAsia="MS Mincho"/>
          <w:sz w:val="20"/>
          <w:szCs w:val="20"/>
          <w:lang w:val="en-US"/>
        </w:rPr>
        <w:t xml:space="preserve"> </w:t>
      </w:r>
      <w:r w:rsidR="005E5012" w:rsidRPr="00012C3F">
        <w:rPr>
          <w:rFonts w:eastAsia="MS Mincho"/>
          <w:sz w:val="20"/>
          <w:szCs w:val="20"/>
          <w:lang w:val="en-US"/>
        </w:rPr>
        <w:t>of Belém</w:t>
      </w:r>
      <w:r w:rsidR="00502B43" w:rsidRPr="00012C3F">
        <w:rPr>
          <w:rFonts w:eastAsia="MS Mincho"/>
          <w:sz w:val="20"/>
          <w:szCs w:val="20"/>
          <w:lang w:val="en-US"/>
        </w:rPr>
        <w:t xml:space="preserve"> do Pará</w:t>
      </w:r>
      <w:r w:rsidR="001E1D73" w:rsidRPr="00012C3F">
        <w:rPr>
          <w:rFonts w:eastAsia="MS Mincho"/>
          <w:sz w:val="20"/>
          <w:szCs w:val="20"/>
          <w:lang w:val="en-US"/>
        </w:rPr>
        <w:t>.</w:t>
      </w:r>
      <w:r w:rsidR="00502B43" w:rsidRPr="00012C3F">
        <w:rPr>
          <w:rFonts w:eastAsia="MS Mincho"/>
          <w:sz w:val="20"/>
          <w:szCs w:val="20"/>
          <w:lang w:val="en-US"/>
        </w:rPr>
        <w:t xml:space="preserve"> </w:t>
      </w:r>
    </w:p>
    <w:p w14:paraId="4A2515E9" w14:textId="77777777" w:rsidR="00502B43" w:rsidRPr="00012C3F" w:rsidRDefault="00502B43" w:rsidP="00CA632B">
      <w:pPr>
        <w:tabs>
          <w:tab w:val="left" w:pos="720"/>
        </w:tabs>
        <w:spacing w:line="240" w:lineRule="auto"/>
        <w:rPr>
          <w:rFonts w:eastAsia="MS Mincho"/>
          <w:sz w:val="20"/>
          <w:szCs w:val="20"/>
          <w:lang w:val="en-US"/>
        </w:rPr>
      </w:pPr>
    </w:p>
    <w:p w14:paraId="0BC6761F" w14:textId="77777777" w:rsidR="00502B43" w:rsidRPr="00012C3F" w:rsidRDefault="00532BC1" w:rsidP="00CA632B">
      <w:pPr>
        <w:numPr>
          <w:ilvl w:val="0"/>
          <w:numId w:val="5"/>
        </w:numPr>
        <w:tabs>
          <w:tab w:val="left" w:pos="720"/>
          <w:tab w:val="num" w:pos="12305"/>
        </w:tabs>
        <w:spacing w:line="240" w:lineRule="auto"/>
        <w:ind w:left="0" w:firstLine="0"/>
        <w:rPr>
          <w:rFonts w:eastAsia="MS Mincho"/>
          <w:sz w:val="20"/>
          <w:szCs w:val="20"/>
          <w:lang w:val="en-US"/>
        </w:rPr>
      </w:pPr>
      <w:r w:rsidRPr="00012C3F">
        <w:rPr>
          <w:rFonts w:eastAsia="Batang"/>
          <w:sz w:val="20"/>
          <w:lang w:val="en-US"/>
        </w:rPr>
        <w:t xml:space="preserve">Regarding the alleged violation </w:t>
      </w:r>
      <w:r w:rsidR="008A7A0F" w:rsidRPr="00012C3F">
        <w:rPr>
          <w:rFonts w:eastAsia="Batang"/>
          <w:sz w:val="20"/>
          <w:lang w:val="en-US"/>
        </w:rPr>
        <w:t>of Article</w:t>
      </w:r>
      <w:r w:rsidR="00502B43" w:rsidRPr="00012C3F">
        <w:rPr>
          <w:rFonts w:eastAsia="Batang"/>
          <w:sz w:val="20"/>
          <w:lang w:val="en-US"/>
        </w:rPr>
        <w:t xml:space="preserve"> 2</w:t>
      </w:r>
      <w:r w:rsidR="00B257AF" w:rsidRPr="00012C3F">
        <w:rPr>
          <w:rFonts w:eastAsia="Batang"/>
          <w:sz w:val="20"/>
          <w:lang w:val="en-US"/>
        </w:rPr>
        <w:t>5(2)</w:t>
      </w:r>
      <w:r w:rsidRPr="00012C3F">
        <w:rPr>
          <w:rFonts w:eastAsia="Batang"/>
          <w:sz w:val="20"/>
          <w:lang w:val="en-US"/>
        </w:rPr>
        <w:t>(</w:t>
      </w:r>
      <w:r w:rsidR="00502B43" w:rsidRPr="00012C3F">
        <w:rPr>
          <w:rFonts w:eastAsia="Batang"/>
          <w:sz w:val="20"/>
          <w:lang w:val="en-US"/>
        </w:rPr>
        <w:t>a)</w:t>
      </w:r>
      <w:r w:rsidR="001254DE" w:rsidRPr="00012C3F">
        <w:rPr>
          <w:rFonts w:eastAsia="Batang"/>
          <w:sz w:val="20"/>
          <w:lang w:val="en-US"/>
        </w:rPr>
        <w:t xml:space="preserve"> of the American Convention</w:t>
      </w:r>
      <w:r w:rsidR="00502B43" w:rsidRPr="00012C3F">
        <w:rPr>
          <w:rFonts w:eastAsia="Batang"/>
          <w:sz w:val="20"/>
          <w:lang w:val="en-US"/>
        </w:rPr>
        <w:t xml:space="preserve">, </w:t>
      </w:r>
      <w:r w:rsidR="001254DE" w:rsidRPr="00012C3F">
        <w:rPr>
          <w:rFonts w:eastAsia="Batang"/>
          <w:sz w:val="20"/>
          <w:lang w:val="en-US"/>
        </w:rPr>
        <w:t>the Court</w:t>
      </w:r>
      <w:r w:rsidR="004E5082" w:rsidRPr="00012C3F">
        <w:rPr>
          <w:rFonts w:eastAsia="Batang"/>
          <w:sz w:val="20"/>
          <w:lang w:val="en-US"/>
        </w:rPr>
        <w:t xml:space="preserve"> consider</w:t>
      </w:r>
      <w:r w:rsidRPr="00012C3F">
        <w:rPr>
          <w:rFonts w:eastAsia="Batang"/>
          <w:sz w:val="20"/>
          <w:lang w:val="en-US"/>
        </w:rPr>
        <w:t>s that there is insufficient evidence to substantiate a ruling on its alleged violation.</w:t>
      </w:r>
      <w:r w:rsidR="004E5082" w:rsidRPr="00012C3F">
        <w:rPr>
          <w:rFonts w:eastAsia="Batang"/>
          <w:sz w:val="20"/>
          <w:lang w:val="en-US"/>
        </w:rPr>
        <w:t xml:space="preserve"> </w:t>
      </w:r>
    </w:p>
    <w:p w14:paraId="57AE3B02" w14:textId="77777777" w:rsidR="008D0B77" w:rsidRPr="00012C3F" w:rsidRDefault="008D0B77" w:rsidP="00CA632B">
      <w:pPr>
        <w:pStyle w:val="Prrafodelista2"/>
        <w:tabs>
          <w:tab w:val="left" w:pos="720"/>
        </w:tabs>
        <w:ind w:left="0" w:right="-90"/>
        <w:jc w:val="both"/>
        <w:rPr>
          <w:lang w:val="en-US"/>
        </w:rPr>
      </w:pPr>
    </w:p>
    <w:p w14:paraId="521A9AF6" w14:textId="77777777" w:rsidR="008D0B77" w:rsidRPr="00012C3F" w:rsidRDefault="008D0B77" w:rsidP="00CA632B">
      <w:pPr>
        <w:keepNext/>
        <w:keepLines/>
        <w:tabs>
          <w:tab w:val="left" w:pos="720"/>
          <w:tab w:val="left" w:pos="851"/>
        </w:tabs>
        <w:spacing w:line="240" w:lineRule="auto"/>
        <w:jc w:val="center"/>
        <w:outlineLvl w:val="0"/>
        <w:rPr>
          <w:rFonts w:cs="Verdana"/>
          <w:b/>
          <w:bCs/>
          <w:caps/>
          <w:snapToGrid w:val="0"/>
          <w:sz w:val="20"/>
          <w:szCs w:val="20"/>
          <w:lang w:val="en-US"/>
        </w:rPr>
      </w:pPr>
      <w:bookmarkStart w:id="183" w:name="_Toc375517149"/>
      <w:bookmarkStart w:id="184" w:name="_Toc449460763"/>
      <w:bookmarkStart w:id="185" w:name="_Toc459158147"/>
      <w:bookmarkStart w:id="186" w:name="_Toc462310920"/>
      <w:bookmarkStart w:id="187" w:name="_Toc27486887"/>
      <w:r w:rsidRPr="00012C3F">
        <w:rPr>
          <w:rFonts w:cs="Verdana"/>
          <w:b/>
          <w:bCs/>
          <w:caps/>
          <w:snapToGrid w:val="0"/>
          <w:sz w:val="20"/>
          <w:szCs w:val="20"/>
          <w:lang w:val="en-US"/>
        </w:rPr>
        <w:t>IX</w:t>
      </w:r>
      <w:r w:rsidRPr="00012C3F">
        <w:rPr>
          <w:rFonts w:cs="Verdana"/>
          <w:b/>
          <w:bCs/>
          <w:caps/>
          <w:snapToGrid w:val="0"/>
          <w:sz w:val="20"/>
          <w:szCs w:val="20"/>
          <w:lang w:val="en-US"/>
        </w:rPr>
        <w:br/>
      </w:r>
      <w:r w:rsidR="006C705C" w:rsidRPr="00012C3F">
        <w:rPr>
          <w:rFonts w:cs="Verdana"/>
          <w:b/>
          <w:bCs/>
          <w:caps/>
          <w:snapToGrid w:val="0"/>
          <w:sz w:val="20"/>
          <w:szCs w:val="20"/>
          <w:lang w:val="en-US"/>
        </w:rPr>
        <w:t>REPARATIONS</w:t>
      </w:r>
      <w:r w:rsidRPr="00012C3F">
        <w:rPr>
          <w:rFonts w:cs="Verdana"/>
          <w:b/>
          <w:bCs/>
          <w:caps/>
          <w:snapToGrid w:val="0"/>
          <w:sz w:val="20"/>
          <w:szCs w:val="20"/>
          <w:lang w:val="en-US"/>
        </w:rPr>
        <w:br/>
        <w:t>(</w:t>
      </w:r>
      <w:r w:rsidR="00A710F6" w:rsidRPr="00012C3F">
        <w:rPr>
          <w:rFonts w:cs="Verdana"/>
          <w:b/>
          <w:bCs/>
          <w:snapToGrid w:val="0"/>
          <w:sz w:val="20"/>
          <w:szCs w:val="20"/>
          <w:lang w:val="en-US"/>
        </w:rPr>
        <w:t>Application</w:t>
      </w:r>
      <w:r w:rsidRPr="00012C3F">
        <w:rPr>
          <w:rFonts w:cs="Verdana"/>
          <w:b/>
          <w:bCs/>
          <w:snapToGrid w:val="0"/>
          <w:sz w:val="20"/>
          <w:szCs w:val="20"/>
          <w:lang w:val="en-US"/>
        </w:rPr>
        <w:t xml:space="preserve"> </w:t>
      </w:r>
      <w:r w:rsidR="008A7A0F" w:rsidRPr="00012C3F">
        <w:rPr>
          <w:rFonts w:cs="Verdana"/>
          <w:b/>
          <w:bCs/>
          <w:snapToGrid w:val="0"/>
          <w:sz w:val="20"/>
          <w:szCs w:val="20"/>
          <w:lang w:val="en-US"/>
        </w:rPr>
        <w:t>of Article</w:t>
      </w:r>
      <w:r w:rsidRPr="00012C3F">
        <w:rPr>
          <w:rFonts w:cs="Verdana"/>
          <w:b/>
          <w:bCs/>
          <w:snapToGrid w:val="0"/>
          <w:sz w:val="20"/>
          <w:szCs w:val="20"/>
          <w:lang w:val="en-US"/>
        </w:rPr>
        <w:t xml:space="preserve"> </w:t>
      </w:r>
      <w:r w:rsidR="001254DE" w:rsidRPr="00012C3F">
        <w:rPr>
          <w:rFonts w:cs="Verdana"/>
          <w:b/>
          <w:bCs/>
          <w:snapToGrid w:val="0"/>
          <w:sz w:val="20"/>
          <w:szCs w:val="20"/>
          <w:lang w:val="en-US"/>
        </w:rPr>
        <w:t>63(1) of the American Convention</w:t>
      </w:r>
      <w:r w:rsidRPr="00012C3F">
        <w:rPr>
          <w:rFonts w:cs="Verdana"/>
          <w:b/>
          <w:bCs/>
          <w:caps/>
          <w:snapToGrid w:val="0"/>
          <w:sz w:val="20"/>
          <w:szCs w:val="20"/>
          <w:lang w:val="en-US"/>
        </w:rPr>
        <w:t>)</w:t>
      </w:r>
      <w:bookmarkEnd w:id="183"/>
      <w:bookmarkEnd w:id="184"/>
      <w:bookmarkEnd w:id="185"/>
      <w:bookmarkEnd w:id="186"/>
      <w:bookmarkEnd w:id="187"/>
    </w:p>
    <w:p w14:paraId="61B7A409" w14:textId="77777777" w:rsidR="008D0B77" w:rsidRPr="00012C3F" w:rsidRDefault="008D0B77" w:rsidP="00CA632B">
      <w:pPr>
        <w:tabs>
          <w:tab w:val="left" w:pos="720"/>
          <w:tab w:val="num" w:pos="1427"/>
        </w:tabs>
        <w:spacing w:line="240" w:lineRule="auto"/>
        <w:ind w:right="-90"/>
        <w:rPr>
          <w:rFonts w:cs="Verdana"/>
          <w:sz w:val="20"/>
          <w:szCs w:val="20"/>
          <w:lang w:val="en-US"/>
        </w:rPr>
      </w:pPr>
    </w:p>
    <w:p w14:paraId="5D1CD0D9" w14:textId="77777777" w:rsidR="008D0B77" w:rsidRPr="00012C3F" w:rsidRDefault="00885853" w:rsidP="00532BC1">
      <w:pPr>
        <w:numPr>
          <w:ilvl w:val="0"/>
          <w:numId w:val="5"/>
        </w:numPr>
        <w:tabs>
          <w:tab w:val="left" w:pos="720"/>
          <w:tab w:val="num" w:pos="12305"/>
        </w:tabs>
        <w:spacing w:line="240" w:lineRule="auto"/>
        <w:ind w:left="0" w:firstLine="0"/>
        <w:rPr>
          <w:sz w:val="20"/>
          <w:szCs w:val="20"/>
          <w:lang w:val="en-US"/>
        </w:rPr>
      </w:pPr>
      <w:r w:rsidRPr="00012C3F">
        <w:rPr>
          <w:rFonts w:eastAsia="Batang"/>
          <w:sz w:val="20"/>
          <w:szCs w:val="20"/>
          <w:lang w:val="en-US"/>
        </w:rPr>
        <w:t xml:space="preserve">Based on the provisions of </w:t>
      </w:r>
      <w:r w:rsidR="001254DE" w:rsidRPr="00012C3F">
        <w:rPr>
          <w:sz w:val="20"/>
          <w:szCs w:val="20"/>
          <w:lang w:val="en-US"/>
        </w:rPr>
        <w:t>Article</w:t>
      </w:r>
      <w:r w:rsidR="008D0B77" w:rsidRPr="00012C3F">
        <w:rPr>
          <w:sz w:val="20"/>
          <w:szCs w:val="20"/>
          <w:lang w:val="en-US"/>
        </w:rPr>
        <w:t xml:space="preserve"> </w:t>
      </w:r>
      <w:r w:rsidR="001254DE" w:rsidRPr="00012C3F">
        <w:rPr>
          <w:sz w:val="20"/>
          <w:szCs w:val="20"/>
          <w:lang w:val="en-US"/>
        </w:rPr>
        <w:t>63(1) of the American Convention</w:t>
      </w:r>
      <w:r w:rsidRPr="00012C3F">
        <w:rPr>
          <w:sz w:val="20"/>
          <w:szCs w:val="20"/>
          <w:lang w:val="en-US"/>
        </w:rPr>
        <w:t>,</w:t>
      </w:r>
      <w:r w:rsidR="008D0B77" w:rsidRPr="00012C3F">
        <w:rPr>
          <w:sz w:val="20"/>
          <w:szCs w:val="20"/>
          <w:vertAlign w:val="superscript"/>
          <w:lang w:val="en-US"/>
        </w:rPr>
        <w:footnoteReference w:id="397"/>
      </w:r>
      <w:r w:rsidR="008D0B77" w:rsidRPr="00012C3F">
        <w:rPr>
          <w:sz w:val="20"/>
          <w:szCs w:val="20"/>
          <w:lang w:val="en-US"/>
        </w:rPr>
        <w:t xml:space="preserve"> </w:t>
      </w:r>
      <w:r w:rsidR="001254DE" w:rsidRPr="00012C3F">
        <w:rPr>
          <w:sz w:val="20"/>
          <w:szCs w:val="20"/>
          <w:lang w:val="en-US"/>
        </w:rPr>
        <w:t>the Court</w:t>
      </w:r>
      <w:r w:rsidR="008D0B77" w:rsidRPr="00012C3F">
        <w:rPr>
          <w:sz w:val="20"/>
          <w:szCs w:val="20"/>
          <w:lang w:val="en-US"/>
        </w:rPr>
        <w:t xml:space="preserve"> ha</w:t>
      </w:r>
      <w:r w:rsidRPr="00012C3F">
        <w:rPr>
          <w:sz w:val="20"/>
          <w:szCs w:val="20"/>
          <w:lang w:val="en-US"/>
        </w:rPr>
        <w:t>s indicated that any violation of an international obligation that has produced harm results in the obligation to redress this adequately and that this provision reflects a customary norm that constitutes one of the fundamental principles of contemporary international law on State responsibility.</w:t>
      </w:r>
      <w:r w:rsidR="008D0B77" w:rsidRPr="00012C3F">
        <w:rPr>
          <w:sz w:val="20"/>
          <w:szCs w:val="20"/>
          <w:vertAlign w:val="superscript"/>
          <w:lang w:val="en-US"/>
        </w:rPr>
        <w:footnoteReference w:id="398"/>
      </w:r>
    </w:p>
    <w:p w14:paraId="3584FE08" w14:textId="77777777" w:rsidR="008D0B77" w:rsidRPr="00012C3F" w:rsidRDefault="008D0B77" w:rsidP="00532BC1">
      <w:pPr>
        <w:tabs>
          <w:tab w:val="left" w:pos="720"/>
        </w:tabs>
        <w:autoSpaceDE w:val="0"/>
        <w:autoSpaceDN w:val="0"/>
        <w:spacing w:line="240" w:lineRule="auto"/>
        <w:rPr>
          <w:rFonts w:cs="Verdana"/>
          <w:sz w:val="20"/>
          <w:szCs w:val="20"/>
          <w:lang w:val="en-US"/>
        </w:rPr>
      </w:pPr>
    </w:p>
    <w:p w14:paraId="4A1253A5" w14:textId="77777777" w:rsidR="008D0B77" w:rsidRPr="00012C3F" w:rsidRDefault="001B1EF7" w:rsidP="00532BC1">
      <w:pPr>
        <w:numPr>
          <w:ilvl w:val="0"/>
          <w:numId w:val="5"/>
        </w:numPr>
        <w:tabs>
          <w:tab w:val="left" w:pos="720"/>
          <w:tab w:val="num" w:pos="12305"/>
        </w:tabs>
        <w:spacing w:line="240" w:lineRule="auto"/>
        <w:ind w:left="0" w:firstLine="0"/>
        <w:rPr>
          <w:sz w:val="20"/>
          <w:szCs w:val="20"/>
          <w:lang w:val="en-US"/>
        </w:rPr>
      </w:pPr>
      <w:r w:rsidRPr="00012C3F">
        <w:rPr>
          <w:bCs/>
          <w:sz w:val="20"/>
          <w:szCs w:val="20"/>
          <w:lang w:val="en-US"/>
        </w:rPr>
        <w:t>Reparation</w:t>
      </w:r>
      <w:r w:rsidR="008D0B77" w:rsidRPr="00012C3F">
        <w:rPr>
          <w:bCs/>
          <w:sz w:val="20"/>
          <w:szCs w:val="20"/>
          <w:lang w:val="en-US"/>
        </w:rPr>
        <w:t xml:space="preserve"> </w:t>
      </w:r>
      <w:r w:rsidRPr="00012C3F">
        <w:rPr>
          <w:bCs/>
          <w:sz w:val="20"/>
          <w:szCs w:val="20"/>
          <w:lang w:val="en-US"/>
        </w:rPr>
        <w:t xml:space="preserve">of the harm caused by the violation of an international obligation requires, whenever possible, full restitution </w:t>
      </w:r>
      <w:r w:rsidR="008D0B77" w:rsidRPr="00012C3F">
        <w:rPr>
          <w:bCs/>
          <w:sz w:val="20"/>
          <w:szCs w:val="20"/>
          <w:lang w:val="en-US"/>
        </w:rPr>
        <w:t xml:space="preserve"> (</w:t>
      </w:r>
      <w:r w:rsidR="008D0B77" w:rsidRPr="00012C3F">
        <w:rPr>
          <w:bCs/>
          <w:i/>
          <w:sz w:val="20"/>
          <w:szCs w:val="20"/>
          <w:lang w:val="en-US"/>
        </w:rPr>
        <w:t>restitutio in integrum</w:t>
      </w:r>
      <w:r w:rsidR="008D0B77" w:rsidRPr="00012C3F">
        <w:rPr>
          <w:bCs/>
          <w:sz w:val="20"/>
          <w:szCs w:val="20"/>
          <w:lang w:val="en-US"/>
        </w:rPr>
        <w:t xml:space="preserve">), </w:t>
      </w:r>
      <w:r w:rsidRPr="00012C3F">
        <w:rPr>
          <w:bCs/>
          <w:sz w:val="20"/>
          <w:szCs w:val="20"/>
          <w:lang w:val="en-US"/>
        </w:rPr>
        <w:t xml:space="preserve">which consists in the re-establishment of the previous situation. If this is not feasible, as in most cases of human rights violations, the </w:t>
      </w:r>
      <w:r w:rsidRPr="00012C3F">
        <w:rPr>
          <w:bCs/>
          <w:sz w:val="20"/>
          <w:szCs w:val="20"/>
          <w:lang w:val="en-US"/>
        </w:rPr>
        <w:lastRenderedPageBreak/>
        <w:t xml:space="preserve">Court will determine measures to ensure </w:t>
      </w:r>
      <w:r w:rsidR="00DF5BD3" w:rsidRPr="00012C3F">
        <w:rPr>
          <w:bCs/>
          <w:sz w:val="20"/>
          <w:szCs w:val="20"/>
          <w:lang w:val="en-US"/>
        </w:rPr>
        <w:t>the rights</w:t>
      </w:r>
      <w:r w:rsidR="008D0B77" w:rsidRPr="00012C3F">
        <w:rPr>
          <w:bCs/>
          <w:sz w:val="20"/>
          <w:szCs w:val="20"/>
          <w:lang w:val="en-US"/>
        </w:rPr>
        <w:t xml:space="preserve"> </w:t>
      </w:r>
      <w:r w:rsidRPr="00012C3F">
        <w:rPr>
          <w:bCs/>
          <w:sz w:val="20"/>
          <w:szCs w:val="20"/>
          <w:lang w:val="en-US"/>
        </w:rPr>
        <w:t>that have been violated and to redress the consequences of such violations.</w:t>
      </w:r>
      <w:r w:rsidR="008D0B77" w:rsidRPr="00012C3F">
        <w:rPr>
          <w:sz w:val="20"/>
          <w:szCs w:val="20"/>
          <w:vertAlign w:val="superscript"/>
          <w:lang w:val="en-US"/>
        </w:rPr>
        <w:footnoteReference w:id="399"/>
      </w:r>
      <w:r w:rsidRPr="00012C3F">
        <w:rPr>
          <w:bCs/>
          <w:sz w:val="20"/>
          <w:szCs w:val="20"/>
          <w:lang w:val="en-US"/>
        </w:rPr>
        <w:t xml:space="preserve"> Accordingly, the Court has considered the need to grant diverse measures of reparation in order to redress the harm comprehensively so that, in addition, to pecuniary compensation, measures of restitution,</w:t>
      </w:r>
      <w:r w:rsidR="008D0B77" w:rsidRPr="00012C3F">
        <w:rPr>
          <w:sz w:val="20"/>
          <w:szCs w:val="20"/>
          <w:lang w:val="en-US"/>
        </w:rPr>
        <w:t xml:space="preserve"> </w:t>
      </w:r>
      <w:r w:rsidRPr="00012C3F">
        <w:rPr>
          <w:sz w:val="20"/>
          <w:szCs w:val="20"/>
          <w:lang w:val="en-US"/>
        </w:rPr>
        <w:t>r</w:t>
      </w:r>
      <w:r w:rsidR="00A710F6" w:rsidRPr="00012C3F">
        <w:rPr>
          <w:sz w:val="20"/>
          <w:szCs w:val="20"/>
          <w:lang w:val="en-US"/>
        </w:rPr>
        <w:t>ehabilitation</w:t>
      </w:r>
      <w:r w:rsidRPr="00012C3F">
        <w:rPr>
          <w:sz w:val="20"/>
          <w:szCs w:val="20"/>
          <w:lang w:val="en-US"/>
        </w:rPr>
        <w:t xml:space="preserve"> and</w:t>
      </w:r>
      <w:r w:rsidR="008D0B77" w:rsidRPr="00012C3F">
        <w:rPr>
          <w:sz w:val="20"/>
          <w:szCs w:val="20"/>
          <w:lang w:val="en-US"/>
        </w:rPr>
        <w:t xml:space="preserve"> </w:t>
      </w:r>
      <w:r w:rsidRPr="00012C3F">
        <w:rPr>
          <w:sz w:val="20"/>
          <w:szCs w:val="20"/>
          <w:lang w:val="en-US"/>
        </w:rPr>
        <w:t>s</w:t>
      </w:r>
      <w:r w:rsidR="00A710F6" w:rsidRPr="00012C3F">
        <w:rPr>
          <w:sz w:val="20"/>
          <w:szCs w:val="20"/>
          <w:lang w:val="en-US"/>
        </w:rPr>
        <w:t>atisfaction</w:t>
      </w:r>
      <w:r w:rsidRPr="00012C3F">
        <w:rPr>
          <w:sz w:val="20"/>
          <w:szCs w:val="20"/>
          <w:lang w:val="en-US"/>
        </w:rPr>
        <w:t>,</w:t>
      </w:r>
      <w:r w:rsidR="005E5012" w:rsidRPr="00012C3F">
        <w:rPr>
          <w:sz w:val="20"/>
          <w:szCs w:val="20"/>
          <w:lang w:val="en-US"/>
        </w:rPr>
        <w:t xml:space="preserve"> and </w:t>
      </w:r>
      <w:r w:rsidRPr="00012C3F">
        <w:rPr>
          <w:sz w:val="20"/>
          <w:szCs w:val="20"/>
          <w:lang w:val="en-US"/>
        </w:rPr>
        <w:t>g</w:t>
      </w:r>
      <w:r w:rsidR="00A710F6" w:rsidRPr="00012C3F">
        <w:rPr>
          <w:sz w:val="20"/>
          <w:szCs w:val="20"/>
          <w:lang w:val="en-US"/>
        </w:rPr>
        <w:t>uarantees of non-repetition</w:t>
      </w:r>
      <w:r w:rsidR="008D0B77" w:rsidRPr="00012C3F">
        <w:rPr>
          <w:sz w:val="20"/>
          <w:szCs w:val="20"/>
          <w:lang w:val="en-US"/>
        </w:rPr>
        <w:t xml:space="preserve"> </w:t>
      </w:r>
      <w:r w:rsidRPr="00012C3F">
        <w:rPr>
          <w:sz w:val="20"/>
          <w:szCs w:val="20"/>
          <w:lang w:val="en-US"/>
        </w:rPr>
        <w:t>are particularly relevant for the harm caused.</w:t>
      </w:r>
      <w:r w:rsidR="008D0B77" w:rsidRPr="00012C3F">
        <w:rPr>
          <w:sz w:val="20"/>
          <w:szCs w:val="20"/>
          <w:vertAlign w:val="superscript"/>
          <w:lang w:val="en-US"/>
        </w:rPr>
        <w:footnoteReference w:id="400"/>
      </w:r>
    </w:p>
    <w:p w14:paraId="3C1FB982" w14:textId="77777777" w:rsidR="008D0B77" w:rsidRPr="00012C3F" w:rsidRDefault="008D0B77" w:rsidP="008D0B77">
      <w:pPr>
        <w:autoSpaceDE w:val="0"/>
        <w:autoSpaceDN w:val="0"/>
        <w:spacing w:line="240" w:lineRule="auto"/>
        <w:rPr>
          <w:rFonts w:cs="Verdana"/>
          <w:sz w:val="20"/>
          <w:szCs w:val="20"/>
          <w:lang w:val="en-US"/>
        </w:rPr>
      </w:pPr>
    </w:p>
    <w:p w14:paraId="281C7E87" w14:textId="77777777" w:rsidR="001B1EF7" w:rsidRPr="00012C3F" w:rsidRDefault="001254DE" w:rsidP="001B1EF7">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The Court</w:t>
      </w:r>
      <w:r w:rsidR="008D0B77" w:rsidRPr="00012C3F">
        <w:rPr>
          <w:sz w:val="20"/>
          <w:szCs w:val="20"/>
          <w:lang w:val="en-US"/>
        </w:rPr>
        <w:t xml:space="preserve"> ha</w:t>
      </w:r>
      <w:r w:rsidR="001B1EF7" w:rsidRPr="00012C3F">
        <w:rPr>
          <w:sz w:val="20"/>
          <w:szCs w:val="20"/>
          <w:lang w:val="en-US"/>
        </w:rPr>
        <w:t>s established that reparations must have a causal nexus with the facts of the case, the violations declared, the damage proved, and the measures requested to redress the respective harm. Consequently, the Court must observe the concurrence of these factors to rule appropriately and pursuant to the law.</w:t>
      </w:r>
      <w:r w:rsidR="008D0B77" w:rsidRPr="00012C3F">
        <w:rPr>
          <w:sz w:val="20"/>
          <w:szCs w:val="20"/>
          <w:vertAlign w:val="superscript"/>
          <w:lang w:val="en-US"/>
        </w:rPr>
        <w:footnoteReference w:id="401"/>
      </w:r>
      <w:r w:rsidR="001B1EF7" w:rsidRPr="00012C3F">
        <w:rPr>
          <w:sz w:val="20"/>
          <w:szCs w:val="20"/>
          <w:lang w:val="en-US"/>
        </w:rPr>
        <w:t xml:space="preserve"> In addition, the Court considers that the reparations should include an analysis that takes into account no</w:t>
      </w:r>
      <w:r w:rsidR="00FB39C4" w:rsidRPr="00012C3F">
        <w:rPr>
          <w:sz w:val="20"/>
          <w:szCs w:val="20"/>
          <w:lang w:val="en-US"/>
        </w:rPr>
        <w:t>t</w:t>
      </w:r>
      <w:r w:rsidR="001B1EF7" w:rsidRPr="00012C3F">
        <w:rPr>
          <w:sz w:val="20"/>
          <w:szCs w:val="20"/>
          <w:lang w:val="en-US"/>
        </w:rPr>
        <w:t xml:space="preserve"> only the right of the victim to obtain redress, but also incorporates a gender perspective, in both their </w:t>
      </w:r>
      <w:r w:rsidR="00FB39C4" w:rsidRPr="00012C3F">
        <w:rPr>
          <w:sz w:val="20"/>
          <w:szCs w:val="20"/>
          <w:lang w:val="en-US"/>
        </w:rPr>
        <w:t>establishment</w:t>
      </w:r>
      <w:r w:rsidR="001B1EF7" w:rsidRPr="00012C3F">
        <w:rPr>
          <w:sz w:val="20"/>
          <w:szCs w:val="20"/>
          <w:lang w:val="en-US"/>
        </w:rPr>
        <w:t xml:space="preserve"> and implementation.</w:t>
      </w:r>
    </w:p>
    <w:p w14:paraId="682ED3C3" w14:textId="77777777" w:rsidR="008D0B77" w:rsidRPr="00012C3F" w:rsidRDefault="008D0B77" w:rsidP="001B1EF7">
      <w:pPr>
        <w:tabs>
          <w:tab w:val="left" w:pos="720"/>
        </w:tabs>
        <w:autoSpaceDE w:val="0"/>
        <w:autoSpaceDN w:val="0"/>
        <w:spacing w:line="240" w:lineRule="auto"/>
        <w:rPr>
          <w:rFonts w:cs="Verdana"/>
          <w:sz w:val="20"/>
          <w:szCs w:val="20"/>
          <w:lang w:val="en-US"/>
        </w:rPr>
      </w:pPr>
    </w:p>
    <w:p w14:paraId="677ECE0F" w14:textId="77777777" w:rsidR="008D0B77" w:rsidRPr="00012C3F" w:rsidRDefault="0013307D" w:rsidP="001B1EF7">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Based on the violations of the Convention declared in the preceding chapters, the Court will now proceed to examine the claims presented by </w:t>
      </w:r>
      <w:r w:rsidR="001254DE" w:rsidRPr="00012C3F">
        <w:rPr>
          <w:sz w:val="20"/>
          <w:szCs w:val="20"/>
          <w:lang w:val="en-US"/>
        </w:rPr>
        <w:t xml:space="preserve">the </w:t>
      </w:r>
      <w:r w:rsidR="00A84CA0" w:rsidRPr="00012C3F">
        <w:rPr>
          <w:sz w:val="20"/>
          <w:szCs w:val="20"/>
          <w:lang w:val="en-US"/>
        </w:rPr>
        <w:t>Commission</w:t>
      </w:r>
      <w:r w:rsidR="005E5012" w:rsidRPr="00012C3F">
        <w:rPr>
          <w:sz w:val="20"/>
          <w:szCs w:val="20"/>
          <w:lang w:val="en-US"/>
        </w:rPr>
        <w:t xml:space="preserve"> and </w:t>
      </w:r>
      <w:r w:rsidR="00972ACF" w:rsidRPr="00012C3F">
        <w:rPr>
          <w:sz w:val="20"/>
          <w:szCs w:val="20"/>
          <w:lang w:val="en-US"/>
        </w:rPr>
        <w:t>the representative</w:t>
      </w:r>
      <w:r w:rsidR="008D0B77" w:rsidRPr="00012C3F">
        <w:rPr>
          <w:sz w:val="20"/>
          <w:szCs w:val="20"/>
          <w:lang w:val="en-US"/>
        </w:rPr>
        <w:t xml:space="preserve">, </w:t>
      </w:r>
      <w:r w:rsidRPr="00012C3F">
        <w:rPr>
          <w:sz w:val="20"/>
          <w:szCs w:val="20"/>
          <w:lang w:val="en-US"/>
        </w:rPr>
        <w:t>in light of the criteria established in its case law with regard to the nature and scope of the obligation to make reparation, in order to establish measures aimed at repairing the harm caused to the victim.</w:t>
      </w:r>
      <w:r w:rsidR="008D0B77" w:rsidRPr="00012C3F">
        <w:rPr>
          <w:sz w:val="20"/>
          <w:szCs w:val="20"/>
          <w:vertAlign w:val="superscript"/>
          <w:lang w:val="en-US"/>
        </w:rPr>
        <w:footnoteReference w:id="402"/>
      </w:r>
    </w:p>
    <w:p w14:paraId="06B3F6B6" w14:textId="77777777" w:rsidR="008D0B77" w:rsidRPr="00012C3F" w:rsidRDefault="008D0B77" w:rsidP="008D0B77">
      <w:pPr>
        <w:tabs>
          <w:tab w:val="left" w:pos="720"/>
        </w:tabs>
        <w:spacing w:line="240" w:lineRule="auto"/>
        <w:ind w:right="-90"/>
        <w:rPr>
          <w:sz w:val="20"/>
          <w:szCs w:val="20"/>
          <w:lang w:val="en-US"/>
        </w:rPr>
      </w:pPr>
    </w:p>
    <w:p w14:paraId="410C4EC0" w14:textId="77777777" w:rsidR="008D0B77" w:rsidRPr="00012C3F" w:rsidRDefault="009867D6" w:rsidP="009867D6">
      <w:pPr>
        <w:keepNext/>
        <w:keepLines/>
        <w:tabs>
          <w:tab w:val="left" w:pos="1134"/>
        </w:tabs>
        <w:spacing w:line="240" w:lineRule="auto"/>
        <w:ind w:left="567" w:firstLine="1"/>
        <w:outlineLvl w:val="1"/>
        <w:rPr>
          <w:rFonts w:eastAsia="MS Mincho"/>
          <w:b/>
          <w:bCs/>
          <w:i/>
          <w:sz w:val="20"/>
          <w:szCs w:val="20"/>
          <w:lang w:val="en-US"/>
        </w:rPr>
      </w:pPr>
      <w:bookmarkStart w:id="188" w:name="_Toc375517150"/>
      <w:bookmarkStart w:id="189" w:name="_Toc449460764"/>
      <w:bookmarkStart w:id="190" w:name="_Toc459158148"/>
      <w:bookmarkStart w:id="191" w:name="_Toc461637445"/>
      <w:bookmarkStart w:id="192" w:name="_Toc462310921"/>
      <w:bookmarkStart w:id="193" w:name="_Toc27486888"/>
      <w:r w:rsidRPr="00012C3F">
        <w:rPr>
          <w:rFonts w:eastAsia="MS Mincho"/>
          <w:b/>
          <w:bCs/>
          <w:i/>
          <w:sz w:val="20"/>
          <w:szCs w:val="20"/>
          <w:lang w:val="en-US"/>
        </w:rPr>
        <w:t>A.</w:t>
      </w:r>
      <w:r w:rsidRPr="00012C3F">
        <w:rPr>
          <w:rFonts w:eastAsia="MS Mincho"/>
          <w:b/>
          <w:bCs/>
          <w:i/>
          <w:sz w:val="20"/>
          <w:szCs w:val="20"/>
          <w:lang w:val="en-US"/>
        </w:rPr>
        <w:tab/>
      </w:r>
      <w:r w:rsidR="00A710F6" w:rsidRPr="00012C3F">
        <w:rPr>
          <w:rFonts w:eastAsia="MS Mincho"/>
          <w:b/>
          <w:bCs/>
          <w:i/>
          <w:sz w:val="20"/>
          <w:szCs w:val="20"/>
          <w:lang w:val="en-US"/>
        </w:rPr>
        <w:t>Injured party</w:t>
      </w:r>
      <w:bookmarkEnd w:id="188"/>
      <w:bookmarkEnd w:id="189"/>
      <w:bookmarkEnd w:id="190"/>
      <w:bookmarkEnd w:id="191"/>
      <w:bookmarkEnd w:id="192"/>
      <w:bookmarkEnd w:id="193"/>
    </w:p>
    <w:p w14:paraId="10360327" w14:textId="77777777" w:rsidR="008D0B77" w:rsidRPr="00012C3F" w:rsidRDefault="008D0B77" w:rsidP="008D0B77">
      <w:pPr>
        <w:tabs>
          <w:tab w:val="num" w:pos="720"/>
          <w:tab w:val="left" w:pos="851"/>
          <w:tab w:val="num" w:pos="1427"/>
        </w:tabs>
        <w:spacing w:line="240" w:lineRule="auto"/>
        <w:rPr>
          <w:sz w:val="20"/>
          <w:szCs w:val="20"/>
          <w:lang w:val="en-US"/>
        </w:rPr>
      </w:pPr>
    </w:p>
    <w:p w14:paraId="0323BC20" w14:textId="77777777" w:rsidR="0013307D" w:rsidRPr="00012C3F" w:rsidRDefault="0013307D" w:rsidP="0013307D">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According to</w:t>
      </w:r>
      <w:r w:rsidR="008A7A0F" w:rsidRPr="00012C3F">
        <w:rPr>
          <w:sz w:val="20"/>
          <w:szCs w:val="20"/>
          <w:lang w:val="en-US"/>
        </w:rPr>
        <w:t xml:space="preserve"> Article</w:t>
      </w:r>
      <w:r w:rsidR="008D0B77" w:rsidRPr="00012C3F">
        <w:rPr>
          <w:sz w:val="20"/>
          <w:szCs w:val="20"/>
          <w:lang w:val="en-US"/>
        </w:rPr>
        <w:t xml:space="preserve"> </w:t>
      </w:r>
      <w:r w:rsidR="001254DE" w:rsidRPr="00012C3F">
        <w:rPr>
          <w:sz w:val="20"/>
          <w:szCs w:val="20"/>
          <w:lang w:val="en-US"/>
        </w:rPr>
        <w:t>63(1) of the Convention</w:t>
      </w:r>
      <w:r w:rsidR="008D0B77" w:rsidRPr="00012C3F">
        <w:rPr>
          <w:sz w:val="20"/>
          <w:szCs w:val="20"/>
          <w:lang w:val="en-US"/>
        </w:rPr>
        <w:t xml:space="preserve">, </w:t>
      </w:r>
      <w:r w:rsidRPr="00012C3F">
        <w:rPr>
          <w:sz w:val="20"/>
          <w:szCs w:val="20"/>
          <w:lang w:val="en-US"/>
        </w:rPr>
        <w:t xml:space="preserve">the injured party is considered </w:t>
      </w:r>
      <w:r w:rsidR="00FB39C4" w:rsidRPr="00012C3F">
        <w:rPr>
          <w:sz w:val="20"/>
          <w:szCs w:val="20"/>
          <w:lang w:val="en-US"/>
        </w:rPr>
        <w:t xml:space="preserve">to be </w:t>
      </w:r>
      <w:r w:rsidRPr="00012C3F">
        <w:rPr>
          <w:sz w:val="20"/>
          <w:szCs w:val="20"/>
          <w:lang w:val="en-US"/>
        </w:rPr>
        <w:t>th</w:t>
      </w:r>
      <w:r w:rsidR="00FB39C4" w:rsidRPr="00012C3F">
        <w:rPr>
          <w:sz w:val="20"/>
          <w:szCs w:val="20"/>
          <w:lang w:val="en-US"/>
        </w:rPr>
        <w:t>e person</w:t>
      </w:r>
      <w:r w:rsidRPr="00012C3F">
        <w:rPr>
          <w:sz w:val="20"/>
          <w:szCs w:val="20"/>
          <w:lang w:val="en-US"/>
        </w:rPr>
        <w:t xml:space="preserve"> who ha</w:t>
      </w:r>
      <w:r w:rsidR="00FB39C4" w:rsidRPr="00012C3F">
        <w:rPr>
          <w:sz w:val="20"/>
          <w:szCs w:val="20"/>
          <w:lang w:val="en-US"/>
        </w:rPr>
        <w:t>s</w:t>
      </w:r>
      <w:r w:rsidRPr="00012C3F">
        <w:rPr>
          <w:sz w:val="20"/>
          <w:szCs w:val="20"/>
          <w:lang w:val="en-US"/>
        </w:rPr>
        <w:t xml:space="preserve"> been declared </w:t>
      </w:r>
      <w:r w:rsidR="00FB39C4" w:rsidRPr="00012C3F">
        <w:rPr>
          <w:sz w:val="20"/>
          <w:szCs w:val="20"/>
          <w:lang w:val="en-US"/>
        </w:rPr>
        <w:t xml:space="preserve">a </w:t>
      </w:r>
      <w:r w:rsidRPr="00012C3F">
        <w:rPr>
          <w:sz w:val="20"/>
          <w:szCs w:val="20"/>
          <w:lang w:val="en-US"/>
        </w:rPr>
        <w:t>victim of the violation of any of the rights recognized therein. Therefore, the Court considers that I.V. is the “i</w:t>
      </w:r>
      <w:r w:rsidR="00A710F6" w:rsidRPr="00012C3F">
        <w:rPr>
          <w:sz w:val="20"/>
          <w:szCs w:val="20"/>
          <w:lang w:val="en-US"/>
        </w:rPr>
        <w:t>njured party</w:t>
      </w:r>
      <w:r w:rsidR="008D0B77" w:rsidRPr="00012C3F">
        <w:rPr>
          <w:sz w:val="20"/>
          <w:szCs w:val="20"/>
          <w:lang w:val="en-US"/>
        </w:rPr>
        <w:t>”</w:t>
      </w:r>
      <w:r w:rsidRPr="00012C3F">
        <w:rPr>
          <w:sz w:val="20"/>
          <w:szCs w:val="20"/>
          <w:lang w:val="en-US"/>
        </w:rPr>
        <w:t xml:space="preserve"> and, in her capacity as a victim of the violations declared in this judgment, she will be considered the beneficiary of the reparations that the Court orders.</w:t>
      </w:r>
    </w:p>
    <w:p w14:paraId="0CF4B9A5" w14:textId="77777777" w:rsidR="008D0B77" w:rsidRPr="00012C3F" w:rsidRDefault="008D0B77" w:rsidP="0013307D">
      <w:pPr>
        <w:tabs>
          <w:tab w:val="left" w:pos="720"/>
          <w:tab w:val="left" w:pos="851"/>
          <w:tab w:val="num" w:pos="1427"/>
        </w:tabs>
        <w:spacing w:line="240" w:lineRule="auto"/>
        <w:rPr>
          <w:b/>
          <w:sz w:val="20"/>
          <w:szCs w:val="20"/>
          <w:lang w:val="en-US"/>
        </w:rPr>
      </w:pPr>
    </w:p>
    <w:p w14:paraId="2382B441" w14:textId="77777777" w:rsidR="008D0B77" w:rsidRPr="00012C3F" w:rsidRDefault="009867D6" w:rsidP="0013307D">
      <w:pPr>
        <w:keepNext/>
        <w:keepLines/>
        <w:tabs>
          <w:tab w:val="left" w:pos="720"/>
          <w:tab w:val="left" w:pos="1134"/>
        </w:tabs>
        <w:spacing w:line="240" w:lineRule="auto"/>
        <w:ind w:left="567" w:firstLine="1"/>
        <w:outlineLvl w:val="1"/>
        <w:rPr>
          <w:rFonts w:eastAsia="MS Mincho"/>
          <w:b/>
          <w:bCs/>
          <w:i/>
          <w:sz w:val="20"/>
          <w:szCs w:val="20"/>
          <w:lang w:val="en-US"/>
        </w:rPr>
      </w:pPr>
      <w:bookmarkStart w:id="194" w:name="_Toc461637446"/>
      <w:bookmarkStart w:id="195" w:name="_Toc462310922"/>
      <w:bookmarkStart w:id="196" w:name="_Toc27486889"/>
      <w:r w:rsidRPr="00012C3F">
        <w:rPr>
          <w:rFonts w:eastAsia="MS Mincho"/>
          <w:b/>
          <w:bCs/>
          <w:i/>
          <w:sz w:val="20"/>
          <w:szCs w:val="20"/>
          <w:lang w:val="en-US"/>
        </w:rPr>
        <w:t xml:space="preserve">B. </w:t>
      </w:r>
      <w:r w:rsidRPr="00012C3F">
        <w:rPr>
          <w:rFonts w:eastAsia="MS Mincho"/>
          <w:b/>
          <w:bCs/>
          <w:i/>
          <w:sz w:val="20"/>
          <w:szCs w:val="20"/>
          <w:lang w:val="en-US"/>
        </w:rPr>
        <w:tab/>
      </w:r>
      <w:r w:rsidR="00A710F6" w:rsidRPr="00012C3F">
        <w:rPr>
          <w:rFonts w:eastAsia="MS Mincho"/>
          <w:b/>
          <w:bCs/>
          <w:i/>
          <w:sz w:val="20"/>
          <w:szCs w:val="20"/>
          <w:lang w:val="en-US"/>
        </w:rPr>
        <w:t>Rehabilitation</w:t>
      </w:r>
      <w:bookmarkEnd w:id="194"/>
      <w:bookmarkEnd w:id="195"/>
      <w:bookmarkEnd w:id="196"/>
    </w:p>
    <w:p w14:paraId="6849ECC1" w14:textId="77777777" w:rsidR="008D0B77" w:rsidRPr="00012C3F" w:rsidRDefault="008D0B77" w:rsidP="0013307D">
      <w:pPr>
        <w:tabs>
          <w:tab w:val="left" w:pos="720"/>
          <w:tab w:val="left" w:pos="851"/>
          <w:tab w:val="num" w:pos="1427"/>
        </w:tabs>
        <w:spacing w:line="240" w:lineRule="auto"/>
        <w:rPr>
          <w:b/>
          <w:sz w:val="20"/>
          <w:szCs w:val="20"/>
          <w:lang w:val="en-US"/>
        </w:rPr>
      </w:pPr>
    </w:p>
    <w:p w14:paraId="770CA02F" w14:textId="77777777" w:rsidR="0013307D" w:rsidRPr="00012C3F" w:rsidRDefault="00BD056C" w:rsidP="0013307D">
      <w:pPr>
        <w:numPr>
          <w:ilvl w:val="0"/>
          <w:numId w:val="5"/>
        </w:numPr>
        <w:tabs>
          <w:tab w:val="left" w:pos="720"/>
          <w:tab w:val="num" w:pos="12305"/>
        </w:tabs>
        <w:spacing w:line="240" w:lineRule="auto"/>
        <w:ind w:left="0" w:firstLine="0"/>
        <w:rPr>
          <w:lang w:val="en-US"/>
        </w:rPr>
      </w:pPr>
      <w:r w:rsidRPr="00012C3F">
        <w:rPr>
          <w:sz w:val="20"/>
          <w:szCs w:val="20"/>
          <w:lang w:val="en-US"/>
        </w:rPr>
        <w:t xml:space="preserve">The </w:t>
      </w:r>
      <w:r w:rsidRPr="00012C3F">
        <w:rPr>
          <w:b/>
          <w:bCs/>
          <w:i/>
          <w:iCs/>
          <w:sz w:val="20"/>
          <w:szCs w:val="20"/>
          <w:lang w:val="en-US"/>
        </w:rPr>
        <w:t>Commission</w:t>
      </w:r>
      <w:r w:rsidR="008D74EE" w:rsidRPr="00012C3F">
        <w:rPr>
          <w:sz w:val="20"/>
          <w:szCs w:val="20"/>
          <w:lang w:val="en-US"/>
        </w:rPr>
        <w:t xml:space="preserve"> </w:t>
      </w:r>
      <w:r w:rsidR="0013307D" w:rsidRPr="00012C3F">
        <w:rPr>
          <w:sz w:val="20"/>
          <w:szCs w:val="20"/>
          <w:lang w:val="en-US"/>
        </w:rPr>
        <w:t>asked that the Court order the Stat</w:t>
      </w:r>
      <w:r w:rsidR="00501966" w:rsidRPr="00012C3F">
        <w:rPr>
          <w:sz w:val="20"/>
          <w:szCs w:val="20"/>
          <w:lang w:val="en-US"/>
        </w:rPr>
        <w:t>e</w:t>
      </w:r>
      <w:r w:rsidR="0013307D" w:rsidRPr="00012C3F">
        <w:rPr>
          <w:sz w:val="20"/>
          <w:szCs w:val="20"/>
          <w:lang w:val="en-US"/>
        </w:rPr>
        <w:t xml:space="preserve"> to provide I.V. with high-quality medical care, tailored to her individual needs and appropriate to treat her medical conditions. </w:t>
      </w:r>
    </w:p>
    <w:p w14:paraId="3A6A1B2B" w14:textId="77777777" w:rsidR="008D0B77" w:rsidRPr="00012C3F" w:rsidRDefault="008D0B77" w:rsidP="0013307D">
      <w:pPr>
        <w:tabs>
          <w:tab w:val="left" w:pos="720"/>
          <w:tab w:val="left" w:pos="1134"/>
        </w:tabs>
        <w:spacing w:line="240" w:lineRule="auto"/>
        <w:rPr>
          <w:sz w:val="20"/>
          <w:szCs w:val="20"/>
          <w:lang w:val="en-US"/>
        </w:rPr>
      </w:pPr>
    </w:p>
    <w:p w14:paraId="13A11046" w14:textId="77777777" w:rsidR="00501966" w:rsidRPr="00012C3F" w:rsidRDefault="00972ACF" w:rsidP="0013307D">
      <w:pPr>
        <w:numPr>
          <w:ilvl w:val="0"/>
          <w:numId w:val="5"/>
        </w:numPr>
        <w:tabs>
          <w:tab w:val="left" w:pos="720"/>
          <w:tab w:val="num" w:pos="12305"/>
        </w:tabs>
        <w:spacing w:line="240" w:lineRule="auto"/>
        <w:ind w:left="0" w:firstLine="0"/>
        <w:rPr>
          <w:lang w:val="en-US"/>
        </w:rPr>
      </w:pPr>
      <w:r w:rsidRPr="00012C3F">
        <w:rPr>
          <w:sz w:val="20"/>
          <w:szCs w:val="20"/>
          <w:lang w:val="en-US"/>
        </w:rPr>
        <w:t xml:space="preserve">The </w:t>
      </w:r>
      <w:r w:rsidRPr="00012C3F">
        <w:rPr>
          <w:b/>
          <w:bCs/>
          <w:i/>
          <w:iCs/>
          <w:sz w:val="20"/>
          <w:szCs w:val="20"/>
          <w:lang w:val="en-US"/>
        </w:rPr>
        <w:t>representative</w:t>
      </w:r>
      <w:r w:rsidR="008D0B77" w:rsidRPr="00012C3F">
        <w:rPr>
          <w:sz w:val="20"/>
          <w:szCs w:val="20"/>
          <w:lang w:val="en-US"/>
        </w:rPr>
        <w:t xml:space="preserve"> </w:t>
      </w:r>
      <w:r w:rsidR="00501966" w:rsidRPr="00012C3F">
        <w:rPr>
          <w:sz w:val="20"/>
          <w:szCs w:val="20"/>
          <w:lang w:val="en-US"/>
        </w:rPr>
        <w:t>asked</w:t>
      </w:r>
      <w:r w:rsidR="008D0B77" w:rsidRPr="00012C3F">
        <w:rPr>
          <w:sz w:val="20"/>
          <w:szCs w:val="20"/>
          <w:lang w:val="en-US"/>
        </w:rPr>
        <w:t xml:space="preserve"> </w:t>
      </w:r>
      <w:r w:rsidR="001254DE" w:rsidRPr="00012C3F">
        <w:rPr>
          <w:sz w:val="20"/>
          <w:szCs w:val="20"/>
          <w:lang w:val="en-US"/>
        </w:rPr>
        <w:t>the Court</w:t>
      </w:r>
      <w:r w:rsidR="008D0B77" w:rsidRPr="00012C3F">
        <w:rPr>
          <w:sz w:val="20"/>
          <w:szCs w:val="20"/>
          <w:lang w:val="en-US"/>
        </w:rPr>
        <w:t xml:space="preserve"> </w:t>
      </w:r>
      <w:r w:rsidR="00501966" w:rsidRPr="00012C3F">
        <w:rPr>
          <w:sz w:val="20"/>
          <w:szCs w:val="20"/>
          <w:lang w:val="en-US"/>
        </w:rPr>
        <w:t>to order the State, following a medical, psychological and psychiatric appraisal, to provide, free of charge, through its specialized health care institutions, and immediately, adequately and effectively, medical, psychological and/or psychiatric treatment</w:t>
      </w:r>
      <w:r w:rsidR="00FB39C4" w:rsidRPr="00012C3F">
        <w:rPr>
          <w:sz w:val="20"/>
          <w:szCs w:val="20"/>
          <w:lang w:val="en-US"/>
        </w:rPr>
        <w:t>,</w:t>
      </w:r>
      <w:r w:rsidR="00501966" w:rsidRPr="00012C3F">
        <w:rPr>
          <w:sz w:val="20"/>
          <w:szCs w:val="20"/>
          <w:lang w:val="en-US"/>
        </w:rPr>
        <w:t xml:space="preserve"> if I.V., N.V. and L.A. requested this, following their prior informed consent. The representative also asked that this assistance should include the supply, free of charge, of any medicines that they might require, taking into consideration medical conditions related to the facts of this case. In addition, she asked that the respective treatment be provided, insofar as possible, in the center nearest to their place of residence, for as long as necessary. Lastly, the representative asked that the treatment or therapy provided should be paid for by the State, respond to the needs of the victims, and result from mutual agreement between the State and the beneficiaries.</w:t>
      </w:r>
    </w:p>
    <w:p w14:paraId="24FA0421" w14:textId="77777777" w:rsidR="008D0B77" w:rsidRPr="00012C3F" w:rsidRDefault="008D0B77" w:rsidP="008D0B77">
      <w:pPr>
        <w:tabs>
          <w:tab w:val="left" w:pos="709"/>
          <w:tab w:val="left" w:pos="1134"/>
        </w:tabs>
        <w:spacing w:line="240" w:lineRule="auto"/>
        <w:rPr>
          <w:b/>
          <w:sz w:val="20"/>
          <w:szCs w:val="20"/>
          <w:lang w:val="en-US"/>
        </w:rPr>
      </w:pPr>
    </w:p>
    <w:p w14:paraId="267D3065" w14:textId="77777777" w:rsidR="00DD78C7" w:rsidRPr="00012C3F" w:rsidRDefault="00A84CA0" w:rsidP="008E380A">
      <w:pPr>
        <w:numPr>
          <w:ilvl w:val="0"/>
          <w:numId w:val="5"/>
        </w:numPr>
        <w:tabs>
          <w:tab w:val="left" w:pos="720"/>
          <w:tab w:val="num" w:pos="12305"/>
        </w:tabs>
        <w:spacing w:line="240" w:lineRule="auto"/>
        <w:ind w:left="0" w:firstLine="0"/>
        <w:rPr>
          <w:b/>
          <w:bCs/>
          <w:i/>
          <w:sz w:val="20"/>
          <w:szCs w:val="20"/>
          <w:lang w:val="en-US"/>
        </w:rPr>
      </w:pPr>
      <w:r w:rsidRPr="00012C3F">
        <w:rPr>
          <w:sz w:val="20"/>
          <w:szCs w:val="20"/>
          <w:lang w:val="en-US"/>
        </w:rPr>
        <w:lastRenderedPageBreak/>
        <w:t xml:space="preserve">The </w:t>
      </w:r>
      <w:r w:rsidRPr="00012C3F">
        <w:rPr>
          <w:b/>
          <w:bCs/>
          <w:i/>
          <w:iCs/>
          <w:sz w:val="20"/>
          <w:szCs w:val="20"/>
          <w:lang w:val="en-US"/>
        </w:rPr>
        <w:t>State</w:t>
      </w:r>
      <w:r w:rsidR="008D0B77" w:rsidRPr="00012C3F">
        <w:rPr>
          <w:sz w:val="20"/>
          <w:szCs w:val="20"/>
          <w:lang w:val="en-US"/>
        </w:rPr>
        <w:t xml:space="preserve"> not</w:t>
      </w:r>
      <w:r w:rsidR="00501966" w:rsidRPr="00012C3F">
        <w:rPr>
          <w:sz w:val="20"/>
          <w:szCs w:val="20"/>
          <w:lang w:val="en-US"/>
        </w:rPr>
        <w:t xml:space="preserve">ed with concern that </w:t>
      </w:r>
      <w:r w:rsidR="00972ACF" w:rsidRPr="00012C3F">
        <w:rPr>
          <w:sz w:val="20"/>
          <w:szCs w:val="20"/>
          <w:lang w:val="en-US"/>
        </w:rPr>
        <w:t>the representative</w:t>
      </w:r>
      <w:r w:rsidR="008D0B77" w:rsidRPr="00012C3F">
        <w:rPr>
          <w:sz w:val="20"/>
          <w:szCs w:val="20"/>
          <w:lang w:val="en-US"/>
        </w:rPr>
        <w:t xml:space="preserve"> </w:t>
      </w:r>
      <w:r w:rsidR="00501966" w:rsidRPr="00012C3F">
        <w:rPr>
          <w:sz w:val="20"/>
          <w:szCs w:val="20"/>
          <w:lang w:val="en-US"/>
        </w:rPr>
        <w:t xml:space="preserve">had requested comprehensive measures of reparation in favor of </w:t>
      </w:r>
      <w:r w:rsidR="000E1C11" w:rsidRPr="00012C3F">
        <w:rPr>
          <w:sz w:val="20"/>
          <w:szCs w:val="20"/>
          <w:lang w:val="en-US"/>
        </w:rPr>
        <w:t>I.V.</w:t>
      </w:r>
      <w:r w:rsidR="008D0B77" w:rsidRPr="00012C3F">
        <w:rPr>
          <w:sz w:val="20"/>
          <w:szCs w:val="20"/>
          <w:lang w:val="en-US"/>
        </w:rPr>
        <w:t xml:space="preserve">, </w:t>
      </w:r>
      <w:r w:rsidR="000E1C11" w:rsidRPr="00012C3F">
        <w:rPr>
          <w:sz w:val="20"/>
          <w:szCs w:val="20"/>
          <w:lang w:val="en-US"/>
        </w:rPr>
        <w:t>N.V.</w:t>
      </w:r>
      <w:r w:rsidR="005E5012" w:rsidRPr="00012C3F">
        <w:rPr>
          <w:sz w:val="20"/>
          <w:szCs w:val="20"/>
          <w:lang w:val="en-US"/>
        </w:rPr>
        <w:t xml:space="preserve"> and </w:t>
      </w:r>
      <w:r w:rsidR="008D0B77" w:rsidRPr="00012C3F">
        <w:rPr>
          <w:sz w:val="20"/>
          <w:szCs w:val="20"/>
          <w:lang w:val="en-US"/>
        </w:rPr>
        <w:t xml:space="preserve">L.A., </w:t>
      </w:r>
      <w:r w:rsidR="00501966" w:rsidRPr="00012C3F">
        <w:rPr>
          <w:sz w:val="20"/>
          <w:szCs w:val="20"/>
          <w:lang w:val="en-US"/>
        </w:rPr>
        <w:t>without considering that</w:t>
      </w:r>
      <w:r w:rsidR="008D0B77" w:rsidRPr="00012C3F">
        <w:rPr>
          <w:sz w:val="20"/>
          <w:szCs w:val="20"/>
          <w:lang w:val="en-US"/>
        </w:rPr>
        <w:t xml:space="preserve"> </w:t>
      </w:r>
      <w:r w:rsidR="006D754E" w:rsidRPr="00012C3F">
        <w:rPr>
          <w:sz w:val="20"/>
          <w:szCs w:val="20"/>
          <w:lang w:val="en-US"/>
        </w:rPr>
        <w:t>“</w:t>
      </w:r>
      <w:r w:rsidR="008D0B77" w:rsidRPr="00012C3F">
        <w:rPr>
          <w:sz w:val="20"/>
          <w:szCs w:val="20"/>
          <w:lang w:val="en-US"/>
        </w:rPr>
        <w:t>[</w:t>
      </w:r>
      <w:r w:rsidR="00DD78C7" w:rsidRPr="00012C3F">
        <w:rPr>
          <w:sz w:val="20"/>
          <w:szCs w:val="20"/>
          <w:lang w:val="en-US"/>
        </w:rPr>
        <w:t>t</w:t>
      </w:r>
      <w:r w:rsidR="008D0B77" w:rsidRPr="00012C3F">
        <w:rPr>
          <w:sz w:val="20"/>
          <w:szCs w:val="20"/>
          <w:lang w:val="en-US"/>
        </w:rPr>
        <w:t>]</w:t>
      </w:r>
      <w:r w:rsidR="00DD78C7" w:rsidRPr="00012C3F">
        <w:rPr>
          <w:sz w:val="20"/>
          <w:szCs w:val="20"/>
          <w:lang w:val="en-US"/>
        </w:rPr>
        <w:t xml:space="preserve">he aftereffects that I.V. is alleging today, are the result, as she herself has acknowledged, of the acts of torture to which she </w:t>
      </w:r>
      <w:r w:rsidR="00FB39C4" w:rsidRPr="00012C3F">
        <w:rPr>
          <w:sz w:val="20"/>
          <w:szCs w:val="20"/>
          <w:lang w:val="en-US"/>
        </w:rPr>
        <w:t>was</w:t>
      </w:r>
      <w:r w:rsidR="00DD78C7" w:rsidRPr="00012C3F">
        <w:rPr>
          <w:sz w:val="20"/>
          <w:szCs w:val="20"/>
          <w:lang w:val="en-US"/>
        </w:rPr>
        <w:t xml:space="preserve"> subjected in Peru and, therefore, do not correspond to the surgical procedure that is the subject of these proceedings” and that “[a]ny problems that N.V. and L.A. may display cannot be considered a result of a State intervention; [but rather] a consequence of their way of life owing to I.V.’s psychological traumas, resulting from the alleged torture suffered in Peru.” In this regard, the State argued that “since consent is a categorical requirement for the absence of international responsibility, [it] considers the request for comprehensive reparation for I.V., N.V. and L.A. to be totally inadmissible.” The State asked the Court to “take into account that I.V. never requested a reversal of the tubal ligation and this, at the very least, </w:t>
      </w:r>
      <w:r w:rsidR="008E380A" w:rsidRPr="00012C3F">
        <w:rPr>
          <w:sz w:val="20"/>
          <w:szCs w:val="20"/>
          <w:lang w:val="en-US"/>
        </w:rPr>
        <w:t>calls into question the presumed victim’s statements on the serious harm done to her life project.”</w:t>
      </w:r>
    </w:p>
    <w:p w14:paraId="2BB65455" w14:textId="77777777" w:rsidR="008D0B77" w:rsidRPr="00012C3F" w:rsidRDefault="008D0B77" w:rsidP="008D0B77">
      <w:pPr>
        <w:pStyle w:val="Prrafodelista2"/>
        <w:tabs>
          <w:tab w:val="left" w:pos="0"/>
          <w:tab w:val="num" w:pos="12305"/>
        </w:tabs>
        <w:ind w:right="-90"/>
        <w:jc w:val="both"/>
        <w:rPr>
          <w:b/>
          <w:lang w:val="en-US"/>
        </w:rPr>
      </w:pPr>
    </w:p>
    <w:p w14:paraId="0CCDF8DB" w14:textId="77777777" w:rsidR="00084D24" w:rsidRPr="00012C3F" w:rsidRDefault="008D0B77" w:rsidP="008E380A">
      <w:pPr>
        <w:numPr>
          <w:ilvl w:val="0"/>
          <w:numId w:val="5"/>
        </w:numPr>
        <w:tabs>
          <w:tab w:val="left" w:pos="720"/>
          <w:tab w:val="num" w:pos="12305"/>
        </w:tabs>
        <w:spacing w:line="240" w:lineRule="auto"/>
        <w:ind w:left="0" w:firstLine="0"/>
        <w:rPr>
          <w:bCs/>
          <w:i/>
          <w:sz w:val="20"/>
          <w:szCs w:val="20"/>
          <w:lang w:val="en-US"/>
        </w:rPr>
      </w:pPr>
      <w:r w:rsidRPr="00012C3F">
        <w:rPr>
          <w:sz w:val="20"/>
          <w:szCs w:val="20"/>
          <w:lang w:val="en-US"/>
        </w:rPr>
        <w:t>Ha</w:t>
      </w:r>
      <w:r w:rsidR="008E380A" w:rsidRPr="00012C3F">
        <w:rPr>
          <w:sz w:val="20"/>
          <w:szCs w:val="20"/>
          <w:lang w:val="en-US"/>
        </w:rPr>
        <w:t xml:space="preserve">ving verified the serious harm to her </w:t>
      </w:r>
      <w:r w:rsidR="006C705C" w:rsidRPr="00012C3F">
        <w:rPr>
          <w:sz w:val="20"/>
          <w:szCs w:val="20"/>
          <w:lang w:val="en-US"/>
        </w:rPr>
        <w:t>personal integrity</w:t>
      </w:r>
      <w:r w:rsidRPr="00012C3F">
        <w:rPr>
          <w:sz w:val="20"/>
          <w:szCs w:val="20"/>
          <w:lang w:val="en-US"/>
        </w:rPr>
        <w:t xml:space="preserve"> suf</w:t>
      </w:r>
      <w:r w:rsidR="008E380A" w:rsidRPr="00012C3F">
        <w:rPr>
          <w:sz w:val="20"/>
          <w:szCs w:val="20"/>
          <w:lang w:val="en-US"/>
        </w:rPr>
        <w:t>fered by I.V. as a result of the facts of this case</w:t>
      </w:r>
      <w:r w:rsidRPr="00012C3F">
        <w:rPr>
          <w:sz w:val="20"/>
          <w:szCs w:val="20"/>
          <w:lang w:val="en-US"/>
        </w:rPr>
        <w:t xml:space="preserve"> (</w:t>
      </w:r>
      <w:r w:rsidRPr="00012C3F">
        <w:rPr>
          <w:i/>
          <w:sz w:val="20"/>
          <w:szCs w:val="20"/>
          <w:lang w:val="en-US"/>
        </w:rPr>
        <w:t>supra</w:t>
      </w:r>
      <w:r w:rsidRPr="00012C3F">
        <w:rPr>
          <w:sz w:val="20"/>
          <w:szCs w:val="20"/>
          <w:lang w:val="en-US"/>
        </w:rPr>
        <w:t xml:space="preserve"> </w:t>
      </w:r>
      <w:r w:rsidR="00F07712" w:rsidRPr="00012C3F">
        <w:rPr>
          <w:sz w:val="20"/>
          <w:szCs w:val="20"/>
          <w:lang w:val="en-US"/>
        </w:rPr>
        <w:t>Chapter</w:t>
      </w:r>
      <w:r w:rsidRPr="00012C3F">
        <w:rPr>
          <w:sz w:val="20"/>
          <w:szCs w:val="20"/>
          <w:lang w:val="en-US"/>
        </w:rPr>
        <w:t xml:space="preserve"> VIII-2), </w:t>
      </w:r>
      <w:r w:rsidR="001254DE" w:rsidRPr="00012C3F">
        <w:rPr>
          <w:sz w:val="20"/>
          <w:szCs w:val="20"/>
          <w:lang w:val="en-US"/>
        </w:rPr>
        <w:t>the Court</w:t>
      </w:r>
      <w:r w:rsidRPr="00012C3F">
        <w:rPr>
          <w:sz w:val="20"/>
          <w:szCs w:val="20"/>
          <w:lang w:val="en-US"/>
        </w:rPr>
        <w:t xml:space="preserve"> </w:t>
      </w:r>
      <w:r w:rsidR="008E380A" w:rsidRPr="00012C3F">
        <w:rPr>
          <w:sz w:val="20"/>
          <w:szCs w:val="20"/>
          <w:lang w:val="en-US"/>
        </w:rPr>
        <w:t>finds, as it has in other cases,</w:t>
      </w:r>
      <w:r w:rsidRPr="00012C3F">
        <w:rPr>
          <w:sz w:val="20"/>
          <w:szCs w:val="20"/>
          <w:vertAlign w:val="superscript"/>
          <w:lang w:val="en-US"/>
        </w:rPr>
        <w:footnoteReference w:id="403"/>
      </w:r>
      <w:r w:rsidR="008E380A" w:rsidRPr="00012C3F">
        <w:rPr>
          <w:sz w:val="20"/>
          <w:szCs w:val="20"/>
          <w:lang w:val="en-US"/>
        </w:rPr>
        <w:t xml:space="preserve"> that it is necessary to establish a measure of reparation that provide adequate care for the victim’s physical and psychological ailments, according to her gender specificity</w:t>
      </w:r>
      <w:r w:rsidRPr="00012C3F">
        <w:rPr>
          <w:rStyle w:val="Refdenotaalpie"/>
          <w:rFonts w:eastAsia="MS ????"/>
          <w:sz w:val="20"/>
          <w:szCs w:val="20"/>
          <w:lang w:val="en-US"/>
        </w:rPr>
        <w:footnoteReference w:id="404"/>
      </w:r>
      <w:r w:rsidR="005E5012" w:rsidRPr="00012C3F">
        <w:rPr>
          <w:sz w:val="20"/>
          <w:szCs w:val="20"/>
          <w:lang w:val="en-US"/>
        </w:rPr>
        <w:t xml:space="preserve"> and </w:t>
      </w:r>
      <w:r w:rsidR="008E380A" w:rsidRPr="00012C3F">
        <w:rPr>
          <w:sz w:val="20"/>
          <w:szCs w:val="20"/>
          <w:lang w:val="en-US"/>
        </w:rPr>
        <w:t>history. To contribute to redressing this harm, the Court establishes the obligation of the State to provide</w:t>
      </w:r>
      <w:r w:rsidR="00E91557" w:rsidRPr="00012C3F">
        <w:rPr>
          <w:sz w:val="20"/>
          <w:szCs w:val="20"/>
          <w:lang w:val="en-US"/>
        </w:rPr>
        <w:t xml:space="preserve"> medical care to I.V.</w:t>
      </w:r>
      <w:r w:rsidR="008E380A" w:rsidRPr="00012C3F">
        <w:rPr>
          <w:sz w:val="20"/>
          <w:szCs w:val="20"/>
          <w:lang w:val="en-US"/>
        </w:rPr>
        <w:t xml:space="preserve">, free of charge, through </w:t>
      </w:r>
      <w:r w:rsidR="009D3EE9" w:rsidRPr="00012C3F">
        <w:rPr>
          <w:sz w:val="20"/>
          <w:szCs w:val="20"/>
          <w:lang w:val="en-US"/>
        </w:rPr>
        <w:t>its</w:t>
      </w:r>
      <w:r w:rsidR="008E380A" w:rsidRPr="00012C3F">
        <w:rPr>
          <w:sz w:val="20"/>
          <w:szCs w:val="20"/>
          <w:lang w:val="en-US"/>
        </w:rPr>
        <w:t xml:space="preserve"> specialized health institutions and immediately, adequately and effectively, specifically in the area of sexual and reproductive health, as well as psychological and/or psychiatric treatment, including the free supply of any medicines she might eventually require, taking into account her </w:t>
      </w:r>
      <w:r w:rsidR="00E91557" w:rsidRPr="00012C3F">
        <w:rPr>
          <w:sz w:val="20"/>
          <w:szCs w:val="20"/>
          <w:lang w:val="en-US"/>
        </w:rPr>
        <w:t>condition</w:t>
      </w:r>
      <w:r w:rsidR="008E380A" w:rsidRPr="00012C3F">
        <w:rPr>
          <w:sz w:val="20"/>
          <w:szCs w:val="20"/>
          <w:lang w:val="en-US"/>
        </w:rPr>
        <w:t xml:space="preserve">s. This signifies that I.V. must receive differentiated treatment </w:t>
      </w:r>
      <w:r w:rsidR="00E91557" w:rsidRPr="00012C3F">
        <w:rPr>
          <w:sz w:val="20"/>
          <w:szCs w:val="20"/>
          <w:lang w:val="en-US"/>
        </w:rPr>
        <w:t>in relation to</w:t>
      </w:r>
      <w:r w:rsidR="008E380A" w:rsidRPr="00012C3F">
        <w:rPr>
          <w:sz w:val="20"/>
          <w:szCs w:val="20"/>
          <w:lang w:val="en-US"/>
        </w:rPr>
        <w:t xml:space="preserve"> the process and procedure required to be attended in public hospitals. Also, the respective treatments must be provided, insofar as possible, in the centers nearest to her place of residence in Bolivia, for as long as necessary. In particular, the psychological treatment should be provided by State personnel and institutions specialized in attending to victims of facts such as those that occurred in this case related to the victim’s</w:t>
      </w:r>
      <w:r w:rsidR="008E380A" w:rsidRPr="00012C3F">
        <w:rPr>
          <w:bCs/>
          <w:i/>
          <w:sz w:val="20"/>
          <w:szCs w:val="20"/>
          <w:lang w:val="en-US"/>
        </w:rPr>
        <w:t xml:space="preserve"> </w:t>
      </w:r>
      <w:r w:rsidR="00A54991" w:rsidRPr="00012C3F">
        <w:rPr>
          <w:sz w:val="20"/>
          <w:szCs w:val="20"/>
          <w:lang w:val="en-US"/>
        </w:rPr>
        <w:t>sexual and reproductive health</w:t>
      </w:r>
      <w:r w:rsidR="008E380A" w:rsidRPr="00012C3F">
        <w:rPr>
          <w:sz w:val="20"/>
          <w:szCs w:val="20"/>
          <w:lang w:val="en-US"/>
        </w:rPr>
        <w:t>.</w:t>
      </w:r>
      <w:r w:rsidRPr="00012C3F">
        <w:rPr>
          <w:rStyle w:val="Refdenotaalpie"/>
          <w:rFonts w:eastAsia="MS ????"/>
          <w:sz w:val="20"/>
          <w:szCs w:val="20"/>
          <w:lang w:val="en-US"/>
        </w:rPr>
        <w:footnoteReference w:id="405"/>
      </w:r>
      <w:r w:rsidR="008E380A" w:rsidRPr="00012C3F">
        <w:rPr>
          <w:sz w:val="20"/>
          <w:szCs w:val="20"/>
          <w:lang w:val="en-US"/>
        </w:rPr>
        <w:t xml:space="preserve"> When providing the psychological and/or psychiatric treatment,</w:t>
      </w:r>
      <w:r w:rsidR="00084D24" w:rsidRPr="00012C3F">
        <w:rPr>
          <w:sz w:val="20"/>
          <w:szCs w:val="20"/>
          <w:lang w:val="en-US"/>
        </w:rPr>
        <w:t xml:space="preserve"> the particular circumstances and needs of the victim must be considered, so that she is provide with family and individual treatment, as agreed with her and following an individual evaluation. In this regard, and based on I.V.’s condition, an evaluation should be made of whether to include the members of her family in the treatment. I.V. has six month from </w:t>
      </w:r>
      <w:r w:rsidR="000F735E" w:rsidRPr="00012C3F">
        <w:rPr>
          <w:sz w:val="20"/>
          <w:szCs w:val="20"/>
          <w:lang w:val="en-US"/>
        </w:rPr>
        <w:t>notification of this judgment</w:t>
      </w:r>
      <w:r w:rsidR="00084D24" w:rsidRPr="00012C3F">
        <w:rPr>
          <w:sz w:val="20"/>
          <w:szCs w:val="20"/>
          <w:lang w:val="en-US"/>
        </w:rPr>
        <w:t xml:space="preserve"> to advise the State of her intention to receive psychological and/or psychiatric treatment, and the State shall have two months from the date it receives this request to provide the psychological and/or psychiatric treatment requested.</w:t>
      </w:r>
    </w:p>
    <w:p w14:paraId="54D090F8" w14:textId="77777777" w:rsidR="008D0B77" w:rsidRPr="00012C3F" w:rsidRDefault="008D0B77" w:rsidP="008D0B77">
      <w:pPr>
        <w:pStyle w:val="Prrafodelista2"/>
        <w:tabs>
          <w:tab w:val="left" w:pos="0"/>
          <w:tab w:val="num" w:pos="12305"/>
        </w:tabs>
        <w:ind w:left="0" w:right="-90"/>
        <w:jc w:val="both"/>
        <w:rPr>
          <w:rFonts w:cs="Verdana"/>
          <w:lang w:val="en-US"/>
        </w:rPr>
      </w:pPr>
    </w:p>
    <w:p w14:paraId="605668C3" w14:textId="77777777" w:rsidR="008D0B77" w:rsidRPr="00012C3F" w:rsidRDefault="009867D6" w:rsidP="009867D6">
      <w:pPr>
        <w:keepNext/>
        <w:keepLines/>
        <w:tabs>
          <w:tab w:val="left" w:pos="1134"/>
        </w:tabs>
        <w:spacing w:line="240" w:lineRule="auto"/>
        <w:ind w:left="567" w:firstLine="1"/>
        <w:outlineLvl w:val="1"/>
        <w:rPr>
          <w:rFonts w:eastAsia="MS Mincho"/>
          <w:b/>
          <w:bCs/>
          <w:i/>
          <w:sz w:val="20"/>
          <w:szCs w:val="20"/>
          <w:lang w:val="en-US"/>
        </w:rPr>
      </w:pPr>
      <w:bookmarkStart w:id="197" w:name="_Toc461637448"/>
      <w:bookmarkStart w:id="198" w:name="_Toc462310924"/>
      <w:bookmarkStart w:id="199" w:name="_Toc27486890"/>
      <w:r w:rsidRPr="00012C3F">
        <w:rPr>
          <w:rFonts w:eastAsia="MS Mincho"/>
          <w:b/>
          <w:bCs/>
          <w:i/>
          <w:sz w:val="20"/>
          <w:szCs w:val="20"/>
          <w:lang w:val="en-US"/>
        </w:rPr>
        <w:t>C.</w:t>
      </w:r>
      <w:r w:rsidRPr="00012C3F">
        <w:rPr>
          <w:rFonts w:eastAsia="MS Mincho"/>
          <w:b/>
          <w:bCs/>
          <w:i/>
          <w:sz w:val="20"/>
          <w:szCs w:val="20"/>
          <w:lang w:val="en-US"/>
        </w:rPr>
        <w:tab/>
      </w:r>
      <w:r w:rsidR="00A710F6" w:rsidRPr="00012C3F">
        <w:rPr>
          <w:rFonts w:eastAsia="MS Mincho"/>
          <w:b/>
          <w:bCs/>
          <w:i/>
          <w:sz w:val="20"/>
          <w:szCs w:val="20"/>
          <w:lang w:val="en-US"/>
        </w:rPr>
        <w:t>Satisfaction</w:t>
      </w:r>
      <w:bookmarkEnd w:id="197"/>
      <w:bookmarkEnd w:id="198"/>
      <w:bookmarkEnd w:id="199"/>
    </w:p>
    <w:p w14:paraId="6DFDE58A" w14:textId="77777777" w:rsidR="008D0B77" w:rsidRPr="00012C3F" w:rsidRDefault="008D0B77" w:rsidP="008F2376">
      <w:pPr>
        <w:pStyle w:val="Prrafodelista2"/>
        <w:tabs>
          <w:tab w:val="left" w:pos="0"/>
          <w:tab w:val="num" w:pos="12305"/>
        </w:tabs>
        <w:ind w:left="0" w:right="-90"/>
        <w:jc w:val="both"/>
        <w:rPr>
          <w:rFonts w:cs="Verdana"/>
          <w:b/>
          <w:bCs/>
          <w:i/>
          <w:iCs/>
          <w:lang w:val="en-US"/>
        </w:rPr>
      </w:pPr>
    </w:p>
    <w:p w14:paraId="405BE421" w14:textId="77777777" w:rsidR="008D0B77" w:rsidRPr="00012C3F" w:rsidRDefault="00972ACF" w:rsidP="00583DC0">
      <w:pPr>
        <w:numPr>
          <w:ilvl w:val="0"/>
          <w:numId w:val="5"/>
        </w:numPr>
        <w:tabs>
          <w:tab w:val="left" w:pos="0"/>
          <w:tab w:val="left" w:pos="720"/>
          <w:tab w:val="num" w:pos="12305"/>
        </w:tabs>
        <w:spacing w:line="240" w:lineRule="auto"/>
        <w:ind w:left="0" w:right="-90" w:firstLine="0"/>
        <w:rPr>
          <w:b/>
          <w:lang w:val="en-US"/>
        </w:rPr>
      </w:pPr>
      <w:r w:rsidRPr="00012C3F">
        <w:rPr>
          <w:sz w:val="20"/>
          <w:szCs w:val="20"/>
          <w:lang w:val="en-US"/>
        </w:rPr>
        <w:t xml:space="preserve">The </w:t>
      </w:r>
      <w:r w:rsidRPr="00012C3F">
        <w:rPr>
          <w:b/>
          <w:bCs/>
          <w:i/>
          <w:iCs/>
          <w:sz w:val="20"/>
          <w:szCs w:val="20"/>
          <w:lang w:val="en-US"/>
        </w:rPr>
        <w:t>representative</w:t>
      </w:r>
      <w:r w:rsidR="008D0B77" w:rsidRPr="00012C3F">
        <w:rPr>
          <w:b/>
          <w:sz w:val="20"/>
          <w:szCs w:val="20"/>
          <w:lang w:val="en-US"/>
        </w:rPr>
        <w:t xml:space="preserve"> </w:t>
      </w:r>
      <w:r w:rsidR="006500A3" w:rsidRPr="00012C3F">
        <w:rPr>
          <w:sz w:val="20"/>
          <w:szCs w:val="20"/>
          <w:lang w:val="en-US"/>
        </w:rPr>
        <w:t>asked</w:t>
      </w:r>
      <w:r w:rsidR="008D0B77" w:rsidRPr="00012C3F">
        <w:rPr>
          <w:sz w:val="20"/>
          <w:szCs w:val="20"/>
          <w:lang w:val="en-US"/>
        </w:rPr>
        <w:t xml:space="preserve"> </w:t>
      </w:r>
      <w:r w:rsidR="001254DE" w:rsidRPr="00012C3F">
        <w:rPr>
          <w:sz w:val="20"/>
          <w:szCs w:val="20"/>
          <w:lang w:val="en-US"/>
        </w:rPr>
        <w:t>the Court</w:t>
      </w:r>
      <w:r w:rsidR="008D0B77" w:rsidRPr="00012C3F">
        <w:rPr>
          <w:sz w:val="20"/>
          <w:szCs w:val="20"/>
          <w:lang w:val="en-US"/>
        </w:rPr>
        <w:t xml:space="preserve"> </w:t>
      </w:r>
      <w:r w:rsidR="006500A3" w:rsidRPr="00012C3F">
        <w:rPr>
          <w:sz w:val="20"/>
          <w:szCs w:val="20"/>
          <w:lang w:val="en-US"/>
        </w:rPr>
        <w:t xml:space="preserve">to order the State to publish the judgment in one of </w:t>
      </w:r>
      <w:r w:rsidR="00E91557" w:rsidRPr="00012C3F">
        <w:rPr>
          <w:sz w:val="20"/>
          <w:szCs w:val="20"/>
          <w:lang w:val="en-US"/>
        </w:rPr>
        <w:t xml:space="preserve">the </w:t>
      </w:r>
      <w:r w:rsidR="006500A3" w:rsidRPr="00012C3F">
        <w:rPr>
          <w:sz w:val="20"/>
          <w:szCs w:val="20"/>
          <w:lang w:val="en-US"/>
        </w:rPr>
        <w:t xml:space="preserve">two La Paz newspapers with the most widespread circulation throughout out the country </w:t>
      </w:r>
      <w:r w:rsidR="008D0B77" w:rsidRPr="00012C3F">
        <w:rPr>
          <w:sz w:val="20"/>
          <w:szCs w:val="20"/>
          <w:lang w:val="en-US"/>
        </w:rPr>
        <w:t>(“</w:t>
      </w:r>
      <w:r w:rsidR="008D0B77" w:rsidRPr="00012C3F">
        <w:rPr>
          <w:i/>
          <w:iCs/>
          <w:sz w:val="20"/>
          <w:szCs w:val="20"/>
          <w:lang w:val="en-US"/>
        </w:rPr>
        <w:t xml:space="preserve">La </w:t>
      </w:r>
      <w:r w:rsidR="00D8020C" w:rsidRPr="00012C3F">
        <w:rPr>
          <w:i/>
          <w:iCs/>
          <w:sz w:val="20"/>
          <w:szCs w:val="20"/>
          <w:lang w:val="en-US"/>
        </w:rPr>
        <w:t>R</w:t>
      </w:r>
      <w:r w:rsidR="008D0B77" w:rsidRPr="00012C3F">
        <w:rPr>
          <w:i/>
          <w:iCs/>
          <w:sz w:val="20"/>
          <w:szCs w:val="20"/>
          <w:lang w:val="en-US"/>
        </w:rPr>
        <w:t>azón”</w:t>
      </w:r>
      <w:r w:rsidR="005E5012" w:rsidRPr="00012C3F">
        <w:rPr>
          <w:i/>
          <w:iCs/>
          <w:sz w:val="20"/>
          <w:szCs w:val="20"/>
          <w:lang w:val="en-US"/>
        </w:rPr>
        <w:t xml:space="preserve"> </w:t>
      </w:r>
      <w:r w:rsidR="005E5012" w:rsidRPr="00012C3F">
        <w:rPr>
          <w:sz w:val="20"/>
          <w:szCs w:val="20"/>
          <w:lang w:val="en-US"/>
        </w:rPr>
        <w:t xml:space="preserve">and </w:t>
      </w:r>
      <w:r w:rsidR="008D0B77" w:rsidRPr="00012C3F">
        <w:rPr>
          <w:sz w:val="20"/>
          <w:szCs w:val="20"/>
          <w:lang w:val="en-US"/>
        </w:rPr>
        <w:t>“</w:t>
      </w:r>
      <w:r w:rsidR="008D0B77" w:rsidRPr="00012C3F">
        <w:rPr>
          <w:i/>
          <w:iCs/>
          <w:sz w:val="20"/>
          <w:szCs w:val="20"/>
          <w:lang w:val="en-US"/>
        </w:rPr>
        <w:t>Página Siete</w:t>
      </w:r>
      <w:r w:rsidR="008D0B77" w:rsidRPr="00012C3F">
        <w:rPr>
          <w:sz w:val="20"/>
          <w:szCs w:val="20"/>
          <w:lang w:val="en-US"/>
        </w:rPr>
        <w:t xml:space="preserve">”); </w:t>
      </w:r>
      <w:r w:rsidR="006500A3" w:rsidRPr="00012C3F">
        <w:rPr>
          <w:sz w:val="20"/>
          <w:szCs w:val="20"/>
          <w:lang w:val="en-US"/>
        </w:rPr>
        <w:t xml:space="preserve">in the Government’s official newspaper </w:t>
      </w:r>
      <w:r w:rsidR="008D0B77" w:rsidRPr="00012C3F">
        <w:rPr>
          <w:sz w:val="20"/>
          <w:szCs w:val="20"/>
          <w:lang w:val="en-US"/>
        </w:rPr>
        <w:t>(“</w:t>
      </w:r>
      <w:r w:rsidR="008D0B77" w:rsidRPr="00012C3F">
        <w:rPr>
          <w:i/>
          <w:iCs/>
          <w:sz w:val="20"/>
          <w:szCs w:val="20"/>
          <w:lang w:val="en-US"/>
        </w:rPr>
        <w:t>Cambio</w:t>
      </w:r>
      <w:r w:rsidR="008D0B77" w:rsidRPr="00012C3F">
        <w:rPr>
          <w:sz w:val="20"/>
          <w:szCs w:val="20"/>
          <w:lang w:val="en-US"/>
        </w:rPr>
        <w:t>”),</w:t>
      </w:r>
      <w:r w:rsidR="005E5012" w:rsidRPr="00012C3F">
        <w:rPr>
          <w:sz w:val="20"/>
          <w:szCs w:val="20"/>
          <w:lang w:val="en-US"/>
        </w:rPr>
        <w:t xml:space="preserve"> and</w:t>
      </w:r>
      <w:r w:rsidR="006500A3" w:rsidRPr="00012C3F">
        <w:rPr>
          <w:sz w:val="20"/>
          <w:szCs w:val="20"/>
          <w:lang w:val="en-US"/>
        </w:rPr>
        <w:t xml:space="preserve"> in the Official Gazette. In addition, </w:t>
      </w:r>
      <w:r w:rsidRPr="00012C3F">
        <w:rPr>
          <w:sz w:val="20"/>
          <w:szCs w:val="20"/>
          <w:lang w:val="en-US"/>
        </w:rPr>
        <w:t>the representative</w:t>
      </w:r>
      <w:r w:rsidR="008D0B77" w:rsidRPr="00012C3F">
        <w:rPr>
          <w:sz w:val="20"/>
          <w:szCs w:val="20"/>
          <w:lang w:val="en-US"/>
        </w:rPr>
        <w:t xml:space="preserve"> requ</w:t>
      </w:r>
      <w:r w:rsidR="006500A3" w:rsidRPr="00012C3F">
        <w:rPr>
          <w:sz w:val="20"/>
          <w:szCs w:val="20"/>
          <w:lang w:val="en-US"/>
        </w:rPr>
        <w:t>ested that the State organize an act to offer a public apology to I.V. for the violations suffered</w:t>
      </w:r>
      <w:r w:rsidR="008D0B77" w:rsidRPr="00012C3F">
        <w:rPr>
          <w:sz w:val="20"/>
          <w:szCs w:val="20"/>
          <w:lang w:val="en-US"/>
        </w:rPr>
        <w:t xml:space="preserve"> </w:t>
      </w:r>
      <w:r w:rsidR="006C705C" w:rsidRPr="00012C3F">
        <w:rPr>
          <w:sz w:val="20"/>
          <w:szCs w:val="20"/>
          <w:lang w:val="en-US"/>
        </w:rPr>
        <w:t>in relation to</w:t>
      </w:r>
      <w:r w:rsidR="008D0B77" w:rsidRPr="00012C3F">
        <w:rPr>
          <w:sz w:val="20"/>
          <w:szCs w:val="20"/>
          <w:lang w:val="en-US"/>
        </w:rPr>
        <w:t xml:space="preserve"> </w:t>
      </w:r>
      <w:r w:rsidR="00271E24" w:rsidRPr="00012C3F">
        <w:rPr>
          <w:sz w:val="20"/>
          <w:szCs w:val="20"/>
          <w:lang w:val="en-US"/>
        </w:rPr>
        <w:t>non-consensual sterilization</w:t>
      </w:r>
      <w:r w:rsidR="005E5012" w:rsidRPr="00012C3F">
        <w:rPr>
          <w:sz w:val="20"/>
          <w:szCs w:val="20"/>
          <w:lang w:val="en-US"/>
        </w:rPr>
        <w:t xml:space="preserve"> and </w:t>
      </w:r>
      <w:r w:rsidR="006500A3" w:rsidRPr="00012C3F">
        <w:rPr>
          <w:sz w:val="20"/>
          <w:szCs w:val="20"/>
          <w:lang w:val="en-US"/>
        </w:rPr>
        <w:t xml:space="preserve">the denial of justice. In this regard, </w:t>
      </w:r>
      <w:r w:rsidRPr="00012C3F">
        <w:rPr>
          <w:sz w:val="20"/>
          <w:szCs w:val="20"/>
          <w:lang w:val="en-US"/>
        </w:rPr>
        <w:t>the representative</w:t>
      </w:r>
      <w:r w:rsidR="008D0B77" w:rsidRPr="00012C3F">
        <w:rPr>
          <w:sz w:val="20"/>
          <w:szCs w:val="20"/>
          <w:lang w:val="en-US"/>
        </w:rPr>
        <w:t xml:space="preserve"> </w:t>
      </w:r>
      <w:r w:rsidR="006500A3" w:rsidRPr="00012C3F">
        <w:rPr>
          <w:sz w:val="20"/>
          <w:szCs w:val="20"/>
          <w:lang w:val="en-US"/>
        </w:rPr>
        <w:t xml:space="preserve">asked that the apology should be made by a senior State official, and that the act be organized and carried out in coordination with </w:t>
      </w:r>
      <w:r w:rsidR="000E1C11" w:rsidRPr="00012C3F">
        <w:rPr>
          <w:sz w:val="20"/>
          <w:szCs w:val="20"/>
          <w:lang w:val="en-US"/>
        </w:rPr>
        <w:t>I.V.</w:t>
      </w:r>
      <w:r w:rsidR="008D0B77" w:rsidRPr="00012C3F">
        <w:rPr>
          <w:lang w:val="en-US"/>
        </w:rPr>
        <w:t xml:space="preserve"> </w:t>
      </w:r>
      <w:r w:rsidR="006500A3" w:rsidRPr="00012C3F">
        <w:rPr>
          <w:sz w:val="20"/>
          <w:szCs w:val="20"/>
          <w:lang w:val="en-US"/>
        </w:rPr>
        <w:t xml:space="preserve">During the public </w:t>
      </w:r>
      <w:r w:rsidR="006500A3" w:rsidRPr="00012C3F">
        <w:rPr>
          <w:sz w:val="20"/>
          <w:szCs w:val="20"/>
          <w:lang w:val="en-US"/>
        </w:rPr>
        <w:lastRenderedPageBreak/>
        <w:t>hearing, t</w:t>
      </w:r>
      <w:r w:rsidR="00BD056C" w:rsidRPr="00012C3F">
        <w:rPr>
          <w:sz w:val="20"/>
          <w:szCs w:val="20"/>
          <w:lang w:val="en-US"/>
        </w:rPr>
        <w:t xml:space="preserve">he </w:t>
      </w:r>
      <w:r w:rsidR="00BD056C" w:rsidRPr="00012C3F">
        <w:rPr>
          <w:b/>
          <w:bCs/>
          <w:i/>
          <w:iCs/>
          <w:sz w:val="20"/>
          <w:szCs w:val="20"/>
          <w:lang w:val="en-US"/>
        </w:rPr>
        <w:t>Commission</w:t>
      </w:r>
      <w:r w:rsidR="008D0B77" w:rsidRPr="00012C3F">
        <w:rPr>
          <w:b/>
          <w:i/>
          <w:sz w:val="20"/>
          <w:szCs w:val="20"/>
          <w:lang w:val="en-US"/>
        </w:rPr>
        <w:t xml:space="preserve"> </w:t>
      </w:r>
      <w:r w:rsidR="006500A3" w:rsidRPr="00012C3F">
        <w:rPr>
          <w:sz w:val="20"/>
          <w:szCs w:val="20"/>
          <w:lang w:val="en-US"/>
        </w:rPr>
        <w:t>asked</w:t>
      </w:r>
      <w:r w:rsidR="008D0B77" w:rsidRPr="00012C3F">
        <w:rPr>
          <w:sz w:val="20"/>
          <w:szCs w:val="20"/>
          <w:lang w:val="en-US"/>
        </w:rPr>
        <w:t xml:space="preserve"> </w:t>
      </w:r>
      <w:r w:rsidR="001254DE" w:rsidRPr="00012C3F">
        <w:rPr>
          <w:sz w:val="20"/>
          <w:szCs w:val="20"/>
          <w:lang w:val="en-US"/>
        </w:rPr>
        <w:t>the Court</w:t>
      </w:r>
      <w:r w:rsidR="00AE192D" w:rsidRPr="00012C3F">
        <w:rPr>
          <w:sz w:val="20"/>
          <w:szCs w:val="20"/>
          <w:lang w:val="en-US"/>
        </w:rPr>
        <w:t xml:space="preserve"> </w:t>
      </w:r>
      <w:r w:rsidR="006500A3" w:rsidRPr="00012C3F">
        <w:rPr>
          <w:sz w:val="20"/>
          <w:szCs w:val="20"/>
          <w:lang w:val="en-US"/>
        </w:rPr>
        <w:t xml:space="preserve">to include </w:t>
      </w:r>
      <w:r w:rsidR="00210F0F" w:rsidRPr="00012C3F">
        <w:rPr>
          <w:sz w:val="20"/>
          <w:szCs w:val="20"/>
          <w:lang w:val="en-US"/>
        </w:rPr>
        <w:t xml:space="preserve">measures of satisfaction </w:t>
      </w:r>
      <w:r w:rsidR="006500A3" w:rsidRPr="00012C3F">
        <w:rPr>
          <w:sz w:val="20"/>
          <w:szCs w:val="20"/>
          <w:lang w:val="en-US"/>
        </w:rPr>
        <w:t>among the reparations in this case,</w:t>
      </w:r>
      <w:r w:rsidR="005E5012" w:rsidRPr="00012C3F">
        <w:rPr>
          <w:sz w:val="20"/>
          <w:szCs w:val="20"/>
          <w:lang w:val="en-US"/>
        </w:rPr>
        <w:t xml:space="preserve"> and </w:t>
      </w:r>
      <w:r w:rsidR="00A84CA0" w:rsidRPr="00012C3F">
        <w:rPr>
          <w:sz w:val="20"/>
          <w:szCs w:val="20"/>
          <w:lang w:val="en-US"/>
        </w:rPr>
        <w:t xml:space="preserve">the </w:t>
      </w:r>
      <w:r w:rsidR="00A84CA0" w:rsidRPr="00012C3F">
        <w:rPr>
          <w:b/>
          <w:bCs/>
          <w:i/>
          <w:iCs/>
          <w:sz w:val="20"/>
          <w:szCs w:val="20"/>
          <w:lang w:val="en-US"/>
        </w:rPr>
        <w:t>State</w:t>
      </w:r>
      <w:r w:rsidR="008D0B77" w:rsidRPr="00012C3F">
        <w:rPr>
          <w:sz w:val="20"/>
          <w:szCs w:val="20"/>
          <w:lang w:val="en-US"/>
        </w:rPr>
        <w:t xml:space="preserve"> </w:t>
      </w:r>
      <w:r w:rsidR="00210F0F" w:rsidRPr="00012C3F">
        <w:rPr>
          <w:sz w:val="20"/>
          <w:szCs w:val="20"/>
          <w:lang w:val="en-US"/>
        </w:rPr>
        <w:t>did not present any specific arguments on this point.</w:t>
      </w:r>
    </w:p>
    <w:p w14:paraId="204BAFB7" w14:textId="77777777" w:rsidR="00210F0F" w:rsidRPr="00012C3F" w:rsidRDefault="00210F0F" w:rsidP="00210F0F">
      <w:pPr>
        <w:tabs>
          <w:tab w:val="left" w:pos="0"/>
          <w:tab w:val="left" w:pos="720"/>
          <w:tab w:val="num" w:pos="12305"/>
        </w:tabs>
        <w:spacing w:line="240" w:lineRule="auto"/>
        <w:ind w:right="-90"/>
        <w:rPr>
          <w:b/>
          <w:lang w:val="en-US"/>
        </w:rPr>
      </w:pPr>
    </w:p>
    <w:p w14:paraId="12A0BE46" w14:textId="77777777" w:rsidR="008D0B77" w:rsidRPr="00012C3F" w:rsidRDefault="008D0B77" w:rsidP="00685AA1">
      <w:pPr>
        <w:pStyle w:val="Ttulo2"/>
        <w:tabs>
          <w:tab w:val="left" w:pos="1701"/>
        </w:tabs>
        <w:spacing w:before="0" w:line="240" w:lineRule="auto"/>
        <w:ind w:left="1134"/>
        <w:rPr>
          <w:rFonts w:ascii="Verdana" w:hAnsi="Verdana"/>
          <w:b w:val="0"/>
          <w:i/>
          <w:color w:val="auto"/>
          <w:sz w:val="20"/>
          <w:szCs w:val="20"/>
          <w:lang w:val="en-US"/>
        </w:rPr>
      </w:pPr>
      <w:bookmarkStart w:id="200" w:name="_Toc27486891"/>
      <w:r w:rsidRPr="00012C3F">
        <w:rPr>
          <w:rFonts w:ascii="Verdana" w:hAnsi="Verdana"/>
          <w:b w:val="0"/>
          <w:i/>
          <w:color w:val="auto"/>
          <w:sz w:val="20"/>
          <w:szCs w:val="20"/>
          <w:lang w:val="en-US"/>
        </w:rPr>
        <w:t xml:space="preserve">C.1 </w:t>
      </w:r>
      <w:r w:rsidR="00685AA1" w:rsidRPr="00012C3F">
        <w:rPr>
          <w:rFonts w:ascii="Verdana" w:hAnsi="Verdana"/>
          <w:b w:val="0"/>
          <w:i/>
          <w:color w:val="auto"/>
          <w:sz w:val="20"/>
          <w:szCs w:val="20"/>
          <w:lang w:val="en-US"/>
        </w:rPr>
        <w:tab/>
      </w:r>
      <w:r w:rsidR="00A710F6" w:rsidRPr="00012C3F">
        <w:rPr>
          <w:rFonts w:ascii="Verdana" w:hAnsi="Verdana"/>
          <w:b w:val="0"/>
          <w:i/>
          <w:color w:val="auto"/>
          <w:sz w:val="20"/>
          <w:szCs w:val="20"/>
          <w:lang w:val="en-US"/>
        </w:rPr>
        <w:t>Publications</w:t>
      </w:r>
      <w:bookmarkEnd w:id="200"/>
    </w:p>
    <w:p w14:paraId="3BB03F26" w14:textId="77777777" w:rsidR="008D0B77" w:rsidRPr="00012C3F" w:rsidRDefault="008D0B77" w:rsidP="008D0B77">
      <w:pPr>
        <w:tabs>
          <w:tab w:val="left" w:pos="720"/>
        </w:tabs>
        <w:spacing w:line="240" w:lineRule="auto"/>
        <w:ind w:left="360" w:right="-90"/>
        <w:rPr>
          <w:rFonts w:cs="Verdana"/>
          <w:sz w:val="20"/>
          <w:szCs w:val="20"/>
          <w:lang w:val="en-US"/>
        </w:rPr>
      </w:pPr>
    </w:p>
    <w:p w14:paraId="737365B9" w14:textId="77777777" w:rsidR="008D0B77" w:rsidRPr="00012C3F" w:rsidRDefault="001254DE" w:rsidP="00CA4D91">
      <w:pPr>
        <w:numPr>
          <w:ilvl w:val="0"/>
          <w:numId w:val="5"/>
        </w:numPr>
        <w:tabs>
          <w:tab w:val="left" w:pos="567"/>
          <w:tab w:val="num" w:pos="12305"/>
        </w:tabs>
        <w:spacing w:line="240" w:lineRule="auto"/>
        <w:ind w:left="0" w:firstLine="0"/>
        <w:rPr>
          <w:rFonts w:cs="Verdana"/>
          <w:sz w:val="20"/>
          <w:szCs w:val="20"/>
          <w:lang w:val="en-US"/>
        </w:rPr>
      </w:pPr>
      <w:r w:rsidRPr="00012C3F">
        <w:rPr>
          <w:rFonts w:cs="Verdana"/>
          <w:sz w:val="20"/>
          <w:szCs w:val="20"/>
          <w:lang w:val="en-US"/>
        </w:rPr>
        <w:t>The Court</w:t>
      </w:r>
      <w:r w:rsidR="008D0B77" w:rsidRPr="00012C3F">
        <w:rPr>
          <w:rFonts w:cs="Verdana"/>
          <w:sz w:val="20"/>
          <w:szCs w:val="20"/>
          <w:lang w:val="en-US"/>
        </w:rPr>
        <w:t xml:space="preserve"> </w:t>
      </w:r>
      <w:r w:rsidR="00210F0F" w:rsidRPr="00012C3F">
        <w:rPr>
          <w:rFonts w:cs="Verdana"/>
          <w:sz w:val="20"/>
          <w:szCs w:val="20"/>
          <w:lang w:val="en-US"/>
        </w:rPr>
        <w:t>finds, as it has in other cases,</w:t>
      </w:r>
      <w:r w:rsidR="008D0B77" w:rsidRPr="00012C3F">
        <w:rPr>
          <w:rStyle w:val="Refdenotaalpie"/>
          <w:rFonts w:eastAsia="MS ????" w:cs="Verdana"/>
          <w:sz w:val="20"/>
          <w:szCs w:val="20"/>
          <w:lang w:val="en-US"/>
        </w:rPr>
        <w:footnoteReference w:id="406"/>
      </w:r>
      <w:r w:rsidR="008D0B77" w:rsidRPr="00012C3F">
        <w:rPr>
          <w:rFonts w:cs="Verdana"/>
          <w:sz w:val="20"/>
          <w:szCs w:val="20"/>
          <w:lang w:val="en-US"/>
        </w:rPr>
        <w:t xml:space="preserve"> </w:t>
      </w:r>
      <w:r w:rsidR="00210F0F" w:rsidRPr="00012C3F">
        <w:rPr>
          <w:rFonts w:cs="Verdana"/>
          <w:sz w:val="20"/>
          <w:szCs w:val="20"/>
          <w:lang w:val="en-US"/>
        </w:rPr>
        <w:t>that</w:t>
      </w:r>
      <w:r w:rsidR="008D0B77" w:rsidRPr="00012C3F">
        <w:rPr>
          <w:rFonts w:cs="Verdana"/>
          <w:sz w:val="20"/>
          <w:szCs w:val="20"/>
          <w:lang w:val="en-US"/>
        </w:rPr>
        <w:t xml:space="preserve"> </w:t>
      </w:r>
      <w:r w:rsidR="00A84CA0" w:rsidRPr="00012C3F">
        <w:rPr>
          <w:rFonts w:cs="Verdana"/>
          <w:sz w:val="20"/>
          <w:szCs w:val="20"/>
          <w:lang w:val="en-US"/>
        </w:rPr>
        <w:t>the State</w:t>
      </w:r>
      <w:r w:rsidR="008D0B77" w:rsidRPr="00012C3F">
        <w:rPr>
          <w:rFonts w:cs="Verdana"/>
          <w:sz w:val="20"/>
          <w:szCs w:val="20"/>
          <w:lang w:val="en-US"/>
        </w:rPr>
        <w:t xml:space="preserve"> </w:t>
      </w:r>
      <w:r w:rsidR="00210F0F" w:rsidRPr="00012C3F">
        <w:rPr>
          <w:rFonts w:cs="Verdana"/>
          <w:sz w:val="20"/>
          <w:szCs w:val="20"/>
          <w:lang w:val="en-US"/>
        </w:rPr>
        <w:t xml:space="preserve">should publish, within six months </w:t>
      </w:r>
      <w:r w:rsidR="000F735E" w:rsidRPr="00012C3F">
        <w:rPr>
          <w:rFonts w:cs="Verdana"/>
          <w:sz w:val="20"/>
          <w:szCs w:val="20"/>
          <w:lang w:val="en-US"/>
        </w:rPr>
        <w:t>of notification of this judgment</w:t>
      </w:r>
      <w:r w:rsidR="008D0B77" w:rsidRPr="00012C3F">
        <w:rPr>
          <w:rFonts w:cs="Verdana"/>
          <w:sz w:val="20"/>
          <w:szCs w:val="20"/>
          <w:lang w:val="en-US"/>
        </w:rPr>
        <w:t xml:space="preserve">: </w:t>
      </w:r>
      <w:r w:rsidR="00210F0F" w:rsidRPr="00012C3F">
        <w:rPr>
          <w:rFonts w:cs="Verdana"/>
          <w:sz w:val="20"/>
          <w:szCs w:val="20"/>
          <w:lang w:val="en-US"/>
        </w:rPr>
        <w:t>(</w:t>
      </w:r>
      <w:r w:rsidR="008D0B77" w:rsidRPr="00012C3F">
        <w:rPr>
          <w:rFonts w:cs="Verdana"/>
          <w:sz w:val="20"/>
          <w:szCs w:val="20"/>
          <w:lang w:val="en-US"/>
        </w:rPr>
        <w:t xml:space="preserve">a) </w:t>
      </w:r>
      <w:r w:rsidR="00210F0F" w:rsidRPr="00012C3F">
        <w:rPr>
          <w:rFonts w:cs="Verdana"/>
          <w:sz w:val="20"/>
          <w:szCs w:val="20"/>
          <w:lang w:val="en-US"/>
        </w:rPr>
        <w:t>the official summary</w:t>
      </w:r>
      <w:r w:rsidR="008D0B77" w:rsidRPr="00012C3F">
        <w:rPr>
          <w:rFonts w:cs="Verdana"/>
          <w:sz w:val="20"/>
          <w:szCs w:val="20"/>
          <w:lang w:val="en-US"/>
        </w:rPr>
        <w:t xml:space="preserve"> </w:t>
      </w:r>
      <w:r w:rsidR="000F735E" w:rsidRPr="00012C3F">
        <w:rPr>
          <w:rFonts w:cs="Verdana"/>
          <w:sz w:val="20"/>
          <w:szCs w:val="20"/>
          <w:lang w:val="en-US"/>
        </w:rPr>
        <w:t>of th</w:t>
      </w:r>
      <w:r w:rsidR="00210F0F" w:rsidRPr="00012C3F">
        <w:rPr>
          <w:rFonts w:cs="Verdana"/>
          <w:sz w:val="20"/>
          <w:szCs w:val="20"/>
          <w:lang w:val="en-US"/>
        </w:rPr>
        <w:t>e</w:t>
      </w:r>
      <w:r w:rsidR="000F735E" w:rsidRPr="00012C3F">
        <w:rPr>
          <w:rFonts w:cs="Verdana"/>
          <w:sz w:val="20"/>
          <w:szCs w:val="20"/>
          <w:lang w:val="en-US"/>
        </w:rPr>
        <w:t xml:space="preserve"> judgment</w:t>
      </w:r>
      <w:r w:rsidR="008D0B77" w:rsidRPr="00012C3F">
        <w:rPr>
          <w:rFonts w:cs="Verdana"/>
          <w:sz w:val="20"/>
          <w:szCs w:val="20"/>
          <w:lang w:val="en-US"/>
        </w:rPr>
        <w:t xml:space="preserve"> </w:t>
      </w:r>
      <w:r w:rsidR="00210F0F" w:rsidRPr="00012C3F">
        <w:rPr>
          <w:rFonts w:cs="Verdana"/>
          <w:sz w:val="20"/>
          <w:szCs w:val="20"/>
          <w:lang w:val="en-US"/>
        </w:rPr>
        <w:t>prepared by</w:t>
      </w:r>
      <w:r w:rsidR="008D0B77" w:rsidRPr="00012C3F">
        <w:rPr>
          <w:rFonts w:cs="Verdana"/>
          <w:sz w:val="20"/>
          <w:szCs w:val="20"/>
          <w:lang w:val="en-US"/>
        </w:rPr>
        <w:t xml:space="preserve"> </w:t>
      </w:r>
      <w:r w:rsidRPr="00012C3F">
        <w:rPr>
          <w:rFonts w:cs="Verdana"/>
          <w:sz w:val="20"/>
          <w:szCs w:val="20"/>
          <w:lang w:val="en-US"/>
        </w:rPr>
        <w:t>the Court</w:t>
      </w:r>
      <w:r w:rsidR="008D0B77" w:rsidRPr="00012C3F">
        <w:rPr>
          <w:rFonts w:cs="Verdana"/>
          <w:sz w:val="20"/>
          <w:szCs w:val="20"/>
          <w:lang w:val="en-US"/>
        </w:rPr>
        <w:t xml:space="preserve">, </w:t>
      </w:r>
      <w:r w:rsidR="00210F0F" w:rsidRPr="00012C3F">
        <w:rPr>
          <w:rFonts w:cs="Verdana"/>
          <w:sz w:val="20"/>
          <w:szCs w:val="20"/>
          <w:lang w:val="en-US"/>
        </w:rPr>
        <w:t>once, in the Official Gazette in an appropriate and legible font size; (</w:t>
      </w:r>
      <w:r w:rsidR="008D0B77" w:rsidRPr="00012C3F">
        <w:rPr>
          <w:rFonts w:cs="Verdana"/>
          <w:sz w:val="20"/>
          <w:szCs w:val="20"/>
          <w:lang w:val="en-US"/>
        </w:rPr>
        <w:t xml:space="preserve">b) </w:t>
      </w:r>
      <w:r w:rsidR="00210F0F" w:rsidRPr="00012C3F">
        <w:rPr>
          <w:rFonts w:cs="Verdana"/>
          <w:sz w:val="20"/>
          <w:szCs w:val="20"/>
          <w:lang w:val="en-US"/>
        </w:rPr>
        <w:t>the official summary of the judgment prepared by the Court, once, in a newspaper with widespread national circulation in an appropriate and legible font size</w:t>
      </w:r>
      <w:r w:rsidR="008D0B77" w:rsidRPr="00012C3F">
        <w:rPr>
          <w:rFonts w:cs="Verdana"/>
          <w:sz w:val="20"/>
          <w:szCs w:val="20"/>
          <w:lang w:val="en-US"/>
        </w:rPr>
        <w:t>,</w:t>
      </w:r>
      <w:r w:rsidR="005E5012" w:rsidRPr="00012C3F">
        <w:rPr>
          <w:rFonts w:cs="Verdana"/>
          <w:sz w:val="20"/>
          <w:szCs w:val="20"/>
          <w:lang w:val="en-US"/>
        </w:rPr>
        <w:t xml:space="preserve"> and </w:t>
      </w:r>
      <w:r w:rsidR="00210F0F" w:rsidRPr="00012C3F">
        <w:rPr>
          <w:rFonts w:cs="Verdana"/>
          <w:sz w:val="20"/>
          <w:szCs w:val="20"/>
          <w:lang w:val="en-US"/>
        </w:rPr>
        <w:t>(</w:t>
      </w:r>
      <w:r w:rsidR="008D0B77" w:rsidRPr="00012C3F">
        <w:rPr>
          <w:rFonts w:cs="Verdana"/>
          <w:sz w:val="20"/>
          <w:szCs w:val="20"/>
          <w:lang w:val="en-US"/>
        </w:rPr>
        <w:t xml:space="preserve">c) </w:t>
      </w:r>
      <w:r w:rsidR="00210F0F" w:rsidRPr="00012C3F">
        <w:rPr>
          <w:rFonts w:cs="Verdana"/>
          <w:sz w:val="20"/>
          <w:szCs w:val="20"/>
          <w:lang w:val="en-US"/>
        </w:rPr>
        <w:t xml:space="preserve">the judgment in its entirety, available for one year, on an official website. </w:t>
      </w:r>
    </w:p>
    <w:p w14:paraId="2D127101" w14:textId="77777777" w:rsidR="008D0B77" w:rsidRPr="00012C3F" w:rsidRDefault="008D0B77" w:rsidP="008D0B77">
      <w:pPr>
        <w:pStyle w:val="Prrafodelista2"/>
        <w:tabs>
          <w:tab w:val="left" w:pos="0"/>
          <w:tab w:val="num" w:pos="12305"/>
        </w:tabs>
        <w:ind w:left="0" w:right="-90"/>
        <w:jc w:val="both"/>
        <w:rPr>
          <w:rFonts w:cs="Verdana"/>
          <w:lang w:val="en-US"/>
        </w:rPr>
      </w:pPr>
    </w:p>
    <w:p w14:paraId="37860483" w14:textId="77777777" w:rsidR="008D0B77" w:rsidRPr="00012C3F" w:rsidRDefault="00A84CA0" w:rsidP="0013307D">
      <w:pPr>
        <w:numPr>
          <w:ilvl w:val="0"/>
          <w:numId w:val="5"/>
        </w:numPr>
        <w:tabs>
          <w:tab w:val="left" w:pos="720"/>
          <w:tab w:val="num" w:pos="12305"/>
        </w:tabs>
        <w:spacing w:line="240" w:lineRule="auto"/>
        <w:ind w:left="0" w:firstLine="0"/>
        <w:rPr>
          <w:rFonts w:cs="Verdana"/>
          <w:sz w:val="20"/>
          <w:szCs w:val="20"/>
          <w:lang w:val="en-US"/>
        </w:rPr>
      </w:pPr>
      <w:r w:rsidRPr="00012C3F">
        <w:rPr>
          <w:rFonts w:cs="Verdana"/>
          <w:sz w:val="20"/>
          <w:szCs w:val="20"/>
          <w:lang w:val="en-US"/>
        </w:rPr>
        <w:t>The State</w:t>
      </w:r>
      <w:r w:rsidR="008D0B77" w:rsidRPr="00012C3F">
        <w:rPr>
          <w:rFonts w:cs="Verdana"/>
          <w:sz w:val="20"/>
          <w:szCs w:val="20"/>
          <w:lang w:val="en-US"/>
        </w:rPr>
        <w:t xml:space="preserve"> </w:t>
      </w:r>
      <w:r w:rsidR="00210F0F" w:rsidRPr="00012C3F">
        <w:rPr>
          <w:rFonts w:cs="Verdana"/>
          <w:sz w:val="20"/>
          <w:szCs w:val="20"/>
          <w:lang w:val="en-US"/>
        </w:rPr>
        <w:t xml:space="preserve">must inform this Court immediately after making each of the </w:t>
      </w:r>
      <w:r w:rsidR="00A710F6" w:rsidRPr="00012C3F">
        <w:rPr>
          <w:rFonts w:cs="Verdana"/>
          <w:sz w:val="20"/>
          <w:szCs w:val="20"/>
          <w:lang w:val="en-US"/>
        </w:rPr>
        <w:t>publications</w:t>
      </w:r>
      <w:r w:rsidR="008D0B77" w:rsidRPr="00012C3F">
        <w:rPr>
          <w:rFonts w:cs="Verdana"/>
          <w:sz w:val="20"/>
          <w:szCs w:val="20"/>
          <w:lang w:val="en-US"/>
        </w:rPr>
        <w:t xml:space="preserve"> </w:t>
      </w:r>
      <w:r w:rsidR="00210F0F" w:rsidRPr="00012C3F">
        <w:rPr>
          <w:rFonts w:cs="Verdana"/>
          <w:sz w:val="20"/>
          <w:szCs w:val="20"/>
          <w:lang w:val="en-US"/>
        </w:rPr>
        <w:t>ordered, regardless of the one-year time frame for the presentation of its first report established in the fifteenth operative paragraph of the judgment.</w:t>
      </w:r>
    </w:p>
    <w:p w14:paraId="2B67E491" w14:textId="77777777" w:rsidR="008D0B77" w:rsidRPr="00012C3F" w:rsidRDefault="008D0B77" w:rsidP="0013307D">
      <w:pPr>
        <w:pStyle w:val="Prrafodelista2"/>
        <w:tabs>
          <w:tab w:val="left" w:pos="0"/>
          <w:tab w:val="left" w:pos="720"/>
          <w:tab w:val="num" w:pos="11028"/>
        </w:tabs>
        <w:ind w:left="0" w:right="-90"/>
        <w:jc w:val="both"/>
        <w:rPr>
          <w:rFonts w:cs="Verdana"/>
          <w:lang w:val="en-US"/>
        </w:rPr>
      </w:pPr>
    </w:p>
    <w:p w14:paraId="4BB85362" w14:textId="77777777" w:rsidR="008D0B77" w:rsidRPr="00012C3F" w:rsidRDefault="008D0B77" w:rsidP="0013307D">
      <w:pPr>
        <w:pStyle w:val="Ttulo2"/>
        <w:tabs>
          <w:tab w:val="left" w:pos="720"/>
          <w:tab w:val="left" w:pos="1701"/>
        </w:tabs>
        <w:spacing w:before="0" w:line="240" w:lineRule="auto"/>
        <w:ind w:left="1134"/>
        <w:rPr>
          <w:rFonts w:ascii="Verdana" w:hAnsi="Verdana"/>
          <w:b w:val="0"/>
          <w:i/>
          <w:color w:val="auto"/>
          <w:sz w:val="20"/>
          <w:szCs w:val="20"/>
          <w:lang w:val="en-US"/>
        </w:rPr>
      </w:pPr>
      <w:bookmarkStart w:id="201" w:name="_Toc27486892"/>
      <w:r w:rsidRPr="00012C3F">
        <w:rPr>
          <w:rFonts w:ascii="Verdana" w:hAnsi="Verdana"/>
          <w:b w:val="0"/>
          <w:i/>
          <w:color w:val="auto"/>
          <w:sz w:val="20"/>
          <w:szCs w:val="20"/>
          <w:lang w:val="en-US"/>
        </w:rPr>
        <w:t xml:space="preserve">C.2 </w:t>
      </w:r>
      <w:r w:rsidR="00685AA1" w:rsidRPr="00012C3F">
        <w:rPr>
          <w:rFonts w:ascii="Verdana" w:hAnsi="Verdana"/>
          <w:b w:val="0"/>
          <w:i/>
          <w:color w:val="auto"/>
          <w:sz w:val="20"/>
          <w:szCs w:val="20"/>
          <w:lang w:val="en-US"/>
        </w:rPr>
        <w:tab/>
      </w:r>
      <w:r w:rsidR="00A710F6" w:rsidRPr="00012C3F">
        <w:rPr>
          <w:rFonts w:ascii="Verdana" w:hAnsi="Verdana"/>
          <w:b w:val="0"/>
          <w:i/>
          <w:color w:val="auto"/>
          <w:sz w:val="20"/>
          <w:szCs w:val="20"/>
          <w:lang w:val="en-US"/>
        </w:rPr>
        <w:t>Act to acknowledge responsibility</w:t>
      </w:r>
      <w:bookmarkEnd w:id="201"/>
    </w:p>
    <w:p w14:paraId="7963C617" w14:textId="77777777" w:rsidR="008D0B77" w:rsidRPr="00012C3F" w:rsidRDefault="008D0B77" w:rsidP="0013307D">
      <w:pPr>
        <w:tabs>
          <w:tab w:val="left" w:pos="720"/>
        </w:tabs>
        <w:spacing w:line="240" w:lineRule="auto"/>
        <w:ind w:left="360" w:right="-90"/>
        <w:rPr>
          <w:rFonts w:cs="Verdana"/>
          <w:sz w:val="20"/>
          <w:szCs w:val="20"/>
          <w:lang w:val="en-US"/>
        </w:rPr>
      </w:pPr>
    </w:p>
    <w:p w14:paraId="03B36B5A" w14:textId="77777777" w:rsidR="008D0B77" w:rsidRPr="00012C3F" w:rsidRDefault="000A5FC8" w:rsidP="000A5FC8">
      <w:pPr>
        <w:numPr>
          <w:ilvl w:val="0"/>
          <w:numId w:val="5"/>
        </w:numPr>
        <w:tabs>
          <w:tab w:val="left" w:pos="720"/>
          <w:tab w:val="num" w:pos="12305"/>
        </w:tabs>
        <w:spacing w:line="240" w:lineRule="auto"/>
        <w:ind w:left="0" w:firstLine="0"/>
        <w:rPr>
          <w:rFonts w:cs="Verdana"/>
          <w:sz w:val="20"/>
          <w:szCs w:val="20"/>
          <w:lang w:val="en-US"/>
        </w:rPr>
      </w:pPr>
      <w:r w:rsidRPr="00012C3F">
        <w:rPr>
          <w:rFonts w:cs="Verdana"/>
          <w:sz w:val="20"/>
          <w:szCs w:val="20"/>
          <w:lang w:val="en-US"/>
        </w:rPr>
        <w:t>As it has previously,</w:t>
      </w:r>
      <w:r w:rsidR="008D0B77" w:rsidRPr="00012C3F">
        <w:rPr>
          <w:rStyle w:val="Refdenotaalpie"/>
          <w:rFonts w:eastAsia="MS ????" w:cs="Verdana"/>
          <w:sz w:val="20"/>
          <w:szCs w:val="20"/>
          <w:lang w:val="en-US"/>
        </w:rPr>
        <w:footnoteReference w:id="407"/>
      </w:r>
      <w:r w:rsidRPr="00012C3F">
        <w:rPr>
          <w:rFonts w:cs="Verdana"/>
          <w:sz w:val="20"/>
          <w:szCs w:val="20"/>
          <w:lang w:val="en-US"/>
        </w:rPr>
        <w:t xml:space="preserve"> the Court finds it necessary, in order to repair the harm caused to the victim and to avoid a repetition of facts such as those of this case, to establish that the State must </w:t>
      </w:r>
      <w:r w:rsidR="00E91557" w:rsidRPr="00012C3F">
        <w:rPr>
          <w:rFonts w:cs="Verdana"/>
          <w:sz w:val="20"/>
          <w:szCs w:val="20"/>
          <w:lang w:val="en-US"/>
        </w:rPr>
        <w:t>organize</w:t>
      </w:r>
      <w:r w:rsidRPr="00012C3F">
        <w:rPr>
          <w:rFonts w:cs="Verdana"/>
          <w:sz w:val="20"/>
          <w:szCs w:val="20"/>
          <w:lang w:val="en-US"/>
        </w:rPr>
        <w:t xml:space="preserve"> a public act to acknowledge international responsibility for the facts of this case. During the act, reference must be made to the human rights violations declared in this judgment. Also, </w:t>
      </w:r>
      <w:r w:rsidR="00E91557" w:rsidRPr="00012C3F">
        <w:rPr>
          <w:rFonts w:cs="Verdana"/>
          <w:sz w:val="20"/>
          <w:szCs w:val="20"/>
          <w:lang w:val="en-US"/>
        </w:rPr>
        <w:t>the</w:t>
      </w:r>
      <w:r w:rsidRPr="00012C3F">
        <w:rPr>
          <w:rFonts w:cs="Verdana"/>
          <w:sz w:val="20"/>
          <w:szCs w:val="20"/>
          <w:lang w:val="en-US"/>
        </w:rPr>
        <w:t xml:space="preserve"> public act</w:t>
      </w:r>
      <w:r w:rsidR="00E91557" w:rsidRPr="00012C3F">
        <w:rPr>
          <w:rFonts w:cs="Verdana"/>
          <w:sz w:val="20"/>
          <w:szCs w:val="20"/>
          <w:lang w:val="en-US"/>
        </w:rPr>
        <w:t xml:space="preserve"> must be held</w:t>
      </w:r>
      <w:r w:rsidRPr="00012C3F">
        <w:rPr>
          <w:rFonts w:cs="Verdana"/>
          <w:sz w:val="20"/>
          <w:szCs w:val="20"/>
          <w:lang w:val="en-US"/>
        </w:rPr>
        <w:t xml:space="preserve"> in the presence of senior State officials and the victim. The State must reach agreement with I.V. or her representative regarding the way in which the public act to acknowledge responsibility is implemented, as well as all the necessary details, such as the place and date. The State has one year to comply with th</w:t>
      </w:r>
      <w:r w:rsidR="00E91557" w:rsidRPr="00012C3F">
        <w:rPr>
          <w:rFonts w:cs="Verdana"/>
          <w:sz w:val="20"/>
          <w:szCs w:val="20"/>
          <w:lang w:val="en-US"/>
        </w:rPr>
        <w:t>is</w:t>
      </w:r>
      <w:r w:rsidRPr="00012C3F">
        <w:rPr>
          <w:rFonts w:cs="Verdana"/>
          <w:sz w:val="20"/>
          <w:szCs w:val="20"/>
          <w:lang w:val="en-US"/>
        </w:rPr>
        <w:t xml:space="preserve"> reparation as </w:t>
      </w:r>
      <w:r w:rsidR="000F735E" w:rsidRPr="00012C3F">
        <w:rPr>
          <w:rFonts w:cs="Verdana"/>
          <w:sz w:val="20"/>
          <w:szCs w:val="20"/>
          <w:lang w:val="en-US"/>
        </w:rPr>
        <w:t>of</w:t>
      </w:r>
      <w:r w:rsidR="00E91557" w:rsidRPr="00012C3F">
        <w:rPr>
          <w:rFonts w:cs="Verdana"/>
          <w:sz w:val="20"/>
          <w:szCs w:val="20"/>
          <w:lang w:val="en-US"/>
        </w:rPr>
        <w:t xml:space="preserve"> notification of</w:t>
      </w:r>
      <w:r w:rsidR="000F735E" w:rsidRPr="00012C3F">
        <w:rPr>
          <w:rFonts w:cs="Verdana"/>
          <w:sz w:val="20"/>
          <w:szCs w:val="20"/>
          <w:lang w:val="en-US"/>
        </w:rPr>
        <w:t xml:space="preserve"> this judgment</w:t>
      </w:r>
      <w:r w:rsidR="008D0B77" w:rsidRPr="00012C3F">
        <w:rPr>
          <w:rFonts w:cs="Verdana"/>
          <w:sz w:val="20"/>
          <w:szCs w:val="20"/>
          <w:lang w:val="en-US"/>
        </w:rPr>
        <w:t>.</w:t>
      </w:r>
    </w:p>
    <w:p w14:paraId="152A0D13" w14:textId="77777777" w:rsidR="00583DC0" w:rsidRPr="00012C3F" w:rsidRDefault="00583DC0" w:rsidP="00583DC0">
      <w:pPr>
        <w:tabs>
          <w:tab w:val="left" w:pos="720"/>
        </w:tabs>
        <w:spacing w:line="240" w:lineRule="auto"/>
        <w:rPr>
          <w:rFonts w:cs="Verdana"/>
          <w:sz w:val="20"/>
          <w:szCs w:val="20"/>
          <w:lang w:val="en-US"/>
        </w:rPr>
      </w:pPr>
    </w:p>
    <w:p w14:paraId="09446048" w14:textId="77777777" w:rsidR="00583DC0" w:rsidRPr="00012C3F" w:rsidRDefault="00583DC0" w:rsidP="00583DC0">
      <w:pPr>
        <w:keepNext/>
        <w:keepLines/>
        <w:tabs>
          <w:tab w:val="left" w:pos="720"/>
          <w:tab w:val="left" w:pos="1134"/>
        </w:tabs>
        <w:spacing w:line="240" w:lineRule="auto"/>
        <w:ind w:left="567" w:firstLine="1"/>
        <w:outlineLvl w:val="1"/>
        <w:rPr>
          <w:rFonts w:eastAsia="MS Mincho"/>
          <w:b/>
          <w:bCs/>
          <w:i/>
          <w:sz w:val="20"/>
          <w:szCs w:val="20"/>
          <w:lang w:val="en-US"/>
        </w:rPr>
      </w:pPr>
      <w:bookmarkStart w:id="202" w:name="_Toc27486893"/>
      <w:r w:rsidRPr="00012C3F">
        <w:rPr>
          <w:rFonts w:eastAsia="MS Mincho"/>
          <w:b/>
          <w:bCs/>
          <w:i/>
          <w:sz w:val="20"/>
          <w:szCs w:val="20"/>
          <w:lang w:val="en-US"/>
        </w:rPr>
        <w:t>D.</w:t>
      </w:r>
      <w:r w:rsidRPr="00012C3F">
        <w:rPr>
          <w:rFonts w:eastAsia="MS Mincho"/>
          <w:b/>
          <w:bCs/>
          <w:i/>
          <w:sz w:val="20"/>
          <w:szCs w:val="20"/>
          <w:lang w:val="en-US"/>
        </w:rPr>
        <w:tab/>
        <w:t>Guarantees of non-repetition</w:t>
      </w:r>
      <w:bookmarkEnd w:id="202"/>
    </w:p>
    <w:p w14:paraId="1F2E5D7C" w14:textId="77777777" w:rsidR="00583DC0" w:rsidRPr="00012C3F" w:rsidRDefault="00583DC0" w:rsidP="00583DC0">
      <w:pPr>
        <w:tabs>
          <w:tab w:val="left" w:pos="720"/>
        </w:tabs>
        <w:spacing w:line="240" w:lineRule="auto"/>
        <w:rPr>
          <w:rFonts w:cs="Verdana"/>
          <w:sz w:val="20"/>
          <w:szCs w:val="20"/>
          <w:lang w:val="en-US"/>
        </w:rPr>
      </w:pPr>
    </w:p>
    <w:p w14:paraId="50C521C8" w14:textId="77777777" w:rsidR="000A5FC8" w:rsidRPr="00012C3F" w:rsidRDefault="000A5FC8" w:rsidP="000A5FC8">
      <w:pPr>
        <w:numPr>
          <w:ilvl w:val="0"/>
          <w:numId w:val="5"/>
        </w:numPr>
        <w:tabs>
          <w:tab w:val="left" w:pos="720"/>
          <w:tab w:val="num" w:pos="12305"/>
        </w:tabs>
        <w:spacing w:line="240" w:lineRule="auto"/>
        <w:ind w:left="0" w:firstLine="0"/>
        <w:rPr>
          <w:rFonts w:cs="Verdana"/>
          <w:sz w:val="20"/>
          <w:szCs w:val="20"/>
          <w:lang w:val="en-US"/>
        </w:rPr>
      </w:pPr>
      <w:r w:rsidRPr="00012C3F">
        <w:rPr>
          <w:rFonts w:cs="Verdana"/>
          <w:sz w:val="20"/>
          <w:szCs w:val="20"/>
          <w:lang w:val="en-US"/>
        </w:rPr>
        <w:t xml:space="preserve">The </w:t>
      </w:r>
      <w:r w:rsidRPr="00012C3F">
        <w:rPr>
          <w:rFonts w:cs="Verdana"/>
          <w:b/>
          <w:bCs/>
          <w:i/>
          <w:iCs/>
          <w:sz w:val="20"/>
          <w:szCs w:val="20"/>
          <w:lang w:val="en-US"/>
        </w:rPr>
        <w:t>Commission</w:t>
      </w:r>
      <w:r w:rsidRPr="00012C3F">
        <w:rPr>
          <w:rFonts w:cs="Verdana"/>
          <w:sz w:val="20"/>
          <w:szCs w:val="20"/>
          <w:lang w:val="en-US"/>
        </w:rPr>
        <w:t xml:space="preserve"> asked the Court to order the State to take all necessary steps to avoid the repetition of </w:t>
      </w:r>
      <w:r w:rsidR="00583DC0" w:rsidRPr="00012C3F">
        <w:rPr>
          <w:rFonts w:cs="Verdana"/>
          <w:sz w:val="20"/>
          <w:szCs w:val="20"/>
          <w:lang w:val="en-US"/>
        </w:rPr>
        <w:t xml:space="preserve">similar </w:t>
      </w:r>
      <w:r w:rsidR="00E91557" w:rsidRPr="00012C3F">
        <w:rPr>
          <w:rFonts w:cs="Verdana"/>
          <w:sz w:val="20"/>
          <w:szCs w:val="20"/>
          <w:lang w:val="en-US"/>
        </w:rPr>
        <w:t>f</w:t>
      </w:r>
      <w:r w:rsidR="00583DC0" w:rsidRPr="00012C3F">
        <w:rPr>
          <w:rFonts w:cs="Verdana"/>
          <w:sz w:val="20"/>
          <w:szCs w:val="20"/>
          <w:lang w:val="en-US"/>
        </w:rPr>
        <w:t xml:space="preserve">acts and, in particular, to review policies and practices applied in all hospitals to obtain the informed consent of all patients. The Commission also requested that the State adopt laws, public policies, programs and directives to ensure that the right of everyone to be informed and counseled in matters relating to their health is respected, as well as the right not to be subjected to procedures or treatments without having given their informed consent, when this is applicable. These measures should give special consideration to the particular needs of those who are in a situation of vulnerability owing to the intersection of factors such as their sex, race, economic situation, or </w:t>
      </w:r>
      <w:r w:rsidR="00D933F5" w:rsidRPr="00012C3F">
        <w:rPr>
          <w:rFonts w:cs="Verdana"/>
          <w:sz w:val="20"/>
          <w:szCs w:val="20"/>
          <w:lang w:val="en-US"/>
        </w:rPr>
        <w:t>immigrant</w:t>
      </w:r>
      <w:r w:rsidR="00583DC0" w:rsidRPr="00012C3F">
        <w:rPr>
          <w:rFonts w:cs="Verdana"/>
          <w:sz w:val="20"/>
          <w:szCs w:val="20"/>
          <w:lang w:val="en-US"/>
        </w:rPr>
        <w:t xml:space="preserve"> status.</w:t>
      </w:r>
    </w:p>
    <w:p w14:paraId="35ADD74A" w14:textId="77777777" w:rsidR="008D0B77" w:rsidRPr="00012C3F" w:rsidRDefault="008D0B77" w:rsidP="008D0B77">
      <w:pPr>
        <w:pStyle w:val="Prrafodelista2"/>
        <w:tabs>
          <w:tab w:val="left" w:pos="0"/>
          <w:tab w:val="num" w:pos="12305"/>
        </w:tabs>
        <w:ind w:left="0" w:right="-90"/>
        <w:jc w:val="both"/>
        <w:rPr>
          <w:lang w:val="en-US"/>
        </w:rPr>
      </w:pPr>
    </w:p>
    <w:p w14:paraId="6928FF5B" w14:textId="77777777" w:rsidR="008D0B77" w:rsidRPr="00012C3F" w:rsidRDefault="00972ACF" w:rsidP="0013307D">
      <w:pPr>
        <w:numPr>
          <w:ilvl w:val="0"/>
          <w:numId w:val="5"/>
        </w:numPr>
        <w:tabs>
          <w:tab w:val="left" w:pos="720"/>
          <w:tab w:val="num" w:pos="12305"/>
        </w:tabs>
        <w:spacing w:line="240" w:lineRule="auto"/>
        <w:ind w:left="0" w:firstLine="0"/>
        <w:rPr>
          <w:b/>
          <w:sz w:val="16"/>
          <w:szCs w:val="16"/>
          <w:lang w:val="en-US"/>
        </w:rPr>
      </w:pPr>
      <w:r w:rsidRPr="00012C3F">
        <w:rPr>
          <w:sz w:val="20"/>
          <w:szCs w:val="20"/>
          <w:lang w:val="en-US"/>
        </w:rPr>
        <w:t xml:space="preserve">The </w:t>
      </w:r>
      <w:r w:rsidRPr="00012C3F">
        <w:rPr>
          <w:b/>
          <w:bCs/>
          <w:i/>
          <w:iCs/>
          <w:sz w:val="20"/>
          <w:szCs w:val="20"/>
          <w:lang w:val="en-US"/>
        </w:rPr>
        <w:t>representative</w:t>
      </w:r>
      <w:r w:rsidR="008D0B77" w:rsidRPr="00012C3F">
        <w:rPr>
          <w:sz w:val="20"/>
          <w:szCs w:val="20"/>
          <w:lang w:val="en-US"/>
        </w:rPr>
        <w:t xml:space="preserve"> </w:t>
      </w:r>
      <w:r w:rsidR="00583DC0" w:rsidRPr="00012C3F">
        <w:rPr>
          <w:sz w:val="20"/>
          <w:szCs w:val="20"/>
          <w:lang w:val="en-US"/>
        </w:rPr>
        <w:t>asked</w:t>
      </w:r>
      <w:r w:rsidR="008D0B77" w:rsidRPr="00012C3F">
        <w:rPr>
          <w:sz w:val="20"/>
          <w:szCs w:val="20"/>
          <w:lang w:val="en-US"/>
        </w:rPr>
        <w:t xml:space="preserve"> </w:t>
      </w:r>
      <w:r w:rsidR="001254DE" w:rsidRPr="00012C3F">
        <w:rPr>
          <w:sz w:val="20"/>
          <w:szCs w:val="20"/>
          <w:lang w:val="en-US"/>
        </w:rPr>
        <w:t>the Court</w:t>
      </w:r>
      <w:r w:rsidR="008D0B77" w:rsidRPr="00012C3F">
        <w:rPr>
          <w:sz w:val="20"/>
          <w:szCs w:val="20"/>
          <w:lang w:val="en-US"/>
        </w:rPr>
        <w:t xml:space="preserve"> </w:t>
      </w:r>
      <w:r w:rsidR="00583DC0" w:rsidRPr="00012C3F">
        <w:rPr>
          <w:sz w:val="20"/>
          <w:szCs w:val="20"/>
          <w:lang w:val="en-US"/>
        </w:rPr>
        <w:t xml:space="preserve">to order Bolivia to prepare, through the Ministry of Health, a publication of general scope on the prohibition of </w:t>
      </w:r>
      <w:r w:rsidR="00570C15" w:rsidRPr="00012C3F">
        <w:rPr>
          <w:sz w:val="20"/>
          <w:szCs w:val="20"/>
          <w:lang w:val="en-US"/>
        </w:rPr>
        <w:t>forced sterilization</w:t>
      </w:r>
      <w:r w:rsidR="005E5012" w:rsidRPr="00012C3F">
        <w:rPr>
          <w:sz w:val="20"/>
          <w:szCs w:val="20"/>
          <w:lang w:val="en-US"/>
        </w:rPr>
        <w:t xml:space="preserve"> and </w:t>
      </w:r>
      <w:r w:rsidR="00DF5BD3" w:rsidRPr="00012C3F">
        <w:rPr>
          <w:sz w:val="20"/>
          <w:szCs w:val="20"/>
          <w:lang w:val="en-US"/>
        </w:rPr>
        <w:t>the rights</w:t>
      </w:r>
      <w:r w:rsidR="008D0B77" w:rsidRPr="00012C3F">
        <w:rPr>
          <w:sz w:val="20"/>
          <w:szCs w:val="20"/>
          <w:lang w:val="en-US"/>
        </w:rPr>
        <w:t xml:space="preserve"> </w:t>
      </w:r>
      <w:r w:rsidR="00583DC0" w:rsidRPr="00012C3F">
        <w:rPr>
          <w:sz w:val="20"/>
          <w:szCs w:val="20"/>
          <w:lang w:val="en-US"/>
        </w:rPr>
        <w:t>of women, as well as on the relevant national and international mechanisms of protection</w:t>
      </w:r>
      <w:r w:rsidR="008D0B77" w:rsidRPr="00012C3F">
        <w:rPr>
          <w:sz w:val="20"/>
          <w:szCs w:val="20"/>
          <w:lang w:val="en-US"/>
        </w:rPr>
        <w:t xml:space="preserve">. </w:t>
      </w:r>
    </w:p>
    <w:p w14:paraId="64D93F37" w14:textId="77777777" w:rsidR="008D0B77" w:rsidRPr="00012C3F" w:rsidRDefault="008D0B77" w:rsidP="0013307D">
      <w:pPr>
        <w:pStyle w:val="Prrafodelista2"/>
        <w:tabs>
          <w:tab w:val="left" w:pos="0"/>
          <w:tab w:val="left" w:pos="720"/>
          <w:tab w:val="num" w:pos="12305"/>
        </w:tabs>
        <w:ind w:left="0" w:right="-90"/>
        <w:jc w:val="both"/>
        <w:rPr>
          <w:lang w:val="en-US"/>
        </w:rPr>
      </w:pPr>
    </w:p>
    <w:p w14:paraId="7D5B162A" w14:textId="77777777" w:rsidR="008D0B77" w:rsidRPr="00012C3F" w:rsidRDefault="00A84CA0" w:rsidP="0013307D">
      <w:pPr>
        <w:numPr>
          <w:ilvl w:val="0"/>
          <w:numId w:val="5"/>
        </w:numPr>
        <w:tabs>
          <w:tab w:val="left" w:pos="720"/>
          <w:tab w:val="num" w:pos="12305"/>
        </w:tabs>
        <w:spacing w:line="240" w:lineRule="auto"/>
        <w:ind w:left="0" w:firstLine="0"/>
        <w:rPr>
          <w:b/>
          <w:bCs/>
          <w:i/>
          <w:lang w:val="en-US"/>
        </w:rPr>
      </w:pPr>
      <w:r w:rsidRPr="00012C3F">
        <w:rPr>
          <w:sz w:val="20"/>
          <w:szCs w:val="20"/>
          <w:lang w:val="en-US"/>
        </w:rPr>
        <w:t xml:space="preserve">The </w:t>
      </w:r>
      <w:r w:rsidRPr="00012C3F">
        <w:rPr>
          <w:b/>
          <w:bCs/>
          <w:i/>
          <w:iCs/>
          <w:sz w:val="20"/>
          <w:szCs w:val="20"/>
          <w:lang w:val="en-US"/>
        </w:rPr>
        <w:t>State</w:t>
      </w:r>
      <w:r w:rsidR="008D0B77" w:rsidRPr="00012C3F">
        <w:rPr>
          <w:sz w:val="20"/>
          <w:szCs w:val="20"/>
          <w:lang w:val="en-US"/>
        </w:rPr>
        <w:t xml:space="preserve"> </w:t>
      </w:r>
      <w:r w:rsidR="00583DC0" w:rsidRPr="00012C3F">
        <w:rPr>
          <w:sz w:val="20"/>
          <w:szCs w:val="20"/>
          <w:lang w:val="en-US"/>
        </w:rPr>
        <w:t xml:space="preserve">argued that the requests for </w:t>
      </w:r>
      <w:r w:rsidR="00583DC0" w:rsidRPr="00012C3F">
        <w:rPr>
          <w:bCs/>
          <w:sz w:val="20"/>
          <w:szCs w:val="20"/>
          <w:lang w:val="en-US"/>
        </w:rPr>
        <w:t>g</w:t>
      </w:r>
      <w:r w:rsidR="00A710F6" w:rsidRPr="00012C3F">
        <w:rPr>
          <w:bCs/>
          <w:sz w:val="20"/>
          <w:szCs w:val="20"/>
          <w:lang w:val="en-US"/>
        </w:rPr>
        <w:t>uarantees of non-repetition</w:t>
      </w:r>
      <w:r w:rsidR="008D0B77" w:rsidRPr="00012C3F">
        <w:rPr>
          <w:bCs/>
          <w:sz w:val="20"/>
          <w:szCs w:val="20"/>
          <w:lang w:val="en-US"/>
        </w:rPr>
        <w:t xml:space="preserve"> </w:t>
      </w:r>
      <w:r w:rsidR="00583DC0" w:rsidRPr="00012C3F">
        <w:rPr>
          <w:bCs/>
          <w:sz w:val="20"/>
          <w:szCs w:val="20"/>
          <w:lang w:val="en-US"/>
        </w:rPr>
        <w:t>were inadmis</w:t>
      </w:r>
      <w:r w:rsidR="00015342" w:rsidRPr="00012C3F">
        <w:rPr>
          <w:bCs/>
          <w:sz w:val="20"/>
          <w:szCs w:val="20"/>
          <w:lang w:val="en-US"/>
        </w:rPr>
        <w:t>s</w:t>
      </w:r>
      <w:r w:rsidR="00583DC0" w:rsidRPr="00012C3F">
        <w:rPr>
          <w:bCs/>
          <w:sz w:val="20"/>
          <w:szCs w:val="20"/>
          <w:lang w:val="en-US"/>
        </w:rPr>
        <w:t xml:space="preserve">ible because </w:t>
      </w:r>
      <w:r w:rsidR="008D0B77" w:rsidRPr="00012C3F">
        <w:rPr>
          <w:bCs/>
          <w:sz w:val="20"/>
          <w:szCs w:val="20"/>
          <w:lang w:val="en-US"/>
        </w:rPr>
        <w:t xml:space="preserve">Bolivia </w:t>
      </w:r>
      <w:r w:rsidR="00E91557" w:rsidRPr="00012C3F">
        <w:rPr>
          <w:bCs/>
          <w:sz w:val="20"/>
          <w:szCs w:val="20"/>
          <w:lang w:val="en-US"/>
        </w:rPr>
        <w:t>had</w:t>
      </w:r>
      <w:r w:rsidR="00583DC0" w:rsidRPr="00012C3F">
        <w:rPr>
          <w:bCs/>
          <w:sz w:val="20"/>
          <w:szCs w:val="20"/>
          <w:lang w:val="en-US"/>
        </w:rPr>
        <w:t xml:space="preserve"> l</w:t>
      </w:r>
      <w:r w:rsidR="00E91557" w:rsidRPr="00012C3F">
        <w:rPr>
          <w:bCs/>
          <w:sz w:val="20"/>
          <w:szCs w:val="20"/>
          <w:lang w:val="en-US"/>
        </w:rPr>
        <w:t>aws</w:t>
      </w:r>
      <w:r w:rsidR="00583DC0" w:rsidRPr="00012C3F">
        <w:rPr>
          <w:bCs/>
          <w:sz w:val="20"/>
          <w:szCs w:val="20"/>
          <w:lang w:val="en-US"/>
        </w:rPr>
        <w:t xml:space="preserve"> and public policies </w:t>
      </w:r>
      <w:r w:rsidR="00E91557" w:rsidRPr="00012C3F">
        <w:rPr>
          <w:bCs/>
          <w:sz w:val="20"/>
          <w:szCs w:val="20"/>
          <w:lang w:val="en-US"/>
        </w:rPr>
        <w:t>to counteract</w:t>
      </w:r>
      <w:r w:rsidR="00583DC0" w:rsidRPr="00012C3F">
        <w:rPr>
          <w:bCs/>
          <w:sz w:val="20"/>
          <w:szCs w:val="20"/>
          <w:lang w:val="en-US"/>
        </w:rPr>
        <w:t xml:space="preserve"> </w:t>
      </w:r>
      <w:r w:rsidR="00015342" w:rsidRPr="00012C3F">
        <w:rPr>
          <w:bCs/>
          <w:sz w:val="20"/>
          <w:szCs w:val="20"/>
          <w:lang w:val="en-US"/>
        </w:rPr>
        <w:t>any manifestation of discrimination against women and</w:t>
      </w:r>
      <w:r w:rsidR="005E5012" w:rsidRPr="00012C3F">
        <w:rPr>
          <w:bCs/>
          <w:sz w:val="20"/>
          <w:szCs w:val="20"/>
          <w:lang w:val="en-US"/>
        </w:rPr>
        <w:t xml:space="preserve"> </w:t>
      </w:r>
      <w:r w:rsidR="00CD065A" w:rsidRPr="00012C3F">
        <w:rPr>
          <w:bCs/>
          <w:sz w:val="20"/>
          <w:szCs w:val="20"/>
          <w:lang w:val="en-US"/>
        </w:rPr>
        <w:t>immigrants</w:t>
      </w:r>
      <w:r w:rsidR="008D0B77" w:rsidRPr="00012C3F">
        <w:rPr>
          <w:bCs/>
          <w:sz w:val="20"/>
          <w:szCs w:val="20"/>
          <w:lang w:val="en-US"/>
        </w:rPr>
        <w:t xml:space="preserve">. </w:t>
      </w:r>
      <w:r w:rsidR="00015342" w:rsidRPr="00012C3F">
        <w:rPr>
          <w:bCs/>
          <w:sz w:val="20"/>
          <w:szCs w:val="20"/>
          <w:lang w:val="en-US"/>
        </w:rPr>
        <w:t xml:space="preserve">The State indicated that these </w:t>
      </w:r>
      <w:r w:rsidR="009D3EE9" w:rsidRPr="00012C3F">
        <w:rPr>
          <w:bCs/>
          <w:sz w:val="20"/>
          <w:szCs w:val="20"/>
          <w:lang w:val="en-US"/>
        </w:rPr>
        <w:t>measures</w:t>
      </w:r>
      <w:r w:rsidR="00015342" w:rsidRPr="00012C3F">
        <w:rPr>
          <w:bCs/>
          <w:sz w:val="20"/>
          <w:szCs w:val="20"/>
          <w:lang w:val="en-US"/>
        </w:rPr>
        <w:t xml:space="preserve"> included the promulgation of the</w:t>
      </w:r>
      <w:r w:rsidR="008D0B77" w:rsidRPr="00012C3F">
        <w:rPr>
          <w:bCs/>
          <w:sz w:val="20"/>
          <w:szCs w:val="20"/>
          <w:lang w:val="en-US"/>
        </w:rPr>
        <w:t xml:space="preserve"> “</w:t>
      </w:r>
      <w:r w:rsidR="00BD3B0B" w:rsidRPr="00012C3F">
        <w:rPr>
          <w:bCs/>
          <w:sz w:val="20"/>
          <w:szCs w:val="20"/>
          <w:lang w:val="en-US"/>
        </w:rPr>
        <w:t>Law against racism and all forms of discrimination</w:t>
      </w:r>
      <w:r w:rsidR="008D0B77" w:rsidRPr="00012C3F">
        <w:rPr>
          <w:bCs/>
          <w:sz w:val="20"/>
          <w:szCs w:val="20"/>
          <w:lang w:val="en-US"/>
        </w:rPr>
        <w:t>”</w:t>
      </w:r>
      <w:r w:rsidR="005E5012" w:rsidRPr="00012C3F">
        <w:rPr>
          <w:bCs/>
          <w:sz w:val="20"/>
          <w:szCs w:val="20"/>
          <w:lang w:val="en-US"/>
        </w:rPr>
        <w:t xml:space="preserve"> and </w:t>
      </w:r>
      <w:r w:rsidR="00015342" w:rsidRPr="00012C3F">
        <w:rPr>
          <w:bCs/>
          <w:sz w:val="20"/>
          <w:szCs w:val="20"/>
          <w:lang w:val="en-US"/>
        </w:rPr>
        <w:t xml:space="preserve">The National Strategic </w:t>
      </w:r>
      <w:r w:rsidR="00015342" w:rsidRPr="00012C3F">
        <w:rPr>
          <w:bCs/>
          <w:sz w:val="20"/>
          <w:szCs w:val="20"/>
          <w:lang w:val="en-US"/>
        </w:rPr>
        <w:lastRenderedPageBreak/>
        <w:t xml:space="preserve">Plan on Reproductive Health </w:t>
      </w:r>
      <w:r w:rsidR="008D0B77" w:rsidRPr="00012C3F">
        <w:rPr>
          <w:bCs/>
          <w:sz w:val="20"/>
          <w:szCs w:val="20"/>
          <w:lang w:val="en-US"/>
        </w:rPr>
        <w:t xml:space="preserve">2009-2015. </w:t>
      </w:r>
      <w:r w:rsidR="00015342" w:rsidRPr="00012C3F">
        <w:rPr>
          <w:bCs/>
          <w:sz w:val="20"/>
          <w:szCs w:val="20"/>
          <w:lang w:val="en-US"/>
        </w:rPr>
        <w:t>In this regard, the Stat</w:t>
      </w:r>
      <w:r w:rsidR="002D74B1" w:rsidRPr="00012C3F">
        <w:rPr>
          <w:bCs/>
          <w:sz w:val="20"/>
          <w:szCs w:val="20"/>
          <w:lang w:val="en-US"/>
        </w:rPr>
        <w:t>e</w:t>
      </w:r>
      <w:r w:rsidR="00015342" w:rsidRPr="00012C3F">
        <w:rPr>
          <w:bCs/>
          <w:sz w:val="20"/>
          <w:szCs w:val="20"/>
          <w:lang w:val="en-US"/>
        </w:rPr>
        <w:t xml:space="preserve"> considered that it had complied fully with its obligations with regard the right to non-discrimination for reasons of sex or national origin, both in the treatment accorded to I.V. since she arrive in Bolivia, in the operating theater where the </w:t>
      </w:r>
      <w:r w:rsidR="00CC232E" w:rsidRPr="00012C3F">
        <w:rPr>
          <w:bCs/>
          <w:sz w:val="20"/>
          <w:szCs w:val="20"/>
          <w:lang w:val="en-US"/>
        </w:rPr>
        <w:t>caesarean section</w:t>
      </w:r>
      <w:r w:rsidR="005E5012" w:rsidRPr="00012C3F">
        <w:rPr>
          <w:bCs/>
          <w:sz w:val="20"/>
          <w:szCs w:val="20"/>
          <w:lang w:val="en-US"/>
        </w:rPr>
        <w:t xml:space="preserve"> and</w:t>
      </w:r>
      <w:r w:rsidR="00015342" w:rsidRPr="00012C3F">
        <w:rPr>
          <w:bCs/>
          <w:sz w:val="20"/>
          <w:szCs w:val="20"/>
          <w:lang w:val="en-US"/>
        </w:rPr>
        <w:t xml:space="preserve"> </w:t>
      </w:r>
      <w:r w:rsidR="009D3EE9" w:rsidRPr="00012C3F">
        <w:rPr>
          <w:bCs/>
          <w:sz w:val="20"/>
          <w:szCs w:val="20"/>
          <w:lang w:val="en-US"/>
        </w:rPr>
        <w:t>the</w:t>
      </w:r>
      <w:r w:rsidR="00015342" w:rsidRPr="00012C3F">
        <w:rPr>
          <w:bCs/>
          <w:sz w:val="20"/>
          <w:szCs w:val="20"/>
          <w:lang w:val="en-US"/>
        </w:rPr>
        <w:t xml:space="preserve"> tubal ligation were performed, and in the protection afforded by the laws of Bolivia.</w:t>
      </w:r>
    </w:p>
    <w:p w14:paraId="2A6E4CC2" w14:textId="77777777" w:rsidR="008D0B77" w:rsidRPr="00012C3F" w:rsidRDefault="008D0B77" w:rsidP="0013307D">
      <w:pPr>
        <w:pStyle w:val="Prrafodelista2"/>
        <w:tabs>
          <w:tab w:val="left" w:pos="0"/>
          <w:tab w:val="left" w:pos="720"/>
          <w:tab w:val="num" w:pos="11028"/>
        </w:tabs>
        <w:ind w:left="0" w:right="-90"/>
        <w:jc w:val="both"/>
        <w:rPr>
          <w:rFonts w:cs="Verdana"/>
          <w:b/>
          <w:bCs/>
          <w:lang w:val="en-US"/>
        </w:rPr>
      </w:pPr>
    </w:p>
    <w:p w14:paraId="64837FEC" w14:textId="77777777" w:rsidR="008D0B77" w:rsidRPr="00012C3F" w:rsidRDefault="001254DE" w:rsidP="00147093">
      <w:pPr>
        <w:numPr>
          <w:ilvl w:val="0"/>
          <w:numId w:val="5"/>
        </w:numPr>
        <w:tabs>
          <w:tab w:val="left" w:pos="720"/>
          <w:tab w:val="num" w:pos="12305"/>
        </w:tabs>
        <w:spacing w:line="240" w:lineRule="auto"/>
        <w:ind w:left="0" w:firstLine="0"/>
        <w:rPr>
          <w:rFonts w:eastAsia="MS Mincho" w:cs="Verdana"/>
          <w:bCs/>
          <w:sz w:val="20"/>
          <w:szCs w:val="20"/>
          <w:lang w:val="en-US" w:eastAsia="en-US" w:bidi="en-US"/>
        </w:rPr>
      </w:pPr>
      <w:r w:rsidRPr="00012C3F">
        <w:rPr>
          <w:rFonts w:eastAsia="MS Mincho" w:cs="Verdana"/>
          <w:bCs/>
          <w:sz w:val="20"/>
          <w:szCs w:val="20"/>
          <w:lang w:val="en-US" w:eastAsia="en-US" w:bidi="en-US"/>
        </w:rPr>
        <w:t>The Court</w:t>
      </w:r>
      <w:r w:rsidR="008D0B77" w:rsidRPr="00012C3F">
        <w:rPr>
          <w:rFonts w:eastAsia="MS Mincho" w:cs="Verdana"/>
          <w:bCs/>
          <w:sz w:val="20"/>
          <w:szCs w:val="20"/>
          <w:lang w:val="en-US" w:eastAsia="en-US" w:bidi="en-US"/>
        </w:rPr>
        <w:t xml:space="preserve"> </w:t>
      </w:r>
      <w:r w:rsidR="00147093" w:rsidRPr="00012C3F">
        <w:rPr>
          <w:rFonts w:eastAsia="MS Mincho" w:cs="Verdana"/>
          <w:bCs/>
          <w:sz w:val="20"/>
          <w:szCs w:val="20"/>
          <w:lang w:val="en-US" w:eastAsia="en-US" w:bidi="en-US"/>
        </w:rPr>
        <w:t xml:space="preserve">has already verified the impact on </w:t>
      </w:r>
      <w:r w:rsidR="00CD065A" w:rsidRPr="00012C3F">
        <w:rPr>
          <w:rFonts w:eastAsia="MS Mincho" w:cs="Verdana"/>
          <w:bCs/>
          <w:sz w:val="20"/>
          <w:szCs w:val="20"/>
          <w:lang w:val="en-US" w:eastAsia="en-US" w:bidi="en-US"/>
        </w:rPr>
        <w:t>I.V.’s</w:t>
      </w:r>
      <w:r w:rsidR="00147093" w:rsidRPr="00012C3F">
        <w:rPr>
          <w:rFonts w:eastAsia="MS Mincho" w:cs="Verdana"/>
          <w:bCs/>
          <w:sz w:val="20"/>
          <w:szCs w:val="20"/>
          <w:lang w:val="en-US" w:eastAsia="en-US" w:bidi="en-US"/>
        </w:rPr>
        <w:t xml:space="preserve"> right to personal integrity produced by the tubal ligation without her prior, free, full and informed consent (</w:t>
      </w:r>
      <w:r w:rsidR="00147093" w:rsidRPr="00012C3F">
        <w:rPr>
          <w:rFonts w:eastAsia="MS Mincho" w:cs="Verdana"/>
          <w:bCs/>
          <w:i/>
          <w:sz w:val="20"/>
          <w:szCs w:val="20"/>
          <w:lang w:val="en-US" w:eastAsia="en-US" w:bidi="en-US"/>
        </w:rPr>
        <w:t xml:space="preserve">supra </w:t>
      </w:r>
      <w:r w:rsidR="00147093" w:rsidRPr="00012C3F">
        <w:rPr>
          <w:rFonts w:eastAsia="MS Mincho" w:cs="Verdana"/>
          <w:bCs/>
          <w:sz w:val="20"/>
          <w:szCs w:val="20"/>
          <w:lang w:val="en-US" w:eastAsia="en-US" w:bidi="en-US"/>
        </w:rPr>
        <w:t>Chapters VIII-1 and VIII-2). Bearing in mind that the State has a legal framework that may prevent the repetition of situations such as those of this case,</w:t>
      </w:r>
      <w:r w:rsidR="00434483" w:rsidRPr="00012C3F">
        <w:rPr>
          <w:rStyle w:val="Refdenotaalpie"/>
          <w:rFonts w:eastAsia="MS Mincho" w:cs="Verdana"/>
          <w:bCs/>
          <w:sz w:val="20"/>
          <w:szCs w:val="20"/>
          <w:lang w:val="en-US" w:eastAsia="en-US" w:bidi="en-US"/>
        </w:rPr>
        <w:footnoteReference w:id="408"/>
      </w:r>
      <w:r w:rsidR="008D0B77" w:rsidRPr="00012C3F">
        <w:rPr>
          <w:rFonts w:eastAsia="MS Mincho" w:cs="Verdana"/>
          <w:bCs/>
          <w:sz w:val="20"/>
          <w:szCs w:val="20"/>
          <w:lang w:val="en-US" w:eastAsia="en-US" w:bidi="en-US"/>
        </w:rPr>
        <w:t xml:space="preserve"> </w:t>
      </w:r>
      <w:r w:rsidR="00147093" w:rsidRPr="00012C3F">
        <w:rPr>
          <w:rFonts w:eastAsia="MS Mincho" w:cs="Verdana"/>
          <w:bCs/>
          <w:sz w:val="20"/>
          <w:szCs w:val="20"/>
          <w:lang w:val="en-US" w:eastAsia="en-US" w:bidi="en-US"/>
        </w:rPr>
        <w:t>the Court</w:t>
      </w:r>
      <w:r w:rsidR="008D0B77" w:rsidRPr="00012C3F">
        <w:rPr>
          <w:rFonts w:eastAsia="MS Mincho" w:cs="Verdana"/>
          <w:bCs/>
          <w:sz w:val="20"/>
          <w:szCs w:val="20"/>
          <w:lang w:val="en-US" w:eastAsia="en-US" w:bidi="en-US"/>
        </w:rPr>
        <w:t xml:space="preserve"> consider</w:t>
      </w:r>
      <w:r w:rsidR="00147093" w:rsidRPr="00012C3F">
        <w:rPr>
          <w:rFonts w:eastAsia="MS Mincho" w:cs="Verdana"/>
          <w:bCs/>
          <w:sz w:val="20"/>
          <w:szCs w:val="20"/>
          <w:lang w:val="en-US" w:eastAsia="en-US" w:bidi="en-US"/>
        </w:rPr>
        <w:t>s that it is important to</w:t>
      </w:r>
      <w:r w:rsidR="00CD065A" w:rsidRPr="00012C3F">
        <w:rPr>
          <w:rFonts w:eastAsia="MS Mincho" w:cs="Verdana"/>
          <w:bCs/>
          <w:sz w:val="20"/>
          <w:szCs w:val="20"/>
          <w:lang w:val="en-US" w:eastAsia="en-US" w:bidi="en-US"/>
        </w:rPr>
        <w:t xml:space="preserve"> put in practice</w:t>
      </w:r>
      <w:r w:rsidR="00147093" w:rsidRPr="00012C3F">
        <w:rPr>
          <w:rFonts w:eastAsia="MS Mincho" w:cs="Verdana"/>
          <w:bCs/>
          <w:sz w:val="20"/>
          <w:szCs w:val="20"/>
          <w:lang w:val="en-US" w:eastAsia="en-US" w:bidi="en-US"/>
        </w:rPr>
        <w:t xml:space="preserve"> the obligation of active transparency in relation to the sexual and reproductive health care services to which women in Bolivia have a right. This imposes on the State the obligation to officially provide the public with the maximum amount of information, including the information required to access such services. This information should be complete, comprehensible,</w:t>
      </w:r>
      <w:r w:rsidR="00CD065A" w:rsidRPr="00012C3F">
        <w:rPr>
          <w:rFonts w:eastAsia="MS Mincho" w:cs="Verdana"/>
          <w:bCs/>
          <w:sz w:val="20"/>
          <w:szCs w:val="20"/>
          <w:lang w:val="en-US" w:eastAsia="en-US" w:bidi="en-US"/>
        </w:rPr>
        <w:t xml:space="preserve"> current, and</w:t>
      </w:r>
      <w:r w:rsidR="00147093" w:rsidRPr="00012C3F">
        <w:rPr>
          <w:rFonts w:eastAsia="MS Mincho" w:cs="Verdana"/>
          <w:bCs/>
          <w:sz w:val="20"/>
          <w:szCs w:val="20"/>
          <w:lang w:val="en-US" w:eastAsia="en-US" w:bidi="en-US"/>
        </w:rPr>
        <w:t xml:space="preserve"> provided in an accessible language. In addition, </w:t>
      </w:r>
      <w:r w:rsidR="00CD065A" w:rsidRPr="00012C3F">
        <w:rPr>
          <w:rFonts w:eastAsia="MS Mincho" w:cs="Verdana"/>
          <w:bCs/>
          <w:sz w:val="20"/>
          <w:szCs w:val="20"/>
          <w:lang w:val="en-US" w:eastAsia="en-US" w:bidi="en-US"/>
        </w:rPr>
        <w:t>since</w:t>
      </w:r>
      <w:r w:rsidR="00147093" w:rsidRPr="00012C3F">
        <w:rPr>
          <w:rFonts w:eastAsia="MS Mincho" w:cs="Verdana"/>
          <w:bCs/>
          <w:sz w:val="20"/>
          <w:szCs w:val="20"/>
          <w:lang w:val="en-US" w:eastAsia="en-US" w:bidi="en-US"/>
        </w:rPr>
        <w:t xml:space="preserve"> important sectors of the population do not have access to the new technologies and</w:t>
      </w:r>
      <w:r w:rsidR="00CD065A" w:rsidRPr="00012C3F">
        <w:rPr>
          <w:rFonts w:eastAsia="MS Mincho" w:cs="Verdana"/>
          <w:bCs/>
          <w:sz w:val="20"/>
          <w:szCs w:val="20"/>
          <w:lang w:val="en-US" w:eastAsia="en-US" w:bidi="en-US"/>
        </w:rPr>
        <w:t xml:space="preserve"> since </w:t>
      </w:r>
      <w:r w:rsidR="00147093" w:rsidRPr="00012C3F">
        <w:rPr>
          <w:rFonts w:eastAsia="MS Mincho" w:cs="Verdana"/>
          <w:bCs/>
          <w:sz w:val="20"/>
          <w:szCs w:val="20"/>
          <w:lang w:val="en-US" w:eastAsia="en-US" w:bidi="en-US"/>
        </w:rPr>
        <w:t xml:space="preserve">many of their rights may depend on </w:t>
      </w:r>
      <w:r w:rsidR="00CD065A" w:rsidRPr="00012C3F">
        <w:rPr>
          <w:rFonts w:eastAsia="MS Mincho" w:cs="Verdana"/>
          <w:bCs/>
          <w:sz w:val="20"/>
          <w:szCs w:val="20"/>
          <w:lang w:val="en-US" w:eastAsia="en-US" w:bidi="en-US"/>
        </w:rPr>
        <w:t>such sectors</w:t>
      </w:r>
      <w:r w:rsidR="00147093" w:rsidRPr="00012C3F">
        <w:rPr>
          <w:rFonts w:eastAsia="MS Mincho" w:cs="Verdana"/>
          <w:bCs/>
          <w:sz w:val="20"/>
          <w:szCs w:val="20"/>
          <w:lang w:val="en-US" w:eastAsia="en-US" w:bidi="en-US"/>
        </w:rPr>
        <w:t xml:space="preserve"> having information on how to make th</w:t>
      </w:r>
      <w:r w:rsidR="00CD065A" w:rsidRPr="00012C3F">
        <w:rPr>
          <w:rFonts w:eastAsia="MS Mincho" w:cs="Verdana"/>
          <w:bCs/>
          <w:sz w:val="20"/>
          <w:szCs w:val="20"/>
          <w:lang w:val="en-US" w:eastAsia="en-US" w:bidi="en-US"/>
        </w:rPr>
        <w:t>ose rights</w:t>
      </w:r>
      <w:r w:rsidR="00147093" w:rsidRPr="00012C3F">
        <w:rPr>
          <w:rFonts w:eastAsia="MS Mincho" w:cs="Verdana"/>
          <w:bCs/>
          <w:sz w:val="20"/>
          <w:szCs w:val="20"/>
          <w:lang w:val="en-US" w:eastAsia="en-US" w:bidi="en-US"/>
        </w:rPr>
        <w:t xml:space="preserve"> effective, the State must identify effective </w:t>
      </w:r>
      <w:r w:rsidR="00CD065A" w:rsidRPr="00012C3F">
        <w:rPr>
          <w:rFonts w:eastAsia="MS Mincho" w:cs="Verdana"/>
          <w:bCs/>
          <w:sz w:val="20"/>
          <w:szCs w:val="20"/>
          <w:lang w:val="en-US" w:eastAsia="en-US" w:bidi="en-US"/>
        </w:rPr>
        <w:t>ways in which to</w:t>
      </w:r>
      <w:r w:rsidR="00147093" w:rsidRPr="00012C3F">
        <w:rPr>
          <w:rFonts w:eastAsia="MS Mincho" w:cs="Verdana"/>
          <w:bCs/>
          <w:sz w:val="20"/>
          <w:szCs w:val="20"/>
          <w:lang w:val="en-US" w:eastAsia="en-US" w:bidi="en-US"/>
        </w:rPr>
        <w:t xml:space="preserve"> comply with the obligation for active transparency in these circumstances.</w:t>
      </w:r>
      <w:r w:rsidR="00F10587" w:rsidRPr="00012C3F">
        <w:rPr>
          <w:rStyle w:val="Refdenotaalpie"/>
          <w:rFonts w:eastAsia="MS Mincho" w:cs="Verdana"/>
          <w:bCs/>
          <w:sz w:val="20"/>
          <w:szCs w:val="20"/>
          <w:lang w:val="en-US" w:eastAsia="en-US" w:bidi="en-US"/>
        </w:rPr>
        <w:footnoteReference w:id="409"/>
      </w:r>
    </w:p>
    <w:p w14:paraId="23CF6B96" w14:textId="77777777" w:rsidR="008D0B77" w:rsidRPr="00012C3F" w:rsidRDefault="008D0B77" w:rsidP="0013307D">
      <w:pPr>
        <w:tabs>
          <w:tab w:val="left" w:pos="720"/>
        </w:tabs>
        <w:spacing w:line="240" w:lineRule="auto"/>
        <w:rPr>
          <w:sz w:val="20"/>
          <w:szCs w:val="20"/>
          <w:lang w:val="en-US"/>
        </w:rPr>
      </w:pPr>
    </w:p>
    <w:p w14:paraId="675F0DB7" w14:textId="77777777" w:rsidR="008D0B77" w:rsidRPr="00012C3F" w:rsidRDefault="00147093" w:rsidP="00147093">
      <w:pPr>
        <w:numPr>
          <w:ilvl w:val="0"/>
          <w:numId w:val="5"/>
        </w:numPr>
        <w:tabs>
          <w:tab w:val="left" w:pos="720"/>
          <w:tab w:val="num" w:pos="12305"/>
        </w:tabs>
        <w:spacing w:line="240" w:lineRule="auto"/>
        <w:ind w:left="0" w:firstLine="0"/>
        <w:rPr>
          <w:rFonts w:eastAsia="MS Mincho" w:cs="Verdana"/>
          <w:sz w:val="20"/>
          <w:szCs w:val="20"/>
          <w:lang w:val="en-US" w:eastAsia="en-US" w:bidi="en-US"/>
        </w:rPr>
      </w:pPr>
      <w:r w:rsidRPr="00012C3F">
        <w:rPr>
          <w:rFonts w:eastAsia="MS Mincho" w:cs="Verdana"/>
          <w:bCs/>
          <w:sz w:val="20"/>
          <w:szCs w:val="20"/>
          <w:lang w:val="en-US" w:eastAsia="en-US" w:bidi="en-US"/>
        </w:rPr>
        <w:t>Consequently</w:t>
      </w:r>
      <w:r w:rsidR="008D0B77" w:rsidRPr="00012C3F">
        <w:rPr>
          <w:rFonts w:eastAsia="MS Mincho" w:cs="Verdana"/>
          <w:bCs/>
          <w:sz w:val="20"/>
          <w:szCs w:val="20"/>
          <w:lang w:val="en-US" w:eastAsia="en-US" w:bidi="en-US"/>
        </w:rPr>
        <w:t xml:space="preserve">, </w:t>
      </w:r>
      <w:r w:rsidR="001254DE" w:rsidRPr="00012C3F">
        <w:rPr>
          <w:rFonts w:eastAsia="MS Mincho" w:cs="Verdana"/>
          <w:bCs/>
          <w:sz w:val="20"/>
          <w:szCs w:val="20"/>
          <w:lang w:val="en-US" w:eastAsia="en-US" w:bidi="en-US"/>
        </w:rPr>
        <w:t>the Court</w:t>
      </w:r>
      <w:r w:rsidR="008D0B77" w:rsidRPr="00012C3F">
        <w:rPr>
          <w:rFonts w:eastAsia="MS Mincho" w:cs="Verdana"/>
          <w:bCs/>
          <w:sz w:val="20"/>
          <w:szCs w:val="20"/>
          <w:lang w:val="en-US" w:eastAsia="en-US" w:bidi="en-US"/>
        </w:rPr>
        <w:t xml:space="preserve"> consider</w:t>
      </w:r>
      <w:r w:rsidRPr="00012C3F">
        <w:rPr>
          <w:rFonts w:eastAsia="MS Mincho" w:cs="Verdana"/>
          <w:bCs/>
          <w:sz w:val="20"/>
          <w:szCs w:val="20"/>
          <w:lang w:val="en-US" w:eastAsia="en-US" w:bidi="en-US"/>
        </w:rPr>
        <w:t xml:space="preserve">s that, in the context of implementation of the Bolivian laws that regulate access to </w:t>
      </w:r>
      <w:r w:rsidR="00A54991" w:rsidRPr="00012C3F">
        <w:rPr>
          <w:rFonts w:eastAsia="MS Mincho" w:cs="Verdana"/>
          <w:bCs/>
          <w:sz w:val="20"/>
          <w:szCs w:val="20"/>
          <w:lang w:val="en-US" w:eastAsia="en-US" w:bidi="en-US"/>
        </w:rPr>
        <w:t>sexual and reproductive health</w:t>
      </w:r>
      <w:r w:rsidRPr="00012C3F">
        <w:rPr>
          <w:rFonts w:eastAsia="MS Mincho" w:cs="Verdana"/>
          <w:bCs/>
          <w:sz w:val="20"/>
          <w:szCs w:val="20"/>
          <w:lang w:val="en-US" w:eastAsia="en-US" w:bidi="en-US"/>
        </w:rPr>
        <w:t xml:space="preserve"> care</w:t>
      </w:r>
      <w:r w:rsidR="008D0B77" w:rsidRPr="00012C3F">
        <w:rPr>
          <w:rFonts w:eastAsia="MS Mincho" w:cs="Verdana"/>
          <w:bCs/>
          <w:sz w:val="20"/>
          <w:szCs w:val="20"/>
          <w:lang w:val="en-US" w:eastAsia="en-US" w:bidi="en-US"/>
        </w:rPr>
        <w:t xml:space="preserve">, </w:t>
      </w:r>
      <w:r w:rsidR="00A84CA0" w:rsidRPr="00012C3F">
        <w:rPr>
          <w:rFonts w:eastAsia="MS Mincho" w:cs="Verdana"/>
          <w:bCs/>
          <w:sz w:val="20"/>
          <w:szCs w:val="20"/>
          <w:lang w:val="en-US" w:eastAsia="en-US" w:bidi="en-US"/>
        </w:rPr>
        <w:t>the State</w:t>
      </w:r>
      <w:r w:rsidR="008D0B77" w:rsidRPr="00012C3F">
        <w:rPr>
          <w:rFonts w:eastAsia="MS Mincho" w:cs="Verdana"/>
          <w:bCs/>
          <w:sz w:val="20"/>
          <w:szCs w:val="20"/>
          <w:lang w:val="en-US" w:eastAsia="en-US" w:bidi="en-US"/>
        </w:rPr>
        <w:t xml:space="preserve"> </w:t>
      </w:r>
      <w:r w:rsidRPr="00012C3F">
        <w:rPr>
          <w:rFonts w:eastAsia="MS Mincho" w:cs="Verdana"/>
          <w:bCs/>
          <w:sz w:val="20"/>
          <w:szCs w:val="20"/>
          <w:lang w:val="en-US" w:eastAsia="en-US" w:bidi="en-US"/>
        </w:rPr>
        <w:t>must adopt the necessary measures to ensure that, in all public and private hospitals, the</w:t>
      </w:r>
      <w:r w:rsidR="008D0B77" w:rsidRPr="00012C3F">
        <w:rPr>
          <w:rFonts w:eastAsia="MS Mincho" w:cs="Verdana"/>
          <w:bCs/>
          <w:sz w:val="20"/>
          <w:szCs w:val="20"/>
          <w:lang w:val="en-US" w:eastAsia="en-US" w:bidi="en-US"/>
        </w:rPr>
        <w:t xml:space="preserve"> </w:t>
      </w:r>
      <w:r w:rsidR="00DF71A5" w:rsidRPr="00012C3F">
        <w:rPr>
          <w:rFonts w:eastAsia="MS Mincho" w:cs="Verdana"/>
          <w:bCs/>
          <w:sz w:val="20"/>
          <w:szCs w:val="20"/>
          <w:lang w:val="en-US" w:eastAsia="en-US" w:bidi="en-US"/>
        </w:rPr>
        <w:t>prior, free, full and informed consent</w:t>
      </w:r>
      <w:r w:rsidR="008D0B77" w:rsidRPr="00012C3F">
        <w:rPr>
          <w:rFonts w:eastAsia="MS Mincho" w:cs="Verdana"/>
          <w:bCs/>
          <w:sz w:val="20"/>
          <w:szCs w:val="20"/>
          <w:lang w:val="en-US" w:eastAsia="en-US" w:bidi="en-US"/>
        </w:rPr>
        <w:t xml:space="preserve"> </w:t>
      </w:r>
      <w:r w:rsidRPr="00012C3F">
        <w:rPr>
          <w:rFonts w:eastAsia="MS Mincho" w:cs="Verdana"/>
          <w:bCs/>
          <w:sz w:val="20"/>
          <w:szCs w:val="20"/>
          <w:lang w:val="en-US" w:eastAsia="en-US" w:bidi="en-US"/>
        </w:rPr>
        <w:t>of women is obtained in the case of procedures that involve sterilization. To this end, the Court, as in another case,</w:t>
      </w:r>
      <w:r w:rsidRPr="00012C3F">
        <w:rPr>
          <w:rStyle w:val="Refdenotaalpie"/>
          <w:rFonts w:eastAsia="MS Mincho" w:cs="Verdana"/>
          <w:bCs/>
          <w:sz w:val="20"/>
          <w:szCs w:val="20"/>
          <w:lang w:val="en-US" w:eastAsia="en-US" w:bidi="en-US"/>
        </w:rPr>
        <w:footnoteReference w:id="410"/>
      </w:r>
      <w:r w:rsidRPr="00012C3F">
        <w:rPr>
          <w:rFonts w:eastAsia="MS Mincho" w:cs="Verdana"/>
          <w:bCs/>
          <w:sz w:val="20"/>
          <w:szCs w:val="20"/>
          <w:lang w:val="en-US" w:eastAsia="en-US" w:bidi="en-US"/>
        </w:rPr>
        <w:t xml:space="preserve"> finds it pertinent to order the State to </w:t>
      </w:r>
      <w:r w:rsidR="00C60F32" w:rsidRPr="00012C3F">
        <w:rPr>
          <w:rFonts w:eastAsia="MS Mincho" w:cs="Verdana"/>
          <w:bCs/>
          <w:sz w:val="20"/>
          <w:szCs w:val="20"/>
          <w:lang w:val="en-US" w:eastAsia="en-US" w:bidi="en-US"/>
        </w:rPr>
        <w:t>produce</w:t>
      </w:r>
      <w:r w:rsidRPr="00012C3F">
        <w:rPr>
          <w:rFonts w:eastAsia="MS Mincho" w:cs="Verdana"/>
          <w:bCs/>
          <w:sz w:val="20"/>
          <w:szCs w:val="20"/>
          <w:lang w:val="en-US" w:eastAsia="en-US" w:bidi="en-US"/>
        </w:rPr>
        <w:t xml:space="preserve"> a publication or leaflet that sets out in a synthetic, clear and accessible form, the rights of women in relation to their sexual and reproductive health established in the international standards, </w:t>
      </w:r>
      <w:r w:rsidR="00CD065A" w:rsidRPr="00012C3F">
        <w:rPr>
          <w:rFonts w:eastAsia="MS Mincho" w:cs="Verdana"/>
          <w:bCs/>
          <w:sz w:val="20"/>
          <w:szCs w:val="20"/>
          <w:lang w:val="en-US" w:eastAsia="en-US" w:bidi="en-US"/>
        </w:rPr>
        <w:t xml:space="preserve"> and </w:t>
      </w:r>
      <w:r w:rsidRPr="00012C3F">
        <w:rPr>
          <w:rFonts w:eastAsia="MS Mincho" w:cs="Verdana"/>
          <w:bCs/>
          <w:sz w:val="20"/>
          <w:szCs w:val="20"/>
          <w:lang w:val="en-US" w:eastAsia="en-US" w:bidi="en-US"/>
        </w:rPr>
        <w:t>those established in this judgment and in the domestic laws of Bolivia, as well as the obligations of medical personnel when providing care in the area of sexual and reproductive health. This publication should specifically mention the need for</w:t>
      </w:r>
      <w:r w:rsidRPr="00012C3F">
        <w:rPr>
          <w:rFonts w:eastAsia="MS Mincho" w:cs="Verdana"/>
          <w:sz w:val="20"/>
          <w:szCs w:val="20"/>
          <w:lang w:val="en-US" w:eastAsia="en-US" w:bidi="en-US"/>
        </w:rPr>
        <w:t xml:space="preserve"> </w:t>
      </w:r>
      <w:r w:rsidR="00DF71A5" w:rsidRPr="00012C3F">
        <w:rPr>
          <w:rFonts w:eastAsia="MS Mincho" w:cs="Verdana"/>
          <w:bCs/>
          <w:sz w:val="20"/>
          <w:szCs w:val="20"/>
          <w:lang w:val="en-US" w:eastAsia="en-US" w:bidi="en-US"/>
        </w:rPr>
        <w:t>prior, free, full and informed consent</w:t>
      </w:r>
      <w:r w:rsidR="008D0B77" w:rsidRPr="00012C3F">
        <w:rPr>
          <w:rFonts w:eastAsia="MS Mincho" w:cs="Verdana"/>
          <w:bCs/>
          <w:sz w:val="20"/>
          <w:szCs w:val="20"/>
          <w:lang w:val="en-US" w:eastAsia="en-US" w:bidi="en-US"/>
        </w:rPr>
        <w:t xml:space="preserve">. </w:t>
      </w:r>
      <w:r w:rsidRPr="00012C3F">
        <w:rPr>
          <w:rFonts w:eastAsia="MS Mincho" w:cs="Verdana"/>
          <w:bCs/>
          <w:sz w:val="20"/>
          <w:szCs w:val="20"/>
          <w:lang w:val="en-US" w:eastAsia="en-US" w:bidi="en-US"/>
        </w:rPr>
        <w:t xml:space="preserve">It must be available in all Bolivian public and private hospitals for both patients and medical personnel, and on the website of </w:t>
      </w:r>
      <w:r w:rsidR="002A5605" w:rsidRPr="00012C3F">
        <w:rPr>
          <w:rFonts w:eastAsia="MS Mincho" w:cs="Verdana"/>
          <w:bCs/>
          <w:sz w:val="20"/>
          <w:szCs w:val="20"/>
          <w:lang w:val="en-US" w:eastAsia="en-US" w:bidi="en-US"/>
        </w:rPr>
        <w:t>the Ministry of Health and Social Services</w:t>
      </w:r>
      <w:r w:rsidR="008D0B77" w:rsidRPr="00012C3F">
        <w:rPr>
          <w:rFonts w:eastAsia="MS Mincho" w:cs="Verdana"/>
          <w:bCs/>
          <w:sz w:val="20"/>
          <w:szCs w:val="20"/>
          <w:lang w:val="en-US" w:eastAsia="en-US" w:bidi="en-US"/>
        </w:rPr>
        <w:t>.</w:t>
      </w:r>
      <w:r w:rsidR="00C114B8" w:rsidRPr="00012C3F">
        <w:rPr>
          <w:rFonts w:eastAsia="MS Mincho" w:cs="Verdana"/>
          <w:bCs/>
          <w:sz w:val="20"/>
          <w:szCs w:val="20"/>
          <w:lang w:val="en-US" w:eastAsia="en-US" w:bidi="en-US"/>
        </w:rPr>
        <w:t xml:space="preserve"> </w:t>
      </w:r>
      <w:r w:rsidRPr="00012C3F">
        <w:rPr>
          <w:rFonts w:eastAsia="MS Mincho" w:cs="Verdana"/>
          <w:bCs/>
          <w:sz w:val="20"/>
          <w:szCs w:val="20"/>
          <w:lang w:val="en-US" w:eastAsia="en-US" w:bidi="en-US"/>
        </w:rPr>
        <w:t>In addition, access to this leaflet or publication should be provided through the Office of the Ombudsman and civil society organizations working in this area. Following implementation, the State must provide an annual report on th</w:t>
      </w:r>
      <w:r w:rsidR="00CD065A" w:rsidRPr="00012C3F">
        <w:rPr>
          <w:rFonts w:eastAsia="MS Mincho" w:cs="Verdana"/>
          <w:bCs/>
          <w:sz w:val="20"/>
          <w:szCs w:val="20"/>
          <w:lang w:val="en-US" w:eastAsia="en-US" w:bidi="en-US"/>
        </w:rPr>
        <w:t>is</w:t>
      </w:r>
      <w:r w:rsidRPr="00012C3F">
        <w:rPr>
          <w:rFonts w:eastAsia="MS Mincho" w:cs="Verdana"/>
          <w:bCs/>
          <w:sz w:val="20"/>
          <w:szCs w:val="20"/>
          <w:lang w:val="en-US" w:eastAsia="en-US" w:bidi="en-US"/>
        </w:rPr>
        <w:t xml:space="preserve"> measure for three years.</w:t>
      </w:r>
    </w:p>
    <w:p w14:paraId="449E1679" w14:textId="77777777" w:rsidR="00147093" w:rsidRPr="00012C3F" w:rsidRDefault="00147093" w:rsidP="008D0B77">
      <w:pPr>
        <w:pStyle w:val="Prrafodelista2"/>
        <w:tabs>
          <w:tab w:val="left" w:pos="0"/>
          <w:tab w:val="num" w:pos="11028"/>
        </w:tabs>
        <w:ind w:left="0" w:right="-90"/>
        <w:jc w:val="both"/>
        <w:rPr>
          <w:rFonts w:cs="Verdana"/>
          <w:lang w:val="en-US"/>
        </w:rPr>
      </w:pPr>
    </w:p>
    <w:p w14:paraId="7FD0F67F" w14:textId="77777777" w:rsidR="00D039BD" w:rsidRPr="00012C3F" w:rsidRDefault="00147093" w:rsidP="00147093">
      <w:pPr>
        <w:numPr>
          <w:ilvl w:val="0"/>
          <w:numId w:val="5"/>
        </w:numPr>
        <w:tabs>
          <w:tab w:val="left" w:pos="720"/>
          <w:tab w:val="num" w:pos="12305"/>
        </w:tabs>
        <w:spacing w:line="240" w:lineRule="auto"/>
        <w:ind w:left="0" w:firstLine="0"/>
        <w:rPr>
          <w:rFonts w:cs="Verdana"/>
          <w:sz w:val="20"/>
          <w:szCs w:val="20"/>
          <w:lang w:val="en-US"/>
        </w:rPr>
      </w:pPr>
      <w:r w:rsidRPr="00012C3F">
        <w:rPr>
          <w:rFonts w:cs="Verdana"/>
          <w:sz w:val="20"/>
          <w:szCs w:val="20"/>
          <w:lang w:val="en-US"/>
        </w:rPr>
        <w:t xml:space="preserve">Also, taking into account that the violations of I.V.’s autonomy and reproductive </w:t>
      </w:r>
      <w:r w:rsidR="00CD065A" w:rsidRPr="00012C3F">
        <w:rPr>
          <w:rFonts w:cs="Verdana"/>
          <w:sz w:val="20"/>
          <w:szCs w:val="20"/>
          <w:lang w:val="en-US"/>
        </w:rPr>
        <w:t xml:space="preserve">freedom </w:t>
      </w:r>
      <w:r w:rsidRPr="00012C3F">
        <w:rPr>
          <w:rFonts w:cs="Verdana"/>
          <w:sz w:val="20"/>
          <w:szCs w:val="20"/>
          <w:lang w:val="en-US"/>
        </w:rPr>
        <w:t>were due to negative gender-based stereotypes in the health sector</w:t>
      </w:r>
      <w:r w:rsidR="005C7B93" w:rsidRPr="00012C3F">
        <w:rPr>
          <w:rFonts w:cs="Verdana"/>
          <w:sz w:val="20"/>
          <w:szCs w:val="20"/>
          <w:lang w:val="en-US"/>
        </w:rPr>
        <w:t xml:space="preserve"> (</w:t>
      </w:r>
      <w:r w:rsidR="005C7B93" w:rsidRPr="00012C3F">
        <w:rPr>
          <w:rFonts w:cs="Verdana"/>
          <w:i/>
          <w:sz w:val="20"/>
          <w:szCs w:val="20"/>
          <w:lang w:val="en-US"/>
        </w:rPr>
        <w:t>supra</w:t>
      </w:r>
      <w:r w:rsidR="005C7B93" w:rsidRPr="00012C3F">
        <w:rPr>
          <w:rFonts w:cs="Verdana"/>
          <w:sz w:val="20"/>
          <w:szCs w:val="20"/>
          <w:lang w:val="en-US"/>
        </w:rPr>
        <w:t xml:space="preserve"> </w:t>
      </w:r>
      <w:r w:rsidR="00370DD4" w:rsidRPr="00012C3F">
        <w:rPr>
          <w:rFonts w:cs="Verdana"/>
          <w:sz w:val="20"/>
          <w:szCs w:val="20"/>
          <w:lang w:val="en-US"/>
        </w:rPr>
        <w:t>para.</w:t>
      </w:r>
      <w:r w:rsidR="005C7B93" w:rsidRPr="00012C3F">
        <w:rPr>
          <w:rFonts w:cs="Verdana"/>
          <w:sz w:val="20"/>
          <w:szCs w:val="20"/>
          <w:lang w:val="en-US"/>
        </w:rPr>
        <w:t xml:space="preserve"> </w:t>
      </w:r>
      <w:r w:rsidR="003D7674" w:rsidRPr="00012C3F">
        <w:rPr>
          <w:rFonts w:cs="Verdana"/>
          <w:sz w:val="20"/>
          <w:szCs w:val="20"/>
          <w:lang w:val="en-US"/>
        </w:rPr>
        <w:t>236</w:t>
      </w:r>
      <w:r w:rsidR="005C7B93" w:rsidRPr="00012C3F">
        <w:rPr>
          <w:rFonts w:cs="Verdana"/>
          <w:sz w:val="20"/>
          <w:szCs w:val="20"/>
          <w:lang w:val="en-US"/>
        </w:rPr>
        <w:t>)</w:t>
      </w:r>
      <w:r w:rsidR="00F73FB6" w:rsidRPr="00012C3F">
        <w:rPr>
          <w:rFonts w:cs="Verdana"/>
          <w:sz w:val="20"/>
          <w:szCs w:val="20"/>
          <w:lang w:val="en-US"/>
        </w:rPr>
        <w:t>,</w:t>
      </w:r>
      <w:r w:rsidRPr="00012C3F">
        <w:rPr>
          <w:rFonts w:cs="Verdana"/>
          <w:sz w:val="20"/>
          <w:szCs w:val="20"/>
          <w:lang w:val="en-US"/>
        </w:rPr>
        <w:t xml:space="preserve"> a measure of reparation must be ordered to avoid the repetition of facts such as those of this case. To this end, the Court orders the State, within one year, to adopt permanent education and training programs for medical students and professionals, as well as for all personnel who are members of the health and social security system, on issues </w:t>
      </w:r>
      <w:r w:rsidR="00264796" w:rsidRPr="00012C3F">
        <w:rPr>
          <w:rFonts w:cs="Verdana"/>
          <w:sz w:val="20"/>
          <w:szCs w:val="20"/>
          <w:lang w:val="en-US"/>
        </w:rPr>
        <w:t>relating to</w:t>
      </w:r>
      <w:r w:rsidRPr="00012C3F">
        <w:rPr>
          <w:rFonts w:cs="Verdana"/>
          <w:sz w:val="20"/>
          <w:szCs w:val="20"/>
          <w:lang w:val="en-US"/>
        </w:rPr>
        <w:t xml:space="preserve"> </w:t>
      </w:r>
      <w:r w:rsidR="00AC0004" w:rsidRPr="00012C3F">
        <w:rPr>
          <w:rFonts w:cs="Verdana"/>
          <w:iCs/>
          <w:sz w:val="20"/>
          <w:szCs w:val="20"/>
          <w:lang w:val="en-US"/>
        </w:rPr>
        <w:t>informed consent</w:t>
      </w:r>
      <w:r w:rsidR="00C114B8" w:rsidRPr="00012C3F">
        <w:rPr>
          <w:rFonts w:cs="Verdana"/>
          <w:iCs/>
          <w:sz w:val="20"/>
          <w:szCs w:val="20"/>
          <w:lang w:val="en-US"/>
        </w:rPr>
        <w:t>,</w:t>
      </w:r>
      <w:r w:rsidR="00F73FB6" w:rsidRPr="00012C3F">
        <w:rPr>
          <w:rFonts w:cs="Verdana"/>
          <w:iCs/>
          <w:sz w:val="20"/>
          <w:szCs w:val="20"/>
          <w:lang w:val="en-US"/>
        </w:rPr>
        <w:t xml:space="preserve"> </w:t>
      </w:r>
      <w:r w:rsidRPr="00012C3F">
        <w:rPr>
          <w:rFonts w:cs="Verdana"/>
          <w:iCs/>
          <w:sz w:val="20"/>
          <w:szCs w:val="20"/>
          <w:lang w:val="en-US"/>
        </w:rPr>
        <w:t>gender-based discrimination and stereotypes, and gender-based violence.</w:t>
      </w:r>
    </w:p>
    <w:p w14:paraId="0E8D5E7A" w14:textId="77777777" w:rsidR="00147093" w:rsidRPr="00012C3F" w:rsidRDefault="00147093" w:rsidP="00147093">
      <w:pPr>
        <w:tabs>
          <w:tab w:val="left" w:pos="720"/>
        </w:tabs>
        <w:spacing w:line="240" w:lineRule="auto"/>
        <w:rPr>
          <w:rFonts w:cs="Verdana"/>
          <w:iCs/>
          <w:sz w:val="20"/>
          <w:szCs w:val="20"/>
          <w:lang w:val="en-US"/>
        </w:rPr>
      </w:pPr>
    </w:p>
    <w:p w14:paraId="606E1701" w14:textId="77777777" w:rsidR="00147093" w:rsidRPr="00012C3F" w:rsidRDefault="00147093" w:rsidP="00147093">
      <w:pPr>
        <w:keepNext/>
        <w:keepLines/>
        <w:tabs>
          <w:tab w:val="left" w:pos="1134"/>
        </w:tabs>
        <w:spacing w:line="240" w:lineRule="auto"/>
        <w:ind w:left="567" w:firstLine="1"/>
        <w:outlineLvl w:val="1"/>
        <w:rPr>
          <w:rFonts w:eastAsia="MS Mincho"/>
          <w:b/>
          <w:bCs/>
          <w:i/>
          <w:sz w:val="20"/>
          <w:szCs w:val="20"/>
          <w:lang w:val="en-US"/>
        </w:rPr>
      </w:pPr>
      <w:bookmarkStart w:id="203" w:name="_Toc27486894"/>
      <w:r w:rsidRPr="00012C3F">
        <w:rPr>
          <w:rFonts w:eastAsia="MS Mincho"/>
          <w:b/>
          <w:bCs/>
          <w:i/>
          <w:sz w:val="20"/>
          <w:szCs w:val="20"/>
          <w:lang w:val="en-US"/>
        </w:rPr>
        <w:lastRenderedPageBreak/>
        <w:t>E.</w:t>
      </w:r>
      <w:r w:rsidRPr="00012C3F">
        <w:rPr>
          <w:rFonts w:eastAsia="MS Mincho"/>
          <w:b/>
          <w:bCs/>
          <w:i/>
          <w:sz w:val="20"/>
          <w:szCs w:val="20"/>
          <w:lang w:val="en-US"/>
        </w:rPr>
        <w:tab/>
        <w:t>Other measures requested</w:t>
      </w:r>
      <w:bookmarkEnd w:id="203"/>
    </w:p>
    <w:p w14:paraId="7A757367" w14:textId="77777777" w:rsidR="00147093" w:rsidRPr="00012C3F" w:rsidRDefault="00147093" w:rsidP="00147093">
      <w:pPr>
        <w:tabs>
          <w:tab w:val="left" w:pos="720"/>
        </w:tabs>
        <w:spacing w:line="240" w:lineRule="auto"/>
        <w:rPr>
          <w:rFonts w:cs="Verdana"/>
          <w:sz w:val="20"/>
          <w:szCs w:val="20"/>
          <w:lang w:val="en-US"/>
        </w:rPr>
      </w:pPr>
    </w:p>
    <w:p w14:paraId="06D921CB" w14:textId="77777777" w:rsidR="00147093" w:rsidRPr="00012C3F" w:rsidRDefault="00147093" w:rsidP="00147093">
      <w:pPr>
        <w:numPr>
          <w:ilvl w:val="0"/>
          <w:numId w:val="5"/>
        </w:numPr>
        <w:tabs>
          <w:tab w:val="left" w:pos="720"/>
          <w:tab w:val="num" w:pos="12305"/>
        </w:tabs>
        <w:spacing w:line="240" w:lineRule="auto"/>
        <w:ind w:left="0" w:firstLine="0"/>
        <w:rPr>
          <w:rFonts w:cs="Verdana"/>
          <w:sz w:val="20"/>
          <w:szCs w:val="20"/>
          <w:lang w:val="en-US"/>
        </w:rPr>
      </w:pPr>
      <w:r w:rsidRPr="00012C3F">
        <w:rPr>
          <w:rFonts w:cs="Verdana"/>
          <w:iCs/>
          <w:sz w:val="20"/>
          <w:szCs w:val="20"/>
          <w:lang w:val="en-US"/>
        </w:rPr>
        <w:t xml:space="preserve">The </w:t>
      </w:r>
      <w:r w:rsidRPr="00012C3F">
        <w:rPr>
          <w:rFonts w:cs="Verdana"/>
          <w:b/>
          <w:bCs/>
          <w:i/>
          <w:sz w:val="20"/>
          <w:szCs w:val="20"/>
          <w:lang w:val="en-US"/>
        </w:rPr>
        <w:t xml:space="preserve">Commission </w:t>
      </w:r>
      <w:r w:rsidRPr="00012C3F">
        <w:rPr>
          <w:rFonts w:cs="Verdana"/>
          <w:iCs/>
          <w:sz w:val="20"/>
          <w:szCs w:val="20"/>
          <w:lang w:val="en-US"/>
        </w:rPr>
        <w:t>asked the Court to order the State to investigate the facts surrounding the sterilization of I.V. without her consent and to establish the appropriate responsibilities and sanctions. The Commission also asked that the State investigate the flaws in the practices of the Judiciary and its auxiliary organs that permit excessive delays in judicial proceedings, and adopt the necessary measures to ensure effective access to justice through due process of law and an expedite and efficient administration of justice.</w:t>
      </w:r>
    </w:p>
    <w:p w14:paraId="52F22776" w14:textId="77777777" w:rsidR="008D0B77" w:rsidRPr="00012C3F" w:rsidRDefault="008D0B77" w:rsidP="008D0B77">
      <w:pPr>
        <w:pStyle w:val="Prrafodelista2"/>
        <w:tabs>
          <w:tab w:val="left" w:pos="0"/>
          <w:tab w:val="num" w:pos="12305"/>
        </w:tabs>
        <w:ind w:left="0" w:right="-90"/>
        <w:jc w:val="both"/>
        <w:rPr>
          <w:lang w:val="en-US"/>
        </w:rPr>
      </w:pPr>
    </w:p>
    <w:p w14:paraId="2EE0B4FB" w14:textId="77777777" w:rsidR="008D0B77" w:rsidRPr="00012C3F" w:rsidRDefault="00972ACF" w:rsidP="009A3CA5">
      <w:pPr>
        <w:numPr>
          <w:ilvl w:val="0"/>
          <w:numId w:val="5"/>
        </w:numPr>
        <w:tabs>
          <w:tab w:val="left" w:pos="720"/>
          <w:tab w:val="num" w:pos="12305"/>
        </w:tabs>
        <w:spacing w:line="240" w:lineRule="auto"/>
        <w:ind w:left="0" w:firstLine="0"/>
        <w:rPr>
          <w:b/>
          <w:sz w:val="20"/>
          <w:szCs w:val="20"/>
          <w:lang w:val="en-US"/>
        </w:rPr>
      </w:pPr>
      <w:r w:rsidRPr="00012C3F">
        <w:rPr>
          <w:sz w:val="20"/>
          <w:szCs w:val="20"/>
          <w:lang w:val="en-US"/>
        </w:rPr>
        <w:t xml:space="preserve">The </w:t>
      </w:r>
      <w:r w:rsidRPr="00012C3F">
        <w:rPr>
          <w:b/>
          <w:bCs/>
          <w:i/>
          <w:iCs/>
          <w:sz w:val="20"/>
          <w:szCs w:val="20"/>
          <w:lang w:val="en-US"/>
        </w:rPr>
        <w:t>representative</w:t>
      </w:r>
      <w:r w:rsidR="008D0B77" w:rsidRPr="00012C3F">
        <w:rPr>
          <w:sz w:val="20"/>
          <w:szCs w:val="20"/>
          <w:lang w:val="en-US"/>
        </w:rPr>
        <w:t xml:space="preserve"> </w:t>
      </w:r>
      <w:r w:rsidR="00147093" w:rsidRPr="00012C3F">
        <w:rPr>
          <w:sz w:val="20"/>
          <w:szCs w:val="20"/>
          <w:lang w:val="en-US"/>
        </w:rPr>
        <w:t>asked the Court to order Bolivia to re-open the c</w:t>
      </w:r>
      <w:r w:rsidR="006C705C" w:rsidRPr="00012C3F">
        <w:rPr>
          <w:sz w:val="20"/>
          <w:szCs w:val="20"/>
          <w:lang w:val="en-US"/>
        </w:rPr>
        <w:t>riminal proceedings</w:t>
      </w:r>
      <w:r w:rsidR="00FC7151" w:rsidRPr="00012C3F">
        <w:rPr>
          <w:sz w:val="20"/>
          <w:szCs w:val="20"/>
          <w:lang w:val="en-US"/>
        </w:rPr>
        <w:t xml:space="preserve"> </w:t>
      </w:r>
      <w:r w:rsidR="00147093" w:rsidRPr="00012C3F">
        <w:rPr>
          <w:sz w:val="20"/>
          <w:szCs w:val="20"/>
          <w:lang w:val="en-US"/>
        </w:rPr>
        <w:t xml:space="preserve">against the medical team responsible for </w:t>
      </w:r>
      <w:r w:rsidR="00264796" w:rsidRPr="00012C3F">
        <w:rPr>
          <w:sz w:val="20"/>
          <w:szCs w:val="20"/>
          <w:lang w:val="en-US"/>
        </w:rPr>
        <w:t>I.V.’s</w:t>
      </w:r>
      <w:r w:rsidR="00147093" w:rsidRPr="00012C3F">
        <w:rPr>
          <w:sz w:val="20"/>
          <w:szCs w:val="20"/>
          <w:lang w:val="en-US"/>
        </w:rPr>
        <w:t xml:space="preserve"> </w:t>
      </w:r>
      <w:r w:rsidR="00570C15" w:rsidRPr="00012C3F">
        <w:rPr>
          <w:sz w:val="20"/>
          <w:szCs w:val="20"/>
          <w:lang w:val="en-US"/>
        </w:rPr>
        <w:t>forced sterilization</w:t>
      </w:r>
      <w:r w:rsidR="00264796" w:rsidRPr="00012C3F">
        <w:rPr>
          <w:sz w:val="20"/>
          <w:szCs w:val="20"/>
          <w:lang w:val="en-US"/>
        </w:rPr>
        <w:t xml:space="preserve"> </w:t>
      </w:r>
      <w:r w:rsidR="00147093" w:rsidRPr="00012C3F">
        <w:rPr>
          <w:sz w:val="20"/>
          <w:szCs w:val="20"/>
          <w:lang w:val="en-US"/>
        </w:rPr>
        <w:t>and to investigate, prosecute and sanction, by both disciplinary and criminal</w:t>
      </w:r>
      <w:r w:rsidR="00FC7151" w:rsidRPr="00012C3F">
        <w:rPr>
          <w:sz w:val="20"/>
          <w:szCs w:val="20"/>
          <w:lang w:val="en-US"/>
        </w:rPr>
        <w:t xml:space="preserve"> </w:t>
      </w:r>
      <w:r w:rsidR="00147093" w:rsidRPr="00012C3F">
        <w:rPr>
          <w:sz w:val="20"/>
          <w:szCs w:val="20"/>
          <w:lang w:val="en-US"/>
        </w:rPr>
        <w:t xml:space="preserve">proceedings, all the agents of justice, judicial officials, prosecutors, judges and magistrates who acted with a lack of diligence in the criminal </w:t>
      </w:r>
      <w:r w:rsidR="006C705C" w:rsidRPr="00012C3F">
        <w:rPr>
          <w:sz w:val="20"/>
          <w:szCs w:val="20"/>
          <w:lang w:val="en-US"/>
        </w:rPr>
        <w:t>proceedings</w:t>
      </w:r>
      <w:r w:rsidR="00147093" w:rsidRPr="00012C3F">
        <w:rPr>
          <w:sz w:val="20"/>
          <w:szCs w:val="20"/>
          <w:lang w:val="en-US"/>
        </w:rPr>
        <w:t xml:space="preserve"> against the authors of the </w:t>
      </w:r>
      <w:r w:rsidR="00570C15" w:rsidRPr="00012C3F">
        <w:rPr>
          <w:sz w:val="20"/>
          <w:szCs w:val="20"/>
          <w:lang w:val="en-US"/>
        </w:rPr>
        <w:t>forced sterilization</w:t>
      </w:r>
      <w:r w:rsidR="00FC7151" w:rsidRPr="00012C3F">
        <w:rPr>
          <w:sz w:val="20"/>
          <w:szCs w:val="20"/>
          <w:lang w:val="en-US"/>
        </w:rPr>
        <w:t xml:space="preserve"> </w:t>
      </w:r>
      <w:r w:rsidR="00264796" w:rsidRPr="00012C3F">
        <w:rPr>
          <w:sz w:val="20"/>
          <w:szCs w:val="20"/>
          <w:lang w:val="en-US"/>
        </w:rPr>
        <w:t>suffere</w:t>
      </w:r>
      <w:r w:rsidR="00147093" w:rsidRPr="00012C3F">
        <w:rPr>
          <w:sz w:val="20"/>
          <w:szCs w:val="20"/>
          <w:lang w:val="en-US"/>
        </w:rPr>
        <w:t>d by</w:t>
      </w:r>
      <w:r w:rsidR="00FC7151" w:rsidRPr="00012C3F">
        <w:rPr>
          <w:sz w:val="20"/>
          <w:szCs w:val="20"/>
          <w:lang w:val="en-US"/>
        </w:rPr>
        <w:t xml:space="preserve"> </w:t>
      </w:r>
      <w:r w:rsidR="000E1C11" w:rsidRPr="00012C3F">
        <w:rPr>
          <w:sz w:val="20"/>
          <w:szCs w:val="20"/>
          <w:lang w:val="en-US"/>
        </w:rPr>
        <w:t>I.V.</w:t>
      </w:r>
    </w:p>
    <w:p w14:paraId="7D8BD639" w14:textId="77777777" w:rsidR="008D0B77" w:rsidRPr="00012C3F" w:rsidRDefault="008D0B77" w:rsidP="009A3CA5">
      <w:pPr>
        <w:tabs>
          <w:tab w:val="left" w:pos="720"/>
        </w:tabs>
        <w:spacing w:line="240" w:lineRule="auto"/>
        <w:ind w:right="-90"/>
        <w:rPr>
          <w:rFonts w:cs="Verdana"/>
          <w:sz w:val="20"/>
          <w:szCs w:val="20"/>
          <w:lang w:val="en-US"/>
        </w:rPr>
      </w:pPr>
    </w:p>
    <w:p w14:paraId="78A64F20" w14:textId="77777777" w:rsidR="008D0B77" w:rsidRPr="00012C3F" w:rsidRDefault="00A84CA0" w:rsidP="00324DFF">
      <w:pPr>
        <w:numPr>
          <w:ilvl w:val="0"/>
          <w:numId w:val="5"/>
        </w:numPr>
        <w:tabs>
          <w:tab w:val="left" w:pos="720"/>
          <w:tab w:val="num" w:pos="12305"/>
        </w:tabs>
        <w:spacing w:line="240" w:lineRule="auto"/>
        <w:ind w:left="0" w:firstLine="0"/>
        <w:rPr>
          <w:b/>
          <w:sz w:val="20"/>
          <w:szCs w:val="20"/>
          <w:lang w:val="en-US"/>
        </w:rPr>
      </w:pPr>
      <w:r w:rsidRPr="00012C3F">
        <w:rPr>
          <w:sz w:val="20"/>
          <w:szCs w:val="20"/>
          <w:lang w:val="en-US"/>
        </w:rPr>
        <w:t xml:space="preserve">The </w:t>
      </w:r>
      <w:r w:rsidRPr="00012C3F">
        <w:rPr>
          <w:b/>
          <w:bCs/>
          <w:i/>
          <w:iCs/>
          <w:sz w:val="20"/>
          <w:szCs w:val="20"/>
          <w:lang w:val="en-US"/>
        </w:rPr>
        <w:t>State</w:t>
      </w:r>
      <w:r w:rsidR="00696506" w:rsidRPr="00012C3F">
        <w:rPr>
          <w:sz w:val="20"/>
          <w:szCs w:val="20"/>
          <w:lang w:val="en-US"/>
        </w:rPr>
        <w:t xml:space="preserve"> </w:t>
      </w:r>
      <w:r w:rsidR="00324DFF" w:rsidRPr="00012C3F">
        <w:rPr>
          <w:sz w:val="20"/>
          <w:szCs w:val="20"/>
          <w:lang w:val="en-US"/>
        </w:rPr>
        <w:t xml:space="preserve">indicated that it was not </w:t>
      </w:r>
      <w:r w:rsidR="00264796" w:rsidRPr="00012C3F">
        <w:rPr>
          <w:sz w:val="20"/>
          <w:szCs w:val="20"/>
          <w:lang w:val="en-US"/>
        </w:rPr>
        <w:t>appropriate</w:t>
      </w:r>
      <w:r w:rsidR="00324DFF" w:rsidRPr="00012C3F">
        <w:rPr>
          <w:sz w:val="20"/>
          <w:szCs w:val="20"/>
          <w:lang w:val="en-US"/>
        </w:rPr>
        <w:t xml:space="preserve"> to re-open the extinguished</w:t>
      </w:r>
      <w:r w:rsidR="00696506" w:rsidRPr="00012C3F">
        <w:rPr>
          <w:sz w:val="20"/>
          <w:szCs w:val="20"/>
          <w:lang w:val="en-US"/>
        </w:rPr>
        <w:t xml:space="preserve"> </w:t>
      </w:r>
      <w:r w:rsidR="00324DFF" w:rsidRPr="00012C3F">
        <w:rPr>
          <w:sz w:val="20"/>
          <w:szCs w:val="20"/>
          <w:lang w:val="en-US"/>
        </w:rPr>
        <w:t>c</w:t>
      </w:r>
      <w:r w:rsidR="006C705C" w:rsidRPr="00012C3F">
        <w:rPr>
          <w:sz w:val="20"/>
          <w:szCs w:val="20"/>
          <w:lang w:val="en-US"/>
        </w:rPr>
        <w:t>riminal proceedings</w:t>
      </w:r>
      <w:r w:rsidR="00324DFF" w:rsidRPr="00012C3F">
        <w:rPr>
          <w:sz w:val="20"/>
          <w:szCs w:val="20"/>
          <w:lang w:val="en-US"/>
        </w:rPr>
        <w:t xml:space="preserve">, because this was impossible </w:t>
      </w:r>
      <w:r w:rsidR="00696506" w:rsidRPr="00012C3F">
        <w:rPr>
          <w:i/>
          <w:sz w:val="20"/>
          <w:szCs w:val="20"/>
          <w:lang w:val="en-US"/>
        </w:rPr>
        <w:t>de facto</w:t>
      </w:r>
      <w:r w:rsidR="005E5012" w:rsidRPr="00012C3F">
        <w:rPr>
          <w:sz w:val="20"/>
          <w:szCs w:val="20"/>
          <w:lang w:val="en-US"/>
        </w:rPr>
        <w:t xml:space="preserve"> and </w:t>
      </w:r>
      <w:r w:rsidR="00696506" w:rsidRPr="00012C3F">
        <w:rPr>
          <w:i/>
          <w:sz w:val="20"/>
          <w:szCs w:val="20"/>
          <w:lang w:val="en-US"/>
        </w:rPr>
        <w:t>de iure</w:t>
      </w:r>
      <w:r w:rsidR="00696506" w:rsidRPr="00012C3F">
        <w:rPr>
          <w:sz w:val="20"/>
          <w:szCs w:val="20"/>
          <w:lang w:val="en-US"/>
        </w:rPr>
        <w:t xml:space="preserve">. </w:t>
      </w:r>
      <w:r w:rsidR="00324DFF" w:rsidRPr="00012C3F">
        <w:rPr>
          <w:sz w:val="20"/>
          <w:szCs w:val="20"/>
          <w:lang w:val="en-US"/>
        </w:rPr>
        <w:t>It also indicated that the a</w:t>
      </w:r>
      <w:r w:rsidR="0099356C" w:rsidRPr="00012C3F">
        <w:rPr>
          <w:sz w:val="20"/>
          <w:szCs w:val="20"/>
          <w:lang w:val="en-US"/>
        </w:rPr>
        <w:t xml:space="preserve">dministrative </w:t>
      </w:r>
      <w:r w:rsidR="00264796" w:rsidRPr="00012C3F">
        <w:rPr>
          <w:sz w:val="20"/>
          <w:szCs w:val="20"/>
          <w:lang w:val="en-US"/>
        </w:rPr>
        <w:t xml:space="preserve">disciplinary </w:t>
      </w:r>
      <w:r w:rsidR="0099356C" w:rsidRPr="00012C3F">
        <w:rPr>
          <w:sz w:val="20"/>
          <w:szCs w:val="20"/>
          <w:lang w:val="en-US"/>
        </w:rPr>
        <w:t>proceeding</w:t>
      </w:r>
      <w:r w:rsidR="00696506" w:rsidRPr="00012C3F">
        <w:rPr>
          <w:sz w:val="20"/>
          <w:szCs w:val="20"/>
          <w:lang w:val="en-US"/>
        </w:rPr>
        <w:t xml:space="preserve"> </w:t>
      </w:r>
      <w:r w:rsidR="00324DFF" w:rsidRPr="00012C3F">
        <w:rPr>
          <w:sz w:val="20"/>
          <w:szCs w:val="20"/>
          <w:lang w:val="en-US"/>
        </w:rPr>
        <w:t xml:space="preserve">underway against the physician was sufficient to ensure I.V.’s </w:t>
      </w:r>
      <w:r w:rsidR="00A710F6" w:rsidRPr="00012C3F">
        <w:rPr>
          <w:sz w:val="20"/>
          <w:szCs w:val="20"/>
          <w:lang w:val="en-US"/>
        </w:rPr>
        <w:t>access to justice</w:t>
      </w:r>
      <w:r w:rsidR="00696506" w:rsidRPr="00012C3F">
        <w:rPr>
          <w:sz w:val="20"/>
          <w:szCs w:val="20"/>
          <w:lang w:val="en-US"/>
        </w:rPr>
        <w:t xml:space="preserve"> </w:t>
      </w:r>
      <w:r w:rsidR="00324DFF" w:rsidRPr="00012C3F">
        <w:rPr>
          <w:sz w:val="20"/>
          <w:szCs w:val="20"/>
          <w:lang w:val="en-US"/>
        </w:rPr>
        <w:t xml:space="preserve">and that the mechanism of the </w:t>
      </w:r>
      <w:r w:rsidR="00264796" w:rsidRPr="00012C3F">
        <w:rPr>
          <w:sz w:val="20"/>
          <w:szCs w:val="20"/>
          <w:lang w:val="en-US"/>
        </w:rPr>
        <w:t xml:space="preserve">extinction </w:t>
      </w:r>
      <w:r w:rsidR="00324DFF" w:rsidRPr="00012C3F">
        <w:rPr>
          <w:sz w:val="20"/>
          <w:szCs w:val="20"/>
          <w:lang w:val="en-US"/>
        </w:rPr>
        <w:t>of the criminal action protected the physician</w:t>
      </w:r>
      <w:r w:rsidR="00AB5C13" w:rsidRPr="00012C3F">
        <w:rPr>
          <w:sz w:val="20"/>
          <w:szCs w:val="20"/>
          <w:lang w:val="en-US"/>
        </w:rPr>
        <w:t xml:space="preserve"> because it constitutes a guarantee of due process recognized by the inter-American system. The State considered that the Court had only </w:t>
      </w:r>
      <w:r w:rsidR="00264796" w:rsidRPr="00012C3F">
        <w:rPr>
          <w:sz w:val="20"/>
          <w:szCs w:val="20"/>
          <w:lang w:val="en-US"/>
        </w:rPr>
        <w:t>required that the statute of limitations be declared inadmissible</w:t>
      </w:r>
      <w:r w:rsidR="00A15F78" w:rsidRPr="00012C3F">
        <w:rPr>
          <w:sz w:val="20"/>
          <w:szCs w:val="20"/>
          <w:lang w:val="en-US"/>
        </w:rPr>
        <w:t xml:space="preserve"> </w:t>
      </w:r>
      <w:r w:rsidR="00AB5C13" w:rsidRPr="00012C3F">
        <w:rPr>
          <w:sz w:val="20"/>
          <w:szCs w:val="20"/>
          <w:lang w:val="en-US"/>
        </w:rPr>
        <w:t>in cases of egregious human rights violations and that the case of I.V. did not constitute a grave violation of human rights.</w:t>
      </w:r>
      <w:r w:rsidR="00A15F78" w:rsidRPr="00012C3F">
        <w:rPr>
          <w:sz w:val="20"/>
          <w:szCs w:val="20"/>
          <w:lang w:val="en-US"/>
        </w:rPr>
        <w:t xml:space="preserve"> Regarding the prosecution of the agents of justice, the State indicated that I.V. had not filed charges against the judges and judicial officials involved in the proceedings alleging a violation of her rights and judicial guarantees owing to the presumed actions of these officials</w:t>
      </w:r>
      <w:r w:rsidR="00264796" w:rsidRPr="00012C3F">
        <w:rPr>
          <w:sz w:val="20"/>
          <w:szCs w:val="20"/>
          <w:lang w:val="en-US"/>
        </w:rPr>
        <w:t>; therefore,</w:t>
      </w:r>
      <w:r w:rsidR="00A15F78" w:rsidRPr="00012C3F">
        <w:rPr>
          <w:sz w:val="20"/>
          <w:szCs w:val="20"/>
          <w:lang w:val="en-US"/>
        </w:rPr>
        <w:t xml:space="preserve"> respecting the time frame established for the prescription of the action in disciplinary proceedings, it was not feasible to </w:t>
      </w:r>
      <w:r w:rsidR="00264796" w:rsidRPr="00012C3F">
        <w:rPr>
          <w:sz w:val="20"/>
          <w:szCs w:val="20"/>
          <w:lang w:val="en-US"/>
        </w:rPr>
        <w:t>open an</w:t>
      </w:r>
      <w:r w:rsidR="00A15F78" w:rsidRPr="00012C3F">
        <w:rPr>
          <w:sz w:val="20"/>
          <w:szCs w:val="20"/>
          <w:lang w:val="en-US"/>
        </w:rPr>
        <w:t xml:space="preserve"> investigation to this end. Similarly, the State indicated that it was working on strengthening the institutional capacity of its organs of justice by the implementation of a series of policies under the Sectoral Plan for Plural Justice</w:t>
      </w:r>
      <w:r w:rsidR="00696506" w:rsidRPr="00012C3F">
        <w:rPr>
          <w:sz w:val="20"/>
          <w:szCs w:val="20"/>
          <w:lang w:val="en-US"/>
        </w:rPr>
        <w:t xml:space="preserve"> (2012-2015).</w:t>
      </w:r>
    </w:p>
    <w:p w14:paraId="1F3679BC" w14:textId="77777777" w:rsidR="008D0B77" w:rsidRPr="00012C3F" w:rsidRDefault="008D0B77" w:rsidP="009A3CA5">
      <w:pPr>
        <w:tabs>
          <w:tab w:val="left" w:pos="720"/>
        </w:tabs>
        <w:spacing w:line="240" w:lineRule="auto"/>
        <w:ind w:right="-90"/>
        <w:rPr>
          <w:rFonts w:cs="Verdana"/>
          <w:sz w:val="20"/>
          <w:szCs w:val="20"/>
          <w:lang w:val="en-US"/>
        </w:rPr>
      </w:pPr>
    </w:p>
    <w:p w14:paraId="07E8E58F" w14:textId="77777777" w:rsidR="008D0B77" w:rsidRPr="00012C3F" w:rsidRDefault="0009469C" w:rsidP="00EC75D6">
      <w:pPr>
        <w:numPr>
          <w:ilvl w:val="0"/>
          <w:numId w:val="5"/>
        </w:numPr>
        <w:tabs>
          <w:tab w:val="left" w:pos="720"/>
          <w:tab w:val="num" w:pos="12305"/>
        </w:tabs>
        <w:spacing w:line="240" w:lineRule="auto"/>
        <w:ind w:left="0" w:firstLine="0"/>
        <w:rPr>
          <w:b/>
          <w:sz w:val="16"/>
          <w:szCs w:val="16"/>
          <w:lang w:val="en-US"/>
        </w:rPr>
      </w:pPr>
      <w:r w:rsidRPr="00012C3F">
        <w:rPr>
          <w:sz w:val="20"/>
          <w:szCs w:val="20"/>
          <w:lang w:val="en-US"/>
        </w:rPr>
        <w:t>T</w:t>
      </w:r>
      <w:r w:rsidR="00972ACF" w:rsidRPr="00012C3F">
        <w:rPr>
          <w:sz w:val="20"/>
          <w:szCs w:val="20"/>
          <w:lang w:val="en-US"/>
        </w:rPr>
        <w:t xml:space="preserve">he </w:t>
      </w:r>
      <w:r w:rsidR="00972ACF" w:rsidRPr="00012C3F">
        <w:rPr>
          <w:b/>
          <w:bCs/>
          <w:i/>
          <w:iCs/>
          <w:sz w:val="20"/>
          <w:szCs w:val="20"/>
          <w:lang w:val="en-US"/>
        </w:rPr>
        <w:t>representative</w:t>
      </w:r>
      <w:r w:rsidR="00696506" w:rsidRPr="00012C3F">
        <w:rPr>
          <w:sz w:val="20"/>
          <w:szCs w:val="20"/>
          <w:lang w:val="en-US"/>
        </w:rPr>
        <w:t xml:space="preserve"> </w:t>
      </w:r>
      <w:r w:rsidRPr="00012C3F">
        <w:rPr>
          <w:sz w:val="20"/>
          <w:szCs w:val="20"/>
          <w:lang w:val="en-US"/>
        </w:rPr>
        <w:t xml:space="preserve">also asked this Court to order the State to name the operating theater in the La Paz </w:t>
      </w:r>
      <w:r w:rsidRPr="00012C3F">
        <w:rPr>
          <w:bCs/>
          <w:sz w:val="20"/>
          <w:szCs w:val="20"/>
          <w:lang w:val="en-US"/>
        </w:rPr>
        <w:t xml:space="preserve">Women’s Hospital after the victim. It indicated that this designation should be made in a public act in the presence of the victim, the members of her family and senior representatives of the State, including from the Judiciary. She also asked the Court to order Bolivia to take the following measures of non-repetition: (i) inclusion of this judgment in the curriculum of the </w:t>
      </w:r>
      <w:r w:rsidR="00DD7B2C" w:rsidRPr="00012C3F">
        <w:rPr>
          <w:bCs/>
          <w:sz w:val="20"/>
          <w:szCs w:val="20"/>
          <w:lang w:val="en-US"/>
        </w:rPr>
        <w:t>d</w:t>
      </w:r>
      <w:r w:rsidRPr="00012C3F">
        <w:rPr>
          <w:bCs/>
          <w:sz w:val="20"/>
          <w:szCs w:val="20"/>
          <w:lang w:val="en-US"/>
        </w:rPr>
        <w:t xml:space="preserve">eontology course in </w:t>
      </w:r>
      <w:r w:rsidR="00DD7B2C" w:rsidRPr="00012C3F">
        <w:rPr>
          <w:bCs/>
          <w:sz w:val="20"/>
          <w:szCs w:val="20"/>
          <w:lang w:val="en-US"/>
        </w:rPr>
        <w:t xml:space="preserve">the </w:t>
      </w:r>
      <w:r w:rsidRPr="00012C3F">
        <w:rPr>
          <w:bCs/>
          <w:sz w:val="20"/>
          <w:szCs w:val="20"/>
          <w:lang w:val="en-US"/>
        </w:rPr>
        <w:t xml:space="preserve">Faculties of Medicine and of Law of the country’s public and private universities and in the curriculum for training judges </w:t>
      </w:r>
      <w:r w:rsidR="00DD7B2C" w:rsidRPr="00012C3F">
        <w:rPr>
          <w:bCs/>
          <w:sz w:val="20"/>
          <w:szCs w:val="20"/>
          <w:lang w:val="en-US"/>
        </w:rPr>
        <w:t>of</w:t>
      </w:r>
      <w:r w:rsidRPr="00012C3F">
        <w:rPr>
          <w:bCs/>
          <w:sz w:val="20"/>
          <w:szCs w:val="20"/>
          <w:lang w:val="en-US"/>
        </w:rPr>
        <w:t xml:space="preserve"> the State’s </w:t>
      </w:r>
      <w:r w:rsidR="00DD7B2C" w:rsidRPr="00012C3F">
        <w:rPr>
          <w:bCs/>
          <w:sz w:val="20"/>
          <w:szCs w:val="20"/>
          <w:lang w:val="en-US"/>
        </w:rPr>
        <w:t>School for Judges</w:t>
      </w:r>
      <w:r w:rsidR="001F009F" w:rsidRPr="00012C3F">
        <w:rPr>
          <w:sz w:val="20"/>
          <w:szCs w:val="20"/>
          <w:lang w:val="en-US"/>
        </w:rPr>
        <w:t xml:space="preserve">, and also in the training program for prosecutors </w:t>
      </w:r>
      <w:r w:rsidR="00DD7B2C" w:rsidRPr="00012C3F">
        <w:rPr>
          <w:sz w:val="20"/>
          <w:szCs w:val="20"/>
          <w:lang w:val="en-US"/>
        </w:rPr>
        <w:t>of</w:t>
      </w:r>
      <w:r w:rsidR="001F009F" w:rsidRPr="00012C3F">
        <w:rPr>
          <w:sz w:val="20"/>
          <w:szCs w:val="20"/>
          <w:lang w:val="en-US"/>
        </w:rPr>
        <w:t xml:space="preserve"> the School of Prosecutors: (ii) adoption of measures to </w:t>
      </w:r>
      <w:r w:rsidR="00DD7B2C" w:rsidRPr="00012C3F">
        <w:rPr>
          <w:sz w:val="20"/>
          <w:szCs w:val="20"/>
          <w:lang w:val="en-US"/>
        </w:rPr>
        <w:t xml:space="preserve">provide </w:t>
      </w:r>
      <w:r w:rsidR="001F009F" w:rsidRPr="00012C3F">
        <w:rPr>
          <w:sz w:val="20"/>
          <w:szCs w:val="20"/>
          <w:lang w:val="en-US"/>
        </w:rPr>
        <w:t>train</w:t>
      </w:r>
      <w:r w:rsidR="00DD7B2C" w:rsidRPr="00012C3F">
        <w:rPr>
          <w:sz w:val="20"/>
          <w:szCs w:val="20"/>
          <w:lang w:val="en-US"/>
        </w:rPr>
        <w:t>ing on the rights of women for</w:t>
      </w:r>
      <w:r w:rsidR="001F009F" w:rsidRPr="00012C3F">
        <w:rPr>
          <w:sz w:val="20"/>
          <w:szCs w:val="20"/>
          <w:lang w:val="en-US"/>
        </w:rPr>
        <w:t xml:space="preserve"> all public officials involved in the processing of cases of violence against women </w:t>
      </w:r>
      <w:r w:rsidR="00DD7B2C" w:rsidRPr="00012C3F">
        <w:rPr>
          <w:sz w:val="20"/>
          <w:szCs w:val="20"/>
          <w:lang w:val="en-US"/>
        </w:rPr>
        <w:t xml:space="preserve">so that they are able to </w:t>
      </w:r>
      <w:r w:rsidR="001F009F" w:rsidRPr="00012C3F">
        <w:rPr>
          <w:sz w:val="20"/>
          <w:szCs w:val="20"/>
          <w:lang w:val="en-US"/>
        </w:rPr>
        <w:t xml:space="preserve">apply </w:t>
      </w:r>
      <w:r w:rsidR="00DD7B2C" w:rsidRPr="00012C3F">
        <w:rPr>
          <w:sz w:val="20"/>
          <w:szCs w:val="20"/>
          <w:lang w:val="en-US"/>
        </w:rPr>
        <w:t>domestic</w:t>
      </w:r>
      <w:r w:rsidR="001F009F" w:rsidRPr="00012C3F">
        <w:rPr>
          <w:sz w:val="20"/>
          <w:szCs w:val="20"/>
          <w:lang w:val="en-US"/>
        </w:rPr>
        <w:t xml:space="preserve"> laws and international standards when </w:t>
      </w:r>
      <w:r w:rsidR="00DD7B2C" w:rsidRPr="00012C3F">
        <w:rPr>
          <w:sz w:val="20"/>
          <w:szCs w:val="20"/>
          <w:lang w:val="en-US"/>
        </w:rPr>
        <w:t>prosecuting</w:t>
      </w:r>
      <w:r w:rsidR="001F009F" w:rsidRPr="00012C3F">
        <w:rPr>
          <w:sz w:val="20"/>
          <w:szCs w:val="20"/>
          <w:lang w:val="en-US"/>
        </w:rPr>
        <w:t xml:space="preserve"> </w:t>
      </w:r>
      <w:r w:rsidR="00DD7B2C" w:rsidRPr="00012C3F">
        <w:rPr>
          <w:sz w:val="20"/>
          <w:szCs w:val="20"/>
          <w:lang w:val="en-US"/>
        </w:rPr>
        <w:t>such</w:t>
      </w:r>
      <w:r w:rsidR="001F009F" w:rsidRPr="00012C3F">
        <w:rPr>
          <w:sz w:val="20"/>
          <w:szCs w:val="20"/>
          <w:lang w:val="en-US"/>
        </w:rPr>
        <w:t xml:space="preserve"> crimes adequately, and </w:t>
      </w:r>
      <w:r w:rsidR="00DD7B2C" w:rsidRPr="00012C3F">
        <w:rPr>
          <w:sz w:val="20"/>
          <w:szCs w:val="20"/>
          <w:lang w:val="en-US"/>
        </w:rPr>
        <w:t>that they</w:t>
      </w:r>
      <w:r w:rsidR="001F009F" w:rsidRPr="00012C3F">
        <w:rPr>
          <w:sz w:val="20"/>
          <w:szCs w:val="20"/>
          <w:lang w:val="en-US"/>
        </w:rPr>
        <w:t xml:space="preserve"> respect the integrity and dignity of the victims and their next of kin when</w:t>
      </w:r>
      <w:r w:rsidR="00DD7B2C" w:rsidRPr="00012C3F">
        <w:rPr>
          <w:sz w:val="20"/>
          <w:szCs w:val="20"/>
          <w:lang w:val="en-US"/>
        </w:rPr>
        <w:t xml:space="preserve"> they</w:t>
      </w:r>
      <w:r w:rsidR="001F009F" w:rsidRPr="00012C3F">
        <w:rPr>
          <w:sz w:val="20"/>
          <w:szCs w:val="20"/>
          <w:lang w:val="en-US"/>
        </w:rPr>
        <w:t xml:space="preserve"> report these facts and during their participation in the proceedings; (iii) adoption of public policies aimed at re</w:t>
      </w:r>
      <w:r w:rsidR="00DD7B2C" w:rsidRPr="00012C3F">
        <w:rPr>
          <w:sz w:val="20"/>
          <w:szCs w:val="20"/>
          <w:lang w:val="en-US"/>
        </w:rPr>
        <w:t>fram</w:t>
      </w:r>
      <w:r w:rsidR="001F009F" w:rsidRPr="00012C3F">
        <w:rPr>
          <w:sz w:val="20"/>
          <w:szCs w:val="20"/>
          <w:lang w:val="en-US"/>
        </w:rPr>
        <w:t xml:space="preserve">ing stereotypes about the role of women in society and promoting the eradication of discriminatory socio-cultural patterns that prevent full access to justice, which include training programs and comprehensive prevention policies; (iv) strengthening the institutional capacity of the Judiciary, the </w:t>
      </w:r>
      <w:r w:rsidR="00716C7D" w:rsidRPr="00012C3F">
        <w:rPr>
          <w:sz w:val="20"/>
          <w:szCs w:val="20"/>
          <w:lang w:val="en-US"/>
        </w:rPr>
        <w:t>Public Prosecution Service</w:t>
      </w:r>
      <w:r w:rsidR="00696506" w:rsidRPr="00012C3F">
        <w:rPr>
          <w:sz w:val="20"/>
          <w:szCs w:val="20"/>
          <w:lang w:val="en-US"/>
        </w:rPr>
        <w:t xml:space="preserve">, </w:t>
      </w:r>
      <w:r w:rsidR="001F009F" w:rsidRPr="00012C3F">
        <w:rPr>
          <w:sz w:val="20"/>
          <w:szCs w:val="20"/>
          <w:lang w:val="en-US"/>
        </w:rPr>
        <w:t xml:space="preserve">the Forensic Research Institute, and the Police with financial and human resources to combat the pattern of impunity in cases of violence against women; (v) systematization of the decisions of regional and international agencies for the protection of </w:t>
      </w:r>
      <w:r w:rsidR="00DD7B2C" w:rsidRPr="00012C3F">
        <w:rPr>
          <w:sz w:val="20"/>
          <w:szCs w:val="20"/>
          <w:lang w:val="en-US"/>
        </w:rPr>
        <w:t xml:space="preserve">the </w:t>
      </w:r>
      <w:r w:rsidR="001F009F" w:rsidRPr="00012C3F">
        <w:rPr>
          <w:sz w:val="20"/>
          <w:szCs w:val="20"/>
          <w:lang w:val="en-US"/>
        </w:rPr>
        <w:t xml:space="preserve">human rights of women concerning investigation processes in cases of violence against women, permitting this information to be accessible to agents of justice throughout the country; (vi) adoption, as soon as possible after notification of the judgment, of all the draft bills indicated by the State in its report on </w:t>
      </w:r>
      <w:r w:rsidR="001F009F" w:rsidRPr="00012C3F">
        <w:rPr>
          <w:sz w:val="20"/>
          <w:szCs w:val="20"/>
          <w:lang w:val="en-US"/>
        </w:rPr>
        <w:lastRenderedPageBreak/>
        <w:t>compliance with the Commission’s recommendations of</w:t>
      </w:r>
      <w:r w:rsidR="001F009F" w:rsidRPr="00012C3F">
        <w:rPr>
          <w:b/>
          <w:sz w:val="16"/>
          <w:szCs w:val="16"/>
          <w:lang w:val="en-US"/>
        </w:rPr>
        <w:t xml:space="preserve"> </w:t>
      </w:r>
      <w:r w:rsidR="00BD3B0B" w:rsidRPr="00012C3F">
        <w:rPr>
          <w:sz w:val="20"/>
          <w:szCs w:val="20"/>
          <w:lang w:val="en-US"/>
        </w:rPr>
        <w:t>December 22,</w:t>
      </w:r>
      <w:r w:rsidR="00696506" w:rsidRPr="00012C3F">
        <w:rPr>
          <w:sz w:val="20"/>
          <w:szCs w:val="20"/>
          <w:lang w:val="en-US"/>
        </w:rPr>
        <w:t xml:space="preserve"> 2014, </w:t>
      </w:r>
      <w:r w:rsidR="001F009F" w:rsidRPr="00012C3F">
        <w:rPr>
          <w:sz w:val="20"/>
          <w:szCs w:val="20"/>
          <w:lang w:val="en-US"/>
        </w:rPr>
        <w:t>including</w:t>
      </w:r>
      <w:r w:rsidR="00696506" w:rsidRPr="00012C3F">
        <w:rPr>
          <w:sz w:val="20"/>
          <w:szCs w:val="20"/>
          <w:lang w:val="en-US"/>
        </w:rPr>
        <w:t xml:space="preserve">: </w:t>
      </w:r>
      <w:r w:rsidR="001F009F" w:rsidRPr="00012C3F">
        <w:rPr>
          <w:sz w:val="20"/>
          <w:szCs w:val="20"/>
          <w:lang w:val="en-US"/>
        </w:rPr>
        <w:t>the bill on</w:t>
      </w:r>
      <w:r w:rsidR="00696506" w:rsidRPr="00012C3F">
        <w:rPr>
          <w:sz w:val="20"/>
          <w:szCs w:val="20"/>
          <w:lang w:val="en-US"/>
        </w:rPr>
        <w:t xml:space="preserve"> “</w:t>
      </w:r>
      <w:r w:rsidR="00164743" w:rsidRPr="00012C3F">
        <w:rPr>
          <w:sz w:val="20"/>
          <w:szCs w:val="20"/>
          <w:lang w:val="en-US"/>
        </w:rPr>
        <w:t>D</w:t>
      </w:r>
      <w:r w:rsidR="001F009F" w:rsidRPr="00012C3F">
        <w:rPr>
          <w:sz w:val="20"/>
          <w:szCs w:val="20"/>
          <w:lang w:val="en-US"/>
        </w:rPr>
        <w:t>eclarati</w:t>
      </w:r>
      <w:r w:rsidR="00164743" w:rsidRPr="00012C3F">
        <w:rPr>
          <w:sz w:val="20"/>
          <w:szCs w:val="20"/>
          <w:lang w:val="en-US"/>
        </w:rPr>
        <w:t>o</w:t>
      </w:r>
      <w:r w:rsidR="001F009F" w:rsidRPr="00012C3F">
        <w:rPr>
          <w:sz w:val="20"/>
          <w:szCs w:val="20"/>
          <w:lang w:val="en-US"/>
        </w:rPr>
        <w:t xml:space="preserve">n </w:t>
      </w:r>
      <w:r w:rsidR="00164743" w:rsidRPr="00012C3F">
        <w:rPr>
          <w:sz w:val="20"/>
          <w:szCs w:val="20"/>
          <w:lang w:val="en-US"/>
        </w:rPr>
        <w:t>of</w:t>
      </w:r>
      <w:r w:rsidR="001F009F" w:rsidRPr="00012C3F">
        <w:rPr>
          <w:sz w:val="20"/>
          <w:szCs w:val="20"/>
          <w:lang w:val="en-US"/>
        </w:rPr>
        <w:t xml:space="preserve"> national priority of criminalization of medical negligence in Bolivia”; the bill regulating the provision of services </w:t>
      </w:r>
      <w:r w:rsidR="00164743" w:rsidRPr="00012C3F">
        <w:rPr>
          <w:sz w:val="20"/>
          <w:szCs w:val="20"/>
          <w:lang w:val="en-US"/>
        </w:rPr>
        <w:t>by</w:t>
      </w:r>
      <w:r w:rsidR="001F009F" w:rsidRPr="00012C3F">
        <w:rPr>
          <w:sz w:val="20"/>
          <w:szCs w:val="20"/>
          <w:lang w:val="en-US"/>
        </w:rPr>
        <w:t xml:space="preserve"> public health, </w:t>
      </w:r>
      <w:r w:rsidR="00164743" w:rsidRPr="00012C3F">
        <w:rPr>
          <w:sz w:val="20"/>
          <w:szCs w:val="20"/>
          <w:lang w:val="en-US"/>
        </w:rPr>
        <w:t>social welfare, and private health entities; the bill on medical responsibility; the bill against medical malpractice, and the contributions to the second draft by the Ombudsman and the observations of the Bolivian Medical Association, provided the</w:t>
      </w:r>
      <w:r w:rsidR="00825DC4" w:rsidRPr="00012C3F">
        <w:rPr>
          <w:sz w:val="20"/>
          <w:szCs w:val="20"/>
          <w:lang w:val="en-US"/>
        </w:rPr>
        <w:t>se</w:t>
      </w:r>
      <w:r w:rsidR="00164743" w:rsidRPr="00012C3F">
        <w:rPr>
          <w:sz w:val="20"/>
          <w:szCs w:val="20"/>
          <w:lang w:val="en-US"/>
        </w:rPr>
        <w:t xml:space="preserve"> are compatible with international human rights standards, and (vii) </w:t>
      </w:r>
      <w:r w:rsidR="00825DC4" w:rsidRPr="00012C3F">
        <w:rPr>
          <w:sz w:val="20"/>
          <w:szCs w:val="20"/>
          <w:lang w:val="en-US"/>
        </w:rPr>
        <w:t>appropriate</w:t>
      </w:r>
      <w:r w:rsidR="00164743" w:rsidRPr="00012C3F">
        <w:rPr>
          <w:sz w:val="20"/>
          <w:szCs w:val="20"/>
          <w:lang w:val="en-US"/>
        </w:rPr>
        <w:t xml:space="preserve"> </w:t>
      </w:r>
      <w:r w:rsidR="00825DC4" w:rsidRPr="00012C3F">
        <w:rPr>
          <w:sz w:val="20"/>
          <w:szCs w:val="20"/>
          <w:lang w:val="en-US"/>
        </w:rPr>
        <w:t>implementation</w:t>
      </w:r>
      <w:r w:rsidR="00164743" w:rsidRPr="00012C3F">
        <w:rPr>
          <w:sz w:val="20"/>
          <w:szCs w:val="20"/>
          <w:lang w:val="en-US"/>
        </w:rPr>
        <w:t xml:space="preserve">, as soon as possible following notification of the judgment, </w:t>
      </w:r>
      <w:r w:rsidR="00825DC4" w:rsidRPr="00012C3F">
        <w:rPr>
          <w:sz w:val="20"/>
          <w:szCs w:val="20"/>
          <w:lang w:val="en-US"/>
        </w:rPr>
        <w:t xml:space="preserve">of </w:t>
      </w:r>
      <w:r w:rsidR="00164743" w:rsidRPr="00012C3F">
        <w:rPr>
          <w:sz w:val="20"/>
          <w:szCs w:val="20"/>
          <w:lang w:val="en-US"/>
        </w:rPr>
        <w:t>all the public policies indicated by the State in its report on compliance with the Commission’s recommendations of</w:t>
      </w:r>
      <w:r w:rsidR="00164743" w:rsidRPr="00012C3F">
        <w:rPr>
          <w:b/>
          <w:sz w:val="16"/>
          <w:szCs w:val="16"/>
          <w:lang w:val="en-US"/>
        </w:rPr>
        <w:t xml:space="preserve"> </w:t>
      </w:r>
      <w:r w:rsidR="00164743" w:rsidRPr="00012C3F">
        <w:rPr>
          <w:sz w:val="20"/>
          <w:szCs w:val="20"/>
          <w:lang w:val="en-US"/>
        </w:rPr>
        <w:t>December 22, 2014, provided they are compatible with international human rights standards; the</w:t>
      </w:r>
      <w:r w:rsidR="00825DC4" w:rsidRPr="00012C3F">
        <w:rPr>
          <w:sz w:val="20"/>
          <w:szCs w:val="20"/>
          <w:lang w:val="en-US"/>
        </w:rPr>
        <w:t>se</w:t>
      </w:r>
      <w:r w:rsidR="00164743" w:rsidRPr="00012C3F">
        <w:rPr>
          <w:sz w:val="20"/>
          <w:szCs w:val="20"/>
          <w:lang w:val="en-US"/>
        </w:rPr>
        <w:t xml:space="preserve"> include: (a) the technical document on “Obtaining informed consent” adopted by </w:t>
      </w:r>
      <w:r w:rsidR="00435129" w:rsidRPr="00012C3F">
        <w:rPr>
          <w:sz w:val="20"/>
          <w:szCs w:val="20"/>
          <w:lang w:val="en-US"/>
        </w:rPr>
        <w:t>Ministerial Resolution</w:t>
      </w:r>
      <w:r w:rsidR="00696506" w:rsidRPr="00012C3F">
        <w:rPr>
          <w:sz w:val="20"/>
          <w:szCs w:val="20"/>
          <w:lang w:val="en-US"/>
        </w:rPr>
        <w:t xml:space="preserve"> No. 090 </w:t>
      </w:r>
      <w:r w:rsidR="00164743" w:rsidRPr="00012C3F">
        <w:rPr>
          <w:sz w:val="20"/>
          <w:szCs w:val="20"/>
          <w:lang w:val="en-US"/>
        </w:rPr>
        <w:t>on February 26,</w:t>
      </w:r>
      <w:r w:rsidR="00696506" w:rsidRPr="00012C3F">
        <w:rPr>
          <w:sz w:val="20"/>
          <w:szCs w:val="20"/>
          <w:lang w:val="en-US"/>
        </w:rPr>
        <w:t xml:space="preserve"> 2008, </w:t>
      </w:r>
      <w:r w:rsidR="00164743" w:rsidRPr="00012C3F">
        <w:rPr>
          <w:sz w:val="20"/>
          <w:szCs w:val="20"/>
          <w:lang w:val="en-US"/>
        </w:rPr>
        <w:t>which contains basic standards, protocols and forms for obtaining consent; (b) the “Rights-based contraception standards, rules, protocols and procedures” adopted by</w:t>
      </w:r>
      <w:r w:rsidR="00164743" w:rsidRPr="00012C3F">
        <w:rPr>
          <w:b/>
          <w:sz w:val="16"/>
          <w:szCs w:val="16"/>
          <w:lang w:val="en-US"/>
        </w:rPr>
        <w:t xml:space="preserve"> </w:t>
      </w:r>
      <w:r w:rsidR="00435129" w:rsidRPr="00012C3F">
        <w:rPr>
          <w:sz w:val="20"/>
          <w:szCs w:val="20"/>
          <w:lang w:val="en-US"/>
        </w:rPr>
        <w:t>Ministerial Resolution</w:t>
      </w:r>
      <w:r w:rsidR="00696506" w:rsidRPr="00012C3F">
        <w:rPr>
          <w:sz w:val="20"/>
          <w:szCs w:val="20"/>
          <w:lang w:val="en-US"/>
        </w:rPr>
        <w:t xml:space="preserve"> No. 517 </w:t>
      </w:r>
      <w:r w:rsidR="00164743" w:rsidRPr="00012C3F">
        <w:rPr>
          <w:sz w:val="20"/>
          <w:szCs w:val="20"/>
          <w:lang w:val="en-US"/>
        </w:rPr>
        <w:t>on December 30,</w:t>
      </w:r>
      <w:r w:rsidR="00696506" w:rsidRPr="00012C3F">
        <w:rPr>
          <w:sz w:val="20"/>
          <w:szCs w:val="20"/>
          <w:lang w:val="en-US"/>
        </w:rPr>
        <w:t xml:space="preserve"> 2003; </w:t>
      </w:r>
      <w:r w:rsidR="00164743" w:rsidRPr="00012C3F">
        <w:rPr>
          <w:sz w:val="20"/>
          <w:szCs w:val="20"/>
          <w:lang w:val="en-US"/>
        </w:rPr>
        <w:t>(</w:t>
      </w:r>
      <w:r w:rsidR="00D76766" w:rsidRPr="00012C3F">
        <w:rPr>
          <w:sz w:val="20"/>
          <w:szCs w:val="20"/>
          <w:lang w:val="en-US"/>
        </w:rPr>
        <w:t>c</w:t>
      </w:r>
      <w:r w:rsidR="00696506" w:rsidRPr="00012C3F">
        <w:rPr>
          <w:sz w:val="20"/>
          <w:szCs w:val="20"/>
          <w:lang w:val="en-US"/>
        </w:rPr>
        <w:t xml:space="preserve">) </w:t>
      </w:r>
      <w:r w:rsidR="00164743" w:rsidRPr="00012C3F">
        <w:rPr>
          <w:sz w:val="20"/>
          <w:szCs w:val="20"/>
          <w:lang w:val="en-US"/>
        </w:rPr>
        <w:t>the Standard for v</w:t>
      </w:r>
      <w:r w:rsidR="00435129" w:rsidRPr="00012C3F">
        <w:rPr>
          <w:sz w:val="20"/>
          <w:szCs w:val="20"/>
          <w:lang w:val="en-US"/>
        </w:rPr>
        <w:t>oluntary surgical contraception</w:t>
      </w:r>
      <w:r w:rsidR="00696506" w:rsidRPr="00012C3F">
        <w:rPr>
          <w:sz w:val="20"/>
          <w:szCs w:val="20"/>
          <w:lang w:val="en-US"/>
        </w:rPr>
        <w:t>-</w:t>
      </w:r>
      <w:r w:rsidR="00164743" w:rsidRPr="00012C3F">
        <w:rPr>
          <w:sz w:val="20"/>
          <w:szCs w:val="20"/>
          <w:lang w:val="en-US"/>
        </w:rPr>
        <w:t xml:space="preserve">bilateral tubal ligation in cases of reproductive risk </w:t>
      </w:r>
      <w:r w:rsidR="00696506" w:rsidRPr="00012C3F">
        <w:rPr>
          <w:sz w:val="20"/>
          <w:szCs w:val="20"/>
          <w:lang w:val="en-US"/>
        </w:rPr>
        <w:t>MSPS 4-98, a</w:t>
      </w:r>
      <w:r w:rsidR="00164743" w:rsidRPr="00012C3F">
        <w:rPr>
          <w:sz w:val="20"/>
          <w:szCs w:val="20"/>
          <w:lang w:val="en-US"/>
        </w:rPr>
        <w:t xml:space="preserve">dopted by </w:t>
      </w:r>
      <w:r w:rsidR="00435129" w:rsidRPr="00012C3F">
        <w:rPr>
          <w:sz w:val="20"/>
          <w:szCs w:val="20"/>
          <w:lang w:val="en-US"/>
        </w:rPr>
        <w:t>Ministerial Resolution</w:t>
      </w:r>
      <w:r w:rsidR="00696506" w:rsidRPr="00012C3F">
        <w:rPr>
          <w:sz w:val="20"/>
          <w:szCs w:val="20"/>
          <w:lang w:val="en-US"/>
        </w:rPr>
        <w:t xml:space="preserve"> No. 789 </w:t>
      </w:r>
      <w:r w:rsidR="00164743" w:rsidRPr="00012C3F">
        <w:rPr>
          <w:sz w:val="20"/>
          <w:szCs w:val="20"/>
          <w:lang w:val="en-US"/>
        </w:rPr>
        <w:t xml:space="preserve">on November 17, </w:t>
      </w:r>
      <w:r w:rsidR="00696506" w:rsidRPr="00012C3F">
        <w:rPr>
          <w:sz w:val="20"/>
          <w:szCs w:val="20"/>
          <w:lang w:val="en-US"/>
        </w:rPr>
        <w:t>1998,</w:t>
      </w:r>
      <w:r w:rsidR="005E5012" w:rsidRPr="00012C3F">
        <w:rPr>
          <w:sz w:val="20"/>
          <w:szCs w:val="20"/>
          <w:lang w:val="en-US"/>
        </w:rPr>
        <w:t xml:space="preserve"> and </w:t>
      </w:r>
      <w:r w:rsidR="00164743" w:rsidRPr="00012C3F">
        <w:rPr>
          <w:sz w:val="20"/>
          <w:szCs w:val="20"/>
          <w:lang w:val="en-US"/>
        </w:rPr>
        <w:t>(</w:t>
      </w:r>
      <w:r w:rsidR="00D76766" w:rsidRPr="00012C3F">
        <w:rPr>
          <w:sz w:val="20"/>
          <w:szCs w:val="20"/>
          <w:lang w:val="en-US"/>
        </w:rPr>
        <w:t>d</w:t>
      </w:r>
      <w:r w:rsidR="00696506" w:rsidRPr="00012C3F">
        <w:rPr>
          <w:sz w:val="20"/>
          <w:szCs w:val="20"/>
          <w:lang w:val="en-US"/>
        </w:rPr>
        <w:t xml:space="preserve">) </w:t>
      </w:r>
      <w:r w:rsidR="00164743" w:rsidRPr="00012C3F">
        <w:rPr>
          <w:sz w:val="20"/>
          <w:szCs w:val="20"/>
          <w:lang w:val="en-US"/>
        </w:rPr>
        <w:t xml:space="preserve">the National Strategic Plan for Sexual and Reproductive Health, </w:t>
      </w:r>
      <w:r w:rsidR="00696506" w:rsidRPr="00012C3F">
        <w:rPr>
          <w:sz w:val="20"/>
          <w:szCs w:val="20"/>
          <w:lang w:val="en-US"/>
        </w:rPr>
        <w:t>2009-2015.</w:t>
      </w:r>
    </w:p>
    <w:p w14:paraId="0CBB64A3" w14:textId="77777777" w:rsidR="008D0B77" w:rsidRPr="00012C3F" w:rsidRDefault="008D0B77" w:rsidP="00EC75D6">
      <w:pPr>
        <w:tabs>
          <w:tab w:val="left" w:pos="720"/>
        </w:tabs>
        <w:spacing w:line="240" w:lineRule="auto"/>
        <w:ind w:right="-90"/>
        <w:rPr>
          <w:rFonts w:cs="Verdana"/>
          <w:i/>
          <w:sz w:val="20"/>
          <w:szCs w:val="20"/>
          <w:lang w:val="en-US"/>
        </w:rPr>
      </w:pPr>
    </w:p>
    <w:p w14:paraId="0C1071D9" w14:textId="77777777" w:rsidR="008D0B77" w:rsidRPr="00012C3F" w:rsidRDefault="00164743" w:rsidP="00EC75D6">
      <w:pPr>
        <w:numPr>
          <w:ilvl w:val="0"/>
          <w:numId w:val="5"/>
        </w:numPr>
        <w:tabs>
          <w:tab w:val="left" w:pos="720"/>
          <w:tab w:val="num" w:pos="12305"/>
        </w:tabs>
        <w:spacing w:line="240" w:lineRule="auto"/>
        <w:ind w:left="0" w:firstLine="0"/>
        <w:rPr>
          <w:rFonts w:cs="Verdana"/>
          <w:sz w:val="20"/>
          <w:szCs w:val="20"/>
          <w:lang w:val="en-US"/>
        </w:rPr>
      </w:pPr>
      <w:r w:rsidRPr="00012C3F">
        <w:rPr>
          <w:rFonts w:cs="Verdana"/>
          <w:sz w:val="20"/>
          <w:szCs w:val="20"/>
          <w:lang w:val="en-US"/>
        </w:rPr>
        <w:t xml:space="preserve">With regard to the measures requested that have been described previously, the Court finds that the delivery of </w:t>
      </w:r>
      <w:r w:rsidR="000F735E" w:rsidRPr="00012C3F">
        <w:rPr>
          <w:rFonts w:cs="Verdana"/>
          <w:sz w:val="20"/>
          <w:szCs w:val="20"/>
          <w:lang w:val="en-US"/>
        </w:rPr>
        <w:t>this judgment</w:t>
      </w:r>
      <w:r w:rsidR="008D0B77" w:rsidRPr="00012C3F">
        <w:rPr>
          <w:rFonts w:cs="Verdana"/>
          <w:sz w:val="20"/>
          <w:szCs w:val="20"/>
          <w:lang w:val="en-US"/>
        </w:rPr>
        <w:t xml:space="preserve">, </w:t>
      </w:r>
      <w:r w:rsidRPr="00012C3F">
        <w:rPr>
          <w:rFonts w:cs="Verdana"/>
          <w:sz w:val="20"/>
          <w:szCs w:val="20"/>
          <w:lang w:val="en-US"/>
        </w:rPr>
        <w:t>together with the other measures ordered, are sufficient and adequate to remedy the violations suffered by the victim and does not find it necessary to order additional measures.</w:t>
      </w:r>
    </w:p>
    <w:p w14:paraId="6DEC40E2" w14:textId="77777777" w:rsidR="00E1447C" w:rsidRPr="00012C3F" w:rsidRDefault="00E1447C" w:rsidP="00E1447C">
      <w:pPr>
        <w:tabs>
          <w:tab w:val="left" w:pos="720"/>
        </w:tabs>
        <w:spacing w:line="240" w:lineRule="auto"/>
        <w:rPr>
          <w:rFonts w:cs="Verdana"/>
          <w:sz w:val="20"/>
          <w:szCs w:val="20"/>
          <w:lang w:val="en-US"/>
        </w:rPr>
      </w:pPr>
    </w:p>
    <w:p w14:paraId="1B822101" w14:textId="77777777" w:rsidR="00E1447C" w:rsidRPr="00012C3F" w:rsidRDefault="00E1447C" w:rsidP="00E1447C">
      <w:pPr>
        <w:pStyle w:val="Prrafodelista"/>
        <w:keepNext/>
        <w:keepLines/>
        <w:tabs>
          <w:tab w:val="left" w:pos="720"/>
          <w:tab w:val="left" w:pos="1134"/>
        </w:tabs>
        <w:spacing w:line="240" w:lineRule="auto"/>
        <w:ind w:left="825"/>
        <w:outlineLvl w:val="1"/>
        <w:rPr>
          <w:rFonts w:eastAsia="MS Mincho"/>
          <w:b/>
          <w:bCs/>
          <w:i/>
          <w:sz w:val="20"/>
          <w:szCs w:val="20"/>
          <w:lang w:val="en-US"/>
        </w:rPr>
      </w:pPr>
      <w:bookmarkStart w:id="204" w:name="_Toc27486895"/>
      <w:r w:rsidRPr="00012C3F">
        <w:rPr>
          <w:rFonts w:eastAsia="MS Mincho"/>
          <w:b/>
          <w:bCs/>
          <w:i/>
          <w:sz w:val="20"/>
          <w:szCs w:val="20"/>
          <w:lang w:val="en-US"/>
        </w:rPr>
        <w:t>F.</w:t>
      </w:r>
      <w:r w:rsidRPr="00012C3F">
        <w:rPr>
          <w:rFonts w:eastAsia="MS Mincho"/>
          <w:b/>
          <w:bCs/>
          <w:i/>
          <w:sz w:val="20"/>
          <w:szCs w:val="20"/>
          <w:lang w:val="en-US"/>
        </w:rPr>
        <w:tab/>
        <w:t>Compensation for pecuniary and non-pecuniary damage</w:t>
      </w:r>
      <w:bookmarkEnd w:id="204"/>
    </w:p>
    <w:p w14:paraId="6A38E36D" w14:textId="77777777" w:rsidR="00EC75D6" w:rsidRPr="00012C3F" w:rsidRDefault="00EC75D6" w:rsidP="00E1447C">
      <w:pPr>
        <w:spacing w:line="240" w:lineRule="auto"/>
        <w:rPr>
          <w:rFonts w:cs="Verdana"/>
          <w:sz w:val="20"/>
          <w:szCs w:val="20"/>
          <w:lang w:val="en-US"/>
        </w:rPr>
      </w:pPr>
    </w:p>
    <w:p w14:paraId="2379B20D" w14:textId="77777777" w:rsidR="00EC75D6" w:rsidRPr="00012C3F" w:rsidRDefault="00EC75D6" w:rsidP="00EC75D6">
      <w:pPr>
        <w:numPr>
          <w:ilvl w:val="0"/>
          <w:numId w:val="5"/>
        </w:numPr>
        <w:tabs>
          <w:tab w:val="left" w:pos="720"/>
          <w:tab w:val="num" w:pos="12305"/>
        </w:tabs>
        <w:spacing w:line="240" w:lineRule="auto"/>
        <w:ind w:left="0" w:firstLine="0"/>
        <w:rPr>
          <w:rFonts w:cs="Verdana"/>
          <w:sz w:val="20"/>
          <w:szCs w:val="20"/>
          <w:lang w:val="en-US"/>
        </w:rPr>
      </w:pPr>
      <w:r w:rsidRPr="00012C3F">
        <w:rPr>
          <w:rFonts w:cs="Verdana"/>
          <w:sz w:val="20"/>
          <w:szCs w:val="20"/>
          <w:lang w:val="en-US"/>
        </w:rPr>
        <w:t xml:space="preserve">The </w:t>
      </w:r>
      <w:r w:rsidRPr="00012C3F">
        <w:rPr>
          <w:rFonts w:cs="Verdana"/>
          <w:b/>
          <w:bCs/>
          <w:i/>
          <w:iCs/>
          <w:sz w:val="20"/>
          <w:szCs w:val="20"/>
          <w:lang w:val="en-US"/>
        </w:rPr>
        <w:t>Commission</w:t>
      </w:r>
      <w:r w:rsidRPr="00012C3F">
        <w:rPr>
          <w:rFonts w:cs="Verdana"/>
          <w:sz w:val="20"/>
          <w:szCs w:val="20"/>
          <w:lang w:val="en-US"/>
        </w:rPr>
        <w:t xml:space="preserve"> asked the Court to order the State </w:t>
      </w:r>
      <w:r w:rsidR="00E1447C" w:rsidRPr="00012C3F">
        <w:rPr>
          <w:rFonts w:cs="Verdana"/>
          <w:sz w:val="20"/>
          <w:szCs w:val="20"/>
          <w:lang w:val="en-US"/>
        </w:rPr>
        <w:t>“to provide comprehensive reparation to I.V. for the human rights violations established in [its Merits] Report, taking into consideration her prospects and her needs, including compensation for the pecuniary and non-pecuniary damage suffered.”</w:t>
      </w:r>
    </w:p>
    <w:p w14:paraId="0EB07451" w14:textId="77777777" w:rsidR="008D0B77" w:rsidRPr="00012C3F" w:rsidRDefault="008D0B77" w:rsidP="009A3CA5">
      <w:pPr>
        <w:pStyle w:val="Prrafodelista2"/>
        <w:tabs>
          <w:tab w:val="left" w:pos="0"/>
          <w:tab w:val="left" w:pos="720"/>
          <w:tab w:val="num" w:pos="12305"/>
        </w:tabs>
        <w:ind w:left="0" w:right="-90"/>
        <w:jc w:val="both"/>
        <w:rPr>
          <w:rFonts w:cs="Tahoma"/>
          <w:b/>
          <w:lang w:val="en-US"/>
        </w:rPr>
      </w:pPr>
    </w:p>
    <w:p w14:paraId="226B07DE" w14:textId="77777777" w:rsidR="00E1447C" w:rsidRPr="00012C3F" w:rsidRDefault="00972ACF" w:rsidP="009A3CA5">
      <w:pPr>
        <w:numPr>
          <w:ilvl w:val="0"/>
          <w:numId w:val="5"/>
        </w:numPr>
        <w:tabs>
          <w:tab w:val="left" w:pos="720"/>
          <w:tab w:val="num" w:pos="12305"/>
        </w:tabs>
        <w:spacing w:line="240" w:lineRule="auto"/>
        <w:ind w:left="0" w:firstLine="0"/>
        <w:rPr>
          <w:b/>
          <w:bCs/>
          <w:i/>
          <w:sz w:val="20"/>
          <w:szCs w:val="20"/>
          <w:lang w:val="en-US"/>
        </w:rPr>
      </w:pPr>
      <w:r w:rsidRPr="00012C3F">
        <w:rPr>
          <w:bCs/>
          <w:sz w:val="20"/>
          <w:szCs w:val="20"/>
          <w:lang w:val="en-US"/>
        </w:rPr>
        <w:t xml:space="preserve">The </w:t>
      </w:r>
      <w:r w:rsidRPr="00012C3F">
        <w:rPr>
          <w:b/>
          <w:i/>
          <w:iCs/>
          <w:sz w:val="20"/>
          <w:szCs w:val="20"/>
          <w:lang w:val="en-US"/>
        </w:rPr>
        <w:t>representative</w:t>
      </w:r>
      <w:r w:rsidR="00E1447C" w:rsidRPr="00012C3F">
        <w:rPr>
          <w:b/>
          <w:i/>
          <w:iCs/>
          <w:sz w:val="20"/>
          <w:szCs w:val="20"/>
          <w:lang w:val="en-US"/>
        </w:rPr>
        <w:t xml:space="preserve">, </w:t>
      </w:r>
      <w:r w:rsidR="00E1447C" w:rsidRPr="00012C3F">
        <w:rPr>
          <w:bCs/>
          <w:sz w:val="20"/>
          <w:szCs w:val="20"/>
          <w:lang w:val="en-US"/>
        </w:rPr>
        <w:t xml:space="preserve">in her final written arguments, asked for the State to comply with payment of the financial reparations as soon as possible, taking into consideration the </w:t>
      </w:r>
      <w:r w:rsidR="00CE43D0" w:rsidRPr="00012C3F">
        <w:rPr>
          <w:bCs/>
          <w:sz w:val="20"/>
          <w:szCs w:val="20"/>
          <w:lang w:val="en-US"/>
        </w:rPr>
        <w:t>significant</w:t>
      </w:r>
      <w:r w:rsidR="00E1447C" w:rsidRPr="00012C3F">
        <w:rPr>
          <w:bCs/>
          <w:sz w:val="20"/>
          <w:szCs w:val="20"/>
          <w:lang w:val="en-US"/>
        </w:rPr>
        <w:t xml:space="preserve"> financial problems that I.V. and her family have faced. The representative also asked that none of the payments made by the State be subject to any taxes of charges, so that the victims and their representatives receive the sums ordered by the Court in full.</w:t>
      </w:r>
    </w:p>
    <w:p w14:paraId="7F198B37" w14:textId="77777777" w:rsidR="008D0B77" w:rsidRPr="00012C3F" w:rsidRDefault="008D0B77" w:rsidP="006E754A">
      <w:pPr>
        <w:pStyle w:val="Prrafodelista2"/>
        <w:tabs>
          <w:tab w:val="left" w:pos="0"/>
          <w:tab w:val="num" w:pos="12305"/>
        </w:tabs>
        <w:ind w:left="0" w:right="-90"/>
        <w:jc w:val="both"/>
        <w:rPr>
          <w:b/>
          <w:bCs/>
          <w:i/>
          <w:lang w:val="en-US"/>
        </w:rPr>
      </w:pPr>
    </w:p>
    <w:p w14:paraId="11FEA655" w14:textId="77777777" w:rsidR="00803672" w:rsidRPr="00012C3F" w:rsidRDefault="00972ACF" w:rsidP="00E1447C">
      <w:pPr>
        <w:numPr>
          <w:ilvl w:val="0"/>
          <w:numId w:val="5"/>
        </w:numPr>
        <w:tabs>
          <w:tab w:val="left" w:pos="720"/>
          <w:tab w:val="num" w:pos="12305"/>
        </w:tabs>
        <w:spacing w:line="240" w:lineRule="auto"/>
        <w:ind w:left="0" w:firstLine="0"/>
        <w:rPr>
          <w:rFonts w:eastAsia="Calibri"/>
          <w:bCs/>
          <w:lang w:val="en-US"/>
        </w:rPr>
      </w:pPr>
      <w:r w:rsidRPr="00012C3F">
        <w:rPr>
          <w:sz w:val="20"/>
          <w:szCs w:val="20"/>
          <w:lang w:val="en-US"/>
        </w:rPr>
        <w:t>The representative</w:t>
      </w:r>
      <w:r w:rsidR="008D0B77" w:rsidRPr="00012C3F">
        <w:rPr>
          <w:rFonts w:cs="Tahoma"/>
          <w:sz w:val="20"/>
          <w:szCs w:val="20"/>
          <w:lang w:val="en-US"/>
        </w:rPr>
        <w:t xml:space="preserve"> </w:t>
      </w:r>
      <w:r w:rsidR="00E1447C" w:rsidRPr="00012C3F">
        <w:rPr>
          <w:rFonts w:cs="Tahoma"/>
          <w:sz w:val="20"/>
          <w:szCs w:val="20"/>
          <w:lang w:val="en-US"/>
        </w:rPr>
        <w:t xml:space="preserve">indicated, with regard to pecuniary damage, that “I.V. had destroyed most of the documentation supporting the expenses she had incurred since 2000 during an emotional crisis in 2013 as a result of which she had to be interned in a psychiatric establishment diagnosed with organic </w:t>
      </w:r>
      <w:r w:rsidR="00E1447C" w:rsidRPr="00012C3F">
        <w:rPr>
          <w:sz w:val="20"/>
          <w:szCs w:val="20"/>
          <w:lang w:val="en-US"/>
        </w:rPr>
        <w:t xml:space="preserve">schizophreniform disorder.” This disorder, and the 2013 crisis, were the result of the facts of this case. Therefore, </w:t>
      </w:r>
      <w:r w:rsidR="00CC0149" w:rsidRPr="00012C3F">
        <w:rPr>
          <w:sz w:val="20"/>
          <w:szCs w:val="20"/>
          <w:lang w:val="en-US"/>
        </w:rPr>
        <w:t xml:space="preserve">as evidence, </w:t>
      </w:r>
      <w:r w:rsidR="00E1447C" w:rsidRPr="00012C3F">
        <w:rPr>
          <w:sz w:val="20"/>
          <w:szCs w:val="20"/>
          <w:lang w:val="en-US"/>
        </w:rPr>
        <w:t xml:space="preserve">the representative </w:t>
      </w:r>
      <w:r w:rsidR="00CC0149" w:rsidRPr="00012C3F">
        <w:rPr>
          <w:sz w:val="20"/>
          <w:szCs w:val="20"/>
          <w:lang w:val="en-US"/>
        </w:rPr>
        <w:t>only attached a few documents to support the expenses incurred by I.V. and asked the Court to calculate the pecuniary damage taking into account objective and reasonable parameters and the criteria for the principle of equity. Also, the representative requested: (i) for loss of or detriment to the earnings of I.V. over the last 15 years of emotional instability and her personal commitment to obtain justice</w:t>
      </w:r>
      <w:r w:rsidR="00CE43D0" w:rsidRPr="00012C3F">
        <w:rPr>
          <w:sz w:val="20"/>
          <w:szCs w:val="20"/>
          <w:lang w:val="en-US"/>
        </w:rPr>
        <w:t>, which</w:t>
      </w:r>
      <w:r w:rsidR="00CC0149" w:rsidRPr="00012C3F">
        <w:rPr>
          <w:sz w:val="20"/>
          <w:szCs w:val="20"/>
          <w:lang w:val="en-US"/>
        </w:rPr>
        <w:t xml:space="preserve"> resulted in her being unemployed for most of the time and made it impossible for her to obtain permanent, stable, </w:t>
      </w:r>
      <w:r w:rsidR="00C471ED" w:rsidRPr="00012C3F">
        <w:rPr>
          <w:sz w:val="20"/>
          <w:szCs w:val="20"/>
          <w:lang w:val="en-US"/>
        </w:rPr>
        <w:t>reliable</w:t>
      </w:r>
      <w:r w:rsidR="00CC0149" w:rsidRPr="00012C3F">
        <w:rPr>
          <w:sz w:val="20"/>
          <w:szCs w:val="20"/>
          <w:lang w:val="en-US"/>
        </w:rPr>
        <w:t xml:space="preserve"> and well-paid employment and to promote her life project, the sum of 308,772 bolivianos, equivalent to</w:t>
      </w:r>
      <w:r w:rsidR="00CC0149" w:rsidRPr="00012C3F">
        <w:rPr>
          <w:rFonts w:eastAsia="Calibri"/>
          <w:bCs/>
          <w:lang w:val="en-US"/>
        </w:rPr>
        <w:t xml:space="preserve"> </w:t>
      </w:r>
      <w:r w:rsidR="008D0B77" w:rsidRPr="00012C3F">
        <w:rPr>
          <w:rFonts w:eastAsia="Calibri"/>
          <w:bCs/>
          <w:sz w:val="20"/>
          <w:szCs w:val="20"/>
          <w:lang w:val="en-US"/>
        </w:rPr>
        <w:t>US$44</w:t>
      </w:r>
      <w:r w:rsidR="00CC0149" w:rsidRPr="00012C3F">
        <w:rPr>
          <w:rFonts w:eastAsia="Calibri"/>
          <w:bCs/>
          <w:sz w:val="20"/>
          <w:szCs w:val="20"/>
          <w:lang w:val="en-US"/>
        </w:rPr>
        <w:t>,</w:t>
      </w:r>
      <w:r w:rsidR="008D0B77" w:rsidRPr="00012C3F">
        <w:rPr>
          <w:rFonts w:eastAsia="Calibri"/>
          <w:bCs/>
          <w:sz w:val="20"/>
          <w:szCs w:val="20"/>
          <w:lang w:val="en-US"/>
        </w:rPr>
        <w:t>363</w:t>
      </w:r>
      <w:r w:rsidR="00CE43D0" w:rsidRPr="00012C3F">
        <w:rPr>
          <w:rFonts w:eastAsia="Calibri"/>
          <w:bCs/>
          <w:sz w:val="20"/>
          <w:szCs w:val="20"/>
          <w:lang w:val="en-US"/>
        </w:rPr>
        <w:t>, and</w:t>
      </w:r>
      <w:r w:rsidR="008D0B77" w:rsidRPr="00012C3F">
        <w:rPr>
          <w:rFonts w:eastAsia="Calibri"/>
          <w:bCs/>
          <w:sz w:val="20"/>
          <w:szCs w:val="20"/>
          <w:lang w:val="en-US"/>
        </w:rPr>
        <w:t xml:space="preserve"> </w:t>
      </w:r>
      <w:r w:rsidR="00CC0149" w:rsidRPr="00012C3F">
        <w:rPr>
          <w:rFonts w:eastAsia="Calibri"/>
          <w:bCs/>
          <w:sz w:val="20"/>
          <w:szCs w:val="20"/>
          <w:lang w:val="en-US"/>
        </w:rPr>
        <w:t>(</w:t>
      </w:r>
      <w:r w:rsidR="008D0B77" w:rsidRPr="00012C3F">
        <w:rPr>
          <w:rFonts w:eastAsia="Calibri"/>
          <w:bCs/>
          <w:sz w:val="20"/>
          <w:szCs w:val="20"/>
          <w:lang w:val="en-US"/>
        </w:rPr>
        <w:t xml:space="preserve">ii) </w:t>
      </w:r>
      <w:r w:rsidR="00CC0149" w:rsidRPr="00012C3F">
        <w:rPr>
          <w:bCs/>
          <w:sz w:val="20"/>
          <w:szCs w:val="20"/>
          <w:lang w:val="en-US"/>
        </w:rPr>
        <w:t xml:space="preserve">for health care expenses incurred by I.V., the sum of </w:t>
      </w:r>
      <w:r w:rsidR="008D0B77" w:rsidRPr="00012C3F">
        <w:rPr>
          <w:rFonts w:eastAsia="Calibri"/>
          <w:bCs/>
          <w:sz w:val="20"/>
          <w:szCs w:val="20"/>
          <w:lang w:val="en-US"/>
        </w:rPr>
        <w:t>US$4</w:t>
      </w:r>
      <w:r w:rsidR="00CC0149" w:rsidRPr="00012C3F">
        <w:rPr>
          <w:rFonts w:eastAsia="Calibri"/>
          <w:bCs/>
          <w:sz w:val="20"/>
          <w:szCs w:val="20"/>
          <w:lang w:val="en-US"/>
        </w:rPr>
        <w:t>,</w:t>
      </w:r>
      <w:r w:rsidR="008D0B77" w:rsidRPr="00012C3F">
        <w:rPr>
          <w:rFonts w:eastAsia="Calibri"/>
          <w:bCs/>
          <w:sz w:val="20"/>
          <w:szCs w:val="20"/>
          <w:lang w:val="en-US"/>
        </w:rPr>
        <w:t>500</w:t>
      </w:r>
      <w:r w:rsidR="00CC0149" w:rsidRPr="00012C3F">
        <w:rPr>
          <w:rFonts w:eastAsia="Calibri"/>
          <w:bCs/>
          <w:sz w:val="20"/>
          <w:szCs w:val="20"/>
          <w:lang w:val="en-US"/>
        </w:rPr>
        <w:t>.</w:t>
      </w:r>
      <w:r w:rsidR="008D0B77" w:rsidRPr="00012C3F">
        <w:rPr>
          <w:rStyle w:val="Refdenotaalpie"/>
          <w:rFonts w:eastAsia="Calibri"/>
          <w:sz w:val="20"/>
          <w:szCs w:val="20"/>
          <w:lang w:val="en-US"/>
        </w:rPr>
        <w:footnoteReference w:id="411"/>
      </w:r>
      <w:r w:rsidR="00C13AFF" w:rsidRPr="00012C3F">
        <w:rPr>
          <w:rFonts w:eastAsia="Calibri"/>
          <w:bCs/>
          <w:sz w:val="20"/>
          <w:szCs w:val="20"/>
          <w:lang w:val="en-US"/>
        </w:rPr>
        <w:t xml:space="preserve"> </w:t>
      </w:r>
      <w:r w:rsidR="00803672" w:rsidRPr="00012C3F">
        <w:rPr>
          <w:rFonts w:eastAsia="Calibri"/>
          <w:bCs/>
          <w:sz w:val="20"/>
          <w:szCs w:val="20"/>
          <w:lang w:val="en-US"/>
        </w:rPr>
        <w:t xml:space="preserve">To this end, she asked that the </w:t>
      </w:r>
      <w:r w:rsidR="009D3EE9" w:rsidRPr="00012C3F">
        <w:rPr>
          <w:rFonts w:eastAsia="Calibri"/>
          <w:bCs/>
          <w:sz w:val="20"/>
          <w:szCs w:val="20"/>
          <w:lang w:val="en-US"/>
        </w:rPr>
        <w:t>Court</w:t>
      </w:r>
      <w:r w:rsidR="00803672" w:rsidRPr="00012C3F">
        <w:rPr>
          <w:rFonts w:eastAsia="Calibri"/>
          <w:bCs/>
          <w:sz w:val="20"/>
          <w:szCs w:val="20"/>
          <w:lang w:val="en-US"/>
        </w:rPr>
        <w:t xml:space="preserve"> take into account as a </w:t>
      </w:r>
      <w:r w:rsidR="00803672" w:rsidRPr="00012C3F">
        <w:rPr>
          <w:rFonts w:eastAsia="Calibri"/>
          <w:bCs/>
          <w:sz w:val="20"/>
          <w:szCs w:val="20"/>
          <w:lang w:val="en-US"/>
        </w:rPr>
        <w:lastRenderedPageBreak/>
        <w:t xml:space="preserve">minimum </w:t>
      </w:r>
      <w:r w:rsidR="00CE43D0" w:rsidRPr="00012C3F">
        <w:rPr>
          <w:rFonts w:eastAsia="Calibri"/>
          <w:bCs/>
          <w:sz w:val="20"/>
          <w:szCs w:val="20"/>
          <w:lang w:val="en-US"/>
        </w:rPr>
        <w:t>parameter</w:t>
      </w:r>
      <w:r w:rsidR="00803672" w:rsidRPr="00012C3F">
        <w:rPr>
          <w:rFonts w:eastAsia="Calibri"/>
          <w:bCs/>
          <w:sz w:val="20"/>
          <w:szCs w:val="20"/>
          <w:lang w:val="en-US"/>
        </w:rPr>
        <w:t xml:space="preserve"> </w:t>
      </w:r>
      <w:r w:rsidR="00CE43D0" w:rsidRPr="00012C3F">
        <w:rPr>
          <w:rFonts w:eastAsia="Calibri"/>
          <w:bCs/>
          <w:sz w:val="20"/>
          <w:szCs w:val="20"/>
          <w:lang w:val="en-US"/>
        </w:rPr>
        <w:t>for</w:t>
      </w:r>
      <w:r w:rsidR="00803672" w:rsidRPr="00012C3F">
        <w:rPr>
          <w:rFonts w:eastAsia="Calibri"/>
          <w:bCs/>
          <w:sz w:val="20"/>
          <w:szCs w:val="20"/>
          <w:lang w:val="en-US"/>
        </w:rPr>
        <w:t xml:space="preserve"> “some of the health care expenses” incurred by I.V., the sum of US$1,088, calculated based on certifications from several health care centers, pharmacy invoices, and medical fees, and (iii) for the expenses incurred in the search to obtain justice before diverse administrative entities of the State, the sum of US$862. In conclusion, with regard to the pecuniary damage caused to the victim and established under the three headings described above, the representative requested the sum of US$49,725. However, </w:t>
      </w:r>
      <w:r w:rsidR="00CE43D0" w:rsidRPr="00012C3F">
        <w:rPr>
          <w:rFonts w:eastAsia="Calibri"/>
          <w:bCs/>
          <w:sz w:val="20"/>
          <w:szCs w:val="20"/>
          <w:lang w:val="en-US"/>
        </w:rPr>
        <w:t>she</w:t>
      </w:r>
      <w:r w:rsidR="00803672" w:rsidRPr="00012C3F">
        <w:rPr>
          <w:rFonts w:eastAsia="Calibri"/>
          <w:bCs/>
          <w:sz w:val="20"/>
          <w:szCs w:val="20"/>
          <w:lang w:val="en-US"/>
        </w:rPr>
        <w:t xml:space="preserve"> also asked that “[i]f the Court […] did not agree with the calculation of the pecuniary damage requested</w:t>
      </w:r>
      <w:r w:rsidR="00C471ED" w:rsidRPr="00012C3F">
        <w:rPr>
          <w:rFonts w:eastAsia="Calibri"/>
          <w:bCs/>
          <w:sz w:val="20"/>
          <w:szCs w:val="20"/>
          <w:lang w:val="en-US"/>
        </w:rPr>
        <w:t>, […] it make a calculation based on the principle of equity, taking into account the amounts mentioned and the parameters suggested.”</w:t>
      </w:r>
    </w:p>
    <w:p w14:paraId="713FCD56" w14:textId="77777777" w:rsidR="008D0B77" w:rsidRPr="00012C3F" w:rsidRDefault="008D0B77" w:rsidP="008D0B77">
      <w:pPr>
        <w:pStyle w:val="Prrafodelista2"/>
        <w:tabs>
          <w:tab w:val="left" w:pos="0"/>
          <w:tab w:val="num" w:pos="12305"/>
        </w:tabs>
        <w:ind w:left="0" w:right="-90"/>
        <w:jc w:val="both"/>
        <w:rPr>
          <w:rFonts w:eastAsia="Calibri"/>
          <w:bCs/>
          <w:lang w:val="en-US"/>
        </w:rPr>
      </w:pPr>
    </w:p>
    <w:p w14:paraId="37B560DE" w14:textId="77777777" w:rsidR="00C471ED" w:rsidRPr="00012C3F" w:rsidRDefault="00972ACF" w:rsidP="00C471ED">
      <w:pPr>
        <w:numPr>
          <w:ilvl w:val="0"/>
          <w:numId w:val="5"/>
        </w:numPr>
        <w:tabs>
          <w:tab w:val="left" w:pos="720"/>
          <w:tab w:val="num" w:pos="12305"/>
        </w:tabs>
        <w:spacing w:line="240" w:lineRule="auto"/>
        <w:ind w:left="0" w:firstLine="0"/>
        <w:rPr>
          <w:rFonts w:cs="Tahoma"/>
          <w:lang w:val="en-US"/>
        </w:rPr>
      </w:pPr>
      <w:r w:rsidRPr="00012C3F">
        <w:rPr>
          <w:rFonts w:cs="Tahoma"/>
          <w:sz w:val="20"/>
          <w:szCs w:val="20"/>
          <w:lang w:val="en-US"/>
        </w:rPr>
        <w:t>The representative</w:t>
      </w:r>
      <w:r w:rsidR="008D0B77" w:rsidRPr="00012C3F">
        <w:rPr>
          <w:rFonts w:cs="Tahoma"/>
          <w:sz w:val="20"/>
          <w:szCs w:val="20"/>
          <w:lang w:val="en-US"/>
        </w:rPr>
        <w:t xml:space="preserve"> </w:t>
      </w:r>
      <w:r w:rsidR="00C471ED" w:rsidRPr="00012C3F">
        <w:rPr>
          <w:rFonts w:cs="Tahoma"/>
          <w:sz w:val="20"/>
          <w:szCs w:val="20"/>
          <w:lang w:val="en-US"/>
        </w:rPr>
        <w:t>requested the sum of</w:t>
      </w:r>
      <w:r w:rsidR="008D0B77" w:rsidRPr="00012C3F">
        <w:rPr>
          <w:rFonts w:cs="Tahoma"/>
          <w:sz w:val="20"/>
          <w:szCs w:val="20"/>
          <w:lang w:val="en-US"/>
        </w:rPr>
        <w:t xml:space="preserve"> US$400</w:t>
      </w:r>
      <w:r w:rsidR="00C471ED" w:rsidRPr="00012C3F">
        <w:rPr>
          <w:rFonts w:cs="Tahoma"/>
          <w:sz w:val="20"/>
          <w:szCs w:val="20"/>
          <w:lang w:val="en-US"/>
        </w:rPr>
        <w:t>,</w:t>
      </w:r>
      <w:r w:rsidR="008D0B77" w:rsidRPr="00012C3F">
        <w:rPr>
          <w:rFonts w:cs="Tahoma"/>
          <w:sz w:val="20"/>
          <w:szCs w:val="20"/>
          <w:lang w:val="en-US"/>
        </w:rPr>
        <w:t>000</w:t>
      </w:r>
      <w:r w:rsidR="00C471ED" w:rsidRPr="00012C3F">
        <w:rPr>
          <w:rFonts w:cs="Tahoma"/>
          <w:sz w:val="20"/>
          <w:szCs w:val="20"/>
          <w:lang w:val="en-US"/>
        </w:rPr>
        <w:t xml:space="preserve"> for all the non-pecuniary damage caused to I.V. and her two daughters, specifying</w:t>
      </w:r>
      <w:r w:rsidR="008D0B77" w:rsidRPr="00012C3F">
        <w:rPr>
          <w:rFonts w:cs="Tahoma"/>
          <w:sz w:val="20"/>
          <w:szCs w:val="20"/>
          <w:lang w:val="en-US"/>
        </w:rPr>
        <w:t xml:space="preserve"> US$300</w:t>
      </w:r>
      <w:r w:rsidR="00C471ED" w:rsidRPr="00012C3F">
        <w:rPr>
          <w:rFonts w:cs="Tahoma"/>
          <w:sz w:val="20"/>
          <w:szCs w:val="20"/>
          <w:lang w:val="en-US"/>
        </w:rPr>
        <w:t>,</w:t>
      </w:r>
      <w:r w:rsidR="008D0B77" w:rsidRPr="00012C3F">
        <w:rPr>
          <w:rFonts w:cs="Tahoma"/>
          <w:sz w:val="20"/>
          <w:szCs w:val="20"/>
          <w:lang w:val="en-US"/>
        </w:rPr>
        <w:t xml:space="preserve">000 </w:t>
      </w:r>
      <w:r w:rsidR="00C471ED" w:rsidRPr="00012C3F">
        <w:rPr>
          <w:rFonts w:cs="Tahoma"/>
          <w:sz w:val="20"/>
          <w:szCs w:val="20"/>
          <w:lang w:val="en-US"/>
        </w:rPr>
        <w:t>for</w:t>
      </w:r>
      <w:r w:rsidR="008D0B77" w:rsidRPr="00012C3F">
        <w:rPr>
          <w:rFonts w:cs="Tahoma"/>
          <w:sz w:val="20"/>
          <w:szCs w:val="20"/>
          <w:lang w:val="en-US"/>
        </w:rPr>
        <w:t xml:space="preserve"> </w:t>
      </w:r>
      <w:r w:rsidR="000E1C11" w:rsidRPr="00012C3F">
        <w:rPr>
          <w:rFonts w:cs="Tahoma"/>
          <w:sz w:val="20"/>
          <w:szCs w:val="20"/>
          <w:lang w:val="en-US"/>
        </w:rPr>
        <w:t>I.V.</w:t>
      </w:r>
      <w:r w:rsidR="005E5012" w:rsidRPr="00012C3F">
        <w:rPr>
          <w:rFonts w:cs="Tahoma"/>
          <w:sz w:val="20"/>
          <w:szCs w:val="20"/>
          <w:lang w:val="en-US"/>
        </w:rPr>
        <w:t xml:space="preserve"> and</w:t>
      </w:r>
      <w:r w:rsidR="00C471ED" w:rsidRPr="00012C3F">
        <w:rPr>
          <w:rFonts w:cs="Tahoma"/>
          <w:sz w:val="20"/>
          <w:szCs w:val="20"/>
          <w:lang w:val="en-US"/>
        </w:rPr>
        <w:t xml:space="preserve"> a total of</w:t>
      </w:r>
      <w:r w:rsidR="005E5012" w:rsidRPr="00012C3F">
        <w:rPr>
          <w:rFonts w:cs="Tahoma"/>
          <w:sz w:val="20"/>
          <w:szCs w:val="20"/>
          <w:lang w:val="en-US"/>
        </w:rPr>
        <w:t xml:space="preserve"> </w:t>
      </w:r>
      <w:r w:rsidR="008D0B77" w:rsidRPr="00012C3F">
        <w:rPr>
          <w:rFonts w:cs="Tahoma"/>
          <w:sz w:val="20"/>
          <w:szCs w:val="20"/>
          <w:lang w:val="en-US"/>
        </w:rPr>
        <w:t>US</w:t>
      </w:r>
      <w:r w:rsidR="00C471ED" w:rsidRPr="00012C3F">
        <w:rPr>
          <w:rFonts w:cs="Tahoma"/>
          <w:sz w:val="20"/>
          <w:szCs w:val="20"/>
          <w:lang w:val="en-US"/>
        </w:rPr>
        <w:t>$</w:t>
      </w:r>
      <w:r w:rsidR="008D0B77" w:rsidRPr="00012C3F">
        <w:rPr>
          <w:rFonts w:cs="Tahoma"/>
          <w:sz w:val="20"/>
          <w:szCs w:val="20"/>
          <w:lang w:val="en-US"/>
        </w:rPr>
        <w:t>100</w:t>
      </w:r>
      <w:r w:rsidR="00C471ED" w:rsidRPr="00012C3F">
        <w:rPr>
          <w:rFonts w:cs="Tahoma"/>
          <w:sz w:val="20"/>
          <w:szCs w:val="20"/>
          <w:lang w:val="en-US"/>
        </w:rPr>
        <w:t>,</w:t>
      </w:r>
      <w:r w:rsidR="008D0B77" w:rsidRPr="00012C3F">
        <w:rPr>
          <w:rFonts w:cs="Tahoma"/>
          <w:sz w:val="20"/>
          <w:szCs w:val="20"/>
          <w:lang w:val="en-US"/>
        </w:rPr>
        <w:t xml:space="preserve">000 </w:t>
      </w:r>
      <w:r w:rsidR="00C471ED" w:rsidRPr="00012C3F">
        <w:rPr>
          <w:rFonts w:cs="Tahoma"/>
          <w:sz w:val="20"/>
          <w:szCs w:val="20"/>
          <w:lang w:val="en-US"/>
        </w:rPr>
        <w:t xml:space="preserve">for the two daughters. </w:t>
      </w:r>
      <w:r w:rsidRPr="00012C3F">
        <w:rPr>
          <w:rFonts w:cs="Tahoma"/>
          <w:sz w:val="20"/>
          <w:szCs w:val="20"/>
          <w:lang w:val="en-US"/>
        </w:rPr>
        <w:t>The representative</w:t>
      </w:r>
      <w:r w:rsidR="008D0B77" w:rsidRPr="00012C3F">
        <w:rPr>
          <w:rFonts w:cs="Tahoma"/>
          <w:sz w:val="20"/>
          <w:szCs w:val="20"/>
          <w:lang w:val="en-US"/>
        </w:rPr>
        <w:t xml:space="preserve"> </w:t>
      </w:r>
      <w:r w:rsidR="00C471ED" w:rsidRPr="00012C3F">
        <w:rPr>
          <w:rFonts w:cs="Tahoma"/>
          <w:sz w:val="20"/>
          <w:szCs w:val="20"/>
          <w:lang w:val="en-US"/>
        </w:rPr>
        <w:t xml:space="preserve">indicated that, in addition to the psychological harm that the victim experienced owing to the sterilization and judicial discrimination, she had to support and confront social, psycho-social and family consequences as a result of the facts. Among these, the representative underscored: (i) the disintegration of the relationship with her partner; (ii) the abandonment of the care of her daughters owing to the need to </w:t>
      </w:r>
      <w:r w:rsidR="00B0764D" w:rsidRPr="00012C3F">
        <w:rPr>
          <w:rFonts w:cs="Tahoma"/>
          <w:sz w:val="20"/>
          <w:szCs w:val="20"/>
          <w:lang w:val="en-US"/>
        </w:rPr>
        <w:t>advance</w:t>
      </w:r>
      <w:r w:rsidR="00C471ED" w:rsidRPr="00012C3F">
        <w:rPr>
          <w:rFonts w:cs="Tahoma"/>
          <w:sz w:val="20"/>
          <w:szCs w:val="20"/>
          <w:lang w:val="en-US"/>
        </w:rPr>
        <w:t xml:space="preserve"> the judicial proceedings at the national and international levels; (iii) the alteration of her life project because she had to  devote her time to the judicial proceedings and psychological therapy, which meant that she was unable to obtain stable, reliable and permanent employment; (iv) </w:t>
      </w:r>
      <w:r w:rsidR="00CD0139" w:rsidRPr="00012C3F">
        <w:rPr>
          <w:rFonts w:cs="Tahoma"/>
          <w:sz w:val="20"/>
          <w:szCs w:val="20"/>
          <w:lang w:val="en-US"/>
        </w:rPr>
        <w:t>the fact that she had to cope with the attempted suicide of he</w:t>
      </w:r>
      <w:r w:rsidR="00B0764D" w:rsidRPr="00012C3F">
        <w:rPr>
          <w:rFonts w:cs="Tahoma"/>
          <w:sz w:val="20"/>
          <w:szCs w:val="20"/>
          <w:lang w:val="en-US"/>
        </w:rPr>
        <w:t>r</w:t>
      </w:r>
      <w:r w:rsidR="00CD0139" w:rsidRPr="00012C3F">
        <w:rPr>
          <w:rFonts w:cs="Tahoma"/>
          <w:sz w:val="20"/>
          <w:szCs w:val="20"/>
          <w:lang w:val="en-US"/>
        </w:rPr>
        <w:t xml:space="preserve"> daughter N.V., who was overwhelmed by the circumstances arising from her mother’s situation, and (v) the re-victimization, discrimination and stigmatization over the last 15 years because she </w:t>
      </w:r>
      <w:r w:rsidR="00B0764D" w:rsidRPr="00012C3F">
        <w:rPr>
          <w:rFonts w:cs="Tahoma"/>
          <w:sz w:val="20"/>
          <w:szCs w:val="20"/>
          <w:lang w:val="en-US"/>
        </w:rPr>
        <w:t xml:space="preserve">had </w:t>
      </w:r>
      <w:r w:rsidR="00CD0139" w:rsidRPr="00012C3F">
        <w:rPr>
          <w:rFonts w:cs="Tahoma"/>
          <w:sz w:val="20"/>
          <w:szCs w:val="20"/>
          <w:lang w:val="en-US"/>
        </w:rPr>
        <w:t xml:space="preserve">claimed her rights and would not remain silent and </w:t>
      </w:r>
      <w:r w:rsidR="00B0764D" w:rsidRPr="00012C3F">
        <w:rPr>
          <w:rFonts w:cs="Tahoma"/>
          <w:sz w:val="20"/>
          <w:szCs w:val="20"/>
          <w:lang w:val="en-US"/>
        </w:rPr>
        <w:t>passive</w:t>
      </w:r>
      <w:r w:rsidR="00CD0139" w:rsidRPr="00012C3F">
        <w:rPr>
          <w:rFonts w:cs="Tahoma"/>
          <w:sz w:val="20"/>
          <w:szCs w:val="20"/>
          <w:lang w:val="en-US"/>
        </w:rPr>
        <w:t xml:space="preserve"> regarding </w:t>
      </w:r>
      <w:r w:rsidR="00B0764D" w:rsidRPr="00012C3F">
        <w:rPr>
          <w:rFonts w:cs="Tahoma"/>
          <w:sz w:val="20"/>
          <w:szCs w:val="20"/>
          <w:lang w:val="en-US"/>
        </w:rPr>
        <w:t>all that</w:t>
      </w:r>
      <w:r w:rsidR="00CD0139" w:rsidRPr="00012C3F">
        <w:rPr>
          <w:rFonts w:cs="Tahoma"/>
          <w:sz w:val="20"/>
          <w:szCs w:val="20"/>
          <w:lang w:val="en-US"/>
        </w:rPr>
        <w:t xml:space="preserve"> happened. Also, the representative asked that </w:t>
      </w:r>
      <w:r w:rsidR="00CD0139" w:rsidRPr="00012C3F">
        <w:rPr>
          <w:rFonts w:eastAsia="Calibri"/>
          <w:bCs/>
          <w:sz w:val="20"/>
          <w:szCs w:val="20"/>
          <w:lang w:val="en-US"/>
        </w:rPr>
        <w:t>“[i]f the Inter-American Court did not agree with the calculation of the non-pecuniary damage requested, […] it make a calculation based on the principle of equity, taking into account the amounts mentioned.”</w:t>
      </w:r>
    </w:p>
    <w:p w14:paraId="4451EB9B" w14:textId="77777777" w:rsidR="008D0B77" w:rsidRPr="00012C3F" w:rsidRDefault="008D0B77" w:rsidP="00C471ED">
      <w:pPr>
        <w:pStyle w:val="Prrafodelista2"/>
        <w:tabs>
          <w:tab w:val="left" w:pos="0"/>
          <w:tab w:val="left" w:pos="720"/>
          <w:tab w:val="num" w:pos="12305"/>
        </w:tabs>
        <w:ind w:left="0" w:right="-90"/>
        <w:jc w:val="both"/>
        <w:rPr>
          <w:rFonts w:cs="Tahoma"/>
          <w:lang w:val="en-US"/>
        </w:rPr>
      </w:pPr>
    </w:p>
    <w:p w14:paraId="15C873AD" w14:textId="77777777" w:rsidR="0078278A" w:rsidRPr="00012C3F" w:rsidRDefault="00A84CA0" w:rsidP="00C471ED">
      <w:pPr>
        <w:numPr>
          <w:ilvl w:val="0"/>
          <w:numId w:val="5"/>
        </w:numPr>
        <w:tabs>
          <w:tab w:val="left" w:pos="720"/>
          <w:tab w:val="num" w:pos="12305"/>
        </w:tabs>
        <w:spacing w:line="240" w:lineRule="auto"/>
        <w:ind w:left="0" w:firstLine="0"/>
        <w:rPr>
          <w:rFonts w:eastAsia="Calibri"/>
          <w:bCs/>
          <w:lang w:val="en-US"/>
        </w:rPr>
      </w:pPr>
      <w:r w:rsidRPr="00012C3F">
        <w:rPr>
          <w:rFonts w:eastAsia="Calibri"/>
          <w:bCs/>
          <w:sz w:val="20"/>
          <w:szCs w:val="20"/>
          <w:lang w:val="en-US"/>
        </w:rPr>
        <w:t xml:space="preserve">The </w:t>
      </w:r>
      <w:r w:rsidRPr="00012C3F">
        <w:rPr>
          <w:rFonts w:eastAsia="Calibri"/>
          <w:b/>
          <w:i/>
          <w:iCs/>
          <w:sz w:val="20"/>
          <w:szCs w:val="20"/>
          <w:lang w:val="en-US"/>
        </w:rPr>
        <w:t>State</w:t>
      </w:r>
      <w:r w:rsidR="00356E2C" w:rsidRPr="00012C3F">
        <w:rPr>
          <w:rFonts w:eastAsia="Calibri"/>
          <w:bCs/>
          <w:sz w:val="20"/>
          <w:szCs w:val="20"/>
          <w:lang w:val="en-US"/>
        </w:rPr>
        <w:t xml:space="preserve"> a</w:t>
      </w:r>
      <w:r w:rsidR="0078278A" w:rsidRPr="00012C3F">
        <w:rPr>
          <w:rFonts w:eastAsia="Calibri"/>
          <w:bCs/>
          <w:sz w:val="20"/>
          <w:szCs w:val="20"/>
          <w:lang w:val="en-US"/>
        </w:rPr>
        <w:t>rgued, with regard to the pecuniary damage, that</w:t>
      </w:r>
      <w:r w:rsidR="00401EA7" w:rsidRPr="00012C3F">
        <w:rPr>
          <w:rFonts w:eastAsia="Calibri"/>
          <w:bCs/>
          <w:sz w:val="20"/>
          <w:szCs w:val="20"/>
          <w:lang w:val="en-US"/>
        </w:rPr>
        <w:t xml:space="preserve"> the petition indicates that I.V. decided to stop working to devote herself to her family, so it could not be claimed that the State was responsible for the results of that choice. It also argued that it was not coherent to allege that with two diplomas, one in hotel administration and the other in law, “she could only obtain ‘casual work’</w:t>
      </w:r>
      <w:r w:rsidR="0006512F" w:rsidRPr="00012C3F">
        <w:rPr>
          <w:rFonts w:eastAsia="Calibri"/>
          <w:bCs/>
          <w:sz w:val="20"/>
          <w:szCs w:val="20"/>
          <w:lang w:val="en-US"/>
        </w:rPr>
        <w:t xml:space="preserve"> that ‘did not last long’ owing to her health complications that, as the State has proved, cannot be attributed to facts that took place in Bolivia, or because she had to devote her time to following up on the criminal proceedings, in the understanding that she had a lawyer and, under no circumstances, had to spend all her time on this.” </w:t>
      </w:r>
    </w:p>
    <w:p w14:paraId="460A6992" w14:textId="77777777" w:rsidR="00356E2C" w:rsidRPr="00012C3F" w:rsidRDefault="00356E2C" w:rsidP="008D0B77">
      <w:pPr>
        <w:pStyle w:val="Prrafodelista2"/>
        <w:tabs>
          <w:tab w:val="left" w:pos="0"/>
          <w:tab w:val="num" w:pos="12305"/>
        </w:tabs>
        <w:ind w:left="0" w:right="-90"/>
        <w:jc w:val="both"/>
        <w:rPr>
          <w:rFonts w:cs="Tahoma"/>
          <w:lang w:val="en-US"/>
        </w:rPr>
      </w:pPr>
    </w:p>
    <w:p w14:paraId="1880E8F2" w14:textId="77777777" w:rsidR="0006512F" w:rsidRPr="00012C3F" w:rsidRDefault="00A84CA0" w:rsidP="00CD0139">
      <w:pPr>
        <w:numPr>
          <w:ilvl w:val="0"/>
          <w:numId w:val="5"/>
        </w:numPr>
        <w:tabs>
          <w:tab w:val="left" w:pos="0"/>
          <w:tab w:val="left" w:pos="720"/>
          <w:tab w:val="num" w:pos="12305"/>
        </w:tabs>
        <w:spacing w:line="240" w:lineRule="auto"/>
        <w:ind w:left="0" w:right="-90" w:firstLine="0"/>
        <w:rPr>
          <w:rFonts w:eastAsia="Calibri"/>
          <w:bCs/>
          <w:lang w:val="en-US"/>
        </w:rPr>
      </w:pPr>
      <w:r w:rsidRPr="00012C3F">
        <w:rPr>
          <w:rFonts w:cs="Tahoma"/>
          <w:sz w:val="20"/>
          <w:szCs w:val="20"/>
          <w:lang w:val="en-US"/>
        </w:rPr>
        <w:t>The State</w:t>
      </w:r>
      <w:r w:rsidR="008D0B77" w:rsidRPr="00012C3F">
        <w:rPr>
          <w:rFonts w:cs="Tahoma"/>
          <w:sz w:val="20"/>
          <w:szCs w:val="20"/>
          <w:lang w:val="en-US"/>
        </w:rPr>
        <w:t xml:space="preserve"> argu</w:t>
      </w:r>
      <w:r w:rsidR="0006512F" w:rsidRPr="00012C3F">
        <w:rPr>
          <w:rFonts w:cs="Tahoma"/>
          <w:sz w:val="20"/>
          <w:szCs w:val="20"/>
          <w:lang w:val="en-US"/>
        </w:rPr>
        <w:t xml:space="preserve">ed that “the sum requested by the representative </w:t>
      </w:r>
      <w:r w:rsidR="0006512F" w:rsidRPr="00012C3F">
        <w:rPr>
          <w:sz w:val="20"/>
          <w:szCs w:val="20"/>
          <w:lang w:val="en-US"/>
        </w:rPr>
        <w:t xml:space="preserve">(US$300,000) as reparation for presumed non-pecuniary harm caused to I.V. is inadmissible, because the bilateral tubal ligation procedure was performed with her consent.” The State argued that it was not responsible for repairing the non-pecuniary harm suffered by I.V., because it was not caused either </w:t>
      </w:r>
      <w:r w:rsidR="00B0764D" w:rsidRPr="00012C3F">
        <w:rPr>
          <w:sz w:val="20"/>
          <w:szCs w:val="20"/>
          <w:lang w:val="en-US"/>
        </w:rPr>
        <w:t>by</w:t>
      </w:r>
      <w:r w:rsidR="0006512F" w:rsidRPr="00012C3F">
        <w:rPr>
          <w:sz w:val="20"/>
          <w:szCs w:val="20"/>
          <w:lang w:val="en-US"/>
        </w:rPr>
        <w:t xml:space="preserve"> its officials, or by indirect actions carried out to the detriment of I.V., so that the ailments and supposed aftereffects that she has at present cannot and should not be attributed to the State. In its final written arguments, the State indicated that it was not possible to differentiate between the aftereffects of the facts that occurred in Peru from supposed aftereffects of the medical procedure of tubal ligation. Thus, it argued that the I.V.’s psychological disorders that triggered a sensation of persecution related to various factors prior to the sterilization, so that it was impossible to isolate these from the facts of this case to explain her </w:t>
      </w:r>
      <w:r w:rsidR="00B0764D" w:rsidRPr="00012C3F">
        <w:rPr>
          <w:sz w:val="20"/>
          <w:szCs w:val="20"/>
          <w:lang w:val="en-US"/>
        </w:rPr>
        <w:t>psychological</w:t>
      </w:r>
      <w:r w:rsidR="0006512F" w:rsidRPr="00012C3F">
        <w:rPr>
          <w:sz w:val="20"/>
          <w:szCs w:val="20"/>
          <w:lang w:val="en-US"/>
        </w:rPr>
        <w:t xml:space="preserve"> reactions. The State also argued that </w:t>
      </w:r>
      <w:r w:rsidR="0061673A" w:rsidRPr="00012C3F">
        <w:rPr>
          <w:sz w:val="20"/>
          <w:szCs w:val="20"/>
          <w:lang w:val="en-US"/>
        </w:rPr>
        <w:t>there were factors unrelated to the sterilization that influenced I.V.’s separation and the break-up of her family. Consequently, the State asked the Court to reject the harm alleged by I.V.</w:t>
      </w:r>
    </w:p>
    <w:p w14:paraId="24755CC4" w14:textId="77777777" w:rsidR="008D0B77" w:rsidRPr="00012C3F" w:rsidRDefault="008D0B77" w:rsidP="00E220E0">
      <w:pPr>
        <w:tabs>
          <w:tab w:val="left" w:pos="709"/>
          <w:tab w:val="left" w:pos="1134"/>
        </w:tabs>
        <w:spacing w:line="240" w:lineRule="auto"/>
        <w:rPr>
          <w:sz w:val="20"/>
          <w:szCs w:val="20"/>
          <w:lang w:val="en-US"/>
        </w:rPr>
      </w:pPr>
      <w:bookmarkStart w:id="205" w:name="_Toc423102581"/>
      <w:bookmarkStart w:id="206" w:name="_Toc433387537"/>
    </w:p>
    <w:p w14:paraId="45747E4E" w14:textId="77777777" w:rsidR="00E3447E" w:rsidRPr="00012C3F" w:rsidRDefault="009C4A3C" w:rsidP="00C63938">
      <w:pPr>
        <w:numPr>
          <w:ilvl w:val="0"/>
          <w:numId w:val="5"/>
        </w:numPr>
        <w:tabs>
          <w:tab w:val="left" w:pos="720"/>
          <w:tab w:val="num" w:pos="12305"/>
        </w:tabs>
        <w:spacing w:line="240" w:lineRule="auto"/>
        <w:ind w:left="0" w:firstLine="0"/>
        <w:rPr>
          <w:rFonts w:eastAsia="MS Mincho"/>
          <w:bCs/>
          <w:sz w:val="20"/>
          <w:szCs w:val="20"/>
          <w:lang w:val="en-US" w:eastAsia="en-US" w:bidi="en-US"/>
        </w:rPr>
      </w:pPr>
      <w:r w:rsidRPr="00012C3F">
        <w:rPr>
          <w:rFonts w:eastAsia="MS Mincho"/>
          <w:bCs/>
          <w:sz w:val="20"/>
          <w:szCs w:val="20"/>
          <w:lang w:val="en-US" w:eastAsia="en-US" w:bidi="en-US"/>
        </w:rPr>
        <w:t>In its case law, t</w:t>
      </w:r>
      <w:r w:rsidR="001254DE" w:rsidRPr="00012C3F">
        <w:rPr>
          <w:rFonts w:eastAsia="MS Mincho"/>
          <w:bCs/>
          <w:sz w:val="20"/>
          <w:szCs w:val="20"/>
          <w:lang w:val="en-US" w:eastAsia="en-US" w:bidi="en-US"/>
        </w:rPr>
        <w:t>he Court</w:t>
      </w:r>
      <w:r w:rsidR="00E3447E" w:rsidRPr="00012C3F">
        <w:rPr>
          <w:rFonts w:eastAsia="MS Mincho"/>
          <w:bCs/>
          <w:sz w:val="20"/>
          <w:szCs w:val="20"/>
          <w:lang w:val="en-US" w:eastAsia="en-US" w:bidi="en-US"/>
        </w:rPr>
        <w:t xml:space="preserve"> ha</w:t>
      </w:r>
      <w:r w:rsidR="00C63938" w:rsidRPr="00012C3F">
        <w:rPr>
          <w:rFonts w:eastAsia="MS Mincho"/>
          <w:bCs/>
          <w:sz w:val="20"/>
          <w:szCs w:val="20"/>
          <w:lang w:val="en-US" w:eastAsia="en-US" w:bidi="en-US"/>
        </w:rPr>
        <w:t xml:space="preserve">s developed the concept of pecuniary damage and the circumstances in which it should be compensated. The Court has established that pecuniary damage supposes “the loss of, or detriment to, the victims’ income, the expenses incurred </w:t>
      </w:r>
      <w:r w:rsidR="009D3EE9" w:rsidRPr="00012C3F">
        <w:rPr>
          <w:rFonts w:eastAsia="MS Mincho"/>
          <w:bCs/>
          <w:sz w:val="20"/>
          <w:szCs w:val="20"/>
          <w:lang w:val="en-US" w:eastAsia="en-US" w:bidi="en-US"/>
        </w:rPr>
        <w:t>as</w:t>
      </w:r>
      <w:r w:rsidR="00C63938" w:rsidRPr="00012C3F">
        <w:rPr>
          <w:rFonts w:eastAsia="MS Mincho"/>
          <w:bCs/>
          <w:sz w:val="20"/>
          <w:szCs w:val="20"/>
          <w:lang w:val="en-US" w:eastAsia="en-US" w:bidi="en-US"/>
        </w:rPr>
        <w:t xml:space="preserve"> a result of the facts, and the consequences of a pecuniary nature that have a causal nexus with the </w:t>
      </w:r>
      <w:r w:rsidR="00C63938" w:rsidRPr="00012C3F">
        <w:rPr>
          <w:rFonts w:eastAsia="MS Mincho"/>
          <w:bCs/>
          <w:sz w:val="20"/>
          <w:szCs w:val="20"/>
          <w:lang w:val="en-US" w:eastAsia="en-US" w:bidi="en-US"/>
        </w:rPr>
        <w:lastRenderedPageBreak/>
        <w:t>facts of the case.</w:t>
      </w:r>
      <w:r w:rsidR="00E3447E" w:rsidRPr="00012C3F">
        <w:rPr>
          <w:rFonts w:eastAsia="MS Mincho"/>
          <w:bCs/>
          <w:sz w:val="20"/>
          <w:szCs w:val="20"/>
          <w:lang w:val="en-US" w:eastAsia="en-US" w:bidi="en-US"/>
        </w:rPr>
        <w:t>”</w:t>
      </w:r>
      <w:r w:rsidR="00E3447E" w:rsidRPr="00012C3F">
        <w:rPr>
          <w:rFonts w:eastAsia="MS Mincho"/>
          <w:bCs/>
          <w:sz w:val="20"/>
          <w:szCs w:val="20"/>
          <w:vertAlign w:val="superscript"/>
          <w:lang w:val="en-US" w:eastAsia="en-US" w:bidi="en-US"/>
        </w:rPr>
        <w:footnoteReference w:id="412"/>
      </w:r>
    </w:p>
    <w:p w14:paraId="211E4B88" w14:textId="77777777" w:rsidR="00C63938" w:rsidRPr="00012C3F" w:rsidRDefault="00C63938" w:rsidP="00C63938">
      <w:pPr>
        <w:tabs>
          <w:tab w:val="left" w:pos="720"/>
        </w:tabs>
        <w:spacing w:line="240" w:lineRule="auto"/>
        <w:rPr>
          <w:rFonts w:eastAsia="MS Mincho"/>
          <w:bCs/>
          <w:sz w:val="20"/>
          <w:szCs w:val="20"/>
          <w:lang w:val="en-US" w:eastAsia="en-US" w:bidi="en-US"/>
        </w:rPr>
      </w:pPr>
    </w:p>
    <w:p w14:paraId="2244680A" w14:textId="77777777" w:rsidR="00E3447E" w:rsidRPr="00012C3F" w:rsidRDefault="001254DE" w:rsidP="00C63938">
      <w:pPr>
        <w:numPr>
          <w:ilvl w:val="0"/>
          <w:numId w:val="5"/>
        </w:numPr>
        <w:tabs>
          <w:tab w:val="left" w:pos="720"/>
          <w:tab w:val="num" w:pos="12305"/>
        </w:tabs>
        <w:spacing w:line="240" w:lineRule="auto"/>
        <w:ind w:left="0" w:firstLine="0"/>
        <w:rPr>
          <w:sz w:val="20"/>
          <w:szCs w:val="20"/>
          <w:lang w:val="en-US"/>
        </w:rPr>
      </w:pPr>
      <w:r w:rsidRPr="00012C3F">
        <w:rPr>
          <w:bCs/>
          <w:sz w:val="20"/>
          <w:szCs w:val="20"/>
          <w:lang w:val="en-US"/>
        </w:rPr>
        <w:t>The Court</w:t>
      </w:r>
      <w:r w:rsidR="00E3447E" w:rsidRPr="00012C3F">
        <w:rPr>
          <w:sz w:val="20"/>
          <w:szCs w:val="20"/>
          <w:lang w:val="en-US"/>
        </w:rPr>
        <w:t xml:space="preserve"> </w:t>
      </w:r>
      <w:r w:rsidR="00C63938" w:rsidRPr="00012C3F">
        <w:rPr>
          <w:sz w:val="20"/>
          <w:szCs w:val="20"/>
          <w:lang w:val="en-US"/>
        </w:rPr>
        <w:t>has also developed the concept of non-pecuniary damage in its case law and has established that this “may include both the suffering and anguish caused by the violation, and the impairment of values that have great significance for the individual, and any alteration of a non-pecuniary nature in the living conditions of the victims.</w:t>
      </w:r>
      <w:r w:rsidR="00E3447E" w:rsidRPr="00012C3F">
        <w:rPr>
          <w:sz w:val="20"/>
          <w:szCs w:val="20"/>
          <w:lang w:val="en-US"/>
        </w:rPr>
        <w:t>”</w:t>
      </w:r>
      <w:r w:rsidR="00E3447E" w:rsidRPr="00012C3F">
        <w:rPr>
          <w:sz w:val="20"/>
          <w:szCs w:val="20"/>
          <w:vertAlign w:val="superscript"/>
          <w:lang w:val="en-US"/>
        </w:rPr>
        <w:footnoteReference w:id="413"/>
      </w:r>
      <w:r w:rsidR="00C63938" w:rsidRPr="00012C3F">
        <w:rPr>
          <w:sz w:val="20"/>
          <w:szCs w:val="20"/>
          <w:lang w:val="en-US"/>
        </w:rPr>
        <w:t xml:space="preserve"> Since it is not possible to allocate a precise monetary equivalent to non-pecuniary damage, it can only be compensated, for the purposes of full reparation to the victim, by the payment of a sum of money or the delivery of goods and services with a monetary value, which the Court determines by the reasonable application of sound judicial criteria and based on the equity principle.</w:t>
      </w:r>
      <w:r w:rsidR="00E3447E" w:rsidRPr="00012C3F">
        <w:rPr>
          <w:rStyle w:val="Refdenotaalpie"/>
          <w:rFonts w:eastAsia="MS ????"/>
          <w:sz w:val="20"/>
          <w:szCs w:val="20"/>
          <w:lang w:val="en-US"/>
        </w:rPr>
        <w:footnoteReference w:id="414"/>
      </w:r>
    </w:p>
    <w:p w14:paraId="355813FC" w14:textId="77777777" w:rsidR="00E3447E" w:rsidRPr="00012C3F" w:rsidRDefault="00E3447E" w:rsidP="009C4A3C">
      <w:pPr>
        <w:tabs>
          <w:tab w:val="left" w:pos="720"/>
        </w:tabs>
        <w:spacing w:line="240" w:lineRule="auto"/>
        <w:ind w:right="-174"/>
        <w:rPr>
          <w:sz w:val="20"/>
          <w:szCs w:val="20"/>
          <w:lang w:val="en-US"/>
        </w:rPr>
      </w:pPr>
    </w:p>
    <w:p w14:paraId="0F0387E9" w14:textId="77777777" w:rsidR="00C63938" w:rsidRPr="00012C3F" w:rsidRDefault="00C63938" w:rsidP="009C4A3C">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In</w:t>
      </w:r>
      <w:r w:rsidR="00E3447E" w:rsidRPr="00012C3F">
        <w:rPr>
          <w:sz w:val="20"/>
          <w:szCs w:val="20"/>
          <w:lang w:val="en-US"/>
        </w:rPr>
        <w:t xml:space="preserve"> </w:t>
      </w:r>
      <w:r w:rsidR="00F07712" w:rsidRPr="00012C3F">
        <w:rPr>
          <w:sz w:val="20"/>
          <w:szCs w:val="20"/>
          <w:lang w:val="en-US"/>
        </w:rPr>
        <w:t>Chapter</w:t>
      </w:r>
      <w:r w:rsidR="00E3447E" w:rsidRPr="00012C3F">
        <w:rPr>
          <w:sz w:val="20"/>
          <w:szCs w:val="20"/>
          <w:lang w:val="en-US"/>
        </w:rPr>
        <w:t>s VIII-1, VIII-2</w:t>
      </w:r>
      <w:r w:rsidR="005E5012" w:rsidRPr="00012C3F">
        <w:rPr>
          <w:sz w:val="20"/>
          <w:szCs w:val="20"/>
          <w:lang w:val="en-US"/>
        </w:rPr>
        <w:t xml:space="preserve"> and </w:t>
      </w:r>
      <w:r w:rsidR="00E3447E" w:rsidRPr="00012C3F">
        <w:rPr>
          <w:sz w:val="20"/>
          <w:szCs w:val="20"/>
          <w:lang w:val="en-US"/>
        </w:rPr>
        <w:t xml:space="preserve">VIII-3, </w:t>
      </w:r>
      <w:r w:rsidR="001254DE" w:rsidRPr="00012C3F">
        <w:rPr>
          <w:sz w:val="20"/>
          <w:szCs w:val="20"/>
          <w:lang w:val="en-US"/>
        </w:rPr>
        <w:t>the Court</w:t>
      </w:r>
      <w:r w:rsidR="00E3447E" w:rsidRPr="00012C3F">
        <w:rPr>
          <w:sz w:val="20"/>
          <w:szCs w:val="20"/>
          <w:lang w:val="en-US"/>
        </w:rPr>
        <w:t xml:space="preserve"> </w:t>
      </w:r>
      <w:r w:rsidRPr="00012C3F">
        <w:rPr>
          <w:sz w:val="20"/>
          <w:szCs w:val="20"/>
          <w:lang w:val="en-US"/>
        </w:rPr>
        <w:t xml:space="preserve">has established the international responsibility of the State for the </w:t>
      </w:r>
      <w:r w:rsidR="00271E24" w:rsidRPr="00012C3F">
        <w:rPr>
          <w:sz w:val="20"/>
          <w:szCs w:val="20"/>
          <w:lang w:val="en-US"/>
        </w:rPr>
        <w:t>non-consensual sterilization</w:t>
      </w:r>
      <w:r w:rsidR="00E3447E" w:rsidRPr="00012C3F">
        <w:rPr>
          <w:sz w:val="20"/>
          <w:szCs w:val="20"/>
          <w:lang w:val="en-US"/>
        </w:rPr>
        <w:t xml:space="preserve"> </w:t>
      </w:r>
      <w:r w:rsidRPr="00012C3F">
        <w:rPr>
          <w:sz w:val="20"/>
          <w:szCs w:val="20"/>
          <w:lang w:val="en-US"/>
        </w:rPr>
        <w:t xml:space="preserve">to which I.V. was subjected, which annulled her autonomy and possibility of taking decision </w:t>
      </w:r>
      <w:r w:rsidR="004419A9" w:rsidRPr="00012C3F">
        <w:rPr>
          <w:sz w:val="20"/>
          <w:szCs w:val="20"/>
          <w:lang w:val="en-US"/>
        </w:rPr>
        <w:t>that accorded with her life project, causing her severe physical and psychological suffering. The Court has also determined that the facts constituted a case of denial of justice.</w:t>
      </w:r>
    </w:p>
    <w:p w14:paraId="1581B590" w14:textId="77777777" w:rsidR="00E3447E" w:rsidRPr="00012C3F" w:rsidRDefault="00E3447E" w:rsidP="009C4A3C">
      <w:pPr>
        <w:tabs>
          <w:tab w:val="left" w:pos="720"/>
        </w:tabs>
        <w:spacing w:line="240" w:lineRule="auto"/>
        <w:rPr>
          <w:sz w:val="20"/>
          <w:szCs w:val="20"/>
          <w:lang w:val="en-US"/>
        </w:rPr>
      </w:pPr>
    </w:p>
    <w:p w14:paraId="2C1F0678" w14:textId="77777777" w:rsidR="004419A9" w:rsidRPr="00012C3F" w:rsidRDefault="001254DE" w:rsidP="004419A9">
      <w:pPr>
        <w:numPr>
          <w:ilvl w:val="0"/>
          <w:numId w:val="5"/>
        </w:numPr>
        <w:tabs>
          <w:tab w:val="left" w:pos="720"/>
          <w:tab w:val="num" w:pos="12305"/>
        </w:tabs>
        <w:spacing w:line="240" w:lineRule="auto"/>
        <w:ind w:left="0" w:firstLine="0"/>
        <w:rPr>
          <w:bCs/>
          <w:sz w:val="16"/>
          <w:szCs w:val="16"/>
          <w:lang w:val="en-US"/>
        </w:rPr>
      </w:pPr>
      <w:r w:rsidRPr="00012C3F">
        <w:rPr>
          <w:rFonts w:eastAsia="MS Mincho"/>
          <w:bCs/>
          <w:sz w:val="20"/>
          <w:szCs w:val="20"/>
          <w:lang w:val="en-US" w:eastAsia="en-US" w:bidi="en-US"/>
        </w:rPr>
        <w:t>The Court</w:t>
      </w:r>
      <w:r w:rsidR="00E3447E" w:rsidRPr="00012C3F">
        <w:rPr>
          <w:rFonts w:eastAsia="MS Mincho"/>
          <w:bCs/>
          <w:sz w:val="20"/>
          <w:szCs w:val="20"/>
          <w:lang w:val="en-US" w:eastAsia="en-US" w:bidi="en-US"/>
        </w:rPr>
        <w:t xml:space="preserve"> t</w:t>
      </w:r>
      <w:r w:rsidR="004419A9" w:rsidRPr="00012C3F">
        <w:rPr>
          <w:rFonts w:eastAsia="MS Mincho"/>
          <w:bCs/>
          <w:sz w:val="20"/>
          <w:szCs w:val="20"/>
          <w:lang w:val="en-US" w:eastAsia="en-US" w:bidi="en-US"/>
        </w:rPr>
        <w:t xml:space="preserve">akes note that the specific </w:t>
      </w:r>
      <w:r w:rsidR="00B0764D" w:rsidRPr="00012C3F">
        <w:rPr>
          <w:rFonts w:eastAsia="MS Mincho"/>
          <w:bCs/>
          <w:sz w:val="20"/>
          <w:szCs w:val="20"/>
          <w:lang w:val="en-US" w:eastAsia="en-US" w:bidi="en-US"/>
        </w:rPr>
        <w:t>harm</w:t>
      </w:r>
      <w:r w:rsidR="004419A9" w:rsidRPr="00012C3F">
        <w:rPr>
          <w:rFonts w:eastAsia="MS Mincho"/>
          <w:bCs/>
          <w:sz w:val="20"/>
          <w:szCs w:val="20"/>
          <w:lang w:val="en-US" w:eastAsia="en-US" w:bidi="en-US"/>
        </w:rPr>
        <w:t xml:space="preserve"> indicated by </w:t>
      </w:r>
      <w:r w:rsidR="00972ACF" w:rsidRPr="00012C3F">
        <w:rPr>
          <w:rFonts w:eastAsia="MS Mincho"/>
          <w:bCs/>
          <w:sz w:val="20"/>
          <w:szCs w:val="20"/>
          <w:lang w:val="en-US" w:eastAsia="en-US" w:bidi="en-US"/>
        </w:rPr>
        <w:t>the representative</w:t>
      </w:r>
      <w:r w:rsidR="00E3447E" w:rsidRPr="00012C3F">
        <w:rPr>
          <w:rFonts w:eastAsia="MS Mincho"/>
          <w:bCs/>
          <w:sz w:val="20"/>
          <w:szCs w:val="20"/>
          <w:lang w:val="en-US" w:eastAsia="en-US" w:bidi="en-US"/>
        </w:rPr>
        <w:t xml:space="preserve"> </w:t>
      </w:r>
      <w:r w:rsidR="00B0764D" w:rsidRPr="00012C3F">
        <w:rPr>
          <w:rFonts w:eastAsia="MS Mincho"/>
          <w:bCs/>
          <w:sz w:val="20"/>
          <w:szCs w:val="20"/>
          <w:lang w:val="en-US" w:eastAsia="en-US" w:bidi="en-US"/>
        </w:rPr>
        <w:t>referred to</w:t>
      </w:r>
      <w:r w:rsidR="004419A9" w:rsidRPr="00012C3F">
        <w:rPr>
          <w:rFonts w:eastAsia="MS Mincho"/>
          <w:bCs/>
          <w:sz w:val="20"/>
          <w:szCs w:val="20"/>
          <w:lang w:val="en-US" w:eastAsia="en-US" w:bidi="en-US"/>
        </w:rPr>
        <w:t xml:space="preserve"> the loss of earnings, the expenditure for medical and psychological treatments to date, and the expenses associated with processing the domestic proceedings and </w:t>
      </w:r>
      <w:r w:rsidR="00B0764D" w:rsidRPr="00012C3F">
        <w:rPr>
          <w:rFonts w:eastAsia="MS Mincho"/>
          <w:bCs/>
          <w:sz w:val="20"/>
          <w:szCs w:val="20"/>
          <w:lang w:val="en-US" w:eastAsia="en-US" w:bidi="en-US"/>
        </w:rPr>
        <w:t xml:space="preserve">the procedure </w:t>
      </w:r>
      <w:r w:rsidR="004419A9" w:rsidRPr="00012C3F">
        <w:rPr>
          <w:rFonts w:eastAsia="MS Mincho"/>
          <w:bCs/>
          <w:sz w:val="20"/>
          <w:szCs w:val="20"/>
          <w:lang w:val="en-US" w:eastAsia="en-US" w:bidi="en-US"/>
        </w:rPr>
        <w:t xml:space="preserve">before </w:t>
      </w:r>
      <w:r w:rsidRPr="00012C3F">
        <w:rPr>
          <w:rFonts w:eastAsia="MS Mincho"/>
          <w:bCs/>
          <w:sz w:val="20"/>
          <w:szCs w:val="20"/>
          <w:lang w:val="en-US" w:eastAsia="en-US" w:bidi="en-US"/>
        </w:rPr>
        <w:t xml:space="preserve">the Inter-American </w:t>
      </w:r>
      <w:r w:rsidR="00A84CA0" w:rsidRPr="00012C3F">
        <w:rPr>
          <w:rFonts w:eastAsia="MS Mincho"/>
          <w:bCs/>
          <w:sz w:val="20"/>
          <w:szCs w:val="20"/>
          <w:lang w:val="en-US" w:eastAsia="en-US" w:bidi="en-US"/>
        </w:rPr>
        <w:t>Commission</w:t>
      </w:r>
      <w:r w:rsidR="00E3447E" w:rsidRPr="00012C3F">
        <w:rPr>
          <w:rFonts w:eastAsia="MS Mincho"/>
          <w:bCs/>
          <w:sz w:val="20"/>
          <w:szCs w:val="20"/>
          <w:lang w:val="en-US" w:eastAsia="en-US" w:bidi="en-US"/>
        </w:rPr>
        <w:t xml:space="preserve">. </w:t>
      </w:r>
      <w:r w:rsidRPr="00012C3F">
        <w:rPr>
          <w:bCs/>
          <w:sz w:val="20"/>
          <w:szCs w:val="20"/>
          <w:lang w:val="en-US" w:bidi="en-US"/>
        </w:rPr>
        <w:t>The Court</w:t>
      </w:r>
      <w:r w:rsidR="00E3447E" w:rsidRPr="00012C3F">
        <w:rPr>
          <w:bCs/>
          <w:sz w:val="20"/>
          <w:szCs w:val="20"/>
          <w:lang w:val="en-US" w:bidi="en-US"/>
        </w:rPr>
        <w:t xml:space="preserve"> not</w:t>
      </w:r>
      <w:r w:rsidR="004419A9" w:rsidRPr="00012C3F">
        <w:rPr>
          <w:bCs/>
          <w:sz w:val="20"/>
          <w:szCs w:val="20"/>
          <w:lang w:val="en-US" w:bidi="en-US"/>
        </w:rPr>
        <w:t>es that</w:t>
      </w:r>
      <w:r w:rsidR="00E3447E" w:rsidRPr="00012C3F">
        <w:rPr>
          <w:bCs/>
          <w:sz w:val="20"/>
          <w:szCs w:val="20"/>
          <w:lang w:val="en-US" w:bidi="en-US"/>
        </w:rPr>
        <w:t xml:space="preserve"> </w:t>
      </w:r>
      <w:r w:rsidR="00972ACF" w:rsidRPr="00012C3F">
        <w:rPr>
          <w:bCs/>
          <w:sz w:val="20"/>
          <w:szCs w:val="20"/>
          <w:lang w:val="en-US" w:bidi="en-US"/>
        </w:rPr>
        <w:t>the representative</w:t>
      </w:r>
      <w:r w:rsidR="00E3447E" w:rsidRPr="00012C3F">
        <w:rPr>
          <w:bCs/>
          <w:sz w:val="20"/>
          <w:szCs w:val="20"/>
          <w:lang w:val="en-US" w:bidi="en-US"/>
        </w:rPr>
        <w:t xml:space="preserve"> </w:t>
      </w:r>
      <w:r w:rsidR="004419A9" w:rsidRPr="00012C3F">
        <w:rPr>
          <w:bCs/>
          <w:sz w:val="20"/>
          <w:szCs w:val="20"/>
          <w:lang w:val="en-US" w:bidi="en-US"/>
        </w:rPr>
        <w:t>did not submit any evidence about I.V.’s salary before the surgical procedure or her wages following this event, and did not provide specific information about the time she was unemployed. Regarding the other expenses, it should be noted that the representative advised that the victim destroyed various documents during an emotional crisis.</w:t>
      </w:r>
    </w:p>
    <w:p w14:paraId="3D47E310" w14:textId="77777777" w:rsidR="00E3447E" w:rsidRPr="00012C3F" w:rsidRDefault="00E3447E" w:rsidP="009C4A3C">
      <w:pPr>
        <w:tabs>
          <w:tab w:val="left" w:pos="720"/>
        </w:tabs>
        <w:spacing w:line="240" w:lineRule="auto"/>
        <w:rPr>
          <w:sz w:val="20"/>
          <w:szCs w:val="20"/>
          <w:lang w:val="en-US"/>
        </w:rPr>
      </w:pPr>
    </w:p>
    <w:p w14:paraId="09DEC2DE" w14:textId="77777777" w:rsidR="00E3447E" w:rsidRPr="00012C3F" w:rsidRDefault="001254DE" w:rsidP="004419A9">
      <w:pPr>
        <w:numPr>
          <w:ilvl w:val="0"/>
          <w:numId w:val="5"/>
        </w:numPr>
        <w:tabs>
          <w:tab w:val="num" w:pos="0"/>
          <w:tab w:val="left" w:pos="720"/>
          <w:tab w:val="num" w:pos="12305"/>
        </w:tabs>
        <w:spacing w:line="240" w:lineRule="auto"/>
        <w:ind w:left="0" w:firstLine="0"/>
        <w:rPr>
          <w:rFonts w:cs="Verdana"/>
          <w:sz w:val="20"/>
          <w:szCs w:val="20"/>
          <w:lang w:val="en-US"/>
        </w:rPr>
      </w:pPr>
      <w:bookmarkStart w:id="207" w:name="_Ref375132311"/>
      <w:r w:rsidRPr="00012C3F">
        <w:rPr>
          <w:sz w:val="20"/>
          <w:szCs w:val="20"/>
          <w:lang w:val="en-US"/>
        </w:rPr>
        <w:t>The Court</w:t>
      </w:r>
      <w:r w:rsidR="00E3447E" w:rsidRPr="00012C3F">
        <w:rPr>
          <w:rFonts w:eastAsia="Calibri"/>
          <w:sz w:val="20"/>
          <w:szCs w:val="20"/>
          <w:lang w:val="en-US"/>
        </w:rPr>
        <w:t xml:space="preserve"> </w:t>
      </w:r>
      <w:r w:rsidR="004419A9" w:rsidRPr="00012C3F">
        <w:rPr>
          <w:rFonts w:eastAsia="Calibri"/>
          <w:sz w:val="20"/>
          <w:szCs w:val="20"/>
          <w:lang w:val="en-US"/>
        </w:rPr>
        <w:t xml:space="preserve">does not have sufficient probative elements to determine the precise pecuniary and non-pecuniary damage caused in this case. However, based on the criteria established in </w:t>
      </w:r>
      <w:r w:rsidR="00B0764D" w:rsidRPr="00012C3F">
        <w:rPr>
          <w:rFonts w:eastAsia="Calibri"/>
          <w:sz w:val="20"/>
          <w:szCs w:val="20"/>
          <w:lang w:val="en-US"/>
        </w:rPr>
        <w:t>its</w:t>
      </w:r>
      <w:r w:rsidR="004419A9" w:rsidRPr="00012C3F">
        <w:rPr>
          <w:rFonts w:eastAsia="Calibri"/>
          <w:sz w:val="20"/>
          <w:szCs w:val="20"/>
          <w:lang w:val="en-US"/>
        </w:rPr>
        <w:t xml:space="preserve"> consistent case law, the circumstances of the case, the nature and severity of the violations committed, as well as the suffering caused to the victim’s physical, moral and mental well-being, the Court finds it pertinent to establish, in equity, for pecuniary and non-pecuniary damage the sum of </w:t>
      </w:r>
      <w:r w:rsidR="0073006E" w:rsidRPr="00012C3F">
        <w:rPr>
          <w:rFonts w:eastAsia="Batang" w:cs="Verdana"/>
          <w:sz w:val="20"/>
          <w:szCs w:val="20"/>
          <w:lang w:val="en-US" w:eastAsia="en-US" w:bidi="en-US"/>
        </w:rPr>
        <w:t>US$5</w:t>
      </w:r>
      <w:r w:rsidR="00E3447E" w:rsidRPr="00012C3F">
        <w:rPr>
          <w:rFonts w:eastAsia="Batang" w:cs="Verdana"/>
          <w:sz w:val="20"/>
          <w:szCs w:val="20"/>
          <w:lang w:val="en-US" w:eastAsia="en-US" w:bidi="en-US"/>
        </w:rPr>
        <w:t>0</w:t>
      </w:r>
      <w:r w:rsidR="004419A9" w:rsidRPr="00012C3F">
        <w:rPr>
          <w:rFonts w:eastAsia="Batang" w:cs="Verdana"/>
          <w:sz w:val="20"/>
          <w:szCs w:val="20"/>
          <w:lang w:val="en-US" w:eastAsia="en-US" w:bidi="en-US"/>
        </w:rPr>
        <w:t>,</w:t>
      </w:r>
      <w:r w:rsidR="00E3447E" w:rsidRPr="00012C3F">
        <w:rPr>
          <w:rFonts w:eastAsia="Batang" w:cs="Verdana"/>
          <w:sz w:val="20"/>
          <w:szCs w:val="20"/>
          <w:lang w:val="en-US" w:eastAsia="en-US" w:bidi="en-US"/>
        </w:rPr>
        <w:t>000</w:t>
      </w:r>
      <w:r w:rsidR="004419A9" w:rsidRPr="00012C3F">
        <w:rPr>
          <w:rFonts w:eastAsia="Batang" w:cs="Verdana"/>
          <w:sz w:val="20"/>
          <w:szCs w:val="20"/>
          <w:lang w:val="en-US" w:eastAsia="en-US" w:bidi="en-US"/>
        </w:rPr>
        <w:t>.</w:t>
      </w:r>
      <w:r w:rsidR="00E3447E" w:rsidRPr="00012C3F">
        <w:rPr>
          <w:rFonts w:eastAsia="Batang" w:cs="Verdana"/>
          <w:sz w:val="20"/>
          <w:szCs w:val="20"/>
          <w:lang w:val="en-US" w:eastAsia="en-US" w:bidi="en-US"/>
        </w:rPr>
        <w:t>00 (</w:t>
      </w:r>
      <w:r w:rsidR="004419A9" w:rsidRPr="00012C3F">
        <w:rPr>
          <w:rFonts w:eastAsia="Batang" w:cs="Verdana"/>
          <w:sz w:val="20"/>
          <w:szCs w:val="20"/>
          <w:lang w:val="en-US" w:eastAsia="en-US" w:bidi="en-US"/>
        </w:rPr>
        <w:t>fifty thousand Unit</w:t>
      </w:r>
      <w:r w:rsidR="00270638" w:rsidRPr="00012C3F">
        <w:rPr>
          <w:rFonts w:eastAsia="Batang" w:cs="Verdana"/>
          <w:sz w:val="20"/>
          <w:szCs w:val="20"/>
          <w:lang w:val="en-US" w:eastAsia="en-US" w:bidi="en-US"/>
        </w:rPr>
        <w:t>e</w:t>
      </w:r>
      <w:r w:rsidR="004419A9" w:rsidRPr="00012C3F">
        <w:rPr>
          <w:rFonts w:eastAsia="Batang" w:cs="Verdana"/>
          <w:sz w:val="20"/>
          <w:szCs w:val="20"/>
          <w:lang w:val="en-US" w:eastAsia="en-US" w:bidi="en-US"/>
        </w:rPr>
        <w:t>d States dollars) which must be paid within the time frame established by the Court</w:t>
      </w:r>
      <w:bookmarkEnd w:id="207"/>
      <w:r w:rsidR="004419A9" w:rsidRPr="00012C3F">
        <w:rPr>
          <w:rFonts w:eastAsia="Batang" w:cs="Verdana"/>
          <w:sz w:val="20"/>
          <w:szCs w:val="20"/>
          <w:lang w:val="en-US" w:eastAsia="en-US" w:bidi="en-US"/>
        </w:rPr>
        <w:t>.</w:t>
      </w:r>
    </w:p>
    <w:p w14:paraId="41E68143" w14:textId="77777777" w:rsidR="00E3447E" w:rsidRPr="00012C3F" w:rsidRDefault="00E3447E" w:rsidP="009C4A3C">
      <w:pPr>
        <w:tabs>
          <w:tab w:val="left" w:pos="720"/>
        </w:tabs>
        <w:spacing w:line="240" w:lineRule="auto"/>
        <w:rPr>
          <w:sz w:val="20"/>
          <w:szCs w:val="20"/>
          <w:lang w:val="en-US"/>
        </w:rPr>
      </w:pPr>
    </w:p>
    <w:p w14:paraId="42F9AD2C" w14:textId="77777777" w:rsidR="008D0B77" w:rsidRPr="00012C3F" w:rsidRDefault="009867D6" w:rsidP="009C4A3C">
      <w:pPr>
        <w:keepNext/>
        <w:keepLines/>
        <w:tabs>
          <w:tab w:val="left" w:pos="720"/>
          <w:tab w:val="left" w:pos="1134"/>
        </w:tabs>
        <w:spacing w:line="240" w:lineRule="auto"/>
        <w:ind w:left="567" w:firstLine="1"/>
        <w:outlineLvl w:val="1"/>
        <w:rPr>
          <w:rFonts w:eastAsia="MS Mincho"/>
          <w:b/>
          <w:bCs/>
          <w:i/>
          <w:sz w:val="20"/>
          <w:szCs w:val="20"/>
          <w:lang w:val="en-US"/>
        </w:rPr>
      </w:pPr>
      <w:bookmarkStart w:id="208" w:name="_Toc375517154"/>
      <w:bookmarkStart w:id="209" w:name="_Toc447893043"/>
      <w:bookmarkStart w:id="210" w:name="_Toc449460768"/>
      <w:bookmarkStart w:id="211" w:name="_Toc459158157"/>
      <w:bookmarkStart w:id="212" w:name="_Toc461637452"/>
      <w:bookmarkStart w:id="213" w:name="_Toc462310928"/>
      <w:bookmarkStart w:id="214" w:name="_Toc27486896"/>
      <w:bookmarkEnd w:id="205"/>
      <w:bookmarkEnd w:id="206"/>
      <w:r w:rsidRPr="00012C3F">
        <w:rPr>
          <w:rFonts w:eastAsia="MS Mincho"/>
          <w:b/>
          <w:bCs/>
          <w:i/>
          <w:sz w:val="20"/>
          <w:szCs w:val="20"/>
          <w:lang w:val="en-US"/>
        </w:rPr>
        <w:t>G.</w:t>
      </w:r>
      <w:r w:rsidRPr="00012C3F">
        <w:rPr>
          <w:rFonts w:eastAsia="MS Mincho"/>
          <w:b/>
          <w:bCs/>
          <w:i/>
          <w:sz w:val="20"/>
          <w:szCs w:val="20"/>
          <w:lang w:val="en-US"/>
        </w:rPr>
        <w:tab/>
      </w:r>
      <w:r w:rsidR="00A710F6" w:rsidRPr="00012C3F">
        <w:rPr>
          <w:rFonts w:eastAsia="MS Mincho"/>
          <w:b/>
          <w:bCs/>
          <w:i/>
          <w:sz w:val="20"/>
          <w:szCs w:val="20"/>
          <w:lang w:val="en-US"/>
        </w:rPr>
        <w:t>Costs and expenses</w:t>
      </w:r>
      <w:bookmarkEnd w:id="208"/>
      <w:bookmarkEnd w:id="209"/>
      <w:bookmarkEnd w:id="210"/>
      <w:bookmarkEnd w:id="211"/>
      <w:bookmarkEnd w:id="212"/>
      <w:bookmarkEnd w:id="213"/>
      <w:bookmarkEnd w:id="214"/>
    </w:p>
    <w:p w14:paraId="7F7555E9" w14:textId="77777777" w:rsidR="008D0B77" w:rsidRPr="00012C3F" w:rsidRDefault="008D0B77" w:rsidP="009C4A3C">
      <w:pPr>
        <w:tabs>
          <w:tab w:val="left" w:pos="720"/>
          <w:tab w:val="left" w:pos="1995"/>
        </w:tabs>
        <w:spacing w:line="240" w:lineRule="auto"/>
        <w:ind w:left="142"/>
        <w:rPr>
          <w:sz w:val="20"/>
          <w:szCs w:val="20"/>
          <w:lang w:val="en-US"/>
        </w:rPr>
      </w:pPr>
      <w:r w:rsidRPr="00012C3F">
        <w:rPr>
          <w:sz w:val="20"/>
          <w:szCs w:val="20"/>
          <w:lang w:val="en-US"/>
        </w:rPr>
        <w:tab/>
      </w:r>
    </w:p>
    <w:p w14:paraId="536DBF2F" w14:textId="77777777" w:rsidR="008D0B77" w:rsidRPr="00012C3F" w:rsidRDefault="00972ACF" w:rsidP="00270638">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The </w:t>
      </w:r>
      <w:r w:rsidRPr="00012C3F">
        <w:rPr>
          <w:b/>
          <w:bCs/>
          <w:i/>
          <w:iCs/>
          <w:sz w:val="20"/>
          <w:szCs w:val="20"/>
          <w:lang w:val="en-US"/>
        </w:rPr>
        <w:t>representative</w:t>
      </w:r>
      <w:r w:rsidR="008D0B77" w:rsidRPr="00012C3F">
        <w:rPr>
          <w:sz w:val="20"/>
          <w:szCs w:val="20"/>
          <w:lang w:val="en-US"/>
        </w:rPr>
        <w:t xml:space="preserve"> </w:t>
      </w:r>
      <w:r w:rsidR="004419A9" w:rsidRPr="00012C3F">
        <w:rPr>
          <w:sz w:val="20"/>
          <w:szCs w:val="20"/>
          <w:lang w:val="en-US"/>
        </w:rPr>
        <w:t>indicated that</w:t>
      </w:r>
      <w:r w:rsidR="007C37B3" w:rsidRPr="00012C3F">
        <w:rPr>
          <w:sz w:val="20"/>
          <w:szCs w:val="20"/>
          <w:lang w:val="en-US"/>
        </w:rPr>
        <w:t>:</w:t>
      </w:r>
      <w:r w:rsidR="008D0B77" w:rsidRPr="00012C3F">
        <w:rPr>
          <w:sz w:val="20"/>
          <w:szCs w:val="20"/>
          <w:lang w:val="en-US"/>
        </w:rPr>
        <w:t xml:space="preserve"> </w:t>
      </w:r>
      <w:r w:rsidR="004419A9" w:rsidRPr="00012C3F">
        <w:rPr>
          <w:sz w:val="20"/>
          <w:szCs w:val="20"/>
          <w:lang w:val="en-US"/>
        </w:rPr>
        <w:t>(</w:t>
      </w:r>
      <w:r w:rsidR="008D0B77" w:rsidRPr="00012C3F">
        <w:rPr>
          <w:sz w:val="20"/>
          <w:szCs w:val="20"/>
          <w:lang w:val="en-US"/>
        </w:rPr>
        <w:t xml:space="preserve">i) </w:t>
      </w:r>
      <w:r w:rsidR="004419A9" w:rsidRPr="00012C3F">
        <w:rPr>
          <w:sz w:val="20"/>
          <w:szCs w:val="20"/>
          <w:lang w:val="en-US"/>
        </w:rPr>
        <w:t>regarding the</w:t>
      </w:r>
      <w:r w:rsidR="008D0B77" w:rsidRPr="00012C3F">
        <w:rPr>
          <w:sz w:val="20"/>
          <w:szCs w:val="20"/>
          <w:lang w:val="en-US"/>
        </w:rPr>
        <w:t xml:space="preserve"> </w:t>
      </w:r>
      <w:r w:rsidR="004419A9" w:rsidRPr="00012C3F">
        <w:rPr>
          <w:sz w:val="20"/>
          <w:szCs w:val="20"/>
          <w:lang w:val="en-US"/>
        </w:rPr>
        <w:t>c</w:t>
      </w:r>
      <w:r w:rsidR="00A710F6" w:rsidRPr="00012C3F">
        <w:rPr>
          <w:sz w:val="20"/>
          <w:szCs w:val="20"/>
          <w:lang w:val="en-US"/>
        </w:rPr>
        <w:t>osts and expenses</w:t>
      </w:r>
      <w:r w:rsidR="008D0B77" w:rsidRPr="00012C3F">
        <w:rPr>
          <w:sz w:val="20"/>
          <w:szCs w:val="20"/>
          <w:lang w:val="en-US"/>
        </w:rPr>
        <w:t xml:space="preserve"> </w:t>
      </w:r>
      <w:r w:rsidR="004419A9" w:rsidRPr="00012C3F">
        <w:rPr>
          <w:sz w:val="20"/>
          <w:szCs w:val="20"/>
          <w:lang w:val="en-US"/>
        </w:rPr>
        <w:t xml:space="preserve">of the domestic criminal case, I.V. </w:t>
      </w:r>
      <w:r w:rsidR="00270638" w:rsidRPr="00012C3F">
        <w:rPr>
          <w:sz w:val="20"/>
          <w:szCs w:val="20"/>
          <w:lang w:val="en-US"/>
        </w:rPr>
        <w:t xml:space="preserve">does not have documentation to support her disbursements. However, she calculated that the global amount </w:t>
      </w:r>
      <w:r w:rsidR="009D3EE9" w:rsidRPr="00012C3F">
        <w:rPr>
          <w:sz w:val="20"/>
          <w:szCs w:val="20"/>
          <w:lang w:val="en-US"/>
        </w:rPr>
        <w:t>disbursed</w:t>
      </w:r>
      <w:r w:rsidR="00270638" w:rsidRPr="00012C3F">
        <w:rPr>
          <w:sz w:val="20"/>
          <w:szCs w:val="20"/>
          <w:lang w:val="en-US"/>
        </w:rPr>
        <w:t xml:space="preserve"> for the criminal case, including the three oral trials and the appeals (in addition to the expenses for transportation, photocopies, </w:t>
      </w:r>
      <w:r w:rsidR="008D0B77" w:rsidRPr="00012C3F">
        <w:rPr>
          <w:sz w:val="20"/>
          <w:szCs w:val="20"/>
          <w:lang w:val="en-US"/>
        </w:rPr>
        <w:t>transcrip</w:t>
      </w:r>
      <w:r w:rsidR="00270638" w:rsidRPr="00012C3F">
        <w:rPr>
          <w:sz w:val="20"/>
          <w:szCs w:val="20"/>
          <w:lang w:val="en-US"/>
        </w:rPr>
        <w:t xml:space="preserve">ts, telephone calls, etc.) amounted to </w:t>
      </w:r>
      <w:r w:rsidR="008D0B77" w:rsidRPr="00012C3F">
        <w:rPr>
          <w:sz w:val="20"/>
          <w:szCs w:val="20"/>
          <w:lang w:val="en-US"/>
        </w:rPr>
        <w:t>US$6</w:t>
      </w:r>
      <w:r w:rsidR="00270638" w:rsidRPr="00012C3F">
        <w:rPr>
          <w:sz w:val="20"/>
          <w:szCs w:val="20"/>
          <w:lang w:val="en-US"/>
        </w:rPr>
        <w:t>,</w:t>
      </w:r>
      <w:r w:rsidR="008D0B77" w:rsidRPr="00012C3F">
        <w:rPr>
          <w:sz w:val="20"/>
          <w:szCs w:val="20"/>
          <w:lang w:val="en-US"/>
        </w:rPr>
        <w:t xml:space="preserve">000 </w:t>
      </w:r>
      <w:r w:rsidR="00270638" w:rsidRPr="00012C3F">
        <w:rPr>
          <w:sz w:val="20"/>
          <w:szCs w:val="20"/>
          <w:lang w:val="en-US"/>
        </w:rPr>
        <w:t xml:space="preserve">over four years. If the Court did not agree with this request, she asked that it make a calculation based on criteria of equity, but taking into account as a “minimum parameter” the tariff of the La Paz Lawyers’ Professional Association, which equaled US$3,922. She asked that this sum be paid to I.V.; (ii) regarding the costs and expenses relating to the disbursements made by I.V. in the international procedure before the Commission, up until March </w:t>
      </w:r>
      <w:r w:rsidR="00270638" w:rsidRPr="00012C3F">
        <w:rPr>
          <w:sz w:val="20"/>
          <w:szCs w:val="20"/>
          <w:lang w:val="en-US"/>
        </w:rPr>
        <w:lastRenderedPageBreak/>
        <w:t xml:space="preserve">6, 2015, she asked for reimbursement of US$862, or that the Court calculate the amount corresponding to this item based on equity, and (iii) regarding the costs and expenses relating to the disbursements in the procedure before the Commission since March 6, 2015, and during the proceedings before the Court, she indicated that the cost for </w:t>
      </w:r>
      <w:r w:rsidR="00270638" w:rsidRPr="00012C3F">
        <w:rPr>
          <w:i/>
          <w:iCs/>
          <w:sz w:val="20"/>
          <w:szCs w:val="20"/>
          <w:lang w:val="en-US"/>
        </w:rPr>
        <w:t>Derechos en Acción</w:t>
      </w:r>
      <w:r w:rsidR="00270638" w:rsidRPr="00012C3F">
        <w:rPr>
          <w:sz w:val="20"/>
          <w:szCs w:val="20"/>
          <w:lang w:val="en-US"/>
        </w:rPr>
        <w:t xml:space="preserve"> of representing I.V. before the inter-American system amounted to </w:t>
      </w:r>
      <w:r w:rsidR="008D0B77" w:rsidRPr="00012C3F">
        <w:rPr>
          <w:sz w:val="20"/>
          <w:szCs w:val="20"/>
          <w:lang w:val="en-US"/>
        </w:rPr>
        <w:t>US$</w:t>
      </w:r>
      <w:r w:rsidR="00270638" w:rsidRPr="00012C3F">
        <w:rPr>
          <w:sz w:val="20"/>
          <w:szCs w:val="20"/>
          <w:lang w:val="en-US"/>
        </w:rPr>
        <w:t>6,</w:t>
      </w:r>
      <w:r w:rsidR="008D0B77" w:rsidRPr="00012C3F">
        <w:rPr>
          <w:sz w:val="20"/>
          <w:szCs w:val="20"/>
          <w:lang w:val="en-US"/>
        </w:rPr>
        <w:t>143</w:t>
      </w:r>
      <w:r w:rsidR="00E1299C" w:rsidRPr="00012C3F">
        <w:rPr>
          <w:sz w:val="20"/>
          <w:szCs w:val="20"/>
          <w:lang w:val="en-US"/>
        </w:rPr>
        <w:t>.</w:t>
      </w:r>
      <w:r w:rsidR="008D0B77" w:rsidRPr="00012C3F">
        <w:rPr>
          <w:sz w:val="20"/>
          <w:szCs w:val="20"/>
          <w:lang w:val="en-US"/>
        </w:rPr>
        <w:t xml:space="preserve"> </w:t>
      </w:r>
    </w:p>
    <w:p w14:paraId="344C4B83" w14:textId="77777777" w:rsidR="008D0B77" w:rsidRPr="00012C3F" w:rsidRDefault="008D0B77" w:rsidP="008D0B77">
      <w:pPr>
        <w:pStyle w:val="Prrafodelista2"/>
        <w:tabs>
          <w:tab w:val="left" w:pos="0"/>
          <w:tab w:val="num" w:pos="12305"/>
        </w:tabs>
        <w:ind w:left="0" w:right="-90"/>
        <w:jc w:val="both"/>
        <w:rPr>
          <w:lang w:val="en-US"/>
        </w:rPr>
      </w:pPr>
    </w:p>
    <w:p w14:paraId="6DF9A778" w14:textId="77777777" w:rsidR="00270638" w:rsidRPr="00012C3F" w:rsidRDefault="00270638" w:rsidP="00270638">
      <w:pPr>
        <w:numPr>
          <w:ilvl w:val="0"/>
          <w:numId w:val="5"/>
        </w:numPr>
        <w:tabs>
          <w:tab w:val="left" w:pos="720"/>
          <w:tab w:val="num" w:pos="12305"/>
        </w:tabs>
        <w:spacing w:line="240" w:lineRule="auto"/>
        <w:ind w:left="0" w:firstLine="0"/>
        <w:rPr>
          <w:b/>
          <w:bCs/>
          <w:i/>
          <w:sz w:val="20"/>
          <w:szCs w:val="20"/>
          <w:lang w:val="en-US"/>
        </w:rPr>
      </w:pPr>
      <w:r w:rsidRPr="00012C3F">
        <w:rPr>
          <w:bCs/>
          <w:sz w:val="20"/>
          <w:szCs w:val="20"/>
          <w:lang w:val="en-US"/>
        </w:rPr>
        <w:t xml:space="preserve">In her final written arguments, </w:t>
      </w:r>
      <w:r w:rsidR="00972ACF" w:rsidRPr="00012C3F">
        <w:rPr>
          <w:bCs/>
          <w:sz w:val="20"/>
          <w:szCs w:val="20"/>
          <w:lang w:val="en-US"/>
        </w:rPr>
        <w:t>the representative</w:t>
      </w:r>
      <w:r w:rsidR="008D0B77" w:rsidRPr="00012C3F">
        <w:rPr>
          <w:bCs/>
          <w:sz w:val="20"/>
          <w:szCs w:val="20"/>
          <w:lang w:val="en-US"/>
        </w:rPr>
        <w:t xml:space="preserve"> present</w:t>
      </w:r>
      <w:r w:rsidRPr="00012C3F">
        <w:rPr>
          <w:bCs/>
          <w:sz w:val="20"/>
          <w:szCs w:val="20"/>
          <w:lang w:val="en-US"/>
        </w:rPr>
        <w:t>ed a table updating the information on “expenses and costs” and established that the final amount for c</w:t>
      </w:r>
      <w:r w:rsidR="00A710F6" w:rsidRPr="00012C3F">
        <w:rPr>
          <w:bCs/>
          <w:sz w:val="20"/>
          <w:szCs w:val="20"/>
          <w:lang w:val="en-US"/>
        </w:rPr>
        <w:t>osts and expenses</w:t>
      </w:r>
      <w:r w:rsidR="008D0B77" w:rsidRPr="00012C3F">
        <w:rPr>
          <w:bCs/>
          <w:sz w:val="20"/>
          <w:szCs w:val="20"/>
          <w:lang w:val="en-US"/>
        </w:rPr>
        <w:t xml:space="preserve"> </w:t>
      </w:r>
      <w:r w:rsidRPr="00012C3F">
        <w:rPr>
          <w:bCs/>
          <w:sz w:val="20"/>
          <w:szCs w:val="20"/>
          <w:lang w:val="en-US"/>
        </w:rPr>
        <w:t>amounted to</w:t>
      </w:r>
      <w:r w:rsidR="008D0B77" w:rsidRPr="00012C3F">
        <w:rPr>
          <w:bCs/>
          <w:sz w:val="20"/>
          <w:szCs w:val="20"/>
          <w:lang w:val="en-US"/>
        </w:rPr>
        <w:t xml:space="preserve"> US$18</w:t>
      </w:r>
      <w:r w:rsidRPr="00012C3F">
        <w:rPr>
          <w:bCs/>
          <w:sz w:val="20"/>
          <w:szCs w:val="20"/>
          <w:lang w:val="en-US"/>
        </w:rPr>
        <w:t>,</w:t>
      </w:r>
      <w:r w:rsidR="008D0B77" w:rsidRPr="00012C3F">
        <w:rPr>
          <w:bCs/>
          <w:sz w:val="20"/>
          <w:szCs w:val="20"/>
          <w:lang w:val="en-US"/>
        </w:rPr>
        <w:t>290 (o</w:t>
      </w:r>
      <w:r w:rsidRPr="00012C3F">
        <w:rPr>
          <w:bCs/>
          <w:sz w:val="20"/>
          <w:szCs w:val="20"/>
          <w:lang w:val="en-US"/>
        </w:rPr>
        <w:t>r</w:t>
      </w:r>
      <w:r w:rsidR="008D0B77" w:rsidRPr="00012C3F">
        <w:rPr>
          <w:bCs/>
          <w:sz w:val="20"/>
          <w:szCs w:val="20"/>
          <w:lang w:val="en-US"/>
        </w:rPr>
        <w:t xml:space="preserve"> Bs. 127</w:t>
      </w:r>
      <w:r w:rsidRPr="00012C3F">
        <w:rPr>
          <w:bCs/>
          <w:sz w:val="20"/>
          <w:szCs w:val="20"/>
          <w:lang w:val="en-US"/>
        </w:rPr>
        <w:t>,</w:t>
      </w:r>
      <w:r w:rsidR="008D0B77" w:rsidRPr="00012C3F">
        <w:rPr>
          <w:bCs/>
          <w:sz w:val="20"/>
          <w:szCs w:val="20"/>
          <w:lang w:val="en-US"/>
        </w:rPr>
        <w:t>298).</w:t>
      </w:r>
      <w:r w:rsidR="00E1299C" w:rsidRPr="00012C3F">
        <w:rPr>
          <w:bCs/>
          <w:sz w:val="20"/>
          <w:szCs w:val="20"/>
          <w:lang w:val="en-US"/>
        </w:rPr>
        <w:t xml:space="preserve"> </w:t>
      </w:r>
      <w:r w:rsidRPr="00012C3F">
        <w:rPr>
          <w:bCs/>
          <w:sz w:val="20"/>
          <w:szCs w:val="20"/>
          <w:lang w:val="en-US"/>
        </w:rPr>
        <w:t xml:space="preserve">Regarding the State’s request that the Court reject the amount of costs and expenses for </w:t>
      </w:r>
      <w:r w:rsidRPr="00012C3F">
        <w:rPr>
          <w:bCs/>
          <w:i/>
          <w:iCs/>
          <w:sz w:val="20"/>
          <w:szCs w:val="20"/>
          <w:lang w:val="en-US"/>
        </w:rPr>
        <w:t>Derechos en Acción</w:t>
      </w:r>
      <w:r w:rsidRPr="00012C3F">
        <w:rPr>
          <w:bCs/>
          <w:sz w:val="20"/>
          <w:szCs w:val="20"/>
          <w:lang w:val="en-US"/>
        </w:rPr>
        <w:t xml:space="preserve"> as it was a non-profit organization, the representative indicated that “non-profit” did not mean that this association </w:t>
      </w:r>
      <w:r w:rsidR="0011398E" w:rsidRPr="00012C3F">
        <w:rPr>
          <w:bCs/>
          <w:sz w:val="20"/>
          <w:szCs w:val="20"/>
          <w:lang w:val="en-US"/>
        </w:rPr>
        <w:t xml:space="preserve">did not require financial recognition of its specialized work in the area of international legal matters and the reimbursement of duly authenticated disbursements, so that this </w:t>
      </w:r>
      <w:r w:rsidR="00B0764D" w:rsidRPr="00012C3F">
        <w:rPr>
          <w:bCs/>
          <w:sz w:val="20"/>
          <w:szCs w:val="20"/>
          <w:lang w:val="en-US"/>
        </w:rPr>
        <w:t>argument</w:t>
      </w:r>
      <w:r w:rsidR="0011398E" w:rsidRPr="00012C3F">
        <w:rPr>
          <w:bCs/>
          <w:sz w:val="20"/>
          <w:szCs w:val="20"/>
          <w:lang w:val="en-US"/>
        </w:rPr>
        <w:t xml:space="preserve"> should be rejected. She also asked that the payment in favor of </w:t>
      </w:r>
      <w:r w:rsidR="0011398E" w:rsidRPr="00012C3F">
        <w:rPr>
          <w:bCs/>
          <w:i/>
          <w:iCs/>
          <w:sz w:val="20"/>
          <w:szCs w:val="20"/>
          <w:lang w:val="en-US"/>
        </w:rPr>
        <w:t>Derechos en Acción</w:t>
      </w:r>
      <w:r w:rsidR="0011398E" w:rsidRPr="00012C3F">
        <w:rPr>
          <w:bCs/>
          <w:sz w:val="20"/>
          <w:szCs w:val="20"/>
          <w:lang w:val="en-US"/>
        </w:rPr>
        <w:t xml:space="preserve"> be made directly to this association.</w:t>
      </w:r>
    </w:p>
    <w:p w14:paraId="1D9AA05B" w14:textId="77777777" w:rsidR="008D0B77" w:rsidRPr="00012C3F" w:rsidRDefault="008D0B77" w:rsidP="00270638">
      <w:pPr>
        <w:pStyle w:val="Prrafodelista2"/>
        <w:tabs>
          <w:tab w:val="left" w:pos="0"/>
          <w:tab w:val="left" w:pos="720"/>
          <w:tab w:val="num" w:pos="11028"/>
        </w:tabs>
        <w:ind w:left="0" w:right="-90"/>
        <w:jc w:val="both"/>
        <w:rPr>
          <w:b/>
          <w:bCs/>
          <w:i/>
          <w:lang w:val="en-US"/>
        </w:rPr>
      </w:pPr>
    </w:p>
    <w:p w14:paraId="50067CFA" w14:textId="77777777" w:rsidR="008603DF" w:rsidRPr="00012C3F" w:rsidRDefault="00A84CA0" w:rsidP="00270638">
      <w:pPr>
        <w:numPr>
          <w:ilvl w:val="0"/>
          <w:numId w:val="5"/>
        </w:numPr>
        <w:tabs>
          <w:tab w:val="left" w:pos="720"/>
          <w:tab w:val="num" w:pos="12305"/>
        </w:tabs>
        <w:spacing w:line="240" w:lineRule="auto"/>
        <w:ind w:left="0" w:firstLine="0"/>
        <w:rPr>
          <w:lang w:val="en-US"/>
        </w:rPr>
      </w:pPr>
      <w:r w:rsidRPr="00012C3F">
        <w:rPr>
          <w:sz w:val="20"/>
          <w:szCs w:val="20"/>
          <w:lang w:val="en-US"/>
        </w:rPr>
        <w:t xml:space="preserve">The </w:t>
      </w:r>
      <w:r w:rsidRPr="00012C3F">
        <w:rPr>
          <w:b/>
          <w:bCs/>
          <w:i/>
          <w:iCs/>
          <w:sz w:val="20"/>
          <w:szCs w:val="20"/>
          <w:lang w:val="en-US"/>
        </w:rPr>
        <w:t>State</w:t>
      </w:r>
      <w:r w:rsidR="008D0B77" w:rsidRPr="00012C3F">
        <w:rPr>
          <w:b/>
          <w:sz w:val="20"/>
          <w:szCs w:val="20"/>
          <w:lang w:val="en-US"/>
        </w:rPr>
        <w:t xml:space="preserve"> </w:t>
      </w:r>
      <w:r w:rsidR="008D0B77" w:rsidRPr="00012C3F">
        <w:rPr>
          <w:sz w:val="20"/>
          <w:szCs w:val="20"/>
          <w:lang w:val="en-US"/>
        </w:rPr>
        <w:t>consider</w:t>
      </w:r>
      <w:r w:rsidR="008603DF" w:rsidRPr="00012C3F">
        <w:rPr>
          <w:sz w:val="20"/>
          <w:szCs w:val="20"/>
          <w:lang w:val="en-US"/>
        </w:rPr>
        <w:t xml:space="preserve">ed that “[b]ased on the information on the domestic proceedings submitted to the Court and the evident negligence of I.V. by failing to file the corresponding appeals against the ruling that decided the extinction of the criminal action, it was not </w:t>
      </w:r>
      <w:r w:rsidR="0016566A" w:rsidRPr="00012C3F">
        <w:rPr>
          <w:sz w:val="20"/>
          <w:szCs w:val="20"/>
          <w:lang w:val="en-US"/>
        </w:rPr>
        <w:t>appropriate for</w:t>
      </w:r>
      <w:r w:rsidR="008603DF" w:rsidRPr="00012C3F">
        <w:rPr>
          <w:sz w:val="20"/>
          <w:szCs w:val="20"/>
          <w:lang w:val="en-US"/>
        </w:rPr>
        <w:t xml:space="preserve"> the Court to determine costs and expenses for an extinct criminal case.” Regarding the representation expenses of </w:t>
      </w:r>
      <w:r w:rsidR="008603DF" w:rsidRPr="00012C3F">
        <w:rPr>
          <w:i/>
          <w:iCs/>
          <w:sz w:val="20"/>
          <w:szCs w:val="20"/>
          <w:lang w:val="en-US"/>
        </w:rPr>
        <w:t>Derechos en Acción,</w:t>
      </w:r>
      <w:r w:rsidR="008603DF" w:rsidRPr="00012C3F">
        <w:rPr>
          <w:sz w:val="20"/>
          <w:szCs w:val="20"/>
          <w:lang w:val="en-US"/>
        </w:rPr>
        <w:t xml:space="preserve"> the State argued that “[a]ccording to the power of attorney attached to the [motions and pleadings brief], </w:t>
      </w:r>
      <w:r w:rsidR="008603DF" w:rsidRPr="00012C3F">
        <w:rPr>
          <w:i/>
          <w:iCs/>
          <w:sz w:val="20"/>
          <w:szCs w:val="20"/>
          <w:lang w:val="en-US"/>
        </w:rPr>
        <w:t>Derechos en Acción</w:t>
      </w:r>
      <w:r w:rsidR="008603DF" w:rsidRPr="00012C3F">
        <w:rPr>
          <w:sz w:val="20"/>
          <w:szCs w:val="20"/>
          <w:lang w:val="en-US"/>
        </w:rPr>
        <w:t xml:space="preserve"> is a non-profit organization; thus, the request for US$6,143 is totally contrary to the nature of this organization</w:t>
      </w:r>
      <w:r w:rsidR="0016566A" w:rsidRPr="00012C3F">
        <w:rPr>
          <w:sz w:val="20"/>
          <w:szCs w:val="20"/>
          <w:lang w:val="en-US"/>
        </w:rPr>
        <w:t>.</w:t>
      </w:r>
      <w:r w:rsidR="008603DF" w:rsidRPr="00012C3F">
        <w:rPr>
          <w:sz w:val="20"/>
          <w:szCs w:val="20"/>
          <w:lang w:val="en-US"/>
        </w:rPr>
        <w:t xml:space="preserve">” </w:t>
      </w:r>
      <w:r w:rsidR="0016566A" w:rsidRPr="00012C3F">
        <w:rPr>
          <w:sz w:val="20"/>
          <w:szCs w:val="20"/>
          <w:lang w:val="en-US"/>
        </w:rPr>
        <w:t>C</w:t>
      </w:r>
      <w:r w:rsidR="008603DF" w:rsidRPr="00012C3F">
        <w:rPr>
          <w:sz w:val="20"/>
          <w:szCs w:val="20"/>
          <w:lang w:val="en-US"/>
        </w:rPr>
        <w:t>onsequently, it asked the Court to reject all aspects of the financial claim made by the representative.</w:t>
      </w:r>
    </w:p>
    <w:p w14:paraId="23F56C52" w14:textId="77777777" w:rsidR="008D0B77" w:rsidRPr="00012C3F" w:rsidRDefault="008D0B77" w:rsidP="008D0B77">
      <w:pPr>
        <w:tabs>
          <w:tab w:val="left" w:pos="709"/>
          <w:tab w:val="left" w:pos="1134"/>
        </w:tabs>
        <w:spacing w:line="240" w:lineRule="auto"/>
        <w:rPr>
          <w:sz w:val="20"/>
          <w:szCs w:val="20"/>
          <w:lang w:val="en-US"/>
        </w:rPr>
      </w:pPr>
    </w:p>
    <w:p w14:paraId="1949560A" w14:textId="77777777" w:rsidR="008D0B77" w:rsidRPr="00012C3F" w:rsidRDefault="001254DE" w:rsidP="008603DF">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The Court</w:t>
      </w:r>
      <w:r w:rsidR="008D0B77" w:rsidRPr="00012C3F">
        <w:rPr>
          <w:sz w:val="20"/>
          <w:szCs w:val="20"/>
          <w:lang w:val="en-US"/>
        </w:rPr>
        <w:t xml:space="preserve"> reitera</w:t>
      </w:r>
      <w:r w:rsidR="008603DF" w:rsidRPr="00012C3F">
        <w:rPr>
          <w:sz w:val="20"/>
          <w:szCs w:val="20"/>
          <w:lang w:val="en-US"/>
        </w:rPr>
        <w:t xml:space="preserve">tes that, pursuant to its case law, costs and expenses form part of the concept of reparation, because the actions taken by the victims in order to obtain justice, at both the national and the international level, involve disbursements that should be compensated when the international responsibility of the State has been declared in a judgment convicting it. Regarding the reimbursement of expenses, it is for the Court to assess their scope prudently, and this includes those arising before the authorities of the domestic jurisdiction and also those generated during the proceedings before the inter-American system, taking into account the circumstances of the specific case and the nature of the international jurisdiction for the protection of human rights. This assessment may be made based on the principle of equity and taking into account the expenses indicated by the parties, provided that their </w:t>
      </w:r>
      <w:r w:rsidR="008603DF" w:rsidRPr="00012C3F">
        <w:rPr>
          <w:i/>
          <w:sz w:val="20"/>
          <w:szCs w:val="20"/>
          <w:lang w:val="en-US"/>
        </w:rPr>
        <w:t>quantum</w:t>
      </w:r>
      <w:r w:rsidR="008603DF" w:rsidRPr="00012C3F">
        <w:rPr>
          <w:sz w:val="20"/>
          <w:szCs w:val="20"/>
          <w:lang w:val="en-US"/>
        </w:rPr>
        <w:t xml:space="preserve"> is reasonable.</w:t>
      </w:r>
      <w:r w:rsidR="008603DF" w:rsidRPr="00012C3F">
        <w:rPr>
          <w:sz w:val="20"/>
          <w:szCs w:val="20"/>
          <w:vertAlign w:val="superscript"/>
          <w:lang w:val="en-US"/>
        </w:rPr>
        <w:footnoteReference w:id="415"/>
      </w:r>
      <w:r w:rsidR="008603DF" w:rsidRPr="00012C3F">
        <w:rPr>
          <w:sz w:val="20"/>
          <w:szCs w:val="20"/>
          <w:lang w:val="en-US"/>
        </w:rPr>
        <w:t xml:space="preserve"> As it has indicated on other occasions, the Court recalls that it is not sufficient merely to forward probative documents; rather the parties are required to include arguments that relate the evidence to the fact that it is considered to represent and, </w:t>
      </w:r>
      <w:r w:rsidR="00907D51" w:rsidRPr="00012C3F">
        <w:rPr>
          <w:sz w:val="20"/>
          <w:szCs w:val="20"/>
          <w:lang w:val="en-US"/>
        </w:rPr>
        <w:t>in the case of alleged financial disbursement,</w:t>
      </w:r>
      <w:r w:rsidR="0016566A" w:rsidRPr="00012C3F">
        <w:rPr>
          <w:sz w:val="20"/>
          <w:szCs w:val="20"/>
          <w:lang w:val="en-US"/>
        </w:rPr>
        <w:t xml:space="preserve"> </w:t>
      </w:r>
      <w:r w:rsidR="00907D51" w:rsidRPr="00012C3F">
        <w:rPr>
          <w:sz w:val="20"/>
          <w:szCs w:val="20"/>
          <w:lang w:val="en-US"/>
        </w:rPr>
        <w:t xml:space="preserve">the items and their justification </w:t>
      </w:r>
      <w:r w:rsidR="0016566A" w:rsidRPr="00012C3F">
        <w:rPr>
          <w:sz w:val="20"/>
          <w:szCs w:val="20"/>
          <w:lang w:val="en-US"/>
        </w:rPr>
        <w:t>must be</w:t>
      </w:r>
      <w:r w:rsidR="00907D51" w:rsidRPr="00012C3F">
        <w:rPr>
          <w:sz w:val="20"/>
          <w:szCs w:val="20"/>
          <w:lang w:val="en-US"/>
        </w:rPr>
        <w:t xml:space="preserve"> clearly established.</w:t>
      </w:r>
      <w:r w:rsidR="008D0B77" w:rsidRPr="00012C3F">
        <w:rPr>
          <w:sz w:val="20"/>
          <w:szCs w:val="20"/>
          <w:vertAlign w:val="superscript"/>
          <w:lang w:val="en-US"/>
        </w:rPr>
        <w:footnoteReference w:id="416"/>
      </w:r>
    </w:p>
    <w:p w14:paraId="2D7685B7" w14:textId="77777777" w:rsidR="008D0B77" w:rsidRPr="00012C3F" w:rsidRDefault="008D0B77" w:rsidP="008D0B77">
      <w:pPr>
        <w:spacing w:line="240" w:lineRule="auto"/>
        <w:ind w:right="-174"/>
        <w:rPr>
          <w:b/>
          <w:sz w:val="20"/>
          <w:szCs w:val="20"/>
          <w:lang w:val="en-US"/>
        </w:rPr>
      </w:pPr>
    </w:p>
    <w:p w14:paraId="36F48D48" w14:textId="77777777" w:rsidR="008D0B77" w:rsidRPr="00012C3F" w:rsidRDefault="006C705C" w:rsidP="00907D51">
      <w:pPr>
        <w:numPr>
          <w:ilvl w:val="0"/>
          <w:numId w:val="5"/>
        </w:numPr>
        <w:tabs>
          <w:tab w:val="left" w:pos="720"/>
          <w:tab w:val="num" w:pos="12305"/>
        </w:tabs>
        <w:spacing w:line="240" w:lineRule="auto"/>
        <w:ind w:left="0" w:firstLine="0"/>
        <w:rPr>
          <w:rFonts w:cs="Verdana"/>
          <w:snapToGrid w:val="0"/>
          <w:sz w:val="20"/>
          <w:szCs w:val="20"/>
          <w:lang w:val="en-US" w:eastAsia="es-ES"/>
        </w:rPr>
      </w:pPr>
      <w:r w:rsidRPr="00012C3F">
        <w:rPr>
          <w:rFonts w:cs="Verdana"/>
          <w:snapToGrid w:val="0"/>
          <w:sz w:val="20"/>
          <w:szCs w:val="20"/>
          <w:lang w:val="en-US" w:eastAsia="es-ES"/>
        </w:rPr>
        <w:t>In this case</w:t>
      </w:r>
      <w:r w:rsidR="006E34A3" w:rsidRPr="00012C3F">
        <w:rPr>
          <w:rFonts w:cs="Verdana"/>
          <w:snapToGrid w:val="0"/>
          <w:sz w:val="20"/>
          <w:szCs w:val="20"/>
          <w:lang w:val="en-US" w:eastAsia="es-ES"/>
        </w:rPr>
        <w:t xml:space="preserve">, </w:t>
      </w:r>
      <w:r w:rsidR="00907D51" w:rsidRPr="00012C3F">
        <w:rPr>
          <w:rFonts w:cs="Verdana"/>
          <w:snapToGrid w:val="0"/>
          <w:sz w:val="20"/>
          <w:szCs w:val="20"/>
          <w:lang w:val="en-US" w:eastAsia="es-ES"/>
        </w:rPr>
        <w:t>the expenses incurred by I.V. were taken into account to determine the compensation for pecuniary damage</w:t>
      </w:r>
      <w:r w:rsidR="006E34A3" w:rsidRPr="00012C3F">
        <w:rPr>
          <w:rFonts w:cs="Verdana"/>
          <w:snapToGrid w:val="0"/>
          <w:sz w:val="20"/>
          <w:szCs w:val="20"/>
          <w:lang w:val="en-US" w:eastAsia="es-ES"/>
        </w:rPr>
        <w:t xml:space="preserve">. </w:t>
      </w:r>
      <w:r w:rsidR="00907D51" w:rsidRPr="00012C3F">
        <w:rPr>
          <w:rFonts w:cs="Verdana"/>
          <w:snapToGrid w:val="0"/>
          <w:sz w:val="20"/>
          <w:szCs w:val="20"/>
          <w:lang w:val="en-US" w:eastAsia="es-ES"/>
        </w:rPr>
        <w:t>However</w:t>
      </w:r>
      <w:r w:rsidR="008D0B77" w:rsidRPr="00012C3F">
        <w:rPr>
          <w:rFonts w:cs="Verdana"/>
          <w:snapToGrid w:val="0"/>
          <w:sz w:val="20"/>
          <w:szCs w:val="20"/>
          <w:lang w:val="en-US" w:eastAsia="es-ES"/>
        </w:rPr>
        <w:t xml:space="preserve">, </w:t>
      </w:r>
      <w:r w:rsidR="00972ACF" w:rsidRPr="00012C3F">
        <w:rPr>
          <w:rFonts w:cs="Verdana"/>
          <w:snapToGrid w:val="0"/>
          <w:sz w:val="20"/>
          <w:szCs w:val="20"/>
          <w:lang w:val="en-US" w:eastAsia="es-ES"/>
        </w:rPr>
        <w:t>the representative</w:t>
      </w:r>
      <w:r w:rsidR="008D0B77" w:rsidRPr="00012C3F">
        <w:rPr>
          <w:rFonts w:cs="Verdana"/>
          <w:snapToGrid w:val="0"/>
          <w:sz w:val="20"/>
          <w:szCs w:val="20"/>
          <w:lang w:val="en-US" w:eastAsia="es-ES"/>
        </w:rPr>
        <w:t xml:space="preserve"> </w:t>
      </w:r>
      <w:r w:rsidR="00907D51" w:rsidRPr="00012C3F">
        <w:rPr>
          <w:rFonts w:cs="Verdana"/>
          <w:snapToGrid w:val="0"/>
          <w:sz w:val="20"/>
          <w:szCs w:val="20"/>
          <w:lang w:val="en-US" w:eastAsia="es-ES"/>
        </w:rPr>
        <w:t xml:space="preserve">provided evidence to authenticate the expenditure incurred by </w:t>
      </w:r>
      <w:r w:rsidR="003F760A" w:rsidRPr="00012C3F">
        <w:rPr>
          <w:rFonts w:cs="Verdana"/>
          <w:i/>
          <w:iCs/>
          <w:snapToGrid w:val="0"/>
          <w:sz w:val="20"/>
          <w:szCs w:val="20"/>
          <w:lang w:val="en-US" w:eastAsia="es-ES"/>
        </w:rPr>
        <w:t>Derechos en Acción</w:t>
      </w:r>
      <w:r w:rsidR="003F760A" w:rsidRPr="00012C3F">
        <w:rPr>
          <w:rFonts w:cs="Verdana"/>
          <w:snapToGrid w:val="0"/>
          <w:sz w:val="20"/>
          <w:szCs w:val="20"/>
          <w:lang w:val="en-US" w:eastAsia="es-ES"/>
        </w:rPr>
        <w:t>.</w:t>
      </w:r>
      <w:r w:rsidR="008D0B77" w:rsidRPr="00012C3F">
        <w:rPr>
          <w:rFonts w:cs="Verdana"/>
          <w:snapToGrid w:val="0"/>
          <w:sz w:val="20"/>
          <w:szCs w:val="20"/>
          <w:lang w:val="en-US" w:eastAsia="es-ES"/>
        </w:rPr>
        <w:t xml:space="preserve"> </w:t>
      </w:r>
      <w:r w:rsidR="00907D51" w:rsidRPr="00012C3F">
        <w:rPr>
          <w:rFonts w:cs="Verdana"/>
          <w:snapToGrid w:val="0"/>
          <w:sz w:val="20"/>
          <w:szCs w:val="20"/>
          <w:lang w:val="en-US" w:eastAsia="es-ES"/>
        </w:rPr>
        <w:t xml:space="preserve">The table of expenditure presented included: (i) cost of legal representation; (ii) cost of time spent on legal work specific to this case by the staff of </w:t>
      </w:r>
      <w:r w:rsidR="00907D51" w:rsidRPr="00012C3F">
        <w:rPr>
          <w:rFonts w:cs="Verdana"/>
          <w:i/>
          <w:iCs/>
          <w:snapToGrid w:val="0"/>
          <w:sz w:val="20"/>
          <w:szCs w:val="20"/>
          <w:lang w:val="en-US" w:eastAsia="es-ES"/>
        </w:rPr>
        <w:t>Derechos en Acción</w:t>
      </w:r>
      <w:r w:rsidR="00907D51" w:rsidRPr="00012C3F">
        <w:rPr>
          <w:rFonts w:cs="Verdana"/>
          <w:snapToGrid w:val="0"/>
          <w:sz w:val="20"/>
          <w:szCs w:val="20"/>
          <w:lang w:val="en-US" w:eastAsia="es-ES"/>
        </w:rPr>
        <w:t xml:space="preserve">; (iii) miscellaneous administrative expenses; (iv) external legal advice, and (v) travel to the public hearing in San José by </w:t>
      </w:r>
      <w:r w:rsidR="002A5605" w:rsidRPr="00012C3F">
        <w:rPr>
          <w:rFonts w:cs="Verdana"/>
          <w:snapToGrid w:val="0"/>
          <w:sz w:val="20"/>
          <w:szCs w:val="20"/>
          <w:lang w:val="en-US" w:eastAsia="es-ES"/>
        </w:rPr>
        <w:t xml:space="preserve">the </w:t>
      </w:r>
      <w:r w:rsidR="004C6FCC" w:rsidRPr="00012C3F">
        <w:rPr>
          <w:rFonts w:cs="Verdana"/>
          <w:snapToGrid w:val="0"/>
          <w:sz w:val="20"/>
          <w:szCs w:val="20"/>
          <w:lang w:val="en-US" w:eastAsia="es-ES"/>
        </w:rPr>
        <w:t>representatives</w:t>
      </w:r>
      <w:r w:rsidR="00474932" w:rsidRPr="00012C3F">
        <w:rPr>
          <w:rFonts w:cs="Verdana"/>
          <w:snapToGrid w:val="0"/>
          <w:sz w:val="20"/>
          <w:szCs w:val="20"/>
          <w:lang w:val="en-US" w:eastAsia="es-ES"/>
        </w:rPr>
        <w:t xml:space="preserve"> </w:t>
      </w:r>
      <w:r w:rsidR="008D0B77" w:rsidRPr="00012C3F">
        <w:rPr>
          <w:rFonts w:cs="Verdana"/>
          <w:snapToGrid w:val="0"/>
          <w:sz w:val="20"/>
          <w:szCs w:val="20"/>
          <w:lang w:val="en-US" w:eastAsia="es-ES"/>
        </w:rPr>
        <w:t>(Rielma Mencias, Fernando Zambrana</w:t>
      </w:r>
      <w:r w:rsidR="005E5012" w:rsidRPr="00012C3F">
        <w:rPr>
          <w:rFonts w:cs="Verdana"/>
          <w:snapToGrid w:val="0"/>
          <w:sz w:val="20"/>
          <w:szCs w:val="20"/>
          <w:lang w:val="en-US" w:eastAsia="es-ES"/>
        </w:rPr>
        <w:t xml:space="preserve"> and </w:t>
      </w:r>
      <w:r w:rsidR="008D0B77" w:rsidRPr="00012C3F">
        <w:rPr>
          <w:rFonts w:cs="Verdana"/>
          <w:snapToGrid w:val="0"/>
          <w:sz w:val="20"/>
          <w:szCs w:val="20"/>
          <w:lang w:val="en-US" w:eastAsia="es-ES"/>
        </w:rPr>
        <w:t xml:space="preserve">Marcelo Claros). </w:t>
      </w:r>
      <w:r w:rsidR="00907D51" w:rsidRPr="00012C3F">
        <w:rPr>
          <w:rFonts w:cs="Verdana"/>
          <w:snapToGrid w:val="0"/>
          <w:sz w:val="20"/>
          <w:szCs w:val="20"/>
          <w:lang w:val="en-US" w:eastAsia="es-ES"/>
        </w:rPr>
        <w:t xml:space="preserve">Based on the authenticated expenses related to the case, </w:t>
      </w:r>
      <w:r w:rsidR="00907D51" w:rsidRPr="00012C3F">
        <w:rPr>
          <w:rFonts w:cs="Verdana"/>
          <w:snapToGrid w:val="0"/>
          <w:sz w:val="20"/>
          <w:szCs w:val="20"/>
          <w:lang w:val="en-US" w:eastAsia="es-ES"/>
        </w:rPr>
        <w:lastRenderedPageBreak/>
        <w:t xml:space="preserve">the Court determines that the State should deliver the sum of </w:t>
      </w:r>
      <w:r w:rsidR="008D0B77" w:rsidRPr="00012C3F">
        <w:rPr>
          <w:rFonts w:cs="Verdana"/>
          <w:snapToGrid w:val="0"/>
          <w:sz w:val="20"/>
          <w:szCs w:val="20"/>
          <w:lang w:val="en-US" w:eastAsia="es-ES"/>
        </w:rPr>
        <w:t>US$</w:t>
      </w:r>
      <w:r w:rsidR="00807D42" w:rsidRPr="00012C3F">
        <w:rPr>
          <w:rFonts w:cs="Verdana"/>
          <w:snapToGrid w:val="0"/>
          <w:sz w:val="20"/>
          <w:szCs w:val="20"/>
          <w:lang w:val="en-US" w:eastAsia="es-ES"/>
        </w:rPr>
        <w:t>18</w:t>
      </w:r>
      <w:r w:rsidR="00907D51" w:rsidRPr="00012C3F">
        <w:rPr>
          <w:rFonts w:cs="Verdana"/>
          <w:snapToGrid w:val="0"/>
          <w:sz w:val="20"/>
          <w:szCs w:val="20"/>
          <w:lang w:val="en-US" w:eastAsia="es-ES"/>
        </w:rPr>
        <w:t>,</w:t>
      </w:r>
      <w:r w:rsidR="00D46AC3" w:rsidRPr="00012C3F">
        <w:rPr>
          <w:rFonts w:cs="Verdana"/>
          <w:snapToGrid w:val="0"/>
          <w:sz w:val="20"/>
          <w:szCs w:val="20"/>
          <w:lang w:val="en-US" w:eastAsia="es-ES"/>
        </w:rPr>
        <w:t>29</w:t>
      </w:r>
      <w:r w:rsidR="008D0B77" w:rsidRPr="00012C3F">
        <w:rPr>
          <w:rFonts w:cs="Verdana"/>
          <w:snapToGrid w:val="0"/>
          <w:sz w:val="20"/>
          <w:szCs w:val="20"/>
          <w:lang w:val="en-US" w:eastAsia="es-ES"/>
        </w:rPr>
        <w:t>0 (</w:t>
      </w:r>
      <w:r w:rsidR="00907D51" w:rsidRPr="00012C3F">
        <w:rPr>
          <w:rFonts w:cs="Verdana"/>
          <w:snapToGrid w:val="0"/>
          <w:sz w:val="20"/>
          <w:szCs w:val="20"/>
          <w:lang w:val="en-US" w:eastAsia="es-ES"/>
        </w:rPr>
        <w:t xml:space="preserve">eighteen thousand two hundred and ninety Untied States dollars) to </w:t>
      </w:r>
      <w:r w:rsidR="00907D51" w:rsidRPr="00012C3F">
        <w:rPr>
          <w:rFonts w:cs="Verdana"/>
          <w:i/>
          <w:iCs/>
          <w:snapToGrid w:val="0"/>
          <w:sz w:val="20"/>
          <w:szCs w:val="20"/>
          <w:lang w:val="en-US" w:eastAsia="es-ES"/>
        </w:rPr>
        <w:t>Derechos en Acción</w:t>
      </w:r>
      <w:r w:rsidR="00907D51" w:rsidRPr="00012C3F">
        <w:rPr>
          <w:rFonts w:cs="Verdana"/>
          <w:snapToGrid w:val="0"/>
          <w:sz w:val="20"/>
          <w:szCs w:val="20"/>
          <w:lang w:val="en-US" w:eastAsia="es-ES"/>
        </w:rPr>
        <w:t>. At the stage of monitoring compliance with this judgment, the Court may require the State to reimburse the victim or her representative for subsequent reasonable and duly authenticated expenses.</w:t>
      </w:r>
      <w:r w:rsidR="00586518" w:rsidRPr="00012C3F">
        <w:rPr>
          <w:rFonts w:cs="Verdana"/>
          <w:snapToGrid w:val="0"/>
          <w:sz w:val="20"/>
          <w:szCs w:val="20"/>
          <w:vertAlign w:val="superscript"/>
          <w:lang w:val="en-US" w:eastAsia="es-ES"/>
        </w:rPr>
        <w:footnoteReference w:id="417"/>
      </w:r>
    </w:p>
    <w:p w14:paraId="5EDCC7CA" w14:textId="77777777" w:rsidR="008D0B77" w:rsidRPr="00012C3F" w:rsidRDefault="008D0B77" w:rsidP="008D0B77">
      <w:pPr>
        <w:tabs>
          <w:tab w:val="left" w:pos="709"/>
          <w:tab w:val="left" w:pos="1134"/>
        </w:tabs>
        <w:spacing w:line="240" w:lineRule="auto"/>
        <w:rPr>
          <w:sz w:val="20"/>
          <w:szCs w:val="20"/>
          <w:lang w:val="en-US"/>
        </w:rPr>
      </w:pPr>
    </w:p>
    <w:p w14:paraId="56E978E8" w14:textId="77777777" w:rsidR="008D0B77" w:rsidRPr="00012C3F" w:rsidRDefault="009867D6" w:rsidP="009867D6">
      <w:pPr>
        <w:keepNext/>
        <w:keepLines/>
        <w:tabs>
          <w:tab w:val="left" w:pos="1134"/>
        </w:tabs>
        <w:spacing w:line="240" w:lineRule="auto"/>
        <w:ind w:left="567" w:firstLine="1"/>
        <w:outlineLvl w:val="1"/>
        <w:rPr>
          <w:rFonts w:eastAsia="MS Mincho"/>
          <w:b/>
          <w:bCs/>
          <w:i/>
          <w:sz w:val="20"/>
          <w:szCs w:val="20"/>
          <w:lang w:val="en-US"/>
        </w:rPr>
      </w:pPr>
      <w:bookmarkStart w:id="215" w:name="_Toc375517155"/>
      <w:bookmarkStart w:id="216" w:name="_Toc447893044"/>
      <w:bookmarkStart w:id="217" w:name="_Toc449460769"/>
      <w:bookmarkStart w:id="218" w:name="_Toc459158158"/>
      <w:bookmarkStart w:id="219" w:name="_Toc461637453"/>
      <w:bookmarkStart w:id="220" w:name="_Toc462310929"/>
      <w:bookmarkStart w:id="221" w:name="_Toc27486897"/>
      <w:r w:rsidRPr="00012C3F">
        <w:rPr>
          <w:rFonts w:eastAsia="MS Mincho"/>
          <w:b/>
          <w:bCs/>
          <w:i/>
          <w:sz w:val="20"/>
          <w:szCs w:val="20"/>
          <w:lang w:val="en-US"/>
        </w:rPr>
        <w:t>H.</w:t>
      </w:r>
      <w:r w:rsidRPr="00012C3F">
        <w:rPr>
          <w:rFonts w:eastAsia="MS Mincho"/>
          <w:b/>
          <w:bCs/>
          <w:i/>
          <w:sz w:val="20"/>
          <w:szCs w:val="20"/>
          <w:lang w:val="en-US"/>
        </w:rPr>
        <w:tab/>
      </w:r>
      <w:r w:rsidR="00A710F6" w:rsidRPr="00012C3F">
        <w:rPr>
          <w:rFonts w:eastAsia="MS Mincho"/>
          <w:b/>
          <w:bCs/>
          <w:i/>
          <w:sz w:val="20"/>
          <w:szCs w:val="20"/>
          <w:lang w:val="en-US"/>
        </w:rPr>
        <w:t>Reimbursement of expenditure to the</w:t>
      </w:r>
      <w:r w:rsidR="008D0B77" w:rsidRPr="00012C3F">
        <w:rPr>
          <w:rFonts w:eastAsia="MS Mincho"/>
          <w:b/>
          <w:bCs/>
          <w:i/>
          <w:sz w:val="20"/>
          <w:szCs w:val="20"/>
          <w:lang w:val="en-US"/>
        </w:rPr>
        <w:t xml:space="preserve"> </w:t>
      </w:r>
      <w:r w:rsidR="00B257AF" w:rsidRPr="00012C3F">
        <w:rPr>
          <w:rFonts w:eastAsia="MS Mincho"/>
          <w:b/>
          <w:bCs/>
          <w:i/>
          <w:sz w:val="20"/>
          <w:szCs w:val="20"/>
          <w:lang w:val="en-US"/>
        </w:rPr>
        <w:t>Victims’ Legal Assistance Fund</w:t>
      </w:r>
      <w:bookmarkEnd w:id="215"/>
      <w:bookmarkEnd w:id="216"/>
      <w:bookmarkEnd w:id="217"/>
      <w:bookmarkEnd w:id="218"/>
      <w:bookmarkEnd w:id="219"/>
      <w:bookmarkEnd w:id="220"/>
      <w:bookmarkEnd w:id="221"/>
    </w:p>
    <w:p w14:paraId="55D04508" w14:textId="77777777" w:rsidR="008D0B77" w:rsidRPr="00012C3F" w:rsidRDefault="008D0B77" w:rsidP="008D0B77">
      <w:pPr>
        <w:tabs>
          <w:tab w:val="left" w:pos="720"/>
        </w:tabs>
        <w:spacing w:line="240" w:lineRule="auto"/>
        <w:ind w:left="142"/>
        <w:rPr>
          <w:sz w:val="20"/>
          <w:szCs w:val="20"/>
          <w:lang w:val="en-US" w:bidi="en-US"/>
        </w:rPr>
      </w:pPr>
    </w:p>
    <w:p w14:paraId="31F51B33" w14:textId="77777777" w:rsidR="008D0B77" w:rsidRPr="00012C3F" w:rsidRDefault="00907D51" w:rsidP="000C797C">
      <w:pPr>
        <w:numPr>
          <w:ilvl w:val="0"/>
          <w:numId w:val="5"/>
        </w:numPr>
        <w:tabs>
          <w:tab w:val="left" w:pos="720"/>
          <w:tab w:val="num" w:pos="12305"/>
        </w:tabs>
        <w:spacing w:line="240" w:lineRule="auto"/>
        <w:ind w:left="0" w:firstLine="0"/>
        <w:rPr>
          <w:rFonts w:cs="Verdana"/>
          <w:snapToGrid w:val="0"/>
          <w:sz w:val="20"/>
          <w:szCs w:val="20"/>
          <w:lang w:val="en-US" w:eastAsia="es-ES"/>
        </w:rPr>
      </w:pPr>
      <w:r w:rsidRPr="00012C3F">
        <w:rPr>
          <w:rFonts w:cs="Verdana"/>
          <w:snapToGrid w:val="0"/>
          <w:sz w:val="20"/>
          <w:szCs w:val="20"/>
          <w:lang w:val="en-US" w:eastAsia="es-ES"/>
        </w:rPr>
        <w:t>In</w:t>
      </w:r>
      <w:r w:rsidR="008D0B77" w:rsidRPr="00012C3F">
        <w:rPr>
          <w:rFonts w:cs="Verdana"/>
          <w:snapToGrid w:val="0"/>
          <w:sz w:val="20"/>
          <w:szCs w:val="20"/>
          <w:lang w:val="en-US" w:eastAsia="es-ES"/>
        </w:rPr>
        <w:t xml:space="preserve"> 2008</w:t>
      </w:r>
      <w:r w:rsidRPr="00012C3F">
        <w:rPr>
          <w:rFonts w:cs="Verdana"/>
          <w:snapToGrid w:val="0"/>
          <w:sz w:val="20"/>
          <w:szCs w:val="20"/>
          <w:lang w:val="en-US" w:eastAsia="es-ES"/>
        </w:rPr>
        <w:t xml:space="preserve">, the General Assembly of the Organization of American States created the Victims’ Legal Assistance Fund of the inter-American human rights system </w:t>
      </w:r>
      <w:r w:rsidR="000C797C" w:rsidRPr="00012C3F">
        <w:rPr>
          <w:rFonts w:cs="Verdana"/>
          <w:snapToGrid w:val="0"/>
          <w:sz w:val="20"/>
          <w:szCs w:val="20"/>
          <w:lang w:val="en-US" w:eastAsia="es-ES"/>
        </w:rPr>
        <w:t xml:space="preserve">“to facilitate access to the inter-American human rights system by persons who currently </w:t>
      </w:r>
      <w:r w:rsidR="0016566A" w:rsidRPr="00012C3F">
        <w:rPr>
          <w:rFonts w:cs="Verdana"/>
          <w:snapToGrid w:val="0"/>
          <w:sz w:val="20"/>
          <w:szCs w:val="20"/>
          <w:lang w:val="en-US" w:eastAsia="es-ES"/>
        </w:rPr>
        <w:t>lack</w:t>
      </w:r>
      <w:r w:rsidR="000C797C" w:rsidRPr="00012C3F">
        <w:rPr>
          <w:rFonts w:cs="Verdana"/>
          <w:snapToGrid w:val="0"/>
          <w:sz w:val="20"/>
          <w:szCs w:val="20"/>
          <w:lang w:val="en-US" w:eastAsia="es-ES"/>
        </w:rPr>
        <w:t xml:space="preserve"> the resources to </w:t>
      </w:r>
      <w:r w:rsidR="0016566A" w:rsidRPr="00012C3F">
        <w:rPr>
          <w:rFonts w:cs="Verdana"/>
          <w:snapToGrid w:val="0"/>
          <w:sz w:val="20"/>
          <w:szCs w:val="20"/>
          <w:lang w:val="en-US" w:eastAsia="es-ES"/>
        </w:rPr>
        <w:t>bring</w:t>
      </w:r>
      <w:r w:rsidR="000C797C" w:rsidRPr="00012C3F">
        <w:rPr>
          <w:rFonts w:cs="Verdana"/>
          <w:snapToGrid w:val="0"/>
          <w:sz w:val="20"/>
          <w:szCs w:val="20"/>
          <w:lang w:val="en-US" w:eastAsia="es-ES"/>
        </w:rPr>
        <w:t xml:space="preserve"> their case</w:t>
      </w:r>
      <w:r w:rsidR="0016566A" w:rsidRPr="00012C3F">
        <w:rPr>
          <w:rFonts w:cs="Verdana"/>
          <w:snapToGrid w:val="0"/>
          <w:sz w:val="20"/>
          <w:szCs w:val="20"/>
          <w:lang w:val="en-US" w:eastAsia="es-ES"/>
        </w:rPr>
        <w:t>s</w:t>
      </w:r>
      <w:r w:rsidR="000C797C" w:rsidRPr="00012C3F">
        <w:rPr>
          <w:rFonts w:cs="Verdana"/>
          <w:snapToGrid w:val="0"/>
          <w:sz w:val="20"/>
          <w:szCs w:val="20"/>
          <w:lang w:val="en-US" w:eastAsia="es-ES"/>
        </w:rPr>
        <w:t xml:space="preserve"> before the system.</w:t>
      </w:r>
      <w:r w:rsidR="008D0B77" w:rsidRPr="00012C3F">
        <w:rPr>
          <w:rFonts w:cs="Verdana"/>
          <w:snapToGrid w:val="0"/>
          <w:sz w:val="20"/>
          <w:szCs w:val="20"/>
          <w:lang w:val="en-US" w:eastAsia="es-ES"/>
        </w:rPr>
        <w:t>”</w:t>
      </w:r>
      <w:r w:rsidR="008D0B77" w:rsidRPr="00012C3F">
        <w:rPr>
          <w:rFonts w:cs="Verdana"/>
          <w:snapToGrid w:val="0"/>
          <w:sz w:val="20"/>
          <w:szCs w:val="20"/>
          <w:vertAlign w:val="superscript"/>
          <w:lang w:val="en-US" w:eastAsia="es-ES"/>
        </w:rPr>
        <w:footnoteReference w:id="418"/>
      </w:r>
      <w:r w:rsidR="008D0B77" w:rsidRPr="00012C3F">
        <w:rPr>
          <w:rFonts w:cs="Verdana"/>
          <w:snapToGrid w:val="0"/>
          <w:sz w:val="20"/>
          <w:szCs w:val="20"/>
          <w:lang w:val="en-US" w:eastAsia="es-ES"/>
        </w:rPr>
        <w:t xml:space="preserve"> </w:t>
      </w:r>
      <w:r w:rsidR="006C705C" w:rsidRPr="00012C3F">
        <w:rPr>
          <w:rFonts w:cs="Verdana"/>
          <w:snapToGrid w:val="0"/>
          <w:sz w:val="20"/>
          <w:szCs w:val="20"/>
          <w:lang w:val="en-US" w:eastAsia="es-ES"/>
        </w:rPr>
        <w:t>In this case</w:t>
      </w:r>
      <w:r w:rsidR="000C797C" w:rsidRPr="00012C3F">
        <w:rPr>
          <w:rFonts w:cs="Verdana"/>
          <w:snapToGrid w:val="0"/>
          <w:sz w:val="20"/>
          <w:szCs w:val="20"/>
          <w:lang w:val="en-US" w:eastAsia="es-ES"/>
        </w:rPr>
        <w:t xml:space="preserve">, the Fund provided the financial assistance required to cover the necessary transportation and accommodation expenses for I.V. to take part in the public hearing, as well as the reasonable expenditure for preparing and forwarding the affidavits of </w:t>
      </w:r>
      <w:r w:rsidR="000E1C11" w:rsidRPr="00012C3F">
        <w:rPr>
          <w:rFonts w:cs="Verdana"/>
          <w:sz w:val="20"/>
          <w:szCs w:val="20"/>
          <w:lang w:val="en-US"/>
        </w:rPr>
        <w:t>N.V.</w:t>
      </w:r>
      <w:r w:rsidR="008D0B77" w:rsidRPr="00012C3F">
        <w:rPr>
          <w:rFonts w:cs="Verdana"/>
          <w:sz w:val="20"/>
          <w:szCs w:val="20"/>
          <w:lang w:val="en-US"/>
        </w:rPr>
        <w:t>, Emma Bolshia Bravo</w:t>
      </w:r>
      <w:r w:rsidR="005E5012" w:rsidRPr="00012C3F">
        <w:rPr>
          <w:rFonts w:cs="Verdana"/>
          <w:sz w:val="20"/>
          <w:szCs w:val="20"/>
          <w:lang w:val="en-US"/>
        </w:rPr>
        <w:t xml:space="preserve"> and</w:t>
      </w:r>
      <w:r w:rsidR="008D0B77" w:rsidRPr="00012C3F">
        <w:rPr>
          <w:rFonts w:cs="Verdana"/>
          <w:sz w:val="20"/>
          <w:szCs w:val="20"/>
          <w:lang w:val="en-US"/>
        </w:rPr>
        <w:t xml:space="preserve"> Andr</w:t>
      </w:r>
      <w:r w:rsidR="005A34F9" w:rsidRPr="00012C3F">
        <w:rPr>
          <w:rFonts w:cs="Verdana"/>
          <w:sz w:val="20"/>
          <w:szCs w:val="20"/>
          <w:lang w:val="en-US"/>
        </w:rPr>
        <w:t>e</w:t>
      </w:r>
      <w:r w:rsidR="008D0B77" w:rsidRPr="00012C3F">
        <w:rPr>
          <w:rFonts w:cs="Verdana"/>
          <w:sz w:val="20"/>
          <w:szCs w:val="20"/>
          <w:lang w:val="en-US"/>
        </w:rPr>
        <w:t xml:space="preserve"> Gautier. </w:t>
      </w:r>
      <w:r w:rsidR="00A84CA0" w:rsidRPr="00012C3F">
        <w:rPr>
          <w:rFonts w:cs="Verdana"/>
          <w:sz w:val="20"/>
          <w:szCs w:val="20"/>
          <w:lang w:val="en-US"/>
        </w:rPr>
        <w:t>The State</w:t>
      </w:r>
      <w:r w:rsidR="008D0B77" w:rsidRPr="00012C3F">
        <w:rPr>
          <w:rFonts w:cs="Verdana"/>
          <w:sz w:val="20"/>
          <w:szCs w:val="20"/>
          <w:lang w:val="en-US"/>
        </w:rPr>
        <w:t xml:space="preserve"> </w:t>
      </w:r>
      <w:r w:rsidR="000C797C" w:rsidRPr="00012C3F">
        <w:rPr>
          <w:rFonts w:cs="Verdana"/>
          <w:sz w:val="20"/>
          <w:szCs w:val="20"/>
          <w:lang w:val="en-US"/>
        </w:rPr>
        <w:t xml:space="preserve">did not </w:t>
      </w:r>
      <w:r w:rsidR="00C707AB" w:rsidRPr="00012C3F">
        <w:rPr>
          <w:rFonts w:cs="Verdana"/>
          <w:sz w:val="20"/>
          <w:szCs w:val="20"/>
          <w:lang w:val="en-US"/>
        </w:rPr>
        <w:t>submit</w:t>
      </w:r>
      <w:r w:rsidR="000C797C" w:rsidRPr="00012C3F">
        <w:rPr>
          <w:rFonts w:cs="Verdana"/>
          <w:sz w:val="20"/>
          <w:szCs w:val="20"/>
          <w:lang w:val="en-US"/>
        </w:rPr>
        <w:t xml:space="preserve"> any observations on the report </w:t>
      </w:r>
      <w:r w:rsidR="00C707AB" w:rsidRPr="00012C3F">
        <w:rPr>
          <w:rFonts w:cs="Verdana"/>
          <w:sz w:val="20"/>
          <w:szCs w:val="20"/>
          <w:lang w:val="en-US"/>
        </w:rPr>
        <w:t>on</w:t>
      </w:r>
      <w:r w:rsidR="000C797C" w:rsidRPr="00012C3F">
        <w:rPr>
          <w:rFonts w:cs="Verdana"/>
          <w:sz w:val="20"/>
          <w:szCs w:val="20"/>
          <w:lang w:val="en-US"/>
        </w:rPr>
        <w:t xml:space="preserve"> this expenditure.</w:t>
      </w:r>
    </w:p>
    <w:p w14:paraId="23213E75" w14:textId="77777777" w:rsidR="008D0B77" w:rsidRPr="00012C3F" w:rsidRDefault="008D0B77" w:rsidP="00907D51">
      <w:pPr>
        <w:pStyle w:val="Prrafodelista2"/>
        <w:tabs>
          <w:tab w:val="left" w:pos="0"/>
          <w:tab w:val="left" w:pos="720"/>
          <w:tab w:val="num" w:pos="11028"/>
        </w:tabs>
        <w:ind w:left="0" w:right="-90"/>
        <w:jc w:val="both"/>
        <w:rPr>
          <w:lang w:val="en-US"/>
        </w:rPr>
      </w:pPr>
    </w:p>
    <w:p w14:paraId="4D65DA8E" w14:textId="77777777" w:rsidR="000C797C" w:rsidRPr="00012C3F" w:rsidRDefault="000C797C" w:rsidP="000C797C">
      <w:pPr>
        <w:numPr>
          <w:ilvl w:val="0"/>
          <w:numId w:val="5"/>
        </w:numPr>
        <w:tabs>
          <w:tab w:val="left" w:pos="720"/>
          <w:tab w:val="num" w:pos="12305"/>
        </w:tabs>
        <w:spacing w:line="240" w:lineRule="auto"/>
        <w:ind w:left="0" w:firstLine="0"/>
        <w:rPr>
          <w:rFonts w:eastAsia="MS Mincho"/>
          <w:sz w:val="20"/>
          <w:szCs w:val="20"/>
          <w:lang w:val="en-US" w:eastAsia="en-US" w:bidi="en-US"/>
        </w:rPr>
      </w:pPr>
      <w:r w:rsidRPr="00012C3F">
        <w:rPr>
          <w:rFonts w:eastAsia="MS Mincho"/>
          <w:sz w:val="20"/>
          <w:szCs w:val="20"/>
          <w:lang w:val="en-US" w:eastAsia="en-US" w:bidi="en-US"/>
        </w:rPr>
        <w:t xml:space="preserve">Owing to the violations declared in this judgment and because the requirements for access to the Fund were met, the Court orders the State to reimburse this Fund the sum of </w:t>
      </w:r>
      <w:r w:rsidR="008D0B77" w:rsidRPr="00012C3F">
        <w:rPr>
          <w:rFonts w:eastAsia="MS Mincho"/>
          <w:sz w:val="20"/>
          <w:szCs w:val="20"/>
          <w:lang w:val="en-US" w:eastAsia="en-US" w:bidi="en-US"/>
        </w:rPr>
        <w:t>US$1</w:t>
      </w:r>
      <w:r w:rsidRPr="00012C3F">
        <w:rPr>
          <w:rFonts w:eastAsia="MS Mincho"/>
          <w:sz w:val="20"/>
          <w:szCs w:val="20"/>
          <w:lang w:val="en-US" w:eastAsia="en-US" w:bidi="en-US"/>
        </w:rPr>
        <w:t>,</w:t>
      </w:r>
      <w:r w:rsidR="008D0B77" w:rsidRPr="00012C3F">
        <w:rPr>
          <w:rFonts w:eastAsia="MS Mincho"/>
          <w:sz w:val="20"/>
          <w:szCs w:val="20"/>
          <w:lang w:val="en-US" w:eastAsia="en-US" w:bidi="en-US"/>
        </w:rPr>
        <w:t>623</w:t>
      </w:r>
      <w:r w:rsidRPr="00012C3F">
        <w:rPr>
          <w:rFonts w:eastAsia="MS Mincho"/>
          <w:sz w:val="20"/>
          <w:szCs w:val="20"/>
          <w:lang w:val="en-US" w:eastAsia="en-US" w:bidi="en-US"/>
        </w:rPr>
        <w:t>.</w:t>
      </w:r>
      <w:r w:rsidR="008D0B77" w:rsidRPr="00012C3F">
        <w:rPr>
          <w:rFonts w:eastAsia="MS Mincho"/>
          <w:sz w:val="20"/>
          <w:szCs w:val="20"/>
          <w:lang w:val="en-US" w:eastAsia="en-US" w:bidi="en-US"/>
        </w:rPr>
        <w:t>21 (</w:t>
      </w:r>
      <w:r w:rsidRPr="00012C3F">
        <w:rPr>
          <w:rFonts w:eastAsia="MS Mincho"/>
          <w:sz w:val="20"/>
          <w:szCs w:val="20"/>
          <w:lang w:val="en-US" w:eastAsia="en-US" w:bidi="en-US"/>
        </w:rPr>
        <w:t xml:space="preserve">one thousand six hundred and twenty-three United States dollars and 21 cents) for the necessary expenses incurred to ensure the appearance of the deponent </w:t>
      </w:r>
      <w:r w:rsidR="00C707AB" w:rsidRPr="00012C3F">
        <w:rPr>
          <w:rFonts w:eastAsia="MS Mincho"/>
          <w:sz w:val="20"/>
          <w:szCs w:val="20"/>
          <w:lang w:val="en-US" w:eastAsia="en-US" w:bidi="en-US"/>
        </w:rPr>
        <w:t>at</w:t>
      </w:r>
      <w:r w:rsidRPr="00012C3F">
        <w:rPr>
          <w:rFonts w:eastAsia="MS Mincho"/>
          <w:sz w:val="20"/>
          <w:szCs w:val="20"/>
          <w:lang w:val="en-US" w:eastAsia="en-US" w:bidi="en-US"/>
        </w:rPr>
        <w:t xml:space="preserve"> the public hearing of this case, as well as for the preparation and forwarding of the affidavits. This amount must be reimbursed within six months of notification of this judgment.</w:t>
      </w:r>
    </w:p>
    <w:p w14:paraId="577E616F" w14:textId="77777777" w:rsidR="008D0B77" w:rsidRPr="00012C3F" w:rsidRDefault="008D0B77" w:rsidP="00907D51">
      <w:pPr>
        <w:pStyle w:val="Prrafodelista2"/>
        <w:tabs>
          <w:tab w:val="left" w:pos="0"/>
          <w:tab w:val="left" w:pos="720"/>
          <w:tab w:val="num" w:pos="11028"/>
        </w:tabs>
        <w:ind w:right="-90"/>
        <w:rPr>
          <w:lang w:val="en-US"/>
        </w:rPr>
      </w:pPr>
    </w:p>
    <w:p w14:paraId="266CD616" w14:textId="77777777" w:rsidR="008D0B77" w:rsidRPr="00012C3F" w:rsidRDefault="009867D6" w:rsidP="00907D51">
      <w:pPr>
        <w:keepNext/>
        <w:keepLines/>
        <w:tabs>
          <w:tab w:val="left" w:pos="720"/>
          <w:tab w:val="left" w:pos="1134"/>
        </w:tabs>
        <w:spacing w:line="240" w:lineRule="auto"/>
        <w:ind w:left="567" w:firstLine="1"/>
        <w:outlineLvl w:val="1"/>
        <w:rPr>
          <w:rFonts w:eastAsia="MS Mincho"/>
          <w:b/>
          <w:bCs/>
          <w:i/>
          <w:sz w:val="20"/>
          <w:szCs w:val="20"/>
          <w:lang w:val="en-US"/>
        </w:rPr>
      </w:pPr>
      <w:bookmarkStart w:id="224" w:name="_Toc459158159"/>
      <w:bookmarkStart w:id="225" w:name="_Toc461637454"/>
      <w:bookmarkStart w:id="226" w:name="_Toc462310930"/>
      <w:bookmarkStart w:id="227" w:name="_Toc27486898"/>
      <w:r w:rsidRPr="00012C3F">
        <w:rPr>
          <w:rFonts w:eastAsia="MS Mincho"/>
          <w:b/>
          <w:bCs/>
          <w:i/>
          <w:sz w:val="20"/>
          <w:szCs w:val="20"/>
          <w:lang w:val="en-US"/>
        </w:rPr>
        <w:t>I.</w:t>
      </w:r>
      <w:r w:rsidRPr="00012C3F">
        <w:rPr>
          <w:rFonts w:eastAsia="MS Mincho"/>
          <w:b/>
          <w:bCs/>
          <w:i/>
          <w:sz w:val="20"/>
          <w:szCs w:val="20"/>
          <w:lang w:val="en-US"/>
        </w:rPr>
        <w:tab/>
      </w:r>
      <w:r w:rsidR="00A710F6" w:rsidRPr="00012C3F">
        <w:rPr>
          <w:rFonts w:eastAsia="MS Mincho"/>
          <w:b/>
          <w:bCs/>
          <w:i/>
          <w:sz w:val="20"/>
          <w:szCs w:val="20"/>
          <w:lang w:val="en-US"/>
        </w:rPr>
        <w:t>Method of complying with the payments ordered</w:t>
      </w:r>
      <w:bookmarkEnd w:id="224"/>
      <w:bookmarkEnd w:id="225"/>
      <w:bookmarkEnd w:id="226"/>
      <w:bookmarkEnd w:id="227"/>
    </w:p>
    <w:p w14:paraId="385DE003" w14:textId="77777777" w:rsidR="008D0B77" w:rsidRPr="00012C3F" w:rsidRDefault="008D0B77" w:rsidP="00907D51">
      <w:pPr>
        <w:pStyle w:val="Prrafodelista2"/>
        <w:tabs>
          <w:tab w:val="left" w:pos="0"/>
          <w:tab w:val="left" w:pos="720"/>
          <w:tab w:val="num" w:pos="12305"/>
        </w:tabs>
        <w:ind w:left="0" w:right="-90"/>
        <w:jc w:val="both"/>
        <w:rPr>
          <w:b/>
          <w:bCs/>
          <w:i/>
          <w:lang w:val="en-US"/>
        </w:rPr>
      </w:pPr>
    </w:p>
    <w:p w14:paraId="04679AA6" w14:textId="77777777" w:rsidR="008A4E99" w:rsidRPr="00012C3F" w:rsidRDefault="00A84CA0" w:rsidP="00907D51">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The </w:t>
      </w:r>
      <w:r w:rsidR="008A4E99" w:rsidRPr="00012C3F">
        <w:rPr>
          <w:sz w:val="20"/>
          <w:szCs w:val="20"/>
          <w:lang w:val="en-US"/>
        </w:rPr>
        <w:t>State must make the payments of compensation for pecuniary and non-pecuniary damage and to reimburse costs and expenses established in this judgment directly to the person and organization indicated herein, within one year of notification of this judgment in accordance with the following paragraphs.</w:t>
      </w:r>
    </w:p>
    <w:p w14:paraId="15A497B1" w14:textId="77777777" w:rsidR="008D0B77" w:rsidRPr="00012C3F" w:rsidRDefault="008D0B77" w:rsidP="008A4E99">
      <w:pPr>
        <w:tabs>
          <w:tab w:val="left" w:pos="720"/>
        </w:tabs>
        <w:spacing w:line="240" w:lineRule="auto"/>
        <w:ind w:right="-90"/>
        <w:contextualSpacing/>
        <w:rPr>
          <w:rFonts w:eastAsia="MS Mincho"/>
          <w:sz w:val="20"/>
          <w:szCs w:val="20"/>
          <w:lang w:val="en-US"/>
        </w:rPr>
      </w:pPr>
    </w:p>
    <w:p w14:paraId="665C1C6B" w14:textId="77777777" w:rsidR="008D0B77" w:rsidRPr="00012C3F" w:rsidRDefault="008A4E99" w:rsidP="008A4E99">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If the beneficiary is deceased or dies before she receives the respective compensation, this shall be delivered directly to her heirs, pursuant to the applicable domestic law.</w:t>
      </w:r>
    </w:p>
    <w:p w14:paraId="76BB1AC5" w14:textId="77777777" w:rsidR="008D0B77" w:rsidRPr="00012C3F" w:rsidRDefault="008D0B77" w:rsidP="008A4E99">
      <w:pPr>
        <w:tabs>
          <w:tab w:val="left" w:pos="720"/>
        </w:tabs>
        <w:spacing w:line="240" w:lineRule="auto"/>
        <w:ind w:left="720"/>
        <w:rPr>
          <w:sz w:val="20"/>
          <w:szCs w:val="20"/>
          <w:lang w:val="en-US"/>
        </w:rPr>
      </w:pPr>
    </w:p>
    <w:p w14:paraId="02FEF8F9" w14:textId="77777777" w:rsidR="008A4E99" w:rsidRPr="00012C3F" w:rsidRDefault="00A84CA0" w:rsidP="008A4E99">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The State</w:t>
      </w:r>
      <w:r w:rsidR="008D0B77" w:rsidRPr="00012C3F">
        <w:rPr>
          <w:sz w:val="20"/>
          <w:szCs w:val="20"/>
          <w:lang w:val="en-US"/>
        </w:rPr>
        <w:t xml:space="preserve"> </w:t>
      </w:r>
      <w:r w:rsidR="008A4E99" w:rsidRPr="00012C3F">
        <w:rPr>
          <w:sz w:val="20"/>
          <w:szCs w:val="20"/>
          <w:lang w:val="en-US"/>
        </w:rPr>
        <w:t>must comply with its monetary obligations by payment in United States dollars or the equivalent in Bolivian currency using the exchange rate in force in the Central Bank of the Plurinational State of Bolivia, the day before the payment to make the respective calculation.</w:t>
      </w:r>
    </w:p>
    <w:p w14:paraId="0AA2103F" w14:textId="77777777" w:rsidR="008D0B77" w:rsidRPr="00012C3F" w:rsidRDefault="008D0B77" w:rsidP="008A4E99">
      <w:pPr>
        <w:tabs>
          <w:tab w:val="left" w:pos="720"/>
          <w:tab w:val="num" w:pos="1427"/>
        </w:tabs>
        <w:spacing w:line="240" w:lineRule="auto"/>
        <w:ind w:right="-90"/>
        <w:contextualSpacing/>
        <w:rPr>
          <w:sz w:val="20"/>
          <w:szCs w:val="20"/>
          <w:lang w:val="en-US"/>
        </w:rPr>
      </w:pPr>
    </w:p>
    <w:p w14:paraId="065605AD" w14:textId="77777777" w:rsidR="008A4E99" w:rsidRPr="00012C3F" w:rsidRDefault="008A4E99" w:rsidP="008A4E99">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If, for reasons that can be attributed to the beneficiary of the compensation or her heirs, it is not possible to pay</w:t>
      </w:r>
      <w:r w:rsidR="00C707AB" w:rsidRPr="00012C3F">
        <w:rPr>
          <w:sz w:val="20"/>
          <w:szCs w:val="20"/>
          <w:lang w:val="en-US"/>
        </w:rPr>
        <w:t xml:space="preserve"> the</w:t>
      </w:r>
      <w:r w:rsidRPr="00012C3F">
        <w:rPr>
          <w:sz w:val="20"/>
          <w:szCs w:val="20"/>
          <w:lang w:val="en-US"/>
        </w:rPr>
        <w:t xml:space="preserve"> amounts established within the time frame indicated, the State shall deposit the said amounts in her favor in a deposit account or certificate in</w:t>
      </w:r>
      <w:r w:rsidR="00C707AB" w:rsidRPr="00012C3F">
        <w:rPr>
          <w:sz w:val="20"/>
          <w:szCs w:val="20"/>
          <w:lang w:val="en-US"/>
        </w:rPr>
        <w:t xml:space="preserve"> a solvent Bolivian financial institution, in United States dollars, and in</w:t>
      </w:r>
      <w:r w:rsidRPr="00012C3F">
        <w:rPr>
          <w:sz w:val="20"/>
          <w:szCs w:val="20"/>
          <w:lang w:val="en-US"/>
        </w:rPr>
        <w:t xml:space="preserve"> the most favorable financial conditions permitted by banking law and practice. If the corresponding compensation is not claimed after ten years, the sums shall be returned to the State with the interest accrued.</w:t>
      </w:r>
    </w:p>
    <w:p w14:paraId="2D247E94" w14:textId="77777777" w:rsidR="008D0B77" w:rsidRPr="00012C3F" w:rsidRDefault="008D0B77" w:rsidP="008A4E99">
      <w:pPr>
        <w:tabs>
          <w:tab w:val="left" w:pos="720"/>
        </w:tabs>
        <w:spacing w:line="240" w:lineRule="auto"/>
        <w:rPr>
          <w:sz w:val="20"/>
          <w:szCs w:val="20"/>
          <w:lang w:val="en-US"/>
        </w:rPr>
      </w:pPr>
    </w:p>
    <w:p w14:paraId="6C18BBF3" w14:textId="77777777" w:rsidR="008D0B77" w:rsidRPr="00012C3F" w:rsidRDefault="008A4E99" w:rsidP="008A4E99">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The amounts established in this judgment as compensation and to reimburse costs and </w:t>
      </w:r>
      <w:r w:rsidRPr="00012C3F">
        <w:rPr>
          <w:sz w:val="20"/>
          <w:szCs w:val="20"/>
          <w:lang w:val="en-US"/>
        </w:rPr>
        <w:lastRenderedPageBreak/>
        <w:t xml:space="preserve">expenses shall be delivered to the persons and organizations indicated integrally, as established in this judgment, without any deductions arising from possible taxes or charges. </w:t>
      </w:r>
    </w:p>
    <w:p w14:paraId="0BEF3777" w14:textId="77777777" w:rsidR="008D0B77" w:rsidRPr="00012C3F" w:rsidRDefault="008D0B77" w:rsidP="008F2376">
      <w:pPr>
        <w:spacing w:line="240" w:lineRule="auto"/>
        <w:rPr>
          <w:sz w:val="20"/>
          <w:szCs w:val="20"/>
          <w:lang w:val="en-US"/>
        </w:rPr>
      </w:pPr>
    </w:p>
    <w:p w14:paraId="732F9024" w14:textId="77777777" w:rsidR="008D0B77" w:rsidRPr="00012C3F" w:rsidRDefault="008A4E99" w:rsidP="008A4E99">
      <w:pPr>
        <w:numPr>
          <w:ilvl w:val="0"/>
          <w:numId w:val="5"/>
        </w:numPr>
        <w:tabs>
          <w:tab w:val="left" w:pos="720"/>
          <w:tab w:val="num" w:pos="12305"/>
        </w:tabs>
        <w:spacing w:line="240" w:lineRule="auto"/>
        <w:ind w:left="0" w:firstLine="0"/>
        <w:rPr>
          <w:sz w:val="20"/>
          <w:szCs w:val="20"/>
          <w:lang w:val="en-US"/>
        </w:rPr>
      </w:pPr>
      <w:r w:rsidRPr="00012C3F">
        <w:rPr>
          <w:sz w:val="20"/>
          <w:szCs w:val="20"/>
          <w:lang w:val="en-US"/>
        </w:rPr>
        <w:t xml:space="preserve">If the State should fall in arrears, including in the </w:t>
      </w:r>
      <w:r w:rsidRPr="00012C3F">
        <w:rPr>
          <w:rFonts w:cs="Verdana"/>
          <w:sz w:val="20"/>
          <w:szCs w:val="20"/>
          <w:lang w:val="en-US"/>
        </w:rPr>
        <w:t>r</w:t>
      </w:r>
      <w:r w:rsidR="00A710F6" w:rsidRPr="00012C3F">
        <w:rPr>
          <w:rFonts w:cs="Verdana"/>
          <w:sz w:val="20"/>
          <w:szCs w:val="20"/>
          <w:lang w:val="en-US"/>
        </w:rPr>
        <w:t xml:space="preserve">eimbursement of </w:t>
      </w:r>
      <w:r w:rsidR="00C60F32" w:rsidRPr="00012C3F">
        <w:rPr>
          <w:rFonts w:cs="Verdana"/>
          <w:sz w:val="20"/>
          <w:szCs w:val="20"/>
          <w:lang w:val="en-US"/>
        </w:rPr>
        <w:t>disbursements</w:t>
      </w:r>
      <w:r w:rsidR="00A710F6" w:rsidRPr="00012C3F">
        <w:rPr>
          <w:rFonts w:cs="Verdana"/>
          <w:sz w:val="20"/>
          <w:szCs w:val="20"/>
          <w:lang w:val="en-US"/>
        </w:rPr>
        <w:t xml:space="preserve"> to the</w:t>
      </w:r>
      <w:r w:rsidR="008D0B77" w:rsidRPr="00012C3F">
        <w:rPr>
          <w:rFonts w:cs="Verdana"/>
          <w:sz w:val="20"/>
          <w:szCs w:val="20"/>
          <w:lang w:val="en-US"/>
        </w:rPr>
        <w:t xml:space="preserve"> </w:t>
      </w:r>
      <w:r w:rsidR="00B257AF" w:rsidRPr="00012C3F">
        <w:rPr>
          <w:rFonts w:cs="Verdana"/>
          <w:sz w:val="20"/>
          <w:szCs w:val="20"/>
          <w:lang w:val="en-US"/>
        </w:rPr>
        <w:t>Victims’ Legal Assistance Fund</w:t>
      </w:r>
      <w:r w:rsidR="008D0B77" w:rsidRPr="00012C3F">
        <w:rPr>
          <w:sz w:val="20"/>
          <w:szCs w:val="20"/>
          <w:lang w:val="en-US"/>
        </w:rPr>
        <w:t xml:space="preserve">, </w:t>
      </w:r>
      <w:r w:rsidRPr="00012C3F">
        <w:rPr>
          <w:sz w:val="20"/>
          <w:szCs w:val="20"/>
          <w:lang w:val="en-US"/>
        </w:rPr>
        <w:t xml:space="preserve">it shall pay interest on the amount owed corresponding to banking interest on arrears in </w:t>
      </w:r>
      <w:r w:rsidR="00A84CA0" w:rsidRPr="00012C3F">
        <w:rPr>
          <w:sz w:val="20"/>
          <w:szCs w:val="20"/>
          <w:lang w:val="en-US"/>
        </w:rPr>
        <w:t>the Plurinational State of Bolivia</w:t>
      </w:r>
      <w:r w:rsidR="008D0B77" w:rsidRPr="00012C3F">
        <w:rPr>
          <w:sz w:val="20"/>
          <w:szCs w:val="20"/>
          <w:lang w:val="en-US"/>
        </w:rPr>
        <w:t>.</w:t>
      </w:r>
    </w:p>
    <w:p w14:paraId="02B9B2F6" w14:textId="77777777" w:rsidR="008D0B77" w:rsidRPr="00012C3F" w:rsidRDefault="008D0B77" w:rsidP="008D0B77">
      <w:pPr>
        <w:spacing w:line="240" w:lineRule="auto"/>
        <w:rPr>
          <w:sz w:val="20"/>
          <w:szCs w:val="20"/>
          <w:lang w:val="en-US"/>
        </w:rPr>
      </w:pPr>
    </w:p>
    <w:p w14:paraId="291340D7" w14:textId="77777777" w:rsidR="00C60F32" w:rsidRPr="00012C3F" w:rsidRDefault="00C60F32" w:rsidP="008D0B77">
      <w:pPr>
        <w:spacing w:line="240" w:lineRule="auto"/>
        <w:rPr>
          <w:sz w:val="20"/>
          <w:szCs w:val="20"/>
          <w:lang w:val="en-US"/>
        </w:rPr>
      </w:pPr>
    </w:p>
    <w:p w14:paraId="62AB37CC" w14:textId="77777777" w:rsidR="008C7FE4" w:rsidRPr="00012C3F" w:rsidRDefault="008C7FE4" w:rsidP="008C7FE4">
      <w:pPr>
        <w:keepNext/>
        <w:keepLines/>
        <w:tabs>
          <w:tab w:val="left" w:pos="851"/>
        </w:tabs>
        <w:spacing w:line="240" w:lineRule="auto"/>
        <w:jc w:val="center"/>
        <w:outlineLvl w:val="0"/>
        <w:rPr>
          <w:rFonts w:cs="Verdana"/>
          <w:b/>
          <w:bCs/>
          <w:caps/>
          <w:snapToGrid w:val="0"/>
          <w:sz w:val="20"/>
          <w:szCs w:val="20"/>
          <w:lang w:val="en-US"/>
        </w:rPr>
      </w:pPr>
      <w:bookmarkStart w:id="228" w:name="_Toc375517156"/>
      <w:bookmarkStart w:id="229" w:name="_Toc459158160"/>
      <w:bookmarkStart w:id="230" w:name="_Toc27486899"/>
      <w:r w:rsidRPr="00012C3F">
        <w:rPr>
          <w:rFonts w:cs="Verdana"/>
          <w:b/>
          <w:bCs/>
          <w:caps/>
          <w:snapToGrid w:val="0"/>
          <w:sz w:val="20"/>
          <w:szCs w:val="20"/>
          <w:lang w:val="en-US"/>
        </w:rPr>
        <w:t>X</w:t>
      </w:r>
      <w:r w:rsidRPr="00012C3F">
        <w:rPr>
          <w:rFonts w:cs="Verdana"/>
          <w:b/>
          <w:bCs/>
          <w:caps/>
          <w:snapToGrid w:val="0"/>
          <w:sz w:val="20"/>
          <w:szCs w:val="20"/>
          <w:lang w:val="en-US"/>
        </w:rPr>
        <w:br/>
      </w:r>
      <w:r w:rsidR="00BB2744" w:rsidRPr="00012C3F">
        <w:rPr>
          <w:rFonts w:cs="Verdana"/>
          <w:b/>
          <w:bCs/>
          <w:caps/>
          <w:snapToGrid w:val="0"/>
          <w:sz w:val="20"/>
          <w:szCs w:val="20"/>
          <w:lang w:val="en-US"/>
        </w:rPr>
        <w:t>OPERATIVE PARAGRAPHS</w:t>
      </w:r>
      <w:bookmarkEnd w:id="228"/>
      <w:bookmarkEnd w:id="229"/>
      <w:bookmarkEnd w:id="230"/>
    </w:p>
    <w:p w14:paraId="5D8866B9" w14:textId="77777777" w:rsidR="008C7FE4" w:rsidRPr="00012C3F" w:rsidRDefault="008C7FE4" w:rsidP="008C7FE4">
      <w:pPr>
        <w:pStyle w:val="Prrafodelista2"/>
        <w:ind w:right="-90"/>
        <w:contextualSpacing/>
        <w:rPr>
          <w:lang w:val="en-US"/>
        </w:rPr>
      </w:pPr>
    </w:p>
    <w:p w14:paraId="54D9AA56" w14:textId="77777777" w:rsidR="008C7FE4" w:rsidRPr="00012C3F" w:rsidRDefault="00BB2744" w:rsidP="008C7FE4">
      <w:pPr>
        <w:numPr>
          <w:ilvl w:val="0"/>
          <w:numId w:val="5"/>
        </w:numPr>
        <w:tabs>
          <w:tab w:val="left" w:pos="567"/>
          <w:tab w:val="num" w:pos="12305"/>
        </w:tabs>
        <w:spacing w:line="240" w:lineRule="auto"/>
        <w:ind w:left="0" w:firstLine="0"/>
        <w:rPr>
          <w:sz w:val="20"/>
          <w:szCs w:val="20"/>
          <w:lang w:val="en-US"/>
        </w:rPr>
      </w:pPr>
      <w:r w:rsidRPr="00012C3F">
        <w:rPr>
          <w:sz w:val="20"/>
          <w:szCs w:val="20"/>
          <w:lang w:val="en-US"/>
        </w:rPr>
        <w:t>Therefore</w:t>
      </w:r>
      <w:r w:rsidR="008C7FE4" w:rsidRPr="00012C3F">
        <w:rPr>
          <w:sz w:val="20"/>
          <w:szCs w:val="20"/>
          <w:lang w:val="en-US"/>
        </w:rPr>
        <w:t xml:space="preserve">, </w:t>
      </w:r>
    </w:p>
    <w:p w14:paraId="3D688AFF" w14:textId="77777777" w:rsidR="008C7FE4" w:rsidRPr="00012C3F" w:rsidRDefault="008C7FE4" w:rsidP="008C7FE4">
      <w:pPr>
        <w:pStyle w:val="Prrafodelista2"/>
        <w:tabs>
          <w:tab w:val="left" w:pos="720"/>
        </w:tabs>
        <w:ind w:right="-90"/>
        <w:contextualSpacing/>
        <w:rPr>
          <w:lang w:val="en-US"/>
        </w:rPr>
      </w:pPr>
    </w:p>
    <w:p w14:paraId="6EA925BC" w14:textId="77777777" w:rsidR="008C7FE4" w:rsidRPr="00012C3F" w:rsidRDefault="001254DE" w:rsidP="008C7FE4">
      <w:pPr>
        <w:pStyle w:val="Prrafodelista2"/>
        <w:tabs>
          <w:tab w:val="left" w:pos="720"/>
        </w:tabs>
        <w:ind w:left="0" w:right="-90"/>
        <w:contextualSpacing/>
        <w:rPr>
          <w:lang w:val="en-US"/>
        </w:rPr>
      </w:pPr>
      <w:r w:rsidRPr="00012C3F">
        <w:rPr>
          <w:b/>
          <w:bCs/>
          <w:lang w:val="en-US"/>
        </w:rPr>
        <w:t>THE COURT</w:t>
      </w:r>
      <w:r w:rsidR="008C7FE4" w:rsidRPr="00012C3F">
        <w:rPr>
          <w:b/>
          <w:bCs/>
          <w:lang w:val="en-US"/>
        </w:rPr>
        <w:t xml:space="preserve"> </w:t>
      </w:r>
    </w:p>
    <w:p w14:paraId="6A1999FA" w14:textId="77777777" w:rsidR="008C7FE4" w:rsidRPr="00012C3F" w:rsidRDefault="008C7FE4" w:rsidP="008C7FE4">
      <w:pPr>
        <w:pStyle w:val="Prrafodelista2"/>
        <w:tabs>
          <w:tab w:val="left" w:pos="720"/>
        </w:tabs>
        <w:ind w:left="0" w:right="-90"/>
        <w:contextualSpacing/>
        <w:rPr>
          <w:lang w:val="en-US"/>
        </w:rPr>
      </w:pPr>
    </w:p>
    <w:p w14:paraId="7334EF3F" w14:textId="77777777" w:rsidR="008C7FE4" w:rsidRPr="00012C3F" w:rsidRDefault="008C7FE4" w:rsidP="008C7FE4">
      <w:pPr>
        <w:pStyle w:val="Prrafodelista2"/>
        <w:tabs>
          <w:tab w:val="left" w:pos="720"/>
        </w:tabs>
        <w:ind w:left="0" w:right="-90"/>
        <w:contextualSpacing/>
        <w:rPr>
          <w:b/>
          <w:lang w:val="en-US"/>
        </w:rPr>
      </w:pPr>
      <w:r w:rsidRPr="00012C3F">
        <w:rPr>
          <w:b/>
          <w:lang w:val="en-US"/>
        </w:rPr>
        <w:t>DECIDE</w:t>
      </w:r>
      <w:r w:rsidR="00BB2744" w:rsidRPr="00012C3F">
        <w:rPr>
          <w:b/>
          <w:lang w:val="en-US"/>
        </w:rPr>
        <w:t>S</w:t>
      </w:r>
      <w:r w:rsidRPr="00012C3F">
        <w:rPr>
          <w:b/>
          <w:lang w:val="en-US"/>
        </w:rPr>
        <w:t xml:space="preserve">, </w:t>
      </w:r>
    </w:p>
    <w:p w14:paraId="50CB4583" w14:textId="77777777" w:rsidR="008C7FE4" w:rsidRPr="00012C3F" w:rsidRDefault="008C7FE4" w:rsidP="008C7FE4">
      <w:pPr>
        <w:pStyle w:val="Prrafodelista2"/>
        <w:tabs>
          <w:tab w:val="left" w:pos="720"/>
        </w:tabs>
        <w:ind w:left="0" w:right="-90"/>
        <w:contextualSpacing/>
        <w:rPr>
          <w:lang w:val="en-US"/>
        </w:rPr>
      </w:pPr>
    </w:p>
    <w:p w14:paraId="213695B9" w14:textId="77777777" w:rsidR="008C7FE4" w:rsidRPr="00012C3F" w:rsidRDefault="00BB2744" w:rsidP="008C7FE4">
      <w:pPr>
        <w:pStyle w:val="Prrafodelista2"/>
        <w:tabs>
          <w:tab w:val="left" w:pos="720"/>
        </w:tabs>
        <w:ind w:left="0" w:right="-90"/>
        <w:contextualSpacing/>
        <w:rPr>
          <w:lang w:val="en-US"/>
        </w:rPr>
      </w:pPr>
      <w:r w:rsidRPr="00012C3F">
        <w:rPr>
          <w:lang w:val="en-US"/>
        </w:rPr>
        <w:t>Unanimously</w:t>
      </w:r>
      <w:r w:rsidR="00765681" w:rsidRPr="00012C3F">
        <w:rPr>
          <w:lang w:val="en-US"/>
        </w:rPr>
        <w:t>,</w:t>
      </w:r>
      <w:r w:rsidR="008C7FE4" w:rsidRPr="00012C3F">
        <w:rPr>
          <w:lang w:val="en-US"/>
        </w:rPr>
        <w:t xml:space="preserve"> </w:t>
      </w:r>
    </w:p>
    <w:p w14:paraId="461A9999" w14:textId="77777777" w:rsidR="008C7FE4" w:rsidRPr="00012C3F" w:rsidRDefault="008C7FE4" w:rsidP="008C7FE4">
      <w:pPr>
        <w:pStyle w:val="Prrafodelista2"/>
        <w:tabs>
          <w:tab w:val="left" w:pos="720"/>
        </w:tabs>
        <w:ind w:left="0" w:right="-90"/>
        <w:contextualSpacing/>
        <w:rPr>
          <w:lang w:val="en-US"/>
        </w:rPr>
      </w:pPr>
    </w:p>
    <w:p w14:paraId="05834FB0" w14:textId="77777777" w:rsidR="008C7FE4" w:rsidRPr="00012C3F" w:rsidRDefault="00BB2744" w:rsidP="008C7FE4">
      <w:pPr>
        <w:widowControl/>
        <w:numPr>
          <w:ilvl w:val="0"/>
          <w:numId w:val="44"/>
        </w:numPr>
        <w:tabs>
          <w:tab w:val="left" w:pos="720"/>
        </w:tabs>
        <w:adjustRightInd/>
        <w:spacing w:line="240" w:lineRule="auto"/>
        <w:ind w:right="-90"/>
        <w:contextualSpacing/>
        <w:textAlignment w:val="auto"/>
        <w:rPr>
          <w:lang w:val="en-US"/>
        </w:rPr>
      </w:pPr>
      <w:r w:rsidRPr="00012C3F">
        <w:rPr>
          <w:rFonts w:eastAsia="MS Mincho"/>
          <w:sz w:val="20"/>
          <w:szCs w:val="20"/>
          <w:lang w:val="en-US"/>
        </w:rPr>
        <w:t>To reject</w:t>
      </w:r>
      <w:r w:rsidR="008C7FE4" w:rsidRPr="00012C3F">
        <w:rPr>
          <w:sz w:val="20"/>
          <w:szCs w:val="20"/>
          <w:lang w:val="en-US"/>
        </w:rPr>
        <w:t xml:space="preserve"> </w:t>
      </w:r>
      <w:r w:rsidR="0045122A" w:rsidRPr="00012C3F">
        <w:rPr>
          <w:sz w:val="20"/>
          <w:szCs w:val="20"/>
          <w:lang w:val="en-US"/>
        </w:rPr>
        <w:t>the preliminary objection</w:t>
      </w:r>
      <w:r w:rsidR="008C7FE4" w:rsidRPr="00012C3F">
        <w:rPr>
          <w:sz w:val="20"/>
          <w:szCs w:val="20"/>
          <w:lang w:val="en-US"/>
        </w:rPr>
        <w:t xml:space="preserve"> </w:t>
      </w:r>
      <w:r w:rsidRPr="00012C3F">
        <w:rPr>
          <w:sz w:val="20"/>
          <w:szCs w:val="20"/>
          <w:lang w:val="en-US"/>
        </w:rPr>
        <w:t>filed by</w:t>
      </w:r>
      <w:r w:rsidR="008C7FE4" w:rsidRPr="00012C3F">
        <w:rPr>
          <w:sz w:val="20"/>
          <w:szCs w:val="20"/>
          <w:lang w:val="en-US"/>
        </w:rPr>
        <w:t xml:space="preserve"> </w:t>
      </w:r>
      <w:r w:rsidR="00A84CA0" w:rsidRPr="00012C3F">
        <w:rPr>
          <w:sz w:val="20"/>
          <w:szCs w:val="20"/>
          <w:lang w:val="en-US"/>
        </w:rPr>
        <w:t>the State</w:t>
      </w:r>
      <w:r w:rsidR="008C7FE4" w:rsidRPr="00012C3F">
        <w:rPr>
          <w:sz w:val="20"/>
          <w:szCs w:val="20"/>
          <w:lang w:val="en-US"/>
        </w:rPr>
        <w:t xml:space="preserve"> </w:t>
      </w:r>
      <w:r w:rsidRPr="00012C3F">
        <w:rPr>
          <w:sz w:val="20"/>
          <w:szCs w:val="20"/>
          <w:lang w:val="en-US"/>
        </w:rPr>
        <w:t xml:space="preserve">in relation to the alleged lack of </w:t>
      </w:r>
      <w:r w:rsidR="00D24EFE">
        <w:rPr>
          <w:sz w:val="20"/>
          <w:szCs w:val="20"/>
          <w:lang w:val="en-US"/>
        </w:rPr>
        <w:t xml:space="preserve">jurisdiction </w:t>
      </w:r>
      <w:r w:rsidR="00D24EFE" w:rsidRPr="00D24EFE">
        <w:rPr>
          <w:i/>
          <w:iCs/>
          <w:sz w:val="20"/>
          <w:szCs w:val="20"/>
          <w:lang w:val="en-US"/>
        </w:rPr>
        <w:t>ratione loci</w:t>
      </w:r>
      <w:r w:rsidR="001254DE" w:rsidRPr="00012C3F">
        <w:rPr>
          <w:i/>
          <w:sz w:val="20"/>
          <w:szCs w:val="20"/>
          <w:lang w:val="en-US"/>
        </w:rPr>
        <w:t xml:space="preserve"> </w:t>
      </w:r>
      <w:r w:rsidR="001254DE" w:rsidRPr="00012C3F">
        <w:rPr>
          <w:iCs/>
          <w:sz w:val="20"/>
          <w:szCs w:val="20"/>
          <w:lang w:val="en-US"/>
        </w:rPr>
        <w:t>of the</w:t>
      </w:r>
      <w:r w:rsidR="001254DE" w:rsidRPr="00012C3F">
        <w:rPr>
          <w:i/>
          <w:sz w:val="20"/>
          <w:szCs w:val="20"/>
          <w:lang w:val="en-US"/>
        </w:rPr>
        <w:t xml:space="preserve"> </w:t>
      </w:r>
      <w:r w:rsidR="001254DE" w:rsidRPr="00012C3F">
        <w:rPr>
          <w:sz w:val="20"/>
          <w:szCs w:val="20"/>
          <w:lang w:val="en-US"/>
        </w:rPr>
        <w:t>Inter-American Court</w:t>
      </w:r>
      <w:r w:rsidR="008C7FE4" w:rsidRPr="00012C3F">
        <w:rPr>
          <w:sz w:val="20"/>
          <w:szCs w:val="20"/>
          <w:lang w:val="en-US"/>
        </w:rPr>
        <w:t xml:space="preserve">, </w:t>
      </w:r>
      <w:r w:rsidR="009D443F" w:rsidRPr="00012C3F">
        <w:rPr>
          <w:sz w:val="20"/>
          <w:szCs w:val="20"/>
          <w:lang w:val="en-US"/>
        </w:rPr>
        <w:t>pursuant to</w:t>
      </w:r>
      <w:r w:rsidR="000F735E" w:rsidRPr="00012C3F">
        <w:rPr>
          <w:sz w:val="20"/>
          <w:szCs w:val="20"/>
          <w:lang w:val="en-US"/>
        </w:rPr>
        <w:t xml:space="preserve"> paragraph</w:t>
      </w:r>
      <w:r w:rsidR="008C7FE4" w:rsidRPr="00012C3F">
        <w:rPr>
          <w:sz w:val="20"/>
          <w:szCs w:val="20"/>
          <w:lang w:val="en-US"/>
        </w:rPr>
        <w:t xml:space="preserve"> </w:t>
      </w:r>
      <w:r w:rsidR="006C564D" w:rsidRPr="00012C3F">
        <w:rPr>
          <w:sz w:val="20"/>
          <w:szCs w:val="20"/>
          <w:lang w:val="en-US"/>
        </w:rPr>
        <w:t xml:space="preserve">21 </w:t>
      </w:r>
      <w:r w:rsidR="000F735E" w:rsidRPr="00012C3F">
        <w:rPr>
          <w:sz w:val="20"/>
          <w:szCs w:val="20"/>
          <w:lang w:val="en-US"/>
        </w:rPr>
        <w:t>of this judgment</w:t>
      </w:r>
      <w:r w:rsidR="008C7FE4" w:rsidRPr="00012C3F">
        <w:rPr>
          <w:sz w:val="20"/>
          <w:szCs w:val="20"/>
          <w:lang w:val="en-US"/>
        </w:rPr>
        <w:t xml:space="preserve">. </w:t>
      </w:r>
    </w:p>
    <w:p w14:paraId="1994C2E5" w14:textId="77777777" w:rsidR="008C7FE4" w:rsidRPr="00012C3F" w:rsidRDefault="008C7FE4" w:rsidP="008D1A20">
      <w:pPr>
        <w:widowControl/>
        <w:tabs>
          <w:tab w:val="left" w:pos="720"/>
        </w:tabs>
        <w:adjustRightInd/>
        <w:spacing w:line="240" w:lineRule="auto"/>
        <w:ind w:right="-90"/>
        <w:contextualSpacing/>
        <w:textAlignment w:val="auto"/>
        <w:rPr>
          <w:sz w:val="20"/>
          <w:szCs w:val="20"/>
          <w:lang w:val="en-US"/>
        </w:rPr>
      </w:pPr>
    </w:p>
    <w:p w14:paraId="7B058841" w14:textId="77777777" w:rsidR="008C7FE4" w:rsidRPr="00012C3F" w:rsidRDefault="00BB2744" w:rsidP="008C7FE4">
      <w:pPr>
        <w:widowControl/>
        <w:numPr>
          <w:ilvl w:val="0"/>
          <w:numId w:val="44"/>
        </w:numPr>
        <w:tabs>
          <w:tab w:val="left" w:pos="720"/>
        </w:tabs>
        <w:adjustRightInd/>
        <w:spacing w:line="240" w:lineRule="auto"/>
        <w:ind w:right="-90"/>
        <w:contextualSpacing/>
        <w:textAlignment w:val="auto"/>
        <w:rPr>
          <w:lang w:val="en-US"/>
        </w:rPr>
      </w:pPr>
      <w:r w:rsidRPr="00012C3F">
        <w:rPr>
          <w:rFonts w:eastAsia="MS Mincho"/>
          <w:sz w:val="20"/>
          <w:szCs w:val="20"/>
          <w:lang w:val="en-US"/>
        </w:rPr>
        <w:t>To reject</w:t>
      </w:r>
      <w:r w:rsidR="008C7FE4" w:rsidRPr="00012C3F">
        <w:rPr>
          <w:sz w:val="20"/>
          <w:szCs w:val="20"/>
          <w:lang w:val="en-US"/>
        </w:rPr>
        <w:t xml:space="preserve"> </w:t>
      </w:r>
      <w:r w:rsidR="0045122A" w:rsidRPr="00012C3F">
        <w:rPr>
          <w:sz w:val="20"/>
          <w:szCs w:val="20"/>
          <w:lang w:val="en-US"/>
        </w:rPr>
        <w:t>the preliminary objection</w:t>
      </w:r>
      <w:r w:rsidR="008C7FE4" w:rsidRPr="00012C3F">
        <w:rPr>
          <w:sz w:val="20"/>
          <w:szCs w:val="20"/>
          <w:lang w:val="en-US"/>
        </w:rPr>
        <w:t xml:space="preserve"> </w:t>
      </w:r>
      <w:r w:rsidRPr="00012C3F">
        <w:rPr>
          <w:sz w:val="20"/>
          <w:szCs w:val="20"/>
          <w:lang w:val="en-US"/>
        </w:rPr>
        <w:t>filed by</w:t>
      </w:r>
      <w:r w:rsidR="008C7FE4" w:rsidRPr="00012C3F">
        <w:rPr>
          <w:sz w:val="20"/>
          <w:szCs w:val="20"/>
          <w:lang w:val="en-US"/>
        </w:rPr>
        <w:t xml:space="preserve"> </w:t>
      </w:r>
      <w:r w:rsidR="00A84CA0" w:rsidRPr="00012C3F">
        <w:rPr>
          <w:sz w:val="20"/>
          <w:szCs w:val="20"/>
          <w:lang w:val="en-US"/>
        </w:rPr>
        <w:t>the State</w:t>
      </w:r>
      <w:r w:rsidR="008C7FE4" w:rsidRPr="00012C3F">
        <w:rPr>
          <w:sz w:val="20"/>
          <w:szCs w:val="20"/>
          <w:lang w:val="en-US"/>
        </w:rPr>
        <w:t xml:space="preserve"> </w:t>
      </w:r>
      <w:r w:rsidRPr="00012C3F">
        <w:rPr>
          <w:sz w:val="20"/>
          <w:szCs w:val="20"/>
          <w:lang w:val="en-US"/>
        </w:rPr>
        <w:t>in relation to the alleged failure to exhaust domestic remedies</w:t>
      </w:r>
      <w:r w:rsidR="008C7FE4" w:rsidRPr="00012C3F">
        <w:rPr>
          <w:sz w:val="20"/>
          <w:szCs w:val="20"/>
          <w:lang w:val="en-US"/>
        </w:rPr>
        <w:t xml:space="preserve">, </w:t>
      </w:r>
      <w:r w:rsidR="009D443F" w:rsidRPr="00012C3F">
        <w:rPr>
          <w:sz w:val="20"/>
          <w:szCs w:val="20"/>
          <w:lang w:val="en-US"/>
        </w:rPr>
        <w:t>pursuant to</w:t>
      </w:r>
      <w:r w:rsidR="000F735E" w:rsidRPr="00012C3F">
        <w:rPr>
          <w:sz w:val="20"/>
          <w:szCs w:val="20"/>
          <w:lang w:val="en-US"/>
        </w:rPr>
        <w:t xml:space="preserve"> paragraphs</w:t>
      </w:r>
      <w:r w:rsidR="008C7FE4" w:rsidRPr="00012C3F">
        <w:rPr>
          <w:sz w:val="20"/>
          <w:szCs w:val="20"/>
          <w:lang w:val="en-US"/>
        </w:rPr>
        <w:t xml:space="preserve"> </w:t>
      </w:r>
      <w:r w:rsidR="006C564D" w:rsidRPr="00012C3F">
        <w:rPr>
          <w:sz w:val="20"/>
          <w:szCs w:val="20"/>
          <w:lang w:val="en-US"/>
        </w:rPr>
        <w:t xml:space="preserve">30 </w:t>
      </w:r>
      <w:r w:rsidRPr="00012C3F">
        <w:rPr>
          <w:sz w:val="20"/>
          <w:szCs w:val="20"/>
          <w:lang w:val="en-US"/>
        </w:rPr>
        <w:t>to</w:t>
      </w:r>
      <w:r w:rsidR="008C7FE4" w:rsidRPr="00012C3F">
        <w:rPr>
          <w:sz w:val="20"/>
          <w:szCs w:val="20"/>
          <w:lang w:val="en-US"/>
        </w:rPr>
        <w:t xml:space="preserve"> </w:t>
      </w:r>
      <w:r w:rsidR="006C564D" w:rsidRPr="00012C3F">
        <w:rPr>
          <w:sz w:val="20"/>
          <w:szCs w:val="20"/>
          <w:lang w:val="en-US"/>
        </w:rPr>
        <w:t xml:space="preserve">38 </w:t>
      </w:r>
      <w:r w:rsidR="000F735E" w:rsidRPr="00012C3F">
        <w:rPr>
          <w:sz w:val="20"/>
          <w:szCs w:val="20"/>
          <w:lang w:val="en-US"/>
        </w:rPr>
        <w:t>of this judgment</w:t>
      </w:r>
      <w:r w:rsidR="008C7FE4" w:rsidRPr="00012C3F">
        <w:rPr>
          <w:sz w:val="20"/>
          <w:szCs w:val="20"/>
          <w:lang w:val="en-US"/>
        </w:rPr>
        <w:t xml:space="preserve">. </w:t>
      </w:r>
      <w:r w:rsidR="008C7FE4" w:rsidRPr="00012C3F">
        <w:rPr>
          <w:sz w:val="20"/>
          <w:szCs w:val="20"/>
          <w:lang w:val="en-US"/>
        </w:rPr>
        <w:cr/>
      </w:r>
    </w:p>
    <w:p w14:paraId="1E49273E" w14:textId="77777777" w:rsidR="008C7FE4" w:rsidRPr="00012C3F" w:rsidRDefault="008C7FE4" w:rsidP="008C7FE4">
      <w:pPr>
        <w:pStyle w:val="Prrafodelista2"/>
        <w:tabs>
          <w:tab w:val="left" w:pos="720"/>
        </w:tabs>
        <w:ind w:left="0" w:right="-90"/>
        <w:contextualSpacing/>
        <w:rPr>
          <w:lang w:val="en-US"/>
        </w:rPr>
      </w:pPr>
      <w:r w:rsidRPr="00012C3F">
        <w:rPr>
          <w:b/>
          <w:bCs/>
          <w:lang w:val="en-US"/>
        </w:rPr>
        <w:t>DECLAR</w:t>
      </w:r>
      <w:r w:rsidR="00DF5BD3" w:rsidRPr="00012C3F">
        <w:rPr>
          <w:b/>
          <w:bCs/>
          <w:lang w:val="en-US"/>
        </w:rPr>
        <w:t>ES</w:t>
      </w:r>
      <w:r w:rsidRPr="00012C3F">
        <w:rPr>
          <w:b/>
          <w:bCs/>
          <w:lang w:val="en-US"/>
        </w:rPr>
        <w:t xml:space="preserve">: </w:t>
      </w:r>
    </w:p>
    <w:p w14:paraId="7773324A" w14:textId="77777777" w:rsidR="008C7FE4" w:rsidRPr="00012C3F" w:rsidRDefault="008C7FE4" w:rsidP="008C7FE4">
      <w:pPr>
        <w:pStyle w:val="Prrafodelista2"/>
        <w:tabs>
          <w:tab w:val="left" w:pos="720"/>
        </w:tabs>
        <w:ind w:left="0" w:right="-90"/>
        <w:contextualSpacing/>
        <w:rPr>
          <w:lang w:val="en-US"/>
        </w:rPr>
      </w:pPr>
    </w:p>
    <w:p w14:paraId="195D26A3" w14:textId="77777777" w:rsidR="008C7FE4" w:rsidRPr="00012C3F" w:rsidRDefault="00BB2744" w:rsidP="008C7FE4">
      <w:pPr>
        <w:pStyle w:val="Prrafodelista2"/>
        <w:ind w:left="0" w:right="-90"/>
        <w:contextualSpacing/>
        <w:rPr>
          <w:lang w:val="en-US"/>
        </w:rPr>
      </w:pPr>
      <w:r w:rsidRPr="00012C3F">
        <w:rPr>
          <w:lang w:val="en-US"/>
        </w:rPr>
        <w:t>Unanimously</w:t>
      </w:r>
      <w:r w:rsidR="008C7FE4" w:rsidRPr="00012C3F">
        <w:rPr>
          <w:lang w:val="en-US"/>
        </w:rPr>
        <w:t xml:space="preserve">, </w:t>
      </w:r>
      <w:r w:rsidR="00DF5BD3" w:rsidRPr="00012C3F">
        <w:rPr>
          <w:lang w:val="en-US"/>
        </w:rPr>
        <w:t>that</w:t>
      </w:r>
      <w:r w:rsidR="008C7FE4" w:rsidRPr="00012C3F">
        <w:rPr>
          <w:lang w:val="en-US"/>
        </w:rPr>
        <w:t>:</w:t>
      </w:r>
    </w:p>
    <w:p w14:paraId="25A00878" w14:textId="77777777" w:rsidR="008C7FE4" w:rsidRPr="00012C3F" w:rsidRDefault="008C7FE4" w:rsidP="008C7FE4">
      <w:pPr>
        <w:pStyle w:val="Prrafodelista2"/>
        <w:ind w:left="0" w:right="-90"/>
        <w:contextualSpacing/>
        <w:rPr>
          <w:lang w:val="en-US"/>
        </w:rPr>
      </w:pPr>
    </w:p>
    <w:p w14:paraId="0771A17D" w14:textId="77777777" w:rsidR="008C7FE4" w:rsidRPr="00012C3F" w:rsidRDefault="00A84CA0" w:rsidP="008C7FE4">
      <w:pPr>
        <w:widowControl/>
        <w:numPr>
          <w:ilvl w:val="0"/>
          <w:numId w:val="44"/>
        </w:numPr>
        <w:tabs>
          <w:tab w:val="left" w:pos="720"/>
        </w:tabs>
        <w:adjustRightInd/>
        <w:spacing w:line="240" w:lineRule="auto"/>
        <w:ind w:right="-90"/>
        <w:contextualSpacing/>
        <w:textAlignment w:val="auto"/>
        <w:rPr>
          <w:sz w:val="20"/>
          <w:szCs w:val="20"/>
          <w:lang w:val="en-US"/>
        </w:rPr>
      </w:pPr>
      <w:r w:rsidRPr="00012C3F">
        <w:rPr>
          <w:sz w:val="20"/>
          <w:szCs w:val="20"/>
          <w:lang w:val="en-US"/>
        </w:rPr>
        <w:t>The State</w:t>
      </w:r>
      <w:r w:rsidR="008C7FE4" w:rsidRPr="00012C3F">
        <w:rPr>
          <w:sz w:val="20"/>
          <w:szCs w:val="20"/>
          <w:lang w:val="en-US"/>
        </w:rPr>
        <w:t xml:space="preserve"> </w:t>
      </w:r>
      <w:r w:rsidR="00DF5BD3" w:rsidRPr="00012C3F">
        <w:rPr>
          <w:sz w:val="20"/>
          <w:szCs w:val="20"/>
          <w:lang w:val="en-US"/>
        </w:rPr>
        <w:t>is responsible for the violation of</w:t>
      </w:r>
      <w:r w:rsidR="008C7FE4" w:rsidRPr="00012C3F">
        <w:rPr>
          <w:sz w:val="20"/>
          <w:szCs w:val="20"/>
          <w:lang w:val="en-US"/>
        </w:rPr>
        <w:t xml:space="preserve"> </w:t>
      </w:r>
      <w:r w:rsidR="00DF5BD3" w:rsidRPr="00012C3F">
        <w:rPr>
          <w:sz w:val="20"/>
          <w:szCs w:val="20"/>
          <w:lang w:val="en-US"/>
        </w:rPr>
        <w:t>the rights</w:t>
      </w:r>
      <w:r w:rsidR="008C7FE4" w:rsidRPr="00012C3F">
        <w:rPr>
          <w:sz w:val="20"/>
          <w:szCs w:val="20"/>
          <w:lang w:val="en-US"/>
        </w:rPr>
        <w:t xml:space="preserve"> </w:t>
      </w:r>
      <w:r w:rsidR="006C705C" w:rsidRPr="00012C3F">
        <w:rPr>
          <w:sz w:val="20"/>
          <w:szCs w:val="20"/>
          <w:lang w:val="en-US"/>
        </w:rPr>
        <w:t>to personal integrity</w:t>
      </w:r>
      <w:r w:rsidR="008C7FE4" w:rsidRPr="00012C3F">
        <w:rPr>
          <w:sz w:val="20"/>
          <w:szCs w:val="20"/>
          <w:lang w:val="en-US"/>
        </w:rPr>
        <w:t xml:space="preserve">, </w:t>
      </w:r>
      <w:r w:rsidR="00DF5BD3" w:rsidRPr="00012C3F">
        <w:rPr>
          <w:sz w:val="20"/>
          <w:szCs w:val="20"/>
          <w:lang w:val="en-US"/>
        </w:rPr>
        <w:t>to</w:t>
      </w:r>
      <w:r w:rsidR="00A246A1" w:rsidRPr="00012C3F">
        <w:rPr>
          <w:sz w:val="20"/>
          <w:szCs w:val="20"/>
          <w:lang w:val="en-US"/>
        </w:rPr>
        <w:t xml:space="preserve"> </w:t>
      </w:r>
      <w:r w:rsidR="00130362" w:rsidRPr="00012C3F">
        <w:rPr>
          <w:sz w:val="20"/>
          <w:szCs w:val="20"/>
          <w:lang w:val="en-US"/>
        </w:rPr>
        <w:t>personal liberty</w:t>
      </w:r>
      <w:r w:rsidR="00195333" w:rsidRPr="00012C3F">
        <w:rPr>
          <w:sz w:val="20"/>
          <w:szCs w:val="20"/>
          <w:lang w:val="en-US"/>
        </w:rPr>
        <w:t xml:space="preserve">, </w:t>
      </w:r>
      <w:r w:rsidR="00DF5BD3" w:rsidRPr="00012C3F">
        <w:rPr>
          <w:sz w:val="20"/>
          <w:szCs w:val="20"/>
          <w:lang w:val="en-US"/>
        </w:rPr>
        <w:t>to</w:t>
      </w:r>
      <w:r w:rsidR="00A246A1" w:rsidRPr="00012C3F">
        <w:rPr>
          <w:sz w:val="20"/>
          <w:szCs w:val="20"/>
          <w:lang w:val="en-US"/>
        </w:rPr>
        <w:t xml:space="preserve"> </w:t>
      </w:r>
      <w:r w:rsidR="00130362" w:rsidRPr="00012C3F">
        <w:rPr>
          <w:sz w:val="20"/>
          <w:szCs w:val="20"/>
          <w:lang w:val="en-US"/>
        </w:rPr>
        <w:t>dignity</w:t>
      </w:r>
      <w:r w:rsidR="00195333" w:rsidRPr="00012C3F">
        <w:rPr>
          <w:sz w:val="20"/>
          <w:szCs w:val="20"/>
          <w:lang w:val="en-US"/>
        </w:rPr>
        <w:t xml:space="preserve">, </w:t>
      </w:r>
      <w:r w:rsidR="00DF5BD3" w:rsidRPr="00012C3F">
        <w:rPr>
          <w:sz w:val="20"/>
          <w:szCs w:val="20"/>
          <w:lang w:val="en-US"/>
        </w:rPr>
        <w:t>to</w:t>
      </w:r>
      <w:r w:rsidR="00195333" w:rsidRPr="00012C3F">
        <w:rPr>
          <w:sz w:val="20"/>
          <w:szCs w:val="20"/>
          <w:lang w:val="en-US"/>
        </w:rPr>
        <w:t xml:space="preserve"> </w:t>
      </w:r>
      <w:r w:rsidR="00130362" w:rsidRPr="00012C3F">
        <w:rPr>
          <w:sz w:val="20"/>
          <w:szCs w:val="20"/>
          <w:lang w:val="en-US"/>
        </w:rPr>
        <w:t>private and family life</w:t>
      </w:r>
      <w:r w:rsidR="00195333" w:rsidRPr="00012C3F">
        <w:rPr>
          <w:sz w:val="20"/>
          <w:szCs w:val="20"/>
          <w:lang w:val="en-US"/>
        </w:rPr>
        <w:t xml:space="preserve">, </w:t>
      </w:r>
      <w:r w:rsidR="006C705C" w:rsidRPr="00012C3F">
        <w:rPr>
          <w:sz w:val="20"/>
          <w:szCs w:val="20"/>
          <w:lang w:val="en-US"/>
        </w:rPr>
        <w:t>of access to information</w:t>
      </w:r>
      <w:r w:rsidR="009D443F" w:rsidRPr="00012C3F">
        <w:rPr>
          <w:sz w:val="20"/>
          <w:szCs w:val="20"/>
          <w:lang w:val="en-US"/>
        </w:rPr>
        <w:t>,</w:t>
      </w:r>
      <w:r w:rsidR="005E5012" w:rsidRPr="00012C3F">
        <w:rPr>
          <w:sz w:val="20"/>
          <w:szCs w:val="20"/>
          <w:lang w:val="en-US"/>
        </w:rPr>
        <w:t xml:space="preserve"> and </w:t>
      </w:r>
      <w:r w:rsidR="00EF483B" w:rsidRPr="00012C3F">
        <w:rPr>
          <w:sz w:val="20"/>
          <w:szCs w:val="20"/>
          <w:lang w:val="en-US"/>
        </w:rPr>
        <w:t xml:space="preserve">to </w:t>
      </w:r>
      <w:r w:rsidR="0081491F" w:rsidRPr="00012C3F">
        <w:rPr>
          <w:sz w:val="20"/>
          <w:szCs w:val="20"/>
          <w:lang w:val="en-US"/>
        </w:rPr>
        <w:t>raise a family</w:t>
      </w:r>
      <w:r w:rsidR="00195333" w:rsidRPr="00012C3F">
        <w:rPr>
          <w:sz w:val="20"/>
          <w:szCs w:val="20"/>
          <w:lang w:val="en-US"/>
        </w:rPr>
        <w:t>,</w:t>
      </w:r>
      <w:r w:rsidR="008C7FE4" w:rsidRPr="00012C3F">
        <w:rPr>
          <w:sz w:val="20"/>
          <w:szCs w:val="20"/>
          <w:lang w:val="en-US"/>
        </w:rPr>
        <w:t xml:space="preserve"> </w:t>
      </w:r>
      <w:r w:rsidR="00DF5BD3" w:rsidRPr="00012C3F">
        <w:rPr>
          <w:sz w:val="20"/>
          <w:szCs w:val="20"/>
          <w:lang w:val="en-US"/>
        </w:rPr>
        <w:t>recognized in</w:t>
      </w:r>
      <w:r w:rsidR="008C7FE4" w:rsidRPr="00012C3F">
        <w:rPr>
          <w:sz w:val="20"/>
          <w:szCs w:val="20"/>
          <w:lang w:val="en-US"/>
        </w:rPr>
        <w:t xml:space="preserve"> </w:t>
      </w:r>
      <w:r w:rsidR="001254DE" w:rsidRPr="00012C3F">
        <w:rPr>
          <w:sz w:val="20"/>
          <w:szCs w:val="20"/>
          <w:lang w:val="en-US"/>
        </w:rPr>
        <w:t>Articles</w:t>
      </w:r>
      <w:r w:rsidR="008C7FE4" w:rsidRPr="00012C3F">
        <w:rPr>
          <w:sz w:val="20"/>
          <w:szCs w:val="20"/>
          <w:lang w:val="en-US"/>
        </w:rPr>
        <w:t xml:space="preserve"> </w:t>
      </w:r>
      <w:r w:rsidR="005E5012" w:rsidRPr="00012C3F">
        <w:rPr>
          <w:rFonts w:eastAsia="MS Mincho"/>
          <w:sz w:val="20"/>
          <w:szCs w:val="20"/>
          <w:lang w:val="en-US" w:eastAsia="en-US" w:bidi="en-US"/>
        </w:rPr>
        <w:t>5(1)</w:t>
      </w:r>
      <w:r w:rsidR="00195333" w:rsidRPr="00012C3F">
        <w:rPr>
          <w:rFonts w:eastAsia="MS Mincho"/>
          <w:sz w:val="20"/>
          <w:szCs w:val="20"/>
          <w:lang w:val="en-US" w:eastAsia="en-US" w:bidi="en-US"/>
        </w:rPr>
        <w:t xml:space="preserve">, </w:t>
      </w:r>
      <w:r w:rsidR="00F63FF1" w:rsidRPr="00012C3F">
        <w:rPr>
          <w:rFonts w:eastAsia="MS Mincho"/>
          <w:sz w:val="20"/>
          <w:szCs w:val="20"/>
          <w:lang w:val="en-US" w:eastAsia="en-US" w:bidi="en-US"/>
        </w:rPr>
        <w:t>7(1)</w:t>
      </w:r>
      <w:r w:rsidR="00195333" w:rsidRPr="00012C3F">
        <w:rPr>
          <w:rFonts w:eastAsia="MS Mincho"/>
          <w:sz w:val="20"/>
          <w:szCs w:val="20"/>
          <w:lang w:val="en-US" w:eastAsia="en-US" w:bidi="en-US"/>
        </w:rPr>
        <w:t>, 1</w:t>
      </w:r>
      <w:r w:rsidR="005E5012" w:rsidRPr="00012C3F">
        <w:rPr>
          <w:rFonts w:eastAsia="MS Mincho"/>
          <w:sz w:val="20"/>
          <w:szCs w:val="20"/>
          <w:lang w:val="en-US" w:eastAsia="en-US" w:bidi="en-US"/>
        </w:rPr>
        <w:t>1(1)</w:t>
      </w:r>
      <w:r w:rsidR="00195333" w:rsidRPr="00012C3F">
        <w:rPr>
          <w:rFonts w:eastAsia="MS Mincho"/>
          <w:sz w:val="20"/>
          <w:szCs w:val="20"/>
          <w:lang w:val="en-US" w:eastAsia="en-US" w:bidi="en-US"/>
        </w:rPr>
        <w:t xml:space="preserve">, </w:t>
      </w:r>
      <w:r w:rsidR="005E5012" w:rsidRPr="00012C3F">
        <w:rPr>
          <w:rFonts w:eastAsia="MS Mincho"/>
          <w:sz w:val="20"/>
          <w:szCs w:val="20"/>
          <w:lang w:val="en-US" w:eastAsia="en-US" w:bidi="en-US"/>
        </w:rPr>
        <w:t>11(2)</w:t>
      </w:r>
      <w:r w:rsidR="00195333" w:rsidRPr="00012C3F">
        <w:rPr>
          <w:rFonts w:eastAsia="MS Mincho"/>
          <w:sz w:val="20"/>
          <w:szCs w:val="20"/>
          <w:lang w:val="en-US" w:eastAsia="en-US" w:bidi="en-US"/>
        </w:rPr>
        <w:t xml:space="preserve">, </w:t>
      </w:r>
      <w:r w:rsidR="005E5012" w:rsidRPr="00012C3F">
        <w:rPr>
          <w:rFonts w:eastAsia="MS Mincho"/>
          <w:sz w:val="20"/>
          <w:szCs w:val="20"/>
          <w:lang w:val="en-US" w:eastAsia="en-US" w:bidi="en-US"/>
        </w:rPr>
        <w:t>13(1) and 17(2)</w:t>
      </w:r>
      <w:r w:rsidR="001254DE" w:rsidRPr="00012C3F">
        <w:rPr>
          <w:rFonts w:eastAsia="MS Mincho"/>
          <w:sz w:val="20"/>
          <w:szCs w:val="20"/>
          <w:lang w:val="en-US" w:eastAsia="en-US" w:bidi="en-US"/>
        </w:rPr>
        <w:t xml:space="preserve"> of the American Convention on Human Rights</w:t>
      </w:r>
      <w:r w:rsidR="00195333" w:rsidRPr="00012C3F">
        <w:rPr>
          <w:rFonts w:eastAsia="MS Mincho"/>
          <w:sz w:val="20"/>
          <w:szCs w:val="20"/>
          <w:lang w:val="en-US" w:eastAsia="en-US" w:bidi="en-US"/>
        </w:rPr>
        <w:t xml:space="preserve">, </w:t>
      </w:r>
      <w:r w:rsidR="00BB2744" w:rsidRPr="00012C3F">
        <w:rPr>
          <w:sz w:val="20"/>
          <w:szCs w:val="20"/>
          <w:lang w:val="en-US"/>
        </w:rPr>
        <w:t xml:space="preserve">in relation to the obligations </w:t>
      </w:r>
      <w:r w:rsidR="004A757F" w:rsidRPr="00012C3F">
        <w:rPr>
          <w:sz w:val="20"/>
          <w:szCs w:val="20"/>
          <w:lang w:val="en-US"/>
        </w:rPr>
        <w:t xml:space="preserve">to respect and to ensure, </w:t>
      </w:r>
      <w:r w:rsidR="00BB2744" w:rsidRPr="00012C3F">
        <w:rPr>
          <w:sz w:val="20"/>
          <w:szCs w:val="20"/>
          <w:lang w:val="en-US"/>
        </w:rPr>
        <w:t>without discrimination</w:t>
      </w:r>
      <w:r w:rsidR="004A757F" w:rsidRPr="00012C3F">
        <w:rPr>
          <w:sz w:val="20"/>
          <w:szCs w:val="20"/>
          <w:lang w:val="en-US"/>
        </w:rPr>
        <w:t>,</w:t>
      </w:r>
      <w:r w:rsidR="00BB2744" w:rsidRPr="00012C3F">
        <w:rPr>
          <w:sz w:val="20"/>
          <w:szCs w:val="20"/>
          <w:lang w:val="en-US"/>
        </w:rPr>
        <w:t xml:space="preserve"> </w:t>
      </w:r>
      <w:r w:rsidR="004A757F" w:rsidRPr="00012C3F">
        <w:rPr>
          <w:sz w:val="20"/>
          <w:szCs w:val="20"/>
          <w:lang w:val="en-US"/>
        </w:rPr>
        <w:t>these rights contained in</w:t>
      </w:r>
      <w:r w:rsidR="00840E72" w:rsidRPr="00012C3F">
        <w:rPr>
          <w:sz w:val="20"/>
          <w:szCs w:val="20"/>
          <w:lang w:val="en-US"/>
        </w:rPr>
        <w:t xml:space="preserve"> </w:t>
      </w:r>
      <w:r w:rsidR="001254DE" w:rsidRPr="00012C3F">
        <w:rPr>
          <w:sz w:val="20"/>
          <w:szCs w:val="20"/>
          <w:lang w:val="en-US"/>
        </w:rPr>
        <w:t>Article</w:t>
      </w:r>
      <w:r w:rsidR="00840E72" w:rsidRPr="00012C3F">
        <w:rPr>
          <w:sz w:val="20"/>
          <w:szCs w:val="20"/>
          <w:lang w:val="en-US"/>
        </w:rPr>
        <w:t xml:space="preserve"> </w:t>
      </w:r>
      <w:r w:rsidR="005E5012" w:rsidRPr="00012C3F">
        <w:rPr>
          <w:sz w:val="20"/>
          <w:szCs w:val="20"/>
          <w:lang w:val="en-US"/>
        </w:rPr>
        <w:t>1(1)</w:t>
      </w:r>
      <w:r w:rsidR="00840E72" w:rsidRPr="00012C3F">
        <w:rPr>
          <w:sz w:val="20"/>
          <w:szCs w:val="20"/>
          <w:lang w:val="en-US"/>
        </w:rPr>
        <w:t xml:space="preserve"> </w:t>
      </w:r>
      <w:r w:rsidR="006C705C" w:rsidRPr="00012C3F">
        <w:rPr>
          <w:sz w:val="20"/>
          <w:szCs w:val="20"/>
          <w:lang w:val="en-US"/>
        </w:rPr>
        <w:t>of this instrument</w:t>
      </w:r>
      <w:r w:rsidR="00195333" w:rsidRPr="00012C3F">
        <w:rPr>
          <w:rFonts w:eastAsia="MS Mincho"/>
          <w:sz w:val="20"/>
          <w:szCs w:val="20"/>
          <w:lang w:val="en-US" w:eastAsia="en-US" w:bidi="en-US"/>
        </w:rPr>
        <w:t>, a</w:t>
      </w:r>
      <w:r w:rsidR="004A757F" w:rsidRPr="00012C3F">
        <w:rPr>
          <w:rFonts w:eastAsia="MS Mincho"/>
          <w:sz w:val="20"/>
          <w:szCs w:val="20"/>
          <w:lang w:val="en-US" w:eastAsia="en-US" w:bidi="en-US"/>
        </w:rPr>
        <w:t xml:space="preserve">nd also for failing to comply with its obligations under </w:t>
      </w:r>
      <w:r w:rsidR="001254DE" w:rsidRPr="00012C3F">
        <w:rPr>
          <w:rFonts w:eastAsia="MS Mincho"/>
          <w:sz w:val="20"/>
          <w:szCs w:val="20"/>
          <w:lang w:val="en-US" w:eastAsia="en-US" w:bidi="en-US"/>
        </w:rPr>
        <w:t>Article</w:t>
      </w:r>
      <w:r w:rsidR="00195333" w:rsidRPr="00012C3F">
        <w:rPr>
          <w:rFonts w:eastAsia="MS Mincho"/>
          <w:sz w:val="20"/>
          <w:szCs w:val="20"/>
          <w:lang w:val="en-US" w:eastAsia="en-US" w:bidi="en-US"/>
        </w:rPr>
        <w:t xml:space="preserve"> </w:t>
      </w:r>
      <w:r w:rsidR="00D871E8" w:rsidRPr="00012C3F">
        <w:rPr>
          <w:rFonts w:eastAsia="MS Mincho"/>
          <w:sz w:val="20"/>
          <w:szCs w:val="20"/>
          <w:lang w:val="en-US" w:eastAsia="en-US" w:bidi="en-US"/>
        </w:rPr>
        <w:t>7(a)</w:t>
      </w:r>
      <w:r w:rsidR="005E5012" w:rsidRPr="00012C3F">
        <w:rPr>
          <w:rFonts w:eastAsia="MS Mincho"/>
          <w:sz w:val="20"/>
          <w:szCs w:val="20"/>
          <w:lang w:val="en-US" w:eastAsia="en-US" w:bidi="en-US"/>
        </w:rPr>
        <w:t xml:space="preserve"> and </w:t>
      </w:r>
      <w:r w:rsidR="00195333" w:rsidRPr="00012C3F">
        <w:rPr>
          <w:rFonts w:eastAsia="MS Mincho"/>
          <w:sz w:val="20"/>
          <w:szCs w:val="20"/>
          <w:lang w:val="en-US" w:eastAsia="en-US" w:bidi="en-US"/>
        </w:rPr>
        <w:t>b)</w:t>
      </w:r>
      <w:r w:rsidR="001254DE" w:rsidRPr="00012C3F">
        <w:rPr>
          <w:rFonts w:eastAsia="MS Mincho"/>
          <w:sz w:val="20"/>
          <w:szCs w:val="20"/>
          <w:lang w:val="en-US" w:eastAsia="en-US" w:bidi="en-US"/>
        </w:rPr>
        <w:t xml:space="preserve"> of the Convention</w:t>
      </w:r>
      <w:r w:rsidR="00195333" w:rsidRPr="00012C3F">
        <w:rPr>
          <w:rFonts w:eastAsia="MS Mincho"/>
          <w:sz w:val="20"/>
          <w:szCs w:val="20"/>
          <w:lang w:val="en-US" w:eastAsia="en-US" w:bidi="en-US"/>
        </w:rPr>
        <w:t xml:space="preserve"> </w:t>
      </w:r>
      <w:r w:rsidR="005E5012" w:rsidRPr="00012C3F">
        <w:rPr>
          <w:rFonts w:eastAsia="MS Mincho"/>
          <w:sz w:val="20"/>
          <w:szCs w:val="20"/>
          <w:lang w:val="en-US" w:eastAsia="en-US" w:bidi="en-US"/>
        </w:rPr>
        <w:t>of Belém</w:t>
      </w:r>
      <w:r w:rsidR="00195333" w:rsidRPr="00012C3F">
        <w:rPr>
          <w:rFonts w:eastAsia="MS Mincho"/>
          <w:sz w:val="20"/>
          <w:szCs w:val="20"/>
          <w:lang w:val="en-US" w:eastAsia="en-US" w:bidi="en-US"/>
        </w:rPr>
        <w:t xml:space="preserve"> do Pará, </w:t>
      </w:r>
      <w:r w:rsidR="005E5012" w:rsidRPr="00012C3F">
        <w:rPr>
          <w:rFonts w:eastAsia="MS Mincho"/>
          <w:sz w:val="20"/>
          <w:szCs w:val="20"/>
          <w:lang w:val="en-US" w:eastAsia="en-US" w:bidi="en-US"/>
        </w:rPr>
        <w:t>to the detriment of</w:t>
      </w:r>
      <w:r w:rsidR="00195333" w:rsidRPr="00012C3F">
        <w:rPr>
          <w:rFonts w:eastAsia="MS Mincho"/>
          <w:sz w:val="20"/>
          <w:szCs w:val="20"/>
          <w:lang w:val="en-US" w:eastAsia="en-US" w:bidi="en-US"/>
        </w:rPr>
        <w:t xml:space="preserve"> </w:t>
      </w:r>
      <w:r w:rsidR="000E1C11" w:rsidRPr="00012C3F">
        <w:rPr>
          <w:rFonts w:eastAsia="MS Mincho"/>
          <w:sz w:val="20"/>
          <w:szCs w:val="20"/>
          <w:lang w:val="en-US" w:eastAsia="en-US" w:bidi="en-US"/>
        </w:rPr>
        <w:t>I.V.</w:t>
      </w:r>
      <w:r w:rsidR="008C7FE4" w:rsidRPr="00012C3F">
        <w:rPr>
          <w:sz w:val="20"/>
          <w:szCs w:val="20"/>
          <w:lang w:val="en-US"/>
        </w:rPr>
        <w:t xml:space="preserve">, </w:t>
      </w:r>
      <w:r w:rsidR="009D443F" w:rsidRPr="00012C3F">
        <w:rPr>
          <w:sz w:val="20"/>
          <w:szCs w:val="20"/>
          <w:lang w:val="en-US"/>
        </w:rPr>
        <w:t>pursuant to</w:t>
      </w:r>
      <w:r w:rsidR="000F735E" w:rsidRPr="00012C3F">
        <w:rPr>
          <w:sz w:val="20"/>
          <w:szCs w:val="20"/>
          <w:lang w:val="en-US"/>
        </w:rPr>
        <w:t xml:space="preserve"> paragraphs</w:t>
      </w:r>
      <w:r w:rsidR="008C7FE4" w:rsidRPr="00012C3F">
        <w:rPr>
          <w:sz w:val="20"/>
          <w:szCs w:val="20"/>
          <w:lang w:val="en-US"/>
        </w:rPr>
        <w:t xml:space="preserve"> </w:t>
      </w:r>
      <w:r w:rsidR="00FB7C42" w:rsidRPr="00012C3F">
        <w:rPr>
          <w:sz w:val="20"/>
          <w:szCs w:val="20"/>
          <w:lang w:val="en-US"/>
        </w:rPr>
        <w:t xml:space="preserve">147 </w:t>
      </w:r>
      <w:r w:rsidR="004A757F" w:rsidRPr="00012C3F">
        <w:rPr>
          <w:sz w:val="20"/>
          <w:szCs w:val="20"/>
          <w:lang w:val="en-US"/>
        </w:rPr>
        <w:t>to</w:t>
      </w:r>
      <w:r w:rsidR="008C7FE4" w:rsidRPr="00012C3F">
        <w:rPr>
          <w:sz w:val="20"/>
          <w:szCs w:val="20"/>
          <w:lang w:val="en-US"/>
        </w:rPr>
        <w:t xml:space="preserve"> </w:t>
      </w:r>
      <w:r w:rsidR="00C9237C" w:rsidRPr="00012C3F">
        <w:rPr>
          <w:sz w:val="20"/>
          <w:szCs w:val="20"/>
          <w:lang w:val="en-US"/>
        </w:rPr>
        <w:t xml:space="preserve">256 </w:t>
      </w:r>
      <w:r w:rsidR="000F735E" w:rsidRPr="00012C3F">
        <w:rPr>
          <w:sz w:val="20"/>
          <w:szCs w:val="20"/>
          <w:lang w:val="en-US"/>
        </w:rPr>
        <w:t>of this judgment</w:t>
      </w:r>
      <w:r w:rsidR="008C7FE4" w:rsidRPr="00012C3F">
        <w:rPr>
          <w:sz w:val="20"/>
          <w:szCs w:val="20"/>
          <w:lang w:val="en-US"/>
        </w:rPr>
        <w:t>.</w:t>
      </w:r>
    </w:p>
    <w:p w14:paraId="2D4CED3C" w14:textId="77777777" w:rsidR="00B25D97" w:rsidRPr="00012C3F" w:rsidRDefault="00B25D97" w:rsidP="008C7FE4">
      <w:pPr>
        <w:pStyle w:val="Prrafodelista2"/>
        <w:ind w:left="0" w:right="-90"/>
        <w:contextualSpacing/>
        <w:jc w:val="both"/>
        <w:rPr>
          <w:lang w:val="en-US"/>
        </w:rPr>
      </w:pPr>
    </w:p>
    <w:p w14:paraId="7B35F2CE" w14:textId="77777777" w:rsidR="008C7FE4" w:rsidRPr="00012C3F" w:rsidRDefault="00A84CA0" w:rsidP="00B25D97">
      <w:pPr>
        <w:widowControl/>
        <w:numPr>
          <w:ilvl w:val="0"/>
          <w:numId w:val="44"/>
        </w:numPr>
        <w:tabs>
          <w:tab w:val="left" w:pos="720"/>
        </w:tabs>
        <w:adjustRightInd/>
        <w:spacing w:line="240" w:lineRule="auto"/>
        <w:ind w:right="-90"/>
        <w:contextualSpacing/>
        <w:textAlignment w:val="auto"/>
        <w:rPr>
          <w:lang w:val="en-US"/>
        </w:rPr>
      </w:pPr>
      <w:r w:rsidRPr="00012C3F">
        <w:rPr>
          <w:sz w:val="20"/>
          <w:szCs w:val="20"/>
          <w:lang w:val="en-US"/>
        </w:rPr>
        <w:t>The State</w:t>
      </w:r>
      <w:r w:rsidR="00B25D97" w:rsidRPr="00012C3F">
        <w:rPr>
          <w:sz w:val="20"/>
          <w:szCs w:val="20"/>
          <w:lang w:val="en-US"/>
        </w:rPr>
        <w:t xml:space="preserve"> </w:t>
      </w:r>
      <w:r w:rsidR="00DF5BD3" w:rsidRPr="00012C3F">
        <w:rPr>
          <w:sz w:val="20"/>
          <w:szCs w:val="20"/>
          <w:lang w:val="en-US"/>
        </w:rPr>
        <w:t>is responsible for the violation of</w:t>
      </w:r>
      <w:r w:rsidR="009D443F" w:rsidRPr="00012C3F">
        <w:rPr>
          <w:sz w:val="20"/>
          <w:szCs w:val="20"/>
          <w:lang w:val="en-US"/>
        </w:rPr>
        <w:t xml:space="preserve"> the right </w:t>
      </w:r>
      <w:r w:rsidR="006C705C" w:rsidRPr="00012C3F">
        <w:rPr>
          <w:sz w:val="20"/>
          <w:szCs w:val="20"/>
          <w:lang w:val="en-US"/>
        </w:rPr>
        <w:t>to personal integrity</w:t>
      </w:r>
      <w:r w:rsidR="00B25D97" w:rsidRPr="00012C3F">
        <w:rPr>
          <w:sz w:val="20"/>
          <w:szCs w:val="20"/>
          <w:lang w:val="en-US"/>
        </w:rPr>
        <w:t xml:space="preserve"> reco</w:t>
      </w:r>
      <w:r w:rsidR="009D443F" w:rsidRPr="00012C3F">
        <w:rPr>
          <w:sz w:val="20"/>
          <w:szCs w:val="20"/>
          <w:lang w:val="en-US"/>
        </w:rPr>
        <w:t xml:space="preserve">gnized in </w:t>
      </w:r>
      <w:r w:rsidR="001254DE" w:rsidRPr="00012C3F">
        <w:rPr>
          <w:sz w:val="20"/>
          <w:szCs w:val="20"/>
          <w:lang w:val="en-US"/>
        </w:rPr>
        <w:t>Article</w:t>
      </w:r>
      <w:r w:rsidR="00B25D97" w:rsidRPr="00012C3F">
        <w:rPr>
          <w:sz w:val="20"/>
          <w:szCs w:val="20"/>
          <w:lang w:val="en-US"/>
        </w:rPr>
        <w:t xml:space="preserve"> </w:t>
      </w:r>
      <w:r w:rsidR="005E5012" w:rsidRPr="00012C3F">
        <w:rPr>
          <w:sz w:val="20"/>
          <w:szCs w:val="20"/>
          <w:lang w:val="en-US"/>
        </w:rPr>
        <w:t xml:space="preserve">5(1) and </w:t>
      </w:r>
      <w:r w:rsidR="00B257AF" w:rsidRPr="00012C3F">
        <w:rPr>
          <w:sz w:val="20"/>
          <w:szCs w:val="20"/>
          <w:lang w:val="en-US"/>
        </w:rPr>
        <w:t>5(2)</w:t>
      </w:r>
      <w:r w:rsidR="001254DE" w:rsidRPr="00012C3F">
        <w:rPr>
          <w:sz w:val="20"/>
          <w:szCs w:val="20"/>
          <w:lang w:val="en-US"/>
        </w:rPr>
        <w:t xml:space="preserve"> of the American Convention on Human Rights</w:t>
      </w:r>
      <w:r w:rsidR="00B25D97" w:rsidRPr="00012C3F">
        <w:rPr>
          <w:sz w:val="20"/>
          <w:szCs w:val="20"/>
          <w:lang w:val="en-US"/>
        </w:rPr>
        <w:t xml:space="preserve">, </w:t>
      </w:r>
      <w:r w:rsidR="006C705C" w:rsidRPr="00012C3F">
        <w:rPr>
          <w:sz w:val="20"/>
          <w:szCs w:val="20"/>
          <w:lang w:val="en-US"/>
        </w:rPr>
        <w:t>in relation to</w:t>
      </w:r>
      <w:r w:rsidR="00B25D97" w:rsidRPr="00012C3F">
        <w:rPr>
          <w:sz w:val="20"/>
          <w:szCs w:val="20"/>
          <w:lang w:val="en-US"/>
        </w:rPr>
        <w:t xml:space="preserve"> </w:t>
      </w:r>
      <w:r w:rsidR="009D443F" w:rsidRPr="00012C3F">
        <w:rPr>
          <w:sz w:val="20"/>
          <w:szCs w:val="20"/>
          <w:lang w:val="en-US"/>
        </w:rPr>
        <w:t xml:space="preserve">the obligation to respect this right contained in </w:t>
      </w:r>
      <w:r w:rsidR="001254DE" w:rsidRPr="00012C3F">
        <w:rPr>
          <w:sz w:val="20"/>
          <w:szCs w:val="20"/>
          <w:lang w:val="en-US"/>
        </w:rPr>
        <w:t>Article</w:t>
      </w:r>
      <w:r w:rsidR="00B25D97" w:rsidRPr="00012C3F">
        <w:rPr>
          <w:sz w:val="20"/>
          <w:szCs w:val="20"/>
          <w:lang w:val="en-US"/>
        </w:rPr>
        <w:t xml:space="preserve"> </w:t>
      </w:r>
      <w:r w:rsidR="005E5012" w:rsidRPr="00012C3F">
        <w:rPr>
          <w:sz w:val="20"/>
          <w:szCs w:val="20"/>
          <w:lang w:val="en-US"/>
        </w:rPr>
        <w:t>1(1)</w:t>
      </w:r>
      <w:r w:rsidR="00B25D97" w:rsidRPr="00012C3F">
        <w:rPr>
          <w:sz w:val="20"/>
          <w:szCs w:val="20"/>
          <w:lang w:val="en-US"/>
        </w:rPr>
        <w:t xml:space="preserve"> </w:t>
      </w:r>
      <w:r w:rsidR="006C705C" w:rsidRPr="00012C3F">
        <w:rPr>
          <w:sz w:val="20"/>
          <w:szCs w:val="20"/>
          <w:lang w:val="en-US"/>
        </w:rPr>
        <w:t>of this instrument</w:t>
      </w:r>
      <w:r w:rsidR="00B25D97" w:rsidRPr="00012C3F">
        <w:rPr>
          <w:sz w:val="20"/>
          <w:szCs w:val="20"/>
          <w:lang w:val="en-US"/>
        </w:rPr>
        <w:t xml:space="preserve">, </w:t>
      </w:r>
      <w:r w:rsidR="005E5012" w:rsidRPr="00012C3F">
        <w:rPr>
          <w:sz w:val="20"/>
          <w:szCs w:val="20"/>
          <w:lang w:val="en-US"/>
        </w:rPr>
        <w:t>to the detriment of</w:t>
      </w:r>
      <w:r w:rsidR="00B25D97" w:rsidRPr="00012C3F">
        <w:rPr>
          <w:sz w:val="20"/>
          <w:szCs w:val="20"/>
          <w:lang w:val="en-US"/>
        </w:rPr>
        <w:t xml:space="preserve"> </w:t>
      </w:r>
      <w:r w:rsidR="000E1C11" w:rsidRPr="00012C3F">
        <w:rPr>
          <w:sz w:val="20"/>
          <w:szCs w:val="20"/>
          <w:lang w:val="en-US"/>
        </w:rPr>
        <w:t>I.V.</w:t>
      </w:r>
      <w:r w:rsidR="00B25D97" w:rsidRPr="00012C3F">
        <w:rPr>
          <w:sz w:val="20"/>
          <w:szCs w:val="20"/>
          <w:lang w:val="en-US"/>
        </w:rPr>
        <w:t xml:space="preserve">, </w:t>
      </w:r>
      <w:r w:rsidR="009D443F" w:rsidRPr="00012C3F">
        <w:rPr>
          <w:sz w:val="20"/>
          <w:szCs w:val="20"/>
          <w:lang w:val="en-US"/>
        </w:rPr>
        <w:t xml:space="preserve">pursuant to </w:t>
      </w:r>
      <w:r w:rsidR="000F735E" w:rsidRPr="00012C3F">
        <w:rPr>
          <w:sz w:val="20"/>
          <w:szCs w:val="20"/>
          <w:lang w:val="en-US"/>
        </w:rPr>
        <w:t>paragraphs</w:t>
      </w:r>
      <w:r w:rsidR="00B25D97" w:rsidRPr="00012C3F">
        <w:rPr>
          <w:sz w:val="20"/>
          <w:szCs w:val="20"/>
          <w:lang w:val="en-US"/>
        </w:rPr>
        <w:t xml:space="preserve"> </w:t>
      </w:r>
      <w:r w:rsidR="00223DC5" w:rsidRPr="00012C3F">
        <w:rPr>
          <w:sz w:val="20"/>
          <w:szCs w:val="20"/>
          <w:lang w:val="en-US"/>
        </w:rPr>
        <w:t xml:space="preserve">262 </w:t>
      </w:r>
      <w:r w:rsidR="009D443F" w:rsidRPr="00012C3F">
        <w:rPr>
          <w:sz w:val="20"/>
          <w:szCs w:val="20"/>
          <w:lang w:val="en-US"/>
        </w:rPr>
        <w:t>to</w:t>
      </w:r>
      <w:r w:rsidR="00B25D97" w:rsidRPr="00012C3F">
        <w:rPr>
          <w:sz w:val="20"/>
          <w:szCs w:val="20"/>
          <w:lang w:val="en-US"/>
        </w:rPr>
        <w:t xml:space="preserve"> </w:t>
      </w:r>
      <w:r w:rsidR="00223DC5" w:rsidRPr="00012C3F">
        <w:rPr>
          <w:sz w:val="20"/>
          <w:szCs w:val="20"/>
          <w:lang w:val="en-US"/>
        </w:rPr>
        <w:t xml:space="preserve">270 </w:t>
      </w:r>
      <w:r w:rsidR="000F735E" w:rsidRPr="00012C3F">
        <w:rPr>
          <w:sz w:val="20"/>
          <w:szCs w:val="20"/>
          <w:lang w:val="en-US"/>
        </w:rPr>
        <w:t>of this judgment</w:t>
      </w:r>
      <w:r w:rsidR="00B25D97" w:rsidRPr="00012C3F">
        <w:rPr>
          <w:sz w:val="20"/>
          <w:szCs w:val="20"/>
          <w:lang w:val="en-US"/>
        </w:rPr>
        <w:t>.</w:t>
      </w:r>
    </w:p>
    <w:p w14:paraId="5FB0CB22" w14:textId="77777777" w:rsidR="00B25D97" w:rsidRPr="00012C3F" w:rsidRDefault="00B25D97" w:rsidP="00B25D97">
      <w:pPr>
        <w:widowControl/>
        <w:tabs>
          <w:tab w:val="left" w:pos="720"/>
        </w:tabs>
        <w:adjustRightInd/>
        <w:spacing w:line="240" w:lineRule="auto"/>
        <w:ind w:right="-90"/>
        <w:contextualSpacing/>
        <w:textAlignment w:val="auto"/>
        <w:rPr>
          <w:sz w:val="20"/>
          <w:szCs w:val="20"/>
          <w:lang w:val="en-US"/>
        </w:rPr>
      </w:pPr>
    </w:p>
    <w:p w14:paraId="1C6DD2C3" w14:textId="77777777" w:rsidR="008C7FE4" w:rsidRPr="00012C3F" w:rsidRDefault="00A84CA0" w:rsidP="008C7FE4">
      <w:pPr>
        <w:widowControl/>
        <w:numPr>
          <w:ilvl w:val="0"/>
          <w:numId w:val="44"/>
        </w:numPr>
        <w:tabs>
          <w:tab w:val="left" w:pos="720"/>
        </w:tabs>
        <w:adjustRightInd/>
        <w:spacing w:line="240" w:lineRule="auto"/>
        <w:ind w:right="-90"/>
        <w:contextualSpacing/>
        <w:textAlignment w:val="auto"/>
        <w:rPr>
          <w:sz w:val="20"/>
          <w:szCs w:val="20"/>
          <w:lang w:val="en-US"/>
        </w:rPr>
      </w:pPr>
      <w:r w:rsidRPr="00012C3F">
        <w:rPr>
          <w:sz w:val="20"/>
          <w:szCs w:val="20"/>
          <w:lang w:val="en-US"/>
        </w:rPr>
        <w:t>The State</w:t>
      </w:r>
      <w:r w:rsidR="008C7FE4" w:rsidRPr="00012C3F">
        <w:rPr>
          <w:sz w:val="20"/>
          <w:szCs w:val="20"/>
          <w:lang w:val="en-US"/>
        </w:rPr>
        <w:t xml:space="preserve"> </w:t>
      </w:r>
      <w:r w:rsidR="00DF5BD3" w:rsidRPr="00012C3F">
        <w:rPr>
          <w:sz w:val="20"/>
          <w:szCs w:val="20"/>
          <w:lang w:val="en-US"/>
        </w:rPr>
        <w:t>is responsible for the violation of</w:t>
      </w:r>
      <w:r w:rsidR="00BB2744" w:rsidRPr="00012C3F">
        <w:rPr>
          <w:sz w:val="20"/>
          <w:szCs w:val="20"/>
          <w:lang w:val="en-US"/>
        </w:rPr>
        <w:t xml:space="preserve"> </w:t>
      </w:r>
      <w:r w:rsidR="009D443F" w:rsidRPr="00012C3F">
        <w:rPr>
          <w:sz w:val="20"/>
          <w:szCs w:val="20"/>
          <w:lang w:val="en-US"/>
        </w:rPr>
        <w:t>the</w:t>
      </w:r>
      <w:r w:rsidR="00BB2744" w:rsidRPr="00012C3F">
        <w:rPr>
          <w:sz w:val="20"/>
          <w:szCs w:val="20"/>
          <w:lang w:val="en-US"/>
        </w:rPr>
        <w:t xml:space="preserve"> rights to judicial guarantees and judicial</w:t>
      </w:r>
      <w:r w:rsidR="009D443F" w:rsidRPr="00012C3F">
        <w:rPr>
          <w:sz w:val="20"/>
          <w:szCs w:val="20"/>
          <w:lang w:val="en-US"/>
        </w:rPr>
        <w:t xml:space="preserve"> protection</w:t>
      </w:r>
      <w:r w:rsidR="00BB2744" w:rsidRPr="00012C3F">
        <w:rPr>
          <w:sz w:val="20"/>
          <w:szCs w:val="20"/>
          <w:lang w:val="en-US"/>
        </w:rPr>
        <w:t xml:space="preserve">, </w:t>
      </w:r>
      <w:r w:rsidR="00DF5BD3" w:rsidRPr="00012C3F">
        <w:rPr>
          <w:sz w:val="20"/>
          <w:szCs w:val="20"/>
          <w:lang w:val="en-US"/>
        </w:rPr>
        <w:t>recognized in</w:t>
      </w:r>
      <w:r w:rsidR="00BB2744" w:rsidRPr="00012C3F">
        <w:rPr>
          <w:sz w:val="20"/>
          <w:szCs w:val="20"/>
          <w:lang w:val="en-US"/>
        </w:rPr>
        <w:t xml:space="preserve"> </w:t>
      </w:r>
      <w:r w:rsidR="009D443F" w:rsidRPr="00012C3F">
        <w:rPr>
          <w:sz w:val="20"/>
          <w:szCs w:val="20"/>
          <w:lang w:val="en-US"/>
        </w:rPr>
        <w:t>A</w:t>
      </w:r>
      <w:r w:rsidR="00BB2744" w:rsidRPr="00012C3F">
        <w:rPr>
          <w:sz w:val="20"/>
          <w:szCs w:val="20"/>
          <w:lang w:val="en-US"/>
        </w:rPr>
        <w:t xml:space="preserve">rticles 8(1) and 25(1) of the </w:t>
      </w:r>
      <w:r w:rsidR="009D443F" w:rsidRPr="00012C3F">
        <w:rPr>
          <w:sz w:val="20"/>
          <w:szCs w:val="20"/>
          <w:lang w:val="en-US"/>
        </w:rPr>
        <w:t>American Convention on Human Rights</w:t>
      </w:r>
      <w:r w:rsidR="00BB2744" w:rsidRPr="00012C3F">
        <w:rPr>
          <w:sz w:val="20"/>
          <w:szCs w:val="20"/>
          <w:lang w:val="en-US"/>
        </w:rPr>
        <w:t xml:space="preserve">, in relation to the obligations </w:t>
      </w:r>
      <w:r w:rsidR="009D443F" w:rsidRPr="00012C3F">
        <w:rPr>
          <w:sz w:val="20"/>
          <w:szCs w:val="20"/>
          <w:lang w:val="en-US"/>
        </w:rPr>
        <w:t xml:space="preserve">to respect and to ensure these rights </w:t>
      </w:r>
      <w:r w:rsidR="00BB2744" w:rsidRPr="00012C3F">
        <w:rPr>
          <w:sz w:val="20"/>
          <w:szCs w:val="20"/>
          <w:lang w:val="en-US"/>
        </w:rPr>
        <w:t xml:space="preserve">without discrimination </w:t>
      </w:r>
      <w:r w:rsidR="009D443F" w:rsidRPr="00012C3F">
        <w:rPr>
          <w:sz w:val="20"/>
          <w:szCs w:val="20"/>
          <w:lang w:val="en-US"/>
        </w:rPr>
        <w:t>contained in</w:t>
      </w:r>
      <w:r w:rsidR="008C7FE4" w:rsidRPr="00012C3F">
        <w:rPr>
          <w:sz w:val="20"/>
          <w:szCs w:val="20"/>
          <w:lang w:val="en-US"/>
        </w:rPr>
        <w:t xml:space="preserve"> </w:t>
      </w:r>
      <w:r w:rsidR="001254DE" w:rsidRPr="00012C3F">
        <w:rPr>
          <w:sz w:val="20"/>
          <w:szCs w:val="20"/>
          <w:lang w:val="en-US"/>
        </w:rPr>
        <w:t>Article</w:t>
      </w:r>
      <w:r w:rsidR="008C7FE4" w:rsidRPr="00012C3F">
        <w:rPr>
          <w:sz w:val="20"/>
          <w:szCs w:val="20"/>
          <w:lang w:val="en-US"/>
        </w:rPr>
        <w:t xml:space="preserve"> </w:t>
      </w:r>
      <w:r w:rsidR="005E5012" w:rsidRPr="00012C3F">
        <w:rPr>
          <w:sz w:val="20"/>
          <w:szCs w:val="20"/>
          <w:lang w:val="en-US"/>
        </w:rPr>
        <w:t>1(1)</w:t>
      </w:r>
      <w:r w:rsidR="008C7FE4" w:rsidRPr="00012C3F">
        <w:rPr>
          <w:sz w:val="20"/>
          <w:szCs w:val="20"/>
          <w:lang w:val="en-US"/>
        </w:rPr>
        <w:t xml:space="preserve"> </w:t>
      </w:r>
      <w:r w:rsidR="006C705C" w:rsidRPr="00012C3F">
        <w:rPr>
          <w:sz w:val="20"/>
          <w:szCs w:val="20"/>
          <w:lang w:val="en-US"/>
        </w:rPr>
        <w:t>of this instrument</w:t>
      </w:r>
      <w:r w:rsidR="008C7FE4" w:rsidRPr="00012C3F">
        <w:rPr>
          <w:sz w:val="20"/>
          <w:szCs w:val="20"/>
          <w:lang w:val="en-US"/>
        </w:rPr>
        <w:t xml:space="preserve">, </w:t>
      </w:r>
      <w:r w:rsidR="009D443F" w:rsidRPr="00012C3F">
        <w:rPr>
          <w:rFonts w:eastAsia="MS Mincho"/>
          <w:sz w:val="20"/>
          <w:szCs w:val="20"/>
          <w:lang w:val="en-US" w:eastAsia="en-US" w:bidi="en-US"/>
        </w:rPr>
        <w:t xml:space="preserve">and also for failing to comply with its obligations under </w:t>
      </w:r>
      <w:r w:rsidR="001254DE" w:rsidRPr="00012C3F">
        <w:rPr>
          <w:rFonts w:eastAsia="MS Mincho"/>
          <w:sz w:val="20"/>
          <w:szCs w:val="20"/>
          <w:lang w:val="en-US" w:eastAsia="en-US" w:bidi="en-US"/>
        </w:rPr>
        <w:t>Article</w:t>
      </w:r>
      <w:r w:rsidR="00B25D97" w:rsidRPr="00012C3F">
        <w:rPr>
          <w:rFonts w:eastAsia="MS Mincho"/>
          <w:sz w:val="20"/>
          <w:szCs w:val="20"/>
          <w:lang w:val="en-US" w:eastAsia="en-US" w:bidi="en-US"/>
        </w:rPr>
        <w:t xml:space="preserve"> </w:t>
      </w:r>
      <w:r w:rsidR="00DF71A5" w:rsidRPr="00012C3F">
        <w:rPr>
          <w:rFonts w:eastAsia="MS Mincho"/>
          <w:sz w:val="20"/>
          <w:szCs w:val="20"/>
          <w:lang w:val="en-US" w:eastAsia="en-US" w:bidi="en-US"/>
        </w:rPr>
        <w:t>7(b)</w:t>
      </w:r>
      <w:r w:rsidR="00B25D97" w:rsidRPr="00012C3F">
        <w:rPr>
          <w:rFonts w:eastAsia="MS Mincho"/>
          <w:sz w:val="20"/>
          <w:szCs w:val="20"/>
          <w:lang w:val="en-US" w:eastAsia="en-US" w:bidi="en-US"/>
        </w:rPr>
        <w:t>, c), f)</w:t>
      </w:r>
      <w:r w:rsidR="005E5012" w:rsidRPr="00012C3F">
        <w:rPr>
          <w:rFonts w:eastAsia="MS Mincho"/>
          <w:sz w:val="20"/>
          <w:szCs w:val="20"/>
          <w:lang w:val="en-US" w:eastAsia="en-US" w:bidi="en-US"/>
        </w:rPr>
        <w:t xml:space="preserve"> and </w:t>
      </w:r>
      <w:r w:rsidR="00B25D97" w:rsidRPr="00012C3F">
        <w:rPr>
          <w:rFonts w:eastAsia="MS Mincho"/>
          <w:sz w:val="20"/>
          <w:szCs w:val="20"/>
          <w:lang w:val="en-US" w:eastAsia="en-US" w:bidi="en-US"/>
        </w:rPr>
        <w:t>g)</w:t>
      </w:r>
      <w:r w:rsidR="001254DE" w:rsidRPr="00012C3F">
        <w:rPr>
          <w:rFonts w:eastAsia="MS Mincho"/>
          <w:sz w:val="20"/>
          <w:szCs w:val="20"/>
          <w:lang w:val="en-US" w:eastAsia="en-US" w:bidi="en-US"/>
        </w:rPr>
        <w:t xml:space="preserve"> of the Convention</w:t>
      </w:r>
      <w:r w:rsidR="00B25D97" w:rsidRPr="00012C3F">
        <w:rPr>
          <w:rFonts w:eastAsia="MS Mincho"/>
          <w:sz w:val="20"/>
          <w:szCs w:val="20"/>
          <w:lang w:val="en-US" w:eastAsia="en-US" w:bidi="en-US"/>
        </w:rPr>
        <w:t xml:space="preserve"> </w:t>
      </w:r>
      <w:r w:rsidR="005E5012" w:rsidRPr="00012C3F">
        <w:rPr>
          <w:rFonts w:eastAsia="MS Mincho"/>
          <w:sz w:val="20"/>
          <w:szCs w:val="20"/>
          <w:lang w:val="en-US" w:eastAsia="en-US" w:bidi="en-US"/>
        </w:rPr>
        <w:t>of Belém</w:t>
      </w:r>
      <w:r w:rsidR="00B25D97" w:rsidRPr="00012C3F">
        <w:rPr>
          <w:rFonts w:eastAsia="MS Mincho"/>
          <w:sz w:val="20"/>
          <w:szCs w:val="20"/>
          <w:lang w:val="en-US" w:eastAsia="en-US" w:bidi="en-US"/>
        </w:rPr>
        <w:t xml:space="preserve"> do Pará</w:t>
      </w:r>
      <w:r w:rsidR="008C7FE4" w:rsidRPr="00012C3F">
        <w:rPr>
          <w:rFonts w:eastAsia="Batang"/>
          <w:bCs/>
          <w:sz w:val="20"/>
          <w:szCs w:val="20"/>
          <w:lang w:val="en-US"/>
        </w:rPr>
        <w:t>,</w:t>
      </w:r>
      <w:r w:rsidR="008C7FE4" w:rsidRPr="00012C3F">
        <w:rPr>
          <w:rFonts w:eastAsia="Batang"/>
          <w:sz w:val="20"/>
          <w:szCs w:val="20"/>
          <w:lang w:val="en-US"/>
        </w:rPr>
        <w:t xml:space="preserve"> </w:t>
      </w:r>
      <w:r w:rsidR="005E5012" w:rsidRPr="00012C3F">
        <w:rPr>
          <w:rFonts w:eastAsia="MS Mincho"/>
          <w:sz w:val="20"/>
          <w:szCs w:val="20"/>
          <w:lang w:val="en-US" w:eastAsia="en-US" w:bidi="en-US"/>
        </w:rPr>
        <w:t>to the detriment of</w:t>
      </w:r>
      <w:r w:rsidR="00840E72" w:rsidRPr="00012C3F">
        <w:rPr>
          <w:rFonts w:eastAsia="MS Mincho"/>
          <w:sz w:val="20"/>
          <w:szCs w:val="20"/>
          <w:lang w:val="en-US" w:eastAsia="en-US" w:bidi="en-US"/>
        </w:rPr>
        <w:t xml:space="preserve"> </w:t>
      </w:r>
      <w:r w:rsidR="000E1C11" w:rsidRPr="00012C3F">
        <w:rPr>
          <w:rFonts w:eastAsia="MS Mincho"/>
          <w:sz w:val="20"/>
          <w:szCs w:val="20"/>
          <w:lang w:val="en-US" w:eastAsia="en-US" w:bidi="en-US"/>
        </w:rPr>
        <w:t>I.V.</w:t>
      </w:r>
      <w:r w:rsidR="00840E72" w:rsidRPr="00012C3F">
        <w:rPr>
          <w:sz w:val="20"/>
          <w:szCs w:val="20"/>
          <w:lang w:val="en-US"/>
        </w:rPr>
        <w:t>,</w:t>
      </w:r>
      <w:r w:rsidR="000F735E" w:rsidRPr="00012C3F">
        <w:rPr>
          <w:rFonts w:eastAsia="Batang"/>
          <w:sz w:val="20"/>
          <w:szCs w:val="20"/>
          <w:lang w:val="en-US"/>
        </w:rPr>
        <w:t xml:space="preserve"> </w:t>
      </w:r>
      <w:r w:rsidR="009D443F" w:rsidRPr="00012C3F">
        <w:rPr>
          <w:rFonts w:eastAsia="Batang"/>
          <w:sz w:val="20"/>
          <w:szCs w:val="20"/>
          <w:lang w:val="en-US"/>
        </w:rPr>
        <w:t>pursuant to</w:t>
      </w:r>
      <w:r w:rsidR="000F735E" w:rsidRPr="00012C3F">
        <w:rPr>
          <w:rFonts w:eastAsia="Batang"/>
          <w:sz w:val="20"/>
          <w:szCs w:val="20"/>
          <w:lang w:val="en-US"/>
        </w:rPr>
        <w:t xml:space="preserve"> paragraphs</w:t>
      </w:r>
      <w:r w:rsidR="008C7FE4" w:rsidRPr="00012C3F">
        <w:rPr>
          <w:rFonts w:eastAsia="Batang"/>
          <w:sz w:val="20"/>
          <w:szCs w:val="20"/>
          <w:lang w:val="en-US"/>
        </w:rPr>
        <w:t xml:space="preserve"> </w:t>
      </w:r>
      <w:r w:rsidR="004111C3" w:rsidRPr="00012C3F">
        <w:rPr>
          <w:sz w:val="20"/>
          <w:szCs w:val="20"/>
          <w:lang w:val="en-US"/>
        </w:rPr>
        <w:t xml:space="preserve">288 </w:t>
      </w:r>
      <w:r w:rsidR="009D443F" w:rsidRPr="00012C3F">
        <w:rPr>
          <w:sz w:val="20"/>
          <w:szCs w:val="20"/>
          <w:lang w:val="en-US"/>
        </w:rPr>
        <w:t>to</w:t>
      </w:r>
      <w:r w:rsidR="008C7FE4" w:rsidRPr="00012C3F">
        <w:rPr>
          <w:sz w:val="20"/>
          <w:szCs w:val="20"/>
          <w:lang w:val="en-US"/>
        </w:rPr>
        <w:t xml:space="preserve"> </w:t>
      </w:r>
      <w:r w:rsidR="004111C3" w:rsidRPr="00012C3F">
        <w:rPr>
          <w:sz w:val="20"/>
          <w:szCs w:val="20"/>
          <w:lang w:val="en-US"/>
        </w:rPr>
        <w:t xml:space="preserve">322 </w:t>
      </w:r>
      <w:r w:rsidR="000F735E" w:rsidRPr="00012C3F">
        <w:rPr>
          <w:sz w:val="20"/>
          <w:szCs w:val="20"/>
          <w:lang w:val="en-US"/>
        </w:rPr>
        <w:t>of this judgment</w:t>
      </w:r>
      <w:r w:rsidR="008C7FE4" w:rsidRPr="00012C3F">
        <w:rPr>
          <w:sz w:val="20"/>
          <w:szCs w:val="20"/>
          <w:lang w:val="en-US"/>
        </w:rPr>
        <w:t>.</w:t>
      </w:r>
    </w:p>
    <w:p w14:paraId="3C3B3C89" w14:textId="77777777" w:rsidR="008C7FE4" w:rsidRPr="00012C3F" w:rsidRDefault="008C7FE4" w:rsidP="008C7FE4">
      <w:pPr>
        <w:pStyle w:val="Prrafodelista2"/>
        <w:ind w:left="0" w:right="-90"/>
        <w:contextualSpacing/>
        <w:jc w:val="both"/>
        <w:rPr>
          <w:lang w:val="en-US"/>
        </w:rPr>
      </w:pPr>
    </w:p>
    <w:p w14:paraId="478E285D" w14:textId="77777777" w:rsidR="008C7FE4" w:rsidRPr="00012C3F" w:rsidRDefault="009D443F" w:rsidP="008C7FE4">
      <w:pPr>
        <w:widowControl/>
        <w:numPr>
          <w:ilvl w:val="0"/>
          <w:numId w:val="44"/>
        </w:numPr>
        <w:tabs>
          <w:tab w:val="left" w:pos="720"/>
        </w:tabs>
        <w:adjustRightInd/>
        <w:spacing w:line="240" w:lineRule="auto"/>
        <w:ind w:right="-90"/>
        <w:contextualSpacing/>
        <w:textAlignment w:val="auto"/>
        <w:rPr>
          <w:sz w:val="20"/>
          <w:szCs w:val="20"/>
          <w:lang w:val="en-US"/>
        </w:rPr>
      </w:pPr>
      <w:r w:rsidRPr="00012C3F">
        <w:rPr>
          <w:sz w:val="20"/>
          <w:szCs w:val="20"/>
          <w:lang w:val="en-US"/>
        </w:rPr>
        <w:t xml:space="preserve">It is not incumbent on the Court to issue a ruling on the alleged violations of </w:t>
      </w:r>
      <w:r w:rsidR="001254DE" w:rsidRPr="00012C3F">
        <w:rPr>
          <w:sz w:val="20"/>
          <w:szCs w:val="20"/>
          <w:lang w:val="en-US"/>
        </w:rPr>
        <w:t>Articles</w:t>
      </w:r>
      <w:r w:rsidR="00B25D97" w:rsidRPr="00012C3F">
        <w:rPr>
          <w:sz w:val="20"/>
          <w:szCs w:val="20"/>
          <w:lang w:val="en-US"/>
        </w:rPr>
        <w:t xml:space="preserve"> 3</w:t>
      </w:r>
      <w:r w:rsidR="005E5012" w:rsidRPr="00012C3F">
        <w:rPr>
          <w:sz w:val="20"/>
          <w:szCs w:val="20"/>
          <w:lang w:val="en-US"/>
        </w:rPr>
        <w:t xml:space="preserve"> and </w:t>
      </w:r>
      <w:r w:rsidR="00B25D97" w:rsidRPr="00012C3F">
        <w:rPr>
          <w:sz w:val="20"/>
          <w:szCs w:val="20"/>
          <w:lang w:val="en-US"/>
        </w:rPr>
        <w:t>2</w:t>
      </w:r>
      <w:r w:rsidR="00B257AF" w:rsidRPr="00012C3F">
        <w:rPr>
          <w:sz w:val="20"/>
          <w:szCs w:val="20"/>
          <w:lang w:val="en-US"/>
        </w:rPr>
        <w:t>5(2)</w:t>
      </w:r>
      <w:r w:rsidRPr="00012C3F">
        <w:rPr>
          <w:sz w:val="20"/>
          <w:szCs w:val="20"/>
          <w:lang w:val="en-US"/>
        </w:rPr>
        <w:t>(</w:t>
      </w:r>
      <w:r w:rsidR="00B25D97" w:rsidRPr="00012C3F">
        <w:rPr>
          <w:sz w:val="20"/>
          <w:szCs w:val="20"/>
          <w:lang w:val="en-US"/>
        </w:rPr>
        <w:t>a)</w:t>
      </w:r>
      <w:r w:rsidR="001254DE" w:rsidRPr="00012C3F">
        <w:rPr>
          <w:sz w:val="20"/>
          <w:szCs w:val="20"/>
          <w:lang w:val="en-US"/>
        </w:rPr>
        <w:t xml:space="preserve"> of the American Convention on Human Rights</w:t>
      </w:r>
      <w:r w:rsidR="008C7FE4" w:rsidRPr="00012C3F">
        <w:rPr>
          <w:sz w:val="20"/>
          <w:szCs w:val="20"/>
          <w:lang w:val="en-US"/>
        </w:rPr>
        <w:t>,</w:t>
      </w:r>
      <w:r w:rsidR="00B25D97" w:rsidRPr="00012C3F">
        <w:rPr>
          <w:sz w:val="20"/>
          <w:szCs w:val="20"/>
          <w:lang w:val="en-US"/>
        </w:rPr>
        <w:t xml:space="preserve"> </w:t>
      </w:r>
      <w:r w:rsidRPr="00012C3F">
        <w:rPr>
          <w:sz w:val="20"/>
          <w:szCs w:val="20"/>
          <w:lang w:val="en-US"/>
        </w:rPr>
        <w:t>or</w:t>
      </w:r>
      <w:r w:rsidR="00923F1E" w:rsidRPr="00012C3F">
        <w:rPr>
          <w:sz w:val="20"/>
          <w:szCs w:val="20"/>
          <w:lang w:val="en-US"/>
        </w:rPr>
        <w:t xml:space="preserve"> o</w:t>
      </w:r>
      <w:r w:rsidRPr="00012C3F">
        <w:rPr>
          <w:sz w:val="20"/>
          <w:szCs w:val="20"/>
          <w:lang w:val="en-US"/>
        </w:rPr>
        <w:t>n</w:t>
      </w:r>
      <w:r w:rsidR="00923F1E" w:rsidRPr="00012C3F">
        <w:rPr>
          <w:sz w:val="20"/>
          <w:szCs w:val="20"/>
          <w:lang w:val="en-US"/>
        </w:rPr>
        <w:t xml:space="preserve"> the </w:t>
      </w:r>
      <w:r w:rsidR="006C705C" w:rsidRPr="00012C3F">
        <w:rPr>
          <w:sz w:val="20"/>
          <w:szCs w:val="20"/>
          <w:lang w:val="en-US"/>
        </w:rPr>
        <w:t>right to know the truth</w:t>
      </w:r>
      <w:r w:rsidR="00B25D97" w:rsidRPr="00012C3F">
        <w:rPr>
          <w:sz w:val="20"/>
          <w:szCs w:val="20"/>
          <w:lang w:val="en-US"/>
        </w:rPr>
        <w:t>,</w:t>
      </w:r>
      <w:r w:rsidR="008C7FE4" w:rsidRPr="00012C3F">
        <w:rPr>
          <w:sz w:val="20"/>
          <w:szCs w:val="20"/>
          <w:lang w:val="en-US"/>
        </w:rPr>
        <w:t xml:space="preserve"> </w:t>
      </w:r>
      <w:r w:rsidRPr="00012C3F">
        <w:rPr>
          <w:sz w:val="20"/>
          <w:szCs w:val="20"/>
          <w:lang w:val="en-US"/>
        </w:rPr>
        <w:t>pursuant to</w:t>
      </w:r>
      <w:r w:rsidR="000F735E" w:rsidRPr="00012C3F">
        <w:rPr>
          <w:sz w:val="20"/>
          <w:szCs w:val="20"/>
          <w:lang w:val="en-US"/>
        </w:rPr>
        <w:t xml:space="preserve"> paragraphs</w:t>
      </w:r>
      <w:r w:rsidR="008C7FE4" w:rsidRPr="00012C3F">
        <w:rPr>
          <w:sz w:val="20"/>
          <w:szCs w:val="20"/>
          <w:lang w:val="en-US"/>
        </w:rPr>
        <w:t xml:space="preserve"> </w:t>
      </w:r>
      <w:r w:rsidR="004111C3" w:rsidRPr="00012C3F">
        <w:rPr>
          <w:sz w:val="20"/>
          <w:szCs w:val="20"/>
          <w:lang w:val="en-US"/>
        </w:rPr>
        <w:t>237</w:t>
      </w:r>
      <w:r w:rsidR="005E5012" w:rsidRPr="00012C3F">
        <w:rPr>
          <w:sz w:val="20"/>
          <w:szCs w:val="20"/>
          <w:lang w:val="en-US"/>
        </w:rPr>
        <w:t xml:space="preserve"> and </w:t>
      </w:r>
      <w:r w:rsidR="004111C3" w:rsidRPr="00012C3F">
        <w:rPr>
          <w:sz w:val="20"/>
          <w:szCs w:val="20"/>
          <w:lang w:val="en-US"/>
        </w:rPr>
        <w:t xml:space="preserve">323 </w:t>
      </w:r>
      <w:r w:rsidR="000F735E" w:rsidRPr="00012C3F">
        <w:rPr>
          <w:sz w:val="20"/>
          <w:szCs w:val="20"/>
          <w:lang w:val="en-US"/>
        </w:rPr>
        <w:t>of this judgment</w:t>
      </w:r>
      <w:r w:rsidR="008C7FE4" w:rsidRPr="00012C3F">
        <w:rPr>
          <w:sz w:val="20"/>
          <w:szCs w:val="20"/>
          <w:lang w:val="en-US"/>
        </w:rPr>
        <w:t>.</w:t>
      </w:r>
    </w:p>
    <w:p w14:paraId="33AF5466" w14:textId="77777777" w:rsidR="008C7FE4" w:rsidRPr="00012C3F" w:rsidRDefault="008C7FE4" w:rsidP="008C7FE4">
      <w:pPr>
        <w:pStyle w:val="Prrafodelista2"/>
        <w:ind w:left="0" w:right="-90"/>
        <w:contextualSpacing/>
        <w:jc w:val="both"/>
        <w:rPr>
          <w:lang w:val="en-US"/>
        </w:rPr>
      </w:pPr>
    </w:p>
    <w:p w14:paraId="68459402" w14:textId="77777777" w:rsidR="008C7FE4" w:rsidRPr="00012C3F" w:rsidRDefault="009D443F" w:rsidP="008C7FE4">
      <w:pPr>
        <w:pStyle w:val="Prrafodelista2"/>
        <w:tabs>
          <w:tab w:val="left" w:pos="720"/>
        </w:tabs>
        <w:ind w:left="0" w:right="-90"/>
        <w:contextualSpacing/>
        <w:jc w:val="both"/>
        <w:rPr>
          <w:b/>
          <w:bCs/>
          <w:lang w:val="en-US"/>
        </w:rPr>
      </w:pPr>
      <w:r w:rsidRPr="00012C3F">
        <w:rPr>
          <w:b/>
          <w:bCs/>
          <w:lang w:val="en-US"/>
        </w:rPr>
        <w:lastRenderedPageBreak/>
        <w:t>AND ESTABLISHES</w:t>
      </w:r>
      <w:r w:rsidR="008C7FE4" w:rsidRPr="00012C3F">
        <w:rPr>
          <w:b/>
          <w:bCs/>
          <w:lang w:val="en-US"/>
        </w:rPr>
        <w:t>:</w:t>
      </w:r>
    </w:p>
    <w:p w14:paraId="504C1174" w14:textId="77777777" w:rsidR="008C7FE4" w:rsidRPr="00012C3F" w:rsidRDefault="008C7FE4" w:rsidP="008C7FE4">
      <w:pPr>
        <w:pStyle w:val="Prrafodelista2"/>
        <w:tabs>
          <w:tab w:val="left" w:pos="720"/>
        </w:tabs>
        <w:ind w:left="0" w:right="-90"/>
        <w:contextualSpacing/>
        <w:jc w:val="both"/>
        <w:rPr>
          <w:b/>
          <w:bCs/>
          <w:lang w:val="en-US"/>
        </w:rPr>
      </w:pPr>
    </w:p>
    <w:p w14:paraId="11466B3B" w14:textId="77777777" w:rsidR="008C7FE4" w:rsidRPr="00012C3F" w:rsidRDefault="00BB2744" w:rsidP="008C7FE4">
      <w:pPr>
        <w:pStyle w:val="Prrafodelista2"/>
        <w:tabs>
          <w:tab w:val="left" w:pos="720"/>
        </w:tabs>
        <w:ind w:left="0" w:right="-90"/>
        <w:contextualSpacing/>
        <w:jc w:val="both"/>
        <w:rPr>
          <w:bCs/>
          <w:lang w:val="en-US"/>
        </w:rPr>
      </w:pPr>
      <w:r w:rsidRPr="00012C3F">
        <w:rPr>
          <w:lang w:val="en-US"/>
        </w:rPr>
        <w:t>Unanimously</w:t>
      </w:r>
      <w:r w:rsidR="008C7FE4" w:rsidRPr="00012C3F">
        <w:rPr>
          <w:lang w:val="en-US"/>
        </w:rPr>
        <w:t>,</w:t>
      </w:r>
      <w:r w:rsidR="008C7FE4" w:rsidRPr="00012C3F">
        <w:rPr>
          <w:bCs/>
          <w:lang w:val="en-US"/>
        </w:rPr>
        <w:t xml:space="preserve"> </w:t>
      </w:r>
      <w:r w:rsidR="009D443F" w:rsidRPr="00012C3F">
        <w:rPr>
          <w:bCs/>
          <w:lang w:val="en-US"/>
        </w:rPr>
        <w:t>that</w:t>
      </w:r>
      <w:r w:rsidR="008C7FE4" w:rsidRPr="00012C3F">
        <w:rPr>
          <w:bCs/>
          <w:lang w:val="en-US"/>
        </w:rPr>
        <w:t>:</w:t>
      </w:r>
    </w:p>
    <w:p w14:paraId="558C72FA" w14:textId="77777777" w:rsidR="008C7FE4" w:rsidRPr="00012C3F" w:rsidRDefault="008C7FE4" w:rsidP="008C7FE4">
      <w:pPr>
        <w:pStyle w:val="Prrafodelista2"/>
        <w:tabs>
          <w:tab w:val="left" w:pos="720"/>
        </w:tabs>
        <w:ind w:left="0" w:right="-90"/>
        <w:contextualSpacing/>
        <w:jc w:val="both"/>
        <w:rPr>
          <w:bCs/>
          <w:lang w:val="en-US"/>
        </w:rPr>
      </w:pPr>
    </w:p>
    <w:p w14:paraId="0823B1AC" w14:textId="77777777" w:rsidR="008C7FE4" w:rsidRPr="00012C3F" w:rsidRDefault="004A757F" w:rsidP="008C7FE4">
      <w:pPr>
        <w:widowControl/>
        <w:numPr>
          <w:ilvl w:val="0"/>
          <w:numId w:val="44"/>
        </w:numPr>
        <w:tabs>
          <w:tab w:val="left" w:pos="720"/>
        </w:tabs>
        <w:adjustRightInd/>
        <w:spacing w:line="240" w:lineRule="auto"/>
        <w:ind w:right="-90"/>
        <w:contextualSpacing/>
        <w:textAlignment w:val="auto"/>
        <w:rPr>
          <w:bCs/>
          <w:sz w:val="20"/>
          <w:szCs w:val="20"/>
          <w:lang w:val="en-US"/>
        </w:rPr>
      </w:pPr>
      <w:r w:rsidRPr="00012C3F">
        <w:rPr>
          <w:sz w:val="20"/>
          <w:szCs w:val="20"/>
          <w:lang w:val="en-US"/>
        </w:rPr>
        <w:t>This judgment constitutes</w:t>
      </w:r>
      <w:r w:rsidR="008C7FE4" w:rsidRPr="00012C3F">
        <w:rPr>
          <w:bCs/>
          <w:sz w:val="20"/>
          <w:szCs w:val="20"/>
          <w:lang w:val="en-US"/>
        </w:rPr>
        <w:t xml:space="preserve">, </w:t>
      </w:r>
      <w:r w:rsidR="008C7FE4" w:rsidRPr="00012C3F">
        <w:rPr>
          <w:bCs/>
          <w:i/>
          <w:sz w:val="20"/>
          <w:szCs w:val="20"/>
          <w:lang w:val="en-US"/>
        </w:rPr>
        <w:t>per se</w:t>
      </w:r>
      <w:r w:rsidR="008C7FE4" w:rsidRPr="00012C3F">
        <w:rPr>
          <w:bCs/>
          <w:sz w:val="20"/>
          <w:szCs w:val="20"/>
          <w:lang w:val="en-US"/>
        </w:rPr>
        <w:t xml:space="preserve">, </w:t>
      </w:r>
      <w:r w:rsidRPr="00012C3F">
        <w:rPr>
          <w:bCs/>
          <w:sz w:val="20"/>
          <w:szCs w:val="20"/>
          <w:lang w:val="en-US"/>
        </w:rPr>
        <w:t>a form of reparation</w:t>
      </w:r>
      <w:r w:rsidR="008C7FE4" w:rsidRPr="00012C3F">
        <w:rPr>
          <w:bCs/>
          <w:sz w:val="20"/>
          <w:szCs w:val="20"/>
          <w:lang w:val="en-US"/>
        </w:rPr>
        <w:t>.</w:t>
      </w:r>
    </w:p>
    <w:p w14:paraId="5C63C696" w14:textId="77777777" w:rsidR="008C7FE4" w:rsidRPr="00012C3F" w:rsidRDefault="008C7FE4" w:rsidP="008D0B77">
      <w:pPr>
        <w:spacing w:line="240" w:lineRule="auto"/>
        <w:rPr>
          <w:sz w:val="20"/>
          <w:szCs w:val="20"/>
          <w:lang w:val="en-US"/>
        </w:rPr>
      </w:pPr>
    </w:p>
    <w:p w14:paraId="7AC63DAF" w14:textId="77777777" w:rsidR="00EE275E" w:rsidRPr="00012C3F" w:rsidRDefault="004A757F" w:rsidP="00215DF3">
      <w:pPr>
        <w:widowControl/>
        <w:numPr>
          <w:ilvl w:val="0"/>
          <w:numId w:val="44"/>
        </w:numPr>
        <w:tabs>
          <w:tab w:val="left" w:pos="720"/>
        </w:tabs>
        <w:adjustRightInd/>
        <w:spacing w:line="240" w:lineRule="auto"/>
        <w:ind w:right="-90"/>
        <w:contextualSpacing/>
        <w:textAlignment w:val="auto"/>
        <w:rPr>
          <w:bCs/>
          <w:sz w:val="20"/>
          <w:szCs w:val="20"/>
          <w:lang w:val="en-US"/>
        </w:rPr>
      </w:pPr>
      <w:r w:rsidRPr="00012C3F">
        <w:rPr>
          <w:bCs/>
          <w:sz w:val="20"/>
          <w:szCs w:val="20"/>
          <w:lang w:val="en-US"/>
        </w:rPr>
        <w:t>The State shall</w:t>
      </w:r>
      <w:r w:rsidR="00EE275E" w:rsidRPr="00012C3F">
        <w:rPr>
          <w:bCs/>
          <w:sz w:val="20"/>
          <w:szCs w:val="20"/>
          <w:lang w:val="en-US"/>
        </w:rPr>
        <w:t xml:space="preserve"> </w:t>
      </w:r>
      <w:r w:rsidR="009D443F" w:rsidRPr="00012C3F">
        <w:rPr>
          <w:bCs/>
          <w:sz w:val="20"/>
          <w:szCs w:val="20"/>
          <w:lang w:val="en-US"/>
        </w:rPr>
        <w:t>provide</w:t>
      </w:r>
      <w:r w:rsidR="00C60F32" w:rsidRPr="00012C3F">
        <w:rPr>
          <w:bCs/>
          <w:sz w:val="20"/>
          <w:szCs w:val="20"/>
          <w:lang w:val="en-US"/>
        </w:rPr>
        <w:t xml:space="preserve"> I.V. with medical care</w:t>
      </w:r>
      <w:r w:rsidR="009D443F" w:rsidRPr="00012C3F">
        <w:rPr>
          <w:bCs/>
          <w:sz w:val="20"/>
          <w:szCs w:val="20"/>
          <w:lang w:val="en-US"/>
        </w:rPr>
        <w:t xml:space="preserve">, and </w:t>
      </w:r>
      <w:r w:rsidR="00A4758A" w:rsidRPr="00012C3F">
        <w:rPr>
          <w:bCs/>
          <w:sz w:val="20"/>
          <w:szCs w:val="20"/>
          <w:lang w:val="en-US"/>
        </w:rPr>
        <w:t>specifically</w:t>
      </w:r>
      <w:r w:rsidR="00215DF3" w:rsidRPr="00012C3F">
        <w:rPr>
          <w:bCs/>
          <w:sz w:val="20"/>
          <w:szCs w:val="20"/>
          <w:lang w:val="en-US"/>
        </w:rPr>
        <w:t xml:space="preserve"> with regard to sexual and reproductive health, as well as psychological and/or psychiatric treatment,</w:t>
      </w:r>
      <w:r w:rsidR="00C60F32" w:rsidRPr="00012C3F">
        <w:rPr>
          <w:bCs/>
          <w:sz w:val="20"/>
          <w:szCs w:val="20"/>
          <w:lang w:val="en-US"/>
        </w:rPr>
        <w:t xml:space="preserve"> free of charge, through its specialized health care institutions and immediately, adequately and effectively,</w:t>
      </w:r>
      <w:r w:rsidR="00215DF3" w:rsidRPr="00012C3F">
        <w:rPr>
          <w:bCs/>
          <w:sz w:val="20"/>
          <w:szCs w:val="20"/>
          <w:lang w:val="en-US"/>
        </w:rPr>
        <w:t xml:space="preserve"> </w:t>
      </w:r>
      <w:r w:rsidR="009D443F" w:rsidRPr="00012C3F">
        <w:rPr>
          <w:bCs/>
          <w:sz w:val="20"/>
          <w:szCs w:val="20"/>
          <w:lang w:val="en-US"/>
        </w:rPr>
        <w:t>pursuant to</w:t>
      </w:r>
      <w:r w:rsidR="000F735E" w:rsidRPr="00012C3F">
        <w:rPr>
          <w:bCs/>
          <w:sz w:val="20"/>
          <w:szCs w:val="20"/>
          <w:lang w:val="en-US"/>
        </w:rPr>
        <w:t xml:space="preserve"> paragraph</w:t>
      </w:r>
      <w:r w:rsidR="00EE275E" w:rsidRPr="00012C3F">
        <w:rPr>
          <w:bCs/>
          <w:sz w:val="20"/>
          <w:szCs w:val="20"/>
          <w:lang w:val="en-US"/>
        </w:rPr>
        <w:t xml:space="preserve"> </w:t>
      </w:r>
      <w:r w:rsidR="00A536F2" w:rsidRPr="00012C3F">
        <w:rPr>
          <w:bCs/>
          <w:sz w:val="20"/>
          <w:szCs w:val="20"/>
          <w:lang w:val="en-US"/>
        </w:rPr>
        <w:t xml:space="preserve">332 </w:t>
      </w:r>
      <w:r w:rsidR="000F735E" w:rsidRPr="00012C3F">
        <w:rPr>
          <w:bCs/>
          <w:sz w:val="20"/>
          <w:szCs w:val="20"/>
          <w:lang w:val="en-US"/>
        </w:rPr>
        <w:t>of this judgment</w:t>
      </w:r>
      <w:r w:rsidR="00EE275E" w:rsidRPr="00012C3F">
        <w:rPr>
          <w:bCs/>
          <w:sz w:val="20"/>
          <w:szCs w:val="20"/>
          <w:lang w:val="en-US"/>
        </w:rPr>
        <w:t>.</w:t>
      </w:r>
    </w:p>
    <w:p w14:paraId="22395092" w14:textId="77777777" w:rsidR="00EE275E" w:rsidRPr="00012C3F" w:rsidRDefault="00EE275E" w:rsidP="004F0A13">
      <w:pPr>
        <w:pStyle w:val="Prrafodelista2"/>
        <w:ind w:left="0" w:right="-90"/>
        <w:contextualSpacing/>
        <w:rPr>
          <w:bCs/>
          <w:lang w:val="en-US"/>
        </w:rPr>
      </w:pPr>
    </w:p>
    <w:p w14:paraId="0BD4BD65" w14:textId="77777777" w:rsidR="00EE275E" w:rsidRPr="00012C3F" w:rsidRDefault="004A757F" w:rsidP="00EE275E">
      <w:pPr>
        <w:widowControl/>
        <w:numPr>
          <w:ilvl w:val="0"/>
          <w:numId w:val="44"/>
        </w:numPr>
        <w:tabs>
          <w:tab w:val="left" w:pos="720"/>
        </w:tabs>
        <w:adjustRightInd/>
        <w:spacing w:line="240" w:lineRule="auto"/>
        <w:ind w:right="-90"/>
        <w:contextualSpacing/>
        <w:textAlignment w:val="auto"/>
        <w:rPr>
          <w:bCs/>
          <w:sz w:val="20"/>
          <w:szCs w:val="20"/>
          <w:lang w:val="en-US"/>
        </w:rPr>
      </w:pPr>
      <w:r w:rsidRPr="00012C3F">
        <w:rPr>
          <w:bCs/>
          <w:sz w:val="20"/>
          <w:szCs w:val="20"/>
          <w:lang w:val="en-US"/>
        </w:rPr>
        <w:t>The State shall</w:t>
      </w:r>
      <w:r w:rsidR="00EE275E" w:rsidRPr="00012C3F">
        <w:rPr>
          <w:bCs/>
          <w:sz w:val="20"/>
          <w:szCs w:val="20"/>
          <w:lang w:val="en-US"/>
        </w:rPr>
        <w:t xml:space="preserve"> </w:t>
      </w:r>
      <w:r w:rsidR="009D443F" w:rsidRPr="00012C3F">
        <w:rPr>
          <w:bCs/>
          <w:sz w:val="20"/>
          <w:szCs w:val="20"/>
          <w:lang w:val="en-US"/>
        </w:rPr>
        <w:t>make the</w:t>
      </w:r>
      <w:r w:rsidR="00EE275E" w:rsidRPr="00012C3F">
        <w:rPr>
          <w:bCs/>
          <w:sz w:val="20"/>
          <w:szCs w:val="20"/>
          <w:lang w:val="en-US"/>
        </w:rPr>
        <w:t xml:space="preserve"> </w:t>
      </w:r>
      <w:r w:rsidR="00A710F6" w:rsidRPr="00012C3F">
        <w:rPr>
          <w:bCs/>
          <w:sz w:val="20"/>
          <w:szCs w:val="20"/>
          <w:lang w:val="en-US"/>
        </w:rPr>
        <w:t>publications</w:t>
      </w:r>
      <w:r w:rsidR="00EE275E" w:rsidRPr="00012C3F">
        <w:rPr>
          <w:bCs/>
          <w:sz w:val="20"/>
          <w:szCs w:val="20"/>
          <w:lang w:val="en-US"/>
        </w:rPr>
        <w:t xml:space="preserve"> indica</w:t>
      </w:r>
      <w:r w:rsidR="009D443F" w:rsidRPr="00012C3F">
        <w:rPr>
          <w:bCs/>
          <w:sz w:val="20"/>
          <w:szCs w:val="20"/>
          <w:lang w:val="en-US"/>
        </w:rPr>
        <w:t>ted</w:t>
      </w:r>
      <w:r w:rsidR="00EE275E" w:rsidRPr="00012C3F">
        <w:rPr>
          <w:bCs/>
          <w:sz w:val="20"/>
          <w:szCs w:val="20"/>
          <w:lang w:val="en-US"/>
        </w:rPr>
        <w:t xml:space="preserve"> </w:t>
      </w:r>
      <w:r w:rsidR="000F735E" w:rsidRPr="00012C3F">
        <w:rPr>
          <w:bCs/>
          <w:sz w:val="20"/>
          <w:szCs w:val="20"/>
          <w:lang w:val="en-US"/>
        </w:rPr>
        <w:t>in paragraph</w:t>
      </w:r>
      <w:r w:rsidR="00EE275E" w:rsidRPr="00012C3F">
        <w:rPr>
          <w:bCs/>
          <w:sz w:val="20"/>
          <w:szCs w:val="20"/>
          <w:lang w:val="en-US"/>
        </w:rPr>
        <w:t xml:space="preserve"> </w:t>
      </w:r>
      <w:r w:rsidR="00F10587" w:rsidRPr="00012C3F">
        <w:rPr>
          <w:bCs/>
          <w:sz w:val="20"/>
          <w:szCs w:val="20"/>
          <w:lang w:val="en-US"/>
        </w:rPr>
        <w:t xml:space="preserve">334 </w:t>
      </w:r>
      <w:r w:rsidR="000F735E" w:rsidRPr="00012C3F">
        <w:rPr>
          <w:bCs/>
          <w:sz w:val="20"/>
          <w:szCs w:val="20"/>
          <w:lang w:val="en-US"/>
        </w:rPr>
        <w:t>of this judgment</w:t>
      </w:r>
      <w:r w:rsidR="00EE275E" w:rsidRPr="00012C3F">
        <w:rPr>
          <w:bCs/>
          <w:sz w:val="20"/>
          <w:szCs w:val="20"/>
          <w:lang w:val="en-US"/>
        </w:rPr>
        <w:t>.</w:t>
      </w:r>
    </w:p>
    <w:p w14:paraId="7B7282AF" w14:textId="77777777" w:rsidR="00EE275E" w:rsidRPr="00012C3F" w:rsidRDefault="00EE275E" w:rsidP="00EE275E">
      <w:pPr>
        <w:pStyle w:val="Prrafodelista2"/>
        <w:ind w:left="0" w:right="-90"/>
        <w:contextualSpacing/>
        <w:jc w:val="both"/>
        <w:rPr>
          <w:bCs/>
          <w:lang w:val="en-US"/>
        </w:rPr>
      </w:pPr>
    </w:p>
    <w:p w14:paraId="730C8036" w14:textId="77777777" w:rsidR="00EE275E" w:rsidRPr="00012C3F" w:rsidRDefault="004A757F" w:rsidP="00EE275E">
      <w:pPr>
        <w:widowControl/>
        <w:numPr>
          <w:ilvl w:val="0"/>
          <w:numId w:val="44"/>
        </w:numPr>
        <w:tabs>
          <w:tab w:val="left" w:pos="720"/>
        </w:tabs>
        <w:adjustRightInd/>
        <w:spacing w:line="240" w:lineRule="auto"/>
        <w:ind w:right="-90"/>
        <w:contextualSpacing/>
        <w:textAlignment w:val="auto"/>
        <w:rPr>
          <w:bCs/>
          <w:sz w:val="20"/>
          <w:szCs w:val="20"/>
          <w:lang w:val="en-US"/>
        </w:rPr>
      </w:pPr>
      <w:r w:rsidRPr="00012C3F">
        <w:rPr>
          <w:bCs/>
          <w:sz w:val="20"/>
          <w:szCs w:val="20"/>
          <w:lang w:val="en-US"/>
        </w:rPr>
        <w:t>The State shall</w:t>
      </w:r>
      <w:r w:rsidR="00EE275E" w:rsidRPr="00012C3F">
        <w:rPr>
          <w:bCs/>
          <w:sz w:val="20"/>
          <w:szCs w:val="20"/>
          <w:lang w:val="en-US"/>
        </w:rPr>
        <w:t xml:space="preserve"> </w:t>
      </w:r>
      <w:r w:rsidR="009D443F" w:rsidRPr="00012C3F">
        <w:rPr>
          <w:bCs/>
          <w:sz w:val="20"/>
          <w:szCs w:val="20"/>
          <w:lang w:val="en-US"/>
        </w:rPr>
        <w:t>organize a public act to acknowledge international responsibility for the facts of this case</w:t>
      </w:r>
      <w:r w:rsidR="00EE275E" w:rsidRPr="00012C3F">
        <w:rPr>
          <w:bCs/>
          <w:sz w:val="20"/>
          <w:szCs w:val="20"/>
          <w:lang w:val="en-US"/>
        </w:rPr>
        <w:t xml:space="preserve">, </w:t>
      </w:r>
      <w:r w:rsidR="009D443F" w:rsidRPr="00012C3F">
        <w:rPr>
          <w:bCs/>
          <w:sz w:val="20"/>
          <w:szCs w:val="20"/>
          <w:lang w:val="en-US"/>
        </w:rPr>
        <w:t>pursuant to</w:t>
      </w:r>
      <w:r w:rsidR="000F735E" w:rsidRPr="00012C3F">
        <w:rPr>
          <w:bCs/>
          <w:sz w:val="20"/>
          <w:szCs w:val="20"/>
          <w:lang w:val="en-US"/>
        </w:rPr>
        <w:t xml:space="preserve"> paragraph</w:t>
      </w:r>
      <w:r w:rsidR="00EE275E" w:rsidRPr="00012C3F">
        <w:rPr>
          <w:bCs/>
          <w:sz w:val="20"/>
          <w:szCs w:val="20"/>
          <w:lang w:val="en-US"/>
        </w:rPr>
        <w:t xml:space="preserve"> </w:t>
      </w:r>
      <w:r w:rsidR="00F10587" w:rsidRPr="00012C3F">
        <w:rPr>
          <w:bCs/>
          <w:sz w:val="20"/>
          <w:szCs w:val="20"/>
          <w:lang w:val="en-US"/>
        </w:rPr>
        <w:t xml:space="preserve">336 </w:t>
      </w:r>
      <w:r w:rsidR="000F735E" w:rsidRPr="00012C3F">
        <w:rPr>
          <w:bCs/>
          <w:sz w:val="20"/>
          <w:szCs w:val="20"/>
          <w:lang w:val="en-US"/>
        </w:rPr>
        <w:t>of this judgment</w:t>
      </w:r>
      <w:r w:rsidR="00EE275E" w:rsidRPr="00012C3F">
        <w:rPr>
          <w:bCs/>
          <w:sz w:val="20"/>
          <w:szCs w:val="20"/>
          <w:lang w:val="en-US"/>
        </w:rPr>
        <w:t>.</w:t>
      </w:r>
    </w:p>
    <w:p w14:paraId="419F9592" w14:textId="77777777" w:rsidR="00EE275E" w:rsidRPr="00012C3F" w:rsidRDefault="00EE275E" w:rsidP="008D0B77">
      <w:pPr>
        <w:spacing w:line="240" w:lineRule="auto"/>
        <w:rPr>
          <w:sz w:val="20"/>
          <w:szCs w:val="20"/>
          <w:lang w:val="en-US"/>
        </w:rPr>
      </w:pPr>
    </w:p>
    <w:p w14:paraId="2239E8EB" w14:textId="77777777" w:rsidR="00EE275E" w:rsidRPr="00012C3F" w:rsidRDefault="004A757F" w:rsidP="00E24183">
      <w:pPr>
        <w:widowControl/>
        <w:numPr>
          <w:ilvl w:val="0"/>
          <w:numId w:val="44"/>
        </w:numPr>
        <w:tabs>
          <w:tab w:val="left" w:pos="720"/>
        </w:tabs>
        <w:adjustRightInd/>
        <w:spacing w:line="240" w:lineRule="auto"/>
        <w:ind w:right="-90"/>
        <w:contextualSpacing/>
        <w:textAlignment w:val="auto"/>
        <w:rPr>
          <w:rFonts w:eastAsia="MS Mincho" w:cs="Verdana"/>
          <w:sz w:val="20"/>
          <w:szCs w:val="20"/>
          <w:lang w:val="en-US" w:eastAsia="en-US" w:bidi="en-US"/>
        </w:rPr>
      </w:pPr>
      <w:r w:rsidRPr="00012C3F">
        <w:rPr>
          <w:rFonts w:eastAsia="MS Mincho" w:cs="Verdana"/>
          <w:bCs/>
          <w:sz w:val="20"/>
          <w:szCs w:val="20"/>
          <w:lang w:val="en-US" w:eastAsia="en-US" w:bidi="en-US"/>
        </w:rPr>
        <w:t>The State shall</w:t>
      </w:r>
      <w:r w:rsidR="00EE275E" w:rsidRPr="00012C3F">
        <w:rPr>
          <w:rFonts w:eastAsia="MS Mincho" w:cs="Verdana"/>
          <w:bCs/>
          <w:sz w:val="20"/>
          <w:szCs w:val="20"/>
          <w:lang w:val="en-US" w:eastAsia="en-US" w:bidi="en-US"/>
        </w:rPr>
        <w:t xml:space="preserve"> </w:t>
      </w:r>
      <w:r w:rsidR="00C60F32" w:rsidRPr="00012C3F">
        <w:rPr>
          <w:rFonts w:eastAsia="MS Mincho" w:cs="Verdana"/>
          <w:bCs/>
          <w:sz w:val="20"/>
          <w:szCs w:val="20"/>
          <w:lang w:val="en-US" w:eastAsia="en-US" w:bidi="en-US"/>
        </w:rPr>
        <w:t>produce</w:t>
      </w:r>
      <w:r w:rsidR="00E24183" w:rsidRPr="00012C3F">
        <w:rPr>
          <w:rFonts w:eastAsia="MS Mincho" w:cs="Verdana"/>
          <w:bCs/>
          <w:sz w:val="20"/>
          <w:szCs w:val="20"/>
          <w:lang w:val="en-US" w:eastAsia="en-US" w:bidi="en-US"/>
        </w:rPr>
        <w:t xml:space="preserve"> a publication or leaflet that explains synthetically, clearly and accessibly the rights of women in relation to their sexual and reproductive health</w:t>
      </w:r>
      <w:r w:rsidR="00C60F32" w:rsidRPr="00012C3F">
        <w:rPr>
          <w:rFonts w:eastAsia="MS Mincho" w:cs="Verdana"/>
          <w:bCs/>
          <w:sz w:val="20"/>
          <w:szCs w:val="20"/>
          <w:lang w:val="en-US" w:eastAsia="en-US" w:bidi="en-US"/>
        </w:rPr>
        <w:t>,</w:t>
      </w:r>
      <w:r w:rsidR="00E24183" w:rsidRPr="00012C3F">
        <w:rPr>
          <w:rFonts w:eastAsia="MS Mincho" w:cs="Verdana"/>
          <w:bCs/>
          <w:sz w:val="20"/>
          <w:szCs w:val="20"/>
          <w:lang w:val="en-US" w:eastAsia="en-US" w:bidi="en-US"/>
        </w:rPr>
        <w:t xml:space="preserve"> which should specifically mention </w:t>
      </w:r>
      <w:r w:rsidR="00DF71A5" w:rsidRPr="00012C3F">
        <w:rPr>
          <w:rFonts w:eastAsia="MS Mincho" w:cs="Verdana"/>
          <w:bCs/>
          <w:sz w:val="20"/>
          <w:szCs w:val="20"/>
          <w:lang w:val="en-US" w:eastAsia="en-US" w:bidi="en-US"/>
        </w:rPr>
        <w:t>prior, free, full and informed consent</w:t>
      </w:r>
      <w:r w:rsidR="00EE275E" w:rsidRPr="00012C3F">
        <w:rPr>
          <w:bCs/>
          <w:sz w:val="20"/>
          <w:szCs w:val="20"/>
          <w:lang w:val="en-US"/>
        </w:rPr>
        <w:t xml:space="preserve">, </w:t>
      </w:r>
      <w:r w:rsidR="009D443F" w:rsidRPr="00012C3F">
        <w:rPr>
          <w:bCs/>
          <w:sz w:val="20"/>
          <w:szCs w:val="20"/>
          <w:lang w:val="en-US"/>
        </w:rPr>
        <w:t>pursuant to</w:t>
      </w:r>
      <w:r w:rsidR="000F735E" w:rsidRPr="00012C3F">
        <w:rPr>
          <w:bCs/>
          <w:sz w:val="20"/>
          <w:szCs w:val="20"/>
          <w:lang w:val="en-US"/>
        </w:rPr>
        <w:t xml:space="preserve"> paragraph</w:t>
      </w:r>
      <w:r w:rsidR="00EE275E" w:rsidRPr="00012C3F">
        <w:rPr>
          <w:bCs/>
          <w:sz w:val="20"/>
          <w:szCs w:val="20"/>
          <w:lang w:val="en-US"/>
        </w:rPr>
        <w:t xml:space="preserve"> </w:t>
      </w:r>
      <w:r w:rsidR="00025E57" w:rsidRPr="00012C3F">
        <w:rPr>
          <w:bCs/>
          <w:sz w:val="20"/>
          <w:szCs w:val="20"/>
          <w:lang w:val="en-US"/>
        </w:rPr>
        <w:t xml:space="preserve">341 </w:t>
      </w:r>
      <w:r w:rsidR="000F735E" w:rsidRPr="00012C3F">
        <w:rPr>
          <w:bCs/>
          <w:sz w:val="20"/>
          <w:szCs w:val="20"/>
          <w:lang w:val="en-US"/>
        </w:rPr>
        <w:t>of this judgment</w:t>
      </w:r>
      <w:r w:rsidR="00EE275E" w:rsidRPr="00012C3F">
        <w:rPr>
          <w:bCs/>
          <w:sz w:val="20"/>
          <w:szCs w:val="20"/>
          <w:lang w:val="en-US"/>
        </w:rPr>
        <w:t>.</w:t>
      </w:r>
    </w:p>
    <w:p w14:paraId="22A941E9" w14:textId="77777777" w:rsidR="00EE275E" w:rsidRPr="00012C3F" w:rsidRDefault="00EE275E" w:rsidP="00EE275E">
      <w:pPr>
        <w:pStyle w:val="Prrafodelista2"/>
        <w:tabs>
          <w:tab w:val="left" w:pos="0"/>
          <w:tab w:val="num" w:pos="11028"/>
        </w:tabs>
        <w:ind w:left="0" w:right="-90"/>
        <w:jc w:val="both"/>
        <w:rPr>
          <w:rFonts w:cs="Verdana"/>
          <w:lang w:val="en-US"/>
        </w:rPr>
      </w:pPr>
    </w:p>
    <w:p w14:paraId="52524682" w14:textId="77777777" w:rsidR="00EE275E" w:rsidRPr="00012C3F" w:rsidRDefault="004A757F" w:rsidP="00E24183">
      <w:pPr>
        <w:widowControl/>
        <w:numPr>
          <w:ilvl w:val="0"/>
          <w:numId w:val="44"/>
        </w:numPr>
        <w:tabs>
          <w:tab w:val="left" w:pos="720"/>
        </w:tabs>
        <w:adjustRightInd/>
        <w:spacing w:line="240" w:lineRule="auto"/>
        <w:ind w:right="-90"/>
        <w:contextualSpacing/>
        <w:textAlignment w:val="auto"/>
        <w:rPr>
          <w:rFonts w:cs="Verdana"/>
          <w:iCs/>
          <w:sz w:val="20"/>
          <w:szCs w:val="20"/>
          <w:lang w:val="en-US"/>
        </w:rPr>
      </w:pPr>
      <w:r w:rsidRPr="00012C3F">
        <w:rPr>
          <w:bCs/>
          <w:sz w:val="20"/>
          <w:szCs w:val="20"/>
          <w:lang w:val="en-US"/>
        </w:rPr>
        <w:t>The State shall</w:t>
      </w:r>
      <w:r w:rsidR="00EE275E" w:rsidRPr="00012C3F">
        <w:rPr>
          <w:rFonts w:cs="Verdana"/>
          <w:iCs/>
          <w:sz w:val="20"/>
          <w:szCs w:val="20"/>
          <w:lang w:val="en-US"/>
        </w:rPr>
        <w:t xml:space="preserve"> adopt</w:t>
      </w:r>
      <w:r w:rsidR="00E24183" w:rsidRPr="00012C3F">
        <w:rPr>
          <w:rFonts w:cs="Verdana"/>
          <w:iCs/>
          <w:sz w:val="20"/>
          <w:szCs w:val="20"/>
          <w:lang w:val="en-US"/>
        </w:rPr>
        <w:t xml:space="preserve"> permanent education and training programs for medical students and medical professionals, and also for all personnel who are members of the health and social security system on the issues of informed consent, gender-based discrimination and stereotypes, and gender-based violence</w:t>
      </w:r>
      <w:r w:rsidR="00EE275E" w:rsidRPr="00012C3F">
        <w:rPr>
          <w:bCs/>
          <w:sz w:val="20"/>
          <w:szCs w:val="20"/>
          <w:lang w:val="en-US"/>
        </w:rPr>
        <w:t xml:space="preserve">, </w:t>
      </w:r>
      <w:r w:rsidR="009D443F" w:rsidRPr="00012C3F">
        <w:rPr>
          <w:bCs/>
          <w:sz w:val="20"/>
          <w:szCs w:val="20"/>
          <w:lang w:val="en-US"/>
        </w:rPr>
        <w:t>pursuant to</w:t>
      </w:r>
      <w:r w:rsidR="000F735E" w:rsidRPr="00012C3F">
        <w:rPr>
          <w:bCs/>
          <w:sz w:val="20"/>
          <w:szCs w:val="20"/>
          <w:lang w:val="en-US"/>
        </w:rPr>
        <w:t xml:space="preserve"> paragraph</w:t>
      </w:r>
      <w:r w:rsidR="00EE275E" w:rsidRPr="00012C3F">
        <w:rPr>
          <w:bCs/>
          <w:sz w:val="20"/>
          <w:szCs w:val="20"/>
          <w:lang w:val="en-US"/>
        </w:rPr>
        <w:t xml:space="preserve"> </w:t>
      </w:r>
      <w:r w:rsidR="00025E57" w:rsidRPr="00012C3F">
        <w:rPr>
          <w:bCs/>
          <w:sz w:val="20"/>
          <w:szCs w:val="20"/>
          <w:lang w:val="en-US"/>
        </w:rPr>
        <w:t xml:space="preserve">342 </w:t>
      </w:r>
      <w:r w:rsidR="000F735E" w:rsidRPr="00012C3F">
        <w:rPr>
          <w:bCs/>
          <w:sz w:val="20"/>
          <w:szCs w:val="20"/>
          <w:lang w:val="en-US"/>
        </w:rPr>
        <w:t>of this judgment</w:t>
      </w:r>
      <w:r w:rsidR="00EE275E" w:rsidRPr="00012C3F">
        <w:rPr>
          <w:bCs/>
          <w:sz w:val="20"/>
          <w:szCs w:val="20"/>
          <w:lang w:val="en-US"/>
        </w:rPr>
        <w:t>.</w:t>
      </w:r>
    </w:p>
    <w:p w14:paraId="3967D247" w14:textId="77777777" w:rsidR="00EE275E" w:rsidRPr="00012C3F" w:rsidRDefault="00EE275E" w:rsidP="00EE275E">
      <w:pPr>
        <w:spacing w:line="240" w:lineRule="auto"/>
        <w:rPr>
          <w:sz w:val="20"/>
          <w:szCs w:val="20"/>
          <w:lang w:val="en-US"/>
        </w:rPr>
      </w:pPr>
    </w:p>
    <w:p w14:paraId="5EFABA98" w14:textId="77777777" w:rsidR="00EE275E" w:rsidRPr="00012C3F" w:rsidRDefault="004A757F" w:rsidP="00EE275E">
      <w:pPr>
        <w:widowControl/>
        <w:numPr>
          <w:ilvl w:val="0"/>
          <w:numId w:val="44"/>
        </w:numPr>
        <w:tabs>
          <w:tab w:val="left" w:pos="720"/>
        </w:tabs>
        <w:adjustRightInd/>
        <w:spacing w:line="240" w:lineRule="auto"/>
        <w:ind w:right="-90"/>
        <w:contextualSpacing/>
        <w:textAlignment w:val="auto"/>
        <w:rPr>
          <w:bCs/>
          <w:sz w:val="20"/>
          <w:szCs w:val="20"/>
          <w:lang w:val="en-US"/>
        </w:rPr>
      </w:pPr>
      <w:r w:rsidRPr="00012C3F">
        <w:rPr>
          <w:bCs/>
          <w:sz w:val="20"/>
          <w:szCs w:val="20"/>
          <w:lang w:val="en-US"/>
        </w:rPr>
        <w:t>The State shall</w:t>
      </w:r>
      <w:r w:rsidR="00EE275E" w:rsidRPr="00012C3F">
        <w:rPr>
          <w:bCs/>
          <w:sz w:val="20"/>
          <w:szCs w:val="20"/>
          <w:lang w:val="en-US"/>
        </w:rPr>
        <w:t xml:space="preserve"> pa</w:t>
      </w:r>
      <w:r w:rsidR="00E24183" w:rsidRPr="00012C3F">
        <w:rPr>
          <w:bCs/>
          <w:sz w:val="20"/>
          <w:szCs w:val="20"/>
          <w:lang w:val="en-US"/>
        </w:rPr>
        <w:t xml:space="preserve">y the amounts established in paragraphs </w:t>
      </w:r>
      <w:r w:rsidR="00F91EBE" w:rsidRPr="00012C3F">
        <w:rPr>
          <w:bCs/>
          <w:sz w:val="20"/>
          <w:szCs w:val="20"/>
          <w:lang w:val="en-US"/>
        </w:rPr>
        <w:t>358</w:t>
      </w:r>
      <w:r w:rsidR="005E5012" w:rsidRPr="00012C3F">
        <w:rPr>
          <w:bCs/>
          <w:sz w:val="20"/>
          <w:szCs w:val="20"/>
          <w:lang w:val="en-US"/>
        </w:rPr>
        <w:t xml:space="preserve"> and </w:t>
      </w:r>
      <w:r w:rsidR="00F91EBE" w:rsidRPr="00012C3F">
        <w:rPr>
          <w:bCs/>
          <w:sz w:val="20"/>
          <w:szCs w:val="20"/>
          <w:lang w:val="en-US"/>
        </w:rPr>
        <w:t xml:space="preserve">363 </w:t>
      </w:r>
      <w:r w:rsidR="000F735E" w:rsidRPr="00012C3F">
        <w:rPr>
          <w:bCs/>
          <w:sz w:val="20"/>
          <w:szCs w:val="20"/>
          <w:lang w:val="en-US"/>
        </w:rPr>
        <w:t>of this judgment</w:t>
      </w:r>
      <w:r w:rsidR="00EE275E" w:rsidRPr="00012C3F">
        <w:rPr>
          <w:bCs/>
          <w:sz w:val="20"/>
          <w:szCs w:val="20"/>
          <w:lang w:val="en-US"/>
        </w:rPr>
        <w:t xml:space="preserve">, </w:t>
      </w:r>
      <w:r w:rsidR="00E24183" w:rsidRPr="00012C3F">
        <w:rPr>
          <w:bCs/>
          <w:sz w:val="20"/>
          <w:szCs w:val="20"/>
          <w:lang w:val="en-US"/>
        </w:rPr>
        <w:t xml:space="preserve">as compensation for pecuniary and non-pecuniary damage and to reimburse costs and expenses, pursuant to the said paragraphs and to paragraphs </w:t>
      </w:r>
      <w:r w:rsidR="00F91EBE" w:rsidRPr="00012C3F">
        <w:rPr>
          <w:bCs/>
          <w:sz w:val="20"/>
          <w:szCs w:val="20"/>
          <w:lang w:val="en-US"/>
        </w:rPr>
        <w:t xml:space="preserve">366 </w:t>
      </w:r>
      <w:r w:rsidR="00E24183" w:rsidRPr="00012C3F">
        <w:rPr>
          <w:bCs/>
          <w:sz w:val="20"/>
          <w:szCs w:val="20"/>
          <w:lang w:val="en-US"/>
        </w:rPr>
        <w:t>to</w:t>
      </w:r>
      <w:r w:rsidR="00EE275E" w:rsidRPr="00012C3F">
        <w:rPr>
          <w:bCs/>
          <w:sz w:val="20"/>
          <w:szCs w:val="20"/>
          <w:lang w:val="en-US"/>
        </w:rPr>
        <w:t xml:space="preserve"> </w:t>
      </w:r>
      <w:r w:rsidR="00F91EBE" w:rsidRPr="00012C3F">
        <w:rPr>
          <w:bCs/>
          <w:sz w:val="20"/>
          <w:szCs w:val="20"/>
          <w:lang w:val="en-US"/>
        </w:rPr>
        <w:t>371.</w:t>
      </w:r>
    </w:p>
    <w:p w14:paraId="53D53A06" w14:textId="77777777" w:rsidR="00EE275E" w:rsidRPr="00012C3F" w:rsidRDefault="00EE275E" w:rsidP="00EE275E">
      <w:pPr>
        <w:pStyle w:val="Prrafodelista2"/>
        <w:ind w:left="0" w:right="-90"/>
        <w:contextualSpacing/>
        <w:jc w:val="both"/>
        <w:rPr>
          <w:bCs/>
          <w:lang w:val="en-US"/>
        </w:rPr>
      </w:pPr>
    </w:p>
    <w:p w14:paraId="361FEC18" w14:textId="77777777" w:rsidR="00EE275E" w:rsidRPr="00012C3F" w:rsidRDefault="00A84CA0" w:rsidP="00EE275E">
      <w:pPr>
        <w:widowControl/>
        <w:numPr>
          <w:ilvl w:val="0"/>
          <w:numId w:val="44"/>
        </w:numPr>
        <w:tabs>
          <w:tab w:val="left" w:pos="720"/>
        </w:tabs>
        <w:adjustRightInd/>
        <w:spacing w:line="240" w:lineRule="auto"/>
        <w:ind w:right="-90"/>
        <w:contextualSpacing/>
        <w:textAlignment w:val="auto"/>
        <w:rPr>
          <w:sz w:val="20"/>
          <w:szCs w:val="20"/>
          <w:lang w:val="en-US"/>
        </w:rPr>
      </w:pPr>
      <w:r w:rsidRPr="00012C3F">
        <w:rPr>
          <w:sz w:val="20"/>
          <w:szCs w:val="20"/>
          <w:lang w:val="en-US"/>
        </w:rPr>
        <w:t>The State</w:t>
      </w:r>
      <w:r w:rsidR="00EE275E" w:rsidRPr="00012C3F">
        <w:rPr>
          <w:sz w:val="20"/>
          <w:szCs w:val="20"/>
          <w:lang w:val="en-US"/>
        </w:rPr>
        <w:t xml:space="preserve"> </w:t>
      </w:r>
      <w:r w:rsidR="000F735E" w:rsidRPr="00012C3F">
        <w:rPr>
          <w:sz w:val="20"/>
          <w:szCs w:val="20"/>
          <w:lang w:val="en-US"/>
        </w:rPr>
        <w:t>shall reimburse the sum disbursed during the processing of this case to the</w:t>
      </w:r>
      <w:r w:rsidR="00EE275E" w:rsidRPr="00012C3F">
        <w:rPr>
          <w:sz w:val="20"/>
          <w:szCs w:val="20"/>
          <w:lang w:val="en-US"/>
        </w:rPr>
        <w:t xml:space="preserve"> </w:t>
      </w:r>
      <w:r w:rsidR="00B257AF" w:rsidRPr="00012C3F">
        <w:rPr>
          <w:sz w:val="20"/>
          <w:szCs w:val="20"/>
          <w:lang w:val="en-US"/>
        </w:rPr>
        <w:t>Victims’ Legal Assistance Fund</w:t>
      </w:r>
      <w:r w:rsidR="001254DE" w:rsidRPr="00012C3F">
        <w:rPr>
          <w:sz w:val="20"/>
          <w:szCs w:val="20"/>
          <w:lang w:val="en-US"/>
        </w:rPr>
        <w:t xml:space="preserve"> of the Inter-American Court of Human Rights</w:t>
      </w:r>
      <w:r w:rsidR="00EE275E" w:rsidRPr="00012C3F">
        <w:rPr>
          <w:sz w:val="20"/>
          <w:szCs w:val="20"/>
          <w:lang w:val="en-US"/>
        </w:rPr>
        <w:t xml:space="preserve">, </w:t>
      </w:r>
      <w:r w:rsidR="009D443F" w:rsidRPr="00012C3F">
        <w:rPr>
          <w:sz w:val="20"/>
          <w:szCs w:val="20"/>
          <w:lang w:val="en-US"/>
        </w:rPr>
        <w:t>pursuant to</w:t>
      </w:r>
      <w:r w:rsidR="000F735E" w:rsidRPr="00012C3F">
        <w:rPr>
          <w:sz w:val="20"/>
          <w:szCs w:val="20"/>
          <w:lang w:val="en-US"/>
        </w:rPr>
        <w:t xml:space="preserve"> paragraphs</w:t>
      </w:r>
      <w:r w:rsidR="00EE275E" w:rsidRPr="00012C3F">
        <w:rPr>
          <w:sz w:val="20"/>
          <w:szCs w:val="20"/>
          <w:lang w:val="en-US"/>
        </w:rPr>
        <w:t xml:space="preserve"> </w:t>
      </w:r>
      <w:r w:rsidR="00F91EBE" w:rsidRPr="00012C3F">
        <w:rPr>
          <w:sz w:val="20"/>
          <w:szCs w:val="20"/>
          <w:lang w:val="en-US"/>
        </w:rPr>
        <w:t>365</w:t>
      </w:r>
      <w:r w:rsidR="005E5012" w:rsidRPr="00012C3F">
        <w:rPr>
          <w:sz w:val="20"/>
          <w:szCs w:val="20"/>
          <w:lang w:val="en-US"/>
        </w:rPr>
        <w:t xml:space="preserve"> and </w:t>
      </w:r>
      <w:r w:rsidR="00F91EBE" w:rsidRPr="00012C3F">
        <w:rPr>
          <w:sz w:val="20"/>
          <w:szCs w:val="20"/>
          <w:lang w:val="en-US"/>
        </w:rPr>
        <w:t xml:space="preserve">371 </w:t>
      </w:r>
      <w:r w:rsidR="000F735E" w:rsidRPr="00012C3F">
        <w:rPr>
          <w:sz w:val="20"/>
          <w:szCs w:val="20"/>
          <w:lang w:val="en-US"/>
        </w:rPr>
        <w:t>of this judgment</w:t>
      </w:r>
      <w:r w:rsidR="00EE275E" w:rsidRPr="00012C3F">
        <w:rPr>
          <w:sz w:val="20"/>
          <w:szCs w:val="20"/>
          <w:lang w:val="en-US"/>
        </w:rPr>
        <w:t>.</w:t>
      </w:r>
    </w:p>
    <w:p w14:paraId="01B12E7D" w14:textId="77777777" w:rsidR="00EE275E" w:rsidRPr="00012C3F" w:rsidRDefault="00EE275E" w:rsidP="00EE275E">
      <w:pPr>
        <w:pStyle w:val="Prrafodelista2"/>
        <w:ind w:left="0" w:right="-90"/>
        <w:contextualSpacing/>
        <w:jc w:val="both"/>
        <w:rPr>
          <w:bCs/>
          <w:lang w:val="en-US"/>
        </w:rPr>
      </w:pPr>
    </w:p>
    <w:p w14:paraId="055115C1" w14:textId="77777777" w:rsidR="00EE275E" w:rsidRPr="00012C3F" w:rsidRDefault="00A84CA0" w:rsidP="00EE275E">
      <w:pPr>
        <w:widowControl/>
        <w:numPr>
          <w:ilvl w:val="0"/>
          <w:numId w:val="44"/>
        </w:numPr>
        <w:tabs>
          <w:tab w:val="left" w:pos="720"/>
        </w:tabs>
        <w:adjustRightInd/>
        <w:spacing w:line="240" w:lineRule="auto"/>
        <w:ind w:right="-90"/>
        <w:contextualSpacing/>
        <w:textAlignment w:val="auto"/>
        <w:rPr>
          <w:bCs/>
          <w:sz w:val="20"/>
          <w:szCs w:val="20"/>
          <w:lang w:val="en-US"/>
        </w:rPr>
      </w:pPr>
      <w:r w:rsidRPr="00012C3F">
        <w:rPr>
          <w:bCs/>
          <w:sz w:val="20"/>
          <w:szCs w:val="20"/>
          <w:lang w:val="en-US"/>
        </w:rPr>
        <w:t>The State</w:t>
      </w:r>
      <w:r w:rsidR="00EE275E" w:rsidRPr="00012C3F">
        <w:rPr>
          <w:bCs/>
          <w:sz w:val="20"/>
          <w:szCs w:val="20"/>
          <w:lang w:val="en-US"/>
        </w:rPr>
        <w:t xml:space="preserve"> </w:t>
      </w:r>
      <w:r w:rsidR="000F735E" w:rsidRPr="00012C3F">
        <w:rPr>
          <w:bCs/>
          <w:sz w:val="20"/>
          <w:szCs w:val="20"/>
          <w:lang w:val="en-US"/>
        </w:rPr>
        <w:t>shall</w:t>
      </w:r>
      <w:r w:rsidR="00EE275E" w:rsidRPr="00012C3F">
        <w:rPr>
          <w:bCs/>
          <w:sz w:val="20"/>
          <w:szCs w:val="20"/>
          <w:lang w:val="en-US"/>
        </w:rPr>
        <w:t xml:space="preserve">, </w:t>
      </w:r>
      <w:r w:rsidR="000F735E" w:rsidRPr="00012C3F">
        <w:rPr>
          <w:bCs/>
          <w:sz w:val="20"/>
          <w:szCs w:val="20"/>
          <w:lang w:val="en-US"/>
        </w:rPr>
        <w:t>within one year</w:t>
      </w:r>
      <w:r w:rsidR="00EE275E" w:rsidRPr="00012C3F">
        <w:rPr>
          <w:bCs/>
          <w:sz w:val="20"/>
          <w:szCs w:val="20"/>
          <w:lang w:val="en-US"/>
        </w:rPr>
        <w:t xml:space="preserve"> </w:t>
      </w:r>
      <w:r w:rsidR="000F735E" w:rsidRPr="00012C3F">
        <w:rPr>
          <w:bCs/>
          <w:sz w:val="20"/>
          <w:szCs w:val="20"/>
          <w:lang w:val="en-US"/>
        </w:rPr>
        <w:t>of notification of this judgment</w:t>
      </w:r>
      <w:r w:rsidR="00EE275E" w:rsidRPr="00012C3F">
        <w:rPr>
          <w:bCs/>
          <w:sz w:val="20"/>
          <w:szCs w:val="20"/>
          <w:lang w:val="en-US"/>
        </w:rPr>
        <w:t xml:space="preserve">, </w:t>
      </w:r>
      <w:r w:rsidR="000F735E" w:rsidRPr="00012C3F">
        <w:rPr>
          <w:bCs/>
          <w:sz w:val="20"/>
          <w:szCs w:val="20"/>
          <w:lang w:val="en-US"/>
        </w:rPr>
        <w:t>provide the Court with a report on the measures adopted to comply with it, without prejudice to the provisions of paragraph</w:t>
      </w:r>
      <w:r w:rsidR="00EE275E" w:rsidRPr="00012C3F">
        <w:rPr>
          <w:bCs/>
          <w:sz w:val="20"/>
          <w:szCs w:val="20"/>
          <w:lang w:val="en-US"/>
        </w:rPr>
        <w:t xml:space="preserve"> </w:t>
      </w:r>
      <w:r w:rsidR="00F10587" w:rsidRPr="00012C3F">
        <w:rPr>
          <w:bCs/>
          <w:sz w:val="20"/>
          <w:szCs w:val="20"/>
          <w:lang w:val="en-US"/>
        </w:rPr>
        <w:t xml:space="preserve">335 </w:t>
      </w:r>
      <w:r w:rsidR="000F735E" w:rsidRPr="00012C3F">
        <w:rPr>
          <w:bCs/>
          <w:sz w:val="20"/>
          <w:szCs w:val="20"/>
          <w:lang w:val="en-US"/>
        </w:rPr>
        <w:t>of this judgment</w:t>
      </w:r>
      <w:r w:rsidR="00EE275E" w:rsidRPr="00012C3F">
        <w:rPr>
          <w:bCs/>
          <w:sz w:val="20"/>
          <w:szCs w:val="20"/>
          <w:lang w:val="en-US"/>
        </w:rPr>
        <w:t>.</w:t>
      </w:r>
    </w:p>
    <w:p w14:paraId="12BC4444" w14:textId="77777777" w:rsidR="00EE275E" w:rsidRPr="00012C3F" w:rsidRDefault="00EE275E" w:rsidP="00EE275E">
      <w:pPr>
        <w:pStyle w:val="Prrafodelista2"/>
        <w:ind w:left="0" w:right="-90"/>
        <w:contextualSpacing/>
        <w:jc w:val="both"/>
        <w:rPr>
          <w:bCs/>
          <w:lang w:val="en-US"/>
        </w:rPr>
      </w:pPr>
    </w:p>
    <w:p w14:paraId="5B93A32F" w14:textId="77777777" w:rsidR="00EE275E" w:rsidRPr="00012C3F" w:rsidRDefault="001254DE" w:rsidP="00EE275E">
      <w:pPr>
        <w:widowControl/>
        <w:numPr>
          <w:ilvl w:val="0"/>
          <w:numId w:val="44"/>
        </w:numPr>
        <w:tabs>
          <w:tab w:val="left" w:pos="720"/>
        </w:tabs>
        <w:adjustRightInd/>
        <w:spacing w:line="240" w:lineRule="auto"/>
        <w:ind w:right="-90"/>
        <w:contextualSpacing/>
        <w:textAlignment w:val="auto"/>
        <w:rPr>
          <w:bCs/>
          <w:sz w:val="20"/>
          <w:szCs w:val="20"/>
          <w:lang w:val="en-US"/>
        </w:rPr>
      </w:pPr>
      <w:r w:rsidRPr="00012C3F">
        <w:rPr>
          <w:bCs/>
          <w:sz w:val="20"/>
          <w:szCs w:val="20"/>
          <w:lang w:val="en-US"/>
        </w:rPr>
        <w:t>The Court</w:t>
      </w:r>
      <w:r w:rsidR="00EE275E" w:rsidRPr="00012C3F">
        <w:rPr>
          <w:bCs/>
          <w:sz w:val="20"/>
          <w:szCs w:val="20"/>
          <w:lang w:val="en-US"/>
        </w:rPr>
        <w:t xml:space="preserve"> </w:t>
      </w:r>
      <w:r w:rsidR="000F735E" w:rsidRPr="00012C3F">
        <w:rPr>
          <w:bCs/>
          <w:sz w:val="20"/>
          <w:szCs w:val="20"/>
          <w:lang w:val="en-US"/>
        </w:rPr>
        <w:t xml:space="preserve">will monitor full compliance with this judgment, in the exercise of its attributes and in compliance with its duties under </w:t>
      </w:r>
      <w:r w:rsidRPr="00012C3F">
        <w:rPr>
          <w:bCs/>
          <w:sz w:val="20"/>
          <w:szCs w:val="20"/>
          <w:lang w:val="en-US"/>
        </w:rPr>
        <w:t>the American Convention on Human Rights</w:t>
      </w:r>
      <w:r w:rsidR="00EE275E" w:rsidRPr="00012C3F">
        <w:rPr>
          <w:bCs/>
          <w:sz w:val="20"/>
          <w:szCs w:val="20"/>
          <w:lang w:val="en-US"/>
        </w:rPr>
        <w:t>,</w:t>
      </w:r>
      <w:r w:rsidR="005E5012" w:rsidRPr="00012C3F">
        <w:rPr>
          <w:bCs/>
          <w:sz w:val="20"/>
          <w:szCs w:val="20"/>
          <w:lang w:val="en-US"/>
        </w:rPr>
        <w:t xml:space="preserve"> and </w:t>
      </w:r>
      <w:r w:rsidR="000F735E" w:rsidRPr="00012C3F">
        <w:rPr>
          <w:bCs/>
          <w:sz w:val="20"/>
          <w:szCs w:val="20"/>
          <w:lang w:val="en-US"/>
        </w:rPr>
        <w:t>will consider this case closed when the State has complied fully with all its provisions</w:t>
      </w:r>
      <w:r w:rsidR="00EE275E" w:rsidRPr="00012C3F">
        <w:rPr>
          <w:bCs/>
          <w:sz w:val="20"/>
          <w:szCs w:val="20"/>
          <w:lang w:val="en-US"/>
        </w:rPr>
        <w:t>.</w:t>
      </w:r>
    </w:p>
    <w:p w14:paraId="49E81F66" w14:textId="77777777" w:rsidR="00C60F32" w:rsidRPr="00012C3F" w:rsidRDefault="00C60F32" w:rsidP="00EE275E">
      <w:pPr>
        <w:widowControl/>
        <w:tabs>
          <w:tab w:val="left" w:pos="720"/>
        </w:tabs>
        <w:adjustRightInd/>
        <w:spacing w:line="240" w:lineRule="auto"/>
        <w:ind w:right="-90"/>
        <w:contextualSpacing/>
        <w:textAlignment w:val="auto"/>
        <w:rPr>
          <w:bCs/>
          <w:sz w:val="20"/>
          <w:szCs w:val="20"/>
          <w:lang w:val="en-US"/>
        </w:rPr>
      </w:pPr>
    </w:p>
    <w:p w14:paraId="69095BA0" w14:textId="77777777" w:rsidR="00927C7A" w:rsidRPr="00012C3F" w:rsidRDefault="001254DE" w:rsidP="00EE275E">
      <w:pPr>
        <w:widowControl/>
        <w:tabs>
          <w:tab w:val="left" w:pos="720"/>
        </w:tabs>
        <w:adjustRightInd/>
        <w:spacing w:line="240" w:lineRule="auto"/>
        <w:ind w:right="-90"/>
        <w:contextualSpacing/>
        <w:textAlignment w:val="auto"/>
        <w:rPr>
          <w:bCs/>
          <w:sz w:val="20"/>
          <w:szCs w:val="20"/>
          <w:lang w:val="en-US"/>
        </w:rPr>
      </w:pPr>
      <w:r w:rsidRPr="00012C3F">
        <w:rPr>
          <w:bCs/>
          <w:sz w:val="20"/>
          <w:szCs w:val="20"/>
          <w:lang w:val="en-US"/>
        </w:rPr>
        <w:t>Judge</w:t>
      </w:r>
      <w:r w:rsidR="00927C7A" w:rsidRPr="00012C3F">
        <w:rPr>
          <w:bCs/>
          <w:sz w:val="20"/>
          <w:szCs w:val="20"/>
          <w:lang w:val="en-US"/>
        </w:rPr>
        <w:t xml:space="preserve"> Eduardo Ferrer Mac-Gregor Poisot </w:t>
      </w:r>
      <w:r w:rsidR="00656D15" w:rsidRPr="00012C3F">
        <w:rPr>
          <w:bCs/>
          <w:sz w:val="20"/>
          <w:szCs w:val="20"/>
          <w:lang w:val="en-US"/>
        </w:rPr>
        <w:t>advised</w:t>
      </w:r>
      <w:r w:rsidR="00927C7A" w:rsidRPr="00012C3F">
        <w:rPr>
          <w:bCs/>
          <w:sz w:val="20"/>
          <w:szCs w:val="20"/>
          <w:lang w:val="en-US"/>
        </w:rPr>
        <w:t xml:space="preserve"> </w:t>
      </w:r>
      <w:r w:rsidRPr="00012C3F">
        <w:rPr>
          <w:bCs/>
          <w:sz w:val="20"/>
          <w:szCs w:val="20"/>
          <w:lang w:val="en-US"/>
        </w:rPr>
        <w:t>the Court</w:t>
      </w:r>
      <w:r w:rsidR="00927C7A" w:rsidRPr="00012C3F">
        <w:rPr>
          <w:bCs/>
          <w:sz w:val="20"/>
          <w:szCs w:val="20"/>
          <w:lang w:val="en-US"/>
        </w:rPr>
        <w:t xml:space="preserve"> </w:t>
      </w:r>
      <w:r w:rsidR="00656D15" w:rsidRPr="00012C3F">
        <w:rPr>
          <w:bCs/>
          <w:sz w:val="20"/>
          <w:szCs w:val="20"/>
          <w:lang w:val="en-US"/>
        </w:rPr>
        <w:t>of his concurring opinion, which is attached to this judgment.</w:t>
      </w:r>
    </w:p>
    <w:p w14:paraId="270D0595" w14:textId="77777777" w:rsidR="00927C7A" w:rsidRPr="00012C3F" w:rsidRDefault="00927C7A" w:rsidP="00EE275E">
      <w:pPr>
        <w:widowControl/>
        <w:tabs>
          <w:tab w:val="left" w:pos="720"/>
        </w:tabs>
        <w:adjustRightInd/>
        <w:spacing w:line="240" w:lineRule="auto"/>
        <w:ind w:right="-90"/>
        <w:contextualSpacing/>
        <w:textAlignment w:val="auto"/>
        <w:rPr>
          <w:b/>
          <w:bCs/>
          <w:sz w:val="20"/>
          <w:szCs w:val="20"/>
          <w:lang w:val="en-US"/>
        </w:rPr>
      </w:pPr>
    </w:p>
    <w:p w14:paraId="399BF3A8" w14:textId="77777777" w:rsidR="00EE275E" w:rsidRPr="00012C3F" w:rsidRDefault="00656D15" w:rsidP="00EE275E">
      <w:pPr>
        <w:widowControl/>
        <w:tabs>
          <w:tab w:val="left" w:pos="720"/>
        </w:tabs>
        <w:adjustRightInd/>
        <w:spacing w:line="240" w:lineRule="auto"/>
        <w:ind w:right="-90"/>
        <w:contextualSpacing/>
        <w:textAlignment w:val="auto"/>
        <w:rPr>
          <w:bCs/>
          <w:sz w:val="20"/>
          <w:szCs w:val="20"/>
          <w:lang w:val="en-US"/>
        </w:rPr>
      </w:pPr>
      <w:r w:rsidRPr="00012C3F">
        <w:rPr>
          <w:bCs/>
          <w:sz w:val="20"/>
          <w:szCs w:val="20"/>
          <w:lang w:val="en-US"/>
        </w:rPr>
        <w:t xml:space="preserve">Done, at </w:t>
      </w:r>
      <w:r w:rsidR="00EE275E" w:rsidRPr="00012C3F">
        <w:rPr>
          <w:bCs/>
          <w:sz w:val="20"/>
          <w:szCs w:val="20"/>
          <w:lang w:val="en-US"/>
        </w:rPr>
        <w:t xml:space="preserve">San José, Costa Rica, </w:t>
      </w:r>
      <w:r w:rsidRPr="00012C3F">
        <w:rPr>
          <w:bCs/>
          <w:sz w:val="20"/>
          <w:szCs w:val="20"/>
          <w:lang w:val="en-US"/>
        </w:rPr>
        <w:t>on November 30,</w:t>
      </w:r>
      <w:r w:rsidR="00EE275E" w:rsidRPr="00012C3F">
        <w:rPr>
          <w:bCs/>
          <w:sz w:val="20"/>
          <w:szCs w:val="20"/>
          <w:lang w:val="en-US"/>
        </w:rPr>
        <w:t xml:space="preserve"> 2016</w:t>
      </w:r>
      <w:r w:rsidRPr="00012C3F">
        <w:rPr>
          <w:bCs/>
          <w:sz w:val="20"/>
          <w:szCs w:val="20"/>
          <w:lang w:val="en-US"/>
        </w:rPr>
        <w:t>, in the Spanish language.</w:t>
      </w:r>
    </w:p>
    <w:p w14:paraId="2EDF354C" w14:textId="77777777" w:rsidR="00CD3FD7" w:rsidRPr="00012C3F" w:rsidRDefault="00CD3FD7" w:rsidP="008D0B77">
      <w:pPr>
        <w:spacing w:line="240" w:lineRule="auto"/>
        <w:rPr>
          <w:sz w:val="20"/>
          <w:szCs w:val="20"/>
          <w:lang w:val="en-US"/>
        </w:rPr>
      </w:pPr>
    </w:p>
    <w:p w14:paraId="440C601A" w14:textId="77777777" w:rsidR="00F45866" w:rsidRPr="00012C3F" w:rsidRDefault="00F45866">
      <w:pPr>
        <w:widowControl/>
        <w:adjustRightInd/>
        <w:spacing w:after="200" w:line="276" w:lineRule="auto"/>
        <w:jc w:val="left"/>
        <w:textAlignment w:val="auto"/>
        <w:rPr>
          <w:sz w:val="20"/>
          <w:lang w:val="en-US"/>
        </w:rPr>
      </w:pPr>
      <w:r w:rsidRPr="00012C3F">
        <w:rPr>
          <w:sz w:val="20"/>
          <w:lang w:val="en-US"/>
        </w:rPr>
        <w:br w:type="page"/>
      </w:r>
    </w:p>
    <w:p w14:paraId="29CFA7D4" w14:textId="77777777" w:rsidR="009943EE" w:rsidRPr="00012C3F" w:rsidRDefault="001254DE" w:rsidP="00F45866">
      <w:pPr>
        <w:spacing w:line="240" w:lineRule="auto"/>
        <w:rPr>
          <w:sz w:val="20"/>
          <w:lang w:val="en-US"/>
        </w:rPr>
      </w:pPr>
      <w:r w:rsidRPr="00012C3F">
        <w:rPr>
          <w:sz w:val="20"/>
          <w:lang w:val="en-US"/>
        </w:rPr>
        <w:lastRenderedPageBreak/>
        <w:t>Judgment of</w:t>
      </w:r>
      <w:r w:rsidR="009943EE" w:rsidRPr="00012C3F">
        <w:rPr>
          <w:sz w:val="20"/>
          <w:lang w:val="en-US"/>
        </w:rPr>
        <w:t xml:space="preserve"> </w:t>
      </w:r>
      <w:r w:rsidRPr="00012C3F">
        <w:rPr>
          <w:sz w:val="20"/>
          <w:lang w:val="en-US"/>
        </w:rPr>
        <w:t>the Inter-American Court of Human Rights</w:t>
      </w:r>
      <w:r w:rsidR="009943EE" w:rsidRPr="00012C3F">
        <w:rPr>
          <w:sz w:val="20"/>
          <w:lang w:val="en-US"/>
        </w:rPr>
        <w:t xml:space="preserve">. </w:t>
      </w:r>
      <w:r w:rsidRPr="00012C3F">
        <w:rPr>
          <w:sz w:val="20"/>
          <w:lang w:val="en-US"/>
        </w:rPr>
        <w:t>Case of</w:t>
      </w:r>
      <w:r w:rsidR="009943EE" w:rsidRPr="00012C3F">
        <w:rPr>
          <w:sz w:val="20"/>
          <w:lang w:val="en-US"/>
        </w:rPr>
        <w:t xml:space="preserve"> </w:t>
      </w:r>
      <w:r w:rsidR="000E1C11" w:rsidRPr="00012C3F">
        <w:rPr>
          <w:sz w:val="20"/>
          <w:lang w:val="en-US"/>
        </w:rPr>
        <w:t>I.V.</w:t>
      </w:r>
      <w:r w:rsidR="009943EE" w:rsidRPr="00012C3F">
        <w:rPr>
          <w:sz w:val="20"/>
          <w:lang w:val="en-US"/>
        </w:rPr>
        <w:t xml:space="preserve"> </w:t>
      </w:r>
      <w:r w:rsidR="000E1C11" w:rsidRPr="00012C3F">
        <w:rPr>
          <w:i/>
          <w:iCs/>
          <w:sz w:val="20"/>
          <w:lang w:val="en-US"/>
        </w:rPr>
        <w:t>v.</w:t>
      </w:r>
      <w:r w:rsidR="009943EE" w:rsidRPr="00012C3F">
        <w:rPr>
          <w:sz w:val="20"/>
          <w:lang w:val="en-US"/>
        </w:rPr>
        <w:t xml:space="preserve"> Bolivia. </w:t>
      </w:r>
      <w:r w:rsidRPr="00012C3F">
        <w:rPr>
          <w:sz w:val="20"/>
          <w:lang w:val="en-US"/>
        </w:rPr>
        <w:t>Preliminary objections, merits, reparations and costs</w:t>
      </w:r>
      <w:r w:rsidR="009943EE" w:rsidRPr="00012C3F">
        <w:rPr>
          <w:sz w:val="20"/>
          <w:lang w:val="en-US"/>
        </w:rPr>
        <w:t>.</w:t>
      </w:r>
    </w:p>
    <w:p w14:paraId="1E663673" w14:textId="77777777" w:rsidR="009943EE" w:rsidRPr="00012C3F" w:rsidRDefault="009943EE" w:rsidP="00F45866">
      <w:pPr>
        <w:spacing w:line="240" w:lineRule="auto"/>
        <w:rPr>
          <w:sz w:val="20"/>
          <w:lang w:val="en-US"/>
        </w:rPr>
      </w:pPr>
    </w:p>
    <w:p w14:paraId="5243A9BA" w14:textId="77777777" w:rsidR="009943EE" w:rsidRPr="00012C3F" w:rsidRDefault="009943EE" w:rsidP="00F45866">
      <w:pPr>
        <w:spacing w:line="240" w:lineRule="auto"/>
        <w:rPr>
          <w:sz w:val="20"/>
          <w:lang w:val="en-US"/>
        </w:rPr>
      </w:pPr>
    </w:p>
    <w:p w14:paraId="08D31725" w14:textId="77777777" w:rsidR="00F45866" w:rsidRPr="00012C3F" w:rsidRDefault="00F45866" w:rsidP="00F45866">
      <w:pPr>
        <w:spacing w:line="240" w:lineRule="auto"/>
        <w:rPr>
          <w:sz w:val="20"/>
          <w:lang w:val="en-US"/>
        </w:rPr>
      </w:pPr>
    </w:p>
    <w:p w14:paraId="252BA05D" w14:textId="77777777" w:rsidR="00F45866" w:rsidRPr="00012C3F" w:rsidRDefault="00F45866" w:rsidP="00F45866">
      <w:pPr>
        <w:spacing w:line="240" w:lineRule="auto"/>
        <w:rPr>
          <w:sz w:val="20"/>
          <w:lang w:val="en-US"/>
        </w:rPr>
      </w:pPr>
    </w:p>
    <w:p w14:paraId="15B3D2EC" w14:textId="77777777" w:rsidR="00F45866" w:rsidRPr="00012C3F" w:rsidRDefault="00F45866" w:rsidP="00F45866">
      <w:pPr>
        <w:spacing w:line="240" w:lineRule="auto"/>
        <w:rPr>
          <w:sz w:val="20"/>
          <w:lang w:val="en-US"/>
        </w:rPr>
      </w:pPr>
    </w:p>
    <w:p w14:paraId="2EAF77FC" w14:textId="77777777" w:rsidR="009943EE" w:rsidRPr="00012C3F" w:rsidRDefault="009943EE" w:rsidP="00F45866">
      <w:pPr>
        <w:spacing w:line="240" w:lineRule="auto"/>
        <w:jc w:val="center"/>
        <w:rPr>
          <w:sz w:val="20"/>
          <w:lang w:val="en-US"/>
        </w:rPr>
      </w:pPr>
      <w:r w:rsidRPr="00012C3F">
        <w:rPr>
          <w:sz w:val="20"/>
          <w:lang w:val="en-US"/>
        </w:rPr>
        <w:t>Roberto F. Caldas</w:t>
      </w:r>
    </w:p>
    <w:p w14:paraId="1C9AC6A1" w14:textId="77777777" w:rsidR="009943EE" w:rsidRPr="00012C3F" w:rsidRDefault="001254DE" w:rsidP="00F45866">
      <w:pPr>
        <w:spacing w:line="240" w:lineRule="auto"/>
        <w:jc w:val="center"/>
        <w:rPr>
          <w:sz w:val="20"/>
          <w:lang w:val="en-US"/>
        </w:rPr>
      </w:pPr>
      <w:r w:rsidRPr="00012C3F">
        <w:rPr>
          <w:sz w:val="20"/>
          <w:lang w:val="en-US"/>
        </w:rPr>
        <w:t>President</w:t>
      </w:r>
      <w:r w:rsidR="009943EE" w:rsidRPr="00012C3F">
        <w:rPr>
          <w:sz w:val="20"/>
          <w:lang w:val="en-US"/>
        </w:rPr>
        <w:t xml:space="preserve"> </w:t>
      </w:r>
    </w:p>
    <w:p w14:paraId="78C2DE49" w14:textId="77777777" w:rsidR="009943EE" w:rsidRPr="00012C3F" w:rsidRDefault="009943EE" w:rsidP="00F45866">
      <w:pPr>
        <w:spacing w:line="240" w:lineRule="auto"/>
        <w:rPr>
          <w:sz w:val="20"/>
          <w:lang w:val="en-US"/>
        </w:rPr>
      </w:pPr>
    </w:p>
    <w:p w14:paraId="66D68184" w14:textId="77777777" w:rsidR="009943EE" w:rsidRPr="00012C3F" w:rsidRDefault="009943EE" w:rsidP="00F45866">
      <w:pPr>
        <w:tabs>
          <w:tab w:val="left" w:pos="1485"/>
        </w:tabs>
        <w:spacing w:line="240" w:lineRule="auto"/>
        <w:rPr>
          <w:sz w:val="20"/>
          <w:lang w:val="en-US"/>
        </w:rPr>
      </w:pPr>
      <w:r w:rsidRPr="00012C3F">
        <w:rPr>
          <w:sz w:val="20"/>
          <w:lang w:val="en-US"/>
        </w:rPr>
        <w:tab/>
      </w:r>
    </w:p>
    <w:p w14:paraId="4E338D7A" w14:textId="77777777" w:rsidR="00F45866" w:rsidRPr="00012C3F" w:rsidRDefault="00F45866" w:rsidP="00F45866">
      <w:pPr>
        <w:spacing w:line="240" w:lineRule="auto"/>
        <w:rPr>
          <w:sz w:val="20"/>
          <w:lang w:val="en-US"/>
        </w:rPr>
      </w:pPr>
    </w:p>
    <w:p w14:paraId="2AC76A12" w14:textId="77777777" w:rsidR="00F45866" w:rsidRPr="00012C3F" w:rsidRDefault="00F45866" w:rsidP="00F45866">
      <w:pPr>
        <w:spacing w:line="240" w:lineRule="auto"/>
        <w:rPr>
          <w:sz w:val="20"/>
          <w:lang w:val="en-US"/>
        </w:rPr>
      </w:pPr>
    </w:p>
    <w:p w14:paraId="3F3D0BD5" w14:textId="77777777" w:rsidR="00F45866" w:rsidRPr="00012C3F" w:rsidRDefault="00F45866" w:rsidP="00F45866">
      <w:pPr>
        <w:spacing w:line="240" w:lineRule="auto"/>
        <w:rPr>
          <w:sz w:val="20"/>
          <w:lang w:val="en-US"/>
        </w:rPr>
      </w:pPr>
    </w:p>
    <w:p w14:paraId="23FBB54F" w14:textId="77777777" w:rsidR="009943EE" w:rsidRPr="00012C3F" w:rsidRDefault="009943EE" w:rsidP="00F45866">
      <w:pPr>
        <w:spacing w:line="240" w:lineRule="auto"/>
        <w:rPr>
          <w:sz w:val="20"/>
          <w:lang w:val="en-US"/>
        </w:rPr>
      </w:pPr>
      <w:r w:rsidRPr="00012C3F">
        <w:rPr>
          <w:sz w:val="20"/>
          <w:lang w:val="en-US"/>
        </w:rPr>
        <w:t>Eduardo Ferrer Mac-Gregor Poisot</w:t>
      </w:r>
      <w:r w:rsidRPr="00012C3F">
        <w:rPr>
          <w:sz w:val="20"/>
          <w:lang w:val="en-US"/>
        </w:rPr>
        <w:tab/>
      </w:r>
      <w:r w:rsidRPr="00012C3F">
        <w:rPr>
          <w:sz w:val="20"/>
          <w:lang w:val="en-US"/>
        </w:rPr>
        <w:tab/>
      </w:r>
      <w:r w:rsidRPr="00012C3F">
        <w:rPr>
          <w:sz w:val="20"/>
          <w:lang w:val="en-US"/>
        </w:rPr>
        <w:tab/>
      </w:r>
      <w:r w:rsidRPr="00012C3F">
        <w:rPr>
          <w:sz w:val="20"/>
          <w:lang w:val="en-US"/>
        </w:rPr>
        <w:tab/>
      </w:r>
      <w:r w:rsidRPr="00012C3F">
        <w:rPr>
          <w:sz w:val="20"/>
          <w:lang w:val="en-US"/>
        </w:rPr>
        <w:tab/>
        <w:t xml:space="preserve">            Eduardo Vio Grossi</w:t>
      </w:r>
    </w:p>
    <w:p w14:paraId="0A6763C1" w14:textId="77777777" w:rsidR="009943EE" w:rsidRPr="00012C3F" w:rsidRDefault="009943EE" w:rsidP="00F45866">
      <w:pPr>
        <w:spacing w:line="240" w:lineRule="auto"/>
        <w:rPr>
          <w:sz w:val="20"/>
          <w:lang w:val="en-US"/>
        </w:rPr>
      </w:pPr>
    </w:p>
    <w:p w14:paraId="3B6AA49A" w14:textId="77777777" w:rsidR="009943EE" w:rsidRPr="00012C3F" w:rsidRDefault="009943EE" w:rsidP="00F45866">
      <w:pPr>
        <w:spacing w:line="240" w:lineRule="auto"/>
        <w:rPr>
          <w:sz w:val="20"/>
          <w:lang w:val="en-US"/>
        </w:rPr>
      </w:pPr>
    </w:p>
    <w:p w14:paraId="05397859" w14:textId="77777777" w:rsidR="009943EE" w:rsidRPr="00012C3F" w:rsidRDefault="009943EE" w:rsidP="00F45866">
      <w:pPr>
        <w:spacing w:line="240" w:lineRule="auto"/>
        <w:rPr>
          <w:sz w:val="20"/>
          <w:lang w:val="en-US"/>
        </w:rPr>
      </w:pPr>
    </w:p>
    <w:p w14:paraId="08CA9DFD" w14:textId="77777777" w:rsidR="009943EE" w:rsidRPr="00012C3F" w:rsidRDefault="009943EE" w:rsidP="00F45866">
      <w:pPr>
        <w:spacing w:line="240" w:lineRule="auto"/>
        <w:rPr>
          <w:sz w:val="20"/>
          <w:lang w:val="en-US"/>
        </w:rPr>
      </w:pPr>
    </w:p>
    <w:p w14:paraId="601BBA77" w14:textId="77777777" w:rsidR="00F45866" w:rsidRPr="00012C3F" w:rsidRDefault="00F45866" w:rsidP="00F45866">
      <w:pPr>
        <w:spacing w:line="240" w:lineRule="auto"/>
        <w:rPr>
          <w:sz w:val="20"/>
          <w:lang w:val="en-US"/>
        </w:rPr>
      </w:pPr>
    </w:p>
    <w:p w14:paraId="22CD52FB" w14:textId="77777777" w:rsidR="009943EE" w:rsidRPr="00012C3F" w:rsidRDefault="009943EE" w:rsidP="00F45866">
      <w:pPr>
        <w:spacing w:line="240" w:lineRule="auto"/>
        <w:rPr>
          <w:sz w:val="20"/>
        </w:rPr>
      </w:pPr>
      <w:r w:rsidRPr="00012C3F">
        <w:rPr>
          <w:sz w:val="20"/>
        </w:rPr>
        <w:t>Humberto Antonio Sierra Porto</w:t>
      </w:r>
      <w:r w:rsidRPr="00012C3F">
        <w:rPr>
          <w:sz w:val="20"/>
        </w:rPr>
        <w:tab/>
      </w:r>
      <w:r w:rsidRPr="00012C3F">
        <w:rPr>
          <w:sz w:val="20"/>
        </w:rPr>
        <w:tab/>
      </w:r>
      <w:r w:rsidRPr="00012C3F">
        <w:rPr>
          <w:sz w:val="20"/>
        </w:rPr>
        <w:tab/>
      </w:r>
      <w:r w:rsidRPr="00012C3F">
        <w:rPr>
          <w:sz w:val="20"/>
        </w:rPr>
        <w:tab/>
      </w:r>
      <w:r w:rsidRPr="00012C3F">
        <w:rPr>
          <w:sz w:val="20"/>
        </w:rPr>
        <w:tab/>
        <w:t xml:space="preserve">         Elizabeth Odio Benito </w:t>
      </w:r>
    </w:p>
    <w:p w14:paraId="39F5224D" w14:textId="77777777" w:rsidR="009943EE" w:rsidRPr="00012C3F" w:rsidRDefault="009943EE" w:rsidP="00F45866">
      <w:pPr>
        <w:spacing w:line="240" w:lineRule="auto"/>
        <w:rPr>
          <w:sz w:val="20"/>
        </w:rPr>
      </w:pPr>
    </w:p>
    <w:p w14:paraId="0C31C9E1" w14:textId="77777777" w:rsidR="009943EE" w:rsidRPr="00012C3F" w:rsidRDefault="009943EE" w:rsidP="00F45866">
      <w:pPr>
        <w:spacing w:line="240" w:lineRule="auto"/>
        <w:rPr>
          <w:sz w:val="20"/>
        </w:rPr>
      </w:pPr>
    </w:p>
    <w:p w14:paraId="6D1A7169" w14:textId="77777777" w:rsidR="009943EE" w:rsidRPr="00012C3F" w:rsidRDefault="009943EE" w:rsidP="00F45866">
      <w:pPr>
        <w:spacing w:line="240" w:lineRule="auto"/>
        <w:rPr>
          <w:sz w:val="20"/>
        </w:rPr>
      </w:pPr>
    </w:p>
    <w:p w14:paraId="2A7DBD96" w14:textId="77777777" w:rsidR="009943EE" w:rsidRPr="00012C3F" w:rsidRDefault="009943EE" w:rsidP="00F45866">
      <w:pPr>
        <w:spacing w:line="240" w:lineRule="auto"/>
        <w:rPr>
          <w:sz w:val="20"/>
        </w:rPr>
      </w:pPr>
    </w:p>
    <w:p w14:paraId="34DEE175" w14:textId="77777777" w:rsidR="00F45866" w:rsidRPr="00012C3F" w:rsidRDefault="00F45866" w:rsidP="00F45866">
      <w:pPr>
        <w:spacing w:line="240" w:lineRule="auto"/>
        <w:rPr>
          <w:sz w:val="20"/>
        </w:rPr>
      </w:pPr>
    </w:p>
    <w:p w14:paraId="657C27A8" w14:textId="77777777" w:rsidR="009943EE" w:rsidRPr="00012C3F" w:rsidRDefault="009943EE" w:rsidP="00F45866">
      <w:pPr>
        <w:spacing w:line="240" w:lineRule="auto"/>
        <w:rPr>
          <w:sz w:val="20"/>
        </w:rPr>
      </w:pPr>
      <w:r w:rsidRPr="00012C3F">
        <w:rPr>
          <w:sz w:val="20"/>
        </w:rPr>
        <w:t xml:space="preserve">Eugenio Raúl Zaffaroni </w:t>
      </w:r>
      <w:r w:rsidRPr="00012C3F">
        <w:rPr>
          <w:sz w:val="20"/>
        </w:rPr>
        <w:tab/>
      </w:r>
      <w:r w:rsidRPr="00012C3F">
        <w:rPr>
          <w:sz w:val="20"/>
        </w:rPr>
        <w:tab/>
      </w:r>
      <w:r w:rsidRPr="00012C3F">
        <w:rPr>
          <w:sz w:val="20"/>
        </w:rPr>
        <w:tab/>
      </w:r>
      <w:r w:rsidRPr="00012C3F">
        <w:rPr>
          <w:sz w:val="20"/>
        </w:rPr>
        <w:tab/>
      </w:r>
      <w:r w:rsidRPr="00012C3F">
        <w:rPr>
          <w:sz w:val="20"/>
        </w:rPr>
        <w:tab/>
        <w:t xml:space="preserve">              L. Patricio Pazmiño Freire</w:t>
      </w:r>
    </w:p>
    <w:p w14:paraId="670A5649" w14:textId="77777777" w:rsidR="009943EE" w:rsidRPr="00012C3F" w:rsidRDefault="009943EE" w:rsidP="00F45866">
      <w:pPr>
        <w:spacing w:line="240" w:lineRule="auto"/>
        <w:rPr>
          <w:sz w:val="20"/>
        </w:rPr>
      </w:pPr>
    </w:p>
    <w:p w14:paraId="129D0AD6" w14:textId="77777777" w:rsidR="009943EE" w:rsidRPr="00012C3F" w:rsidRDefault="009943EE" w:rsidP="00F45866">
      <w:pPr>
        <w:spacing w:line="240" w:lineRule="auto"/>
        <w:rPr>
          <w:sz w:val="20"/>
        </w:rPr>
      </w:pPr>
    </w:p>
    <w:p w14:paraId="2DB55ED4" w14:textId="77777777" w:rsidR="009943EE" w:rsidRPr="00012C3F" w:rsidRDefault="009943EE" w:rsidP="00F45866">
      <w:pPr>
        <w:spacing w:line="240" w:lineRule="auto"/>
        <w:rPr>
          <w:sz w:val="20"/>
        </w:rPr>
      </w:pPr>
    </w:p>
    <w:p w14:paraId="2203AF81" w14:textId="77777777" w:rsidR="00F45866" w:rsidRPr="00012C3F" w:rsidRDefault="00F45866" w:rsidP="00F45866">
      <w:pPr>
        <w:spacing w:line="240" w:lineRule="auto"/>
        <w:rPr>
          <w:sz w:val="20"/>
        </w:rPr>
      </w:pPr>
    </w:p>
    <w:p w14:paraId="02709C18" w14:textId="77777777" w:rsidR="009943EE" w:rsidRPr="00012C3F" w:rsidRDefault="009943EE" w:rsidP="00F45866">
      <w:pPr>
        <w:spacing w:line="240" w:lineRule="auto"/>
        <w:rPr>
          <w:sz w:val="20"/>
        </w:rPr>
      </w:pPr>
    </w:p>
    <w:p w14:paraId="3520E8FC" w14:textId="77777777" w:rsidR="009943EE" w:rsidRPr="00012C3F" w:rsidRDefault="009943EE" w:rsidP="00F45866">
      <w:pPr>
        <w:spacing w:line="240" w:lineRule="auto"/>
        <w:jc w:val="center"/>
        <w:rPr>
          <w:sz w:val="20"/>
          <w:lang w:val="en-US"/>
        </w:rPr>
      </w:pPr>
      <w:r w:rsidRPr="00012C3F">
        <w:rPr>
          <w:sz w:val="20"/>
          <w:lang w:val="en-US"/>
        </w:rPr>
        <w:t>Pablo Saavedra Alessandri</w:t>
      </w:r>
    </w:p>
    <w:p w14:paraId="4A96E217" w14:textId="77777777" w:rsidR="009943EE" w:rsidRPr="00012C3F" w:rsidRDefault="001254DE" w:rsidP="00F45866">
      <w:pPr>
        <w:spacing w:line="240" w:lineRule="auto"/>
        <w:jc w:val="center"/>
        <w:rPr>
          <w:sz w:val="20"/>
          <w:lang w:val="en-US"/>
        </w:rPr>
      </w:pPr>
      <w:r w:rsidRPr="00012C3F">
        <w:rPr>
          <w:sz w:val="20"/>
          <w:lang w:val="en-US"/>
        </w:rPr>
        <w:t>Secretary</w:t>
      </w:r>
    </w:p>
    <w:p w14:paraId="196C7555" w14:textId="77777777" w:rsidR="009943EE" w:rsidRPr="00012C3F" w:rsidRDefault="009943EE" w:rsidP="00F45866">
      <w:pPr>
        <w:spacing w:line="240" w:lineRule="auto"/>
        <w:rPr>
          <w:sz w:val="20"/>
          <w:lang w:val="en-US"/>
        </w:rPr>
      </w:pPr>
    </w:p>
    <w:p w14:paraId="70DE03B6" w14:textId="77777777" w:rsidR="009943EE" w:rsidRPr="00012C3F" w:rsidRDefault="009943EE" w:rsidP="00F45866">
      <w:pPr>
        <w:pStyle w:val="Textonotapie"/>
        <w:rPr>
          <w:lang w:val="en-US"/>
        </w:rPr>
      </w:pPr>
    </w:p>
    <w:p w14:paraId="1041420D" w14:textId="77777777" w:rsidR="009943EE" w:rsidRPr="00012C3F" w:rsidRDefault="009943EE" w:rsidP="00F45866">
      <w:pPr>
        <w:pStyle w:val="Textonotapie"/>
        <w:rPr>
          <w:lang w:val="en-US"/>
        </w:rPr>
      </w:pPr>
    </w:p>
    <w:p w14:paraId="328F939D" w14:textId="77777777" w:rsidR="009943EE" w:rsidRPr="00012C3F" w:rsidRDefault="00F45866" w:rsidP="00F45866">
      <w:pPr>
        <w:spacing w:line="240" w:lineRule="auto"/>
        <w:rPr>
          <w:sz w:val="20"/>
          <w:lang w:val="en-US"/>
        </w:rPr>
      </w:pPr>
      <w:r w:rsidRPr="00012C3F">
        <w:rPr>
          <w:sz w:val="20"/>
          <w:lang w:val="en-US"/>
        </w:rPr>
        <w:t>So ordered</w:t>
      </w:r>
    </w:p>
    <w:p w14:paraId="491EABED" w14:textId="77777777" w:rsidR="009943EE" w:rsidRPr="00012C3F" w:rsidRDefault="009943EE" w:rsidP="00F45866">
      <w:pPr>
        <w:spacing w:line="240" w:lineRule="auto"/>
        <w:rPr>
          <w:sz w:val="20"/>
          <w:lang w:val="en-US"/>
        </w:rPr>
      </w:pPr>
    </w:p>
    <w:p w14:paraId="38B67E49" w14:textId="77777777" w:rsidR="009943EE" w:rsidRPr="00012C3F" w:rsidRDefault="009943EE" w:rsidP="00F45866">
      <w:pPr>
        <w:spacing w:line="240" w:lineRule="auto"/>
        <w:rPr>
          <w:sz w:val="20"/>
          <w:lang w:val="en-US"/>
        </w:rPr>
      </w:pPr>
    </w:p>
    <w:p w14:paraId="4C179288" w14:textId="77777777" w:rsidR="00F45866" w:rsidRPr="00012C3F" w:rsidRDefault="00F45866" w:rsidP="00F45866">
      <w:pPr>
        <w:spacing w:line="240" w:lineRule="auto"/>
        <w:ind w:left="4956" w:firstLine="708"/>
        <w:jc w:val="center"/>
        <w:rPr>
          <w:sz w:val="20"/>
          <w:lang w:val="en-US"/>
        </w:rPr>
      </w:pPr>
    </w:p>
    <w:p w14:paraId="3F5D4758" w14:textId="77777777" w:rsidR="009943EE" w:rsidRPr="00012C3F" w:rsidRDefault="009943EE" w:rsidP="00F45866">
      <w:pPr>
        <w:spacing w:line="240" w:lineRule="auto"/>
        <w:ind w:left="4956" w:firstLine="708"/>
        <w:jc w:val="center"/>
        <w:rPr>
          <w:sz w:val="20"/>
          <w:lang w:val="en-US"/>
        </w:rPr>
      </w:pPr>
      <w:r w:rsidRPr="00012C3F">
        <w:rPr>
          <w:sz w:val="20"/>
          <w:lang w:val="en-US"/>
        </w:rPr>
        <w:t>Roberto F. Caldas</w:t>
      </w:r>
    </w:p>
    <w:p w14:paraId="7886CFEF" w14:textId="77777777" w:rsidR="009943EE" w:rsidRPr="00012C3F" w:rsidRDefault="001254DE" w:rsidP="00F45866">
      <w:pPr>
        <w:spacing w:line="240" w:lineRule="auto"/>
        <w:ind w:left="4956" w:firstLine="708"/>
        <w:jc w:val="center"/>
        <w:rPr>
          <w:sz w:val="20"/>
          <w:lang w:val="en-US"/>
        </w:rPr>
      </w:pPr>
      <w:r w:rsidRPr="00012C3F">
        <w:rPr>
          <w:sz w:val="20"/>
          <w:lang w:val="en-US"/>
        </w:rPr>
        <w:t>President</w:t>
      </w:r>
      <w:r w:rsidR="009943EE" w:rsidRPr="00012C3F">
        <w:rPr>
          <w:sz w:val="20"/>
          <w:lang w:val="en-US"/>
        </w:rPr>
        <w:t xml:space="preserve"> </w:t>
      </w:r>
    </w:p>
    <w:p w14:paraId="66E40346" w14:textId="77777777" w:rsidR="00F45866" w:rsidRPr="00012C3F" w:rsidRDefault="00F45866" w:rsidP="00F45866">
      <w:pPr>
        <w:spacing w:line="240" w:lineRule="auto"/>
        <w:rPr>
          <w:sz w:val="20"/>
          <w:lang w:val="en-US"/>
        </w:rPr>
      </w:pPr>
    </w:p>
    <w:p w14:paraId="545E9395" w14:textId="77777777" w:rsidR="009943EE" w:rsidRPr="00012C3F" w:rsidRDefault="009943EE" w:rsidP="00F45866">
      <w:pPr>
        <w:spacing w:line="240" w:lineRule="auto"/>
        <w:rPr>
          <w:sz w:val="20"/>
          <w:lang w:val="en-US"/>
        </w:rPr>
      </w:pPr>
      <w:r w:rsidRPr="00012C3F">
        <w:rPr>
          <w:sz w:val="20"/>
          <w:lang w:val="en-US"/>
        </w:rPr>
        <w:t>Pablo Saavedra Alessandri</w:t>
      </w:r>
    </w:p>
    <w:p w14:paraId="4B509E55" w14:textId="77777777" w:rsidR="00011543" w:rsidRPr="00012C3F" w:rsidRDefault="009943EE" w:rsidP="00F45866">
      <w:pPr>
        <w:spacing w:line="240" w:lineRule="auto"/>
        <w:rPr>
          <w:sz w:val="20"/>
          <w:lang w:val="en-US"/>
        </w:rPr>
        <w:sectPr w:rsidR="00011543" w:rsidRPr="00012C3F" w:rsidSect="00C9313A">
          <w:headerReference w:type="default" r:id="rId8"/>
          <w:pgSz w:w="12240" w:h="15840" w:code="1"/>
          <w:pgMar w:top="1440" w:right="1077" w:bottom="1440" w:left="1077" w:header="709" w:footer="709" w:gutter="0"/>
          <w:cols w:space="708"/>
          <w:titlePg/>
          <w:docGrid w:linePitch="360"/>
        </w:sectPr>
      </w:pPr>
      <w:r w:rsidRPr="00012C3F">
        <w:rPr>
          <w:sz w:val="20"/>
          <w:lang w:val="en-US"/>
        </w:rPr>
        <w:tab/>
      </w:r>
      <w:r w:rsidR="001254DE" w:rsidRPr="00012C3F">
        <w:rPr>
          <w:sz w:val="20"/>
          <w:lang w:val="en-US"/>
        </w:rPr>
        <w:t>Secretary</w:t>
      </w:r>
    </w:p>
    <w:p w14:paraId="6ED70F99" w14:textId="77777777" w:rsidR="00011543" w:rsidRPr="00012C3F" w:rsidRDefault="00011543" w:rsidP="00011543">
      <w:pPr>
        <w:widowControl/>
        <w:adjustRightInd/>
        <w:spacing w:line="360" w:lineRule="auto"/>
        <w:ind w:left="2160" w:right="96" w:hanging="2160"/>
        <w:jc w:val="center"/>
        <w:textAlignment w:val="auto"/>
        <w:rPr>
          <w:rFonts w:eastAsia="MS Mincho"/>
          <w:b/>
          <w:sz w:val="20"/>
          <w:szCs w:val="20"/>
          <w:lang w:val="en-US" w:eastAsia="es-ES"/>
        </w:rPr>
      </w:pPr>
    </w:p>
    <w:p w14:paraId="4B7E4FED" w14:textId="77777777" w:rsidR="00011543" w:rsidRPr="00012C3F" w:rsidRDefault="00011543" w:rsidP="00011543">
      <w:pPr>
        <w:widowControl/>
        <w:adjustRightInd/>
        <w:spacing w:line="360" w:lineRule="auto"/>
        <w:ind w:left="2160" w:right="96" w:hanging="2160"/>
        <w:jc w:val="center"/>
        <w:textAlignment w:val="auto"/>
        <w:rPr>
          <w:rFonts w:eastAsia="MS Mincho"/>
          <w:b/>
          <w:sz w:val="20"/>
          <w:szCs w:val="20"/>
          <w:lang w:val="en-US" w:eastAsia="es-ES"/>
        </w:rPr>
      </w:pPr>
    </w:p>
    <w:p w14:paraId="47CD0DF0" w14:textId="77777777" w:rsidR="00011543" w:rsidRPr="00012C3F" w:rsidRDefault="00AE2CD6" w:rsidP="00011543">
      <w:pPr>
        <w:widowControl/>
        <w:adjustRightInd/>
        <w:spacing w:line="360" w:lineRule="auto"/>
        <w:ind w:left="2160" w:right="96" w:hanging="2160"/>
        <w:jc w:val="center"/>
        <w:textAlignment w:val="auto"/>
        <w:rPr>
          <w:rFonts w:eastAsia="MS Mincho"/>
          <w:b/>
          <w:sz w:val="20"/>
          <w:szCs w:val="20"/>
          <w:lang w:val="en-US" w:eastAsia="es-ES"/>
        </w:rPr>
      </w:pPr>
      <w:r w:rsidRPr="00012C3F">
        <w:rPr>
          <w:rFonts w:eastAsia="MS Mincho"/>
          <w:b/>
          <w:sz w:val="20"/>
          <w:szCs w:val="20"/>
          <w:lang w:val="en-US" w:eastAsia="es-ES"/>
        </w:rPr>
        <w:t>CONCURRING OPINION OF</w:t>
      </w:r>
    </w:p>
    <w:p w14:paraId="209C9E09" w14:textId="77777777" w:rsidR="00011543" w:rsidRPr="00012C3F" w:rsidRDefault="001254DE" w:rsidP="00011543">
      <w:pPr>
        <w:widowControl/>
        <w:adjustRightInd/>
        <w:spacing w:line="360" w:lineRule="auto"/>
        <w:ind w:left="2160" w:right="96" w:hanging="2160"/>
        <w:jc w:val="center"/>
        <w:textAlignment w:val="auto"/>
        <w:rPr>
          <w:rFonts w:eastAsia="MS Mincho"/>
          <w:b/>
          <w:sz w:val="20"/>
          <w:szCs w:val="20"/>
          <w:lang w:val="en-US" w:eastAsia="es-ES"/>
        </w:rPr>
      </w:pPr>
      <w:r w:rsidRPr="00012C3F">
        <w:rPr>
          <w:rFonts w:eastAsia="MS Mincho"/>
          <w:b/>
          <w:sz w:val="20"/>
          <w:szCs w:val="20"/>
          <w:lang w:val="en-US" w:eastAsia="es-ES"/>
        </w:rPr>
        <w:t>JUDGE</w:t>
      </w:r>
      <w:r w:rsidR="00011543" w:rsidRPr="00012C3F">
        <w:rPr>
          <w:rFonts w:eastAsia="MS Mincho"/>
          <w:b/>
          <w:sz w:val="20"/>
          <w:szCs w:val="20"/>
          <w:lang w:val="en-US" w:eastAsia="es-ES"/>
        </w:rPr>
        <w:t xml:space="preserve"> EDUARDO FERRER MAC-GREGOR POISOT</w:t>
      </w:r>
    </w:p>
    <w:p w14:paraId="33677DB0" w14:textId="77777777" w:rsidR="00011543" w:rsidRPr="00012C3F" w:rsidRDefault="00011543" w:rsidP="00011543">
      <w:pPr>
        <w:widowControl/>
        <w:adjustRightInd/>
        <w:spacing w:line="240" w:lineRule="auto"/>
        <w:ind w:left="-142" w:right="-138"/>
        <w:jc w:val="center"/>
        <w:textAlignment w:val="auto"/>
        <w:rPr>
          <w:rFonts w:eastAsia="MS Mincho"/>
          <w:b/>
          <w:sz w:val="20"/>
          <w:szCs w:val="20"/>
          <w:lang w:val="en-US" w:eastAsia="en-US"/>
        </w:rPr>
      </w:pPr>
    </w:p>
    <w:p w14:paraId="244D882E" w14:textId="77777777" w:rsidR="00011543" w:rsidRPr="00012C3F" w:rsidRDefault="00011543" w:rsidP="00011543">
      <w:pPr>
        <w:widowControl/>
        <w:adjustRightInd/>
        <w:spacing w:line="240" w:lineRule="auto"/>
        <w:ind w:left="-142" w:right="-138"/>
        <w:jc w:val="center"/>
        <w:textAlignment w:val="auto"/>
        <w:rPr>
          <w:rFonts w:eastAsia="MS Mincho"/>
          <w:b/>
          <w:i/>
          <w:sz w:val="20"/>
          <w:szCs w:val="20"/>
          <w:u w:val="single"/>
          <w:lang w:val="en-US" w:eastAsia="en-US"/>
        </w:rPr>
      </w:pPr>
      <w:r w:rsidRPr="00012C3F">
        <w:rPr>
          <w:rFonts w:eastAsia="MS Mincho"/>
          <w:b/>
          <w:i/>
          <w:sz w:val="20"/>
          <w:szCs w:val="20"/>
          <w:u w:val="single"/>
          <w:lang w:val="en-US" w:eastAsia="en-US"/>
        </w:rPr>
        <w:t>CAS</w:t>
      </w:r>
      <w:r w:rsidR="00AE2CD6" w:rsidRPr="00012C3F">
        <w:rPr>
          <w:rFonts w:eastAsia="MS Mincho"/>
          <w:b/>
          <w:i/>
          <w:sz w:val="20"/>
          <w:szCs w:val="20"/>
          <w:u w:val="single"/>
          <w:lang w:val="en-US" w:eastAsia="en-US"/>
        </w:rPr>
        <w:t>E OF</w:t>
      </w:r>
      <w:r w:rsidRPr="00012C3F">
        <w:rPr>
          <w:rFonts w:eastAsia="MS Mincho"/>
          <w:b/>
          <w:i/>
          <w:sz w:val="20"/>
          <w:szCs w:val="20"/>
          <w:u w:val="single"/>
          <w:lang w:val="en-US" w:eastAsia="en-US"/>
        </w:rPr>
        <w:t xml:space="preserve"> </w:t>
      </w:r>
      <w:r w:rsidR="000E1C11" w:rsidRPr="00012C3F">
        <w:rPr>
          <w:rFonts w:eastAsia="MS Mincho"/>
          <w:b/>
          <w:i/>
          <w:sz w:val="20"/>
          <w:szCs w:val="20"/>
          <w:u w:val="single"/>
          <w:lang w:val="en-US" w:eastAsia="en-US"/>
        </w:rPr>
        <w:t>I.V.</w:t>
      </w:r>
      <w:r w:rsidRPr="00012C3F">
        <w:rPr>
          <w:rFonts w:eastAsia="MS Mincho"/>
          <w:b/>
          <w:i/>
          <w:sz w:val="20"/>
          <w:szCs w:val="20"/>
          <w:u w:val="single"/>
          <w:lang w:val="en-US" w:eastAsia="en-US"/>
        </w:rPr>
        <w:t xml:space="preserve"> </w:t>
      </w:r>
      <w:r w:rsidR="000E1C11" w:rsidRPr="00012C3F">
        <w:rPr>
          <w:rFonts w:eastAsia="MS Mincho"/>
          <w:b/>
          <w:i/>
          <w:sz w:val="20"/>
          <w:szCs w:val="20"/>
          <w:u w:val="single"/>
          <w:lang w:val="en-US" w:eastAsia="en-US"/>
        </w:rPr>
        <w:t>v.</w:t>
      </w:r>
      <w:r w:rsidRPr="00012C3F">
        <w:rPr>
          <w:rFonts w:eastAsia="MS Mincho"/>
          <w:b/>
          <w:i/>
          <w:sz w:val="20"/>
          <w:szCs w:val="20"/>
          <w:u w:val="single"/>
          <w:lang w:val="en-US" w:eastAsia="en-US"/>
        </w:rPr>
        <w:t xml:space="preserve"> BOLIVIA</w:t>
      </w:r>
    </w:p>
    <w:p w14:paraId="4D6E0BE0" w14:textId="77777777" w:rsidR="00011543" w:rsidRPr="00012C3F" w:rsidRDefault="00011543" w:rsidP="00011543">
      <w:pPr>
        <w:widowControl/>
        <w:adjustRightInd/>
        <w:spacing w:line="240" w:lineRule="auto"/>
        <w:ind w:left="-142" w:right="-138"/>
        <w:jc w:val="center"/>
        <w:textAlignment w:val="auto"/>
        <w:rPr>
          <w:rFonts w:eastAsia="MS Mincho"/>
          <w:b/>
          <w:sz w:val="20"/>
          <w:szCs w:val="20"/>
          <w:lang w:val="en-US" w:eastAsia="en-US"/>
        </w:rPr>
      </w:pPr>
    </w:p>
    <w:p w14:paraId="11CA6EF0" w14:textId="77777777" w:rsidR="00011543" w:rsidRPr="00012C3F" w:rsidRDefault="001254DE" w:rsidP="00011543">
      <w:pPr>
        <w:widowControl/>
        <w:adjustRightInd/>
        <w:spacing w:line="240" w:lineRule="auto"/>
        <w:ind w:left="-142" w:right="-138"/>
        <w:jc w:val="center"/>
        <w:textAlignment w:val="auto"/>
        <w:rPr>
          <w:rFonts w:eastAsia="MS Mincho"/>
          <w:b/>
          <w:sz w:val="18"/>
          <w:szCs w:val="18"/>
          <w:lang w:val="en-US" w:eastAsia="en-US"/>
        </w:rPr>
      </w:pPr>
      <w:r w:rsidRPr="00012C3F">
        <w:rPr>
          <w:rFonts w:eastAsia="MS Mincho"/>
          <w:b/>
          <w:sz w:val="18"/>
          <w:szCs w:val="18"/>
          <w:lang w:val="en-US" w:eastAsia="en-US"/>
        </w:rPr>
        <w:t>JUDGMENT OF</w:t>
      </w:r>
      <w:r w:rsidR="00011543" w:rsidRPr="00012C3F">
        <w:rPr>
          <w:rFonts w:eastAsia="MS Mincho"/>
          <w:b/>
          <w:sz w:val="18"/>
          <w:szCs w:val="18"/>
          <w:lang w:val="en-US" w:eastAsia="en-US"/>
        </w:rPr>
        <w:t xml:space="preserve"> </w:t>
      </w:r>
      <w:r w:rsidR="00AE2CD6" w:rsidRPr="00012C3F">
        <w:rPr>
          <w:rFonts w:eastAsia="MS Mincho"/>
          <w:b/>
          <w:sz w:val="18"/>
          <w:szCs w:val="18"/>
          <w:lang w:val="en-US" w:eastAsia="en-US"/>
        </w:rPr>
        <w:t>NOVEMBER 30,</w:t>
      </w:r>
      <w:r w:rsidR="00011543" w:rsidRPr="00012C3F">
        <w:rPr>
          <w:rFonts w:eastAsia="MS Mincho"/>
          <w:b/>
          <w:sz w:val="18"/>
          <w:szCs w:val="18"/>
          <w:lang w:val="en-US" w:eastAsia="en-US"/>
        </w:rPr>
        <w:t xml:space="preserve"> 2016</w:t>
      </w:r>
    </w:p>
    <w:p w14:paraId="1E0EA982" w14:textId="77777777" w:rsidR="00011543" w:rsidRPr="00012C3F" w:rsidRDefault="00011543" w:rsidP="00011543">
      <w:pPr>
        <w:widowControl/>
        <w:numPr>
          <w:ilvl w:val="1"/>
          <w:numId w:val="0"/>
        </w:numPr>
        <w:adjustRightInd/>
        <w:spacing w:line="240" w:lineRule="auto"/>
        <w:ind w:left="-142" w:right="-138"/>
        <w:jc w:val="center"/>
        <w:textAlignment w:val="auto"/>
        <w:rPr>
          <w:b/>
          <w:i/>
          <w:iCs/>
          <w:sz w:val="18"/>
          <w:szCs w:val="18"/>
          <w:lang w:val="en-US" w:eastAsia="en-US"/>
        </w:rPr>
      </w:pPr>
      <w:r w:rsidRPr="00012C3F">
        <w:rPr>
          <w:b/>
          <w:i/>
          <w:iCs/>
          <w:sz w:val="18"/>
          <w:szCs w:val="18"/>
          <w:lang w:val="en-US" w:eastAsia="en-US"/>
        </w:rPr>
        <w:t>(</w:t>
      </w:r>
      <w:r w:rsidR="001254DE" w:rsidRPr="00012C3F">
        <w:rPr>
          <w:b/>
          <w:i/>
          <w:iCs/>
          <w:sz w:val="18"/>
          <w:szCs w:val="18"/>
          <w:lang w:val="en-US" w:eastAsia="en-US"/>
        </w:rPr>
        <w:t>Preliminary objections, merits, reparations and costs</w:t>
      </w:r>
      <w:r w:rsidRPr="00012C3F">
        <w:rPr>
          <w:b/>
          <w:i/>
          <w:iCs/>
          <w:sz w:val="18"/>
          <w:szCs w:val="18"/>
          <w:lang w:val="en-US" w:eastAsia="en-US"/>
        </w:rPr>
        <w:t>)</w:t>
      </w:r>
    </w:p>
    <w:p w14:paraId="33899C2C" w14:textId="77777777" w:rsidR="00011543" w:rsidRPr="00012C3F" w:rsidRDefault="00011543" w:rsidP="00011543">
      <w:pPr>
        <w:widowControl/>
        <w:tabs>
          <w:tab w:val="left" w:pos="709"/>
          <w:tab w:val="left" w:pos="1464"/>
        </w:tabs>
        <w:adjustRightInd/>
        <w:spacing w:line="240" w:lineRule="auto"/>
        <w:contextualSpacing/>
        <w:textAlignment w:val="auto"/>
        <w:rPr>
          <w:rFonts w:eastAsia="Cambria"/>
          <w:sz w:val="20"/>
          <w:szCs w:val="20"/>
          <w:lang w:val="en-US" w:eastAsia="en-US"/>
        </w:rPr>
      </w:pPr>
    </w:p>
    <w:p w14:paraId="41390373" w14:textId="77777777" w:rsidR="00011543" w:rsidRPr="00012C3F" w:rsidRDefault="00011543" w:rsidP="00011543">
      <w:pPr>
        <w:widowControl/>
        <w:tabs>
          <w:tab w:val="left" w:pos="709"/>
          <w:tab w:val="left" w:pos="1464"/>
        </w:tabs>
        <w:adjustRightInd/>
        <w:spacing w:line="240" w:lineRule="auto"/>
        <w:contextualSpacing/>
        <w:textAlignment w:val="auto"/>
        <w:rPr>
          <w:rFonts w:eastAsia="Cambria"/>
          <w:sz w:val="20"/>
          <w:szCs w:val="20"/>
          <w:lang w:val="en-US" w:eastAsia="en-US"/>
        </w:rPr>
      </w:pPr>
    </w:p>
    <w:p w14:paraId="434626D9" w14:textId="77777777" w:rsidR="00AE2CD6" w:rsidRPr="00012C3F" w:rsidRDefault="00AE2CD6" w:rsidP="00011543">
      <w:pPr>
        <w:widowControl/>
        <w:tabs>
          <w:tab w:val="left" w:pos="709"/>
          <w:tab w:val="left" w:pos="1464"/>
        </w:tabs>
        <w:adjustRightInd/>
        <w:spacing w:line="240" w:lineRule="auto"/>
        <w:contextualSpacing/>
        <w:textAlignment w:val="auto"/>
        <w:rPr>
          <w:rFonts w:eastAsia="Cambria"/>
          <w:sz w:val="20"/>
          <w:szCs w:val="20"/>
          <w:lang w:val="en-US" w:eastAsia="en-US"/>
        </w:rPr>
      </w:pPr>
    </w:p>
    <w:p w14:paraId="754D2507" w14:textId="77777777" w:rsidR="00AE2CD6" w:rsidRPr="00012C3F" w:rsidRDefault="00AE2CD6" w:rsidP="00AE2CD6">
      <w:pPr>
        <w:widowControl/>
        <w:numPr>
          <w:ilvl w:val="0"/>
          <w:numId w:val="46"/>
        </w:numPr>
        <w:tabs>
          <w:tab w:val="left" w:pos="709"/>
          <w:tab w:val="left" w:pos="1464"/>
        </w:tabs>
        <w:adjustRightInd/>
        <w:spacing w:line="240" w:lineRule="auto"/>
        <w:ind w:left="0" w:firstLine="0"/>
        <w:contextualSpacing/>
        <w:textAlignment w:val="auto"/>
        <w:rPr>
          <w:rFonts w:eastAsia="Cambria"/>
          <w:sz w:val="20"/>
          <w:szCs w:val="20"/>
          <w:lang w:val="en-US" w:eastAsia="en-US"/>
        </w:rPr>
      </w:pPr>
      <w:r w:rsidRPr="00012C3F">
        <w:rPr>
          <w:rFonts w:eastAsia="Cambria"/>
          <w:sz w:val="20"/>
          <w:szCs w:val="20"/>
          <w:lang w:val="en-US" w:eastAsia="en-US"/>
        </w:rPr>
        <w:t>Although I am essentially in agreement with the decisions made in the judgment and adopted unanimously, I find it necessary to place on record, as I stated during the respective deliberation</w:t>
      </w:r>
      <w:r w:rsidR="00F75F42" w:rsidRPr="00012C3F">
        <w:rPr>
          <w:rFonts w:eastAsia="Cambria"/>
          <w:sz w:val="20"/>
          <w:szCs w:val="20"/>
          <w:lang w:val="en-US" w:eastAsia="en-US"/>
        </w:rPr>
        <w:t>s</w:t>
      </w:r>
      <w:r w:rsidRPr="00012C3F">
        <w:rPr>
          <w:rFonts w:eastAsia="Cambria"/>
          <w:sz w:val="20"/>
          <w:szCs w:val="20"/>
          <w:lang w:val="en-US" w:eastAsia="en-US"/>
        </w:rPr>
        <w:t xml:space="preserve">, that the case clearly involves the right to health, so that it could have been examined in light </w:t>
      </w:r>
      <w:r w:rsidR="008A7A0F" w:rsidRPr="00012C3F">
        <w:rPr>
          <w:rFonts w:eastAsia="Cambria"/>
          <w:sz w:val="20"/>
          <w:szCs w:val="20"/>
          <w:lang w:val="en-US" w:eastAsia="en-US"/>
        </w:rPr>
        <w:t>of Article</w:t>
      </w:r>
      <w:r w:rsidR="00011543" w:rsidRPr="00012C3F">
        <w:rPr>
          <w:rFonts w:eastAsia="Cambria"/>
          <w:sz w:val="20"/>
          <w:szCs w:val="20"/>
          <w:lang w:val="en-US" w:eastAsia="en-US"/>
        </w:rPr>
        <w:t xml:space="preserve"> 26</w:t>
      </w:r>
      <w:r w:rsidR="001254DE" w:rsidRPr="00012C3F">
        <w:rPr>
          <w:rFonts w:eastAsia="Cambria"/>
          <w:sz w:val="20"/>
          <w:szCs w:val="20"/>
          <w:lang w:val="en-US" w:eastAsia="en-US"/>
        </w:rPr>
        <w:t xml:space="preserve"> of the American Convention on Human</w:t>
      </w:r>
      <w:r w:rsidR="00F75F42" w:rsidRPr="00012C3F">
        <w:rPr>
          <w:rFonts w:eastAsia="Cambria"/>
          <w:sz w:val="20"/>
          <w:szCs w:val="20"/>
          <w:lang w:val="en-US" w:eastAsia="en-US"/>
        </w:rPr>
        <w:t xml:space="preserve"> Rights</w:t>
      </w:r>
      <w:r w:rsidR="001254DE" w:rsidRPr="00012C3F">
        <w:rPr>
          <w:rFonts w:eastAsia="Cambria"/>
          <w:sz w:val="20"/>
          <w:szCs w:val="20"/>
          <w:lang w:val="en-US" w:eastAsia="en-US"/>
        </w:rPr>
        <w:t xml:space="preserve"> </w:t>
      </w:r>
      <w:r w:rsidRPr="00012C3F">
        <w:rPr>
          <w:rFonts w:eastAsia="Cambria"/>
          <w:sz w:val="20"/>
          <w:szCs w:val="20"/>
          <w:lang w:val="en-US" w:eastAsia="en-US"/>
        </w:rPr>
        <w:t>in application of the</w:t>
      </w:r>
      <w:r w:rsidR="00011543" w:rsidRPr="00012C3F">
        <w:rPr>
          <w:rFonts w:eastAsia="Cambria"/>
          <w:sz w:val="20"/>
          <w:szCs w:val="20"/>
          <w:lang w:val="en-US" w:eastAsia="en-US"/>
        </w:rPr>
        <w:t xml:space="preserve"> </w:t>
      </w:r>
      <w:r w:rsidR="00011543" w:rsidRPr="00012C3F">
        <w:rPr>
          <w:rFonts w:eastAsia="Cambria"/>
          <w:i/>
          <w:sz w:val="20"/>
          <w:szCs w:val="20"/>
          <w:lang w:val="en-US" w:eastAsia="en-US"/>
        </w:rPr>
        <w:t>iura novit curia</w:t>
      </w:r>
      <w:r w:rsidR="00F75F42" w:rsidRPr="00012C3F">
        <w:rPr>
          <w:rFonts w:eastAsia="Cambria"/>
          <w:i/>
          <w:sz w:val="20"/>
          <w:szCs w:val="20"/>
          <w:lang w:val="en-US" w:eastAsia="en-US"/>
        </w:rPr>
        <w:t xml:space="preserve"> </w:t>
      </w:r>
      <w:r w:rsidR="00F75F42" w:rsidRPr="00012C3F">
        <w:rPr>
          <w:rFonts w:eastAsia="Cambria"/>
          <w:sz w:val="20"/>
          <w:szCs w:val="20"/>
          <w:lang w:val="en-US" w:eastAsia="en-US"/>
        </w:rPr>
        <w:t>principle,</w:t>
      </w:r>
      <w:r w:rsidR="00011543" w:rsidRPr="00012C3F">
        <w:rPr>
          <w:rFonts w:eastAsia="Cambria"/>
          <w:sz w:val="20"/>
          <w:szCs w:val="20"/>
          <w:lang w:val="en-US" w:eastAsia="en-US"/>
        </w:rPr>
        <w:t xml:space="preserve"> </w:t>
      </w:r>
      <w:r w:rsidRPr="00012C3F">
        <w:rPr>
          <w:rFonts w:eastAsia="Cambria"/>
          <w:sz w:val="20"/>
          <w:szCs w:val="20"/>
          <w:lang w:val="en-US" w:eastAsia="en-US"/>
        </w:rPr>
        <w:t xml:space="preserve">instead of subsuming this right in other precepts of the Pact of </w:t>
      </w:r>
      <w:r w:rsidR="00011543" w:rsidRPr="00012C3F">
        <w:rPr>
          <w:rFonts w:eastAsia="Cambria"/>
          <w:sz w:val="20"/>
          <w:szCs w:val="20"/>
          <w:lang w:val="en-US" w:eastAsia="en-US"/>
        </w:rPr>
        <w:t xml:space="preserve">San José </w:t>
      </w:r>
      <w:r w:rsidRPr="00012C3F">
        <w:rPr>
          <w:rFonts w:eastAsia="Cambria"/>
          <w:sz w:val="20"/>
          <w:szCs w:val="20"/>
          <w:lang w:val="en-US" w:eastAsia="en-US"/>
        </w:rPr>
        <w:t xml:space="preserve">that were declared to have been violated in the judgment. As I have stated on other occasions, this traditional approach of subsuming rights by connectivity does not contribute to the interdependence and indivisibility of the rights, whether civil, political, economic, social, cultural or environmental, especially </w:t>
      </w:r>
      <w:r w:rsidR="00E47EF0" w:rsidRPr="00012C3F">
        <w:rPr>
          <w:rFonts w:eastAsia="Cambria"/>
          <w:sz w:val="20"/>
          <w:szCs w:val="20"/>
          <w:lang w:val="en-US" w:eastAsia="en-US"/>
        </w:rPr>
        <w:t>at the current stage of development of international human rights law.</w:t>
      </w:r>
    </w:p>
    <w:p w14:paraId="2B926159" w14:textId="77777777" w:rsidR="00011543" w:rsidRPr="00012C3F" w:rsidRDefault="00011543" w:rsidP="00011543">
      <w:pPr>
        <w:widowControl/>
        <w:tabs>
          <w:tab w:val="left" w:pos="709"/>
          <w:tab w:val="left" w:pos="1464"/>
        </w:tabs>
        <w:adjustRightInd/>
        <w:spacing w:line="240" w:lineRule="auto"/>
        <w:contextualSpacing/>
        <w:textAlignment w:val="auto"/>
        <w:rPr>
          <w:rFonts w:eastAsia="Cambria"/>
          <w:sz w:val="20"/>
          <w:szCs w:val="20"/>
          <w:lang w:val="en-US" w:eastAsia="en-US"/>
        </w:rPr>
      </w:pPr>
    </w:p>
    <w:p w14:paraId="29AD6B13" w14:textId="77777777" w:rsidR="00011543" w:rsidRPr="00012C3F" w:rsidRDefault="00E47EF0" w:rsidP="00AD28A6">
      <w:pPr>
        <w:widowControl/>
        <w:numPr>
          <w:ilvl w:val="0"/>
          <w:numId w:val="46"/>
        </w:numPr>
        <w:tabs>
          <w:tab w:val="left" w:pos="709"/>
          <w:tab w:val="left" w:pos="1464"/>
        </w:tabs>
        <w:adjustRightInd/>
        <w:spacing w:line="240" w:lineRule="auto"/>
        <w:ind w:left="0" w:firstLine="0"/>
        <w:contextualSpacing/>
        <w:textAlignment w:val="auto"/>
        <w:rPr>
          <w:rFonts w:eastAsia="Cambria"/>
          <w:sz w:val="20"/>
          <w:szCs w:val="20"/>
          <w:lang w:val="en-US" w:eastAsia="en-US"/>
        </w:rPr>
      </w:pPr>
      <w:r w:rsidRPr="00012C3F">
        <w:rPr>
          <w:rFonts w:eastAsia="Cambria"/>
          <w:sz w:val="20"/>
          <w:szCs w:val="20"/>
          <w:lang w:val="en-US" w:eastAsia="en-US"/>
        </w:rPr>
        <w:t>In the judgment, the Court chose to consider “</w:t>
      </w:r>
      <w:r w:rsidRPr="00012C3F">
        <w:rPr>
          <w:rFonts w:eastAsia="Cambria"/>
          <w:sz w:val="20"/>
          <w:szCs w:val="20"/>
          <w:u w:val="single"/>
          <w:lang w:val="en-US" w:eastAsia="en-US"/>
        </w:rPr>
        <w:t>health as an integral part of the</w:t>
      </w:r>
      <w:r w:rsidRPr="00012C3F">
        <w:rPr>
          <w:rFonts w:eastAsia="Cambria"/>
          <w:sz w:val="20"/>
          <w:szCs w:val="20"/>
          <w:lang w:val="en-US" w:eastAsia="en-US"/>
        </w:rPr>
        <w:t xml:space="preserve"> </w:t>
      </w:r>
      <w:r w:rsidRPr="00012C3F">
        <w:rPr>
          <w:rFonts w:eastAsia="Cambria"/>
          <w:sz w:val="20"/>
          <w:szCs w:val="20"/>
          <w:u w:val="single"/>
          <w:lang w:val="en-US" w:eastAsia="en-US"/>
        </w:rPr>
        <w:t xml:space="preserve">right </w:t>
      </w:r>
      <w:r w:rsidR="006C705C" w:rsidRPr="00012C3F">
        <w:rPr>
          <w:rFonts w:eastAsia="Cambria"/>
          <w:sz w:val="20"/>
          <w:szCs w:val="20"/>
          <w:u w:val="single"/>
          <w:lang w:val="en-US" w:eastAsia="en-US"/>
        </w:rPr>
        <w:t>to personal integrity</w:t>
      </w:r>
      <w:r w:rsidRPr="00012C3F">
        <w:rPr>
          <w:rFonts w:eastAsia="Cambria"/>
          <w:sz w:val="20"/>
          <w:szCs w:val="20"/>
          <w:u w:val="single"/>
          <w:lang w:val="en-US" w:eastAsia="en-US"/>
        </w:rPr>
        <w:t>.</w:t>
      </w:r>
      <w:r w:rsidR="00011543" w:rsidRPr="00012C3F">
        <w:rPr>
          <w:rFonts w:eastAsia="Cambria"/>
          <w:sz w:val="20"/>
          <w:szCs w:val="20"/>
          <w:lang w:val="en-US" w:eastAsia="en-US"/>
        </w:rPr>
        <w:t>”</w:t>
      </w:r>
      <w:r w:rsidR="00011543" w:rsidRPr="00012C3F">
        <w:rPr>
          <w:rFonts w:eastAsia="Cambria"/>
          <w:sz w:val="20"/>
          <w:szCs w:val="20"/>
          <w:vertAlign w:val="superscript"/>
          <w:lang w:val="en-US" w:eastAsia="en-US"/>
        </w:rPr>
        <w:footnoteReference w:id="419"/>
      </w:r>
      <w:r w:rsidR="00011543" w:rsidRPr="00012C3F">
        <w:rPr>
          <w:rFonts w:eastAsia="Cambria"/>
          <w:sz w:val="20"/>
          <w:szCs w:val="20"/>
          <w:lang w:val="en-US" w:eastAsia="en-US"/>
        </w:rPr>
        <w:t xml:space="preserve"> </w:t>
      </w:r>
      <w:r w:rsidR="00AD28A6" w:rsidRPr="00012C3F">
        <w:rPr>
          <w:rFonts w:eastAsia="Cambria"/>
          <w:sz w:val="20"/>
          <w:szCs w:val="20"/>
          <w:lang w:val="en-US" w:eastAsia="en-US"/>
        </w:rPr>
        <w:t xml:space="preserve">Whereas an approach that focused on the social rights would have provided greater conceptual clarity to the real </w:t>
      </w:r>
      <w:r w:rsidR="0013791D" w:rsidRPr="00012C3F">
        <w:rPr>
          <w:rFonts w:eastAsia="Cambria"/>
          <w:sz w:val="20"/>
          <w:szCs w:val="20"/>
          <w:lang w:val="en-US" w:eastAsia="en-US"/>
        </w:rPr>
        <w:t>reason</w:t>
      </w:r>
      <w:r w:rsidR="00AD28A6" w:rsidRPr="00012C3F">
        <w:rPr>
          <w:rFonts w:eastAsia="Cambria"/>
          <w:sz w:val="20"/>
          <w:szCs w:val="20"/>
          <w:lang w:val="en-US" w:eastAsia="en-US"/>
        </w:rPr>
        <w:t xml:space="preserve"> </w:t>
      </w:r>
      <w:r w:rsidR="0013791D" w:rsidRPr="00012C3F">
        <w:rPr>
          <w:rFonts w:eastAsia="Cambria"/>
          <w:sz w:val="20"/>
          <w:szCs w:val="20"/>
          <w:lang w:val="en-US" w:eastAsia="en-US"/>
        </w:rPr>
        <w:t>for</w:t>
      </w:r>
      <w:r w:rsidR="00AD28A6" w:rsidRPr="00012C3F">
        <w:rPr>
          <w:rFonts w:eastAsia="Cambria"/>
          <w:sz w:val="20"/>
          <w:szCs w:val="20"/>
          <w:lang w:val="en-US" w:eastAsia="en-US"/>
        </w:rPr>
        <w:t xml:space="preserve"> the violations suffered by the victim. Indeed, it should not be overlooked that the central dispute in this case consisted in determining whether the medical procedure of bilateral tubal ligation performed on I.V. by a public official in a State hospital, was contrary to the State’s international obligations. Thus, the crucial aspect was to elucidate whether this procedure was performed following the patient’s informed consent, under the parameters established in international law for this type of medical act at the time of the facts. The Court found it “pertinent to proceed, first, to provide content to the scope of the rights </w:t>
      </w:r>
      <w:r w:rsidR="006C705C" w:rsidRPr="00012C3F">
        <w:rPr>
          <w:rFonts w:eastAsia="Cambria"/>
          <w:sz w:val="20"/>
          <w:szCs w:val="20"/>
          <w:lang w:val="en-US" w:eastAsia="en-US"/>
        </w:rPr>
        <w:t>established in</w:t>
      </w:r>
      <w:r w:rsidR="00011543" w:rsidRPr="00012C3F">
        <w:rPr>
          <w:rFonts w:eastAsia="Cambria"/>
          <w:sz w:val="20"/>
          <w:szCs w:val="20"/>
          <w:lang w:val="en-US" w:eastAsia="en-US"/>
        </w:rPr>
        <w:t xml:space="preserve"> </w:t>
      </w:r>
      <w:r w:rsidR="001254DE" w:rsidRPr="00012C3F">
        <w:rPr>
          <w:rFonts w:eastAsia="Cambria"/>
          <w:sz w:val="20"/>
          <w:szCs w:val="20"/>
          <w:lang w:val="en-US" w:eastAsia="en-US"/>
        </w:rPr>
        <w:t>the American Convention</w:t>
      </w:r>
      <w:r w:rsidR="00011543" w:rsidRPr="00012C3F">
        <w:rPr>
          <w:rFonts w:eastAsia="Cambria"/>
          <w:sz w:val="20"/>
          <w:szCs w:val="20"/>
          <w:lang w:val="en-US" w:eastAsia="en-US"/>
        </w:rPr>
        <w:t xml:space="preserve"> </w:t>
      </w:r>
      <w:r w:rsidR="00AD28A6" w:rsidRPr="00012C3F">
        <w:rPr>
          <w:rFonts w:eastAsia="Cambria"/>
          <w:sz w:val="20"/>
          <w:szCs w:val="20"/>
          <w:lang w:val="en-US" w:eastAsia="en-US"/>
        </w:rPr>
        <w:t xml:space="preserve">that </w:t>
      </w:r>
      <w:r w:rsidR="00A37593" w:rsidRPr="00012C3F">
        <w:rPr>
          <w:rFonts w:eastAsia="Cambria"/>
          <w:sz w:val="20"/>
          <w:szCs w:val="20"/>
          <w:lang w:val="en-US" w:eastAsia="en-US"/>
        </w:rPr>
        <w:t>have been alleged</w:t>
      </w:r>
      <w:r w:rsidR="00AD28A6" w:rsidRPr="00012C3F">
        <w:rPr>
          <w:rFonts w:eastAsia="Cambria"/>
          <w:sz w:val="20"/>
          <w:szCs w:val="20"/>
          <w:lang w:val="en-US" w:eastAsia="en-US"/>
        </w:rPr>
        <w:t xml:space="preserve"> </w:t>
      </w:r>
      <w:r w:rsidR="006C705C" w:rsidRPr="00012C3F">
        <w:rPr>
          <w:rFonts w:eastAsia="Cambria"/>
          <w:sz w:val="20"/>
          <w:szCs w:val="20"/>
          <w:lang w:val="en-US" w:eastAsia="en-US"/>
        </w:rPr>
        <w:t>in this case</w:t>
      </w:r>
      <w:r w:rsidR="005E5012" w:rsidRPr="00012C3F">
        <w:rPr>
          <w:rFonts w:eastAsia="Cambria"/>
          <w:sz w:val="20"/>
          <w:szCs w:val="20"/>
          <w:lang w:val="en-US" w:eastAsia="en-US"/>
        </w:rPr>
        <w:t xml:space="preserve"> and </w:t>
      </w:r>
      <w:r w:rsidR="00AD28A6" w:rsidRPr="00012C3F">
        <w:rPr>
          <w:rFonts w:eastAsia="Cambria"/>
          <w:sz w:val="20"/>
          <w:szCs w:val="20"/>
          <w:u w:val="single"/>
          <w:lang w:val="en-US" w:eastAsia="en-US"/>
        </w:rPr>
        <w:t xml:space="preserve">that </w:t>
      </w:r>
      <w:r w:rsidR="00A37593" w:rsidRPr="00012C3F">
        <w:rPr>
          <w:rFonts w:eastAsia="Cambria"/>
          <w:sz w:val="20"/>
          <w:szCs w:val="20"/>
          <w:u w:val="single"/>
          <w:lang w:val="en-US" w:eastAsia="en-US"/>
        </w:rPr>
        <w:t>a</w:t>
      </w:r>
      <w:r w:rsidR="00AD28A6" w:rsidRPr="00012C3F">
        <w:rPr>
          <w:rFonts w:eastAsia="Cambria"/>
          <w:sz w:val="20"/>
          <w:szCs w:val="20"/>
          <w:u w:val="single"/>
          <w:lang w:val="en-US" w:eastAsia="en-US"/>
        </w:rPr>
        <w:t xml:space="preserve">re applicable </w:t>
      </w:r>
      <w:r w:rsidR="00A37593" w:rsidRPr="00012C3F">
        <w:rPr>
          <w:rFonts w:eastAsia="Cambria"/>
          <w:sz w:val="20"/>
          <w:szCs w:val="20"/>
          <w:u w:val="single"/>
          <w:lang w:val="en-US" w:eastAsia="en-US"/>
        </w:rPr>
        <w:t>with regard to</w:t>
      </w:r>
      <w:r w:rsidR="00AD28A6" w:rsidRPr="00012C3F">
        <w:rPr>
          <w:rFonts w:eastAsia="Cambria"/>
          <w:sz w:val="20"/>
          <w:szCs w:val="20"/>
          <w:u w:val="single"/>
          <w:lang w:val="en-US" w:eastAsia="en-US"/>
        </w:rPr>
        <w:t xml:space="preserve"> sexual and reproductive health.</w:t>
      </w:r>
      <w:r w:rsidR="00011543" w:rsidRPr="00012C3F">
        <w:rPr>
          <w:rFonts w:eastAsia="Cambria"/>
          <w:sz w:val="20"/>
          <w:szCs w:val="20"/>
          <w:lang w:val="en-US" w:eastAsia="en-US"/>
        </w:rPr>
        <w:t>”</w:t>
      </w:r>
      <w:r w:rsidR="00011543" w:rsidRPr="00012C3F">
        <w:rPr>
          <w:rFonts w:eastAsia="Cambria"/>
          <w:sz w:val="20"/>
          <w:szCs w:val="20"/>
          <w:vertAlign w:val="superscript"/>
          <w:lang w:val="en-US" w:eastAsia="en-US"/>
        </w:rPr>
        <w:footnoteReference w:id="420"/>
      </w:r>
    </w:p>
    <w:p w14:paraId="7CF18646" w14:textId="77777777" w:rsidR="00011543" w:rsidRPr="00012C3F" w:rsidRDefault="00011543" w:rsidP="00011543">
      <w:pPr>
        <w:widowControl/>
        <w:tabs>
          <w:tab w:val="left" w:pos="709"/>
          <w:tab w:val="left" w:pos="1464"/>
        </w:tabs>
        <w:adjustRightInd/>
        <w:spacing w:line="240" w:lineRule="auto"/>
        <w:contextualSpacing/>
        <w:textAlignment w:val="auto"/>
        <w:rPr>
          <w:rFonts w:eastAsia="Cambria"/>
          <w:sz w:val="20"/>
          <w:szCs w:val="20"/>
          <w:lang w:val="en-US" w:eastAsia="en-US"/>
        </w:rPr>
      </w:pPr>
    </w:p>
    <w:p w14:paraId="58B92B7B" w14:textId="77777777" w:rsidR="00011543" w:rsidRPr="00012C3F" w:rsidRDefault="00AD28A6" w:rsidP="00EC0AA6">
      <w:pPr>
        <w:widowControl/>
        <w:numPr>
          <w:ilvl w:val="0"/>
          <w:numId w:val="46"/>
        </w:numPr>
        <w:adjustRightInd/>
        <w:spacing w:line="240" w:lineRule="auto"/>
        <w:ind w:left="0" w:firstLine="0"/>
        <w:contextualSpacing/>
        <w:textAlignment w:val="auto"/>
        <w:rPr>
          <w:rFonts w:eastAsia="Cambria"/>
          <w:b/>
          <w:i/>
          <w:sz w:val="20"/>
          <w:szCs w:val="20"/>
          <w:lang w:val="en-US" w:eastAsia="en-US"/>
        </w:rPr>
      </w:pPr>
      <w:r w:rsidRPr="00012C3F">
        <w:rPr>
          <w:rFonts w:eastAsia="Cambria"/>
          <w:sz w:val="20"/>
          <w:szCs w:val="20"/>
          <w:lang w:val="en-US" w:eastAsia="en-US"/>
        </w:rPr>
        <w:t>The Inter-American Court considered that, at the time of the facts</w:t>
      </w:r>
      <w:r w:rsidR="00011543" w:rsidRPr="00012C3F">
        <w:rPr>
          <w:rFonts w:eastAsia="Cambria"/>
          <w:sz w:val="20"/>
          <w:szCs w:val="20"/>
          <w:lang w:val="en-US" w:eastAsia="en-US"/>
        </w:rPr>
        <w:t xml:space="preserve"> (2000), “</w:t>
      </w:r>
      <w:r w:rsidRPr="00012C3F">
        <w:rPr>
          <w:rFonts w:eastAsia="Cambria"/>
          <w:sz w:val="20"/>
          <w:szCs w:val="20"/>
          <w:lang w:val="en-US" w:eastAsia="en-US"/>
        </w:rPr>
        <w:t xml:space="preserve">the State had </w:t>
      </w:r>
      <w:r w:rsidR="00EC0AA6" w:rsidRPr="00012C3F">
        <w:rPr>
          <w:rFonts w:eastAsia="Cambria"/>
          <w:sz w:val="20"/>
          <w:szCs w:val="20"/>
          <w:lang w:val="en-US" w:eastAsia="en-US"/>
        </w:rPr>
        <w:t>an</w:t>
      </w:r>
      <w:r w:rsidRPr="00012C3F">
        <w:rPr>
          <w:rFonts w:eastAsia="Cambria"/>
          <w:sz w:val="20"/>
          <w:szCs w:val="20"/>
          <w:lang w:val="en-US" w:eastAsia="en-US"/>
        </w:rPr>
        <w:t xml:space="preserve"> international obligation to obtain, through its health personnel, the consent of patients </w:t>
      </w:r>
      <w:r w:rsidR="00EC0AA6" w:rsidRPr="00012C3F">
        <w:rPr>
          <w:rFonts w:eastAsia="MS Mincho"/>
          <w:sz w:val="20"/>
          <w:szCs w:val="20"/>
          <w:lang w:val="en-US" w:eastAsia="en-US" w:bidi="en-US"/>
        </w:rPr>
        <w:t>for medical procedures and, especially, of women in the case of female sterilizations, and this should have complied with the characteristics of being prior, free, full and informed following a process of informed decision-making</w:t>
      </w:r>
      <w:r w:rsidR="00011543" w:rsidRPr="00012C3F">
        <w:rPr>
          <w:rFonts w:eastAsia="Cambria"/>
          <w:sz w:val="20"/>
          <w:szCs w:val="20"/>
          <w:lang w:val="en-US" w:eastAsia="en-US"/>
        </w:rPr>
        <w:t>”</w:t>
      </w:r>
      <w:r w:rsidRPr="00012C3F">
        <w:rPr>
          <w:rFonts w:eastAsia="Cambria"/>
          <w:sz w:val="20"/>
          <w:szCs w:val="20"/>
          <w:lang w:val="en-US" w:eastAsia="en-US"/>
        </w:rPr>
        <w:t>;</w:t>
      </w:r>
      <w:r w:rsidR="00011543" w:rsidRPr="00012C3F">
        <w:rPr>
          <w:rFonts w:eastAsia="Cambria"/>
          <w:sz w:val="20"/>
          <w:szCs w:val="20"/>
          <w:vertAlign w:val="superscript"/>
          <w:lang w:val="en-US" w:eastAsia="en-US"/>
        </w:rPr>
        <w:footnoteReference w:id="421"/>
      </w:r>
      <w:r w:rsidR="005E5012" w:rsidRPr="00012C3F">
        <w:rPr>
          <w:rFonts w:eastAsia="Cambria"/>
          <w:sz w:val="20"/>
          <w:szCs w:val="20"/>
          <w:lang w:val="en-US" w:eastAsia="en-US"/>
        </w:rPr>
        <w:t xml:space="preserve"> and </w:t>
      </w:r>
      <w:r w:rsidRPr="00012C3F">
        <w:rPr>
          <w:rFonts w:eastAsia="Cambria"/>
          <w:sz w:val="20"/>
          <w:szCs w:val="20"/>
          <w:lang w:val="en-US" w:eastAsia="en-US"/>
        </w:rPr>
        <w:t>that, for the effects of this case, sterilization without consent that had these characteristics was considered “as non-consensual or involuntary sterilization,”</w:t>
      </w:r>
      <w:r w:rsidR="00011543" w:rsidRPr="00012C3F">
        <w:rPr>
          <w:rFonts w:eastAsia="Cambria"/>
          <w:sz w:val="20"/>
          <w:szCs w:val="20"/>
          <w:lang w:val="en-US" w:eastAsia="en-US"/>
        </w:rPr>
        <w:t xml:space="preserve"> </w:t>
      </w:r>
      <w:r w:rsidRPr="00012C3F">
        <w:rPr>
          <w:rFonts w:eastAsia="Cambria"/>
          <w:sz w:val="20"/>
          <w:szCs w:val="20"/>
          <w:lang w:val="en-US" w:eastAsia="en-US"/>
        </w:rPr>
        <w:t>over and above the different terminology adopted by different regional and international human rights agencies.</w:t>
      </w:r>
      <w:r w:rsidR="00011543" w:rsidRPr="00012C3F">
        <w:rPr>
          <w:rFonts w:eastAsia="Cambria"/>
          <w:sz w:val="20"/>
          <w:szCs w:val="20"/>
          <w:vertAlign w:val="superscript"/>
          <w:lang w:val="en-US" w:eastAsia="en-US"/>
        </w:rPr>
        <w:footnoteReference w:id="422"/>
      </w:r>
    </w:p>
    <w:p w14:paraId="52C5F7DB" w14:textId="77777777" w:rsidR="00011543" w:rsidRPr="00012C3F" w:rsidRDefault="00011543" w:rsidP="00011543">
      <w:pPr>
        <w:widowControl/>
        <w:tabs>
          <w:tab w:val="left" w:pos="709"/>
          <w:tab w:val="left" w:pos="1464"/>
        </w:tabs>
        <w:adjustRightInd/>
        <w:spacing w:line="240" w:lineRule="auto"/>
        <w:textAlignment w:val="auto"/>
        <w:rPr>
          <w:rFonts w:eastAsia="MS Mincho"/>
          <w:sz w:val="20"/>
          <w:szCs w:val="20"/>
          <w:lang w:val="en-US" w:eastAsia="es-ES"/>
        </w:rPr>
      </w:pPr>
    </w:p>
    <w:p w14:paraId="0FC27529" w14:textId="77777777" w:rsidR="00011543" w:rsidRPr="00012C3F" w:rsidRDefault="00B47043" w:rsidP="00B47043">
      <w:pPr>
        <w:widowControl/>
        <w:numPr>
          <w:ilvl w:val="0"/>
          <w:numId w:val="46"/>
        </w:numPr>
        <w:tabs>
          <w:tab w:val="left" w:pos="709"/>
          <w:tab w:val="left" w:pos="1464"/>
        </w:tabs>
        <w:adjustRightInd/>
        <w:spacing w:line="240" w:lineRule="auto"/>
        <w:ind w:left="0" w:firstLine="0"/>
        <w:contextualSpacing/>
        <w:textAlignment w:val="auto"/>
        <w:rPr>
          <w:rFonts w:eastAsia="Cambria"/>
          <w:sz w:val="20"/>
          <w:szCs w:val="20"/>
          <w:lang w:val="en-US" w:eastAsia="en-US"/>
        </w:rPr>
      </w:pPr>
      <w:r w:rsidRPr="00012C3F">
        <w:rPr>
          <w:rFonts w:eastAsia="Cambria"/>
          <w:sz w:val="20"/>
          <w:szCs w:val="20"/>
          <w:lang w:val="en-US" w:eastAsia="en-US"/>
        </w:rPr>
        <w:lastRenderedPageBreak/>
        <w:t xml:space="preserve">A careful reading of the judgment is sufficient to note that, in reality, the </w:t>
      </w:r>
      <w:r w:rsidRPr="00012C3F">
        <w:rPr>
          <w:rFonts w:eastAsia="Cambria"/>
          <w:i/>
          <w:sz w:val="20"/>
          <w:szCs w:val="20"/>
          <w:lang w:val="en-US" w:eastAsia="en-US"/>
        </w:rPr>
        <w:t>right to health</w:t>
      </w:r>
      <w:r w:rsidR="00011543" w:rsidRPr="00012C3F">
        <w:rPr>
          <w:rFonts w:eastAsia="Cambria"/>
          <w:i/>
          <w:sz w:val="20"/>
          <w:szCs w:val="20"/>
          <w:lang w:val="en-US" w:eastAsia="en-US"/>
        </w:rPr>
        <w:t xml:space="preserve"> (sexual</w:t>
      </w:r>
      <w:r w:rsidR="005E5012" w:rsidRPr="00012C3F">
        <w:rPr>
          <w:rFonts w:eastAsia="Cambria"/>
          <w:i/>
          <w:sz w:val="20"/>
          <w:szCs w:val="20"/>
          <w:lang w:val="en-US" w:eastAsia="en-US"/>
        </w:rPr>
        <w:t xml:space="preserve"> and </w:t>
      </w:r>
      <w:r w:rsidR="00011543" w:rsidRPr="00012C3F">
        <w:rPr>
          <w:rFonts w:eastAsia="Cambria"/>
          <w:i/>
          <w:sz w:val="20"/>
          <w:szCs w:val="20"/>
          <w:lang w:val="en-US" w:eastAsia="en-US"/>
        </w:rPr>
        <w:t>reproductiv</w:t>
      </w:r>
      <w:r w:rsidRPr="00012C3F">
        <w:rPr>
          <w:rFonts w:eastAsia="Cambria"/>
          <w:i/>
          <w:sz w:val="20"/>
          <w:szCs w:val="20"/>
          <w:lang w:val="en-US" w:eastAsia="en-US"/>
        </w:rPr>
        <w:t>e</w:t>
      </w:r>
      <w:r w:rsidR="00011543" w:rsidRPr="00012C3F">
        <w:rPr>
          <w:rFonts w:eastAsia="Cambria"/>
          <w:i/>
          <w:sz w:val="20"/>
          <w:szCs w:val="20"/>
          <w:lang w:val="en-US" w:eastAsia="en-US"/>
        </w:rPr>
        <w:t xml:space="preserve">) </w:t>
      </w:r>
      <w:r w:rsidRPr="00012C3F">
        <w:rPr>
          <w:rFonts w:eastAsia="Cambria"/>
          <w:sz w:val="20"/>
          <w:szCs w:val="20"/>
          <w:lang w:val="en-US" w:eastAsia="en-US"/>
        </w:rPr>
        <w:t>is one of the core aspects of the case, as can be seen from the numerous references made to it in the considerations</w:t>
      </w:r>
      <w:r w:rsidR="00011543" w:rsidRPr="00012C3F">
        <w:rPr>
          <w:rFonts w:eastAsia="Cambria"/>
          <w:sz w:val="20"/>
          <w:szCs w:val="20"/>
          <w:vertAlign w:val="superscript"/>
          <w:lang w:val="en-US" w:eastAsia="en-US"/>
        </w:rPr>
        <w:footnoteReference w:id="423"/>
      </w:r>
      <w:r w:rsidR="005E5012" w:rsidRPr="00012C3F">
        <w:rPr>
          <w:rFonts w:eastAsia="Cambria"/>
          <w:sz w:val="20"/>
          <w:szCs w:val="20"/>
          <w:lang w:val="en-US" w:eastAsia="en-US"/>
        </w:rPr>
        <w:t xml:space="preserve"> and </w:t>
      </w:r>
      <w:r w:rsidRPr="00012C3F">
        <w:rPr>
          <w:rFonts w:eastAsia="Cambria"/>
          <w:sz w:val="20"/>
          <w:szCs w:val="20"/>
          <w:lang w:val="en-US" w:eastAsia="en-US"/>
        </w:rPr>
        <w:t>in the operative paragraphs of the judgment.</w:t>
      </w:r>
      <w:r w:rsidR="00011543" w:rsidRPr="00012C3F">
        <w:rPr>
          <w:rFonts w:eastAsia="Cambria"/>
          <w:sz w:val="20"/>
          <w:szCs w:val="20"/>
          <w:vertAlign w:val="superscript"/>
          <w:lang w:val="en-US" w:eastAsia="en-US"/>
        </w:rPr>
        <w:footnoteReference w:id="424"/>
      </w:r>
    </w:p>
    <w:p w14:paraId="32156F40" w14:textId="77777777" w:rsidR="00011543" w:rsidRPr="00012C3F" w:rsidRDefault="00011543" w:rsidP="00011543">
      <w:pPr>
        <w:widowControl/>
        <w:tabs>
          <w:tab w:val="left" w:pos="709"/>
          <w:tab w:val="left" w:pos="1464"/>
        </w:tabs>
        <w:adjustRightInd/>
        <w:spacing w:line="240" w:lineRule="auto"/>
        <w:contextualSpacing/>
        <w:textAlignment w:val="auto"/>
        <w:rPr>
          <w:rFonts w:eastAsia="Cambria"/>
          <w:sz w:val="20"/>
          <w:szCs w:val="20"/>
          <w:lang w:val="en-US" w:eastAsia="en-US"/>
        </w:rPr>
      </w:pPr>
    </w:p>
    <w:p w14:paraId="7B59BD6B" w14:textId="77777777" w:rsidR="00011543" w:rsidRPr="00012C3F" w:rsidRDefault="00B47043" w:rsidP="00B47043">
      <w:pPr>
        <w:widowControl/>
        <w:numPr>
          <w:ilvl w:val="0"/>
          <w:numId w:val="46"/>
        </w:numPr>
        <w:tabs>
          <w:tab w:val="left" w:pos="709"/>
          <w:tab w:val="left" w:pos="1464"/>
        </w:tabs>
        <w:adjustRightInd/>
        <w:spacing w:line="240" w:lineRule="auto"/>
        <w:ind w:left="0" w:firstLine="0"/>
        <w:contextualSpacing/>
        <w:textAlignment w:val="auto"/>
        <w:rPr>
          <w:rFonts w:eastAsia="Cambria"/>
          <w:sz w:val="20"/>
          <w:szCs w:val="20"/>
          <w:lang w:val="en-US" w:eastAsia="en-US"/>
        </w:rPr>
      </w:pPr>
      <w:r w:rsidRPr="00012C3F">
        <w:rPr>
          <w:rFonts w:eastAsia="Cambria"/>
          <w:sz w:val="20"/>
          <w:szCs w:val="20"/>
          <w:lang w:val="en-US" w:eastAsia="en-US"/>
        </w:rPr>
        <w:t>Consequently, i</w:t>
      </w:r>
      <w:r w:rsidR="00EC0AA6" w:rsidRPr="00012C3F">
        <w:rPr>
          <w:rFonts w:eastAsia="Cambria"/>
          <w:sz w:val="20"/>
          <w:szCs w:val="20"/>
          <w:lang w:val="en-US" w:eastAsia="en-US"/>
        </w:rPr>
        <w:t>f</w:t>
      </w:r>
      <w:r w:rsidRPr="00012C3F">
        <w:rPr>
          <w:rFonts w:eastAsia="Cambria"/>
          <w:sz w:val="20"/>
          <w:szCs w:val="20"/>
          <w:lang w:val="en-US" w:eastAsia="en-US"/>
        </w:rPr>
        <w:t xml:space="preserve"> the Court had chosen an approach focused on social rights, I consider that it would have clarified some aspects of the decision; for example, the distinction between the right </w:t>
      </w:r>
      <w:r w:rsidR="006C705C" w:rsidRPr="00012C3F">
        <w:rPr>
          <w:rFonts w:eastAsia="MS Mincho"/>
          <w:sz w:val="20"/>
          <w:szCs w:val="20"/>
          <w:lang w:val="en-US" w:eastAsia="es-ES"/>
        </w:rPr>
        <w:t>of access to information</w:t>
      </w:r>
      <w:r w:rsidR="00011543" w:rsidRPr="00012C3F">
        <w:rPr>
          <w:rFonts w:eastAsia="MS Mincho"/>
          <w:sz w:val="20"/>
          <w:szCs w:val="20"/>
          <w:lang w:val="en-US" w:eastAsia="es-ES"/>
        </w:rPr>
        <w:t xml:space="preserve"> (</w:t>
      </w:r>
      <w:r w:rsidR="001254DE" w:rsidRPr="00012C3F">
        <w:rPr>
          <w:rFonts w:eastAsia="MS Mincho"/>
          <w:sz w:val="20"/>
          <w:szCs w:val="20"/>
          <w:lang w:val="en-US" w:eastAsia="es-ES"/>
        </w:rPr>
        <w:t>Article</w:t>
      </w:r>
      <w:r w:rsidR="00011543" w:rsidRPr="00012C3F">
        <w:rPr>
          <w:rFonts w:eastAsia="MS Mincho"/>
          <w:sz w:val="20"/>
          <w:szCs w:val="20"/>
          <w:lang w:val="en-US" w:eastAsia="es-ES"/>
        </w:rPr>
        <w:t xml:space="preserve"> 13</w:t>
      </w:r>
      <w:r w:rsidR="001254DE" w:rsidRPr="00012C3F">
        <w:rPr>
          <w:rFonts w:eastAsia="MS Mincho"/>
          <w:sz w:val="20"/>
          <w:szCs w:val="20"/>
          <w:lang w:val="en-US" w:eastAsia="es-ES"/>
        </w:rPr>
        <w:t xml:space="preserve"> of the American Convention</w:t>
      </w:r>
      <w:r w:rsidR="00011543" w:rsidRPr="00012C3F">
        <w:rPr>
          <w:rFonts w:eastAsia="MS Mincho"/>
          <w:sz w:val="20"/>
          <w:szCs w:val="20"/>
          <w:lang w:val="en-US" w:eastAsia="es-ES"/>
        </w:rPr>
        <w:t xml:space="preserve">), </w:t>
      </w:r>
      <w:r w:rsidRPr="00012C3F">
        <w:rPr>
          <w:rFonts w:eastAsia="MS Mincho"/>
          <w:sz w:val="20"/>
          <w:szCs w:val="20"/>
          <w:lang w:val="en-US" w:eastAsia="es-ES"/>
        </w:rPr>
        <w:t xml:space="preserve">and the guarantee of the accessibility of information as a means or instrument to implement the right to health </w:t>
      </w:r>
      <w:r w:rsidR="00011543" w:rsidRPr="00012C3F">
        <w:rPr>
          <w:rFonts w:eastAsia="MS Mincho"/>
          <w:sz w:val="20"/>
          <w:szCs w:val="20"/>
          <w:lang w:val="en-US" w:eastAsia="es-ES"/>
        </w:rPr>
        <w:t>(</w:t>
      </w:r>
      <w:r w:rsidRPr="00012C3F">
        <w:rPr>
          <w:rFonts w:eastAsia="MS Mincho"/>
          <w:sz w:val="20"/>
          <w:szCs w:val="20"/>
          <w:lang w:val="en-US" w:eastAsia="es-ES"/>
        </w:rPr>
        <w:t>under</w:t>
      </w:r>
      <w:r w:rsidR="00011543" w:rsidRPr="00012C3F">
        <w:rPr>
          <w:rFonts w:eastAsia="MS Mincho"/>
          <w:sz w:val="20"/>
          <w:szCs w:val="20"/>
          <w:lang w:val="en-US" w:eastAsia="es-ES"/>
        </w:rPr>
        <w:t xml:space="preserve"> </w:t>
      </w:r>
      <w:r w:rsidR="001254DE" w:rsidRPr="00012C3F">
        <w:rPr>
          <w:rFonts w:eastAsia="MS Mincho"/>
          <w:sz w:val="20"/>
          <w:szCs w:val="20"/>
          <w:lang w:val="en-US" w:eastAsia="es-ES"/>
        </w:rPr>
        <w:t>Article</w:t>
      </w:r>
      <w:r w:rsidR="00011543" w:rsidRPr="00012C3F">
        <w:rPr>
          <w:rFonts w:eastAsia="MS Mincho"/>
          <w:sz w:val="20"/>
          <w:szCs w:val="20"/>
          <w:lang w:val="en-US" w:eastAsia="es-ES"/>
        </w:rPr>
        <w:t xml:space="preserve"> 26 </w:t>
      </w:r>
      <w:r w:rsidRPr="00012C3F">
        <w:rPr>
          <w:rFonts w:eastAsia="MS Mincho"/>
          <w:sz w:val="20"/>
          <w:szCs w:val="20"/>
          <w:lang w:val="en-US" w:eastAsia="es-ES"/>
        </w:rPr>
        <w:t>of this treaty</w:t>
      </w:r>
      <w:r w:rsidR="00011543" w:rsidRPr="00012C3F">
        <w:rPr>
          <w:rFonts w:eastAsia="MS Mincho"/>
          <w:sz w:val="20"/>
          <w:szCs w:val="20"/>
          <w:lang w:val="en-US" w:eastAsia="es-ES"/>
        </w:rPr>
        <w:t>)</w:t>
      </w:r>
      <w:r w:rsidRPr="00012C3F">
        <w:rPr>
          <w:rFonts w:eastAsia="MS Mincho"/>
          <w:sz w:val="20"/>
          <w:szCs w:val="20"/>
          <w:lang w:val="en-US" w:eastAsia="es-ES"/>
        </w:rPr>
        <w:t>.</w:t>
      </w:r>
      <w:r w:rsidR="00011543" w:rsidRPr="00012C3F">
        <w:rPr>
          <w:rFonts w:eastAsia="MS Mincho"/>
          <w:sz w:val="20"/>
          <w:szCs w:val="20"/>
          <w:vertAlign w:val="superscript"/>
          <w:lang w:val="en-US" w:eastAsia="es-ES"/>
        </w:rPr>
        <w:footnoteReference w:id="425"/>
      </w:r>
    </w:p>
    <w:p w14:paraId="3CC4A38A" w14:textId="77777777" w:rsidR="00011543" w:rsidRPr="00012C3F" w:rsidRDefault="00011543" w:rsidP="00011543">
      <w:pPr>
        <w:widowControl/>
        <w:tabs>
          <w:tab w:val="left" w:pos="709"/>
          <w:tab w:val="left" w:pos="1464"/>
        </w:tabs>
        <w:adjustRightInd/>
        <w:spacing w:line="240" w:lineRule="auto"/>
        <w:textAlignment w:val="auto"/>
        <w:rPr>
          <w:rFonts w:eastAsia="MS Mincho"/>
          <w:sz w:val="20"/>
          <w:szCs w:val="20"/>
          <w:lang w:val="en-US" w:eastAsia="es-ES"/>
        </w:rPr>
      </w:pPr>
    </w:p>
    <w:p w14:paraId="5EC2ADBD" w14:textId="77777777" w:rsidR="00011543" w:rsidRPr="00012C3F" w:rsidRDefault="00011543" w:rsidP="00011543">
      <w:pPr>
        <w:widowControl/>
        <w:tabs>
          <w:tab w:val="left" w:pos="709"/>
          <w:tab w:val="left" w:pos="1464"/>
        </w:tabs>
        <w:adjustRightInd/>
        <w:spacing w:line="240" w:lineRule="auto"/>
        <w:textAlignment w:val="auto"/>
        <w:rPr>
          <w:rFonts w:eastAsia="MS Mincho"/>
          <w:sz w:val="20"/>
          <w:szCs w:val="20"/>
          <w:lang w:val="en-US" w:eastAsia="es-ES"/>
        </w:rPr>
      </w:pPr>
    </w:p>
    <w:p w14:paraId="6D9005DF" w14:textId="77777777" w:rsidR="00011543" w:rsidRPr="00012C3F" w:rsidRDefault="00011543" w:rsidP="00011543">
      <w:pPr>
        <w:widowControl/>
        <w:tabs>
          <w:tab w:val="left" w:pos="709"/>
          <w:tab w:val="left" w:pos="1464"/>
        </w:tabs>
        <w:adjustRightInd/>
        <w:spacing w:line="240" w:lineRule="auto"/>
        <w:textAlignment w:val="auto"/>
        <w:rPr>
          <w:rFonts w:eastAsia="MS Mincho"/>
          <w:sz w:val="20"/>
          <w:szCs w:val="20"/>
          <w:lang w:val="en-US" w:eastAsia="es-ES"/>
        </w:rPr>
      </w:pPr>
    </w:p>
    <w:p w14:paraId="493E3086" w14:textId="77777777" w:rsidR="00011543" w:rsidRPr="00012C3F" w:rsidRDefault="00011543" w:rsidP="00011543">
      <w:pPr>
        <w:widowControl/>
        <w:tabs>
          <w:tab w:val="left" w:pos="709"/>
          <w:tab w:val="left" w:pos="1464"/>
        </w:tabs>
        <w:adjustRightInd/>
        <w:spacing w:line="240" w:lineRule="auto"/>
        <w:textAlignment w:val="auto"/>
        <w:rPr>
          <w:rFonts w:eastAsia="MS Mincho"/>
          <w:sz w:val="20"/>
          <w:szCs w:val="20"/>
          <w:lang w:val="en-US" w:eastAsia="es-ES"/>
        </w:rPr>
      </w:pPr>
    </w:p>
    <w:p w14:paraId="71D86FE6" w14:textId="77777777" w:rsidR="00011543" w:rsidRPr="00012C3F" w:rsidRDefault="00011543" w:rsidP="00011543">
      <w:pPr>
        <w:widowControl/>
        <w:tabs>
          <w:tab w:val="left" w:pos="709"/>
          <w:tab w:val="left" w:pos="1464"/>
        </w:tabs>
        <w:adjustRightInd/>
        <w:spacing w:line="240" w:lineRule="auto"/>
        <w:textAlignment w:val="auto"/>
        <w:rPr>
          <w:rFonts w:eastAsia="MS Mincho"/>
          <w:sz w:val="20"/>
          <w:szCs w:val="20"/>
          <w:lang w:val="en-US" w:eastAsia="es-ES"/>
        </w:rPr>
      </w:pPr>
    </w:p>
    <w:p w14:paraId="1749C7FD" w14:textId="77777777" w:rsidR="00011543" w:rsidRPr="00012C3F" w:rsidRDefault="00011543" w:rsidP="00011543">
      <w:pPr>
        <w:widowControl/>
        <w:adjustRightInd/>
        <w:spacing w:line="240" w:lineRule="auto"/>
        <w:ind w:left="5041"/>
        <w:textAlignment w:val="auto"/>
        <w:rPr>
          <w:rFonts w:eastAsia="MS Mincho"/>
          <w:sz w:val="20"/>
          <w:szCs w:val="20"/>
          <w:lang w:val="en-US" w:eastAsia="es-ES"/>
        </w:rPr>
      </w:pPr>
      <w:r w:rsidRPr="00012C3F">
        <w:rPr>
          <w:rFonts w:eastAsia="MS Mincho"/>
          <w:sz w:val="20"/>
          <w:szCs w:val="20"/>
          <w:lang w:val="en-US" w:eastAsia="es-ES"/>
        </w:rPr>
        <w:t>Eduardo Ferrer Mac-Gregor Poisot</w:t>
      </w:r>
    </w:p>
    <w:p w14:paraId="0489EB16" w14:textId="77777777" w:rsidR="00011543" w:rsidRPr="00012C3F" w:rsidRDefault="001254DE" w:rsidP="00011543">
      <w:pPr>
        <w:widowControl/>
        <w:adjustRightInd/>
        <w:spacing w:line="240" w:lineRule="auto"/>
        <w:ind w:left="5041"/>
        <w:jc w:val="center"/>
        <w:textAlignment w:val="auto"/>
        <w:rPr>
          <w:rFonts w:eastAsia="MS Mincho"/>
          <w:i/>
          <w:sz w:val="20"/>
          <w:szCs w:val="20"/>
          <w:lang w:val="en-US" w:eastAsia="es-ES"/>
        </w:rPr>
      </w:pPr>
      <w:r w:rsidRPr="00012C3F">
        <w:rPr>
          <w:rFonts w:eastAsia="MS Mincho"/>
          <w:sz w:val="20"/>
          <w:szCs w:val="20"/>
          <w:lang w:val="en-US" w:eastAsia="es-ES"/>
        </w:rPr>
        <w:t>Judge</w:t>
      </w:r>
    </w:p>
    <w:p w14:paraId="3A0C6AFB" w14:textId="77777777" w:rsidR="00011543" w:rsidRPr="00012C3F" w:rsidRDefault="00011543" w:rsidP="00011543">
      <w:pPr>
        <w:widowControl/>
        <w:adjustRightInd/>
        <w:spacing w:line="240" w:lineRule="auto"/>
        <w:ind w:left="5041"/>
        <w:jc w:val="center"/>
        <w:textAlignment w:val="auto"/>
        <w:rPr>
          <w:rFonts w:eastAsia="MS Mincho"/>
          <w:i/>
          <w:sz w:val="20"/>
          <w:szCs w:val="20"/>
          <w:lang w:val="en-US" w:eastAsia="es-ES"/>
        </w:rPr>
      </w:pPr>
    </w:p>
    <w:p w14:paraId="0970FDAC" w14:textId="77777777" w:rsidR="00011543" w:rsidRPr="00012C3F" w:rsidRDefault="00011543" w:rsidP="00011543">
      <w:pPr>
        <w:widowControl/>
        <w:adjustRightInd/>
        <w:spacing w:line="240" w:lineRule="auto"/>
        <w:ind w:left="5041"/>
        <w:jc w:val="center"/>
        <w:textAlignment w:val="auto"/>
        <w:rPr>
          <w:rFonts w:eastAsia="MS Mincho"/>
          <w:i/>
          <w:sz w:val="20"/>
          <w:szCs w:val="20"/>
          <w:lang w:val="en-US" w:eastAsia="es-ES"/>
        </w:rPr>
      </w:pPr>
    </w:p>
    <w:p w14:paraId="4EC064D5" w14:textId="77777777" w:rsidR="00011543" w:rsidRPr="00012C3F" w:rsidRDefault="00011543" w:rsidP="00011543">
      <w:pPr>
        <w:widowControl/>
        <w:adjustRightInd/>
        <w:spacing w:line="240" w:lineRule="auto"/>
        <w:ind w:left="5041"/>
        <w:jc w:val="center"/>
        <w:textAlignment w:val="auto"/>
        <w:rPr>
          <w:rFonts w:eastAsia="MS Mincho"/>
          <w:i/>
          <w:sz w:val="20"/>
          <w:szCs w:val="20"/>
          <w:lang w:val="en-US" w:eastAsia="es-ES"/>
        </w:rPr>
      </w:pPr>
    </w:p>
    <w:p w14:paraId="45E925CE" w14:textId="77777777" w:rsidR="00011543" w:rsidRPr="00012C3F" w:rsidRDefault="00011543" w:rsidP="00011543">
      <w:pPr>
        <w:widowControl/>
        <w:adjustRightInd/>
        <w:spacing w:line="240" w:lineRule="auto"/>
        <w:ind w:left="5041"/>
        <w:jc w:val="center"/>
        <w:textAlignment w:val="auto"/>
        <w:rPr>
          <w:rFonts w:eastAsia="MS Mincho"/>
          <w:i/>
          <w:sz w:val="20"/>
          <w:szCs w:val="20"/>
          <w:lang w:val="en-US" w:eastAsia="es-ES"/>
        </w:rPr>
      </w:pPr>
    </w:p>
    <w:p w14:paraId="1C5C354B" w14:textId="77777777" w:rsidR="00011543" w:rsidRPr="00012C3F" w:rsidRDefault="00011543" w:rsidP="00011543">
      <w:pPr>
        <w:widowControl/>
        <w:adjustRightInd/>
        <w:spacing w:line="240" w:lineRule="auto"/>
        <w:ind w:left="5041"/>
        <w:jc w:val="center"/>
        <w:textAlignment w:val="auto"/>
        <w:rPr>
          <w:rFonts w:eastAsia="MS Mincho"/>
          <w:i/>
          <w:sz w:val="20"/>
          <w:szCs w:val="20"/>
          <w:lang w:val="en-US" w:eastAsia="es-ES"/>
        </w:rPr>
      </w:pPr>
    </w:p>
    <w:p w14:paraId="18752F7A" w14:textId="77777777" w:rsidR="00011543" w:rsidRPr="00012C3F" w:rsidRDefault="00011543" w:rsidP="00011543">
      <w:pPr>
        <w:widowControl/>
        <w:adjustRightInd/>
        <w:spacing w:line="240" w:lineRule="auto"/>
        <w:ind w:left="5041"/>
        <w:jc w:val="center"/>
        <w:textAlignment w:val="auto"/>
        <w:rPr>
          <w:rFonts w:eastAsia="MS Mincho"/>
          <w:i/>
          <w:sz w:val="20"/>
          <w:szCs w:val="20"/>
          <w:lang w:val="en-US" w:eastAsia="es-ES"/>
        </w:rPr>
      </w:pPr>
    </w:p>
    <w:p w14:paraId="62AB1BC2" w14:textId="77777777" w:rsidR="00011543" w:rsidRPr="00012C3F" w:rsidRDefault="00011543" w:rsidP="00011543">
      <w:pPr>
        <w:widowControl/>
        <w:adjustRightInd/>
        <w:spacing w:line="240" w:lineRule="auto"/>
        <w:ind w:left="5041"/>
        <w:jc w:val="center"/>
        <w:textAlignment w:val="auto"/>
        <w:rPr>
          <w:rFonts w:eastAsia="MS Mincho"/>
          <w:i/>
          <w:sz w:val="20"/>
          <w:szCs w:val="20"/>
          <w:lang w:val="en-US" w:eastAsia="es-ES"/>
        </w:rPr>
      </w:pPr>
    </w:p>
    <w:p w14:paraId="5954C368" w14:textId="77777777" w:rsidR="00011543" w:rsidRPr="00012C3F" w:rsidRDefault="00011543" w:rsidP="00011543">
      <w:pPr>
        <w:widowControl/>
        <w:adjustRightInd/>
        <w:spacing w:line="240" w:lineRule="auto"/>
        <w:ind w:left="5041"/>
        <w:jc w:val="center"/>
        <w:textAlignment w:val="auto"/>
        <w:rPr>
          <w:rFonts w:eastAsia="MS Mincho"/>
          <w:i/>
          <w:sz w:val="20"/>
          <w:szCs w:val="20"/>
          <w:lang w:val="en-US" w:eastAsia="es-ES"/>
        </w:rPr>
      </w:pPr>
    </w:p>
    <w:p w14:paraId="23D95622" w14:textId="77777777" w:rsidR="00011543" w:rsidRPr="00012C3F" w:rsidRDefault="00011543" w:rsidP="00011543">
      <w:pPr>
        <w:widowControl/>
        <w:adjustRightInd/>
        <w:spacing w:line="240" w:lineRule="auto"/>
        <w:jc w:val="left"/>
        <w:textAlignment w:val="auto"/>
        <w:rPr>
          <w:rFonts w:eastAsia="MS Mincho"/>
          <w:i/>
          <w:sz w:val="20"/>
          <w:szCs w:val="20"/>
          <w:lang w:val="en-US" w:eastAsia="es-ES"/>
        </w:rPr>
      </w:pPr>
      <w:r w:rsidRPr="00012C3F">
        <w:rPr>
          <w:rFonts w:eastAsia="MS Mincho" w:cs="Verdana"/>
          <w:sz w:val="20"/>
          <w:szCs w:val="20"/>
          <w:lang w:val="en-US" w:eastAsia="es-ES"/>
        </w:rPr>
        <w:t>Pablo Saavedra Alessandri</w:t>
      </w:r>
    </w:p>
    <w:p w14:paraId="63CA18A9" w14:textId="77777777" w:rsidR="00011543" w:rsidRPr="002E2489" w:rsidRDefault="00011543" w:rsidP="00011543">
      <w:pPr>
        <w:widowControl/>
        <w:adjustRightInd/>
        <w:spacing w:line="240" w:lineRule="auto"/>
        <w:textAlignment w:val="auto"/>
        <w:rPr>
          <w:rFonts w:eastAsia="MS Mincho" w:cs="Verdana"/>
          <w:sz w:val="20"/>
          <w:szCs w:val="20"/>
          <w:lang w:val="en-US" w:eastAsia="es-ES"/>
        </w:rPr>
      </w:pPr>
      <w:r w:rsidRPr="00012C3F">
        <w:rPr>
          <w:rFonts w:eastAsia="MS Mincho" w:cs="Verdana"/>
          <w:sz w:val="20"/>
          <w:szCs w:val="20"/>
          <w:lang w:val="en-US" w:eastAsia="es-ES"/>
        </w:rPr>
        <w:tab/>
      </w:r>
      <w:r w:rsidR="001254DE" w:rsidRPr="00012C3F">
        <w:rPr>
          <w:rFonts w:eastAsia="MS Mincho" w:cs="Verdana"/>
          <w:sz w:val="20"/>
          <w:szCs w:val="20"/>
          <w:lang w:val="en-US" w:eastAsia="es-ES"/>
        </w:rPr>
        <w:t>Secretary</w:t>
      </w:r>
    </w:p>
    <w:p w14:paraId="5B210214" w14:textId="77777777" w:rsidR="00CD3FD7" w:rsidRPr="002E2489" w:rsidRDefault="00CD3FD7" w:rsidP="009943EE">
      <w:pPr>
        <w:rPr>
          <w:sz w:val="20"/>
          <w:szCs w:val="20"/>
          <w:lang w:val="en-US"/>
        </w:rPr>
      </w:pPr>
    </w:p>
    <w:sectPr w:rsidR="00CD3FD7" w:rsidRPr="002E2489" w:rsidSect="00011543">
      <w:footerReference w:type="even" r:id="rId9"/>
      <w:footerReference w:type="default" r:id="rId10"/>
      <w:footnotePr>
        <w:numRestart w:val="eachSect"/>
      </w:footnotePr>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ADC88" w14:textId="77777777" w:rsidR="005869A5" w:rsidRDefault="005869A5" w:rsidP="00085BDD">
      <w:pPr>
        <w:spacing w:line="240" w:lineRule="auto"/>
      </w:pPr>
      <w:r>
        <w:separator/>
      </w:r>
    </w:p>
  </w:endnote>
  <w:endnote w:type="continuationSeparator" w:id="0">
    <w:p w14:paraId="16F38EBA" w14:textId="77777777" w:rsidR="005869A5" w:rsidRDefault="005869A5" w:rsidP="00085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Italic">
    <w:panose1 w:val="00000000000000000000"/>
    <w:charset w:val="00"/>
    <w:family w:val="swiss"/>
    <w:notTrueType/>
    <w:pitch w:val="default"/>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Verdana Bold">
    <w:altName w:val="Times New Roman"/>
    <w:charset w:val="00"/>
    <w:family w:val="auto"/>
    <w:pitch w:val="variable"/>
    <w:sig w:usb0="00000001" w:usb1="4000205B" w:usb2="00000010" w:usb3="00000000" w:csb0="0000019F" w:csb1="00000000"/>
  </w:font>
  <w:font w:name="Verdana-Bold">
    <w:altName w:val="Verdana"/>
    <w:panose1 w:val="00000000000000000000"/>
    <w:charset w:val="4D"/>
    <w:family w:val="auto"/>
    <w:notTrueType/>
    <w:pitch w:val="default"/>
    <w:sig w:usb0="03000000" w:usb1="00000000" w:usb2="00000000" w:usb3="00000000" w:csb0="00000001" w:csb1="00000000"/>
  </w:font>
  <w:font w:name="ClassicalGaramondBT-Roman">
    <w:panose1 w:val="00000000000000000000"/>
    <w:charset w:val="00"/>
    <w:family w:val="swiss"/>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Vrinda">
    <w:panose1 w:val="00000400000000000000"/>
    <w:charset w:val="01"/>
    <w:family w:val="roman"/>
    <w:notTrueType/>
    <w:pitch w:val="variable"/>
  </w:font>
  <w:font w:name="Consolas">
    <w:panose1 w:val="020B0609020204030204"/>
    <w:charset w:val="00"/>
    <w:family w:val="modern"/>
    <w:pitch w:val="fixed"/>
    <w:sig w:usb0="E00006FF" w:usb1="0000FCFF" w:usb2="00000001" w:usb3="00000000" w:csb0="0000019F" w:csb1="00000000"/>
  </w:font>
  <w:font w:name="MinionPro-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D4C02" w14:textId="77777777" w:rsidR="00D24EFE" w:rsidRDefault="00D24EFE" w:rsidP="001254D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09C245" w14:textId="77777777" w:rsidR="00D24EFE" w:rsidRDefault="00D24EFE" w:rsidP="001254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B2E75" w14:textId="77777777" w:rsidR="00D24EFE" w:rsidRPr="00BE3978" w:rsidRDefault="00D24EFE" w:rsidP="001254DE">
    <w:pPr>
      <w:pStyle w:val="Piedepgina"/>
      <w:framePr w:wrap="around" w:vAnchor="text" w:hAnchor="margin" w:xAlign="center" w:y="1"/>
      <w:rPr>
        <w:rStyle w:val="Nmerodepgina"/>
        <w:rFonts w:ascii="Verdana" w:hAnsi="Verdana"/>
        <w:sz w:val="20"/>
        <w:szCs w:val="20"/>
      </w:rPr>
    </w:pPr>
    <w:r w:rsidRPr="00BE3978">
      <w:rPr>
        <w:rStyle w:val="Nmerodepgina"/>
        <w:rFonts w:ascii="Verdana" w:hAnsi="Verdana"/>
        <w:sz w:val="20"/>
        <w:szCs w:val="20"/>
      </w:rPr>
      <w:fldChar w:fldCharType="begin"/>
    </w:r>
    <w:r w:rsidRPr="00BE3978">
      <w:rPr>
        <w:rStyle w:val="Nmerodepgina"/>
        <w:rFonts w:ascii="Verdana" w:hAnsi="Verdana"/>
        <w:sz w:val="20"/>
        <w:szCs w:val="20"/>
      </w:rPr>
      <w:instrText xml:space="preserve">PAGE  </w:instrText>
    </w:r>
    <w:r w:rsidRPr="00BE3978">
      <w:rPr>
        <w:rStyle w:val="Nmerodepgina"/>
        <w:rFonts w:ascii="Verdana" w:hAnsi="Verdana"/>
        <w:sz w:val="20"/>
        <w:szCs w:val="20"/>
      </w:rPr>
      <w:fldChar w:fldCharType="separate"/>
    </w:r>
    <w:r w:rsidR="00DC7658">
      <w:rPr>
        <w:rStyle w:val="Nmerodepgina"/>
        <w:rFonts w:ascii="Verdana" w:hAnsi="Verdana"/>
        <w:noProof/>
        <w:sz w:val="20"/>
        <w:szCs w:val="20"/>
      </w:rPr>
      <w:t>2</w:t>
    </w:r>
    <w:r w:rsidRPr="00BE3978">
      <w:rPr>
        <w:rStyle w:val="Nmerodepgina"/>
        <w:rFonts w:ascii="Verdana" w:hAnsi="Verdana"/>
        <w:sz w:val="20"/>
        <w:szCs w:val="20"/>
      </w:rPr>
      <w:fldChar w:fldCharType="end"/>
    </w:r>
  </w:p>
  <w:p w14:paraId="4B220C0E" w14:textId="77777777" w:rsidR="00D24EFE" w:rsidRDefault="00D24EFE" w:rsidP="001254D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9AEAE" w14:textId="77777777" w:rsidR="005869A5" w:rsidRDefault="005869A5" w:rsidP="00085BDD">
      <w:pPr>
        <w:spacing w:line="240" w:lineRule="auto"/>
      </w:pPr>
      <w:r>
        <w:separator/>
      </w:r>
    </w:p>
  </w:footnote>
  <w:footnote w:type="continuationSeparator" w:id="0">
    <w:p w14:paraId="072133D7" w14:textId="77777777" w:rsidR="005869A5" w:rsidRDefault="005869A5" w:rsidP="00085BDD">
      <w:pPr>
        <w:spacing w:line="240" w:lineRule="auto"/>
      </w:pPr>
      <w:r>
        <w:continuationSeparator/>
      </w:r>
    </w:p>
  </w:footnote>
  <w:footnote w:id="1">
    <w:p w14:paraId="04811425"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t>*</w:t>
      </w:r>
      <w:r w:rsidRPr="00012C3F">
        <w:rPr>
          <w:sz w:val="16"/>
          <w:szCs w:val="16"/>
          <w:lang w:val="en-US"/>
        </w:rPr>
        <w:t xml:space="preserve"> </w:t>
      </w:r>
      <w:r w:rsidRPr="00012C3F">
        <w:rPr>
          <w:sz w:val="16"/>
          <w:szCs w:val="16"/>
          <w:lang w:val="en-US"/>
        </w:rPr>
        <w:tab/>
        <w:t xml:space="preserve">The name of the presumed victim has been kept confidential following an explicit request, and the initials “I.V.” are used to refer to her. </w:t>
      </w:r>
    </w:p>
  </w:footnote>
  <w:footnote w:id="2">
    <w:p w14:paraId="66EE7DE5" w14:textId="77777777" w:rsidR="00D24EFE" w:rsidRPr="00012C3F" w:rsidRDefault="00D24EFE" w:rsidP="005B52E1">
      <w:pPr>
        <w:tabs>
          <w:tab w:val="left" w:pos="567"/>
        </w:tabs>
        <w:spacing w:after="120" w:line="240" w:lineRule="auto"/>
        <w:ind w:right="148"/>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 xml:space="preserve">In that report, the Commission decided that the petition was admissible in relation to the presumed violation of the rights recognized in Articles 5(1), 8(1), 11(2), 13, 17 and 25 of the American Convention, in relation to Article 1(1) of this instrument, as well as in relation to Article 7 of the Convention of Belém do Pará. </w:t>
      </w:r>
      <w:r w:rsidRPr="00012C3F">
        <w:rPr>
          <w:i/>
          <w:sz w:val="16"/>
          <w:szCs w:val="16"/>
          <w:lang w:val="en-US"/>
        </w:rPr>
        <w:t xml:space="preserve">Cf. </w:t>
      </w:r>
      <w:r w:rsidRPr="00012C3F">
        <w:rPr>
          <w:rFonts w:cs="Verdana"/>
          <w:sz w:val="16"/>
          <w:szCs w:val="16"/>
          <w:lang w:val="en-US"/>
        </w:rPr>
        <w:t xml:space="preserve">Admissibility Report No. 40/08, Case of I.V. </w:t>
      </w:r>
      <w:r w:rsidRPr="00012C3F">
        <w:rPr>
          <w:rFonts w:cs="Verdana"/>
          <w:i/>
          <w:iCs/>
          <w:sz w:val="16"/>
          <w:szCs w:val="16"/>
          <w:lang w:val="en-US"/>
        </w:rPr>
        <w:t>v.</w:t>
      </w:r>
      <w:r w:rsidRPr="00012C3F">
        <w:rPr>
          <w:rFonts w:cs="Verdana"/>
          <w:sz w:val="16"/>
          <w:szCs w:val="16"/>
          <w:lang w:val="en-US"/>
        </w:rPr>
        <w:t xml:space="preserve"> Bolivia, July 23, 2008 (file of the procedure before the Commission, volume II, folios 256 to 272).</w:t>
      </w:r>
    </w:p>
  </w:footnote>
  <w:footnote w:id="3">
    <w:p w14:paraId="6660ABB5"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The Commission appointed Commissioner Paulo Vannuchi, the Special Rapporteur for Freedom of Expression, Edison Lanza, and the Executive Secretary at that time, Emilio Álvarez Icaza L., as its delegates before the Court. It also appointed Elizabeth Abi-Mershed, Deputy Executive Secretary, and Silvia Serrano Guzmán, Rosa Celorio and Ona Flores, Executive Secretariat lawyers, as legal advisers.</w:t>
      </w:r>
    </w:p>
  </w:footnote>
  <w:footnote w:id="4">
    <w:p w14:paraId="25A81FB7"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Rielma Mencias Rivadeneira, Executive Director of “</w:t>
      </w:r>
      <w:r w:rsidRPr="00012C3F">
        <w:rPr>
          <w:i/>
          <w:iCs/>
          <w:sz w:val="16"/>
          <w:szCs w:val="16"/>
          <w:lang w:val="en-US"/>
        </w:rPr>
        <w:t>Derechos en Acción</w:t>
      </w:r>
      <w:r w:rsidRPr="00012C3F">
        <w:rPr>
          <w:sz w:val="16"/>
          <w:szCs w:val="16"/>
          <w:lang w:val="en-US"/>
        </w:rPr>
        <w:t>” represented the presumed victim in this case.</w:t>
      </w:r>
    </w:p>
  </w:footnote>
  <w:footnote w:id="5">
    <w:p w14:paraId="3DD5649B"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The representative asked that, as in the case of I.V., and for the same reasons, the identity of her daughters should be protected and that, consequently they be referred to as N.V. and L.A. during the proceedings. On the instructions of the President of the Court, the parties were advised that the names of the presumed victim’s daughters would be kept confidential and that the Court would use the initials “N.V.” and “L.A.” to refer to them.</w:t>
      </w:r>
    </w:p>
  </w:footnote>
  <w:footnote w:id="6">
    <w:p w14:paraId="3E815FD5"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Initially, the State appointed the Attorney General, Héctor Enrique Arce Zaconeta, the Solicitor General for the State’s Legal Defense and Representation, Pablo Menacho Diederich, and the acting Director General of Human Rights and Environmental Proceedings, Nelson Marcelo Cox Mayorga, as its agents. In addition, the State accredited the Solicitor General for the State’s Legal Defense and Representation, Carmiña Llorenti Barrientos, and the lawyer, Guehiza Zeballos Grossberger, to substitute Pablo Menacho Diederich. Subsequently, the State accredited the Director General for Defense of Human Rights and the Environment, Israel Ramiro Campero Méndez, instead of Nelson Marcelo Cox Mayorga. Then, the State accredited the Director General for Defense of Human Rights and the Environment, Dante Justiniano Segales, instead of Israel Ramiro Campero Méndez. Finally, the State accredited the Director General of Defense, Emma Natalia Miranda Parra, instead of Dante Justiniano Segales, and a new Agent, the Director General for Defense of Human Rights and the Environment, Claudia Daniela Valda Mercado.</w:t>
      </w:r>
    </w:p>
  </w:footnote>
  <w:footnote w:id="7">
    <w:p w14:paraId="044639D6"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Case of </w:t>
      </w:r>
      <w:r w:rsidRPr="00012C3F">
        <w:rPr>
          <w:i/>
          <w:sz w:val="16"/>
          <w:szCs w:val="16"/>
          <w:lang w:val="en-US"/>
        </w:rPr>
        <w:t>I.V. v. Bolivia.</w:t>
      </w:r>
      <w:r w:rsidRPr="00012C3F">
        <w:rPr>
          <w:sz w:val="16"/>
          <w:szCs w:val="16"/>
          <w:lang w:val="en-US"/>
        </w:rPr>
        <w:t xml:space="preserve"> Order of the President of the Inter-American Court of January 13, 2016. Available at: http://www.corteidh.or.cr/docs/asuntos/I.V_fv_16.pdf</w:t>
      </w:r>
    </w:p>
  </w:footnote>
  <w:footnote w:id="8">
    <w:p w14:paraId="152576D9"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Case of I.V. v. Bolivia. </w:t>
      </w:r>
      <w:r w:rsidRPr="00012C3F">
        <w:rPr>
          <w:sz w:val="16"/>
          <w:szCs w:val="16"/>
          <w:lang w:val="en-US"/>
        </w:rPr>
        <w:t xml:space="preserve">Order of the President of the Inter-American Court of March 29, 2016. Available at: http://www.corteidh.or.cr/docs/asuntos/iv_29_03_16.pdf </w:t>
      </w:r>
    </w:p>
  </w:footnote>
  <w:footnote w:id="9">
    <w:p w14:paraId="594D2DD6"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rFonts w:eastAsia="Verdana" w:cs="Verdana"/>
          <w:position w:val="-1"/>
          <w:sz w:val="16"/>
          <w:szCs w:val="16"/>
          <w:lang w:val="en-US"/>
        </w:rPr>
        <w:t>In a communication of April 14, 2016, the Commission asked that the proposed expert opinion of Ana Cepin be provided by affidavit.</w:t>
      </w:r>
    </w:p>
  </w:footnote>
  <w:footnote w:id="10">
    <w:p w14:paraId="00E43DC4" w14:textId="77777777" w:rsidR="00D24EFE" w:rsidRPr="00012C3F" w:rsidRDefault="00D24EFE" w:rsidP="005B52E1">
      <w:pPr>
        <w:tabs>
          <w:tab w:val="left" w:pos="567"/>
        </w:tabs>
        <w:spacing w:after="120" w:line="240" w:lineRule="auto"/>
        <w:ind w:right="-6"/>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There appeared at this hearing: (a) for the Inter-American Commission:</w:t>
      </w:r>
      <w:r w:rsidRPr="00012C3F">
        <w:rPr>
          <w:sz w:val="16"/>
          <w:szCs w:val="16"/>
          <w:lang w:val="en-US" w:eastAsia="es-ES"/>
        </w:rPr>
        <w:t xml:space="preserve"> Commissioner </w:t>
      </w:r>
      <w:r w:rsidRPr="00012C3F">
        <w:rPr>
          <w:sz w:val="16"/>
          <w:szCs w:val="16"/>
          <w:lang w:val="en-US"/>
        </w:rPr>
        <w:t>Margarette May Macaulay, and Executive Secretariat lawyers, Silvia Serrano Guzmán, Jorge H. Meza Flores and Erick Acuña Pereda; (b) for the representatives of the presumed victim: Rielma Mencias Rivadeneiro, Executive Director of “</w:t>
      </w:r>
      <w:r w:rsidRPr="00012C3F">
        <w:rPr>
          <w:i/>
          <w:iCs/>
          <w:sz w:val="16"/>
          <w:szCs w:val="16"/>
          <w:lang w:val="en-US"/>
        </w:rPr>
        <w:t>Derechos en Acción</w:t>
      </w:r>
      <w:r w:rsidRPr="00012C3F">
        <w:rPr>
          <w:sz w:val="16"/>
          <w:szCs w:val="16"/>
          <w:lang w:val="en-US"/>
        </w:rPr>
        <w:t xml:space="preserve">,” and Marcelo Claros Pinilla and Fernando Zambrana Sea, advisers, and (c) for the State of Bolivia: the agent, Héctor Enrique Arce Zaconeta, Attorney General; the deputy agent, Carmiña Llorenti Barrientos, Solicitor General for the State’s Legal Defense and Representation; the deputy agent, Israel Ramiro Campero Méndez, Director General for Defense of Human Rights and the Environment; </w:t>
      </w:r>
      <w:r w:rsidRPr="00012C3F">
        <w:rPr>
          <w:sz w:val="16"/>
          <w:szCs w:val="16"/>
          <w:lang w:val="en-US" w:eastAsia="es-ES"/>
        </w:rPr>
        <w:t>Guehiza Patricia Zeballos Grossberger, lawyer from the Attorney General’s Office, and Juana Inés Acosta López, lawyer.</w:t>
      </w:r>
    </w:p>
  </w:footnote>
  <w:footnote w:id="11">
    <w:p w14:paraId="4F224592"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rFonts w:eastAsia="Calibri" w:cs="Cambria"/>
          <w:sz w:val="16"/>
          <w:szCs w:val="16"/>
          <w:lang w:val="en-US" w:eastAsia="en-US"/>
        </w:rPr>
        <w:t>The first, dated January 11, 2006, which referred to an amparo filed by a defendant, which requested precisely the extinction of the criminal action. The second, of December 11, 2006, concerning an amparo against a declaration of abandonment of the complaint, as a violation of the right of access to justice, and the third, of June 15, 2004, concerning a matter of private property.</w:t>
      </w:r>
    </w:p>
  </w:footnote>
  <w:footnote w:id="12">
    <w:p w14:paraId="70D3C2CF" w14:textId="77777777" w:rsidR="00D24EFE" w:rsidRPr="00012C3F" w:rsidRDefault="00D24EFE" w:rsidP="005B52E1">
      <w:pPr>
        <w:tabs>
          <w:tab w:val="left" w:pos="567"/>
        </w:tabs>
        <w:spacing w:after="120" w:line="240" w:lineRule="auto"/>
        <w:rPr>
          <w:sz w:val="16"/>
          <w:szCs w:val="16"/>
          <w:lang w:val="en-US"/>
        </w:rPr>
      </w:pPr>
      <w:r w:rsidRPr="00012C3F">
        <w:rPr>
          <w:rStyle w:val="Refdenotaalpie"/>
          <w:rFonts w:cs="Times"/>
          <w:sz w:val="16"/>
          <w:szCs w:val="16"/>
          <w:lang w:val="en-US"/>
        </w:rPr>
        <w:footnoteRef/>
      </w:r>
      <w:r w:rsidRPr="00D24EFE">
        <w:rPr>
          <w:sz w:val="16"/>
          <w:szCs w:val="16"/>
        </w:rPr>
        <w:tab/>
      </w:r>
      <w:r w:rsidRPr="00D24EFE">
        <w:rPr>
          <w:i/>
          <w:sz w:val="16"/>
          <w:szCs w:val="16"/>
        </w:rPr>
        <w:t xml:space="preserve">Cf. Case of Velásquez Rodríguez v. Honduras. </w:t>
      </w:r>
      <w:r w:rsidRPr="00012C3F">
        <w:rPr>
          <w:i/>
          <w:sz w:val="16"/>
          <w:szCs w:val="16"/>
          <w:lang w:val="en-US"/>
        </w:rPr>
        <w:t xml:space="preserve">Preliminary objections. </w:t>
      </w:r>
      <w:r w:rsidRPr="00012C3F">
        <w:rPr>
          <w:sz w:val="16"/>
          <w:szCs w:val="16"/>
          <w:lang w:val="en-US"/>
        </w:rPr>
        <w:t xml:space="preserve">Judgment of June 26, 1987. </w:t>
      </w:r>
      <w:r w:rsidRPr="00D24EFE">
        <w:rPr>
          <w:sz w:val="16"/>
          <w:szCs w:val="16"/>
        </w:rPr>
        <w:t xml:space="preserve">Series C No. 1, para. 85, and </w:t>
      </w:r>
      <w:r w:rsidRPr="00D24EFE">
        <w:rPr>
          <w:i/>
          <w:sz w:val="16"/>
          <w:szCs w:val="16"/>
        </w:rPr>
        <w:t>Case of Herrera Espinoza et al. v. Ecuador</w:t>
      </w:r>
      <w:r w:rsidRPr="00D24EFE">
        <w:rPr>
          <w:sz w:val="16"/>
          <w:szCs w:val="16"/>
        </w:rPr>
        <w:t xml:space="preserve">. </w:t>
      </w:r>
      <w:r w:rsidRPr="00012C3F">
        <w:rPr>
          <w:i/>
          <w:sz w:val="16"/>
          <w:szCs w:val="16"/>
          <w:lang w:val="en-US"/>
        </w:rPr>
        <w:t>Preliminary objections, merits, reparations and costs.</w:t>
      </w:r>
      <w:r w:rsidRPr="00012C3F">
        <w:rPr>
          <w:sz w:val="16"/>
          <w:szCs w:val="16"/>
          <w:lang w:val="en-US"/>
        </w:rPr>
        <w:t xml:space="preserve"> Judgment of September 1, 2016. Series C No. 316</w:t>
      </w:r>
      <w:r w:rsidRPr="00012C3F">
        <w:rPr>
          <w:rStyle w:val="Textoennegrita"/>
          <w:b w:val="0"/>
          <w:sz w:val="16"/>
          <w:szCs w:val="16"/>
          <w:lang w:val="en-US"/>
        </w:rPr>
        <w:t>, para. 24</w:t>
      </w:r>
      <w:r w:rsidRPr="00012C3F">
        <w:rPr>
          <w:sz w:val="16"/>
          <w:szCs w:val="16"/>
          <w:lang w:val="en-US"/>
        </w:rPr>
        <w:t>.</w:t>
      </w:r>
    </w:p>
  </w:footnote>
  <w:footnote w:id="13">
    <w:p w14:paraId="06E58387" w14:textId="77777777" w:rsidR="00D24EFE" w:rsidRPr="00D24EFE" w:rsidRDefault="00D24EFE" w:rsidP="005B52E1">
      <w:pPr>
        <w:tabs>
          <w:tab w:val="left" w:pos="567"/>
        </w:tabs>
        <w:spacing w:after="120" w:line="240" w:lineRule="auto"/>
        <w:rPr>
          <w:sz w:val="16"/>
          <w:szCs w:val="16"/>
        </w:rPr>
      </w:pPr>
      <w:r w:rsidRPr="00012C3F">
        <w:rPr>
          <w:rStyle w:val="Refdenotaalpie"/>
          <w:rFonts w:cs="Times"/>
          <w:sz w:val="16"/>
          <w:szCs w:val="16"/>
          <w:lang w:val="en-US"/>
        </w:rPr>
        <w:footnoteRef/>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i/>
          <w:sz w:val="16"/>
          <w:szCs w:val="16"/>
          <w:lang w:val="en-US"/>
        </w:rPr>
        <w:t>Case of Velásquez Rodríguez v. Honduras</w:t>
      </w:r>
      <w:r w:rsidRPr="00012C3F">
        <w:rPr>
          <w:sz w:val="16"/>
          <w:szCs w:val="16"/>
          <w:lang w:val="en-US"/>
        </w:rPr>
        <w:t xml:space="preserve">. </w:t>
      </w:r>
      <w:r w:rsidRPr="00012C3F">
        <w:rPr>
          <w:i/>
          <w:sz w:val="16"/>
          <w:szCs w:val="16"/>
          <w:lang w:val="en-US"/>
        </w:rPr>
        <w:t>Merits</w:t>
      </w:r>
      <w:r w:rsidRPr="00012C3F">
        <w:rPr>
          <w:sz w:val="16"/>
          <w:szCs w:val="16"/>
          <w:lang w:val="en-US"/>
        </w:rPr>
        <w:t xml:space="preserve">. Judgment of July 29, 1988. </w:t>
      </w:r>
      <w:r w:rsidRPr="00D24EFE">
        <w:rPr>
          <w:sz w:val="16"/>
          <w:szCs w:val="16"/>
        </w:rPr>
        <w:t xml:space="preserve">Series C No. 4, para. 61, and </w:t>
      </w:r>
      <w:r w:rsidRPr="00D24EFE">
        <w:rPr>
          <w:i/>
          <w:sz w:val="16"/>
          <w:szCs w:val="16"/>
        </w:rPr>
        <w:t>Case of Herrera Espinoza et al. v. Ecuador, supra</w:t>
      </w:r>
      <w:r w:rsidRPr="00D24EFE">
        <w:rPr>
          <w:rStyle w:val="Textoennegrita"/>
          <w:b w:val="0"/>
          <w:sz w:val="16"/>
          <w:szCs w:val="16"/>
        </w:rPr>
        <w:t>, para. 24</w:t>
      </w:r>
      <w:r w:rsidRPr="00D24EFE">
        <w:rPr>
          <w:sz w:val="16"/>
          <w:szCs w:val="16"/>
        </w:rPr>
        <w:t>.</w:t>
      </w:r>
    </w:p>
  </w:footnote>
  <w:footnote w:id="14">
    <w:p w14:paraId="2DF37D21" w14:textId="77777777" w:rsidR="00D24EFE" w:rsidRPr="00012C3F" w:rsidRDefault="00D24EFE" w:rsidP="005B52E1">
      <w:pPr>
        <w:tabs>
          <w:tab w:val="left" w:pos="567"/>
        </w:tabs>
        <w:spacing w:after="120" w:line="240" w:lineRule="auto"/>
        <w:rPr>
          <w:sz w:val="16"/>
          <w:szCs w:val="16"/>
          <w:lang w:val="en-US"/>
        </w:rPr>
      </w:pPr>
      <w:r w:rsidRPr="00012C3F">
        <w:rPr>
          <w:rStyle w:val="Refdenotaalpie"/>
          <w:sz w:val="16"/>
          <w:szCs w:val="16"/>
          <w:lang w:val="en-US"/>
        </w:rPr>
        <w:footnoteRef/>
      </w:r>
      <w:r w:rsidRPr="00D24EFE">
        <w:rPr>
          <w:rFonts w:cs="Verdana"/>
          <w:sz w:val="16"/>
          <w:szCs w:val="16"/>
        </w:rPr>
        <w:tab/>
      </w:r>
      <w:r w:rsidRPr="00D24EFE">
        <w:rPr>
          <w:rFonts w:cs="Verdana"/>
          <w:i/>
          <w:sz w:val="16"/>
          <w:szCs w:val="16"/>
        </w:rPr>
        <w:t xml:space="preserve">Cf. Case of Velásquez Rodríguez v. Honduras. </w:t>
      </w:r>
      <w:r w:rsidRPr="00D24EFE">
        <w:rPr>
          <w:rFonts w:cs="Verdana"/>
          <w:bCs/>
          <w:i/>
          <w:sz w:val="16"/>
          <w:szCs w:val="16"/>
        </w:rPr>
        <w:t>Preliminary objections</w:t>
      </w:r>
      <w:r w:rsidRPr="00D24EFE">
        <w:rPr>
          <w:i/>
          <w:sz w:val="16"/>
          <w:szCs w:val="16"/>
        </w:rPr>
        <w:t>, supra</w:t>
      </w:r>
      <w:r w:rsidRPr="00D24EFE">
        <w:rPr>
          <w:rFonts w:cs="Verdana"/>
          <w:bCs/>
          <w:sz w:val="16"/>
          <w:szCs w:val="16"/>
        </w:rPr>
        <w:t>,</w:t>
      </w:r>
      <w:r w:rsidRPr="00D24EFE">
        <w:rPr>
          <w:rFonts w:cs="Verdana"/>
          <w:i/>
          <w:sz w:val="16"/>
          <w:szCs w:val="16"/>
        </w:rPr>
        <w:t xml:space="preserve"> </w:t>
      </w:r>
      <w:r w:rsidRPr="00D24EFE">
        <w:rPr>
          <w:rFonts w:cs="Verdana"/>
          <w:sz w:val="16"/>
          <w:szCs w:val="16"/>
        </w:rPr>
        <w:t xml:space="preserve">para. </w:t>
      </w:r>
      <w:r w:rsidRPr="00012C3F">
        <w:rPr>
          <w:rFonts w:cs="Verdana"/>
          <w:sz w:val="16"/>
          <w:szCs w:val="16"/>
          <w:lang w:val="en-US"/>
        </w:rPr>
        <w:t xml:space="preserve">88; </w:t>
      </w:r>
      <w:r w:rsidRPr="00012C3F">
        <w:rPr>
          <w:i/>
          <w:sz w:val="16"/>
          <w:szCs w:val="16"/>
          <w:lang w:val="en-US"/>
        </w:rPr>
        <w:t xml:space="preserve">Case of Herrera Ulloa v. Costa Rica. Preliminary objections, merits, reparations and costs. </w:t>
      </w:r>
      <w:r w:rsidRPr="00012C3F">
        <w:rPr>
          <w:sz w:val="16"/>
          <w:szCs w:val="16"/>
          <w:lang w:val="en-US"/>
        </w:rPr>
        <w:t xml:space="preserve">Judgment of July 2, 2004. Series C No. 107, para. 81, and </w:t>
      </w:r>
      <w:r w:rsidRPr="00012C3F">
        <w:rPr>
          <w:i/>
          <w:sz w:val="16"/>
          <w:szCs w:val="16"/>
          <w:lang w:val="en-US"/>
        </w:rPr>
        <w:t>Case of Herrera Espinoza et al. v. Ecuador, supra</w:t>
      </w:r>
      <w:r w:rsidRPr="00012C3F">
        <w:rPr>
          <w:sz w:val="16"/>
          <w:szCs w:val="16"/>
          <w:lang w:val="en-US"/>
        </w:rPr>
        <w:t>, para. 25.</w:t>
      </w:r>
    </w:p>
  </w:footnote>
  <w:footnote w:id="15">
    <w:p w14:paraId="71141F78" w14:textId="77777777" w:rsidR="00D24EFE" w:rsidRPr="00012C3F" w:rsidRDefault="00D24EFE" w:rsidP="005B52E1">
      <w:pPr>
        <w:tabs>
          <w:tab w:val="left" w:pos="567"/>
        </w:tabs>
        <w:spacing w:after="120" w:line="240" w:lineRule="auto"/>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 Case of</w:t>
      </w:r>
      <w:r w:rsidRPr="00012C3F">
        <w:rPr>
          <w:sz w:val="16"/>
          <w:szCs w:val="16"/>
          <w:lang w:val="en-US"/>
        </w:rPr>
        <w:t xml:space="preserve"> </w:t>
      </w:r>
      <w:r w:rsidRPr="00012C3F">
        <w:rPr>
          <w:i/>
          <w:sz w:val="16"/>
          <w:szCs w:val="16"/>
          <w:lang w:val="en-US"/>
        </w:rPr>
        <w:t>Mémoli v. Argentina. Preliminary objections, merits, reparations and costs.</w:t>
      </w:r>
      <w:r w:rsidRPr="00012C3F">
        <w:rPr>
          <w:sz w:val="16"/>
          <w:szCs w:val="16"/>
          <w:lang w:val="en-US"/>
        </w:rPr>
        <w:t xml:space="preserve"> Judgment of August 22, 2013. Series C No. 265, para. 47, and </w:t>
      </w:r>
      <w:r w:rsidRPr="00012C3F">
        <w:rPr>
          <w:i/>
          <w:sz w:val="16"/>
          <w:szCs w:val="16"/>
          <w:lang w:val="en-US"/>
        </w:rPr>
        <w:t>Case of Herrera Espinoza et al. v. Ecuador, supra</w:t>
      </w:r>
      <w:r w:rsidRPr="00012C3F">
        <w:rPr>
          <w:sz w:val="16"/>
          <w:szCs w:val="16"/>
          <w:lang w:val="en-US"/>
        </w:rPr>
        <w:t>, para. 25.</w:t>
      </w:r>
    </w:p>
  </w:footnote>
  <w:footnote w:id="16">
    <w:p w14:paraId="2C083F8C"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 Case of Velásquez Rodríguez v. Honduras. Preliminary objections, supra</w:t>
      </w:r>
      <w:r w:rsidRPr="00012C3F">
        <w:rPr>
          <w:sz w:val="16"/>
          <w:szCs w:val="16"/>
          <w:lang w:val="en-US"/>
        </w:rPr>
        <w:t xml:space="preserve">, paras. 88 and 91, and </w:t>
      </w:r>
      <w:r w:rsidRPr="00012C3F">
        <w:rPr>
          <w:i/>
          <w:sz w:val="16"/>
          <w:szCs w:val="16"/>
          <w:lang w:val="en-US"/>
        </w:rPr>
        <w:t>Case of Herrera Espinoza et al. v. Ecuador, supra</w:t>
      </w:r>
      <w:r w:rsidRPr="00012C3F">
        <w:rPr>
          <w:sz w:val="16"/>
          <w:szCs w:val="16"/>
          <w:lang w:val="en-US"/>
        </w:rPr>
        <w:t>, para. 25.</w:t>
      </w:r>
    </w:p>
  </w:footnote>
  <w:footnote w:id="17">
    <w:p w14:paraId="537AA890"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Case of Reverón Trujillo v. Venezuela. Preliminary objection, merits, reparations and costs. </w:t>
      </w:r>
      <w:r w:rsidRPr="00012C3F">
        <w:rPr>
          <w:sz w:val="16"/>
          <w:szCs w:val="16"/>
          <w:lang w:val="en-US"/>
        </w:rPr>
        <w:t>Judgment of June 30, 2009. Series C No. 197, para. 23</w:t>
      </w:r>
      <w:r w:rsidRPr="00012C3F">
        <w:rPr>
          <w:bCs/>
          <w:sz w:val="16"/>
          <w:szCs w:val="16"/>
          <w:lang w:val="en-US"/>
        </w:rPr>
        <w:t>,</w:t>
      </w:r>
      <w:r w:rsidRPr="00012C3F">
        <w:rPr>
          <w:sz w:val="16"/>
          <w:szCs w:val="16"/>
          <w:lang w:val="en-US"/>
        </w:rPr>
        <w:t xml:space="preserve"> and </w:t>
      </w:r>
      <w:r w:rsidRPr="00012C3F">
        <w:rPr>
          <w:i/>
          <w:sz w:val="16"/>
          <w:szCs w:val="16"/>
          <w:lang w:val="en-US"/>
        </w:rPr>
        <w:t>Case of Herrera Espinoza et al. v. Ecuador, supra</w:t>
      </w:r>
      <w:r w:rsidRPr="00012C3F">
        <w:rPr>
          <w:sz w:val="16"/>
          <w:szCs w:val="16"/>
          <w:lang w:val="en-US"/>
        </w:rPr>
        <w:t>, para. 25.</w:t>
      </w:r>
    </w:p>
  </w:footnote>
  <w:footnote w:id="18">
    <w:p w14:paraId="23A179D3"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ヒラギノ角ゴ Pro W3"/>
          <w:sz w:val="16"/>
          <w:szCs w:val="16"/>
          <w:lang w:val="en-US"/>
        </w:rPr>
        <w:footnoteRef/>
      </w:r>
      <w:r w:rsidRPr="00012C3F">
        <w:rPr>
          <w:sz w:val="16"/>
          <w:szCs w:val="16"/>
          <w:lang w:val="en-US"/>
        </w:rPr>
        <w:tab/>
      </w:r>
      <w:r w:rsidRPr="00012C3F">
        <w:rPr>
          <w:i/>
          <w:sz w:val="16"/>
          <w:szCs w:val="16"/>
          <w:lang w:val="en-US"/>
        </w:rPr>
        <w:t xml:space="preserve">Cf. Case of the Expelled Dominicans and Haitians v. Dominican Republic. Preliminary objections, merits, reparations and costs. </w:t>
      </w:r>
      <w:r w:rsidRPr="00012C3F">
        <w:rPr>
          <w:sz w:val="16"/>
          <w:szCs w:val="16"/>
          <w:lang w:val="en-US"/>
        </w:rPr>
        <w:t xml:space="preserve">Judgment of August 28, 2014. Series C No. 282, para. </w:t>
      </w:r>
      <w:r w:rsidRPr="00D24EFE">
        <w:rPr>
          <w:sz w:val="16"/>
          <w:szCs w:val="16"/>
          <w:lang w:val="es-CR"/>
        </w:rPr>
        <w:t xml:space="preserve">30, and </w:t>
      </w:r>
      <w:r w:rsidRPr="00D24EFE">
        <w:rPr>
          <w:i/>
          <w:sz w:val="16"/>
          <w:szCs w:val="16"/>
          <w:lang w:val="es-CR"/>
        </w:rPr>
        <w:t>Case of Herrera Espinoza et al. v. Ecuador, supra</w:t>
      </w:r>
      <w:r w:rsidRPr="00D24EFE">
        <w:rPr>
          <w:sz w:val="16"/>
          <w:szCs w:val="16"/>
          <w:lang w:val="es-CR"/>
        </w:rPr>
        <w:t xml:space="preserve">, para. </w:t>
      </w:r>
      <w:r w:rsidRPr="00012C3F">
        <w:rPr>
          <w:sz w:val="16"/>
          <w:szCs w:val="16"/>
          <w:lang w:val="en-US"/>
        </w:rPr>
        <w:t>25.</w:t>
      </w:r>
    </w:p>
  </w:footnote>
  <w:footnote w:id="19">
    <w:p w14:paraId="04CB6182"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rFonts w:cs="Arial"/>
          <w:sz w:val="16"/>
          <w:szCs w:val="16"/>
          <w:lang w:val="en-US" w:eastAsia="en-US"/>
        </w:rPr>
        <w:t xml:space="preserve">Report </w:t>
      </w:r>
      <w:r w:rsidRPr="00012C3F">
        <w:rPr>
          <w:sz w:val="16"/>
          <w:szCs w:val="16"/>
          <w:lang w:val="en-US" w:eastAsia="en-US"/>
        </w:rPr>
        <w:t>GM-DGAJ-DAJ-2629-A/2007 of December 4, 2007, received on December 6, 2007, by the Inter-American Commission (file of the procedure before the Commission, volume II, folios 307 to 337)</w:t>
      </w:r>
      <w:r w:rsidRPr="00012C3F">
        <w:rPr>
          <w:rFonts w:cs="Verdana,Italic"/>
          <w:iCs/>
          <w:sz w:val="16"/>
          <w:szCs w:val="16"/>
          <w:lang w:val="en-US" w:eastAsia="en-US"/>
        </w:rPr>
        <w:t>.</w:t>
      </w:r>
    </w:p>
  </w:footnote>
  <w:footnote w:id="20">
    <w:p w14:paraId="09686124"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rFonts w:cs="Arial"/>
          <w:sz w:val="16"/>
          <w:szCs w:val="16"/>
          <w:lang w:val="en-US" w:eastAsia="en-US"/>
        </w:rPr>
        <w:t xml:space="preserve">Report </w:t>
      </w:r>
      <w:r w:rsidRPr="00012C3F">
        <w:rPr>
          <w:sz w:val="16"/>
          <w:szCs w:val="16"/>
          <w:lang w:val="en-US" w:eastAsia="en-US"/>
        </w:rPr>
        <w:t>GM-DGAJ-DAJ-2629-A/2007 received on December 6, 2007, by the Inter-American Commission (file of the procedure before the Commission, volume II, folio 325)</w:t>
      </w:r>
      <w:r w:rsidRPr="00012C3F">
        <w:rPr>
          <w:rFonts w:cs="Verdana,Italic"/>
          <w:iCs/>
          <w:sz w:val="16"/>
          <w:szCs w:val="16"/>
          <w:lang w:val="en-US" w:eastAsia="en-US"/>
        </w:rPr>
        <w:t>.</w:t>
      </w:r>
    </w:p>
  </w:footnote>
  <w:footnote w:id="21">
    <w:p w14:paraId="04635C4D" w14:textId="77777777" w:rsidR="00D24EFE" w:rsidRPr="00012C3F" w:rsidRDefault="00D24EFE" w:rsidP="005B52E1">
      <w:pPr>
        <w:pStyle w:val="Textonotapie"/>
        <w:tabs>
          <w:tab w:val="left" w:pos="567"/>
        </w:tabs>
        <w:spacing w:after="120"/>
        <w:rPr>
          <w:i/>
          <w:sz w:val="16"/>
          <w:szCs w:val="16"/>
          <w:lang w:val="en-US"/>
        </w:rPr>
      </w:pPr>
      <w:r w:rsidRPr="00012C3F">
        <w:rPr>
          <w:rStyle w:val="Refdenotaalpie"/>
          <w:sz w:val="16"/>
          <w:szCs w:val="16"/>
          <w:lang w:val="en-US"/>
        </w:rPr>
        <w:footnoteRef/>
      </w:r>
      <w:r w:rsidRPr="00D24EFE">
        <w:rPr>
          <w:sz w:val="16"/>
          <w:szCs w:val="16"/>
          <w:lang w:val="es-CR"/>
        </w:rPr>
        <w:t xml:space="preserve"> </w:t>
      </w:r>
      <w:r w:rsidRPr="00D24EFE">
        <w:rPr>
          <w:sz w:val="16"/>
          <w:szCs w:val="16"/>
          <w:lang w:val="es-CR"/>
        </w:rPr>
        <w:tab/>
      </w:r>
      <w:r w:rsidRPr="00D24EFE">
        <w:rPr>
          <w:i/>
          <w:sz w:val="16"/>
          <w:szCs w:val="16"/>
          <w:lang w:val="es-CR"/>
        </w:rPr>
        <w:t>Cf. Case of Herrera Ulloa v. Costa Rica, supra</w:t>
      </w:r>
      <w:r w:rsidRPr="00D24EFE">
        <w:rPr>
          <w:sz w:val="16"/>
          <w:szCs w:val="16"/>
          <w:lang w:val="es-CR"/>
        </w:rPr>
        <w:t xml:space="preserve">, paras. </w:t>
      </w:r>
      <w:r w:rsidRPr="00012C3F">
        <w:rPr>
          <w:sz w:val="16"/>
          <w:szCs w:val="16"/>
          <w:lang w:val="en-US"/>
        </w:rPr>
        <w:t>82 and 83</w:t>
      </w:r>
      <w:r w:rsidRPr="00012C3F">
        <w:rPr>
          <w:rFonts w:cs="Courier New"/>
          <w:noProof/>
          <w:sz w:val="16"/>
          <w:szCs w:val="16"/>
          <w:lang w:val="en-US"/>
        </w:rPr>
        <w:t xml:space="preserve">, and </w:t>
      </w:r>
      <w:r w:rsidRPr="00012C3F">
        <w:rPr>
          <w:i/>
          <w:sz w:val="16"/>
          <w:szCs w:val="16"/>
          <w:lang w:val="en-US"/>
        </w:rPr>
        <w:t>Case of Chinchilla Sandoval v. Guatemala. Preliminary objection, merits, reparations and costs.</w:t>
      </w:r>
      <w:r w:rsidRPr="00012C3F">
        <w:rPr>
          <w:sz w:val="16"/>
          <w:szCs w:val="16"/>
          <w:lang w:val="en-US"/>
        </w:rPr>
        <w:t xml:space="preserve"> Judgment of February 29, 2016. Series C No. 312, para. 26</w:t>
      </w:r>
      <w:r w:rsidRPr="00012C3F">
        <w:rPr>
          <w:rFonts w:cs="Courier New"/>
          <w:noProof/>
          <w:sz w:val="16"/>
          <w:szCs w:val="16"/>
          <w:lang w:val="en-US"/>
        </w:rPr>
        <w:t>.</w:t>
      </w:r>
    </w:p>
  </w:footnote>
  <w:footnote w:id="22">
    <w:p w14:paraId="72D8AE9E"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Admissibility Report No. 40/08 of July 23, 2008, para. 73 (file of the procedure before the Commission, volume II, folios 268 to 270).</w:t>
      </w:r>
    </w:p>
  </w:footnote>
  <w:footnote w:id="23">
    <w:p w14:paraId="7DAFC986" w14:textId="77777777" w:rsidR="00D24EFE" w:rsidRPr="00012C3F" w:rsidRDefault="00D24EFE" w:rsidP="005B52E1">
      <w:pPr>
        <w:pStyle w:val="Textonotapie"/>
        <w:tabs>
          <w:tab w:val="left" w:pos="567"/>
        </w:tabs>
        <w:spacing w:after="120"/>
        <w:rPr>
          <w:rFonts w:cs="Times"/>
          <w:noProof/>
          <w:sz w:val="16"/>
          <w:szCs w:val="16"/>
          <w:lang w:val="en-US" w:eastAsia="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i/>
          <w:sz w:val="16"/>
          <w:szCs w:val="16"/>
          <w:lang w:val="en-US"/>
        </w:rPr>
        <w:t>Case of Furlan and family v. Argentina. Preliminary objections, merits, reparations and costs</w:t>
      </w:r>
      <w:r w:rsidRPr="00012C3F">
        <w:rPr>
          <w:sz w:val="16"/>
          <w:szCs w:val="16"/>
          <w:lang w:val="en-US"/>
        </w:rPr>
        <w:t xml:space="preserve">. Judgment of August 31, 2012. Series C No. 246, para. 29, and </w:t>
      </w:r>
      <w:r w:rsidRPr="00012C3F">
        <w:rPr>
          <w:i/>
          <w:sz w:val="16"/>
          <w:szCs w:val="16"/>
          <w:lang w:val="en-US"/>
        </w:rPr>
        <w:t>Case of Herrera Espinoza et al. v. Ecuador, supra</w:t>
      </w:r>
      <w:r w:rsidRPr="00012C3F">
        <w:rPr>
          <w:sz w:val="16"/>
          <w:szCs w:val="16"/>
          <w:lang w:val="en-US"/>
        </w:rPr>
        <w:t>,</w:t>
      </w:r>
      <w:r w:rsidRPr="00012C3F">
        <w:rPr>
          <w:rStyle w:val="Textoennegrita"/>
          <w:b w:val="0"/>
          <w:color w:val="000000"/>
          <w:sz w:val="16"/>
          <w:szCs w:val="16"/>
          <w:shd w:val="clear" w:color="auto" w:fill="FFFFFF"/>
          <w:lang w:val="en-US"/>
        </w:rPr>
        <w:t xml:space="preserve"> para. 28.</w:t>
      </w:r>
    </w:p>
  </w:footnote>
  <w:footnote w:id="24">
    <w:p w14:paraId="5BD309B2" w14:textId="77777777" w:rsidR="00D24EFE" w:rsidRPr="00012C3F" w:rsidRDefault="00D24EFE" w:rsidP="005B52E1">
      <w:pPr>
        <w:tabs>
          <w:tab w:val="left" w:pos="567"/>
        </w:tabs>
        <w:spacing w:after="120" w:line="240" w:lineRule="auto"/>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 Case of the Ituango Massacres v. Colombia. Preliminary objection, merits, reparations and costs</w:t>
      </w:r>
      <w:r w:rsidRPr="00012C3F">
        <w:rPr>
          <w:sz w:val="16"/>
          <w:szCs w:val="16"/>
          <w:lang w:val="en-US"/>
        </w:rPr>
        <w:t xml:space="preserve">. Judgment of July 1, 2006. Series C No. 148, para. 98, and </w:t>
      </w:r>
      <w:r w:rsidRPr="00012C3F">
        <w:rPr>
          <w:i/>
          <w:sz w:val="16"/>
          <w:szCs w:val="16"/>
          <w:lang w:val="en-US"/>
        </w:rPr>
        <w:t>Case of Flor Freire v. Ecuador. Preliminary objection, merits, reparations and costs.</w:t>
      </w:r>
      <w:r w:rsidRPr="00012C3F">
        <w:rPr>
          <w:sz w:val="16"/>
          <w:szCs w:val="16"/>
          <w:lang w:val="en-US"/>
        </w:rPr>
        <w:t xml:space="preserve"> Judgment of August 31, 2016. Series C No. 315, para. 32.</w:t>
      </w:r>
    </w:p>
  </w:footnote>
  <w:footnote w:id="25">
    <w:p w14:paraId="4A27E0C8" w14:textId="77777777" w:rsidR="00D24EFE" w:rsidRPr="00012C3F" w:rsidRDefault="00D24EFE" w:rsidP="005B52E1">
      <w:pPr>
        <w:tabs>
          <w:tab w:val="left" w:pos="567"/>
        </w:tabs>
        <w:spacing w:after="120" w:line="240" w:lineRule="auto"/>
        <w:rPr>
          <w:rFonts w:eastAsia="Times"/>
          <w:bCs/>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 Case of Veliz Franco et al. v. Guatemala. Preliminary objections, merits, reparations and costs.</w:t>
      </w:r>
      <w:r w:rsidRPr="00012C3F">
        <w:rPr>
          <w:sz w:val="16"/>
          <w:szCs w:val="16"/>
          <w:lang w:val="en-US"/>
        </w:rPr>
        <w:t xml:space="preserve"> Judgment of May 19, 2014. Series C No. 277</w:t>
      </w:r>
      <w:r w:rsidRPr="00012C3F">
        <w:rPr>
          <w:rFonts w:eastAsia="Times"/>
          <w:sz w:val="16"/>
          <w:szCs w:val="16"/>
          <w:lang w:val="en-US"/>
        </w:rPr>
        <w:t xml:space="preserve">, para. 25, and </w:t>
      </w:r>
      <w:r w:rsidRPr="00012C3F">
        <w:rPr>
          <w:i/>
          <w:sz w:val="16"/>
          <w:szCs w:val="16"/>
          <w:lang w:val="en-US"/>
        </w:rPr>
        <w:t>Case of Herrera Espinoza et al. v. Ecuador, supra</w:t>
      </w:r>
      <w:r w:rsidRPr="00012C3F">
        <w:rPr>
          <w:sz w:val="16"/>
          <w:szCs w:val="16"/>
          <w:lang w:val="en-US"/>
        </w:rPr>
        <w:t>,</w:t>
      </w:r>
      <w:r w:rsidRPr="00012C3F">
        <w:rPr>
          <w:rFonts w:eastAsia="Times"/>
          <w:bCs/>
          <w:sz w:val="16"/>
          <w:szCs w:val="16"/>
          <w:lang w:val="en-US"/>
        </w:rPr>
        <w:t xml:space="preserve"> para. 41.</w:t>
      </w:r>
    </w:p>
  </w:footnote>
  <w:footnote w:id="26">
    <w:p w14:paraId="76E740CE" w14:textId="77777777" w:rsidR="00D24EFE" w:rsidRPr="00012C3F" w:rsidRDefault="00D24EFE" w:rsidP="009B3C96">
      <w:pPr>
        <w:pStyle w:val="Textonotapie"/>
        <w:tabs>
          <w:tab w:val="left" w:pos="720"/>
        </w:tabs>
        <w:spacing w:after="120"/>
        <w:rPr>
          <w:bCs/>
          <w:iCs/>
          <w:sz w:val="16"/>
          <w:szCs w:val="16"/>
          <w:lang w:val="en-US" w:bidi="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rFonts w:eastAsia="Times"/>
          <w:i/>
          <w:sz w:val="16"/>
          <w:szCs w:val="16"/>
          <w:lang w:val="en-US"/>
        </w:rPr>
        <w:t>Case of the “Five Pensioners” v. Peru. Merits reparations and costs.</w:t>
      </w:r>
      <w:r w:rsidRPr="00012C3F">
        <w:rPr>
          <w:rFonts w:eastAsia="Times"/>
          <w:sz w:val="16"/>
          <w:szCs w:val="16"/>
          <w:lang w:val="en-US"/>
        </w:rPr>
        <w:t xml:space="preserve"> Judgment of February 28, 2003. Series C No. 98, </w:t>
      </w:r>
      <w:r w:rsidRPr="00012C3F">
        <w:rPr>
          <w:iCs/>
          <w:sz w:val="16"/>
          <w:szCs w:val="16"/>
          <w:lang w:val="en-US" w:bidi="en-US"/>
        </w:rPr>
        <w:t xml:space="preserve">para. 155, and </w:t>
      </w:r>
      <w:r w:rsidRPr="00012C3F">
        <w:rPr>
          <w:rFonts w:cs="Courier New"/>
          <w:i/>
          <w:noProof/>
          <w:sz w:val="16"/>
          <w:szCs w:val="16"/>
          <w:lang w:val="en-US"/>
        </w:rPr>
        <w:t xml:space="preserve">Case of the Triunfo de la Cruz Garifuna Community and its members v. Honduras. Merits reparations and costs. </w:t>
      </w:r>
      <w:r w:rsidRPr="00012C3F">
        <w:rPr>
          <w:rFonts w:cs="Courier New"/>
          <w:noProof/>
          <w:sz w:val="16"/>
          <w:szCs w:val="16"/>
          <w:lang w:val="en-US"/>
        </w:rPr>
        <w:t xml:space="preserve">Judgment of October 8, 2015. Series C No. 305, </w:t>
      </w:r>
      <w:r w:rsidRPr="00012C3F">
        <w:rPr>
          <w:bCs/>
          <w:iCs/>
          <w:sz w:val="16"/>
          <w:szCs w:val="16"/>
          <w:lang w:val="en-US" w:bidi="en-US"/>
        </w:rPr>
        <w:t>para. 204.</w:t>
      </w:r>
    </w:p>
  </w:footnote>
  <w:footnote w:id="27">
    <w:p w14:paraId="20AE0B1C" w14:textId="77777777" w:rsidR="00D24EFE" w:rsidRPr="00012C3F" w:rsidRDefault="00D24EFE" w:rsidP="009B3C96">
      <w:pPr>
        <w:tabs>
          <w:tab w:val="left" w:pos="720"/>
        </w:tabs>
        <w:autoSpaceDE w:val="0"/>
        <w:autoSpaceDN w:val="0"/>
        <w:spacing w:after="120" w:line="240" w:lineRule="auto"/>
        <w:rPr>
          <w:sz w:val="16"/>
          <w:szCs w:val="16"/>
          <w:lang w:val="en-US"/>
        </w:rPr>
      </w:pPr>
      <w:r w:rsidRPr="00012C3F">
        <w:rPr>
          <w:rStyle w:val="Refdenotaalpie"/>
          <w:rFonts w:eastAsia="Calibri"/>
          <w:sz w:val="16"/>
          <w:szCs w:val="16"/>
          <w:lang w:val="en-US"/>
        </w:rPr>
        <w:footnoteRef/>
      </w:r>
      <w:r w:rsidRPr="00012C3F">
        <w:rPr>
          <w:sz w:val="16"/>
          <w:szCs w:val="16"/>
          <w:lang w:val="en-US"/>
        </w:rPr>
        <w:t xml:space="preserve"> </w:t>
      </w:r>
      <w:r w:rsidRPr="00012C3F">
        <w:rPr>
          <w:sz w:val="16"/>
          <w:szCs w:val="16"/>
          <w:lang w:val="en-US"/>
        </w:rPr>
        <w:tab/>
        <w:t>In a note of April 18, 2016, the Secretariat advised that the President of the Court had decided to accept the Commission’s request to modify the way in which this expert opinion was received and, therefore, that expert witness Ana Cepin should provide her expert opinion by affidavit.</w:t>
      </w:r>
    </w:p>
  </w:footnote>
  <w:footnote w:id="28">
    <w:p w14:paraId="4FECF6C8" w14:textId="77777777" w:rsidR="00D24EFE" w:rsidRPr="00012C3F" w:rsidRDefault="00D24EFE" w:rsidP="009B3C96">
      <w:pPr>
        <w:tabs>
          <w:tab w:val="left" w:pos="720"/>
        </w:tabs>
        <w:autoSpaceDE w:val="0"/>
        <w:autoSpaceDN w:val="0"/>
        <w:spacing w:after="120" w:line="240" w:lineRule="auto"/>
        <w:rPr>
          <w:i/>
          <w:sz w:val="16"/>
          <w:szCs w:val="16"/>
          <w:lang w:val="en-US"/>
        </w:rPr>
      </w:pPr>
      <w:r w:rsidRPr="00012C3F">
        <w:rPr>
          <w:rStyle w:val="Refdenotaalpie"/>
          <w:rFonts w:eastAsia="Calibri"/>
          <w:sz w:val="16"/>
          <w:szCs w:val="16"/>
          <w:lang w:val="en-US"/>
        </w:rPr>
        <w:footnoteRef/>
      </w:r>
      <w:r w:rsidRPr="00D24EFE">
        <w:rPr>
          <w:sz w:val="16"/>
          <w:szCs w:val="16"/>
        </w:rPr>
        <w:tab/>
      </w:r>
      <w:r w:rsidRPr="00D24EFE">
        <w:rPr>
          <w:i/>
          <w:sz w:val="16"/>
          <w:szCs w:val="16"/>
        </w:rPr>
        <w:t>Cf.</w:t>
      </w:r>
      <w:r w:rsidRPr="00D24EFE">
        <w:rPr>
          <w:sz w:val="16"/>
          <w:szCs w:val="16"/>
        </w:rPr>
        <w:t xml:space="preserve"> </w:t>
      </w:r>
      <w:r w:rsidRPr="00D24EFE">
        <w:rPr>
          <w:i/>
          <w:sz w:val="16"/>
          <w:szCs w:val="16"/>
        </w:rPr>
        <w:t>Case of Velásquez Rodríguez v. Honduras</w:t>
      </w:r>
      <w:r w:rsidRPr="00D24EFE">
        <w:rPr>
          <w:sz w:val="16"/>
          <w:szCs w:val="16"/>
        </w:rPr>
        <w:t xml:space="preserve">. </w:t>
      </w:r>
      <w:r w:rsidRPr="00012C3F">
        <w:rPr>
          <w:i/>
          <w:sz w:val="16"/>
          <w:szCs w:val="16"/>
          <w:lang w:val="en-US"/>
        </w:rPr>
        <w:t>Merits, supra</w:t>
      </w:r>
      <w:r w:rsidRPr="00012C3F">
        <w:rPr>
          <w:sz w:val="16"/>
          <w:szCs w:val="16"/>
          <w:lang w:val="en-US"/>
        </w:rPr>
        <w:t xml:space="preserve">, para. 140, and </w:t>
      </w:r>
      <w:r w:rsidRPr="00012C3F">
        <w:rPr>
          <w:rStyle w:val="Textoennegrita"/>
          <w:b w:val="0"/>
          <w:i/>
          <w:sz w:val="16"/>
          <w:szCs w:val="16"/>
          <w:lang w:val="en-US"/>
        </w:rPr>
        <w:t>Case of Tenorio Roca et al. v. Peru. Preliminary objections, merits, reparations and costs.</w:t>
      </w:r>
      <w:r w:rsidRPr="00012C3F">
        <w:rPr>
          <w:rStyle w:val="Textoennegrita"/>
          <w:b w:val="0"/>
          <w:sz w:val="16"/>
          <w:szCs w:val="16"/>
          <w:lang w:val="en-US"/>
        </w:rPr>
        <w:t xml:space="preserve"> Judgment of June 22, 2016. Series C No. 314</w:t>
      </w:r>
      <w:r w:rsidRPr="00012C3F">
        <w:rPr>
          <w:rFonts w:cs="Courier New"/>
          <w:noProof/>
          <w:sz w:val="16"/>
          <w:szCs w:val="16"/>
          <w:lang w:val="en-US"/>
        </w:rPr>
        <w:t>, para. 36</w:t>
      </w:r>
      <w:r w:rsidRPr="00012C3F">
        <w:rPr>
          <w:sz w:val="16"/>
          <w:szCs w:val="16"/>
          <w:lang w:val="en-US"/>
        </w:rPr>
        <w:t>.</w:t>
      </w:r>
    </w:p>
  </w:footnote>
  <w:footnote w:id="29">
    <w:p w14:paraId="50C426AE" w14:textId="77777777" w:rsidR="00D24EFE" w:rsidRPr="00012C3F" w:rsidRDefault="00D24EFE" w:rsidP="00833C77">
      <w:pPr>
        <w:tabs>
          <w:tab w:val="left" w:pos="720"/>
        </w:tabs>
        <w:autoSpaceDE w:val="0"/>
        <w:autoSpaceDN w:val="0"/>
        <w:spacing w:after="120" w:line="240" w:lineRule="auto"/>
        <w:rPr>
          <w:sz w:val="16"/>
          <w:szCs w:val="16"/>
          <w:lang w:val="en-US"/>
        </w:rPr>
      </w:pPr>
      <w:r w:rsidRPr="00012C3F">
        <w:rPr>
          <w:rStyle w:val="Refdenotaalpie"/>
          <w:rFonts w:eastAsia="Calibri"/>
          <w:sz w:val="16"/>
          <w:szCs w:val="16"/>
          <w:lang w:val="en-US"/>
        </w:rPr>
        <w:footnoteRef/>
      </w:r>
      <w:r w:rsidRPr="00012C3F">
        <w:rPr>
          <w:sz w:val="16"/>
          <w:szCs w:val="16"/>
          <w:lang w:val="en-US"/>
        </w:rPr>
        <w:t xml:space="preserve"> </w:t>
      </w:r>
      <w:r w:rsidRPr="00012C3F">
        <w:rPr>
          <w:sz w:val="16"/>
          <w:szCs w:val="16"/>
          <w:lang w:val="en-US"/>
        </w:rPr>
        <w:tab/>
        <w:t>Annexes 24 to 44 and 46 to 52 of the motions and pleadings brief were provided only by electronic link.</w:t>
      </w:r>
    </w:p>
  </w:footnote>
  <w:footnote w:id="30">
    <w:p w14:paraId="100CBAC1" w14:textId="77777777" w:rsidR="00D24EFE" w:rsidRPr="00012C3F" w:rsidRDefault="00D24EFE" w:rsidP="005B52E1">
      <w:pPr>
        <w:tabs>
          <w:tab w:val="left" w:pos="567"/>
        </w:tabs>
        <w:autoSpaceDE w:val="0"/>
        <w:autoSpaceDN w:val="0"/>
        <w:spacing w:after="120" w:line="240" w:lineRule="auto"/>
        <w:rPr>
          <w:iCs/>
          <w:sz w:val="16"/>
          <w:szCs w:val="16"/>
          <w:lang w:val="en-US"/>
        </w:rPr>
      </w:pPr>
      <w:r w:rsidRPr="00012C3F">
        <w:rPr>
          <w:rStyle w:val="Refdenotaalpie"/>
          <w:rFonts w:eastAsia="Calibri"/>
          <w:sz w:val="16"/>
          <w:szCs w:val="16"/>
          <w:lang w:val="en-US"/>
        </w:rPr>
        <w:footnoteRef/>
      </w:r>
      <w:r w:rsidRPr="00D24EFE">
        <w:rPr>
          <w:sz w:val="16"/>
          <w:szCs w:val="16"/>
        </w:rPr>
        <w:t xml:space="preserve"> </w:t>
      </w:r>
      <w:r w:rsidRPr="00D24EFE">
        <w:rPr>
          <w:sz w:val="16"/>
          <w:szCs w:val="16"/>
        </w:rPr>
        <w:tab/>
      </w:r>
      <w:r w:rsidRPr="00D24EFE">
        <w:rPr>
          <w:rFonts w:eastAsia="Batang"/>
          <w:i/>
          <w:sz w:val="16"/>
          <w:szCs w:val="16"/>
        </w:rPr>
        <w:t>Cf. Case of Velásquez Rodríguez v. Honduras. Merits, supra</w:t>
      </w:r>
      <w:r w:rsidRPr="00D24EFE">
        <w:rPr>
          <w:rFonts w:eastAsia="Batang"/>
          <w:sz w:val="16"/>
          <w:szCs w:val="16"/>
        </w:rPr>
        <w:t xml:space="preserve">, para. 146, and </w:t>
      </w:r>
      <w:r w:rsidRPr="00D24EFE">
        <w:rPr>
          <w:rStyle w:val="Textoennegrita"/>
          <w:b w:val="0"/>
          <w:i/>
          <w:sz w:val="16"/>
          <w:szCs w:val="16"/>
        </w:rPr>
        <w:t>Case of Tenorio Roca et al. v. Peru, supra</w:t>
      </w:r>
      <w:r w:rsidRPr="00D24EFE">
        <w:rPr>
          <w:rFonts w:cs="Courier New"/>
          <w:noProof/>
          <w:sz w:val="16"/>
          <w:szCs w:val="16"/>
        </w:rPr>
        <w:t xml:space="preserve">, para. </w:t>
      </w:r>
      <w:r w:rsidRPr="00012C3F">
        <w:rPr>
          <w:sz w:val="16"/>
          <w:szCs w:val="16"/>
          <w:lang w:val="en-US"/>
        </w:rPr>
        <w:t>38.</w:t>
      </w:r>
    </w:p>
  </w:footnote>
  <w:footnote w:id="31">
    <w:p w14:paraId="536533E9"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Calibri"/>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rFonts w:cs="Verdana-Bold"/>
          <w:bCs/>
          <w:i/>
          <w:sz w:val="16"/>
          <w:szCs w:val="16"/>
          <w:lang w:val="en-US" w:bidi="en-US"/>
        </w:rPr>
        <w:t>Case of the Barrios Family v. Venezuela.</w:t>
      </w:r>
      <w:r w:rsidRPr="00012C3F">
        <w:rPr>
          <w:rFonts w:cs="Verdana-Bold"/>
          <w:bCs/>
          <w:sz w:val="16"/>
          <w:szCs w:val="16"/>
          <w:lang w:val="en-US" w:bidi="en-US"/>
        </w:rPr>
        <w:t xml:space="preserve"> </w:t>
      </w:r>
      <w:r w:rsidRPr="00012C3F">
        <w:rPr>
          <w:rFonts w:cs="Verdana"/>
          <w:i/>
          <w:sz w:val="16"/>
          <w:szCs w:val="16"/>
          <w:lang w:val="en-US" w:bidi="en-US"/>
        </w:rPr>
        <w:t>Merits reparations and costs</w:t>
      </w:r>
      <w:r w:rsidRPr="00012C3F">
        <w:rPr>
          <w:rFonts w:cs="Verdana"/>
          <w:sz w:val="16"/>
          <w:szCs w:val="16"/>
          <w:lang w:val="en-US" w:bidi="en-US"/>
        </w:rPr>
        <w:t xml:space="preserve">. Judgment of November 24, 2011. Series C No. 237, </w:t>
      </w:r>
      <w:r w:rsidRPr="00012C3F">
        <w:rPr>
          <w:sz w:val="16"/>
          <w:szCs w:val="16"/>
          <w:lang w:val="en-US"/>
        </w:rPr>
        <w:t xml:space="preserve">para. 17, and </w:t>
      </w:r>
      <w:r w:rsidRPr="00012C3F">
        <w:rPr>
          <w:rStyle w:val="Textoennegrita"/>
          <w:b w:val="0"/>
          <w:i/>
          <w:sz w:val="16"/>
          <w:szCs w:val="16"/>
          <w:lang w:val="en-US"/>
        </w:rPr>
        <w:t>Case of Tenorio Roca et al. v. Peru, supra</w:t>
      </w:r>
      <w:r w:rsidRPr="00012C3F">
        <w:rPr>
          <w:rFonts w:cs="Courier New"/>
          <w:noProof/>
          <w:sz w:val="16"/>
          <w:szCs w:val="16"/>
          <w:lang w:val="en-US"/>
        </w:rPr>
        <w:t>, para. 39</w:t>
      </w:r>
      <w:r w:rsidRPr="00012C3F">
        <w:rPr>
          <w:bCs/>
          <w:sz w:val="16"/>
          <w:szCs w:val="16"/>
          <w:lang w:val="en-US"/>
        </w:rPr>
        <w:t>.</w:t>
      </w:r>
    </w:p>
  </w:footnote>
  <w:footnote w:id="32">
    <w:p w14:paraId="6C855B84"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Calibri"/>
          <w:sz w:val="16"/>
          <w:szCs w:val="16"/>
          <w:lang w:val="en-US"/>
        </w:rPr>
        <w:footnoteRef/>
      </w:r>
      <w:r w:rsidRPr="00012C3F">
        <w:rPr>
          <w:sz w:val="16"/>
          <w:szCs w:val="16"/>
          <w:lang w:val="en-US"/>
        </w:rPr>
        <w:t xml:space="preserve"> </w:t>
      </w:r>
      <w:r w:rsidRPr="00012C3F">
        <w:rPr>
          <w:sz w:val="16"/>
          <w:szCs w:val="16"/>
          <w:lang w:val="en-US"/>
        </w:rPr>
        <w:tab/>
      </w:r>
      <w:r w:rsidRPr="00012C3F">
        <w:rPr>
          <w:rFonts w:cs="Arial"/>
          <w:sz w:val="16"/>
          <w:szCs w:val="16"/>
          <w:lang w:val="en-US"/>
        </w:rPr>
        <w:t>Annex 1: Updated table of “costs and expenses,” and Annex 2: Invoices, receipts, vouchers, travel costs, and contracts verifying “costs and expenses.”</w:t>
      </w:r>
    </w:p>
  </w:footnote>
  <w:footnote w:id="33">
    <w:p w14:paraId="5314CA0B" w14:textId="77777777" w:rsidR="00D24EFE" w:rsidRPr="00012C3F" w:rsidRDefault="00D24EFE" w:rsidP="005B52E1">
      <w:pPr>
        <w:pStyle w:val="Textonotapie"/>
        <w:tabs>
          <w:tab w:val="left" w:pos="567"/>
        </w:tabs>
        <w:spacing w:after="120"/>
        <w:rPr>
          <w:rFonts w:eastAsia="ヒラギノ角ゴ Pro W3"/>
          <w:sz w:val="16"/>
          <w:szCs w:val="16"/>
          <w:lang w:val="en-US"/>
        </w:rPr>
      </w:pPr>
      <w:r w:rsidRPr="00012C3F">
        <w:rPr>
          <w:rStyle w:val="Refdenotaalpie"/>
          <w:rFonts w:eastAsia="Calibri"/>
          <w:sz w:val="16"/>
          <w:szCs w:val="16"/>
          <w:lang w:val="en-US"/>
        </w:rPr>
        <w:footnoteRef/>
      </w:r>
      <w:r w:rsidRPr="00012C3F">
        <w:rPr>
          <w:sz w:val="16"/>
          <w:szCs w:val="16"/>
          <w:lang w:val="en-US"/>
        </w:rPr>
        <w:t xml:space="preserve"> </w:t>
      </w:r>
      <w:r w:rsidRPr="00012C3F">
        <w:rPr>
          <w:sz w:val="16"/>
          <w:szCs w:val="16"/>
          <w:lang w:val="en-US"/>
        </w:rPr>
        <w:tab/>
        <w:t>The purpose of all these statements was established in the order of the President of the Court of March 29, 2016, first and fifth operative paragraphs. The order may be consulted on the Court’s webpage using the following link:  http://www.corteidh.or.cr/docs/asuntos/iv_29_03_16.pdf</w:t>
      </w:r>
    </w:p>
  </w:footnote>
  <w:footnote w:id="34">
    <w:p w14:paraId="5F97E1D5" w14:textId="77777777" w:rsidR="00D24EFE" w:rsidRPr="00012C3F" w:rsidRDefault="00D24EFE" w:rsidP="005B52E1">
      <w:pPr>
        <w:tabs>
          <w:tab w:val="left" w:pos="567"/>
        </w:tabs>
        <w:spacing w:after="120" w:line="240" w:lineRule="auto"/>
        <w:rPr>
          <w:i/>
          <w:sz w:val="16"/>
          <w:szCs w:val="16"/>
          <w:lang w:val="en-US"/>
        </w:rPr>
      </w:pPr>
      <w:r w:rsidRPr="00012C3F">
        <w:rPr>
          <w:rStyle w:val="Refdenotaalpie"/>
          <w:rFonts w:eastAsia="Calibri"/>
          <w:sz w:val="16"/>
          <w:szCs w:val="16"/>
          <w:lang w:val="en-US"/>
        </w:rPr>
        <w:footnoteRef/>
      </w:r>
      <w:r w:rsidRPr="00012C3F">
        <w:rPr>
          <w:sz w:val="16"/>
          <w:szCs w:val="16"/>
          <w:vertAlign w:val="superscript"/>
          <w:lang w:val="en-US"/>
        </w:rPr>
        <w:t xml:space="preserve"> </w:t>
      </w:r>
      <w:r w:rsidRPr="00012C3F">
        <w:rPr>
          <w:sz w:val="16"/>
          <w:szCs w:val="16"/>
          <w:lang w:val="en-US"/>
        </w:rPr>
        <w:tab/>
      </w:r>
      <w:r w:rsidRPr="00012C3F">
        <w:rPr>
          <w:i/>
          <w:sz w:val="16"/>
          <w:szCs w:val="16"/>
          <w:lang w:val="en-US"/>
        </w:rPr>
        <w:t>Cf.</w:t>
      </w:r>
      <w:r w:rsidRPr="00012C3F">
        <w:rPr>
          <w:bCs/>
          <w:i/>
          <w:sz w:val="16"/>
          <w:szCs w:val="16"/>
          <w:lang w:val="en-US"/>
        </w:rPr>
        <w:t xml:space="preserve"> </w:t>
      </w:r>
      <w:r w:rsidRPr="00012C3F">
        <w:rPr>
          <w:i/>
          <w:sz w:val="16"/>
          <w:szCs w:val="16"/>
          <w:lang w:val="en-US"/>
        </w:rPr>
        <w:t xml:space="preserve">Case of the “White Van” (Paniagua Morales et al.) v. Guatemala. Merits. </w:t>
      </w:r>
      <w:r w:rsidRPr="00012C3F">
        <w:rPr>
          <w:sz w:val="16"/>
          <w:szCs w:val="16"/>
          <w:lang w:val="en-US"/>
        </w:rPr>
        <w:t xml:space="preserve">Judgment of March 8, 1998. Series C No. 37, paras. 69 to 76, and </w:t>
      </w:r>
      <w:r w:rsidRPr="00012C3F">
        <w:rPr>
          <w:i/>
          <w:sz w:val="16"/>
          <w:szCs w:val="16"/>
          <w:lang w:val="en-US"/>
        </w:rPr>
        <w:t>Case of Herrera Espinoza et al. v. Ecuador, supra</w:t>
      </w:r>
      <w:r w:rsidRPr="00012C3F">
        <w:rPr>
          <w:sz w:val="16"/>
          <w:szCs w:val="16"/>
          <w:lang w:val="en-US"/>
        </w:rPr>
        <w:t>, para. 47.</w:t>
      </w:r>
    </w:p>
  </w:footnote>
  <w:footnote w:id="35">
    <w:p w14:paraId="60BFA06A" w14:textId="77777777" w:rsidR="00D24EFE" w:rsidRPr="00012C3F" w:rsidRDefault="00D24EFE" w:rsidP="005B52E1">
      <w:pPr>
        <w:tabs>
          <w:tab w:val="left" w:pos="567"/>
        </w:tabs>
        <w:spacing w:after="120" w:line="240" w:lineRule="auto"/>
        <w:rPr>
          <w:sz w:val="16"/>
          <w:szCs w:val="16"/>
          <w:lang w:val="en-US"/>
        </w:rPr>
      </w:pPr>
      <w:r w:rsidRPr="00012C3F">
        <w:rPr>
          <w:rStyle w:val="Refdenotaalpie"/>
          <w:rFonts w:eastAsia="Calibri"/>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Case of Loayza Tamayo v. Peru. Merits. </w:t>
      </w:r>
      <w:r w:rsidRPr="00012C3F">
        <w:rPr>
          <w:sz w:val="16"/>
          <w:szCs w:val="16"/>
          <w:lang w:val="en-US"/>
        </w:rPr>
        <w:t xml:space="preserve">Judgment of September 17, 1997. </w:t>
      </w:r>
      <w:r w:rsidRPr="00D24EFE">
        <w:rPr>
          <w:sz w:val="16"/>
          <w:szCs w:val="16"/>
        </w:rPr>
        <w:t xml:space="preserve">Series C No. 33, para. 43, and </w:t>
      </w:r>
      <w:r w:rsidRPr="00D24EFE">
        <w:rPr>
          <w:rStyle w:val="Textoennegrita"/>
          <w:b w:val="0"/>
          <w:i/>
          <w:sz w:val="16"/>
          <w:szCs w:val="16"/>
        </w:rPr>
        <w:t>Case of Tenorio Roca et al. v. Peru, supra</w:t>
      </w:r>
      <w:r w:rsidRPr="00D24EFE">
        <w:rPr>
          <w:rStyle w:val="Textoennegrita"/>
          <w:b w:val="0"/>
          <w:sz w:val="16"/>
          <w:szCs w:val="16"/>
        </w:rPr>
        <w:t xml:space="preserve">, para. </w:t>
      </w:r>
      <w:r w:rsidRPr="00012C3F">
        <w:rPr>
          <w:rStyle w:val="Textoennegrita"/>
          <w:b w:val="0"/>
          <w:sz w:val="16"/>
          <w:szCs w:val="16"/>
          <w:lang w:val="en-US"/>
        </w:rPr>
        <w:t>46</w:t>
      </w:r>
      <w:r w:rsidRPr="00012C3F">
        <w:rPr>
          <w:sz w:val="16"/>
          <w:szCs w:val="16"/>
          <w:lang w:val="en-US"/>
        </w:rPr>
        <w:t>.</w:t>
      </w:r>
    </w:p>
  </w:footnote>
  <w:footnote w:id="36">
    <w:p w14:paraId="3279DBE6"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Foreigner’s identity card (evidence file, volume VIII, annex 5 to the brief with motions, pleadings and evidence, folio 2314).</w:t>
      </w:r>
    </w:p>
  </w:footnote>
  <w:footnote w:id="37">
    <w:p w14:paraId="07F5D4C9"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Psychological appraisal of the psycho-social effects suffered by I.V. owing to the non-consensual sterilization performed by the ITEI on May 12, 2008 (evidence file, volume VIII, annex 20 to the brief with motions, pleadings and evidence, folios 2354 and 2355).</w:t>
      </w:r>
    </w:p>
  </w:footnote>
  <w:footnote w:id="38">
    <w:p w14:paraId="7CF0C868"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Psychological appraisal of the psycho-social effects suffered by I.V. owing to the non-consensual sterilization performed by the ITEI on May 12, 2008 (evidence file, volume VIII, annex 20 to the brief with motions, pleadings and evidence, folios 2354 and 2355).</w:t>
      </w:r>
    </w:p>
  </w:footnote>
  <w:footnote w:id="39">
    <w:p w14:paraId="3C45301F"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Birth certificate of N.V. issued by the Civil Registry of the Pueblo Libre District Municipality (evidence file, volume VIII, annex 15 to the brief with motions, pleadings and evidence, folio 2338).</w:t>
      </w:r>
    </w:p>
  </w:footnote>
  <w:footnote w:id="40">
    <w:p w14:paraId="4553F64B"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Psychological appraisal of the psycho-social effects suffered by I.V. owing to the non-consensual sterilization performed by the ITEI on May 12, 2008 (evidence file, volume VIII, annex 20 to the brief with motions, pleadings and evidence, folios 2354 to 2355).</w:t>
      </w:r>
    </w:p>
  </w:footnote>
  <w:footnote w:id="41">
    <w:p w14:paraId="411C7DB4"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Professional certification in the specialty of hotel administration issued by the First Hotel and Tourism School of Bolivia on August 23, 1996 (evidence file, volume VIII, annex 7 to the brief with motions, pleadings and evidence, folio 2319).</w:t>
      </w:r>
    </w:p>
  </w:footnote>
  <w:footnote w:id="42">
    <w:p w14:paraId="7D0F2FCA" w14:textId="77777777" w:rsidR="00D24EFE" w:rsidRPr="00012C3F" w:rsidRDefault="00D24EFE" w:rsidP="005B52E1">
      <w:pPr>
        <w:pStyle w:val="Textonotapie"/>
        <w:tabs>
          <w:tab w:val="left" w:pos="567"/>
        </w:tabs>
        <w:spacing w:after="120"/>
        <w:rPr>
          <w:i/>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Diploma granted by the Universidad Mayor de San Andrés on September 15, 2014</w:t>
      </w:r>
      <w:r w:rsidRPr="00012C3F">
        <w:rPr>
          <w:i/>
          <w:sz w:val="16"/>
          <w:szCs w:val="16"/>
          <w:lang w:val="en-US"/>
        </w:rPr>
        <w:t xml:space="preserve"> </w:t>
      </w:r>
      <w:r w:rsidRPr="00012C3F">
        <w:rPr>
          <w:sz w:val="16"/>
          <w:szCs w:val="16"/>
          <w:lang w:val="en-US"/>
        </w:rPr>
        <w:t>(evidence file, volume VIII, annex 10 to the brief with motions, pleadings and evidence, folio 2326).</w:t>
      </w:r>
    </w:p>
  </w:footnote>
  <w:footnote w:id="43">
    <w:p w14:paraId="4AA94A93"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Medical record (file of the procedure before the Commission, volume II, folios 339 to 378); Record of the Medical Audit Decisions Committee of March 13, 2001 (evidence file, volume VII, annex 3 to the submission of the case, folios 2120 to 2134), and Statement made by I.V. before the Inter-American Court during the public hearing held on May 2, 2016.</w:t>
      </w:r>
    </w:p>
  </w:footnote>
  <w:footnote w:id="44">
    <w:p w14:paraId="5B9EBC59"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Medical record (file of the procedure before the Commission, volume II, folios 339 to 378).</w:t>
      </w:r>
    </w:p>
  </w:footnote>
  <w:footnote w:id="45">
    <w:p w14:paraId="73AC7F17"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Preoperative note dated 1, 2000 (evidence file, volume X, annex 16 al Answering brief of the State, folio 3650); Medical Audit record of the operation performed on I.V. (evidence file, volume VII, annex 1 to the submission of the case, folios 2115 and 2116); Final conclusions of the medical audit by the Departmental Medical Audit Committee  of March 9, 2001 (evidence file, volume VII, annex 2 to the submission of the case, folio 2118), and Report issued by the Medical Audit Decisions Committee of March 13, 2001 (evidence file, volume VII, annex 3 to the submission of the case, folios 2120 to 2134).</w:t>
      </w:r>
    </w:p>
  </w:footnote>
  <w:footnote w:id="46">
    <w:p w14:paraId="3B94909D"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Record of the surgical procedure transcribed by the Women’s Hospital (evidence file, volume VII, annex 8 to the submission of the case, folio 2138); Medical Audit record of the operation performed on I.V. (evidence file, volume VII, annex 1 to the submission of the case, folios 2115 and 2116); Statement made by Edgar Torrico Ameller before the Inter-American Court during the public hearing held on May 2, 2016, and Affidavit prepared by Marco Vladimir Vargas Terrazas on April 28, 2016 (evidence file, volume XI, affidavits, folios 3929 to 3939).</w:t>
      </w:r>
    </w:p>
  </w:footnote>
  <w:footnote w:id="47">
    <w:p w14:paraId="4D7CA93B"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Resolution issued by the Second Trial Court of the La Paz Judicial District on November 18, 2002 (evidence file, volume X, annex 17 to the State’s answering brief, folio 3654).</w:t>
      </w:r>
    </w:p>
  </w:footnote>
  <w:footnote w:id="48">
    <w:p w14:paraId="4275203D"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Medical Audit record of the operation performed on I.V. (evidence file, volume VII, annex 1 to the submission of the case, folios 2115 and 2116); Report of the Audit Committee on the case of patient I.V. of August 22, 2000 (evidence file, volume VII, annex 4 to the submission of the case, folio 2136), and Affidavit prepared by Marco Vladimir Vargas Terrazas on April 28, 2016 (evidence file, volume XI, affidavits, folio 3936).</w:t>
      </w:r>
    </w:p>
  </w:footnote>
  <w:footnote w:id="49">
    <w:p w14:paraId="22629BE7"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Affidavit prepared by Marco Vladimir Vargas Terrazas on April 28, 2016 (evidence file, volume XI, affidavits, folios 3929 to 3939);</w:t>
      </w:r>
      <w:r w:rsidRPr="00012C3F">
        <w:rPr>
          <w:i/>
          <w:sz w:val="16"/>
          <w:szCs w:val="16"/>
          <w:lang w:val="en-US"/>
        </w:rPr>
        <w:t xml:space="preserve"> </w:t>
      </w:r>
      <w:r w:rsidRPr="00012C3F">
        <w:rPr>
          <w:sz w:val="16"/>
          <w:szCs w:val="16"/>
          <w:lang w:val="en-US"/>
        </w:rPr>
        <w:t>Statement made by Edgar Torrico Ameller before the Inter-American Court during the public hearing held on May 2, 2016; Statement made by J.E. on July 27, 2004, according to the record of the oral hearing issued by the Copacabana Trial Court (evidence file, volume XII, annex 1(c)) to the State’s final arguments, folio 4755), and Resolution issued by the Second Trial Court of the La Paz Judicial District on November 18, 2002 (evidence file, volume X, annex 17 to the State’s answering brief, folios 3652 to 3659).</w:t>
      </w:r>
    </w:p>
  </w:footnote>
  <w:footnote w:id="50">
    <w:p w14:paraId="3C03BB4B"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Affidavit prepared by Marco Vladimir Vargas Terrazas on April 28, 2016 (evidence file, volume XI, affidavits, folio 3937); Statement made by Edgar Torrico Ameller before the Inter-American Court during the public hearing held on May 2, 2016; Record of the surgical procedure transcribed by the Women’s Hospital (evidence file, volume VII, annex 8 to the submission of the case, folio 2138); Final conclusions of the medical audit by the Departmental Medical Audit Committee  of March 9, 2001 (evidence file, volume VII, annex 2 to the submission of the case, folio 2118), e Report of the Audit Committee on the case of patient I.V. of August 22, 2000 (evidence file, volume VII, annex 4 to the submission of the case, folio 2136).</w:t>
      </w:r>
    </w:p>
  </w:footnote>
  <w:footnote w:id="51">
    <w:p w14:paraId="763505EF"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Statement made by Edgar Torrico Ameller before the Inter-American Court during the public hearing held on May 2, 2016; Affidavit prepared by Marco Vladimir Vargas Terrazas on April 28, 2016 (evidence file, volume XI, affidavits, folios 3929 to 3939), and Resolution issued by the Second Trial Court of the La Paz Judicial District on November 18, 2002 (evidence file, volume X, annex 17 to the State’s answering brief, folios 3652 to 3659).</w:t>
      </w:r>
    </w:p>
  </w:footnote>
  <w:footnote w:id="52">
    <w:p w14:paraId="6B318BEC"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Record of the surgical procedure transcribed by the Women’s Hospital (evidence file, volume VII, annex 8 to the submission of the case, folio 2138).</w:t>
      </w:r>
    </w:p>
  </w:footnote>
  <w:footnote w:id="53">
    <w:p w14:paraId="66D1BE5D"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Record of the surgical procedure transcribed by the Women’s Hospital (evidence file, volume VII, annex 8 to the submission of the case, folio 2138); Affidavit prepared by Marco Vladimir Vargas Terrazas on April 28, 2016 (evidence file, volume XI, affidavits, folio 3937), and Statement made by Edgar Torrico Ameller before the Inter-American Court during the public hearing held on May 2, 2016.</w:t>
      </w:r>
    </w:p>
  </w:footnote>
  <w:footnote w:id="54">
    <w:p w14:paraId="1780E9B4"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Family authorization form for surgery or special treatment (evidence file, volume X, annex 18 to the State’s answering brief, folio 3661), and Resolution issued by the Second Trial Court of the La Paz Judicial District on November 18, 2002 (evidence file, volume X, annex 17 to the State’s answering brief, folio 3654).</w:t>
      </w:r>
    </w:p>
  </w:footnote>
  <w:footnote w:id="55">
    <w:p w14:paraId="479251CB"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Affidavit prepared by Marco Vladimir Vargas Terrazas on April 28, 2016 (evidence file, volume XI, affidavits, folio 3937); Statement made by Edgar Torrico Ameller before the Inter-American Court during the public hearing held on May 2, 2016, and Report of the Audit Committee on the case of patient I.V. of August 22, 2000 (evidence file, volume VII, annex 4 to the submission of the case, folio 2136).</w:t>
      </w:r>
    </w:p>
  </w:footnote>
  <w:footnote w:id="56">
    <w:p w14:paraId="5358A373"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 xml:space="preserve">Dr. María del Rosario Arteaga Méndez stated that she had not taken part in the operation and that, at the request of several nurses, on the day of the incident, she when to look for I.V.’s husband, without knowing why he was required and without being able to find him in the hospital. </w:t>
      </w:r>
      <w:r w:rsidRPr="00012C3F">
        <w:rPr>
          <w:i/>
          <w:sz w:val="16"/>
          <w:szCs w:val="16"/>
          <w:lang w:val="en-US"/>
        </w:rPr>
        <w:t>Cf.</w:t>
      </w:r>
      <w:r w:rsidRPr="00012C3F">
        <w:rPr>
          <w:sz w:val="16"/>
          <w:szCs w:val="16"/>
          <w:lang w:val="en-US"/>
        </w:rPr>
        <w:t xml:space="preserve"> Statement made by María del Rosario Arteaga Méndez on August 17, 2000, according to the medical record of the surgical procedure performed on I.V. issued by the Medical Audit Committee of the Women’s Hospital (evidence file, volume VII, annex 1 to the submission of the case, folio 2115), and Statement made by María del Rosario Arteaga Méndez on July 29, 2004, according to the record of the oral hearing issued by the Copacabana Trial Court (evidence file, volume XII, annex 1(d)) to the State’s final arguments, folio 4826).</w:t>
      </w:r>
    </w:p>
  </w:footnote>
  <w:footnote w:id="57">
    <w:p w14:paraId="0A83504B"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Record of the surgical procedure transcribed by the Women’s Hospital (evidence file, volume VII, annex 8 to the submission of the case, folio 2138).</w:t>
      </w:r>
    </w:p>
  </w:footnote>
  <w:footnote w:id="58">
    <w:p w14:paraId="6AABF4BB"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Progress report of I.V. of the Women’s Hospital (evidence file, volume VII, annex 9 to the submission of the case, folio 2140).</w:t>
      </w:r>
    </w:p>
  </w:footnote>
  <w:footnote w:id="59">
    <w:p w14:paraId="61D89F92" w14:textId="77777777" w:rsidR="00D24EFE" w:rsidRPr="00012C3F" w:rsidRDefault="00D24EFE" w:rsidP="005B52E1">
      <w:pPr>
        <w:pStyle w:val="Textonotapie"/>
        <w:tabs>
          <w:tab w:val="left" w:pos="567"/>
        </w:tabs>
        <w:spacing w:after="120"/>
        <w:rPr>
          <w:i/>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Statement made by I.V. before the Inter-American Court during the public hearing held on May 2, 2016, and Statement made by I.V. on July 27, 2004, according to the record of the oral hearing issued by the Copacabana Trial Court (evidence file, volume XII, annex 1(c)) to the State’s final arguments, folios 4759 to 4761).</w:t>
      </w:r>
    </w:p>
  </w:footnote>
  <w:footnote w:id="60">
    <w:p w14:paraId="4E6E849F"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t>Statement made by I.V. before the Inter-American Court during the public hearing held on May 2, 2016. See also, Statement made by I.V. on July 27, 2004, according to the record of the oral hearing issued by the Copacabana Trial Court (evidence file, volume XII, annex 1(c)) to the State’s final arguments, folios 4759 to 4761).</w:t>
      </w:r>
    </w:p>
  </w:footnote>
  <w:footnote w:id="61">
    <w:p w14:paraId="00E2A6C6"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Progress report of I.V. of the Women’s Hospital (evidence file, volume VII, annex 3 to the submission of the case, folio 2130).</w:t>
      </w:r>
    </w:p>
  </w:footnote>
  <w:footnote w:id="62">
    <w:p w14:paraId="1224B9B2"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Consisting of the Head of Training and Research, the Head of Neonatology, and a member of the Audit Committee.</w:t>
      </w:r>
    </w:p>
  </w:footnote>
  <w:footnote w:id="63">
    <w:p w14:paraId="25F4AB3F"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Report of the Audit Committee on the case of patient I.V. of August 22, 2000 (evidence file, volume VII, annex 4 to the submission of the case, folio 2136).</w:t>
      </w:r>
    </w:p>
  </w:footnote>
  <w:footnote w:id="64">
    <w:p w14:paraId="365A5D1A"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Consisting of representatives of medical associations and health-related scientific committees.</w:t>
      </w:r>
    </w:p>
  </w:footnote>
  <w:footnote w:id="65">
    <w:p w14:paraId="43B27C09"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Final conclusions of the medical audit by the Departmental Medical Audit Committee of March 9, 2001 (evidence file, volume VII, annex 2 to the submission of the case, folio 2118).</w:t>
      </w:r>
    </w:p>
  </w:footnote>
  <w:footnote w:id="66">
    <w:p w14:paraId="314D2F4D"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Final conclusions of the medical audit by the Departmental Medical Audit Committee of March 9, 2001 (evidence file, volume VII, annex 2 to the submission of the case, folio 2118).</w:t>
      </w:r>
    </w:p>
  </w:footnote>
  <w:footnote w:id="67">
    <w:p w14:paraId="791C6221"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Consisting of members of the Committee and the Audit team: the Director General of Health Services; the Head of the National Health Care Unit; the Head of the National Basic Health Care Insurance Unit; the Head of Development of the Health Services Network; a lawyer with experience in malpractice; a member of the Quality and Regulation Technical Group; the Coordinator and External Auditor; a doctor representing the SBS, and a specialist in obstetrics/gynecology.</w:t>
      </w:r>
    </w:p>
  </w:footnote>
  <w:footnote w:id="68">
    <w:p w14:paraId="50ED7EED"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Report issued by the Medical Audit Decisions Committee of March 13, 2001 (evidence file, volume VII, annex 3 to the submission of the case, folio 2120).</w:t>
      </w:r>
    </w:p>
  </w:footnote>
  <w:footnote w:id="69">
    <w:p w14:paraId="422B3C83"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Report issued by the Medical Audit Decisions Committee of March 13, 2001 (evidence file, volume VII, annex 3 to the submission of the case, folios 2120 to 2133).</w:t>
      </w:r>
    </w:p>
  </w:footnote>
  <w:footnote w:id="70">
    <w:p w14:paraId="0FBD5572"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Report issued by the Medical Audit Decisions Committee of March 13, 2001 (evidence file, volume VII, annex 3 to the submission of the case, folio 2121).</w:t>
      </w:r>
    </w:p>
  </w:footnote>
  <w:footnote w:id="71">
    <w:p w14:paraId="6D83A072"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Report of the Ethics Tribunal of the La Paz Departmental Medical College / Case of claim by the patient I.V. of October 5, 2001 (evidence file, volume VII, annex 19 to the submission of the case, folio 2166).</w:t>
      </w:r>
    </w:p>
  </w:footnote>
  <w:footnote w:id="72">
    <w:p w14:paraId="6DAF31CB"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Report of the Ethics Tribunal of the La Paz Departmental Medical College / Case of claim by the patient I.V. of October 5, 2001 (evidence file, volume VII, annex 19 to the submission of the case, folio 2168).</w:t>
      </w:r>
    </w:p>
  </w:footnote>
  <w:footnote w:id="73">
    <w:p w14:paraId="751626AA"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Report of the Ethics Tribunal of the La Paz Departmental Medical College / Case of claim by the patient I.V. of October 5, 2001 (evidence file, volume VII, annex 19 to the submission of the case, folio 2168).</w:t>
      </w:r>
    </w:p>
  </w:footnote>
  <w:footnote w:id="74">
    <w:p w14:paraId="6DD63394"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Report of the Ethics Tribunal of the La Paz Departmental Medical College / Case of claim by the patient I.V. of October 5, 2001 (evidence file, volume VII, annex 19 to the submission of the case, folio 2167).</w:t>
      </w:r>
    </w:p>
  </w:footnote>
  <w:footnote w:id="75">
    <w:p w14:paraId="4D859D4A"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Report of the Ethics Tribunal of the La Paz Departmental Medical College / Case of claim by the patient I.V. of October 5, 2001 (evidence file, volume VII, annex 19 to the submission of the case, folio 2167).</w:t>
      </w:r>
    </w:p>
  </w:footnote>
  <w:footnote w:id="76">
    <w:p w14:paraId="19F008B6"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Report of the Ethics Tribunal of the La Paz Departmental Medical College / Case of claim by the patient I.V. of October 5, 2001 (evidence file, volume VII, annex 19 to the submission of the case, folio 2168).</w:t>
      </w:r>
    </w:p>
  </w:footnote>
  <w:footnote w:id="77">
    <w:p w14:paraId="288AE604"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Report of the Ethics Tribunal of the La Paz Departmental Medical College / Case of claim by the patient I.V. of October 5, 2001 (evidence file, volume VII, annex 19 to the submission of the case, folios 2166 to 2170).</w:t>
      </w:r>
    </w:p>
  </w:footnote>
  <w:footnote w:id="78">
    <w:p w14:paraId="73A6EE42"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Report of the Ethics Tribunal of the La Paz Departmental Medical College / Case of claim by the patient I.V. of October 5, 2001 (evidence file, volume VII, annex 19 to the submission of the case, folio 2168).</w:t>
      </w:r>
    </w:p>
  </w:footnote>
  <w:footnote w:id="79">
    <w:p w14:paraId="660F4CC4"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Report of the Ethics Tribunal of the La Paz Departmental Medical College / Case of claim by the patient I.V. of October 5, 2001 (evidence file, volume VII, annex 19 to the submission of the case, folio 2168).</w:t>
      </w:r>
    </w:p>
  </w:footnote>
  <w:footnote w:id="80">
    <w:p w14:paraId="7400DF87"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Report of the Ethics Tribunal of the La Paz Departmental Medical College / Case of claim by the patient I.V. of October 5, 2001 (evidence file, volume VII, annex 19 to the submission of the case, folio 2166).</w:t>
      </w:r>
    </w:p>
  </w:footnote>
  <w:footnote w:id="81">
    <w:p w14:paraId="608C4690" w14:textId="77777777" w:rsidR="00D24EFE" w:rsidRPr="00012C3F" w:rsidRDefault="00D24EFE" w:rsidP="00716C7D">
      <w:pPr>
        <w:pStyle w:val="Textonotapie"/>
        <w:tabs>
          <w:tab w:val="left" w:pos="630"/>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Report of the Ethics Tribunal of the La Paz Departmental Medical College / Case of claim by the patient I.V. of October 5, 2001 (evidence file, volume VII, annex 19 to the submission of the case, folio 2169).</w:t>
      </w:r>
    </w:p>
  </w:footnote>
  <w:footnote w:id="82">
    <w:p w14:paraId="007BDA5C" w14:textId="77777777" w:rsidR="00D24EFE" w:rsidRPr="00012C3F" w:rsidRDefault="00D24EFE" w:rsidP="00716C7D">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Report of the Ethics Tribunal of the La Paz Departmental Medical College / Case of claim by the patient I.V. of October 5, 2001 (evidence file, volume VII, annex 19 to the submission of the case, folio 2169).</w:t>
      </w:r>
    </w:p>
  </w:footnote>
  <w:footnote w:id="83">
    <w:p w14:paraId="2A7498F2"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Final decision No. 020/2002 issued by the Legal Advisory Services Unit of the La Paz Departmental Health Service on July 25, 2002 (evidence file, volume XIV, annex 3 to the representative’s final arguments, folios 5769 to 5771).</w:t>
      </w:r>
    </w:p>
  </w:footnote>
  <w:footnote w:id="84">
    <w:p w14:paraId="561C451F"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Final decision No. 020/2002 issued by the Legal Advisory Services Unit of the La Paz Departmental Health Service on July 25, 2002 (evidence file, volume XIV, annex 3 to the representative’s final arguments, folios 5769 to 5771).</w:t>
      </w:r>
    </w:p>
  </w:footnote>
  <w:footnote w:id="85">
    <w:p w14:paraId="15948700"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Article 29. Administrative liability shall be incurred when the act or omission contravenes the legal and administrative order and the norms that regulate the function-related conduct of the public servant. This shall be determined by the internal procedures of each entity that take into account the results of the audit, if one has been conducted. The competent authority shall apply, based on the gravity of the offense, the sanctions of: a fine of up to 20% of the monthly remuneration; suspension for a maximum of 30 days, or dismissal.</w:t>
      </w:r>
    </w:p>
  </w:footnote>
  <w:footnote w:id="86">
    <w:p w14:paraId="7E0BC6CA"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Final decision No. 020/2002 issued by the Legal Advisory Services Unit of the La Paz Departmental Health Service on July 25, 2002 (evidence file, volume XIV, annex 3 to the representative’s final arguments, folios 5769 to 5771).</w:t>
      </w:r>
    </w:p>
  </w:footnote>
  <w:footnote w:id="87">
    <w:p w14:paraId="24D631A4"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Final decision No. 020/2002 issued by the Legal Advisory Services Unit of the La Paz Departmental Health Service on July 25, 2002 (evidence file, volume XIV, annex 3 to the representative’s final arguments, folios 5769 to 5771).</w:t>
      </w:r>
    </w:p>
  </w:footnote>
  <w:footnote w:id="88">
    <w:p w14:paraId="483B169A"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The brief of this appear does not appear in the case file, but was reviewed in the unnumbered administrative decision issued by the Legal Advisory Services Unit of the La Paz Departmental Health Service on March 10, 2003 (evidence file, volume VII, annex 21 to the submission of the case, folios 2175 to 2176).</w:t>
      </w:r>
    </w:p>
  </w:footnote>
  <w:footnote w:id="89">
    <w:p w14:paraId="1DDEEA5D"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Unnumbered administrative decision issued by the Legal Advisory Services Unit of the La Paz Departmental Health Service on March 10, 2003 (evidence file, volume VII, annex 21 to the submission of the case, folios 2175 to 2176).</w:t>
      </w:r>
    </w:p>
  </w:footnote>
  <w:footnote w:id="90">
    <w:p w14:paraId="0BD1B227"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Decision of March 14, 2003 (evidence file, volume XII, annex 1(a) to the State’s final arguments, folio 4225).</w:t>
      </w:r>
    </w:p>
  </w:footnote>
  <w:footnote w:id="91">
    <w:p w14:paraId="06AC36C5"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Article 270. (Severe injuries). The author shall be sentenced to three to nine years’ imprisonment when the injury results in: […] 2. The permanent impairment of health, or the loss or the use of a sense, of a limb, or of a function.</w:t>
      </w:r>
    </w:p>
  </w:footnote>
  <w:footnote w:id="92">
    <w:p w14:paraId="17BDEAAD"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Charges, case No. PTJ894/2002 filed by the District Prosecutor of La Paz on August 31, 2002 (evidence file, volume VII, annex 22 to the submission of the case, folios 2178 to 2183).</w:t>
      </w:r>
    </w:p>
  </w:footnote>
  <w:footnote w:id="93">
    <w:p w14:paraId="6BE0B0C8"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Order to open the proceedings, Resolution No. 071/2002 of October 1, 2002 (evidence file, volume VII, annex 23 to the submission of the case, folios 2185 to 2186).</w:t>
      </w:r>
    </w:p>
  </w:footnote>
  <w:footnote w:id="94">
    <w:p w14:paraId="25EAE2DE" w14:textId="77777777" w:rsidR="00D24EFE" w:rsidRPr="00012C3F" w:rsidRDefault="00D24EFE" w:rsidP="005B52E1">
      <w:pPr>
        <w:pStyle w:val="Textonotapie"/>
        <w:tabs>
          <w:tab w:val="left" w:pos="567"/>
        </w:tabs>
        <w:spacing w:after="120"/>
        <w:rPr>
          <w:i/>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Brief presented by I.V. before the Second Trial Court on October 29, 2002 (evidence file, volume XII, annex 1(a) to the State’s final arguments, folio 4011).</w:t>
      </w:r>
    </w:p>
  </w:footnote>
  <w:footnote w:id="95">
    <w:p w14:paraId="3F0E1C04"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Resolution No. 086/2002 issued by the Second Trial Court of La Paz on November 18, 2002 (evidence file, volume VII, annex 24 to the submission of the case, folios 2188 to 2195).</w:t>
      </w:r>
    </w:p>
  </w:footnote>
  <w:footnote w:id="96">
    <w:p w14:paraId="1B55963A"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Resolution No. 086/2002 issued by the Second Trial Court of La Paz on November 18, 2002 (evidence file, volume VII, annex 24 to the submission of the case, folios 2191 to 2192).</w:t>
      </w:r>
    </w:p>
  </w:footnote>
  <w:footnote w:id="97">
    <w:p w14:paraId="3D710191"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Brief of the restricted appeal presented by Dr. Edgar Torrico Ameller on December 5, 2002 (evidence file, volume XII, annex 1(a) to the State’s final arguments, folios 4139 to 4151).</w:t>
      </w:r>
    </w:p>
  </w:footnote>
  <w:footnote w:id="98">
    <w:p w14:paraId="3355F0FE"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Resolution No. 21/003 issued by the Third Criminal Chamber of the Superior Court of the La Paz Judicial District on February 12, 2003 (evidence file, volume VII, annex 25 to the submission of the case, folios 2197 to 2200).</w:t>
      </w:r>
    </w:p>
  </w:footnote>
  <w:footnote w:id="99">
    <w:p w14:paraId="030B0789"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Resolution No. 21/003 issued by the Third Criminal Chamber of the Superior Court of the La Paz Judicial District on February 12, 2003 (evidence file, volume VII, annex 25 to the submission of the case, folios 2197 to 2200).</w:t>
      </w:r>
    </w:p>
  </w:footnote>
  <w:footnote w:id="100">
    <w:p w14:paraId="592CBC47"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Filing of the case before the First Trial Court of the La Paz Judicial District on March 14, 2003 (evidence file, volume VII, annex 26 to the submission of the case, folio 2202).</w:t>
      </w:r>
    </w:p>
  </w:footnote>
  <w:footnote w:id="101">
    <w:p w14:paraId="243FE1C3"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Order to open the proceedings of March 17, 2003 (evidence file, volume XII, annex 1(a) to the State’s final arguments, folios 4213 to 4214).</w:t>
      </w:r>
    </w:p>
  </w:footnote>
  <w:footnote w:id="102">
    <w:p w14:paraId="41C4CAE2"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Resolution No. 19/2003 issued by the First Trial Court of the La Paz Judicial District, Reasoned order of April 22, 2003 (evidence file, volume VII, annex 27 to the submission of the case, folios 2204 to 2205).</w:t>
      </w:r>
    </w:p>
  </w:footnote>
  <w:footnote w:id="103">
    <w:p w14:paraId="35A82029" w14:textId="77777777" w:rsidR="00D24EFE" w:rsidRPr="00012C3F" w:rsidRDefault="00D24EFE" w:rsidP="005B52E1">
      <w:pPr>
        <w:tabs>
          <w:tab w:val="left" w:pos="567"/>
        </w:tabs>
        <w:autoSpaceDE w:val="0"/>
        <w:autoSpaceDN w:val="0"/>
        <w:spacing w:after="120" w:line="240" w:lineRule="auto"/>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 xml:space="preserve">Brief submitted by Dr. Jose Luis Rivero Aliaga, President of the First Trial Court, to the technical judge of this Court on May 9, 2003 (evidence file, volume VII, annex 28 to the submission of the case, folio 2207); Brief submitted by Dr. Raúl Gaston Huaylla Rivera, technical judge of the First Trial Court in case FIS </w:t>
      </w:r>
      <w:r w:rsidRPr="00012C3F">
        <w:rPr>
          <w:rFonts w:cs="Arial"/>
          <w:sz w:val="16"/>
          <w:szCs w:val="16"/>
          <w:lang w:val="en-US"/>
        </w:rPr>
        <w:t xml:space="preserve">No. </w:t>
      </w:r>
      <w:r w:rsidRPr="00012C3F">
        <w:rPr>
          <w:sz w:val="16"/>
          <w:szCs w:val="16"/>
          <w:lang w:val="en-US"/>
        </w:rPr>
        <w:t>894, dated May 9, 2003 (evidence file, volume VII, annex 29 to the submission of the case, folio 2209).</w:t>
      </w:r>
    </w:p>
  </w:footnote>
  <w:footnote w:id="104">
    <w:p w14:paraId="0DE6997E"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Remittal of case FIS 894 to the Third Trial Court (TS-1. N° 92/2003), on May 9, 2003 (evidence file, volume VII, annex 30 to the submission of the case, folio 2211).</w:t>
      </w:r>
    </w:p>
  </w:footnote>
  <w:footnote w:id="105">
    <w:p w14:paraId="629B2D05"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Decision issued by the Third Trial Court of the La Paz Judicial District on May 12, 2003 (evidence file, volume VII, annex 31 to the submission of the case, folio 2213).</w:t>
      </w:r>
    </w:p>
  </w:footnote>
  <w:footnote w:id="106">
    <w:p w14:paraId="761B0622"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Record of public hearing to constitute a court (evidence file, volume XII, annex 1(b) to the State’s final arguments, folio 4375).</w:t>
      </w:r>
    </w:p>
  </w:footnote>
  <w:footnote w:id="107">
    <w:p w14:paraId="05C74715"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Remittal of original file to the acting Trial Court of El Alto (TS 1 Of. No. 105/03), on May 28, 2003 (evidence file, volume VII, annex 32 to the submission of the case, folio 2215).</w:t>
      </w:r>
    </w:p>
  </w:footnote>
  <w:footnote w:id="108">
    <w:p w14:paraId="48FEA681"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Resolution issued by the Second Trial Court of El Alto on May 31, 2003 (evidence file, volume VII, annex 33 to the submission of the case, folio 2217).</w:t>
      </w:r>
    </w:p>
  </w:footnote>
  <w:footnote w:id="109">
    <w:p w14:paraId="6C466D57"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Record of public hearing for the special constitution of the Second Trial Court of El Alto of July 15, 2003 (evidence file, volume VII, annex 34 to the submission of the case, folio 2219).</w:t>
      </w:r>
    </w:p>
  </w:footnote>
  <w:footnote w:id="110">
    <w:p w14:paraId="64DD9193"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Record of public hearing for the special constitution of the Trial Court of Achacachi of February 16, 2004 (evidence file, volume VII, annex 35 to the submission of the case, folio 2221).</w:t>
      </w:r>
    </w:p>
  </w:footnote>
  <w:footnote w:id="111">
    <w:p w14:paraId="23268EB1"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Remittal to the Trial Court of the province of Copacabana on February 19, 2004 (evidence file, volume VII, annex 35 to the submission of the case, folio 2222).</w:t>
      </w:r>
    </w:p>
  </w:footnote>
  <w:footnote w:id="112">
    <w:p w14:paraId="193CF16C"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Order to initiate the trial of April 30, 2004 (evidence file, volume XII, annex 1(c)) to the State’s final arguments, folios 4534 to 4535).</w:t>
      </w:r>
    </w:p>
  </w:footnote>
  <w:footnote w:id="113">
    <w:p w14:paraId="52067CE6" w14:textId="77777777" w:rsidR="00D24EFE" w:rsidRPr="00012C3F" w:rsidRDefault="00D24EFE" w:rsidP="005B52E1">
      <w:pPr>
        <w:tabs>
          <w:tab w:val="left" w:pos="567"/>
        </w:tabs>
        <w:autoSpaceDE w:val="0"/>
        <w:autoSpaceDN w:val="0"/>
        <w:spacing w:after="120" w:line="240" w:lineRule="auto"/>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Resolution No. 32/2004 issued by the Copacabana Trial Court on August 13, 2004 (evidence file, volume VII, annex 36 to the submission of the case, folios 2224 to 2230).</w:t>
      </w:r>
    </w:p>
  </w:footnote>
  <w:footnote w:id="114">
    <w:p w14:paraId="5DF25407"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Article 407. (Grounds). The remedy of restricted appeal shall be filed for disregard or erroneous application of the law. When the legal rule that is cited as having been disregarded or erroneously applied constitutes a procedural flaw, the remedy shall only be admissible if the interested party has opportunely claimed its correction or has reserved the right to appeal, except in cases of absolute nullity or in cases of defects in the judgment pursuant to the provisions of articles 169 and 370 of this Code. This remedy may only be filed against judgments and with the restrictions established in the following articles.</w:t>
      </w:r>
    </w:p>
  </w:footnote>
  <w:footnote w:id="115">
    <w:p w14:paraId="348E6D88"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Restricted appeal filed by Dr. Edgar Torrico Ameller on August 30, 2004 (evidence file, volume X, annex 31 al Answering brief of the State, folios 3840 to 3854).</w:t>
      </w:r>
    </w:p>
  </w:footnote>
  <w:footnote w:id="116">
    <w:p w14:paraId="570CBDD7"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Order issued by the Second Criminal Chamber of the La Paz Superior Court of Justice on October 8, 2004 (evidence file, volume XIII, annex 1(d)) to the State’s final arguments, folio 4909).</w:t>
      </w:r>
    </w:p>
  </w:footnote>
  <w:footnote w:id="117">
    <w:p w14:paraId="1EDBCD3B"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Brief submitted by I.V. before the Trial Court of the province of Manco Kapac Copacabana on September 21, 2004 (evidence file, volume X, annex 32 al Answering brief of the State, folios 3857 to 3862).</w:t>
      </w:r>
    </w:p>
  </w:footnote>
  <w:footnote w:id="118">
    <w:p w14:paraId="715D0807" w14:textId="77777777" w:rsidR="00D24EFE" w:rsidRPr="00012C3F" w:rsidRDefault="00D24EFE" w:rsidP="005B52E1">
      <w:pPr>
        <w:tabs>
          <w:tab w:val="left" w:pos="567"/>
        </w:tabs>
        <w:autoSpaceDE w:val="0"/>
        <w:autoSpaceDN w:val="0"/>
        <w:spacing w:after="120" w:line="240" w:lineRule="auto"/>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Ruling No. 265/2004 issued by the Second Criminal Chamber of the La Paz Superior Court of Justice on October 22, 2004 (evidence file, volume VII, annex 37 to the submission of the case, folios 2232 to 2236).</w:t>
      </w:r>
    </w:p>
  </w:footnote>
  <w:footnote w:id="119">
    <w:p w14:paraId="1909EC35" w14:textId="77777777" w:rsidR="00D24EFE" w:rsidRPr="00012C3F" w:rsidRDefault="00D24EFE" w:rsidP="005B52E1">
      <w:pPr>
        <w:tabs>
          <w:tab w:val="left" w:pos="567"/>
        </w:tabs>
        <w:autoSpaceDE w:val="0"/>
        <w:autoSpaceDN w:val="0"/>
        <w:spacing w:after="120" w:line="240" w:lineRule="auto"/>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Ruling No. 265/2004 issued by the Second Criminal Chamber of the La Paz Superior Court of Justice on October 22, 2004 (evidence file, volume VII, annex 37 to the submission of the case, folios 2232 to 2236).</w:t>
      </w:r>
    </w:p>
  </w:footnote>
  <w:footnote w:id="120">
    <w:p w14:paraId="2CB763E1"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 xml:space="preserve">Remedy of cassation file by I.V. before the Second Criminal Chamber of the District Superior Court on November 22, 2004 (evidence file, volume X, annex 34 al Answering brief of the State, folios 3873 to 3876). </w:t>
      </w:r>
    </w:p>
  </w:footnote>
  <w:footnote w:id="121">
    <w:p w14:paraId="127F722D" w14:textId="77777777" w:rsidR="00D24EFE" w:rsidRPr="00012C3F" w:rsidRDefault="00D24EFE" w:rsidP="005B52E1">
      <w:pPr>
        <w:tabs>
          <w:tab w:val="left" w:pos="567"/>
        </w:tabs>
        <w:autoSpaceDE w:val="0"/>
        <w:autoSpaceDN w:val="0"/>
        <w:spacing w:after="120" w:line="240" w:lineRule="auto"/>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Order No. 3 issued by the First Criminal Chamber of the Supreme Court of Justice on February 1, 2005 (evidence file, volume VII, annex 38 to the submission of the case, folios 2238 to 2239).</w:t>
      </w:r>
    </w:p>
  </w:footnote>
  <w:footnote w:id="122">
    <w:p w14:paraId="3E4BEE1B" w14:textId="77777777" w:rsidR="00D24EFE" w:rsidRPr="00012C3F" w:rsidRDefault="00D24EFE" w:rsidP="005B52E1">
      <w:pPr>
        <w:tabs>
          <w:tab w:val="left" w:pos="567"/>
        </w:tabs>
        <w:autoSpaceDE w:val="0"/>
        <w:autoSpaceDN w:val="0"/>
        <w:spacing w:after="120" w:line="240" w:lineRule="auto"/>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Return of the case to the Trial Court of Copacabana under a communication of February 24, 2005, received on April 29, 2005 (evidence file, volume VII, annex 39 to the submission of the case, folio 2241).</w:t>
      </w:r>
    </w:p>
  </w:footnote>
  <w:footnote w:id="123">
    <w:p w14:paraId="01FA5FC6" w14:textId="77777777" w:rsidR="00D24EFE" w:rsidRPr="00012C3F" w:rsidRDefault="00D24EFE" w:rsidP="005B52E1">
      <w:pPr>
        <w:tabs>
          <w:tab w:val="left" w:pos="567"/>
        </w:tabs>
        <w:autoSpaceDE w:val="0"/>
        <w:autoSpaceDN w:val="0"/>
        <w:spacing w:after="120" w:line="240" w:lineRule="auto"/>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Remittal of original copies of the proceedings to the Sica Sica Trial Court under a communication of May 16, 2005, received on August 2, 2005 (evidence file, volume VII, annex 40 to the submission of the case, folio 2243).</w:t>
      </w:r>
    </w:p>
  </w:footnote>
  <w:footnote w:id="124">
    <w:p w14:paraId="7D38D9DC"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Decision issued by the Sica Sica Trial Court on August 3, 2005 (evidence file, volume VII, annex 41 to the submission of the case, folio 2245).</w:t>
      </w:r>
    </w:p>
  </w:footnote>
  <w:footnote w:id="125">
    <w:p w14:paraId="090AD034" w14:textId="77777777" w:rsidR="00D24EFE" w:rsidRPr="00012C3F" w:rsidRDefault="00D24EFE" w:rsidP="005B52E1">
      <w:pPr>
        <w:tabs>
          <w:tab w:val="left" w:pos="567"/>
        </w:tabs>
        <w:autoSpaceDE w:val="0"/>
        <w:autoSpaceDN w:val="0"/>
        <w:spacing w:after="120" w:line="240" w:lineRule="auto"/>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Brief submitted to the Second Criminal Chamber of the La Paz Superior Court of Justice on August 10, 2005 (evidence file, volume VII, annex 42 to the submission of the case, folios 2247 to 2248).</w:t>
      </w:r>
    </w:p>
  </w:footnote>
  <w:footnote w:id="126">
    <w:p w14:paraId="7EE20812" w14:textId="77777777" w:rsidR="00D24EFE" w:rsidRPr="00012C3F" w:rsidRDefault="00D24EFE" w:rsidP="005B52E1">
      <w:pPr>
        <w:tabs>
          <w:tab w:val="left" w:pos="567"/>
        </w:tabs>
        <w:autoSpaceDE w:val="0"/>
        <w:autoSpaceDN w:val="0"/>
        <w:spacing w:after="120" w:line="240" w:lineRule="auto"/>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Brief submitted by Dr. Edgar Torrico Ameller to the Sica Sica Trial Court on August 30, 2005 (evidence file, volume XIII, annex 1(e)) to the State’s final arguments, folios 5042 to 5047).</w:t>
      </w:r>
    </w:p>
  </w:footnote>
  <w:footnote w:id="127">
    <w:p w14:paraId="405C88AF" w14:textId="77777777" w:rsidR="00D24EFE" w:rsidRPr="00012C3F" w:rsidRDefault="00D24EFE" w:rsidP="005B52E1">
      <w:pPr>
        <w:tabs>
          <w:tab w:val="left" w:pos="567"/>
        </w:tabs>
        <w:autoSpaceDE w:val="0"/>
        <w:autoSpaceDN w:val="0"/>
        <w:spacing w:after="120" w:line="240" w:lineRule="auto"/>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Letter addressed to the Superior District Prosecutor by I.V. on August 23, 2005 (evidence file, volume VII, annex 43 to the submission of the case, folio 2250).</w:t>
      </w:r>
    </w:p>
  </w:footnote>
  <w:footnote w:id="128">
    <w:p w14:paraId="38F47C03"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Letter addressed to the Superior District Prosecutor by I.V. on September 6, 2005 (evidence file, volume VII, annex 44 to the submission of the case, folio 2252).</w:t>
      </w:r>
    </w:p>
  </w:footnote>
  <w:footnote w:id="129">
    <w:p w14:paraId="16466226" w14:textId="77777777" w:rsidR="00D24EFE" w:rsidRPr="00012C3F" w:rsidRDefault="00D24EFE" w:rsidP="005B52E1">
      <w:pPr>
        <w:tabs>
          <w:tab w:val="left" w:pos="567"/>
        </w:tabs>
        <w:autoSpaceDE w:val="0"/>
        <w:autoSpaceDN w:val="0"/>
        <w:spacing w:after="120" w:line="240" w:lineRule="auto"/>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Brief submitted to the Sica Sica Trial Court on September 6, 2005 (evidence file, volume XIII, annex 1.e) to the State’s final arguments, folios 5050 to 5051).</w:t>
      </w:r>
    </w:p>
  </w:footnote>
  <w:footnote w:id="130">
    <w:p w14:paraId="2530043A" w14:textId="77777777" w:rsidR="00D24EFE" w:rsidRPr="00012C3F" w:rsidRDefault="00D24EFE" w:rsidP="005B52E1">
      <w:pPr>
        <w:tabs>
          <w:tab w:val="left" w:pos="567"/>
        </w:tabs>
        <w:autoSpaceDE w:val="0"/>
        <w:autoSpaceDN w:val="0"/>
        <w:spacing w:after="120" w:line="240" w:lineRule="auto"/>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Brief submitted by Dr. Edgar Torrico Ameller before the Sica Sica Trial Court on September 23, 2005 (evidence file, volume VII, annex 45 to the submission of the case, folio 2254).</w:t>
      </w:r>
    </w:p>
  </w:footnote>
  <w:footnote w:id="131">
    <w:p w14:paraId="3E1EF64B" w14:textId="77777777" w:rsidR="00D24EFE" w:rsidRPr="00012C3F" w:rsidRDefault="00D24EFE" w:rsidP="005B52E1">
      <w:pPr>
        <w:pStyle w:val="Textonotapie"/>
        <w:tabs>
          <w:tab w:val="left" w:pos="567"/>
        </w:tabs>
        <w:spacing w:after="120"/>
        <w:rPr>
          <w:rFonts w:cs="Vani"/>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Resolution issued by the Sica Sica Trial Court on September 27, 2005 (evidence file, volume VII, annex 46 to the submission of the case, folio 2256).</w:t>
      </w:r>
    </w:p>
  </w:footnote>
  <w:footnote w:id="132">
    <w:p w14:paraId="44DB7130" w14:textId="77777777" w:rsidR="00D24EFE" w:rsidRPr="00012C3F" w:rsidRDefault="00D24EFE" w:rsidP="005B52E1">
      <w:pPr>
        <w:tabs>
          <w:tab w:val="left" w:pos="567"/>
        </w:tabs>
        <w:autoSpaceDE w:val="0"/>
        <w:autoSpaceDN w:val="0"/>
        <w:spacing w:after="120" w:line="240" w:lineRule="auto"/>
        <w:rPr>
          <w:rFonts w:cs="Vani"/>
          <w:sz w:val="16"/>
          <w:szCs w:val="16"/>
          <w:lang w:val="en-US"/>
        </w:rPr>
      </w:pPr>
      <w:r w:rsidRPr="00012C3F">
        <w:rPr>
          <w:rStyle w:val="Refdenotaalpie"/>
          <w:rFonts w:cs="Vani"/>
          <w:sz w:val="16"/>
          <w:szCs w:val="16"/>
          <w:lang w:val="en-US"/>
        </w:rPr>
        <w:footnoteRef/>
      </w:r>
      <w:r w:rsidRPr="00012C3F">
        <w:rPr>
          <w:rFonts w:cs="Vani"/>
          <w:sz w:val="16"/>
          <w:szCs w:val="16"/>
          <w:lang w:val="en-US"/>
        </w:rPr>
        <w:t xml:space="preserve"> </w:t>
      </w:r>
      <w:r w:rsidRPr="00012C3F">
        <w:rPr>
          <w:rFonts w:cs="Vani"/>
          <w:sz w:val="16"/>
          <w:szCs w:val="16"/>
          <w:lang w:val="en-US"/>
        </w:rPr>
        <w:tab/>
      </w:r>
      <w:r w:rsidRPr="00012C3F">
        <w:rPr>
          <w:i/>
          <w:sz w:val="16"/>
          <w:szCs w:val="16"/>
          <w:lang w:val="en-US"/>
        </w:rPr>
        <w:t xml:space="preserve">Cf. </w:t>
      </w:r>
      <w:r w:rsidRPr="00012C3F">
        <w:rPr>
          <w:rFonts w:cs="Vani"/>
          <w:sz w:val="16"/>
          <w:szCs w:val="16"/>
          <w:lang w:val="en-US"/>
        </w:rPr>
        <w:t xml:space="preserve">Resolution </w:t>
      </w:r>
      <w:r w:rsidRPr="00012C3F">
        <w:rPr>
          <w:rFonts w:cs="Vani"/>
          <w:iCs/>
          <w:sz w:val="16"/>
          <w:szCs w:val="16"/>
          <w:lang w:val="en-US"/>
        </w:rPr>
        <w:t xml:space="preserve">No. </w:t>
      </w:r>
      <w:r w:rsidRPr="00012C3F">
        <w:rPr>
          <w:rFonts w:cs="Vani"/>
          <w:sz w:val="16"/>
          <w:szCs w:val="16"/>
          <w:lang w:val="en-US"/>
        </w:rPr>
        <w:t>03/2006 issued by the Sica Sica Trial Court on January 20, 2006 (evidence file, volume VII, annex 47 to the submission of the case, folios 2258 to 2260).</w:t>
      </w:r>
    </w:p>
  </w:footnote>
  <w:footnote w:id="133">
    <w:p w14:paraId="31922564" w14:textId="77777777" w:rsidR="00D24EFE" w:rsidRPr="00012C3F" w:rsidRDefault="00D24EFE" w:rsidP="00BF294B">
      <w:pPr>
        <w:tabs>
          <w:tab w:val="left" w:pos="567"/>
          <w:tab w:val="left" w:pos="3330"/>
        </w:tabs>
        <w:autoSpaceDE w:val="0"/>
        <w:autoSpaceDN w:val="0"/>
        <w:spacing w:after="120" w:line="240" w:lineRule="auto"/>
        <w:rPr>
          <w:sz w:val="16"/>
          <w:szCs w:val="16"/>
          <w:lang w:val="en-US"/>
        </w:rPr>
      </w:pPr>
      <w:r w:rsidRPr="00012C3F">
        <w:rPr>
          <w:rStyle w:val="Refdenotaalpie"/>
          <w:rFonts w:cs="Vani"/>
          <w:sz w:val="16"/>
          <w:szCs w:val="16"/>
          <w:lang w:val="en-US"/>
        </w:rPr>
        <w:footnoteRef/>
      </w:r>
      <w:r w:rsidRPr="00012C3F">
        <w:rPr>
          <w:rFonts w:cs="Vani"/>
          <w:sz w:val="16"/>
          <w:szCs w:val="16"/>
          <w:lang w:val="en-US"/>
        </w:rPr>
        <w:t xml:space="preserve"> </w:t>
      </w:r>
      <w:r w:rsidRPr="00012C3F">
        <w:rPr>
          <w:rFonts w:cs="Vani"/>
          <w:sz w:val="16"/>
          <w:szCs w:val="16"/>
          <w:lang w:val="en-US"/>
        </w:rPr>
        <w:tab/>
      </w:r>
      <w:r w:rsidRPr="00012C3F">
        <w:rPr>
          <w:i/>
          <w:sz w:val="16"/>
          <w:szCs w:val="16"/>
          <w:lang w:val="en-US"/>
        </w:rPr>
        <w:t xml:space="preserve">Cf. </w:t>
      </w:r>
      <w:r w:rsidRPr="00012C3F">
        <w:rPr>
          <w:rFonts w:cs="Vani"/>
          <w:sz w:val="16"/>
          <w:szCs w:val="16"/>
          <w:lang w:val="en-US"/>
        </w:rPr>
        <w:t xml:space="preserve">Resolution </w:t>
      </w:r>
      <w:r w:rsidRPr="00012C3F">
        <w:rPr>
          <w:rFonts w:cs="Vani"/>
          <w:iCs/>
          <w:sz w:val="16"/>
          <w:szCs w:val="16"/>
          <w:lang w:val="en-US"/>
        </w:rPr>
        <w:t>No.</w:t>
      </w:r>
      <w:r w:rsidRPr="00012C3F">
        <w:rPr>
          <w:rFonts w:cs="Vani"/>
          <w:i/>
          <w:iCs/>
          <w:sz w:val="16"/>
          <w:szCs w:val="16"/>
          <w:lang w:val="en-US"/>
        </w:rPr>
        <w:t xml:space="preserve"> </w:t>
      </w:r>
      <w:r w:rsidRPr="00012C3F">
        <w:rPr>
          <w:rFonts w:cs="Vani"/>
          <w:sz w:val="16"/>
          <w:szCs w:val="16"/>
          <w:lang w:val="en-US"/>
        </w:rPr>
        <w:t>36/2006 issued by the Second Criminal Chamber of the Superior Court of La Paz on February 10, 2006 (evidence file, volume VII, annex 48 to the submission of the case, folio 2262).</w:t>
      </w:r>
    </w:p>
  </w:footnote>
  <w:footnote w:id="134">
    <w:p w14:paraId="4EB136D5"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Remittal of the original copies of the proceedings to the Fourth Trial Court on March 16, 2006 (evidence file, volume VII, annex 49 to the submission of the case, folio 2264).</w:t>
      </w:r>
    </w:p>
  </w:footnote>
  <w:footnote w:id="135">
    <w:p w14:paraId="7F916A7B"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Decision issued by the Fourth Trial Court of La Paz on March 20, 2006 (evidence file, volume VII, annex 50 to the submission of the case, folio 2266).</w:t>
      </w:r>
    </w:p>
  </w:footnote>
  <w:footnote w:id="136">
    <w:p w14:paraId="08AF007A"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Decision issued by the Fourth Trial Court of La Paz on April 10, 2006 (evidence file, volume VII, annex 51 to the submission of the case, folio 2268).</w:t>
      </w:r>
    </w:p>
  </w:footnote>
  <w:footnote w:id="137">
    <w:p w14:paraId="3CB1EB50"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Article 308 (4) of the Code of Criminal Procedure establishes the exception of the extinction of the criminal action, and article 27 (10), stipulates that this shall be declared based on the expiry of the maximum time for the duration of the proceedings and, according to article 133, this shall not exceed three years from the first act of the proceedings, except in case of contempt of court.</w:t>
      </w:r>
    </w:p>
  </w:footnote>
  <w:footnote w:id="138">
    <w:p w14:paraId="109D2F3C"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Brief filed by Dr. Edgar Torrico Ameller before the Fourth Trial Court of La Paz on April 28, 2006 (evidence file, volume X, annex 36 to the answering brief of the State, folios 3881 to 3890).</w:t>
      </w:r>
    </w:p>
  </w:footnote>
  <w:footnote w:id="139">
    <w:p w14:paraId="7929DC19" w14:textId="77777777" w:rsidR="00D24EFE" w:rsidRPr="00012C3F" w:rsidRDefault="00D24EFE" w:rsidP="005B52E1">
      <w:pPr>
        <w:pStyle w:val="Textonotapie"/>
        <w:tabs>
          <w:tab w:val="left" w:pos="567"/>
        </w:tabs>
        <w:spacing w:after="120"/>
        <w:rPr>
          <w:i/>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Record of the oral hearing (evidence file, volume XIII, annex 1(f)) to the State’s final arguments, folios 5344 to 5354).</w:t>
      </w:r>
    </w:p>
  </w:footnote>
  <w:footnote w:id="140">
    <w:p w14:paraId="55ED99FA"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Ruling No. 13/06 issued by the Fourth Trial Court of La Paz on June 1, 2006 (evidence file, volume VII, annex 52 to the submission of the case, folios 2270 to 2275).</w:t>
      </w:r>
    </w:p>
  </w:footnote>
  <w:footnote w:id="141">
    <w:p w14:paraId="1738DF12"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Ruling No. 13/06 issued by the Fourth Trial Court of La Paz on June 1, 2006 (evidence file, volume VII, annex 52 to the submission of the case, folio 2274).</w:t>
      </w:r>
    </w:p>
  </w:footnote>
  <w:footnote w:id="142">
    <w:p w14:paraId="7BD26172" w14:textId="77777777" w:rsidR="00D24EFE" w:rsidRPr="00012C3F" w:rsidRDefault="00D24EFE" w:rsidP="005B52E1">
      <w:pPr>
        <w:pStyle w:val="Textonotapie"/>
        <w:tabs>
          <w:tab w:val="left" w:pos="567"/>
        </w:tabs>
        <w:spacing w:after="120"/>
        <w:rPr>
          <w:i/>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Appeal filed by the prosecutor on June 1, 2006</w:t>
      </w:r>
      <w:r w:rsidRPr="00012C3F">
        <w:rPr>
          <w:i/>
          <w:sz w:val="16"/>
          <w:szCs w:val="16"/>
          <w:lang w:val="en-US"/>
        </w:rPr>
        <w:t xml:space="preserve"> </w:t>
      </w:r>
      <w:r w:rsidRPr="00012C3F">
        <w:rPr>
          <w:sz w:val="16"/>
          <w:szCs w:val="16"/>
          <w:lang w:val="en-US"/>
        </w:rPr>
        <w:t>(evidence file, volume XIII, annex 1(f)) to the State’s final arguments, folio 5355); Appeal filed by I.V. on June 8, 2006 (evidence file, volume XIII, annex 1(f)) to the State’s final arguments, folios 5361 to 5367).</w:t>
      </w:r>
    </w:p>
  </w:footnote>
  <w:footnote w:id="143">
    <w:p w14:paraId="50F13D30" w14:textId="77777777" w:rsidR="00D24EFE" w:rsidRPr="00012C3F" w:rsidRDefault="00D24EFE" w:rsidP="005B52E1">
      <w:pPr>
        <w:tabs>
          <w:tab w:val="left" w:pos="567"/>
        </w:tabs>
        <w:autoSpaceDE w:val="0"/>
        <w:autoSpaceDN w:val="0"/>
        <w:spacing w:after="120" w:line="240" w:lineRule="auto"/>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Ruling No. 514/06 issued by the First Criminal Chamber of the Superior Court del Distrito of La Paz on August 23, 2006 (evidence file, volume VII, annex 53 to the submission of the case, folios 2277 to 2279).</w:t>
      </w:r>
    </w:p>
  </w:footnote>
  <w:footnote w:id="144">
    <w:p w14:paraId="51C52E22"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Ruling No. 514/06 issued by the First Criminal Chamber of the Superior Court del Distrito of La Paz on August 23, 2006 (evidence file, volume VII, annex 53 to the submission of the case, folio 2278).</w:t>
      </w:r>
    </w:p>
  </w:footnote>
  <w:footnote w:id="145">
    <w:p w14:paraId="1487A413" w14:textId="77777777" w:rsidR="00D24EFE" w:rsidRPr="00012C3F" w:rsidRDefault="00D24EFE" w:rsidP="005B52E1">
      <w:pPr>
        <w:pStyle w:val="Textonotapie"/>
        <w:tabs>
          <w:tab w:val="left" w:pos="567"/>
        </w:tabs>
        <w:spacing w:after="120"/>
        <w:rPr>
          <w:i/>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Decision issued by the Fourth Trial Court of La Paz on September 21, 2006 (evidence file, volume XIII, annex 1.f) to the State’s final arguments, folio 5401).</w:t>
      </w:r>
    </w:p>
  </w:footnote>
  <w:footnote w:id="146">
    <w:p w14:paraId="32AE1896"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 xml:space="preserve">Report of </w:t>
      </w:r>
      <w:r w:rsidRPr="00012C3F">
        <w:rPr>
          <w:rStyle w:val="Ttulo1Car"/>
          <w:b w:val="0"/>
          <w:caps w:val="0"/>
          <w:sz w:val="16"/>
          <w:szCs w:val="16"/>
          <w:lang w:val="en-US"/>
        </w:rPr>
        <w:t xml:space="preserve">gynecological intravaginal ultrasound scan of August 14, </w:t>
      </w:r>
      <w:r w:rsidRPr="00012C3F">
        <w:rPr>
          <w:sz w:val="16"/>
          <w:szCs w:val="16"/>
          <w:lang w:val="en-US"/>
        </w:rPr>
        <w:t xml:space="preserve">2000 (evidence file, volume VII, annex 11 to the submission of the case, folio 2150); Pathology and Cytology Laboratory Report of August 17, 2000 (evidence file, volume VII, annex 12 to the submission of the case, folio 2152); Report of </w:t>
      </w:r>
      <w:r w:rsidRPr="00012C3F">
        <w:rPr>
          <w:rStyle w:val="Ttulo1Car"/>
          <w:b w:val="0"/>
          <w:caps w:val="0"/>
          <w:sz w:val="16"/>
          <w:szCs w:val="16"/>
          <w:lang w:val="en-US"/>
        </w:rPr>
        <w:t xml:space="preserve">gynecological intravaginal ultrasound scan of August 23, </w:t>
      </w:r>
      <w:r w:rsidRPr="00012C3F">
        <w:rPr>
          <w:sz w:val="16"/>
          <w:szCs w:val="16"/>
          <w:lang w:val="en-US"/>
        </w:rPr>
        <w:t>2000 (evidence file, volume VII, annex 13 to the submission of the case, folio 2154), and Medical certificate of September 3, 2000 (evidence file, volume VII, annex 14 to the submission of the case, folio 2156).</w:t>
      </w:r>
    </w:p>
  </w:footnote>
  <w:footnote w:id="147">
    <w:p w14:paraId="5BF2085C"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Radiology report in relation to a request for a hysterosalpingogram (HSG) test, with the results dated March 25, 2002 (evidence file, volume VII, annex 15 to the submission of the case, folio 2158).</w:t>
      </w:r>
    </w:p>
  </w:footnote>
  <w:footnote w:id="148">
    <w:p w14:paraId="6F379167"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Brief containing an accusation filed by I.V. before the Trial Court of the province of Manco Kapac Copacabana on March 27, 2011 (evidence file, volume XII, annex 1.(c)) to the State’s final arguments, folio 4515).</w:t>
      </w:r>
    </w:p>
  </w:footnote>
  <w:footnote w:id="149">
    <w:p w14:paraId="41D21068"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Institute for Therapy and Research on the Effects of State Torture and Violence (ITEI), Psychological examination of I.V. on August 11, 2015 (evidence file, volume VIII, annex 21 to the brief with motions, pleadings and evidence, folios 2363 to 2384).</w:t>
      </w:r>
    </w:p>
  </w:footnote>
  <w:footnote w:id="150">
    <w:p w14:paraId="32CC4684"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 xml:space="preserve">According to the evaluation made by the Institute for Therapy and Research on the Effects of State Torture and Violence (ITEI), in 2013, I.V. developed an organic schizophreniform psychosis believing that the State was pursuing her in order to kill her. </w:t>
      </w:r>
      <w:r w:rsidRPr="00012C3F">
        <w:rPr>
          <w:i/>
          <w:sz w:val="16"/>
          <w:szCs w:val="16"/>
          <w:lang w:val="en-US"/>
        </w:rPr>
        <w:t xml:space="preserve">Cf. </w:t>
      </w:r>
      <w:r w:rsidRPr="00012C3F">
        <w:rPr>
          <w:sz w:val="16"/>
          <w:szCs w:val="16"/>
          <w:lang w:val="en-US"/>
        </w:rPr>
        <w:t>Medical report of the Hospital de Clínicas, dated January 17, 2014, on the hospitalization of I.V. in the Mental Health Unit, and her medical diagnosis: organic schizophreniform psychosis (evidence file, volume IX, annex 68 to the brief with motions, pleadings and evidence, folio 3330).</w:t>
      </w:r>
    </w:p>
  </w:footnote>
  <w:footnote w:id="151">
    <w:p w14:paraId="61B9FC89"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Communication of the Commission on I.V.’s request for precautionary measures (MC-1 49-13) (evidence file, volume VIII, annex 13 to the brief with motions, pleadings and evidence, folio 2334).</w:t>
      </w:r>
    </w:p>
  </w:footnote>
  <w:footnote w:id="152">
    <w:p w14:paraId="3719F1A8"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Medical report of the Hospital de Clínicas, dated January 17, 2014, on the hospitalization of I.V. in the Mental Health Unit and her medical diagnosis: organic schizophreniform psychosis (evidence file, volume IX, annex 68 to the brief with motions, pleadings and evidence, folio 3330).</w:t>
      </w:r>
    </w:p>
  </w:footnote>
  <w:footnote w:id="153">
    <w:p w14:paraId="7958845B"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Medical prescription for carbamazepine and haloperidol issued to I.V. by the Hospital de Clínicas of La Paz (evidence file, volume IX, annex 79 to the brief with motions, pleadings and evidence, folios 3372 to 3376).</w:t>
      </w:r>
    </w:p>
  </w:footnote>
  <w:footnote w:id="154">
    <w:p w14:paraId="53DA9E74"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According to the ITEI evaluation: “[t]he unauthorized sterilization of the mother has affected the lives of the whole family and, particularly [N.V.] who, since her parents separated, is the main support for her mother, having to share her pain, concerns and emotional burden. The effect of this situation is that [N.V.] could not imagine being able to share her concerns and her problems, keeping everything to herself.” ITEI, Psychological evaluation of N.V. on August 3, 2015 (evidence file, volume VIII, annex 22 to the brief with motions, pleadings and evidence, folios 2386 to 2397). The ITEI indicated the following with regard to L.A.: “[t]he unauthorized sterilization of the mother has affected the lives of the whole family and, particularly [L.A.], who although unable to understand the reasons, owing to her age, could not count on a mother with sufficient emotional availability and time to provide her with the attention that she would have needed.” ITEI, Psychological evaluation of L.A., on July 28, 2015 (evidence file, volume VIII, annex 23 to the brief with motions, pleadings and evidence, folios 2399 to 2410).</w:t>
      </w:r>
    </w:p>
  </w:footnote>
  <w:footnote w:id="155">
    <w:p w14:paraId="04FDAAAD"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Psychological evaluation of I.V. by the ITEI on August 11, 2015 (evidence file, volume VIII, annex 21 to the brief with motions, pleadings and evidence, folios 2363 to 2384).</w:t>
      </w:r>
    </w:p>
  </w:footnote>
  <w:footnote w:id="156">
    <w:p w14:paraId="12895CDB"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Article 5(1)</w:t>
      </w:r>
      <w:r w:rsidRPr="00012C3F">
        <w:rPr>
          <w:rFonts w:cs="Tahoma"/>
          <w:color w:val="000000"/>
          <w:sz w:val="16"/>
          <w:szCs w:val="16"/>
          <w:lang w:val="en-US"/>
        </w:rPr>
        <w:t xml:space="preserve"> establishes that: “</w:t>
      </w:r>
      <w:r w:rsidRPr="00012C3F">
        <w:rPr>
          <w:spacing w:val="-3"/>
          <w:sz w:val="16"/>
          <w:szCs w:val="16"/>
          <w:lang w:val="en-US"/>
        </w:rPr>
        <w:t>Every person has the right to have his physical, mental, and moral integrity respected.</w:t>
      </w:r>
      <w:r w:rsidRPr="00012C3F">
        <w:rPr>
          <w:rFonts w:cs="Tahoma"/>
          <w:color w:val="000000"/>
          <w:sz w:val="16"/>
          <w:szCs w:val="16"/>
          <w:lang w:val="en-US"/>
        </w:rPr>
        <w:t>”</w:t>
      </w:r>
    </w:p>
  </w:footnote>
  <w:footnote w:id="157">
    <w:p w14:paraId="3ABC0544"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Article 7(1)</w:t>
      </w:r>
      <w:r w:rsidRPr="00012C3F">
        <w:rPr>
          <w:rFonts w:cs="Tahoma"/>
          <w:color w:val="000000"/>
          <w:sz w:val="16"/>
          <w:szCs w:val="16"/>
          <w:lang w:val="en-US"/>
        </w:rPr>
        <w:t xml:space="preserve"> stipulates that: “</w:t>
      </w:r>
      <w:r w:rsidRPr="00012C3F">
        <w:rPr>
          <w:spacing w:val="-3"/>
          <w:sz w:val="16"/>
          <w:szCs w:val="16"/>
          <w:lang w:val="en-US"/>
        </w:rPr>
        <w:t>Every person has the right to personal liberty and security,</w:t>
      </w:r>
      <w:r w:rsidRPr="00012C3F">
        <w:rPr>
          <w:sz w:val="16"/>
          <w:szCs w:val="16"/>
          <w:lang w:val="en-US"/>
        </w:rPr>
        <w:t>”</w:t>
      </w:r>
    </w:p>
  </w:footnote>
  <w:footnote w:id="158">
    <w:p w14:paraId="5A22D506"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Article 11(1)</w:t>
      </w:r>
      <w:r w:rsidRPr="00012C3F">
        <w:rPr>
          <w:rFonts w:cs="Tahoma"/>
          <w:color w:val="000000"/>
          <w:sz w:val="16"/>
          <w:szCs w:val="16"/>
          <w:lang w:val="en-US"/>
        </w:rPr>
        <w:t xml:space="preserve"> establishes that: “</w:t>
      </w:r>
      <w:r w:rsidRPr="00012C3F">
        <w:rPr>
          <w:spacing w:val="-3"/>
          <w:sz w:val="16"/>
          <w:szCs w:val="16"/>
          <w:lang w:val="en-US"/>
        </w:rPr>
        <w:t>Everyone has the right to have his honor respected and his dignity recognized</w:t>
      </w:r>
      <w:r w:rsidRPr="00012C3F">
        <w:rPr>
          <w:sz w:val="16"/>
          <w:szCs w:val="16"/>
          <w:lang w:val="en-US"/>
        </w:rPr>
        <w:t>.”</w:t>
      </w:r>
    </w:p>
  </w:footnote>
  <w:footnote w:id="159">
    <w:p w14:paraId="0553206C"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Article 11(2)</w:t>
      </w:r>
      <w:r w:rsidRPr="00012C3F">
        <w:rPr>
          <w:rFonts w:cs="Tahoma"/>
          <w:color w:val="000000"/>
          <w:sz w:val="16"/>
          <w:szCs w:val="16"/>
          <w:lang w:val="en-US"/>
        </w:rPr>
        <w:t xml:space="preserve"> requires that: “</w:t>
      </w:r>
      <w:r w:rsidRPr="00012C3F">
        <w:rPr>
          <w:spacing w:val="-3"/>
          <w:sz w:val="16"/>
          <w:szCs w:val="16"/>
          <w:lang w:val="en-US"/>
        </w:rPr>
        <w:t>No one may be the object of arbitrary or abusive interference with his private life, his family, his home, or his correspondence, or of unlawful attacks on his honor or reputation</w:t>
      </w:r>
      <w:r w:rsidRPr="00012C3F">
        <w:rPr>
          <w:sz w:val="16"/>
          <w:szCs w:val="16"/>
          <w:lang w:val="en-US"/>
        </w:rPr>
        <w:t>.”</w:t>
      </w:r>
    </w:p>
  </w:footnote>
  <w:footnote w:id="160">
    <w:p w14:paraId="610F8F85"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Article 13(1)</w:t>
      </w:r>
      <w:r w:rsidRPr="00012C3F">
        <w:rPr>
          <w:rFonts w:cs="Tahoma"/>
          <w:color w:val="000000"/>
          <w:sz w:val="16"/>
          <w:szCs w:val="16"/>
          <w:lang w:val="en-US"/>
        </w:rPr>
        <w:t xml:space="preserve"> establishes that: “</w:t>
      </w:r>
      <w:r w:rsidRPr="00012C3F">
        <w:rPr>
          <w:spacing w:val="-3"/>
          <w:sz w:val="16"/>
          <w:szCs w:val="16"/>
          <w:lang w:val="en-US"/>
        </w:rPr>
        <w:t>Everyone has the right to freedom of thought and expression.  This right includes freedom to seek, receive, and impart information and ideas of all kinds, regardless of frontiers, either orally, in writing, in print, in the form of art, or through any other medium of one's choice</w:t>
      </w:r>
      <w:r w:rsidRPr="00012C3F">
        <w:rPr>
          <w:sz w:val="16"/>
          <w:szCs w:val="16"/>
          <w:lang w:val="en-US"/>
        </w:rPr>
        <w:t>.”</w:t>
      </w:r>
    </w:p>
  </w:footnote>
  <w:footnote w:id="161">
    <w:p w14:paraId="2D01DBAD"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Article 17(2)</w:t>
      </w:r>
      <w:r w:rsidRPr="00012C3F">
        <w:rPr>
          <w:rFonts w:cs="Tahoma"/>
          <w:color w:val="000000"/>
          <w:sz w:val="16"/>
          <w:szCs w:val="16"/>
          <w:lang w:val="en-US"/>
        </w:rPr>
        <w:t xml:space="preserve"> establishes that: “</w:t>
      </w:r>
      <w:r w:rsidRPr="00012C3F">
        <w:rPr>
          <w:spacing w:val="-3"/>
          <w:sz w:val="16"/>
          <w:szCs w:val="16"/>
          <w:lang w:val="en-US"/>
        </w:rPr>
        <w:t>The right of men and women of marriageable age to marry and to raise a family shall be recognized, if they meet the conditions required by domestic laws, insofar as such conditions do not affect the principle of nondiscrimination established in this Convention.</w:t>
      </w:r>
      <w:r w:rsidRPr="00012C3F">
        <w:rPr>
          <w:sz w:val="16"/>
          <w:szCs w:val="16"/>
          <w:lang w:val="en-US"/>
        </w:rPr>
        <w:t>”</w:t>
      </w:r>
    </w:p>
  </w:footnote>
  <w:footnote w:id="162">
    <w:p w14:paraId="3B554714"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Article 3</w:t>
      </w:r>
      <w:r w:rsidRPr="00012C3F">
        <w:rPr>
          <w:rFonts w:cs="Tahoma"/>
          <w:color w:val="000000"/>
          <w:sz w:val="16"/>
          <w:szCs w:val="16"/>
          <w:lang w:val="en-US"/>
        </w:rPr>
        <w:t xml:space="preserve"> stipulates that: “</w:t>
      </w:r>
      <w:r w:rsidRPr="00012C3F">
        <w:rPr>
          <w:spacing w:val="-3"/>
          <w:sz w:val="16"/>
          <w:szCs w:val="16"/>
          <w:lang w:val="en-US"/>
        </w:rPr>
        <w:t>Every person has the right to recognition as a person before the law.</w:t>
      </w:r>
      <w:r w:rsidRPr="00012C3F">
        <w:rPr>
          <w:sz w:val="16"/>
          <w:szCs w:val="16"/>
          <w:lang w:val="en-US"/>
        </w:rPr>
        <w:t>”</w:t>
      </w:r>
    </w:p>
  </w:footnote>
  <w:footnote w:id="163">
    <w:p w14:paraId="51948BD4"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Article 1(1)</w:t>
      </w:r>
      <w:r w:rsidRPr="00012C3F">
        <w:rPr>
          <w:rFonts w:cs="Tahoma"/>
          <w:color w:val="000000"/>
          <w:sz w:val="16"/>
          <w:szCs w:val="16"/>
          <w:lang w:val="en-US"/>
        </w:rPr>
        <w:t xml:space="preserve"> establishes that: “</w:t>
      </w:r>
      <w:r w:rsidRPr="00012C3F">
        <w:rPr>
          <w:spacing w:val="-3"/>
          <w:sz w:val="16"/>
          <w:szCs w:val="16"/>
          <w:lang w:val="en-US"/>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r w:rsidRPr="00012C3F">
        <w:rPr>
          <w:sz w:val="16"/>
          <w:szCs w:val="16"/>
          <w:lang w:val="en-US"/>
        </w:rPr>
        <w:t>”.</w:t>
      </w:r>
    </w:p>
  </w:footnote>
  <w:footnote w:id="164">
    <w:p w14:paraId="4AC51B62"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The relevant part of Article 7 establishes that: “</w:t>
      </w:r>
      <w:r w:rsidRPr="00012C3F">
        <w:rPr>
          <w:rFonts w:cs="Arial"/>
          <w:sz w:val="16"/>
          <w:szCs w:val="16"/>
          <w:lang w:val="en-US"/>
        </w:rPr>
        <w:t>The States Parties condemn all forms of violence against women and agree to pursue, by all appropriate means and without delay, policies to prevent, punish and eradicate such violence and undertake to: (a) refrain from engaging in any act or practice of violence against women and to ensure that their authorities, officials, personnel, agents, and institutions act in conformity with this obligation; (b) apply due diligence to prevent, investigate and impose penalties for violence against women; (c) include in their domestic legislation penal, civil, administrative and any other type of provisions that may be needed to prevent, punish and eradicate violence against women and to adopt appropriate administrative measures where necessary […].</w:t>
      </w:r>
      <w:r w:rsidRPr="00012C3F">
        <w:rPr>
          <w:sz w:val="16"/>
          <w:szCs w:val="16"/>
          <w:lang w:val="en-US"/>
        </w:rPr>
        <w:t>”</w:t>
      </w:r>
    </w:p>
  </w:footnote>
  <w:footnote w:id="165">
    <w:p w14:paraId="06B85081"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i/>
          <w:sz w:val="16"/>
          <w:szCs w:val="16"/>
          <w:lang w:val="en-US"/>
        </w:rPr>
        <w:t>Case of the Ituango Massacres v. Colombia, supra</w:t>
      </w:r>
      <w:r w:rsidRPr="00012C3F">
        <w:rPr>
          <w:sz w:val="16"/>
          <w:szCs w:val="16"/>
          <w:lang w:val="en-US"/>
        </w:rPr>
        <w:t xml:space="preserve">, para. 194, and </w:t>
      </w:r>
      <w:r w:rsidRPr="00012C3F">
        <w:rPr>
          <w:rFonts w:cs="Courier New"/>
          <w:i/>
          <w:noProof/>
          <w:sz w:val="16"/>
          <w:szCs w:val="16"/>
          <w:lang w:val="en-US"/>
        </w:rPr>
        <w:t xml:space="preserve">Case of the Santa Bárbara Campesino Community v. Peru. Preliminary objections, merits, reparations and costs. </w:t>
      </w:r>
      <w:r w:rsidRPr="00012C3F">
        <w:rPr>
          <w:rFonts w:cs="Courier New"/>
          <w:noProof/>
          <w:sz w:val="16"/>
          <w:szCs w:val="16"/>
          <w:lang w:val="en-US"/>
        </w:rPr>
        <w:t>Judgment of September 1, 2015. Series C No. 299</w:t>
      </w:r>
      <w:r w:rsidRPr="00012C3F">
        <w:rPr>
          <w:color w:val="000000"/>
          <w:sz w:val="16"/>
          <w:szCs w:val="16"/>
          <w:lang w:val="en-US"/>
        </w:rPr>
        <w:t>, para. 200</w:t>
      </w:r>
      <w:r w:rsidRPr="00012C3F">
        <w:rPr>
          <w:sz w:val="16"/>
          <w:szCs w:val="16"/>
          <w:lang w:val="en-US"/>
        </w:rPr>
        <w:t>.</w:t>
      </w:r>
    </w:p>
  </w:footnote>
  <w:footnote w:id="166">
    <w:p w14:paraId="67F5066E"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bCs/>
          <w:i/>
          <w:color w:val="000000"/>
          <w:sz w:val="16"/>
          <w:szCs w:val="16"/>
          <w:lang w:val="en-US"/>
        </w:rPr>
        <w:t xml:space="preserve">Case of Atala Riffo and daughters v. Chile. </w:t>
      </w:r>
      <w:r w:rsidRPr="00012C3F">
        <w:rPr>
          <w:i/>
          <w:color w:val="000000"/>
          <w:sz w:val="16"/>
          <w:szCs w:val="16"/>
          <w:lang w:val="en-US"/>
        </w:rPr>
        <w:t>Merits reparations and costs.</w:t>
      </w:r>
      <w:r w:rsidRPr="00012C3F">
        <w:rPr>
          <w:color w:val="000000"/>
          <w:sz w:val="16"/>
          <w:szCs w:val="16"/>
          <w:lang w:val="en-US"/>
        </w:rPr>
        <w:t xml:space="preserve"> Judgment of February 24, 2012. Series C No. 239</w:t>
      </w:r>
      <w:r w:rsidRPr="00012C3F">
        <w:rPr>
          <w:sz w:val="16"/>
          <w:szCs w:val="16"/>
          <w:lang w:val="en-US"/>
        </w:rPr>
        <w:t xml:space="preserve">, para. 136, and </w:t>
      </w:r>
      <w:r w:rsidRPr="00012C3F">
        <w:rPr>
          <w:i/>
          <w:sz w:val="16"/>
          <w:szCs w:val="16"/>
          <w:lang w:val="en-US"/>
        </w:rPr>
        <w:t>Case of Flor Freire v. Ecuador, supra</w:t>
      </w:r>
      <w:r w:rsidRPr="00012C3F">
        <w:rPr>
          <w:sz w:val="16"/>
          <w:szCs w:val="16"/>
          <w:lang w:val="en-US"/>
        </w:rPr>
        <w:t>, para. 103.</w:t>
      </w:r>
    </w:p>
  </w:footnote>
  <w:footnote w:id="167">
    <w:p w14:paraId="3E049230" w14:textId="77777777" w:rsidR="00D24EFE" w:rsidRPr="00012C3F" w:rsidRDefault="00D24EFE" w:rsidP="00AC0815">
      <w:pPr>
        <w:pStyle w:val="Textonotapie"/>
        <w:tabs>
          <w:tab w:val="left" w:pos="567"/>
        </w:tabs>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Article 32 of the American Convention, entitled “Relationship between Duties and Rights”, establishes that:</w:t>
      </w:r>
    </w:p>
    <w:p w14:paraId="50690850" w14:textId="77777777" w:rsidR="00D24EFE" w:rsidRPr="00012C3F" w:rsidRDefault="00D24EFE" w:rsidP="00AC0815">
      <w:pPr>
        <w:tabs>
          <w:tab w:val="left" w:pos="540"/>
          <w:tab w:val="left" w:pos="1080"/>
          <w:tab w:val="left" w:pos="1680"/>
          <w:tab w:val="left" w:pos="5400"/>
        </w:tabs>
        <w:suppressAutoHyphens/>
        <w:spacing w:line="240" w:lineRule="auto"/>
        <w:rPr>
          <w:spacing w:val="-3"/>
          <w:sz w:val="16"/>
          <w:szCs w:val="16"/>
          <w:lang w:val="en-US"/>
        </w:rPr>
      </w:pPr>
      <w:r w:rsidRPr="00012C3F">
        <w:rPr>
          <w:sz w:val="16"/>
          <w:szCs w:val="16"/>
          <w:lang w:val="en-US"/>
        </w:rPr>
        <w:t xml:space="preserve">1. </w:t>
      </w:r>
      <w:r w:rsidRPr="00012C3F">
        <w:rPr>
          <w:spacing w:val="-3"/>
          <w:sz w:val="16"/>
          <w:szCs w:val="16"/>
          <w:lang w:val="en-US"/>
        </w:rPr>
        <w:t>Every person has responsibilities to his family, his community, and mankind.</w:t>
      </w:r>
    </w:p>
    <w:p w14:paraId="6870CCD6" w14:textId="77777777" w:rsidR="00D24EFE" w:rsidRPr="00012C3F" w:rsidRDefault="00D24EFE" w:rsidP="00AC0815">
      <w:pPr>
        <w:tabs>
          <w:tab w:val="left" w:pos="480"/>
          <w:tab w:val="left" w:pos="540"/>
          <w:tab w:val="left" w:pos="1080"/>
          <w:tab w:val="left" w:pos="1680"/>
          <w:tab w:val="left" w:pos="5400"/>
        </w:tabs>
        <w:suppressAutoHyphens/>
        <w:spacing w:after="120" w:line="240" w:lineRule="auto"/>
        <w:rPr>
          <w:spacing w:val="-3"/>
          <w:sz w:val="16"/>
          <w:szCs w:val="16"/>
          <w:lang w:val="en-US"/>
        </w:rPr>
      </w:pPr>
      <w:r w:rsidRPr="00012C3F">
        <w:rPr>
          <w:spacing w:val="-3"/>
          <w:sz w:val="16"/>
          <w:szCs w:val="16"/>
          <w:lang w:val="en-US"/>
        </w:rPr>
        <w:t>2. The rights of each person are limited by the rights of others, by the security of all, and by the just demands of the general welfare, in a democratic society</w:t>
      </w:r>
      <w:r w:rsidRPr="00012C3F">
        <w:rPr>
          <w:sz w:val="16"/>
          <w:szCs w:val="16"/>
          <w:lang w:val="en-US"/>
        </w:rPr>
        <w:t>.</w:t>
      </w:r>
    </w:p>
  </w:footnote>
  <w:footnote w:id="168">
    <w:p w14:paraId="4A6F1D89"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 Case of Chaparro Álvarez and Lapo Íñiguez v. Ecuador. Preliminary objections, merits, reparations and costs.</w:t>
      </w:r>
      <w:r w:rsidRPr="00012C3F">
        <w:rPr>
          <w:sz w:val="16"/>
          <w:szCs w:val="16"/>
          <w:lang w:val="en-US"/>
        </w:rPr>
        <w:t xml:space="preserve"> Judgment of November 21, 2007. Series C No. 170, para. 52, and </w:t>
      </w:r>
      <w:r w:rsidRPr="00012C3F">
        <w:rPr>
          <w:bCs/>
          <w:i/>
          <w:color w:val="000000"/>
          <w:sz w:val="16"/>
          <w:szCs w:val="16"/>
          <w:lang w:val="en-US"/>
        </w:rPr>
        <w:t xml:space="preserve">Case of Artavia Murillo et al. (“In vitro fertilization”) v. Costa Rica. </w:t>
      </w:r>
      <w:r w:rsidRPr="00012C3F">
        <w:rPr>
          <w:i/>
          <w:color w:val="000000"/>
          <w:sz w:val="16"/>
          <w:szCs w:val="16"/>
          <w:lang w:val="en-US"/>
        </w:rPr>
        <w:t>Preliminary objections, merits, reparations and costs.</w:t>
      </w:r>
      <w:r w:rsidRPr="00012C3F">
        <w:rPr>
          <w:color w:val="000000"/>
          <w:sz w:val="16"/>
          <w:szCs w:val="16"/>
          <w:lang w:val="en-US"/>
        </w:rPr>
        <w:t xml:space="preserve"> Judgment of November 28, 2012. Series C No. 257, para. 142</w:t>
      </w:r>
      <w:r w:rsidRPr="00012C3F">
        <w:rPr>
          <w:sz w:val="16"/>
          <w:szCs w:val="16"/>
          <w:lang w:val="en-US"/>
        </w:rPr>
        <w:t>.</w:t>
      </w:r>
    </w:p>
  </w:footnote>
  <w:footnote w:id="169">
    <w:p w14:paraId="23CCEAE9"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 Case of Velásquez Rodríguez v. Honduras. Merits</w:t>
      </w:r>
      <w:r w:rsidRPr="00012C3F">
        <w:rPr>
          <w:sz w:val="16"/>
          <w:szCs w:val="16"/>
          <w:lang w:val="en-US"/>
        </w:rPr>
        <w:t xml:space="preserve">, </w:t>
      </w:r>
      <w:r w:rsidRPr="00012C3F">
        <w:rPr>
          <w:i/>
          <w:sz w:val="16"/>
          <w:szCs w:val="16"/>
          <w:lang w:val="en-US"/>
        </w:rPr>
        <w:t>supra</w:t>
      </w:r>
      <w:r w:rsidRPr="00012C3F">
        <w:rPr>
          <w:sz w:val="16"/>
          <w:szCs w:val="16"/>
          <w:lang w:val="en-US"/>
        </w:rPr>
        <w:t xml:space="preserve">, para. 163, and </w:t>
      </w:r>
      <w:r w:rsidRPr="00012C3F">
        <w:rPr>
          <w:rFonts w:cs="Courier New"/>
          <w:i/>
          <w:noProof/>
          <w:sz w:val="16"/>
          <w:szCs w:val="16"/>
          <w:lang w:val="en-US"/>
        </w:rPr>
        <w:t xml:space="preserve">Case of the Kaliña and Lokono Peoples v. Suriname. Merits reparations and costs. </w:t>
      </w:r>
      <w:r w:rsidRPr="00012C3F">
        <w:rPr>
          <w:rFonts w:cs="Courier New"/>
          <w:noProof/>
          <w:sz w:val="16"/>
          <w:szCs w:val="16"/>
          <w:lang w:val="en-US"/>
        </w:rPr>
        <w:t xml:space="preserve">Judgment of November 25, 2015. Series C No. 309, </w:t>
      </w:r>
      <w:r w:rsidRPr="00012C3F">
        <w:rPr>
          <w:sz w:val="16"/>
          <w:szCs w:val="16"/>
          <w:lang w:val="en-US"/>
        </w:rPr>
        <w:t>para. 259.</w:t>
      </w:r>
    </w:p>
  </w:footnote>
  <w:footnote w:id="170">
    <w:p w14:paraId="075CB3D5" w14:textId="77777777" w:rsidR="00D24EFE" w:rsidRPr="00D24EFE" w:rsidRDefault="00D24EFE" w:rsidP="005B52E1">
      <w:pPr>
        <w:pStyle w:val="Textonotapie"/>
        <w:tabs>
          <w:tab w:val="left" w:pos="567"/>
        </w:tabs>
        <w:spacing w:after="120"/>
        <w:rPr>
          <w:sz w:val="16"/>
          <w:szCs w:val="16"/>
          <w:lang w:val="es-CR"/>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bCs/>
          <w:i/>
          <w:sz w:val="16"/>
          <w:szCs w:val="16"/>
          <w:lang w:val="en-US"/>
        </w:rPr>
        <w:t xml:space="preserve"> </w:t>
      </w:r>
      <w:r w:rsidRPr="00012C3F">
        <w:rPr>
          <w:i/>
          <w:sz w:val="16"/>
          <w:szCs w:val="16"/>
          <w:lang w:val="en-US"/>
        </w:rPr>
        <w:t>Case of</w:t>
      </w:r>
      <w:r w:rsidRPr="00012C3F">
        <w:rPr>
          <w:sz w:val="16"/>
          <w:szCs w:val="16"/>
          <w:lang w:val="en-US"/>
        </w:rPr>
        <w:t xml:space="preserve"> </w:t>
      </w:r>
      <w:r w:rsidRPr="00012C3F">
        <w:rPr>
          <w:i/>
          <w:sz w:val="16"/>
          <w:szCs w:val="16"/>
          <w:lang w:val="en-US"/>
        </w:rPr>
        <w:t xml:space="preserve">Fernández Ortega et al. v. Mexico. Preliminary objection, merits, reparations and costs. </w:t>
      </w:r>
      <w:r w:rsidRPr="00012C3F">
        <w:rPr>
          <w:sz w:val="16"/>
          <w:szCs w:val="16"/>
          <w:lang w:val="en-US"/>
        </w:rPr>
        <w:t xml:space="preserve">Judgment of August 30, 2010. Series C No. 215, para. 129, and </w:t>
      </w:r>
      <w:r w:rsidRPr="00012C3F">
        <w:rPr>
          <w:bCs/>
          <w:i/>
          <w:sz w:val="16"/>
          <w:szCs w:val="16"/>
          <w:lang w:val="en-US"/>
        </w:rPr>
        <w:t xml:space="preserve">Case of </w:t>
      </w:r>
      <w:r w:rsidRPr="00012C3F">
        <w:rPr>
          <w:bCs/>
          <w:i/>
          <w:color w:val="000000"/>
          <w:sz w:val="16"/>
          <w:szCs w:val="16"/>
          <w:lang w:val="en-US"/>
        </w:rPr>
        <w:t xml:space="preserve">Artavia Murillo et al. </w:t>
      </w:r>
      <w:r w:rsidRPr="00D24EFE">
        <w:rPr>
          <w:bCs/>
          <w:i/>
          <w:color w:val="000000"/>
          <w:sz w:val="16"/>
          <w:szCs w:val="16"/>
          <w:lang w:val="es-CR"/>
        </w:rPr>
        <w:t>(“In vitro fertilization”) v. Costa Rica, supra</w:t>
      </w:r>
      <w:r w:rsidRPr="00D24EFE">
        <w:rPr>
          <w:color w:val="000000"/>
          <w:sz w:val="16"/>
          <w:szCs w:val="16"/>
          <w:lang w:val="es-CR"/>
        </w:rPr>
        <w:t>, para. 143</w:t>
      </w:r>
      <w:r w:rsidRPr="00D24EFE">
        <w:rPr>
          <w:sz w:val="16"/>
          <w:szCs w:val="16"/>
          <w:lang w:val="es-CR"/>
        </w:rPr>
        <w:t>.</w:t>
      </w:r>
    </w:p>
  </w:footnote>
  <w:footnote w:id="171">
    <w:p w14:paraId="0A6B94ED"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D24EFE">
        <w:rPr>
          <w:sz w:val="16"/>
          <w:szCs w:val="16"/>
          <w:lang w:val="es-CR"/>
        </w:rPr>
        <w:t xml:space="preserve"> </w:t>
      </w:r>
      <w:r w:rsidRPr="00D24EFE">
        <w:rPr>
          <w:sz w:val="16"/>
          <w:szCs w:val="16"/>
          <w:lang w:val="es-CR"/>
        </w:rPr>
        <w:tab/>
      </w:r>
      <w:r w:rsidRPr="00D24EFE">
        <w:rPr>
          <w:i/>
          <w:sz w:val="16"/>
          <w:szCs w:val="16"/>
          <w:lang w:val="es-CR"/>
        </w:rPr>
        <w:t xml:space="preserve">Cf. </w:t>
      </w:r>
      <w:r w:rsidRPr="00D24EFE">
        <w:rPr>
          <w:bCs/>
          <w:i/>
          <w:color w:val="000000"/>
          <w:sz w:val="16"/>
          <w:szCs w:val="16"/>
          <w:lang w:val="es-CR"/>
        </w:rPr>
        <w:t>Case of Artavia Murillo et al. (“In vitro fertilization”) v. Costa Rica, supra</w:t>
      </w:r>
      <w:r w:rsidRPr="00D24EFE">
        <w:rPr>
          <w:color w:val="000000"/>
          <w:sz w:val="16"/>
          <w:szCs w:val="16"/>
          <w:lang w:val="es-CR"/>
        </w:rPr>
        <w:t xml:space="preserve">, para. </w:t>
      </w:r>
      <w:r w:rsidRPr="00012C3F">
        <w:rPr>
          <w:color w:val="000000"/>
          <w:sz w:val="16"/>
          <w:szCs w:val="16"/>
          <w:lang w:val="en-US"/>
        </w:rPr>
        <w:t>143.</w:t>
      </w:r>
    </w:p>
  </w:footnote>
  <w:footnote w:id="172">
    <w:p w14:paraId="5C3CF175" w14:textId="77777777" w:rsidR="00D24EFE" w:rsidRPr="00012C3F" w:rsidRDefault="00D24EFE" w:rsidP="005B52E1">
      <w:pPr>
        <w:pStyle w:val="Textonotapie"/>
        <w:tabs>
          <w:tab w:val="left" w:pos="567"/>
          <w:tab w:val="left" w:pos="720"/>
        </w:tabs>
        <w:spacing w:after="120"/>
        <w:rPr>
          <w:rFonts w:cs="Verdana"/>
          <w:sz w:val="16"/>
          <w:szCs w:val="16"/>
          <w:lang w:val="en-US" w:bidi="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i/>
          <w:sz w:val="16"/>
          <w:szCs w:val="16"/>
          <w:lang w:val="en-US"/>
        </w:rPr>
        <w:t>Case of</w:t>
      </w:r>
      <w:r w:rsidRPr="00012C3F">
        <w:rPr>
          <w:sz w:val="16"/>
          <w:szCs w:val="16"/>
          <w:lang w:val="en-US"/>
        </w:rPr>
        <w:t xml:space="preserve"> </w:t>
      </w:r>
      <w:r w:rsidRPr="00012C3F">
        <w:rPr>
          <w:i/>
          <w:sz w:val="16"/>
          <w:szCs w:val="16"/>
          <w:lang w:val="en-US"/>
        </w:rPr>
        <w:t xml:space="preserve">Rosendo Cantú et al. v. Mexico. Preliminary objection, merits, reparations and costs. </w:t>
      </w:r>
      <w:r w:rsidRPr="00012C3F">
        <w:rPr>
          <w:sz w:val="16"/>
          <w:szCs w:val="16"/>
          <w:lang w:val="en-US"/>
        </w:rPr>
        <w:t xml:space="preserve">Judgment of August 31, 2010. Series C No. 216, para. 119, and </w:t>
      </w:r>
      <w:r w:rsidRPr="00012C3F">
        <w:rPr>
          <w:bCs/>
          <w:i/>
          <w:color w:val="000000"/>
          <w:sz w:val="16"/>
          <w:szCs w:val="16"/>
          <w:lang w:val="en-US"/>
        </w:rPr>
        <w:t>Case of Artavia Murillo et al. (“In vitro fertilization”) v. Costa Rica, supra</w:t>
      </w:r>
      <w:r w:rsidRPr="00012C3F">
        <w:rPr>
          <w:color w:val="000000"/>
          <w:sz w:val="16"/>
          <w:szCs w:val="16"/>
          <w:lang w:val="en-US"/>
        </w:rPr>
        <w:t>, para. 143</w:t>
      </w:r>
      <w:r w:rsidRPr="00012C3F">
        <w:rPr>
          <w:sz w:val="16"/>
          <w:szCs w:val="16"/>
          <w:lang w:val="en-US"/>
        </w:rPr>
        <w:t>.</w:t>
      </w:r>
    </w:p>
  </w:footnote>
  <w:footnote w:id="173">
    <w:p w14:paraId="2907F989" w14:textId="77777777" w:rsidR="00D24EFE" w:rsidRPr="00D24EFE" w:rsidRDefault="00D24EFE" w:rsidP="005B52E1">
      <w:pPr>
        <w:pStyle w:val="Textonotapie"/>
        <w:tabs>
          <w:tab w:val="left" w:pos="567"/>
        </w:tabs>
        <w:spacing w:after="120"/>
        <w:rPr>
          <w:sz w:val="16"/>
          <w:szCs w:val="16"/>
          <w:lang w:val="es-CR"/>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rFonts w:eastAsia="Calibri"/>
          <w:i/>
          <w:sz w:val="16"/>
          <w:szCs w:val="16"/>
          <w:lang w:val="en-US"/>
        </w:rPr>
        <w:t>Cf. Mutatis mutandi,</w:t>
      </w:r>
      <w:r w:rsidRPr="00012C3F">
        <w:rPr>
          <w:rFonts w:eastAsia="Calibri"/>
          <w:sz w:val="16"/>
          <w:szCs w:val="16"/>
          <w:lang w:val="en-US"/>
        </w:rPr>
        <w:t xml:space="preserve"> </w:t>
      </w:r>
      <w:r w:rsidRPr="00012C3F">
        <w:rPr>
          <w:rFonts w:eastAsia="Calibri"/>
          <w:bCs/>
          <w:i/>
          <w:sz w:val="16"/>
          <w:szCs w:val="16"/>
          <w:lang w:val="en-US"/>
        </w:rPr>
        <w:t xml:space="preserve">Case of Gelman v. Uruguay. </w:t>
      </w:r>
      <w:r w:rsidRPr="00012C3F">
        <w:rPr>
          <w:rFonts w:eastAsia="Calibri"/>
          <w:i/>
          <w:sz w:val="16"/>
          <w:szCs w:val="16"/>
          <w:lang w:val="en-US"/>
        </w:rPr>
        <w:t>Merits and reparations</w:t>
      </w:r>
      <w:r w:rsidRPr="00012C3F">
        <w:rPr>
          <w:rFonts w:eastAsia="Calibri"/>
          <w:sz w:val="16"/>
          <w:szCs w:val="16"/>
          <w:lang w:val="en-US"/>
        </w:rPr>
        <w:t xml:space="preserve">. Judgment of February 24, 2011. Series C No. 221, para. 97, and </w:t>
      </w:r>
      <w:r w:rsidRPr="00012C3F">
        <w:rPr>
          <w:bCs/>
          <w:i/>
          <w:color w:val="000000"/>
          <w:sz w:val="16"/>
          <w:szCs w:val="16"/>
          <w:lang w:val="en-US"/>
        </w:rPr>
        <w:t xml:space="preserve">Case of Artavia Murillo et al. </w:t>
      </w:r>
      <w:r w:rsidRPr="00D24EFE">
        <w:rPr>
          <w:bCs/>
          <w:i/>
          <w:color w:val="000000"/>
          <w:sz w:val="16"/>
          <w:szCs w:val="16"/>
          <w:lang w:val="es-CR"/>
        </w:rPr>
        <w:t>(“In vitro fertilization”) v. Costa Rica, supra</w:t>
      </w:r>
      <w:r w:rsidRPr="00D24EFE">
        <w:rPr>
          <w:color w:val="000000"/>
          <w:sz w:val="16"/>
          <w:szCs w:val="16"/>
          <w:lang w:val="es-CR"/>
        </w:rPr>
        <w:t>, para. 143</w:t>
      </w:r>
      <w:r w:rsidRPr="00D24EFE">
        <w:rPr>
          <w:rFonts w:eastAsia="Calibri"/>
          <w:sz w:val="16"/>
          <w:szCs w:val="16"/>
          <w:lang w:val="es-CR"/>
        </w:rPr>
        <w:t>.</w:t>
      </w:r>
    </w:p>
  </w:footnote>
  <w:footnote w:id="174">
    <w:p w14:paraId="31FCC30E" w14:textId="77777777" w:rsidR="00D24EFE" w:rsidRPr="00012C3F" w:rsidRDefault="00D24EFE" w:rsidP="005B52E1">
      <w:pPr>
        <w:pStyle w:val="Textonotapie"/>
        <w:tabs>
          <w:tab w:val="left" w:pos="567"/>
        </w:tabs>
        <w:spacing w:after="120"/>
        <w:rPr>
          <w:i/>
          <w:sz w:val="16"/>
          <w:szCs w:val="16"/>
          <w:lang w:val="en-US"/>
        </w:rPr>
      </w:pPr>
      <w:r w:rsidRPr="00012C3F">
        <w:rPr>
          <w:rStyle w:val="Refdenotaalpie"/>
          <w:sz w:val="16"/>
          <w:szCs w:val="16"/>
          <w:lang w:val="en-US"/>
        </w:rPr>
        <w:footnoteRef/>
      </w:r>
      <w:r w:rsidRPr="00D24EFE">
        <w:rPr>
          <w:sz w:val="16"/>
          <w:szCs w:val="16"/>
          <w:lang w:val="es-CR"/>
        </w:rPr>
        <w:t xml:space="preserve"> </w:t>
      </w:r>
      <w:r w:rsidRPr="00D24EFE">
        <w:rPr>
          <w:sz w:val="16"/>
          <w:szCs w:val="16"/>
          <w:lang w:val="es-CR"/>
        </w:rPr>
        <w:tab/>
      </w:r>
      <w:r w:rsidRPr="00D24EFE">
        <w:rPr>
          <w:i/>
          <w:sz w:val="16"/>
          <w:szCs w:val="16"/>
          <w:lang w:val="es-CR"/>
        </w:rPr>
        <w:t xml:space="preserve">Cf. </w:t>
      </w:r>
      <w:r w:rsidRPr="00D24EFE">
        <w:rPr>
          <w:bCs/>
          <w:i/>
          <w:color w:val="000000"/>
          <w:sz w:val="16"/>
          <w:szCs w:val="16"/>
          <w:lang w:val="es-CR"/>
        </w:rPr>
        <w:t>Case of Artavia Murillo et al. (“In vitro fertilization”) v. Costa Rica, supra</w:t>
      </w:r>
      <w:r w:rsidRPr="00D24EFE">
        <w:rPr>
          <w:color w:val="000000"/>
          <w:sz w:val="16"/>
          <w:szCs w:val="16"/>
          <w:lang w:val="es-CR"/>
        </w:rPr>
        <w:t xml:space="preserve">, para. </w:t>
      </w:r>
      <w:r w:rsidRPr="00012C3F">
        <w:rPr>
          <w:color w:val="000000"/>
          <w:sz w:val="16"/>
          <w:szCs w:val="16"/>
          <w:lang w:val="en-US"/>
        </w:rPr>
        <w:t>143.</w:t>
      </w:r>
    </w:p>
  </w:footnote>
  <w:footnote w:id="175">
    <w:p w14:paraId="48D3B219" w14:textId="77777777" w:rsidR="00D24EFE" w:rsidRPr="00D24EFE" w:rsidRDefault="00D24EFE" w:rsidP="005B52E1">
      <w:pPr>
        <w:pStyle w:val="Textonotapie"/>
        <w:tabs>
          <w:tab w:val="left" w:pos="567"/>
        </w:tabs>
        <w:spacing w:after="120"/>
        <w:rPr>
          <w:sz w:val="16"/>
          <w:szCs w:val="16"/>
          <w:lang w:val="es-CR"/>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bCs/>
          <w:i/>
          <w:color w:val="000000"/>
          <w:sz w:val="16"/>
          <w:szCs w:val="16"/>
          <w:lang w:val="en-US"/>
        </w:rPr>
        <w:t>Case of Atala Riffo and daughters v. Chile, supra</w:t>
      </w:r>
      <w:r w:rsidRPr="00012C3F">
        <w:rPr>
          <w:color w:val="000000"/>
          <w:sz w:val="16"/>
          <w:szCs w:val="16"/>
          <w:lang w:val="en-US"/>
        </w:rPr>
        <w:t xml:space="preserve">, </w:t>
      </w:r>
      <w:r w:rsidRPr="00012C3F">
        <w:rPr>
          <w:sz w:val="16"/>
          <w:szCs w:val="16"/>
          <w:lang w:val="en-US"/>
        </w:rPr>
        <w:t xml:space="preserve">para. </w:t>
      </w:r>
      <w:r w:rsidRPr="00D24EFE">
        <w:rPr>
          <w:sz w:val="16"/>
          <w:szCs w:val="16"/>
          <w:lang w:val="es-CR"/>
        </w:rPr>
        <w:t>169.</w:t>
      </w:r>
    </w:p>
  </w:footnote>
  <w:footnote w:id="176">
    <w:p w14:paraId="7C6443E4" w14:textId="77777777" w:rsidR="00D24EFE" w:rsidRPr="00D24EFE" w:rsidRDefault="00D24EFE" w:rsidP="005B52E1">
      <w:pPr>
        <w:pStyle w:val="Textonotapie"/>
        <w:tabs>
          <w:tab w:val="left" w:pos="567"/>
        </w:tabs>
        <w:spacing w:after="120"/>
        <w:rPr>
          <w:sz w:val="16"/>
          <w:szCs w:val="16"/>
          <w:lang w:val="es-CR"/>
        </w:rPr>
      </w:pPr>
      <w:r w:rsidRPr="00012C3F">
        <w:rPr>
          <w:rStyle w:val="Refdenotaalpie"/>
          <w:sz w:val="16"/>
          <w:szCs w:val="16"/>
          <w:lang w:val="en-US"/>
        </w:rPr>
        <w:footnoteRef/>
      </w:r>
      <w:r w:rsidRPr="00D24EFE">
        <w:rPr>
          <w:sz w:val="16"/>
          <w:szCs w:val="16"/>
          <w:lang w:val="es-CR"/>
        </w:rPr>
        <w:t xml:space="preserve"> </w:t>
      </w:r>
      <w:r w:rsidRPr="00D24EFE">
        <w:rPr>
          <w:sz w:val="16"/>
          <w:szCs w:val="16"/>
          <w:lang w:val="es-CR"/>
        </w:rPr>
        <w:tab/>
      </w:r>
      <w:r w:rsidRPr="00D24EFE">
        <w:rPr>
          <w:i/>
          <w:sz w:val="16"/>
          <w:szCs w:val="16"/>
          <w:lang w:val="es-CR"/>
        </w:rPr>
        <w:t xml:space="preserve">Cf. </w:t>
      </w:r>
      <w:r w:rsidRPr="00D24EFE">
        <w:rPr>
          <w:bCs/>
          <w:i/>
          <w:color w:val="000000"/>
          <w:sz w:val="16"/>
          <w:szCs w:val="16"/>
          <w:lang w:val="es-CR"/>
        </w:rPr>
        <w:t>Case of Artavia Murillo et al. (“In vitro fertilization”) v. Costa Rica, supra</w:t>
      </w:r>
      <w:r w:rsidRPr="00D24EFE">
        <w:rPr>
          <w:color w:val="000000"/>
          <w:sz w:val="16"/>
          <w:szCs w:val="16"/>
          <w:lang w:val="es-CR"/>
        </w:rPr>
        <w:t>, para. 145.</w:t>
      </w:r>
    </w:p>
  </w:footnote>
  <w:footnote w:id="177">
    <w:p w14:paraId="2D8D87BA"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D24EFE">
        <w:rPr>
          <w:sz w:val="16"/>
          <w:szCs w:val="16"/>
          <w:lang w:val="es-CR"/>
        </w:rPr>
        <w:t xml:space="preserve"> </w:t>
      </w:r>
      <w:r w:rsidRPr="00D24EFE">
        <w:rPr>
          <w:sz w:val="16"/>
          <w:szCs w:val="16"/>
          <w:lang w:val="es-CR"/>
        </w:rPr>
        <w:tab/>
      </w:r>
      <w:r w:rsidRPr="00D24EFE">
        <w:rPr>
          <w:i/>
          <w:sz w:val="16"/>
          <w:szCs w:val="16"/>
          <w:lang w:val="es-CR"/>
        </w:rPr>
        <w:t xml:space="preserve">Cf. </w:t>
      </w:r>
      <w:r w:rsidRPr="00D24EFE">
        <w:rPr>
          <w:bCs/>
          <w:i/>
          <w:color w:val="000000"/>
          <w:sz w:val="16"/>
          <w:szCs w:val="16"/>
          <w:lang w:val="es-CR"/>
        </w:rPr>
        <w:t>Case of Artavia Murillo et al. (“In vitro fertilization”) v. Costa Rica, supra</w:t>
      </w:r>
      <w:r w:rsidRPr="00D24EFE">
        <w:rPr>
          <w:color w:val="000000"/>
          <w:sz w:val="16"/>
          <w:szCs w:val="16"/>
          <w:lang w:val="es-CR"/>
        </w:rPr>
        <w:t xml:space="preserve">, para. </w:t>
      </w:r>
      <w:r w:rsidRPr="00012C3F">
        <w:rPr>
          <w:color w:val="000000"/>
          <w:sz w:val="16"/>
          <w:szCs w:val="16"/>
          <w:lang w:val="en-US"/>
        </w:rPr>
        <w:t xml:space="preserve">145, citing Human Rights Committee, General Comment </w:t>
      </w:r>
      <w:r w:rsidRPr="00012C3F">
        <w:rPr>
          <w:sz w:val="16"/>
          <w:szCs w:val="16"/>
          <w:lang w:val="en-US"/>
        </w:rPr>
        <w:t xml:space="preserve">No. 19, </w:t>
      </w:r>
      <w:r w:rsidRPr="00012C3F">
        <w:rPr>
          <w:i/>
          <w:sz w:val="16"/>
          <w:szCs w:val="16"/>
          <w:lang w:val="en-US"/>
        </w:rPr>
        <w:t>The family,</w:t>
      </w:r>
      <w:r w:rsidRPr="00012C3F">
        <w:rPr>
          <w:sz w:val="16"/>
          <w:szCs w:val="16"/>
          <w:lang w:val="en-US"/>
        </w:rPr>
        <w:t xml:space="preserve"> July 27, 1990, para. 5 [“The right raise a family implies, in principle, the possibility to procreate and live together.”]</w:t>
      </w:r>
    </w:p>
  </w:footnote>
  <w:footnote w:id="178">
    <w:p w14:paraId="299CB4D3"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Batang"/>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i/>
          <w:sz w:val="16"/>
          <w:szCs w:val="16"/>
          <w:lang w:val="en-US"/>
        </w:rPr>
        <w:t>Case of Albán Cornejo et al. v. Ecuador. Merits, reparations and costs</w:t>
      </w:r>
      <w:r w:rsidRPr="00012C3F">
        <w:rPr>
          <w:sz w:val="16"/>
          <w:szCs w:val="16"/>
          <w:lang w:val="en-US"/>
        </w:rPr>
        <w:t xml:space="preserve">. Judgment of November 22, 2007. Series C No. 171, para. 117; </w:t>
      </w:r>
      <w:r w:rsidRPr="00012C3F">
        <w:rPr>
          <w:rFonts w:cs="Arial"/>
          <w:i/>
          <w:color w:val="262626"/>
          <w:sz w:val="16"/>
          <w:szCs w:val="16"/>
          <w:lang w:val="en-US"/>
        </w:rPr>
        <w:t>Case of Suárez Peralta v. Ecuador. Preliminary objections, merits, reparations and costs</w:t>
      </w:r>
      <w:r w:rsidRPr="00012C3F">
        <w:rPr>
          <w:rFonts w:cs="Arial"/>
          <w:color w:val="262626"/>
          <w:sz w:val="16"/>
          <w:szCs w:val="16"/>
          <w:lang w:val="en-US"/>
        </w:rPr>
        <w:t>. Judgment of May 21, 2013. Series C No. 261</w:t>
      </w:r>
      <w:r w:rsidRPr="00012C3F">
        <w:rPr>
          <w:sz w:val="16"/>
          <w:szCs w:val="16"/>
          <w:lang w:val="en-US"/>
        </w:rPr>
        <w:t xml:space="preserve">, para. 130; </w:t>
      </w:r>
      <w:r w:rsidRPr="00012C3F">
        <w:rPr>
          <w:rFonts w:cs="Courier New"/>
          <w:i/>
          <w:noProof/>
          <w:sz w:val="16"/>
          <w:szCs w:val="16"/>
          <w:lang w:val="en-US"/>
        </w:rPr>
        <w:t>Case of Gonzales Lluy et al. v. Ecuador. Preliminary objections, merits, reparations and costs.</w:t>
      </w:r>
      <w:r w:rsidRPr="00012C3F">
        <w:rPr>
          <w:rFonts w:cs="Courier New"/>
          <w:noProof/>
          <w:sz w:val="16"/>
          <w:szCs w:val="16"/>
          <w:lang w:val="en-US"/>
        </w:rPr>
        <w:t xml:space="preserve"> Judgment of September 21, 2015. Series C No. 298</w:t>
      </w:r>
      <w:r w:rsidRPr="00012C3F">
        <w:rPr>
          <w:sz w:val="16"/>
          <w:szCs w:val="16"/>
          <w:lang w:val="en-US"/>
        </w:rPr>
        <w:t xml:space="preserve">, para. 171, and </w:t>
      </w:r>
      <w:r w:rsidRPr="00012C3F">
        <w:rPr>
          <w:i/>
          <w:sz w:val="16"/>
          <w:szCs w:val="16"/>
          <w:lang w:val="en-US"/>
        </w:rPr>
        <w:t>Case of Chinchilla Sandoval v. Guatemala, supra</w:t>
      </w:r>
      <w:r w:rsidRPr="00012C3F">
        <w:rPr>
          <w:sz w:val="16"/>
          <w:szCs w:val="16"/>
          <w:lang w:val="en-US"/>
        </w:rPr>
        <w:t>, para. 170.</w:t>
      </w:r>
    </w:p>
  </w:footnote>
  <w:footnote w:id="179">
    <w:p w14:paraId="7BD1DCB6"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Case of Tibi v. Ecuador. Preliminary objections, Merits, Reparations and costs. </w:t>
      </w:r>
      <w:r w:rsidRPr="00012C3F">
        <w:rPr>
          <w:sz w:val="16"/>
          <w:szCs w:val="16"/>
          <w:lang w:val="en-US"/>
        </w:rPr>
        <w:t xml:space="preserve">Judgment of September 7, 2004. Series C No. 114, para. 157, and </w:t>
      </w:r>
      <w:r w:rsidRPr="00012C3F">
        <w:rPr>
          <w:rFonts w:cs="Courier New"/>
          <w:i/>
          <w:noProof/>
          <w:sz w:val="16"/>
          <w:szCs w:val="16"/>
          <w:lang w:val="en-US"/>
        </w:rPr>
        <w:t>Case of Gonzales Lluy et al. v. Ecuador, supra</w:t>
      </w:r>
      <w:r w:rsidRPr="00012C3F">
        <w:rPr>
          <w:rFonts w:cs="Courier New"/>
          <w:noProof/>
          <w:sz w:val="16"/>
          <w:szCs w:val="16"/>
          <w:lang w:val="en-US"/>
        </w:rPr>
        <w:t>, para. 171</w:t>
      </w:r>
      <w:r w:rsidRPr="00012C3F">
        <w:rPr>
          <w:sz w:val="16"/>
          <w:szCs w:val="16"/>
          <w:lang w:val="en-US"/>
        </w:rPr>
        <w:t>.</w:t>
      </w:r>
    </w:p>
  </w:footnote>
  <w:footnote w:id="180">
    <w:p w14:paraId="3D0D3F0F"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i/>
          <w:sz w:val="16"/>
          <w:szCs w:val="16"/>
          <w:lang w:val="en-US"/>
        </w:rPr>
        <w:t>Case of Ximenes Lopes v. Brazil. Merits, reparations and costs</w:t>
      </w:r>
      <w:r w:rsidRPr="00012C3F">
        <w:rPr>
          <w:sz w:val="16"/>
          <w:szCs w:val="16"/>
          <w:lang w:val="en-US"/>
        </w:rPr>
        <w:t xml:space="preserve">. Judgment of July 4, 2006. </w:t>
      </w:r>
      <w:r w:rsidRPr="00D24EFE">
        <w:rPr>
          <w:sz w:val="16"/>
          <w:szCs w:val="16"/>
          <w:lang w:val="es-CR"/>
        </w:rPr>
        <w:t xml:space="preserve">Series C No. 149, </w:t>
      </w:r>
      <w:r w:rsidRPr="00D24EFE">
        <w:rPr>
          <w:iCs/>
          <w:sz w:val="16"/>
          <w:szCs w:val="16"/>
          <w:lang w:val="es-CR"/>
        </w:rPr>
        <w:t xml:space="preserve">paras. </w:t>
      </w:r>
      <w:r w:rsidRPr="00D24EFE">
        <w:rPr>
          <w:sz w:val="16"/>
          <w:szCs w:val="16"/>
          <w:lang w:val="es-CR"/>
        </w:rPr>
        <w:t xml:space="preserve">89 and 99, and </w:t>
      </w:r>
      <w:r w:rsidRPr="00D24EFE">
        <w:rPr>
          <w:rFonts w:cs="Arial"/>
          <w:i/>
          <w:color w:val="262626"/>
          <w:sz w:val="16"/>
          <w:szCs w:val="16"/>
          <w:lang w:val="es-CR"/>
        </w:rPr>
        <w:t>Case of Suárez Peralta v. Ecuador, supra</w:t>
      </w:r>
      <w:r w:rsidRPr="00D24EFE">
        <w:rPr>
          <w:sz w:val="16"/>
          <w:szCs w:val="16"/>
          <w:lang w:val="es-CR"/>
        </w:rPr>
        <w:t xml:space="preserve">, para. </w:t>
      </w:r>
      <w:r w:rsidRPr="00012C3F">
        <w:rPr>
          <w:sz w:val="16"/>
          <w:szCs w:val="16"/>
          <w:lang w:val="en-US"/>
        </w:rPr>
        <w:t>132.</w:t>
      </w:r>
    </w:p>
  </w:footnote>
  <w:footnote w:id="181">
    <w:p w14:paraId="4038EF8D"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 xml:space="preserve">UN, Committee on Economic, Social and Cultural Rights, General Comment No. 14, </w:t>
      </w:r>
      <w:r w:rsidRPr="00012C3F">
        <w:rPr>
          <w:i/>
          <w:sz w:val="16"/>
          <w:szCs w:val="16"/>
          <w:lang w:val="en-US"/>
        </w:rPr>
        <w:t>The right to the highest attainable standard of health</w:t>
      </w:r>
      <w:r w:rsidRPr="00012C3F">
        <w:rPr>
          <w:sz w:val="16"/>
          <w:szCs w:val="16"/>
          <w:lang w:val="en-US"/>
        </w:rPr>
        <w:t>, E/C.12/2000/4, August 11, 2000, para. 8.</w:t>
      </w:r>
    </w:p>
  </w:footnote>
  <w:footnote w:id="182">
    <w:p w14:paraId="634ACA8A" w14:textId="77777777" w:rsidR="00D24EFE" w:rsidRPr="00012C3F" w:rsidRDefault="00D24EFE" w:rsidP="005B52E1">
      <w:pPr>
        <w:pStyle w:val="Textonotapie"/>
        <w:tabs>
          <w:tab w:val="left" w:pos="567"/>
        </w:tabs>
        <w:spacing w:after="120"/>
        <w:rPr>
          <w:sz w:val="16"/>
          <w:szCs w:val="16"/>
          <w:lang w:val="en-US"/>
        </w:rPr>
      </w:pPr>
      <w:r w:rsidRPr="00012C3F">
        <w:rPr>
          <w:sz w:val="16"/>
          <w:szCs w:val="16"/>
          <w:vertAlign w:val="superscript"/>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mutatis mutandi, </w:t>
      </w:r>
      <w:r w:rsidRPr="00012C3F">
        <w:rPr>
          <w:bCs/>
          <w:i/>
          <w:color w:val="000000"/>
          <w:sz w:val="16"/>
          <w:szCs w:val="16"/>
          <w:lang w:val="en-US"/>
        </w:rPr>
        <w:t>Case of Furlan and family v. Argentina, supra</w:t>
      </w:r>
      <w:r w:rsidRPr="00012C3F">
        <w:rPr>
          <w:color w:val="000000"/>
          <w:sz w:val="16"/>
          <w:szCs w:val="16"/>
          <w:lang w:val="en-US"/>
        </w:rPr>
        <w:t>, para. 294</w:t>
      </w:r>
      <w:r w:rsidRPr="00012C3F">
        <w:rPr>
          <w:sz w:val="16"/>
          <w:szCs w:val="16"/>
          <w:lang w:val="en-US"/>
        </w:rPr>
        <w:t>.</w:t>
      </w:r>
    </w:p>
  </w:footnote>
  <w:footnote w:id="183">
    <w:p w14:paraId="4748F390" w14:textId="77777777" w:rsidR="00D24EFE" w:rsidRPr="00012C3F" w:rsidRDefault="00D24EFE" w:rsidP="005B52E1">
      <w:pPr>
        <w:pStyle w:val="Textonotapie"/>
        <w:tabs>
          <w:tab w:val="left" w:pos="567"/>
        </w:tabs>
        <w:spacing w:after="120"/>
        <w:rPr>
          <w:sz w:val="16"/>
          <w:szCs w:val="16"/>
          <w:lang w:val="en-US"/>
        </w:rPr>
      </w:pPr>
      <w:r w:rsidRPr="00012C3F">
        <w:rPr>
          <w:sz w:val="16"/>
          <w:szCs w:val="16"/>
          <w:vertAlign w:val="superscript"/>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 Case of “The Last Temptation of Christ” (Olmedo Bustos et al.) v. Chile. Merits reparations and costs.</w:t>
      </w:r>
      <w:r w:rsidRPr="00012C3F">
        <w:rPr>
          <w:sz w:val="16"/>
          <w:szCs w:val="16"/>
          <w:lang w:val="en-US"/>
        </w:rPr>
        <w:t xml:space="preserve"> Judgment of February 5, 2001. Series C No. 73, para. 64, and </w:t>
      </w:r>
      <w:r w:rsidRPr="00012C3F">
        <w:rPr>
          <w:i/>
          <w:sz w:val="16"/>
          <w:szCs w:val="16"/>
          <w:lang w:val="en-US"/>
        </w:rPr>
        <w:t>Case of the Kaliña and Lokono Peoples v. Suriname, supra</w:t>
      </w:r>
      <w:r w:rsidRPr="00012C3F">
        <w:rPr>
          <w:sz w:val="16"/>
          <w:szCs w:val="16"/>
          <w:lang w:val="en-US"/>
        </w:rPr>
        <w:t>, para. 261.</w:t>
      </w:r>
    </w:p>
  </w:footnote>
  <w:footnote w:id="184">
    <w:p w14:paraId="54B4B693" w14:textId="77777777" w:rsidR="00D24EFE" w:rsidRPr="00012C3F" w:rsidRDefault="00D24EFE" w:rsidP="005B52E1">
      <w:pPr>
        <w:pStyle w:val="Textonotapie"/>
        <w:tabs>
          <w:tab w:val="left" w:pos="567"/>
        </w:tabs>
        <w:spacing w:after="120"/>
        <w:rPr>
          <w:sz w:val="16"/>
          <w:szCs w:val="16"/>
          <w:lang w:val="en-US"/>
        </w:rPr>
      </w:pPr>
      <w:r w:rsidRPr="00012C3F">
        <w:rPr>
          <w:sz w:val="16"/>
          <w:szCs w:val="16"/>
          <w:vertAlign w:val="superscript"/>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 Case of Claude Reyes et al. v. Chile. Merits reparations and costs</w:t>
      </w:r>
      <w:r w:rsidRPr="00012C3F">
        <w:rPr>
          <w:sz w:val="16"/>
          <w:szCs w:val="16"/>
          <w:lang w:val="en-US"/>
        </w:rPr>
        <w:t xml:space="preserve">. Judgment of September 19, 2006. Series C No. 151, para. 77, and </w:t>
      </w:r>
      <w:r w:rsidRPr="00012C3F">
        <w:rPr>
          <w:bCs/>
          <w:i/>
          <w:color w:val="000000"/>
          <w:sz w:val="16"/>
          <w:szCs w:val="16"/>
          <w:lang w:val="en-US"/>
        </w:rPr>
        <w:t>Case of Furlan and family v. Argentina, supra</w:t>
      </w:r>
      <w:r w:rsidRPr="00012C3F">
        <w:rPr>
          <w:color w:val="000000"/>
          <w:sz w:val="16"/>
          <w:szCs w:val="16"/>
          <w:lang w:val="en-US"/>
        </w:rPr>
        <w:t>, para. 294</w:t>
      </w:r>
      <w:r w:rsidRPr="00012C3F">
        <w:rPr>
          <w:sz w:val="16"/>
          <w:szCs w:val="16"/>
          <w:lang w:val="en-US"/>
        </w:rPr>
        <w:t xml:space="preserve">. See also, UN, Committee on Economic, Social and Cultural Rights, General Comment No. 14, </w:t>
      </w:r>
      <w:r w:rsidRPr="00012C3F">
        <w:rPr>
          <w:i/>
          <w:sz w:val="16"/>
          <w:szCs w:val="16"/>
          <w:lang w:val="en-US"/>
        </w:rPr>
        <w:t>The right to the highest attainable standard of health</w:t>
      </w:r>
      <w:r w:rsidRPr="00012C3F">
        <w:rPr>
          <w:sz w:val="16"/>
          <w:szCs w:val="16"/>
          <w:lang w:val="en-US"/>
        </w:rPr>
        <w:t>, August 11, 2000, para. 12.</w:t>
      </w:r>
    </w:p>
  </w:footnote>
  <w:footnote w:id="185">
    <w:p w14:paraId="33CD0862" w14:textId="77777777" w:rsidR="00D24EFE" w:rsidRPr="00012C3F" w:rsidRDefault="00D24EFE" w:rsidP="005B52E1">
      <w:pPr>
        <w:pStyle w:val="Textonotapie"/>
        <w:tabs>
          <w:tab w:val="left" w:pos="567"/>
        </w:tabs>
        <w:spacing w:after="120"/>
        <w:rPr>
          <w:sz w:val="16"/>
          <w:szCs w:val="16"/>
          <w:lang w:val="en-US"/>
        </w:rPr>
      </w:pPr>
      <w:r w:rsidRPr="00012C3F">
        <w:rPr>
          <w:sz w:val="16"/>
          <w:szCs w:val="16"/>
          <w:vertAlign w:val="superscript"/>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 Case of Claude Reyes et al. v. Chile, supra</w:t>
      </w:r>
      <w:r w:rsidRPr="00012C3F">
        <w:rPr>
          <w:sz w:val="16"/>
          <w:szCs w:val="16"/>
          <w:lang w:val="en-US"/>
        </w:rPr>
        <w:t>, para. 77.</w:t>
      </w:r>
    </w:p>
  </w:footnote>
  <w:footnote w:id="186">
    <w:p w14:paraId="5BC76F6B"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IACHR, </w:t>
      </w:r>
      <w:r w:rsidRPr="00012C3F">
        <w:rPr>
          <w:rFonts w:eastAsia="MS Mincho"/>
          <w:sz w:val="16"/>
          <w:szCs w:val="16"/>
          <w:lang w:val="en-US" w:eastAsia="en-US" w:bidi="en-US"/>
        </w:rPr>
        <w:t>Access to Information on Reproductive Health from a Human Rights Perspective, November 22, 2011</w:t>
      </w:r>
      <w:r w:rsidRPr="00012C3F">
        <w:rPr>
          <w:sz w:val="16"/>
          <w:szCs w:val="16"/>
          <w:lang w:val="en-US"/>
        </w:rPr>
        <w:t>, paras. 25 to 26.</w:t>
      </w:r>
    </w:p>
  </w:footnote>
  <w:footnote w:id="187">
    <w:p w14:paraId="0D0A3138" w14:textId="77777777" w:rsidR="00D24EFE" w:rsidRPr="00012C3F" w:rsidRDefault="00D24EFE" w:rsidP="005B52E1">
      <w:pPr>
        <w:pStyle w:val="Textonotapie"/>
        <w:tabs>
          <w:tab w:val="left" w:pos="567"/>
          <w:tab w:val="left" w:pos="3690"/>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 xml:space="preserve">The Court has adopted the concept of reproductive health defined by the Programme of Action of the International Conference on Population and Development held in Cairo in 1994, as “a state of complete physical, mental and social well-being and not merely the absence of disease or infirmity, in all matters relating to the reproductive system and to its functions and processes. Reproductive health therefore implies that people are able to have a satisfying and safe sex life and that they have the capability to reproduce and the freedom to decide if, when and how often to do so. Implicit in this last condition are the right of men and women to be informed and to have access to safe, effective, affordable and acceptable methods of family planning of their choice, as well as other methods of their choice for regulation of fertility which are not against the law, and the right of access to appropriate health-care services that will enable women to go safely through pregnancy and childbirth and provide couples with the best chances of having a healthy infant.” Programme of Action of the International Conference on Population and Development, El Cairo, UN, A/CONF.171/13/Rev.1, 1994, para. </w:t>
      </w:r>
      <w:r w:rsidRPr="00D24EFE">
        <w:rPr>
          <w:sz w:val="16"/>
          <w:szCs w:val="16"/>
          <w:lang w:val="es-CR"/>
        </w:rPr>
        <w:t xml:space="preserve">7.2. </w:t>
      </w:r>
      <w:r w:rsidRPr="00D24EFE">
        <w:rPr>
          <w:i/>
          <w:sz w:val="16"/>
          <w:szCs w:val="16"/>
          <w:lang w:val="es-CR"/>
        </w:rPr>
        <w:t>Cf.</w:t>
      </w:r>
      <w:r w:rsidRPr="00D24EFE">
        <w:rPr>
          <w:sz w:val="16"/>
          <w:szCs w:val="16"/>
          <w:lang w:val="es-CR"/>
        </w:rPr>
        <w:t xml:space="preserve"> </w:t>
      </w:r>
      <w:r w:rsidRPr="00D24EFE">
        <w:rPr>
          <w:i/>
          <w:sz w:val="16"/>
          <w:szCs w:val="16"/>
          <w:lang w:val="es-CR"/>
        </w:rPr>
        <w:t>Case of Artavia Murillo et al. (“In vitro fertilization”) v. Costa Rica</w:t>
      </w:r>
      <w:r w:rsidRPr="00D24EFE">
        <w:rPr>
          <w:sz w:val="16"/>
          <w:szCs w:val="16"/>
          <w:lang w:val="es-CR"/>
        </w:rPr>
        <w:t xml:space="preserve">, </w:t>
      </w:r>
      <w:r w:rsidRPr="00D24EFE">
        <w:rPr>
          <w:i/>
          <w:sz w:val="16"/>
          <w:szCs w:val="16"/>
          <w:lang w:val="es-CR"/>
        </w:rPr>
        <w:t>supra</w:t>
      </w:r>
      <w:r w:rsidRPr="00D24EFE">
        <w:rPr>
          <w:sz w:val="16"/>
          <w:szCs w:val="16"/>
          <w:lang w:val="es-CR"/>
        </w:rPr>
        <w:t xml:space="preserve">, para. </w:t>
      </w:r>
      <w:r w:rsidRPr="00012C3F">
        <w:rPr>
          <w:sz w:val="16"/>
          <w:szCs w:val="16"/>
          <w:lang w:val="en-US"/>
        </w:rPr>
        <w:t>148. Similarly, the Court has considered that, according to the Pan-American Health Organization (PAHO), sexual and reproductive health “implies that people are able to have a satisfying and safe sex life and have the capability to reproduce as well as the freedom to decide if, when, and how to do so.” Pan-American Health Organization, Health in the Americas 2007, Volume I - Regional, Washington D.C, 2007, p. 143.</w:t>
      </w:r>
    </w:p>
  </w:footnote>
  <w:footnote w:id="188">
    <w:p w14:paraId="5B0EE08C"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MS ????"/>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 xml:space="preserve">UN, Committee on Economic, Social and Cultural Rights, General Comment No. 22, </w:t>
      </w:r>
      <w:r w:rsidRPr="00012C3F">
        <w:rPr>
          <w:i/>
          <w:iCs/>
          <w:sz w:val="16"/>
          <w:szCs w:val="16"/>
          <w:lang w:val="en-US"/>
        </w:rPr>
        <w:t>Right to</w:t>
      </w:r>
      <w:r w:rsidRPr="00012C3F">
        <w:rPr>
          <w:sz w:val="16"/>
          <w:szCs w:val="16"/>
          <w:lang w:val="en-US"/>
        </w:rPr>
        <w:t xml:space="preserve"> </w:t>
      </w:r>
      <w:r w:rsidRPr="00012C3F">
        <w:rPr>
          <w:i/>
          <w:sz w:val="16"/>
          <w:szCs w:val="16"/>
          <w:lang w:val="en-US"/>
        </w:rPr>
        <w:t>sexual and reproductive health</w:t>
      </w:r>
      <w:r w:rsidRPr="00012C3F">
        <w:rPr>
          <w:sz w:val="16"/>
          <w:szCs w:val="16"/>
          <w:lang w:val="en-US"/>
        </w:rPr>
        <w:t>, May 2, 2016, para. 5.</w:t>
      </w:r>
    </w:p>
  </w:footnote>
  <w:footnote w:id="189">
    <w:p w14:paraId="64C94555"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MS ????"/>
          <w:sz w:val="16"/>
          <w:szCs w:val="16"/>
          <w:lang w:val="en-US"/>
        </w:rPr>
        <w:footnoteRef/>
      </w:r>
      <w:r w:rsidRPr="00012C3F">
        <w:rPr>
          <w:sz w:val="16"/>
          <w:szCs w:val="16"/>
          <w:lang w:val="en-US"/>
        </w:rPr>
        <w:t xml:space="preserve"> </w:t>
      </w:r>
      <w:r w:rsidRPr="00012C3F">
        <w:rPr>
          <w:sz w:val="16"/>
          <w:szCs w:val="16"/>
          <w:lang w:val="en-US"/>
        </w:rPr>
        <w:tab/>
        <w:t>Article 16(e) of the Convention for the Elimination of All Forms of Discrimination against Women.</w:t>
      </w:r>
    </w:p>
  </w:footnote>
  <w:footnote w:id="190">
    <w:p w14:paraId="1875ABFE" w14:textId="77777777" w:rsidR="00D24EFE" w:rsidRPr="00D24EFE" w:rsidRDefault="00D24EFE" w:rsidP="005B52E1">
      <w:pPr>
        <w:pStyle w:val="Textonotapie"/>
        <w:tabs>
          <w:tab w:val="left" w:pos="567"/>
        </w:tabs>
        <w:spacing w:after="120"/>
        <w:rPr>
          <w:sz w:val="16"/>
          <w:szCs w:val="16"/>
          <w:lang w:val="es-CR"/>
        </w:rPr>
      </w:pPr>
      <w:r w:rsidRPr="00012C3F">
        <w:rPr>
          <w:rStyle w:val="Refdenotaalpie"/>
          <w:sz w:val="16"/>
          <w:szCs w:val="16"/>
          <w:lang w:val="en-US"/>
        </w:rPr>
        <w:footnoteRef/>
      </w:r>
      <w:r w:rsidRPr="00D24EFE">
        <w:rPr>
          <w:sz w:val="16"/>
          <w:szCs w:val="16"/>
          <w:lang w:val="es-CR"/>
        </w:rPr>
        <w:t xml:space="preserve"> </w:t>
      </w:r>
      <w:r w:rsidRPr="00D24EFE">
        <w:rPr>
          <w:sz w:val="16"/>
          <w:szCs w:val="16"/>
          <w:lang w:val="es-CR"/>
        </w:rPr>
        <w:tab/>
      </w:r>
      <w:r w:rsidRPr="00D24EFE">
        <w:rPr>
          <w:bCs/>
          <w:i/>
          <w:color w:val="000000"/>
          <w:sz w:val="16"/>
          <w:szCs w:val="16"/>
          <w:lang w:val="es-CR"/>
        </w:rPr>
        <w:t>Case of Artavia Murillo et al. (“In vitro fertilization”) v. Costa Rica, supra</w:t>
      </w:r>
      <w:r w:rsidRPr="00D24EFE">
        <w:rPr>
          <w:color w:val="000000"/>
          <w:sz w:val="16"/>
          <w:szCs w:val="16"/>
          <w:lang w:val="es-CR"/>
        </w:rPr>
        <w:t>, para. 147.</w:t>
      </w:r>
    </w:p>
  </w:footnote>
  <w:footnote w:id="191">
    <w:p w14:paraId="7553E824"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D24EFE">
        <w:rPr>
          <w:sz w:val="16"/>
          <w:szCs w:val="16"/>
          <w:lang w:val="es-CR"/>
        </w:rPr>
        <w:t xml:space="preserve"> </w:t>
      </w:r>
      <w:r w:rsidRPr="00D24EFE">
        <w:rPr>
          <w:sz w:val="16"/>
          <w:szCs w:val="16"/>
          <w:lang w:val="es-CR"/>
        </w:rPr>
        <w:tab/>
      </w:r>
      <w:r w:rsidRPr="00D24EFE">
        <w:rPr>
          <w:i/>
          <w:sz w:val="16"/>
          <w:szCs w:val="16"/>
          <w:lang w:val="es-CR"/>
        </w:rPr>
        <w:t>Cf.</w:t>
      </w:r>
      <w:r w:rsidRPr="00D24EFE">
        <w:rPr>
          <w:sz w:val="16"/>
          <w:szCs w:val="16"/>
          <w:lang w:val="es-CR"/>
        </w:rPr>
        <w:t xml:space="preserve"> </w:t>
      </w:r>
      <w:r w:rsidRPr="00D24EFE">
        <w:rPr>
          <w:bCs/>
          <w:i/>
          <w:sz w:val="16"/>
          <w:szCs w:val="16"/>
          <w:lang w:val="es-CR"/>
        </w:rPr>
        <w:t xml:space="preserve">Case of Artavia Murillo et al. (“In vitro fertilization”) v. Costa Rica, supra, </w:t>
      </w:r>
      <w:r w:rsidRPr="00D24EFE">
        <w:rPr>
          <w:bCs/>
          <w:sz w:val="16"/>
          <w:szCs w:val="16"/>
          <w:lang w:val="es-CR"/>
        </w:rPr>
        <w:t xml:space="preserve">para. </w:t>
      </w:r>
      <w:r w:rsidRPr="00012C3F">
        <w:rPr>
          <w:bCs/>
          <w:sz w:val="16"/>
          <w:szCs w:val="16"/>
          <w:lang w:val="en-US"/>
        </w:rPr>
        <w:t xml:space="preserve">148, citing UN, </w:t>
      </w:r>
      <w:r w:rsidRPr="00012C3F">
        <w:rPr>
          <w:sz w:val="16"/>
          <w:szCs w:val="16"/>
          <w:lang w:val="en-US"/>
        </w:rPr>
        <w:t>Committee on Economic, Social and Cultural Rights,</w:t>
      </w:r>
      <w:r w:rsidRPr="00012C3F">
        <w:rPr>
          <w:bCs/>
          <w:sz w:val="16"/>
          <w:szCs w:val="16"/>
          <w:lang w:val="en-US"/>
        </w:rPr>
        <w:t xml:space="preserve"> </w:t>
      </w:r>
      <w:r w:rsidRPr="00012C3F">
        <w:rPr>
          <w:sz w:val="16"/>
          <w:szCs w:val="16"/>
          <w:lang w:val="en-US"/>
        </w:rPr>
        <w:t xml:space="preserve">General Comment No. 14, </w:t>
      </w:r>
      <w:r w:rsidRPr="00012C3F">
        <w:rPr>
          <w:i/>
          <w:sz w:val="16"/>
          <w:szCs w:val="16"/>
          <w:lang w:val="en-US"/>
        </w:rPr>
        <w:t>The right to the highest attainable standard of health</w:t>
      </w:r>
      <w:r w:rsidRPr="00012C3F">
        <w:rPr>
          <w:sz w:val="16"/>
          <w:szCs w:val="16"/>
          <w:lang w:val="en-US"/>
        </w:rPr>
        <w:t>, August 11, 2000, footnote 12</w:t>
      </w:r>
      <w:r w:rsidRPr="00012C3F">
        <w:rPr>
          <w:i/>
          <w:sz w:val="16"/>
          <w:szCs w:val="16"/>
          <w:lang w:val="en-US"/>
        </w:rPr>
        <w:t>.</w:t>
      </w:r>
    </w:p>
  </w:footnote>
  <w:footnote w:id="192">
    <w:p w14:paraId="2EFDA81D"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 xml:space="preserve">The Special Rapporteur on torture and other cruel, inhuman or degrading treatment or punishment made a special analysis of reproductive rights in his 2013 report and considered that: “[a]ccess to information about reproductive health is </w:t>
      </w:r>
      <w:r w:rsidRPr="00012C3F">
        <w:rPr>
          <w:rFonts w:cs="Arial"/>
          <w:sz w:val="16"/>
          <w:szCs w:val="16"/>
          <w:lang w:val="en-US"/>
        </w:rPr>
        <w:t xml:space="preserve">imperative to a woman’s </w:t>
      </w:r>
      <w:r w:rsidRPr="00012C3F">
        <w:rPr>
          <w:sz w:val="16"/>
          <w:szCs w:val="16"/>
          <w:lang w:val="en-US"/>
        </w:rPr>
        <w:t>ability to exercise reproductive autonomy, and the rights to health and to physical integrity.</w:t>
      </w:r>
      <w:r w:rsidRPr="00012C3F">
        <w:rPr>
          <w:rFonts w:eastAsia="MS Mincho"/>
          <w:sz w:val="16"/>
          <w:szCs w:val="16"/>
          <w:lang w:val="en-US" w:eastAsia="en-US" w:bidi="en-US"/>
        </w:rPr>
        <w:t xml:space="preserve">” UN, </w:t>
      </w:r>
      <w:r w:rsidRPr="00012C3F">
        <w:rPr>
          <w:sz w:val="16"/>
          <w:szCs w:val="16"/>
          <w:lang w:val="en-US"/>
        </w:rPr>
        <w:t>Report of the Special Rapporteur on torture and other cruel, inhuman or degrading treatment or punishment, Juan E. Méndez, A/HRC/22/53, February 1, 2013, para. 47.</w:t>
      </w:r>
    </w:p>
  </w:footnote>
  <w:footnote w:id="193">
    <w:p w14:paraId="54271DE7" w14:textId="77777777" w:rsidR="00D24EFE" w:rsidRPr="00012C3F" w:rsidRDefault="00D24EFE" w:rsidP="005B52E1">
      <w:pPr>
        <w:tabs>
          <w:tab w:val="left" w:pos="567"/>
          <w:tab w:val="left" w:pos="1134"/>
        </w:tabs>
        <w:spacing w:after="120" w:line="240" w:lineRule="auto"/>
        <w:rPr>
          <w:bCs/>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t xml:space="preserve">The World Medical Association also adopted an International Code of Medical Ethics in 1949, revised in 2006, in which it declared as one of the duties of doctors that they must “respect the right of a patient with capacity to accept or reject a treatment” and “respect the rights and preferences of patients” </w:t>
      </w:r>
      <w:r w:rsidRPr="00012C3F">
        <w:rPr>
          <w:bCs/>
          <w:sz w:val="16"/>
          <w:szCs w:val="16"/>
          <w:lang w:val="en-US"/>
        </w:rPr>
        <w:t>“[…] providing a competent medical service […] respecting human dignity.”</w:t>
      </w:r>
    </w:p>
  </w:footnote>
  <w:footnote w:id="194">
    <w:p w14:paraId="7BB2F7B0" w14:textId="77777777" w:rsidR="00D24EFE" w:rsidRPr="00012C3F" w:rsidRDefault="00D24EFE" w:rsidP="004914D2">
      <w:pPr>
        <w:tabs>
          <w:tab w:val="left" w:pos="567"/>
        </w:tabs>
        <w:spacing w:after="120" w:line="240" w:lineRule="auto"/>
        <w:rPr>
          <w:rFonts w:eastAsia="MS Mincho"/>
          <w:sz w:val="16"/>
          <w:szCs w:val="16"/>
          <w:lang w:val="en-US" w:eastAsia="en-US" w:bidi="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 xml:space="preserve">In this regard, el Committee on Economic, Social and Cultural Rights has indicated that the right to health in all its forms and at all levels contains the following interrelated and essential elements: availability, accessibility, acceptability and quality. The guarantee of accessibility involves non-discrimination, physical accessibility, economic accessibility (affordability), and information accessibility. Meanwhile, acceptability means that it is respectful of medical ethics and culturally appropriate. </w:t>
      </w:r>
      <w:r w:rsidRPr="00012C3F">
        <w:rPr>
          <w:i/>
          <w:sz w:val="16"/>
          <w:szCs w:val="16"/>
          <w:lang w:val="en-US"/>
        </w:rPr>
        <w:t xml:space="preserve">Cf. </w:t>
      </w:r>
      <w:r w:rsidRPr="00012C3F">
        <w:rPr>
          <w:sz w:val="16"/>
          <w:szCs w:val="16"/>
          <w:lang w:val="en-US"/>
        </w:rPr>
        <w:t xml:space="preserve">UN, </w:t>
      </w:r>
      <w:r w:rsidRPr="00012C3F">
        <w:rPr>
          <w:rFonts w:cs="Calibri"/>
          <w:sz w:val="16"/>
          <w:szCs w:val="16"/>
          <w:lang w:val="en-US"/>
        </w:rPr>
        <w:t xml:space="preserve">Committee on Economic, Social and Cultural Rights, General Comment No. 14, </w:t>
      </w:r>
      <w:r w:rsidRPr="00012C3F">
        <w:rPr>
          <w:rFonts w:cs="Calibri"/>
          <w:i/>
          <w:sz w:val="16"/>
          <w:szCs w:val="16"/>
          <w:lang w:val="en-US"/>
        </w:rPr>
        <w:t>The right to the highest attainable standard of health</w:t>
      </w:r>
      <w:r w:rsidRPr="00012C3F">
        <w:rPr>
          <w:rFonts w:cs="Calibri"/>
          <w:sz w:val="16"/>
          <w:szCs w:val="16"/>
          <w:lang w:val="en-US"/>
        </w:rPr>
        <w:t>, August 11, 2000</w:t>
      </w:r>
      <w:r w:rsidRPr="00012C3F">
        <w:rPr>
          <w:sz w:val="16"/>
          <w:szCs w:val="16"/>
          <w:lang w:val="en-US"/>
        </w:rPr>
        <w:t>, para. 12.</w:t>
      </w:r>
    </w:p>
  </w:footnote>
  <w:footnote w:id="195">
    <w:p w14:paraId="1BD513CD"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UN, </w:t>
      </w:r>
      <w:r w:rsidRPr="00012C3F">
        <w:rPr>
          <w:rFonts w:eastAsia="MS Mincho"/>
          <w:bCs/>
          <w:sz w:val="16"/>
          <w:szCs w:val="16"/>
          <w:lang w:val="en-US" w:bidi="en-US"/>
        </w:rPr>
        <w:t>Report of the Special Rapporteur on the right of everyone to the highest attainable standard of physical and mental health, Anand Grover, A/64/272, August 10, 2009</w:t>
      </w:r>
      <w:r w:rsidRPr="00012C3F">
        <w:rPr>
          <w:sz w:val="16"/>
          <w:szCs w:val="16"/>
          <w:lang w:val="en-US"/>
        </w:rPr>
        <w:t>, para. 9.</w:t>
      </w:r>
    </w:p>
  </w:footnote>
  <w:footnote w:id="196">
    <w:p w14:paraId="5865527F"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mutatis mutandi, </w:t>
      </w:r>
      <w:r w:rsidRPr="00012C3F">
        <w:rPr>
          <w:bCs/>
          <w:i/>
          <w:color w:val="000000"/>
          <w:sz w:val="16"/>
          <w:szCs w:val="16"/>
          <w:lang w:val="en-US"/>
        </w:rPr>
        <w:t xml:space="preserve">Case of Vélez Restrepo and family v. Colombia. </w:t>
      </w:r>
      <w:r w:rsidRPr="00012C3F">
        <w:rPr>
          <w:i/>
          <w:color w:val="000000"/>
          <w:sz w:val="16"/>
          <w:szCs w:val="16"/>
          <w:lang w:val="en-US"/>
        </w:rPr>
        <w:t>Preliminary objection, merits, reparations and costs.</w:t>
      </w:r>
      <w:r w:rsidRPr="00012C3F">
        <w:rPr>
          <w:color w:val="000000"/>
          <w:sz w:val="16"/>
          <w:szCs w:val="16"/>
          <w:lang w:val="en-US"/>
        </w:rPr>
        <w:t xml:space="preserve"> Judgment of September 3 2012. Series C No. 248</w:t>
      </w:r>
      <w:r w:rsidRPr="00012C3F">
        <w:rPr>
          <w:bCs/>
          <w:sz w:val="16"/>
          <w:szCs w:val="16"/>
          <w:lang w:val="en-US"/>
        </w:rPr>
        <w:t xml:space="preserve">, paras. 241 and 244, and </w:t>
      </w:r>
      <w:r w:rsidRPr="00012C3F">
        <w:rPr>
          <w:i/>
          <w:sz w:val="16"/>
          <w:szCs w:val="16"/>
          <w:lang w:val="en-US"/>
        </w:rPr>
        <w:t>Case of Tenorio Roca et al. v. Peru, supra</w:t>
      </w:r>
      <w:r w:rsidRPr="00012C3F">
        <w:rPr>
          <w:bCs/>
          <w:sz w:val="16"/>
          <w:szCs w:val="16"/>
          <w:lang w:val="en-US"/>
        </w:rPr>
        <w:t>, para. 196.</w:t>
      </w:r>
    </w:p>
  </w:footnote>
  <w:footnote w:id="197">
    <w:p w14:paraId="421AC6BA"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 xml:space="preserve">The Court notes that, within the framework of the Council of Europe and the European system, diverse documents exist that expressly regulate the patient’s prior, free, full and informed consent for the performance of any medical intervention. </w:t>
      </w:r>
      <w:r w:rsidRPr="00012C3F">
        <w:rPr>
          <w:i/>
          <w:sz w:val="16"/>
          <w:szCs w:val="16"/>
          <w:lang w:val="en-US"/>
        </w:rPr>
        <w:t>Cf.</w:t>
      </w:r>
      <w:r w:rsidRPr="00012C3F">
        <w:rPr>
          <w:sz w:val="16"/>
          <w:szCs w:val="16"/>
          <w:lang w:val="en-US"/>
        </w:rPr>
        <w:t xml:space="preserve"> Articles 1 to 3 of A Declaration on the Promotion of Patients’ Rights in Europe, adopted by the WHO Regional Office for Europe in 1994; articles 5 and 6 of the Convention for the Protection of the Human Rights and Dignity of the Human Being with regard to the Application of Biology and Medicine</w:t>
      </w:r>
      <w:r w:rsidRPr="00012C3F">
        <w:rPr>
          <w:rFonts w:eastAsia="MS Mincho"/>
          <w:color w:val="000000"/>
          <w:sz w:val="16"/>
          <w:szCs w:val="16"/>
          <w:lang w:val="en-US" w:eastAsia="en-US" w:bidi="en-US"/>
        </w:rPr>
        <w:t>: Convention on Human Rights and Biomedicine (hereinafter “Oviedo Convention”), adopted by the</w:t>
      </w:r>
      <w:r w:rsidRPr="00012C3F">
        <w:rPr>
          <w:rFonts w:eastAsia="MS Mincho"/>
          <w:sz w:val="16"/>
          <w:szCs w:val="16"/>
          <w:lang w:val="en-US" w:eastAsia="en-US" w:bidi="en-US"/>
        </w:rPr>
        <w:t xml:space="preserve"> Council of Europe </w:t>
      </w:r>
      <w:r w:rsidRPr="00012C3F">
        <w:rPr>
          <w:sz w:val="16"/>
          <w:szCs w:val="16"/>
          <w:lang w:val="en-US"/>
        </w:rPr>
        <w:t>on April 4,</w:t>
      </w:r>
      <w:r w:rsidRPr="00012C3F">
        <w:rPr>
          <w:rFonts w:eastAsia="MS Mincho"/>
          <w:sz w:val="16"/>
          <w:szCs w:val="16"/>
          <w:lang w:val="en-US" w:eastAsia="en-US" w:bidi="en-US"/>
        </w:rPr>
        <w:t xml:space="preserve"> 1997, which entered into force on December</w:t>
      </w:r>
      <w:r w:rsidRPr="00012C3F">
        <w:rPr>
          <w:rFonts w:eastAsia="MS Mincho"/>
          <w:color w:val="000000"/>
          <w:sz w:val="16"/>
          <w:szCs w:val="16"/>
          <w:lang w:val="en-US" w:eastAsia="en-US" w:bidi="en-US"/>
        </w:rPr>
        <w:t xml:space="preserve"> 1, 1999, and its Explanatory report, and </w:t>
      </w:r>
      <w:r w:rsidRPr="00012C3F">
        <w:rPr>
          <w:rFonts w:eastAsia="MS Mincho"/>
          <w:sz w:val="16"/>
          <w:szCs w:val="16"/>
          <w:lang w:val="en-US" w:eastAsia="en-US" w:bidi="en-US"/>
        </w:rPr>
        <w:t xml:space="preserve">article 3 of the Charter of Fundamental Rights of the European Union, adopted in 2000, and amended in </w:t>
      </w:r>
      <w:r w:rsidRPr="00012C3F">
        <w:rPr>
          <w:bCs/>
          <w:sz w:val="16"/>
          <w:szCs w:val="16"/>
          <w:lang w:val="en-US"/>
        </w:rPr>
        <w:t>2007.</w:t>
      </w:r>
    </w:p>
  </w:footnote>
  <w:footnote w:id="198">
    <w:p w14:paraId="18469953" w14:textId="77777777" w:rsidR="00D24EFE" w:rsidRPr="00012C3F" w:rsidRDefault="00D24EFE" w:rsidP="007B0C04">
      <w:pPr>
        <w:pStyle w:val="Textonotapie"/>
        <w:tabs>
          <w:tab w:val="left" w:pos="567"/>
          <w:tab w:val="left" w:pos="720"/>
        </w:tabs>
        <w:spacing w:after="120"/>
        <w:rPr>
          <w:sz w:val="16"/>
          <w:szCs w:val="16"/>
          <w:lang w:val="en-US"/>
        </w:rPr>
      </w:pPr>
      <w:r w:rsidRPr="00012C3F">
        <w:rPr>
          <w:rStyle w:val="Refdenotaalpie"/>
          <w:sz w:val="16"/>
          <w:szCs w:val="16"/>
          <w:lang w:val="en-US"/>
        </w:rPr>
        <w:footnoteRef/>
      </w:r>
      <w:r w:rsidRPr="00012C3F">
        <w:rPr>
          <w:sz w:val="16"/>
          <w:szCs w:val="16"/>
          <w:lang w:val="en-US"/>
        </w:rPr>
        <w:tab/>
      </w:r>
      <w:r w:rsidRPr="00012C3F">
        <w:rPr>
          <w:rFonts w:eastAsia="Calibri"/>
          <w:i/>
          <w:sz w:val="16"/>
          <w:szCs w:val="16"/>
          <w:lang w:val="en-US"/>
        </w:rPr>
        <w:t xml:space="preserve">Cf. </w:t>
      </w:r>
      <w:r w:rsidRPr="00012C3F">
        <w:rPr>
          <w:i/>
          <w:sz w:val="16"/>
          <w:szCs w:val="16"/>
          <w:lang w:val="en-US"/>
        </w:rPr>
        <w:t>The Right to Information on Consular Assistance within the Framework of Due Process of Law.</w:t>
      </w:r>
      <w:r w:rsidRPr="00012C3F">
        <w:rPr>
          <w:sz w:val="16"/>
          <w:szCs w:val="16"/>
          <w:lang w:val="en-US"/>
        </w:rPr>
        <w:t xml:space="preserve"> Advisory Opinion OC-16/99 of October 1, 1999. Series A No. 16, </w:t>
      </w:r>
      <w:r w:rsidRPr="00012C3F">
        <w:rPr>
          <w:rFonts w:eastAsia="Calibri"/>
          <w:sz w:val="16"/>
          <w:szCs w:val="16"/>
          <w:lang w:val="en-US"/>
        </w:rPr>
        <w:t>para. 114</w:t>
      </w:r>
      <w:r w:rsidRPr="00012C3F">
        <w:rPr>
          <w:sz w:val="16"/>
          <w:szCs w:val="16"/>
          <w:lang w:val="en-US"/>
        </w:rPr>
        <w:t xml:space="preserve">, and </w:t>
      </w:r>
      <w:r w:rsidRPr="00012C3F">
        <w:rPr>
          <w:rFonts w:cs="Courier New"/>
          <w:i/>
          <w:noProof/>
          <w:sz w:val="16"/>
          <w:szCs w:val="16"/>
          <w:lang w:val="en-US"/>
        </w:rPr>
        <w:t>Case of Gonzales Lluy et al. v. Ecuador, supra</w:t>
      </w:r>
      <w:r w:rsidRPr="00012C3F">
        <w:rPr>
          <w:rFonts w:cs="Courier New"/>
          <w:noProof/>
          <w:sz w:val="16"/>
          <w:szCs w:val="16"/>
          <w:lang w:val="en-US"/>
        </w:rPr>
        <w:t>, para. 21</w:t>
      </w:r>
      <w:r w:rsidRPr="00012C3F">
        <w:rPr>
          <w:sz w:val="16"/>
          <w:szCs w:val="16"/>
          <w:lang w:val="en-US"/>
        </w:rPr>
        <w:t>.</w:t>
      </w:r>
    </w:p>
  </w:footnote>
  <w:footnote w:id="199">
    <w:p w14:paraId="6774D121" w14:textId="77777777" w:rsidR="00D24EFE" w:rsidRPr="00012C3F" w:rsidRDefault="00D24EFE" w:rsidP="005B52E1">
      <w:pPr>
        <w:pStyle w:val="Textonotapie"/>
        <w:tabs>
          <w:tab w:val="left" w:pos="567"/>
          <w:tab w:val="left" w:pos="720"/>
        </w:tabs>
        <w:spacing w:after="120"/>
        <w:rPr>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i/>
          <w:sz w:val="16"/>
          <w:szCs w:val="16"/>
          <w:lang w:val="en-US"/>
        </w:rPr>
        <w:t>The Right to Information on Consular Assistance within the framework of Due Process of Law.</w:t>
      </w:r>
      <w:r w:rsidRPr="00012C3F">
        <w:rPr>
          <w:sz w:val="16"/>
          <w:szCs w:val="16"/>
          <w:lang w:val="en-US"/>
        </w:rPr>
        <w:t xml:space="preserve"> Advisory Opinion OC-16/99, </w:t>
      </w:r>
      <w:r w:rsidRPr="00012C3F">
        <w:rPr>
          <w:i/>
          <w:sz w:val="16"/>
          <w:szCs w:val="16"/>
          <w:lang w:val="en-US"/>
        </w:rPr>
        <w:t>supra</w:t>
      </w:r>
      <w:r w:rsidRPr="00012C3F">
        <w:rPr>
          <w:sz w:val="16"/>
          <w:szCs w:val="16"/>
          <w:lang w:val="en-US"/>
        </w:rPr>
        <w:t xml:space="preserve">, </w:t>
      </w:r>
      <w:r w:rsidRPr="00012C3F">
        <w:rPr>
          <w:rFonts w:eastAsia="Calibri"/>
          <w:sz w:val="16"/>
          <w:szCs w:val="16"/>
          <w:lang w:val="en-US"/>
        </w:rPr>
        <w:t xml:space="preserve">para. 120; </w:t>
      </w:r>
      <w:r w:rsidRPr="00012C3F">
        <w:rPr>
          <w:i/>
          <w:sz w:val="16"/>
          <w:szCs w:val="16"/>
          <w:lang w:val="en-US"/>
        </w:rPr>
        <w:t>Juridical Status and Rights of Undocumented Migrants.</w:t>
      </w:r>
      <w:r w:rsidRPr="00012C3F">
        <w:rPr>
          <w:sz w:val="16"/>
          <w:szCs w:val="16"/>
          <w:lang w:val="en-US"/>
        </w:rPr>
        <w:t xml:space="preserve"> Advisory Opinion OC-18/03 of September 17, 2003. Series A No. 18</w:t>
      </w:r>
      <w:r w:rsidRPr="00012C3F">
        <w:rPr>
          <w:i/>
          <w:sz w:val="16"/>
          <w:szCs w:val="16"/>
          <w:lang w:val="en-US"/>
        </w:rPr>
        <w:t xml:space="preserve">, </w:t>
      </w:r>
      <w:r w:rsidRPr="00012C3F">
        <w:rPr>
          <w:sz w:val="16"/>
          <w:szCs w:val="16"/>
          <w:lang w:val="en-US"/>
        </w:rPr>
        <w:t>para. 117;</w:t>
      </w:r>
      <w:r w:rsidRPr="00012C3F">
        <w:rPr>
          <w:i/>
          <w:sz w:val="16"/>
          <w:szCs w:val="16"/>
          <w:lang w:val="en-US"/>
        </w:rPr>
        <w:t xml:space="preserve"> Case of the “Street Children” (Villagrán Morales et al.) v. Guatemala. Merits.</w:t>
      </w:r>
      <w:r w:rsidRPr="00012C3F">
        <w:rPr>
          <w:sz w:val="16"/>
          <w:szCs w:val="16"/>
          <w:lang w:val="en-US"/>
        </w:rPr>
        <w:t xml:space="preserve"> Judgment of November 19, 1999. Series C No. 63, paras. 192 to 194, and </w:t>
      </w:r>
      <w:r w:rsidRPr="00012C3F">
        <w:rPr>
          <w:i/>
          <w:sz w:val="16"/>
          <w:szCs w:val="16"/>
          <w:lang w:val="en-US"/>
        </w:rPr>
        <w:t>Case of the Pacheco Tineo Family v. Bolivia. Preliminary objections, merits, reparations and costs.</w:t>
      </w:r>
      <w:r w:rsidRPr="00012C3F">
        <w:rPr>
          <w:sz w:val="16"/>
          <w:szCs w:val="16"/>
          <w:lang w:val="en-US"/>
        </w:rPr>
        <w:t xml:space="preserve"> Judgment of November 25, 2013. Series C No. 272, paras. 129, 135, 216 and 217.</w:t>
      </w:r>
    </w:p>
  </w:footnote>
  <w:footnote w:id="200">
    <w:p w14:paraId="0787BFE0"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rFonts w:eastAsia="MS Mincho"/>
          <w:sz w:val="16"/>
          <w:szCs w:val="16"/>
          <w:lang w:val="en-US" w:eastAsia="en-US" w:bidi="en-US"/>
        </w:rPr>
        <w:t>Access to Maternal Health Services from a Human Rights Perspective of June 7, 2010, and Access to Information on Reproductive Health from a Human Rights Perspective of November 22, 2011.</w:t>
      </w:r>
    </w:p>
  </w:footnote>
  <w:footnote w:id="201">
    <w:p w14:paraId="7DD8A287"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t xml:space="preserve">In general, the term medical interventions will be understood in its broad sense; that is, it encompasses all the medical interventions performed for prevention, diagnosis, treatment, rehabilitation and surgical procedures; scientific research, and the participation of subject patients </w:t>
      </w:r>
      <w:r w:rsidRPr="00012C3F">
        <w:rPr>
          <w:rFonts w:eastAsiaTheme="minorHAnsi" w:cs="ClassicalGaramondBT-Roman"/>
          <w:sz w:val="16"/>
          <w:szCs w:val="16"/>
          <w:lang w:val="en-US"/>
        </w:rPr>
        <w:t>during medical practice to teach students.</w:t>
      </w:r>
    </w:p>
  </w:footnote>
  <w:footnote w:id="202">
    <w:p w14:paraId="7AE0110C" w14:textId="77777777" w:rsidR="00D24EFE" w:rsidRPr="00012C3F" w:rsidRDefault="00D24EFE" w:rsidP="006A1060">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rFonts w:eastAsia="MS Mincho"/>
          <w:bCs/>
          <w:sz w:val="16"/>
          <w:szCs w:val="16"/>
          <w:lang w:val="en-US" w:eastAsia="en-US" w:bidi="en-US"/>
        </w:rPr>
        <w:t>Other international treaties have also expressly recognized informed consent in relation to medical experiments. Articles 7 of the International Covenant on Civil and Political Rights, 15 of the Convention on the Rights of Persons with Disabilities, and 9 of the Arab Charter on Human Rights establish similar provisions in the sense that</w:t>
      </w:r>
      <w:r w:rsidRPr="00012C3F">
        <w:rPr>
          <w:sz w:val="16"/>
          <w:szCs w:val="16"/>
          <w:lang w:val="en-US"/>
        </w:rPr>
        <w:t xml:space="preserve"> “no one shall be subjected without his free consent to medical or scientific experimentation.” Additionally, there are other international documents that clearly establish the need to obtain free, full and informed consent; they include the Istanbul Protocol with regard to medical examinations to determine the existence of torture or other cruel, inhuman or degrading treatment, and the Ethical Guidelines for Biomedical Research on Human Subjects</w:t>
      </w:r>
      <w:r w:rsidRPr="00012C3F">
        <w:rPr>
          <w:rFonts w:eastAsia="MS Mincho"/>
          <w:bCs/>
          <w:sz w:val="16"/>
          <w:szCs w:val="16"/>
          <w:lang w:val="en-US" w:eastAsia="en-US" w:bidi="en-US"/>
        </w:rPr>
        <w:t xml:space="preserve">. </w:t>
      </w:r>
      <w:r w:rsidRPr="00012C3F">
        <w:rPr>
          <w:i/>
          <w:sz w:val="16"/>
          <w:szCs w:val="16"/>
          <w:lang w:val="en-US"/>
        </w:rPr>
        <w:t>Cf.</w:t>
      </w:r>
      <w:r w:rsidRPr="00012C3F">
        <w:rPr>
          <w:sz w:val="16"/>
          <w:szCs w:val="16"/>
          <w:lang w:val="en-US"/>
        </w:rPr>
        <w:t xml:space="preserve"> United Nations, Istanbul Protocol. Manual </w:t>
      </w:r>
      <w:r w:rsidRPr="00012C3F">
        <w:rPr>
          <w:rStyle w:val="e24kjd"/>
          <w:sz w:val="16"/>
          <w:szCs w:val="16"/>
          <w:lang w:val="en-US"/>
        </w:rPr>
        <w:t>on Effective Investigation and Documentation of Torture and Other Cruel, Inhuman or Degrading Treatment or Punishment</w:t>
      </w:r>
      <w:r w:rsidRPr="00012C3F">
        <w:rPr>
          <w:sz w:val="16"/>
          <w:szCs w:val="16"/>
          <w:lang w:val="en-US"/>
        </w:rPr>
        <w:t xml:space="preserve">, August 9, 1999, adopted in 2000, paras. 63 and 64, and Council </w:t>
      </w:r>
      <w:r w:rsidRPr="00012C3F">
        <w:rPr>
          <w:sz w:val="16"/>
          <w:szCs w:val="16"/>
          <w:lang w:val="en-US" w:eastAsia="es-CR"/>
        </w:rPr>
        <w:t>for International Organizations of Medical Sciences (CIOMS), in collaboration with the</w:t>
      </w:r>
      <w:r w:rsidRPr="00012C3F">
        <w:rPr>
          <w:sz w:val="16"/>
          <w:szCs w:val="16"/>
          <w:lang w:val="en-US"/>
        </w:rPr>
        <w:t xml:space="preserve"> World Health Organization (WHO), International Ethical Guidelines for Biomedical Research involving Human Subjects, Geneva, 2002, standards 4, 5 and 6.</w:t>
      </w:r>
    </w:p>
  </w:footnote>
  <w:footnote w:id="203">
    <w:p w14:paraId="00FAEAE1" w14:textId="77777777" w:rsidR="00D24EFE" w:rsidRPr="00012C3F" w:rsidRDefault="00D24EFE" w:rsidP="005B52E1">
      <w:pPr>
        <w:tabs>
          <w:tab w:val="left" w:pos="567"/>
        </w:tabs>
        <w:spacing w:after="120" w:line="240" w:lineRule="auto"/>
        <w:rPr>
          <w:bCs/>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r>
      <w:r w:rsidRPr="00012C3F">
        <w:rPr>
          <w:bCs/>
          <w:i/>
          <w:sz w:val="16"/>
          <w:szCs w:val="16"/>
          <w:lang w:val="en-US"/>
        </w:rPr>
        <w:t>Cf.</w:t>
      </w:r>
      <w:r w:rsidRPr="00012C3F">
        <w:rPr>
          <w:bCs/>
          <w:sz w:val="16"/>
          <w:szCs w:val="16"/>
          <w:lang w:val="en-US"/>
        </w:rPr>
        <w:t xml:space="preserve"> Nuremberg Code of medical ethics, 1947. </w:t>
      </w:r>
    </w:p>
  </w:footnote>
  <w:footnote w:id="204">
    <w:p w14:paraId="35117468"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Programme of Action of the International Conference on Population and Development, Cairo, UN doc A/CONF.171/13/Rev.1, 1994, para. 7.17.</w:t>
      </w:r>
    </w:p>
  </w:footnote>
  <w:footnote w:id="205">
    <w:p w14:paraId="79AB9C3C" w14:textId="77777777" w:rsidR="00D24EFE" w:rsidRPr="00012C3F" w:rsidRDefault="00D24EFE" w:rsidP="005B52E1">
      <w:pPr>
        <w:tabs>
          <w:tab w:val="left" w:pos="567"/>
        </w:tabs>
        <w:spacing w:after="120" w:line="240" w:lineRule="auto"/>
        <w:rPr>
          <w:rFonts w:eastAsia="MS Mincho"/>
          <w:b/>
          <w:i/>
          <w:sz w:val="16"/>
          <w:szCs w:val="16"/>
          <w:lang w:val="en-US" w:eastAsia="en-US" w:bidi="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Declaration and Platform for Action of the Fourth World Conference on Women, Beijing, A/CONF.177/20, 1995, paras. 96 and 106.g).</w:t>
      </w:r>
    </w:p>
  </w:footnote>
  <w:footnote w:id="206">
    <w:p w14:paraId="4795A910" w14:textId="77777777" w:rsidR="00D24EFE" w:rsidRPr="00012C3F" w:rsidRDefault="00D24EFE" w:rsidP="005B52E1">
      <w:pPr>
        <w:pStyle w:val="Textonotapie"/>
        <w:tabs>
          <w:tab w:val="left" w:pos="567"/>
          <w:tab w:val="left" w:pos="3261"/>
        </w:tabs>
        <w:spacing w:after="120"/>
        <w:rPr>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t xml:space="preserve">See, </w:t>
      </w:r>
      <w:r w:rsidRPr="00012C3F">
        <w:rPr>
          <w:i/>
          <w:iCs/>
          <w:sz w:val="16"/>
          <w:szCs w:val="16"/>
          <w:lang w:val="en-US"/>
        </w:rPr>
        <w:t>inter alia</w:t>
      </w:r>
      <w:r w:rsidRPr="00012C3F">
        <w:rPr>
          <w:sz w:val="16"/>
          <w:szCs w:val="16"/>
          <w:lang w:val="en-US"/>
        </w:rPr>
        <w:t xml:space="preserve">, ECHR, </w:t>
      </w:r>
      <w:r w:rsidRPr="00012C3F">
        <w:rPr>
          <w:i/>
          <w:sz w:val="16"/>
          <w:szCs w:val="16"/>
          <w:lang w:val="en-US"/>
        </w:rPr>
        <w:t>Case of Glass v. The United Kingdom</w:t>
      </w:r>
      <w:r w:rsidRPr="00012C3F">
        <w:rPr>
          <w:sz w:val="16"/>
          <w:szCs w:val="16"/>
          <w:lang w:val="en-US"/>
        </w:rPr>
        <w:t xml:space="preserve">, No. 61827/00. Judgment of March 9, 2004; </w:t>
      </w:r>
      <w:r w:rsidRPr="00012C3F">
        <w:rPr>
          <w:i/>
          <w:sz w:val="16"/>
          <w:szCs w:val="16"/>
          <w:lang w:val="en-US"/>
        </w:rPr>
        <w:t>Case of Juhnke v. Turkey</w:t>
      </w:r>
      <w:r w:rsidRPr="00012C3F">
        <w:rPr>
          <w:sz w:val="16"/>
          <w:szCs w:val="16"/>
          <w:lang w:val="en-US"/>
        </w:rPr>
        <w:t xml:space="preserve">, No. 52515/99. Judgment of May 13, 2008; </w:t>
      </w:r>
      <w:r w:rsidRPr="00012C3F">
        <w:rPr>
          <w:i/>
          <w:sz w:val="16"/>
          <w:szCs w:val="16"/>
          <w:lang w:val="en-US"/>
        </w:rPr>
        <w:t>Case of M.A.K. and R.K. v. The United Kingdom</w:t>
      </w:r>
      <w:r w:rsidRPr="00012C3F">
        <w:rPr>
          <w:sz w:val="16"/>
          <w:szCs w:val="16"/>
          <w:lang w:val="en-US"/>
        </w:rPr>
        <w:t xml:space="preserve">, Nos. 45901/05 and 40146/06. Judgment of March 23, 2010; </w:t>
      </w:r>
      <w:r w:rsidRPr="00012C3F">
        <w:rPr>
          <w:i/>
          <w:sz w:val="16"/>
          <w:szCs w:val="16"/>
          <w:lang w:val="en-US"/>
        </w:rPr>
        <w:t>Case of</w:t>
      </w:r>
      <w:r w:rsidRPr="00012C3F">
        <w:rPr>
          <w:sz w:val="16"/>
          <w:szCs w:val="16"/>
          <w:lang w:val="en-US"/>
        </w:rPr>
        <w:t xml:space="preserve"> </w:t>
      </w:r>
      <w:r w:rsidRPr="00012C3F">
        <w:rPr>
          <w:i/>
          <w:sz w:val="16"/>
          <w:szCs w:val="16"/>
          <w:lang w:val="en-US"/>
        </w:rPr>
        <w:t>R.R. v. Poland</w:t>
      </w:r>
      <w:r w:rsidRPr="00012C3F">
        <w:rPr>
          <w:sz w:val="16"/>
          <w:szCs w:val="16"/>
          <w:lang w:val="en-US"/>
        </w:rPr>
        <w:t xml:space="preserve">, No. 27617/04. Judgment of May 26, 2011; </w:t>
      </w:r>
      <w:r w:rsidRPr="00012C3F">
        <w:rPr>
          <w:i/>
          <w:sz w:val="16"/>
          <w:szCs w:val="16"/>
          <w:lang w:val="en-US"/>
        </w:rPr>
        <w:t>Case of Elberte v. Latvia</w:t>
      </w:r>
      <w:r w:rsidRPr="00012C3F">
        <w:rPr>
          <w:sz w:val="16"/>
          <w:szCs w:val="16"/>
          <w:lang w:val="en-US"/>
        </w:rPr>
        <w:t>, No. 61243/08. Judgment of January 13, 2015.</w:t>
      </w:r>
    </w:p>
  </w:footnote>
  <w:footnote w:id="207">
    <w:p w14:paraId="5383A566"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ECHR, </w:t>
      </w:r>
      <w:r w:rsidRPr="00012C3F">
        <w:rPr>
          <w:rFonts w:cs="Arial"/>
          <w:i/>
          <w:sz w:val="16"/>
          <w:szCs w:val="16"/>
          <w:lang w:val="en-US" w:eastAsia="es-CR"/>
        </w:rPr>
        <w:t>Case of</w:t>
      </w:r>
      <w:r w:rsidRPr="00012C3F">
        <w:rPr>
          <w:rFonts w:cs="Arial"/>
          <w:sz w:val="16"/>
          <w:szCs w:val="16"/>
          <w:lang w:val="en-US" w:eastAsia="es-CR"/>
        </w:rPr>
        <w:t xml:space="preserve"> </w:t>
      </w:r>
      <w:r w:rsidRPr="00012C3F">
        <w:rPr>
          <w:i/>
          <w:sz w:val="16"/>
          <w:szCs w:val="16"/>
          <w:lang w:val="en-US"/>
        </w:rPr>
        <w:t>V.C. v. Slovakia,</w:t>
      </w:r>
      <w:r w:rsidRPr="00012C3F">
        <w:rPr>
          <w:sz w:val="16"/>
          <w:szCs w:val="16"/>
          <w:lang w:val="en-US"/>
        </w:rPr>
        <w:t xml:space="preserve"> No. 18968/07. Judgment of November 8, 2011; </w:t>
      </w:r>
      <w:r w:rsidRPr="00012C3F">
        <w:rPr>
          <w:i/>
          <w:sz w:val="16"/>
          <w:szCs w:val="16"/>
          <w:lang w:val="en-US"/>
        </w:rPr>
        <w:t>Case of N.B. v. Slovakia,</w:t>
      </w:r>
      <w:r w:rsidRPr="00012C3F">
        <w:rPr>
          <w:sz w:val="16"/>
          <w:szCs w:val="16"/>
          <w:lang w:val="en-US"/>
        </w:rPr>
        <w:t xml:space="preserve"> No. 29518/10. Judgment of June 12, 2012, and </w:t>
      </w:r>
      <w:r w:rsidRPr="00012C3F">
        <w:rPr>
          <w:i/>
          <w:sz w:val="16"/>
          <w:szCs w:val="16"/>
          <w:lang w:val="en-US"/>
        </w:rPr>
        <w:t>Case of I.G., M.K. and R.H. v. Slovakia</w:t>
      </w:r>
      <w:r w:rsidRPr="00012C3F">
        <w:rPr>
          <w:sz w:val="16"/>
          <w:szCs w:val="16"/>
          <w:lang w:val="en-US"/>
        </w:rPr>
        <w:t>, No. 15966/04. Judgment of November 13, 2012 (evidence file, volume VIII, annexes 26, 27 and 28 to the brief with motions, pleadings and evidence, folios 2474 to 2577).</w:t>
      </w:r>
    </w:p>
  </w:footnote>
  <w:footnote w:id="208">
    <w:p w14:paraId="7C6D2B0B" w14:textId="77777777" w:rsidR="00D24EFE" w:rsidRPr="00012C3F" w:rsidRDefault="00D24EFE" w:rsidP="005B52E1">
      <w:pPr>
        <w:tabs>
          <w:tab w:val="left" w:pos="567"/>
        </w:tabs>
        <w:autoSpaceDE w:val="0"/>
        <w:autoSpaceDN w:val="0"/>
        <w:spacing w:after="120" w:line="240" w:lineRule="auto"/>
        <w:rPr>
          <w:rFonts w:cs="Calibri"/>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r>
      <w:r w:rsidRPr="00012C3F">
        <w:rPr>
          <w:rFonts w:cs="Calibri"/>
          <w:sz w:val="16"/>
          <w:szCs w:val="16"/>
          <w:lang w:val="en-US"/>
        </w:rPr>
        <w:t xml:space="preserve">UN, Committee for the Elimination of Discrimination against Women, </w:t>
      </w:r>
      <w:r w:rsidRPr="00012C3F">
        <w:rPr>
          <w:rFonts w:cs="Calibri-Italic"/>
          <w:i/>
          <w:iCs/>
          <w:sz w:val="16"/>
          <w:szCs w:val="16"/>
          <w:lang w:val="en-US"/>
        </w:rPr>
        <w:t>A.S. v. Hungary</w:t>
      </w:r>
      <w:r w:rsidRPr="00012C3F">
        <w:rPr>
          <w:rFonts w:cs="Calibri"/>
          <w:sz w:val="16"/>
          <w:szCs w:val="16"/>
          <w:lang w:val="en-US"/>
        </w:rPr>
        <w:t xml:space="preserve"> (Communication No. 4/2004), CEDAW/C/36/D/4/2004, August 29, 2006; the facts of this case took place in January 2001. In the inter-American system, the Court has no case law on informed consent in cases of forced, involuntary or coercive sterilization. However, it should be pointed out that </w:t>
      </w:r>
      <w:r w:rsidRPr="00012C3F">
        <w:rPr>
          <w:sz w:val="16"/>
          <w:szCs w:val="16"/>
          <w:lang w:val="en-US"/>
        </w:rPr>
        <w:t xml:space="preserve">the Inter-American Commission intervened in and approved a friendly settlement agreement in the matter of </w:t>
      </w:r>
      <w:r w:rsidRPr="00012C3F">
        <w:rPr>
          <w:iCs/>
          <w:sz w:val="16"/>
          <w:szCs w:val="16"/>
          <w:lang w:val="en-US"/>
        </w:rPr>
        <w:t xml:space="preserve">María Mamérita Mestanza </w:t>
      </w:r>
      <w:r w:rsidRPr="00012C3F">
        <w:rPr>
          <w:i/>
          <w:iCs/>
          <w:sz w:val="16"/>
          <w:szCs w:val="16"/>
          <w:lang w:val="en-US"/>
        </w:rPr>
        <w:t>v.</w:t>
      </w:r>
      <w:r w:rsidRPr="00012C3F">
        <w:rPr>
          <w:sz w:val="16"/>
          <w:szCs w:val="16"/>
          <w:lang w:val="en-US"/>
        </w:rPr>
        <w:t xml:space="preserve"> Peru. </w:t>
      </w:r>
    </w:p>
  </w:footnote>
  <w:footnote w:id="209">
    <w:p w14:paraId="031941E8" w14:textId="77777777" w:rsidR="00D24EFE" w:rsidRPr="00012C3F" w:rsidRDefault="00D24EFE" w:rsidP="005B52E1">
      <w:pPr>
        <w:tabs>
          <w:tab w:val="left" w:pos="567"/>
        </w:tabs>
        <w:spacing w:after="120" w:line="240" w:lineRule="auto"/>
        <w:rPr>
          <w:rFonts w:eastAsia="MS Mincho"/>
          <w:sz w:val="16"/>
          <w:szCs w:val="16"/>
          <w:lang w:val="en-US" w:eastAsia="en-US" w:bidi="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bCs/>
          <w:sz w:val="16"/>
          <w:szCs w:val="16"/>
          <w:lang w:val="en-US"/>
        </w:rPr>
        <w:t>Declaration of Helsinki. Ethical principles for medical research involving human subjects, adopted by the World Medical Association in 1964, revised in 2013,</w:t>
      </w:r>
      <w:r w:rsidRPr="00012C3F">
        <w:rPr>
          <w:sz w:val="16"/>
          <w:szCs w:val="16"/>
          <w:lang w:val="en-US"/>
        </w:rPr>
        <w:t xml:space="preserve"> Principles 25 to 32</w:t>
      </w:r>
      <w:r w:rsidRPr="00012C3F">
        <w:rPr>
          <w:bCs/>
          <w:sz w:val="16"/>
          <w:szCs w:val="16"/>
          <w:lang w:val="en-US"/>
        </w:rPr>
        <w:t xml:space="preserve">. </w:t>
      </w:r>
    </w:p>
  </w:footnote>
  <w:footnote w:id="210">
    <w:p w14:paraId="7B020CF6"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bCs/>
          <w:sz w:val="16"/>
          <w:szCs w:val="16"/>
          <w:lang w:val="en-US"/>
        </w:rPr>
        <w:t>Declaration of Lisbon on the rights of the patient, adopted by the World Medical Association in 1981, revised in 2005 and reaffirmed in 2015,</w:t>
      </w:r>
      <w:r w:rsidRPr="00012C3F">
        <w:rPr>
          <w:sz w:val="16"/>
          <w:szCs w:val="16"/>
          <w:lang w:val="en-US"/>
        </w:rPr>
        <w:t xml:space="preserve"> Principles 3, 7 and 10</w:t>
      </w:r>
      <w:r w:rsidRPr="00012C3F">
        <w:rPr>
          <w:bCs/>
          <w:sz w:val="16"/>
          <w:szCs w:val="16"/>
          <w:lang w:val="en-US"/>
        </w:rPr>
        <w:t>.</w:t>
      </w:r>
    </w:p>
  </w:footnote>
  <w:footnote w:id="211">
    <w:p w14:paraId="18B8359A"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rFonts w:eastAsia="MS Mincho"/>
          <w:sz w:val="16"/>
          <w:szCs w:val="16"/>
          <w:lang w:val="en-US" w:eastAsia="en-US" w:bidi="en-US"/>
        </w:rPr>
        <w:t xml:space="preserve">Universal Declaration on Bioethics and Human Rights, adopted by the General Conference </w:t>
      </w:r>
      <w:r w:rsidRPr="00012C3F">
        <w:rPr>
          <w:rFonts w:eastAsia="MS Mincho"/>
          <w:bCs/>
          <w:sz w:val="16"/>
          <w:szCs w:val="16"/>
          <w:lang w:val="en-US" w:eastAsia="en-US" w:bidi="en-US"/>
        </w:rPr>
        <w:t>of UNESCO on October 19, 2005,</w:t>
      </w:r>
      <w:r w:rsidRPr="00012C3F">
        <w:rPr>
          <w:sz w:val="16"/>
          <w:szCs w:val="16"/>
          <w:lang w:val="en-US"/>
        </w:rPr>
        <w:t xml:space="preserve"> article 6</w:t>
      </w:r>
      <w:r w:rsidRPr="00012C3F">
        <w:rPr>
          <w:rFonts w:eastAsia="MS Mincho"/>
          <w:bCs/>
          <w:sz w:val="16"/>
          <w:szCs w:val="16"/>
          <w:lang w:val="en-US" w:eastAsia="en-US" w:bidi="en-US"/>
        </w:rPr>
        <w:t xml:space="preserve">. </w:t>
      </w:r>
      <w:r w:rsidRPr="00012C3F">
        <w:rPr>
          <w:rFonts w:eastAsia="MS Mincho"/>
          <w:sz w:val="16"/>
          <w:szCs w:val="16"/>
          <w:lang w:val="en-US" w:eastAsia="en-US" w:bidi="en-US"/>
        </w:rPr>
        <w:t xml:space="preserve">UNESCO has also regulated the principle of prior, free and informed consent in other declarations, such as the Universal Declaration on the Human Genome and Human Rights, adopted on November 11, </w:t>
      </w:r>
      <w:r w:rsidRPr="00012C3F">
        <w:rPr>
          <w:bCs/>
          <w:sz w:val="16"/>
          <w:szCs w:val="16"/>
          <w:lang w:val="en-US"/>
        </w:rPr>
        <w:t>1997, that mentions the requirements of “prior, free and informed consent” in its articles 5 and 9.</w:t>
      </w:r>
    </w:p>
  </w:footnote>
  <w:footnote w:id="212">
    <w:p w14:paraId="6DED25A4"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FIGO, Recommendations on ethics issues in obstetrics and gynecology by the FIGO Committee for the Study of Ethical Aspects of Human Reproduction and Women’s Health, November 2003, October 2012 and October 2015, which include the Guidelines regarding informed consent, adopted in 1995 and reaffirmed and supplemented in 2007, as well as the Ethical recommendations on female sterilization of </w:t>
      </w:r>
      <w:r w:rsidRPr="00012C3F">
        <w:rPr>
          <w:rFonts w:eastAsia="MS Mincho"/>
          <w:sz w:val="16"/>
          <w:szCs w:val="16"/>
          <w:lang w:val="en-US" w:eastAsia="en-US" w:bidi="en-US"/>
        </w:rPr>
        <w:t>1989, 1990, 2000 and 2011</w:t>
      </w:r>
      <w:r w:rsidRPr="00012C3F">
        <w:rPr>
          <w:sz w:val="16"/>
          <w:szCs w:val="16"/>
          <w:lang w:val="en-US"/>
        </w:rPr>
        <w:t>.</w:t>
      </w:r>
    </w:p>
  </w:footnote>
  <w:footnote w:id="213">
    <w:p w14:paraId="3DC9F678" w14:textId="77777777" w:rsidR="00D24EFE" w:rsidRPr="00012C3F" w:rsidRDefault="00D24EFE" w:rsidP="005B52E1">
      <w:pPr>
        <w:tabs>
          <w:tab w:val="left" w:pos="567"/>
        </w:tabs>
        <w:spacing w:after="120" w:line="240" w:lineRule="auto"/>
        <w:rPr>
          <w:rFonts w:eastAsia="MS Mincho" w:cs="ClassicalGaramondBT-Roman"/>
          <w:sz w:val="16"/>
          <w:szCs w:val="16"/>
          <w:lang w:val="en-US" w:eastAsia="en-US" w:bidi="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rFonts w:eastAsia="MS Mincho" w:cs="ClassicalGaramondBT-Roman"/>
          <w:i/>
          <w:sz w:val="16"/>
          <w:szCs w:val="16"/>
          <w:lang w:val="en-US" w:eastAsia="en-US" w:bidi="en-US"/>
        </w:rPr>
        <w:t xml:space="preserve">Cf. </w:t>
      </w:r>
      <w:r w:rsidRPr="00012C3F">
        <w:rPr>
          <w:rFonts w:eastAsia="MS Mincho"/>
          <w:bCs/>
          <w:sz w:val="16"/>
          <w:szCs w:val="16"/>
          <w:lang w:val="en-US" w:eastAsia="en-US" w:bidi="en-US"/>
        </w:rPr>
        <w:t xml:space="preserve">WHO, </w:t>
      </w:r>
      <w:r w:rsidRPr="00012C3F">
        <w:rPr>
          <w:rFonts w:eastAsia="MS Mincho" w:cs="ClassicalGaramondBT-Roman"/>
          <w:sz w:val="16"/>
          <w:szCs w:val="16"/>
          <w:lang w:val="en-US" w:eastAsia="en-US" w:bidi="en-US"/>
        </w:rPr>
        <w:t xml:space="preserve">Female sterilization: a guide to provision of services, 1993 </w:t>
      </w:r>
      <w:r w:rsidRPr="00012C3F">
        <w:rPr>
          <w:sz w:val="16"/>
          <w:szCs w:val="16"/>
          <w:lang w:val="en-US"/>
        </w:rPr>
        <w:t>(evidence file, volume XIII, annex 3 to the State’s final arguments, folios 5517 to 5518). This document indicates that women must have sufficient time to make up their minds about sterilization before the surgical procedure. This period may vary according to the circumstances of each woman.</w:t>
      </w:r>
    </w:p>
  </w:footnote>
  <w:footnote w:id="214">
    <w:p w14:paraId="08013708"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UN, Committee for the Elimination of Discrimination against Women, General Recommendation No. 24, </w:t>
      </w:r>
      <w:r w:rsidRPr="00012C3F">
        <w:rPr>
          <w:i/>
          <w:sz w:val="16"/>
          <w:szCs w:val="16"/>
          <w:lang w:val="en-US"/>
        </w:rPr>
        <w:t xml:space="preserve">Women and health, </w:t>
      </w:r>
      <w:r w:rsidRPr="00012C3F">
        <w:rPr>
          <w:sz w:val="16"/>
          <w:szCs w:val="16"/>
          <w:lang w:val="en-US"/>
        </w:rPr>
        <w:t>1999, paras. 20 to 22 (evidence file, volume VIII, annex 39 to the brief with motions, pleadings and evidence, folio 2711).</w:t>
      </w:r>
    </w:p>
  </w:footnote>
  <w:footnote w:id="215">
    <w:p w14:paraId="31A8F4CA" w14:textId="77777777" w:rsidR="00D24EFE" w:rsidRPr="00012C3F" w:rsidRDefault="00D24EFE" w:rsidP="005B52E1">
      <w:pPr>
        <w:pStyle w:val="Textonotapie"/>
        <w:tabs>
          <w:tab w:val="left" w:pos="540"/>
          <w:tab w:val="left" w:pos="567"/>
          <w:tab w:val="left" w:pos="720"/>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A Declaration on the Promotion of Patients’ Rights in Europe, adopted by the WHO Regional Office for Europe in 1994</w:t>
      </w:r>
      <w:r w:rsidRPr="00012C3F">
        <w:rPr>
          <w:bCs/>
          <w:sz w:val="16"/>
          <w:szCs w:val="16"/>
          <w:lang w:val="en-US"/>
        </w:rPr>
        <w:t>,</w:t>
      </w:r>
      <w:r w:rsidRPr="00012C3F">
        <w:rPr>
          <w:sz w:val="16"/>
          <w:szCs w:val="16"/>
          <w:lang w:val="en-US"/>
        </w:rPr>
        <w:t xml:space="preserve"> Article 3</w:t>
      </w:r>
      <w:r w:rsidRPr="00012C3F">
        <w:rPr>
          <w:bCs/>
          <w:sz w:val="16"/>
          <w:szCs w:val="16"/>
          <w:lang w:val="en-US"/>
        </w:rPr>
        <w:t>;</w:t>
      </w:r>
      <w:r w:rsidRPr="00012C3F">
        <w:rPr>
          <w:b/>
          <w:bCs/>
          <w:sz w:val="16"/>
          <w:szCs w:val="16"/>
          <w:lang w:val="en-US"/>
        </w:rPr>
        <w:t xml:space="preserve"> </w:t>
      </w:r>
      <w:r w:rsidRPr="00012C3F">
        <w:rPr>
          <w:rFonts w:eastAsia="MS Mincho"/>
          <w:bCs/>
          <w:sz w:val="16"/>
          <w:szCs w:val="16"/>
          <w:lang w:val="en-US" w:eastAsia="en-US" w:bidi="en-US"/>
        </w:rPr>
        <w:t>Oviedo Convention</w:t>
      </w:r>
      <w:r w:rsidRPr="00012C3F">
        <w:rPr>
          <w:rFonts w:eastAsia="MS Mincho"/>
          <w:color w:val="000000"/>
          <w:sz w:val="16"/>
          <w:szCs w:val="16"/>
          <w:lang w:val="en-US" w:eastAsia="en-US" w:bidi="en-US"/>
        </w:rPr>
        <w:t>,</w:t>
      </w:r>
      <w:r w:rsidRPr="00012C3F">
        <w:rPr>
          <w:sz w:val="16"/>
          <w:szCs w:val="16"/>
          <w:lang w:val="en-US"/>
        </w:rPr>
        <w:t xml:space="preserve"> Article 8, and Explanatory</w:t>
      </w:r>
      <w:r w:rsidRPr="00012C3F">
        <w:rPr>
          <w:rFonts w:eastAsia="MS Mincho"/>
          <w:color w:val="000000"/>
          <w:sz w:val="16"/>
          <w:szCs w:val="16"/>
          <w:lang w:val="en-US" w:eastAsia="en-US" w:bidi="en-US"/>
        </w:rPr>
        <w:t xml:space="preserve"> </w:t>
      </w:r>
      <w:r w:rsidRPr="00012C3F">
        <w:rPr>
          <w:rFonts w:eastAsia="MS Mincho"/>
          <w:sz w:val="16"/>
          <w:szCs w:val="16"/>
          <w:lang w:val="en-US" w:eastAsia="en-US" w:bidi="en-US"/>
        </w:rPr>
        <w:t>Report on Article 8 of the Oviedo Convention, paras. 56 to 59.</w:t>
      </w:r>
    </w:p>
  </w:footnote>
  <w:footnote w:id="216">
    <w:p w14:paraId="39C3BCC7" w14:textId="77777777" w:rsidR="00D24EFE" w:rsidRPr="00012C3F" w:rsidRDefault="00D24EFE" w:rsidP="005B52E1">
      <w:pPr>
        <w:pStyle w:val="Textonotapie"/>
        <w:tabs>
          <w:tab w:val="left" w:pos="540"/>
          <w:tab w:val="left" w:pos="567"/>
          <w:tab w:val="left" w:pos="720"/>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UN, Report of the Special Rapporteur on the right of everyone to the highest attainable standard of physical and mental health, Anand Grover, A/64/272, August 10, 2009, para. 12. </w:t>
      </w:r>
    </w:p>
  </w:footnote>
  <w:footnote w:id="217">
    <w:p w14:paraId="252DFE81" w14:textId="77777777" w:rsidR="00D24EFE" w:rsidRPr="00012C3F" w:rsidRDefault="00D24EFE" w:rsidP="005B52E1">
      <w:pPr>
        <w:tabs>
          <w:tab w:val="left" w:pos="567"/>
        </w:tabs>
        <w:spacing w:after="120" w:line="240" w:lineRule="auto"/>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FIGO, Recommendations on ethics issues in obstetrics and gynecology by the FIGO Committee for the Study of Ethical Aspects of Human Reproduction and Women’s Health of October 2012 and October 2015, which include the 2011 Ethical recommendations on female sterilization, and </w:t>
      </w:r>
      <w:r w:rsidRPr="00012C3F">
        <w:rPr>
          <w:rFonts w:eastAsia="MS Mincho"/>
          <w:sz w:val="16"/>
          <w:szCs w:val="16"/>
          <w:lang w:val="en-US" w:eastAsia="en-US" w:bidi="en-US"/>
        </w:rPr>
        <w:t>United Nations Interagency Statement “Eliminating forced, coercive and otherwise involuntary sterilization,” adopted by OHCHR, UN Women, UNAIDS, UNDP, UNFPA, UNICEF and WHO, 2014</w:t>
      </w:r>
      <w:r w:rsidRPr="00012C3F">
        <w:rPr>
          <w:sz w:val="16"/>
          <w:szCs w:val="16"/>
          <w:lang w:val="en-US"/>
        </w:rPr>
        <w:t xml:space="preserve"> (evidence file, volume VIII, annex 25 to the brief with motions, pleadings and evidence, folios 2452 and 2457). See also, Report of the Special Rapporteur on torture and other cruel, inhuman or degrading treatment or punishment, Juan E. Méndez, A/HRC/22/53, February 1, 2013, paras. 31 to 35, and Report of the Special Rapporteur on torture and other cruel, inhuman or degrading treatment or punishment, Juan E. Méndez, A/HRC/31/57, January 5, 2016, para. 45.</w:t>
      </w:r>
    </w:p>
  </w:footnote>
  <w:footnote w:id="218">
    <w:p w14:paraId="70895707" w14:textId="77777777" w:rsidR="00D24EFE" w:rsidRPr="00012C3F" w:rsidRDefault="00D24EFE" w:rsidP="005B52E1">
      <w:pPr>
        <w:pStyle w:val="Textonotapie"/>
        <w:tabs>
          <w:tab w:val="left" w:pos="567"/>
          <w:tab w:val="left" w:pos="630"/>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ECHR, </w:t>
      </w:r>
      <w:r w:rsidRPr="00012C3F">
        <w:rPr>
          <w:rFonts w:cs="Arial"/>
          <w:i/>
          <w:sz w:val="16"/>
          <w:szCs w:val="16"/>
          <w:lang w:val="en-US" w:eastAsia="es-CR"/>
        </w:rPr>
        <w:t>Case of</w:t>
      </w:r>
      <w:r w:rsidRPr="00012C3F">
        <w:rPr>
          <w:rFonts w:cs="Arial"/>
          <w:sz w:val="16"/>
          <w:szCs w:val="16"/>
          <w:lang w:val="en-US" w:eastAsia="es-CR"/>
        </w:rPr>
        <w:t xml:space="preserve"> </w:t>
      </w:r>
      <w:r w:rsidRPr="00012C3F">
        <w:rPr>
          <w:i/>
          <w:sz w:val="16"/>
          <w:szCs w:val="16"/>
          <w:lang w:val="en-US"/>
        </w:rPr>
        <w:t>V.C. v. Slovakia</w:t>
      </w:r>
      <w:r w:rsidRPr="00012C3F">
        <w:rPr>
          <w:sz w:val="16"/>
          <w:szCs w:val="16"/>
          <w:lang w:val="en-US"/>
        </w:rPr>
        <w:t xml:space="preserve">, No. 18968/07. Judgment of November 8, 2011, paras. 110 to 117. The same reasoning was adopted in the case </w:t>
      </w:r>
      <w:r w:rsidRPr="00012C3F">
        <w:rPr>
          <w:i/>
          <w:sz w:val="16"/>
          <w:szCs w:val="16"/>
          <w:lang w:val="en-US"/>
        </w:rPr>
        <w:t>of N.B. v. Slovakia</w:t>
      </w:r>
      <w:r w:rsidRPr="00012C3F">
        <w:rPr>
          <w:sz w:val="16"/>
          <w:szCs w:val="16"/>
          <w:lang w:val="en-US"/>
        </w:rPr>
        <w:t xml:space="preserve">, No. 29518/10. Judgment of June 12, 2012, para. 74, and the </w:t>
      </w:r>
      <w:r w:rsidRPr="00012C3F">
        <w:rPr>
          <w:i/>
          <w:sz w:val="16"/>
          <w:szCs w:val="16"/>
          <w:lang w:val="en-US"/>
        </w:rPr>
        <w:t>Case of I.G., M.K. and R.H. v. Slovakia</w:t>
      </w:r>
      <w:r w:rsidRPr="00012C3F">
        <w:rPr>
          <w:sz w:val="16"/>
          <w:szCs w:val="16"/>
          <w:lang w:val="en-US"/>
        </w:rPr>
        <w:t>, No. 15966/04. Judgment of November 13, 2012, para. 122 (evidence file, volume VIII, annexes 26, 27 and 28 to the brief with motions, pleadings and evidence, folios 2474 to 2577).</w:t>
      </w:r>
    </w:p>
  </w:footnote>
  <w:footnote w:id="219">
    <w:p w14:paraId="5FDCA246" w14:textId="77777777" w:rsidR="00D24EFE" w:rsidRPr="00012C3F" w:rsidRDefault="00D24EFE" w:rsidP="005B52E1">
      <w:pPr>
        <w:tabs>
          <w:tab w:val="left" w:pos="567"/>
        </w:tabs>
        <w:spacing w:after="120" w:line="240" w:lineRule="auto"/>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 xml:space="preserve">In this regard, the Court understands from this document that voluntary surgical sterilizations would refer to the choice of sterilization as a permanent contraception method, without other reasons related to the patient’s health. Moreover, the Court understands that sterilization for reasons of health or by medical indication would result from situations in which, owing to the woman’s health (a high-risk pregnancy), the physician recommends that contraception method as the most appropriate. However, in that case, sterilization is also voluntary and requires informed consent. The manual establishes that: “[i]n almost all countries sterilization is provided for certain health indications, such as ruptured uterus, a multiple </w:t>
      </w:r>
      <w:r w:rsidRPr="00012C3F">
        <w:rPr>
          <w:rFonts w:cs="Arial"/>
          <w:sz w:val="16"/>
          <w:szCs w:val="16"/>
          <w:lang w:val="en-US"/>
        </w:rPr>
        <w:t>caesarean sections (usually after three or four) or other serious obstetric or medical problems. Some conditions that increase the health risks associated with pregnancy are multiparity, advanced maternal age, previous obstetric complications, medical conditions that can complicate the pregnancy […] and previous abortions.” It also indicates that: “[f]or some clients, pregnancy poses a serious health risk, and contraception is therefore recommended for medical reasons. Sterilization is often considered in these situations. As in other cases, these women should make voluntary, informed, well-considered decisions about contraception; family planning counselling is necessary. However, the nature of counselling  is different when contraception has been recommended for medical reasons. When a woman is advised to undergo sterilization for medical reasons, the doctor and other staff members must ensure that she understands the comparative risks associated with pregnancy, sterilization, and other methods of contraceptive. Vasectomy for  the partner and long-term methods (intrauterine devices and implantable contraceptives)</w:t>
      </w:r>
      <w:r w:rsidRPr="00012C3F">
        <w:rPr>
          <w:sz w:val="16"/>
          <w:szCs w:val="16"/>
          <w:lang w:val="en-US"/>
        </w:rPr>
        <w:t xml:space="preserve"> should also be considered, particularly, </w:t>
      </w:r>
      <w:r w:rsidRPr="00012C3F">
        <w:rPr>
          <w:rFonts w:cs="Arial"/>
          <w:sz w:val="16"/>
          <w:szCs w:val="16"/>
          <w:lang w:val="en-US"/>
        </w:rPr>
        <w:t>if the sterilization surgery poses a significant risk for the woman. If the woman chooses to undergo tubal occlusion, informed consent is necessary.</w:t>
      </w:r>
      <w:r w:rsidRPr="00012C3F">
        <w:rPr>
          <w:sz w:val="16"/>
          <w:szCs w:val="16"/>
          <w:lang w:val="en-US"/>
        </w:rPr>
        <w:t xml:space="preserve">” </w:t>
      </w:r>
      <w:r w:rsidRPr="00012C3F">
        <w:rPr>
          <w:rFonts w:eastAsia="MS Mincho"/>
          <w:bCs/>
          <w:sz w:val="16"/>
          <w:szCs w:val="16"/>
          <w:lang w:val="en-US" w:eastAsia="en-US" w:bidi="en-US"/>
        </w:rPr>
        <w:t xml:space="preserve">WHO, </w:t>
      </w:r>
      <w:r w:rsidRPr="00012C3F">
        <w:rPr>
          <w:rFonts w:eastAsia="MS Mincho" w:cs="ClassicalGaramondBT-Roman"/>
          <w:sz w:val="16"/>
          <w:szCs w:val="16"/>
          <w:lang w:val="en-US" w:eastAsia="en-US" w:bidi="en-US"/>
        </w:rPr>
        <w:t>Female sterilization: a guide to provision of services</w:t>
      </w:r>
      <w:r w:rsidRPr="00012C3F">
        <w:rPr>
          <w:rFonts w:cs="Arial"/>
          <w:sz w:val="16"/>
          <w:szCs w:val="16"/>
          <w:lang w:val="en-US"/>
        </w:rPr>
        <w:t>, 1993, pp. 72 and 78</w:t>
      </w:r>
      <w:r w:rsidRPr="00012C3F">
        <w:rPr>
          <w:rFonts w:cs="Arial"/>
          <w:i/>
          <w:sz w:val="16"/>
          <w:szCs w:val="16"/>
          <w:lang w:val="en-US"/>
        </w:rPr>
        <w:t xml:space="preserve"> </w:t>
      </w:r>
      <w:r w:rsidRPr="00012C3F">
        <w:rPr>
          <w:sz w:val="16"/>
          <w:szCs w:val="16"/>
          <w:lang w:val="en-US"/>
        </w:rPr>
        <w:t>(evidence file, volume XIII, annex 3 to the State’s final arguments, folios 5521 and 5527).</w:t>
      </w:r>
    </w:p>
  </w:footnote>
  <w:footnote w:id="220">
    <w:p w14:paraId="2E4A45A7" w14:textId="77777777" w:rsidR="00D24EFE" w:rsidRPr="00012C3F" w:rsidRDefault="00D24EFE" w:rsidP="006F2C0B">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 xml:space="preserve">The guide establishes that </w:t>
      </w:r>
      <w:r w:rsidRPr="00012C3F">
        <w:rPr>
          <w:rFonts w:eastAsia="MS Mincho"/>
          <w:bCs/>
          <w:sz w:val="16"/>
          <w:szCs w:val="16"/>
          <w:lang w:val="en-US" w:eastAsia="en-US" w:bidi="en-US"/>
        </w:rPr>
        <w:t>“[</w:t>
      </w:r>
      <w:r w:rsidRPr="00012C3F">
        <w:rPr>
          <w:sz w:val="16"/>
          <w:szCs w:val="16"/>
          <w:lang w:val="en-US"/>
        </w:rPr>
        <w:t xml:space="preserve">i]n a few instances sterilization is performed without family planning counselling and consent. For example, if a woman arrives at the hospital in shock due to a ruptured uterus, she must undergo emergency surgery, and a sterilization is often medically necessary because of the high risk of death if the woman becomes pregnant again. In such cases, postoperative counselling is essential to help the patient adjust to her loss of fertility and understand why the surgery was necessary.” </w:t>
      </w:r>
      <w:r w:rsidRPr="00012C3F">
        <w:rPr>
          <w:rFonts w:eastAsia="MS Mincho"/>
          <w:bCs/>
          <w:sz w:val="16"/>
          <w:szCs w:val="16"/>
          <w:lang w:val="en-US" w:eastAsia="en-US" w:bidi="en-US"/>
        </w:rPr>
        <w:t xml:space="preserve">WHO, </w:t>
      </w:r>
      <w:r w:rsidRPr="00012C3F">
        <w:rPr>
          <w:rFonts w:eastAsia="MS Mincho" w:cs="ClassicalGaramondBT-Roman"/>
          <w:sz w:val="16"/>
          <w:szCs w:val="16"/>
          <w:lang w:val="en-US" w:eastAsia="en-US" w:bidi="en-US"/>
        </w:rPr>
        <w:t>Female sterilization: a guide to provision of services</w:t>
      </w:r>
      <w:r w:rsidRPr="00012C3F">
        <w:rPr>
          <w:rFonts w:cs="Arial"/>
          <w:sz w:val="16"/>
          <w:szCs w:val="16"/>
          <w:lang w:val="en-US"/>
        </w:rPr>
        <w:t>, 1993, pp.72</w:t>
      </w:r>
      <w:r>
        <w:rPr>
          <w:rFonts w:cs="Arial"/>
          <w:sz w:val="16"/>
          <w:szCs w:val="16"/>
          <w:lang w:val="en-US"/>
        </w:rPr>
        <w:t xml:space="preserve"> and </w:t>
      </w:r>
      <w:r w:rsidRPr="00012C3F">
        <w:rPr>
          <w:rFonts w:cs="Arial"/>
          <w:sz w:val="16"/>
          <w:szCs w:val="16"/>
          <w:lang w:val="en-US"/>
        </w:rPr>
        <w:t xml:space="preserve">73 </w:t>
      </w:r>
      <w:r w:rsidRPr="00012C3F">
        <w:rPr>
          <w:sz w:val="16"/>
          <w:szCs w:val="16"/>
          <w:lang w:val="en-US" w:eastAsia="es-CR"/>
        </w:rPr>
        <w:t xml:space="preserve">(evidence file, volume XIII, annex 3 to the State’s final arguments, folios </w:t>
      </w:r>
      <w:r w:rsidRPr="00012C3F">
        <w:rPr>
          <w:sz w:val="16"/>
          <w:szCs w:val="16"/>
          <w:lang w:val="en-US"/>
        </w:rPr>
        <w:t>5521 and 5522).</w:t>
      </w:r>
    </w:p>
  </w:footnote>
  <w:footnote w:id="221">
    <w:p w14:paraId="725ED28F"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i/>
          <w:sz w:val="16"/>
          <w:szCs w:val="16"/>
          <w:lang w:val="en-US"/>
        </w:rPr>
        <w:t xml:space="preserve"> </w:t>
      </w:r>
      <w:r w:rsidRPr="00012C3F">
        <w:rPr>
          <w:i/>
          <w:sz w:val="16"/>
          <w:szCs w:val="16"/>
          <w:lang w:val="en-US"/>
        </w:rPr>
        <w:tab/>
        <w:t>Cf.</w:t>
      </w:r>
      <w:r w:rsidRPr="00012C3F">
        <w:rPr>
          <w:sz w:val="16"/>
          <w:szCs w:val="16"/>
          <w:lang w:val="en-US"/>
        </w:rPr>
        <w:t xml:space="preserve"> </w:t>
      </w:r>
      <w:r w:rsidRPr="00012C3F">
        <w:rPr>
          <w:bCs/>
          <w:sz w:val="16"/>
          <w:szCs w:val="16"/>
          <w:lang w:val="en-US"/>
        </w:rPr>
        <w:t>Declaration of Helsinki,</w:t>
      </w:r>
      <w:r w:rsidRPr="00012C3F">
        <w:rPr>
          <w:sz w:val="16"/>
          <w:szCs w:val="16"/>
          <w:lang w:val="en-US"/>
        </w:rPr>
        <w:t xml:space="preserve"> Principles 25 to 32</w:t>
      </w:r>
      <w:r w:rsidRPr="00012C3F">
        <w:rPr>
          <w:bCs/>
          <w:sz w:val="16"/>
          <w:szCs w:val="16"/>
          <w:lang w:val="en-US"/>
        </w:rPr>
        <w:t>; Declaration of Lisbon on the rights of patients,</w:t>
      </w:r>
      <w:r w:rsidRPr="00012C3F">
        <w:rPr>
          <w:sz w:val="16"/>
          <w:szCs w:val="16"/>
          <w:lang w:val="en-US"/>
        </w:rPr>
        <w:t xml:space="preserve"> Principles 3, 7 and 10</w:t>
      </w:r>
      <w:r w:rsidRPr="00012C3F">
        <w:rPr>
          <w:bCs/>
          <w:sz w:val="16"/>
          <w:szCs w:val="16"/>
          <w:lang w:val="en-US"/>
        </w:rPr>
        <w:t xml:space="preserve">; UN, </w:t>
      </w:r>
      <w:r w:rsidRPr="00012C3F">
        <w:rPr>
          <w:rFonts w:eastAsia="MS Mincho"/>
          <w:bCs/>
          <w:sz w:val="16"/>
          <w:szCs w:val="16"/>
          <w:lang w:val="en-US" w:eastAsia="en-US" w:bidi="en-US"/>
        </w:rPr>
        <w:t>Principles for the protection of persons with mental illness and the improvement of mental health care, A/RES/46/119, December 17, 1991</w:t>
      </w:r>
      <w:r w:rsidRPr="00012C3F">
        <w:rPr>
          <w:rFonts w:eastAsia="MS Mincho"/>
          <w:bCs/>
          <w:sz w:val="16"/>
          <w:szCs w:val="16"/>
          <w:lang w:val="en-US" w:bidi="en-US"/>
        </w:rPr>
        <w:t>,</w:t>
      </w:r>
      <w:r w:rsidRPr="00012C3F">
        <w:rPr>
          <w:bCs/>
          <w:sz w:val="16"/>
          <w:szCs w:val="16"/>
          <w:lang w:val="en-US"/>
        </w:rPr>
        <w:t xml:space="preserve"> Principle 11(2)</w:t>
      </w:r>
      <w:r w:rsidRPr="00012C3F">
        <w:rPr>
          <w:rFonts w:eastAsia="MS Mincho"/>
          <w:bCs/>
          <w:sz w:val="16"/>
          <w:szCs w:val="16"/>
          <w:lang w:val="en-US" w:eastAsia="en-US" w:bidi="en-US"/>
        </w:rPr>
        <w:t xml:space="preserve">; WHO, </w:t>
      </w:r>
      <w:r w:rsidRPr="00012C3F">
        <w:rPr>
          <w:rFonts w:eastAsia="MS Mincho" w:cs="ClassicalGaramondBT-Roman"/>
          <w:sz w:val="16"/>
          <w:szCs w:val="16"/>
          <w:lang w:val="en-US" w:eastAsia="en-US" w:bidi="en-US"/>
        </w:rPr>
        <w:t xml:space="preserve">Female sterilization: a guide to provision of services, 1993 </w:t>
      </w:r>
      <w:r w:rsidRPr="00012C3F">
        <w:rPr>
          <w:sz w:val="16"/>
          <w:szCs w:val="16"/>
          <w:lang w:val="en-US"/>
        </w:rPr>
        <w:t>(evidence file, volume XIII, annex 3 to the State’s final arguments, folios 5496 to 5499; 5510 to 5520 and 5530 to 5531); FIGO, Recommendations on ethics issues in obstetrics and gynecology by the FIGO Committee for the Study of Ethical Aspects of Human Reproduction and Women’s Health of November 2003, October 2012 and October 2015, which include the Guidelines regarding informed consent, adopted in 1995 and reaffirmed and supplemented in 2007, pp. 166 and 167 (2003), pp. 316 to 318 (2012) and pp. 399 to 401 (2015), as well as the Ethical recommendations on female sterilization of</w:t>
      </w:r>
      <w:r w:rsidRPr="00012C3F">
        <w:rPr>
          <w:rFonts w:eastAsia="MS Mincho"/>
          <w:sz w:val="16"/>
          <w:szCs w:val="16"/>
          <w:lang w:val="en-US" w:eastAsia="en-US" w:bidi="en-US"/>
        </w:rPr>
        <w:t xml:space="preserve"> 1989, 1990, 2000 and 2011</w:t>
      </w:r>
      <w:r w:rsidRPr="00012C3F">
        <w:rPr>
          <w:sz w:val="16"/>
          <w:szCs w:val="16"/>
          <w:lang w:val="en-US"/>
        </w:rPr>
        <w:t xml:space="preserve">, pp. 55 to 57 and 213 to 218 (2003), pp. 436 to 440 (2012) and pp. 537 to 541 (2015); UN, Committee for the Elimination of Discrimination against Women, General Recommendation No. 24, </w:t>
      </w:r>
      <w:r w:rsidRPr="00012C3F">
        <w:rPr>
          <w:i/>
          <w:sz w:val="16"/>
          <w:szCs w:val="16"/>
          <w:lang w:val="en-US"/>
        </w:rPr>
        <w:t>Women and health</w:t>
      </w:r>
      <w:r w:rsidRPr="00012C3F">
        <w:rPr>
          <w:sz w:val="16"/>
          <w:szCs w:val="16"/>
          <w:lang w:val="en-US"/>
        </w:rPr>
        <w:t xml:space="preserve">, 1999, para. 22 (evidence file, volume VIII, annex 39 to the brief with motions, pleadings and evidence, folio 2711); </w:t>
      </w:r>
      <w:r w:rsidRPr="00012C3F">
        <w:rPr>
          <w:rFonts w:eastAsia="MS Mincho"/>
          <w:bCs/>
          <w:sz w:val="16"/>
          <w:szCs w:val="16"/>
          <w:lang w:val="en-US" w:eastAsia="en-US" w:bidi="en-US"/>
        </w:rPr>
        <w:t xml:space="preserve">Universal Declaration on Bioethics and Human Rights, </w:t>
      </w:r>
      <w:r w:rsidRPr="00012C3F">
        <w:rPr>
          <w:rFonts w:eastAsia="MS Mincho"/>
          <w:bCs/>
          <w:sz w:val="16"/>
          <w:szCs w:val="16"/>
          <w:lang w:val="en-US" w:bidi="en-US"/>
        </w:rPr>
        <w:t>Article</w:t>
      </w:r>
      <w:r w:rsidRPr="00012C3F">
        <w:rPr>
          <w:sz w:val="16"/>
          <w:szCs w:val="16"/>
          <w:lang w:val="en-US"/>
        </w:rPr>
        <w:t xml:space="preserve"> 6</w:t>
      </w:r>
      <w:r w:rsidRPr="00012C3F">
        <w:rPr>
          <w:rFonts w:eastAsia="MS Mincho"/>
          <w:bCs/>
          <w:sz w:val="16"/>
          <w:szCs w:val="16"/>
          <w:lang w:val="en-US" w:eastAsia="en-US" w:bidi="en-US"/>
        </w:rPr>
        <w:t>;</w:t>
      </w:r>
      <w:r w:rsidRPr="00012C3F">
        <w:rPr>
          <w:rFonts w:eastAsia="MS Mincho"/>
          <w:bCs/>
          <w:sz w:val="16"/>
          <w:szCs w:val="16"/>
          <w:lang w:val="en-US" w:bidi="en-US"/>
        </w:rPr>
        <w:t xml:space="preserve"> UN, Report of the Special Rapporteur on the right of everyone to the highest attainable standard of physical and mental health, Anand Grover, A/64/272, August 10, 2009,</w:t>
      </w:r>
      <w:r w:rsidRPr="00012C3F">
        <w:rPr>
          <w:sz w:val="16"/>
          <w:szCs w:val="16"/>
          <w:lang w:val="en-US"/>
        </w:rPr>
        <w:t xml:space="preserve"> paras. 13 and 14; WMA, </w:t>
      </w:r>
      <w:r w:rsidRPr="00012C3F">
        <w:rPr>
          <w:rFonts w:cs="ClassicalGaramondBT-Roman"/>
          <w:sz w:val="16"/>
          <w:szCs w:val="16"/>
          <w:lang w:val="en-US"/>
        </w:rPr>
        <w:t>the World Medical Association</w:t>
      </w:r>
      <w:r w:rsidRPr="00012C3F">
        <w:rPr>
          <w:bCs/>
          <w:sz w:val="16"/>
          <w:szCs w:val="16"/>
          <w:lang w:val="en-US"/>
        </w:rPr>
        <w:t xml:space="preserve"> Statement on Forced and Coerced Sterilisation</w:t>
      </w:r>
      <w:r w:rsidRPr="00012C3F">
        <w:rPr>
          <w:rFonts w:cs="ClassicalGaramondBT-Roman"/>
          <w:sz w:val="16"/>
          <w:szCs w:val="16"/>
          <w:lang w:val="en-US"/>
        </w:rPr>
        <w:t xml:space="preserve">, adopted by the 63rd General Assembly,  Bangkok, Thailand, October 2012, which emphasizes that “consent to sterilization should be free of any material or social incentives which might distort freedom of choice” </w:t>
      </w:r>
      <w:r w:rsidRPr="00012C3F">
        <w:rPr>
          <w:sz w:val="16"/>
          <w:szCs w:val="16"/>
          <w:lang w:val="en-US"/>
        </w:rPr>
        <w:t xml:space="preserve">(evidence file, volume VIII, annex 31 to the brief with motions, pleadings and evidence, folios 2613 to 2614); </w:t>
      </w:r>
      <w:r w:rsidRPr="00012C3F">
        <w:rPr>
          <w:rFonts w:eastAsia="MS Mincho"/>
          <w:sz w:val="16"/>
          <w:szCs w:val="16"/>
          <w:lang w:val="en-US" w:bidi="en-US"/>
        </w:rPr>
        <w:t>United Nations Interagency Statement</w:t>
      </w:r>
      <w:r w:rsidRPr="00012C3F">
        <w:rPr>
          <w:rFonts w:eastAsia="MS Mincho"/>
          <w:sz w:val="16"/>
          <w:szCs w:val="16"/>
          <w:lang w:val="en-US" w:eastAsia="en-US" w:bidi="en-US"/>
        </w:rPr>
        <w:t xml:space="preserve"> “Eliminating forced, coercive and otherwise involuntary sterilization</w:t>
      </w:r>
      <w:r w:rsidRPr="00012C3F">
        <w:rPr>
          <w:rFonts w:eastAsia="MS Mincho"/>
          <w:sz w:val="16"/>
          <w:szCs w:val="16"/>
          <w:lang w:val="en-US" w:bidi="en-US"/>
        </w:rPr>
        <w:t>,” adopted by OHCHR, UN Women, UNAIDS, UNDP, UNFPA, UNICEF and WHO, 2014</w:t>
      </w:r>
      <w:r w:rsidRPr="00012C3F">
        <w:rPr>
          <w:sz w:val="16"/>
          <w:szCs w:val="16"/>
          <w:lang w:val="en-US"/>
        </w:rPr>
        <w:t xml:space="preserve"> (evidence file, volume VIII, annex 25 to the brief with motions, pleadings and evidence, folios 2452 to 2454 and 2457).</w:t>
      </w:r>
    </w:p>
  </w:footnote>
  <w:footnote w:id="222">
    <w:p w14:paraId="3AC0AF50"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bCs/>
          <w:sz w:val="16"/>
          <w:szCs w:val="16"/>
          <w:lang w:val="en-US"/>
        </w:rPr>
        <w:t>Declaration of Helsinki, Principle</w:t>
      </w:r>
      <w:r w:rsidRPr="00012C3F">
        <w:rPr>
          <w:sz w:val="16"/>
          <w:szCs w:val="16"/>
          <w:lang w:val="en-US"/>
        </w:rPr>
        <w:t xml:space="preserve"> 23</w:t>
      </w:r>
      <w:r w:rsidRPr="00012C3F">
        <w:rPr>
          <w:bCs/>
          <w:sz w:val="16"/>
          <w:szCs w:val="16"/>
          <w:lang w:val="en-US"/>
        </w:rPr>
        <w:t>.</w:t>
      </w:r>
    </w:p>
  </w:footnote>
  <w:footnote w:id="223">
    <w:p w14:paraId="0D12512E"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bCs/>
          <w:sz w:val="16"/>
          <w:szCs w:val="16"/>
          <w:lang w:val="en-US"/>
        </w:rPr>
        <w:t>Declaration of Helsinki,</w:t>
      </w:r>
      <w:r w:rsidRPr="00012C3F">
        <w:rPr>
          <w:sz w:val="16"/>
          <w:szCs w:val="16"/>
          <w:lang w:val="en-US"/>
        </w:rPr>
        <w:t xml:space="preserve"> Principle 22</w:t>
      </w:r>
      <w:r w:rsidRPr="00012C3F">
        <w:rPr>
          <w:bCs/>
          <w:sz w:val="16"/>
          <w:szCs w:val="16"/>
          <w:lang w:val="en-US"/>
        </w:rPr>
        <w:t>; Declaration of Lisbon on the rights of patients,</w:t>
      </w:r>
      <w:r w:rsidRPr="00012C3F">
        <w:rPr>
          <w:sz w:val="16"/>
          <w:szCs w:val="16"/>
          <w:lang w:val="en-US"/>
        </w:rPr>
        <w:t xml:space="preserve"> Principle 3</w:t>
      </w:r>
      <w:r w:rsidRPr="00012C3F">
        <w:rPr>
          <w:bCs/>
          <w:sz w:val="16"/>
          <w:szCs w:val="16"/>
          <w:lang w:val="en-US"/>
        </w:rPr>
        <w:t xml:space="preserve">; </w:t>
      </w:r>
      <w:r w:rsidRPr="00012C3F">
        <w:rPr>
          <w:rFonts w:cs="ClassicalGaramondBT-Roman"/>
          <w:sz w:val="16"/>
          <w:szCs w:val="16"/>
          <w:lang w:val="en-US"/>
        </w:rPr>
        <w:t>the World Medical Association</w:t>
      </w:r>
      <w:r w:rsidRPr="00012C3F">
        <w:rPr>
          <w:bCs/>
          <w:sz w:val="16"/>
          <w:szCs w:val="16"/>
          <w:lang w:val="en-US"/>
        </w:rPr>
        <w:t xml:space="preserve"> Statement on Forced and Coerced Sterilisation</w:t>
      </w:r>
      <w:r w:rsidRPr="00012C3F">
        <w:rPr>
          <w:rFonts w:cs="ClassicalGaramondBT-Roman"/>
          <w:sz w:val="16"/>
          <w:szCs w:val="16"/>
          <w:lang w:val="en-US"/>
        </w:rPr>
        <w:t xml:space="preserve"> </w:t>
      </w:r>
      <w:r w:rsidRPr="00012C3F">
        <w:rPr>
          <w:sz w:val="16"/>
          <w:szCs w:val="16"/>
          <w:lang w:val="en-US"/>
        </w:rPr>
        <w:t>(evidence file, volume VIII, annex 31 to the brief with motions, pleadings and evidence, folios 2613 to 2614).</w:t>
      </w:r>
    </w:p>
  </w:footnote>
  <w:footnote w:id="224">
    <w:p w14:paraId="12C0FF45"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rFonts w:eastAsia="MS Mincho"/>
          <w:bCs/>
          <w:sz w:val="16"/>
          <w:szCs w:val="16"/>
          <w:lang w:val="en-US" w:eastAsia="en-US" w:bidi="en-US"/>
        </w:rPr>
        <w:t>Universal Declaration on Bioethics and Human Rights, Article</w:t>
      </w:r>
      <w:r w:rsidRPr="00012C3F">
        <w:rPr>
          <w:sz w:val="16"/>
          <w:szCs w:val="16"/>
          <w:lang w:val="en-US"/>
        </w:rPr>
        <w:t xml:space="preserve"> 6(1).</w:t>
      </w:r>
    </w:p>
  </w:footnote>
  <w:footnote w:id="225">
    <w:p w14:paraId="110DBE54"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UN, Committee for the Elimination of Discrimination against Women,</w:t>
      </w:r>
      <w:r w:rsidRPr="00012C3F" w:rsidDel="00845737">
        <w:rPr>
          <w:sz w:val="16"/>
          <w:szCs w:val="16"/>
          <w:lang w:val="en-US"/>
        </w:rPr>
        <w:t xml:space="preserve"> </w:t>
      </w:r>
      <w:r w:rsidRPr="00012C3F">
        <w:rPr>
          <w:sz w:val="16"/>
          <w:szCs w:val="16"/>
          <w:lang w:val="en-US"/>
        </w:rPr>
        <w:t xml:space="preserve">General Recommendation No. 21, 1994, paras. 21 to 23 (evidence file, volume VIII, annex 38 to the brief with motions, pleadings and evidence, folio 2700), and UN, Human Rights Committee, General Comment No. 28, </w:t>
      </w:r>
      <w:r w:rsidRPr="00012C3F">
        <w:rPr>
          <w:i/>
          <w:sz w:val="16"/>
          <w:szCs w:val="16"/>
          <w:lang w:val="en-US"/>
        </w:rPr>
        <w:t>The equality of rights between men and women</w:t>
      </w:r>
      <w:r w:rsidRPr="00012C3F">
        <w:rPr>
          <w:sz w:val="16"/>
          <w:szCs w:val="16"/>
          <w:lang w:val="en-US"/>
        </w:rPr>
        <w:t>, March 29, 2000, para. 20. Also,</w:t>
      </w:r>
      <w:r w:rsidRPr="00012C3F">
        <w:rPr>
          <w:rFonts w:eastAsia="MS Mincho"/>
          <w:bCs/>
          <w:sz w:val="16"/>
          <w:szCs w:val="16"/>
          <w:lang w:val="en-US" w:bidi="en-US"/>
        </w:rPr>
        <w:t xml:space="preserve"> the Special Rapporteur on the right of everyone to the highest attainable standard of physical and mental health</w:t>
      </w:r>
      <w:r w:rsidRPr="00012C3F">
        <w:rPr>
          <w:rFonts w:eastAsia="MS Mincho"/>
          <w:sz w:val="16"/>
          <w:szCs w:val="16"/>
          <w:lang w:val="en-US" w:eastAsia="en-US" w:bidi="en-US"/>
        </w:rPr>
        <w:t xml:space="preserve"> considered that </w:t>
      </w:r>
      <w:r w:rsidRPr="00012C3F">
        <w:rPr>
          <w:sz w:val="16"/>
          <w:szCs w:val="16"/>
          <w:lang w:val="en-US"/>
        </w:rPr>
        <w:t>“any requirement for preliminary authorization by a third party is a violation of a woman’s autonomy.”</w:t>
      </w:r>
      <w:r w:rsidRPr="00012C3F">
        <w:rPr>
          <w:rFonts w:eastAsia="MS Mincho"/>
          <w:sz w:val="16"/>
          <w:szCs w:val="16"/>
          <w:lang w:val="en-US" w:eastAsia="en-US" w:bidi="en-US"/>
        </w:rPr>
        <w:t xml:space="preserve"> </w:t>
      </w:r>
      <w:r w:rsidRPr="00012C3F">
        <w:rPr>
          <w:i/>
          <w:sz w:val="16"/>
          <w:szCs w:val="16"/>
          <w:lang w:val="en-US"/>
        </w:rPr>
        <w:t>Cf.</w:t>
      </w:r>
      <w:r w:rsidRPr="00012C3F">
        <w:rPr>
          <w:sz w:val="16"/>
          <w:szCs w:val="16"/>
          <w:lang w:val="en-US"/>
        </w:rPr>
        <w:t xml:space="preserve"> </w:t>
      </w:r>
      <w:r w:rsidRPr="00012C3F">
        <w:rPr>
          <w:rFonts w:eastAsia="MS Mincho"/>
          <w:bCs/>
          <w:sz w:val="16"/>
          <w:szCs w:val="16"/>
          <w:lang w:val="en-US" w:bidi="en-US"/>
        </w:rPr>
        <w:t>UN, Report of the Special Rapporteur on the right of everyone to the highest attainable standard of physical and mental health, Anand Grover, A/64/272, August 10, 2009</w:t>
      </w:r>
      <w:r w:rsidRPr="00012C3F">
        <w:rPr>
          <w:sz w:val="16"/>
          <w:szCs w:val="16"/>
          <w:lang w:val="en-US"/>
        </w:rPr>
        <w:t>, para. 57.</w:t>
      </w:r>
    </w:p>
  </w:footnote>
  <w:footnote w:id="226">
    <w:p w14:paraId="574B6233"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rFonts w:eastAsia="MS Mincho" w:cs="ClassicalGaramondBT-Roman"/>
          <w:i/>
          <w:sz w:val="16"/>
          <w:szCs w:val="16"/>
          <w:lang w:val="en-US" w:eastAsia="en-US" w:bidi="en-US"/>
        </w:rPr>
        <w:t xml:space="preserve">Cf. </w:t>
      </w:r>
      <w:r w:rsidRPr="00012C3F">
        <w:rPr>
          <w:sz w:val="16"/>
          <w:szCs w:val="16"/>
          <w:lang w:val="en-US"/>
        </w:rPr>
        <w:t>UN, Committee for the Elimination of Discrimination against Women,</w:t>
      </w:r>
      <w:r w:rsidRPr="00012C3F" w:rsidDel="00845737">
        <w:rPr>
          <w:sz w:val="16"/>
          <w:szCs w:val="16"/>
          <w:lang w:val="en-US"/>
        </w:rPr>
        <w:t xml:space="preserve"> </w:t>
      </w:r>
      <w:r w:rsidRPr="00012C3F">
        <w:rPr>
          <w:sz w:val="16"/>
          <w:szCs w:val="16"/>
          <w:lang w:val="en-US"/>
        </w:rPr>
        <w:t xml:space="preserve">General Recommendation No. 21, 1994, para. 22 (evidence file, volume VIII, annex 38 to the brief with motions, pleadings and evidence, folio 2700); UN, Human Rights Committee, General Comment No. 28, </w:t>
      </w:r>
      <w:r w:rsidRPr="00012C3F">
        <w:rPr>
          <w:i/>
          <w:sz w:val="16"/>
          <w:szCs w:val="16"/>
          <w:lang w:val="en-US"/>
        </w:rPr>
        <w:t>The equality of rights between men and women</w:t>
      </w:r>
      <w:r w:rsidRPr="00012C3F">
        <w:rPr>
          <w:sz w:val="16"/>
          <w:szCs w:val="16"/>
          <w:lang w:val="en-US"/>
        </w:rPr>
        <w:t xml:space="preserve">, March 29, 2000, para. 20; </w:t>
      </w:r>
      <w:r w:rsidRPr="00012C3F">
        <w:rPr>
          <w:rFonts w:eastAsia="MS Mincho"/>
          <w:bCs/>
          <w:sz w:val="16"/>
          <w:szCs w:val="16"/>
          <w:lang w:val="en-US" w:eastAsia="en-US" w:bidi="en-US"/>
        </w:rPr>
        <w:t xml:space="preserve">WHO, </w:t>
      </w:r>
      <w:r w:rsidRPr="00012C3F">
        <w:rPr>
          <w:rFonts w:eastAsia="MS Mincho" w:cs="ClassicalGaramondBT-Roman"/>
          <w:sz w:val="16"/>
          <w:szCs w:val="16"/>
          <w:lang w:val="en-US" w:eastAsia="en-US" w:bidi="en-US"/>
        </w:rPr>
        <w:t xml:space="preserve">Female sterilization: a guide to provision of services, 1993 </w:t>
      </w:r>
      <w:r w:rsidRPr="00012C3F">
        <w:rPr>
          <w:sz w:val="16"/>
          <w:szCs w:val="16"/>
          <w:lang w:val="en-US"/>
        </w:rPr>
        <w:t>(evidence file, volume XIII, annex 3 to the State’s final arguments, folio 5518); FIGO, Recommendations on ethics issues in obstetrics and gynecology by the FIGO Committee for the Study of Ethical Aspects of Human Reproduction and Women’s Health of November 2003, October 2012 and October 2015, which includes the Ethical considerations on sterilization of</w:t>
      </w:r>
      <w:r w:rsidRPr="00012C3F">
        <w:rPr>
          <w:rFonts w:eastAsia="MS Mincho"/>
          <w:sz w:val="16"/>
          <w:szCs w:val="16"/>
          <w:lang w:val="en-US" w:eastAsia="en-US" w:bidi="en-US"/>
        </w:rPr>
        <w:t xml:space="preserve"> 1989, 1990, 2000 and 2011</w:t>
      </w:r>
      <w:r w:rsidRPr="00012C3F">
        <w:rPr>
          <w:sz w:val="16"/>
          <w:szCs w:val="16"/>
          <w:lang w:val="en-US"/>
        </w:rPr>
        <w:t xml:space="preserve">, pp. 59 and 217 (2003), pp. 436 and 437 (2012) and p. 538 (2015), and </w:t>
      </w:r>
      <w:r w:rsidRPr="00012C3F">
        <w:rPr>
          <w:rFonts w:eastAsia="MS Mincho" w:cs="ClassicalGaramondBT-Roman"/>
          <w:color w:val="000000"/>
          <w:sz w:val="16"/>
          <w:szCs w:val="16"/>
          <w:lang w:val="en-US" w:eastAsia="en-US" w:bidi="en-US"/>
        </w:rPr>
        <w:t>United Nations Interagency Statement “Eliminating forced, coercive and otherwise involuntary sterilization</w:t>
      </w:r>
      <w:r w:rsidRPr="00012C3F">
        <w:rPr>
          <w:rFonts w:eastAsia="MS Mincho"/>
          <w:sz w:val="16"/>
          <w:szCs w:val="16"/>
          <w:lang w:val="en-US" w:bidi="en-US"/>
        </w:rPr>
        <w:t>,” adopted by OHCHR, UN Women, UNAIDS, UNDP, UNFPA, UNICEF and WHO, 2014</w:t>
      </w:r>
      <w:r w:rsidRPr="00012C3F">
        <w:rPr>
          <w:sz w:val="16"/>
          <w:szCs w:val="16"/>
          <w:lang w:val="en-US"/>
        </w:rPr>
        <w:t xml:space="preserve"> (evidence file, volume VIII, annex 25 to the brief with motions, pleadings and evidence, folios 2452 to 2453).</w:t>
      </w:r>
    </w:p>
  </w:footnote>
  <w:footnote w:id="227">
    <w:p w14:paraId="02031586" w14:textId="77777777" w:rsidR="00D24EFE" w:rsidRPr="00012C3F" w:rsidRDefault="00D24EFE" w:rsidP="005B52E1">
      <w:pPr>
        <w:tabs>
          <w:tab w:val="left" w:pos="567"/>
        </w:tabs>
        <w:spacing w:after="120" w:line="240" w:lineRule="auto"/>
        <w:rPr>
          <w:rFonts w:eastAsia="MS Mincho" w:cs="ClassicalGaramondBT-Roman"/>
          <w:sz w:val="16"/>
          <w:szCs w:val="16"/>
          <w:lang w:val="en-US" w:eastAsia="en-US" w:bidi="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r>
      <w:r w:rsidRPr="00012C3F">
        <w:rPr>
          <w:rFonts w:eastAsia="MS Mincho" w:cs="ClassicalGaramondBT-Roman"/>
          <w:i/>
          <w:sz w:val="16"/>
          <w:szCs w:val="16"/>
          <w:lang w:val="en-US" w:eastAsia="en-US" w:bidi="en-US"/>
        </w:rPr>
        <w:t xml:space="preserve">Cf. </w:t>
      </w:r>
      <w:r w:rsidRPr="00012C3F">
        <w:rPr>
          <w:rFonts w:eastAsia="MS Mincho"/>
          <w:bCs/>
          <w:sz w:val="16"/>
          <w:szCs w:val="16"/>
          <w:lang w:val="en-US" w:eastAsia="en-US" w:bidi="en-US"/>
        </w:rPr>
        <w:t xml:space="preserve">WHO, </w:t>
      </w:r>
      <w:r w:rsidRPr="00012C3F">
        <w:rPr>
          <w:rFonts w:eastAsia="MS Mincho" w:cs="ClassicalGaramondBT-Roman"/>
          <w:sz w:val="16"/>
          <w:szCs w:val="16"/>
          <w:lang w:val="en-US" w:eastAsia="en-US" w:bidi="en-US"/>
        </w:rPr>
        <w:t xml:space="preserve">Female sterilization: a guide to provision of services, 1993 </w:t>
      </w:r>
      <w:r w:rsidRPr="00012C3F">
        <w:rPr>
          <w:sz w:val="16"/>
          <w:szCs w:val="16"/>
          <w:lang w:val="en-US"/>
        </w:rPr>
        <w:t>(evidence file, volume XIII, annex 3 to the State’s final arguments, folio 5517).</w:t>
      </w:r>
    </w:p>
  </w:footnote>
  <w:footnote w:id="228">
    <w:p w14:paraId="4B5D64BC" w14:textId="77777777" w:rsidR="00D24EFE" w:rsidRPr="00012C3F" w:rsidRDefault="00D24EFE" w:rsidP="005B52E1">
      <w:pPr>
        <w:tabs>
          <w:tab w:val="left" w:pos="567"/>
        </w:tabs>
        <w:spacing w:after="120" w:line="240" w:lineRule="auto"/>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rFonts w:eastAsia="MS Mincho" w:cs="ClassicalGaramondBT-Roman"/>
          <w:i/>
          <w:sz w:val="16"/>
          <w:szCs w:val="16"/>
          <w:lang w:val="en-US" w:eastAsia="en-US" w:bidi="en-US"/>
        </w:rPr>
        <w:t xml:space="preserve">Cf. </w:t>
      </w:r>
      <w:r w:rsidRPr="00012C3F">
        <w:rPr>
          <w:sz w:val="16"/>
          <w:szCs w:val="16"/>
          <w:lang w:val="en-US"/>
        </w:rPr>
        <w:t>FIGO, Recommendations on ethics issues in obstetrics and gynecology by the FIGO Committee for the Study of Ethical Aspects of Human Reproduction and Women’s of October 2012 and October 2015, which include the 2011 Ethical recommendations on female sterilization, p. 437 (2012) and p. 539 (2015).</w:t>
      </w:r>
    </w:p>
  </w:footnote>
  <w:footnote w:id="229">
    <w:p w14:paraId="58EE5CD6" w14:textId="77777777" w:rsidR="00D24EFE" w:rsidRPr="00012C3F" w:rsidRDefault="00D24EFE" w:rsidP="005B52E1">
      <w:pPr>
        <w:tabs>
          <w:tab w:val="left" w:pos="567"/>
        </w:tabs>
        <w:spacing w:after="120" w:line="240" w:lineRule="auto"/>
        <w:rPr>
          <w:rFonts w:eastAsia="MS Mincho"/>
          <w:b/>
          <w:i/>
          <w:sz w:val="16"/>
          <w:szCs w:val="16"/>
          <w:lang w:val="en-US" w:eastAsia="en-US" w:bidi="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WMA, </w:t>
      </w:r>
      <w:r w:rsidRPr="00012C3F">
        <w:rPr>
          <w:rFonts w:eastAsia="MS Mincho"/>
          <w:bCs/>
          <w:sz w:val="16"/>
          <w:szCs w:val="16"/>
          <w:lang w:val="en-US" w:eastAsia="en-US" w:bidi="en-US"/>
        </w:rPr>
        <w:t xml:space="preserve">WHO, </w:t>
      </w:r>
      <w:r w:rsidRPr="00012C3F">
        <w:rPr>
          <w:rFonts w:eastAsia="MS Mincho" w:cs="ClassicalGaramondBT-Roman"/>
          <w:sz w:val="16"/>
          <w:szCs w:val="16"/>
          <w:lang w:val="en-US" w:eastAsia="en-US" w:bidi="en-US"/>
        </w:rPr>
        <w:t xml:space="preserve">Female sterilization: a guide to provision of services, 1993 </w:t>
      </w:r>
      <w:r w:rsidRPr="00012C3F">
        <w:rPr>
          <w:sz w:val="16"/>
          <w:szCs w:val="16"/>
          <w:lang w:val="en-US"/>
        </w:rPr>
        <w:t>(evidence file, volume VIII, annex 31 to the brief with motions, pleadings and evidence, folios 2613 and 2614).</w:t>
      </w:r>
    </w:p>
  </w:footnote>
  <w:footnote w:id="230">
    <w:p w14:paraId="4B6C54BC" w14:textId="77777777" w:rsidR="00D24EFE" w:rsidRPr="00012C3F" w:rsidRDefault="00D24EFE" w:rsidP="005B52E1">
      <w:pPr>
        <w:tabs>
          <w:tab w:val="left" w:pos="567"/>
        </w:tabs>
        <w:spacing w:after="120" w:line="240" w:lineRule="auto"/>
        <w:rPr>
          <w:rFonts w:eastAsia="MS Mincho"/>
          <w:bCs/>
          <w:sz w:val="16"/>
          <w:szCs w:val="16"/>
          <w:lang w:val="en-US" w:eastAsia="en-US" w:bidi="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rFonts w:eastAsia="MS Mincho"/>
          <w:sz w:val="16"/>
          <w:szCs w:val="16"/>
          <w:lang w:val="en-US" w:bidi="en-US"/>
        </w:rPr>
        <w:t>United Nations Interagency Statement “Eliminating forced, coercive and otherwise involuntary sterilization,” adopted by OHCHR, UN Women, UNAIDS, UNDP, UNFPA, UNICEF and WHO, 2014</w:t>
      </w:r>
      <w:r w:rsidRPr="00012C3F">
        <w:rPr>
          <w:sz w:val="16"/>
          <w:szCs w:val="16"/>
          <w:lang w:val="en-US"/>
        </w:rPr>
        <w:t xml:space="preserve"> (evidence file, volume VIII, annex 25 to the brief with motions, pleadings and evidence, folio 2457).</w:t>
      </w:r>
    </w:p>
  </w:footnote>
  <w:footnote w:id="231">
    <w:p w14:paraId="15FB85B8" w14:textId="77777777" w:rsidR="00D24EFE" w:rsidRPr="00012C3F" w:rsidRDefault="00D24EFE" w:rsidP="005B52E1">
      <w:pPr>
        <w:pStyle w:val="Textonotapie"/>
        <w:tabs>
          <w:tab w:val="left" w:pos="540"/>
          <w:tab w:val="left" w:pos="567"/>
          <w:tab w:val="left" w:pos="720"/>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rFonts w:eastAsia="MS Mincho"/>
          <w:bCs/>
          <w:sz w:val="16"/>
          <w:szCs w:val="16"/>
          <w:lang w:val="en-US" w:bidi="en-US"/>
        </w:rPr>
        <w:t>UN, Report of the Special Rapporteur on the right of everyone to the highest attainable standard of physical and mental health, Anand Grover, A/64/272, August 10, 2009</w:t>
      </w:r>
      <w:r w:rsidRPr="00012C3F">
        <w:rPr>
          <w:sz w:val="16"/>
          <w:szCs w:val="16"/>
          <w:lang w:val="en-US"/>
        </w:rPr>
        <w:t xml:space="preserve">, para. 14. </w:t>
      </w:r>
    </w:p>
  </w:footnote>
  <w:footnote w:id="232">
    <w:p w14:paraId="6D459A04" w14:textId="77777777" w:rsidR="00D24EFE" w:rsidRPr="00012C3F" w:rsidRDefault="00D24EFE" w:rsidP="005B52E1">
      <w:pPr>
        <w:pStyle w:val="Textonotapie"/>
        <w:tabs>
          <w:tab w:val="left" w:pos="567"/>
          <w:tab w:val="left" w:pos="630"/>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ECHR, </w:t>
      </w:r>
      <w:r w:rsidRPr="00012C3F">
        <w:rPr>
          <w:rFonts w:cs="Arial"/>
          <w:i/>
          <w:sz w:val="16"/>
          <w:szCs w:val="16"/>
          <w:lang w:val="en-US" w:eastAsia="es-CR"/>
        </w:rPr>
        <w:t>Case of</w:t>
      </w:r>
      <w:r w:rsidRPr="00012C3F">
        <w:rPr>
          <w:rFonts w:cs="Arial"/>
          <w:sz w:val="16"/>
          <w:szCs w:val="16"/>
          <w:lang w:val="en-US" w:eastAsia="es-CR"/>
        </w:rPr>
        <w:t xml:space="preserve"> </w:t>
      </w:r>
      <w:r w:rsidRPr="00012C3F">
        <w:rPr>
          <w:i/>
          <w:sz w:val="16"/>
          <w:szCs w:val="16"/>
          <w:lang w:val="en-US"/>
        </w:rPr>
        <w:t>V.C. v. Slovakia</w:t>
      </w:r>
      <w:r w:rsidRPr="00012C3F">
        <w:rPr>
          <w:sz w:val="16"/>
          <w:szCs w:val="16"/>
          <w:lang w:val="en-US"/>
        </w:rPr>
        <w:t xml:space="preserve">, No. 18968/07. Judgment of November 8, 2011, paras. 111 and 112. The same reasoning was adopted in the </w:t>
      </w:r>
      <w:r w:rsidRPr="00012C3F">
        <w:rPr>
          <w:i/>
          <w:sz w:val="16"/>
          <w:szCs w:val="16"/>
          <w:lang w:val="en-US"/>
        </w:rPr>
        <w:t>Case of N.B. v. Slovakia</w:t>
      </w:r>
      <w:r w:rsidRPr="00012C3F">
        <w:rPr>
          <w:sz w:val="16"/>
          <w:szCs w:val="16"/>
          <w:lang w:val="en-US"/>
        </w:rPr>
        <w:t xml:space="preserve">, No. 29518/10. Judgment of June 12, 2012, para. 77, and </w:t>
      </w:r>
      <w:r w:rsidRPr="00012C3F">
        <w:rPr>
          <w:i/>
          <w:sz w:val="16"/>
          <w:szCs w:val="16"/>
          <w:lang w:val="en-US"/>
        </w:rPr>
        <w:t>Case of I.G., M.K. and R.H. v. Slovakia</w:t>
      </w:r>
      <w:r w:rsidRPr="00012C3F">
        <w:rPr>
          <w:sz w:val="16"/>
          <w:szCs w:val="16"/>
          <w:lang w:val="en-US"/>
        </w:rPr>
        <w:t>, No. 15966/04. Judgment of November 13, 2012, para. 122 (evidence file, volume VIII, annexes 26, 27 and 28 to the brief with motions, pleadings and evidence, folios 2474 to 2577).</w:t>
      </w:r>
    </w:p>
  </w:footnote>
  <w:footnote w:id="233">
    <w:p w14:paraId="223271CF"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bCs/>
          <w:i/>
          <w:sz w:val="16"/>
          <w:szCs w:val="16"/>
          <w:lang w:val="en-US"/>
        </w:rPr>
        <w:t>Cf.</w:t>
      </w:r>
      <w:r w:rsidRPr="00012C3F">
        <w:rPr>
          <w:bCs/>
          <w:sz w:val="16"/>
          <w:szCs w:val="16"/>
          <w:lang w:val="en-US"/>
        </w:rPr>
        <w:t xml:space="preserve"> Declaration of Helsinki, Principle 26; </w:t>
      </w:r>
      <w:r w:rsidRPr="00012C3F">
        <w:rPr>
          <w:rFonts w:eastAsia="MS Mincho"/>
          <w:bCs/>
          <w:sz w:val="16"/>
          <w:szCs w:val="16"/>
          <w:lang w:val="en-US" w:eastAsia="en-US" w:bidi="en-US"/>
        </w:rPr>
        <w:t>Universal Declaration on Bioethics and Human Rights, Article 6;</w:t>
      </w:r>
      <w:r w:rsidRPr="00012C3F">
        <w:rPr>
          <w:rFonts w:eastAsia="MS Mincho"/>
          <w:bCs/>
          <w:i/>
          <w:sz w:val="16"/>
          <w:szCs w:val="16"/>
          <w:lang w:val="en-US" w:eastAsia="en-US" w:bidi="en-US"/>
        </w:rPr>
        <w:t xml:space="preserve"> </w:t>
      </w:r>
      <w:r w:rsidRPr="00012C3F">
        <w:rPr>
          <w:rFonts w:eastAsia="MS Mincho"/>
          <w:bCs/>
          <w:sz w:val="16"/>
          <w:szCs w:val="16"/>
          <w:lang w:val="en-US" w:eastAsia="en-US" w:bidi="en-US"/>
        </w:rPr>
        <w:t xml:space="preserve">WHO, </w:t>
      </w:r>
      <w:r w:rsidRPr="00012C3F">
        <w:rPr>
          <w:rFonts w:eastAsia="MS Mincho" w:cs="ClassicalGaramondBT-Roman"/>
          <w:sz w:val="16"/>
          <w:szCs w:val="16"/>
          <w:lang w:val="en-US" w:eastAsia="en-US" w:bidi="en-US"/>
        </w:rPr>
        <w:t xml:space="preserve">Female sterilization: a guide to provision of services, 1993 </w:t>
      </w:r>
      <w:r w:rsidRPr="00012C3F">
        <w:rPr>
          <w:sz w:val="16"/>
          <w:szCs w:val="16"/>
          <w:lang w:val="en-US"/>
        </w:rPr>
        <w:t xml:space="preserve">(evidence file, volume XIII, annex 3 to the State’s final arguments, folios 5518 and 5523), and FIGO, Guidelines regarding informed consent, adopted in </w:t>
      </w:r>
      <w:r w:rsidRPr="00012C3F">
        <w:rPr>
          <w:rFonts w:eastAsia="MS Mincho"/>
          <w:sz w:val="16"/>
          <w:szCs w:val="16"/>
          <w:lang w:val="en-US" w:eastAsia="en-US" w:bidi="en-US"/>
        </w:rPr>
        <w:t xml:space="preserve">2007, which reaffirm the indications in the 1995 document and add, above all, that “consent can be withdrawn at any time.” </w:t>
      </w:r>
      <w:r w:rsidRPr="00012C3F">
        <w:rPr>
          <w:rFonts w:eastAsia="MS Mincho"/>
          <w:bCs/>
          <w:sz w:val="16"/>
          <w:szCs w:val="16"/>
          <w:lang w:val="en-US" w:eastAsia="en-US" w:bidi="en-US"/>
        </w:rPr>
        <w:t xml:space="preserve">In this regard, see </w:t>
      </w:r>
      <w:r w:rsidRPr="00012C3F">
        <w:rPr>
          <w:sz w:val="16"/>
          <w:szCs w:val="16"/>
          <w:lang w:val="en-US"/>
        </w:rPr>
        <w:t>Recommendations on ethics issues in obstetrics and gynecology by the FIGO Committee for the Study of Ethical Aspects of Human Reproduction and Women’s Health of October 2012 and October 2015,</w:t>
      </w:r>
      <w:r w:rsidRPr="00012C3F">
        <w:rPr>
          <w:rFonts w:eastAsia="MS Mincho"/>
          <w:bCs/>
          <w:sz w:val="16"/>
          <w:szCs w:val="16"/>
          <w:lang w:val="en-US" w:eastAsia="en-US" w:bidi="en-US"/>
        </w:rPr>
        <w:t xml:space="preserve"> </w:t>
      </w:r>
      <w:r w:rsidRPr="00012C3F">
        <w:rPr>
          <w:sz w:val="16"/>
          <w:szCs w:val="16"/>
          <w:lang w:val="en-US"/>
        </w:rPr>
        <w:t>p. 317 (2012) and p. 400 (2015)</w:t>
      </w:r>
      <w:r w:rsidRPr="00012C3F">
        <w:rPr>
          <w:rFonts w:eastAsia="MS Mincho"/>
          <w:bCs/>
          <w:sz w:val="16"/>
          <w:szCs w:val="16"/>
          <w:lang w:val="en-US" w:eastAsia="en-US" w:bidi="en-US"/>
        </w:rPr>
        <w:t>.</w:t>
      </w:r>
    </w:p>
  </w:footnote>
  <w:footnote w:id="234">
    <w:p w14:paraId="0444CA79"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rFonts w:eastAsia="MS Mincho"/>
          <w:bCs/>
          <w:sz w:val="16"/>
          <w:szCs w:val="16"/>
          <w:lang w:val="en-US" w:eastAsia="en-US" w:bidi="en-US"/>
        </w:rPr>
        <w:t xml:space="preserve">WHO, </w:t>
      </w:r>
      <w:r w:rsidRPr="00012C3F">
        <w:rPr>
          <w:rFonts w:eastAsia="MS Mincho" w:cs="ClassicalGaramondBT-Roman"/>
          <w:sz w:val="16"/>
          <w:szCs w:val="16"/>
          <w:lang w:val="en-US" w:eastAsia="en-US" w:bidi="en-US"/>
        </w:rPr>
        <w:t xml:space="preserve">Female sterilization: a guide to provision of services, 1993 </w:t>
      </w:r>
      <w:r w:rsidRPr="00012C3F">
        <w:rPr>
          <w:sz w:val="16"/>
          <w:szCs w:val="16"/>
          <w:lang w:val="en-US"/>
        </w:rPr>
        <w:t>(evidence file, volume XIII, annex 3 to the State’s final arguments, folio 5512), and FIGO, Recommendations on ethics issues in obstetrics and gynecology by the FIGO Committee for the Study of Ethical Aspects of Human Reproduction and Women’s Health of November 2003, October 2012 and October 2015, which include the Guidelines regarding informed consent, adopted in 1995 and reaffirmed and supplement in 2007, pp. 166 and 167 (2003), pp. 316 to 318 (2012) and pp. 399 to 401 (2015).</w:t>
      </w:r>
    </w:p>
  </w:footnote>
  <w:footnote w:id="235">
    <w:p w14:paraId="5E18473E" w14:textId="77777777" w:rsidR="00D24EFE" w:rsidRPr="00012C3F" w:rsidRDefault="00D24EFE" w:rsidP="00962CEB">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rFonts w:eastAsia="MS Mincho"/>
          <w:bCs/>
          <w:sz w:val="16"/>
          <w:szCs w:val="16"/>
          <w:lang w:val="en-US" w:bidi="en-US"/>
        </w:rPr>
        <w:t>UN, Report of the Special Rapporteur on the right of everyone to the highest attainable standard of physical and mental health, Anand Grover, A/64/272, August 10, 2009,</w:t>
      </w:r>
      <w:r w:rsidRPr="00012C3F">
        <w:rPr>
          <w:sz w:val="16"/>
          <w:szCs w:val="16"/>
          <w:lang w:val="en-US"/>
        </w:rPr>
        <w:t xml:space="preserve"> para. 17, and </w:t>
      </w:r>
      <w:r w:rsidRPr="00012C3F">
        <w:rPr>
          <w:rFonts w:eastAsia="MS Mincho"/>
          <w:bCs/>
          <w:sz w:val="16"/>
          <w:szCs w:val="16"/>
          <w:lang w:val="en-US" w:eastAsia="en-US" w:bidi="en-US"/>
        </w:rPr>
        <w:t xml:space="preserve">WHO, </w:t>
      </w:r>
      <w:r w:rsidRPr="00012C3F">
        <w:rPr>
          <w:rFonts w:eastAsia="MS Mincho" w:cs="ClassicalGaramondBT-Roman"/>
          <w:sz w:val="16"/>
          <w:szCs w:val="16"/>
          <w:lang w:val="en-US" w:eastAsia="en-US" w:bidi="en-US"/>
        </w:rPr>
        <w:t xml:space="preserve">Female sterilization: a guide to provision of services, 1993 </w:t>
      </w:r>
      <w:r w:rsidRPr="00012C3F">
        <w:rPr>
          <w:sz w:val="16"/>
          <w:szCs w:val="16"/>
          <w:lang w:val="en-US"/>
        </w:rPr>
        <w:t>(evidence file, volume XIII, annex 3 to the State’s final arguments, folio 5520).</w:t>
      </w:r>
    </w:p>
  </w:footnote>
  <w:footnote w:id="236">
    <w:p w14:paraId="6471F3B5" w14:textId="77777777" w:rsidR="00D24EFE" w:rsidRPr="00012C3F" w:rsidRDefault="00D24EFE" w:rsidP="00962CEB">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rFonts w:eastAsia="MS Mincho"/>
          <w:bCs/>
          <w:sz w:val="16"/>
          <w:szCs w:val="16"/>
          <w:lang w:val="en-US" w:bidi="en-US"/>
        </w:rPr>
        <w:t xml:space="preserve">UN, Report of the Special Rapporteur on the right of everyone to the highest attainable standard of physical and mental health, Anand Grover, A/64/272, August 10, 2009, </w:t>
      </w:r>
      <w:r w:rsidRPr="00012C3F">
        <w:rPr>
          <w:sz w:val="16"/>
          <w:szCs w:val="16"/>
          <w:lang w:val="en-US"/>
        </w:rPr>
        <w:t>paras. 54 and 55. Similarly, article 8 of the UNESCO Universal Declaration on Bioethics and Human Rights</w:t>
      </w:r>
      <w:r w:rsidRPr="00012C3F">
        <w:rPr>
          <w:rFonts w:eastAsia="MS Mincho"/>
          <w:bCs/>
          <w:sz w:val="16"/>
          <w:szCs w:val="16"/>
          <w:lang w:val="en-US" w:eastAsia="en-US" w:bidi="en-US"/>
        </w:rPr>
        <w:t xml:space="preserve"> establishes that “[i]n applying and advancing scientific knowledge, medical practice and associated technologies […] individuals and groups of special vulnerability should be protected and the personal integrity of such individuals respected.” </w:t>
      </w:r>
    </w:p>
  </w:footnote>
  <w:footnote w:id="237">
    <w:p w14:paraId="029F4CF6"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rFonts w:eastAsia="MS Mincho"/>
          <w:sz w:val="16"/>
          <w:szCs w:val="16"/>
          <w:lang w:val="en-US" w:bidi="en-US"/>
        </w:rPr>
        <w:t>United Nations Interagency Statement “Eliminating forced, coercive and otherwise involuntary sterilization,” adopted by OHCHR, UN Women, UNAIDS, UNDP, UNFPA, UNICEF and WHO, 2014</w:t>
      </w:r>
      <w:r w:rsidRPr="00012C3F">
        <w:rPr>
          <w:sz w:val="16"/>
          <w:szCs w:val="16"/>
          <w:lang w:val="en-US"/>
        </w:rPr>
        <w:t xml:space="preserve"> (evidence file, volume VIII, annex 25 to the brief with motions, pleadings and evidence, folios 2453 and 2455).</w:t>
      </w:r>
    </w:p>
  </w:footnote>
  <w:footnote w:id="238">
    <w:p w14:paraId="3458238E"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FIGO, Recommendations on ethics issues in obstetrics and gynecology by the FIGO Committee for the Study of Ethical Aspects of Human Reproduction and Women’s Health of November 2003, October 2012 and October 2015, which include the 2011 Ethical recommendations on female sterilization, pp. 436 to 440 (2012) and pp. 537 to 541 (2015).</w:t>
      </w:r>
    </w:p>
  </w:footnote>
  <w:footnote w:id="239">
    <w:p w14:paraId="3458BC2E"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FIGO, Recommendations on ethics issues in obstetrics and gynecology by the FIGO Committee for the Study of Ethical Aspects of Human Reproduction and Women’s Health of October 2012 and October 2015, which include the Recommendations on the human rights impact of gender stereotyping in the context of reproductive health care of 2011, pp. 332 to 336 (2012) and pp. 418 to 422 (2015).</w:t>
      </w:r>
    </w:p>
  </w:footnote>
  <w:footnote w:id="240">
    <w:p w14:paraId="4B380707" w14:textId="77777777" w:rsidR="00D24EFE" w:rsidRPr="00012C3F" w:rsidRDefault="00D24EFE" w:rsidP="005B52E1">
      <w:pPr>
        <w:pStyle w:val="Textonotapie"/>
        <w:tabs>
          <w:tab w:val="left" w:pos="567"/>
          <w:tab w:val="left" w:pos="720"/>
        </w:tabs>
        <w:spacing w:after="120"/>
        <w:rPr>
          <w:rFonts w:cs="Vrinda"/>
          <w:sz w:val="16"/>
          <w:szCs w:val="16"/>
          <w:lang w:val="en-US"/>
        </w:rPr>
      </w:pPr>
      <w:r w:rsidRPr="00012C3F">
        <w:rPr>
          <w:rStyle w:val="Refdenotaalpie"/>
          <w:rFonts w:cs="Vrinda"/>
          <w:sz w:val="16"/>
          <w:szCs w:val="16"/>
          <w:lang w:val="en-US"/>
        </w:rPr>
        <w:footnoteRef/>
      </w:r>
      <w:r w:rsidRPr="00012C3F">
        <w:rPr>
          <w:rFonts w:cs="Vrinda"/>
          <w:sz w:val="16"/>
          <w:szCs w:val="16"/>
          <w:lang w:val="en-US"/>
        </w:rPr>
        <w:t xml:space="preserve"> </w:t>
      </w:r>
      <w:r w:rsidRPr="00012C3F">
        <w:rPr>
          <w:rFonts w:cs="Vrinda"/>
          <w:sz w:val="16"/>
          <w:szCs w:val="16"/>
          <w:lang w:val="en-US"/>
        </w:rPr>
        <w:tab/>
      </w:r>
      <w:r w:rsidRPr="00012C3F">
        <w:rPr>
          <w:rFonts w:cs="Vrinda"/>
          <w:i/>
          <w:sz w:val="16"/>
          <w:szCs w:val="16"/>
          <w:lang w:val="en-US"/>
        </w:rPr>
        <w:t xml:space="preserve">Cf. </w:t>
      </w:r>
      <w:r w:rsidRPr="00012C3F">
        <w:rPr>
          <w:i/>
          <w:sz w:val="16"/>
          <w:szCs w:val="16"/>
          <w:lang w:val="en-US"/>
        </w:rPr>
        <w:t xml:space="preserve">Case of González et al. (“Cotton Field”) v. Mexico. Preliminary objection, merits, reparations and costs. </w:t>
      </w:r>
      <w:r w:rsidRPr="00012C3F">
        <w:rPr>
          <w:sz w:val="16"/>
          <w:szCs w:val="16"/>
          <w:lang w:val="en-US"/>
        </w:rPr>
        <w:t>Judgment of November 16, 2009. Series C No. 205,</w:t>
      </w:r>
      <w:r w:rsidRPr="00012C3F">
        <w:rPr>
          <w:rFonts w:cs="Vrinda"/>
          <w:sz w:val="16"/>
          <w:szCs w:val="16"/>
          <w:lang w:val="en-US"/>
        </w:rPr>
        <w:t xml:space="preserve"> para. 401, and </w:t>
      </w:r>
      <w:r w:rsidRPr="00012C3F">
        <w:rPr>
          <w:rStyle w:val="Textoennegrita"/>
          <w:b w:val="0"/>
          <w:i/>
          <w:sz w:val="16"/>
          <w:szCs w:val="16"/>
          <w:lang w:val="en-US"/>
        </w:rPr>
        <w:t>Case of Espinoza Gonzáles v. Peru. Preliminary objections, merits, reparations and costs</w:t>
      </w:r>
      <w:r w:rsidRPr="00012C3F">
        <w:rPr>
          <w:rStyle w:val="Textoennegrita"/>
          <w:b w:val="0"/>
          <w:sz w:val="16"/>
          <w:szCs w:val="16"/>
          <w:lang w:val="en-US"/>
        </w:rPr>
        <w:t>. Judgment of November 20, 2014. Series C No. 289, para. 268</w:t>
      </w:r>
      <w:r w:rsidRPr="00012C3F">
        <w:rPr>
          <w:rFonts w:cs="Vrinda"/>
          <w:sz w:val="16"/>
          <w:szCs w:val="16"/>
          <w:lang w:val="en-US"/>
        </w:rPr>
        <w:t>.</w:t>
      </w:r>
    </w:p>
  </w:footnote>
  <w:footnote w:id="241">
    <w:p w14:paraId="3F727AF9" w14:textId="77777777" w:rsidR="00D24EFE" w:rsidRPr="00012C3F" w:rsidRDefault="00D24EFE" w:rsidP="005B52E1">
      <w:pPr>
        <w:pStyle w:val="Textonotapie"/>
        <w:tabs>
          <w:tab w:val="left" w:pos="567"/>
          <w:tab w:val="left" w:pos="720"/>
        </w:tabs>
        <w:spacing w:after="120"/>
        <w:rPr>
          <w:rFonts w:cs="Vrinda"/>
          <w:sz w:val="16"/>
          <w:szCs w:val="16"/>
          <w:lang w:val="en-US"/>
        </w:rPr>
      </w:pPr>
      <w:r w:rsidRPr="00012C3F">
        <w:rPr>
          <w:rStyle w:val="Refdenotaalpie"/>
          <w:rFonts w:cs="Vrinda"/>
          <w:sz w:val="16"/>
          <w:szCs w:val="16"/>
          <w:lang w:val="en-US"/>
        </w:rPr>
        <w:footnoteRef/>
      </w:r>
      <w:r w:rsidRPr="00012C3F">
        <w:rPr>
          <w:rFonts w:cs="Vrinda"/>
          <w:sz w:val="16"/>
          <w:szCs w:val="16"/>
          <w:lang w:val="en-US"/>
        </w:rPr>
        <w:t xml:space="preserve"> </w:t>
      </w:r>
      <w:r w:rsidRPr="00012C3F">
        <w:rPr>
          <w:rFonts w:cs="Vrinda"/>
          <w:sz w:val="16"/>
          <w:szCs w:val="16"/>
          <w:lang w:val="en-US"/>
        </w:rPr>
        <w:tab/>
      </w:r>
      <w:r w:rsidRPr="00012C3F">
        <w:rPr>
          <w:rFonts w:cs="Vrinda"/>
          <w:i/>
          <w:sz w:val="16"/>
          <w:szCs w:val="16"/>
          <w:lang w:val="en-US"/>
        </w:rPr>
        <w:t xml:space="preserve">Cf. </w:t>
      </w:r>
      <w:r w:rsidRPr="00012C3F">
        <w:rPr>
          <w:i/>
          <w:sz w:val="16"/>
          <w:szCs w:val="16"/>
          <w:lang w:val="en-US"/>
        </w:rPr>
        <w:t>Case of González et al. (“Cotton Field”) v. Mexico, supra</w:t>
      </w:r>
      <w:r w:rsidRPr="00012C3F">
        <w:rPr>
          <w:sz w:val="16"/>
          <w:szCs w:val="16"/>
          <w:lang w:val="en-US"/>
        </w:rPr>
        <w:t xml:space="preserve">, </w:t>
      </w:r>
      <w:r w:rsidRPr="00012C3F">
        <w:rPr>
          <w:rFonts w:cs="Vrinda"/>
          <w:sz w:val="16"/>
          <w:szCs w:val="16"/>
          <w:lang w:val="en-US"/>
        </w:rPr>
        <w:t xml:space="preserve">para. 401, and </w:t>
      </w:r>
      <w:r w:rsidRPr="00012C3F">
        <w:rPr>
          <w:rFonts w:cs="Courier New"/>
          <w:i/>
          <w:noProof/>
          <w:sz w:val="16"/>
          <w:szCs w:val="16"/>
          <w:lang w:val="en-US"/>
        </w:rPr>
        <w:t>Case of Velásquez Paiz et al. v. Guatemala. Preliminary objections, merits, reparations and costs.</w:t>
      </w:r>
      <w:r w:rsidRPr="00012C3F">
        <w:rPr>
          <w:rFonts w:cs="Courier New"/>
          <w:noProof/>
          <w:sz w:val="16"/>
          <w:szCs w:val="16"/>
          <w:lang w:val="en-US"/>
        </w:rPr>
        <w:t xml:space="preserve"> Judgment of November 19, 2015. Series C No. 307, para. 180</w:t>
      </w:r>
      <w:r w:rsidRPr="00012C3F">
        <w:rPr>
          <w:rFonts w:cs="Vrinda"/>
          <w:sz w:val="16"/>
          <w:szCs w:val="16"/>
          <w:lang w:val="en-US"/>
        </w:rPr>
        <w:t>.</w:t>
      </w:r>
    </w:p>
  </w:footnote>
  <w:footnote w:id="242">
    <w:p w14:paraId="25E47DB9" w14:textId="77777777" w:rsidR="00D24EFE" w:rsidRPr="00012C3F" w:rsidRDefault="00D24EFE" w:rsidP="00F55848">
      <w:pPr>
        <w:pStyle w:val="Textonotapie"/>
        <w:tabs>
          <w:tab w:val="left" w:pos="720"/>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FIGO, Recommendations on ethics issues in obstetrics and gynecology by the FIGO Committee for the Study of Ethical Aspects of Human Reproduction and Women’s Health of October 2012 and October 2015, which include the Recommendations on the human rights impact of gender stereotyping in the context of reproductive health care of 2011, pp. 332 to 336 (2012) and pp. 418 to 422 (2015).</w:t>
      </w:r>
    </w:p>
  </w:footnote>
  <w:footnote w:id="243">
    <w:p w14:paraId="49B7DED3"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bCs/>
          <w:sz w:val="16"/>
          <w:szCs w:val="16"/>
          <w:lang w:val="en-US"/>
        </w:rPr>
        <w:t>Nuremberg Code of medical ethics, 1947</w:t>
      </w:r>
      <w:r w:rsidRPr="00012C3F">
        <w:rPr>
          <w:sz w:val="16"/>
          <w:szCs w:val="16"/>
          <w:lang w:val="en-US"/>
        </w:rPr>
        <w:t xml:space="preserve">; </w:t>
      </w:r>
      <w:r w:rsidRPr="00012C3F">
        <w:rPr>
          <w:bCs/>
          <w:sz w:val="16"/>
          <w:szCs w:val="16"/>
          <w:lang w:val="en-US"/>
        </w:rPr>
        <w:t>Declaration of Helsinki,</w:t>
      </w:r>
      <w:r w:rsidRPr="00012C3F">
        <w:rPr>
          <w:sz w:val="16"/>
          <w:szCs w:val="16"/>
          <w:lang w:val="en-US"/>
        </w:rPr>
        <w:t xml:space="preserve"> Principles 25 to 27</w:t>
      </w:r>
      <w:r w:rsidRPr="00012C3F">
        <w:rPr>
          <w:bCs/>
          <w:sz w:val="16"/>
          <w:szCs w:val="16"/>
          <w:lang w:val="en-US"/>
        </w:rPr>
        <w:t>; Declaration of Lisbon on the rights of patients,</w:t>
      </w:r>
      <w:r w:rsidRPr="00012C3F">
        <w:rPr>
          <w:sz w:val="16"/>
          <w:szCs w:val="16"/>
          <w:lang w:val="en-US"/>
        </w:rPr>
        <w:t xml:space="preserve"> Principles 3, 7 and 10</w:t>
      </w:r>
      <w:r w:rsidRPr="00012C3F">
        <w:rPr>
          <w:bCs/>
          <w:sz w:val="16"/>
          <w:szCs w:val="16"/>
          <w:lang w:val="en-US"/>
        </w:rPr>
        <w:t xml:space="preserve">; UN, </w:t>
      </w:r>
      <w:r w:rsidRPr="00012C3F">
        <w:rPr>
          <w:rFonts w:eastAsia="MS Mincho"/>
          <w:bCs/>
          <w:sz w:val="16"/>
          <w:szCs w:val="16"/>
          <w:lang w:val="en-US" w:bidi="en-US"/>
        </w:rPr>
        <w:t>Principles for the protection of persons with mental illness and the improvement of mental health care, A/RES/46/119, December 17, 1991,</w:t>
      </w:r>
      <w:r w:rsidRPr="00012C3F">
        <w:rPr>
          <w:bCs/>
          <w:sz w:val="16"/>
          <w:szCs w:val="16"/>
          <w:lang w:val="en-US"/>
        </w:rPr>
        <w:t xml:space="preserve"> Principle 11(2)</w:t>
      </w:r>
      <w:r w:rsidRPr="00012C3F">
        <w:rPr>
          <w:rFonts w:eastAsia="MS Mincho"/>
          <w:bCs/>
          <w:sz w:val="16"/>
          <w:szCs w:val="16"/>
          <w:lang w:val="en-US" w:bidi="en-US"/>
        </w:rPr>
        <w:t xml:space="preserve">; WHO, </w:t>
      </w:r>
      <w:r w:rsidRPr="00012C3F">
        <w:rPr>
          <w:rFonts w:eastAsia="MS Mincho" w:cs="ClassicalGaramondBT-Roman"/>
          <w:sz w:val="16"/>
          <w:szCs w:val="16"/>
          <w:lang w:val="en-US" w:bidi="en-US"/>
        </w:rPr>
        <w:t xml:space="preserve">Female sterilization: a guide to provision of services, 1993 </w:t>
      </w:r>
      <w:r w:rsidRPr="00012C3F">
        <w:rPr>
          <w:sz w:val="16"/>
          <w:szCs w:val="16"/>
          <w:lang w:val="en-US"/>
        </w:rPr>
        <w:t>(evidence file, volume XIII, annex 3 to the State’s final arguments, folios 5496 to 5499; 5510 to 5520 and 5530 to 5531); FIGO, Recommendations on ethics issues in obstetrics and gynecology by the FIGO Committee for the Study of Ethical Aspects of Human Reproduction and Women’s Health of November 2003, October 2012 and October 2015, regarding informed consent, adopted in 1995 and reaffirmed and supplemented in 2007, pp. 166 to 167 (2003), pp. 316 to 318 (2012) and pp. 399 to 401 (2015), as well as the Ethical recommendations on female sterilization of</w:t>
      </w:r>
      <w:r w:rsidRPr="00012C3F">
        <w:rPr>
          <w:rFonts w:eastAsia="MS Mincho"/>
          <w:sz w:val="16"/>
          <w:szCs w:val="16"/>
          <w:lang w:val="en-US" w:bidi="en-US"/>
        </w:rPr>
        <w:t xml:space="preserve"> 1989, 1990, 2000 and 2011</w:t>
      </w:r>
      <w:r w:rsidRPr="00012C3F">
        <w:rPr>
          <w:sz w:val="16"/>
          <w:szCs w:val="16"/>
          <w:lang w:val="en-US"/>
        </w:rPr>
        <w:t xml:space="preserve">, pp. 55 to 57 and 213 to 218 (2003), pp. 436 to 440 (2012) and pp. 537 to 541 (2015); UN, Committee for the Elimination of Discrimination against Women, General Recommendation No. 24, </w:t>
      </w:r>
      <w:r w:rsidRPr="00012C3F">
        <w:rPr>
          <w:i/>
          <w:sz w:val="16"/>
          <w:szCs w:val="16"/>
          <w:lang w:val="en-US"/>
        </w:rPr>
        <w:t>Women and health</w:t>
      </w:r>
      <w:r w:rsidRPr="00012C3F">
        <w:rPr>
          <w:sz w:val="16"/>
          <w:szCs w:val="16"/>
          <w:lang w:val="en-US"/>
        </w:rPr>
        <w:t xml:space="preserve">, 1999, paras. 20 to 22 (evidence file, volume VIII, annex 39 to the brief with motions, pleadings and evidence, folio 2711); </w:t>
      </w:r>
      <w:r w:rsidRPr="00012C3F">
        <w:rPr>
          <w:rFonts w:eastAsia="MS Mincho"/>
          <w:bCs/>
          <w:sz w:val="16"/>
          <w:szCs w:val="16"/>
          <w:lang w:val="en-US" w:bidi="en-US"/>
        </w:rPr>
        <w:t>Universal Declaration on Bioethics and Human Rights, article</w:t>
      </w:r>
      <w:r w:rsidRPr="00012C3F">
        <w:rPr>
          <w:sz w:val="16"/>
          <w:szCs w:val="16"/>
          <w:lang w:val="en-US"/>
        </w:rPr>
        <w:t xml:space="preserve"> 6</w:t>
      </w:r>
      <w:r w:rsidRPr="00012C3F">
        <w:rPr>
          <w:rFonts w:eastAsia="MS Mincho"/>
          <w:bCs/>
          <w:sz w:val="16"/>
          <w:szCs w:val="16"/>
          <w:lang w:val="en-US" w:bidi="en-US"/>
        </w:rPr>
        <w:t>; UN, Report of the Special Rapporteur on the right of everyone to the highest attainable standard of physical and mental health, Anand Grover, A/64/272, August 10, 2009,</w:t>
      </w:r>
      <w:r w:rsidRPr="00012C3F">
        <w:rPr>
          <w:sz w:val="16"/>
          <w:szCs w:val="16"/>
          <w:lang w:val="en-US"/>
        </w:rPr>
        <w:t xml:space="preserve"> paras. 15 and 16; WMA, </w:t>
      </w:r>
      <w:r w:rsidRPr="00012C3F">
        <w:rPr>
          <w:rFonts w:cs="ClassicalGaramondBT-Roman"/>
          <w:sz w:val="16"/>
          <w:szCs w:val="16"/>
          <w:lang w:val="en-US"/>
        </w:rPr>
        <w:t>the World Medical Association</w:t>
      </w:r>
      <w:r w:rsidRPr="00012C3F">
        <w:rPr>
          <w:bCs/>
          <w:sz w:val="16"/>
          <w:szCs w:val="16"/>
          <w:lang w:val="en-US"/>
        </w:rPr>
        <w:t xml:space="preserve"> Statement on Forced and Coerced Sterilisation</w:t>
      </w:r>
      <w:r w:rsidRPr="00012C3F">
        <w:rPr>
          <w:rFonts w:cs="ClassicalGaramondBT-Roman"/>
          <w:sz w:val="16"/>
          <w:szCs w:val="16"/>
          <w:lang w:val="en-US"/>
        </w:rPr>
        <w:t xml:space="preserve">, adopted by the 63rd General Assembly, Bangkok, Thailand, October 2012 </w:t>
      </w:r>
      <w:r w:rsidRPr="00012C3F">
        <w:rPr>
          <w:sz w:val="16"/>
          <w:szCs w:val="16"/>
          <w:lang w:val="en-US"/>
        </w:rPr>
        <w:t xml:space="preserve">(evidence file, volume VIII, annex 31 to the brief with motions, pleadings and evidence, folios 2613 and 2614), and </w:t>
      </w:r>
      <w:r w:rsidRPr="00012C3F">
        <w:rPr>
          <w:rFonts w:eastAsia="MS Mincho"/>
          <w:sz w:val="16"/>
          <w:szCs w:val="16"/>
          <w:lang w:val="en-US" w:bidi="en-US"/>
        </w:rPr>
        <w:t>United Nations Interagency Statement “Eliminating forced, coercive and otherwise involuntary sterilization,” adopted by OHCHR, UN Women, UNAIDS, UNDP, UNFPA, UNICEF and WHO, 2014</w:t>
      </w:r>
      <w:r w:rsidRPr="00012C3F">
        <w:rPr>
          <w:sz w:val="16"/>
          <w:szCs w:val="16"/>
          <w:lang w:val="en-US"/>
        </w:rPr>
        <w:t xml:space="preserve"> (evidence file, volume VIII, annex 25 to the brief with motions, pleadings and evidence, folios 2452 to 2454 and 2457).</w:t>
      </w:r>
      <w:r w:rsidRPr="00012C3F">
        <w:rPr>
          <w:rFonts w:eastAsia="MS Mincho"/>
          <w:sz w:val="16"/>
          <w:szCs w:val="16"/>
          <w:lang w:val="en-US" w:eastAsia="en-US" w:bidi="en-US"/>
        </w:rPr>
        <w:t xml:space="preserve"> </w:t>
      </w:r>
    </w:p>
  </w:footnote>
  <w:footnote w:id="244">
    <w:p w14:paraId="2DEC1C78" w14:textId="77777777" w:rsidR="00D24EFE" w:rsidRPr="00012C3F" w:rsidRDefault="00D24EFE" w:rsidP="005B52E1">
      <w:pPr>
        <w:pStyle w:val="Textonotapie"/>
        <w:tabs>
          <w:tab w:val="left" w:pos="567"/>
        </w:tabs>
        <w:spacing w:after="120"/>
        <w:rPr>
          <w:color w:val="000000" w:themeColor="text1"/>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 xml:space="preserve">Some of these documents published up until 2000 are: UN, Committee for the Elimination of Discrimination against Women, General Recommendation No. 24, </w:t>
      </w:r>
      <w:r w:rsidRPr="00012C3F">
        <w:rPr>
          <w:i/>
          <w:sz w:val="16"/>
          <w:szCs w:val="16"/>
          <w:lang w:val="en-US"/>
        </w:rPr>
        <w:t>Women and health</w:t>
      </w:r>
      <w:r w:rsidRPr="00012C3F">
        <w:rPr>
          <w:sz w:val="16"/>
          <w:szCs w:val="16"/>
          <w:lang w:val="en-US"/>
        </w:rPr>
        <w:t xml:space="preserve">, 1999, paras. 20 and 22; </w:t>
      </w:r>
      <w:r w:rsidRPr="00012C3F">
        <w:rPr>
          <w:bCs/>
          <w:sz w:val="16"/>
          <w:szCs w:val="16"/>
          <w:lang w:val="en-US"/>
        </w:rPr>
        <w:t xml:space="preserve">UN, </w:t>
      </w:r>
      <w:r w:rsidRPr="00012C3F">
        <w:rPr>
          <w:rFonts w:eastAsia="MS Mincho"/>
          <w:bCs/>
          <w:sz w:val="16"/>
          <w:szCs w:val="16"/>
          <w:lang w:val="en-US" w:bidi="en-US"/>
        </w:rPr>
        <w:t>Principles for the protection of persons with mental illness and the improvement of mental health care, A/RES/46/119, December 17, 1991,</w:t>
      </w:r>
      <w:r w:rsidRPr="00012C3F">
        <w:rPr>
          <w:bCs/>
          <w:sz w:val="16"/>
          <w:szCs w:val="16"/>
          <w:lang w:val="en-US"/>
        </w:rPr>
        <w:t xml:space="preserve"> Principle 11.2</w:t>
      </w:r>
      <w:r w:rsidRPr="00012C3F">
        <w:rPr>
          <w:rFonts w:eastAsia="MS Mincho"/>
          <w:bCs/>
          <w:sz w:val="16"/>
          <w:szCs w:val="16"/>
          <w:lang w:val="en-US" w:eastAsia="en-US" w:bidi="en-US"/>
        </w:rPr>
        <w:t xml:space="preserve">; </w:t>
      </w:r>
      <w:r w:rsidRPr="00012C3F">
        <w:rPr>
          <w:sz w:val="16"/>
          <w:szCs w:val="16"/>
          <w:lang w:val="en-US"/>
        </w:rPr>
        <w:t>FIGO, Recommendations on ethics issues in obstetrics and gynecology by the FIGO Committee for the Study of Ethical Aspects of Human Reproduction and Women’s Health of November 2003, which include the Guidelines regarding informed consent, adopted in 1995, pp. 166 to 167, as well as the Ethical recommendations on female sterilization of</w:t>
      </w:r>
      <w:r w:rsidRPr="00012C3F">
        <w:rPr>
          <w:rFonts w:eastAsia="MS Mincho"/>
          <w:sz w:val="16"/>
          <w:szCs w:val="16"/>
          <w:lang w:val="en-US" w:bidi="en-US"/>
        </w:rPr>
        <w:t xml:space="preserve"> 1989, 1990 and 2000</w:t>
      </w:r>
      <w:r w:rsidRPr="00012C3F">
        <w:rPr>
          <w:sz w:val="16"/>
          <w:szCs w:val="16"/>
          <w:lang w:val="en-US"/>
        </w:rPr>
        <w:t xml:space="preserve">, pp. 55 to 57 and 213 to 218, and </w:t>
      </w:r>
      <w:r w:rsidRPr="00012C3F">
        <w:rPr>
          <w:rFonts w:eastAsia="MS Mincho"/>
          <w:bCs/>
          <w:sz w:val="16"/>
          <w:szCs w:val="16"/>
          <w:lang w:val="en-US" w:bidi="en-US"/>
        </w:rPr>
        <w:t xml:space="preserve">WHO, </w:t>
      </w:r>
      <w:r w:rsidRPr="00012C3F">
        <w:rPr>
          <w:rFonts w:eastAsia="MS Mincho" w:cs="ClassicalGaramondBT-Roman"/>
          <w:sz w:val="16"/>
          <w:szCs w:val="16"/>
          <w:lang w:val="en-US" w:bidi="en-US"/>
        </w:rPr>
        <w:t xml:space="preserve">Female sterilization: a guide to provision of services, 1993 </w:t>
      </w:r>
      <w:r w:rsidRPr="00012C3F">
        <w:rPr>
          <w:sz w:val="16"/>
          <w:szCs w:val="16"/>
          <w:lang w:val="en-US"/>
        </w:rPr>
        <w:t xml:space="preserve">(evidence file, volume XIII, annex 3 to the State’s final arguments, folios 5496 to 5498 and 5514 to 5516). In addition, see the rulings of the </w:t>
      </w:r>
      <w:r w:rsidRPr="00012C3F">
        <w:rPr>
          <w:rFonts w:eastAsia="MS Mincho"/>
          <w:sz w:val="16"/>
          <w:szCs w:val="16"/>
          <w:lang w:val="en-US" w:eastAsia="en-US" w:bidi="en-US"/>
        </w:rPr>
        <w:t xml:space="preserve">European Court of Human Rights, as in the case of </w:t>
      </w:r>
      <w:r w:rsidRPr="00012C3F">
        <w:rPr>
          <w:rFonts w:eastAsia="MS Mincho"/>
          <w:i/>
          <w:iCs/>
          <w:sz w:val="16"/>
          <w:szCs w:val="16"/>
          <w:lang w:val="en-US" w:eastAsia="en-US" w:bidi="en-US"/>
        </w:rPr>
        <w:t>V</w:t>
      </w:r>
      <w:r w:rsidRPr="00012C3F">
        <w:rPr>
          <w:rFonts w:eastAsia="MS Mincho"/>
          <w:i/>
          <w:sz w:val="16"/>
          <w:szCs w:val="16"/>
          <w:lang w:val="en-US" w:eastAsia="en-US" w:bidi="en-US"/>
        </w:rPr>
        <w:t>.C v. Slovakia,</w:t>
      </w:r>
      <w:r w:rsidRPr="00012C3F">
        <w:rPr>
          <w:rFonts w:eastAsia="MS Mincho"/>
          <w:sz w:val="16"/>
          <w:szCs w:val="16"/>
          <w:lang w:val="en-US" w:eastAsia="en-US" w:bidi="en-US"/>
        </w:rPr>
        <w:t xml:space="preserve"> in which it referred to the fact that the patient had not been informed of alternative treatments to sterilization. </w:t>
      </w:r>
      <w:r w:rsidRPr="00012C3F">
        <w:rPr>
          <w:rFonts w:eastAsia="MS Mincho"/>
          <w:i/>
          <w:sz w:val="16"/>
          <w:szCs w:val="16"/>
          <w:lang w:val="en-US" w:eastAsia="en-US" w:bidi="en-US"/>
        </w:rPr>
        <w:t xml:space="preserve">Cf. </w:t>
      </w:r>
      <w:r w:rsidRPr="00012C3F">
        <w:rPr>
          <w:sz w:val="16"/>
          <w:szCs w:val="16"/>
          <w:lang w:val="en-US"/>
        </w:rPr>
        <w:t xml:space="preserve">ECHR, </w:t>
      </w:r>
      <w:r w:rsidRPr="00012C3F">
        <w:rPr>
          <w:rFonts w:cs="Arial"/>
          <w:i/>
          <w:sz w:val="16"/>
          <w:szCs w:val="16"/>
          <w:lang w:val="en-US" w:eastAsia="es-CR"/>
        </w:rPr>
        <w:t>Case of</w:t>
      </w:r>
      <w:r w:rsidRPr="00012C3F">
        <w:rPr>
          <w:rFonts w:cs="Arial"/>
          <w:sz w:val="16"/>
          <w:szCs w:val="16"/>
          <w:lang w:val="en-US" w:eastAsia="es-CR"/>
        </w:rPr>
        <w:t xml:space="preserve"> </w:t>
      </w:r>
      <w:r w:rsidRPr="00012C3F">
        <w:rPr>
          <w:i/>
          <w:sz w:val="16"/>
          <w:szCs w:val="16"/>
          <w:lang w:val="en-US"/>
        </w:rPr>
        <w:t>V.C. v. Slovakia</w:t>
      </w:r>
      <w:r w:rsidRPr="00012C3F">
        <w:rPr>
          <w:sz w:val="16"/>
          <w:szCs w:val="16"/>
          <w:lang w:val="en-US"/>
        </w:rPr>
        <w:t>, No. 18968/07. Judgment of November 8, 2011, para. 112 (evidence file, volume VIII, annex 28 to the brief with motions, pleadings and evidence, folios 2531 to 2577).</w:t>
      </w:r>
      <w:r w:rsidRPr="00012C3F">
        <w:rPr>
          <w:color w:val="000000" w:themeColor="text1"/>
          <w:sz w:val="16"/>
          <w:szCs w:val="16"/>
          <w:lang w:val="en-US"/>
        </w:rPr>
        <w:t xml:space="preserve"> See also, Report of the Special Rapporteur on violence against women, its causes and consequences</w:t>
      </w:r>
      <w:r w:rsidRPr="00012C3F">
        <w:rPr>
          <w:bCs/>
          <w:sz w:val="16"/>
          <w:szCs w:val="16"/>
          <w:lang w:val="en-US"/>
        </w:rPr>
        <w:t>, Ms. Radhika</w:t>
      </w:r>
      <w:r w:rsidRPr="00012C3F">
        <w:rPr>
          <w:rFonts w:cs="Courier New"/>
          <w:color w:val="000000" w:themeColor="text1"/>
          <w:sz w:val="16"/>
          <w:szCs w:val="16"/>
          <w:lang w:val="en-US"/>
        </w:rPr>
        <w:t xml:space="preserve"> Coomaraswamy</w:t>
      </w:r>
      <w:r w:rsidRPr="00012C3F">
        <w:rPr>
          <w:bCs/>
          <w:sz w:val="16"/>
          <w:szCs w:val="16"/>
          <w:lang w:val="en-US"/>
        </w:rPr>
        <w:t xml:space="preserve">, </w:t>
      </w:r>
      <w:r w:rsidRPr="00012C3F">
        <w:rPr>
          <w:bCs/>
          <w:i/>
          <w:sz w:val="16"/>
          <w:szCs w:val="16"/>
          <w:lang w:val="en-US"/>
        </w:rPr>
        <w:t xml:space="preserve">Policies and practices that impact women’s reproductive rights and contribute to, cause or constitute violence against women. </w:t>
      </w:r>
      <w:r w:rsidRPr="00012C3F">
        <w:rPr>
          <w:bCs/>
          <w:sz w:val="16"/>
          <w:szCs w:val="16"/>
          <w:lang w:val="en-US"/>
        </w:rPr>
        <w:t xml:space="preserve">E/CN.4/1999/68/Add.4, January 21, 1999, </w:t>
      </w:r>
      <w:r w:rsidRPr="00012C3F">
        <w:rPr>
          <w:rFonts w:cs="Courier New"/>
          <w:color w:val="000000" w:themeColor="text1"/>
          <w:sz w:val="16"/>
          <w:szCs w:val="16"/>
          <w:lang w:val="en-US"/>
        </w:rPr>
        <w:t>para. 52.</w:t>
      </w:r>
    </w:p>
  </w:footnote>
  <w:footnote w:id="245">
    <w:p w14:paraId="560CFCF0"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rFonts w:eastAsia="MS Mincho"/>
          <w:bCs/>
          <w:sz w:val="16"/>
          <w:szCs w:val="16"/>
          <w:lang w:val="en-US" w:bidi="en-US"/>
        </w:rPr>
        <w:t>UN, Report of the Special Rapporteur on the right of everyone to the highest attainable standard of physical and mental health, Anand Grover, A/64/272, August 10, 2009,</w:t>
      </w:r>
      <w:r w:rsidRPr="00012C3F">
        <w:rPr>
          <w:sz w:val="16"/>
          <w:szCs w:val="16"/>
          <w:lang w:val="en-US"/>
        </w:rPr>
        <w:t xml:space="preserve"> para. 59.</w:t>
      </w:r>
    </w:p>
  </w:footnote>
  <w:footnote w:id="246">
    <w:p w14:paraId="4B5058C1" w14:textId="77777777" w:rsidR="00D24EFE" w:rsidRPr="00012C3F" w:rsidRDefault="00D24EFE" w:rsidP="0053644E">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rFonts w:eastAsia="MS Mincho"/>
          <w:bCs/>
          <w:sz w:val="16"/>
          <w:szCs w:val="16"/>
          <w:lang w:val="en-US" w:eastAsia="en-US" w:bidi="en-US"/>
        </w:rPr>
        <w:t xml:space="preserve">WHO, </w:t>
      </w:r>
      <w:r w:rsidRPr="00012C3F">
        <w:rPr>
          <w:rFonts w:eastAsia="MS Mincho" w:cs="ClassicalGaramondBT-Roman"/>
          <w:sz w:val="16"/>
          <w:szCs w:val="16"/>
          <w:lang w:val="en-US" w:eastAsia="en-US" w:bidi="en-US"/>
        </w:rPr>
        <w:t xml:space="preserve">Female sterilization: a guide to provision of services, 1993 </w:t>
      </w:r>
      <w:r w:rsidRPr="00012C3F">
        <w:rPr>
          <w:sz w:val="16"/>
          <w:szCs w:val="16"/>
          <w:lang w:val="en-US"/>
        </w:rPr>
        <w:t>(evidence file, volume XIII, annex 3 to the State’s final arguments, folios 5510 to 5520), and FIGO, Recommendations on ethics issues in obstetrics and gynecology by the FIGO Committee for the Study of Ethical Aspects of Human Reproduction and Women’s Health of November 2003, October 2012 and October 2015, which include the Guidelines regarding informed consent, adopted in 1995 and reaffirmed and supplemented in 2007, pp. 166 to 167 (2003), pp. 316 to 318 (2012) and pp. 399 to 401 (2015), as well as the Ethical recommendations on female sterilization of</w:t>
      </w:r>
      <w:r w:rsidRPr="00012C3F">
        <w:rPr>
          <w:rFonts w:eastAsia="MS Mincho"/>
          <w:sz w:val="16"/>
          <w:szCs w:val="16"/>
          <w:lang w:val="en-US" w:bidi="en-US"/>
        </w:rPr>
        <w:t xml:space="preserve"> 1989, 1990, 2000 and 2011</w:t>
      </w:r>
      <w:r w:rsidRPr="00012C3F">
        <w:rPr>
          <w:sz w:val="16"/>
          <w:szCs w:val="16"/>
          <w:lang w:val="en-US"/>
        </w:rPr>
        <w:t>, pp. 55 to 57 and 213 to 218 (2003), pp. 436 to 440 (2012) and pp. 537 to 541 (2015).</w:t>
      </w:r>
    </w:p>
  </w:footnote>
  <w:footnote w:id="247">
    <w:p w14:paraId="6469CE96" w14:textId="77777777" w:rsidR="00D24EFE" w:rsidRPr="00012C3F" w:rsidRDefault="00D24EFE" w:rsidP="0053644E">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bCs/>
          <w:sz w:val="16"/>
          <w:szCs w:val="16"/>
          <w:lang w:val="en-US"/>
        </w:rPr>
        <w:t xml:space="preserve">Declaration of Helsinki, </w:t>
      </w:r>
      <w:r w:rsidRPr="00012C3F">
        <w:rPr>
          <w:sz w:val="16"/>
          <w:szCs w:val="16"/>
          <w:lang w:val="en-US"/>
        </w:rPr>
        <w:t>Principle 26</w:t>
      </w:r>
      <w:r w:rsidRPr="00012C3F">
        <w:rPr>
          <w:bCs/>
          <w:sz w:val="16"/>
          <w:szCs w:val="16"/>
          <w:lang w:val="en-US"/>
        </w:rPr>
        <w:t>.</w:t>
      </w:r>
    </w:p>
  </w:footnote>
  <w:footnote w:id="248">
    <w:p w14:paraId="4A272E9A" w14:textId="77777777" w:rsidR="00D24EFE" w:rsidRPr="00012C3F" w:rsidRDefault="00D24EFE" w:rsidP="0053644E">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bCs/>
          <w:sz w:val="16"/>
          <w:szCs w:val="16"/>
          <w:lang w:val="en-US"/>
        </w:rPr>
        <w:t>Declaration of Lisbon on the rights of patients, Principle</w:t>
      </w:r>
      <w:r w:rsidRPr="00012C3F">
        <w:rPr>
          <w:sz w:val="16"/>
          <w:szCs w:val="16"/>
          <w:lang w:val="en-US"/>
        </w:rPr>
        <w:t xml:space="preserve"> 7</w:t>
      </w:r>
      <w:r w:rsidRPr="00012C3F">
        <w:rPr>
          <w:bCs/>
          <w:sz w:val="16"/>
          <w:szCs w:val="16"/>
          <w:lang w:val="en-US"/>
        </w:rPr>
        <w:t>.</w:t>
      </w:r>
    </w:p>
  </w:footnote>
  <w:footnote w:id="249">
    <w:p w14:paraId="5C33A92E" w14:textId="77777777" w:rsidR="00D24EFE" w:rsidRPr="00012C3F" w:rsidRDefault="00D24EFE" w:rsidP="005B52E1">
      <w:pPr>
        <w:pStyle w:val="Textonotapie"/>
        <w:tabs>
          <w:tab w:val="left" w:pos="567"/>
        </w:tabs>
        <w:spacing w:after="120"/>
        <w:rPr>
          <w:rFonts w:eastAsia="MS Mincho" w:cs="Calibri"/>
          <w:sz w:val="16"/>
          <w:szCs w:val="16"/>
          <w:lang w:val="en-US" w:eastAsia="en-US" w:bidi="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 xml:space="preserve">The ECHR considered in the case of </w:t>
      </w:r>
      <w:r w:rsidRPr="00012C3F">
        <w:rPr>
          <w:i/>
          <w:sz w:val="16"/>
          <w:szCs w:val="16"/>
          <w:lang w:val="en-US"/>
        </w:rPr>
        <w:t>V.C v. Slovakia</w:t>
      </w:r>
      <w:r w:rsidRPr="00012C3F">
        <w:rPr>
          <w:sz w:val="16"/>
          <w:szCs w:val="16"/>
          <w:lang w:val="en-US"/>
        </w:rPr>
        <w:t xml:space="preserve"> that V.C. had given her consent while in labor, only two and a half hours after she had been brought to the hospital, and in circumstances that did not allow her to take a free decision, after having considered what was at stake and the implications of her decision on sterilization. </w:t>
      </w:r>
      <w:r w:rsidRPr="00012C3F">
        <w:rPr>
          <w:rFonts w:eastAsia="MS Mincho"/>
          <w:i/>
          <w:sz w:val="16"/>
          <w:szCs w:val="16"/>
          <w:lang w:val="en-US" w:eastAsia="en-US" w:bidi="en-US"/>
        </w:rPr>
        <w:t xml:space="preserve">Cf. </w:t>
      </w:r>
      <w:r w:rsidRPr="00012C3F">
        <w:rPr>
          <w:sz w:val="16"/>
          <w:szCs w:val="16"/>
          <w:lang w:val="en-US"/>
        </w:rPr>
        <w:t xml:space="preserve">ECHR, </w:t>
      </w:r>
      <w:r w:rsidRPr="00012C3F">
        <w:rPr>
          <w:rFonts w:cs="Arial"/>
          <w:i/>
          <w:sz w:val="16"/>
          <w:szCs w:val="16"/>
          <w:lang w:val="en-US" w:eastAsia="es-CR"/>
        </w:rPr>
        <w:t>Case of</w:t>
      </w:r>
      <w:r w:rsidRPr="00012C3F">
        <w:rPr>
          <w:rFonts w:cs="Arial"/>
          <w:sz w:val="16"/>
          <w:szCs w:val="16"/>
          <w:lang w:val="en-US" w:eastAsia="es-CR"/>
        </w:rPr>
        <w:t xml:space="preserve"> </w:t>
      </w:r>
      <w:r w:rsidRPr="00012C3F">
        <w:rPr>
          <w:i/>
          <w:sz w:val="16"/>
          <w:szCs w:val="16"/>
          <w:lang w:val="en-US"/>
        </w:rPr>
        <w:t>V.C. v. Slovakia</w:t>
      </w:r>
      <w:r w:rsidRPr="00012C3F">
        <w:rPr>
          <w:sz w:val="16"/>
          <w:szCs w:val="16"/>
          <w:lang w:val="en-US"/>
        </w:rPr>
        <w:t>, No. 18968/07. Judgment of November 8, 2011, paras. 111 and 117 (evidence file, volume VIII, annex 28 to the brief with motions, pleadings and evidence, folios 2531 to 2577). Similarly, the Committee for the Elimination of Discrimination against Women</w:t>
      </w:r>
      <w:r w:rsidRPr="00012C3F">
        <w:rPr>
          <w:rFonts w:cs="Calibri"/>
          <w:sz w:val="16"/>
          <w:szCs w:val="16"/>
          <w:lang w:val="en-US"/>
        </w:rPr>
        <w:t>,</w:t>
      </w:r>
      <w:r w:rsidRPr="00012C3F">
        <w:rPr>
          <w:sz w:val="16"/>
          <w:szCs w:val="16"/>
          <w:lang w:val="en-US"/>
        </w:rPr>
        <w:t xml:space="preserve"> in the case of</w:t>
      </w:r>
      <w:r w:rsidRPr="00012C3F">
        <w:rPr>
          <w:rFonts w:eastAsia="MS Mincho" w:cs="Calibri"/>
          <w:b/>
          <w:i/>
          <w:sz w:val="16"/>
          <w:szCs w:val="16"/>
          <w:lang w:val="en-US" w:eastAsia="en-US" w:bidi="en-US"/>
        </w:rPr>
        <w:t xml:space="preserve"> </w:t>
      </w:r>
      <w:r w:rsidRPr="00012C3F">
        <w:rPr>
          <w:rFonts w:eastAsia="MS Mincho" w:cs="Calibri"/>
          <w:i/>
          <w:sz w:val="16"/>
          <w:szCs w:val="16"/>
          <w:lang w:val="en-US" w:eastAsia="en-US" w:bidi="en-US"/>
        </w:rPr>
        <w:t xml:space="preserve">A.S v Hungary, </w:t>
      </w:r>
      <w:r w:rsidRPr="00012C3F">
        <w:rPr>
          <w:rFonts w:eastAsia="MS Mincho" w:cs="Calibri"/>
          <w:sz w:val="16"/>
          <w:szCs w:val="16"/>
          <w:lang w:val="en-US" w:eastAsia="en-US" w:bidi="en-US"/>
        </w:rPr>
        <w:t xml:space="preserve">concluded that the 17-minute timespan and the circumstances under which A.S. decided to undergo sterilization had not allowed her to give free, full and informed consent. </w:t>
      </w:r>
      <w:r w:rsidRPr="00012C3F">
        <w:rPr>
          <w:rFonts w:eastAsia="MS Mincho" w:cs="Calibri"/>
          <w:i/>
          <w:sz w:val="16"/>
          <w:szCs w:val="16"/>
          <w:lang w:val="en-US" w:eastAsia="en-US" w:bidi="en-US"/>
        </w:rPr>
        <w:t xml:space="preserve">Cf. </w:t>
      </w:r>
      <w:r w:rsidRPr="00012C3F">
        <w:rPr>
          <w:rFonts w:cs="Calibri"/>
          <w:sz w:val="16"/>
          <w:szCs w:val="16"/>
          <w:lang w:val="en-US"/>
        </w:rPr>
        <w:t xml:space="preserve">UN, Committee for the Elimination of Discrimination against Women, </w:t>
      </w:r>
      <w:r w:rsidRPr="00012C3F">
        <w:rPr>
          <w:rFonts w:cs="Calibri-Italic"/>
          <w:i/>
          <w:iCs/>
          <w:sz w:val="16"/>
          <w:szCs w:val="16"/>
          <w:lang w:val="en-US"/>
        </w:rPr>
        <w:t>A.S. v. Hungary</w:t>
      </w:r>
      <w:r w:rsidRPr="00012C3F">
        <w:rPr>
          <w:rFonts w:cs="Calibri"/>
          <w:sz w:val="16"/>
          <w:szCs w:val="16"/>
          <w:lang w:val="en-US"/>
        </w:rPr>
        <w:t xml:space="preserve"> (Communication No. 4/2004), CEDAW/C/36/D/4/2004, August 29, 2006, para. 11.3.</w:t>
      </w:r>
    </w:p>
  </w:footnote>
  <w:footnote w:id="250">
    <w:p w14:paraId="44EE1E61"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rFonts w:eastAsia="MS Mincho"/>
          <w:bCs/>
          <w:sz w:val="16"/>
          <w:szCs w:val="16"/>
          <w:lang w:val="en-US" w:bidi="en-US"/>
        </w:rPr>
        <w:t xml:space="preserve">WHO, </w:t>
      </w:r>
      <w:r w:rsidRPr="00012C3F">
        <w:rPr>
          <w:rFonts w:eastAsia="MS Mincho" w:cs="ClassicalGaramondBT-Roman"/>
          <w:sz w:val="16"/>
          <w:szCs w:val="16"/>
          <w:lang w:val="en-US" w:bidi="en-US"/>
        </w:rPr>
        <w:t xml:space="preserve">Female sterilization: a guide to provision of services, 1993 </w:t>
      </w:r>
      <w:r w:rsidRPr="00012C3F">
        <w:rPr>
          <w:sz w:val="16"/>
          <w:szCs w:val="16"/>
          <w:lang w:val="en-US"/>
        </w:rPr>
        <w:t>(evidence file, volume XIII, annex 3 to the State’s final arguments, folios 5496 to 5499; 5510 to 5520 and 5530 to 5531); FIGO, Recommendations on ethics issues in obstetrics and gynecology by the FIGO Committee for the Study of Ethical Aspects of Human Reproduction and Women’s Health of November 2003, October 2012 and October 2015, which include the Guidelines regarding informed consent, adopted in 1995 and reaffirmed and supplemented in 2007, pp. 166 to 167 (2003), pp. 316 to 318 (2012) and pp. 399 to 401 (2015), as well as the Ethical recommendations on female sterilization of</w:t>
      </w:r>
      <w:r w:rsidRPr="00012C3F">
        <w:rPr>
          <w:rFonts w:eastAsia="MS Mincho"/>
          <w:sz w:val="16"/>
          <w:szCs w:val="16"/>
          <w:lang w:val="en-US" w:bidi="en-US"/>
        </w:rPr>
        <w:t xml:space="preserve"> 1989, 1990, 2000 and 2011</w:t>
      </w:r>
      <w:r w:rsidRPr="00012C3F">
        <w:rPr>
          <w:sz w:val="16"/>
          <w:szCs w:val="16"/>
          <w:lang w:val="en-US"/>
        </w:rPr>
        <w:t>, pp. 55 to 57 and 213 to 218 (2003), pp. 436 to 440 (2012) and pp. 537 to 541 (2015); UN, Committee for the Elimination of Discrimination against Women,</w:t>
      </w:r>
      <w:r w:rsidRPr="00012C3F" w:rsidDel="00845737">
        <w:rPr>
          <w:sz w:val="16"/>
          <w:szCs w:val="16"/>
          <w:lang w:val="en-US"/>
        </w:rPr>
        <w:t xml:space="preserve"> </w:t>
      </w:r>
      <w:r w:rsidRPr="00012C3F">
        <w:rPr>
          <w:sz w:val="16"/>
          <w:szCs w:val="16"/>
          <w:lang w:val="en-US"/>
        </w:rPr>
        <w:t xml:space="preserve">General Recommendation No. 21, 1994, paras. 21 to 23 (evidence file, volume VIII, annex 38 to the brief with motions, pleadings and evidence, folio 2700); UN, Committee for the Elimination of Discrimination against Women, General Recommendation No. 24, </w:t>
      </w:r>
      <w:r w:rsidRPr="00012C3F">
        <w:rPr>
          <w:i/>
          <w:sz w:val="16"/>
          <w:szCs w:val="16"/>
          <w:lang w:val="en-US"/>
        </w:rPr>
        <w:t>Women and health</w:t>
      </w:r>
      <w:r w:rsidRPr="00012C3F">
        <w:rPr>
          <w:sz w:val="16"/>
          <w:szCs w:val="16"/>
          <w:lang w:val="en-US"/>
        </w:rPr>
        <w:t xml:space="preserve">, 1999, paras. 20 to 22 (evidence file, volume VIII, annex 39 to the brief with motions, pleadings and evidence, folio 2711); UN, Human Rights Committee, General Comment No. 28, </w:t>
      </w:r>
      <w:r w:rsidRPr="00012C3F">
        <w:rPr>
          <w:i/>
          <w:sz w:val="16"/>
          <w:szCs w:val="16"/>
          <w:lang w:val="en-US"/>
        </w:rPr>
        <w:t>The equality of rights between men and women</w:t>
      </w:r>
      <w:r w:rsidRPr="00012C3F">
        <w:rPr>
          <w:sz w:val="16"/>
          <w:szCs w:val="16"/>
          <w:lang w:val="en-US"/>
        </w:rPr>
        <w:t>, March 29, 2000, para. 20</w:t>
      </w:r>
      <w:r w:rsidRPr="00012C3F">
        <w:rPr>
          <w:rFonts w:eastAsia="MS Mincho"/>
          <w:bCs/>
          <w:sz w:val="16"/>
          <w:szCs w:val="16"/>
          <w:lang w:val="en-US" w:bidi="en-US"/>
        </w:rPr>
        <w:t xml:space="preserve">; UN, </w:t>
      </w:r>
      <w:r w:rsidRPr="00012C3F">
        <w:rPr>
          <w:color w:val="000000" w:themeColor="text1"/>
          <w:sz w:val="16"/>
          <w:szCs w:val="16"/>
          <w:lang w:val="en-US"/>
        </w:rPr>
        <w:t>Report of the Special Rapporteur on violence against women, its causes and consequences</w:t>
      </w:r>
      <w:r w:rsidRPr="00012C3F">
        <w:rPr>
          <w:bCs/>
          <w:sz w:val="16"/>
          <w:szCs w:val="16"/>
          <w:lang w:val="en-US"/>
        </w:rPr>
        <w:t>, Ms. Radhika</w:t>
      </w:r>
      <w:r w:rsidRPr="00012C3F">
        <w:rPr>
          <w:rFonts w:cs="Courier New"/>
          <w:color w:val="000000" w:themeColor="text1"/>
          <w:sz w:val="16"/>
          <w:szCs w:val="16"/>
          <w:lang w:val="en-US"/>
        </w:rPr>
        <w:t xml:space="preserve"> Coomaraswamy</w:t>
      </w:r>
      <w:r w:rsidRPr="00012C3F">
        <w:rPr>
          <w:bCs/>
          <w:sz w:val="16"/>
          <w:szCs w:val="16"/>
          <w:lang w:val="en-US"/>
        </w:rPr>
        <w:t xml:space="preserve">, </w:t>
      </w:r>
      <w:r w:rsidRPr="00012C3F">
        <w:rPr>
          <w:bCs/>
          <w:i/>
          <w:sz w:val="16"/>
          <w:szCs w:val="16"/>
          <w:lang w:val="en-US"/>
        </w:rPr>
        <w:t xml:space="preserve">Policies and practices that impact women’s reproductive rights and contribute to, cause or constitute violence against women, </w:t>
      </w:r>
      <w:r w:rsidRPr="00012C3F">
        <w:rPr>
          <w:bCs/>
          <w:sz w:val="16"/>
          <w:szCs w:val="16"/>
          <w:lang w:val="en-US"/>
        </w:rPr>
        <w:t xml:space="preserve">E/CN.4/1999/68/Add.4, January 21, 1999, para. 52; </w:t>
      </w:r>
      <w:r w:rsidRPr="00012C3F">
        <w:rPr>
          <w:rFonts w:eastAsia="MS Mincho"/>
          <w:bCs/>
          <w:sz w:val="16"/>
          <w:szCs w:val="16"/>
          <w:lang w:val="en-US" w:bidi="en-US"/>
        </w:rPr>
        <w:t>UN, Report of the Special Rapporteur on the right of everyone to the highest attainable standard of physical and mental health, Anand Grover, A/64/272, August 10, 2009,</w:t>
      </w:r>
      <w:r w:rsidRPr="00012C3F">
        <w:rPr>
          <w:sz w:val="16"/>
          <w:szCs w:val="16"/>
          <w:lang w:val="en-US"/>
        </w:rPr>
        <w:t xml:space="preserve"> paras. 54 and 55; WMA, </w:t>
      </w:r>
      <w:r w:rsidRPr="00012C3F">
        <w:rPr>
          <w:rFonts w:cs="ClassicalGaramondBT-Roman"/>
          <w:sz w:val="16"/>
          <w:szCs w:val="16"/>
          <w:lang w:val="en-US"/>
        </w:rPr>
        <w:t>the World Medical Association</w:t>
      </w:r>
      <w:r w:rsidRPr="00012C3F">
        <w:rPr>
          <w:bCs/>
          <w:sz w:val="16"/>
          <w:szCs w:val="16"/>
          <w:lang w:val="en-US"/>
        </w:rPr>
        <w:t xml:space="preserve"> Statement on Forced and Coerced Sterilisation</w:t>
      </w:r>
      <w:r w:rsidRPr="00012C3F">
        <w:rPr>
          <w:rFonts w:cs="ClassicalGaramondBT-Roman"/>
          <w:sz w:val="16"/>
          <w:szCs w:val="16"/>
          <w:lang w:val="en-US"/>
        </w:rPr>
        <w:t xml:space="preserve">, adopted by the 63rd General Assembly, Bangkok, Thailand, October 2012 </w:t>
      </w:r>
      <w:r w:rsidRPr="00012C3F">
        <w:rPr>
          <w:sz w:val="16"/>
          <w:szCs w:val="16"/>
          <w:lang w:val="en-US"/>
        </w:rPr>
        <w:t xml:space="preserve">(evidence file, volume VIII, annex 31 to the brief with motions, pleadings and evidence, folios 2613 and 2614), and </w:t>
      </w:r>
      <w:r w:rsidRPr="00012C3F">
        <w:rPr>
          <w:rFonts w:eastAsia="MS Mincho"/>
          <w:sz w:val="16"/>
          <w:szCs w:val="16"/>
          <w:lang w:val="en-US" w:bidi="en-US"/>
        </w:rPr>
        <w:t>United Nations Interagency Statement “Eliminating forced, coercive and otherwise involuntary sterilization,” adopted by OHCHR, UN Women, UNAIDS, UNDP, UNFPA, UNICEF and WHO, 2014</w:t>
      </w:r>
      <w:r w:rsidRPr="00012C3F">
        <w:rPr>
          <w:sz w:val="16"/>
          <w:szCs w:val="16"/>
          <w:lang w:val="en-US"/>
        </w:rPr>
        <w:t xml:space="preserve"> (evidence file, volume VIII, annex 25 to the brief with motions, pleadings and evidence, folios 2452 to 2454 and 2457).</w:t>
      </w:r>
    </w:p>
  </w:footnote>
  <w:footnote w:id="251">
    <w:p w14:paraId="7E1052D1"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rFonts w:eastAsia="MS Mincho"/>
          <w:bCs/>
          <w:sz w:val="16"/>
          <w:szCs w:val="16"/>
          <w:lang w:val="en-US" w:eastAsia="en-US" w:bidi="en-US"/>
        </w:rPr>
        <w:t xml:space="preserve">WHO, </w:t>
      </w:r>
      <w:r w:rsidRPr="00012C3F">
        <w:rPr>
          <w:rFonts w:eastAsia="MS Mincho" w:cs="ClassicalGaramondBT-Roman"/>
          <w:sz w:val="16"/>
          <w:szCs w:val="16"/>
          <w:lang w:val="en-US" w:eastAsia="en-US" w:bidi="en-US"/>
        </w:rPr>
        <w:t xml:space="preserve">Female sterilization: a guide to provision of services, 1993 </w:t>
      </w:r>
      <w:r w:rsidRPr="00012C3F">
        <w:rPr>
          <w:sz w:val="16"/>
          <w:szCs w:val="16"/>
          <w:lang w:val="en-US"/>
        </w:rPr>
        <w:t xml:space="preserve">(evidence file, volume XIII, annex 3 to the State’s final arguments, folios 5510 to 5520 and 5530 and 5531); WHO,  Ensuring human rights in the provision of contraceptive information and services; Guidance and recommendations, 2014; Ensuring human rights within contraceptive programmes. A human rights analysis of existing quantitative indicators, 2014, pp. 25 and 26; Framework for ensuring human rights in the provision of contraceptive information and services, 2014, pp. 3 to 6; Medical eligibility criteria for contraceptive use, first edition, 1996, pp. 87 and </w:t>
      </w:r>
      <w:r w:rsidRPr="00012C3F">
        <w:rPr>
          <w:i/>
          <w:iCs/>
          <w:sz w:val="16"/>
          <w:szCs w:val="16"/>
          <w:lang w:val="en-US"/>
        </w:rPr>
        <w:t>ff</w:t>
      </w:r>
      <w:r w:rsidRPr="00012C3F">
        <w:rPr>
          <w:sz w:val="16"/>
          <w:szCs w:val="16"/>
          <w:lang w:val="en-US"/>
        </w:rPr>
        <w:t xml:space="preserve">.;  second edition, 2000, pp. 105 and </w:t>
      </w:r>
      <w:r w:rsidRPr="00012C3F">
        <w:rPr>
          <w:i/>
          <w:iCs/>
          <w:sz w:val="16"/>
          <w:szCs w:val="16"/>
          <w:lang w:val="en-US"/>
        </w:rPr>
        <w:t>ff</w:t>
      </w:r>
      <w:r w:rsidRPr="00012C3F">
        <w:rPr>
          <w:sz w:val="16"/>
          <w:szCs w:val="16"/>
          <w:lang w:val="en-US"/>
        </w:rPr>
        <w:t xml:space="preserve">.;  third edition, 2005, pp. 105 and </w:t>
      </w:r>
      <w:r w:rsidRPr="00012C3F">
        <w:rPr>
          <w:i/>
          <w:iCs/>
          <w:sz w:val="16"/>
          <w:szCs w:val="16"/>
          <w:lang w:val="en-US"/>
        </w:rPr>
        <w:t>ff</w:t>
      </w:r>
      <w:r w:rsidRPr="00012C3F">
        <w:rPr>
          <w:sz w:val="16"/>
          <w:szCs w:val="16"/>
          <w:lang w:val="en-US"/>
        </w:rPr>
        <w:t xml:space="preserve">.;  and  fourth edition, 2009, pp. 105 and </w:t>
      </w:r>
      <w:r w:rsidRPr="00012C3F">
        <w:rPr>
          <w:i/>
          <w:iCs/>
          <w:sz w:val="16"/>
          <w:szCs w:val="16"/>
          <w:lang w:val="en-US"/>
        </w:rPr>
        <w:t>ff</w:t>
      </w:r>
      <w:r w:rsidRPr="00012C3F">
        <w:rPr>
          <w:sz w:val="16"/>
          <w:szCs w:val="16"/>
          <w:lang w:val="en-US"/>
        </w:rPr>
        <w:t>.;  FIGO, Recommendations on ethics issues in obstetrics and gynecology by the FIGO Committee for the Study of Ethical Aspects of Human Reproduction and Women’s Health of November 2003, October 2012 and October 2015, which include the Guidelines regarding informed consent, adopted in 1995 and reaffirmed and supplemented in 2007, pp. 166 and 167 (2003), pp. 316 to 318 (2012) and pp. 399 to 401 (2015), as well as the Ethical recommendations on female sterilization of</w:t>
      </w:r>
      <w:r w:rsidRPr="00012C3F">
        <w:rPr>
          <w:rFonts w:eastAsia="MS Mincho"/>
          <w:sz w:val="16"/>
          <w:szCs w:val="16"/>
          <w:lang w:val="en-US" w:bidi="en-US"/>
        </w:rPr>
        <w:t xml:space="preserve"> 1989, 1990, 2000 and 2011</w:t>
      </w:r>
      <w:r w:rsidRPr="00012C3F">
        <w:rPr>
          <w:sz w:val="16"/>
          <w:szCs w:val="16"/>
          <w:lang w:val="en-US"/>
        </w:rPr>
        <w:t xml:space="preserve">, pp. 55 to 57 and 213 to 218 (2003), pp. 436 to 440 (2012) and pp. 537 to 541 (2015), and </w:t>
      </w:r>
      <w:r w:rsidRPr="00012C3F">
        <w:rPr>
          <w:rFonts w:eastAsia="MS Mincho"/>
          <w:sz w:val="16"/>
          <w:szCs w:val="16"/>
          <w:lang w:val="en-US" w:bidi="en-US"/>
        </w:rPr>
        <w:t>United Nations Interagency Statement “Eliminating forced, coercive and otherwise involuntary sterilization,” adopted by OHCHR, UN Women, UNAIDS, UNDP, UNFPA, UNICEF and WHO, 2014</w:t>
      </w:r>
      <w:r w:rsidRPr="00012C3F" w:rsidDel="00AB5AB5">
        <w:rPr>
          <w:rFonts w:eastAsia="MS Mincho" w:cs="ClassicalGaramondBT-Roman"/>
          <w:color w:val="000000"/>
          <w:sz w:val="16"/>
          <w:szCs w:val="16"/>
          <w:lang w:val="en-US" w:eastAsia="en-US" w:bidi="en-US"/>
        </w:rPr>
        <w:t xml:space="preserve"> </w:t>
      </w:r>
      <w:r w:rsidRPr="00012C3F">
        <w:rPr>
          <w:sz w:val="16"/>
          <w:szCs w:val="16"/>
          <w:lang w:val="en-US"/>
        </w:rPr>
        <w:t>(evidence file, volume VIII, annex 25 to the brief with motions, pleadings and evidence, folios 2452 to 2457).</w:t>
      </w:r>
    </w:p>
  </w:footnote>
  <w:footnote w:id="252">
    <w:p w14:paraId="53460520" w14:textId="77777777" w:rsidR="00D24EFE" w:rsidRPr="00012C3F" w:rsidRDefault="00D24EFE" w:rsidP="005B52E1">
      <w:pPr>
        <w:pStyle w:val="Textonotapie"/>
        <w:tabs>
          <w:tab w:val="left" w:pos="567"/>
        </w:tabs>
        <w:spacing w:after="120"/>
        <w:rPr>
          <w:rFonts w:cs="ClassicalGaramondBT-Roman"/>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 xml:space="preserve">Similarly, </w:t>
      </w:r>
      <w:r w:rsidRPr="00012C3F">
        <w:rPr>
          <w:rFonts w:cs="ClassicalGaramondBT-Roman"/>
          <w:sz w:val="16"/>
          <w:szCs w:val="16"/>
          <w:lang w:val="en-US"/>
        </w:rPr>
        <w:t>the World Medical Association</w:t>
      </w:r>
      <w:r w:rsidRPr="00012C3F">
        <w:rPr>
          <w:bCs/>
          <w:sz w:val="16"/>
          <w:szCs w:val="16"/>
          <w:lang w:val="en-US"/>
        </w:rPr>
        <w:t xml:space="preserve"> Statement on Forced and Coerced Sterilisation</w:t>
      </w:r>
      <w:r w:rsidRPr="00012C3F">
        <w:rPr>
          <w:rFonts w:cs="ClassicalGaramondBT-Roman"/>
          <w:sz w:val="16"/>
          <w:szCs w:val="16"/>
          <w:lang w:val="en-US"/>
        </w:rPr>
        <w:t xml:space="preserve"> establishes that a full range of contraception services, including sterilization, should be accessible and affordable to every individual. </w:t>
      </w:r>
      <w:r w:rsidRPr="00012C3F">
        <w:rPr>
          <w:rFonts w:cs="Arial"/>
          <w:i/>
          <w:sz w:val="16"/>
          <w:szCs w:val="16"/>
          <w:shd w:val="clear" w:color="auto" w:fill="FFFFFF"/>
          <w:lang w:val="en-US"/>
        </w:rPr>
        <w:t xml:space="preserve">Cf. </w:t>
      </w:r>
      <w:r w:rsidRPr="00012C3F">
        <w:rPr>
          <w:rFonts w:cs="Arial"/>
          <w:sz w:val="16"/>
          <w:szCs w:val="16"/>
          <w:shd w:val="clear" w:color="auto" w:fill="FFFFFF"/>
          <w:lang w:val="en-US"/>
        </w:rPr>
        <w:t xml:space="preserve">WMA, </w:t>
      </w:r>
      <w:r w:rsidRPr="00012C3F">
        <w:rPr>
          <w:rFonts w:cs="ClassicalGaramondBT-Roman"/>
          <w:sz w:val="16"/>
          <w:szCs w:val="16"/>
          <w:lang w:val="en-US"/>
        </w:rPr>
        <w:t>the World Medical Association</w:t>
      </w:r>
      <w:r w:rsidRPr="00012C3F">
        <w:rPr>
          <w:bCs/>
          <w:sz w:val="16"/>
          <w:szCs w:val="16"/>
          <w:lang w:val="en-US"/>
        </w:rPr>
        <w:t xml:space="preserve"> Statement on Forced and Coerced Sterilisation</w:t>
      </w:r>
      <w:r w:rsidRPr="00012C3F">
        <w:rPr>
          <w:rFonts w:cs="ClassicalGaramondBT-Roman"/>
          <w:sz w:val="16"/>
          <w:szCs w:val="16"/>
          <w:lang w:val="en-US"/>
        </w:rPr>
        <w:t xml:space="preserve">, adopted by the 63rd General Assembly, Bangkok, Thailand, October 2012, which underlines that </w:t>
      </w:r>
      <w:r w:rsidRPr="00012C3F">
        <w:rPr>
          <w:sz w:val="16"/>
          <w:szCs w:val="16"/>
          <w:lang w:val="en-US"/>
        </w:rPr>
        <w:t>“[c]onsent to sterilisation should be free from material or social incentives which might distort freedom of choice”</w:t>
      </w:r>
      <w:r w:rsidRPr="00012C3F">
        <w:rPr>
          <w:rFonts w:cs="ClassicalGaramondBT-Roman"/>
          <w:sz w:val="16"/>
          <w:szCs w:val="16"/>
          <w:lang w:val="en-US"/>
        </w:rPr>
        <w:t xml:space="preserve"> </w:t>
      </w:r>
      <w:r w:rsidRPr="00012C3F">
        <w:rPr>
          <w:sz w:val="16"/>
          <w:szCs w:val="16"/>
          <w:lang w:val="en-US"/>
        </w:rPr>
        <w:t>(evidence file, volume VIII, annex 31 to the brief with motions, pleadings and evidence, folios 2613 and 2614).</w:t>
      </w:r>
    </w:p>
  </w:footnote>
  <w:footnote w:id="253">
    <w:p w14:paraId="403F775D" w14:textId="77777777" w:rsidR="00D24EFE" w:rsidRPr="00012C3F" w:rsidRDefault="00D24EFE" w:rsidP="005B52E1">
      <w:pPr>
        <w:widowControl/>
        <w:tabs>
          <w:tab w:val="left" w:pos="567"/>
          <w:tab w:val="left" w:pos="720"/>
        </w:tabs>
        <w:adjustRightInd/>
        <w:spacing w:after="120" w:line="240" w:lineRule="auto"/>
        <w:ind w:right="-90"/>
        <w:textAlignment w:val="auto"/>
        <w:rPr>
          <w:rFonts w:eastAsia="Calibri"/>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 xml:space="preserve">Principle 23 of the </w:t>
      </w:r>
      <w:r w:rsidRPr="00012C3F">
        <w:rPr>
          <w:bCs/>
          <w:sz w:val="16"/>
          <w:szCs w:val="16"/>
          <w:lang w:val="en-US"/>
        </w:rPr>
        <w:t xml:space="preserve">Declaration of Helsinki indicates that consent should be given “preferably in writing [but i]f the consent cannot be obtained in writing, the non-written consent must be formally documented and witnessed.” </w:t>
      </w:r>
      <w:r w:rsidRPr="00012C3F">
        <w:rPr>
          <w:rFonts w:eastAsia="MS Mincho" w:cs="Arial"/>
          <w:sz w:val="16"/>
          <w:szCs w:val="16"/>
          <w:lang w:val="en-US" w:eastAsia="en-US" w:bidi="en-US"/>
        </w:rPr>
        <w:t xml:space="preserve">Similarly, see </w:t>
      </w:r>
      <w:r w:rsidRPr="00012C3F">
        <w:rPr>
          <w:rFonts w:eastAsia="MS Mincho"/>
          <w:bCs/>
          <w:sz w:val="16"/>
          <w:szCs w:val="16"/>
          <w:lang w:val="en-US" w:eastAsia="en-US" w:bidi="en-US"/>
        </w:rPr>
        <w:t xml:space="preserve">WHO, </w:t>
      </w:r>
      <w:r w:rsidRPr="00012C3F">
        <w:rPr>
          <w:rFonts w:eastAsia="MS Mincho" w:cs="ClassicalGaramondBT-Roman"/>
          <w:sz w:val="16"/>
          <w:szCs w:val="16"/>
          <w:lang w:val="en-US" w:eastAsia="en-US" w:bidi="en-US"/>
        </w:rPr>
        <w:t xml:space="preserve">Female sterilization: a guide to provision of services, 1993 </w:t>
      </w:r>
      <w:r w:rsidRPr="00012C3F">
        <w:rPr>
          <w:sz w:val="16"/>
          <w:szCs w:val="16"/>
          <w:lang w:val="en-US"/>
        </w:rPr>
        <w:t xml:space="preserve">(evidence file, volume XIII, annex 3 to the State’s final arguments, folios 5518 to 5520), and </w:t>
      </w:r>
      <w:r w:rsidRPr="00012C3F">
        <w:rPr>
          <w:rFonts w:eastAsia="MS Mincho"/>
          <w:bCs/>
          <w:sz w:val="16"/>
          <w:szCs w:val="16"/>
          <w:lang w:val="en-US" w:bidi="en-US"/>
        </w:rPr>
        <w:t>UN, Report of the Special Rapporteur on the right of everyone to the highest attainable standard of physical and mental health, Anand Grover, A/64/272, August 10, 2009</w:t>
      </w:r>
      <w:r w:rsidRPr="00012C3F">
        <w:rPr>
          <w:sz w:val="16"/>
          <w:szCs w:val="16"/>
          <w:lang w:val="en-US"/>
        </w:rPr>
        <w:t>, para. 13.</w:t>
      </w:r>
    </w:p>
  </w:footnote>
  <w:footnote w:id="254">
    <w:p w14:paraId="5DD30359"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t xml:space="preserve">The States for which information for the year 2000 is available are: Argentina, Barbados, Bolivia, Brazil, Canada, Chile, Colombia, Costa Rica, Ecuador, El Salvador, Honduras, Jamaica, Mexico, Panama, Paraguay, Peru, United States, Uruguay and Venezuela. </w:t>
      </w:r>
    </w:p>
  </w:footnote>
  <w:footnote w:id="255">
    <w:p w14:paraId="03346200" w14:textId="77777777" w:rsidR="00D24EFE" w:rsidRPr="00012C3F" w:rsidRDefault="00D24EFE" w:rsidP="005B52E1">
      <w:pPr>
        <w:tabs>
          <w:tab w:val="left" w:pos="567"/>
        </w:tabs>
        <w:autoSpaceDE w:val="0"/>
        <w:autoSpaceDN w:val="0"/>
        <w:spacing w:after="120" w:line="240" w:lineRule="auto"/>
        <w:rPr>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t xml:space="preserve">(i) Argentina: Law on the Exercise of medicine, odontology and ancillary activities, National Law No. 17,132 of 1976, article 19, paragraph 3 and Basic Health Law of the Autonomous City of Law of Buenos Aires, Law No. 153/99 of 1999, article 4(d) and (h); (ii) Bolivia: Code of Medical Ethics, Law No. 728 of August 4, 1993, articles 19 and 23. Also, the Code of Medical Ethics and Deontology was adopted in Bolivia, according to information provided to this Court by the parties by Ministerial Resolution No. 047/04 of July 2004. This code reiterates several provides of the 1993 Ethics Code in its articles 8(6) and (10); 20, 22, 23, 25 and 37. </w:t>
      </w:r>
      <w:r w:rsidRPr="00012C3F">
        <w:rPr>
          <w:rFonts w:eastAsia="MS Mincho"/>
          <w:sz w:val="16"/>
          <w:szCs w:val="16"/>
          <w:lang w:val="en-US" w:eastAsia="en-US" w:bidi="en-US"/>
        </w:rPr>
        <w:t xml:space="preserve">Similarly, see current articles 16, 18 (previously articles 19 and 23) and 22 of the Code of Medical Ethics provided by the parties </w:t>
      </w:r>
      <w:r w:rsidRPr="00012C3F">
        <w:rPr>
          <w:sz w:val="16"/>
          <w:szCs w:val="16"/>
          <w:lang w:val="en-US"/>
        </w:rPr>
        <w:t xml:space="preserve">(file of the procedure before the Commission, volume II, folios 406 to 408 and 411 and 412); (iii) Canada: the Supreme Court handed down two important judgments concerning informed consent: </w:t>
      </w:r>
      <w:proofErr w:type="spellStart"/>
      <w:r w:rsidRPr="00012C3F">
        <w:rPr>
          <w:i/>
          <w:sz w:val="16"/>
          <w:szCs w:val="16"/>
          <w:lang w:val="en-US"/>
        </w:rPr>
        <w:t>Reibl</w:t>
      </w:r>
      <w:proofErr w:type="spellEnd"/>
      <w:r w:rsidRPr="00012C3F">
        <w:rPr>
          <w:i/>
          <w:sz w:val="16"/>
          <w:szCs w:val="16"/>
          <w:lang w:val="en-US"/>
        </w:rPr>
        <w:t xml:space="preserve"> v. Hughes</w:t>
      </w:r>
      <w:r w:rsidRPr="00012C3F">
        <w:rPr>
          <w:sz w:val="16"/>
          <w:szCs w:val="16"/>
          <w:lang w:val="en-US"/>
        </w:rPr>
        <w:t xml:space="preserve"> and </w:t>
      </w:r>
      <w:proofErr w:type="spellStart"/>
      <w:r w:rsidRPr="00012C3F">
        <w:rPr>
          <w:i/>
          <w:sz w:val="16"/>
          <w:szCs w:val="16"/>
          <w:lang w:val="en-US"/>
        </w:rPr>
        <w:t>Hopp</w:t>
      </w:r>
      <w:proofErr w:type="spellEnd"/>
      <w:r w:rsidRPr="00012C3F">
        <w:rPr>
          <w:i/>
          <w:sz w:val="16"/>
          <w:szCs w:val="16"/>
          <w:lang w:val="en-US"/>
        </w:rPr>
        <w:t xml:space="preserve"> v. </w:t>
      </w:r>
      <w:proofErr w:type="spellStart"/>
      <w:r w:rsidRPr="00012C3F">
        <w:rPr>
          <w:i/>
          <w:sz w:val="16"/>
          <w:szCs w:val="16"/>
          <w:lang w:val="en-US"/>
        </w:rPr>
        <w:t>Lepp</w:t>
      </w:r>
      <w:proofErr w:type="spellEnd"/>
      <w:r w:rsidRPr="00012C3F">
        <w:rPr>
          <w:i/>
          <w:sz w:val="16"/>
          <w:szCs w:val="16"/>
          <w:lang w:val="en-US"/>
        </w:rPr>
        <w:t xml:space="preserve"> (1980) and </w:t>
      </w:r>
      <w:proofErr w:type="spellStart"/>
      <w:r w:rsidRPr="00012C3F">
        <w:rPr>
          <w:i/>
          <w:sz w:val="16"/>
          <w:szCs w:val="16"/>
          <w:lang w:val="en-US"/>
        </w:rPr>
        <w:t>Malette</w:t>
      </w:r>
      <w:proofErr w:type="spellEnd"/>
      <w:r w:rsidRPr="00012C3F">
        <w:rPr>
          <w:i/>
          <w:sz w:val="16"/>
          <w:szCs w:val="16"/>
          <w:lang w:val="en-US"/>
        </w:rPr>
        <w:t xml:space="preserve"> v. Shulman </w:t>
      </w:r>
      <w:r w:rsidRPr="00012C3F">
        <w:rPr>
          <w:sz w:val="16"/>
          <w:szCs w:val="16"/>
          <w:lang w:val="en-US"/>
        </w:rPr>
        <w:t>(1990). The former established the “reasonable patient test,” also known as the “subjective-objective test” to determine the information that should be provided to obtain informed consent; to this end, it was considered that doctors knew or should know what their patient wished to know about the medical procedure. The second established that the obligation to obtain informed consent resulted from the doctrine of individual autonomy and indicated that the information should include a description of the treatment, its benefits and risks, the urgency of the treatment and whether it was necessary or elective, the existing alternatives (their risks and benefits), the consequences of refusing the treatment, the medical opinion, and any other information that the patient requested. In addition, the provinces have enacted laws, as in the case of Ontario which enacted the Health Care Consent Act in 1996; (iv) Chile: Ethics Code of the Chilean Association of Physicians, of 1986, article 15; Supreme Decree No. 42 of 1986 (derogated in 2005), article 105; Charter of the patient’s rights of the National Health System (FONASA) of 1999, and Decree No. 570 of July 2000, article 20, applicable for public and private psychiatric in-patient establishments; (v) Colombia:</w:t>
      </w:r>
      <w:r w:rsidRPr="00012C3F">
        <w:rPr>
          <w:i/>
          <w:sz w:val="16"/>
          <w:szCs w:val="16"/>
          <w:lang w:val="en-US"/>
        </w:rPr>
        <w:t xml:space="preserve"> </w:t>
      </w:r>
      <w:r w:rsidRPr="00012C3F">
        <w:rPr>
          <w:sz w:val="16"/>
          <w:szCs w:val="16"/>
          <w:lang w:val="en-US"/>
        </w:rPr>
        <w:t xml:space="preserve">Medical Ethics Act, Law No. 23 of 1981, article 15; Decree No. 3380 of 1981, regulating Law No. 23; Constitutional Court of Colombia, Judgments Nos. T 401/94, T-477/95, SU-337/99, and Resolution No. 13437 on Patient’s rights, adopted by the Ministry of Health in 1991, article 2; (vi) Costa Rica: General Health Act, No. 5395, articles 10 and 22; (vii) Ecuador: </w:t>
      </w:r>
      <w:r w:rsidRPr="00012C3F">
        <w:rPr>
          <w:i/>
          <w:sz w:val="16"/>
          <w:szCs w:val="16"/>
          <w:lang w:val="en-US"/>
        </w:rPr>
        <w:t>Cf.</w:t>
      </w:r>
      <w:r w:rsidRPr="00012C3F">
        <w:rPr>
          <w:sz w:val="16"/>
          <w:szCs w:val="16"/>
          <w:lang w:val="en-US"/>
        </w:rPr>
        <w:t xml:space="preserve"> Code of Medical Ethics of 1992, articles 15 and 16; (viii) El Salvador: General Regulations for Hospitals of the Ministry of Public Health and Social Assistance of 1996, articles 114 and 115; (ix) United States of America: Consumer Bill of Rights and Responsibilities, also known as the “Patient’s Bill of Rights.” Adopted by the President’s Advisory Commission on Consumer Protection and Quality in Health Care Industry. Similarly, since the beginning of the twentieth century, United States case law has referred to the obligatory nature of informed consent, for example, in the cases: </w:t>
      </w:r>
      <w:r w:rsidRPr="00012C3F">
        <w:rPr>
          <w:i/>
          <w:sz w:val="16"/>
          <w:szCs w:val="16"/>
          <w:lang w:val="en-US"/>
        </w:rPr>
        <w:t xml:space="preserve">Mohr v. Williams (1905), Pratt v. Davis (1906), </w:t>
      </w:r>
      <w:proofErr w:type="spellStart"/>
      <w:r w:rsidRPr="00012C3F">
        <w:rPr>
          <w:i/>
          <w:sz w:val="16"/>
          <w:szCs w:val="16"/>
          <w:lang w:val="en-US"/>
        </w:rPr>
        <w:t>Rolater</w:t>
      </w:r>
      <w:proofErr w:type="spellEnd"/>
      <w:r w:rsidRPr="00012C3F">
        <w:rPr>
          <w:i/>
          <w:sz w:val="16"/>
          <w:szCs w:val="16"/>
          <w:lang w:val="en-US"/>
        </w:rPr>
        <w:t xml:space="preserve"> v. Strain (1913), </w:t>
      </w:r>
      <w:r w:rsidRPr="00012C3F">
        <w:rPr>
          <w:iCs/>
          <w:sz w:val="16"/>
          <w:szCs w:val="16"/>
          <w:lang w:val="en-US"/>
        </w:rPr>
        <w:t xml:space="preserve">and </w:t>
      </w:r>
      <w:proofErr w:type="spellStart"/>
      <w:r w:rsidRPr="00012C3F">
        <w:rPr>
          <w:i/>
          <w:sz w:val="16"/>
          <w:szCs w:val="16"/>
          <w:lang w:val="en-US"/>
        </w:rPr>
        <w:t>Schloendorff</w:t>
      </w:r>
      <w:proofErr w:type="spellEnd"/>
      <w:r w:rsidRPr="00012C3F">
        <w:rPr>
          <w:i/>
          <w:sz w:val="16"/>
          <w:szCs w:val="16"/>
          <w:lang w:val="en-US"/>
        </w:rPr>
        <w:t xml:space="preserve"> v. Society of New York Hospitals (1914); </w:t>
      </w:r>
      <w:r w:rsidRPr="00012C3F">
        <w:rPr>
          <w:iCs/>
          <w:sz w:val="16"/>
          <w:szCs w:val="16"/>
          <w:lang w:val="en-US"/>
        </w:rPr>
        <w:t>(</w:t>
      </w:r>
      <w:r w:rsidRPr="00012C3F">
        <w:rPr>
          <w:sz w:val="16"/>
          <w:szCs w:val="16"/>
          <w:lang w:val="en-US"/>
        </w:rPr>
        <w:t xml:space="preserve">x) Mexico: General Health Act, articles 51 bis 1 and 2 (introduced by an amendment of April 2009); article 100, paragraph IV (concerning consent in research on human subjects); article 103 (concerning the treatment of those who are ill); article 77 bis 37, paragraphs V and IX. (introduced by an amendment of May 2003), and Regulations to the General Health Act on matters of health-related research of December 1981, article 14, paragraph V, among others; (xi) Paraguay: Criminal Code, Law No. 1160 of 1997, article 123; (xii) Peru: </w:t>
      </w:r>
      <w:r w:rsidRPr="00012C3F">
        <w:rPr>
          <w:i/>
          <w:sz w:val="16"/>
          <w:szCs w:val="16"/>
          <w:lang w:val="en-US"/>
        </w:rPr>
        <w:t xml:space="preserve">Cf. </w:t>
      </w:r>
      <w:r w:rsidRPr="00012C3F">
        <w:rPr>
          <w:sz w:val="16"/>
          <w:szCs w:val="16"/>
          <w:lang w:val="en-US"/>
        </w:rPr>
        <w:t>General Health Act, Law No. 26842 of 1997, which continues in force, articles 4; 6, 15(h), 27 and 40; (xiii) Uruguay: Bioethical Decree No. 258/92 of 1992, articles 5 and 36 to 39; and Code of Medical Ethics of April 1995, articles 15 and 38. Article 38 indicates that male and female sterilization must have the free and full consent of the person after they have been duly informed of the consequences of this medical procedure; (xiv) Venezuela: Medical Deontology Code of 1985, article 69(4).</w:t>
      </w:r>
    </w:p>
  </w:footnote>
  <w:footnote w:id="256">
    <w:p w14:paraId="0BA0465C" w14:textId="77777777" w:rsidR="00D24EFE" w:rsidRPr="00012C3F" w:rsidRDefault="00D24EFE" w:rsidP="005B52E1">
      <w:pPr>
        <w:tabs>
          <w:tab w:val="left" w:pos="567"/>
          <w:tab w:val="left" w:pos="8640"/>
        </w:tabs>
        <w:autoSpaceDE w:val="0"/>
        <w:autoSpaceDN w:val="0"/>
        <w:spacing w:after="120" w:line="240" w:lineRule="auto"/>
        <w:ind w:right="49"/>
        <w:rPr>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t>The laws of Barbados referred to informed consent in cases of termination of pregnancy; the laws of Panama and Brazil applied specifically to sterilization, and Brazil also had a law that recognized the right to free family planning without any form of coercion; the Honduran law applied to scientific research, and the Jamaican law referred to cases of sterilization but was applicable to a single health center. In this regard: (i) Barbados: Medical Termination of Pregnancy Act of 1983, article 8(1); (ii) Brazil: 1988 Federal Constitution, article 226(7), and articles 4 and 10 of Law No. 9,263 of January 1996, which developed article 226(7)of the Federal Constitution; article 10, paragraph II.6 also indicated that “[c]</w:t>
      </w:r>
      <w:proofErr w:type="spellStart"/>
      <w:r w:rsidRPr="00012C3F">
        <w:rPr>
          <w:sz w:val="16"/>
          <w:szCs w:val="16"/>
          <w:lang w:val="en-US"/>
        </w:rPr>
        <w:t>onsent</w:t>
      </w:r>
      <w:proofErr w:type="spellEnd"/>
      <w:r w:rsidRPr="00012C3F">
        <w:rPr>
          <w:sz w:val="16"/>
          <w:szCs w:val="16"/>
          <w:lang w:val="en-US"/>
        </w:rPr>
        <w:t xml:space="preserve"> expressed during changes in the capacity for discernment under the influence of alcohol, drugs, altered states of emotion or temporary or permanent mental disability shall not be considered an expression of will pursuant to </w:t>
      </w:r>
      <w:r w:rsidRPr="00012C3F">
        <w:rPr>
          <w:rFonts w:cs="Arial"/>
          <w:color w:val="222222"/>
          <w:sz w:val="16"/>
          <w:szCs w:val="16"/>
          <w:lang w:val="en-US"/>
        </w:rPr>
        <w:t>§ 1</w:t>
      </w:r>
      <w:r w:rsidRPr="00012C3F">
        <w:rPr>
          <w:sz w:val="16"/>
          <w:szCs w:val="16"/>
          <w:lang w:val="en-US"/>
        </w:rPr>
        <w:t>”; (iii) Honduras</w:t>
      </w:r>
      <w:r w:rsidRPr="00012C3F">
        <w:rPr>
          <w:iCs/>
          <w:sz w:val="16"/>
          <w:szCs w:val="16"/>
          <w:lang w:val="en-US"/>
        </w:rPr>
        <w:t>:</w:t>
      </w:r>
      <w:r w:rsidRPr="00012C3F">
        <w:rPr>
          <w:i/>
          <w:sz w:val="16"/>
          <w:szCs w:val="16"/>
          <w:lang w:val="en-US"/>
        </w:rPr>
        <w:t xml:space="preserve"> </w:t>
      </w:r>
      <w:r w:rsidRPr="00012C3F">
        <w:rPr>
          <w:sz w:val="16"/>
          <w:szCs w:val="16"/>
          <w:lang w:val="en-US"/>
        </w:rPr>
        <w:t>Health Code, Decree No. 65-91, August 6, 1991, articles 10 and 176; (iv) Jamaica: informed and written consent  voluntary female sterilization dates from 1989. The Glen Vincent Fertility Management Unit drew up a memorandum with standards for cases in which a woman desired to submit to tubal ligation which indicates that: “[w]</w:t>
      </w:r>
      <w:proofErr w:type="spellStart"/>
      <w:r w:rsidRPr="00012C3F">
        <w:rPr>
          <w:sz w:val="16"/>
          <w:szCs w:val="16"/>
          <w:lang w:val="en-US"/>
        </w:rPr>
        <w:t>omen</w:t>
      </w:r>
      <w:proofErr w:type="spellEnd"/>
      <w:r w:rsidRPr="00012C3F">
        <w:rPr>
          <w:sz w:val="16"/>
          <w:szCs w:val="16"/>
          <w:lang w:val="en-US"/>
        </w:rPr>
        <w:t xml:space="preserve"> who have had more than two children may elect to submit to tubal ligation. To this end, they shall receive appropriate counselling and sign a specific form of consent prior to the procedure.” Memorandum, Fertility Management Unit - Glen Vincent H/C, Abortion Policy Review Advisory Group Final Report, May 2, 1989, p. 26, and (v) Panama: Law No. 48 which permits sterilization, May 1941, articles 3 and 8. Although this law differentiates between voluntary, necessary, eugenic and emergency sterilization, article 8 suggests that sterilization was applicable in most cases following a written request signed by the interested party and the authorization of a medical board. The Court underlines that this law was derogated by Law 7 of March 5, 2013.</w:t>
      </w:r>
    </w:p>
  </w:footnote>
  <w:footnote w:id="257">
    <w:p w14:paraId="1EB7FF48"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t>The countries that have a law on informed consent in the case of female sterilization are: (i) Argentina: the Reproductive Health and Responsible Procreation Act, Law No. 418, enacted by the City of Buenos Aires in June 2000, article 3(c), and Resolution No. 2492/2000, Surgical procedure for tubal ligation</w:t>
      </w:r>
      <w:r w:rsidRPr="00012C3F">
        <w:rPr>
          <w:rFonts w:cs="Tahoma"/>
          <w:color w:val="000000"/>
          <w:sz w:val="16"/>
          <w:szCs w:val="16"/>
          <w:lang w:val="en-US" w:eastAsia="es-CR"/>
        </w:rPr>
        <w:t xml:space="preserve">: terms and conditions for its implementation in the province’s public hospitals, adopted by the province of Mendoza in October 2000, article 1; (ii) Bolivia: Bolivian Health standards </w:t>
      </w:r>
      <w:r w:rsidRPr="00012C3F">
        <w:rPr>
          <w:rFonts w:eastAsia="MS Mincho"/>
          <w:sz w:val="16"/>
          <w:szCs w:val="16"/>
          <w:lang w:val="en-US" w:eastAsia="en-US" w:bidi="en-US"/>
        </w:rPr>
        <w:t>NB–SNS–04–97 (“Voluntary surgical contraception for women at high reproductive risk”), approved by Secretariat Resolution No. 0/408 of August 4, 1997, and Bolivian Health standards MSPS-98 (“Voluntary surgical contraception.</w:t>
      </w:r>
      <w:r w:rsidRPr="00012C3F">
        <w:rPr>
          <w:rFonts w:eastAsia="MS Mincho"/>
          <w:b/>
          <w:sz w:val="16"/>
          <w:szCs w:val="16"/>
          <w:lang w:val="en-US" w:eastAsia="en-US" w:bidi="en-US"/>
        </w:rPr>
        <w:t xml:space="preserve"> </w:t>
      </w:r>
      <w:r w:rsidRPr="00012C3F">
        <w:rPr>
          <w:rFonts w:eastAsia="MS Mincho"/>
          <w:sz w:val="16"/>
          <w:szCs w:val="16"/>
          <w:lang w:val="en-US" w:eastAsia="en-US" w:bidi="en-US"/>
        </w:rPr>
        <w:t>Bilateral tubal occlusion in cases of reproductive risk”) adopted by Ministerial Resolution No. 0517 of November 17, 1998;</w:t>
      </w:r>
      <w:r w:rsidRPr="00012C3F">
        <w:rPr>
          <w:sz w:val="16"/>
          <w:szCs w:val="16"/>
          <w:lang w:val="en-US"/>
        </w:rPr>
        <w:t xml:space="preserve"> (iii) Brazil: Law No. 9,263 of January 1996, which developed article 226(7) of the Federal Constitution;  (iv) Chile: Resolution No. 2,326 which establishes guidelines for health services relating to female and male sterilization, adopted by the Ministry of Health on November 30, 2000, in force since February 2001, articles 2, 3, 4 and 6; (v) Costa Rica: Reproductive Health Decree No. 27913-S of 1999, article 5(d); (vi) Jamaica: Memorandum, Fertility Management Unit - Glen Vincent H/C, Abortion Policy Review Advisory Group Final Report, May 2, 1989; (vii) Mexico: General Health Act, amendment of June 1991, article 67(3); (viii) Panama, Law No. 48 permitting sterilization, May 1941, and (ix) Peru: General Health Act, Law No. 26842 of 1997, article 6; Regulations for the Family Planning Program of the Ministry of Health, 1999, paragraph (g) of Section G entitled “Female voluntary surgical contraception,” stresses that care must be taken in the cases of postpartum women who have not given their prior consent; Manual of standards and procedures for activities of voluntary surgical contraception (AQV), pp. 7 to 11; Law on the National Population Policy, Legislative Decree No. 346, articles 3 and 28. In the year 2000, some of these norms only permitted sterilization in certain cases, either for medical reasons or because women had a sufficient number of children, but not as a contraception method to regulate fertility. However, the Court notes that, in recent years, the laws have included female sterilization as an option that can be freely chosen from among </w:t>
      </w:r>
      <w:r w:rsidRPr="00012C3F">
        <w:rPr>
          <w:rFonts w:eastAsia="MS Mincho"/>
          <w:bCs/>
          <w:sz w:val="16"/>
          <w:szCs w:val="16"/>
          <w:lang w:val="en-US" w:eastAsia="en-US" w:bidi="en-US"/>
        </w:rPr>
        <w:t>the different birth control methods.</w:t>
      </w:r>
    </w:p>
  </w:footnote>
  <w:footnote w:id="258">
    <w:p w14:paraId="13C93F0C"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t>The laws of Brazil even granted a period of reflection to take a decision</w:t>
      </w:r>
      <w:r w:rsidRPr="00012C3F">
        <w:rPr>
          <w:rFonts w:eastAsia="MS Mincho"/>
          <w:bCs/>
          <w:sz w:val="16"/>
          <w:szCs w:val="16"/>
          <w:lang w:val="en-US" w:eastAsia="en-US" w:bidi="en-US"/>
        </w:rPr>
        <w:t xml:space="preserve">. </w:t>
      </w:r>
      <w:r w:rsidRPr="00012C3F">
        <w:rPr>
          <w:i/>
          <w:sz w:val="16"/>
          <w:szCs w:val="16"/>
          <w:lang w:val="en-US"/>
        </w:rPr>
        <w:t>Cf.</w:t>
      </w:r>
      <w:r w:rsidRPr="00012C3F">
        <w:rPr>
          <w:sz w:val="16"/>
          <w:szCs w:val="16"/>
          <w:lang w:val="en-US"/>
        </w:rPr>
        <w:t xml:space="preserve"> Article 10 of Law No. 9,263 of January 1996, which established 60 days of reflection before undergoing sterilization.</w:t>
      </w:r>
    </w:p>
  </w:footnote>
  <w:footnote w:id="259">
    <w:p w14:paraId="2A84680B"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Article 19(3) of the Law on the Exercise of Medicine, Odontology and Ancillary Activities, Law No. 17,132 of 1976. </w:t>
      </w:r>
    </w:p>
  </w:footnote>
  <w:footnote w:id="260">
    <w:p w14:paraId="3498446D"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Article 176 of the Health Code, Standard No. 65-91 of 1991. </w:t>
      </w:r>
    </w:p>
  </w:footnote>
  <w:footnote w:id="261">
    <w:p w14:paraId="5085E44C" w14:textId="77777777" w:rsidR="00D24EFE" w:rsidRPr="00012C3F" w:rsidRDefault="00D24EFE" w:rsidP="00B47F8D">
      <w:pPr>
        <w:pStyle w:val="Textonotapie"/>
        <w:tabs>
          <w:tab w:val="left" w:pos="567"/>
        </w:tabs>
        <w:spacing w:after="120"/>
        <w:rPr>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Article 27 of the General Health Act, Law No. 26842 of 1997.</w:t>
      </w:r>
    </w:p>
  </w:footnote>
  <w:footnote w:id="262">
    <w:p w14:paraId="3B941FDF"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Article 1 of the Organ and Tissue Transplant Act, Law No. 14,005 of 1971.</w:t>
      </w:r>
    </w:p>
  </w:footnote>
  <w:footnote w:id="263">
    <w:p w14:paraId="3C979184" w14:textId="77777777" w:rsidR="00D24EFE" w:rsidRPr="00D24EFE" w:rsidRDefault="00D24EFE" w:rsidP="005B52E1">
      <w:pPr>
        <w:pStyle w:val="Textonotapie"/>
        <w:tabs>
          <w:tab w:val="left" w:pos="567"/>
        </w:tabs>
        <w:spacing w:after="120"/>
        <w:rPr>
          <w:sz w:val="16"/>
          <w:szCs w:val="16"/>
          <w:lang w:val="es-CR"/>
        </w:rPr>
      </w:pPr>
      <w:r w:rsidRPr="00012C3F">
        <w:rPr>
          <w:rStyle w:val="Refdenotaalpie"/>
          <w:rFonts w:eastAsiaTheme="majorEastAsia"/>
          <w:sz w:val="16"/>
          <w:szCs w:val="16"/>
          <w:lang w:val="en-US"/>
        </w:rPr>
        <w:footnoteRef/>
      </w:r>
      <w:r w:rsidRPr="00D24EFE">
        <w:rPr>
          <w:sz w:val="16"/>
          <w:szCs w:val="16"/>
          <w:lang w:val="es-CR"/>
        </w:rPr>
        <w:t xml:space="preserve"> </w:t>
      </w:r>
      <w:r w:rsidRPr="00D24EFE">
        <w:rPr>
          <w:sz w:val="16"/>
          <w:szCs w:val="16"/>
          <w:lang w:val="es-CR"/>
        </w:rPr>
        <w:tab/>
        <w:t>Namely: Argentina, Bolivia, Chile, Canada (Ontario), Colombia, Costa Rica, Ecuador, Paraguay, Peru, Uruguay and Venezuela.</w:t>
      </w:r>
    </w:p>
  </w:footnote>
  <w:footnote w:id="264">
    <w:p w14:paraId="1DB65730"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Expert opinion provided by Luisa Cabal by affidavit on April 28, 2016 (evidence file, volume XI, affidavits, folio 3973).</w:t>
      </w:r>
    </w:p>
  </w:footnote>
  <w:footnote w:id="265">
    <w:p w14:paraId="773B84EE"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See Articles 7(1)(g), 8(2)(b)(xxii) and 8(2)(e)(vi) of the Rome Statute. Forced sterilization was recognized as a war crime in the Nuremberg trials of the perpetrators of acts committed in the context of medical experimentation.</w:t>
      </w:r>
    </w:p>
  </w:footnote>
  <w:footnote w:id="266">
    <w:p w14:paraId="41679D04"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Bolivia (2013), Brazil (1996), Ecuador (2014), Mexico (2012) and Venezuela (2007) have criminalized forced sterilization within their jurisdictions as an ordinary offense: forced sterilization in Bolivia and Brazil; forced deprivation of reproductive capacity in Ecuador, and induced sterility in Mexico.</w:t>
      </w:r>
    </w:p>
  </w:footnote>
  <w:footnote w:id="267">
    <w:p w14:paraId="3EFF745A" w14:textId="77777777" w:rsidR="00D24EFE" w:rsidRPr="00012C3F" w:rsidRDefault="00D24EFE" w:rsidP="005B52E1">
      <w:pPr>
        <w:pStyle w:val="Textonotapie"/>
        <w:tabs>
          <w:tab w:val="left" w:pos="567"/>
        </w:tabs>
        <w:spacing w:after="120"/>
        <w:rPr>
          <w:color w:val="000000" w:themeColor="text1"/>
          <w:sz w:val="16"/>
          <w:szCs w:val="16"/>
          <w:lang w:val="en-US"/>
        </w:rPr>
      </w:pPr>
      <w:r w:rsidRPr="00012C3F">
        <w:rPr>
          <w:rStyle w:val="Refdenotaalpie"/>
          <w:rFonts w:eastAsia="Calibri"/>
          <w:color w:val="000000" w:themeColor="text1"/>
          <w:sz w:val="16"/>
          <w:szCs w:val="16"/>
          <w:lang w:val="en-US"/>
        </w:rPr>
        <w:footnoteRef/>
      </w:r>
      <w:r w:rsidRPr="00012C3F">
        <w:rPr>
          <w:color w:val="000000" w:themeColor="text1"/>
          <w:sz w:val="16"/>
          <w:szCs w:val="16"/>
          <w:lang w:val="en-US"/>
        </w:rPr>
        <w:t xml:space="preserve"> </w:t>
      </w:r>
      <w:r w:rsidRPr="00012C3F">
        <w:rPr>
          <w:color w:val="000000" w:themeColor="text1"/>
          <w:sz w:val="16"/>
          <w:szCs w:val="16"/>
          <w:lang w:val="en-US"/>
        </w:rPr>
        <w:tab/>
      </w:r>
      <w:r w:rsidRPr="00012C3F">
        <w:rPr>
          <w:i/>
          <w:color w:val="000000" w:themeColor="text1"/>
          <w:sz w:val="16"/>
          <w:szCs w:val="16"/>
          <w:lang w:val="en-US"/>
        </w:rPr>
        <w:t xml:space="preserve">Cf. </w:t>
      </w:r>
      <w:r w:rsidRPr="00012C3F">
        <w:rPr>
          <w:sz w:val="16"/>
          <w:szCs w:val="16"/>
          <w:lang w:val="en-US"/>
        </w:rPr>
        <w:t xml:space="preserve">UN, Committee for the Elimination of Discrimination against Women, General Recommendation No. 24, </w:t>
      </w:r>
      <w:r w:rsidRPr="00012C3F">
        <w:rPr>
          <w:i/>
          <w:sz w:val="16"/>
          <w:szCs w:val="16"/>
          <w:lang w:val="en-US"/>
        </w:rPr>
        <w:t>Women and health</w:t>
      </w:r>
      <w:r w:rsidRPr="00012C3F">
        <w:rPr>
          <w:sz w:val="16"/>
          <w:szCs w:val="16"/>
          <w:lang w:val="en-US"/>
        </w:rPr>
        <w:t>, 1999</w:t>
      </w:r>
      <w:r w:rsidRPr="00012C3F">
        <w:rPr>
          <w:color w:val="000000" w:themeColor="text1"/>
          <w:sz w:val="16"/>
          <w:szCs w:val="16"/>
          <w:lang w:val="en-US"/>
        </w:rPr>
        <w:t xml:space="preserve">, para. 22; </w:t>
      </w:r>
      <w:r w:rsidRPr="00012C3F">
        <w:rPr>
          <w:rFonts w:cs="Calibri"/>
          <w:sz w:val="16"/>
          <w:szCs w:val="16"/>
          <w:lang w:val="en-US"/>
        </w:rPr>
        <w:t xml:space="preserve">UN, Committee for the Elimination of Discrimination against Women, </w:t>
      </w:r>
      <w:r w:rsidRPr="00012C3F">
        <w:rPr>
          <w:rFonts w:cs="Calibri-Italic"/>
          <w:i/>
          <w:iCs/>
          <w:sz w:val="16"/>
          <w:szCs w:val="16"/>
          <w:lang w:val="en-US"/>
        </w:rPr>
        <w:t>A.S. against Hungary</w:t>
      </w:r>
      <w:r w:rsidRPr="00012C3F">
        <w:rPr>
          <w:rFonts w:cs="Calibri"/>
          <w:sz w:val="16"/>
          <w:szCs w:val="16"/>
          <w:lang w:val="en-US"/>
        </w:rPr>
        <w:t xml:space="preserve"> (Communication No. 4/2004), CEDAW/C/36/D/4/2004, August 29, 2006, para. 11.3</w:t>
      </w:r>
      <w:r w:rsidRPr="00012C3F">
        <w:rPr>
          <w:bCs/>
          <w:color w:val="000000" w:themeColor="text1"/>
          <w:sz w:val="16"/>
          <w:szCs w:val="16"/>
          <w:lang w:val="en-US"/>
        </w:rPr>
        <w:t xml:space="preserve">; UN, Report of the Special </w:t>
      </w:r>
      <w:r w:rsidRPr="00012C3F">
        <w:rPr>
          <w:rFonts w:eastAsia="MS Mincho"/>
          <w:bCs/>
          <w:sz w:val="16"/>
          <w:szCs w:val="16"/>
          <w:lang w:val="en-US" w:bidi="en-US"/>
        </w:rPr>
        <w:t>Rapporteur on the right of everyone to the highest attainable standard of physical and mental health, Anand Grover, A/64/272, August 10, 2009</w:t>
      </w:r>
      <w:r w:rsidRPr="00012C3F">
        <w:rPr>
          <w:color w:val="000000" w:themeColor="text1"/>
          <w:sz w:val="16"/>
          <w:szCs w:val="16"/>
          <w:lang w:val="en-US"/>
        </w:rPr>
        <w:t xml:space="preserve">, para. 55, </w:t>
      </w:r>
      <w:r w:rsidRPr="00012C3F">
        <w:rPr>
          <w:bCs/>
          <w:color w:val="000000" w:themeColor="text1"/>
          <w:sz w:val="16"/>
          <w:szCs w:val="16"/>
          <w:lang w:val="en-US"/>
        </w:rPr>
        <w:t xml:space="preserve">and </w:t>
      </w:r>
      <w:r w:rsidRPr="00012C3F">
        <w:rPr>
          <w:sz w:val="16"/>
          <w:szCs w:val="16"/>
          <w:lang w:val="en-US"/>
        </w:rPr>
        <w:t xml:space="preserve">ECHR, </w:t>
      </w:r>
      <w:r w:rsidRPr="00012C3F">
        <w:rPr>
          <w:rFonts w:cs="Arial"/>
          <w:i/>
          <w:sz w:val="16"/>
          <w:szCs w:val="16"/>
          <w:lang w:val="en-US" w:eastAsia="es-CR"/>
        </w:rPr>
        <w:t>Case of</w:t>
      </w:r>
      <w:r w:rsidRPr="00012C3F">
        <w:rPr>
          <w:rFonts w:cs="Arial"/>
          <w:sz w:val="16"/>
          <w:szCs w:val="16"/>
          <w:lang w:val="en-US" w:eastAsia="es-CR"/>
        </w:rPr>
        <w:t xml:space="preserve"> </w:t>
      </w:r>
      <w:r w:rsidRPr="00012C3F">
        <w:rPr>
          <w:i/>
          <w:sz w:val="16"/>
          <w:szCs w:val="16"/>
          <w:lang w:val="en-US"/>
        </w:rPr>
        <w:t>V.C. v. Slovakia</w:t>
      </w:r>
      <w:r w:rsidRPr="00012C3F">
        <w:rPr>
          <w:sz w:val="16"/>
          <w:szCs w:val="16"/>
          <w:lang w:val="en-US"/>
        </w:rPr>
        <w:t xml:space="preserve">, No. 18968/07. Judgment of November 8, 2011; </w:t>
      </w:r>
      <w:r w:rsidRPr="00012C3F">
        <w:rPr>
          <w:i/>
          <w:sz w:val="16"/>
          <w:szCs w:val="16"/>
          <w:lang w:val="en-US"/>
        </w:rPr>
        <w:t>Case of N.B. v. Slovakia</w:t>
      </w:r>
      <w:r w:rsidRPr="00012C3F">
        <w:rPr>
          <w:sz w:val="16"/>
          <w:szCs w:val="16"/>
          <w:lang w:val="en-US"/>
        </w:rPr>
        <w:t xml:space="preserve">, No. 29518/10. Judgment of June 12, 2012, and </w:t>
      </w:r>
      <w:r w:rsidRPr="00012C3F">
        <w:rPr>
          <w:i/>
          <w:sz w:val="16"/>
          <w:szCs w:val="16"/>
          <w:lang w:val="en-US"/>
        </w:rPr>
        <w:t>Case of I.G., M.K. and R.H. v. Slovakia</w:t>
      </w:r>
      <w:r w:rsidRPr="00012C3F">
        <w:rPr>
          <w:sz w:val="16"/>
          <w:szCs w:val="16"/>
          <w:lang w:val="en-US"/>
        </w:rPr>
        <w:t>, No. 15966/04. Judgment of November 13, 2012 (evidence file, volume VIII, annexes 26, 27 and 28 to the brief with motions, pleadings and evidence, folios 2474 to 2577)</w:t>
      </w:r>
      <w:r w:rsidRPr="00012C3F">
        <w:rPr>
          <w:bCs/>
          <w:color w:val="000000" w:themeColor="text1"/>
          <w:sz w:val="16"/>
          <w:szCs w:val="16"/>
          <w:lang w:val="en-US"/>
        </w:rPr>
        <w:t>.</w:t>
      </w:r>
    </w:p>
  </w:footnote>
  <w:footnote w:id="268">
    <w:p w14:paraId="691F68A0" w14:textId="77777777" w:rsidR="00D24EFE" w:rsidRPr="00012C3F" w:rsidRDefault="00D24EFE" w:rsidP="005B52E1">
      <w:pPr>
        <w:pStyle w:val="styletitle2"/>
        <w:shd w:val="clear" w:color="auto" w:fill="FFFFFF"/>
        <w:tabs>
          <w:tab w:val="left" w:pos="567"/>
        </w:tabs>
        <w:spacing w:before="0" w:beforeAutospacing="0" w:after="120" w:afterAutospacing="0"/>
        <w:jc w:val="both"/>
        <w:rPr>
          <w:rFonts w:ascii="Verdana" w:hAnsi="Verdana"/>
          <w:color w:val="000000" w:themeColor="text1"/>
          <w:sz w:val="16"/>
          <w:szCs w:val="16"/>
          <w:lang w:val="en-US"/>
        </w:rPr>
      </w:pPr>
      <w:r w:rsidRPr="00012C3F">
        <w:rPr>
          <w:rStyle w:val="Refdenotaalpie"/>
          <w:rFonts w:ascii="Verdana" w:eastAsia="Calibri" w:hAnsi="Verdana"/>
          <w:color w:val="000000" w:themeColor="text1"/>
          <w:sz w:val="16"/>
          <w:szCs w:val="16"/>
          <w:lang w:val="en-US"/>
        </w:rPr>
        <w:footnoteRef/>
      </w:r>
      <w:r w:rsidRPr="00012C3F">
        <w:rPr>
          <w:rFonts w:ascii="Verdana" w:hAnsi="Verdana"/>
          <w:color w:val="000000" w:themeColor="text1"/>
          <w:sz w:val="16"/>
          <w:szCs w:val="16"/>
          <w:lang w:val="en-US"/>
        </w:rPr>
        <w:t xml:space="preserve"> </w:t>
      </w:r>
      <w:r w:rsidRPr="00012C3F">
        <w:rPr>
          <w:rFonts w:ascii="Verdana" w:hAnsi="Verdana"/>
          <w:color w:val="000000" w:themeColor="text1"/>
          <w:sz w:val="16"/>
          <w:szCs w:val="16"/>
          <w:lang w:val="en-US"/>
        </w:rPr>
        <w:tab/>
      </w:r>
      <w:r w:rsidRPr="00012C3F">
        <w:rPr>
          <w:rFonts w:ascii="Verdana" w:hAnsi="Verdana"/>
          <w:i/>
          <w:color w:val="000000" w:themeColor="text1"/>
          <w:sz w:val="16"/>
          <w:szCs w:val="16"/>
          <w:lang w:val="en-US"/>
        </w:rPr>
        <w:t xml:space="preserve">Cf. </w:t>
      </w:r>
      <w:r w:rsidRPr="00012C3F">
        <w:rPr>
          <w:rFonts w:ascii="Verdana" w:eastAsia="MS Mincho" w:hAnsi="Verdana"/>
          <w:bCs/>
          <w:sz w:val="16"/>
          <w:szCs w:val="16"/>
          <w:lang w:val="en-US" w:bidi="en-US"/>
        </w:rPr>
        <w:t>UN, Report of the Special Rapporteur on the right of everyone to the highest attainable standard of physical and mental health, Anand Grover, A/64/272, August 10, 2009</w:t>
      </w:r>
      <w:r w:rsidRPr="00012C3F">
        <w:rPr>
          <w:rFonts w:ascii="Verdana" w:hAnsi="Verdana"/>
          <w:color w:val="000000" w:themeColor="text1"/>
          <w:sz w:val="16"/>
          <w:szCs w:val="16"/>
          <w:lang w:val="en-US"/>
        </w:rPr>
        <w:t>, para. 55.</w:t>
      </w:r>
    </w:p>
  </w:footnote>
  <w:footnote w:id="269">
    <w:p w14:paraId="74FDAA59"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color w:val="000000" w:themeColor="text1"/>
          <w:sz w:val="16"/>
          <w:szCs w:val="16"/>
          <w:lang w:val="en-US"/>
        </w:rPr>
        <w:t>Committee against Torture, Conclusions and recommendations with regard to Peru, CAT/C/PER/CO/4, July 25, 2006, para. 23, and Committee against Torture, Concluding observations with regard to Slovakia, CAT/C/SVK/CO/2, December 17, 2009, para. 14.</w:t>
      </w:r>
    </w:p>
  </w:footnote>
  <w:footnote w:id="270">
    <w:p w14:paraId="427D0B92" w14:textId="77777777" w:rsidR="00D24EFE" w:rsidRPr="00012C3F" w:rsidRDefault="00D24EFE" w:rsidP="005B52E1">
      <w:pPr>
        <w:shd w:val="clear" w:color="auto" w:fill="FFFFFF"/>
        <w:tabs>
          <w:tab w:val="left" w:pos="567"/>
        </w:tabs>
        <w:spacing w:after="120" w:line="240" w:lineRule="auto"/>
        <w:rPr>
          <w:color w:val="000000" w:themeColor="text1"/>
          <w:sz w:val="16"/>
          <w:szCs w:val="16"/>
          <w:u w:val="single"/>
          <w:lang w:val="en-US"/>
        </w:rPr>
      </w:pPr>
      <w:r w:rsidRPr="00012C3F">
        <w:rPr>
          <w:rStyle w:val="Refdenotaalpie"/>
          <w:rFonts w:eastAsia="Calibri"/>
          <w:color w:val="000000" w:themeColor="text1"/>
          <w:sz w:val="16"/>
          <w:szCs w:val="16"/>
          <w:lang w:val="en-US"/>
        </w:rPr>
        <w:footnoteRef/>
      </w:r>
      <w:r w:rsidRPr="00012C3F">
        <w:rPr>
          <w:color w:val="000000" w:themeColor="text1"/>
          <w:sz w:val="16"/>
          <w:szCs w:val="16"/>
          <w:lang w:val="en-US"/>
        </w:rPr>
        <w:t xml:space="preserve"> </w:t>
      </w:r>
      <w:r w:rsidRPr="00012C3F">
        <w:rPr>
          <w:color w:val="000000" w:themeColor="text1"/>
          <w:sz w:val="16"/>
          <w:szCs w:val="16"/>
          <w:lang w:val="en-US"/>
        </w:rPr>
        <w:tab/>
      </w:r>
      <w:r w:rsidRPr="00012C3F">
        <w:rPr>
          <w:i/>
          <w:color w:val="000000" w:themeColor="text1"/>
          <w:sz w:val="16"/>
          <w:szCs w:val="16"/>
          <w:lang w:val="en-US"/>
        </w:rPr>
        <w:t xml:space="preserve">Cf. </w:t>
      </w:r>
      <w:r w:rsidRPr="00012C3F">
        <w:rPr>
          <w:sz w:val="16"/>
          <w:szCs w:val="16"/>
          <w:lang w:val="en-US"/>
        </w:rPr>
        <w:t xml:space="preserve">UN, Committee for the Elimination of Discrimination against Women, General Recommendation No. </w:t>
      </w:r>
      <w:r w:rsidRPr="00012C3F">
        <w:rPr>
          <w:color w:val="000000" w:themeColor="text1"/>
          <w:sz w:val="16"/>
          <w:szCs w:val="16"/>
          <w:lang w:val="en-US"/>
        </w:rPr>
        <w:t xml:space="preserve">19, </w:t>
      </w:r>
      <w:r w:rsidRPr="00012C3F">
        <w:rPr>
          <w:i/>
          <w:color w:val="000000" w:themeColor="text1"/>
          <w:sz w:val="16"/>
          <w:szCs w:val="16"/>
          <w:lang w:val="en-US"/>
        </w:rPr>
        <w:t xml:space="preserve">Violence against women, </w:t>
      </w:r>
      <w:r w:rsidRPr="00012C3F">
        <w:rPr>
          <w:color w:val="000000" w:themeColor="text1"/>
          <w:sz w:val="16"/>
          <w:szCs w:val="16"/>
          <w:lang w:val="en-US"/>
        </w:rPr>
        <w:t xml:space="preserve">1992, para. 22, and </w:t>
      </w:r>
      <w:r w:rsidRPr="00012C3F">
        <w:rPr>
          <w:sz w:val="16"/>
          <w:szCs w:val="16"/>
          <w:lang w:val="en-US"/>
        </w:rPr>
        <w:t>Committee for the Elimination of Discrimination against Women, Concluding observations with regard to The Netherlands, CEDAW/C/NLD/CO/5, February 5, 2010, paras. 46 and 47</w:t>
      </w:r>
      <w:r w:rsidRPr="00012C3F">
        <w:rPr>
          <w:color w:val="000000" w:themeColor="text1"/>
          <w:sz w:val="16"/>
          <w:szCs w:val="16"/>
          <w:lang w:val="en-US"/>
        </w:rPr>
        <w:t>.</w:t>
      </w:r>
    </w:p>
  </w:footnote>
  <w:footnote w:id="271">
    <w:p w14:paraId="5231C7F7" w14:textId="77777777" w:rsidR="00D24EFE" w:rsidRPr="00012C3F" w:rsidRDefault="00D24EFE" w:rsidP="005B52E1">
      <w:pPr>
        <w:shd w:val="clear" w:color="auto" w:fill="FFFFFF"/>
        <w:tabs>
          <w:tab w:val="left" w:pos="567"/>
        </w:tabs>
        <w:spacing w:after="120" w:line="240" w:lineRule="auto"/>
        <w:rPr>
          <w:color w:val="000000" w:themeColor="text1"/>
          <w:sz w:val="16"/>
          <w:szCs w:val="16"/>
          <w:lang w:val="en-US"/>
        </w:rPr>
      </w:pPr>
      <w:r w:rsidRPr="00012C3F">
        <w:rPr>
          <w:rStyle w:val="Refdenotaalpie"/>
          <w:rFonts w:eastAsia="Calibri"/>
          <w:color w:val="000000" w:themeColor="text1"/>
          <w:sz w:val="16"/>
          <w:szCs w:val="16"/>
          <w:lang w:val="en-US"/>
        </w:rPr>
        <w:footnoteRef/>
      </w:r>
      <w:r w:rsidRPr="00012C3F">
        <w:rPr>
          <w:color w:val="000000" w:themeColor="text1"/>
          <w:sz w:val="16"/>
          <w:szCs w:val="16"/>
          <w:lang w:val="en-US"/>
        </w:rPr>
        <w:t xml:space="preserve"> </w:t>
      </w:r>
      <w:r w:rsidRPr="00012C3F">
        <w:rPr>
          <w:color w:val="000000" w:themeColor="text1"/>
          <w:sz w:val="16"/>
          <w:szCs w:val="16"/>
          <w:lang w:val="en-US"/>
        </w:rPr>
        <w:tab/>
      </w:r>
      <w:r w:rsidRPr="00012C3F">
        <w:rPr>
          <w:i/>
          <w:color w:val="000000" w:themeColor="text1"/>
          <w:sz w:val="16"/>
          <w:szCs w:val="16"/>
          <w:lang w:val="en-US"/>
        </w:rPr>
        <w:t xml:space="preserve">Cf. </w:t>
      </w:r>
      <w:r w:rsidRPr="00012C3F">
        <w:rPr>
          <w:sz w:val="16"/>
          <w:szCs w:val="16"/>
          <w:lang w:val="en-US"/>
        </w:rPr>
        <w:t xml:space="preserve">UN, </w:t>
      </w:r>
      <w:r w:rsidRPr="00012C3F">
        <w:rPr>
          <w:color w:val="000000" w:themeColor="text1"/>
          <w:sz w:val="16"/>
          <w:szCs w:val="16"/>
          <w:lang w:val="en-US"/>
        </w:rPr>
        <w:t xml:space="preserve">Human Rights Committee, Concluding observations with regard to Peru, CCPR/CO/70/PER, November 15, 2000, para. 21; </w:t>
      </w:r>
      <w:r w:rsidRPr="00012C3F">
        <w:rPr>
          <w:sz w:val="16"/>
          <w:szCs w:val="16"/>
          <w:lang w:val="en-US"/>
        </w:rPr>
        <w:t xml:space="preserve">UN, Committee for the Elimination of Discrimination against Women, General Recommendation No. </w:t>
      </w:r>
      <w:r w:rsidRPr="00012C3F">
        <w:rPr>
          <w:color w:val="000000" w:themeColor="text1"/>
          <w:sz w:val="16"/>
          <w:szCs w:val="16"/>
          <w:lang w:val="en-US"/>
        </w:rPr>
        <w:t xml:space="preserve">21, </w:t>
      </w:r>
      <w:r w:rsidRPr="00012C3F">
        <w:rPr>
          <w:i/>
          <w:color w:val="000000" w:themeColor="text1"/>
          <w:sz w:val="16"/>
          <w:szCs w:val="16"/>
          <w:lang w:val="en-US"/>
        </w:rPr>
        <w:t xml:space="preserve">Equality in marriage and family relations, </w:t>
      </w:r>
      <w:r w:rsidRPr="00012C3F">
        <w:rPr>
          <w:color w:val="000000" w:themeColor="text1"/>
          <w:sz w:val="16"/>
          <w:szCs w:val="16"/>
          <w:lang w:val="en-US"/>
        </w:rPr>
        <w:t>1994, para. 22; UN, Report of the Special Rapporteur on torture and other cruel, inhuman or degrading treatment or punishment, Manfred Nowak, A/HRC/7/3, January 15, 2008, para. 39; Human Rights Committee, Concluding observations with regard to Slovakia, CCPR/CO/78/SVK, August 22, 2003, para. 12; Human Rights Committee, Concluding observations with regard to Slovakia, CCPR/C/SVK/CO/3, April 20, 2011, para. 13;</w:t>
      </w:r>
      <w:r w:rsidRPr="00012C3F">
        <w:rPr>
          <w:rFonts w:cs="Courier New"/>
          <w:color w:val="000000" w:themeColor="text1"/>
          <w:sz w:val="16"/>
          <w:szCs w:val="16"/>
          <w:lang w:val="en-US"/>
        </w:rPr>
        <w:t xml:space="preserve"> Committee on the rights of persons with disabilities, Concluding observations with regard to Peru, CRPD/C/PER/CO/1, May 16, 2012, para. 35, and </w:t>
      </w:r>
      <w:r w:rsidRPr="00012C3F">
        <w:rPr>
          <w:color w:val="000000" w:themeColor="text1"/>
          <w:sz w:val="16"/>
          <w:szCs w:val="16"/>
          <w:lang w:val="en-US"/>
        </w:rPr>
        <w:t xml:space="preserve">Committee against Torture, Concluding observations on the second periodic report of Kenya, CAT/C/KEN/CO/2, June 19, 2013, para. 27. </w:t>
      </w:r>
    </w:p>
  </w:footnote>
  <w:footnote w:id="272">
    <w:p w14:paraId="5AD12618" w14:textId="77777777" w:rsidR="00D24EFE" w:rsidRPr="00012C3F" w:rsidRDefault="00D24EFE" w:rsidP="005B52E1">
      <w:pPr>
        <w:pStyle w:val="Textonotapie"/>
        <w:tabs>
          <w:tab w:val="left" w:pos="567"/>
        </w:tabs>
        <w:spacing w:after="120"/>
        <w:rPr>
          <w:color w:val="000000" w:themeColor="text1"/>
          <w:sz w:val="16"/>
          <w:szCs w:val="16"/>
          <w:lang w:val="en-US"/>
        </w:rPr>
      </w:pPr>
      <w:r w:rsidRPr="00012C3F">
        <w:rPr>
          <w:rStyle w:val="Refdenotaalpie"/>
          <w:rFonts w:eastAsia="Calibri"/>
          <w:color w:val="000000" w:themeColor="text1"/>
          <w:sz w:val="16"/>
          <w:szCs w:val="16"/>
          <w:lang w:val="en-US"/>
        </w:rPr>
        <w:footnoteRef/>
      </w:r>
      <w:r w:rsidRPr="00012C3F">
        <w:rPr>
          <w:color w:val="000000" w:themeColor="text1"/>
          <w:sz w:val="16"/>
          <w:szCs w:val="16"/>
          <w:lang w:val="en-US"/>
        </w:rPr>
        <w:t xml:space="preserve"> </w:t>
      </w:r>
      <w:r w:rsidRPr="00012C3F">
        <w:rPr>
          <w:color w:val="000000" w:themeColor="text1"/>
          <w:sz w:val="16"/>
          <w:szCs w:val="16"/>
          <w:lang w:val="en-US"/>
        </w:rPr>
        <w:tab/>
      </w:r>
      <w:r w:rsidRPr="00012C3F">
        <w:rPr>
          <w:i/>
          <w:color w:val="000000" w:themeColor="text1"/>
          <w:sz w:val="16"/>
          <w:szCs w:val="16"/>
          <w:lang w:val="en-US"/>
        </w:rPr>
        <w:t xml:space="preserve">Cf. </w:t>
      </w:r>
      <w:r w:rsidRPr="00012C3F">
        <w:rPr>
          <w:color w:val="000000" w:themeColor="text1"/>
          <w:sz w:val="16"/>
          <w:szCs w:val="16"/>
          <w:lang w:val="en-US"/>
        </w:rPr>
        <w:t>UN, Report of the Special Rapporteur on violence against women, its causes and consequences</w:t>
      </w:r>
      <w:r w:rsidRPr="00012C3F">
        <w:rPr>
          <w:bCs/>
          <w:sz w:val="16"/>
          <w:szCs w:val="16"/>
          <w:lang w:val="en-US"/>
        </w:rPr>
        <w:t>, Ms. Radhika</w:t>
      </w:r>
      <w:r w:rsidRPr="00012C3F">
        <w:rPr>
          <w:rFonts w:cs="Courier New"/>
          <w:color w:val="000000" w:themeColor="text1"/>
          <w:sz w:val="16"/>
          <w:szCs w:val="16"/>
          <w:lang w:val="en-US"/>
        </w:rPr>
        <w:t xml:space="preserve"> Coomaraswamy</w:t>
      </w:r>
      <w:r w:rsidRPr="00012C3F">
        <w:rPr>
          <w:bCs/>
          <w:sz w:val="16"/>
          <w:szCs w:val="16"/>
          <w:lang w:val="en-US"/>
        </w:rPr>
        <w:t xml:space="preserve">, </w:t>
      </w:r>
      <w:r w:rsidRPr="00012C3F">
        <w:rPr>
          <w:bCs/>
          <w:i/>
          <w:sz w:val="16"/>
          <w:szCs w:val="16"/>
          <w:lang w:val="en-US"/>
        </w:rPr>
        <w:t xml:space="preserve">Policies and practices that impact women’s reproductive rights and contribute to, cause or constitute violence against women, </w:t>
      </w:r>
      <w:r w:rsidRPr="00012C3F">
        <w:rPr>
          <w:bCs/>
          <w:sz w:val="16"/>
          <w:szCs w:val="16"/>
          <w:lang w:val="en-US"/>
        </w:rPr>
        <w:t>E/CN.4/1999/68/Add.4, January 21, 1999</w:t>
      </w:r>
      <w:r w:rsidRPr="00012C3F">
        <w:rPr>
          <w:rFonts w:cs="Courier New"/>
          <w:color w:val="000000" w:themeColor="text1"/>
          <w:sz w:val="16"/>
          <w:szCs w:val="16"/>
          <w:lang w:val="en-US"/>
        </w:rPr>
        <w:t xml:space="preserve">, para. 51; </w:t>
      </w:r>
      <w:r w:rsidRPr="00012C3F">
        <w:rPr>
          <w:color w:val="000000" w:themeColor="text1"/>
          <w:sz w:val="16"/>
          <w:szCs w:val="16"/>
          <w:lang w:val="en-US"/>
        </w:rPr>
        <w:t xml:space="preserve">Human Rights Committee, Concluding observations with regard to Japan, CCPR/C/79/Add.102, November 19, 1998, para. 31; Report of the Special Rapporteur on violence against women, its causes and consequences, Rashida Manjoo, </w:t>
      </w:r>
      <w:r w:rsidRPr="00012C3F">
        <w:rPr>
          <w:i/>
          <w:color w:val="000000" w:themeColor="text1"/>
          <w:sz w:val="16"/>
          <w:szCs w:val="16"/>
          <w:lang w:val="en-US"/>
        </w:rPr>
        <w:t>Violence against women with disabilities</w:t>
      </w:r>
      <w:r w:rsidRPr="00012C3F">
        <w:rPr>
          <w:color w:val="000000" w:themeColor="text1"/>
          <w:sz w:val="16"/>
          <w:szCs w:val="16"/>
          <w:lang w:val="en-US"/>
        </w:rPr>
        <w:t>, A/67/227, August 3, 2012, para. 28.</w:t>
      </w:r>
    </w:p>
  </w:footnote>
  <w:footnote w:id="273">
    <w:p w14:paraId="24AF5EFB" w14:textId="77777777" w:rsidR="00D24EFE" w:rsidRPr="00012C3F" w:rsidRDefault="00D24EFE" w:rsidP="005B52E1">
      <w:pPr>
        <w:pStyle w:val="Textonotapie"/>
        <w:tabs>
          <w:tab w:val="left" w:pos="567"/>
        </w:tabs>
        <w:spacing w:after="120"/>
        <w:rPr>
          <w:color w:val="000000" w:themeColor="text1"/>
          <w:sz w:val="16"/>
          <w:szCs w:val="16"/>
          <w:lang w:val="en-US"/>
        </w:rPr>
      </w:pPr>
      <w:r w:rsidRPr="00012C3F">
        <w:rPr>
          <w:rStyle w:val="Refdenotaalpie"/>
          <w:rFonts w:eastAsia="Calibri"/>
          <w:color w:val="000000" w:themeColor="text1"/>
          <w:sz w:val="16"/>
          <w:szCs w:val="16"/>
          <w:lang w:val="en-US"/>
        </w:rPr>
        <w:footnoteRef/>
      </w:r>
      <w:r w:rsidRPr="00012C3F">
        <w:rPr>
          <w:color w:val="000000" w:themeColor="text1"/>
          <w:sz w:val="16"/>
          <w:szCs w:val="16"/>
          <w:lang w:val="en-US"/>
        </w:rPr>
        <w:t xml:space="preserve"> </w:t>
      </w:r>
      <w:r w:rsidRPr="00012C3F">
        <w:rPr>
          <w:color w:val="000000" w:themeColor="text1"/>
          <w:sz w:val="16"/>
          <w:szCs w:val="16"/>
          <w:lang w:val="en-US"/>
        </w:rPr>
        <w:tab/>
      </w:r>
      <w:r w:rsidRPr="00012C3F">
        <w:rPr>
          <w:i/>
          <w:color w:val="000000" w:themeColor="text1"/>
          <w:sz w:val="16"/>
          <w:szCs w:val="16"/>
          <w:lang w:val="en-US"/>
        </w:rPr>
        <w:t xml:space="preserve">Cf. </w:t>
      </w:r>
      <w:r w:rsidRPr="00012C3F">
        <w:rPr>
          <w:color w:val="000000" w:themeColor="text1"/>
          <w:sz w:val="16"/>
          <w:szCs w:val="16"/>
          <w:lang w:val="en-US"/>
        </w:rPr>
        <w:t>UN, Human Rights Committee, Concluding observations with regard to Slovakia, CCPR/CO/78/SVK, August 22, 2003, para. 12, and Committee against Torture, Concluding observations with regard to Kenya, CAT/C/KEN/CO/2, June 19, 2013, para. 27; Human Rights Committee, Concluding observations with regard to Slovakia, CCPR/CO/78/SVK, August 22, 2003, para. 12, and Committee for the Elimination of Discrimination against Women, Concluding observations with regard to Slovakia, CEDAW/C/SVK/CO/4, July 17, 2008, para. 31.</w:t>
      </w:r>
    </w:p>
  </w:footnote>
  <w:footnote w:id="274">
    <w:p w14:paraId="76DB8B1D" w14:textId="77777777" w:rsidR="00D24EFE" w:rsidRPr="00012C3F" w:rsidRDefault="00D24EFE" w:rsidP="005B52E1">
      <w:pPr>
        <w:pStyle w:val="Textonotapie"/>
        <w:tabs>
          <w:tab w:val="left" w:pos="567"/>
        </w:tabs>
        <w:spacing w:after="120"/>
        <w:rPr>
          <w:i/>
          <w:sz w:val="16"/>
          <w:szCs w:val="16"/>
          <w:lang w:val="en-US"/>
        </w:rPr>
      </w:pPr>
      <w:r w:rsidRPr="00012C3F">
        <w:rPr>
          <w:rStyle w:val="Refdenotaalpie"/>
          <w:rFonts w:eastAsiaTheme="majorEastAsia"/>
          <w:sz w:val="16"/>
          <w:szCs w:val="16"/>
          <w:lang w:val="en-US"/>
        </w:rPr>
        <w:footnoteRef/>
      </w:r>
      <w:r w:rsidRPr="00012C3F">
        <w:rPr>
          <w:sz w:val="16"/>
          <w:szCs w:val="16"/>
          <w:lang w:val="en-US"/>
        </w:rPr>
        <w:tab/>
      </w:r>
      <w:r w:rsidRPr="00012C3F">
        <w:rPr>
          <w:i/>
          <w:sz w:val="16"/>
          <w:szCs w:val="16"/>
          <w:lang w:val="en-US"/>
        </w:rPr>
        <w:t>Cf. Case of the Pueblo Bello Massacre v. Colombia</w:t>
      </w:r>
      <w:r w:rsidRPr="00012C3F">
        <w:rPr>
          <w:sz w:val="16"/>
          <w:szCs w:val="16"/>
          <w:lang w:val="en-US"/>
        </w:rPr>
        <w:t xml:space="preserve">. </w:t>
      </w:r>
      <w:r w:rsidRPr="00012C3F">
        <w:rPr>
          <w:i/>
          <w:color w:val="000000"/>
          <w:sz w:val="16"/>
          <w:szCs w:val="16"/>
          <w:lang w:val="en-US"/>
        </w:rPr>
        <w:t>Merits reparations and costs.</w:t>
      </w:r>
      <w:r w:rsidRPr="00012C3F">
        <w:rPr>
          <w:color w:val="000000"/>
          <w:sz w:val="16"/>
          <w:szCs w:val="16"/>
          <w:lang w:val="en-US"/>
        </w:rPr>
        <w:t xml:space="preserve"> Judgment of January 31, 2006. Series C No. 140</w:t>
      </w:r>
      <w:r w:rsidRPr="00012C3F">
        <w:rPr>
          <w:sz w:val="16"/>
          <w:szCs w:val="16"/>
          <w:lang w:val="en-US"/>
        </w:rPr>
        <w:t xml:space="preserve">, para. 111, and </w:t>
      </w:r>
      <w:r w:rsidRPr="00012C3F">
        <w:rPr>
          <w:i/>
          <w:sz w:val="16"/>
          <w:szCs w:val="16"/>
          <w:lang w:val="en-US"/>
        </w:rPr>
        <w:t>Case of Chinchilla Sandoval v. Guatemala, supra</w:t>
      </w:r>
      <w:r w:rsidRPr="00012C3F">
        <w:rPr>
          <w:sz w:val="16"/>
          <w:szCs w:val="16"/>
          <w:lang w:val="en-US"/>
        </w:rPr>
        <w:t>, para. 168.</w:t>
      </w:r>
    </w:p>
  </w:footnote>
  <w:footnote w:id="275">
    <w:p w14:paraId="5F74BFC2" w14:textId="77777777" w:rsidR="00D24EFE" w:rsidRPr="00D24EFE" w:rsidRDefault="00D24EFE" w:rsidP="005B52E1">
      <w:pPr>
        <w:pStyle w:val="Textonotapie"/>
        <w:tabs>
          <w:tab w:val="left" w:pos="567"/>
          <w:tab w:val="left" w:pos="720"/>
        </w:tabs>
        <w:spacing w:after="120"/>
        <w:ind w:right="18"/>
        <w:rPr>
          <w:sz w:val="16"/>
          <w:szCs w:val="16"/>
          <w:lang w:val="es-CR"/>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Case of Vargas </w:t>
      </w:r>
      <w:proofErr w:type="spellStart"/>
      <w:r w:rsidRPr="00012C3F">
        <w:rPr>
          <w:i/>
          <w:sz w:val="16"/>
          <w:szCs w:val="16"/>
          <w:lang w:val="en-US"/>
        </w:rPr>
        <w:t>Areco</w:t>
      </w:r>
      <w:proofErr w:type="spellEnd"/>
      <w:r w:rsidRPr="00012C3F">
        <w:rPr>
          <w:i/>
          <w:sz w:val="16"/>
          <w:szCs w:val="16"/>
          <w:lang w:val="en-US"/>
        </w:rPr>
        <w:t xml:space="preserve"> v. Paraguay. Merits reparations and costs</w:t>
      </w:r>
      <w:r w:rsidRPr="00012C3F">
        <w:rPr>
          <w:sz w:val="16"/>
          <w:szCs w:val="16"/>
          <w:lang w:val="en-US"/>
        </w:rPr>
        <w:t xml:space="preserve">. Judgment of September 26, 2006. Series C No. 155, para. 73, and </w:t>
      </w:r>
      <w:r w:rsidRPr="00012C3F">
        <w:rPr>
          <w:bCs/>
          <w:i/>
          <w:color w:val="000000"/>
          <w:sz w:val="16"/>
          <w:szCs w:val="16"/>
          <w:lang w:val="en-US"/>
        </w:rPr>
        <w:t xml:space="preserve">Case of the Santo Domingo Massacre v. Colombia. </w:t>
      </w:r>
      <w:r w:rsidRPr="00012C3F">
        <w:rPr>
          <w:i/>
          <w:color w:val="000000"/>
          <w:sz w:val="16"/>
          <w:szCs w:val="16"/>
          <w:lang w:val="en-US"/>
        </w:rPr>
        <w:t>Preliminary objections, Merits and Reparations</w:t>
      </w:r>
      <w:r w:rsidRPr="00012C3F">
        <w:rPr>
          <w:color w:val="000000"/>
          <w:sz w:val="16"/>
          <w:szCs w:val="16"/>
          <w:lang w:val="en-US"/>
        </w:rPr>
        <w:t xml:space="preserve">. Judgment of November 30, 2012. Series C No. 259, para. </w:t>
      </w:r>
      <w:r w:rsidRPr="00D24EFE">
        <w:rPr>
          <w:color w:val="000000"/>
          <w:sz w:val="16"/>
          <w:szCs w:val="16"/>
          <w:lang w:val="es-CR"/>
        </w:rPr>
        <w:t>189.</w:t>
      </w:r>
    </w:p>
  </w:footnote>
  <w:footnote w:id="276">
    <w:p w14:paraId="1CED68CB" w14:textId="77777777" w:rsidR="00D24EFE" w:rsidRPr="00D24EFE" w:rsidRDefault="00D24EFE" w:rsidP="005B52E1">
      <w:pPr>
        <w:pStyle w:val="Textonotapie"/>
        <w:tabs>
          <w:tab w:val="left" w:pos="567"/>
          <w:tab w:val="left" w:pos="720"/>
        </w:tabs>
        <w:spacing w:after="120"/>
        <w:ind w:right="18"/>
        <w:rPr>
          <w:sz w:val="16"/>
          <w:szCs w:val="16"/>
          <w:lang w:val="es-CR"/>
        </w:rPr>
      </w:pPr>
      <w:r w:rsidRPr="00012C3F">
        <w:rPr>
          <w:rStyle w:val="Refdenotaalpie"/>
          <w:rFonts w:eastAsiaTheme="majorEastAsia"/>
          <w:sz w:val="16"/>
          <w:szCs w:val="16"/>
          <w:lang w:val="en-US"/>
        </w:rPr>
        <w:footnoteRef/>
      </w:r>
      <w:r w:rsidRPr="00D24EFE">
        <w:rPr>
          <w:sz w:val="16"/>
          <w:szCs w:val="16"/>
          <w:lang w:val="es-CR"/>
        </w:rPr>
        <w:t xml:space="preserve"> </w:t>
      </w:r>
      <w:r w:rsidRPr="00D24EFE">
        <w:rPr>
          <w:sz w:val="16"/>
          <w:szCs w:val="16"/>
          <w:lang w:val="es-CR"/>
        </w:rPr>
        <w:tab/>
      </w:r>
      <w:r w:rsidRPr="00D24EFE">
        <w:rPr>
          <w:i/>
          <w:sz w:val="16"/>
          <w:szCs w:val="16"/>
          <w:lang w:val="es-CR"/>
        </w:rPr>
        <w:t>Cf.</w:t>
      </w:r>
      <w:r w:rsidRPr="00D24EFE">
        <w:rPr>
          <w:sz w:val="16"/>
          <w:szCs w:val="16"/>
          <w:lang w:val="es-CR"/>
        </w:rPr>
        <w:t xml:space="preserve"> </w:t>
      </w:r>
      <w:r w:rsidRPr="00D24EFE">
        <w:rPr>
          <w:i/>
          <w:sz w:val="16"/>
          <w:szCs w:val="16"/>
          <w:lang w:val="es-CR"/>
        </w:rPr>
        <w:t xml:space="preserve">Case of Velásquez Rodríguez v. Honduras, Merits, supra, </w:t>
      </w:r>
      <w:r w:rsidRPr="00D24EFE">
        <w:rPr>
          <w:sz w:val="16"/>
          <w:szCs w:val="16"/>
          <w:lang w:val="es-CR"/>
        </w:rPr>
        <w:t xml:space="preserve">para. 166, and </w:t>
      </w:r>
      <w:r w:rsidRPr="00D24EFE">
        <w:rPr>
          <w:rStyle w:val="Textoennegrita"/>
          <w:b w:val="0"/>
          <w:i/>
          <w:sz w:val="16"/>
          <w:szCs w:val="16"/>
          <w:lang w:val="es-CR"/>
        </w:rPr>
        <w:t>Case of Tenorio Roca et al. v. Peru, supra</w:t>
      </w:r>
      <w:r w:rsidRPr="00D24EFE">
        <w:rPr>
          <w:rStyle w:val="Textoennegrita"/>
          <w:b w:val="0"/>
          <w:sz w:val="16"/>
          <w:szCs w:val="16"/>
          <w:lang w:val="es-CR"/>
        </w:rPr>
        <w:t>, para. 142.</w:t>
      </w:r>
    </w:p>
  </w:footnote>
  <w:footnote w:id="277">
    <w:p w14:paraId="5AD9FC20" w14:textId="77777777" w:rsidR="00D24EFE" w:rsidRPr="00D24EFE" w:rsidRDefault="00D24EFE" w:rsidP="005B52E1">
      <w:pPr>
        <w:pStyle w:val="Textonotapie"/>
        <w:tabs>
          <w:tab w:val="left" w:pos="567"/>
          <w:tab w:val="left" w:pos="720"/>
        </w:tabs>
        <w:spacing w:after="120"/>
        <w:ind w:right="18"/>
        <w:rPr>
          <w:sz w:val="16"/>
          <w:szCs w:val="16"/>
          <w:lang w:val="es-CR"/>
        </w:rPr>
      </w:pPr>
      <w:r w:rsidRPr="00012C3F">
        <w:rPr>
          <w:rStyle w:val="Refdenotaalpie"/>
          <w:rFonts w:eastAsiaTheme="majorEastAsia"/>
          <w:sz w:val="16"/>
          <w:szCs w:val="16"/>
          <w:lang w:val="en-US"/>
        </w:rPr>
        <w:footnoteRef/>
      </w:r>
      <w:r w:rsidRPr="00D24EFE">
        <w:rPr>
          <w:sz w:val="16"/>
          <w:szCs w:val="16"/>
          <w:lang w:val="es-CR"/>
        </w:rPr>
        <w:t xml:space="preserve"> </w:t>
      </w:r>
      <w:r w:rsidRPr="00D24EFE">
        <w:rPr>
          <w:sz w:val="16"/>
          <w:szCs w:val="16"/>
          <w:lang w:val="es-CR"/>
        </w:rPr>
        <w:tab/>
      </w:r>
      <w:r w:rsidRPr="00D24EFE">
        <w:rPr>
          <w:i/>
          <w:sz w:val="16"/>
          <w:szCs w:val="16"/>
          <w:lang w:val="es-CR"/>
        </w:rPr>
        <w:t>Case of Velásquez Rodríguez v. Honduras. Merits</w:t>
      </w:r>
      <w:r w:rsidRPr="00D24EFE">
        <w:rPr>
          <w:sz w:val="16"/>
          <w:szCs w:val="16"/>
          <w:lang w:val="es-CR"/>
        </w:rPr>
        <w:t xml:space="preserve">, </w:t>
      </w:r>
      <w:r w:rsidRPr="00D24EFE">
        <w:rPr>
          <w:i/>
          <w:sz w:val="16"/>
          <w:szCs w:val="16"/>
          <w:lang w:val="es-CR"/>
        </w:rPr>
        <w:t>supra</w:t>
      </w:r>
      <w:r w:rsidRPr="00D24EFE">
        <w:rPr>
          <w:sz w:val="16"/>
          <w:szCs w:val="16"/>
          <w:lang w:val="es-CR"/>
        </w:rPr>
        <w:t xml:space="preserve">, para. 174, and </w:t>
      </w:r>
      <w:r w:rsidRPr="00D24EFE">
        <w:rPr>
          <w:rStyle w:val="Textoennegrita"/>
          <w:b w:val="0"/>
          <w:i/>
          <w:sz w:val="16"/>
          <w:szCs w:val="16"/>
          <w:lang w:val="es-CR"/>
        </w:rPr>
        <w:t>Case of Tenorio Roca et al. v. Peru, supra</w:t>
      </w:r>
      <w:r w:rsidRPr="00D24EFE">
        <w:rPr>
          <w:rStyle w:val="Textoennegrita"/>
          <w:b w:val="0"/>
          <w:sz w:val="16"/>
          <w:szCs w:val="16"/>
          <w:lang w:val="es-CR"/>
        </w:rPr>
        <w:t>, para. 142.</w:t>
      </w:r>
    </w:p>
  </w:footnote>
  <w:footnote w:id="278">
    <w:p w14:paraId="77AA434B" w14:textId="77777777" w:rsidR="00D24EFE" w:rsidRPr="00D24EFE" w:rsidRDefault="00D24EFE" w:rsidP="005B52E1">
      <w:pPr>
        <w:pStyle w:val="Textonotapie"/>
        <w:tabs>
          <w:tab w:val="left" w:pos="567"/>
        </w:tabs>
        <w:spacing w:after="120"/>
        <w:ind w:right="18"/>
        <w:rPr>
          <w:b/>
          <w:sz w:val="16"/>
          <w:szCs w:val="16"/>
          <w:lang w:val="es-CR"/>
        </w:rPr>
      </w:pPr>
      <w:r w:rsidRPr="00012C3F">
        <w:rPr>
          <w:rStyle w:val="Refdenotaalpie"/>
          <w:rFonts w:eastAsiaTheme="majorEastAsia"/>
          <w:sz w:val="16"/>
          <w:szCs w:val="16"/>
          <w:lang w:val="en-US"/>
        </w:rPr>
        <w:footnoteRef/>
      </w:r>
      <w:r w:rsidRPr="00D24EFE">
        <w:rPr>
          <w:sz w:val="16"/>
          <w:szCs w:val="16"/>
          <w:lang w:val="es-CR"/>
        </w:rPr>
        <w:t xml:space="preserve"> </w:t>
      </w:r>
      <w:r w:rsidRPr="00D24EFE">
        <w:rPr>
          <w:sz w:val="16"/>
          <w:szCs w:val="16"/>
          <w:lang w:val="es-CR"/>
        </w:rPr>
        <w:tab/>
      </w:r>
      <w:r w:rsidRPr="00D24EFE">
        <w:rPr>
          <w:i/>
          <w:sz w:val="16"/>
          <w:szCs w:val="16"/>
          <w:lang w:val="es-CR"/>
        </w:rPr>
        <w:t xml:space="preserve">Cf. </w:t>
      </w:r>
      <w:r w:rsidRPr="00D24EFE">
        <w:rPr>
          <w:rFonts w:cs="Verdana"/>
          <w:i/>
          <w:iCs/>
          <w:sz w:val="16"/>
          <w:szCs w:val="16"/>
          <w:lang w:val="es-CR"/>
        </w:rPr>
        <w:t>Case of Velásquez Rodríguez v. Honduras</w:t>
      </w:r>
      <w:r w:rsidRPr="00D24EFE">
        <w:rPr>
          <w:rFonts w:cs="Verdana"/>
          <w:i/>
          <w:sz w:val="16"/>
          <w:szCs w:val="16"/>
          <w:lang w:val="es-CR"/>
        </w:rPr>
        <w:t xml:space="preserve">. </w:t>
      </w:r>
      <w:r w:rsidRPr="00D24EFE">
        <w:rPr>
          <w:rFonts w:cs="Verdana"/>
          <w:i/>
          <w:iCs/>
          <w:sz w:val="16"/>
          <w:szCs w:val="16"/>
          <w:lang w:val="es-CR"/>
        </w:rPr>
        <w:t>Merits, supra</w:t>
      </w:r>
      <w:r w:rsidRPr="00D24EFE">
        <w:rPr>
          <w:rFonts w:cs="Verdana"/>
          <w:sz w:val="16"/>
          <w:szCs w:val="16"/>
          <w:lang w:val="es-CR"/>
        </w:rPr>
        <w:t xml:space="preserve">, para. 166, and </w:t>
      </w:r>
      <w:r w:rsidRPr="00D24EFE">
        <w:rPr>
          <w:rFonts w:cs="Courier New"/>
          <w:i/>
          <w:noProof/>
          <w:sz w:val="16"/>
          <w:szCs w:val="16"/>
          <w:lang w:val="es-CR"/>
        </w:rPr>
        <w:t>Case of Velásquez Paiz et al. v. Guatemala, supra</w:t>
      </w:r>
      <w:r w:rsidRPr="00D24EFE">
        <w:rPr>
          <w:sz w:val="16"/>
          <w:szCs w:val="16"/>
          <w:lang w:val="es-CR"/>
        </w:rPr>
        <w:t>,</w:t>
      </w:r>
      <w:r w:rsidRPr="00D24EFE">
        <w:rPr>
          <w:color w:val="000000"/>
          <w:sz w:val="16"/>
          <w:szCs w:val="16"/>
          <w:lang w:val="es-CR"/>
        </w:rPr>
        <w:t xml:space="preserve"> para. 107.</w:t>
      </w:r>
    </w:p>
  </w:footnote>
  <w:footnote w:id="279">
    <w:p w14:paraId="59E4951F"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Theme="majorEastAsia"/>
          <w:sz w:val="16"/>
          <w:szCs w:val="16"/>
          <w:lang w:val="en-US"/>
        </w:rPr>
        <w:footnoteRef/>
      </w:r>
      <w:r w:rsidRPr="00D24EFE">
        <w:rPr>
          <w:sz w:val="16"/>
          <w:szCs w:val="16"/>
          <w:lang w:val="es-CR"/>
        </w:rPr>
        <w:t xml:space="preserve"> </w:t>
      </w:r>
      <w:r w:rsidRPr="00D24EFE">
        <w:rPr>
          <w:sz w:val="16"/>
          <w:szCs w:val="16"/>
          <w:lang w:val="es-CR"/>
        </w:rPr>
        <w:tab/>
      </w:r>
      <w:r w:rsidRPr="00D24EFE">
        <w:rPr>
          <w:i/>
          <w:sz w:val="16"/>
          <w:szCs w:val="16"/>
          <w:lang w:val="es-CR"/>
        </w:rPr>
        <w:t>Cf. Case of Ximenes Lopes v. Brazil, supra</w:t>
      </w:r>
      <w:r w:rsidRPr="00D24EFE">
        <w:rPr>
          <w:sz w:val="16"/>
          <w:szCs w:val="16"/>
          <w:lang w:val="es-CR"/>
        </w:rPr>
        <w:t xml:space="preserve">, </w:t>
      </w:r>
      <w:r w:rsidRPr="00D24EFE">
        <w:rPr>
          <w:iCs/>
          <w:sz w:val="16"/>
          <w:szCs w:val="16"/>
          <w:lang w:val="es-CR"/>
        </w:rPr>
        <w:t xml:space="preserve">paras. </w:t>
      </w:r>
      <w:r w:rsidRPr="00012C3F">
        <w:rPr>
          <w:iCs/>
          <w:sz w:val="16"/>
          <w:szCs w:val="16"/>
          <w:lang w:val="en-US"/>
        </w:rPr>
        <w:t xml:space="preserve">89 and 90, and </w:t>
      </w:r>
      <w:r w:rsidRPr="00012C3F">
        <w:rPr>
          <w:rFonts w:cs="Courier New"/>
          <w:i/>
          <w:noProof/>
          <w:sz w:val="16"/>
          <w:szCs w:val="16"/>
          <w:lang w:val="en-US"/>
        </w:rPr>
        <w:t>Case of Gonzales Lluy et al. v. Ecuador, supra</w:t>
      </w:r>
      <w:r w:rsidRPr="00012C3F">
        <w:rPr>
          <w:rFonts w:cs="Courier New"/>
          <w:noProof/>
          <w:sz w:val="16"/>
          <w:szCs w:val="16"/>
          <w:lang w:val="en-US"/>
        </w:rPr>
        <w:t>,</w:t>
      </w:r>
      <w:r w:rsidRPr="00012C3F">
        <w:rPr>
          <w:bCs/>
          <w:sz w:val="16"/>
          <w:szCs w:val="16"/>
          <w:lang w:val="en-US"/>
        </w:rPr>
        <w:t xml:space="preserve"> para. 175. </w:t>
      </w:r>
    </w:p>
  </w:footnote>
  <w:footnote w:id="280">
    <w:p w14:paraId="3139B049"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UN, Committee for the Elimination of Discrimination against Women, Concluding observations with regard to Slovakia, CEDAW/C/SVK/CO/4, July 2008, para. 31.</w:t>
      </w:r>
    </w:p>
  </w:footnote>
  <w:footnote w:id="281">
    <w:p w14:paraId="0D2CBB30"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rFonts w:eastAsia="MS Mincho"/>
          <w:sz w:val="16"/>
          <w:szCs w:val="16"/>
          <w:lang w:val="en-US" w:eastAsia="en-US" w:bidi="en-US"/>
        </w:rPr>
        <w:t xml:space="preserve">Bolivian Health standards NB–SNS–04–97 (“Voluntary surgical contraception for women at high reproductive risk”), adopted by Secretariat Resolution No. 0/408 of August 4, 1997 </w:t>
      </w:r>
      <w:r w:rsidRPr="00012C3F">
        <w:rPr>
          <w:sz w:val="16"/>
          <w:szCs w:val="16"/>
          <w:lang w:val="en-US"/>
        </w:rPr>
        <w:t>(file of the procedure before the Commission, volume III, folios 887 to 898).</w:t>
      </w:r>
    </w:p>
  </w:footnote>
  <w:footnote w:id="282">
    <w:p w14:paraId="0815CBAD"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rFonts w:eastAsia="MS Mincho"/>
          <w:sz w:val="16"/>
          <w:szCs w:val="16"/>
          <w:lang w:val="en-US" w:eastAsia="en-US" w:bidi="en-US"/>
        </w:rPr>
        <w:t xml:space="preserve"> Bolivian Health standards MSPS-98 (“Voluntary surgical contraception.</w:t>
      </w:r>
      <w:r w:rsidRPr="00012C3F">
        <w:rPr>
          <w:rFonts w:eastAsia="MS Mincho"/>
          <w:b/>
          <w:sz w:val="16"/>
          <w:szCs w:val="16"/>
          <w:lang w:val="en-US" w:eastAsia="en-US" w:bidi="en-US"/>
        </w:rPr>
        <w:t xml:space="preserve"> </w:t>
      </w:r>
      <w:r w:rsidRPr="00012C3F">
        <w:rPr>
          <w:rFonts w:eastAsia="MS Mincho"/>
          <w:sz w:val="16"/>
          <w:szCs w:val="16"/>
          <w:lang w:val="en-US" w:eastAsia="en-US" w:bidi="en-US"/>
        </w:rPr>
        <w:t xml:space="preserve">Bilateral tubal occlusion in reproductive risks”), approved by Ministerial Resolution No. 0517 of November 17, 1998 </w:t>
      </w:r>
      <w:r w:rsidRPr="00012C3F">
        <w:rPr>
          <w:sz w:val="16"/>
          <w:szCs w:val="16"/>
          <w:lang w:val="en-US"/>
        </w:rPr>
        <w:t>(file of the procedure before the Commission, volume I, folios 186 to 200).</w:t>
      </w:r>
    </w:p>
  </w:footnote>
  <w:footnote w:id="283">
    <w:p w14:paraId="473357E8" w14:textId="77777777" w:rsidR="00D24EFE" w:rsidRPr="00012C3F" w:rsidRDefault="00D24EFE" w:rsidP="005B52E1">
      <w:pPr>
        <w:pStyle w:val="Textonotapie"/>
        <w:tabs>
          <w:tab w:val="left" w:pos="567"/>
        </w:tabs>
        <w:spacing w:after="120"/>
        <w:rPr>
          <w:rFonts w:eastAsia="MS Mincho"/>
          <w:sz w:val="16"/>
          <w:szCs w:val="16"/>
          <w:lang w:val="en-US" w:eastAsia="en-US" w:bidi="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The 1997 Bolivian standards defined high reproductive risk as the “probability that both the woman of child-bearing age, and also her potential fetus, might experience injury or death if she became pregnant.</w:t>
      </w:r>
      <w:r w:rsidRPr="00012C3F">
        <w:rPr>
          <w:rFonts w:eastAsia="MS Mincho"/>
          <w:sz w:val="16"/>
          <w:szCs w:val="16"/>
          <w:lang w:val="en-US" w:eastAsia="en-US" w:bidi="en-US"/>
        </w:rPr>
        <w:t xml:space="preserve">” </w:t>
      </w:r>
      <w:r w:rsidRPr="00012C3F">
        <w:rPr>
          <w:i/>
          <w:sz w:val="16"/>
          <w:szCs w:val="16"/>
          <w:lang w:val="en-US"/>
        </w:rPr>
        <w:t>Cf.</w:t>
      </w:r>
      <w:r w:rsidRPr="00012C3F">
        <w:rPr>
          <w:sz w:val="16"/>
          <w:szCs w:val="16"/>
          <w:lang w:val="en-US"/>
        </w:rPr>
        <w:t xml:space="preserve"> </w:t>
      </w:r>
      <w:r w:rsidRPr="00012C3F">
        <w:rPr>
          <w:rFonts w:eastAsia="MS Mincho"/>
          <w:sz w:val="16"/>
          <w:szCs w:val="16"/>
          <w:lang w:val="en-US" w:eastAsia="en-US" w:bidi="en-US"/>
        </w:rPr>
        <w:t>Bolivian Health standards NB–SNS–04–97, p. 17</w:t>
      </w:r>
      <w:r w:rsidRPr="00012C3F">
        <w:rPr>
          <w:rFonts w:eastAsia="MS Mincho"/>
          <w:i/>
          <w:sz w:val="16"/>
          <w:szCs w:val="16"/>
          <w:lang w:val="en-US" w:eastAsia="en-US" w:bidi="en-US"/>
        </w:rPr>
        <w:t>.</w:t>
      </w:r>
      <w:r w:rsidRPr="00012C3F">
        <w:rPr>
          <w:rFonts w:eastAsia="MS Mincho"/>
          <w:sz w:val="16"/>
          <w:szCs w:val="16"/>
          <w:lang w:val="en-US" w:eastAsia="en-US" w:bidi="en-US"/>
        </w:rPr>
        <w:t xml:space="preserve"> The standards contained a list of medical reasons for sterilization, including: pulmonary diseases which limited the respiratory capacity; severe rupture of the uterus, and a third caesarean section with three living offspring. It also listed “</w:t>
      </w:r>
      <w:proofErr w:type="spellStart"/>
      <w:r w:rsidRPr="00012C3F">
        <w:rPr>
          <w:rFonts w:eastAsia="MS Mincho"/>
          <w:i/>
          <w:iCs/>
          <w:sz w:val="16"/>
          <w:szCs w:val="16"/>
          <w:lang w:val="en-US" w:eastAsia="en-US" w:bidi="en-US"/>
        </w:rPr>
        <w:t>paridad</w:t>
      </w:r>
      <w:proofErr w:type="spellEnd"/>
      <w:r w:rsidRPr="00012C3F">
        <w:rPr>
          <w:rFonts w:eastAsia="MS Mincho"/>
          <w:i/>
          <w:iCs/>
          <w:sz w:val="16"/>
          <w:szCs w:val="16"/>
          <w:lang w:val="en-US" w:eastAsia="en-US" w:bidi="en-US"/>
        </w:rPr>
        <w:t xml:space="preserve"> </w:t>
      </w:r>
      <w:proofErr w:type="spellStart"/>
      <w:r w:rsidRPr="00012C3F">
        <w:rPr>
          <w:rFonts w:eastAsia="MS Mincho"/>
          <w:i/>
          <w:iCs/>
          <w:sz w:val="16"/>
          <w:szCs w:val="16"/>
          <w:lang w:val="en-US" w:eastAsia="en-US" w:bidi="en-US"/>
        </w:rPr>
        <w:t>satisfecha</w:t>
      </w:r>
      <w:proofErr w:type="spellEnd"/>
      <w:r w:rsidRPr="00012C3F">
        <w:rPr>
          <w:rFonts w:eastAsia="MS Mincho"/>
          <w:sz w:val="16"/>
          <w:szCs w:val="16"/>
          <w:lang w:val="en-US" w:eastAsia="en-US" w:bidi="en-US"/>
        </w:rPr>
        <w:t xml:space="preserve">” which referred to cases of women who requested sterilization provided they had had five vaginal births with living offspring and were over 35 years of age </w:t>
      </w:r>
      <w:r w:rsidRPr="00012C3F">
        <w:rPr>
          <w:sz w:val="16"/>
          <w:szCs w:val="16"/>
          <w:lang w:val="en-US"/>
        </w:rPr>
        <w:t>(file of the procedure before the Commission, volume III, folios 892 to 895).</w:t>
      </w:r>
    </w:p>
  </w:footnote>
  <w:footnote w:id="284">
    <w:p w14:paraId="17C031A1"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rFonts w:eastAsia="MS Mincho"/>
          <w:sz w:val="16"/>
          <w:szCs w:val="16"/>
          <w:lang w:val="en-US" w:eastAsia="en-US" w:bidi="en-US"/>
        </w:rPr>
        <w:t xml:space="preserve">Bolivian Health standards NB–SNS–04–97, p. 27 </w:t>
      </w:r>
      <w:r w:rsidRPr="00012C3F">
        <w:rPr>
          <w:sz w:val="16"/>
          <w:szCs w:val="16"/>
          <w:lang w:val="en-US"/>
        </w:rPr>
        <w:t>(file of the procedure before the Commission, volume III, folio 898)</w:t>
      </w:r>
      <w:r w:rsidRPr="00012C3F">
        <w:rPr>
          <w:rFonts w:eastAsia="MS Mincho"/>
          <w:sz w:val="16"/>
          <w:szCs w:val="16"/>
          <w:lang w:val="en-US" w:eastAsia="en-US" w:bidi="en-US"/>
        </w:rPr>
        <w:t>.</w:t>
      </w:r>
    </w:p>
  </w:footnote>
  <w:footnote w:id="285">
    <w:p w14:paraId="433CB8DE"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rFonts w:eastAsia="MS Mincho"/>
          <w:sz w:val="16"/>
          <w:szCs w:val="16"/>
          <w:lang w:val="en-US" w:eastAsia="en-US" w:bidi="en-US"/>
        </w:rPr>
        <w:t xml:space="preserve">Bolivian Health standards NB–SNS–04–97, p. 27. They defined general informed consent as the voluntary decision of the patient to undergo a medical or surgical procedure with real awareness and understanding of the pertinent information and without pressure </w:t>
      </w:r>
      <w:r w:rsidRPr="00012C3F">
        <w:rPr>
          <w:sz w:val="16"/>
          <w:szCs w:val="16"/>
          <w:lang w:val="en-US"/>
        </w:rPr>
        <w:t>(file of the procedure before the Commission, volume III, folios 894 to 898).</w:t>
      </w:r>
    </w:p>
  </w:footnote>
  <w:footnote w:id="286">
    <w:p w14:paraId="0B8CEC27"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rFonts w:eastAsia="MS Mincho"/>
          <w:sz w:val="16"/>
          <w:szCs w:val="16"/>
          <w:lang w:val="en-US" w:eastAsia="en-US" w:bidi="en-US"/>
        </w:rPr>
        <w:t xml:space="preserve">Bolivian Health standards NB–SNS–04–97, p. 19 </w:t>
      </w:r>
      <w:r w:rsidRPr="00012C3F">
        <w:rPr>
          <w:sz w:val="16"/>
          <w:szCs w:val="16"/>
          <w:lang w:val="en-US"/>
        </w:rPr>
        <w:t>(file of the procedure before the Commission, volume III, folio 894)</w:t>
      </w:r>
      <w:r w:rsidRPr="00012C3F">
        <w:rPr>
          <w:rFonts w:eastAsia="MS Mincho"/>
          <w:sz w:val="16"/>
          <w:szCs w:val="16"/>
          <w:lang w:val="en-US" w:eastAsia="en-US" w:bidi="en-US"/>
        </w:rPr>
        <w:t>.</w:t>
      </w:r>
    </w:p>
  </w:footnote>
  <w:footnote w:id="287">
    <w:p w14:paraId="384C3CEE"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rFonts w:eastAsia="MS Mincho"/>
          <w:sz w:val="16"/>
          <w:szCs w:val="16"/>
          <w:lang w:val="en-US" w:eastAsia="en-US" w:bidi="en-US"/>
        </w:rPr>
        <w:t xml:space="preserve">Bolivian Health standards NB–SNS–04–97, p. 19 </w:t>
      </w:r>
      <w:r w:rsidRPr="00012C3F">
        <w:rPr>
          <w:sz w:val="16"/>
          <w:szCs w:val="16"/>
          <w:lang w:val="en-US"/>
        </w:rPr>
        <w:t>(file of the procedure before the Commission, volume III, folio 894)</w:t>
      </w:r>
      <w:r w:rsidRPr="00012C3F">
        <w:rPr>
          <w:rFonts w:eastAsia="MS Mincho"/>
          <w:sz w:val="16"/>
          <w:szCs w:val="16"/>
          <w:lang w:val="en-US" w:eastAsia="en-US" w:bidi="en-US"/>
        </w:rPr>
        <w:t>.</w:t>
      </w:r>
    </w:p>
  </w:footnote>
  <w:footnote w:id="288">
    <w:p w14:paraId="5FCA491B" w14:textId="77777777" w:rsidR="00D24EFE" w:rsidRPr="00012C3F" w:rsidRDefault="00D24EFE" w:rsidP="005B52E1">
      <w:pPr>
        <w:widowControl/>
        <w:tabs>
          <w:tab w:val="left" w:pos="567"/>
          <w:tab w:val="left" w:pos="8640"/>
        </w:tabs>
        <w:autoSpaceDE w:val="0"/>
        <w:autoSpaceDN w:val="0"/>
        <w:spacing w:after="120" w:line="240" w:lineRule="auto"/>
        <w:ind w:right="21"/>
        <w:textAlignment w:val="auto"/>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 xml:space="preserve">These standards defined reproductive risk as “the probability that a woman will suffer harm if she becomes pregnant in unfavorable health conditions. This is detected in women who are not pregnant.” They also adopted concepts such as obstetric risk, defined as the “probability that a pregnant woman and/or her infant suffer harm due to the presence of risk factors of a biological, environmental or social nature.” </w:t>
      </w:r>
      <w:r w:rsidRPr="00012C3F">
        <w:rPr>
          <w:rFonts w:eastAsia="MS Mincho"/>
          <w:sz w:val="16"/>
          <w:szCs w:val="16"/>
          <w:lang w:val="en-US" w:eastAsia="en-US" w:bidi="en-US"/>
        </w:rPr>
        <w:t xml:space="preserve">Bolivian Health standards MSPS-98, p. 15 </w:t>
      </w:r>
      <w:r w:rsidRPr="00012C3F">
        <w:rPr>
          <w:sz w:val="16"/>
          <w:szCs w:val="16"/>
          <w:lang w:val="en-US"/>
        </w:rPr>
        <w:t>(file of the procedure before the Commission, volume I, folio 193).</w:t>
      </w:r>
    </w:p>
  </w:footnote>
  <w:footnote w:id="289">
    <w:p w14:paraId="6E63780F"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rFonts w:eastAsia="MS Mincho"/>
          <w:sz w:val="16"/>
          <w:szCs w:val="16"/>
          <w:lang w:val="en-US" w:eastAsia="en-US" w:bidi="en-US"/>
        </w:rPr>
        <w:t xml:space="preserve">Bolivian Health standards MSPS-98, p. 18 </w:t>
      </w:r>
      <w:r w:rsidRPr="00012C3F">
        <w:rPr>
          <w:sz w:val="16"/>
          <w:szCs w:val="16"/>
          <w:lang w:val="en-US"/>
        </w:rPr>
        <w:t>(file of the procedure before the Commission, volume I, folio 195).</w:t>
      </w:r>
    </w:p>
  </w:footnote>
  <w:footnote w:id="290">
    <w:p w14:paraId="7901BCD3" w14:textId="77777777" w:rsidR="00D24EFE" w:rsidRPr="00012C3F" w:rsidRDefault="00D24EFE" w:rsidP="005B52E1">
      <w:pPr>
        <w:widowControl/>
        <w:tabs>
          <w:tab w:val="left" w:pos="567"/>
          <w:tab w:val="left" w:pos="8640"/>
        </w:tabs>
        <w:autoSpaceDE w:val="0"/>
        <w:autoSpaceDN w:val="0"/>
        <w:spacing w:after="120" w:line="240" w:lineRule="auto"/>
        <w:ind w:right="21"/>
        <w:textAlignment w:val="auto"/>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rFonts w:eastAsia="MS Mincho"/>
          <w:sz w:val="16"/>
          <w:szCs w:val="16"/>
          <w:lang w:val="en-US" w:eastAsia="en-US" w:bidi="en-US"/>
        </w:rPr>
        <w:t xml:space="preserve">Bolivian Health standards MSPS-98, p. 21 </w:t>
      </w:r>
      <w:r w:rsidRPr="00012C3F">
        <w:rPr>
          <w:sz w:val="16"/>
          <w:szCs w:val="16"/>
          <w:lang w:val="en-US"/>
        </w:rPr>
        <w:t xml:space="preserve">(file of the procedure before the Commission, volume I, folio 196). The 1998 Bolivian standards describe informed choice as the “process by which a person takes a decision regarding health care. It should be based on access to all the necessary information and full comprehension of this. The process should result from a free and informed decision of the person about whether or not they wish to receive the health care service ad, if so, what method or procedure will they choose and do they agree to receive.” Similarly, it defines informed consent as “the act by which a person agrees to receive medical care or treatment, following a process of informed choice.” </w:t>
      </w:r>
      <w:r w:rsidRPr="00012C3F">
        <w:rPr>
          <w:rFonts w:eastAsia="MS Mincho"/>
          <w:sz w:val="16"/>
          <w:szCs w:val="16"/>
          <w:lang w:val="en-US" w:eastAsia="en-US" w:bidi="en-US"/>
        </w:rPr>
        <w:t xml:space="preserve">Bolivian Health standards MSPS-98, p. 17 </w:t>
      </w:r>
      <w:r w:rsidRPr="00012C3F">
        <w:rPr>
          <w:sz w:val="16"/>
          <w:szCs w:val="16"/>
          <w:lang w:val="en-US"/>
        </w:rPr>
        <w:t>(file of the procedure before the Commission, volume I, folio 194).</w:t>
      </w:r>
    </w:p>
  </w:footnote>
  <w:footnote w:id="291">
    <w:p w14:paraId="52B5E1B6"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Statement made by Edgar Torrico Ameller before the Inter-American Court during the public hearing held on May 2, 2016.</w:t>
      </w:r>
    </w:p>
  </w:footnote>
  <w:footnote w:id="292">
    <w:p w14:paraId="26A0F516"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Final decision No. 020/2002 issued by the Legal Advisory Services Unit of the La Paz Departmental Health Service on July 25, 2002 (evidence file, volume XIV, annex 3 to the representative’s final arguments, folio 5769).</w:t>
      </w:r>
    </w:p>
  </w:footnote>
  <w:footnote w:id="293">
    <w:p w14:paraId="07E70B09"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Affidavit prepared by Marco Vladimir Vargas Terrazas on April 28, 2016 (evidence file, volume XI, affidavits, folios 3933 and 3939).</w:t>
      </w:r>
    </w:p>
  </w:footnote>
  <w:footnote w:id="294">
    <w:p w14:paraId="459F1B08" w14:textId="77777777" w:rsidR="00D24EFE" w:rsidRPr="00012C3F" w:rsidRDefault="00D24EFE" w:rsidP="005B52E1">
      <w:pPr>
        <w:widowControl/>
        <w:tabs>
          <w:tab w:val="left" w:pos="567"/>
          <w:tab w:val="left" w:pos="8640"/>
        </w:tabs>
        <w:autoSpaceDE w:val="0"/>
        <w:autoSpaceDN w:val="0"/>
        <w:spacing w:after="120" w:line="240" w:lineRule="auto"/>
        <w:ind w:right="21"/>
        <w:textAlignment w:val="auto"/>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Resolution No. 086/2002 issued by the Second Trial Court of La Paz on November 18, 2002 (evidence file, volume VII, annex 24 to the submission of the case, folio 2191). According to this Resolution, articles 19 and 23 of the Code of Medical Ethics at that time, adopted by Law No. 728 of August 4, 1993, indicated the obligation to obtain consent, including in cases of sterilization. The Court notes that the Code of Medical Ethics in the case file contains these obligations in its </w:t>
      </w:r>
      <w:r w:rsidRPr="00012C3F">
        <w:rPr>
          <w:rFonts w:eastAsia="MS Mincho"/>
          <w:sz w:val="16"/>
          <w:szCs w:val="16"/>
          <w:lang w:val="en-US" w:eastAsia="en-US" w:bidi="en-US"/>
        </w:rPr>
        <w:t xml:space="preserve">articles 16, 18, 19 and 22 </w:t>
      </w:r>
      <w:r w:rsidRPr="00012C3F">
        <w:rPr>
          <w:sz w:val="16"/>
          <w:szCs w:val="16"/>
          <w:lang w:val="en-US"/>
        </w:rPr>
        <w:t>(file of the procedure before the Commission, volume II, folios 411 and 412). The Court considers it necessary to stress that, for the purposes of the analysis in this section, it will not take into account the Code of Medical Ethics and Deontology, because according to information in the case file and provided by the parties, that Code was adopted by Ministerial Resolution No. 047/04 of July 2004, so that it was not in force at the time of the facts. Nevertheless, the Court underscores that articles 8(6) and (10), 20, 22, 23, 25 and 37 of that Code contain similar provisions to those of the 1993 Code of Medical Ethics (file of the procedure before the Commission, volume II, folios 406 to 408).</w:t>
      </w:r>
    </w:p>
  </w:footnote>
  <w:footnote w:id="295">
    <w:p w14:paraId="03DCD5AE"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Letter from the Head of the Obstetric Services of the Women’s Hospital to the Director of this hospital dated October 26. 2015 (evidence file, volume X, annex 10 to the State’s answering brief, folios 3619 and 3620).</w:t>
      </w:r>
    </w:p>
  </w:footnote>
  <w:footnote w:id="296">
    <w:p w14:paraId="49FE2A89"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iCs/>
          <w:sz w:val="16"/>
          <w:szCs w:val="16"/>
          <w:lang w:val="en-US"/>
        </w:rPr>
        <w:t xml:space="preserve">Cf. </w:t>
      </w:r>
      <w:r w:rsidRPr="00012C3F">
        <w:rPr>
          <w:sz w:val="16"/>
          <w:szCs w:val="16"/>
          <w:lang w:val="en-US"/>
        </w:rPr>
        <w:t>Record of the surgical procedure transcribed by the Women’s Hospital (evidence file, volume VII, annex 8 to the submission of the case, folio 2138); Affidavit prepared by Marco Vladimir Vargas Terrazas on April 28, 2016 (evidence file, volume XI, affidavits, folio 3937), and Statement made by Edgar Torrico Ameller before the Inter-American Court during the public hearing held on May 2, 2016.</w:t>
      </w:r>
    </w:p>
  </w:footnote>
  <w:footnote w:id="297">
    <w:p w14:paraId="36B297B2" w14:textId="77777777" w:rsidR="00D24EFE" w:rsidRPr="00012C3F" w:rsidRDefault="00D24EFE" w:rsidP="005B52E1">
      <w:pPr>
        <w:tabs>
          <w:tab w:val="left" w:pos="567"/>
        </w:tabs>
        <w:spacing w:after="120" w:line="240" w:lineRule="auto"/>
        <w:rPr>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 Case of “The Last Temptation of Christ” (Olmedo Bustos et al.) v. Chile, supra</w:t>
      </w:r>
      <w:r w:rsidRPr="00012C3F">
        <w:rPr>
          <w:sz w:val="16"/>
          <w:szCs w:val="16"/>
          <w:lang w:val="en-US"/>
        </w:rPr>
        <w:t xml:space="preserve">, para. 72, and </w:t>
      </w:r>
      <w:r w:rsidRPr="00012C3F">
        <w:rPr>
          <w:rFonts w:cs="Courier New"/>
          <w:i/>
          <w:noProof/>
          <w:sz w:val="16"/>
          <w:szCs w:val="16"/>
          <w:lang w:val="en-US"/>
        </w:rPr>
        <w:t xml:space="preserve">Case of García Ibarra et al. v. Ecuador. Preliminary objections, merits, reparations and costs. </w:t>
      </w:r>
      <w:r w:rsidRPr="00012C3F">
        <w:rPr>
          <w:rFonts w:cs="Courier New"/>
          <w:noProof/>
          <w:sz w:val="16"/>
          <w:szCs w:val="16"/>
          <w:lang w:val="en-US"/>
        </w:rPr>
        <w:t>Judgment of November 17, 2015. Series C No. 306, para. 107</w:t>
      </w:r>
      <w:r w:rsidRPr="00012C3F">
        <w:rPr>
          <w:sz w:val="16"/>
          <w:szCs w:val="16"/>
          <w:lang w:val="en-US"/>
        </w:rPr>
        <w:t>.</w:t>
      </w:r>
    </w:p>
  </w:footnote>
  <w:footnote w:id="298">
    <w:p w14:paraId="7C725DE7" w14:textId="77777777" w:rsidR="00D24EFE" w:rsidRPr="00D24EFE" w:rsidRDefault="00D24EFE" w:rsidP="005B52E1">
      <w:pPr>
        <w:pStyle w:val="Textonotapie"/>
        <w:tabs>
          <w:tab w:val="left" w:pos="567"/>
        </w:tabs>
        <w:spacing w:after="120"/>
        <w:rPr>
          <w:sz w:val="16"/>
          <w:szCs w:val="16"/>
          <w:lang w:val="es-CR"/>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 The Word “Law” in Article 30 of the American Convention on Human Rights</w:t>
      </w:r>
      <w:r w:rsidRPr="00012C3F">
        <w:rPr>
          <w:sz w:val="16"/>
          <w:szCs w:val="16"/>
          <w:lang w:val="en-US"/>
        </w:rPr>
        <w:t xml:space="preserve">. Advisory Opinion OC-6/86 of May 9, 1986. Series A No. 6, para. 21, and </w:t>
      </w:r>
      <w:r w:rsidRPr="00012C3F">
        <w:rPr>
          <w:i/>
          <w:sz w:val="16"/>
          <w:szCs w:val="16"/>
          <w:lang w:val="en-US"/>
        </w:rPr>
        <w:t>Case of Gutiérrez and family v. Argentina. Merits, reparations and costs.</w:t>
      </w:r>
      <w:r w:rsidRPr="00012C3F">
        <w:rPr>
          <w:sz w:val="16"/>
          <w:szCs w:val="16"/>
          <w:lang w:val="en-US"/>
        </w:rPr>
        <w:t xml:space="preserve"> Judgment of November 25, 2013. Series C No. 271, para. </w:t>
      </w:r>
      <w:r w:rsidRPr="00D24EFE">
        <w:rPr>
          <w:sz w:val="16"/>
          <w:szCs w:val="16"/>
          <w:lang w:val="es-CR"/>
        </w:rPr>
        <w:t>76.</w:t>
      </w:r>
    </w:p>
  </w:footnote>
  <w:footnote w:id="299">
    <w:p w14:paraId="4A8969BE" w14:textId="77777777" w:rsidR="00D24EFE" w:rsidRPr="00D24EFE" w:rsidRDefault="00D24EFE" w:rsidP="005B52E1">
      <w:pPr>
        <w:pStyle w:val="Textonotapie"/>
        <w:tabs>
          <w:tab w:val="left" w:pos="567"/>
        </w:tabs>
        <w:spacing w:after="120"/>
        <w:rPr>
          <w:sz w:val="16"/>
          <w:szCs w:val="16"/>
          <w:lang w:val="es-CR"/>
        </w:rPr>
      </w:pPr>
      <w:r w:rsidRPr="00012C3F">
        <w:rPr>
          <w:rStyle w:val="Refdenotaalpie"/>
          <w:rFonts w:eastAsiaTheme="majorEastAsia"/>
          <w:sz w:val="16"/>
          <w:szCs w:val="16"/>
          <w:lang w:val="en-US"/>
        </w:rPr>
        <w:footnoteRef/>
      </w:r>
      <w:r w:rsidRPr="00D24EFE">
        <w:rPr>
          <w:sz w:val="16"/>
          <w:szCs w:val="16"/>
          <w:lang w:val="es-CR"/>
        </w:rPr>
        <w:t xml:space="preserve"> </w:t>
      </w:r>
      <w:r w:rsidRPr="00D24EFE">
        <w:rPr>
          <w:sz w:val="16"/>
          <w:szCs w:val="16"/>
          <w:lang w:val="es-CR"/>
        </w:rPr>
        <w:tab/>
      </w:r>
      <w:r w:rsidRPr="00D24EFE">
        <w:rPr>
          <w:i/>
          <w:sz w:val="16"/>
          <w:szCs w:val="16"/>
          <w:lang w:val="es-CR"/>
        </w:rPr>
        <w:t>Cf. Case of Velásquez Rodríguez v. Honduras. Merits, supra</w:t>
      </w:r>
      <w:r w:rsidRPr="00D24EFE">
        <w:rPr>
          <w:sz w:val="16"/>
          <w:szCs w:val="16"/>
          <w:lang w:val="es-CR"/>
        </w:rPr>
        <w:t xml:space="preserve">, paras. 169 and 170, and </w:t>
      </w:r>
      <w:r w:rsidRPr="00D24EFE">
        <w:rPr>
          <w:rFonts w:cs="Courier New"/>
          <w:i/>
          <w:noProof/>
          <w:sz w:val="16"/>
          <w:szCs w:val="16"/>
          <w:lang w:val="es-CR"/>
        </w:rPr>
        <w:t>Case of García Ibarra et al. v. Ecuador, supra</w:t>
      </w:r>
      <w:r w:rsidRPr="00D24EFE">
        <w:rPr>
          <w:rFonts w:cs="Courier New"/>
          <w:noProof/>
          <w:sz w:val="16"/>
          <w:szCs w:val="16"/>
          <w:lang w:val="es-CR"/>
        </w:rPr>
        <w:t>, para. 107</w:t>
      </w:r>
      <w:r w:rsidRPr="00D24EFE">
        <w:rPr>
          <w:sz w:val="16"/>
          <w:szCs w:val="16"/>
          <w:lang w:val="es-CR"/>
        </w:rPr>
        <w:t>.</w:t>
      </w:r>
    </w:p>
  </w:footnote>
  <w:footnote w:id="300">
    <w:p w14:paraId="14AA7D8F" w14:textId="77777777" w:rsidR="00D24EFE" w:rsidRPr="00012C3F" w:rsidRDefault="00D24EFE" w:rsidP="005B52E1">
      <w:pPr>
        <w:pStyle w:val="Textonotapie"/>
        <w:tabs>
          <w:tab w:val="left" w:pos="567"/>
        </w:tabs>
        <w:spacing w:after="120"/>
        <w:rPr>
          <w:i/>
          <w:sz w:val="16"/>
          <w:szCs w:val="16"/>
          <w:lang w:val="en-US"/>
        </w:rPr>
      </w:pPr>
      <w:r w:rsidRPr="00012C3F">
        <w:rPr>
          <w:rStyle w:val="Refdenotaalpie"/>
          <w:rFonts w:eastAsiaTheme="majorEastAsia"/>
          <w:sz w:val="16"/>
          <w:szCs w:val="16"/>
          <w:lang w:val="en-US"/>
        </w:rPr>
        <w:footnoteRef/>
      </w:r>
      <w:r w:rsidRPr="00D24EFE">
        <w:rPr>
          <w:sz w:val="16"/>
          <w:szCs w:val="16"/>
          <w:lang w:val="es-CR"/>
        </w:rPr>
        <w:t xml:space="preserve"> </w:t>
      </w:r>
      <w:r w:rsidRPr="00D24EFE">
        <w:rPr>
          <w:sz w:val="16"/>
          <w:szCs w:val="16"/>
          <w:lang w:val="es-CR"/>
        </w:rPr>
        <w:tab/>
      </w:r>
      <w:r w:rsidRPr="00D24EFE">
        <w:rPr>
          <w:i/>
          <w:sz w:val="16"/>
          <w:szCs w:val="16"/>
          <w:lang w:val="es-CR"/>
        </w:rPr>
        <w:t>Cf.</w:t>
      </w:r>
      <w:r w:rsidRPr="00D24EFE">
        <w:rPr>
          <w:sz w:val="16"/>
          <w:szCs w:val="16"/>
          <w:lang w:val="es-CR"/>
        </w:rPr>
        <w:t xml:space="preserve"> </w:t>
      </w:r>
      <w:r w:rsidRPr="00D24EFE">
        <w:rPr>
          <w:i/>
          <w:sz w:val="16"/>
          <w:szCs w:val="16"/>
          <w:lang w:val="es-CR"/>
        </w:rPr>
        <w:t>Case of Ximenes Lopes v. Brazil, supra</w:t>
      </w:r>
      <w:r w:rsidRPr="00D24EFE">
        <w:rPr>
          <w:sz w:val="16"/>
          <w:szCs w:val="16"/>
          <w:lang w:val="es-CR"/>
        </w:rPr>
        <w:t xml:space="preserve">, </w:t>
      </w:r>
      <w:r w:rsidRPr="00D24EFE">
        <w:rPr>
          <w:bCs/>
          <w:sz w:val="16"/>
          <w:szCs w:val="16"/>
          <w:lang w:val="es-CR"/>
        </w:rPr>
        <w:t xml:space="preserve">paras. 86, 89 and 90; </w:t>
      </w:r>
      <w:r w:rsidRPr="00D24EFE">
        <w:rPr>
          <w:i/>
          <w:sz w:val="16"/>
          <w:szCs w:val="16"/>
          <w:lang w:val="es-CR"/>
        </w:rPr>
        <w:t>Case of Albán Cornejo et al. v. Ecuador, supra</w:t>
      </w:r>
      <w:r w:rsidRPr="00D24EFE">
        <w:rPr>
          <w:sz w:val="16"/>
          <w:szCs w:val="16"/>
          <w:lang w:val="es-CR"/>
        </w:rPr>
        <w:t>, paras. 121 and 122;</w:t>
      </w:r>
      <w:r w:rsidRPr="00D24EFE">
        <w:rPr>
          <w:bCs/>
          <w:i/>
          <w:sz w:val="16"/>
          <w:szCs w:val="16"/>
          <w:lang w:val="es-CR"/>
        </w:rPr>
        <w:t xml:space="preserve"> </w:t>
      </w:r>
      <w:r w:rsidRPr="00D24EFE">
        <w:rPr>
          <w:rFonts w:cs="Arial"/>
          <w:i/>
          <w:color w:val="262626"/>
          <w:sz w:val="16"/>
          <w:szCs w:val="16"/>
          <w:lang w:val="es-CR"/>
        </w:rPr>
        <w:t>Case of Suárez Peralta v. Ecuador, supra</w:t>
      </w:r>
      <w:r w:rsidRPr="00D24EFE">
        <w:rPr>
          <w:rFonts w:cs="Arial"/>
          <w:color w:val="262626"/>
          <w:sz w:val="16"/>
          <w:szCs w:val="16"/>
          <w:lang w:val="es-CR"/>
        </w:rPr>
        <w:t xml:space="preserve">, paras. </w:t>
      </w:r>
      <w:r w:rsidRPr="00012C3F">
        <w:rPr>
          <w:rFonts w:cs="Arial"/>
          <w:color w:val="262626"/>
          <w:sz w:val="16"/>
          <w:szCs w:val="16"/>
          <w:lang w:val="en-US"/>
        </w:rPr>
        <w:t xml:space="preserve">149 and 150, and </w:t>
      </w:r>
      <w:r w:rsidRPr="00012C3F">
        <w:rPr>
          <w:rFonts w:cs="Courier New"/>
          <w:i/>
          <w:noProof/>
          <w:sz w:val="16"/>
          <w:szCs w:val="16"/>
          <w:lang w:val="en-US"/>
        </w:rPr>
        <w:t>Case of Gonzales Lluy et al. v. Ecuador, supra</w:t>
      </w:r>
      <w:r w:rsidRPr="00012C3F">
        <w:rPr>
          <w:rFonts w:cs="Courier New"/>
          <w:noProof/>
          <w:sz w:val="16"/>
          <w:szCs w:val="16"/>
          <w:lang w:val="en-US"/>
        </w:rPr>
        <w:t>, para. 175</w:t>
      </w:r>
      <w:r w:rsidRPr="00012C3F">
        <w:rPr>
          <w:bCs/>
          <w:i/>
          <w:sz w:val="16"/>
          <w:szCs w:val="16"/>
          <w:lang w:val="en-US"/>
        </w:rPr>
        <w:t>.</w:t>
      </w:r>
    </w:p>
  </w:footnote>
  <w:footnote w:id="301">
    <w:p w14:paraId="6B9FA120"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t xml:space="preserve">Both Final decision No. 020/2002 and the 2003 Administrative Resolution considered the physician concerned to be a public servant. </w:t>
      </w:r>
      <w:r w:rsidRPr="00012C3F">
        <w:rPr>
          <w:i/>
          <w:sz w:val="16"/>
          <w:szCs w:val="16"/>
          <w:lang w:val="en-US"/>
        </w:rPr>
        <w:t>Cf.</w:t>
      </w:r>
      <w:r w:rsidRPr="00012C3F">
        <w:rPr>
          <w:sz w:val="16"/>
          <w:szCs w:val="16"/>
          <w:lang w:val="en-US"/>
        </w:rPr>
        <w:t xml:space="preserve"> Final decision No. 020/2002 issued by the Legal Advisory Services Unit of the La Paz Departmental Health Service on July 25, 2002 (evidence file, volume XIV, annex 3 to the representative’s final arguments, folio 5771), and unnumbered Administrative Resolution issued by the Legal Advisory Services Unit of the La Paz Departmental Health Service on March 10, 2003 (evidence file, volume VII, annex 21 to the submission of the case, folios 2175 and 2176).</w:t>
      </w:r>
    </w:p>
  </w:footnote>
  <w:footnote w:id="302">
    <w:p w14:paraId="65F54215" w14:textId="77777777" w:rsidR="00D24EFE" w:rsidRPr="00012C3F" w:rsidRDefault="00D24EFE" w:rsidP="005B52E1">
      <w:pPr>
        <w:pStyle w:val="Textonotapie"/>
        <w:tabs>
          <w:tab w:val="left" w:pos="540"/>
          <w:tab w:val="left" w:pos="567"/>
          <w:tab w:val="left" w:pos="720"/>
        </w:tabs>
        <w:spacing w:after="120"/>
        <w:rPr>
          <w:rFonts w:eastAsia="MS Mincho"/>
          <w:sz w:val="16"/>
          <w:szCs w:val="16"/>
          <w:lang w:val="en-US" w:eastAsia="en-US" w:bidi="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In her arguments, the representative considered the following probative elements: (i) the post-surgery evolution sheet of the patient’s medical record, which records and states that, on July 2, 2000, in other words one day after I.V.’s tubal ligation, “the patient was advised that the bilateral tubal ligation had been performed by clinical indication, and this was accepted by the patient on understanding that a future pregnancy would endanger her life” (</w:t>
      </w:r>
      <w:r w:rsidRPr="00012C3F">
        <w:rPr>
          <w:i/>
          <w:sz w:val="16"/>
          <w:szCs w:val="16"/>
          <w:lang w:val="en-US"/>
        </w:rPr>
        <w:t>supra</w:t>
      </w:r>
      <w:r w:rsidRPr="00012C3F">
        <w:rPr>
          <w:sz w:val="16"/>
          <w:szCs w:val="16"/>
          <w:lang w:val="en-US"/>
        </w:rPr>
        <w:t xml:space="preserve"> para. 67); (ii) the consistent statements by I.V. throughout the domestic criminal proceedings and before this Court, indicating that, at no time was she consulted as to whether she accepted to submit to this surgical procedure (</w:t>
      </w:r>
      <w:r w:rsidRPr="00012C3F">
        <w:rPr>
          <w:i/>
          <w:sz w:val="16"/>
          <w:szCs w:val="16"/>
          <w:lang w:val="en-US"/>
        </w:rPr>
        <w:t>supra</w:t>
      </w:r>
      <w:r w:rsidRPr="00012C3F">
        <w:rPr>
          <w:sz w:val="16"/>
          <w:szCs w:val="16"/>
          <w:lang w:val="en-US"/>
        </w:rPr>
        <w:t xml:space="preserve"> paras. 68 and 69); (iii) the statement of J.E., who affirmed that, as her husband, he signed the authorization for the caesarean section, but the doctors never came to find him and inform him about the tubal ligation, even though he had seen the doctor immediately after the operation; rather he found out about the procedure the following day; (iv) </w:t>
      </w:r>
      <w:r w:rsidRPr="00012C3F">
        <w:rPr>
          <w:rFonts w:eastAsia="MS Mincho"/>
          <w:sz w:val="16"/>
          <w:szCs w:val="16"/>
          <w:lang w:val="en-US" w:eastAsia="en-US" w:bidi="en-US"/>
        </w:rPr>
        <w:t xml:space="preserve">N.V., the daughter of I.V., stated that she heard that the doctors said that they did not have “to find out about what they had done to that woman [referring to the sterilization of I.V.”; (v) the disagreement, inconsistency, contradictions and inadequacies between the statements of the members of the medical team who were present when the </w:t>
      </w:r>
      <w:r w:rsidRPr="00012C3F">
        <w:rPr>
          <w:sz w:val="16"/>
          <w:szCs w:val="16"/>
          <w:lang w:val="en-US"/>
        </w:rPr>
        <w:t xml:space="preserve">caesarean section and tubal ligation were performed, and the position of I.V. and her husband, J.E., contradictions that were the grounds for the decisions of the Second Criminal Trial Court of La Paz and the Copacabana Criminal Court, concluding the lack of credibility of the existence of verbal consent. </w:t>
      </w:r>
      <w:r w:rsidRPr="00012C3F">
        <w:rPr>
          <w:i/>
          <w:sz w:val="16"/>
          <w:szCs w:val="16"/>
          <w:lang w:val="en-US"/>
        </w:rPr>
        <w:t>Cf.</w:t>
      </w:r>
      <w:r w:rsidRPr="00012C3F">
        <w:rPr>
          <w:sz w:val="16"/>
          <w:szCs w:val="16"/>
          <w:lang w:val="en-US"/>
        </w:rPr>
        <w:t xml:space="preserve"> Affidavit prepared by Marco Vladimir Vargas Terrazas on April 28, 2016 (evidence file, volume XI, affidavits, folios 3930 and 3938); Statement made by J.E. on July 27, 2004, according to the record of the oral hearing issued by the Copacabana Trial Court (evidence file, volume XII, annex 1(c)) to the State’s final arguments, folios 4756 and 4757); Affidavit prepared by N.V. on April 22, 2016 (evidence file, volume XI, affidavits, folio 3910); Statement made by Corina Puente </w:t>
      </w:r>
      <w:proofErr w:type="spellStart"/>
      <w:r w:rsidRPr="00012C3F">
        <w:rPr>
          <w:sz w:val="16"/>
          <w:szCs w:val="16"/>
          <w:lang w:val="en-US"/>
        </w:rPr>
        <w:t>Cusimamani</w:t>
      </w:r>
      <w:proofErr w:type="spellEnd"/>
      <w:r w:rsidRPr="00012C3F">
        <w:rPr>
          <w:sz w:val="16"/>
          <w:szCs w:val="16"/>
          <w:lang w:val="en-US"/>
        </w:rPr>
        <w:t xml:space="preserve"> on November 13, 2002, according to the record of the oral hearing issued by the Second Trial Court of La Paz (evidence file, volume XIV, annex 1(a) to the State’s final arguments, folios 4115 and 4116); Statement made by Virginia Mercado on August 17, 2000, according to the medical record of the surgical procedure performed on I.V. issued by the Medical Audit Committee of the Women’s Hospital (evidence file, volume VII, annex 1 to the submission of the case, folio 2116); Resolution No. 086/2002 issued by the Second Trial Court of La Paz on November 18, 2002 (evidence file, volume VII, annex 24 to the submission of the case, folios 2191 and 2192), and Resolution No. 32/2004 issued by the Copacabana Trial Court on August 13, 2004 (evidence file, volume VII, annex 36 to the submission of the case, folios 2224 to 2230).</w:t>
      </w:r>
    </w:p>
  </w:footnote>
  <w:footnote w:id="303">
    <w:p w14:paraId="0CF50A68"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The State supported its position with the following probative elements: (i) Record of I.V.’s surgical procedure (</w:t>
      </w:r>
      <w:r w:rsidRPr="00012C3F">
        <w:rPr>
          <w:i/>
          <w:sz w:val="16"/>
          <w:szCs w:val="16"/>
          <w:lang w:val="en-US"/>
        </w:rPr>
        <w:t>supra</w:t>
      </w:r>
      <w:r w:rsidRPr="00012C3F">
        <w:rPr>
          <w:sz w:val="16"/>
          <w:szCs w:val="16"/>
          <w:lang w:val="en-US"/>
        </w:rPr>
        <w:t xml:space="preserve"> para. 66); (ii) the statements provided by four members of the medical team, who were present during I.V.’s caesarean section and the tubal ligation, during the internal audits, the administrative proceeding and the domestic criminal proceedings, as well as the proceedings before this Court. These statements all indicated that I.V. gave her verbal consent to the tubal ligation in the operating theater after the caesarean section had been completed and due to the request and the clinical indication that her life would be at risk if she became pregnant again. Similarly, two audits, the report of the Ethics Tribunal of the Departmental College of Physicians, and the decision on the review of the administrative proceeding instituted concluded that, based on those statements, I.V. had expressed her verbal consent for the tubal ligation procedure to be performed (</w:t>
      </w:r>
      <w:r w:rsidRPr="00012C3F">
        <w:rPr>
          <w:i/>
          <w:sz w:val="16"/>
          <w:szCs w:val="16"/>
          <w:lang w:val="en-US"/>
        </w:rPr>
        <w:t>supra</w:t>
      </w:r>
      <w:r w:rsidRPr="00012C3F">
        <w:rPr>
          <w:sz w:val="16"/>
          <w:szCs w:val="16"/>
          <w:lang w:val="en-US"/>
        </w:rPr>
        <w:t xml:space="preserve"> paras. 74, 76, 81 to 83 and 90). </w:t>
      </w:r>
      <w:r w:rsidRPr="00012C3F">
        <w:rPr>
          <w:i/>
          <w:sz w:val="16"/>
          <w:szCs w:val="16"/>
          <w:lang w:val="en-US"/>
        </w:rPr>
        <w:t>Cf.</w:t>
      </w:r>
      <w:r w:rsidRPr="00012C3F">
        <w:rPr>
          <w:sz w:val="16"/>
          <w:szCs w:val="16"/>
          <w:lang w:val="en-US"/>
        </w:rPr>
        <w:t xml:space="preserve"> Statement made by Edgar Torrico Ameller on August 2, 2000, according to the medical record of the surgical procedure performed on I.V. issued by the Medical Audit Committee of the Women’s Hospital (evidence file, volume VII, annex 1 to the submission of the case, folio 2115); Statement made by Edgar Torrico Ameller on July 1, 2002, according to Final decision No. 020/2002 issued by the Legal Advisory Services Unit of the La Paz Departmental Health Service on July 25, 2002 (evidence file, volume XIV, annex 3 to the representative’s final arguments, folio 5769); Statement made by Edgar Torrico Ameller on November 11, 2002, according to the record of the oral hearing issued by the Second Trial Court of La Paz (evidence file, volume XII, annex 1(a) to the State’s final arguments, folios 4101 to 4103); Statement made by Edgar Torrico Ameller on July 26, 2004, according to the record of the oral hearing issued by the Copacabana Trial Court (evidence file, volume XII, annex 1(c)) to the State’s final arguments, folio 4735); Statement made by Edgar Torrico Ameller before the Inter-American Court during the public hearing held on May 2, 2016; Affidavit prepared by Marco Vladimir Vargas Terrazas on April 28, 2016 (evidence file, volume XI, affidavits, folios 3931, 3934, 3937 and 3938); Statement made by Marco Vladimir Vargas Terrazas on August 22, 2000, according to the medical record of the surgical procedure performed on I.V. issued by the Medical Audit Committee of the Women’s Hospital (evidence file, volume VII, annex 1 to the submission of the case, folio 2116); Statement made by Marco Vladimir Vargas Terrazas on July 28, 2004, according to the record of the oral hearing issued by the Copacabana Trial Court (evidence file, volume XIV, annex 1(d)) to the State’s final arguments, folio 4789); Statement made by María Modesta Ticona on August 17, 2000, according to the medical record of the surgical procedure performed on I.V. issued by the Medical Audit Committee of the Women’s Hospital (evidence file, volume VII, annex 1 to the submission of the case, folio 2116); Statement made by María Modesta Ticona on August 13, 2004, according to the record of the oral hearing issued by the Copacabana Trial Court (evidence file, volume XIV, annex 1(d)) to the State’s final arguments, folios 4819 to 4822), and Statement made by Rodrigo Arnez on August 17, 2000, according to the medical record of the surgical procedure performed on I.V. issued by the Medical Audit Committee of the Women’s Hospital (evidence file, volume VII, annex 1 to the submission of the case, folio 2115).</w:t>
      </w:r>
    </w:p>
  </w:footnote>
  <w:footnote w:id="304">
    <w:p w14:paraId="2F9CE50A" w14:textId="77777777" w:rsidR="00D24EFE" w:rsidRPr="00012C3F" w:rsidRDefault="00D24EFE" w:rsidP="005B52E1">
      <w:pPr>
        <w:pStyle w:val="Textonotapie"/>
        <w:tabs>
          <w:tab w:val="left" w:pos="540"/>
          <w:tab w:val="left" w:pos="567"/>
          <w:tab w:val="left" w:pos="630"/>
        </w:tabs>
        <w:spacing w:after="120"/>
        <w:rPr>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Statement made by Edgar Torrico Ameller on November 11, 2002, according to the record of the oral hearing issued by the Second Trial Court of La Paz (evidence file, volume XII, annex 1(a) to the State’s final arguments, folios 4101 to 4103); Statement made by Edgar Torrico Ameller on July 26, 2004, according to the record of the oral hearing issued by the Copacabana Trial Court (evidence file, volume XII, annex 1(c)) to the State’s final arguments, folio 4735); Affidavit prepared by Marco Vladimir Vargas Terrazas on April 28, 2016 (evidence file, volume XI, affidavits, folios 3931, 3934 and 3937 to 3938); Statement made by Marco Vladimir Vargas Terrazas on August 22, 2000, according to the medical record of the surgical procedure performed on I.V. issued by the Medical Audit Committee of the Women’s Hospital (evidence file, volume VII, annex 1 to the submission of the case, folio 2116), and Statement made by Marco Vladimir Vargas Terrazas on July 28, 2004, according to the record of the oral hearing issued by the Copacabana Trial Court (evidence file, volume XII, annex 1(d)) to the State’s final arguments, folio 4789).</w:t>
      </w:r>
    </w:p>
  </w:footnote>
  <w:footnote w:id="305">
    <w:p w14:paraId="310B7F62" w14:textId="77777777" w:rsidR="00D24EFE" w:rsidRPr="00012C3F" w:rsidRDefault="00D24EFE" w:rsidP="005B52E1">
      <w:pPr>
        <w:pStyle w:val="Textonotapie"/>
        <w:tabs>
          <w:tab w:val="left" w:pos="540"/>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Statement made by Edgar Torrico Ameller before the Inter-American Court during the public hearing held on May 2, 2016.</w:t>
      </w:r>
    </w:p>
  </w:footnote>
  <w:footnote w:id="306">
    <w:p w14:paraId="2122A8C5"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 xml:space="preserve">The Court notes that, according to the statements by the doctors, they indicated that they had informed I.V. in the most detailed way possible of the clinical picture found during the </w:t>
      </w:r>
      <w:r w:rsidRPr="00012C3F">
        <w:rPr>
          <w:rFonts w:eastAsia="MS Mincho" w:cs="Arial"/>
          <w:sz w:val="16"/>
          <w:szCs w:val="16"/>
          <w:lang w:val="en-US" w:eastAsia="en-US" w:bidi="en-US"/>
        </w:rPr>
        <w:t>caesarean section, the risk in the case of a future pregnancy, and the tubal ligation procedure – that is, its benefits and consequences; they had also explained to the patient that it was a definitive procedure, so that she could not become pregnant again. The Court notes that one of the doctors also indicated that she was given information on other contraceptive methods, while the other doctor did not mention this. Similarly, they indicated in their statements in the domestic sphere, that other methods could not have been used successfully in the case of I.V. because the state of her uterus would not have permitted inserting the copper IUD without causing infections and, as she had just had a baby, she could not be prescribed pills immediately.</w:t>
      </w:r>
      <w:r w:rsidRPr="00012C3F">
        <w:rPr>
          <w:sz w:val="16"/>
          <w:szCs w:val="16"/>
          <w:lang w:val="en-US"/>
        </w:rPr>
        <w:t xml:space="preserve"> </w:t>
      </w:r>
      <w:r w:rsidRPr="00012C3F">
        <w:rPr>
          <w:i/>
          <w:sz w:val="16"/>
          <w:szCs w:val="16"/>
          <w:lang w:val="en-US"/>
        </w:rPr>
        <w:t>Cf.</w:t>
      </w:r>
      <w:r w:rsidRPr="00012C3F">
        <w:rPr>
          <w:sz w:val="16"/>
          <w:szCs w:val="16"/>
          <w:lang w:val="en-US"/>
        </w:rPr>
        <w:t xml:space="preserve"> Statement made by Edgar Torrico Ameller before the Inter-American Court during the public hearing held on May 2, 2016; Affidavit prepared by Marco Vladimir Vargas Terrazas on April 28, 2016 (evidence file, volume XI, affidavits, folios 3931, 3934 and 3937 to 3938), and Statements made by Edgar Torrico Ameller and Marco Vladimir Vargas Terrazas on July 26 and 28, 2004, respectively, according to the record of the oral hearing issued by the Copacabana Trial Court (evidence file, volume XII, annexes 1(c) and d) to the State’s final arguments, folios 4735 and 4789).</w:t>
      </w:r>
    </w:p>
  </w:footnote>
  <w:footnote w:id="307">
    <w:p w14:paraId="49B1630F"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One of the doctors stated that I.V. was provided with information for approximately 10 minutes, while the other stated that the conversation with the patient occurred during the approximately two hours that the procedure took</w:t>
      </w:r>
      <w:r w:rsidRPr="00012C3F">
        <w:rPr>
          <w:rFonts w:eastAsia="MS Mincho" w:cs="Arial"/>
          <w:sz w:val="16"/>
          <w:szCs w:val="16"/>
          <w:lang w:val="en-US" w:eastAsia="en-US" w:bidi="en-US"/>
        </w:rPr>
        <w:t xml:space="preserve"> (from 20:30 to 22:30 hours). </w:t>
      </w:r>
      <w:r w:rsidRPr="00012C3F">
        <w:rPr>
          <w:i/>
          <w:sz w:val="16"/>
          <w:szCs w:val="16"/>
          <w:lang w:val="en-US"/>
        </w:rPr>
        <w:t>Cf.</w:t>
      </w:r>
      <w:r w:rsidRPr="00012C3F">
        <w:rPr>
          <w:sz w:val="16"/>
          <w:szCs w:val="16"/>
          <w:lang w:val="en-US"/>
        </w:rPr>
        <w:t xml:space="preserve"> Statement made by Edgar Torrico Ameller before the Inter-American Court during the public hearing held on May 2, 2016, and Affidavit prepared by Marco Vladimir Vargas Terrazas on April 28, 2016 (evidence file, volume XI, affidavits, folio 3934).</w:t>
      </w:r>
    </w:p>
  </w:footnote>
  <w:footnote w:id="308">
    <w:p w14:paraId="353219F4"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Dr. Edgar Torrico Ameller stated that sterilization was suggested to I.V.  and she was “told that her life would be in danger if she became pregnant again because there was a risk of her uterus rupturing, leaving [her three] children orphans.” Statement made by Edgar Torrico Ameller on July 26, 2004, according to the record of the oral hearing issued by the Copacabana Trial Court (evidence file, volume XII, annex 1(c)) to the State’s final arguments, folio 4735).</w:t>
      </w:r>
    </w:p>
  </w:footnote>
  <w:footnote w:id="309">
    <w:p w14:paraId="5E1A87DF" w14:textId="77777777" w:rsidR="00D24EFE" w:rsidRPr="00012C3F" w:rsidRDefault="00D24EFE" w:rsidP="005B52E1">
      <w:pPr>
        <w:pStyle w:val="Textonotapie"/>
        <w:tabs>
          <w:tab w:val="left" w:pos="567"/>
          <w:tab w:val="left" w:pos="720"/>
        </w:tabs>
        <w:spacing w:after="120"/>
        <w:rPr>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Statement made by I.V. before the Inter-American Court during the public hearing held on May 2, 2016; Affidavit prepared by Marco Vladimir Vargas Terrazas on April 28, 2016 (evidence file, volume XI, affidavits, folios 3931, 3934 and 3937 to 3938), and Statement made by Marco Vladimir Vargas Terrazas on July 28, 2004, according to the record of the oral hearing issued by the Copacabana Trial Court (evidence file, volume XII, annex 1(d)) to the State’s final arguments, folio 4789).</w:t>
      </w:r>
    </w:p>
  </w:footnote>
  <w:footnote w:id="310">
    <w:p w14:paraId="3ADB54DF" w14:textId="77777777" w:rsidR="00D24EFE" w:rsidRPr="00012C3F" w:rsidRDefault="00D24EFE" w:rsidP="005B52E1">
      <w:pPr>
        <w:tabs>
          <w:tab w:val="left" w:pos="567"/>
        </w:tabs>
        <w:autoSpaceDE w:val="0"/>
        <w:autoSpaceDN w:val="0"/>
        <w:spacing w:after="120" w:line="240" w:lineRule="auto"/>
        <w:rPr>
          <w:color w:val="000000" w:themeColor="text1"/>
          <w:sz w:val="16"/>
          <w:szCs w:val="16"/>
          <w:lang w:val="en-US"/>
        </w:rPr>
      </w:pPr>
      <w:r w:rsidRPr="00012C3F">
        <w:rPr>
          <w:rStyle w:val="Refdenotaalpie"/>
          <w:rFonts w:eastAsiaTheme="majorEastAsia"/>
          <w:color w:val="000000" w:themeColor="text1"/>
          <w:sz w:val="16"/>
          <w:szCs w:val="16"/>
          <w:lang w:val="en-US"/>
        </w:rPr>
        <w:footnoteRef/>
      </w:r>
      <w:r w:rsidRPr="00012C3F">
        <w:rPr>
          <w:color w:val="000000" w:themeColor="text1"/>
          <w:sz w:val="16"/>
          <w:szCs w:val="16"/>
          <w:lang w:val="en-US"/>
        </w:rPr>
        <w:t xml:space="preserve"> </w:t>
      </w:r>
      <w:r w:rsidRPr="00012C3F">
        <w:rPr>
          <w:color w:val="000000" w:themeColor="text1"/>
          <w:sz w:val="16"/>
          <w:szCs w:val="16"/>
          <w:lang w:val="en-US"/>
        </w:rPr>
        <w:tab/>
        <w:t xml:space="preserve">The Special Rapporteur on violence against women, its causes and consequences considered forced sterilization, “a method of medical control of a woman’s fertility without the consent of a woman,” to be a “severe violation of women’s reproductive rights.” </w:t>
      </w:r>
      <w:r w:rsidRPr="00012C3F">
        <w:rPr>
          <w:i/>
          <w:color w:val="000000" w:themeColor="text1"/>
          <w:sz w:val="16"/>
          <w:szCs w:val="16"/>
          <w:lang w:val="en-US"/>
        </w:rPr>
        <w:t>Cf.</w:t>
      </w:r>
      <w:r w:rsidRPr="00012C3F">
        <w:rPr>
          <w:color w:val="000000" w:themeColor="text1"/>
          <w:sz w:val="16"/>
          <w:szCs w:val="16"/>
          <w:lang w:val="en-US"/>
        </w:rPr>
        <w:t xml:space="preserve"> UN, Report of the Special Rapporteur on violence against women, its causes and consequences</w:t>
      </w:r>
      <w:r w:rsidRPr="00012C3F">
        <w:rPr>
          <w:bCs/>
          <w:sz w:val="16"/>
          <w:szCs w:val="16"/>
          <w:lang w:val="en-US"/>
        </w:rPr>
        <w:t>, Ms. Radhika</w:t>
      </w:r>
      <w:r w:rsidRPr="00012C3F">
        <w:rPr>
          <w:rFonts w:cs="Courier New"/>
          <w:color w:val="000000" w:themeColor="text1"/>
          <w:sz w:val="16"/>
          <w:szCs w:val="16"/>
          <w:lang w:val="en-US"/>
        </w:rPr>
        <w:t xml:space="preserve"> Coomaraswamy</w:t>
      </w:r>
      <w:r w:rsidRPr="00012C3F">
        <w:rPr>
          <w:bCs/>
          <w:sz w:val="16"/>
          <w:szCs w:val="16"/>
          <w:lang w:val="en-US"/>
        </w:rPr>
        <w:t xml:space="preserve">, </w:t>
      </w:r>
      <w:r w:rsidRPr="00012C3F">
        <w:rPr>
          <w:bCs/>
          <w:i/>
          <w:sz w:val="16"/>
          <w:szCs w:val="16"/>
          <w:lang w:val="en-US"/>
        </w:rPr>
        <w:t xml:space="preserve">Policies and practices that impact women’s reproductive rights and contribute to, cause or constitute violence against women, </w:t>
      </w:r>
      <w:r w:rsidRPr="00012C3F">
        <w:rPr>
          <w:bCs/>
          <w:sz w:val="16"/>
          <w:szCs w:val="16"/>
          <w:lang w:val="en-US"/>
        </w:rPr>
        <w:t xml:space="preserve">E/CN.4/1999/68/Add.4, January 21, 1999, </w:t>
      </w:r>
      <w:r w:rsidRPr="00012C3F">
        <w:rPr>
          <w:rFonts w:cs="Courier New"/>
          <w:color w:val="000000" w:themeColor="text1"/>
          <w:sz w:val="16"/>
          <w:szCs w:val="16"/>
          <w:lang w:val="en-US"/>
        </w:rPr>
        <w:t>para. 51.</w:t>
      </w:r>
    </w:p>
  </w:footnote>
  <w:footnote w:id="311">
    <w:p w14:paraId="0B53C735"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rFonts w:eastAsia="MS Mincho"/>
          <w:sz w:val="16"/>
          <w:szCs w:val="16"/>
          <w:lang w:val="en-US"/>
        </w:rPr>
        <w:t>Sterilization without a woman’s informed consent is a practice that has been verified in various countries and different contexts, as revealed by the cases that have been ruled on by other international organs (</w:t>
      </w:r>
      <w:r w:rsidRPr="00012C3F">
        <w:rPr>
          <w:rFonts w:eastAsia="MS Mincho"/>
          <w:i/>
          <w:sz w:val="16"/>
          <w:szCs w:val="16"/>
          <w:lang w:val="en-US"/>
        </w:rPr>
        <w:t xml:space="preserve">supra </w:t>
      </w:r>
      <w:r w:rsidRPr="00012C3F">
        <w:rPr>
          <w:rFonts w:eastAsia="MS Mincho"/>
          <w:sz w:val="16"/>
          <w:szCs w:val="16"/>
          <w:lang w:val="en-US"/>
        </w:rPr>
        <w:t>para. 204).</w:t>
      </w:r>
    </w:p>
  </w:footnote>
  <w:footnote w:id="312">
    <w:p w14:paraId="280DE7B7"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 Case of Gomes Lund et al. (</w:t>
      </w:r>
      <w:proofErr w:type="spellStart"/>
      <w:r w:rsidRPr="00012C3F">
        <w:rPr>
          <w:i/>
          <w:sz w:val="16"/>
          <w:szCs w:val="16"/>
          <w:lang w:val="en-US"/>
        </w:rPr>
        <w:t>Guerrilha</w:t>
      </w:r>
      <w:proofErr w:type="spellEnd"/>
      <w:r w:rsidRPr="00012C3F">
        <w:rPr>
          <w:i/>
          <w:sz w:val="16"/>
          <w:szCs w:val="16"/>
          <w:lang w:val="en-US"/>
        </w:rPr>
        <w:t xml:space="preserve"> do Araguaia) v. Brazil. Preliminary objections, merits, reparations and costs. </w:t>
      </w:r>
      <w:r w:rsidRPr="00012C3F">
        <w:rPr>
          <w:sz w:val="16"/>
          <w:szCs w:val="16"/>
          <w:lang w:val="en-US"/>
        </w:rPr>
        <w:t>Judgment of November 24, 2010. Series C No. 219,</w:t>
      </w:r>
      <w:r w:rsidRPr="00012C3F">
        <w:rPr>
          <w:bCs/>
          <w:i/>
          <w:color w:val="000000"/>
          <w:sz w:val="16"/>
          <w:szCs w:val="16"/>
          <w:lang w:val="en-US"/>
        </w:rPr>
        <w:t xml:space="preserve"> </w:t>
      </w:r>
      <w:r w:rsidRPr="00012C3F">
        <w:rPr>
          <w:color w:val="000000"/>
          <w:sz w:val="16"/>
          <w:szCs w:val="16"/>
          <w:lang w:val="en-US"/>
        </w:rPr>
        <w:t>para. 201.</w:t>
      </w:r>
    </w:p>
  </w:footnote>
  <w:footnote w:id="313">
    <w:p w14:paraId="387F1872" w14:textId="77777777" w:rsidR="00D24EFE" w:rsidRPr="00012C3F" w:rsidRDefault="00D24EFE" w:rsidP="00B340E2">
      <w:pPr>
        <w:pStyle w:val="Textonotapie"/>
        <w:tabs>
          <w:tab w:val="left" w:pos="567"/>
        </w:tabs>
        <w:spacing w:after="120"/>
        <w:rPr>
          <w:rFonts w:cs="Vrinda"/>
          <w:sz w:val="16"/>
          <w:szCs w:val="16"/>
          <w:lang w:val="en-US"/>
        </w:rPr>
      </w:pPr>
      <w:r w:rsidRPr="00012C3F">
        <w:rPr>
          <w:rStyle w:val="Refdenotaalpie"/>
          <w:rFonts w:cs="Vrinda"/>
          <w:sz w:val="16"/>
          <w:szCs w:val="16"/>
          <w:lang w:val="en-US"/>
        </w:rPr>
        <w:footnoteRef/>
      </w:r>
      <w:r w:rsidRPr="00012C3F">
        <w:rPr>
          <w:rFonts w:cs="Vrinda"/>
          <w:sz w:val="16"/>
          <w:szCs w:val="16"/>
          <w:lang w:val="en-US"/>
        </w:rPr>
        <w:t xml:space="preserve"> </w:t>
      </w:r>
      <w:r w:rsidRPr="00012C3F">
        <w:rPr>
          <w:rFonts w:cs="Vrinda"/>
          <w:sz w:val="16"/>
          <w:szCs w:val="16"/>
          <w:lang w:val="en-US"/>
        </w:rPr>
        <w:tab/>
      </w:r>
      <w:r w:rsidRPr="00012C3F">
        <w:rPr>
          <w:rFonts w:cs="Vrinda"/>
          <w:i/>
          <w:sz w:val="16"/>
          <w:szCs w:val="16"/>
          <w:lang w:val="en-US"/>
        </w:rPr>
        <w:t>Cf.</w:t>
      </w:r>
      <w:r w:rsidRPr="00012C3F">
        <w:rPr>
          <w:rStyle w:val="Textoennegrita"/>
          <w:rFonts w:cs="Vrinda"/>
          <w:b w:val="0"/>
          <w:i/>
          <w:color w:val="000000"/>
          <w:sz w:val="16"/>
          <w:szCs w:val="16"/>
          <w:lang w:val="en-US"/>
        </w:rPr>
        <w:t xml:space="preserve"> Proposed Amendments to the Naturalization Provisions of the Constitution of Costa Rica</w:t>
      </w:r>
      <w:r w:rsidRPr="00012C3F">
        <w:rPr>
          <w:rFonts w:cs="Vrinda"/>
          <w:sz w:val="16"/>
          <w:szCs w:val="16"/>
          <w:lang w:val="en-US"/>
        </w:rPr>
        <w:t xml:space="preserve">. Advisory Opinion OC-4/84 of January 19, 1984. </w:t>
      </w:r>
      <w:r w:rsidRPr="00012C3F">
        <w:rPr>
          <w:color w:val="000000"/>
          <w:sz w:val="16"/>
          <w:szCs w:val="16"/>
          <w:lang w:val="en-US"/>
        </w:rPr>
        <w:t>Series A No. 4</w:t>
      </w:r>
      <w:r w:rsidRPr="00012C3F">
        <w:rPr>
          <w:rFonts w:cs="Vrinda"/>
          <w:sz w:val="16"/>
          <w:szCs w:val="16"/>
          <w:lang w:val="en-US"/>
        </w:rPr>
        <w:t>, para. 55</w:t>
      </w:r>
      <w:r w:rsidRPr="00012C3F">
        <w:rPr>
          <w:rStyle w:val="Textoennegrita"/>
          <w:rFonts w:cs="Vrinda"/>
          <w:b w:val="0"/>
          <w:color w:val="000000"/>
          <w:sz w:val="16"/>
          <w:szCs w:val="16"/>
          <w:lang w:val="en-US"/>
        </w:rPr>
        <w:t xml:space="preserve">, and </w:t>
      </w:r>
      <w:r w:rsidRPr="00012C3F">
        <w:rPr>
          <w:i/>
          <w:sz w:val="16"/>
          <w:szCs w:val="16"/>
          <w:lang w:val="en-US"/>
        </w:rPr>
        <w:t>Case of Flor Freire v. Ecuador, supra</w:t>
      </w:r>
      <w:r w:rsidRPr="00012C3F">
        <w:rPr>
          <w:rStyle w:val="Textoennegrita"/>
          <w:b w:val="0"/>
          <w:color w:val="000000"/>
          <w:sz w:val="16"/>
          <w:szCs w:val="16"/>
          <w:shd w:val="clear" w:color="auto" w:fill="FFFFFF"/>
          <w:lang w:val="en-US"/>
        </w:rPr>
        <w:t>, para. 109.</w:t>
      </w:r>
    </w:p>
  </w:footnote>
  <w:footnote w:id="314">
    <w:p w14:paraId="7ED99365" w14:textId="77777777" w:rsidR="00D24EFE" w:rsidRPr="00012C3F" w:rsidRDefault="00D24EFE" w:rsidP="005B52E1">
      <w:pPr>
        <w:pStyle w:val="Textonotapie"/>
        <w:tabs>
          <w:tab w:val="left" w:pos="567"/>
        </w:tabs>
        <w:spacing w:after="120"/>
        <w:rPr>
          <w:rStyle w:val="Refdenotaalpie"/>
          <w:sz w:val="16"/>
          <w:szCs w:val="16"/>
          <w:vertAlign w:val="baseline"/>
          <w:lang w:val="en-US"/>
        </w:rPr>
      </w:pPr>
      <w:r w:rsidRPr="00012C3F">
        <w:rPr>
          <w:rStyle w:val="Refdenotaalpie"/>
          <w:rFonts w:cs="Vrinda"/>
          <w:sz w:val="16"/>
          <w:szCs w:val="16"/>
          <w:lang w:val="en-US"/>
        </w:rPr>
        <w:footnoteRef/>
      </w:r>
      <w:r w:rsidRPr="00012C3F">
        <w:rPr>
          <w:rFonts w:cs="Vrinda"/>
          <w:sz w:val="16"/>
          <w:szCs w:val="16"/>
          <w:lang w:val="en-US"/>
        </w:rPr>
        <w:tab/>
      </w:r>
      <w:r w:rsidRPr="00012C3F">
        <w:rPr>
          <w:rFonts w:cs="Vrinda"/>
          <w:i/>
          <w:sz w:val="16"/>
          <w:szCs w:val="16"/>
          <w:lang w:val="en-US"/>
        </w:rPr>
        <w:t xml:space="preserve">Cf. Juridical Status and Rights of Undocumented Migrants. </w:t>
      </w:r>
      <w:r w:rsidRPr="00012C3F">
        <w:rPr>
          <w:rFonts w:cs="Vrinda"/>
          <w:sz w:val="16"/>
          <w:szCs w:val="16"/>
          <w:lang w:val="en-US"/>
        </w:rPr>
        <w:t>Advisory Opinion OC-18/03</w:t>
      </w:r>
      <w:r w:rsidRPr="00012C3F">
        <w:rPr>
          <w:color w:val="000000"/>
          <w:sz w:val="16"/>
          <w:szCs w:val="16"/>
          <w:lang w:val="en-US"/>
        </w:rPr>
        <w:t xml:space="preserve">, </w:t>
      </w:r>
      <w:r w:rsidRPr="00012C3F">
        <w:rPr>
          <w:i/>
          <w:color w:val="000000"/>
          <w:sz w:val="16"/>
          <w:szCs w:val="16"/>
          <w:lang w:val="en-US"/>
        </w:rPr>
        <w:t>supra</w:t>
      </w:r>
      <w:r w:rsidRPr="00012C3F">
        <w:rPr>
          <w:rFonts w:cs="Vrinda"/>
          <w:sz w:val="16"/>
          <w:szCs w:val="16"/>
          <w:lang w:val="en-US"/>
        </w:rPr>
        <w:t xml:space="preserve">, paras. 101, </w:t>
      </w:r>
      <w:r w:rsidRPr="00012C3F">
        <w:rPr>
          <w:rStyle w:val="sb8d990e2"/>
          <w:rFonts w:eastAsia="Batang" w:cs="Vrinda"/>
          <w:color w:val="000000"/>
          <w:sz w:val="16"/>
          <w:szCs w:val="16"/>
          <w:lang w:val="en-US"/>
        </w:rPr>
        <w:t>103 and 104,</w:t>
      </w:r>
      <w:r w:rsidRPr="00012C3F">
        <w:rPr>
          <w:rFonts w:cs="Vrinda"/>
          <w:sz w:val="16"/>
          <w:szCs w:val="16"/>
          <w:lang w:val="en-US"/>
        </w:rPr>
        <w:t xml:space="preserve"> and </w:t>
      </w:r>
      <w:r w:rsidRPr="00012C3F">
        <w:rPr>
          <w:i/>
          <w:sz w:val="16"/>
          <w:szCs w:val="16"/>
          <w:lang w:val="en-US"/>
        </w:rPr>
        <w:t>Case of Flor Freire v. Ecuador, supra</w:t>
      </w:r>
      <w:r w:rsidRPr="00012C3F">
        <w:rPr>
          <w:rStyle w:val="Textoennegrita"/>
          <w:b w:val="0"/>
          <w:color w:val="000000"/>
          <w:sz w:val="16"/>
          <w:szCs w:val="16"/>
          <w:shd w:val="clear" w:color="auto" w:fill="FFFFFF"/>
          <w:lang w:val="en-US"/>
        </w:rPr>
        <w:t>, paras. 109 and 110.</w:t>
      </w:r>
    </w:p>
  </w:footnote>
  <w:footnote w:id="315">
    <w:p w14:paraId="7BF87C8E"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rStyle w:val="Textoennegrita"/>
          <w:rFonts w:cs="Vrinda"/>
          <w:b w:val="0"/>
          <w:i/>
          <w:color w:val="000000"/>
          <w:sz w:val="16"/>
          <w:szCs w:val="16"/>
          <w:lang w:val="en-US"/>
        </w:rPr>
        <w:t>Proposed Amendments to the Naturalization Provisions of the Constitution of Costa Rica</w:t>
      </w:r>
      <w:r w:rsidRPr="00012C3F">
        <w:rPr>
          <w:rFonts w:cs="Tahoma"/>
          <w:i/>
          <w:sz w:val="16"/>
          <w:szCs w:val="16"/>
          <w:lang w:val="en-US"/>
        </w:rPr>
        <w:t xml:space="preserve">. </w:t>
      </w:r>
      <w:r w:rsidRPr="00012C3F">
        <w:rPr>
          <w:rFonts w:cs="Tahoma"/>
          <w:sz w:val="16"/>
          <w:szCs w:val="16"/>
          <w:lang w:val="en-US"/>
        </w:rPr>
        <w:t xml:space="preserve">Advisory Opinion OC-4/84, </w:t>
      </w:r>
      <w:r w:rsidRPr="00012C3F">
        <w:rPr>
          <w:rFonts w:cs="Tahoma"/>
          <w:i/>
          <w:sz w:val="16"/>
          <w:szCs w:val="16"/>
          <w:lang w:val="en-US"/>
        </w:rPr>
        <w:t>supra</w:t>
      </w:r>
      <w:r w:rsidRPr="00012C3F">
        <w:rPr>
          <w:rFonts w:cs="Tahoma"/>
          <w:sz w:val="16"/>
          <w:szCs w:val="16"/>
          <w:lang w:val="en-US"/>
        </w:rPr>
        <w:t xml:space="preserve">, para. 53, and </w:t>
      </w:r>
      <w:r w:rsidRPr="00012C3F">
        <w:rPr>
          <w:i/>
          <w:sz w:val="16"/>
          <w:szCs w:val="16"/>
          <w:lang w:val="en-US"/>
        </w:rPr>
        <w:t>Case of Flor Freire v. Ecuador, supra</w:t>
      </w:r>
      <w:r w:rsidRPr="00012C3F">
        <w:rPr>
          <w:rStyle w:val="Textoennegrita"/>
          <w:b w:val="0"/>
          <w:color w:val="000000"/>
          <w:sz w:val="16"/>
          <w:szCs w:val="16"/>
          <w:shd w:val="clear" w:color="auto" w:fill="FFFFFF"/>
          <w:lang w:val="en-US"/>
        </w:rPr>
        <w:t>, para. 111</w:t>
      </w:r>
      <w:r w:rsidRPr="00012C3F">
        <w:rPr>
          <w:rFonts w:cs="Tahoma"/>
          <w:sz w:val="16"/>
          <w:szCs w:val="16"/>
          <w:lang w:val="en-US"/>
        </w:rPr>
        <w:t>.</w:t>
      </w:r>
    </w:p>
  </w:footnote>
  <w:footnote w:id="316">
    <w:p w14:paraId="06CF3EF6"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 xml:space="preserve">UN, Human Rights Committee, General Comment No. 18, </w:t>
      </w:r>
      <w:r w:rsidRPr="00012C3F">
        <w:rPr>
          <w:i/>
          <w:sz w:val="16"/>
          <w:szCs w:val="16"/>
          <w:lang w:val="en-US"/>
        </w:rPr>
        <w:t>Non-discrimination</w:t>
      </w:r>
      <w:r w:rsidRPr="00012C3F">
        <w:rPr>
          <w:sz w:val="16"/>
          <w:szCs w:val="16"/>
          <w:lang w:val="en-US"/>
        </w:rPr>
        <w:t>, November 10, 1989, para. 13.</w:t>
      </w:r>
    </w:p>
  </w:footnote>
  <w:footnote w:id="317">
    <w:p w14:paraId="57AF2215"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bCs/>
          <w:i/>
          <w:sz w:val="16"/>
          <w:szCs w:val="16"/>
          <w:lang w:val="en-US"/>
        </w:rPr>
        <w:t>Case of Atala Riffo and daughters v. Chile, supra</w:t>
      </w:r>
      <w:r w:rsidRPr="00012C3F">
        <w:rPr>
          <w:sz w:val="16"/>
          <w:szCs w:val="16"/>
          <w:lang w:val="en-US"/>
        </w:rPr>
        <w:t xml:space="preserve">, para. 85, and </w:t>
      </w:r>
      <w:r w:rsidRPr="00012C3F">
        <w:rPr>
          <w:i/>
          <w:sz w:val="16"/>
          <w:szCs w:val="16"/>
          <w:lang w:val="en-US"/>
        </w:rPr>
        <w:t>Case of Norín Catrimán et al. (Leaders, members and activist of the Mapuche Indigenous People) v. Chile. Merits reparations and costs</w:t>
      </w:r>
      <w:r w:rsidRPr="00012C3F">
        <w:rPr>
          <w:sz w:val="16"/>
          <w:szCs w:val="16"/>
          <w:lang w:val="en-US"/>
        </w:rPr>
        <w:t>. Judgment of May 29, 2014. Series C No. 279, para. 202.</w:t>
      </w:r>
    </w:p>
  </w:footnote>
  <w:footnote w:id="318">
    <w:p w14:paraId="74BB5ABD"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bCs/>
          <w:i/>
          <w:sz w:val="16"/>
          <w:szCs w:val="16"/>
          <w:lang w:val="en-US"/>
        </w:rPr>
        <w:t>Case of Atala Riffo and daughters v. Chile, supra</w:t>
      </w:r>
      <w:r w:rsidRPr="00012C3F">
        <w:rPr>
          <w:sz w:val="16"/>
          <w:szCs w:val="16"/>
          <w:lang w:val="en-US"/>
        </w:rPr>
        <w:t>, para. 85.</w:t>
      </w:r>
    </w:p>
  </w:footnote>
  <w:footnote w:id="319">
    <w:p w14:paraId="52950011"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 xml:space="preserve">ECHR, </w:t>
      </w:r>
      <w:r w:rsidRPr="00012C3F">
        <w:rPr>
          <w:i/>
          <w:sz w:val="16"/>
          <w:szCs w:val="16"/>
          <w:lang w:val="en-US"/>
        </w:rPr>
        <w:t>Case of Bah v. The United Kingdom</w:t>
      </w:r>
      <w:r w:rsidRPr="00012C3F">
        <w:rPr>
          <w:sz w:val="16"/>
          <w:szCs w:val="16"/>
          <w:lang w:val="en-US"/>
        </w:rPr>
        <w:t xml:space="preserve">, No. 56328/07. Judgment of September 27, 2011, paras. 44 to 47, and </w:t>
      </w:r>
      <w:r w:rsidRPr="00012C3F">
        <w:rPr>
          <w:i/>
          <w:sz w:val="16"/>
          <w:szCs w:val="16"/>
          <w:lang w:val="en-US"/>
        </w:rPr>
        <w:t xml:space="preserve">Case of </w:t>
      </w:r>
      <w:proofErr w:type="spellStart"/>
      <w:r w:rsidRPr="00012C3F">
        <w:rPr>
          <w:i/>
          <w:sz w:val="16"/>
          <w:szCs w:val="16"/>
          <w:lang w:val="en-US"/>
        </w:rPr>
        <w:t>Hode</w:t>
      </w:r>
      <w:proofErr w:type="spellEnd"/>
      <w:r w:rsidRPr="00012C3F">
        <w:rPr>
          <w:i/>
          <w:sz w:val="16"/>
          <w:szCs w:val="16"/>
          <w:lang w:val="en-US"/>
        </w:rPr>
        <w:t xml:space="preserve"> and Abdi v. The United Kingdom</w:t>
      </w:r>
      <w:r w:rsidRPr="00012C3F">
        <w:rPr>
          <w:sz w:val="16"/>
          <w:szCs w:val="16"/>
          <w:lang w:val="en-US"/>
        </w:rPr>
        <w:t>, No. 22341/09. Judgment of November 6, 2012, paras. 44 to 47.</w:t>
      </w:r>
    </w:p>
  </w:footnote>
  <w:footnote w:id="320">
    <w:p w14:paraId="39306C4F" w14:textId="77777777" w:rsidR="00D24EFE" w:rsidRPr="00012C3F" w:rsidRDefault="00D24EFE" w:rsidP="00337427">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 xml:space="preserve">UN, </w:t>
      </w:r>
      <w:r w:rsidRPr="00012C3F">
        <w:rPr>
          <w:rFonts w:eastAsia="MS Mincho"/>
          <w:bCs/>
          <w:sz w:val="16"/>
          <w:szCs w:val="16"/>
          <w:lang w:val="en-US" w:bidi="en-US"/>
        </w:rPr>
        <w:t>Report of the Special Rapporteur on the right of everyone to the highest attainable standard of physical and mental health, Anand Grover, A/64/272, August 10, 2009</w:t>
      </w:r>
      <w:r w:rsidRPr="00012C3F">
        <w:rPr>
          <w:sz w:val="16"/>
          <w:szCs w:val="16"/>
          <w:lang w:val="en-US"/>
        </w:rPr>
        <w:t>, paras. 54 and 55.</w:t>
      </w:r>
    </w:p>
  </w:footnote>
  <w:footnote w:id="321">
    <w:p w14:paraId="11B7EE44"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 xml:space="preserve">During the hearing, Dr. Torrico Ameller gave a historical review of the evolution of the autonomy of women with regard to consent in relation to medical procedures during his career as a gynecologist. He divided this evolution into three stages: a first stage where the doctor was “omnipotent” and the issue of informed consent was not discussed in the medical schools; a second stage where greater decision-making powers were assigned to the patient’s doctor or husband, and a third stage, where women had greater autonomy over the decisions relating to their bodies. </w:t>
      </w:r>
      <w:r w:rsidRPr="00012C3F">
        <w:rPr>
          <w:i/>
          <w:sz w:val="16"/>
          <w:szCs w:val="16"/>
          <w:lang w:val="en-US"/>
        </w:rPr>
        <w:t xml:space="preserve">Cf. </w:t>
      </w:r>
      <w:r w:rsidRPr="00012C3F">
        <w:rPr>
          <w:sz w:val="16"/>
          <w:szCs w:val="16"/>
          <w:lang w:val="en-US"/>
        </w:rPr>
        <w:t>Statement made by Edgar Torrico Ameller before the Inter-American Court during the public hearing held on May 2, 2016.</w:t>
      </w:r>
    </w:p>
  </w:footnote>
  <w:footnote w:id="322">
    <w:p w14:paraId="583C58D4" w14:textId="77777777" w:rsidR="00D24EFE" w:rsidRPr="00012C3F" w:rsidRDefault="00D24EFE" w:rsidP="005B52E1">
      <w:pPr>
        <w:pStyle w:val="Textonotapie"/>
        <w:tabs>
          <w:tab w:val="left" w:pos="567"/>
        </w:tabs>
        <w:spacing w:after="120"/>
        <w:rPr>
          <w:sz w:val="16"/>
          <w:szCs w:val="16"/>
          <w:lang w:val="en-US"/>
        </w:rPr>
      </w:pPr>
      <w:r w:rsidRPr="00012C3F">
        <w:rPr>
          <w:sz w:val="16"/>
          <w:szCs w:val="16"/>
          <w:vertAlign w:val="superscript"/>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 xml:space="preserve">Expert opinion provided by Luisa Cabal by affidavit on April 28, 2016 (evidence file, volume XI, affidavits, folio 3960). </w:t>
      </w:r>
    </w:p>
  </w:footnote>
  <w:footnote w:id="323">
    <w:p w14:paraId="1E28AAB7" w14:textId="77777777" w:rsidR="00D24EFE" w:rsidRPr="00012C3F" w:rsidRDefault="00D24EFE" w:rsidP="005B52E1">
      <w:pPr>
        <w:pStyle w:val="Textonotapie"/>
        <w:tabs>
          <w:tab w:val="left" w:pos="567"/>
        </w:tabs>
        <w:spacing w:after="120"/>
        <w:rPr>
          <w:color w:val="000000" w:themeColor="text1"/>
          <w:sz w:val="16"/>
          <w:szCs w:val="16"/>
          <w:lang w:val="en-US"/>
        </w:rPr>
      </w:pPr>
      <w:r w:rsidRPr="00012C3F">
        <w:rPr>
          <w:rStyle w:val="Refdenotaalpie"/>
          <w:rFonts w:eastAsia="Calibri"/>
          <w:color w:val="000000" w:themeColor="text1"/>
          <w:sz w:val="16"/>
          <w:szCs w:val="16"/>
          <w:lang w:val="en-US"/>
        </w:rPr>
        <w:footnoteRef/>
      </w:r>
      <w:r w:rsidRPr="00012C3F">
        <w:rPr>
          <w:color w:val="000000" w:themeColor="text1"/>
          <w:sz w:val="16"/>
          <w:szCs w:val="16"/>
          <w:lang w:val="en-US"/>
        </w:rPr>
        <w:t xml:space="preserve"> </w:t>
      </w:r>
      <w:r w:rsidRPr="00012C3F">
        <w:rPr>
          <w:color w:val="000000" w:themeColor="text1"/>
          <w:sz w:val="16"/>
          <w:szCs w:val="16"/>
          <w:lang w:val="en-US"/>
        </w:rPr>
        <w:tab/>
      </w:r>
      <w:r w:rsidRPr="00012C3F">
        <w:rPr>
          <w:i/>
          <w:color w:val="000000" w:themeColor="text1"/>
          <w:sz w:val="16"/>
          <w:szCs w:val="16"/>
          <w:lang w:val="en-US"/>
        </w:rPr>
        <w:t xml:space="preserve">Cf. </w:t>
      </w:r>
      <w:r w:rsidRPr="00012C3F">
        <w:rPr>
          <w:color w:val="000000" w:themeColor="text1"/>
          <w:sz w:val="16"/>
          <w:szCs w:val="16"/>
          <w:lang w:val="en-US"/>
        </w:rPr>
        <w:t xml:space="preserve">UN, </w:t>
      </w:r>
      <w:r w:rsidRPr="00012C3F">
        <w:rPr>
          <w:rFonts w:eastAsia="MS Mincho"/>
          <w:bCs/>
          <w:sz w:val="16"/>
          <w:szCs w:val="16"/>
          <w:lang w:val="en-US" w:bidi="en-US"/>
        </w:rPr>
        <w:t>Report of the Special Rapporteur on the right of everyone to the highest attainable standard of physical and mental health, Anand Grover, A/64/272, August 10, 2009</w:t>
      </w:r>
      <w:r w:rsidRPr="00012C3F">
        <w:rPr>
          <w:color w:val="000000" w:themeColor="text1"/>
          <w:sz w:val="16"/>
          <w:szCs w:val="16"/>
          <w:lang w:val="en-US"/>
        </w:rPr>
        <w:t>, para. 55.</w:t>
      </w:r>
    </w:p>
  </w:footnote>
  <w:footnote w:id="324">
    <w:p w14:paraId="1929DEF6" w14:textId="77777777" w:rsidR="00D24EFE" w:rsidRPr="00D24EFE" w:rsidRDefault="00D24EFE" w:rsidP="00452BE4">
      <w:pPr>
        <w:pStyle w:val="Textonotapie"/>
        <w:tabs>
          <w:tab w:val="left" w:pos="567"/>
        </w:tabs>
        <w:spacing w:after="120"/>
        <w:rPr>
          <w:sz w:val="16"/>
          <w:szCs w:val="16"/>
          <w:lang w:val="es-CR"/>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Juridical Status and Rights of Undocumented Migrants, </w:t>
      </w:r>
      <w:r w:rsidRPr="00012C3F">
        <w:rPr>
          <w:iCs/>
          <w:sz w:val="16"/>
          <w:szCs w:val="16"/>
          <w:lang w:val="en-US"/>
        </w:rPr>
        <w:t xml:space="preserve">Advisory Opinion </w:t>
      </w:r>
      <w:r w:rsidRPr="00012C3F">
        <w:rPr>
          <w:sz w:val="16"/>
          <w:szCs w:val="16"/>
          <w:lang w:val="en-US"/>
        </w:rPr>
        <w:t xml:space="preserve">OC-18/03, </w:t>
      </w:r>
      <w:r w:rsidRPr="00012C3F">
        <w:rPr>
          <w:i/>
          <w:sz w:val="16"/>
          <w:szCs w:val="16"/>
          <w:lang w:val="en-US"/>
        </w:rPr>
        <w:t>supra</w:t>
      </w:r>
      <w:r w:rsidRPr="00012C3F">
        <w:rPr>
          <w:sz w:val="16"/>
          <w:szCs w:val="16"/>
          <w:lang w:val="en-US"/>
        </w:rPr>
        <w:t xml:space="preserve">, para. </w:t>
      </w:r>
      <w:r w:rsidRPr="00D24EFE">
        <w:rPr>
          <w:sz w:val="16"/>
          <w:szCs w:val="16"/>
          <w:lang w:val="es-CR"/>
        </w:rPr>
        <w:t>101.</w:t>
      </w:r>
    </w:p>
  </w:footnote>
  <w:footnote w:id="325">
    <w:p w14:paraId="765B4AD9" w14:textId="77777777" w:rsidR="00D24EFE" w:rsidRPr="00D24EFE" w:rsidRDefault="00D24EFE" w:rsidP="005B52E1">
      <w:pPr>
        <w:pStyle w:val="Textonotapie"/>
        <w:tabs>
          <w:tab w:val="left" w:pos="567"/>
        </w:tabs>
        <w:spacing w:after="120"/>
        <w:rPr>
          <w:rStyle w:val="Textoennegrita"/>
          <w:rFonts w:eastAsia="Batang"/>
          <w:b w:val="0"/>
          <w:bCs w:val="0"/>
          <w:sz w:val="16"/>
          <w:szCs w:val="16"/>
          <w:lang w:val="es-CR"/>
        </w:rPr>
      </w:pPr>
      <w:r w:rsidRPr="00012C3F">
        <w:rPr>
          <w:sz w:val="16"/>
          <w:szCs w:val="16"/>
          <w:vertAlign w:val="superscript"/>
          <w:lang w:val="en-US"/>
        </w:rPr>
        <w:footnoteRef/>
      </w:r>
      <w:r w:rsidRPr="00D24EFE">
        <w:rPr>
          <w:sz w:val="16"/>
          <w:szCs w:val="16"/>
          <w:lang w:val="es-CR"/>
        </w:rPr>
        <w:t xml:space="preserve"> </w:t>
      </w:r>
      <w:r w:rsidRPr="00D24EFE">
        <w:rPr>
          <w:sz w:val="16"/>
          <w:szCs w:val="16"/>
          <w:lang w:val="es-CR"/>
        </w:rPr>
        <w:tab/>
      </w:r>
      <w:r w:rsidRPr="00D24EFE">
        <w:rPr>
          <w:rStyle w:val="Textoennegrita"/>
          <w:b w:val="0"/>
          <w:i/>
          <w:sz w:val="16"/>
          <w:szCs w:val="16"/>
          <w:lang w:val="es-CR"/>
        </w:rPr>
        <w:t>Case of Gonzales Lluy et al. v. Ecuador, supra</w:t>
      </w:r>
      <w:r w:rsidRPr="00D24EFE">
        <w:rPr>
          <w:rStyle w:val="Textoennegrita"/>
          <w:rFonts w:eastAsia="Batang"/>
          <w:b w:val="0"/>
          <w:sz w:val="16"/>
          <w:szCs w:val="16"/>
          <w:lang w:val="es-CR"/>
        </w:rPr>
        <w:t>, para. 257,</w:t>
      </w:r>
      <w:r w:rsidRPr="00D24EFE">
        <w:rPr>
          <w:rFonts w:cs="Vrinda"/>
          <w:sz w:val="16"/>
          <w:szCs w:val="16"/>
          <w:lang w:val="es-CR"/>
        </w:rPr>
        <w:t xml:space="preserve"> and </w:t>
      </w:r>
      <w:r w:rsidRPr="00D24EFE">
        <w:rPr>
          <w:i/>
          <w:sz w:val="16"/>
          <w:szCs w:val="16"/>
          <w:lang w:val="es-CR"/>
        </w:rPr>
        <w:t>Case of Flor Freire v. Ecuador, supra</w:t>
      </w:r>
      <w:r w:rsidRPr="00D24EFE">
        <w:rPr>
          <w:rStyle w:val="Textoennegrita"/>
          <w:b w:val="0"/>
          <w:color w:val="000000"/>
          <w:sz w:val="16"/>
          <w:szCs w:val="16"/>
          <w:shd w:val="clear" w:color="auto" w:fill="FFFFFF"/>
          <w:lang w:val="es-CR"/>
        </w:rPr>
        <w:t>, para. 125</w:t>
      </w:r>
      <w:r w:rsidRPr="00D24EFE">
        <w:rPr>
          <w:rStyle w:val="Textoennegrita"/>
          <w:rFonts w:eastAsia="Batang"/>
          <w:b w:val="0"/>
          <w:sz w:val="16"/>
          <w:szCs w:val="16"/>
          <w:lang w:val="es-CR"/>
        </w:rPr>
        <w:t>.</w:t>
      </w:r>
    </w:p>
  </w:footnote>
  <w:footnote w:id="326">
    <w:p w14:paraId="27534B9D" w14:textId="77777777" w:rsidR="00D24EFE" w:rsidRPr="00D24EFE" w:rsidRDefault="00D24EFE" w:rsidP="005B52E1">
      <w:pPr>
        <w:tabs>
          <w:tab w:val="left" w:pos="567"/>
          <w:tab w:val="left" w:pos="851"/>
        </w:tabs>
        <w:spacing w:after="120" w:line="240" w:lineRule="auto"/>
        <w:rPr>
          <w:bCs/>
          <w:sz w:val="16"/>
          <w:szCs w:val="16"/>
        </w:rPr>
      </w:pPr>
      <w:r w:rsidRPr="00012C3F">
        <w:rPr>
          <w:rStyle w:val="Refdenotaalpie"/>
          <w:rFonts w:eastAsia="Calibri"/>
          <w:sz w:val="16"/>
          <w:szCs w:val="16"/>
          <w:lang w:val="en-US"/>
        </w:rPr>
        <w:footnoteRef/>
      </w:r>
      <w:r w:rsidRPr="00D24EFE">
        <w:rPr>
          <w:sz w:val="16"/>
          <w:szCs w:val="16"/>
        </w:rPr>
        <w:t xml:space="preserve"> </w:t>
      </w:r>
      <w:r w:rsidRPr="00D24EFE">
        <w:rPr>
          <w:sz w:val="16"/>
          <w:szCs w:val="16"/>
        </w:rPr>
        <w:tab/>
      </w:r>
      <w:r w:rsidRPr="00D24EFE">
        <w:rPr>
          <w:i/>
          <w:sz w:val="16"/>
          <w:szCs w:val="16"/>
        </w:rPr>
        <w:t xml:space="preserve">Cf. </w:t>
      </w:r>
      <w:r w:rsidRPr="00D24EFE">
        <w:rPr>
          <w:rStyle w:val="Textoennegrita"/>
          <w:b w:val="0"/>
          <w:i/>
          <w:sz w:val="16"/>
          <w:szCs w:val="16"/>
        </w:rPr>
        <w:t>Case of Gonzales Lluy et al. v. Ecuador, supra</w:t>
      </w:r>
      <w:r w:rsidRPr="00D24EFE">
        <w:rPr>
          <w:rStyle w:val="Textoennegrita"/>
          <w:b w:val="0"/>
          <w:sz w:val="16"/>
          <w:szCs w:val="16"/>
        </w:rPr>
        <w:t>, para. 290.</w:t>
      </w:r>
    </w:p>
  </w:footnote>
  <w:footnote w:id="327">
    <w:p w14:paraId="4188855A"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MS ????"/>
          <w:sz w:val="16"/>
          <w:szCs w:val="16"/>
          <w:lang w:val="en-US"/>
        </w:rPr>
        <w:footnoteRef/>
      </w:r>
      <w:r w:rsidRPr="00D24EFE">
        <w:rPr>
          <w:sz w:val="16"/>
          <w:szCs w:val="16"/>
          <w:lang w:val="es-CR"/>
        </w:rPr>
        <w:t xml:space="preserve"> </w:t>
      </w:r>
      <w:r w:rsidRPr="00D24EFE">
        <w:rPr>
          <w:sz w:val="16"/>
          <w:szCs w:val="16"/>
          <w:lang w:val="es-CR"/>
        </w:rPr>
        <w:tab/>
      </w:r>
      <w:r w:rsidRPr="00D24EFE">
        <w:rPr>
          <w:i/>
          <w:sz w:val="16"/>
          <w:szCs w:val="16"/>
          <w:lang w:val="es-CR"/>
        </w:rPr>
        <w:t xml:space="preserve">Cf. </w:t>
      </w:r>
      <w:r w:rsidRPr="00D24EFE">
        <w:rPr>
          <w:rStyle w:val="Textoennegrita"/>
          <w:b w:val="0"/>
          <w:i/>
          <w:sz w:val="16"/>
          <w:szCs w:val="16"/>
          <w:lang w:val="es-CR"/>
        </w:rPr>
        <w:t>Case of Gonzales Lluy et al. v. Ecuador, supra</w:t>
      </w:r>
      <w:r w:rsidRPr="00D24EFE">
        <w:rPr>
          <w:rStyle w:val="Textoennegrita"/>
          <w:b w:val="0"/>
          <w:sz w:val="16"/>
          <w:szCs w:val="16"/>
          <w:lang w:val="es-CR"/>
        </w:rPr>
        <w:t xml:space="preserve">, para. </w:t>
      </w:r>
      <w:r w:rsidRPr="00012C3F">
        <w:rPr>
          <w:rStyle w:val="Textoennegrita"/>
          <w:b w:val="0"/>
          <w:sz w:val="16"/>
          <w:szCs w:val="16"/>
          <w:lang w:val="en-US"/>
        </w:rPr>
        <w:t>288.</w:t>
      </w:r>
    </w:p>
  </w:footnote>
  <w:footnote w:id="328">
    <w:p w14:paraId="2D7093D4" w14:textId="77777777" w:rsidR="00D24EFE" w:rsidRPr="00012C3F" w:rsidRDefault="00D24EFE" w:rsidP="005B52E1">
      <w:pPr>
        <w:pStyle w:val="Textonotapie"/>
        <w:tabs>
          <w:tab w:val="left" w:pos="567"/>
        </w:tabs>
        <w:spacing w:after="120"/>
        <w:rPr>
          <w:i/>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 xml:space="preserve">UN, Report of the Special Rapporteur on violence against women, its causes and consequences, Rashida Manjoo, </w:t>
      </w:r>
      <w:r w:rsidRPr="00012C3F">
        <w:rPr>
          <w:i/>
          <w:sz w:val="16"/>
          <w:szCs w:val="16"/>
          <w:lang w:val="en-US"/>
        </w:rPr>
        <w:t>Multiple and intersecting forms of discrimination and violence against women</w:t>
      </w:r>
      <w:r w:rsidRPr="00012C3F">
        <w:rPr>
          <w:sz w:val="16"/>
          <w:szCs w:val="16"/>
          <w:lang w:val="en-US"/>
        </w:rPr>
        <w:t>, A/HRC/17/26, May 2, 2011, para. 72, and Report of the Special Rapporteur on torture and other cruel, inhuman or degrading treatment or punishment, Juan E. Méndez, A/HRC/22/53, February 1, 2013, para. 48.</w:t>
      </w:r>
    </w:p>
  </w:footnote>
  <w:footnote w:id="329">
    <w:p w14:paraId="52E40674" w14:textId="77777777" w:rsidR="00D24EFE" w:rsidRPr="00012C3F" w:rsidRDefault="00D24EFE" w:rsidP="005B52E1">
      <w:pPr>
        <w:pStyle w:val="Textonotapie"/>
        <w:tabs>
          <w:tab w:val="left" w:pos="567"/>
        </w:tabs>
        <w:spacing w:after="120"/>
        <w:rPr>
          <w:rFonts w:cs="Vrinda"/>
          <w:i/>
          <w:sz w:val="16"/>
          <w:szCs w:val="16"/>
          <w:lang w:val="en-US"/>
        </w:rPr>
      </w:pPr>
      <w:r w:rsidRPr="00012C3F">
        <w:rPr>
          <w:rStyle w:val="Refdenotaalpie"/>
          <w:rFonts w:eastAsia="Calibri" w:cs="Vrinda"/>
          <w:sz w:val="16"/>
          <w:szCs w:val="16"/>
          <w:lang w:val="en-US"/>
        </w:rPr>
        <w:footnoteRef/>
      </w:r>
      <w:r w:rsidRPr="00012C3F">
        <w:rPr>
          <w:rStyle w:val="Refdenotaalpie"/>
          <w:rFonts w:eastAsia="Calibri" w:cs="Vrinda"/>
          <w:sz w:val="16"/>
          <w:szCs w:val="16"/>
          <w:vertAlign w:val="baseline"/>
          <w:lang w:val="en-US"/>
        </w:rPr>
        <w:tab/>
      </w:r>
      <w:r w:rsidRPr="00012C3F">
        <w:rPr>
          <w:rFonts w:cs="Vrinda"/>
          <w:i/>
          <w:color w:val="000000"/>
          <w:sz w:val="16"/>
          <w:szCs w:val="16"/>
          <w:lang w:val="en-US"/>
        </w:rPr>
        <w:t>Cf.</w:t>
      </w:r>
      <w:r w:rsidRPr="00012C3F">
        <w:rPr>
          <w:rFonts w:cs="Vrinda"/>
          <w:i/>
          <w:sz w:val="16"/>
          <w:szCs w:val="16"/>
          <w:lang w:val="en-US"/>
        </w:rPr>
        <w:t xml:space="preserve"> </w:t>
      </w:r>
      <w:r w:rsidRPr="00012C3F">
        <w:rPr>
          <w:rStyle w:val="Textoennegrita"/>
          <w:b w:val="0"/>
          <w:i/>
          <w:color w:val="000000"/>
          <w:sz w:val="16"/>
          <w:szCs w:val="16"/>
          <w:shd w:val="clear" w:color="auto" w:fill="FFFFFF"/>
          <w:lang w:val="en-US"/>
        </w:rPr>
        <w:t>Case of González et al. (“Cotton Field”) v. Mexico, supra</w:t>
      </w:r>
      <w:r w:rsidRPr="00012C3F">
        <w:rPr>
          <w:rStyle w:val="Textoennegrita"/>
          <w:b w:val="0"/>
          <w:color w:val="000000"/>
          <w:sz w:val="16"/>
          <w:szCs w:val="16"/>
          <w:shd w:val="clear" w:color="auto" w:fill="FFFFFF"/>
          <w:lang w:val="en-US"/>
        </w:rPr>
        <w:t xml:space="preserve">, </w:t>
      </w:r>
      <w:r w:rsidRPr="00012C3F">
        <w:rPr>
          <w:rFonts w:cs="Vrinda"/>
          <w:sz w:val="16"/>
          <w:szCs w:val="16"/>
          <w:lang w:val="en-US"/>
        </w:rPr>
        <w:t xml:space="preserve">para. 394, and </w:t>
      </w:r>
      <w:r w:rsidRPr="00012C3F">
        <w:rPr>
          <w:rFonts w:cs="Courier New"/>
          <w:i/>
          <w:noProof/>
          <w:sz w:val="16"/>
          <w:szCs w:val="16"/>
          <w:lang w:val="en-US"/>
        </w:rPr>
        <w:t>Case of Velásquez Paiz et al. v. Guatemala, supra</w:t>
      </w:r>
      <w:r w:rsidRPr="00012C3F">
        <w:rPr>
          <w:rFonts w:cs="Courier New"/>
          <w:noProof/>
          <w:sz w:val="16"/>
          <w:szCs w:val="16"/>
          <w:lang w:val="en-US"/>
        </w:rPr>
        <w:t>, para. 175, both citing</w:t>
      </w:r>
      <w:r w:rsidRPr="00012C3F">
        <w:rPr>
          <w:rFonts w:cs="Vrinda"/>
          <w:sz w:val="16"/>
          <w:szCs w:val="16"/>
          <w:lang w:val="en-US"/>
        </w:rPr>
        <w:t xml:space="preserve"> the Convention of Belém do Pará, Preamble and Article 6.</w:t>
      </w:r>
    </w:p>
  </w:footnote>
  <w:footnote w:id="330">
    <w:p w14:paraId="10D87333" w14:textId="77777777" w:rsidR="00D24EFE" w:rsidRPr="00012C3F" w:rsidRDefault="00D24EFE" w:rsidP="005B52E1">
      <w:pPr>
        <w:pStyle w:val="Textonotapie"/>
        <w:tabs>
          <w:tab w:val="left" w:pos="567"/>
        </w:tabs>
        <w:spacing w:after="120"/>
        <w:rPr>
          <w:rFonts w:cs="Vrinda"/>
          <w:sz w:val="16"/>
          <w:szCs w:val="16"/>
          <w:lang w:val="en-US"/>
        </w:rPr>
      </w:pPr>
      <w:r w:rsidRPr="00012C3F">
        <w:rPr>
          <w:rStyle w:val="Refdenotaalpie"/>
          <w:rFonts w:eastAsia="Calibri" w:cs="Vrinda"/>
          <w:sz w:val="16"/>
          <w:szCs w:val="16"/>
          <w:lang w:val="en-US"/>
        </w:rPr>
        <w:footnoteRef/>
      </w:r>
      <w:r w:rsidRPr="00012C3F">
        <w:rPr>
          <w:rStyle w:val="Refdenotaalpie"/>
          <w:rFonts w:eastAsia="Calibri" w:cs="Vrinda"/>
          <w:sz w:val="16"/>
          <w:szCs w:val="16"/>
          <w:vertAlign w:val="baseline"/>
          <w:lang w:val="en-US"/>
        </w:rPr>
        <w:tab/>
      </w:r>
      <w:r w:rsidRPr="00012C3F">
        <w:rPr>
          <w:rFonts w:cs="Vrinda"/>
          <w:sz w:val="16"/>
          <w:szCs w:val="16"/>
          <w:lang w:val="en-US"/>
        </w:rPr>
        <w:t>Convention of Belém do Pará, Article 7(a).</w:t>
      </w:r>
    </w:p>
  </w:footnote>
  <w:footnote w:id="331">
    <w:p w14:paraId="5AC823F2" w14:textId="77777777" w:rsidR="00D24EFE" w:rsidRPr="00D24EFE" w:rsidRDefault="00D24EFE" w:rsidP="005B52E1">
      <w:pPr>
        <w:pStyle w:val="Textonotapie"/>
        <w:tabs>
          <w:tab w:val="left" w:pos="567"/>
        </w:tabs>
        <w:spacing w:after="120"/>
        <w:rPr>
          <w:rFonts w:cs="Vrinda"/>
          <w:sz w:val="16"/>
          <w:szCs w:val="16"/>
          <w:lang w:val="es-CR"/>
        </w:rPr>
      </w:pPr>
      <w:r w:rsidRPr="00012C3F">
        <w:rPr>
          <w:rStyle w:val="Refdenotaalpie"/>
          <w:rFonts w:eastAsia="Calibri" w:cs="Vrinda"/>
          <w:sz w:val="16"/>
          <w:szCs w:val="16"/>
          <w:lang w:val="en-US"/>
        </w:rPr>
        <w:footnoteRef/>
      </w:r>
      <w:r w:rsidRPr="00012C3F">
        <w:rPr>
          <w:rStyle w:val="Refdenotaalpie"/>
          <w:rFonts w:eastAsia="Calibri" w:cs="Vrinda"/>
          <w:sz w:val="16"/>
          <w:szCs w:val="16"/>
          <w:vertAlign w:val="baseline"/>
          <w:lang w:val="en-US"/>
        </w:rPr>
        <w:tab/>
      </w:r>
      <w:r w:rsidRPr="00012C3F">
        <w:rPr>
          <w:rFonts w:cs="Vrinda"/>
          <w:i/>
          <w:sz w:val="16"/>
          <w:szCs w:val="16"/>
          <w:lang w:val="en-US"/>
        </w:rPr>
        <w:t xml:space="preserve">Cf. </w:t>
      </w:r>
      <w:r w:rsidRPr="00012C3F">
        <w:rPr>
          <w:i/>
          <w:sz w:val="16"/>
          <w:szCs w:val="16"/>
          <w:lang w:val="en-US"/>
        </w:rPr>
        <w:t>The Word "Law" in Article 30 of the American Convention on Human Rights</w:t>
      </w:r>
      <w:r w:rsidRPr="00012C3F">
        <w:rPr>
          <w:sz w:val="16"/>
          <w:szCs w:val="16"/>
          <w:lang w:val="en-US"/>
        </w:rPr>
        <w:t xml:space="preserve">. Advisory Opinion OC-6/86, </w:t>
      </w:r>
      <w:r w:rsidRPr="00012C3F">
        <w:rPr>
          <w:i/>
          <w:sz w:val="16"/>
          <w:szCs w:val="16"/>
          <w:lang w:val="en-US"/>
        </w:rPr>
        <w:t>supra</w:t>
      </w:r>
      <w:r w:rsidRPr="00012C3F">
        <w:rPr>
          <w:sz w:val="16"/>
          <w:szCs w:val="16"/>
          <w:lang w:val="en-US"/>
        </w:rPr>
        <w:t>,</w:t>
      </w:r>
      <w:r w:rsidRPr="00012C3F">
        <w:rPr>
          <w:rFonts w:cs="Vrinda"/>
          <w:sz w:val="16"/>
          <w:szCs w:val="16"/>
          <w:lang w:val="en-US"/>
        </w:rPr>
        <w:t xml:space="preserve"> para. 21, and </w:t>
      </w:r>
      <w:r w:rsidRPr="00012C3F">
        <w:rPr>
          <w:i/>
          <w:sz w:val="16"/>
          <w:szCs w:val="16"/>
          <w:lang w:val="en-US"/>
        </w:rPr>
        <w:t>Case of Castillo Petruzzi et al. v. Peru. Merits reparations and costs.</w:t>
      </w:r>
      <w:r w:rsidRPr="00012C3F">
        <w:rPr>
          <w:sz w:val="16"/>
          <w:szCs w:val="16"/>
          <w:lang w:val="en-US"/>
        </w:rPr>
        <w:t xml:space="preserve"> Judgment of May 30, 1999. Series C No. 52, para. </w:t>
      </w:r>
      <w:r w:rsidRPr="00D24EFE">
        <w:rPr>
          <w:sz w:val="16"/>
          <w:szCs w:val="16"/>
          <w:lang w:val="es-CR"/>
        </w:rPr>
        <w:t>120</w:t>
      </w:r>
      <w:r w:rsidRPr="00D24EFE">
        <w:rPr>
          <w:rFonts w:cs="Vrinda"/>
          <w:sz w:val="16"/>
          <w:szCs w:val="16"/>
          <w:lang w:val="es-CR"/>
        </w:rPr>
        <w:t>.</w:t>
      </w:r>
    </w:p>
  </w:footnote>
  <w:footnote w:id="332">
    <w:p w14:paraId="4B17F280" w14:textId="77777777" w:rsidR="00D24EFE" w:rsidRPr="00012C3F" w:rsidRDefault="00D24EFE" w:rsidP="005B52E1">
      <w:pPr>
        <w:pStyle w:val="Textonotapie"/>
        <w:tabs>
          <w:tab w:val="left" w:pos="567"/>
        </w:tabs>
        <w:spacing w:after="120"/>
        <w:rPr>
          <w:rFonts w:cs="Vrinda"/>
          <w:i/>
          <w:sz w:val="16"/>
          <w:szCs w:val="16"/>
          <w:lang w:val="en-US"/>
        </w:rPr>
      </w:pPr>
      <w:r w:rsidRPr="00012C3F">
        <w:rPr>
          <w:rStyle w:val="Refdenotaalpie"/>
          <w:rFonts w:eastAsia="Calibri" w:cs="Vrinda"/>
          <w:sz w:val="16"/>
          <w:szCs w:val="16"/>
          <w:lang w:val="en-US"/>
        </w:rPr>
        <w:footnoteRef/>
      </w:r>
      <w:r w:rsidRPr="00D24EFE">
        <w:rPr>
          <w:rStyle w:val="Refdenotaalpie"/>
          <w:rFonts w:eastAsia="Calibri" w:cs="Vrinda"/>
          <w:sz w:val="16"/>
          <w:szCs w:val="16"/>
          <w:vertAlign w:val="baseline"/>
          <w:lang w:val="es-CR"/>
        </w:rPr>
        <w:tab/>
      </w:r>
      <w:r w:rsidRPr="00D24EFE">
        <w:rPr>
          <w:rFonts w:cs="Vrinda"/>
          <w:i/>
          <w:sz w:val="16"/>
          <w:szCs w:val="16"/>
          <w:lang w:val="es-CR"/>
        </w:rPr>
        <w:t>Cf.</w:t>
      </w:r>
      <w:r w:rsidRPr="00D24EFE">
        <w:rPr>
          <w:rFonts w:cs="Vrinda"/>
          <w:sz w:val="16"/>
          <w:szCs w:val="16"/>
          <w:lang w:val="es-CR"/>
        </w:rPr>
        <w:t xml:space="preserve"> </w:t>
      </w:r>
      <w:r w:rsidRPr="00D24EFE">
        <w:rPr>
          <w:i/>
          <w:sz w:val="16"/>
          <w:szCs w:val="16"/>
          <w:lang w:val="es-CR"/>
        </w:rPr>
        <w:t>Case of the Pueblo Bello Massacre v. Colombia</w:t>
      </w:r>
      <w:r w:rsidRPr="00D24EFE">
        <w:rPr>
          <w:sz w:val="16"/>
          <w:szCs w:val="16"/>
          <w:lang w:val="es-CR"/>
        </w:rPr>
        <w:t xml:space="preserve">, </w:t>
      </w:r>
      <w:r w:rsidRPr="00D24EFE">
        <w:rPr>
          <w:i/>
          <w:sz w:val="16"/>
          <w:szCs w:val="16"/>
          <w:lang w:val="es-CR"/>
        </w:rPr>
        <w:t>supra</w:t>
      </w:r>
      <w:r w:rsidRPr="00D24EFE">
        <w:rPr>
          <w:sz w:val="16"/>
          <w:szCs w:val="16"/>
          <w:lang w:val="es-CR"/>
        </w:rPr>
        <w:t xml:space="preserve">, para. </w:t>
      </w:r>
      <w:r w:rsidRPr="00012C3F">
        <w:rPr>
          <w:sz w:val="16"/>
          <w:szCs w:val="16"/>
          <w:lang w:val="en-US"/>
        </w:rPr>
        <w:t xml:space="preserve">111, and </w:t>
      </w:r>
      <w:r w:rsidRPr="00012C3F">
        <w:rPr>
          <w:i/>
          <w:sz w:val="16"/>
          <w:szCs w:val="16"/>
          <w:lang w:val="en-US"/>
        </w:rPr>
        <w:t>Case of Chinchilla Sandoval v. Guatemala, supra</w:t>
      </w:r>
      <w:r w:rsidRPr="00012C3F">
        <w:rPr>
          <w:sz w:val="16"/>
          <w:szCs w:val="16"/>
          <w:lang w:val="en-US"/>
        </w:rPr>
        <w:t>, para. 168.</w:t>
      </w:r>
    </w:p>
  </w:footnote>
  <w:footnote w:id="333">
    <w:p w14:paraId="70BEEE71" w14:textId="77777777" w:rsidR="00D24EFE" w:rsidRPr="00012C3F" w:rsidRDefault="00D24EFE" w:rsidP="005B52E1">
      <w:pPr>
        <w:tabs>
          <w:tab w:val="left" w:pos="567"/>
        </w:tabs>
        <w:spacing w:after="120" w:line="240" w:lineRule="auto"/>
        <w:rPr>
          <w:color w:val="000000" w:themeColor="text1"/>
          <w:sz w:val="16"/>
          <w:szCs w:val="16"/>
          <w:lang w:val="en-US"/>
        </w:rPr>
      </w:pPr>
      <w:r w:rsidRPr="00012C3F">
        <w:rPr>
          <w:rStyle w:val="Refdenotaalpie"/>
          <w:rFonts w:eastAsia="Calibri"/>
          <w:color w:val="000000" w:themeColor="text1"/>
          <w:sz w:val="16"/>
          <w:szCs w:val="16"/>
          <w:lang w:val="en-US"/>
        </w:rPr>
        <w:footnoteRef/>
      </w:r>
      <w:r w:rsidRPr="00012C3F">
        <w:rPr>
          <w:color w:val="000000" w:themeColor="text1"/>
          <w:sz w:val="16"/>
          <w:szCs w:val="16"/>
          <w:lang w:val="en-US"/>
        </w:rPr>
        <w:t xml:space="preserve"> </w:t>
      </w:r>
      <w:r w:rsidRPr="00012C3F">
        <w:rPr>
          <w:color w:val="000000" w:themeColor="text1"/>
          <w:sz w:val="16"/>
          <w:szCs w:val="16"/>
          <w:lang w:val="en-US"/>
        </w:rPr>
        <w:tab/>
      </w:r>
      <w:r w:rsidRPr="00012C3F">
        <w:rPr>
          <w:rFonts w:cs="MinionPro-Bold"/>
          <w:bCs/>
          <w:color w:val="000000" w:themeColor="text1"/>
          <w:sz w:val="16"/>
          <w:szCs w:val="16"/>
          <w:lang w:val="en-US"/>
        </w:rPr>
        <w:t>Convention of Belém do Pará, Article 1.</w:t>
      </w:r>
    </w:p>
  </w:footnote>
  <w:footnote w:id="334">
    <w:p w14:paraId="67CE4C00" w14:textId="77777777" w:rsidR="00D24EFE" w:rsidRPr="00012C3F" w:rsidRDefault="00D24EFE" w:rsidP="005B52E1">
      <w:pPr>
        <w:tabs>
          <w:tab w:val="left" w:pos="567"/>
        </w:tabs>
        <w:spacing w:after="120" w:line="240" w:lineRule="auto"/>
        <w:rPr>
          <w:color w:val="000000" w:themeColor="text1"/>
          <w:sz w:val="16"/>
          <w:szCs w:val="16"/>
          <w:lang w:val="en-US"/>
        </w:rPr>
      </w:pPr>
      <w:r w:rsidRPr="00012C3F">
        <w:rPr>
          <w:rStyle w:val="Refdenotaalpie"/>
          <w:rFonts w:eastAsia="Calibri"/>
          <w:color w:val="000000" w:themeColor="text1"/>
          <w:sz w:val="16"/>
          <w:szCs w:val="16"/>
          <w:lang w:val="en-US"/>
        </w:rPr>
        <w:footnoteRef/>
      </w:r>
      <w:r w:rsidRPr="00012C3F">
        <w:rPr>
          <w:color w:val="000000" w:themeColor="text1"/>
          <w:sz w:val="16"/>
          <w:szCs w:val="16"/>
          <w:lang w:val="en-US"/>
        </w:rPr>
        <w:t xml:space="preserve"> </w:t>
      </w:r>
      <w:r w:rsidRPr="00012C3F">
        <w:rPr>
          <w:color w:val="000000" w:themeColor="text1"/>
          <w:sz w:val="16"/>
          <w:szCs w:val="16"/>
          <w:lang w:val="en-US"/>
        </w:rPr>
        <w:tab/>
      </w:r>
      <w:r w:rsidRPr="00012C3F">
        <w:rPr>
          <w:i/>
          <w:sz w:val="16"/>
          <w:szCs w:val="16"/>
          <w:lang w:val="en-US"/>
        </w:rPr>
        <w:t xml:space="preserve">Case of the Miguel Castro </w:t>
      </w:r>
      <w:proofErr w:type="spellStart"/>
      <w:r w:rsidRPr="00012C3F">
        <w:rPr>
          <w:i/>
          <w:sz w:val="16"/>
          <w:szCs w:val="16"/>
          <w:lang w:val="en-US"/>
        </w:rPr>
        <w:t>Castro</w:t>
      </w:r>
      <w:proofErr w:type="spellEnd"/>
      <w:r w:rsidRPr="00012C3F">
        <w:rPr>
          <w:i/>
          <w:sz w:val="16"/>
          <w:szCs w:val="16"/>
          <w:lang w:val="en-US"/>
        </w:rPr>
        <w:t xml:space="preserve"> Prison v. Peru. Merits reparations and costs</w:t>
      </w:r>
      <w:r w:rsidRPr="00012C3F">
        <w:rPr>
          <w:sz w:val="16"/>
          <w:szCs w:val="16"/>
          <w:lang w:val="en-US"/>
        </w:rPr>
        <w:t xml:space="preserve">. Judgment of November 25, 2006. </w:t>
      </w:r>
      <w:r w:rsidRPr="00D24EFE">
        <w:rPr>
          <w:sz w:val="16"/>
          <w:szCs w:val="16"/>
        </w:rPr>
        <w:t>Series C No. 160</w:t>
      </w:r>
      <w:r w:rsidRPr="00D24EFE">
        <w:rPr>
          <w:rFonts w:cs="MinionPro-Bold"/>
          <w:bCs/>
          <w:color w:val="000000" w:themeColor="text1"/>
          <w:sz w:val="16"/>
          <w:szCs w:val="16"/>
        </w:rPr>
        <w:t xml:space="preserve">, para. 303, and </w:t>
      </w:r>
      <w:r w:rsidRPr="00D24EFE">
        <w:rPr>
          <w:rStyle w:val="Textoennegrita"/>
          <w:b w:val="0"/>
          <w:i/>
          <w:sz w:val="16"/>
          <w:szCs w:val="16"/>
        </w:rPr>
        <w:t>Case of Espinoza Gonzáles v. Peru, supra</w:t>
      </w:r>
      <w:r w:rsidRPr="00D24EFE">
        <w:rPr>
          <w:rStyle w:val="Textoennegrita"/>
          <w:b w:val="0"/>
          <w:sz w:val="16"/>
          <w:szCs w:val="16"/>
        </w:rPr>
        <w:t xml:space="preserve">, para. </w:t>
      </w:r>
      <w:r w:rsidRPr="00012C3F">
        <w:rPr>
          <w:rStyle w:val="Textoennegrita"/>
          <w:b w:val="0"/>
          <w:sz w:val="16"/>
          <w:szCs w:val="16"/>
          <w:lang w:val="en-US"/>
        </w:rPr>
        <w:t>223,</w:t>
      </w:r>
      <w:r w:rsidRPr="00012C3F">
        <w:rPr>
          <w:rFonts w:cs="MinionPro-Bold"/>
          <w:bCs/>
          <w:color w:val="000000" w:themeColor="text1"/>
          <w:sz w:val="16"/>
          <w:szCs w:val="16"/>
          <w:lang w:val="en-US"/>
        </w:rPr>
        <w:t xml:space="preserve"> both citing </w:t>
      </w:r>
      <w:r w:rsidRPr="00012C3F">
        <w:rPr>
          <w:color w:val="000000" w:themeColor="text1"/>
          <w:sz w:val="16"/>
          <w:szCs w:val="16"/>
          <w:lang w:val="en-US"/>
        </w:rPr>
        <w:t xml:space="preserve">UN, Committee for the Elimination of Discrimination against Women, General Recommendation No. 19, </w:t>
      </w:r>
      <w:r w:rsidRPr="00012C3F">
        <w:rPr>
          <w:i/>
          <w:color w:val="000000" w:themeColor="text1"/>
          <w:sz w:val="16"/>
          <w:szCs w:val="16"/>
          <w:lang w:val="en-US"/>
        </w:rPr>
        <w:t>Violence against women</w:t>
      </w:r>
      <w:r w:rsidRPr="00012C3F">
        <w:rPr>
          <w:color w:val="000000" w:themeColor="text1"/>
          <w:sz w:val="16"/>
          <w:szCs w:val="16"/>
          <w:lang w:val="en-US"/>
        </w:rPr>
        <w:t>, 1992, para. 6.</w:t>
      </w:r>
    </w:p>
  </w:footnote>
  <w:footnote w:id="335">
    <w:p w14:paraId="70468C04" w14:textId="77777777" w:rsidR="00D24EFE" w:rsidRPr="00012C3F" w:rsidRDefault="00D24EFE" w:rsidP="005B52E1">
      <w:pPr>
        <w:pStyle w:val="Textonotapie"/>
        <w:tabs>
          <w:tab w:val="left" w:pos="567"/>
        </w:tabs>
        <w:spacing w:after="120"/>
        <w:rPr>
          <w:rFonts w:cs="Vrinda"/>
          <w:sz w:val="16"/>
          <w:szCs w:val="16"/>
          <w:lang w:val="en-US"/>
        </w:rPr>
      </w:pPr>
      <w:r w:rsidRPr="00012C3F">
        <w:rPr>
          <w:rStyle w:val="Refdenotaalpie"/>
          <w:rFonts w:eastAsia="Calibri" w:cs="Vrinda"/>
          <w:sz w:val="16"/>
          <w:szCs w:val="16"/>
          <w:lang w:val="en-US"/>
        </w:rPr>
        <w:footnoteRef/>
      </w:r>
      <w:r w:rsidRPr="00012C3F">
        <w:rPr>
          <w:rStyle w:val="Refdenotaalpie"/>
          <w:rFonts w:eastAsia="Calibri" w:cs="Vrinda"/>
          <w:sz w:val="16"/>
          <w:szCs w:val="16"/>
          <w:vertAlign w:val="baseline"/>
          <w:lang w:val="en-US"/>
        </w:rPr>
        <w:tab/>
      </w:r>
      <w:r w:rsidRPr="00012C3F">
        <w:rPr>
          <w:sz w:val="16"/>
          <w:szCs w:val="16"/>
          <w:lang w:val="en-US"/>
        </w:rPr>
        <w:t xml:space="preserve">UN, Committee for the Elimination of Discrimination against Women, General Recommendation No. 19, </w:t>
      </w:r>
      <w:r w:rsidRPr="00012C3F">
        <w:rPr>
          <w:i/>
          <w:sz w:val="16"/>
          <w:szCs w:val="16"/>
          <w:lang w:val="en-US"/>
        </w:rPr>
        <w:t>Violence against women</w:t>
      </w:r>
      <w:r w:rsidRPr="00012C3F">
        <w:rPr>
          <w:sz w:val="16"/>
          <w:szCs w:val="16"/>
          <w:lang w:val="en-US"/>
        </w:rPr>
        <w:t>, 1992,</w:t>
      </w:r>
      <w:r w:rsidRPr="00012C3F">
        <w:rPr>
          <w:rFonts w:cs="Vrinda"/>
          <w:color w:val="000000"/>
          <w:sz w:val="16"/>
          <w:szCs w:val="16"/>
          <w:lang w:val="en-US"/>
        </w:rPr>
        <w:t xml:space="preserve"> para. 1.</w:t>
      </w:r>
    </w:p>
  </w:footnote>
  <w:footnote w:id="336">
    <w:p w14:paraId="5D76647F" w14:textId="77777777" w:rsidR="00D24EFE" w:rsidRPr="00012C3F" w:rsidRDefault="00D24EFE" w:rsidP="005B52E1">
      <w:pPr>
        <w:pStyle w:val="Textonotapie"/>
        <w:tabs>
          <w:tab w:val="left" w:pos="567"/>
        </w:tabs>
        <w:spacing w:after="120"/>
        <w:rPr>
          <w:rFonts w:cs="Vrinda"/>
          <w:sz w:val="16"/>
          <w:szCs w:val="16"/>
          <w:lang w:val="en-US"/>
        </w:rPr>
      </w:pPr>
      <w:r w:rsidRPr="00012C3F">
        <w:rPr>
          <w:rStyle w:val="Refdenotaalpie"/>
          <w:rFonts w:eastAsia="Calibri" w:cs="Vrinda"/>
          <w:sz w:val="16"/>
          <w:szCs w:val="16"/>
          <w:lang w:val="en-US"/>
        </w:rPr>
        <w:footnoteRef/>
      </w:r>
      <w:r w:rsidRPr="00012C3F">
        <w:rPr>
          <w:rStyle w:val="Refdenotaalpie"/>
          <w:rFonts w:eastAsia="Calibri" w:cs="Vrinda"/>
          <w:sz w:val="16"/>
          <w:szCs w:val="16"/>
          <w:vertAlign w:val="baseline"/>
          <w:lang w:val="en-US"/>
        </w:rPr>
        <w:tab/>
      </w:r>
      <w:r w:rsidRPr="00012C3F">
        <w:rPr>
          <w:rFonts w:eastAsia="Calibri" w:cs="Vrinda"/>
          <w:sz w:val="16"/>
          <w:szCs w:val="16"/>
          <w:lang w:val="en-US"/>
        </w:rPr>
        <w:t xml:space="preserve">UN, </w:t>
      </w:r>
      <w:r w:rsidRPr="00012C3F">
        <w:rPr>
          <w:rFonts w:cs="Vrinda"/>
          <w:sz w:val="16"/>
          <w:szCs w:val="16"/>
          <w:lang w:val="en-US"/>
        </w:rPr>
        <w:t xml:space="preserve">Committee on Economic, Social and Cultural Rights, General Comment No. 16, </w:t>
      </w:r>
      <w:r w:rsidRPr="00012C3F">
        <w:rPr>
          <w:rFonts w:cs="Vrinda"/>
          <w:i/>
          <w:sz w:val="16"/>
          <w:szCs w:val="16"/>
          <w:lang w:val="en-US"/>
        </w:rPr>
        <w:t>The equal right of men and women to the enjoyment of economic, social and cultural rights</w:t>
      </w:r>
      <w:r w:rsidRPr="00012C3F">
        <w:rPr>
          <w:rFonts w:cs="Vrinda"/>
          <w:sz w:val="16"/>
          <w:szCs w:val="16"/>
          <w:lang w:val="en-US"/>
        </w:rPr>
        <w:t>, August 11, 2005, para. 27.</w:t>
      </w:r>
    </w:p>
  </w:footnote>
  <w:footnote w:id="337">
    <w:p w14:paraId="21FA3D79"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Theme="majorEastAsia"/>
          <w:sz w:val="16"/>
          <w:szCs w:val="16"/>
          <w:lang w:val="en-US"/>
        </w:rPr>
        <w:footnoteRef/>
      </w:r>
      <w:r w:rsidRPr="00012C3F">
        <w:rPr>
          <w:i/>
          <w:sz w:val="16"/>
          <w:szCs w:val="16"/>
          <w:lang w:val="en-US"/>
        </w:rPr>
        <w:t xml:space="preserve"> </w:t>
      </w:r>
      <w:r w:rsidRPr="00012C3F">
        <w:rPr>
          <w:i/>
          <w:sz w:val="16"/>
          <w:szCs w:val="16"/>
          <w:lang w:val="en-US"/>
        </w:rPr>
        <w:tab/>
        <w:t xml:space="preserve">Cf. </w:t>
      </w:r>
      <w:r w:rsidRPr="00012C3F">
        <w:rPr>
          <w:rFonts w:eastAsia="Calibri"/>
          <w:sz w:val="16"/>
          <w:szCs w:val="16"/>
          <w:lang w:val="en-US" w:eastAsia="en-US" w:bidi="en-US"/>
        </w:rPr>
        <w:t>The Beijing Declaration and Platform for Action of the Fourth World Conference on Women</w:t>
      </w:r>
      <w:r w:rsidRPr="00012C3F">
        <w:rPr>
          <w:sz w:val="16"/>
          <w:szCs w:val="16"/>
          <w:lang w:val="en-US"/>
        </w:rPr>
        <w:t>, A/CONF.177/20, 1995, para. 115.</w:t>
      </w:r>
    </w:p>
  </w:footnote>
  <w:footnote w:id="338">
    <w:p w14:paraId="1814FC90" w14:textId="77777777" w:rsidR="00D24EFE" w:rsidRPr="00012C3F" w:rsidRDefault="00D24EFE" w:rsidP="005B52E1">
      <w:pPr>
        <w:widowControl/>
        <w:tabs>
          <w:tab w:val="left" w:pos="567"/>
        </w:tabs>
        <w:autoSpaceDE w:val="0"/>
        <w:autoSpaceDN w:val="0"/>
        <w:spacing w:after="120" w:line="240" w:lineRule="auto"/>
        <w:textAlignment w:val="auto"/>
        <w:rPr>
          <w:color w:val="000000" w:themeColor="text1"/>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r>
      <w:r w:rsidRPr="00012C3F">
        <w:rPr>
          <w:i/>
          <w:color w:val="000000" w:themeColor="text1"/>
          <w:sz w:val="16"/>
          <w:szCs w:val="16"/>
          <w:lang w:val="en-US"/>
        </w:rPr>
        <w:t>Cf.</w:t>
      </w:r>
      <w:r w:rsidRPr="00012C3F">
        <w:rPr>
          <w:color w:val="000000" w:themeColor="text1"/>
          <w:sz w:val="16"/>
          <w:szCs w:val="16"/>
          <w:lang w:val="en-US"/>
        </w:rPr>
        <w:t xml:space="preserve"> </w:t>
      </w:r>
      <w:r w:rsidRPr="00012C3F">
        <w:rPr>
          <w:sz w:val="16"/>
          <w:szCs w:val="16"/>
          <w:lang w:val="en-US"/>
        </w:rPr>
        <w:t xml:space="preserve">UN, Committee for the Elimination of Discrimination against Women, General Recommendation No. 19, </w:t>
      </w:r>
      <w:r w:rsidRPr="00012C3F">
        <w:rPr>
          <w:i/>
          <w:sz w:val="16"/>
          <w:szCs w:val="16"/>
          <w:lang w:val="en-US"/>
        </w:rPr>
        <w:t>Violence against women</w:t>
      </w:r>
      <w:r w:rsidRPr="00012C3F">
        <w:rPr>
          <w:sz w:val="16"/>
          <w:szCs w:val="16"/>
          <w:lang w:val="en-US"/>
        </w:rPr>
        <w:t xml:space="preserve">, 1992, para. 22; </w:t>
      </w:r>
      <w:r w:rsidRPr="00012C3F">
        <w:rPr>
          <w:rFonts w:eastAsia="Calibri"/>
          <w:sz w:val="16"/>
          <w:szCs w:val="16"/>
          <w:lang w:val="en-US" w:eastAsia="en-US" w:bidi="en-US"/>
        </w:rPr>
        <w:t>the Beijing Declaration and Platform for Action of the Fourth World Conference on Women</w:t>
      </w:r>
      <w:r w:rsidRPr="00012C3F">
        <w:rPr>
          <w:sz w:val="16"/>
          <w:szCs w:val="16"/>
          <w:lang w:val="en-US"/>
        </w:rPr>
        <w:t xml:space="preserve"> A/CONF.177/20, 1995, para. 115; </w:t>
      </w:r>
      <w:r w:rsidRPr="00012C3F">
        <w:rPr>
          <w:color w:val="000000" w:themeColor="text1"/>
          <w:sz w:val="16"/>
          <w:szCs w:val="16"/>
          <w:lang w:val="en-US"/>
        </w:rPr>
        <w:t>Report of the Special Rapporteur on violence against women, its causes and consequences</w:t>
      </w:r>
      <w:r w:rsidRPr="00012C3F">
        <w:rPr>
          <w:bCs/>
          <w:sz w:val="16"/>
          <w:szCs w:val="16"/>
          <w:lang w:val="en-US"/>
        </w:rPr>
        <w:t>, Ms. Radhika</w:t>
      </w:r>
      <w:r w:rsidRPr="00012C3F">
        <w:rPr>
          <w:rFonts w:cs="Courier New"/>
          <w:color w:val="000000" w:themeColor="text1"/>
          <w:sz w:val="16"/>
          <w:szCs w:val="16"/>
          <w:lang w:val="en-US"/>
        </w:rPr>
        <w:t xml:space="preserve"> Coomaraswamy</w:t>
      </w:r>
      <w:r w:rsidRPr="00012C3F">
        <w:rPr>
          <w:bCs/>
          <w:sz w:val="16"/>
          <w:szCs w:val="16"/>
          <w:lang w:val="en-US"/>
        </w:rPr>
        <w:t xml:space="preserve">, </w:t>
      </w:r>
      <w:r w:rsidRPr="00012C3F">
        <w:rPr>
          <w:bCs/>
          <w:i/>
          <w:sz w:val="16"/>
          <w:szCs w:val="16"/>
          <w:lang w:val="en-US"/>
        </w:rPr>
        <w:t xml:space="preserve">Policies and practices that impact women’s reproductive rights and contribute to, cause or constitute violence against women, </w:t>
      </w:r>
      <w:r w:rsidRPr="00012C3F">
        <w:rPr>
          <w:bCs/>
          <w:sz w:val="16"/>
          <w:szCs w:val="16"/>
          <w:lang w:val="en-US"/>
        </w:rPr>
        <w:t>E/CN.4/1999/68/Add.4, January 21, 1999</w:t>
      </w:r>
      <w:r w:rsidRPr="00012C3F">
        <w:rPr>
          <w:sz w:val="16"/>
          <w:szCs w:val="16"/>
          <w:lang w:val="en-US"/>
        </w:rPr>
        <w:t xml:space="preserve">, para. 51; Human Rights Committee, General Comment No. 28, </w:t>
      </w:r>
      <w:r w:rsidRPr="00012C3F">
        <w:rPr>
          <w:i/>
          <w:sz w:val="16"/>
          <w:szCs w:val="16"/>
          <w:lang w:val="en-US"/>
        </w:rPr>
        <w:t>The equality of rights between men and women</w:t>
      </w:r>
      <w:r w:rsidRPr="00012C3F">
        <w:rPr>
          <w:sz w:val="16"/>
          <w:szCs w:val="16"/>
          <w:lang w:val="en-US"/>
        </w:rPr>
        <w:t>, March 29, 2000, paras. 11 and 22, and Report of the Special Rapporteur on torture and other cruel, inhuman or degrading treatment or punishment, Juan E. Méndez, A/HRC/22/53, February 1, 2013,</w:t>
      </w:r>
      <w:r w:rsidRPr="00012C3F">
        <w:rPr>
          <w:rFonts w:cs="Courier New"/>
          <w:color w:val="000000" w:themeColor="text1"/>
          <w:sz w:val="16"/>
          <w:szCs w:val="16"/>
          <w:lang w:val="en-US"/>
        </w:rPr>
        <w:t xml:space="preserve"> para. 48</w:t>
      </w:r>
      <w:r w:rsidRPr="00012C3F">
        <w:rPr>
          <w:rFonts w:eastAsiaTheme="minorHAnsi" w:cs="TimesNewRoman"/>
          <w:sz w:val="16"/>
          <w:szCs w:val="16"/>
          <w:lang w:val="en-US" w:eastAsia="en-US"/>
        </w:rPr>
        <w:t>.</w:t>
      </w:r>
    </w:p>
  </w:footnote>
  <w:footnote w:id="339">
    <w:p w14:paraId="7829DD3A"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The pertinent part of Article 5 of the American Convention stipulates that:</w:t>
      </w:r>
    </w:p>
    <w:p w14:paraId="7918EDC2" w14:textId="77777777" w:rsidR="00D24EFE" w:rsidRPr="00012C3F" w:rsidRDefault="00D24EFE" w:rsidP="005B52E1">
      <w:pPr>
        <w:pStyle w:val="Textonotapie"/>
        <w:tabs>
          <w:tab w:val="left" w:pos="567"/>
        </w:tabs>
        <w:spacing w:after="120"/>
        <w:ind w:left="708"/>
        <w:rPr>
          <w:sz w:val="16"/>
          <w:szCs w:val="16"/>
          <w:lang w:val="en-US"/>
        </w:rPr>
      </w:pPr>
      <w:r w:rsidRPr="00012C3F">
        <w:rPr>
          <w:sz w:val="16"/>
          <w:szCs w:val="16"/>
          <w:lang w:val="en-US"/>
        </w:rPr>
        <w:t xml:space="preserve">1. </w:t>
      </w:r>
      <w:r w:rsidRPr="00012C3F">
        <w:rPr>
          <w:spacing w:val="-3"/>
          <w:sz w:val="16"/>
          <w:szCs w:val="16"/>
          <w:lang w:val="en-US"/>
        </w:rPr>
        <w:t>Every person has the right to have his physical, mental, and moral integrity respected</w:t>
      </w:r>
      <w:r w:rsidRPr="00012C3F">
        <w:rPr>
          <w:sz w:val="16"/>
          <w:szCs w:val="16"/>
          <w:lang w:val="en-US"/>
        </w:rPr>
        <w:t>.</w:t>
      </w:r>
    </w:p>
    <w:p w14:paraId="4C6616B3" w14:textId="77777777" w:rsidR="00D24EFE" w:rsidRPr="00012C3F" w:rsidRDefault="00D24EFE" w:rsidP="005B52E1">
      <w:pPr>
        <w:pStyle w:val="Textonotapie"/>
        <w:tabs>
          <w:tab w:val="left" w:pos="567"/>
        </w:tabs>
        <w:spacing w:after="120"/>
        <w:ind w:left="708"/>
        <w:rPr>
          <w:sz w:val="16"/>
          <w:szCs w:val="16"/>
          <w:lang w:val="en-US"/>
        </w:rPr>
      </w:pPr>
      <w:r w:rsidRPr="00012C3F">
        <w:rPr>
          <w:sz w:val="16"/>
          <w:szCs w:val="16"/>
          <w:lang w:val="en-US"/>
        </w:rPr>
        <w:t xml:space="preserve">2. </w:t>
      </w:r>
      <w:r w:rsidRPr="00012C3F">
        <w:rPr>
          <w:spacing w:val="-3"/>
          <w:sz w:val="16"/>
          <w:szCs w:val="16"/>
          <w:lang w:val="en-US"/>
        </w:rPr>
        <w:t>No one shall be subjected to torture or to cruel, inhuman, or degrading punishment or treatment.  All persons deprived of their liberty shall be treated with respect for the inherent dignity of the human person</w:t>
      </w:r>
      <w:r w:rsidRPr="00012C3F">
        <w:rPr>
          <w:sz w:val="16"/>
          <w:szCs w:val="16"/>
          <w:lang w:val="en-US"/>
        </w:rPr>
        <w:t>.</w:t>
      </w:r>
    </w:p>
  </w:footnote>
  <w:footnote w:id="340">
    <w:p w14:paraId="0381A82C" w14:textId="77777777" w:rsidR="00D24EFE" w:rsidRPr="00012C3F" w:rsidRDefault="00D24EFE" w:rsidP="005B52E1">
      <w:pPr>
        <w:pStyle w:val="Textonotapie"/>
        <w:tabs>
          <w:tab w:val="left" w:pos="567"/>
          <w:tab w:val="left" w:pos="709"/>
        </w:tabs>
        <w:spacing w:after="120"/>
        <w:rPr>
          <w:sz w:val="16"/>
          <w:szCs w:val="16"/>
          <w:lang w:val="en-US"/>
        </w:rPr>
      </w:pPr>
      <w:r w:rsidRPr="00012C3F">
        <w:rPr>
          <w:rStyle w:val="Refdenotaalpie"/>
          <w:rFonts w:eastAsia="Calibri"/>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UN, Report of the Special Rapporteur on torture and other cruel, inhuman or degrading treatment or punishment, Juan E. Méndez, A/HRC/22/53, February 1, 2013 (evidence file, volume VIII, annex 24 to the brief with motions, pleadings and evidence, folios 2412 to 2437).</w:t>
      </w:r>
    </w:p>
  </w:footnote>
  <w:footnote w:id="341">
    <w:p w14:paraId="201D5CFA" w14:textId="77777777" w:rsidR="00D24EFE" w:rsidRPr="00012C3F" w:rsidRDefault="00D24EFE" w:rsidP="005B52E1">
      <w:pPr>
        <w:pStyle w:val="Textonotapie"/>
        <w:tabs>
          <w:tab w:val="left" w:pos="567"/>
          <w:tab w:val="left" w:pos="709"/>
        </w:tabs>
        <w:spacing w:after="120"/>
        <w:rPr>
          <w:sz w:val="16"/>
          <w:szCs w:val="16"/>
          <w:lang w:val="en-US"/>
        </w:rPr>
      </w:pPr>
      <w:r w:rsidRPr="00012C3F">
        <w:rPr>
          <w:rStyle w:val="Refdenotaalpie"/>
          <w:rFonts w:eastAsia="Calibri"/>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color w:val="000000" w:themeColor="text1"/>
          <w:sz w:val="16"/>
          <w:szCs w:val="16"/>
          <w:lang w:val="en-US"/>
        </w:rPr>
        <w:t>UN, Report of the Special Rapporteur on violence against women, its causes and consequences</w:t>
      </w:r>
      <w:r w:rsidRPr="00012C3F">
        <w:rPr>
          <w:bCs/>
          <w:sz w:val="16"/>
          <w:szCs w:val="16"/>
          <w:lang w:val="en-US"/>
        </w:rPr>
        <w:t>, Ms. Radhika</w:t>
      </w:r>
      <w:r w:rsidRPr="00012C3F">
        <w:rPr>
          <w:rFonts w:cs="Courier New"/>
          <w:color w:val="000000" w:themeColor="text1"/>
          <w:sz w:val="16"/>
          <w:szCs w:val="16"/>
          <w:lang w:val="en-US"/>
        </w:rPr>
        <w:t xml:space="preserve"> Coomaraswamy</w:t>
      </w:r>
      <w:r w:rsidRPr="00012C3F">
        <w:rPr>
          <w:bCs/>
          <w:sz w:val="16"/>
          <w:szCs w:val="16"/>
          <w:lang w:val="en-US"/>
        </w:rPr>
        <w:t xml:space="preserve">, </w:t>
      </w:r>
      <w:r w:rsidRPr="00012C3F">
        <w:rPr>
          <w:bCs/>
          <w:i/>
          <w:sz w:val="16"/>
          <w:szCs w:val="16"/>
          <w:lang w:val="en-US"/>
        </w:rPr>
        <w:t xml:space="preserve">Policies and practices that impact women’s reproductive rights and contribute to, cause or constitute violence against women, </w:t>
      </w:r>
      <w:r w:rsidRPr="00012C3F">
        <w:rPr>
          <w:bCs/>
          <w:sz w:val="16"/>
          <w:szCs w:val="16"/>
          <w:lang w:val="en-US"/>
        </w:rPr>
        <w:t>E/CN.4/1999/68/Add.4, January 21, 1999</w:t>
      </w:r>
      <w:r w:rsidRPr="00012C3F">
        <w:rPr>
          <w:sz w:val="16"/>
          <w:szCs w:val="16"/>
          <w:lang w:val="en-US"/>
        </w:rPr>
        <w:t xml:space="preserve">, para. 44; Report of the Special Rapporteur on torture and other cruel, inhuman or degrading treatment or punishment, Juan E. Méndez, A/HRC/22/53, February 1, 2013, para. 15, and Committee against Torture, General Comment No. 2, </w:t>
      </w:r>
      <w:r w:rsidRPr="00012C3F">
        <w:rPr>
          <w:i/>
          <w:sz w:val="16"/>
          <w:szCs w:val="16"/>
          <w:lang w:val="en-US"/>
        </w:rPr>
        <w:t>Application of Article 2 by the States Parties</w:t>
      </w:r>
      <w:r w:rsidRPr="00012C3F">
        <w:rPr>
          <w:sz w:val="16"/>
          <w:szCs w:val="16"/>
          <w:lang w:val="en-US"/>
        </w:rPr>
        <w:t>, January 24, 2008, para. 15.</w:t>
      </w:r>
    </w:p>
  </w:footnote>
  <w:footnote w:id="342">
    <w:p w14:paraId="2184B71E"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UN, Report of the Special Rapporteur on torture and other cruel, inhuman or degrading treatment or punishment, Juan E. Méndez, A/HRC/31/57, January 5, 2016, paras. 5 and 9.</w:t>
      </w:r>
    </w:p>
  </w:footnote>
  <w:footnote w:id="343">
    <w:p w14:paraId="7B71BAA2" w14:textId="77777777" w:rsidR="00D24EFE" w:rsidRPr="00012C3F" w:rsidRDefault="00D24EFE" w:rsidP="005B52E1">
      <w:pPr>
        <w:pStyle w:val="Textonotapie"/>
        <w:tabs>
          <w:tab w:val="left" w:pos="567"/>
          <w:tab w:val="left" w:pos="709"/>
        </w:tabs>
        <w:spacing w:after="120"/>
        <w:rPr>
          <w:i/>
          <w:sz w:val="16"/>
          <w:szCs w:val="16"/>
          <w:lang w:val="en-US"/>
        </w:rPr>
      </w:pPr>
      <w:r w:rsidRPr="00012C3F">
        <w:rPr>
          <w:rStyle w:val="Refdenotaalpie"/>
          <w:rFonts w:eastAsia="Calibri"/>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rFonts w:eastAsia="Times"/>
          <w:i/>
          <w:sz w:val="16"/>
          <w:szCs w:val="16"/>
          <w:lang w:val="en-US"/>
        </w:rPr>
        <w:t>Case of Ximenes Lopes v. Brazil, supra</w:t>
      </w:r>
      <w:r w:rsidRPr="00012C3F">
        <w:rPr>
          <w:rFonts w:eastAsia="Times"/>
          <w:sz w:val="16"/>
          <w:szCs w:val="16"/>
          <w:lang w:val="en-US"/>
        </w:rPr>
        <w:t>, paras. 106 and 107.</w:t>
      </w:r>
    </w:p>
  </w:footnote>
  <w:footnote w:id="344">
    <w:p w14:paraId="5511D6A8" w14:textId="77777777" w:rsidR="00D24EFE" w:rsidRPr="00D24EFE" w:rsidRDefault="00D24EFE" w:rsidP="005B52E1">
      <w:pPr>
        <w:pStyle w:val="Textonotapie"/>
        <w:tabs>
          <w:tab w:val="left" w:pos="567"/>
          <w:tab w:val="left" w:pos="709"/>
        </w:tabs>
        <w:spacing w:after="120"/>
        <w:rPr>
          <w:i/>
          <w:sz w:val="16"/>
          <w:szCs w:val="16"/>
          <w:lang w:val="es-CR"/>
        </w:rPr>
      </w:pPr>
      <w:r w:rsidRPr="00012C3F">
        <w:rPr>
          <w:rStyle w:val="Refdenotaalpie"/>
          <w:rFonts w:eastAsia="Calibri"/>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rFonts w:eastAsia="Times"/>
          <w:i/>
          <w:sz w:val="16"/>
          <w:szCs w:val="16"/>
          <w:lang w:val="en-US"/>
        </w:rPr>
        <w:t>Case of Ximenes Lopes v. Brazil, supra</w:t>
      </w:r>
      <w:r w:rsidRPr="00012C3F">
        <w:rPr>
          <w:rFonts w:eastAsia="Times"/>
          <w:sz w:val="16"/>
          <w:szCs w:val="16"/>
          <w:lang w:val="en-US"/>
        </w:rPr>
        <w:t xml:space="preserve">, para. </w:t>
      </w:r>
      <w:r w:rsidRPr="00D24EFE">
        <w:rPr>
          <w:rFonts w:eastAsia="Times"/>
          <w:sz w:val="16"/>
          <w:szCs w:val="16"/>
          <w:lang w:val="es-CR"/>
        </w:rPr>
        <w:t>106.</w:t>
      </w:r>
    </w:p>
  </w:footnote>
  <w:footnote w:id="345">
    <w:p w14:paraId="2864C3F9" w14:textId="77777777" w:rsidR="00D24EFE" w:rsidRPr="00012C3F" w:rsidRDefault="00D24EFE" w:rsidP="005B52E1">
      <w:pPr>
        <w:pStyle w:val="Textonotapie"/>
        <w:tabs>
          <w:tab w:val="left" w:pos="567"/>
          <w:tab w:val="left" w:pos="709"/>
        </w:tabs>
        <w:spacing w:after="120"/>
        <w:rPr>
          <w:sz w:val="16"/>
          <w:szCs w:val="16"/>
          <w:lang w:val="en-US"/>
        </w:rPr>
      </w:pPr>
      <w:r w:rsidRPr="00012C3F">
        <w:rPr>
          <w:rStyle w:val="Refdenotaalpie"/>
          <w:rFonts w:eastAsia="Calibri"/>
          <w:sz w:val="16"/>
          <w:szCs w:val="16"/>
          <w:lang w:val="en-US"/>
        </w:rPr>
        <w:footnoteRef/>
      </w:r>
      <w:r w:rsidRPr="00D24EFE">
        <w:rPr>
          <w:sz w:val="16"/>
          <w:szCs w:val="16"/>
          <w:lang w:val="es-CR"/>
        </w:rPr>
        <w:t xml:space="preserve"> </w:t>
      </w:r>
      <w:r w:rsidRPr="00D24EFE">
        <w:rPr>
          <w:sz w:val="16"/>
          <w:szCs w:val="16"/>
          <w:lang w:val="es-CR"/>
        </w:rPr>
        <w:tab/>
      </w:r>
      <w:r w:rsidRPr="00D24EFE">
        <w:rPr>
          <w:i/>
          <w:sz w:val="16"/>
          <w:szCs w:val="16"/>
          <w:lang w:val="es-CR"/>
        </w:rPr>
        <w:t>Cf. Case of Tibi v. Ecuador, supra</w:t>
      </w:r>
      <w:r w:rsidRPr="00D24EFE">
        <w:rPr>
          <w:sz w:val="16"/>
          <w:szCs w:val="16"/>
          <w:lang w:val="es-CR"/>
        </w:rPr>
        <w:t xml:space="preserve">, paras. </w:t>
      </w:r>
      <w:r w:rsidRPr="00012C3F">
        <w:rPr>
          <w:sz w:val="16"/>
          <w:szCs w:val="16"/>
          <w:lang w:val="en-US"/>
        </w:rPr>
        <w:t xml:space="preserve">152 to 156; </w:t>
      </w:r>
      <w:r w:rsidRPr="00012C3F">
        <w:rPr>
          <w:i/>
          <w:sz w:val="16"/>
          <w:szCs w:val="16"/>
          <w:lang w:val="en-US"/>
        </w:rPr>
        <w:t>Case of Montero Aranguren et al. (Retén de Catia) v. Venezuela. Merits reparations and costs</w:t>
      </w:r>
      <w:r w:rsidRPr="00012C3F">
        <w:rPr>
          <w:sz w:val="16"/>
          <w:szCs w:val="16"/>
          <w:lang w:val="en-US"/>
        </w:rPr>
        <w:t xml:space="preserve">. Judgment of July 5, 2006. Series C No. 150, para. 102, and </w:t>
      </w:r>
      <w:r w:rsidRPr="00012C3F">
        <w:rPr>
          <w:i/>
          <w:sz w:val="16"/>
          <w:szCs w:val="16"/>
          <w:lang w:val="en-US"/>
        </w:rPr>
        <w:t>Case of Díaz Peña v. Venezuela. Preliminary objection, merits, reparations and costs</w:t>
      </w:r>
      <w:r w:rsidRPr="00012C3F">
        <w:rPr>
          <w:sz w:val="16"/>
          <w:szCs w:val="16"/>
          <w:lang w:val="en-US"/>
        </w:rPr>
        <w:t>. Judgment of June 26, 2012. Series C No. 244, para. 137.</w:t>
      </w:r>
    </w:p>
  </w:footnote>
  <w:footnote w:id="346">
    <w:p w14:paraId="3CBEF23C" w14:textId="77777777" w:rsidR="00D24EFE" w:rsidRPr="00012C3F" w:rsidRDefault="00D24EFE" w:rsidP="005B52E1">
      <w:pPr>
        <w:pStyle w:val="Textonotapie"/>
        <w:tabs>
          <w:tab w:val="left" w:pos="567"/>
          <w:tab w:val="left" w:pos="709"/>
        </w:tabs>
        <w:spacing w:after="120"/>
        <w:rPr>
          <w:sz w:val="16"/>
          <w:szCs w:val="16"/>
          <w:lang w:val="en-US"/>
        </w:rPr>
      </w:pPr>
      <w:r w:rsidRPr="00012C3F">
        <w:rPr>
          <w:rStyle w:val="Refdenotaalpie"/>
          <w:rFonts w:eastAsia="Calibri"/>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 xml:space="preserve">UN, Committee against Torture, General Comment No. 2, </w:t>
      </w:r>
      <w:r w:rsidRPr="00012C3F">
        <w:rPr>
          <w:i/>
          <w:sz w:val="16"/>
          <w:szCs w:val="16"/>
          <w:lang w:val="en-US"/>
        </w:rPr>
        <w:t>Application of Article 2 by the States Parties</w:t>
      </w:r>
      <w:r w:rsidRPr="00012C3F">
        <w:rPr>
          <w:sz w:val="16"/>
          <w:szCs w:val="16"/>
          <w:lang w:val="en-US"/>
        </w:rPr>
        <w:t>, January 24, 2008, para. 22.</w:t>
      </w:r>
    </w:p>
  </w:footnote>
  <w:footnote w:id="347">
    <w:p w14:paraId="045FCC48" w14:textId="77777777" w:rsidR="00D24EFE" w:rsidRPr="00012C3F" w:rsidRDefault="00D24EFE" w:rsidP="005B52E1">
      <w:pPr>
        <w:pStyle w:val="Textonotapie"/>
        <w:tabs>
          <w:tab w:val="left" w:pos="567"/>
          <w:tab w:val="left" w:pos="709"/>
        </w:tabs>
        <w:spacing w:after="120"/>
        <w:rPr>
          <w:sz w:val="16"/>
          <w:szCs w:val="16"/>
          <w:lang w:val="en-US"/>
        </w:rPr>
      </w:pPr>
      <w:r w:rsidRPr="00012C3F">
        <w:rPr>
          <w:rStyle w:val="Refdenotaalpie"/>
          <w:rFonts w:eastAsia="Calibri"/>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 xml:space="preserve">UN, Committee for the Elimination of Discrimination against Women, General Recommendation No. 19, </w:t>
      </w:r>
      <w:r w:rsidRPr="00012C3F">
        <w:rPr>
          <w:i/>
          <w:sz w:val="16"/>
          <w:szCs w:val="16"/>
          <w:lang w:val="en-US"/>
        </w:rPr>
        <w:t>Violence against women</w:t>
      </w:r>
      <w:r w:rsidRPr="00012C3F">
        <w:rPr>
          <w:sz w:val="16"/>
          <w:szCs w:val="16"/>
          <w:lang w:val="en-US"/>
        </w:rPr>
        <w:t>, 1992, para. 22.</w:t>
      </w:r>
    </w:p>
  </w:footnote>
  <w:footnote w:id="348">
    <w:p w14:paraId="6A2C8985" w14:textId="77777777" w:rsidR="00D24EFE" w:rsidRPr="00012C3F" w:rsidRDefault="00D24EFE" w:rsidP="005B52E1">
      <w:pPr>
        <w:pStyle w:val="Textonotapie"/>
        <w:tabs>
          <w:tab w:val="left" w:pos="567"/>
          <w:tab w:val="left" w:pos="709"/>
        </w:tabs>
        <w:spacing w:after="120"/>
        <w:rPr>
          <w:sz w:val="16"/>
          <w:szCs w:val="16"/>
          <w:lang w:val="en-US"/>
        </w:rPr>
      </w:pPr>
      <w:r w:rsidRPr="00012C3F">
        <w:rPr>
          <w:rStyle w:val="Refdenotaalpie"/>
          <w:rFonts w:eastAsia="Calibri"/>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 xml:space="preserve">ECHR, </w:t>
      </w:r>
      <w:r w:rsidRPr="00012C3F">
        <w:rPr>
          <w:rFonts w:cs="Arial"/>
          <w:i/>
          <w:sz w:val="16"/>
          <w:szCs w:val="16"/>
          <w:lang w:val="en-US" w:eastAsia="es-CR"/>
        </w:rPr>
        <w:t>Case of</w:t>
      </w:r>
      <w:r w:rsidRPr="00012C3F">
        <w:rPr>
          <w:rFonts w:cs="Arial"/>
          <w:sz w:val="16"/>
          <w:szCs w:val="16"/>
          <w:lang w:val="en-US" w:eastAsia="es-CR"/>
        </w:rPr>
        <w:t xml:space="preserve"> </w:t>
      </w:r>
      <w:r w:rsidRPr="00012C3F">
        <w:rPr>
          <w:i/>
          <w:sz w:val="16"/>
          <w:szCs w:val="16"/>
          <w:lang w:val="en-US"/>
        </w:rPr>
        <w:t>V.C. v. Slovakia</w:t>
      </w:r>
      <w:r w:rsidRPr="00012C3F">
        <w:rPr>
          <w:sz w:val="16"/>
          <w:szCs w:val="16"/>
          <w:lang w:val="en-US"/>
        </w:rPr>
        <w:t xml:space="preserve">, No. 18968/07. Judgment of November 8, 2011, para. 118; </w:t>
      </w:r>
      <w:r w:rsidRPr="00012C3F">
        <w:rPr>
          <w:i/>
          <w:sz w:val="16"/>
          <w:szCs w:val="16"/>
          <w:lang w:val="en-US"/>
        </w:rPr>
        <w:t>Case of N.B. v. Slovakia</w:t>
      </w:r>
      <w:r w:rsidRPr="00012C3F">
        <w:rPr>
          <w:sz w:val="16"/>
          <w:szCs w:val="16"/>
          <w:lang w:val="en-US"/>
        </w:rPr>
        <w:t xml:space="preserve">, No. 29518/10. Judgment of June 12, 2012, para. 80, and </w:t>
      </w:r>
      <w:r w:rsidRPr="00012C3F">
        <w:rPr>
          <w:i/>
          <w:sz w:val="16"/>
          <w:szCs w:val="16"/>
          <w:lang w:val="en-US"/>
        </w:rPr>
        <w:t>Case of I.G., M.K. and R.H. v. Slovakia</w:t>
      </w:r>
      <w:r w:rsidRPr="00012C3F">
        <w:rPr>
          <w:sz w:val="16"/>
          <w:szCs w:val="16"/>
          <w:lang w:val="en-US"/>
        </w:rPr>
        <w:t>, No. 15966/04. Judgment of November 13, 2012, para. 123 (evidence file, volume VIII, annexes 26, 27 and 28 to the brief with motions, pleadings and evidence, folios 2474 to 2577).</w:t>
      </w:r>
    </w:p>
  </w:footnote>
  <w:footnote w:id="349">
    <w:p w14:paraId="49A4A954" w14:textId="77777777" w:rsidR="00D24EFE" w:rsidRPr="00012C3F" w:rsidRDefault="00D24EFE" w:rsidP="00CF77B3">
      <w:pPr>
        <w:tabs>
          <w:tab w:val="left" w:pos="426"/>
          <w:tab w:val="left" w:pos="567"/>
          <w:tab w:val="left" w:pos="709"/>
        </w:tabs>
        <w:spacing w:after="120" w:line="240" w:lineRule="auto"/>
        <w:rPr>
          <w:i/>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 Case of Loayza Tamayo v. Peru</w:t>
      </w:r>
      <w:r w:rsidRPr="00012C3F">
        <w:rPr>
          <w:sz w:val="16"/>
          <w:szCs w:val="16"/>
          <w:lang w:val="en-US"/>
        </w:rPr>
        <w:t xml:space="preserve">. </w:t>
      </w:r>
      <w:r w:rsidRPr="00D24EFE">
        <w:rPr>
          <w:i/>
          <w:sz w:val="16"/>
          <w:szCs w:val="16"/>
        </w:rPr>
        <w:t>Merits</w:t>
      </w:r>
      <w:r w:rsidRPr="00D24EFE">
        <w:rPr>
          <w:sz w:val="16"/>
          <w:szCs w:val="16"/>
        </w:rPr>
        <w:t xml:space="preserve">, </w:t>
      </w:r>
      <w:r w:rsidRPr="00D24EFE">
        <w:rPr>
          <w:i/>
          <w:sz w:val="16"/>
          <w:szCs w:val="16"/>
        </w:rPr>
        <w:t xml:space="preserve">supra, </w:t>
      </w:r>
      <w:r w:rsidRPr="00D24EFE">
        <w:rPr>
          <w:sz w:val="16"/>
          <w:szCs w:val="16"/>
        </w:rPr>
        <w:t xml:space="preserve">paras. 57 and 58, and </w:t>
      </w:r>
      <w:r w:rsidRPr="00D24EFE">
        <w:rPr>
          <w:i/>
          <w:sz w:val="16"/>
          <w:szCs w:val="16"/>
        </w:rPr>
        <w:t>Case of Herrera Espinoza et al. v. Ecuador, supra</w:t>
      </w:r>
      <w:r w:rsidRPr="00D24EFE">
        <w:rPr>
          <w:sz w:val="16"/>
          <w:szCs w:val="16"/>
        </w:rPr>
        <w:t xml:space="preserve">, para. </w:t>
      </w:r>
      <w:r w:rsidRPr="00012C3F">
        <w:rPr>
          <w:sz w:val="16"/>
          <w:szCs w:val="16"/>
          <w:lang w:val="en-US"/>
        </w:rPr>
        <w:t>87.</w:t>
      </w:r>
    </w:p>
  </w:footnote>
  <w:footnote w:id="350">
    <w:p w14:paraId="4D00D893" w14:textId="77777777" w:rsidR="00D24EFE" w:rsidRPr="00012C3F" w:rsidRDefault="00D24EFE" w:rsidP="005B52E1">
      <w:pPr>
        <w:pStyle w:val="Textonotapie"/>
        <w:tabs>
          <w:tab w:val="left" w:pos="426"/>
          <w:tab w:val="left" w:pos="567"/>
          <w:tab w:val="left" w:pos="709"/>
        </w:tabs>
        <w:spacing w:after="120"/>
        <w:rPr>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 Case of Ximenes Lopes v. Brazil, supra</w:t>
      </w:r>
      <w:r w:rsidRPr="00012C3F">
        <w:rPr>
          <w:sz w:val="16"/>
          <w:szCs w:val="16"/>
          <w:lang w:val="en-US"/>
        </w:rPr>
        <w:t xml:space="preserve">, para. 127, and </w:t>
      </w:r>
      <w:r w:rsidRPr="00012C3F">
        <w:rPr>
          <w:rFonts w:cs="Courier New"/>
          <w:i/>
          <w:noProof/>
          <w:sz w:val="16"/>
          <w:szCs w:val="16"/>
          <w:lang w:val="en-US"/>
        </w:rPr>
        <w:t>Case of Quispialaya Vilcapoma v. Peru. Preliminary objections, merits, reparations and costs.</w:t>
      </w:r>
      <w:r w:rsidRPr="00012C3F">
        <w:rPr>
          <w:rFonts w:cs="Courier New"/>
          <w:noProof/>
          <w:sz w:val="16"/>
          <w:szCs w:val="16"/>
          <w:lang w:val="en-US"/>
        </w:rPr>
        <w:t xml:space="preserve"> Judgment of November 23, 2015. Series C No. 308, para. 127</w:t>
      </w:r>
      <w:r w:rsidRPr="00012C3F">
        <w:rPr>
          <w:sz w:val="16"/>
          <w:szCs w:val="16"/>
          <w:lang w:val="en-US"/>
        </w:rPr>
        <w:t>.</w:t>
      </w:r>
    </w:p>
  </w:footnote>
  <w:footnote w:id="351">
    <w:p w14:paraId="3481702C" w14:textId="77777777" w:rsidR="00D24EFE" w:rsidRPr="00012C3F" w:rsidRDefault="00D24EFE" w:rsidP="005B52E1">
      <w:pPr>
        <w:tabs>
          <w:tab w:val="left" w:pos="567"/>
        </w:tabs>
        <w:spacing w:after="120" w:line="240" w:lineRule="auto"/>
        <w:rPr>
          <w:sz w:val="16"/>
          <w:szCs w:val="16"/>
          <w:lang w:val="en-US"/>
        </w:rPr>
      </w:pPr>
      <w:r w:rsidRPr="00012C3F">
        <w:rPr>
          <w:rStyle w:val="Refdenotaalpie"/>
          <w:rFonts w:eastAsia="Calibri"/>
          <w:sz w:val="16"/>
          <w:szCs w:val="16"/>
          <w:lang w:val="en-US"/>
        </w:rPr>
        <w:footnoteRef/>
      </w:r>
      <w:r w:rsidRPr="00012C3F">
        <w:rPr>
          <w:sz w:val="16"/>
          <w:szCs w:val="16"/>
          <w:lang w:val="en-US"/>
        </w:rPr>
        <w:t xml:space="preserve"> </w:t>
      </w:r>
      <w:r w:rsidRPr="00012C3F">
        <w:rPr>
          <w:sz w:val="16"/>
          <w:szCs w:val="16"/>
          <w:lang w:val="en-US"/>
        </w:rPr>
        <w:tab/>
        <w:t xml:space="preserve">The endogenous factors refer to the characteristics of the treatment (duration, method used, way in which the suffering was inflicted, and the physical and mental effects that this may cause), while the exogenous factors refer to the conditions of the person who undergoes such suffering (age, sex, health situation, as well as any other personal circumstances). </w:t>
      </w:r>
      <w:r w:rsidRPr="00012C3F">
        <w:rPr>
          <w:i/>
          <w:sz w:val="16"/>
          <w:szCs w:val="16"/>
          <w:lang w:val="en-US"/>
        </w:rPr>
        <w:t>Cf.</w:t>
      </w:r>
      <w:r w:rsidRPr="00012C3F">
        <w:rPr>
          <w:sz w:val="16"/>
          <w:szCs w:val="16"/>
          <w:lang w:val="en-US"/>
        </w:rPr>
        <w:t xml:space="preserve"> </w:t>
      </w:r>
      <w:r w:rsidRPr="00012C3F">
        <w:rPr>
          <w:rStyle w:val="Textoennegrita"/>
          <w:rFonts w:eastAsia="Calibri"/>
          <w:b w:val="0"/>
          <w:i/>
          <w:color w:val="000000"/>
          <w:sz w:val="16"/>
          <w:szCs w:val="16"/>
          <w:shd w:val="clear" w:color="auto" w:fill="FFFFFF"/>
          <w:lang w:val="en-US"/>
        </w:rPr>
        <w:t>Case of Bueno Alves v. Argentina. Merits reparations and costs.</w:t>
      </w:r>
      <w:r w:rsidRPr="00012C3F">
        <w:rPr>
          <w:rStyle w:val="Textoennegrita"/>
          <w:rFonts w:eastAsia="Calibri"/>
          <w:b w:val="0"/>
          <w:color w:val="000000"/>
          <w:sz w:val="16"/>
          <w:szCs w:val="16"/>
          <w:shd w:val="clear" w:color="auto" w:fill="FFFFFF"/>
          <w:lang w:val="en-US"/>
        </w:rPr>
        <w:t xml:space="preserve"> Judgment of May 11, 2007. Series C No. 164, para. 83, and </w:t>
      </w:r>
      <w:r w:rsidRPr="00012C3F">
        <w:rPr>
          <w:i/>
          <w:sz w:val="16"/>
          <w:szCs w:val="16"/>
          <w:lang w:val="en-US"/>
        </w:rPr>
        <w:t>Case of Norín Catrimán et al. (Leaders, members and activist of the Mapuche Indigenous People) v. Chile, supra</w:t>
      </w:r>
      <w:r w:rsidRPr="00012C3F">
        <w:rPr>
          <w:sz w:val="16"/>
          <w:szCs w:val="16"/>
          <w:lang w:val="en-US"/>
        </w:rPr>
        <w:t>, para. 388</w:t>
      </w:r>
      <w:r w:rsidRPr="00012C3F">
        <w:rPr>
          <w:rStyle w:val="Textoennegrita"/>
          <w:rFonts w:eastAsia="Calibri"/>
          <w:b w:val="0"/>
          <w:color w:val="000000"/>
          <w:sz w:val="16"/>
          <w:szCs w:val="16"/>
          <w:shd w:val="clear" w:color="auto" w:fill="FFFFFF"/>
          <w:lang w:val="en-US"/>
        </w:rPr>
        <w:t>.</w:t>
      </w:r>
    </w:p>
  </w:footnote>
  <w:footnote w:id="352">
    <w:p w14:paraId="64B9099F"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Calibri"/>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Intravaginal gynecological ultrasound scan of August 14, 2000 (evidence file, volume VII, annex 11 to the submission of the case, folio 2150); Laboratory of Pathology and Cytology Report of August 17, 2000 (evidence file, volume VII, annex 12 to the submission of the case, folio 2152); Intravaginal gynecological ultrasound scan report of August 23, 2000 (evidence file, volume VII, annex 13 to the submission of the case, folio 2154), and Medical certificate signed on September 3, 2000 (evidence file, volume VII, annex 14 to the submission of the case, folio 2156).</w:t>
      </w:r>
    </w:p>
  </w:footnote>
  <w:footnote w:id="353">
    <w:p w14:paraId="29B2F719"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Calibri"/>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Institute of Therapy and Research on the Aftereffects of State Torture and Violence (ITEI), Psychological examination of I.V. of August 11, 2015 (evidence file, volume VIII, annex 21 to the brief with motions, pleadings and evidence, folios 2374, 2377 and 2379), and Affidavit prepared by Emma Bolshia Bravo Cladera on April 21, 2016 (evidence file, volume XI, affidavits, folios 3923 to 3928).</w:t>
      </w:r>
    </w:p>
  </w:footnote>
  <w:footnote w:id="354">
    <w:p w14:paraId="51BE47DB" w14:textId="77777777" w:rsidR="00D24EFE" w:rsidRPr="00012C3F" w:rsidRDefault="00D24EFE" w:rsidP="00D02595">
      <w:pPr>
        <w:pStyle w:val="Textonotapie"/>
        <w:tabs>
          <w:tab w:val="left" w:pos="567"/>
        </w:tabs>
        <w:spacing w:after="120"/>
        <w:rPr>
          <w:sz w:val="16"/>
          <w:szCs w:val="16"/>
          <w:lang w:val="en-US"/>
        </w:rPr>
      </w:pPr>
      <w:r w:rsidRPr="00012C3F">
        <w:rPr>
          <w:rStyle w:val="Refdenotaalpie"/>
          <w:rFonts w:eastAsia="Calibri"/>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Institute of Therapy and Research on the Aftereffects of State Torture and Violence (ITEI), Psychological examination of I.V. of August 11, 2015 (evidence file, volume VIII, annex 21 to the brief with motions, pleadings and evidence, folio 2379).</w:t>
      </w:r>
    </w:p>
  </w:footnote>
  <w:footnote w:id="355">
    <w:p w14:paraId="0BD78B3B"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Calibri"/>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ITEI, Psychological evaluation of N.V. of August 3, 2015 (evidence file, volume VIII, annex 22 to the brief with motions, pleadings and evidence, folios 2386 to 2397); ITEI, Psychological evaluation of L.A. of July 28, 2015 (evidence file, volume VIII, annex 23 to the brief with motions, pleadings and evidence, folios 2399 to 2410); Affidavit prepared by N.V. on April 22, 2016 (evidence file, volume XI, affidavits, folios 3910 to 3918), and Affidavit prepared by Andre Alois Frederic Gautier on April 21, 2016 (evidence file, volume XI, affidavits, folios 3919 to 3922).</w:t>
      </w:r>
    </w:p>
  </w:footnote>
  <w:footnote w:id="356">
    <w:p w14:paraId="670514C6"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Calibri"/>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Affidavit prepared by Emma Bolshia Bravo Cladera on April 21, 2016 (evidence file, volume XI, affidavits, folios 3923 to 3928).</w:t>
      </w:r>
    </w:p>
  </w:footnote>
  <w:footnote w:id="357">
    <w:p w14:paraId="48FACE90"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Calibri"/>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Affidavit prepared by Emma Bolshia Bravo Cladera on April 21, 2016 (evidence file, volume XI, affidavits, folios 3923 to 3928).</w:t>
      </w:r>
    </w:p>
  </w:footnote>
  <w:footnote w:id="358">
    <w:p w14:paraId="58D353F6"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Calibri"/>
          <w:sz w:val="16"/>
          <w:szCs w:val="16"/>
          <w:lang w:val="en-US"/>
        </w:rPr>
        <w:footnoteRef/>
      </w:r>
      <w:r w:rsidRPr="00012C3F">
        <w:rPr>
          <w:sz w:val="16"/>
          <w:szCs w:val="16"/>
          <w:lang w:val="en-US"/>
        </w:rPr>
        <w:t xml:space="preserve"> </w:t>
      </w:r>
      <w:r w:rsidRPr="00012C3F">
        <w:rPr>
          <w:sz w:val="16"/>
          <w:szCs w:val="16"/>
          <w:lang w:val="en-US"/>
        </w:rPr>
        <w:tab/>
        <w:t>Statement made by I.V. before the Inter-American Court during the public hearing held on May 2, 2016.</w:t>
      </w:r>
    </w:p>
  </w:footnote>
  <w:footnote w:id="359">
    <w:p w14:paraId="3E48E28D"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Calibri"/>
          <w:sz w:val="16"/>
          <w:szCs w:val="16"/>
          <w:lang w:val="en-US"/>
        </w:rPr>
        <w:footnoteRef/>
      </w:r>
      <w:r w:rsidRPr="00012C3F">
        <w:rPr>
          <w:sz w:val="16"/>
          <w:szCs w:val="16"/>
          <w:lang w:val="en-US"/>
        </w:rPr>
        <w:t xml:space="preserve"> </w:t>
      </w:r>
      <w:r w:rsidRPr="00012C3F">
        <w:rPr>
          <w:sz w:val="16"/>
          <w:szCs w:val="16"/>
          <w:lang w:val="en-US"/>
        </w:rPr>
        <w:tab/>
        <w:t xml:space="preserve">Statement made by I.V. before the Inter-American Court during the public hearing held on May 2, 2016. </w:t>
      </w:r>
    </w:p>
  </w:footnote>
  <w:footnote w:id="360">
    <w:p w14:paraId="0D28216E" w14:textId="77777777" w:rsidR="00D24EFE" w:rsidRPr="00012C3F" w:rsidRDefault="00D24EFE" w:rsidP="00E46719">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Article 8(1), stipulates that “[e]</w:t>
      </w:r>
      <w:r w:rsidRPr="00012C3F">
        <w:rPr>
          <w:spacing w:val="-3"/>
          <w:sz w:val="16"/>
          <w:szCs w:val="16"/>
          <w:lang w:val="en-US"/>
        </w:rPr>
        <w:t>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r w:rsidRPr="00012C3F">
        <w:rPr>
          <w:sz w:val="16"/>
          <w:szCs w:val="16"/>
          <w:lang w:val="en-US"/>
        </w:rPr>
        <w:t>.</w:t>
      </w:r>
    </w:p>
  </w:footnote>
  <w:footnote w:id="361">
    <w:p w14:paraId="57972325"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The relevant part of Article 25 establishes that:</w:t>
      </w:r>
    </w:p>
    <w:p w14:paraId="5C2C2665" w14:textId="77777777" w:rsidR="00D24EFE" w:rsidRPr="00012C3F" w:rsidRDefault="00D24EFE" w:rsidP="00E46719">
      <w:pPr>
        <w:pStyle w:val="Textonotapie"/>
        <w:tabs>
          <w:tab w:val="left" w:pos="567"/>
        </w:tabs>
        <w:spacing w:after="120"/>
        <w:ind w:left="567"/>
        <w:rPr>
          <w:sz w:val="16"/>
          <w:szCs w:val="16"/>
          <w:lang w:val="en-US"/>
        </w:rPr>
      </w:pPr>
      <w:r w:rsidRPr="00012C3F">
        <w:rPr>
          <w:sz w:val="16"/>
          <w:szCs w:val="16"/>
          <w:lang w:val="en-US"/>
        </w:rPr>
        <w:t xml:space="preserve">1. </w:t>
      </w:r>
      <w:r w:rsidRPr="00012C3F">
        <w:rPr>
          <w:spacing w:val="-3"/>
          <w:sz w:val="16"/>
          <w:szCs w:val="16"/>
          <w:lang w:val="en-US"/>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sidRPr="00012C3F">
        <w:rPr>
          <w:sz w:val="16"/>
          <w:szCs w:val="16"/>
          <w:lang w:val="en-US"/>
        </w:rPr>
        <w:t>.</w:t>
      </w:r>
    </w:p>
    <w:p w14:paraId="24C9D65F" w14:textId="77777777" w:rsidR="00D24EFE" w:rsidRPr="00012C3F" w:rsidRDefault="00D24EFE" w:rsidP="00E46719">
      <w:pPr>
        <w:tabs>
          <w:tab w:val="left" w:pos="1080"/>
          <w:tab w:val="left" w:pos="1680"/>
          <w:tab w:val="left" w:pos="5400"/>
        </w:tabs>
        <w:suppressAutoHyphens/>
        <w:spacing w:after="120" w:line="240" w:lineRule="auto"/>
        <w:ind w:left="540"/>
        <w:rPr>
          <w:spacing w:val="-3"/>
          <w:sz w:val="16"/>
          <w:szCs w:val="16"/>
          <w:lang w:val="en-US"/>
        </w:rPr>
      </w:pPr>
      <w:r w:rsidRPr="00012C3F">
        <w:rPr>
          <w:sz w:val="16"/>
          <w:szCs w:val="16"/>
          <w:lang w:val="en-US"/>
        </w:rPr>
        <w:t xml:space="preserve">2. Los </w:t>
      </w:r>
      <w:bookmarkStart w:id="163" w:name="_Hlk26030224"/>
      <w:r w:rsidRPr="00012C3F">
        <w:rPr>
          <w:spacing w:val="-3"/>
          <w:sz w:val="16"/>
          <w:szCs w:val="16"/>
          <w:lang w:val="en-US"/>
        </w:rPr>
        <w:t>The States Parties undertake: to ensure that any person claiming such remedy shall have his rights determined by the competent authority provided for by the legal system of the State.”</w:t>
      </w:r>
      <w:bookmarkEnd w:id="163"/>
    </w:p>
  </w:footnote>
  <w:footnote w:id="362">
    <w:p w14:paraId="6E31C0A4" w14:textId="77777777" w:rsidR="00D24EFE" w:rsidRPr="00012C3F" w:rsidRDefault="00D24EFE" w:rsidP="001B5224">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The relevant part of Article 7 of the Convention of Belém do Pará stipulates that: “[t]</w:t>
      </w:r>
      <w:r w:rsidRPr="00012C3F">
        <w:rPr>
          <w:rFonts w:cs="Arial"/>
          <w:sz w:val="16"/>
          <w:szCs w:val="16"/>
          <w:lang w:val="en-US"/>
        </w:rPr>
        <w:t>he States Parties condemn all forms of violence against women and agree to pursue, by all appropriate means and without delay, policies to prevent, punish and eradicate such violence and undertake to</w:t>
      </w:r>
      <w:r w:rsidRPr="00012C3F">
        <w:rPr>
          <w:sz w:val="16"/>
          <w:szCs w:val="16"/>
          <w:lang w:val="en-US"/>
        </w:rPr>
        <w:t>:</w:t>
      </w:r>
    </w:p>
    <w:p w14:paraId="05B85462" w14:textId="77777777" w:rsidR="00D24EFE" w:rsidRPr="00012C3F" w:rsidRDefault="00D24EFE" w:rsidP="005B52E1">
      <w:pPr>
        <w:pStyle w:val="Textonotapie"/>
        <w:tabs>
          <w:tab w:val="left" w:pos="567"/>
        </w:tabs>
        <w:spacing w:after="120"/>
        <w:ind w:left="567"/>
        <w:rPr>
          <w:sz w:val="16"/>
          <w:szCs w:val="16"/>
          <w:lang w:val="en-US"/>
        </w:rPr>
      </w:pPr>
      <w:r w:rsidRPr="00012C3F">
        <w:rPr>
          <w:sz w:val="16"/>
          <w:szCs w:val="16"/>
          <w:lang w:val="en-US"/>
        </w:rPr>
        <w:t>[…]</w:t>
      </w:r>
    </w:p>
    <w:p w14:paraId="0B89F05F" w14:textId="77777777" w:rsidR="00D24EFE" w:rsidRPr="00012C3F" w:rsidRDefault="00D24EFE" w:rsidP="005B52E1">
      <w:pPr>
        <w:pStyle w:val="Textonotapie"/>
        <w:tabs>
          <w:tab w:val="left" w:pos="567"/>
        </w:tabs>
        <w:spacing w:after="120"/>
        <w:ind w:left="567"/>
        <w:rPr>
          <w:sz w:val="16"/>
          <w:szCs w:val="16"/>
          <w:lang w:val="en-US"/>
        </w:rPr>
      </w:pPr>
      <w:r w:rsidRPr="00012C3F">
        <w:rPr>
          <w:sz w:val="16"/>
          <w:szCs w:val="16"/>
          <w:lang w:val="en-US"/>
        </w:rPr>
        <w:t xml:space="preserve">b. </w:t>
      </w:r>
      <w:r w:rsidRPr="00012C3F">
        <w:rPr>
          <w:rFonts w:cs="Arial"/>
          <w:sz w:val="16"/>
          <w:szCs w:val="16"/>
          <w:lang w:val="en-US"/>
        </w:rPr>
        <w:t>apply due diligence to prevent, investigate and impose penalties for violence against women</w:t>
      </w:r>
      <w:r w:rsidRPr="00012C3F">
        <w:rPr>
          <w:sz w:val="16"/>
          <w:szCs w:val="16"/>
          <w:lang w:val="en-US"/>
        </w:rPr>
        <w:t>;</w:t>
      </w:r>
    </w:p>
    <w:p w14:paraId="45D72BE7" w14:textId="77777777" w:rsidR="00D24EFE" w:rsidRPr="00012C3F" w:rsidRDefault="00D24EFE" w:rsidP="005B52E1">
      <w:pPr>
        <w:pStyle w:val="Textonotapie"/>
        <w:tabs>
          <w:tab w:val="left" w:pos="567"/>
        </w:tabs>
        <w:spacing w:after="120"/>
        <w:ind w:left="567"/>
        <w:rPr>
          <w:sz w:val="16"/>
          <w:szCs w:val="16"/>
          <w:lang w:val="en-US"/>
        </w:rPr>
      </w:pPr>
      <w:r w:rsidRPr="00012C3F">
        <w:rPr>
          <w:sz w:val="16"/>
          <w:szCs w:val="16"/>
          <w:lang w:val="en-US"/>
        </w:rPr>
        <w:t xml:space="preserve">c. </w:t>
      </w:r>
      <w:r w:rsidRPr="00012C3F">
        <w:rPr>
          <w:rFonts w:cs="Arial"/>
          <w:sz w:val="16"/>
          <w:szCs w:val="16"/>
          <w:lang w:val="en-US"/>
        </w:rPr>
        <w:t>include in their domestic legislation penal, civil, administrative and any other type of provisions that may be needed to prevent, punish and eradicate violence against women and to adopt appropriate administrative measures where necessary</w:t>
      </w:r>
      <w:r w:rsidRPr="00012C3F">
        <w:rPr>
          <w:sz w:val="16"/>
          <w:szCs w:val="16"/>
          <w:lang w:val="en-US"/>
        </w:rPr>
        <w:t>;</w:t>
      </w:r>
    </w:p>
    <w:p w14:paraId="6ABC0A04" w14:textId="77777777" w:rsidR="00D24EFE" w:rsidRPr="00012C3F" w:rsidRDefault="00D24EFE" w:rsidP="005B52E1">
      <w:pPr>
        <w:pStyle w:val="Textonotapie"/>
        <w:tabs>
          <w:tab w:val="left" w:pos="567"/>
        </w:tabs>
        <w:spacing w:after="120"/>
        <w:ind w:left="567"/>
        <w:rPr>
          <w:sz w:val="16"/>
          <w:szCs w:val="16"/>
          <w:lang w:val="en-US"/>
        </w:rPr>
      </w:pPr>
      <w:r w:rsidRPr="00012C3F">
        <w:rPr>
          <w:sz w:val="16"/>
          <w:szCs w:val="16"/>
          <w:lang w:val="en-US"/>
        </w:rPr>
        <w:t>[…]</w:t>
      </w:r>
    </w:p>
    <w:p w14:paraId="4AD93822" w14:textId="77777777" w:rsidR="00D24EFE" w:rsidRPr="00012C3F" w:rsidRDefault="00D24EFE" w:rsidP="005B52E1">
      <w:pPr>
        <w:pStyle w:val="Textonotapie"/>
        <w:tabs>
          <w:tab w:val="left" w:pos="567"/>
        </w:tabs>
        <w:spacing w:after="120"/>
        <w:ind w:left="567"/>
        <w:rPr>
          <w:sz w:val="16"/>
          <w:szCs w:val="16"/>
          <w:lang w:val="en-US"/>
        </w:rPr>
      </w:pPr>
      <w:r w:rsidRPr="00012C3F">
        <w:rPr>
          <w:sz w:val="16"/>
          <w:szCs w:val="16"/>
          <w:lang w:val="en-US"/>
        </w:rPr>
        <w:t xml:space="preserve">f. </w:t>
      </w:r>
      <w:r w:rsidRPr="00012C3F">
        <w:rPr>
          <w:rFonts w:cs="Arial"/>
          <w:sz w:val="16"/>
          <w:szCs w:val="16"/>
          <w:lang w:val="en-US"/>
        </w:rPr>
        <w:t>establish fair and effective legal procedures for women who have been subjected to violence which include, among others, protective measures, a timely hearing and effective access to such procedures</w:t>
      </w:r>
      <w:r w:rsidRPr="00012C3F">
        <w:rPr>
          <w:sz w:val="16"/>
          <w:szCs w:val="16"/>
          <w:lang w:val="en-US"/>
        </w:rPr>
        <w:t>;</w:t>
      </w:r>
    </w:p>
    <w:p w14:paraId="0A4B53C9" w14:textId="77777777" w:rsidR="00D24EFE" w:rsidRPr="00012C3F" w:rsidRDefault="00D24EFE" w:rsidP="005B52E1">
      <w:pPr>
        <w:pStyle w:val="Textonotapie"/>
        <w:tabs>
          <w:tab w:val="left" w:pos="567"/>
        </w:tabs>
        <w:spacing w:after="120"/>
        <w:ind w:left="567"/>
        <w:rPr>
          <w:sz w:val="16"/>
          <w:szCs w:val="16"/>
          <w:lang w:val="en-US"/>
        </w:rPr>
      </w:pPr>
      <w:r w:rsidRPr="00012C3F">
        <w:rPr>
          <w:sz w:val="16"/>
          <w:szCs w:val="16"/>
          <w:lang w:val="en-US"/>
        </w:rPr>
        <w:t xml:space="preserve">g. </w:t>
      </w:r>
      <w:r w:rsidRPr="00012C3F">
        <w:rPr>
          <w:rFonts w:cs="Arial"/>
          <w:sz w:val="16"/>
          <w:szCs w:val="16"/>
          <w:lang w:val="en-US"/>
        </w:rPr>
        <w:t>establish the necessary legal and administrative mechanisms to ensure that women subjected to violence have effective access to restitution, reparations or other just and effective remedies</w:t>
      </w:r>
      <w:r w:rsidRPr="00012C3F">
        <w:rPr>
          <w:sz w:val="16"/>
          <w:szCs w:val="16"/>
          <w:lang w:val="en-US"/>
        </w:rPr>
        <w:t>.</w:t>
      </w:r>
    </w:p>
  </w:footnote>
  <w:footnote w:id="363">
    <w:p w14:paraId="06D9FAEC"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iCs/>
          <w:sz w:val="16"/>
          <w:szCs w:val="16"/>
          <w:lang w:val="en-US"/>
        </w:rPr>
        <w:t>Cf. Case of Nadege Dorzema et al. v. Dominican Republic. Merits reparations and costs</w:t>
      </w:r>
      <w:r w:rsidRPr="00012C3F">
        <w:rPr>
          <w:sz w:val="16"/>
          <w:szCs w:val="16"/>
          <w:lang w:val="en-US"/>
        </w:rPr>
        <w:t xml:space="preserve">. Judgment of October 24, 2012. Series C No. 251, paras. 19 and 22, and </w:t>
      </w:r>
      <w:r w:rsidRPr="00012C3F">
        <w:rPr>
          <w:i/>
          <w:sz w:val="16"/>
          <w:szCs w:val="16"/>
          <w:lang w:val="en-US"/>
        </w:rPr>
        <w:t>Case of J. v. Peru. Preliminary objection, merits, reparations and costs.</w:t>
      </w:r>
      <w:r w:rsidRPr="00012C3F">
        <w:rPr>
          <w:sz w:val="16"/>
          <w:szCs w:val="16"/>
          <w:lang w:val="en-US"/>
        </w:rPr>
        <w:t xml:space="preserve"> Judgment of November 27, 2013. Series C No. 275, para. 34.</w:t>
      </w:r>
    </w:p>
  </w:footnote>
  <w:footnote w:id="364">
    <w:p w14:paraId="737BEC59" w14:textId="77777777" w:rsidR="00D24EFE" w:rsidRPr="00012C3F" w:rsidRDefault="00D24EFE" w:rsidP="00657616">
      <w:pPr>
        <w:tabs>
          <w:tab w:val="left" w:pos="567"/>
          <w:tab w:val="left" w:pos="720"/>
        </w:tabs>
        <w:spacing w:after="120" w:line="240" w:lineRule="auto"/>
        <w:rPr>
          <w:rFonts w:cs="Verdana"/>
          <w:bCs/>
          <w:i/>
          <w:iCs/>
          <w:snapToGrid w:val="0"/>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rFonts w:eastAsia="MS Mincho"/>
          <w:i/>
          <w:sz w:val="16"/>
          <w:szCs w:val="16"/>
          <w:lang w:val="en-US"/>
        </w:rPr>
        <w:t xml:space="preserve">Case of </w:t>
      </w:r>
      <w:r w:rsidRPr="00012C3F">
        <w:rPr>
          <w:i/>
          <w:sz w:val="16"/>
          <w:szCs w:val="16"/>
          <w:lang w:val="en-US"/>
        </w:rPr>
        <w:t>Cabrera García and Montiel Flores v. Mexico. Preliminary objection, merits, reparations and costs</w:t>
      </w:r>
      <w:r w:rsidRPr="00012C3F">
        <w:rPr>
          <w:sz w:val="16"/>
          <w:szCs w:val="16"/>
          <w:lang w:val="en-US"/>
        </w:rPr>
        <w:t xml:space="preserve">. Judgment of November 26, 2010. Series C No. 220, para. 16, and </w:t>
      </w:r>
      <w:r w:rsidRPr="00012C3F">
        <w:rPr>
          <w:i/>
          <w:sz w:val="16"/>
          <w:szCs w:val="16"/>
          <w:lang w:val="en-US"/>
        </w:rPr>
        <w:t>Case of Herrera Espinoza et al. v. Ecuador, supra</w:t>
      </w:r>
      <w:r w:rsidRPr="00012C3F">
        <w:rPr>
          <w:sz w:val="16"/>
          <w:szCs w:val="16"/>
          <w:lang w:val="en-US"/>
        </w:rPr>
        <w:t>,</w:t>
      </w:r>
      <w:r w:rsidRPr="00012C3F">
        <w:rPr>
          <w:rFonts w:cs="Courier New"/>
          <w:noProof/>
          <w:sz w:val="16"/>
          <w:szCs w:val="16"/>
          <w:lang w:val="en-US"/>
        </w:rPr>
        <w:t xml:space="preserve"> </w:t>
      </w:r>
      <w:r w:rsidRPr="00012C3F">
        <w:rPr>
          <w:rFonts w:cs="Verdana"/>
          <w:bCs/>
          <w:snapToGrid w:val="0"/>
          <w:sz w:val="16"/>
          <w:szCs w:val="16"/>
          <w:lang w:val="en-US"/>
        </w:rPr>
        <w:t>para. 173.</w:t>
      </w:r>
    </w:p>
  </w:footnote>
  <w:footnote w:id="365">
    <w:p w14:paraId="74271082" w14:textId="77777777" w:rsidR="00D24EFE" w:rsidRPr="00012C3F" w:rsidRDefault="00D24EFE" w:rsidP="005B52E1">
      <w:pPr>
        <w:pStyle w:val="Textonotapie"/>
        <w:tabs>
          <w:tab w:val="left" w:pos="567"/>
        </w:tabs>
        <w:spacing w:after="120"/>
        <w:ind w:right="-90"/>
        <w:rPr>
          <w:sz w:val="16"/>
          <w:szCs w:val="16"/>
          <w:lang w:val="en-US"/>
        </w:rPr>
      </w:pPr>
      <w:r w:rsidRPr="00012C3F">
        <w:rPr>
          <w:sz w:val="16"/>
          <w:szCs w:val="16"/>
          <w:vertAlign w:val="superscript"/>
          <w:lang w:val="en-US"/>
        </w:rPr>
        <w:footnoteRef/>
      </w:r>
      <w:r w:rsidRPr="00012C3F">
        <w:rPr>
          <w:sz w:val="16"/>
          <w:szCs w:val="16"/>
          <w:lang w:val="en-US"/>
        </w:rPr>
        <w:tab/>
      </w:r>
      <w:r w:rsidRPr="00012C3F">
        <w:rPr>
          <w:i/>
          <w:sz w:val="16"/>
          <w:szCs w:val="16"/>
          <w:lang w:val="en-US"/>
        </w:rPr>
        <w:t>Cf. Case of Cabrera García and Montiel Flores v. Mexico</w:t>
      </w:r>
      <w:r w:rsidRPr="00012C3F">
        <w:rPr>
          <w:sz w:val="16"/>
          <w:szCs w:val="16"/>
          <w:lang w:val="en-US"/>
        </w:rPr>
        <w:t xml:space="preserve">, </w:t>
      </w:r>
      <w:r w:rsidRPr="00012C3F">
        <w:rPr>
          <w:i/>
          <w:sz w:val="16"/>
          <w:szCs w:val="16"/>
          <w:lang w:val="en-US"/>
        </w:rPr>
        <w:t>supra</w:t>
      </w:r>
      <w:r w:rsidRPr="00012C3F">
        <w:rPr>
          <w:sz w:val="16"/>
          <w:szCs w:val="16"/>
          <w:lang w:val="en-US"/>
        </w:rPr>
        <w:t xml:space="preserve">, para. </w:t>
      </w:r>
      <w:r w:rsidRPr="00D24EFE">
        <w:rPr>
          <w:sz w:val="16"/>
          <w:szCs w:val="16"/>
          <w:lang w:val="es-CR"/>
        </w:rPr>
        <w:t xml:space="preserve">18, and </w:t>
      </w:r>
      <w:r w:rsidRPr="00D24EFE">
        <w:rPr>
          <w:rFonts w:cs="Courier New"/>
          <w:i/>
          <w:noProof/>
          <w:sz w:val="16"/>
          <w:szCs w:val="16"/>
          <w:lang w:val="es-CR"/>
        </w:rPr>
        <w:t>Case of García Ibarra et al. v. Ecuador, supra</w:t>
      </w:r>
      <w:r w:rsidRPr="00D24EFE">
        <w:rPr>
          <w:rFonts w:cs="Courier New"/>
          <w:noProof/>
          <w:sz w:val="16"/>
          <w:szCs w:val="16"/>
          <w:lang w:val="es-CR"/>
        </w:rPr>
        <w:t xml:space="preserve">, </w:t>
      </w:r>
      <w:r w:rsidRPr="00D24EFE">
        <w:rPr>
          <w:rFonts w:cs="Verdana"/>
          <w:bCs/>
          <w:snapToGrid w:val="0"/>
          <w:sz w:val="16"/>
          <w:szCs w:val="16"/>
          <w:lang w:val="es-CR"/>
        </w:rPr>
        <w:t xml:space="preserve">para. </w:t>
      </w:r>
      <w:r w:rsidRPr="00012C3F">
        <w:rPr>
          <w:sz w:val="16"/>
          <w:szCs w:val="16"/>
          <w:lang w:val="en-US"/>
        </w:rPr>
        <w:t>19.</w:t>
      </w:r>
    </w:p>
  </w:footnote>
  <w:footnote w:id="366">
    <w:p w14:paraId="19B146F0"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i/>
          <w:sz w:val="16"/>
          <w:szCs w:val="16"/>
          <w:lang w:val="en-US"/>
        </w:rPr>
        <w:t xml:space="preserve">Case of the “Street Children” (Villagrán Morales et al.) v. Guatemala. </w:t>
      </w:r>
      <w:r w:rsidRPr="00D24EFE">
        <w:rPr>
          <w:i/>
          <w:sz w:val="16"/>
          <w:szCs w:val="16"/>
          <w:lang w:val="es-CR"/>
        </w:rPr>
        <w:t>Merits, supra</w:t>
      </w:r>
      <w:r w:rsidRPr="00D24EFE">
        <w:rPr>
          <w:sz w:val="16"/>
          <w:szCs w:val="16"/>
          <w:lang w:val="es-CR"/>
        </w:rPr>
        <w:t xml:space="preserve">, para. 222, and </w:t>
      </w:r>
      <w:r w:rsidRPr="00D24EFE">
        <w:rPr>
          <w:i/>
          <w:sz w:val="16"/>
          <w:szCs w:val="16"/>
          <w:lang w:val="es-CR"/>
        </w:rPr>
        <w:t>Case of Herrera Espinoza et al. v. Ecuador, supra</w:t>
      </w:r>
      <w:r w:rsidRPr="00D24EFE">
        <w:rPr>
          <w:sz w:val="16"/>
          <w:szCs w:val="16"/>
          <w:lang w:val="es-CR"/>
        </w:rPr>
        <w:t>,</w:t>
      </w:r>
      <w:r w:rsidRPr="00D24EFE">
        <w:rPr>
          <w:rFonts w:cs="Courier New"/>
          <w:noProof/>
          <w:sz w:val="16"/>
          <w:szCs w:val="16"/>
          <w:lang w:val="es-CR"/>
        </w:rPr>
        <w:t xml:space="preserve"> </w:t>
      </w:r>
      <w:r w:rsidRPr="00D24EFE">
        <w:rPr>
          <w:rFonts w:cs="Verdana"/>
          <w:bCs/>
          <w:snapToGrid w:val="0"/>
          <w:sz w:val="16"/>
          <w:szCs w:val="16"/>
          <w:lang w:val="es-CR"/>
        </w:rPr>
        <w:t xml:space="preserve">para. </w:t>
      </w:r>
      <w:r w:rsidRPr="00012C3F">
        <w:rPr>
          <w:rFonts w:cs="Verdana"/>
          <w:bCs/>
          <w:snapToGrid w:val="0"/>
          <w:sz w:val="16"/>
          <w:szCs w:val="16"/>
          <w:lang w:val="en-US"/>
        </w:rPr>
        <w:t>173</w:t>
      </w:r>
      <w:r w:rsidRPr="00012C3F">
        <w:rPr>
          <w:sz w:val="16"/>
          <w:szCs w:val="16"/>
          <w:lang w:val="en-US"/>
        </w:rPr>
        <w:t>.</w:t>
      </w:r>
    </w:p>
  </w:footnote>
  <w:footnote w:id="367">
    <w:p w14:paraId="40FB1478" w14:textId="77777777" w:rsidR="00D24EFE" w:rsidRPr="00D24EFE" w:rsidRDefault="00D24EFE" w:rsidP="005B52E1">
      <w:pPr>
        <w:pStyle w:val="Textonotapie"/>
        <w:tabs>
          <w:tab w:val="left" w:pos="567"/>
        </w:tabs>
        <w:spacing w:after="120"/>
        <w:rPr>
          <w:sz w:val="16"/>
          <w:szCs w:val="16"/>
          <w:lang w:val="es-CR"/>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i/>
          <w:sz w:val="16"/>
          <w:szCs w:val="16"/>
          <w:lang w:val="en-US"/>
        </w:rPr>
        <w:t>Case of Bulacio v. Argentina. Merits reparations and costs</w:t>
      </w:r>
      <w:r w:rsidRPr="00012C3F">
        <w:rPr>
          <w:sz w:val="16"/>
          <w:szCs w:val="16"/>
          <w:lang w:val="en-US"/>
        </w:rPr>
        <w:t xml:space="preserve">. Judgment of September 18, 2003. Series C No. 100, para. 114, and </w:t>
      </w:r>
      <w:r w:rsidRPr="00012C3F">
        <w:rPr>
          <w:rFonts w:cs="Courier New"/>
          <w:i/>
          <w:noProof/>
          <w:sz w:val="16"/>
          <w:szCs w:val="16"/>
          <w:lang w:val="en-US"/>
        </w:rPr>
        <w:t>Case of Quispialaya Vilcapoma v. Peru, supra</w:t>
      </w:r>
      <w:r w:rsidRPr="00012C3F">
        <w:rPr>
          <w:rFonts w:cs="Courier New"/>
          <w:noProof/>
          <w:sz w:val="16"/>
          <w:szCs w:val="16"/>
          <w:lang w:val="en-US"/>
        </w:rPr>
        <w:t xml:space="preserve">, para. </w:t>
      </w:r>
      <w:r w:rsidRPr="00D24EFE">
        <w:rPr>
          <w:rFonts w:cs="Courier New"/>
          <w:noProof/>
          <w:sz w:val="16"/>
          <w:szCs w:val="16"/>
          <w:lang w:val="es-CR"/>
        </w:rPr>
        <w:t>161</w:t>
      </w:r>
      <w:r w:rsidRPr="00D24EFE">
        <w:rPr>
          <w:sz w:val="16"/>
          <w:szCs w:val="16"/>
          <w:lang w:val="es-CR"/>
        </w:rPr>
        <w:t>.</w:t>
      </w:r>
    </w:p>
  </w:footnote>
  <w:footnote w:id="368">
    <w:p w14:paraId="7B4D0AAB" w14:textId="77777777" w:rsidR="00D24EFE" w:rsidRPr="00D24EFE" w:rsidRDefault="00D24EFE" w:rsidP="005B52E1">
      <w:pPr>
        <w:pStyle w:val="Textonotapie"/>
        <w:tabs>
          <w:tab w:val="left" w:pos="567"/>
        </w:tabs>
        <w:spacing w:after="120"/>
        <w:rPr>
          <w:sz w:val="16"/>
          <w:szCs w:val="16"/>
          <w:lang w:val="es-CR"/>
        </w:rPr>
      </w:pPr>
      <w:r w:rsidRPr="00012C3F">
        <w:rPr>
          <w:rStyle w:val="Refdenotaalpie"/>
          <w:sz w:val="16"/>
          <w:szCs w:val="16"/>
          <w:lang w:val="en-US"/>
        </w:rPr>
        <w:footnoteRef/>
      </w:r>
      <w:r w:rsidRPr="00D24EFE">
        <w:rPr>
          <w:sz w:val="16"/>
          <w:szCs w:val="16"/>
          <w:lang w:val="es-CR"/>
        </w:rPr>
        <w:t xml:space="preserve"> </w:t>
      </w:r>
      <w:r w:rsidRPr="00D24EFE">
        <w:rPr>
          <w:sz w:val="16"/>
          <w:szCs w:val="16"/>
          <w:lang w:val="es-CR"/>
        </w:rPr>
        <w:tab/>
      </w:r>
      <w:r w:rsidRPr="00D24EFE">
        <w:rPr>
          <w:i/>
          <w:sz w:val="16"/>
          <w:szCs w:val="16"/>
          <w:lang w:val="es-CR"/>
        </w:rPr>
        <w:t>Cf. Case of Velásquez Rodríguez v. Honduras. Preliminary objections</w:t>
      </w:r>
      <w:r w:rsidRPr="00D24EFE">
        <w:rPr>
          <w:sz w:val="16"/>
          <w:szCs w:val="16"/>
          <w:lang w:val="es-CR"/>
        </w:rPr>
        <w:t xml:space="preserve">, </w:t>
      </w:r>
      <w:r w:rsidRPr="00D24EFE">
        <w:rPr>
          <w:i/>
          <w:sz w:val="16"/>
          <w:szCs w:val="16"/>
          <w:lang w:val="es-CR"/>
        </w:rPr>
        <w:t>supra</w:t>
      </w:r>
      <w:r w:rsidRPr="00D24EFE">
        <w:rPr>
          <w:sz w:val="16"/>
          <w:szCs w:val="16"/>
          <w:lang w:val="es-CR"/>
        </w:rPr>
        <w:t>,</w:t>
      </w:r>
      <w:r w:rsidRPr="00D24EFE">
        <w:rPr>
          <w:i/>
          <w:sz w:val="16"/>
          <w:szCs w:val="16"/>
          <w:lang w:val="es-CR"/>
        </w:rPr>
        <w:t xml:space="preserve"> </w:t>
      </w:r>
      <w:r w:rsidRPr="00D24EFE">
        <w:rPr>
          <w:sz w:val="16"/>
          <w:szCs w:val="16"/>
          <w:lang w:val="es-CR"/>
        </w:rPr>
        <w:t xml:space="preserve">para. 91, and </w:t>
      </w:r>
      <w:r w:rsidRPr="00D24EFE">
        <w:rPr>
          <w:i/>
          <w:sz w:val="16"/>
          <w:szCs w:val="16"/>
          <w:lang w:val="es-CR"/>
        </w:rPr>
        <w:t>Case of Herrera Espinoza et al. v. Ecuador, supra</w:t>
      </w:r>
      <w:r w:rsidRPr="00D24EFE">
        <w:rPr>
          <w:sz w:val="16"/>
          <w:szCs w:val="16"/>
          <w:lang w:val="es-CR"/>
        </w:rPr>
        <w:t>,</w:t>
      </w:r>
      <w:r w:rsidRPr="00D24EFE">
        <w:rPr>
          <w:rFonts w:cs="Courier New"/>
          <w:noProof/>
          <w:sz w:val="16"/>
          <w:szCs w:val="16"/>
          <w:lang w:val="es-CR"/>
        </w:rPr>
        <w:t xml:space="preserve"> </w:t>
      </w:r>
      <w:r w:rsidRPr="00D24EFE">
        <w:rPr>
          <w:rFonts w:cs="Verdana"/>
          <w:bCs/>
          <w:snapToGrid w:val="0"/>
          <w:sz w:val="16"/>
          <w:szCs w:val="16"/>
          <w:lang w:val="es-CR"/>
        </w:rPr>
        <w:t>paras. 174 and 175</w:t>
      </w:r>
      <w:r w:rsidRPr="00D24EFE">
        <w:rPr>
          <w:sz w:val="16"/>
          <w:szCs w:val="16"/>
          <w:lang w:val="es-CR"/>
        </w:rPr>
        <w:t>.</w:t>
      </w:r>
    </w:p>
  </w:footnote>
  <w:footnote w:id="369">
    <w:p w14:paraId="559F4279" w14:textId="77777777" w:rsidR="00D24EFE" w:rsidRPr="00012C3F" w:rsidRDefault="00D24EFE" w:rsidP="005B52E1">
      <w:pPr>
        <w:tabs>
          <w:tab w:val="left" w:pos="567"/>
        </w:tabs>
        <w:spacing w:after="120" w:line="240" w:lineRule="auto"/>
        <w:rPr>
          <w:bCs/>
          <w:sz w:val="16"/>
          <w:szCs w:val="16"/>
          <w:lang w:val="en-US"/>
        </w:rPr>
      </w:pPr>
      <w:r w:rsidRPr="00012C3F">
        <w:rPr>
          <w:rStyle w:val="Refdenotaalpie"/>
          <w:sz w:val="16"/>
          <w:szCs w:val="16"/>
          <w:lang w:val="en-US"/>
        </w:rPr>
        <w:footnoteRef/>
      </w:r>
      <w:r w:rsidRPr="00D24EFE">
        <w:rPr>
          <w:sz w:val="16"/>
          <w:szCs w:val="16"/>
        </w:rPr>
        <w:t xml:space="preserve"> </w:t>
      </w:r>
      <w:r w:rsidRPr="00D24EFE">
        <w:rPr>
          <w:sz w:val="16"/>
          <w:szCs w:val="16"/>
        </w:rPr>
        <w:tab/>
      </w:r>
      <w:r w:rsidRPr="00D24EFE">
        <w:rPr>
          <w:i/>
          <w:sz w:val="16"/>
          <w:szCs w:val="16"/>
        </w:rPr>
        <w:t>Cf.</w:t>
      </w:r>
      <w:r w:rsidRPr="00D24EFE">
        <w:rPr>
          <w:sz w:val="16"/>
          <w:szCs w:val="16"/>
        </w:rPr>
        <w:t xml:space="preserve"> </w:t>
      </w:r>
      <w:r w:rsidRPr="00D24EFE">
        <w:rPr>
          <w:bCs/>
          <w:i/>
          <w:sz w:val="16"/>
          <w:szCs w:val="16"/>
        </w:rPr>
        <w:t>Case of Velásquez Rodríguez v. Honduras. Preliminary objections, supra,</w:t>
      </w:r>
      <w:r w:rsidRPr="00D24EFE">
        <w:rPr>
          <w:bCs/>
          <w:sz w:val="16"/>
          <w:szCs w:val="16"/>
        </w:rPr>
        <w:t xml:space="preserve"> para. 91</w:t>
      </w:r>
      <w:r w:rsidRPr="00D24EFE">
        <w:rPr>
          <w:sz w:val="16"/>
          <w:szCs w:val="16"/>
        </w:rPr>
        <w:t xml:space="preserve">, and </w:t>
      </w:r>
      <w:r w:rsidRPr="00D24EFE">
        <w:rPr>
          <w:i/>
          <w:sz w:val="16"/>
          <w:szCs w:val="16"/>
        </w:rPr>
        <w:t>Case of Chinchilla Sandoval v. Guatemala, supra</w:t>
      </w:r>
      <w:r w:rsidRPr="00D24EFE">
        <w:rPr>
          <w:sz w:val="16"/>
          <w:szCs w:val="16"/>
        </w:rPr>
        <w:t xml:space="preserve">, para. </w:t>
      </w:r>
      <w:r w:rsidRPr="00012C3F">
        <w:rPr>
          <w:sz w:val="16"/>
          <w:szCs w:val="16"/>
          <w:lang w:val="en-US"/>
        </w:rPr>
        <w:t>233.</w:t>
      </w:r>
    </w:p>
  </w:footnote>
  <w:footnote w:id="370">
    <w:p w14:paraId="59C5FBA4" w14:textId="77777777" w:rsidR="00D24EFE" w:rsidRPr="00012C3F" w:rsidRDefault="00D24EFE" w:rsidP="005B52E1">
      <w:pPr>
        <w:tabs>
          <w:tab w:val="left" w:pos="567"/>
        </w:tabs>
        <w:spacing w:after="120" w:line="240" w:lineRule="auto"/>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Case of Velásquez Rodríguez v. Honduras</w:t>
      </w:r>
      <w:r w:rsidRPr="00012C3F">
        <w:rPr>
          <w:sz w:val="16"/>
          <w:szCs w:val="16"/>
          <w:lang w:val="en-US"/>
        </w:rPr>
        <w:t xml:space="preserve">. </w:t>
      </w:r>
      <w:r w:rsidRPr="00012C3F">
        <w:rPr>
          <w:i/>
          <w:sz w:val="16"/>
          <w:szCs w:val="16"/>
          <w:lang w:val="en-US"/>
        </w:rPr>
        <w:t>Merits</w:t>
      </w:r>
      <w:r w:rsidRPr="00012C3F">
        <w:rPr>
          <w:sz w:val="16"/>
          <w:szCs w:val="16"/>
          <w:lang w:val="en-US"/>
        </w:rPr>
        <w:t xml:space="preserve">, </w:t>
      </w:r>
      <w:r w:rsidRPr="00012C3F">
        <w:rPr>
          <w:i/>
          <w:sz w:val="16"/>
          <w:szCs w:val="16"/>
          <w:lang w:val="en-US"/>
        </w:rPr>
        <w:t>supra</w:t>
      </w:r>
      <w:r w:rsidRPr="00012C3F">
        <w:rPr>
          <w:sz w:val="16"/>
          <w:szCs w:val="16"/>
          <w:lang w:val="en-US"/>
        </w:rPr>
        <w:t>,</w:t>
      </w:r>
      <w:r w:rsidRPr="00012C3F">
        <w:rPr>
          <w:i/>
          <w:sz w:val="16"/>
          <w:szCs w:val="16"/>
          <w:lang w:val="en-US"/>
        </w:rPr>
        <w:t xml:space="preserve"> </w:t>
      </w:r>
      <w:r w:rsidRPr="00012C3F">
        <w:rPr>
          <w:sz w:val="16"/>
          <w:szCs w:val="16"/>
          <w:lang w:val="en-US"/>
        </w:rPr>
        <w:t xml:space="preserve">para. 66, and </w:t>
      </w:r>
      <w:r w:rsidRPr="00012C3F">
        <w:rPr>
          <w:rFonts w:cs="Courier New"/>
          <w:i/>
          <w:noProof/>
          <w:sz w:val="16"/>
          <w:szCs w:val="16"/>
          <w:lang w:val="en-US"/>
        </w:rPr>
        <w:t>Case of the Punta Piedra Garífuna Community and its members v. Honduras. Preliminary objections, merits, reparations and costs.</w:t>
      </w:r>
      <w:r w:rsidRPr="00012C3F">
        <w:rPr>
          <w:rFonts w:cs="Courier New"/>
          <w:noProof/>
          <w:sz w:val="16"/>
          <w:szCs w:val="16"/>
          <w:lang w:val="en-US"/>
        </w:rPr>
        <w:t xml:space="preserve"> Judgment of October 8, 2015. Series C No. 304, para. 241</w:t>
      </w:r>
      <w:r w:rsidRPr="00012C3F">
        <w:rPr>
          <w:sz w:val="16"/>
          <w:szCs w:val="16"/>
          <w:lang w:val="en-US"/>
        </w:rPr>
        <w:t>.</w:t>
      </w:r>
    </w:p>
  </w:footnote>
  <w:footnote w:id="371">
    <w:p w14:paraId="1B539AB2" w14:textId="77777777" w:rsidR="00D24EFE" w:rsidRPr="00012C3F" w:rsidRDefault="00D24EFE" w:rsidP="005B52E1">
      <w:pPr>
        <w:tabs>
          <w:tab w:val="left" w:pos="567"/>
        </w:tabs>
        <w:spacing w:after="120" w:line="240" w:lineRule="auto"/>
        <w:rPr>
          <w:sz w:val="16"/>
          <w:szCs w:val="16"/>
          <w:lang w:val="en-US"/>
        </w:rPr>
      </w:pPr>
      <w:r w:rsidRPr="00012C3F">
        <w:rPr>
          <w:sz w:val="16"/>
          <w:szCs w:val="16"/>
          <w:vertAlign w:val="superscript"/>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Case of the Saramaka People v. Suriname. Preliminary objections, merits, reparations and costs</w:t>
      </w:r>
      <w:r w:rsidRPr="00012C3F">
        <w:rPr>
          <w:sz w:val="16"/>
          <w:szCs w:val="16"/>
          <w:lang w:val="en-US"/>
        </w:rPr>
        <w:t xml:space="preserve">. Judgment of November 28, 2007. Series C No. 172, </w:t>
      </w:r>
      <w:r w:rsidRPr="00012C3F">
        <w:rPr>
          <w:rFonts w:cs="Arial"/>
          <w:sz w:val="16"/>
          <w:szCs w:val="16"/>
          <w:lang w:val="en-US"/>
        </w:rPr>
        <w:t xml:space="preserve">para. 177, and </w:t>
      </w:r>
      <w:r w:rsidRPr="00012C3F">
        <w:rPr>
          <w:rFonts w:cs="Courier New"/>
          <w:i/>
          <w:noProof/>
          <w:sz w:val="16"/>
          <w:szCs w:val="16"/>
          <w:lang w:val="en-US"/>
        </w:rPr>
        <w:t>Case of Ruano Torres et al. v. El Salvador. Merits reparations and costs.</w:t>
      </w:r>
      <w:r w:rsidRPr="00012C3F">
        <w:rPr>
          <w:rFonts w:cs="Courier New"/>
          <w:noProof/>
          <w:sz w:val="16"/>
          <w:szCs w:val="16"/>
          <w:lang w:val="en-US"/>
        </w:rPr>
        <w:t xml:space="preserve"> Judgment of October 5, 2015. Series C No. 303, para. 177</w:t>
      </w:r>
      <w:r w:rsidRPr="00012C3F">
        <w:rPr>
          <w:sz w:val="16"/>
          <w:szCs w:val="16"/>
          <w:lang w:val="en-US"/>
        </w:rPr>
        <w:t>.</w:t>
      </w:r>
    </w:p>
  </w:footnote>
  <w:footnote w:id="372">
    <w:p w14:paraId="71626984" w14:textId="77777777" w:rsidR="00D24EFE" w:rsidRPr="00012C3F" w:rsidRDefault="00D24EFE" w:rsidP="009C5B29">
      <w:pPr>
        <w:pStyle w:val="Sangradetextonormal"/>
        <w:tabs>
          <w:tab w:val="left" w:pos="0"/>
          <w:tab w:val="left" w:pos="567"/>
        </w:tabs>
        <w:ind w:left="0"/>
        <w:jc w:val="both"/>
        <w:outlineLvl w:val="2"/>
        <w:rPr>
          <w:rFonts w:ascii="Verdana" w:hAnsi="Verdana"/>
          <w:sz w:val="16"/>
          <w:szCs w:val="16"/>
          <w:lang w:val="en-US"/>
        </w:rPr>
      </w:pPr>
      <w:r w:rsidRPr="00012C3F">
        <w:rPr>
          <w:rStyle w:val="Refdenotaalpie"/>
          <w:rFonts w:ascii="Verdana" w:hAnsi="Verdana"/>
          <w:sz w:val="16"/>
          <w:szCs w:val="16"/>
          <w:lang w:val="en-US"/>
        </w:rPr>
        <w:footnoteRef/>
      </w:r>
      <w:r w:rsidRPr="00012C3F">
        <w:rPr>
          <w:rFonts w:ascii="Verdana" w:hAnsi="Verdana"/>
          <w:i/>
          <w:sz w:val="16"/>
          <w:szCs w:val="16"/>
          <w:lang w:val="en-US"/>
        </w:rPr>
        <w:t xml:space="preserve"> </w:t>
      </w:r>
      <w:r w:rsidRPr="00012C3F">
        <w:rPr>
          <w:rFonts w:ascii="Verdana" w:hAnsi="Verdana"/>
          <w:sz w:val="16"/>
          <w:szCs w:val="16"/>
          <w:lang w:val="en-US"/>
        </w:rPr>
        <w:tab/>
      </w:r>
      <w:r w:rsidRPr="00012C3F">
        <w:rPr>
          <w:rFonts w:ascii="Verdana" w:hAnsi="Verdana"/>
          <w:i/>
          <w:sz w:val="16"/>
          <w:szCs w:val="16"/>
          <w:lang w:val="en-US"/>
        </w:rPr>
        <w:t>Judicial Guarantees in States of Emergency (Arts. 27.2, 25 and 8 The American Convention on Human Rights)</w:t>
      </w:r>
      <w:r w:rsidRPr="00012C3F">
        <w:rPr>
          <w:rFonts w:ascii="Verdana" w:hAnsi="Verdana"/>
          <w:sz w:val="16"/>
          <w:szCs w:val="16"/>
          <w:lang w:val="en-US"/>
        </w:rPr>
        <w:t>. Advisory Opinion OC-9/87 of October 6, 1987. Series A No. 9, para.</w:t>
      </w:r>
      <w:r w:rsidRPr="00012C3F">
        <w:rPr>
          <w:rFonts w:ascii="Verdana" w:hAnsi="Verdana" w:cs="Arial"/>
          <w:sz w:val="16"/>
          <w:szCs w:val="16"/>
          <w:lang w:val="en-US"/>
        </w:rPr>
        <w:t xml:space="preserve"> 24, and </w:t>
      </w:r>
      <w:r w:rsidRPr="00012C3F">
        <w:rPr>
          <w:rFonts w:ascii="Verdana" w:hAnsi="Verdana" w:cs="Courier New"/>
          <w:i/>
          <w:noProof/>
          <w:sz w:val="16"/>
          <w:szCs w:val="16"/>
          <w:lang w:val="en-US"/>
        </w:rPr>
        <w:t>Case of the Kaliña and Lokono Peoples v. Suriname, supra</w:t>
      </w:r>
      <w:r w:rsidRPr="00012C3F">
        <w:rPr>
          <w:rFonts w:ascii="Verdana" w:hAnsi="Verdana"/>
          <w:sz w:val="16"/>
          <w:szCs w:val="16"/>
          <w:lang w:val="en-US"/>
        </w:rPr>
        <w:t>, para. 237.</w:t>
      </w:r>
    </w:p>
  </w:footnote>
  <w:footnote w:id="373">
    <w:p w14:paraId="6776D866" w14:textId="77777777" w:rsidR="00D24EFE" w:rsidRPr="00D24EFE" w:rsidRDefault="00D24EFE" w:rsidP="009C5B29">
      <w:pPr>
        <w:pStyle w:val="Textonotapie"/>
        <w:tabs>
          <w:tab w:val="left" w:pos="567"/>
        </w:tabs>
        <w:spacing w:after="120"/>
        <w:rPr>
          <w:sz w:val="16"/>
          <w:szCs w:val="16"/>
          <w:lang w:val="es-CR"/>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 Case of González et al. (“Cotton Field”) v. Mexico, supra</w:t>
      </w:r>
      <w:r w:rsidRPr="00012C3F">
        <w:rPr>
          <w:sz w:val="16"/>
          <w:szCs w:val="16"/>
          <w:lang w:val="en-US"/>
        </w:rPr>
        <w:t xml:space="preserve">, para. 258, and </w:t>
      </w:r>
      <w:r w:rsidRPr="00012C3F">
        <w:rPr>
          <w:rFonts w:cs="Courier New"/>
          <w:i/>
          <w:noProof/>
          <w:sz w:val="16"/>
          <w:szCs w:val="16"/>
          <w:lang w:val="en-US"/>
        </w:rPr>
        <w:t>Case of Velásquez Paiz et al. v. Guatemala, supra</w:t>
      </w:r>
      <w:r w:rsidRPr="00012C3F">
        <w:rPr>
          <w:rFonts w:cs="Courier New"/>
          <w:noProof/>
          <w:sz w:val="16"/>
          <w:szCs w:val="16"/>
          <w:lang w:val="en-US"/>
        </w:rPr>
        <w:t xml:space="preserve">, paras. </w:t>
      </w:r>
      <w:r w:rsidRPr="00D24EFE">
        <w:rPr>
          <w:rFonts w:cs="Courier New"/>
          <w:noProof/>
          <w:sz w:val="16"/>
          <w:szCs w:val="16"/>
          <w:lang w:val="es-CR"/>
        </w:rPr>
        <w:t>108 and 145</w:t>
      </w:r>
      <w:r w:rsidRPr="00D24EFE">
        <w:rPr>
          <w:sz w:val="16"/>
          <w:szCs w:val="16"/>
          <w:lang w:val="es-CR"/>
        </w:rPr>
        <w:t>.</w:t>
      </w:r>
    </w:p>
  </w:footnote>
  <w:footnote w:id="374">
    <w:p w14:paraId="5558AD2D" w14:textId="77777777" w:rsidR="00D24EFE" w:rsidRPr="00D24EFE" w:rsidRDefault="00D24EFE" w:rsidP="009C5B29">
      <w:pPr>
        <w:pStyle w:val="Textonotapie"/>
        <w:tabs>
          <w:tab w:val="left" w:pos="567"/>
        </w:tabs>
        <w:spacing w:after="120"/>
        <w:rPr>
          <w:sz w:val="16"/>
          <w:szCs w:val="16"/>
          <w:lang w:val="es-CR"/>
        </w:rPr>
      </w:pPr>
      <w:r w:rsidRPr="00012C3F">
        <w:rPr>
          <w:rStyle w:val="Refdenotaalpie"/>
          <w:sz w:val="16"/>
          <w:szCs w:val="16"/>
          <w:lang w:val="en-US"/>
        </w:rPr>
        <w:footnoteRef/>
      </w:r>
      <w:r w:rsidRPr="00D24EFE">
        <w:rPr>
          <w:sz w:val="16"/>
          <w:szCs w:val="16"/>
          <w:lang w:val="es-CR"/>
        </w:rPr>
        <w:t xml:space="preserve"> </w:t>
      </w:r>
      <w:r w:rsidRPr="00D24EFE">
        <w:rPr>
          <w:sz w:val="16"/>
          <w:szCs w:val="16"/>
          <w:lang w:val="es-CR"/>
        </w:rPr>
        <w:tab/>
      </w:r>
      <w:r w:rsidRPr="00D24EFE">
        <w:rPr>
          <w:i/>
          <w:sz w:val="16"/>
          <w:szCs w:val="16"/>
          <w:lang w:val="es-CR"/>
        </w:rPr>
        <w:t>Cf.</w:t>
      </w:r>
      <w:r w:rsidRPr="00D24EFE">
        <w:rPr>
          <w:sz w:val="16"/>
          <w:szCs w:val="16"/>
          <w:lang w:val="es-CR"/>
        </w:rPr>
        <w:t xml:space="preserve"> </w:t>
      </w:r>
      <w:r w:rsidRPr="00D24EFE">
        <w:rPr>
          <w:i/>
          <w:sz w:val="16"/>
          <w:szCs w:val="16"/>
          <w:lang w:val="es-CR"/>
        </w:rPr>
        <w:t>Case of</w:t>
      </w:r>
      <w:r w:rsidRPr="00D24EFE">
        <w:rPr>
          <w:sz w:val="16"/>
          <w:szCs w:val="16"/>
          <w:lang w:val="es-CR"/>
        </w:rPr>
        <w:t xml:space="preserve"> </w:t>
      </w:r>
      <w:r w:rsidRPr="00D24EFE">
        <w:rPr>
          <w:i/>
          <w:sz w:val="16"/>
          <w:szCs w:val="16"/>
          <w:lang w:val="es-CR"/>
        </w:rPr>
        <w:t>Fernández Ortega et al. v. Mexico, supra</w:t>
      </w:r>
      <w:r w:rsidRPr="00D24EFE">
        <w:rPr>
          <w:sz w:val="16"/>
          <w:szCs w:val="16"/>
          <w:lang w:val="es-CR"/>
        </w:rPr>
        <w:t xml:space="preserve">, para. 193, and </w:t>
      </w:r>
      <w:r w:rsidRPr="00D24EFE">
        <w:rPr>
          <w:rFonts w:cs="Courier New"/>
          <w:i/>
          <w:noProof/>
          <w:sz w:val="16"/>
          <w:szCs w:val="16"/>
          <w:lang w:val="es-CR"/>
        </w:rPr>
        <w:t>Case of Velásquez Paiz et al. v. Guatemala, supra</w:t>
      </w:r>
      <w:r w:rsidRPr="00D24EFE">
        <w:rPr>
          <w:rFonts w:cs="Courier New"/>
          <w:noProof/>
          <w:sz w:val="16"/>
          <w:szCs w:val="16"/>
          <w:lang w:val="es-CR"/>
        </w:rPr>
        <w:t>, para. 108</w:t>
      </w:r>
      <w:r w:rsidRPr="00D24EFE">
        <w:rPr>
          <w:sz w:val="16"/>
          <w:szCs w:val="16"/>
          <w:lang w:val="es-CR"/>
        </w:rPr>
        <w:t>.</w:t>
      </w:r>
    </w:p>
  </w:footnote>
  <w:footnote w:id="375">
    <w:p w14:paraId="45F8754F" w14:textId="77777777" w:rsidR="00D24EFE" w:rsidRPr="00012C3F" w:rsidRDefault="00D24EFE" w:rsidP="009C5B29">
      <w:pPr>
        <w:tabs>
          <w:tab w:val="left" w:pos="567"/>
        </w:tabs>
        <w:spacing w:after="120" w:line="240" w:lineRule="auto"/>
        <w:rPr>
          <w:rFonts w:eastAsiaTheme="minorHAnsi" w:cstheme="minorBidi"/>
          <w:bCs/>
          <w:sz w:val="16"/>
          <w:szCs w:val="16"/>
          <w:lang w:val="en-US" w:eastAsia="en-US"/>
        </w:rPr>
      </w:pPr>
      <w:r w:rsidRPr="00012C3F">
        <w:rPr>
          <w:rStyle w:val="Refdenotaalpie"/>
          <w:sz w:val="16"/>
          <w:szCs w:val="16"/>
          <w:lang w:val="en-US"/>
        </w:rPr>
        <w:footnoteRef/>
      </w:r>
      <w:r w:rsidRPr="00D24EFE">
        <w:rPr>
          <w:sz w:val="16"/>
          <w:szCs w:val="16"/>
        </w:rPr>
        <w:t xml:space="preserve"> </w:t>
      </w:r>
      <w:r w:rsidRPr="00D24EFE">
        <w:rPr>
          <w:sz w:val="16"/>
          <w:szCs w:val="16"/>
        </w:rPr>
        <w:tab/>
      </w:r>
      <w:r w:rsidRPr="00D24EFE">
        <w:rPr>
          <w:rFonts w:eastAsiaTheme="minorHAnsi" w:cstheme="minorBidi"/>
          <w:i/>
          <w:sz w:val="16"/>
          <w:szCs w:val="16"/>
          <w:lang w:eastAsia="en-US"/>
        </w:rPr>
        <w:t>Cf.</w:t>
      </w:r>
      <w:r w:rsidRPr="00D24EFE">
        <w:rPr>
          <w:rFonts w:eastAsiaTheme="minorHAnsi" w:cstheme="minorBidi"/>
          <w:sz w:val="16"/>
          <w:szCs w:val="16"/>
          <w:lang w:eastAsia="en-US"/>
        </w:rPr>
        <w:t xml:space="preserve"> </w:t>
      </w:r>
      <w:r w:rsidRPr="00D24EFE">
        <w:rPr>
          <w:rFonts w:eastAsiaTheme="minorHAnsi" w:cstheme="minorBidi"/>
          <w:i/>
          <w:sz w:val="16"/>
          <w:szCs w:val="16"/>
          <w:lang w:eastAsia="en-US"/>
        </w:rPr>
        <w:t>Case of the Miguel Castro Castro Prison v. Peru, supra</w:t>
      </w:r>
      <w:r w:rsidRPr="00D24EFE">
        <w:rPr>
          <w:rFonts w:eastAsiaTheme="minorHAnsi" w:cstheme="minorBidi"/>
          <w:sz w:val="16"/>
          <w:szCs w:val="16"/>
          <w:lang w:eastAsia="en-US"/>
        </w:rPr>
        <w:t xml:space="preserve">, para. 344; </w:t>
      </w:r>
      <w:r w:rsidRPr="00D24EFE">
        <w:rPr>
          <w:rFonts w:eastAsiaTheme="minorHAnsi" w:cstheme="minorBidi"/>
          <w:i/>
          <w:sz w:val="16"/>
          <w:szCs w:val="16"/>
          <w:lang w:eastAsia="en-US"/>
        </w:rPr>
        <w:t>Case of González et al. (“Cotton Field”) v. Mexico, supra</w:t>
      </w:r>
      <w:r w:rsidRPr="00D24EFE">
        <w:rPr>
          <w:rFonts w:eastAsiaTheme="minorHAnsi" w:cstheme="minorBidi"/>
          <w:sz w:val="16"/>
          <w:szCs w:val="16"/>
          <w:lang w:eastAsia="en-US"/>
        </w:rPr>
        <w:t xml:space="preserve">, para. 287; </w:t>
      </w:r>
      <w:r w:rsidRPr="00D24EFE">
        <w:rPr>
          <w:rFonts w:eastAsiaTheme="minorHAnsi" w:cstheme="minorBidi"/>
          <w:i/>
          <w:sz w:val="16"/>
          <w:szCs w:val="16"/>
          <w:lang w:eastAsia="en-US"/>
        </w:rPr>
        <w:t>Case of</w:t>
      </w:r>
      <w:r w:rsidRPr="00D24EFE">
        <w:rPr>
          <w:rFonts w:eastAsiaTheme="minorHAnsi" w:cstheme="minorBidi"/>
          <w:sz w:val="16"/>
          <w:szCs w:val="16"/>
          <w:lang w:eastAsia="en-US"/>
        </w:rPr>
        <w:t xml:space="preserve"> </w:t>
      </w:r>
      <w:r w:rsidRPr="00D24EFE">
        <w:rPr>
          <w:rFonts w:eastAsiaTheme="minorHAnsi" w:cstheme="minorBidi"/>
          <w:i/>
          <w:sz w:val="16"/>
          <w:szCs w:val="16"/>
          <w:lang w:eastAsia="en-US"/>
        </w:rPr>
        <w:t>Fernández Ortega et al. v. Mexico, supra</w:t>
      </w:r>
      <w:r w:rsidRPr="00D24EFE">
        <w:rPr>
          <w:rFonts w:eastAsiaTheme="minorHAnsi" w:cstheme="minorBidi"/>
          <w:sz w:val="16"/>
          <w:szCs w:val="16"/>
          <w:lang w:eastAsia="en-US"/>
        </w:rPr>
        <w:t xml:space="preserve">, para. 193; </w:t>
      </w:r>
      <w:r w:rsidRPr="00D24EFE">
        <w:rPr>
          <w:rFonts w:eastAsiaTheme="minorHAnsi" w:cstheme="minorBidi"/>
          <w:i/>
          <w:sz w:val="16"/>
          <w:szCs w:val="16"/>
          <w:lang w:eastAsia="en-US"/>
        </w:rPr>
        <w:t>Case of</w:t>
      </w:r>
      <w:r w:rsidRPr="00D24EFE">
        <w:rPr>
          <w:rFonts w:eastAsiaTheme="minorHAnsi" w:cstheme="minorBidi"/>
          <w:sz w:val="16"/>
          <w:szCs w:val="16"/>
          <w:lang w:eastAsia="en-US"/>
        </w:rPr>
        <w:t xml:space="preserve"> </w:t>
      </w:r>
      <w:r w:rsidRPr="00D24EFE">
        <w:rPr>
          <w:rFonts w:eastAsiaTheme="minorHAnsi" w:cstheme="minorBidi"/>
          <w:i/>
          <w:sz w:val="16"/>
          <w:szCs w:val="16"/>
          <w:lang w:eastAsia="en-US"/>
        </w:rPr>
        <w:t>Rosendo Cantú et al. v. Mexico, supra</w:t>
      </w:r>
      <w:r w:rsidRPr="00D24EFE">
        <w:rPr>
          <w:rFonts w:eastAsiaTheme="minorHAnsi" w:cstheme="minorBidi"/>
          <w:sz w:val="16"/>
          <w:szCs w:val="16"/>
          <w:lang w:eastAsia="en-US"/>
        </w:rPr>
        <w:t xml:space="preserve">, paras. 176 and 177; </w:t>
      </w:r>
      <w:r w:rsidRPr="00D24EFE">
        <w:rPr>
          <w:rFonts w:eastAsiaTheme="minorHAnsi" w:cstheme="minorBidi"/>
          <w:i/>
          <w:sz w:val="16"/>
          <w:szCs w:val="16"/>
          <w:lang w:eastAsia="en-US"/>
        </w:rPr>
        <w:t>Case of J. v. Peru, supra</w:t>
      </w:r>
      <w:r w:rsidRPr="00D24EFE">
        <w:rPr>
          <w:rFonts w:eastAsiaTheme="minorHAnsi" w:cstheme="minorBidi"/>
          <w:sz w:val="16"/>
          <w:szCs w:val="16"/>
          <w:lang w:eastAsia="en-US"/>
        </w:rPr>
        <w:t xml:space="preserve">, para. 350; </w:t>
      </w:r>
      <w:r w:rsidRPr="00D24EFE">
        <w:rPr>
          <w:rFonts w:eastAsiaTheme="minorHAnsi" w:cstheme="minorBidi"/>
          <w:i/>
          <w:sz w:val="16"/>
          <w:szCs w:val="16"/>
          <w:lang w:eastAsia="en-US"/>
        </w:rPr>
        <w:t>Case of Veliz Franco et al. v. Guatemala, supra</w:t>
      </w:r>
      <w:r w:rsidRPr="00D24EFE">
        <w:rPr>
          <w:rFonts w:eastAsiaTheme="minorHAnsi" w:cstheme="minorBidi"/>
          <w:sz w:val="16"/>
          <w:szCs w:val="16"/>
          <w:lang w:eastAsia="en-US"/>
        </w:rPr>
        <w:t xml:space="preserve">, para. 185; </w:t>
      </w:r>
      <w:r w:rsidRPr="00D24EFE">
        <w:rPr>
          <w:rFonts w:eastAsiaTheme="minorHAnsi" w:cstheme="minorBidi"/>
          <w:bCs/>
          <w:i/>
          <w:sz w:val="16"/>
          <w:szCs w:val="16"/>
          <w:lang w:eastAsia="en-US"/>
        </w:rPr>
        <w:t>Case of Espinoza Gonzáles v. Peru, supra</w:t>
      </w:r>
      <w:r w:rsidRPr="00D24EFE">
        <w:rPr>
          <w:rFonts w:eastAsiaTheme="minorHAnsi" w:cstheme="minorBidi"/>
          <w:bCs/>
          <w:sz w:val="16"/>
          <w:szCs w:val="16"/>
          <w:lang w:eastAsia="en-US"/>
        </w:rPr>
        <w:t xml:space="preserve">, paras. </w:t>
      </w:r>
      <w:r w:rsidRPr="00012C3F">
        <w:rPr>
          <w:rFonts w:eastAsiaTheme="minorHAnsi" w:cstheme="minorBidi"/>
          <w:bCs/>
          <w:sz w:val="16"/>
          <w:szCs w:val="16"/>
          <w:lang w:val="en-US" w:eastAsia="en-US"/>
        </w:rPr>
        <w:t xml:space="preserve">241 and 242, and </w:t>
      </w:r>
      <w:r w:rsidRPr="00012C3F">
        <w:rPr>
          <w:rFonts w:eastAsiaTheme="minorHAnsi" w:cs="Courier New"/>
          <w:i/>
          <w:noProof/>
          <w:sz w:val="16"/>
          <w:szCs w:val="16"/>
          <w:lang w:val="en-US" w:eastAsia="en-US"/>
        </w:rPr>
        <w:t>Case of Velásquez Paiz et al. v. Guatemala, supra</w:t>
      </w:r>
      <w:r w:rsidRPr="00012C3F">
        <w:rPr>
          <w:rFonts w:eastAsiaTheme="minorHAnsi" w:cs="Courier New"/>
          <w:noProof/>
          <w:sz w:val="16"/>
          <w:szCs w:val="16"/>
          <w:lang w:val="en-US" w:eastAsia="en-US"/>
        </w:rPr>
        <w:t>, paras. 145 and 146.</w:t>
      </w:r>
    </w:p>
  </w:footnote>
  <w:footnote w:id="376">
    <w:p w14:paraId="67B928FF"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 xml:space="preserve">UN, </w:t>
      </w:r>
      <w:r w:rsidRPr="00012C3F">
        <w:rPr>
          <w:color w:val="000000" w:themeColor="text1"/>
          <w:sz w:val="16"/>
          <w:szCs w:val="16"/>
          <w:lang w:val="en-US"/>
        </w:rPr>
        <w:t>Report of the Special Rapporteur on violence against women, its causes and consequences</w:t>
      </w:r>
      <w:r w:rsidRPr="00012C3F">
        <w:rPr>
          <w:bCs/>
          <w:sz w:val="16"/>
          <w:szCs w:val="16"/>
          <w:lang w:val="en-US"/>
        </w:rPr>
        <w:t>, Ms. Radhika</w:t>
      </w:r>
      <w:r w:rsidRPr="00012C3F">
        <w:rPr>
          <w:rFonts w:cs="Courier New"/>
          <w:color w:val="000000" w:themeColor="text1"/>
          <w:sz w:val="16"/>
          <w:szCs w:val="16"/>
          <w:lang w:val="en-US"/>
        </w:rPr>
        <w:t xml:space="preserve"> Coomaraswamy</w:t>
      </w:r>
      <w:r w:rsidRPr="00012C3F">
        <w:rPr>
          <w:bCs/>
          <w:sz w:val="16"/>
          <w:szCs w:val="16"/>
          <w:lang w:val="en-US"/>
        </w:rPr>
        <w:t xml:space="preserve">, </w:t>
      </w:r>
      <w:r w:rsidRPr="00012C3F">
        <w:rPr>
          <w:bCs/>
          <w:i/>
          <w:sz w:val="16"/>
          <w:szCs w:val="16"/>
          <w:lang w:val="en-US"/>
        </w:rPr>
        <w:t xml:space="preserve">Policies and practices that impact women’s reproductive rights and contribute to, cause or constitute violence against women, </w:t>
      </w:r>
      <w:r w:rsidRPr="00012C3F">
        <w:rPr>
          <w:bCs/>
          <w:sz w:val="16"/>
          <w:szCs w:val="16"/>
          <w:lang w:val="en-US"/>
        </w:rPr>
        <w:t>E/CN.4/1999/68/Add.4, January 21, 1999</w:t>
      </w:r>
      <w:r w:rsidRPr="00012C3F">
        <w:rPr>
          <w:sz w:val="16"/>
          <w:szCs w:val="16"/>
          <w:lang w:val="en-US"/>
        </w:rPr>
        <w:t>, paras. 44 and 47.</w:t>
      </w:r>
    </w:p>
  </w:footnote>
  <w:footnote w:id="377">
    <w:p w14:paraId="45669B8C"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 xml:space="preserve">UN, Committee on Economic, Social and Cultural Rights, General Comment No. 22, </w:t>
      </w:r>
      <w:r w:rsidRPr="00012C3F">
        <w:rPr>
          <w:i/>
          <w:iCs/>
          <w:sz w:val="16"/>
          <w:szCs w:val="16"/>
          <w:lang w:val="en-US"/>
        </w:rPr>
        <w:t>The right to sexual and reproductive health</w:t>
      </w:r>
      <w:r w:rsidRPr="00012C3F">
        <w:rPr>
          <w:sz w:val="16"/>
          <w:szCs w:val="16"/>
          <w:lang w:val="en-US"/>
        </w:rPr>
        <w:t>, March 4, 2016, para. 40.</w:t>
      </w:r>
    </w:p>
  </w:footnote>
  <w:footnote w:id="378">
    <w:p w14:paraId="0C6A2CB1"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Even though it is not expressly established as genocide, forced sterilization may constitute a genocidal act if, based on paragraphs (b) and (d) of Article 6 of the Rome Statute, it is performed on individuals of a specific “national, ethnical, racial or religious group,” irrespective of the means used to perform the sterilization and provided that the intent is to destroy this group, in whole or in part.</w:t>
      </w:r>
    </w:p>
  </w:footnote>
  <w:footnote w:id="379">
    <w:p w14:paraId="60414C2E" w14:textId="77777777" w:rsidR="00D24EFE" w:rsidRPr="00012C3F" w:rsidRDefault="00D24EFE" w:rsidP="005B52E1">
      <w:pPr>
        <w:pStyle w:val="Textonotapie"/>
        <w:tabs>
          <w:tab w:val="left" w:pos="567"/>
        </w:tabs>
        <w:spacing w:after="120"/>
        <w:rPr>
          <w:rFonts w:eastAsia="MS Mincho"/>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In a case of non-consensual sterilization, the Committee for the Elimination of Discrimination against Women recommended: “[m]</w:t>
      </w:r>
      <w:proofErr w:type="spellStart"/>
      <w:r w:rsidRPr="00012C3F">
        <w:rPr>
          <w:sz w:val="16"/>
          <w:szCs w:val="16"/>
          <w:lang w:val="en-US"/>
        </w:rPr>
        <w:t>onitor</w:t>
      </w:r>
      <w:proofErr w:type="spellEnd"/>
      <w:r w:rsidRPr="00012C3F">
        <w:rPr>
          <w:sz w:val="16"/>
          <w:szCs w:val="16"/>
          <w:lang w:val="en-US"/>
        </w:rPr>
        <w:t xml:space="preserve"> public and private health </w:t>
      </w:r>
      <w:proofErr w:type="spellStart"/>
      <w:r w:rsidRPr="00012C3F">
        <w:rPr>
          <w:sz w:val="16"/>
          <w:szCs w:val="16"/>
          <w:lang w:val="en-US"/>
        </w:rPr>
        <w:t>centres</w:t>
      </w:r>
      <w:proofErr w:type="spellEnd"/>
      <w:r w:rsidRPr="00012C3F">
        <w:rPr>
          <w:sz w:val="16"/>
          <w:szCs w:val="16"/>
          <w:lang w:val="en-US"/>
        </w:rPr>
        <w:t xml:space="preserve">, including hospitals and clinics, which perform sterilization procedures so as to ensure that fully informed consent is being given by the patient before any sterilization procedure is carried out, with appropriate sanctions in place in the event of a breach.” UN, Committee for the Elimination of Discrimination against Women, </w:t>
      </w:r>
      <w:r w:rsidRPr="00012C3F">
        <w:rPr>
          <w:rFonts w:cs="Calibri-Italic"/>
          <w:i/>
          <w:iCs/>
          <w:sz w:val="16"/>
          <w:szCs w:val="16"/>
          <w:lang w:val="en-US"/>
        </w:rPr>
        <w:t>A.S. v. Hungary</w:t>
      </w:r>
      <w:r w:rsidRPr="00012C3F">
        <w:rPr>
          <w:rFonts w:cs="Calibri"/>
          <w:sz w:val="16"/>
          <w:szCs w:val="16"/>
          <w:lang w:val="en-US"/>
        </w:rPr>
        <w:t xml:space="preserve"> (Communication No. 4/2004), CEDAW/C/36/D/4/2004, August 29, 2006</w:t>
      </w:r>
      <w:r w:rsidRPr="00012C3F">
        <w:rPr>
          <w:rFonts w:eastAsia="MS Mincho"/>
          <w:sz w:val="16"/>
          <w:szCs w:val="16"/>
          <w:lang w:val="en-US"/>
        </w:rPr>
        <w:t xml:space="preserve">, para. 11.5. In another case, it urged </w:t>
      </w:r>
      <w:r w:rsidRPr="00012C3F">
        <w:rPr>
          <w:bCs/>
          <w:sz w:val="16"/>
          <w:szCs w:val="16"/>
          <w:lang w:val="en-US"/>
        </w:rPr>
        <w:t>the State “to adopt a comprehensive law protecting women, including disabled women, from forced sterilization and abortion.</w:t>
      </w:r>
      <w:r w:rsidRPr="00012C3F">
        <w:rPr>
          <w:rFonts w:eastAsia="MS Mincho"/>
          <w:sz w:val="16"/>
          <w:szCs w:val="16"/>
          <w:lang w:val="en-US"/>
        </w:rPr>
        <w:t>”</w:t>
      </w:r>
      <w:r w:rsidRPr="00012C3F">
        <w:rPr>
          <w:sz w:val="16"/>
          <w:szCs w:val="16"/>
          <w:lang w:val="en-US"/>
        </w:rPr>
        <w:t xml:space="preserve"> Committee for the Elimination of Discrimination against Women, </w:t>
      </w:r>
      <w:r w:rsidRPr="00012C3F">
        <w:rPr>
          <w:rFonts w:eastAsia="MS Mincho"/>
          <w:sz w:val="16"/>
          <w:szCs w:val="16"/>
          <w:lang w:val="en-US"/>
        </w:rPr>
        <w:t>Concluding observations with regard to Kuwait</w:t>
      </w:r>
      <w:r w:rsidRPr="00012C3F">
        <w:rPr>
          <w:sz w:val="16"/>
          <w:szCs w:val="16"/>
          <w:lang w:val="en-US"/>
        </w:rPr>
        <w:t>, CEDAW/C/KWT/CO/3-4, November 8, 2011, para. 49.</w:t>
      </w:r>
    </w:p>
  </w:footnote>
  <w:footnote w:id="380">
    <w:p w14:paraId="44145E4C"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 xml:space="preserve">UN, Committee for the Elimination of Discrimination against Women, General Recommendation No. 24, </w:t>
      </w:r>
      <w:r w:rsidRPr="00012C3F">
        <w:rPr>
          <w:i/>
          <w:sz w:val="16"/>
          <w:szCs w:val="16"/>
          <w:lang w:val="en-US"/>
        </w:rPr>
        <w:t>Women and health</w:t>
      </w:r>
      <w:r w:rsidRPr="00012C3F">
        <w:rPr>
          <w:sz w:val="16"/>
          <w:szCs w:val="16"/>
          <w:lang w:val="en-US"/>
        </w:rPr>
        <w:t xml:space="preserve">, 1999, </w:t>
      </w:r>
      <w:r w:rsidRPr="00012C3F">
        <w:rPr>
          <w:rFonts w:eastAsia="MS Mincho"/>
          <w:sz w:val="16"/>
          <w:szCs w:val="16"/>
          <w:lang w:val="en-US"/>
        </w:rPr>
        <w:t>para. 22.</w:t>
      </w:r>
    </w:p>
  </w:footnote>
  <w:footnote w:id="381">
    <w:p w14:paraId="5C725E6D"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UN, Human Rights Committee, Concluding observations with regard to Japan, CCPR/C/79/Add.102, November 19, 1998, para. 31.</w:t>
      </w:r>
    </w:p>
  </w:footnote>
  <w:footnote w:id="382">
    <w:p w14:paraId="2A9D6D1E"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UN, Human Rights Committee, Concluding observations with regard to Slovakia, CCPR/C/SVK/CO/3, April 20, 2011, para. 13.</w:t>
      </w:r>
    </w:p>
  </w:footnote>
  <w:footnote w:id="383">
    <w:p w14:paraId="746FD27D"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UN, Committee against Torture, Concluding observations with regard to Slovakia, CAT/C/SVK/CO/2, December 17,2009, para. 10; Committee against Torture, Concluding observations with regard to Peru, CAT/C/PER/CO/5-6, January 21, 2013, para. 15, and Committee against Torture, Concluding observations with regard to Kenya, CAT/C/KEN/CO/2, June 19, 2013, para. 27.</w:t>
      </w:r>
    </w:p>
  </w:footnote>
  <w:footnote w:id="384">
    <w:p w14:paraId="00EB0744"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 xml:space="preserve">UN, Committee on Economic, Social and Cultural Rights, General Comment No. 22, </w:t>
      </w:r>
      <w:r w:rsidRPr="00012C3F">
        <w:rPr>
          <w:i/>
          <w:iCs/>
          <w:sz w:val="16"/>
          <w:szCs w:val="16"/>
          <w:lang w:val="en-US"/>
        </w:rPr>
        <w:t>El derecho a sexual and reproductive health</w:t>
      </w:r>
      <w:r w:rsidRPr="00012C3F">
        <w:rPr>
          <w:sz w:val="16"/>
          <w:szCs w:val="16"/>
          <w:lang w:val="en-US"/>
        </w:rPr>
        <w:t>, March 4, 2016, para. 29.</w:t>
      </w:r>
    </w:p>
  </w:footnote>
  <w:footnote w:id="385">
    <w:p w14:paraId="538266F0"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UN, Report of the Special Rapporteur on torture and other cruel, inhuman or degrading treatment or punishment, Juan E. Méndez, A/HRC/31/57, January 5, 2016, para. 72.e).</w:t>
      </w:r>
    </w:p>
  </w:footnote>
  <w:footnote w:id="386">
    <w:p w14:paraId="4CB3D79C"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rFonts w:eastAsia="MS Mincho"/>
          <w:sz w:val="16"/>
          <w:szCs w:val="16"/>
          <w:lang w:val="en-US" w:bidi="en-US"/>
        </w:rPr>
        <w:t>United Nations Interagency Statement “Eliminating forced, coercive and otherwise involuntary sterilization," adopted by OHCHR, UN Women, UNAIDS, UNDP, UNFPA, UNICEF and WHO, 2014</w:t>
      </w:r>
      <w:r w:rsidRPr="00012C3F">
        <w:rPr>
          <w:sz w:val="16"/>
          <w:szCs w:val="16"/>
          <w:lang w:val="en-US"/>
        </w:rPr>
        <w:t xml:space="preserve"> (evidence file, volume VIII, annex 25 to the brief with motions, pleadings and evidence, folio 2459).</w:t>
      </w:r>
    </w:p>
  </w:footnote>
  <w:footnote w:id="387">
    <w:p w14:paraId="2A63597C"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 xml:space="preserve">OAS, </w:t>
      </w:r>
      <w:r w:rsidRPr="00012C3F">
        <w:rPr>
          <w:rFonts w:eastAsia="MS Mincho"/>
          <w:sz w:val="16"/>
          <w:szCs w:val="16"/>
          <w:lang w:val="en-US"/>
        </w:rPr>
        <w:t>Second Hemispheric Report on the Implementation of</w:t>
      </w:r>
      <w:r w:rsidRPr="00012C3F">
        <w:rPr>
          <w:rFonts w:eastAsia="MS Mincho"/>
          <w:lang w:val="en-US"/>
        </w:rPr>
        <w:t xml:space="preserve"> </w:t>
      </w:r>
      <w:r w:rsidRPr="00012C3F">
        <w:rPr>
          <w:sz w:val="16"/>
          <w:szCs w:val="16"/>
          <w:lang w:val="en-US"/>
        </w:rPr>
        <w:t>the Convention of Belém do Pará, Mechanism to Follow Up on the Implementation of the Inter-American Convention for the Prevention, Punishment and Eradication of Violence against Women (MESECVI), April 2012, p. 43, Available at:</w:t>
      </w:r>
      <w:r w:rsidRPr="00012C3F">
        <w:rPr>
          <w:lang w:val="en-US"/>
        </w:rPr>
        <w:t xml:space="preserve"> </w:t>
      </w:r>
      <w:hyperlink r:id="rId1" w:history="1">
        <w:r w:rsidRPr="00012C3F">
          <w:rPr>
            <w:rStyle w:val="Hipervnculo"/>
            <w:sz w:val="16"/>
            <w:szCs w:val="16"/>
            <w:lang w:val="en-US"/>
          </w:rPr>
          <w:t>https://www.oas.org/es/mesecvi/docs/MESECVI-SegundoInformeHemisferico-EN.pdf</w:t>
        </w:r>
      </w:hyperlink>
      <w:r w:rsidRPr="00012C3F">
        <w:rPr>
          <w:sz w:val="16"/>
          <w:szCs w:val="16"/>
          <w:lang w:val="en-US"/>
        </w:rPr>
        <w:t>.</w:t>
      </w:r>
    </w:p>
  </w:footnote>
  <w:footnote w:id="388">
    <w:p w14:paraId="406CAD68" w14:textId="77777777" w:rsidR="00D24EFE" w:rsidRPr="00012C3F" w:rsidRDefault="00D24EFE" w:rsidP="005B52E1">
      <w:pPr>
        <w:tabs>
          <w:tab w:val="left" w:pos="567"/>
        </w:tabs>
        <w:spacing w:after="120" w:line="240" w:lineRule="auto"/>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 xml:space="preserve">ECHR, </w:t>
      </w:r>
      <w:r w:rsidRPr="00012C3F">
        <w:rPr>
          <w:rFonts w:cs="Arial"/>
          <w:i/>
          <w:sz w:val="16"/>
          <w:szCs w:val="16"/>
          <w:lang w:val="en-US"/>
        </w:rPr>
        <w:t>Case of</w:t>
      </w:r>
      <w:r w:rsidRPr="00012C3F">
        <w:rPr>
          <w:rFonts w:cs="Arial"/>
          <w:sz w:val="16"/>
          <w:szCs w:val="16"/>
          <w:lang w:val="en-US"/>
        </w:rPr>
        <w:t xml:space="preserve"> </w:t>
      </w:r>
      <w:r w:rsidRPr="00012C3F">
        <w:rPr>
          <w:i/>
          <w:sz w:val="16"/>
          <w:szCs w:val="16"/>
          <w:lang w:val="en-US"/>
        </w:rPr>
        <w:t>V.C. v. Slovakia</w:t>
      </w:r>
      <w:r w:rsidRPr="00012C3F">
        <w:rPr>
          <w:sz w:val="16"/>
          <w:szCs w:val="16"/>
          <w:lang w:val="en-US"/>
        </w:rPr>
        <w:t xml:space="preserve">, No. 18968/07. Judgment of November 8, 2011, paras. 123 to 125. Similarly, </w:t>
      </w:r>
      <w:r w:rsidRPr="00012C3F">
        <w:rPr>
          <w:i/>
          <w:sz w:val="16"/>
          <w:szCs w:val="16"/>
          <w:lang w:val="en-US"/>
        </w:rPr>
        <w:t>Case of N.B. v. Slovakia</w:t>
      </w:r>
      <w:r w:rsidRPr="00012C3F">
        <w:rPr>
          <w:sz w:val="16"/>
          <w:szCs w:val="16"/>
          <w:lang w:val="en-US"/>
        </w:rPr>
        <w:t xml:space="preserve">, No. 29518/10. Judgment of June 12, 2012, para. 84, and </w:t>
      </w:r>
      <w:r w:rsidRPr="00012C3F">
        <w:rPr>
          <w:i/>
          <w:sz w:val="16"/>
          <w:szCs w:val="16"/>
          <w:lang w:val="en-US"/>
        </w:rPr>
        <w:t>Case of I.G., M.K. and R.H. v. Slovakia</w:t>
      </w:r>
      <w:r w:rsidRPr="00012C3F">
        <w:rPr>
          <w:sz w:val="16"/>
          <w:szCs w:val="16"/>
          <w:lang w:val="en-US"/>
        </w:rPr>
        <w:t>, No. 15966/04. Judgment of November 13, 2012, para. 129 (evidence file, volume VIII, annexes 26, 27 and 28 to the brief with motions, pleadings and evidence, folios 2474 to 2577).</w:t>
      </w:r>
    </w:p>
  </w:footnote>
  <w:footnote w:id="389">
    <w:p w14:paraId="244553F0" w14:textId="77777777" w:rsidR="00D24EFE" w:rsidRPr="00012C3F" w:rsidRDefault="00D24EFE" w:rsidP="005B52E1">
      <w:pPr>
        <w:tabs>
          <w:tab w:val="left" w:pos="567"/>
        </w:tabs>
        <w:autoSpaceDE w:val="0"/>
        <w:autoSpaceDN w:val="0"/>
        <w:spacing w:after="120" w:line="240" w:lineRule="auto"/>
        <w:rPr>
          <w:sz w:val="16"/>
          <w:szCs w:val="16"/>
          <w:lang w:val="en-US" w:eastAsia="es-ES"/>
        </w:rPr>
      </w:pPr>
      <w:r w:rsidRPr="00012C3F">
        <w:rPr>
          <w:rStyle w:val="Refdenotaalpie"/>
          <w:sz w:val="16"/>
          <w:szCs w:val="16"/>
          <w:lang w:val="en-US"/>
        </w:rPr>
        <w:footnoteRef/>
      </w:r>
      <w:r w:rsidRPr="00D24EFE">
        <w:rPr>
          <w:sz w:val="16"/>
          <w:szCs w:val="16"/>
        </w:rPr>
        <w:t xml:space="preserve"> </w:t>
      </w:r>
      <w:r w:rsidRPr="00D24EFE">
        <w:rPr>
          <w:sz w:val="16"/>
          <w:szCs w:val="16"/>
        </w:rPr>
        <w:tab/>
      </w:r>
      <w:r w:rsidRPr="00D24EFE">
        <w:rPr>
          <w:i/>
          <w:sz w:val="16"/>
          <w:szCs w:val="16"/>
        </w:rPr>
        <w:t>Cf.</w:t>
      </w:r>
      <w:r w:rsidRPr="00D24EFE">
        <w:rPr>
          <w:sz w:val="16"/>
          <w:szCs w:val="16"/>
        </w:rPr>
        <w:t xml:space="preserve"> </w:t>
      </w:r>
      <w:r w:rsidRPr="00D24EFE">
        <w:rPr>
          <w:i/>
          <w:sz w:val="16"/>
          <w:szCs w:val="16"/>
        </w:rPr>
        <w:t xml:space="preserve">Case of García Prieto et al. v. El Salvador. </w:t>
      </w:r>
      <w:r w:rsidRPr="00012C3F">
        <w:rPr>
          <w:i/>
          <w:sz w:val="16"/>
          <w:szCs w:val="16"/>
          <w:lang w:val="en-US"/>
        </w:rPr>
        <w:t>Preliminary objection, merits, reparations and costs</w:t>
      </w:r>
      <w:r w:rsidRPr="00012C3F">
        <w:rPr>
          <w:sz w:val="16"/>
          <w:szCs w:val="16"/>
          <w:lang w:val="en-US"/>
        </w:rPr>
        <w:t xml:space="preserve">. Judgment of November 20, 2007. Series C No. 168, para. 104, and </w:t>
      </w:r>
      <w:r w:rsidRPr="00012C3F">
        <w:rPr>
          <w:rFonts w:cs="Courier New"/>
          <w:i/>
          <w:noProof/>
          <w:sz w:val="16"/>
          <w:szCs w:val="16"/>
          <w:lang w:val="en-US"/>
        </w:rPr>
        <w:t>Case of Velásquez Paiz et al. v. Guatemala, supra</w:t>
      </w:r>
      <w:r w:rsidRPr="00012C3F">
        <w:rPr>
          <w:rFonts w:cs="Courier New"/>
          <w:noProof/>
          <w:sz w:val="16"/>
          <w:szCs w:val="16"/>
          <w:lang w:val="en-US"/>
        </w:rPr>
        <w:t>, para. 144</w:t>
      </w:r>
      <w:r w:rsidRPr="00012C3F">
        <w:rPr>
          <w:sz w:val="16"/>
          <w:szCs w:val="16"/>
          <w:lang w:val="en-US" w:eastAsia="es-ES"/>
        </w:rPr>
        <w:t>.</w:t>
      </w:r>
    </w:p>
  </w:footnote>
  <w:footnote w:id="390">
    <w:p w14:paraId="12B1D9E9" w14:textId="77777777" w:rsidR="00D24EFE" w:rsidRPr="00012C3F" w:rsidRDefault="00D24EFE" w:rsidP="00DB57C0">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The Preamble to the Constitution of the World Health Organization, which was adopted by the International Health Conference held in New York from June 19 to July 22, 1046, signed on July 22, 1946 and entered into force on April 7, 1948, defines health as “a state of complete physical, mental and social well-being and not merely the absence of disease or infirmity.”</w:t>
      </w:r>
    </w:p>
  </w:footnote>
  <w:footnote w:id="391">
    <w:p w14:paraId="4C016A34" w14:textId="77777777" w:rsidR="00D24EFE" w:rsidRPr="00012C3F" w:rsidRDefault="00D24EFE" w:rsidP="005B52E1">
      <w:pPr>
        <w:pStyle w:val="Textonotapie"/>
        <w:tabs>
          <w:tab w:val="left" w:pos="567"/>
        </w:tabs>
        <w:spacing w:after="120"/>
        <w:rPr>
          <w:i/>
          <w:sz w:val="16"/>
          <w:szCs w:val="16"/>
          <w:lang w:val="en-US"/>
        </w:rPr>
      </w:pPr>
      <w:r w:rsidRPr="00012C3F">
        <w:rPr>
          <w:rStyle w:val="Refdenotaalpie"/>
          <w:sz w:val="16"/>
          <w:szCs w:val="16"/>
          <w:lang w:val="en-US"/>
        </w:rPr>
        <w:footnoteRef/>
      </w:r>
      <w:r w:rsidRPr="00D24EFE">
        <w:rPr>
          <w:sz w:val="16"/>
          <w:szCs w:val="16"/>
          <w:lang w:val="es-CR"/>
        </w:rPr>
        <w:t xml:space="preserve"> </w:t>
      </w:r>
      <w:r w:rsidRPr="00D24EFE">
        <w:rPr>
          <w:sz w:val="16"/>
          <w:szCs w:val="16"/>
          <w:lang w:val="es-CR"/>
        </w:rPr>
        <w:tab/>
      </w:r>
      <w:r w:rsidRPr="00D24EFE">
        <w:rPr>
          <w:i/>
          <w:sz w:val="16"/>
          <w:szCs w:val="16"/>
          <w:lang w:val="es-CR"/>
        </w:rPr>
        <w:t xml:space="preserve">Cf. </w:t>
      </w:r>
      <w:r w:rsidRPr="00D24EFE">
        <w:rPr>
          <w:rFonts w:cs="Verdana"/>
          <w:i/>
          <w:iCs/>
          <w:sz w:val="16"/>
          <w:szCs w:val="16"/>
          <w:lang w:val="es-CR"/>
        </w:rPr>
        <w:t>Case of Velásquez Rodríguez v. Honduras</w:t>
      </w:r>
      <w:r w:rsidRPr="00D24EFE">
        <w:rPr>
          <w:rFonts w:cs="Verdana"/>
          <w:sz w:val="16"/>
          <w:szCs w:val="16"/>
          <w:lang w:val="es-CR"/>
        </w:rPr>
        <w:t xml:space="preserve">. </w:t>
      </w:r>
      <w:r w:rsidRPr="00D24EFE">
        <w:rPr>
          <w:rFonts w:cs="Verdana"/>
          <w:i/>
          <w:sz w:val="16"/>
          <w:szCs w:val="16"/>
          <w:lang w:val="es-CR"/>
        </w:rPr>
        <w:t>Merits</w:t>
      </w:r>
      <w:r w:rsidRPr="00D24EFE">
        <w:rPr>
          <w:rFonts w:cs="Verdana"/>
          <w:sz w:val="16"/>
          <w:szCs w:val="16"/>
          <w:lang w:val="es-CR"/>
        </w:rPr>
        <w:t xml:space="preserve">, </w:t>
      </w:r>
      <w:r w:rsidRPr="00D24EFE">
        <w:rPr>
          <w:rFonts w:cs="Verdana"/>
          <w:i/>
          <w:iCs/>
          <w:sz w:val="16"/>
          <w:szCs w:val="16"/>
          <w:lang w:val="es-CR"/>
        </w:rPr>
        <w:t>supra</w:t>
      </w:r>
      <w:r w:rsidRPr="00D24EFE">
        <w:rPr>
          <w:rFonts w:cs="Verdana"/>
          <w:sz w:val="16"/>
          <w:szCs w:val="16"/>
          <w:lang w:val="es-CR"/>
        </w:rPr>
        <w:t xml:space="preserve">, para. 177, and </w:t>
      </w:r>
      <w:r w:rsidRPr="00D24EFE">
        <w:rPr>
          <w:rFonts w:cs="Courier New"/>
          <w:i/>
          <w:noProof/>
          <w:sz w:val="16"/>
          <w:szCs w:val="16"/>
          <w:lang w:val="es-CR"/>
        </w:rPr>
        <w:t>Case of Quispialaya Vilcapoma v. Peru, supra</w:t>
      </w:r>
      <w:r w:rsidRPr="00D24EFE">
        <w:rPr>
          <w:rFonts w:cs="Courier New"/>
          <w:noProof/>
          <w:sz w:val="16"/>
          <w:szCs w:val="16"/>
          <w:lang w:val="es-CR"/>
        </w:rPr>
        <w:t xml:space="preserve">, para. </w:t>
      </w:r>
      <w:r w:rsidRPr="00012C3F">
        <w:rPr>
          <w:rFonts w:cs="Courier New"/>
          <w:noProof/>
          <w:sz w:val="16"/>
          <w:szCs w:val="16"/>
          <w:lang w:val="en-US"/>
        </w:rPr>
        <w:t>161</w:t>
      </w:r>
      <w:r w:rsidRPr="00012C3F">
        <w:rPr>
          <w:bCs/>
          <w:sz w:val="16"/>
          <w:szCs w:val="16"/>
          <w:lang w:val="en-US"/>
        </w:rPr>
        <w:t>.</w:t>
      </w:r>
    </w:p>
  </w:footnote>
  <w:footnote w:id="392">
    <w:p w14:paraId="6D542D52" w14:textId="77777777" w:rsidR="00D24EFE" w:rsidRPr="00012C3F" w:rsidRDefault="00D24EFE" w:rsidP="005B52E1">
      <w:pPr>
        <w:tabs>
          <w:tab w:val="left" w:pos="567"/>
        </w:tabs>
        <w:spacing w:after="120" w:line="240" w:lineRule="auto"/>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bCs/>
          <w:i/>
          <w:sz w:val="16"/>
          <w:szCs w:val="16"/>
          <w:lang w:val="en-US"/>
        </w:rPr>
        <w:t xml:space="preserve">Case of the Serrano Cruz Sisters v. El Salvador. </w:t>
      </w:r>
      <w:r w:rsidRPr="00012C3F">
        <w:rPr>
          <w:i/>
          <w:sz w:val="16"/>
          <w:szCs w:val="16"/>
          <w:lang w:val="en-US"/>
        </w:rPr>
        <w:t>Merits reparations and costs.</w:t>
      </w:r>
      <w:r w:rsidRPr="00012C3F">
        <w:rPr>
          <w:sz w:val="16"/>
          <w:szCs w:val="16"/>
          <w:lang w:val="en-US"/>
        </w:rPr>
        <w:t xml:space="preserve"> Judgment of March 1, 2005. Series C No. 120, para. 83, and </w:t>
      </w:r>
      <w:r w:rsidRPr="00012C3F">
        <w:rPr>
          <w:rFonts w:cs="Courier New"/>
          <w:i/>
          <w:noProof/>
          <w:sz w:val="16"/>
          <w:szCs w:val="16"/>
          <w:lang w:val="en-US"/>
        </w:rPr>
        <w:t>Case of Velásquez Paiz et al. v. Guatemala, supra</w:t>
      </w:r>
      <w:r w:rsidRPr="00012C3F">
        <w:rPr>
          <w:rFonts w:cs="Courier New"/>
          <w:noProof/>
          <w:sz w:val="16"/>
          <w:szCs w:val="16"/>
          <w:lang w:val="en-US"/>
        </w:rPr>
        <w:t>, para. 143</w:t>
      </w:r>
      <w:r w:rsidRPr="00012C3F">
        <w:rPr>
          <w:bCs/>
          <w:sz w:val="16"/>
          <w:szCs w:val="16"/>
          <w:lang w:val="en-US"/>
        </w:rPr>
        <w:t>.</w:t>
      </w:r>
    </w:p>
  </w:footnote>
  <w:footnote w:id="393">
    <w:p w14:paraId="515B9A39"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iCs/>
          <w:sz w:val="16"/>
          <w:szCs w:val="16"/>
          <w:lang w:val="en-US"/>
        </w:rPr>
        <w:t xml:space="preserve">Brief requesting the annulment of the constitution of the lay court of April 15, </w:t>
      </w:r>
      <w:r w:rsidRPr="00012C3F">
        <w:rPr>
          <w:sz w:val="16"/>
          <w:szCs w:val="16"/>
          <w:lang w:val="en-US"/>
        </w:rPr>
        <w:t xml:space="preserve">2003 (evidence file, volume X, annex 26 to the answering brief, folio 3702), and Brief submitted by Dr. Raúl Gaston Huaylla Rivera, Technical Judge of the First Trial Court, in the case FIS </w:t>
      </w:r>
      <w:r w:rsidRPr="00012C3F">
        <w:rPr>
          <w:rFonts w:cs="Arial"/>
          <w:sz w:val="16"/>
          <w:szCs w:val="16"/>
          <w:lang w:val="en-US"/>
        </w:rPr>
        <w:t xml:space="preserve">No. </w:t>
      </w:r>
      <w:r w:rsidRPr="00012C3F">
        <w:rPr>
          <w:sz w:val="16"/>
          <w:szCs w:val="16"/>
          <w:lang w:val="en-US"/>
        </w:rPr>
        <w:t>894, of May 9, 2003 (evidence file, volume VII, annex 29 to the submission of the case, folio 2209).</w:t>
      </w:r>
    </w:p>
  </w:footnote>
  <w:footnote w:id="394">
    <w:p w14:paraId="42386B3A" w14:textId="77777777" w:rsidR="00D24EFE" w:rsidRPr="00012C3F" w:rsidRDefault="00D24EFE" w:rsidP="005B52E1">
      <w:pPr>
        <w:pStyle w:val="Textonotapie"/>
        <w:tabs>
          <w:tab w:val="left" w:pos="567"/>
          <w:tab w:val="left" w:pos="720"/>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rFonts w:cs="Vrinda"/>
          <w:i/>
          <w:sz w:val="16"/>
          <w:szCs w:val="16"/>
          <w:lang w:val="en-US"/>
        </w:rPr>
        <w:t xml:space="preserve">Cf. </w:t>
      </w:r>
      <w:r w:rsidRPr="00012C3F">
        <w:rPr>
          <w:i/>
          <w:sz w:val="16"/>
          <w:szCs w:val="16"/>
          <w:lang w:val="en-US"/>
        </w:rPr>
        <w:t xml:space="preserve">Case of González et al. </w:t>
      </w:r>
      <w:r w:rsidRPr="00D24EFE">
        <w:rPr>
          <w:i/>
          <w:sz w:val="16"/>
          <w:szCs w:val="16"/>
          <w:lang w:val="es-CR"/>
        </w:rPr>
        <w:t>(“Cotton Field”) v. Mexico, supra,</w:t>
      </w:r>
      <w:r w:rsidRPr="00D24EFE">
        <w:rPr>
          <w:sz w:val="16"/>
          <w:szCs w:val="16"/>
          <w:lang w:val="es-CR"/>
        </w:rPr>
        <w:t xml:space="preserve"> paras. </w:t>
      </w:r>
      <w:r w:rsidRPr="00012C3F">
        <w:rPr>
          <w:sz w:val="16"/>
          <w:szCs w:val="16"/>
          <w:lang w:val="en-US"/>
        </w:rPr>
        <w:t xml:space="preserve">388 and 400, and </w:t>
      </w:r>
      <w:r w:rsidRPr="00012C3F">
        <w:rPr>
          <w:rFonts w:cs="Courier New"/>
          <w:i/>
          <w:noProof/>
          <w:sz w:val="16"/>
          <w:szCs w:val="16"/>
          <w:lang w:val="en-US"/>
        </w:rPr>
        <w:t>Case of Velásquez Paiz et al. v. Guatemala, supra</w:t>
      </w:r>
      <w:r w:rsidRPr="00012C3F">
        <w:rPr>
          <w:rFonts w:cs="Courier New"/>
          <w:noProof/>
          <w:sz w:val="16"/>
          <w:szCs w:val="16"/>
          <w:lang w:val="en-US"/>
        </w:rPr>
        <w:t>, para. 176</w:t>
      </w:r>
      <w:r w:rsidRPr="00012C3F">
        <w:rPr>
          <w:sz w:val="16"/>
          <w:szCs w:val="16"/>
          <w:lang w:val="en-US"/>
        </w:rPr>
        <w:t>.</w:t>
      </w:r>
    </w:p>
  </w:footnote>
  <w:footnote w:id="395">
    <w:p w14:paraId="097666D7"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During the domestic oral trial, when asked if he had felt pressured during the investigation, J.E. stated that “[f]</w:t>
      </w:r>
      <w:proofErr w:type="spellStart"/>
      <w:r w:rsidRPr="00012C3F">
        <w:rPr>
          <w:sz w:val="16"/>
          <w:szCs w:val="16"/>
          <w:lang w:val="en-US"/>
        </w:rPr>
        <w:t>rom</w:t>
      </w:r>
      <w:proofErr w:type="spellEnd"/>
      <w:r w:rsidRPr="00012C3F">
        <w:rPr>
          <w:sz w:val="16"/>
          <w:szCs w:val="16"/>
          <w:lang w:val="en-US"/>
        </w:rPr>
        <w:t xml:space="preserve"> the start of the investigation, I believe this was so; I was summoned by the Immigration Directorate to inquire about my presence […]. [After some inquiries had been made], the report indicated by the representative of the Directorate […] indicated that they were investigating my legal residence status at the request of Dr. Edgar Torrico. During the proceedings, my wife received telephone calls and threats, when the preceding trial ended, we were photographed by someone […], who was a member of the police force […].” Statement made by J.E. on July 27, 2004, according to the record of the oral hearing issued by the Copacabana Trial Court (evidence file, volume XII, annex 1(c)) to the State’s final arguments, folio 4757). See also, </w:t>
      </w:r>
      <w:r w:rsidRPr="00012C3F">
        <w:rPr>
          <w:rStyle w:val="st"/>
          <w:rFonts w:eastAsia="Calibri"/>
          <w:sz w:val="16"/>
          <w:szCs w:val="16"/>
          <w:lang w:val="en-US"/>
        </w:rPr>
        <w:t>the Committee on the Protection of the Rights of All Migrant Workers and Members of their Families</w:t>
      </w:r>
      <w:r w:rsidRPr="00012C3F">
        <w:rPr>
          <w:rStyle w:val="st"/>
          <w:rFonts w:eastAsia="Calibri"/>
          <w:lang w:val="en-US"/>
        </w:rPr>
        <w:t xml:space="preserve"> </w:t>
      </w:r>
      <w:r w:rsidRPr="00012C3F">
        <w:rPr>
          <w:sz w:val="16"/>
          <w:szCs w:val="16"/>
          <w:lang w:val="en-US"/>
        </w:rPr>
        <w:t>(CMW), Consideration of reports submitted by States Parties under Article 73 of the Convention, List of issues to be taken up in connection with the consideration of the initial report of Bolivia, CMW/C/BOL/Q/1, November 30, 2007, para. 11 (evidence file, volume VIII, annex 40 to the brief with motions, pleadings and evidence, folios 2716 to 2720).</w:t>
      </w:r>
    </w:p>
  </w:footnote>
  <w:footnote w:id="396">
    <w:p w14:paraId="1E54069F" w14:textId="77777777" w:rsidR="00D24EFE" w:rsidRPr="00012C3F" w:rsidRDefault="00D24EFE" w:rsidP="005B52E1">
      <w:pPr>
        <w:pStyle w:val="Textonotapie"/>
        <w:tabs>
          <w:tab w:val="left" w:pos="567"/>
        </w:tabs>
        <w:spacing w:after="120"/>
        <w:rPr>
          <w:i/>
          <w:sz w:val="16"/>
          <w:szCs w:val="16"/>
          <w:lang w:val="en-US"/>
        </w:rPr>
      </w:pPr>
      <w:r w:rsidRPr="00012C3F">
        <w:rPr>
          <w:rStyle w:val="Refdenotaalpie"/>
          <w:sz w:val="16"/>
          <w:szCs w:val="16"/>
          <w:lang w:val="en-US"/>
        </w:rPr>
        <w:footnoteRef/>
      </w:r>
      <w:r w:rsidRPr="00D24EFE">
        <w:rPr>
          <w:sz w:val="16"/>
          <w:szCs w:val="16"/>
          <w:lang w:val="es-CR"/>
        </w:rPr>
        <w:t xml:space="preserve"> </w:t>
      </w:r>
      <w:r w:rsidRPr="00D24EFE">
        <w:rPr>
          <w:sz w:val="16"/>
          <w:szCs w:val="16"/>
          <w:lang w:val="es-CR"/>
        </w:rPr>
        <w:tab/>
      </w:r>
      <w:r w:rsidRPr="00D24EFE">
        <w:rPr>
          <w:i/>
          <w:sz w:val="16"/>
          <w:szCs w:val="16"/>
          <w:lang w:val="es-CR"/>
        </w:rPr>
        <w:t xml:space="preserve">Cf. </w:t>
      </w:r>
      <w:r w:rsidRPr="00D24EFE">
        <w:rPr>
          <w:rFonts w:cs="Courier New"/>
          <w:i/>
          <w:noProof/>
          <w:sz w:val="16"/>
          <w:szCs w:val="16"/>
          <w:lang w:val="es-CR"/>
        </w:rPr>
        <w:t>Case of Gonzales Lluy et al. v. Ecuador, supra</w:t>
      </w:r>
      <w:r w:rsidRPr="00D24EFE">
        <w:rPr>
          <w:rFonts w:cs="Courier New"/>
          <w:noProof/>
          <w:sz w:val="16"/>
          <w:szCs w:val="16"/>
          <w:lang w:val="es-CR"/>
        </w:rPr>
        <w:t xml:space="preserve">, para. </w:t>
      </w:r>
      <w:r w:rsidRPr="00012C3F">
        <w:rPr>
          <w:rFonts w:cs="Courier New"/>
          <w:noProof/>
          <w:sz w:val="16"/>
          <w:szCs w:val="16"/>
          <w:lang w:val="en-US"/>
        </w:rPr>
        <w:t>290.</w:t>
      </w:r>
    </w:p>
  </w:footnote>
  <w:footnote w:id="397">
    <w:p w14:paraId="188EC44D"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MS ????"/>
          <w:sz w:val="16"/>
          <w:szCs w:val="16"/>
          <w:lang w:val="en-US"/>
        </w:rPr>
        <w:footnoteRef/>
      </w:r>
      <w:r w:rsidRPr="00012C3F">
        <w:rPr>
          <w:sz w:val="16"/>
          <w:szCs w:val="16"/>
          <w:lang w:val="en-US"/>
        </w:rPr>
        <w:t xml:space="preserve"> </w:t>
      </w:r>
      <w:r w:rsidRPr="00012C3F">
        <w:rPr>
          <w:sz w:val="16"/>
          <w:szCs w:val="16"/>
          <w:lang w:val="en-US"/>
        </w:rPr>
        <w:tab/>
        <w:t>Article 63(1) of the Convention stipulates that “[i]</w:t>
      </w:r>
      <w:r w:rsidRPr="00012C3F">
        <w:rPr>
          <w:spacing w:val="-3"/>
          <w:sz w:val="16"/>
          <w:szCs w:val="16"/>
          <w:lang w:val="en-US"/>
        </w:rPr>
        <w:t>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r w:rsidRPr="00012C3F">
        <w:rPr>
          <w:sz w:val="16"/>
          <w:szCs w:val="16"/>
          <w:lang w:val="en-US"/>
        </w:rPr>
        <w:t>”</w:t>
      </w:r>
    </w:p>
  </w:footnote>
  <w:footnote w:id="398">
    <w:p w14:paraId="380D7CD7" w14:textId="77777777" w:rsidR="00D24EFE" w:rsidRPr="00D24EFE" w:rsidRDefault="00D24EFE" w:rsidP="005B52E1">
      <w:pPr>
        <w:pStyle w:val="Textonotapie"/>
        <w:tabs>
          <w:tab w:val="left" w:pos="567"/>
        </w:tabs>
        <w:spacing w:after="120"/>
        <w:rPr>
          <w:sz w:val="16"/>
          <w:szCs w:val="16"/>
          <w:lang w:val="es-CR"/>
        </w:rPr>
      </w:pPr>
      <w:r w:rsidRPr="00012C3F">
        <w:rPr>
          <w:rStyle w:val="Refdenotaalpie"/>
          <w:rFonts w:eastAsia="MS ????"/>
          <w:sz w:val="16"/>
          <w:szCs w:val="16"/>
          <w:lang w:val="en-US"/>
        </w:rPr>
        <w:footnoteRef/>
      </w:r>
      <w:r w:rsidRPr="00D24EFE">
        <w:rPr>
          <w:sz w:val="16"/>
          <w:szCs w:val="16"/>
          <w:lang w:val="es-CR"/>
        </w:rPr>
        <w:t xml:space="preserve"> </w:t>
      </w:r>
      <w:r w:rsidRPr="00D24EFE">
        <w:rPr>
          <w:sz w:val="16"/>
          <w:szCs w:val="16"/>
          <w:lang w:val="es-CR"/>
        </w:rPr>
        <w:tab/>
      </w:r>
      <w:r w:rsidRPr="00D24EFE">
        <w:rPr>
          <w:i/>
          <w:sz w:val="16"/>
          <w:szCs w:val="16"/>
          <w:lang w:val="es-CR"/>
        </w:rPr>
        <w:t>Cf.</w:t>
      </w:r>
      <w:r w:rsidRPr="00D24EFE">
        <w:rPr>
          <w:bCs/>
          <w:i/>
          <w:sz w:val="16"/>
          <w:szCs w:val="16"/>
          <w:lang w:val="es-CR"/>
        </w:rPr>
        <w:t xml:space="preserve"> Case of Velásquez Rodríguez v. Honduras. </w:t>
      </w:r>
      <w:r w:rsidRPr="00012C3F">
        <w:rPr>
          <w:i/>
          <w:sz w:val="16"/>
          <w:szCs w:val="16"/>
          <w:lang w:val="en-US"/>
        </w:rPr>
        <w:t>Reparations and costs</w:t>
      </w:r>
      <w:r w:rsidRPr="00012C3F">
        <w:rPr>
          <w:sz w:val="16"/>
          <w:szCs w:val="16"/>
          <w:lang w:val="en-US"/>
        </w:rPr>
        <w:t xml:space="preserve">. Judgment of July 21, 1989. </w:t>
      </w:r>
      <w:r w:rsidRPr="00D24EFE">
        <w:rPr>
          <w:sz w:val="16"/>
          <w:szCs w:val="16"/>
          <w:lang w:val="es-CR"/>
        </w:rPr>
        <w:t xml:space="preserve">Series C No. 7, para. 25, and </w:t>
      </w:r>
      <w:r w:rsidRPr="00D24EFE">
        <w:rPr>
          <w:i/>
          <w:sz w:val="16"/>
          <w:szCs w:val="16"/>
          <w:lang w:val="es-CR"/>
        </w:rPr>
        <w:t>Case of Herrera Espinoza et al. v. Ecuador, supra</w:t>
      </w:r>
      <w:r w:rsidRPr="00D24EFE">
        <w:rPr>
          <w:sz w:val="16"/>
          <w:szCs w:val="16"/>
          <w:lang w:val="es-CR"/>
        </w:rPr>
        <w:t>, para. 210</w:t>
      </w:r>
      <w:r w:rsidRPr="00D24EFE">
        <w:rPr>
          <w:bCs/>
          <w:sz w:val="16"/>
          <w:szCs w:val="16"/>
          <w:lang w:val="es-CR"/>
        </w:rPr>
        <w:t>.</w:t>
      </w:r>
    </w:p>
  </w:footnote>
  <w:footnote w:id="399">
    <w:p w14:paraId="787B06CA" w14:textId="77777777" w:rsidR="00D24EFE" w:rsidRPr="00012C3F" w:rsidRDefault="00D24EFE" w:rsidP="005B52E1">
      <w:pPr>
        <w:tabs>
          <w:tab w:val="left" w:pos="567"/>
        </w:tabs>
        <w:spacing w:after="120" w:line="240" w:lineRule="auto"/>
        <w:ind w:right="-90"/>
        <w:rPr>
          <w:sz w:val="16"/>
          <w:szCs w:val="16"/>
          <w:lang w:val="en-US"/>
        </w:rPr>
      </w:pPr>
      <w:r w:rsidRPr="00012C3F">
        <w:rPr>
          <w:rStyle w:val="Refdenotaalpie"/>
          <w:rFonts w:eastAsia="MS Mincho"/>
          <w:sz w:val="16"/>
          <w:szCs w:val="16"/>
          <w:lang w:val="en-US"/>
        </w:rPr>
        <w:footnoteRef/>
      </w:r>
      <w:r w:rsidRPr="00D24EFE">
        <w:rPr>
          <w:sz w:val="16"/>
          <w:szCs w:val="16"/>
        </w:rPr>
        <w:t xml:space="preserve"> </w:t>
      </w:r>
      <w:r w:rsidRPr="00D24EFE">
        <w:rPr>
          <w:sz w:val="16"/>
          <w:szCs w:val="16"/>
        </w:rPr>
        <w:tab/>
      </w:r>
      <w:r w:rsidRPr="00D24EFE">
        <w:rPr>
          <w:i/>
          <w:sz w:val="16"/>
          <w:szCs w:val="16"/>
        </w:rPr>
        <w:t>Cf.</w:t>
      </w:r>
      <w:r w:rsidRPr="00D24EFE">
        <w:rPr>
          <w:bCs/>
          <w:i/>
          <w:sz w:val="16"/>
          <w:szCs w:val="16"/>
        </w:rPr>
        <w:t xml:space="preserve"> Case of Velásquez Rodríguez v. Honduras. </w:t>
      </w:r>
      <w:r w:rsidRPr="00D24EFE">
        <w:rPr>
          <w:i/>
          <w:sz w:val="16"/>
          <w:szCs w:val="16"/>
        </w:rPr>
        <w:t>Reparations and costs, supra</w:t>
      </w:r>
      <w:r w:rsidRPr="00D24EFE">
        <w:rPr>
          <w:sz w:val="16"/>
          <w:szCs w:val="16"/>
        </w:rPr>
        <w:t xml:space="preserve">, para. 26, and </w:t>
      </w:r>
      <w:r w:rsidRPr="00D24EFE">
        <w:rPr>
          <w:i/>
          <w:sz w:val="16"/>
          <w:szCs w:val="16"/>
        </w:rPr>
        <w:t>Case of Herrera Espinoza et al. v. Ecuador, supra</w:t>
      </w:r>
      <w:r w:rsidRPr="00D24EFE">
        <w:rPr>
          <w:sz w:val="16"/>
          <w:szCs w:val="16"/>
        </w:rPr>
        <w:t xml:space="preserve">, para. </w:t>
      </w:r>
      <w:r w:rsidRPr="00012C3F">
        <w:rPr>
          <w:sz w:val="16"/>
          <w:szCs w:val="16"/>
          <w:lang w:val="en-US"/>
        </w:rPr>
        <w:t>210.</w:t>
      </w:r>
    </w:p>
  </w:footnote>
  <w:footnote w:id="400">
    <w:p w14:paraId="22C0668D" w14:textId="77777777" w:rsidR="00D24EFE" w:rsidRPr="00012C3F" w:rsidRDefault="00D24EFE" w:rsidP="005B52E1">
      <w:pPr>
        <w:tabs>
          <w:tab w:val="left" w:pos="567"/>
        </w:tabs>
        <w:spacing w:after="120" w:line="240" w:lineRule="auto"/>
        <w:ind w:right="-90"/>
        <w:rPr>
          <w:sz w:val="16"/>
          <w:szCs w:val="16"/>
          <w:lang w:val="en-US"/>
        </w:rPr>
      </w:pPr>
      <w:r w:rsidRPr="00012C3F">
        <w:rPr>
          <w:rStyle w:val="Refdenotaalpie"/>
          <w:rFonts w:eastAsia="MS ????"/>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bCs/>
          <w:i/>
          <w:sz w:val="16"/>
          <w:szCs w:val="16"/>
          <w:lang w:val="en-US"/>
        </w:rPr>
        <w:t xml:space="preserve"> Case of Cantoral Benavides v. Peru. </w:t>
      </w:r>
      <w:r w:rsidRPr="00012C3F">
        <w:rPr>
          <w:i/>
          <w:sz w:val="16"/>
          <w:szCs w:val="16"/>
          <w:lang w:val="en-US"/>
        </w:rPr>
        <w:t>Reparations and costs</w:t>
      </w:r>
      <w:r w:rsidRPr="00012C3F">
        <w:rPr>
          <w:sz w:val="16"/>
          <w:szCs w:val="16"/>
          <w:lang w:val="en-US"/>
        </w:rPr>
        <w:t xml:space="preserve">. Judgment of December 3, 2001. Series C No. 88, paras. 79 to 81, and </w:t>
      </w:r>
      <w:r w:rsidRPr="00012C3F">
        <w:rPr>
          <w:i/>
          <w:sz w:val="16"/>
          <w:szCs w:val="16"/>
          <w:lang w:val="en-US"/>
        </w:rPr>
        <w:t>Case of Herrera Espinoza et al. v. Ecuador, supra</w:t>
      </w:r>
      <w:r w:rsidRPr="00012C3F">
        <w:rPr>
          <w:sz w:val="16"/>
          <w:szCs w:val="16"/>
          <w:lang w:val="en-US"/>
        </w:rPr>
        <w:t>, para. 214.</w:t>
      </w:r>
    </w:p>
  </w:footnote>
  <w:footnote w:id="401">
    <w:p w14:paraId="4A2AE9BE"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MS ????"/>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Case of Ticona Estrada v. Bolivia. Merits reparations and costs. </w:t>
      </w:r>
      <w:r w:rsidRPr="00012C3F">
        <w:rPr>
          <w:sz w:val="16"/>
          <w:szCs w:val="16"/>
          <w:lang w:val="en-US"/>
        </w:rPr>
        <w:t xml:space="preserve">Judgment of November 27, 2008. </w:t>
      </w:r>
      <w:r w:rsidRPr="00D24EFE">
        <w:rPr>
          <w:sz w:val="16"/>
          <w:szCs w:val="16"/>
          <w:lang w:val="es-CR"/>
        </w:rPr>
        <w:t>Series C No. 191, para. 110,</w:t>
      </w:r>
      <w:r w:rsidRPr="00D24EFE">
        <w:rPr>
          <w:i/>
          <w:sz w:val="16"/>
          <w:szCs w:val="16"/>
          <w:lang w:val="es-CR"/>
        </w:rPr>
        <w:t xml:space="preserve"> and Case of Herrera Espinoza et al. v. Ecuador, supra</w:t>
      </w:r>
      <w:r w:rsidRPr="00D24EFE">
        <w:rPr>
          <w:sz w:val="16"/>
          <w:szCs w:val="16"/>
          <w:lang w:val="es-CR"/>
        </w:rPr>
        <w:t xml:space="preserve">, para. </w:t>
      </w:r>
      <w:r w:rsidRPr="00012C3F">
        <w:rPr>
          <w:sz w:val="16"/>
          <w:szCs w:val="16"/>
          <w:lang w:val="en-US"/>
        </w:rPr>
        <w:t>211.</w:t>
      </w:r>
    </w:p>
  </w:footnote>
  <w:footnote w:id="402">
    <w:p w14:paraId="6B55F28A"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MS ????"/>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Case of Velásquez Rodríguez. Reparations and costs, supra, </w:t>
      </w:r>
      <w:r w:rsidRPr="00012C3F">
        <w:rPr>
          <w:sz w:val="16"/>
          <w:szCs w:val="16"/>
          <w:lang w:val="en-US"/>
        </w:rPr>
        <w:t xml:space="preserve">paras. </w:t>
      </w:r>
      <w:r w:rsidRPr="00D24EFE">
        <w:rPr>
          <w:sz w:val="16"/>
          <w:szCs w:val="16"/>
          <w:lang w:val="es-CR"/>
        </w:rPr>
        <w:t xml:space="preserve">25 to 27, and </w:t>
      </w:r>
      <w:r w:rsidRPr="00D24EFE">
        <w:rPr>
          <w:i/>
          <w:sz w:val="16"/>
          <w:szCs w:val="16"/>
          <w:lang w:val="es-CR"/>
        </w:rPr>
        <w:t>Case of Herrera Espinoza et al. v. Ecuador, supra</w:t>
      </w:r>
      <w:r w:rsidRPr="00D24EFE">
        <w:rPr>
          <w:sz w:val="16"/>
          <w:szCs w:val="16"/>
          <w:lang w:val="es-CR"/>
        </w:rPr>
        <w:t xml:space="preserve">, para. </w:t>
      </w:r>
      <w:r w:rsidRPr="00012C3F">
        <w:rPr>
          <w:sz w:val="16"/>
          <w:szCs w:val="16"/>
          <w:lang w:val="en-US"/>
        </w:rPr>
        <w:t>213</w:t>
      </w:r>
      <w:r w:rsidRPr="00012C3F">
        <w:rPr>
          <w:bCs/>
          <w:sz w:val="16"/>
          <w:szCs w:val="16"/>
          <w:lang w:val="en-US"/>
        </w:rPr>
        <w:t>.</w:t>
      </w:r>
    </w:p>
  </w:footnote>
  <w:footnote w:id="403">
    <w:p w14:paraId="5B469423" w14:textId="77777777" w:rsidR="00D24EFE" w:rsidRPr="00D24EFE" w:rsidRDefault="00D24EFE" w:rsidP="005B52E1">
      <w:pPr>
        <w:pStyle w:val="Textonotapie"/>
        <w:tabs>
          <w:tab w:val="left" w:pos="567"/>
        </w:tabs>
        <w:spacing w:after="120"/>
        <w:rPr>
          <w:sz w:val="16"/>
          <w:szCs w:val="16"/>
          <w:lang w:val="es-CR"/>
        </w:rPr>
      </w:pPr>
      <w:r w:rsidRPr="00012C3F">
        <w:rPr>
          <w:rStyle w:val="Refdenotaalpie"/>
          <w:rFonts w:eastAsia="MS ????"/>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w:t>
      </w:r>
      <w:r w:rsidRPr="00012C3F">
        <w:rPr>
          <w:sz w:val="16"/>
          <w:szCs w:val="16"/>
          <w:lang w:val="en-US"/>
        </w:rPr>
        <w:t xml:space="preserve"> </w:t>
      </w:r>
      <w:r w:rsidRPr="00012C3F">
        <w:rPr>
          <w:i/>
          <w:sz w:val="16"/>
          <w:szCs w:val="16"/>
          <w:lang w:val="en-US"/>
        </w:rPr>
        <w:t>Case of Barrios Altos v. Peru</w:t>
      </w:r>
      <w:r w:rsidRPr="00012C3F">
        <w:rPr>
          <w:sz w:val="16"/>
          <w:szCs w:val="16"/>
          <w:lang w:val="en-US"/>
        </w:rPr>
        <w:t xml:space="preserve">. </w:t>
      </w:r>
      <w:r w:rsidRPr="00012C3F">
        <w:rPr>
          <w:i/>
          <w:sz w:val="16"/>
          <w:szCs w:val="16"/>
          <w:lang w:val="en-US"/>
        </w:rPr>
        <w:t>Reparations and costs.</w:t>
      </w:r>
      <w:r w:rsidRPr="00012C3F">
        <w:rPr>
          <w:sz w:val="16"/>
          <w:szCs w:val="16"/>
          <w:lang w:val="en-US"/>
        </w:rPr>
        <w:t xml:space="preserve"> Judgment of November 30, 2001. Series C No. 87, paras. 42 and 45, and </w:t>
      </w:r>
      <w:r w:rsidRPr="00012C3F">
        <w:rPr>
          <w:rStyle w:val="Textoennegrita"/>
          <w:b w:val="0"/>
          <w:i/>
          <w:sz w:val="16"/>
          <w:szCs w:val="16"/>
          <w:lang w:val="en-US"/>
        </w:rPr>
        <w:t>Case of Tenorio Roca et al. v. Peru, supra</w:t>
      </w:r>
      <w:r w:rsidRPr="00012C3F">
        <w:rPr>
          <w:rStyle w:val="Textoennegrita"/>
          <w:b w:val="0"/>
          <w:sz w:val="16"/>
          <w:szCs w:val="16"/>
          <w:lang w:val="en-US"/>
        </w:rPr>
        <w:t xml:space="preserve">, para. </w:t>
      </w:r>
      <w:r w:rsidRPr="00D24EFE">
        <w:rPr>
          <w:rStyle w:val="Textoennegrita"/>
          <w:b w:val="0"/>
          <w:sz w:val="16"/>
          <w:szCs w:val="16"/>
          <w:lang w:val="es-CR"/>
        </w:rPr>
        <w:t>284</w:t>
      </w:r>
      <w:r w:rsidRPr="00D24EFE">
        <w:rPr>
          <w:sz w:val="16"/>
          <w:szCs w:val="16"/>
          <w:lang w:val="es-CR"/>
        </w:rPr>
        <w:t>.</w:t>
      </w:r>
    </w:p>
  </w:footnote>
  <w:footnote w:id="404">
    <w:p w14:paraId="3DADF43B" w14:textId="77777777" w:rsidR="00D24EFE" w:rsidRPr="00D24EFE" w:rsidRDefault="00D24EFE" w:rsidP="005B52E1">
      <w:pPr>
        <w:pStyle w:val="Textonotapie"/>
        <w:tabs>
          <w:tab w:val="left" w:pos="567"/>
        </w:tabs>
        <w:spacing w:after="120"/>
        <w:rPr>
          <w:sz w:val="16"/>
          <w:szCs w:val="16"/>
          <w:lang w:val="es-CR"/>
        </w:rPr>
      </w:pPr>
      <w:r w:rsidRPr="00012C3F">
        <w:rPr>
          <w:rStyle w:val="Refdenotaalpie"/>
          <w:rFonts w:eastAsia="MS ????"/>
          <w:sz w:val="16"/>
          <w:szCs w:val="16"/>
          <w:lang w:val="en-US"/>
        </w:rPr>
        <w:footnoteRef/>
      </w:r>
      <w:r w:rsidRPr="00D24EFE">
        <w:rPr>
          <w:sz w:val="16"/>
          <w:szCs w:val="16"/>
          <w:lang w:val="es-CR"/>
        </w:rPr>
        <w:t xml:space="preserve"> </w:t>
      </w:r>
      <w:r w:rsidRPr="00D24EFE">
        <w:rPr>
          <w:sz w:val="16"/>
          <w:szCs w:val="16"/>
          <w:lang w:val="es-CR"/>
        </w:rPr>
        <w:tab/>
      </w:r>
      <w:r w:rsidRPr="00D24EFE">
        <w:rPr>
          <w:i/>
          <w:sz w:val="16"/>
          <w:szCs w:val="16"/>
          <w:lang w:val="es-CR"/>
        </w:rPr>
        <w:t>Cf. Case of</w:t>
      </w:r>
      <w:r w:rsidRPr="00D24EFE">
        <w:rPr>
          <w:sz w:val="16"/>
          <w:szCs w:val="16"/>
          <w:lang w:val="es-CR"/>
        </w:rPr>
        <w:t xml:space="preserve"> </w:t>
      </w:r>
      <w:r w:rsidRPr="00D24EFE">
        <w:rPr>
          <w:i/>
          <w:sz w:val="16"/>
          <w:szCs w:val="16"/>
          <w:lang w:val="es-CR"/>
        </w:rPr>
        <w:t>Fernández Ortega et al. v. Mexico, supra</w:t>
      </w:r>
      <w:r w:rsidRPr="00D24EFE">
        <w:rPr>
          <w:sz w:val="16"/>
          <w:szCs w:val="16"/>
          <w:lang w:val="es-CR"/>
        </w:rPr>
        <w:t xml:space="preserve">, para. 251, and </w:t>
      </w:r>
      <w:r w:rsidRPr="00D24EFE">
        <w:rPr>
          <w:i/>
          <w:sz w:val="16"/>
          <w:szCs w:val="16"/>
          <w:lang w:val="es-CR"/>
        </w:rPr>
        <w:t>Case of</w:t>
      </w:r>
      <w:r w:rsidRPr="00D24EFE">
        <w:rPr>
          <w:sz w:val="16"/>
          <w:szCs w:val="16"/>
          <w:lang w:val="es-CR"/>
        </w:rPr>
        <w:t xml:space="preserve"> </w:t>
      </w:r>
      <w:r w:rsidRPr="00D24EFE">
        <w:rPr>
          <w:i/>
          <w:sz w:val="16"/>
          <w:szCs w:val="16"/>
          <w:lang w:val="es-CR"/>
        </w:rPr>
        <w:t>Rosendo Cantú et al. v. Mexico, supra</w:t>
      </w:r>
      <w:r w:rsidRPr="00D24EFE">
        <w:rPr>
          <w:sz w:val="16"/>
          <w:szCs w:val="16"/>
          <w:lang w:val="es-CR"/>
        </w:rPr>
        <w:t>, para. 252.</w:t>
      </w:r>
    </w:p>
  </w:footnote>
  <w:footnote w:id="405">
    <w:p w14:paraId="557F5C64" w14:textId="77777777" w:rsidR="00D24EFE" w:rsidRPr="00D24EFE" w:rsidRDefault="00D24EFE" w:rsidP="005B52E1">
      <w:pPr>
        <w:pStyle w:val="Textonotapie"/>
        <w:tabs>
          <w:tab w:val="left" w:pos="567"/>
        </w:tabs>
        <w:spacing w:after="120"/>
        <w:rPr>
          <w:sz w:val="16"/>
          <w:szCs w:val="16"/>
          <w:lang w:val="es-CR"/>
        </w:rPr>
      </w:pPr>
      <w:r w:rsidRPr="00012C3F">
        <w:rPr>
          <w:rStyle w:val="Refdenotaalpie"/>
          <w:rFonts w:eastAsia="MS ????"/>
          <w:sz w:val="16"/>
          <w:szCs w:val="16"/>
          <w:lang w:val="en-US"/>
        </w:rPr>
        <w:footnoteRef/>
      </w:r>
      <w:r w:rsidRPr="00D24EFE">
        <w:rPr>
          <w:sz w:val="16"/>
          <w:szCs w:val="16"/>
          <w:lang w:val="es-CR"/>
        </w:rPr>
        <w:t xml:space="preserve"> </w:t>
      </w:r>
      <w:r w:rsidRPr="00D24EFE">
        <w:rPr>
          <w:sz w:val="16"/>
          <w:szCs w:val="16"/>
          <w:lang w:val="es-CR"/>
        </w:rPr>
        <w:tab/>
      </w:r>
      <w:r w:rsidRPr="00D24EFE">
        <w:rPr>
          <w:i/>
          <w:sz w:val="16"/>
          <w:szCs w:val="16"/>
          <w:lang w:val="es-CR"/>
        </w:rPr>
        <w:t xml:space="preserve">Cf. </w:t>
      </w:r>
      <w:r w:rsidRPr="00D24EFE">
        <w:rPr>
          <w:bCs/>
          <w:i/>
          <w:color w:val="000000"/>
          <w:sz w:val="16"/>
          <w:szCs w:val="16"/>
          <w:lang w:val="es-CR"/>
        </w:rPr>
        <w:t xml:space="preserve">Case of </w:t>
      </w:r>
      <w:r w:rsidRPr="00D24EFE">
        <w:rPr>
          <w:i/>
          <w:sz w:val="16"/>
          <w:szCs w:val="16"/>
          <w:lang w:val="es-CR"/>
        </w:rPr>
        <w:t>Rosendo Cantú et al. v. Mexico, supra</w:t>
      </w:r>
      <w:r w:rsidRPr="00D24EFE">
        <w:rPr>
          <w:sz w:val="16"/>
          <w:szCs w:val="16"/>
          <w:lang w:val="es-CR"/>
        </w:rPr>
        <w:t xml:space="preserve">, para. 252, and </w:t>
      </w:r>
      <w:r w:rsidRPr="00D24EFE">
        <w:rPr>
          <w:bCs/>
          <w:i/>
          <w:color w:val="000000"/>
          <w:sz w:val="16"/>
          <w:szCs w:val="16"/>
          <w:lang w:val="es-CR"/>
        </w:rPr>
        <w:t>Artavia Murillo et al. (“In vitro fertilization”) v. Costa Rica, supra</w:t>
      </w:r>
      <w:r w:rsidRPr="00D24EFE">
        <w:rPr>
          <w:color w:val="000000"/>
          <w:sz w:val="16"/>
          <w:szCs w:val="16"/>
          <w:lang w:val="es-CR"/>
        </w:rPr>
        <w:t xml:space="preserve">, para. </w:t>
      </w:r>
      <w:r w:rsidRPr="00D24EFE">
        <w:rPr>
          <w:sz w:val="16"/>
          <w:szCs w:val="16"/>
          <w:lang w:val="es-CR"/>
        </w:rPr>
        <w:t>326.</w:t>
      </w:r>
    </w:p>
  </w:footnote>
  <w:footnote w:id="406">
    <w:p w14:paraId="120843D2"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MS ????"/>
          <w:sz w:val="16"/>
          <w:szCs w:val="16"/>
          <w:lang w:val="en-US"/>
        </w:rPr>
        <w:footnoteRef/>
      </w:r>
      <w:r w:rsidRPr="00D24EFE">
        <w:rPr>
          <w:sz w:val="16"/>
          <w:szCs w:val="16"/>
          <w:lang w:val="es-CR"/>
        </w:rPr>
        <w:t xml:space="preserve"> </w:t>
      </w:r>
      <w:r w:rsidRPr="00D24EFE">
        <w:rPr>
          <w:sz w:val="16"/>
          <w:szCs w:val="16"/>
          <w:lang w:val="es-CR"/>
        </w:rPr>
        <w:tab/>
      </w:r>
      <w:r w:rsidRPr="00D24EFE">
        <w:rPr>
          <w:i/>
          <w:sz w:val="16"/>
          <w:szCs w:val="16"/>
          <w:lang w:val="es-CR"/>
        </w:rPr>
        <w:t>Cf. Case of Cantoral Benavides v. Peru. Reparations and costs, supra</w:t>
      </w:r>
      <w:r w:rsidRPr="00D24EFE">
        <w:rPr>
          <w:sz w:val="16"/>
          <w:szCs w:val="16"/>
          <w:lang w:val="es-CR"/>
        </w:rPr>
        <w:t xml:space="preserve">, para. 79, and </w:t>
      </w:r>
      <w:r w:rsidRPr="00D24EFE">
        <w:rPr>
          <w:i/>
          <w:sz w:val="16"/>
          <w:szCs w:val="16"/>
          <w:lang w:val="es-CR"/>
        </w:rPr>
        <w:t>Case of Herrera Espinoza et al. v. Ecuador, supra</w:t>
      </w:r>
      <w:r w:rsidRPr="00D24EFE">
        <w:rPr>
          <w:sz w:val="16"/>
          <w:szCs w:val="16"/>
          <w:lang w:val="es-CR"/>
        </w:rPr>
        <w:t xml:space="preserve">, para. </w:t>
      </w:r>
      <w:r w:rsidRPr="00012C3F">
        <w:rPr>
          <w:sz w:val="16"/>
          <w:szCs w:val="16"/>
          <w:lang w:val="en-US"/>
        </w:rPr>
        <w:t>227.</w:t>
      </w:r>
    </w:p>
  </w:footnote>
  <w:footnote w:id="407">
    <w:p w14:paraId="621E7A72"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MS ????"/>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 Case of Cantoral Benavides v. Peru. Reparations and costs</w:t>
      </w:r>
      <w:r w:rsidRPr="00012C3F">
        <w:rPr>
          <w:sz w:val="16"/>
          <w:szCs w:val="16"/>
          <w:lang w:val="en-US"/>
        </w:rPr>
        <w:t xml:space="preserve">, </w:t>
      </w:r>
      <w:r w:rsidRPr="00012C3F">
        <w:rPr>
          <w:i/>
          <w:sz w:val="16"/>
          <w:szCs w:val="16"/>
          <w:lang w:val="en-US"/>
        </w:rPr>
        <w:t>supra</w:t>
      </w:r>
      <w:r w:rsidRPr="00012C3F">
        <w:rPr>
          <w:sz w:val="16"/>
          <w:szCs w:val="16"/>
          <w:lang w:val="en-US"/>
        </w:rPr>
        <w:t xml:space="preserve">, para. 81, and </w:t>
      </w:r>
      <w:r w:rsidRPr="00012C3F">
        <w:rPr>
          <w:rStyle w:val="Textoennegrita"/>
          <w:b w:val="0"/>
          <w:i/>
          <w:sz w:val="16"/>
          <w:szCs w:val="16"/>
          <w:lang w:val="en-US"/>
        </w:rPr>
        <w:t>Case of Tenorio Roca et al. v. Peru, supra</w:t>
      </w:r>
      <w:r w:rsidRPr="00012C3F">
        <w:rPr>
          <w:rStyle w:val="Textoennegrita"/>
          <w:b w:val="0"/>
          <w:sz w:val="16"/>
          <w:szCs w:val="16"/>
          <w:lang w:val="en-US"/>
        </w:rPr>
        <w:t>, para. 293</w:t>
      </w:r>
      <w:r w:rsidRPr="00012C3F">
        <w:rPr>
          <w:sz w:val="16"/>
          <w:szCs w:val="16"/>
          <w:lang w:val="en-US"/>
        </w:rPr>
        <w:t>.</w:t>
      </w:r>
    </w:p>
  </w:footnote>
  <w:footnote w:id="408">
    <w:p w14:paraId="464C593B"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sz w:val="16"/>
          <w:szCs w:val="16"/>
          <w:lang w:val="en-US"/>
        </w:rPr>
        <w:t>Ministerial Resolution No.789 of December 2003 “Manual of technical contraception techniques”; Law 3131 of August 8, 2005, on the exercise of the medical profession; Ministerial Resolution No. 090 of February 26, 2008, adopting the technical document on “Obtaining informed consent”; Ministerial Resolution No. 1 of January 5, 2010, adopting the “Contraception standards, rules, protocols and procedures”; Ministerial Resolution No. 579 of May 7, 2013, issuing the “National standards for clinical care”; Ministerial Resolution No. 47 of 2004, issuing the “Bolivian Code of Medical Ethics and Deontology.”</w:t>
      </w:r>
    </w:p>
  </w:footnote>
  <w:footnote w:id="409">
    <w:p w14:paraId="7A0802E6" w14:textId="77777777" w:rsidR="00D24EFE" w:rsidRPr="00012C3F" w:rsidRDefault="00D24EFE" w:rsidP="005B52E1">
      <w:pPr>
        <w:pStyle w:val="Textonotapie"/>
        <w:tabs>
          <w:tab w:val="left" w:pos="567"/>
        </w:tabs>
        <w:spacing w:after="120"/>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bCs/>
          <w:i/>
          <w:color w:val="000000"/>
          <w:sz w:val="16"/>
          <w:szCs w:val="16"/>
          <w:lang w:val="en-US"/>
        </w:rPr>
        <w:t>Case of Furlan and family v. Argentina, supra</w:t>
      </w:r>
      <w:r w:rsidRPr="00012C3F">
        <w:rPr>
          <w:color w:val="000000"/>
          <w:sz w:val="16"/>
          <w:szCs w:val="16"/>
          <w:lang w:val="en-US"/>
        </w:rPr>
        <w:t>, para. 294.</w:t>
      </w:r>
    </w:p>
  </w:footnote>
  <w:footnote w:id="410">
    <w:p w14:paraId="206422EC" w14:textId="77777777" w:rsidR="00D24EFE" w:rsidRPr="00012C3F" w:rsidRDefault="00D24EFE" w:rsidP="00147093">
      <w:pPr>
        <w:pStyle w:val="Textonotapie"/>
        <w:tabs>
          <w:tab w:val="left" w:pos="567"/>
        </w:tabs>
        <w:spacing w:after="120"/>
        <w:rPr>
          <w:sz w:val="16"/>
          <w:szCs w:val="16"/>
          <w:lang w:val="en-US"/>
        </w:rPr>
      </w:pPr>
      <w:r w:rsidRPr="00012C3F">
        <w:rPr>
          <w:rStyle w:val="Refdenotaalpie"/>
          <w:rFonts w:eastAsia="MS ????"/>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bCs/>
          <w:i/>
          <w:color w:val="000000"/>
          <w:sz w:val="16"/>
          <w:szCs w:val="16"/>
          <w:lang w:val="en-US"/>
        </w:rPr>
        <w:t>Case of Furlan and family v. Argentina, supra</w:t>
      </w:r>
      <w:r w:rsidRPr="00012C3F">
        <w:rPr>
          <w:color w:val="000000"/>
          <w:sz w:val="16"/>
          <w:szCs w:val="16"/>
          <w:lang w:val="en-US"/>
        </w:rPr>
        <w:t>, para. 295.</w:t>
      </w:r>
    </w:p>
  </w:footnote>
  <w:footnote w:id="411">
    <w:p w14:paraId="3C9C8AD5"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MS ????"/>
          <w:sz w:val="16"/>
          <w:szCs w:val="16"/>
          <w:lang w:val="en-US"/>
        </w:rPr>
        <w:footnoteRef/>
      </w:r>
      <w:r w:rsidRPr="00012C3F">
        <w:rPr>
          <w:sz w:val="16"/>
          <w:szCs w:val="16"/>
          <w:lang w:val="en-US"/>
        </w:rPr>
        <w:t xml:space="preserve"> </w:t>
      </w:r>
      <w:r w:rsidRPr="00012C3F">
        <w:rPr>
          <w:sz w:val="16"/>
          <w:szCs w:val="16"/>
          <w:lang w:val="en-US"/>
        </w:rPr>
        <w:tab/>
        <w:t xml:space="preserve">Regarding the health care expenses, the representative presented a report on the minimum expenses incurred by I.V., which indicated that, despite attempts to recover the information lost during the incident, it was not possible to recover all the information required to determine the specific items of expenditure. She therefore asked that the Court consider the other medical services justified in annexes 11, 13, 14 to the Merits Report, the expense report presented, the parameters for medical fees in the department of La Paz, and the expenditure that it had not been possible to justify. </w:t>
      </w:r>
    </w:p>
  </w:footnote>
  <w:footnote w:id="412">
    <w:p w14:paraId="5C86D1B6" w14:textId="77777777" w:rsidR="00D24EFE" w:rsidRPr="00012C3F" w:rsidRDefault="00D24EFE" w:rsidP="005B52E1">
      <w:pPr>
        <w:tabs>
          <w:tab w:val="left" w:pos="567"/>
          <w:tab w:val="left" w:pos="709"/>
        </w:tabs>
        <w:spacing w:after="120" w:line="240" w:lineRule="auto"/>
        <w:rPr>
          <w:sz w:val="16"/>
          <w:szCs w:val="16"/>
          <w:lang w:val="en-US"/>
        </w:rPr>
      </w:pPr>
      <w:r w:rsidRPr="00012C3F">
        <w:rPr>
          <w:rStyle w:val="Refdenotaalpie"/>
          <w:rFonts w:eastAsia="MS ????"/>
          <w:sz w:val="16"/>
          <w:szCs w:val="16"/>
          <w:lang w:val="en-US"/>
        </w:rPr>
        <w:footnoteRef/>
      </w:r>
      <w:r w:rsidRPr="00012C3F">
        <w:rPr>
          <w:sz w:val="16"/>
          <w:szCs w:val="16"/>
          <w:lang w:val="en-US"/>
        </w:rPr>
        <w:tab/>
      </w:r>
      <w:r w:rsidRPr="00012C3F">
        <w:rPr>
          <w:bCs/>
          <w:i/>
          <w:sz w:val="16"/>
          <w:szCs w:val="16"/>
          <w:lang w:val="en-US"/>
        </w:rPr>
        <w:t xml:space="preserve">Case of Bámaca Velásquez v. Guatemala. </w:t>
      </w:r>
      <w:r w:rsidRPr="00012C3F">
        <w:rPr>
          <w:i/>
          <w:sz w:val="16"/>
          <w:szCs w:val="16"/>
          <w:lang w:val="en-US"/>
        </w:rPr>
        <w:t>Reparations and costs</w:t>
      </w:r>
      <w:r w:rsidRPr="00012C3F">
        <w:rPr>
          <w:sz w:val="16"/>
          <w:szCs w:val="16"/>
          <w:lang w:val="en-US"/>
        </w:rPr>
        <w:t xml:space="preserve">. Judgment of February 22, 2002. Series C No. 91, para. 43, and </w:t>
      </w:r>
      <w:r w:rsidRPr="00012C3F">
        <w:rPr>
          <w:i/>
          <w:sz w:val="16"/>
          <w:szCs w:val="16"/>
          <w:lang w:val="en-US"/>
        </w:rPr>
        <w:t>Case of Flor Freire v. Ecuador, supra</w:t>
      </w:r>
      <w:r w:rsidRPr="00012C3F">
        <w:rPr>
          <w:sz w:val="16"/>
          <w:szCs w:val="16"/>
          <w:lang w:val="en-US"/>
        </w:rPr>
        <w:t>, para. 251.</w:t>
      </w:r>
    </w:p>
  </w:footnote>
  <w:footnote w:id="413">
    <w:p w14:paraId="3B282622" w14:textId="77777777" w:rsidR="00D24EFE" w:rsidRPr="00012C3F" w:rsidRDefault="00D24EFE" w:rsidP="005B52E1">
      <w:pPr>
        <w:tabs>
          <w:tab w:val="left" w:pos="567"/>
          <w:tab w:val="left" w:pos="720"/>
        </w:tabs>
        <w:spacing w:after="120" w:line="240" w:lineRule="auto"/>
        <w:rPr>
          <w:i/>
          <w:sz w:val="16"/>
          <w:szCs w:val="16"/>
          <w:lang w:val="en-US"/>
        </w:rPr>
      </w:pPr>
      <w:r w:rsidRPr="00012C3F">
        <w:rPr>
          <w:rStyle w:val="Refdenotaalpie"/>
          <w:rFonts w:eastAsia="MS ????"/>
          <w:sz w:val="16"/>
          <w:szCs w:val="16"/>
          <w:lang w:val="en-US"/>
        </w:rPr>
        <w:footnoteRef/>
      </w:r>
      <w:r w:rsidRPr="00012C3F">
        <w:rPr>
          <w:sz w:val="16"/>
          <w:szCs w:val="16"/>
          <w:lang w:val="en-US"/>
        </w:rPr>
        <w:t xml:space="preserve"> </w:t>
      </w:r>
      <w:r w:rsidRPr="00012C3F">
        <w:rPr>
          <w:sz w:val="16"/>
          <w:szCs w:val="16"/>
          <w:lang w:val="en-US"/>
        </w:rPr>
        <w:tab/>
      </w:r>
      <w:r w:rsidRPr="00012C3F">
        <w:rPr>
          <w:bCs/>
          <w:i/>
          <w:sz w:val="16"/>
          <w:szCs w:val="16"/>
          <w:lang w:val="en-US"/>
        </w:rPr>
        <w:t xml:space="preserve">Case of the “Street Children” </w:t>
      </w:r>
      <w:r w:rsidRPr="00012C3F">
        <w:rPr>
          <w:rStyle w:val="Textoennegrita"/>
          <w:b w:val="0"/>
          <w:i/>
          <w:color w:val="000000"/>
          <w:sz w:val="16"/>
          <w:szCs w:val="16"/>
          <w:shd w:val="clear" w:color="auto" w:fill="FFFFFF"/>
          <w:lang w:val="en-US"/>
        </w:rPr>
        <w:t>(Villagrán Morales et al.) v. Guatemala. Reparations and costs</w:t>
      </w:r>
      <w:r w:rsidRPr="00012C3F">
        <w:rPr>
          <w:rStyle w:val="Textoennegrita"/>
          <w:b w:val="0"/>
          <w:color w:val="000000"/>
          <w:sz w:val="16"/>
          <w:szCs w:val="16"/>
          <w:shd w:val="clear" w:color="auto" w:fill="FFFFFF"/>
          <w:lang w:val="en-US"/>
        </w:rPr>
        <w:t>. Judgment of May 26, 2001. Series C No. 77</w:t>
      </w:r>
      <w:r w:rsidRPr="00012C3F">
        <w:rPr>
          <w:bCs/>
          <w:i/>
          <w:sz w:val="16"/>
          <w:szCs w:val="16"/>
          <w:lang w:val="en-US"/>
        </w:rPr>
        <w:t xml:space="preserve">, </w:t>
      </w:r>
      <w:r w:rsidRPr="00012C3F">
        <w:rPr>
          <w:sz w:val="16"/>
          <w:szCs w:val="16"/>
          <w:lang w:val="en-US"/>
        </w:rPr>
        <w:t xml:space="preserve">para. </w:t>
      </w:r>
      <w:r w:rsidRPr="00D24EFE">
        <w:rPr>
          <w:sz w:val="16"/>
          <w:szCs w:val="16"/>
        </w:rPr>
        <w:t xml:space="preserve">84, and </w:t>
      </w:r>
      <w:r w:rsidRPr="00D24EFE">
        <w:rPr>
          <w:i/>
          <w:sz w:val="16"/>
          <w:szCs w:val="16"/>
        </w:rPr>
        <w:t>Case of Herrera Espinoza et al. v. Ecuador, supra</w:t>
      </w:r>
      <w:r w:rsidRPr="00D24EFE">
        <w:rPr>
          <w:sz w:val="16"/>
          <w:szCs w:val="16"/>
        </w:rPr>
        <w:t xml:space="preserve">, para. </w:t>
      </w:r>
      <w:r w:rsidRPr="00012C3F">
        <w:rPr>
          <w:sz w:val="16"/>
          <w:szCs w:val="16"/>
          <w:lang w:val="en-US"/>
        </w:rPr>
        <w:t>241.</w:t>
      </w:r>
    </w:p>
  </w:footnote>
  <w:footnote w:id="414">
    <w:p w14:paraId="0E4BB93A" w14:textId="77777777" w:rsidR="00D24EFE" w:rsidRPr="00012C3F" w:rsidRDefault="00D24EFE" w:rsidP="005B52E1">
      <w:pPr>
        <w:tabs>
          <w:tab w:val="left" w:pos="-540"/>
          <w:tab w:val="left" w:pos="426"/>
          <w:tab w:val="left" w:pos="567"/>
        </w:tabs>
        <w:spacing w:after="120" w:line="240" w:lineRule="auto"/>
        <w:rPr>
          <w:rFonts w:cs="Arial"/>
          <w:sz w:val="16"/>
          <w:szCs w:val="16"/>
          <w:lang w:val="en-US"/>
        </w:rPr>
      </w:pPr>
      <w:r w:rsidRPr="00012C3F">
        <w:rPr>
          <w:rStyle w:val="Refdenotaalpie"/>
          <w:rFonts w:eastAsia="MS ????"/>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 xml:space="preserve">Cf. </w:t>
      </w:r>
      <w:r w:rsidRPr="00012C3F">
        <w:rPr>
          <w:bCs/>
          <w:i/>
          <w:sz w:val="16"/>
          <w:szCs w:val="16"/>
          <w:lang w:val="en-US"/>
        </w:rPr>
        <w:t xml:space="preserve">Case of Cantoral Benavides v. Peru. Reparations and costs, supra, </w:t>
      </w:r>
      <w:r w:rsidRPr="00012C3F">
        <w:rPr>
          <w:sz w:val="16"/>
          <w:szCs w:val="16"/>
          <w:lang w:val="en-US"/>
        </w:rPr>
        <w:t xml:space="preserve">para. 53, and </w:t>
      </w:r>
      <w:r w:rsidRPr="00012C3F">
        <w:rPr>
          <w:i/>
          <w:sz w:val="16"/>
          <w:szCs w:val="16"/>
          <w:lang w:val="en-US"/>
        </w:rPr>
        <w:t>Case of Chinchilla Sandoval v. Guatemala, supra</w:t>
      </w:r>
      <w:r w:rsidRPr="00012C3F">
        <w:rPr>
          <w:sz w:val="16"/>
          <w:szCs w:val="16"/>
          <w:lang w:val="en-US"/>
        </w:rPr>
        <w:t>, para. 308</w:t>
      </w:r>
      <w:r w:rsidRPr="00012C3F">
        <w:rPr>
          <w:rFonts w:cs="Arial"/>
          <w:sz w:val="16"/>
          <w:szCs w:val="16"/>
          <w:lang w:val="en-US"/>
        </w:rPr>
        <w:t>.</w:t>
      </w:r>
    </w:p>
  </w:footnote>
  <w:footnote w:id="415">
    <w:p w14:paraId="0A0D9581" w14:textId="77777777" w:rsidR="00D24EFE" w:rsidRPr="00D24EFE" w:rsidRDefault="00D24EFE" w:rsidP="008603DF">
      <w:pPr>
        <w:pStyle w:val="Textonotapie"/>
        <w:tabs>
          <w:tab w:val="left" w:pos="567"/>
          <w:tab w:val="left" w:pos="720"/>
        </w:tabs>
        <w:spacing w:after="120"/>
        <w:rPr>
          <w:sz w:val="16"/>
          <w:szCs w:val="16"/>
          <w:lang w:val="es-CR"/>
        </w:rPr>
      </w:pPr>
      <w:r w:rsidRPr="00012C3F">
        <w:rPr>
          <w:rStyle w:val="Refdenotaalpie"/>
          <w:rFonts w:eastAsia="MS ????"/>
          <w:sz w:val="16"/>
          <w:szCs w:val="16"/>
          <w:lang w:val="en-US"/>
        </w:rPr>
        <w:footnoteRef/>
      </w:r>
      <w:r w:rsidRPr="00012C3F">
        <w:rPr>
          <w:sz w:val="16"/>
          <w:szCs w:val="16"/>
          <w:lang w:val="en-US"/>
        </w:rPr>
        <w:t xml:space="preserve"> </w:t>
      </w:r>
      <w:r w:rsidRPr="00012C3F">
        <w:rPr>
          <w:sz w:val="16"/>
          <w:szCs w:val="16"/>
          <w:lang w:val="en-US"/>
        </w:rPr>
        <w:tab/>
      </w:r>
      <w:r w:rsidRPr="00012C3F">
        <w:rPr>
          <w:bCs/>
          <w:i/>
          <w:sz w:val="16"/>
          <w:szCs w:val="16"/>
          <w:lang w:val="en-US"/>
        </w:rPr>
        <w:t xml:space="preserve">Cf. Case of Garrido and Baigorria v. Argentina. Reparations and costs. </w:t>
      </w:r>
      <w:r w:rsidRPr="00012C3F">
        <w:rPr>
          <w:rStyle w:val="Textoennegrita"/>
          <w:b w:val="0"/>
          <w:color w:val="000000"/>
          <w:sz w:val="16"/>
          <w:szCs w:val="16"/>
          <w:shd w:val="clear" w:color="auto" w:fill="FFFFFF"/>
          <w:lang w:val="en-US"/>
        </w:rPr>
        <w:t xml:space="preserve">Judgment of August 27, 1998. </w:t>
      </w:r>
      <w:r w:rsidRPr="00D24EFE">
        <w:rPr>
          <w:rStyle w:val="Textoennegrita"/>
          <w:b w:val="0"/>
          <w:color w:val="000000"/>
          <w:sz w:val="16"/>
          <w:szCs w:val="16"/>
          <w:shd w:val="clear" w:color="auto" w:fill="FFFFFF"/>
          <w:lang w:val="es-CR"/>
        </w:rPr>
        <w:t>Series C No. 39</w:t>
      </w:r>
      <w:r w:rsidRPr="00D24EFE">
        <w:rPr>
          <w:sz w:val="16"/>
          <w:szCs w:val="16"/>
          <w:lang w:val="es-CR"/>
        </w:rPr>
        <w:t>, para. 82</w:t>
      </w:r>
      <w:r w:rsidRPr="00D24EFE">
        <w:rPr>
          <w:bCs/>
          <w:sz w:val="16"/>
          <w:szCs w:val="16"/>
          <w:lang w:val="es-CR"/>
        </w:rPr>
        <w:t xml:space="preserve">, and </w:t>
      </w:r>
      <w:r w:rsidRPr="00D24EFE">
        <w:rPr>
          <w:rFonts w:cs="Courier New"/>
          <w:i/>
          <w:noProof/>
          <w:sz w:val="16"/>
          <w:szCs w:val="16"/>
          <w:lang w:val="es-CR"/>
        </w:rPr>
        <w:t>Case of Tenorio Roca et al. v. Peru, supra</w:t>
      </w:r>
      <w:r w:rsidRPr="00D24EFE">
        <w:rPr>
          <w:rFonts w:cs="Courier New"/>
          <w:noProof/>
          <w:sz w:val="16"/>
          <w:szCs w:val="16"/>
          <w:lang w:val="es-CR"/>
        </w:rPr>
        <w:t>, para. 342</w:t>
      </w:r>
      <w:r w:rsidRPr="00D24EFE">
        <w:rPr>
          <w:bCs/>
          <w:sz w:val="16"/>
          <w:szCs w:val="16"/>
          <w:lang w:val="es-CR"/>
        </w:rPr>
        <w:t>.</w:t>
      </w:r>
    </w:p>
  </w:footnote>
  <w:footnote w:id="416">
    <w:p w14:paraId="462D2884" w14:textId="77777777" w:rsidR="00D24EFE" w:rsidRPr="00012C3F" w:rsidRDefault="00D24EFE" w:rsidP="005B52E1">
      <w:pPr>
        <w:pStyle w:val="Textonotapie"/>
        <w:tabs>
          <w:tab w:val="left" w:pos="567"/>
          <w:tab w:val="left" w:pos="720"/>
        </w:tabs>
        <w:spacing w:after="120"/>
        <w:rPr>
          <w:sz w:val="16"/>
          <w:szCs w:val="16"/>
          <w:lang w:val="en-US"/>
        </w:rPr>
      </w:pPr>
      <w:r w:rsidRPr="00012C3F">
        <w:rPr>
          <w:rStyle w:val="Refdenotaalpie"/>
          <w:rFonts w:eastAsia="MS ????"/>
          <w:sz w:val="16"/>
          <w:szCs w:val="16"/>
          <w:lang w:val="en-US"/>
        </w:rPr>
        <w:footnoteRef/>
      </w:r>
      <w:r w:rsidRPr="00D24EFE">
        <w:rPr>
          <w:sz w:val="16"/>
          <w:szCs w:val="16"/>
          <w:lang w:val="es-CR"/>
        </w:rPr>
        <w:t xml:space="preserve"> </w:t>
      </w:r>
      <w:r w:rsidRPr="00D24EFE">
        <w:rPr>
          <w:sz w:val="16"/>
          <w:szCs w:val="16"/>
          <w:lang w:val="es-CR"/>
        </w:rPr>
        <w:tab/>
      </w:r>
      <w:r w:rsidRPr="00D24EFE">
        <w:rPr>
          <w:i/>
          <w:sz w:val="16"/>
          <w:szCs w:val="16"/>
          <w:lang w:val="es-CR"/>
        </w:rPr>
        <w:t>Cf.</w:t>
      </w:r>
      <w:r w:rsidRPr="00D24EFE">
        <w:rPr>
          <w:sz w:val="16"/>
          <w:szCs w:val="16"/>
          <w:lang w:val="es-CR"/>
        </w:rPr>
        <w:t xml:space="preserve"> </w:t>
      </w:r>
      <w:r w:rsidRPr="00D24EFE">
        <w:rPr>
          <w:i/>
          <w:sz w:val="16"/>
          <w:szCs w:val="16"/>
          <w:lang w:val="es-CR"/>
        </w:rPr>
        <w:t>Case of Chaparro Álvarez and Lapo Íñiguez v. Ecuador, supra</w:t>
      </w:r>
      <w:r w:rsidRPr="00D24EFE">
        <w:rPr>
          <w:rStyle w:val="Textoennegrita"/>
          <w:b w:val="0"/>
          <w:color w:val="000000"/>
          <w:sz w:val="16"/>
          <w:szCs w:val="16"/>
          <w:shd w:val="clear" w:color="auto" w:fill="FFFFFF"/>
          <w:lang w:val="es-CR"/>
        </w:rPr>
        <w:t>,</w:t>
      </w:r>
      <w:r w:rsidRPr="00D24EFE">
        <w:rPr>
          <w:sz w:val="16"/>
          <w:szCs w:val="16"/>
          <w:lang w:val="es-CR"/>
        </w:rPr>
        <w:t xml:space="preserve"> para. 277, and </w:t>
      </w:r>
      <w:r w:rsidRPr="00D24EFE">
        <w:rPr>
          <w:i/>
          <w:sz w:val="16"/>
          <w:szCs w:val="16"/>
          <w:lang w:val="es-CR"/>
        </w:rPr>
        <w:t>Case of Herrera Espinoza et al. v. Ecuador, supra</w:t>
      </w:r>
      <w:r w:rsidRPr="00D24EFE">
        <w:rPr>
          <w:sz w:val="16"/>
          <w:szCs w:val="16"/>
          <w:lang w:val="es-CR"/>
        </w:rPr>
        <w:t xml:space="preserve">, para. </w:t>
      </w:r>
      <w:r w:rsidRPr="00012C3F">
        <w:rPr>
          <w:sz w:val="16"/>
          <w:szCs w:val="16"/>
          <w:lang w:val="en-US"/>
        </w:rPr>
        <w:t>248</w:t>
      </w:r>
      <w:r w:rsidRPr="00012C3F">
        <w:rPr>
          <w:bCs/>
          <w:sz w:val="16"/>
          <w:szCs w:val="16"/>
          <w:lang w:val="en-US"/>
        </w:rPr>
        <w:t>.</w:t>
      </w:r>
    </w:p>
  </w:footnote>
  <w:footnote w:id="417">
    <w:p w14:paraId="4D7821B3" w14:textId="77777777" w:rsidR="00D24EFE" w:rsidRPr="00012C3F" w:rsidRDefault="00D24EFE" w:rsidP="005B52E1">
      <w:pPr>
        <w:pStyle w:val="Textonotapie"/>
        <w:tabs>
          <w:tab w:val="left" w:pos="567"/>
          <w:tab w:val="left" w:pos="720"/>
        </w:tabs>
        <w:spacing w:after="120"/>
        <w:rPr>
          <w:sz w:val="16"/>
          <w:szCs w:val="16"/>
          <w:lang w:val="en-US"/>
        </w:rPr>
      </w:pPr>
      <w:r w:rsidRPr="00012C3F">
        <w:rPr>
          <w:rStyle w:val="Refdenotaalpie"/>
          <w:rFonts w:eastAsiaTheme="majorEastAsia"/>
          <w:sz w:val="16"/>
          <w:szCs w:val="16"/>
          <w:lang w:val="en-US"/>
        </w:rPr>
        <w:footnoteRef/>
      </w:r>
      <w:r w:rsidRPr="00012C3F">
        <w:rPr>
          <w:sz w:val="16"/>
          <w:szCs w:val="16"/>
          <w:lang w:val="en-US"/>
        </w:rPr>
        <w:t xml:space="preserve"> </w:t>
      </w:r>
      <w:r w:rsidRPr="00012C3F">
        <w:rPr>
          <w:sz w:val="16"/>
          <w:szCs w:val="16"/>
          <w:lang w:val="en-US"/>
        </w:rPr>
        <w:tab/>
      </w:r>
      <w:r w:rsidRPr="00012C3F">
        <w:rPr>
          <w:i/>
          <w:sz w:val="16"/>
          <w:szCs w:val="16"/>
          <w:lang w:val="en-US"/>
        </w:rPr>
        <w:t>Cf. Case of</w:t>
      </w:r>
      <w:r w:rsidRPr="00012C3F">
        <w:rPr>
          <w:sz w:val="16"/>
          <w:szCs w:val="16"/>
          <w:lang w:val="en-US"/>
        </w:rPr>
        <w:t xml:space="preserve"> </w:t>
      </w:r>
      <w:r w:rsidRPr="00012C3F">
        <w:rPr>
          <w:i/>
          <w:sz w:val="16"/>
          <w:szCs w:val="16"/>
          <w:lang w:val="en-US"/>
        </w:rPr>
        <w:t xml:space="preserve">the Xákmok Kásek Indigenous Community v. Paraguay. Merits reparations and costs. </w:t>
      </w:r>
      <w:r w:rsidRPr="00012C3F">
        <w:rPr>
          <w:sz w:val="16"/>
          <w:szCs w:val="16"/>
          <w:lang w:val="en-US"/>
        </w:rPr>
        <w:t xml:space="preserve">Judgment of August 24, 2010. Series C No. 214, para. </w:t>
      </w:r>
      <w:r w:rsidRPr="00D24EFE">
        <w:rPr>
          <w:sz w:val="16"/>
          <w:szCs w:val="16"/>
          <w:lang w:val="es-CR"/>
        </w:rPr>
        <w:t xml:space="preserve">331, and </w:t>
      </w:r>
      <w:r w:rsidRPr="00D24EFE">
        <w:rPr>
          <w:i/>
          <w:sz w:val="16"/>
          <w:szCs w:val="16"/>
          <w:lang w:val="es-CR"/>
        </w:rPr>
        <w:t>Case of Herrera Espinoza et al. v. Ecuador, supra</w:t>
      </w:r>
      <w:r w:rsidRPr="00D24EFE">
        <w:rPr>
          <w:sz w:val="16"/>
          <w:szCs w:val="16"/>
          <w:lang w:val="es-CR"/>
        </w:rPr>
        <w:t xml:space="preserve">, para. </w:t>
      </w:r>
      <w:r w:rsidRPr="00012C3F">
        <w:rPr>
          <w:sz w:val="16"/>
          <w:szCs w:val="16"/>
          <w:lang w:val="en-US"/>
        </w:rPr>
        <w:t>251</w:t>
      </w:r>
      <w:r w:rsidRPr="00012C3F">
        <w:rPr>
          <w:rStyle w:val="Textoennegrita"/>
          <w:b w:val="0"/>
          <w:color w:val="000000"/>
          <w:sz w:val="16"/>
          <w:szCs w:val="16"/>
          <w:shd w:val="clear" w:color="auto" w:fill="FFFFFF"/>
          <w:lang w:val="en-US"/>
        </w:rPr>
        <w:t>.</w:t>
      </w:r>
    </w:p>
  </w:footnote>
  <w:footnote w:id="418">
    <w:p w14:paraId="14B1B063" w14:textId="77777777" w:rsidR="00D24EFE" w:rsidRPr="00012C3F" w:rsidRDefault="00D24EFE" w:rsidP="005B52E1">
      <w:pPr>
        <w:pStyle w:val="Textonotapie"/>
        <w:tabs>
          <w:tab w:val="left" w:pos="567"/>
        </w:tabs>
        <w:spacing w:after="120"/>
        <w:rPr>
          <w:sz w:val="16"/>
          <w:szCs w:val="16"/>
          <w:lang w:val="en-US"/>
        </w:rPr>
      </w:pPr>
      <w:r w:rsidRPr="00012C3F">
        <w:rPr>
          <w:rStyle w:val="Refdenotaalpie"/>
          <w:rFonts w:eastAsia="MS ????"/>
          <w:sz w:val="16"/>
          <w:szCs w:val="16"/>
          <w:lang w:val="en-US"/>
        </w:rPr>
        <w:footnoteRef/>
      </w:r>
      <w:r w:rsidRPr="00012C3F">
        <w:rPr>
          <w:sz w:val="16"/>
          <w:szCs w:val="16"/>
          <w:lang w:val="en-US"/>
        </w:rPr>
        <w:t xml:space="preserve"> </w:t>
      </w:r>
      <w:r w:rsidRPr="00012C3F">
        <w:rPr>
          <w:sz w:val="16"/>
          <w:szCs w:val="16"/>
          <w:lang w:val="en-US"/>
        </w:rPr>
        <w:tab/>
      </w:r>
      <w:bookmarkStart w:id="222" w:name="_Toc200094591"/>
      <w:bookmarkStart w:id="223" w:name="_Toc200283779"/>
      <w:r w:rsidRPr="00012C3F">
        <w:rPr>
          <w:bCs/>
          <w:sz w:val="16"/>
          <w:szCs w:val="16"/>
          <w:lang w:val="en-US"/>
        </w:rPr>
        <w:t>AG/RES. 2426 (XXXVIII-O/08),</w:t>
      </w:r>
      <w:r w:rsidRPr="00012C3F">
        <w:rPr>
          <w:rFonts w:cs="Verdana"/>
          <w:sz w:val="16"/>
          <w:szCs w:val="16"/>
          <w:lang w:val="en-US"/>
        </w:rPr>
        <w:t xml:space="preserve"> </w:t>
      </w:r>
      <w:r w:rsidRPr="00012C3F">
        <w:rPr>
          <w:sz w:val="16"/>
          <w:szCs w:val="16"/>
          <w:lang w:val="en-US"/>
        </w:rPr>
        <w:t>Resolution adopted by the 38</w:t>
      </w:r>
      <w:r w:rsidRPr="00012C3F">
        <w:rPr>
          <w:sz w:val="16"/>
          <w:szCs w:val="16"/>
          <w:vertAlign w:val="superscript"/>
          <w:lang w:val="en-US"/>
        </w:rPr>
        <w:t>th</w:t>
      </w:r>
      <w:r w:rsidRPr="00012C3F">
        <w:rPr>
          <w:sz w:val="16"/>
          <w:szCs w:val="16"/>
          <w:lang w:val="en-US"/>
        </w:rPr>
        <w:t xml:space="preserve"> OAS General Assembly, during the fourth plenary session held on June 3, 2008, “</w:t>
      </w:r>
      <w:r w:rsidRPr="00012C3F">
        <w:rPr>
          <w:i/>
          <w:iCs/>
          <w:sz w:val="16"/>
          <w:szCs w:val="16"/>
          <w:lang w:val="en-US"/>
        </w:rPr>
        <w:t>Establishment of the Legal Assistance Fund of the Inter-American Human Rights System</w:t>
      </w:r>
      <w:r w:rsidRPr="00012C3F">
        <w:rPr>
          <w:sz w:val="16"/>
          <w:szCs w:val="16"/>
          <w:lang w:val="en-US"/>
        </w:rPr>
        <w:t xml:space="preserve">,” Operative paragraph 2(a), </w:t>
      </w:r>
      <w:r w:rsidRPr="00012C3F">
        <w:rPr>
          <w:rFonts w:cs="Verdana"/>
          <w:sz w:val="16"/>
          <w:szCs w:val="16"/>
          <w:lang w:val="en-US"/>
        </w:rPr>
        <w:t xml:space="preserve">and </w:t>
      </w:r>
      <w:r w:rsidRPr="00012C3F">
        <w:rPr>
          <w:sz w:val="16"/>
          <w:szCs w:val="16"/>
          <w:lang w:val="en-US"/>
        </w:rPr>
        <w:t>CP/RES. 963 (1728/09), Resolution adopted on November 11, 2009, by the OAS Permanent Council, “</w:t>
      </w:r>
      <w:r w:rsidRPr="00012C3F">
        <w:rPr>
          <w:i/>
          <w:iCs/>
          <w:sz w:val="16"/>
          <w:szCs w:val="16"/>
          <w:lang w:val="en-US"/>
        </w:rPr>
        <w:t>Rules of Procedure for the Operation of the Legal Assistance Fund of the Inter-American Human Rights System,</w:t>
      </w:r>
      <w:r w:rsidRPr="00012C3F">
        <w:rPr>
          <w:sz w:val="16"/>
          <w:szCs w:val="16"/>
          <w:lang w:val="en-US"/>
        </w:rPr>
        <w:t>” Article 1(1).</w:t>
      </w:r>
      <w:bookmarkEnd w:id="222"/>
      <w:bookmarkEnd w:id="223"/>
    </w:p>
  </w:footnote>
  <w:footnote w:id="419">
    <w:p w14:paraId="7FC89011" w14:textId="77777777" w:rsidR="00D24EFE" w:rsidRPr="00012C3F" w:rsidRDefault="00D24EFE" w:rsidP="00011543">
      <w:pPr>
        <w:pStyle w:val="Textonotapie"/>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Para. 155 of the judgment.</w:t>
      </w:r>
    </w:p>
  </w:footnote>
  <w:footnote w:id="420">
    <w:p w14:paraId="4C4BCEAA" w14:textId="77777777" w:rsidR="00D24EFE" w:rsidRPr="00012C3F" w:rsidRDefault="00D24EFE" w:rsidP="00011543">
      <w:pPr>
        <w:pStyle w:val="Textonotapie"/>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Para. 147 of the judgment.</w:t>
      </w:r>
    </w:p>
  </w:footnote>
  <w:footnote w:id="421">
    <w:p w14:paraId="13443E94" w14:textId="77777777" w:rsidR="00D24EFE" w:rsidRPr="00012C3F" w:rsidRDefault="00D24EFE" w:rsidP="00011543">
      <w:pPr>
        <w:pStyle w:val="Textonotapie"/>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Para. 201 of the judgment.</w:t>
      </w:r>
    </w:p>
  </w:footnote>
  <w:footnote w:id="422">
    <w:p w14:paraId="3C21800B" w14:textId="77777777" w:rsidR="00D24EFE" w:rsidRPr="00012C3F" w:rsidRDefault="00D24EFE" w:rsidP="00011543">
      <w:pPr>
        <w:pStyle w:val="Textonotapie"/>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See para. 204 of the judgment.</w:t>
      </w:r>
    </w:p>
  </w:footnote>
  <w:footnote w:id="423">
    <w:p w14:paraId="6C39FC63" w14:textId="77777777" w:rsidR="00D24EFE" w:rsidRPr="00012C3F" w:rsidRDefault="00D24EFE" w:rsidP="00F45866">
      <w:pPr>
        <w:pStyle w:val="Textonotapie"/>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See, in particular, paras. 147, 157, 158, 163, 165, 187, 205, 209, 235, 243, 300, 305, 332, 340 and 341 of the judgment.</w:t>
      </w:r>
    </w:p>
  </w:footnote>
  <w:footnote w:id="424">
    <w:p w14:paraId="07944C5E" w14:textId="77777777" w:rsidR="00D24EFE" w:rsidRPr="00012C3F" w:rsidRDefault="00D24EFE" w:rsidP="00F45866">
      <w:pPr>
        <w:pStyle w:val="Textonotapie"/>
        <w:tabs>
          <w:tab w:val="left" w:pos="709"/>
        </w:tabs>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Operative paragraphs 8 and 11 of the judgment.</w:t>
      </w:r>
    </w:p>
  </w:footnote>
  <w:footnote w:id="425">
    <w:p w14:paraId="5F4262ED" w14:textId="77777777" w:rsidR="00D24EFE" w:rsidRPr="005C4FFF" w:rsidRDefault="00D24EFE" w:rsidP="00F45866">
      <w:pPr>
        <w:pStyle w:val="Textonotapie"/>
        <w:rPr>
          <w:sz w:val="16"/>
          <w:szCs w:val="16"/>
          <w:lang w:val="en-US"/>
        </w:rPr>
      </w:pPr>
      <w:r w:rsidRPr="00012C3F">
        <w:rPr>
          <w:rStyle w:val="Refdenotaalpie"/>
          <w:sz w:val="16"/>
          <w:szCs w:val="16"/>
          <w:lang w:val="en-US"/>
        </w:rPr>
        <w:footnoteRef/>
      </w:r>
      <w:r w:rsidRPr="00012C3F">
        <w:rPr>
          <w:sz w:val="16"/>
          <w:szCs w:val="16"/>
          <w:lang w:val="en-US"/>
        </w:rPr>
        <w:t xml:space="preserve"> </w:t>
      </w:r>
      <w:r w:rsidRPr="00012C3F">
        <w:rPr>
          <w:sz w:val="16"/>
          <w:szCs w:val="16"/>
          <w:lang w:val="en-US"/>
        </w:rPr>
        <w:tab/>
        <w:t>Thus, from a perspective of the right to health (sexual and reproductive), I understand that, when reference is made to access to information, and through this to informed consent, the intention is not to indicate that matters of lack or scant information in relation to health (sexual and reproductive) has to be analyzed in light of the right of access to information, because in cases of lack of prior informed consent and enforced or involuntary sterilization, it is the right to sexual and reproductive health that is violated directly and, interdependently, access to information, and not vice versa. Informed consent by means of the accessibility of information is a principle and a fundamental right that, in turn, protects personal autonomy, personal liberty, personal dignity, and the right to raise a family and forms part of the right to sexual and reproductive health.</w:t>
      </w:r>
      <w:r w:rsidRPr="005C4FFF">
        <w:rPr>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C6601" w14:textId="77777777" w:rsidR="00D24EFE" w:rsidRPr="006A7984" w:rsidRDefault="00D24EFE" w:rsidP="006A7984">
    <w:pPr>
      <w:pStyle w:val="Encabezado"/>
      <w:jc w:val="center"/>
      <w:rPr>
        <w:rFonts w:ascii="Verdana" w:hAnsi="Verdana"/>
        <w:sz w:val="20"/>
        <w:szCs w:val="20"/>
      </w:rPr>
    </w:pPr>
    <w:r>
      <w:fldChar w:fldCharType="begin"/>
    </w:r>
    <w:r>
      <w:instrText xml:space="preserve"> PAGE   \* MERGEFORMAT </w:instrText>
    </w:r>
    <w:r>
      <w:fldChar w:fldCharType="separate"/>
    </w:r>
    <w:r w:rsidR="00DC7658" w:rsidRPr="00DC7658">
      <w:rPr>
        <w:rFonts w:ascii="Verdana" w:hAnsi="Verdana"/>
        <w:noProof/>
        <w:sz w:val="20"/>
        <w:szCs w:val="20"/>
      </w:rPr>
      <w:t>2</w:t>
    </w:r>
    <w:r>
      <w:rPr>
        <w:rFonts w:ascii="Verdana" w:hAnsi="Verdana"/>
        <w:noProof/>
        <w:sz w:val="20"/>
        <w:szCs w:val="20"/>
      </w:rPr>
      <w:fldChar w:fldCharType="end"/>
    </w:r>
  </w:p>
  <w:p w14:paraId="6A921FCF" w14:textId="77777777" w:rsidR="00D24EFE" w:rsidRPr="00360F95" w:rsidRDefault="00D24EFE">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5BA6"/>
    <w:multiLevelType w:val="hybridMultilevel"/>
    <w:tmpl w:val="8516376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36FB1"/>
    <w:multiLevelType w:val="hybridMultilevel"/>
    <w:tmpl w:val="8CDE8310"/>
    <w:lvl w:ilvl="0" w:tplc="65000EA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A713A2E"/>
    <w:multiLevelType w:val="hybridMultilevel"/>
    <w:tmpl w:val="4FE09AD4"/>
    <w:lvl w:ilvl="0" w:tplc="2684EA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5B5622"/>
    <w:multiLevelType w:val="hybridMultilevel"/>
    <w:tmpl w:val="A68E1DF2"/>
    <w:lvl w:ilvl="0" w:tplc="69D0CB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3C79D1"/>
    <w:multiLevelType w:val="hybridMultilevel"/>
    <w:tmpl w:val="6DD6035A"/>
    <w:lvl w:ilvl="0" w:tplc="EB2A3B76">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66A0258"/>
    <w:multiLevelType w:val="hybridMultilevel"/>
    <w:tmpl w:val="929294EA"/>
    <w:lvl w:ilvl="0" w:tplc="74DA6BAC">
      <w:start w:val="1"/>
      <w:numFmt w:val="decimal"/>
      <w:lvlText w:val="%1."/>
      <w:lvlJc w:val="left"/>
      <w:pPr>
        <w:ind w:left="720" w:hanging="360"/>
      </w:pPr>
      <w:rPr>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E321D19"/>
    <w:multiLevelType w:val="hybridMultilevel"/>
    <w:tmpl w:val="164CC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546BC"/>
    <w:multiLevelType w:val="hybridMultilevel"/>
    <w:tmpl w:val="AD424C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3522D22"/>
    <w:multiLevelType w:val="hybridMultilevel"/>
    <w:tmpl w:val="53D466B0"/>
    <w:lvl w:ilvl="0" w:tplc="A4CEF5D4">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9" w15:restartNumberingAfterBreak="0">
    <w:nsid w:val="23B80EDD"/>
    <w:multiLevelType w:val="hybridMultilevel"/>
    <w:tmpl w:val="1EFADE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57A74DB"/>
    <w:multiLevelType w:val="hybridMultilevel"/>
    <w:tmpl w:val="9F60C734"/>
    <w:lvl w:ilvl="0" w:tplc="140A001B">
      <w:start w:val="1"/>
      <w:numFmt w:val="lowerRoman"/>
      <w:lvlText w:val="%1."/>
      <w:lvlJc w:val="right"/>
      <w:pPr>
        <w:ind w:left="2407" w:hanging="360"/>
      </w:pPr>
    </w:lvl>
    <w:lvl w:ilvl="1" w:tplc="140A0019" w:tentative="1">
      <w:start w:val="1"/>
      <w:numFmt w:val="lowerLetter"/>
      <w:lvlText w:val="%2."/>
      <w:lvlJc w:val="left"/>
      <w:pPr>
        <w:ind w:left="3127" w:hanging="360"/>
      </w:pPr>
    </w:lvl>
    <w:lvl w:ilvl="2" w:tplc="140A001B" w:tentative="1">
      <w:start w:val="1"/>
      <w:numFmt w:val="lowerRoman"/>
      <w:lvlText w:val="%3."/>
      <w:lvlJc w:val="right"/>
      <w:pPr>
        <w:ind w:left="3847" w:hanging="180"/>
      </w:pPr>
    </w:lvl>
    <w:lvl w:ilvl="3" w:tplc="140A000F" w:tentative="1">
      <w:start w:val="1"/>
      <w:numFmt w:val="decimal"/>
      <w:lvlText w:val="%4."/>
      <w:lvlJc w:val="left"/>
      <w:pPr>
        <w:ind w:left="4567" w:hanging="360"/>
      </w:pPr>
    </w:lvl>
    <w:lvl w:ilvl="4" w:tplc="140A0019" w:tentative="1">
      <w:start w:val="1"/>
      <w:numFmt w:val="lowerLetter"/>
      <w:lvlText w:val="%5."/>
      <w:lvlJc w:val="left"/>
      <w:pPr>
        <w:ind w:left="5287" w:hanging="360"/>
      </w:pPr>
    </w:lvl>
    <w:lvl w:ilvl="5" w:tplc="140A001B" w:tentative="1">
      <w:start w:val="1"/>
      <w:numFmt w:val="lowerRoman"/>
      <w:lvlText w:val="%6."/>
      <w:lvlJc w:val="right"/>
      <w:pPr>
        <w:ind w:left="6007" w:hanging="180"/>
      </w:pPr>
    </w:lvl>
    <w:lvl w:ilvl="6" w:tplc="140A000F" w:tentative="1">
      <w:start w:val="1"/>
      <w:numFmt w:val="decimal"/>
      <w:lvlText w:val="%7."/>
      <w:lvlJc w:val="left"/>
      <w:pPr>
        <w:ind w:left="6727" w:hanging="360"/>
      </w:pPr>
    </w:lvl>
    <w:lvl w:ilvl="7" w:tplc="140A0019" w:tentative="1">
      <w:start w:val="1"/>
      <w:numFmt w:val="lowerLetter"/>
      <w:lvlText w:val="%8."/>
      <w:lvlJc w:val="left"/>
      <w:pPr>
        <w:ind w:left="7447" w:hanging="360"/>
      </w:pPr>
    </w:lvl>
    <w:lvl w:ilvl="8" w:tplc="140A001B" w:tentative="1">
      <w:start w:val="1"/>
      <w:numFmt w:val="lowerRoman"/>
      <w:lvlText w:val="%9."/>
      <w:lvlJc w:val="right"/>
      <w:pPr>
        <w:ind w:left="8167" w:hanging="180"/>
      </w:pPr>
    </w:lvl>
  </w:abstractNum>
  <w:abstractNum w:abstractNumId="11" w15:restartNumberingAfterBreak="0">
    <w:nsid w:val="2BF50802"/>
    <w:multiLevelType w:val="hybridMultilevel"/>
    <w:tmpl w:val="1D0CBE3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C6144C9"/>
    <w:multiLevelType w:val="hybridMultilevel"/>
    <w:tmpl w:val="F13298A0"/>
    <w:lvl w:ilvl="0" w:tplc="E1BEE306">
      <w:start w:val="1"/>
      <w:numFmt w:val="decimal"/>
      <w:lvlText w:val="%1."/>
      <w:lvlJc w:val="left"/>
      <w:pPr>
        <w:tabs>
          <w:tab w:val="num" w:pos="12305"/>
        </w:tabs>
      </w:pPr>
      <w:rPr>
        <w:rFonts w:ascii="Verdana" w:eastAsia="Times New Roman" w:hAnsi="Verdana"/>
        <w:b w:val="0"/>
        <w:bCs w:val="0"/>
        <w:i w:val="0"/>
        <w:iCs w:val="0"/>
        <w:strike w:val="0"/>
        <w:color w:val="auto"/>
        <w:sz w:val="20"/>
        <w:szCs w:val="20"/>
        <w:lang w:val="es-ES"/>
      </w:rPr>
    </w:lvl>
    <w:lvl w:ilvl="1" w:tplc="24763DA6">
      <w:start w:val="1"/>
      <w:numFmt w:val="lowerLetter"/>
      <w:lvlText w:val="%2)"/>
      <w:lvlJc w:val="left"/>
      <w:pPr>
        <w:tabs>
          <w:tab w:val="num" w:pos="1080"/>
        </w:tabs>
        <w:ind w:left="1080" w:hanging="360"/>
      </w:pPr>
      <w:rPr>
        <w:rFonts w:hint="default"/>
        <w:b/>
        <w:bCs w:val="0"/>
        <w:i/>
        <w:iCs w:val="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26B0358"/>
    <w:multiLevelType w:val="hybridMultilevel"/>
    <w:tmpl w:val="E006F28E"/>
    <w:lvl w:ilvl="0" w:tplc="CA887024">
      <w:start w:val="1"/>
      <w:numFmt w:val="decimal"/>
      <w:lvlText w:val="%1."/>
      <w:lvlJc w:val="left"/>
      <w:pPr>
        <w:ind w:left="360" w:hanging="360"/>
      </w:pPr>
      <w:rPr>
        <w:rFonts w:ascii="Verdana" w:hAnsi="Verdana" w:hint="default"/>
        <w:b w:val="0"/>
        <w:color w:val="auto"/>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4765C3C"/>
    <w:multiLevelType w:val="hybridMultilevel"/>
    <w:tmpl w:val="7FFA18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6C60B6E"/>
    <w:multiLevelType w:val="hybridMultilevel"/>
    <w:tmpl w:val="E930739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8014392"/>
    <w:multiLevelType w:val="hybridMultilevel"/>
    <w:tmpl w:val="E3966DC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7" w15:restartNumberingAfterBreak="0">
    <w:nsid w:val="40110BA6"/>
    <w:multiLevelType w:val="hybridMultilevel"/>
    <w:tmpl w:val="65DAD65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3AE2362"/>
    <w:multiLevelType w:val="hybridMultilevel"/>
    <w:tmpl w:val="18CC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AE4291"/>
    <w:multiLevelType w:val="hybridMultilevel"/>
    <w:tmpl w:val="2FD2D1E6"/>
    <w:lvl w:ilvl="0" w:tplc="140A0015">
      <w:start w:val="1"/>
      <w:numFmt w:val="upperLetter"/>
      <w:lvlText w:val="%1."/>
      <w:lvlJc w:val="left"/>
      <w:pPr>
        <w:ind w:left="2112" w:hanging="360"/>
      </w:pPr>
    </w:lvl>
    <w:lvl w:ilvl="1" w:tplc="140A0019">
      <w:start w:val="1"/>
      <w:numFmt w:val="lowerLetter"/>
      <w:lvlText w:val="%2."/>
      <w:lvlJc w:val="left"/>
      <w:pPr>
        <w:ind w:left="2832" w:hanging="360"/>
      </w:pPr>
    </w:lvl>
    <w:lvl w:ilvl="2" w:tplc="140A001B" w:tentative="1">
      <w:start w:val="1"/>
      <w:numFmt w:val="lowerRoman"/>
      <w:lvlText w:val="%3."/>
      <w:lvlJc w:val="right"/>
      <w:pPr>
        <w:ind w:left="3552" w:hanging="180"/>
      </w:pPr>
    </w:lvl>
    <w:lvl w:ilvl="3" w:tplc="140A000F" w:tentative="1">
      <w:start w:val="1"/>
      <w:numFmt w:val="decimal"/>
      <w:lvlText w:val="%4."/>
      <w:lvlJc w:val="left"/>
      <w:pPr>
        <w:ind w:left="4272" w:hanging="360"/>
      </w:pPr>
    </w:lvl>
    <w:lvl w:ilvl="4" w:tplc="140A0019" w:tentative="1">
      <w:start w:val="1"/>
      <w:numFmt w:val="lowerLetter"/>
      <w:lvlText w:val="%5."/>
      <w:lvlJc w:val="left"/>
      <w:pPr>
        <w:ind w:left="4992" w:hanging="360"/>
      </w:pPr>
    </w:lvl>
    <w:lvl w:ilvl="5" w:tplc="140A001B" w:tentative="1">
      <w:start w:val="1"/>
      <w:numFmt w:val="lowerRoman"/>
      <w:lvlText w:val="%6."/>
      <w:lvlJc w:val="right"/>
      <w:pPr>
        <w:ind w:left="5712" w:hanging="180"/>
      </w:pPr>
    </w:lvl>
    <w:lvl w:ilvl="6" w:tplc="140A000F" w:tentative="1">
      <w:start w:val="1"/>
      <w:numFmt w:val="decimal"/>
      <w:lvlText w:val="%7."/>
      <w:lvlJc w:val="left"/>
      <w:pPr>
        <w:ind w:left="6432" w:hanging="360"/>
      </w:pPr>
    </w:lvl>
    <w:lvl w:ilvl="7" w:tplc="140A0019" w:tentative="1">
      <w:start w:val="1"/>
      <w:numFmt w:val="lowerLetter"/>
      <w:lvlText w:val="%8."/>
      <w:lvlJc w:val="left"/>
      <w:pPr>
        <w:ind w:left="7152" w:hanging="360"/>
      </w:pPr>
    </w:lvl>
    <w:lvl w:ilvl="8" w:tplc="140A001B" w:tentative="1">
      <w:start w:val="1"/>
      <w:numFmt w:val="lowerRoman"/>
      <w:lvlText w:val="%9."/>
      <w:lvlJc w:val="right"/>
      <w:pPr>
        <w:ind w:left="7872" w:hanging="180"/>
      </w:pPr>
    </w:lvl>
  </w:abstractNum>
  <w:abstractNum w:abstractNumId="20" w15:restartNumberingAfterBreak="0">
    <w:nsid w:val="4B9E40FA"/>
    <w:multiLevelType w:val="hybridMultilevel"/>
    <w:tmpl w:val="C0E0C6BA"/>
    <w:lvl w:ilvl="0" w:tplc="CE66988C">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C616A91"/>
    <w:multiLevelType w:val="hybridMultilevel"/>
    <w:tmpl w:val="EAC2DC10"/>
    <w:lvl w:ilvl="0" w:tplc="7FF08C90">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DC94DA0"/>
    <w:multiLevelType w:val="hybridMultilevel"/>
    <w:tmpl w:val="689247F2"/>
    <w:lvl w:ilvl="0" w:tplc="BC42D3E6">
      <w:start w:val="1"/>
      <w:numFmt w:val="decimal"/>
      <w:lvlText w:val="%1."/>
      <w:lvlJc w:val="left"/>
      <w:pPr>
        <w:ind w:left="360" w:hanging="360"/>
      </w:pPr>
      <w:rPr>
        <w:rFonts w:ascii="Verdana" w:hAnsi="Verdana" w:hint="default"/>
        <w:b w:val="0"/>
        <w:i w:val="0"/>
        <w:sz w:val="20"/>
        <w:szCs w:val="20"/>
        <w:vertAlign w:val="baseline"/>
      </w:rPr>
    </w:lvl>
    <w:lvl w:ilvl="1" w:tplc="0C0A0019">
      <w:start w:val="1"/>
      <w:numFmt w:val="lowerLetter"/>
      <w:lvlText w:val="%2."/>
      <w:lvlJc w:val="left"/>
      <w:pPr>
        <w:ind w:left="5132" w:hanging="360"/>
      </w:pPr>
    </w:lvl>
    <w:lvl w:ilvl="2" w:tplc="F9549E00">
      <w:start w:val="34"/>
      <w:numFmt w:val="bullet"/>
      <w:lvlText w:val="-"/>
      <w:lvlJc w:val="left"/>
      <w:pPr>
        <w:ind w:left="6032" w:hanging="360"/>
      </w:pPr>
      <w:rPr>
        <w:rFonts w:ascii="Verdana" w:eastAsiaTheme="minorEastAsia" w:hAnsi="Verdana" w:cs="Times New Roman" w:hint="default"/>
      </w:rPr>
    </w:lvl>
    <w:lvl w:ilvl="3" w:tplc="0C0A000F" w:tentative="1">
      <w:start w:val="1"/>
      <w:numFmt w:val="decimal"/>
      <w:lvlText w:val="%4."/>
      <w:lvlJc w:val="left"/>
      <w:pPr>
        <w:ind w:left="6572" w:hanging="360"/>
      </w:pPr>
    </w:lvl>
    <w:lvl w:ilvl="4" w:tplc="0C0A0019" w:tentative="1">
      <w:start w:val="1"/>
      <w:numFmt w:val="lowerLetter"/>
      <w:lvlText w:val="%5."/>
      <w:lvlJc w:val="left"/>
      <w:pPr>
        <w:ind w:left="7292" w:hanging="360"/>
      </w:pPr>
    </w:lvl>
    <w:lvl w:ilvl="5" w:tplc="0C0A001B" w:tentative="1">
      <w:start w:val="1"/>
      <w:numFmt w:val="lowerRoman"/>
      <w:lvlText w:val="%6."/>
      <w:lvlJc w:val="right"/>
      <w:pPr>
        <w:ind w:left="8012" w:hanging="180"/>
      </w:pPr>
    </w:lvl>
    <w:lvl w:ilvl="6" w:tplc="0C0A000F" w:tentative="1">
      <w:start w:val="1"/>
      <w:numFmt w:val="decimal"/>
      <w:lvlText w:val="%7."/>
      <w:lvlJc w:val="left"/>
      <w:pPr>
        <w:ind w:left="8732" w:hanging="360"/>
      </w:pPr>
    </w:lvl>
    <w:lvl w:ilvl="7" w:tplc="0C0A0019" w:tentative="1">
      <w:start w:val="1"/>
      <w:numFmt w:val="lowerLetter"/>
      <w:lvlText w:val="%8."/>
      <w:lvlJc w:val="left"/>
      <w:pPr>
        <w:ind w:left="9452" w:hanging="360"/>
      </w:pPr>
    </w:lvl>
    <w:lvl w:ilvl="8" w:tplc="0C0A001B" w:tentative="1">
      <w:start w:val="1"/>
      <w:numFmt w:val="lowerRoman"/>
      <w:lvlText w:val="%9."/>
      <w:lvlJc w:val="right"/>
      <w:pPr>
        <w:ind w:left="10172" w:hanging="180"/>
      </w:pPr>
    </w:lvl>
  </w:abstractNum>
  <w:abstractNum w:abstractNumId="23" w15:restartNumberingAfterBreak="0">
    <w:nsid w:val="53E06E32"/>
    <w:multiLevelType w:val="hybridMultilevel"/>
    <w:tmpl w:val="178EEAA6"/>
    <w:lvl w:ilvl="0" w:tplc="47AABC80">
      <w:start w:val="1"/>
      <w:numFmt w:val="decimal"/>
      <w:lvlText w:val="%1."/>
      <w:lvlJc w:val="left"/>
      <w:pPr>
        <w:tabs>
          <w:tab w:val="num" w:pos="5057"/>
        </w:tabs>
      </w:pPr>
      <w:rPr>
        <w:rFonts w:ascii="Verdana" w:eastAsia="Times New Roman" w:hAnsi="Verdana" w:cs="Times New Roman" w:hint="default"/>
        <w:b w:val="0"/>
        <w:i w:val="0"/>
        <w:strike w:val="0"/>
        <w:color w:val="auto"/>
        <w:sz w:val="20"/>
        <w:lang w:val="es-CR"/>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4" w15:restartNumberingAfterBreak="0">
    <w:nsid w:val="56164B7C"/>
    <w:multiLevelType w:val="hybridMultilevel"/>
    <w:tmpl w:val="8CC26DFC"/>
    <w:lvl w:ilvl="0" w:tplc="CF9AFCBE">
      <w:start w:val="1"/>
      <w:numFmt w:val="lowerLetter"/>
      <w:lvlText w:val="%1)"/>
      <w:lvlJc w:val="left"/>
      <w:pPr>
        <w:ind w:left="818" w:hanging="360"/>
      </w:pPr>
      <w:rPr>
        <w:color w:val="auto"/>
      </w:rPr>
    </w:lvl>
    <w:lvl w:ilvl="1" w:tplc="140A0019">
      <w:start w:val="1"/>
      <w:numFmt w:val="lowerLetter"/>
      <w:lvlText w:val="%2."/>
      <w:lvlJc w:val="left"/>
      <w:pPr>
        <w:ind w:left="1538" w:hanging="360"/>
      </w:pPr>
    </w:lvl>
    <w:lvl w:ilvl="2" w:tplc="140A001B">
      <w:start w:val="1"/>
      <w:numFmt w:val="lowerRoman"/>
      <w:lvlText w:val="%3."/>
      <w:lvlJc w:val="right"/>
      <w:pPr>
        <w:ind w:left="2258" w:hanging="180"/>
      </w:pPr>
    </w:lvl>
    <w:lvl w:ilvl="3" w:tplc="140A000F">
      <w:start w:val="1"/>
      <w:numFmt w:val="decimal"/>
      <w:lvlText w:val="%4."/>
      <w:lvlJc w:val="left"/>
      <w:pPr>
        <w:ind w:left="2978" w:hanging="360"/>
      </w:pPr>
    </w:lvl>
    <w:lvl w:ilvl="4" w:tplc="140A0019">
      <w:start w:val="1"/>
      <w:numFmt w:val="lowerLetter"/>
      <w:lvlText w:val="%5."/>
      <w:lvlJc w:val="left"/>
      <w:pPr>
        <w:ind w:left="3698" w:hanging="360"/>
      </w:pPr>
    </w:lvl>
    <w:lvl w:ilvl="5" w:tplc="140A001B">
      <w:start w:val="1"/>
      <w:numFmt w:val="lowerRoman"/>
      <w:lvlText w:val="%6."/>
      <w:lvlJc w:val="right"/>
      <w:pPr>
        <w:ind w:left="4418" w:hanging="180"/>
      </w:pPr>
    </w:lvl>
    <w:lvl w:ilvl="6" w:tplc="140A000F">
      <w:start w:val="1"/>
      <w:numFmt w:val="decimal"/>
      <w:lvlText w:val="%7."/>
      <w:lvlJc w:val="left"/>
      <w:pPr>
        <w:ind w:left="5138" w:hanging="360"/>
      </w:pPr>
    </w:lvl>
    <w:lvl w:ilvl="7" w:tplc="140A0019">
      <w:start w:val="1"/>
      <w:numFmt w:val="lowerLetter"/>
      <w:lvlText w:val="%8."/>
      <w:lvlJc w:val="left"/>
      <w:pPr>
        <w:ind w:left="5858" w:hanging="360"/>
      </w:pPr>
    </w:lvl>
    <w:lvl w:ilvl="8" w:tplc="140A001B">
      <w:start w:val="1"/>
      <w:numFmt w:val="lowerRoman"/>
      <w:lvlText w:val="%9."/>
      <w:lvlJc w:val="right"/>
      <w:pPr>
        <w:ind w:left="6578" w:hanging="180"/>
      </w:pPr>
    </w:lvl>
  </w:abstractNum>
  <w:abstractNum w:abstractNumId="25" w15:restartNumberingAfterBreak="0">
    <w:nsid w:val="562A4B8D"/>
    <w:multiLevelType w:val="hybridMultilevel"/>
    <w:tmpl w:val="CC743B3C"/>
    <w:lvl w:ilvl="0" w:tplc="C58AE2D0">
      <w:start w:val="1"/>
      <w:numFmt w:val="decimal"/>
      <w:lvlText w:val="%1."/>
      <w:lvlJc w:val="left"/>
      <w:pPr>
        <w:ind w:left="360" w:hanging="360"/>
      </w:pPr>
      <w:rPr>
        <w:b w:val="0"/>
        <w:i w:val="0"/>
        <w:color w:val="auto"/>
        <w:sz w:val="20"/>
        <w:szCs w:val="20"/>
        <w:vertAlign w:val="baseline"/>
        <w:lang w:val="es-ES_tradnl"/>
      </w:rPr>
    </w:lvl>
    <w:lvl w:ilvl="1" w:tplc="CA7A39D2">
      <w:start w:val="1"/>
      <w:numFmt w:val="lowerLetter"/>
      <w:lvlText w:val="%2."/>
      <w:lvlJc w:val="left"/>
      <w:pPr>
        <w:ind w:left="1440" w:hanging="360"/>
      </w:pPr>
      <w:rPr>
        <w:color w:val="auto"/>
      </w:rPr>
    </w:lvl>
    <w:lvl w:ilvl="2" w:tplc="18A029C2">
      <w:start w:val="1"/>
      <w:numFmt w:val="decimal"/>
      <w:lvlText w:val="%3."/>
      <w:lvlJc w:val="right"/>
      <w:pPr>
        <w:ind w:left="2160" w:hanging="180"/>
      </w:pPr>
      <w:rPr>
        <w:rFonts w:ascii="Verdana" w:eastAsia="Times New Roman" w:hAnsi="Verdana" w:cs="Times New Roman"/>
      </w:rPr>
    </w:lvl>
    <w:lvl w:ilvl="3" w:tplc="D9B6BD20">
      <w:start w:val="2"/>
      <w:numFmt w:val="lowerRoman"/>
      <w:lvlText w:val="%4."/>
      <w:lvlJc w:val="left"/>
      <w:pPr>
        <w:ind w:left="3240" w:hanging="720"/>
      </w:pPr>
      <w:rPr>
        <w:rFonts w:hint="default"/>
        <w:i/>
      </w:r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657205B"/>
    <w:multiLevelType w:val="singleLevel"/>
    <w:tmpl w:val="B9326BBC"/>
    <w:lvl w:ilvl="0">
      <w:start w:val="1"/>
      <w:numFmt w:val="decimal"/>
      <w:lvlText w:val="%1."/>
      <w:lvlJc w:val="left"/>
      <w:pPr>
        <w:tabs>
          <w:tab w:val="num" w:pos="720"/>
        </w:tabs>
        <w:ind w:left="720" w:hanging="720"/>
      </w:pPr>
      <w:rPr>
        <w:rFonts w:ascii="Cambria" w:hAnsi="Cambria" w:hint="default"/>
        <w:b w:val="0"/>
        <w:i w:val="0"/>
        <w:sz w:val="20"/>
        <w:szCs w:val="20"/>
      </w:rPr>
    </w:lvl>
  </w:abstractNum>
  <w:abstractNum w:abstractNumId="27" w15:restartNumberingAfterBreak="0">
    <w:nsid w:val="60BE27F1"/>
    <w:multiLevelType w:val="hybridMultilevel"/>
    <w:tmpl w:val="FA2613DC"/>
    <w:lvl w:ilvl="0" w:tplc="3B348E3A">
      <w:start w:val="1"/>
      <w:numFmt w:val="decimal"/>
      <w:lvlText w:val="%1."/>
      <w:lvlJc w:val="left"/>
      <w:pPr>
        <w:ind w:left="720"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1F71BDD"/>
    <w:multiLevelType w:val="hybridMultilevel"/>
    <w:tmpl w:val="BCBAC7C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2412FDD"/>
    <w:multiLevelType w:val="hybridMultilevel"/>
    <w:tmpl w:val="2FD2D1E6"/>
    <w:lvl w:ilvl="0" w:tplc="140A0015">
      <w:start w:val="1"/>
      <w:numFmt w:val="upperLetter"/>
      <w:lvlText w:val="%1."/>
      <w:lvlJc w:val="left"/>
      <w:pPr>
        <w:ind w:left="2112" w:hanging="360"/>
      </w:pPr>
    </w:lvl>
    <w:lvl w:ilvl="1" w:tplc="140A0019">
      <w:start w:val="1"/>
      <w:numFmt w:val="lowerLetter"/>
      <w:lvlText w:val="%2."/>
      <w:lvlJc w:val="left"/>
      <w:pPr>
        <w:ind w:left="2832" w:hanging="360"/>
      </w:pPr>
    </w:lvl>
    <w:lvl w:ilvl="2" w:tplc="140A001B" w:tentative="1">
      <w:start w:val="1"/>
      <w:numFmt w:val="lowerRoman"/>
      <w:lvlText w:val="%3."/>
      <w:lvlJc w:val="right"/>
      <w:pPr>
        <w:ind w:left="3552" w:hanging="180"/>
      </w:pPr>
    </w:lvl>
    <w:lvl w:ilvl="3" w:tplc="140A000F" w:tentative="1">
      <w:start w:val="1"/>
      <w:numFmt w:val="decimal"/>
      <w:lvlText w:val="%4."/>
      <w:lvlJc w:val="left"/>
      <w:pPr>
        <w:ind w:left="4272" w:hanging="360"/>
      </w:pPr>
    </w:lvl>
    <w:lvl w:ilvl="4" w:tplc="140A0019" w:tentative="1">
      <w:start w:val="1"/>
      <w:numFmt w:val="lowerLetter"/>
      <w:lvlText w:val="%5."/>
      <w:lvlJc w:val="left"/>
      <w:pPr>
        <w:ind w:left="4992" w:hanging="360"/>
      </w:pPr>
    </w:lvl>
    <w:lvl w:ilvl="5" w:tplc="140A001B" w:tentative="1">
      <w:start w:val="1"/>
      <w:numFmt w:val="lowerRoman"/>
      <w:lvlText w:val="%6."/>
      <w:lvlJc w:val="right"/>
      <w:pPr>
        <w:ind w:left="5712" w:hanging="180"/>
      </w:pPr>
    </w:lvl>
    <w:lvl w:ilvl="6" w:tplc="140A000F" w:tentative="1">
      <w:start w:val="1"/>
      <w:numFmt w:val="decimal"/>
      <w:lvlText w:val="%7."/>
      <w:lvlJc w:val="left"/>
      <w:pPr>
        <w:ind w:left="6432" w:hanging="360"/>
      </w:pPr>
    </w:lvl>
    <w:lvl w:ilvl="7" w:tplc="140A0019" w:tentative="1">
      <w:start w:val="1"/>
      <w:numFmt w:val="lowerLetter"/>
      <w:lvlText w:val="%8."/>
      <w:lvlJc w:val="left"/>
      <w:pPr>
        <w:ind w:left="7152" w:hanging="360"/>
      </w:pPr>
    </w:lvl>
    <w:lvl w:ilvl="8" w:tplc="140A001B" w:tentative="1">
      <w:start w:val="1"/>
      <w:numFmt w:val="lowerRoman"/>
      <w:lvlText w:val="%9."/>
      <w:lvlJc w:val="right"/>
      <w:pPr>
        <w:ind w:left="7872" w:hanging="180"/>
      </w:pPr>
    </w:lvl>
  </w:abstractNum>
  <w:abstractNum w:abstractNumId="30" w15:restartNumberingAfterBreak="0">
    <w:nsid w:val="644D24C7"/>
    <w:multiLevelType w:val="hybridMultilevel"/>
    <w:tmpl w:val="4D5AC696"/>
    <w:lvl w:ilvl="0" w:tplc="3C38A242">
      <w:start w:val="1"/>
      <w:numFmt w:val="lowerRoman"/>
      <w:lvlText w:val="%1."/>
      <w:lvlJc w:val="left"/>
      <w:pPr>
        <w:ind w:left="2407" w:hanging="720"/>
      </w:pPr>
    </w:lvl>
    <w:lvl w:ilvl="1" w:tplc="140A0019">
      <w:start w:val="1"/>
      <w:numFmt w:val="lowerLetter"/>
      <w:lvlText w:val="%2."/>
      <w:lvlJc w:val="left"/>
      <w:pPr>
        <w:ind w:left="2767" w:hanging="360"/>
      </w:pPr>
    </w:lvl>
    <w:lvl w:ilvl="2" w:tplc="140A001B">
      <w:start w:val="1"/>
      <w:numFmt w:val="lowerRoman"/>
      <w:lvlText w:val="%3."/>
      <w:lvlJc w:val="right"/>
      <w:pPr>
        <w:ind w:left="3487" w:hanging="180"/>
      </w:pPr>
    </w:lvl>
    <w:lvl w:ilvl="3" w:tplc="140A000F">
      <w:start w:val="1"/>
      <w:numFmt w:val="decimal"/>
      <w:lvlText w:val="%4."/>
      <w:lvlJc w:val="left"/>
      <w:pPr>
        <w:ind w:left="4207" w:hanging="360"/>
      </w:pPr>
    </w:lvl>
    <w:lvl w:ilvl="4" w:tplc="140A0019">
      <w:start w:val="1"/>
      <w:numFmt w:val="lowerLetter"/>
      <w:lvlText w:val="%5."/>
      <w:lvlJc w:val="left"/>
      <w:pPr>
        <w:ind w:left="4927" w:hanging="360"/>
      </w:pPr>
    </w:lvl>
    <w:lvl w:ilvl="5" w:tplc="140A001B">
      <w:start w:val="1"/>
      <w:numFmt w:val="lowerRoman"/>
      <w:lvlText w:val="%6."/>
      <w:lvlJc w:val="right"/>
      <w:pPr>
        <w:ind w:left="5647" w:hanging="180"/>
      </w:pPr>
    </w:lvl>
    <w:lvl w:ilvl="6" w:tplc="140A000F">
      <w:start w:val="1"/>
      <w:numFmt w:val="decimal"/>
      <w:lvlText w:val="%7."/>
      <w:lvlJc w:val="left"/>
      <w:pPr>
        <w:ind w:left="6367" w:hanging="360"/>
      </w:pPr>
    </w:lvl>
    <w:lvl w:ilvl="7" w:tplc="140A0019">
      <w:start w:val="1"/>
      <w:numFmt w:val="lowerLetter"/>
      <w:lvlText w:val="%8."/>
      <w:lvlJc w:val="left"/>
      <w:pPr>
        <w:ind w:left="7087" w:hanging="360"/>
      </w:pPr>
    </w:lvl>
    <w:lvl w:ilvl="8" w:tplc="140A001B">
      <w:start w:val="1"/>
      <w:numFmt w:val="lowerRoman"/>
      <w:lvlText w:val="%9."/>
      <w:lvlJc w:val="right"/>
      <w:pPr>
        <w:ind w:left="7807" w:hanging="180"/>
      </w:pPr>
    </w:lvl>
  </w:abstractNum>
  <w:abstractNum w:abstractNumId="31" w15:restartNumberingAfterBreak="0">
    <w:nsid w:val="6450298B"/>
    <w:multiLevelType w:val="hybridMultilevel"/>
    <w:tmpl w:val="30B27332"/>
    <w:lvl w:ilvl="0" w:tplc="DD687880">
      <w:start w:val="1"/>
      <w:numFmt w:val="decimal"/>
      <w:lvlText w:val="%1."/>
      <w:lvlJc w:val="left"/>
      <w:pPr>
        <w:ind w:left="1710" w:hanging="360"/>
      </w:pPr>
      <w:rPr>
        <w:rFonts w:ascii="Verdana" w:hAnsi="Verdana" w:hint="default"/>
        <w:b w:val="0"/>
        <w:i w:val="0"/>
        <w:color w:val="auto"/>
        <w:sz w:val="20"/>
        <w:szCs w:val="20"/>
      </w:rPr>
    </w:lvl>
    <w:lvl w:ilvl="1" w:tplc="E088421C">
      <w:start w:val="1"/>
      <w:numFmt w:val="lowerLetter"/>
      <w:lvlText w:val="%2)"/>
      <w:lvlJc w:val="left"/>
      <w:pPr>
        <w:ind w:left="1440" w:hanging="360"/>
      </w:pPr>
      <w:rPr>
        <w:rFonts w:hint="default"/>
        <w:i/>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A40692B"/>
    <w:multiLevelType w:val="hybridMultilevel"/>
    <w:tmpl w:val="384C4D1C"/>
    <w:lvl w:ilvl="0" w:tplc="70A267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401C77"/>
    <w:multiLevelType w:val="hybridMultilevel"/>
    <w:tmpl w:val="855EF884"/>
    <w:lvl w:ilvl="0" w:tplc="140A0019">
      <w:start w:val="1"/>
      <w:numFmt w:val="lowerLetter"/>
      <w:lvlText w:val="%1."/>
      <w:lvlJc w:val="left"/>
      <w:pPr>
        <w:ind w:left="1900" w:hanging="360"/>
      </w:pPr>
    </w:lvl>
    <w:lvl w:ilvl="1" w:tplc="140A0019" w:tentative="1">
      <w:start w:val="1"/>
      <w:numFmt w:val="lowerLetter"/>
      <w:lvlText w:val="%2."/>
      <w:lvlJc w:val="left"/>
      <w:pPr>
        <w:ind w:left="2620" w:hanging="360"/>
      </w:pPr>
    </w:lvl>
    <w:lvl w:ilvl="2" w:tplc="140A001B" w:tentative="1">
      <w:start w:val="1"/>
      <w:numFmt w:val="lowerRoman"/>
      <w:lvlText w:val="%3."/>
      <w:lvlJc w:val="right"/>
      <w:pPr>
        <w:ind w:left="3340" w:hanging="180"/>
      </w:pPr>
    </w:lvl>
    <w:lvl w:ilvl="3" w:tplc="140A000F" w:tentative="1">
      <w:start w:val="1"/>
      <w:numFmt w:val="decimal"/>
      <w:lvlText w:val="%4."/>
      <w:lvlJc w:val="left"/>
      <w:pPr>
        <w:ind w:left="4060" w:hanging="360"/>
      </w:pPr>
    </w:lvl>
    <w:lvl w:ilvl="4" w:tplc="140A0019" w:tentative="1">
      <w:start w:val="1"/>
      <w:numFmt w:val="lowerLetter"/>
      <w:lvlText w:val="%5."/>
      <w:lvlJc w:val="left"/>
      <w:pPr>
        <w:ind w:left="4780" w:hanging="360"/>
      </w:pPr>
    </w:lvl>
    <w:lvl w:ilvl="5" w:tplc="140A001B" w:tentative="1">
      <w:start w:val="1"/>
      <w:numFmt w:val="lowerRoman"/>
      <w:lvlText w:val="%6."/>
      <w:lvlJc w:val="right"/>
      <w:pPr>
        <w:ind w:left="5500" w:hanging="180"/>
      </w:pPr>
    </w:lvl>
    <w:lvl w:ilvl="6" w:tplc="140A000F" w:tentative="1">
      <w:start w:val="1"/>
      <w:numFmt w:val="decimal"/>
      <w:lvlText w:val="%7."/>
      <w:lvlJc w:val="left"/>
      <w:pPr>
        <w:ind w:left="6220" w:hanging="360"/>
      </w:pPr>
    </w:lvl>
    <w:lvl w:ilvl="7" w:tplc="140A0019" w:tentative="1">
      <w:start w:val="1"/>
      <w:numFmt w:val="lowerLetter"/>
      <w:lvlText w:val="%8."/>
      <w:lvlJc w:val="left"/>
      <w:pPr>
        <w:ind w:left="6940" w:hanging="360"/>
      </w:pPr>
    </w:lvl>
    <w:lvl w:ilvl="8" w:tplc="140A001B" w:tentative="1">
      <w:start w:val="1"/>
      <w:numFmt w:val="lowerRoman"/>
      <w:lvlText w:val="%9."/>
      <w:lvlJc w:val="right"/>
      <w:pPr>
        <w:ind w:left="7660" w:hanging="180"/>
      </w:pPr>
    </w:lvl>
  </w:abstractNum>
  <w:abstractNum w:abstractNumId="34" w15:restartNumberingAfterBreak="0">
    <w:nsid w:val="72DC2AC7"/>
    <w:multiLevelType w:val="hybridMultilevel"/>
    <w:tmpl w:val="C28ACB1A"/>
    <w:lvl w:ilvl="0" w:tplc="2536CD2C">
      <w:start w:val="1"/>
      <w:numFmt w:val="decimal"/>
      <w:lvlText w:val="%1."/>
      <w:lvlJc w:val="left"/>
      <w:pPr>
        <w:tabs>
          <w:tab w:val="num" w:pos="360"/>
        </w:tabs>
        <w:ind w:left="360" w:hanging="360"/>
      </w:pPr>
      <w:rPr>
        <w:rFonts w:ascii="Verdana" w:hAnsi="Verdana" w:hint="default"/>
        <w:b w:val="0"/>
        <w:i w:val="0"/>
        <w:color w:val="auto"/>
        <w:sz w:val="20"/>
        <w:szCs w:val="20"/>
        <w:lang w:val="es-EC"/>
      </w:rPr>
    </w:lvl>
    <w:lvl w:ilvl="1" w:tplc="64A22312">
      <w:start w:val="1"/>
      <w:numFmt w:val="lowerLetter"/>
      <w:lvlText w:val="%2)"/>
      <w:lvlJc w:val="left"/>
      <w:pPr>
        <w:tabs>
          <w:tab w:val="num" w:pos="1440"/>
        </w:tabs>
        <w:ind w:left="1440" w:hanging="360"/>
      </w:pPr>
      <w:rPr>
        <w:rFonts w:hint="default"/>
        <w:i w:val="0"/>
        <w:color w:val="auto"/>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35B4371"/>
    <w:multiLevelType w:val="hybridMultilevel"/>
    <w:tmpl w:val="86D88ACE"/>
    <w:lvl w:ilvl="0" w:tplc="0409000F">
      <w:start w:val="1"/>
      <w:numFmt w:val="upperRoman"/>
      <w:lvlText w:val="%1."/>
      <w:lvlJc w:val="left"/>
      <w:pPr>
        <w:tabs>
          <w:tab w:val="num" w:pos="780"/>
        </w:tabs>
        <w:ind w:left="780" w:hanging="720"/>
      </w:pPr>
      <w:rPr>
        <w:rFonts w:ascii="Verdana" w:hAnsi="Verdana" w:hint="default"/>
        <w:sz w:val="18"/>
      </w:rPr>
    </w:lvl>
    <w:lvl w:ilvl="1" w:tplc="04090019">
      <w:start w:val="1"/>
      <w:numFmt w:val="bullet"/>
      <w:lvlText w:val=""/>
      <w:lvlJc w:val="left"/>
      <w:pPr>
        <w:tabs>
          <w:tab w:val="num" w:pos="1140"/>
        </w:tabs>
        <w:ind w:left="1140" w:hanging="360"/>
      </w:pPr>
      <w:rPr>
        <w:rFonts w:ascii="Symbol" w:hAnsi="Symbol" w:hint="default"/>
        <w:sz w:val="1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6" w15:restartNumberingAfterBreak="0">
    <w:nsid w:val="75911174"/>
    <w:multiLevelType w:val="hybridMultilevel"/>
    <w:tmpl w:val="69C62D2E"/>
    <w:lvl w:ilvl="0" w:tplc="BF6AF834">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940DAC"/>
    <w:multiLevelType w:val="hybridMultilevel"/>
    <w:tmpl w:val="064AB2C6"/>
    <w:lvl w:ilvl="0" w:tplc="E1C61730">
      <w:start w:val="1"/>
      <w:numFmt w:val="upp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753A80"/>
    <w:multiLevelType w:val="hybridMultilevel"/>
    <w:tmpl w:val="B9B8489E"/>
    <w:lvl w:ilvl="0" w:tplc="5126705A">
      <w:start w:val="1"/>
      <w:numFmt w:val="decimal"/>
      <w:pStyle w:val="PrrafodeSentencia"/>
      <w:lvlText w:val="%1."/>
      <w:lvlJc w:val="left"/>
      <w:pPr>
        <w:ind w:left="0" w:firstLine="0"/>
      </w:pPr>
      <w:rPr>
        <w:rFonts w:ascii="Verdana" w:hAnsi="Verdana" w:hint="default"/>
        <w:b w:val="0"/>
        <w:i w:val="0"/>
        <w:strike w:val="0"/>
        <w:color w:val="auto"/>
        <w:sz w:val="20"/>
        <w:szCs w:val="20"/>
        <w:lang w:val="es-ES"/>
      </w:rPr>
    </w:lvl>
    <w:lvl w:ilvl="1" w:tplc="2C0A0019">
      <w:start w:val="1"/>
      <w:numFmt w:val="lowerLetter"/>
      <w:lvlText w:val="%2."/>
      <w:lvlJc w:val="left"/>
      <w:pPr>
        <w:ind w:left="1298" w:hanging="360"/>
      </w:pPr>
      <w:rPr>
        <w:rFonts w:hint="default"/>
        <w:lang w:val="es-CR"/>
      </w:rPr>
    </w:lvl>
    <w:lvl w:ilvl="2" w:tplc="4202A1AC">
      <w:start w:val="1"/>
      <w:numFmt w:val="lowerRoman"/>
      <w:lvlText w:val="%3."/>
      <w:lvlJc w:val="right"/>
      <w:pPr>
        <w:ind w:left="2018" w:hanging="180"/>
      </w:pPr>
      <w:rPr>
        <w:i/>
      </w:rPr>
    </w:lvl>
    <w:lvl w:ilvl="3" w:tplc="3F0893E6" w:tentative="1">
      <w:start w:val="1"/>
      <w:numFmt w:val="decimal"/>
      <w:lvlText w:val="%4."/>
      <w:lvlJc w:val="left"/>
      <w:pPr>
        <w:ind w:left="2738" w:hanging="360"/>
      </w:pPr>
    </w:lvl>
    <w:lvl w:ilvl="4" w:tplc="E7BA4BB6" w:tentative="1">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39" w15:restartNumberingAfterBreak="0">
    <w:nsid w:val="79354707"/>
    <w:multiLevelType w:val="hybridMultilevel"/>
    <w:tmpl w:val="2D522CAE"/>
    <w:lvl w:ilvl="0" w:tplc="8E2CDAEA">
      <w:start w:val="1"/>
      <w:numFmt w:val="decimal"/>
      <w:lvlText w:val="%1."/>
      <w:lvlJc w:val="left"/>
      <w:pPr>
        <w:ind w:left="825" w:hanging="825"/>
      </w:pPr>
      <w:rPr>
        <w:rFonts w:eastAsia="Verdana" w:cs="Verdana"/>
        <w:b w:val="0"/>
        <w:i w:val="0"/>
        <w:color w:val="auto"/>
        <w:sz w:val="20"/>
        <w:szCs w:val="20"/>
        <w:lang w:val="es-ES_tradnl"/>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0" w15:restartNumberingAfterBreak="0">
    <w:nsid w:val="7A501886"/>
    <w:multiLevelType w:val="hybridMultilevel"/>
    <w:tmpl w:val="30AED766"/>
    <w:lvl w:ilvl="0" w:tplc="CE66988C">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B80200B"/>
    <w:multiLevelType w:val="hybridMultilevel"/>
    <w:tmpl w:val="6D863B6E"/>
    <w:lvl w:ilvl="0" w:tplc="46300284">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C867CB5"/>
    <w:multiLevelType w:val="hybridMultilevel"/>
    <w:tmpl w:val="72EE8A04"/>
    <w:lvl w:ilvl="0" w:tplc="5DB2D3BE">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E64D32"/>
    <w:multiLevelType w:val="hybridMultilevel"/>
    <w:tmpl w:val="54CEECC8"/>
    <w:lvl w:ilvl="0" w:tplc="4C64F774">
      <w:start w:val="1"/>
      <w:numFmt w:val="decimal"/>
      <w:lvlText w:val="%1."/>
      <w:lvlJc w:val="left"/>
      <w:pPr>
        <w:tabs>
          <w:tab w:val="num" w:pos="1247"/>
        </w:tabs>
      </w:pPr>
      <w:rPr>
        <w:rFonts w:ascii="Verdana" w:eastAsia="Times New Roman" w:hAnsi="Verdana" w:cs="Times New Roman"/>
        <w:b w:val="0"/>
        <w:i w:val="0"/>
        <w:color w:val="auto"/>
        <w:sz w:val="20"/>
        <w:lang w:val="es-CO"/>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7EC75A7F"/>
    <w:multiLevelType w:val="hybridMultilevel"/>
    <w:tmpl w:val="1AFA5C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2"/>
  </w:num>
  <w:num w:numId="2">
    <w:abstractNumId w:val="35"/>
  </w:num>
  <w:num w:numId="3">
    <w:abstractNumId w:val="38"/>
  </w:num>
  <w:num w:numId="4">
    <w:abstractNumId w:val="31"/>
  </w:num>
  <w:num w:numId="5">
    <w:abstractNumId w:val="39"/>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24"/>
  </w:num>
  <w:num w:numId="10">
    <w:abstractNumId w:val="33"/>
  </w:num>
  <w:num w:numId="11">
    <w:abstractNumId w:val="10"/>
  </w:num>
  <w:num w:numId="12">
    <w:abstractNumId w:val="44"/>
  </w:num>
  <w:num w:numId="13">
    <w:abstractNumId w:val="28"/>
  </w:num>
  <w:num w:numId="14">
    <w:abstractNumId w:val="6"/>
  </w:num>
  <w:num w:numId="15">
    <w:abstractNumId w:val="16"/>
  </w:num>
  <w:num w:numId="16">
    <w:abstractNumId w:val="14"/>
  </w:num>
  <w:num w:numId="17">
    <w:abstractNumId w:val="7"/>
  </w:num>
  <w:num w:numId="18">
    <w:abstractNumId w:val="27"/>
  </w:num>
  <w:num w:numId="19">
    <w:abstractNumId w:val="13"/>
  </w:num>
  <w:num w:numId="20">
    <w:abstractNumId w:val="29"/>
  </w:num>
  <w:num w:numId="21">
    <w:abstractNumId w:val="43"/>
  </w:num>
  <w:num w:numId="22">
    <w:abstractNumId w:val="25"/>
  </w:num>
  <w:num w:numId="23">
    <w:abstractNumId w:val="36"/>
  </w:num>
  <w:num w:numId="24">
    <w:abstractNumId w:val="15"/>
  </w:num>
  <w:num w:numId="25">
    <w:abstractNumId w:val="1"/>
  </w:num>
  <w:num w:numId="26">
    <w:abstractNumId w:val="17"/>
  </w:num>
  <w:num w:numId="27">
    <w:abstractNumId w:val="2"/>
  </w:num>
  <w:num w:numId="28">
    <w:abstractNumId w:val="18"/>
  </w:num>
  <w:num w:numId="29">
    <w:abstractNumId w:val="0"/>
  </w:num>
  <w:num w:numId="30">
    <w:abstractNumId w:val="32"/>
  </w:num>
  <w:num w:numId="31">
    <w:abstractNumId w:val="3"/>
  </w:num>
  <w:num w:numId="32">
    <w:abstractNumId w:val="42"/>
  </w:num>
  <w:num w:numId="33">
    <w:abstractNumId w:val="21"/>
  </w:num>
  <w:num w:numId="34">
    <w:abstractNumId w:val="11"/>
  </w:num>
  <w:num w:numId="35">
    <w:abstractNumId w:val="40"/>
  </w:num>
  <w:num w:numId="36">
    <w:abstractNumId w:val="20"/>
  </w:num>
  <w:num w:numId="37">
    <w:abstractNumId w:val="41"/>
  </w:num>
  <w:num w:numId="38">
    <w:abstractNumId w:val="4"/>
  </w:num>
  <w:num w:numId="39">
    <w:abstractNumId w:val="34"/>
  </w:num>
  <w:num w:numId="40">
    <w:abstractNumId w:val="8"/>
  </w:num>
  <w:num w:numId="41">
    <w:abstractNumId w:val="5"/>
  </w:num>
  <w:num w:numId="42">
    <w:abstractNumId w:val="37"/>
  </w:num>
  <w:num w:numId="43">
    <w:abstractNumId w:val="19"/>
  </w:num>
  <w:num w:numId="44">
    <w:abstractNumId w:val="23"/>
  </w:num>
  <w:num w:numId="45">
    <w:abstractNumId w:val="9"/>
  </w:num>
  <w:num w:numId="46">
    <w:abstractNumId w:val="2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BDD"/>
    <w:rsid w:val="00000131"/>
    <w:rsid w:val="00000433"/>
    <w:rsid w:val="0000057A"/>
    <w:rsid w:val="000005DD"/>
    <w:rsid w:val="00000D64"/>
    <w:rsid w:val="000013E8"/>
    <w:rsid w:val="00001866"/>
    <w:rsid w:val="0000214E"/>
    <w:rsid w:val="000041B7"/>
    <w:rsid w:val="0000442C"/>
    <w:rsid w:val="00004B34"/>
    <w:rsid w:val="00004B71"/>
    <w:rsid w:val="00004CCB"/>
    <w:rsid w:val="00004D9C"/>
    <w:rsid w:val="00006405"/>
    <w:rsid w:val="00007977"/>
    <w:rsid w:val="00007D98"/>
    <w:rsid w:val="0001019C"/>
    <w:rsid w:val="00010CFA"/>
    <w:rsid w:val="00011543"/>
    <w:rsid w:val="0001173B"/>
    <w:rsid w:val="00011740"/>
    <w:rsid w:val="000122E9"/>
    <w:rsid w:val="00012C3F"/>
    <w:rsid w:val="000136CC"/>
    <w:rsid w:val="00013978"/>
    <w:rsid w:val="00014157"/>
    <w:rsid w:val="00015342"/>
    <w:rsid w:val="0001567D"/>
    <w:rsid w:val="00015DB9"/>
    <w:rsid w:val="00015E21"/>
    <w:rsid w:val="00016122"/>
    <w:rsid w:val="000166FA"/>
    <w:rsid w:val="00016B6D"/>
    <w:rsid w:val="000170FA"/>
    <w:rsid w:val="00017359"/>
    <w:rsid w:val="00017C10"/>
    <w:rsid w:val="00020A9A"/>
    <w:rsid w:val="000219C5"/>
    <w:rsid w:val="00021A6D"/>
    <w:rsid w:val="00021BE1"/>
    <w:rsid w:val="00022FA6"/>
    <w:rsid w:val="00023643"/>
    <w:rsid w:val="00025E57"/>
    <w:rsid w:val="000272DF"/>
    <w:rsid w:val="000277A2"/>
    <w:rsid w:val="000279A8"/>
    <w:rsid w:val="00030828"/>
    <w:rsid w:val="00030D94"/>
    <w:rsid w:val="00030E2E"/>
    <w:rsid w:val="00030FED"/>
    <w:rsid w:val="000315FE"/>
    <w:rsid w:val="0003189C"/>
    <w:rsid w:val="00031D84"/>
    <w:rsid w:val="0003268B"/>
    <w:rsid w:val="000326B5"/>
    <w:rsid w:val="00032981"/>
    <w:rsid w:val="00032C84"/>
    <w:rsid w:val="00032D30"/>
    <w:rsid w:val="00032E6D"/>
    <w:rsid w:val="000339A2"/>
    <w:rsid w:val="00034C26"/>
    <w:rsid w:val="00035A18"/>
    <w:rsid w:val="000360B5"/>
    <w:rsid w:val="0003709D"/>
    <w:rsid w:val="00037611"/>
    <w:rsid w:val="0003786E"/>
    <w:rsid w:val="00037A15"/>
    <w:rsid w:val="00040BA7"/>
    <w:rsid w:val="000412C5"/>
    <w:rsid w:val="000423C6"/>
    <w:rsid w:val="0004293C"/>
    <w:rsid w:val="00042C39"/>
    <w:rsid w:val="00042D8A"/>
    <w:rsid w:val="000435D5"/>
    <w:rsid w:val="00043B83"/>
    <w:rsid w:val="00044325"/>
    <w:rsid w:val="0004488C"/>
    <w:rsid w:val="00047A3B"/>
    <w:rsid w:val="0005049A"/>
    <w:rsid w:val="0005131A"/>
    <w:rsid w:val="00051707"/>
    <w:rsid w:val="00051985"/>
    <w:rsid w:val="00051F3F"/>
    <w:rsid w:val="000525AA"/>
    <w:rsid w:val="00053076"/>
    <w:rsid w:val="00053475"/>
    <w:rsid w:val="00053B96"/>
    <w:rsid w:val="00053DEB"/>
    <w:rsid w:val="000542BC"/>
    <w:rsid w:val="0005490E"/>
    <w:rsid w:val="0005494C"/>
    <w:rsid w:val="00055993"/>
    <w:rsid w:val="0005710F"/>
    <w:rsid w:val="000572F7"/>
    <w:rsid w:val="00057F48"/>
    <w:rsid w:val="000600E0"/>
    <w:rsid w:val="00060FFF"/>
    <w:rsid w:val="00062285"/>
    <w:rsid w:val="0006464E"/>
    <w:rsid w:val="0006512F"/>
    <w:rsid w:val="00066D4A"/>
    <w:rsid w:val="0006774C"/>
    <w:rsid w:val="00067BC3"/>
    <w:rsid w:val="00067E98"/>
    <w:rsid w:val="000704CD"/>
    <w:rsid w:val="00070941"/>
    <w:rsid w:val="00072121"/>
    <w:rsid w:val="000723CB"/>
    <w:rsid w:val="0007256D"/>
    <w:rsid w:val="000732AE"/>
    <w:rsid w:val="00073A86"/>
    <w:rsid w:val="00073ECE"/>
    <w:rsid w:val="00074DBF"/>
    <w:rsid w:val="0007552A"/>
    <w:rsid w:val="00075585"/>
    <w:rsid w:val="00075931"/>
    <w:rsid w:val="00075B12"/>
    <w:rsid w:val="000775B9"/>
    <w:rsid w:val="00080CCE"/>
    <w:rsid w:val="0008155F"/>
    <w:rsid w:val="00081B05"/>
    <w:rsid w:val="00082225"/>
    <w:rsid w:val="00082283"/>
    <w:rsid w:val="00082A67"/>
    <w:rsid w:val="00082AC3"/>
    <w:rsid w:val="00084D24"/>
    <w:rsid w:val="00084D8C"/>
    <w:rsid w:val="000852DF"/>
    <w:rsid w:val="00085704"/>
    <w:rsid w:val="00085BDD"/>
    <w:rsid w:val="00085C23"/>
    <w:rsid w:val="00085FE6"/>
    <w:rsid w:val="00086920"/>
    <w:rsid w:val="00086B49"/>
    <w:rsid w:val="00086DFF"/>
    <w:rsid w:val="0009029E"/>
    <w:rsid w:val="0009041D"/>
    <w:rsid w:val="00091030"/>
    <w:rsid w:val="000932A6"/>
    <w:rsid w:val="0009339A"/>
    <w:rsid w:val="000937EB"/>
    <w:rsid w:val="0009464E"/>
    <w:rsid w:val="0009469C"/>
    <w:rsid w:val="00095E76"/>
    <w:rsid w:val="00097021"/>
    <w:rsid w:val="00097502"/>
    <w:rsid w:val="000977B9"/>
    <w:rsid w:val="000A0FEB"/>
    <w:rsid w:val="000A19C2"/>
    <w:rsid w:val="000A1D79"/>
    <w:rsid w:val="000A257A"/>
    <w:rsid w:val="000A30A9"/>
    <w:rsid w:val="000A373E"/>
    <w:rsid w:val="000A435D"/>
    <w:rsid w:val="000A4835"/>
    <w:rsid w:val="000A4DC1"/>
    <w:rsid w:val="000A5483"/>
    <w:rsid w:val="000A59F0"/>
    <w:rsid w:val="000A5E7C"/>
    <w:rsid w:val="000A5FC8"/>
    <w:rsid w:val="000A6094"/>
    <w:rsid w:val="000A6BEC"/>
    <w:rsid w:val="000A6D89"/>
    <w:rsid w:val="000A701A"/>
    <w:rsid w:val="000A72F5"/>
    <w:rsid w:val="000A775B"/>
    <w:rsid w:val="000A7866"/>
    <w:rsid w:val="000A7CBB"/>
    <w:rsid w:val="000B00FB"/>
    <w:rsid w:val="000B0801"/>
    <w:rsid w:val="000B08FF"/>
    <w:rsid w:val="000B12F8"/>
    <w:rsid w:val="000B18D8"/>
    <w:rsid w:val="000B1D4F"/>
    <w:rsid w:val="000B1E30"/>
    <w:rsid w:val="000B252B"/>
    <w:rsid w:val="000B4230"/>
    <w:rsid w:val="000B5D06"/>
    <w:rsid w:val="000B6B01"/>
    <w:rsid w:val="000B6E81"/>
    <w:rsid w:val="000B6F1B"/>
    <w:rsid w:val="000B7373"/>
    <w:rsid w:val="000B747A"/>
    <w:rsid w:val="000B7A68"/>
    <w:rsid w:val="000C0406"/>
    <w:rsid w:val="000C1B19"/>
    <w:rsid w:val="000C2265"/>
    <w:rsid w:val="000C2E18"/>
    <w:rsid w:val="000C3041"/>
    <w:rsid w:val="000C3436"/>
    <w:rsid w:val="000C3DF5"/>
    <w:rsid w:val="000C44D9"/>
    <w:rsid w:val="000C49C6"/>
    <w:rsid w:val="000C4D4F"/>
    <w:rsid w:val="000C54B0"/>
    <w:rsid w:val="000C5821"/>
    <w:rsid w:val="000C5D8A"/>
    <w:rsid w:val="000C69ED"/>
    <w:rsid w:val="000C797C"/>
    <w:rsid w:val="000C7C05"/>
    <w:rsid w:val="000C7F5C"/>
    <w:rsid w:val="000D080E"/>
    <w:rsid w:val="000D0A98"/>
    <w:rsid w:val="000D0AE0"/>
    <w:rsid w:val="000D11D5"/>
    <w:rsid w:val="000D1638"/>
    <w:rsid w:val="000D1FDF"/>
    <w:rsid w:val="000D230F"/>
    <w:rsid w:val="000D264C"/>
    <w:rsid w:val="000D2734"/>
    <w:rsid w:val="000D2B4C"/>
    <w:rsid w:val="000D2D98"/>
    <w:rsid w:val="000D309F"/>
    <w:rsid w:val="000D3303"/>
    <w:rsid w:val="000D4F2A"/>
    <w:rsid w:val="000D4F90"/>
    <w:rsid w:val="000D5CD4"/>
    <w:rsid w:val="000D6F86"/>
    <w:rsid w:val="000D7768"/>
    <w:rsid w:val="000E01D3"/>
    <w:rsid w:val="000E0704"/>
    <w:rsid w:val="000E0902"/>
    <w:rsid w:val="000E0C09"/>
    <w:rsid w:val="000E117B"/>
    <w:rsid w:val="000E11D6"/>
    <w:rsid w:val="000E1C11"/>
    <w:rsid w:val="000E307E"/>
    <w:rsid w:val="000E33C8"/>
    <w:rsid w:val="000E47C8"/>
    <w:rsid w:val="000E4E75"/>
    <w:rsid w:val="000E53C9"/>
    <w:rsid w:val="000E6B1F"/>
    <w:rsid w:val="000E6E63"/>
    <w:rsid w:val="000E73D9"/>
    <w:rsid w:val="000E7866"/>
    <w:rsid w:val="000E7C80"/>
    <w:rsid w:val="000F072D"/>
    <w:rsid w:val="000F14B8"/>
    <w:rsid w:val="000F2206"/>
    <w:rsid w:val="000F26A4"/>
    <w:rsid w:val="000F2AAB"/>
    <w:rsid w:val="000F32AA"/>
    <w:rsid w:val="000F35F9"/>
    <w:rsid w:val="000F37C9"/>
    <w:rsid w:val="000F44C5"/>
    <w:rsid w:val="000F6179"/>
    <w:rsid w:val="000F7278"/>
    <w:rsid w:val="000F735E"/>
    <w:rsid w:val="000F78D0"/>
    <w:rsid w:val="000F7EA2"/>
    <w:rsid w:val="0010034A"/>
    <w:rsid w:val="001008EF"/>
    <w:rsid w:val="00100ACF"/>
    <w:rsid w:val="0010100E"/>
    <w:rsid w:val="00103520"/>
    <w:rsid w:val="00104B22"/>
    <w:rsid w:val="00107455"/>
    <w:rsid w:val="0010746C"/>
    <w:rsid w:val="00107617"/>
    <w:rsid w:val="00107649"/>
    <w:rsid w:val="00110716"/>
    <w:rsid w:val="00110B3D"/>
    <w:rsid w:val="00111B66"/>
    <w:rsid w:val="001123F2"/>
    <w:rsid w:val="0011342A"/>
    <w:rsid w:val="001135DA"/>
    <w:rsid w:val="0011383A"/>
    <w:rsid w:val="0011398E"/>
    <w:rsid w:val="00113FF5"/>
    <w:rsid w:val="00114577"/>
    <w:rsid w:val="0011473D"/>
    <w:rsid w:val="0011543E"/>
    <w:rsid w:val="0011659B"/>
    <w:rsid w:val="001165F9"/>
    <w:rsid w:val="00116807"/>
    <w:rsid w:val="00117945"/>
    <w:rsid w:val="0012020B"/>
    <w:rsid w:val="00120592"/>
    <w:rsid w:val="00120E41"/>
    <w:rsid w:val="001216F5"/>
    <w:rsid w:val="00122A38"/>
    <w:rsid w:val="0012335E"/>
    <w:rsid w:val="001242D0"/>
    <w:rsid w:val="00124478"/>
    <w:rsid w:val="00124A33"/>
    <w:rsid w:val="001254DE"/>
    <w:rsid w:val="00125A17"/>
    <w:rsid w:val="00125F25"/>
    <w:rsid w:val="00125F33"/>
    <w:rsid w:val="0012612E"/>
    <w:rsid w:val="00126DBA"/>
    <w:rsid w:val="00127556"/>
    <w:rsid w:val="00130362"/>
    <w:rsid w:val="00130531"/>
    <w:rsid w:val="0013059C"/>
    <w:rsid w:val="0013081F"/>
    <w:rsid w:val="00130944"/>
    <w:rsid w:val="00131356"/>
    <w:rsid w:val="001317E8"/>
    <w:rsid w:val="00132270"/>
    <w:rsid w:val="0013235D"/>
    <w:rsid w:val="0013307D"/>
    <w:rsid w:val="00133B67"/>
    <w:rsid w:val="00134BEC"/>
    <w:rsid w:val="00135580"/>
    <w:rsid w:val="00136108"/>
    <w:rsid w:val="00136EDE"/>
    <w:rsid w:val="0013791D"/>
    <w:rsid w:val="0013799D"/>
    <w:rsid w:val="0014134B"/>
    <w:rsid w:val="0014155F"/>
    <w:rsid w:val="00141692"/>
    <w:rsid w:val="001422EC"/>
    <w:rsid w:val="00142649"/>
    <w:rsid w:val="0014280F"/>
    <w:rsid w:val="00145811"/>
    <w:rsid w:val="00145A34"/>
    <w:rsid w:val="00145EDA"/>
    <w:rsid w:val="00147093"/>
    <w:rsid w:val="00147721"/>
    <w:rsid w:val="00147909"/>
    <w:rsid w:val="00150189"/>
    <w:rsid w:val="00150C5B"/>
    <w:rsid w:val="001512CA"/>
    <w:rsid w:val="00151E4D"/>
    <w:rsid w:val="00151EBB"/>
    <w:rsid w:val="00151FD1"/>
    <w:rsid w:val="001521C3"/>
    <w:rsid w:val="00152B77"/>
    <w:rsid w:val="00152FBF"/>
    <w:rsid w:val="001532C0"/>
    <w:rsid w:val="00153315"/>
    <w:rsid w:val="00153436"/>
    <w:rsid w:val="001535F8"/>
    <w:rsid w:val="001544FC"/>
    <w:rsid w:val="00155E8E"/>
    <w:rsid w:val="00156A04"/>
    <w:rsid w:val="001579D1"/>
    <w:rsid w:val="00160819"/>
    <w:rsid w:val="001617ED"/>
    <w:rsid w:val="00162D62"/>
    <w:rsid w:val="00162DF3"/>
    <w:rsid w:val="0016313E"/>
    <w:rsid w:val="00164083"/>
    <w:rsid w:val="00164743"/>
    <w:rsid w:val="0016488D"/>
    <w:rsid w:val="00164F7B"/>
    <w:rsid w:val="0016566A"/>
    <w:rsid w:val="001656F7"/>
    <w:rsid w:val="001667A9"/>
    <w:rsid w:val="00166F3E"/>
    <w:rsid w:val="00167365"/>
    <w:rsid w:val="001705C2"/>
    <w:rsid w:val="0017120B"/>
    <w:rsid w:val="001713A1"/>
    <w:rsid w:val="00171A5D"/>
    <w:rsid w:val="00171B4B"/>
    <w:rsid w:val="00171F67"/>
    <w:rsid w:val="001721BD"/>
    <w:rsid w:val="00172FE0"/>
    <w:rsid w:val="00173D28"/>
    <w:rsid w:val="0017413F"/>
    <w:rsid w:val="00174D2D"/>
    <w:rsid w:val="0017539B"/>
    <w:rsid w:val="001754D4"/>
    <w:rsid w:val="001755D5"/>
    <w:rsid w:val="0017602D"/>
    <w:rsid w:val="001760C9"/>
    <w:rsid w:val="001763B2"/>
    <w:rsid w:val="001770EA"/>
    <w:rsid w:val="00177292"/>
    <w:rsid w:val="00177399"/>
    <w:rsid w:val="001773EF"/>
    <w:rsid w:val="00177605"/>
    <w:rsid w:val="00177A56"/>
    <w:rsid w:val="00177D3C"/>
    <w:rsid w:val="00180117"/>
    <w:rsid w:val="00180AD7"/>
    <w:rsid w:val="001826D8"/>
    <w:rsid w:val="00182A7C"/>
    <w:rsid w:val="00183265"/>
    <w:rsid w:val="001841C5"/>
    <w:rsid w:val="0018429A"/>
    <w:rsid w:val="001860D1"/>
    <w:rsid w:val="00186404"/>
    <w:rsid w:val="001878A1"/>
    <w:rsid w:val="00190CCC"/>
    <w:rsid w:val="00190E75"/>
    <w:rsid w:val="0019170F"/>
    <w:rsid w:val="0019187D"/>
    <w:rsid w:val="00191950"/>
    <w:rsid w:val="00192CF7"/>
    <w:rsid w:val="001932EF"/>
    <w:rsid w:val="00194FF1"/>
    <w:rsid w:val="001950BC"/>
    <w:rsid w:val="00195333"/>
    <w:rsid w:val="0019584C"/>
    <w:rsid w:val="00195867"/>
    <w:rsid w:val="00196E41"/>
    <w:rsid w:val="001975E2"/>
    <w:rsid w:val="00197D5A"/>
    <w:rsid w:val="001A113C"/>
    <w:rsid w:val="001A2BBA"/>
    <w:rsid w:val="001A2E32"/>
    <w:rsid w:val="001A3986"/>
    <w:rsid w:val="001A5C40"/>
    <w:rsid w:val="001A5E4F"/>
    <w:rsid w:val="001A622B"/>
    <w:rsid w:val="001A751D"/>
    <w:rsid w:val="001A76EC"/>
    <w:rsid w:val="001A7B45"/>
    <w:rsid w:val="001B0177"/>
    <w:rsid w:val="001B02F1"/>
    <w:rsid w:val="001B0324"/>
    <w:rsid w:val="001B1EF7"/>
    <w:rsid w:val="001B334A"/>
    <w:rsid w:val="001B5224"/>
    <w:rsid w:val="001B53DF"/>
    <w:rsid w:val="001B5AD7"/>
    <w:rsid w:val="001B7255"/>
    <w:rsid w:val="001B7433"/>
    <w:rsid w:val="001B7E69"/>
    <w:rsid w:val="001C013B"/>
    <w:rsid w:val="001C03B7"/>
    <w:rsid w:val="001C0876"/>
    <w:rsid w:val="001C0D25"/>
    <w:rsid w:val="001C2E6D"/>
    <w:rsid w:val="001C3A7A"/>
    <w:rsid w:val="001C43D1"/>
    <w:rsid w:val="001C46AD"/>
    <w:rsid w:val="001C4B9F"/>
    <w:rsid w:val="001C5850"/>
    <w:rsid w:val="001C5F7B"/>
    <w:rsid w:val="001C696E"/>
    <w:rsid w:val="001C6B55"/>
    <w:rsid w:val="001C7633"/>
    <w:rsid w:val="001D0D75"/>
    <w:rsid w:val="001D1354"/>
    <w:rsid w:val="001D1448"/>
    <w:rsid w:val="001D2174"/>
    <w:rsid w:val="001D2A64"/>
    <w:rsid w:val="001D33AE"/>
    <w:rsid w:val="001D3E76"/>
    <w:rsid w:val="001D3F0C"/>
    <w:rsid w:val="001D4863"/>
    <w:rsid w:val="001D523B"/>
    <w:rsid w:val="001D5D94"/>
    <w:rsid w:val="001D6B4F"/>
    <w:rsid w:val="001E0790"/>
    <w:rsid w:val="001E1CBD"/>
    <w:rsid w:val="001E1D73"/>
    <w:rsid w:val="001E272C"/>
    <w:rsid w:val="001E5AFC"/>
    <w:rsid w:val="001E651F"/>
    <w:rsid w:val="001E71CE"/>
    <w:rsid w:val="001E73F2"/>
    <w:rsid w:val="001E79BE"/>
    <w:rsid w:val="001F009F"/>
    <w:rsid w:val="001F033C"/>
    <w:rsid w:val="001F0787"/>
    <w:rsid w:val="001F313A"/>
    <w:rsid w:val="001F3E25"/>
    <w:rsid w:val="001F570C"/>
    <w:rsid w:val="001F604C"/>
    <w:rsid w:val="001F67C0"/>
    <w:rsid w:val="001F770D"/>
    <w:rsid w:val="001F7B33"/>
    <w:rsid w:val="00200019"/>
    <w:rsid w:val="002006E9"/>
    <w:rsid w:val="002035CD"/>
    <w:rsid w:val="00203A6C"/>
    <w:rsid w:val="00203B8D"/>
    <w:rsid w:val="00204D29"/>
    <w:rsid w:val="0020518D"/>
    <w:rsid w:val="002063D5"/>
    <w:rsid w:val="0020768A"/>
    <w:rsid w:val="00210616"/>
    <w:rsid w:val="002108C0"/>
    <w:rsid w:val="00210DF6"/>
    <w:rsid w:val="00210F0F"/>
    <w:rsid w:val="0021162F"/>
    <w:rsid w:val="00211E7C"/>
    <w:rsid w:val="00212DA0"/>
    <w:rsid w:val="00213F42"/>
    <w:rsid w:val="0021414B"/>
    <w:rsid w:val="00214252"/>
    <w:rsid w:val="002143A9"/>
    <w:rsid w:val="00215038"/>
    <w:rsid w:val="00215790"/>
    <w:rsid w:val="00215DF3"/>
    <w:rsid w:val="00216D7B"/>
    <w:rsid w:val="002179E6"/>
    <w:rsid w:val="00217C59"/>
    <w:rsid w:val="002201C8"/>
    <w:rsid w:val="002205F3"/>
    <w:rsid w:val="00221042"/>
    <w:rsid w:val="0022111B"/>
    <w:rsid w:val="002215BF"/>
    <w:rsid w:val="002217FA"/>
    <w:rsid w:val="00223B1E"/>
    <w:rsid w:val="00223B9F"/>
    <w:rsid w:val="00223DC5"/>
    <w:rsid w:val="00224CF6"/>
    <w:rsid w:val="00225327"/>
    <w:rsid w:val="0022594B"/>
    <w:rsid w:val="00225F9C"/>
    <w:rsid w:val="00227F83"/>
    <w:rsid w:val="00230372"/>
    <w:rsid w:val="002304F8"/>
    <w:rsid w:val="00231052"/>
    <w:rsid w:val="00231122"/>
    <w:rsid w:val="00232B5E"/>
    <w:rsid w:val="00232EE0"/>
    <w:rsid w:val="00232F0D"/>
    <w:rsid w:val="0023392F"/>
    <w:rsid w:val="00234364"/>
    <w:rsid w:val="002345C0"/>
    <w:rsid w:val="0023528D"/>
    <w:rsid w:val="002355B1"/>
    <w:rsid w:val="00235748"/>
    <w:rsid w:val="00236127"/>
    <w:rsid w:val="00236C13"/>
    <w:rsid w:val="00241F19"/>
    <w:rsid w:val="002423DE"/>
    <w:rsid w:val="00242684"/>
    <w:rsid w:val="00242C27"/>
    <w:rsid w:val="00245D81"/>
    <w:rsid w:val="00246255"/>
    <w:rsid w:val="00246782"/>
    <w:rsid w:val="002476ED"/>
    <w:rsid w:val="002504A1"/>
    <w:rsid w:val="00250809"/>
    <w:rsid w:val="00250B81"/>
    <w:rsid w:val="002517F2"/>
    <w:rsid w:val="00251DEC"/>
    <w:rsid w:val="00252231"/>
    <w:rsid w:val="00253415"/>
    <w:rsid w:val="00257B0D"/>
    <w:rsid w:val="00257B56"/>
    <w:rsid w:val="00257C75"/>
    <w:rsid w:val="002606EA"/>
    <w:rsid w:val="00260F52"/>
    <w:rsid w:val="00261285"/>
    <w:rsid w:val="00261E01"/>
    <w:rsid w:val="00261FCE"/>
    <w:rsid w:val="00262786"/>
    <w:rsid w:val="002628BF"/>
    <w:rsid w:val="00262AE4"/>
    <w:rsid w:val="00263423"/>
    <w:rsid w:val="00263BD6"/>
    <w:rsid w:val="00263F88"/>
    <w:rsid w:val="0026404B"/>
    <w:rsid w:val="00264796"/>
    <w:rsid w:val="0026509B"/>
    <w:rsid w:val="00265B04"/>
    <w:rsid w:val="00265BD9"/>
    <w:rsid w:val="00266D66"/>
    <w:rsid w:val="00267054"/>
    <w:rsid w:val="002675AE"/>
    <w:rsid w:val="00270638"/>
    <w:rsid w:val="0027107F"/>
    <w:rsid w:val="0027127F"/>
    <w:rsid w:val="00271E24"/>
    <w:rsid w:val="00274D37"/>
    <w:rsid w:val="002755C3"/>
    <w:rsid w:val="002756CE"/>
    <w:rsid w:val="002758B6"/>
    <w:rsid w:val="00275B80"/>
    <w:rsid w:val="00275D74"/>
    <w:rsid w:val="0027661C"/>
    <w:rsid w:val="00276A87"/>
    <w:rsid w:val="00277001"/>
    <w:rsid w:val="00277354"/>
    <w:rsid w:val="002773E7"/>
    <w:rsid w:val="002774BE"/>
    <w:rsid w:val="00277C1E"/>
    <w:rsid w:val="00277EBB"/>
    <w:rsid w:val="00280180"/>
    <w:rsid w:val="0028033B"/>
    <w:rsid w:val="0028036A"/>
    <w:rsid w:val="002807C6"/>
    <w:rsid w:val="00280806"/>
    <w:rsid w:val="00280F09"/>
    <w:rsid w:val="00281FD8"/>
    <w:rsid w:val="00283330"/>
    <w:rsid w:val="002850E6"/>
    <w:rsid w:val="00286F68"/>
    <w:rsid w:val="0028766B"/>
    <w:rsid w:val="002878EC"/>
    <w:rsid w:val="00287A07"/>
    <w:rsid w:val="00287C82"/>
    <w:rsid w:val="00287FC4"/>
    <w:rsid w:val="0029043A"/>
    <w:rsid w:val="00290CED"/>
    <w:rsid w:val="00291795"/>
    <w:rsid w:val="002925AA"/>
    <w:rsid w:val="002934F2"/>
    <w:rsid w:val="00294D2D"/>
    <w:rsid w:val="002953DB"/>
    <w:rsid w:val="00295906"/>
    <w:rsid w:val="00295CFC"/>
    <w:rsid w:val="00295FF0"/>
    <w:rsid w:val="002961DA"/>
    <w:rsid w:val="00296802"/>
    <w:rsid w:val="00296ABC"/>
    <w:rsid w:val="002977A8"/>
    <w:rsid w:val="002A02FD"/>
    <w:rsid w:val="002A0A1A"/>
    <w:rsid w:val="002A0A51"/>
    <w:rsid w:val="002A11C4"/>
    <w:rsid w:val="002A17D5"/>
    <w:rsid w:val="002A188F"/>
    <w:rsid w:val="002A1F62"/>
    <w:rsid w:val="002A22B8"/>
    <w:rsid w:val="002A285B"/>
    <w:rsid w:val="002A41C4"/>
    <w:rsid w:val="002A4265"/>
    <w:rsid w:val="002A4402"/>
    <w:rsid w:val="002A45EC"/>
    <w:rsid w:val="002A463B"/>
    <w:rsid w:val="002A47A3"/>
    <w:rsid w:val="002A488F"/>
    <w:rsid w:val="002A4CAB"/>
    <w:rsid w:val="002A50DB"/>
    <w:rsid w:val="002A5123"/>
    <w:rsid w:val="002A51CA"/>
    <w:rsid w:val="002A5605"/>
    <w:rsid w:val="002A5D01"/>
    <w:rsid w:val="002A61EB"/>
    <w:rsid w:val="002A63FD"/>
    <w:rsid w:val="002A698E"/>
    <w:rsid w:val="002A7602"/>
    <w:rsid w:val="002B01CB"/>
    <w:rsid w:val="002B0943"/>
    <w:rsid w:val="002B0D2F"/>
    <w:rsid w:val="002B1A6F"/>
    <w:rsid w:val="002B1C33"/>
    <w:rsid w:val="002B2180"/>
    <w:rsid w:val="002B240B"/>
    <w:rsid w:val="002B460F"/>
    <w:rsid w:val="002B493C"/>
    <w:rsid w:val="002B5243"/>
    <w:rsid w:val="002B54CB"/>
    <w:rsid w:val="002B5619"/>
    <w:rsid w:val="002B5B79"/>
    <w:rsid w:val="002B7B3B"/>
    <w:rsid w:val="002B7BEC"/>
    <w:rsid w:val="002C0526"/>
    <w:rsid w:val="002C1937"/>
    <w:rsid w:val="002C199F"/>
    <w:rsid w:val="002C2235"/>
    <w:rsid w:val="002C2258"/>
    <w:rsid w:val="002C2B46"/>
    <w:rsid w:val="002C3F2F"/>
    <w:rsid w:val="002C4395"/>
    <w:rsid w:val="002C45F0"/>
    <w:rsid w:val="002C5668"/>
    <w:rsid w:val="002C56A5"/>
    <w:rsid w:val="002C5AE0"/>
    <w:rsid w:val="002C646D"/>
    <w:rsid w:val="002C78D7"/>
    <w:rsid w:val="002D0041"/>
    <w:rsid w:val="002D0B3A"/>
    <w:rsid w:val="002D178D"/>
    <w:rsid w:val="002D20D9"/>
    <w:rsid w:val="002D219E"/>
    <w:rsid w:val="002D2D7E"/>
    <w:rsid w:val="002D3E5E"/>
    <w:rsid w:val="002D4428"/>
    <w:rsid w:val="002D481C"/>
    <w:rsid w:val="002D48AE"/>
    <w:rsid w:val="002D490E"/>
    <w:rsid w:val="002D4AF2"/>
    <w:rsid w:val="002D5393"/>
    <w:rsid w:val="002D54E6"/>
    <w:rsid w:val="002D5C4F"/>
    <w:rsid w:val="002D64C1"/>
    <w:rsid w:val="002D74B1"/>
    <w:rsid w:val="002D74EC"/>
    <w:rsid w:val="002D755D"/>
    <w:rsid w:val="002D76C1"/>
    <w:rsid w:val="002E0259"/>
    <w:rsid w:val="002E0435"/>
    <w:rsid w:val="002E1325"/>
    <w:rsid w:val="002E1C87"/>
    <w:rsid w:val="002E2489"/>
    <w:rsid w:val="002E3DEB"/>
    <w:rsid w:val="002E41C7"/>
    <w:rsid w:val="002E51A7"/>
    <w:rsid w:val="002E5AE5"/>
    <w:rsid w:val="002E6439"/>
    <w:rsid w:val="002E6629"/>
    <w:rsid w:val="002E6E7D"/>
    <w:rsid w:val="002E7B3D"/>
    <w:rsid w:val="002F009E"/>
    <w:rsid w:val="002F0436"/>
    <w:rsid w:val="002F05BB"/>
    <w:rsid w:val="002F13EB"/>
    <w:rsid w:val="002F18A4"/>
    <w:rsid w:val="002F1FC5"/>
    <w:rsid w:val="002F2481"/>
    <w:rsid w:val="002F278F"/>
    <w:rsid w:val="002F2869"/>
    <w:rsid w:val="002F2FB1"/>
    <w:rsid w:val="002F381E"/>
    <w:rsid w:val="002F4CB5"/>
    <w:rsid w:val="002F4E0E"/>
    <w:rsid w:val="002F5E37"/>
    <w:rsid w:val="002F5F28"/>
    <w:rsid w:val="002F63BF"/>
    <w:rsid w:val="002F67EC"/>
    <w:rsid w:val="00300233"/>
    <w:rsid w:val="00300424"/>
    <w:rsid w:val="00300432"/>
    <w:rsid w:val="00300A42"/>
    <w:rsid w:val="00300D33"/>
    <w:rsid w:val="0030107B"/>
    <w:rsid w:val="0030109D"/>
    <w:rsid w:val="0030145D"/>
    <w:rsid w:val="00301C6B"/>
    <w:rsid w:val="00302950"/>
    <w:rsid w:val="0030317F"/>
    <w:rsid w:val="0030381D"/>
    <w:rsid w:val="003041C3"/>
    <w:rsid w:val="0030498F"/>
    <w:rsid w:val="00305C47"/>
    <w:rsid w:val="00306849"/>
    <w:rsid w:val="00306A29"/>
    <w:rsid w:val="00307E6C"/>
    <w:rsid w:val="00307E84"/>
    <w:rsid w:val="00310431"/>
    <w:rsid w:val="003108B8"/>
    <w:rsid w:val="00311A9C"/>
    <w:rsid w:val="00311B5D"/>
    <w:rsid w:val="0031214D"/>
    <w:rsid w:val="00312217"/>
    <w:rsid w:val="00312D11"/>
    <w:rsid w:val="00313F31"/>
    <w:rsid w:val="00315090"/>
    <w:rsid w:val="003155AD"/>
    <w:rsid w:val="00315C5F"/>
    <w:rsid w:val="003160E8"/>
    <w:rsid w:val="003163B7"/>
    <w:rsid w:val="00316FBC"/>
    <w:rsid w:val="0031710B"/>
    <w:rsid w:val="0031725D"/>
    <w:rsid w:val="00317532"/>
    <w:rsid w:val="003176B8"/>
    <w:rsid w:val="00320BB4"/>
    <w:rsid w:val="00322D69"/>
    <w:rsid w:val="0032362E"/>
    <w:rsid w:val="00323B3A"/>
    <w:rsid w:val="0032498A"/>
    <w:rsid w:val="00324A17"/>
    <w:rsid w:val="00324DB0"/>
    <w:rsid w:val="00324DFF"/>
    <w:rsid w:val="003258E8"/>
    <w:rsid w:val="00326672"/>
    <w:rsid w:val="003270BD"/>
    <w:rsid w:val="00327F49"/>
    <w:rsid w:val="00330396"/>
    <w:rsid w:val="00332034"/>
    <w:rsid w:val="003326A2"/>
    <w:rsid w:val="0033298B"/>
    <w:rsid w:val="00332EA1"/>
    <w:rsid w:val="00334425"/>
    <w:rsid w:val="00335B72"/>
    <w:rsid w:val="00335C32"/>
    <w:rsid w:val="00335E6E"/>
    <w:rsid w:val="00337427"/>
    <w:rsid w:val="00337F39"/>
    <w:rsid w:val="00340404"/>
    <w:rsid w:val="00341393"/>
    <w:rsid w:val="00341BF1"/>
    <w:rsid w:val="00341C5A"/>
    <w:rsid w:val="00341CDC"/>
    <w:rsid w:val="00342D38"/>
    <w:rsid w:val="003430A8"/>
    <w:rsid w:val="0034439B"/>
    <w:rsid w:val="00346477"/>
    <w:rsid w:val="00346688"/>
    <w:rsid w:val="00346A60"/>
    <w:rsid w:val="00347B9F"/>
    <w:rsid w:val="0035061C"/>
    <w:rsid w:val="0035139B"/>
    <w:rsid w:val="0035263A"/>
    <w:rsid w:val="00352A6D"/>
    <w:rsid w:val="0035348F"/>
    <w:rsid w:val="003539BE"/>
    <w:rsid w:val="00354417"/>
    <w:rsid w:val="003555F3"/>
    <w:rsid w:val="00356E2C"/>
    <w:rsid w:val="00356E5D"/>
    <w:rsid w:val="00357DE8"/>
    <w:rsid w:val="00360357"/>
    <w:rsid w:val="0036056E"/>
    <w:rsid w:val="00360666"/>
    <w:rsid w:val="003608F6"/>
    <w:rsid w:val="00360D48"/>
    <w:rsid w:val="00360E36"/>
    <w:rsid w:val="00360F95"/>
    <w:rsid w:val="00361B6A"/>
    <w:rsid w:val="00362A13"/>
    <w:rsid w:val="00362A2A"/>
    <w:rsid w:val="00362CC1"/>
    <w:rsid w:val="00362DB2"/>
    <w:rsid w:val="00363BEE"/>
    <w:rsid w:val="00364371"/>
    <w:rsid w:val="00364B77"/>
    <w:rsid w:val="0036691F"/>
    <w:rsid w:val="00366CB9"/>
    <w:rsid w:val="003670DF"/>
    <w:rsid w:val="00370DD4"/>
    <w:rsid w:val="00370FCA"/>
    <w:rsid w:val="00371F4B"/>
    <w:rsid w:val="003730AC"/>
    <w:rsid w:val="003737A1"/>
    <w:rsid w:val="00373CD6"/>
    <w:rsid w:val="00374633"/>
    <w:rsid w:val="00374897"/>
    <w:rsid w:val="00374C1A"/>
    <w:rsid w:val="00374D79"/>
    <w:rsid w:val="00374DA6"/>
    <w:rsid w:val="00374EE5"/>
    <w:rsid w:val="00375A37"/>
    <w:rsid w:val="003765A7"/>
    <w:rsid w:val="00377495"/>
    <w:rsid w:val="003801F3"/>
    <w:rsid w:val="003810C4"/>
    <w:rsid w:val="0038230F"/>
    <w:rsid w:val="003827FB"/>
    <w:rsid w:val="0038290B"/>
    <w:rsid w:val="003834BA"/>
    <w:rsid w:val="00383BCB"/>
    <w:rsid w:val="00384158"/>
    <w:rsid w:val="00384386"/>
    <w:rsid w:val="003848FD"/>
    <w:rsid w:val="00384CD3"/>
    <w:rsid w:val="003852C8"/>
    <w:rsid w:val="00385F97"/>
    <w:rsid w:val="00386BA9"/>
    <w:rsid w:val="003878F0"/>
    <w:rsid w:val="00391572"/>
    <w:rsid w:val="0039254B"/>
    <w:rsid w:val="00392A25"/>
    <w:rsid w:val="00393690"/>
    <w:rsid w:val="00393931"/>
    <w:rsid w:val="00394B9A"/>
    <w:rsid w:val="0039676A"/>
    <w:rsid w:val="00397EA9"/>
    <w:rsid w:val="003A15F8"/>
    <w:rsid w:val="003A1EE9"/>
    <w:rsid w:val="003A2292"/>
    <w:rsid w:val="003A236A"/>
    <w:rsid w:val="003A30FF"/>
    <w:rsid w:val="003A3EF8"/>
    <w:rsid w:val="003A4487"/>
    <w:rsid w:val="003A45E0"/>
    <w:rsid w:val="003A46E0"/>
    <w:rsid w:val="003A6657"/>
    <w:rsid w:val="003A7633"/>
    <w:rsid w:val="003A7739"/>
    <w:rsid w:val="003B010F"/>
    <w:rsid w:val="003B0185"/>
    <w:rsid w:val="003B1465"/>
    <w:rsid w:val="003B274A"/>
    <w:rsid w:val="003B2FED"/>
    <w:rsid w:val="003B3B17"/>
    <w:rsid w:val="003B481B"/>
    <w:rsid w:val="003B4921"/>
    <w:rsid w:val="003B4BAE"/>
    <w:rsid w:val="003B5AE5"/>
    <w:rsid w:val="003B6A98"/>
    <w:rsid w:val="003B6F74"/>
    <w:rsid w:val="003B7E40"/>
    <w:rsid w:val="003C0CC7"/>
    <w:rsid w:val="003C122A"/>
    <w:rsid w:val="003C2B4C"/>
    <w:rsid w:val="003C4534"/>
    <w:rsid w:val="003C68B2"/>
    <w:rsid w:val="003C69E7"/>
    <w:rsid w:val="003C7B72"/>
    <w:rsid w:val="003D03EA"/>
    <w:rsid w:val="003D0D9C"/>
    <w:rsid w:val="003D1148"/>
    <w:rsid w:val="003D148B"/>
    <w:rsid w:val="003D1BAB"/>
    <w:rsid w:val="003D1DC1"/>
    <w:rsid w:val="003D1DED"/>
    <w:rsid w:val="003D221D"/>
    <w:rsid w:val="003D2912"/>
    <w:rsid w:val="003D34BB"/>
    <w:rsid w:val="003D36BF"/>
    <w:rsid w:val="003D3A4A"/>
    <w:rsid w:val="003D51CA"/>
    <w:rsid w:val="003D55AD"/>
    <w:rsid w:val="003D5699"/>
    <w:rsid w:val="003D592C"/>
    <w:rsid w:val="003D5C15"/>
    <w:rsid w:val="003D5EFF"/>
    <w:rsid w:val="003D618E"/>
    <w:rsid w:val="003D7674"/>
    <w:rsid w:val="003E1017"/>
    <w:rsid w:val="003E1128"/>
    <w:rsid w:val="003E1D49"/>
    <w:rsid w:val="003E1ECD"/>
    <w:rsid w:val="003E2646"/>
    <w:rsid w:val="003E42C5"/>
    <w:rsid w:val="003E495C"/>
    <w:rsid w:val="003E49CC"/>
    <w:rsid w:val="003E549A"/>
    <w:rsid w:val="003E676B"/>
    <w:rsid w:val="003E74F4"/>
    <w:rsid w:val="003E7BB0"/>
    <w:rsid w:val="003E7CFD"/>
    <w:rsid w:val="003F01F0"/>
    <w:rsid w:val="003F0556"/>
    <w:rsid w:val="003F06F1"/>
    <w:rsid w:val="003F0817"/>
    <w:rsid w:val="003F107B"/>
    <w:rsid w:val="003F1D7C"/>
    <w:rsid w:val="003F1E3C"/>
    <w:rsid w:val="003F27B2"/>
    <w:rsid w:val="003F3006"/>
    <w:rsid w:val="003F35D0"/>
    <w:rsid w:val="003F4368"/>
    <w:rsid w:val="003F43EC"/>
    <w:rsid w:val="003F59FE"/>
    <w:rsid w:val="003F5C05"/>
    <w:rsid w:val="003F760A"/>
    <w:rsid w:val="004001C4"/>
    <w:rsid w:val="00400469"/>
    <w:rsid w:val="0040047C"/>
    <w:rsid w:val="00401AC4"/>
    <w:rsid w:val="00401EA7"/>
    <w:rsid w:val="0040215C"/>
    <w:rsid w:val="00402215"/>
    <w:rsid w:val="0040300B"/>
    <w:rsid w:val="00404460"/>
    <w:rsid w:val="0040507C"/>
    <w:rsid w:val="004060AF"/>
    <w:rsid w:val="004068BC"/>
    <w:rsid w:val="00407E71"/>
    <w:rsid w:val="00410B28"/>
    <w:rsid w:val="00410DB8"/>
    <w:rsid w:val="00411066"/>
    <w:rsid w:val="004111C3"/>
    <w:rsid w:val="0041169A"/>
    <w:rsid w:val="00411D22"/>
    <w:rsid w:val="004135D6"/>
    <w:rsid w:val="00413F6D"/>
    <w:rsid w:val="00414F4D"/>
    <w:rsid w:val="0041557F"/>
    <w:rsid w:val="004155AB"/>
    <w:rsid w:val="00415836"/>
    <w:rsid w:val="00415E9A"/>
    <w:rsid w:val="00416DFA"/>
    <w:rsid w:val="00416EC0"/>
    <w:rsid w:val="00417E1B"/>
    <w:rsid w:val="004203FF"/>
    <w:rsid w:val="0042042C"/>
    <w:rsid w:val="00420BB7"/>
    <w:rsid w:val="004214E3"/>
    <w:rsid w:val="0042225E"/>
    <w:rsid w:val="004222DC"/>
    <w:rsid w:val="004225C5"/>
    <w:rsid w:val="0042308A"/>
    <w:rsid w:val="0042314F"/>
    <w:rsid w:val="004236FA"/>
    <w:rsid w:val="004239E3"/>
    <w:rsid w:val="00424B63"/>
    <w:rsid w:val="0042562B"/>
    <w:rsid w:val="004307E1"/>
    <w:rsid w:val="00430983"/>
    <w:rsid w:val="0043100B"/>
    <w:rsid w:val="004311FD"/>
    <w:rsid w:val="00431327"/>
    <w:rsid w:val="00431F9F"/>
    <w:rsid w:val="00432C15"/>
    <w:rsid w:val="00432D8A"/>
    <w:rsid w:val="00433F5D"/>
    <w:rsid w:val="0043433B"/>
    <w:rsid w:val="00434483"/>
    <w:rsid w:val="004345DD"/>
    <w:rsid w:val="00434B81"/>
    <w:rsid w:val="00434BAF"/>
    <w:rsid w:val="00435129"/>
    <w:rsid w:val="00435259"/>
    <w:rsid w:val="004367F6"/>
    <w:rsid w:val="00436D11"/>
    <w:rsid w:val="0043704C"/>
    <w:rsid w:val="00437918"/>
    <w:rsid w:val="00437A56"/>
    <w:rsid w:val="00437B83"/>
    <w:rsid w:val="00437EB8"/>
    <w:rsid w:val="0044053E"/>
    <w:rsid w:val="004418E0"/>
    <w:rsid w:val="004419A9"/>
    <w:rsid w:val="00441D3D"/>
    <w:rsid w:val="00442BB2"/>
    <w:rsid w:val="00442CC5"/>
    <w:rsid w:val="00442F78"/>
    <w:rsid w:val="004437D1"/>
    <w:rsid w:val="00444091"/>
    <w:rsid w:val="00444319"/>
    <w:rsid w:val="00444526"/>
    <w:rsid w:val="004448A5"/>
    <w:rsid w:val="00444B4C"/>
    <w:rsid w:val="0044516E"/>
    <w:rsid w:val="00445339"/>
    <w:rsid w:val="004456F1"/>
    <w:rsid w:val="00445E28"/>
    <w:rsid w:val="00446D11"/>
    <w:rsid w:val="00450D62"/>
    <w:rsid w:val="0045122A"/>
    <w:rsid w:val="00451625"/>
    <w:rsid w:val="004523E0"/>
    <w:rsid w:val="0045242E"/>
    <w:rsid w:val="00452BE4"/>
    <w:rsid w:val="00452EE0"/>
    <w:rsid w:val="004534B6"/>
    <w:rsid w:val="004540C3"/>
    <w:rsid w:val="0045413E"/>
    <w:rsid w:val="00454EEA"/>
    <w:rsid w:val="00454FEF"/>
    <w:rsid w:val="00455825"/>
    <w:rsid w:val="00455A2C"/>
    <w:rsid w:val="004568E1"/>
    <w:rsid w:val="00456F5F"/>
    <w:rsid w:val="004575DE"/>
    <w:rsid w:val="00457742"/>
    <w:rsid w:val="00457766"/>
    <w:rsid w:val="00460078"/>
    <w:rsid w:val="004605F3"/>
    <w:rsid w:val="0046240C"/>
    <w:rsid w:val="0046269E"/>
    <w:rsid w:val="004627A1"/>
    <w:rsid w:val="00462AA4"/>
    <w:rsid w:val="0046460D"/>
    <w:rsid w:val="00465A3E"/>
    <w:rsid w:val="00465B7D"/>
    <w:rsid w:val="00465B8C"/>
    <w:rsid w:val="00465FCF"/>
    <w:rsid w:val="00466488"/>
    <w:rsid w:val="00466C3A"/>
    <w:rsid w:val="00467311"/>
    <w:rsid w:val="0046731A"/>
    <w:rsid w:val="004707E3"/>
    <w:rsid w:val="00470F52"/>
    <w:rsid w:val="00470F9C"/>
    <w:rsid w:val="0047130D"/>
    <w:rsid w:val="00471A10"/>
    <w:rsid w:val="00471B72"/>
    <w:rsid w:val="0047214C"/>
    <w:rsid w:val="00472FC5"/>
    <w:rsid w:val="0047305D"/>
    <w:rsid w:val="00473343"/>
    <w:rsid w:val="00473CF8"/>
    <w:rsid w:val="00473D19"/>
    <w:rsid w:val="00474932"/>
    <w:rsid w:val="0047501D"/>
    <w:rsid w:val="00475387"/>
    <w:rsid w:val="00476690"/>
    <w:rsid w:val="004766A7"/>
    <w:rsid w:val="00476F87"/>
    <w:rsid w:val="004773AB"/>
    <w:rsid w:val="00477BFF"/>
    <w:rsid w:val="0048005A"/>
    <w:rsid w:val="004808FE"/>
    <w:rsid w:val="00481778"/>
    <w:rsid w:val="004817B0"/>
    <w:rsid w:val="00481C3B"/>
    <w:rsid w:val="004822DA"/>
    <w:rsid w:val="00482E11"/>
    <w:rsid w:val="00483013"/>
    <w:rsid w:val="00483CE1"/>
    <w:rsid w:val="00483E0B"/>
    <w:rsid w:val="00484C68"/>
    <w:rsid w:val="004854EF"/>
    <w:rsid w:val="004863BE"/>
    <w:rsid w:val="00486AF7"/>
    <w:rsid w:val="00486D71"/>
    <w:rsid w:val="004900E4"/>
    <w:rsid w:val="004914D2"/>
    <w:rsid w:val="0049199F"/>
    <w:rsid w:val="00491B37"/>
    <w:rsid w:val="00491B95"/>
    <w:rsid w:val="004920F4"/>
    <w:rsid w:val="0049258D"/>
    <w:rsid w:val="0049291B"/>
    <w:rsid w:val="00493EFF"/>
    <w:rsid w:val="0049422F"/>
    <w:rsid w:val="004959F0"/>
    <w:rsid w:val="00495C9F"/>
    <w:rsid w:val="00496EE1"/>
    <w:rsid w:val="004A072B"/>
    <w:rsid w:val="004A0B57"/>
    <w:rsid w:val="004A116E"/>
    <w:rsid w:val="004A1210"/>
    <w:rsid w:val="004A1602"/>
    <w:rsid w:val="004A1A70"/>
    <w:rsid w:val="004A1B11"/>
    <w:rsid w:val="004A27D9"/>
    <w:rsid w:val="004A2CE4"/>
    <w:rsid w:val="004A3A26"/>
    <w:rsid w:val="004A4192"/>
    <w:rsid w:val="004A424B"/>
    <w:rsid w:val="004A4B3D"/>
    <w:rsid w:val="004A4FA6"/>
    <w:rsid w:val="004A51E5"/>
    <w:rsid w:val="004A5218"/>
    <w:rsid w:val="004A5897"/>
    <w:rsid w:val="004A5A15"/>
    <w:rsid w:val="004A6440"/>
    <w:rsid w:val="004A647D"/>
    <w:rsid w:val="004A66B5"/>
    <w:rsid w:val="004A6E03"/>
    <w:rsid w:val="004A71AF"/>
    <w:rsid w:val="004A757F"/>
    <w:rsid w:val="004A781B"/>
    <w:rsid w:val="004B1140"/>
    <w:rsid w:val="004B2395"/>
    <w:rsid w:val="004B2A92"/>
    <w:rsid w:val="004B32A6"/>
    <w:rsid w:val="004B3F7A"/>
    <w:rsid w:val="004B47EE"/>
    <w:rsid w:val="004B50F2"/>
    <w:rsid w:val="004B58EC"/>
    <w:rsid w:val="004B5F0E"/>
    <w:rsid w:val="004B69B5"/>
    <w:rsid w:val="004B7B1D"/>
    <w:rsid w:val="004C02A8"/>
    <w:rsid w:val="004C15EA"/>
    <w:rsid w:val="004C24DE"/>
    <w:rsid w:val="004C2A62"/>
    <w:rsid w:val="004C3332"/>
    <w:rsid w:val="004C341F"/>
    <w:rsid w:val="004C3A8C"/>
    <w:rsid w:val="004C45AC"/>
    <w:rsid w:val="004C4759"/>
    <w:rsid w:val="004C5154"/>
    <w:rsid w:val="004C5B8B"/>
    <w:rsid w:val="004C5E16"/>
    <w:rsid w:val="004C6FCC"/>
    <w:rsid w:val="004C7691"/>
    <w:rsid w:val="004C7F6D"/>
    <w:rsid w:val="004D073D"/>
    <w:rsid w:val="004D0BDF"/>
    <w:rsid w:val="004D0D5D"/>
    <w:rsid w:val="004D1873"/>
    <w:rsid w:val="004D1969"/>
    <w:rsid w:val="004D1EA5"/>
    <w:rsid w:val="004D1EF8"/>
    <w:rsid w:val="004D2954"/>
    <w:rsid w:val="004D4585"/>
    <w:rsid w:val="004D4E43"/>
    <w:rsid w:val="004D659E"/>
    <w:rsid w:val="004E0261"/>
    <w:rsid w:val="004E03F6"/>
    <w:rsid w:val="004E179E"/>
    <w:rsid w:val="004E28D5"/>
    <w:rsid w:val="004E2C6C"/>
    <w:rsid w:val="004E38EA"/>
    <w:rsid w:val="004E3DCA"/>
    <w:rsid w:val="004E3FE8"/>
    <w:rsid w:val="004E43C0"/>
    <w:rsid w:val="004E4EB7"/>
    <w:rsid w:val="004E5057"/>
    <w:rsid w:val="004E5082"/>
    <w:rsid w:val="004E5810"/>
    <w:rsid w:val="004E5D37"/>
    <w:rsid w:val="004E6620"/>
    <w:rsid w:val="004F0A13"/>
    <w:rsid w:val="004F1888"/>
    <w:rsid w:val="004F32C5"/>
    <w:rsid w:val="004F459F"/>
    <w:rsid w:val="004F5B3D"/>
    <w:rsid w:val="004F6AD0"/>
    <w:rsid w:val="004F7AF2"/>
    <w:rsid w:val="0050012E"/>
    <w:rsid w:val="005006C3"/>
    <w:rsid w:val="00500E43"/>
    <w:rsid w:val="0050125C"/>
    <w:rsid w:val="00501966"/>
    <w:rsid w:val="00502B43"/>
    <w:rsid w:val="00502C5F"/>
    <w:rsid w:val="0050312F"/>
    <w:rsid w:val="00503639"/>
    <w:rsid w:val="00505CB6"/>
    <w:rsid w:val="00505D00"/>
    <w:rsid w:val="005073A4"/>
    <w:rsid w:val="0050793D"/>
    <w:rsid w:val="005108A8"/>
    <w:rsid w:val="00510A23"/>
    <w:rsid w:val="00510A90"/>
    <w:rsid w:val="00510B39"/>
    <w:rsid w:val="00511A03"/>
    <w:rsid w:val="00512765"/>
    <w:rsid w:val="00512C11"/>
    <w:rsid w:val="0051442A"/>
    <w:rsid w:val="00514AD5"/>
    <w:rsid w:val="00514B47"/>
    <w:rsid w:val="005155B4"/>
    <w:rsid w:val="0051570D"/>
    <w:rsid w:val="00515FB4"/>
    <w:rsid w:val="005161F4"/>
    <w:rsid w:val="00516FA0"/>
    <w:rsid w:val="0051702C"/>
    <w:rsid w:val="00517E1A"/>
    <w:rsid w:val="005213C8"/>
    <w:rsid w:val="0052281A"/>
    <w:rsid w:val="00522F92"/>
    <w:rsid w:val="00523160"/>
    <w:rsid w:val="00523226"/>
    <w:rsid w:val="0052367E"/>
    <w:rsid w:val="00523CB7"/>
    <w:rsid w:val="00523FA6"/>
    <w:rsid w:val="00524176"/>
    <w:rsid w:val="00524DB5"/>
    <w:rsid w:val="00525E92"/>
    <w:rsid w:val="00525ED8"/>
    <w:rsid w:val="00525FDC"/>
    <w:rsid w:val="00527C83"/>
    <w:rsid w:val="00530CA7"/>
    <w:rsid w:val="00530E99"/>
    <w:rsid w:val="00531741"/>
    <w:rsid w:val="00531D0E"/>
    <w:rsid w:val="00532A07"/>
    <w:rsid w:val="00532BC1"/>
    <w:rsid w:val="00532DA9"/>
    <w:rsid w:val="00533480"/>
    <w:rsid w:val="00533BCD"/>
    <w:rsid w:val="00534252"/>
    <w:rsid w:val="00534E55"/>
    <w:rsid w:val="00534EB4"/>
    <w:rsid w:val="0053539A"/>
    <w:rsid w:val="00535B64"/>
    <w:rsid w:val="0053642E"/>
    <w:rsid w:val="0053644E"/>
    <w:rsid w:val="00536EF6"/>
    <w:rsid w:val="00537C69"/>
    <w:rsid w:val="0054061E"/>
    <w:rsid w:val="00540684"/>
    <w:rsid w:val="0054087F"/>
    <w:rsid w:val="005419F8"/>
    <w:rsid w:val="00544148"/>
    <w:rsid w:val="00545693"/>
    <w:rsid w:val="00545820"/>
    <w:rsid w:val="00545E1D"/>
    <w:rsid w:val="00546701"/>
    <w:rsid w:val="0054681A"/>
    <w:rsid w:val="005474C2"/>
    <w:rsid w:val="00550480"/>
    <w:rsid w:val="0055158C"/>
    <w:rsid w:val="00552DD8"/>
    <w:rsid w:val="00553514"/>
    <w:rsid w:val="00553D1C"/>
    <w:rsid w:val="0055554E"/>
    <w:rsid w:val="005555BA"/>
    <w:rsid w:val="00555720"/>
    <w:rsid w:val="00555DF5"/>
    <w:rsid w:val="00556339"/>
    <w:rsid w:val="005568FD"/>
    <w:rsid w:val="0055703C"/>
    <w:rsid w:val="005617C7"/>
    <w:rsid w:val="00561F4D"/>
    <w:rsid w:val="005620B3"/>
    <w:rsid w:val="005624D3"/>
    <w:rsid w:val="005629BB"/>
    <w:rsid w:val="00562EF2"/>
    <w:rsid w:val="00564842"/>
    <w:rsid w:val="00565413"/>
    <w:rsid w:val="00565870"/>
    <w:rsid w:val="005661A9"/>
    <w:rsid w:val="00566357"/>
    <w:rsid w:val="00567681"/>
    <w:rsid w:val="00567CD2"/>
    <w:rsid w:val="00570C15"/>
    <w:rsid w:val="00570EA8"/>
    <w:rsid w:val="005715BA"/>
    <w:rsid w:val="00572128"/>
    <w:rsid w:val="00572657"/>
    <w:rsid w:val="00572831"/>
    <w:rsid w:val="00572F3A"/>
    <w:rsid w:val="005730BA"/>
    <w:rsid w:val="0057415B"/>
    <w:rsid w:val="005747CB"/>
    <w:rsid w:val="00574CEA"/>
    <w:rsid w:val="00575BC2"/>
    <w:rsid w:val="005763AA"/>
    <w:rsid w:val="00576689"/>
    <w:rsid w:val="005804E7"/>
    <w:rsid w:val="005813EC"/>
    <w:rsid w:val="0058236F"/>
    <w:rsid w:val="00582C07"/>
    <w:rsid w:val="00582DDD"/>
    <w:rsid w:val="00582F88"/>
    <w:rsid w:val="00583403"/>
    <w:rsid w:val="005836B4"/>
    <w:rsid w:val="00583824"/>
    <w:rsid w:val="00583A5C"/>
    <w:rsid w:val="00583A77"/>
    <w:rsid w:val="00583DC0"/>
    <w:rsid w:val="00583DD6"/>
    <w:rsid w:val="005847E3"/>
    <w:rsid w:val="00586518"/>
    <w:rsid w:val="00586523"/>
    <w:rsid w:val="00586752"/>
    <w:rsid w:val="005869A5"/>
    <w:rsid w:val="00586FF1"/>
    <w:rsid w:val="00587BD6"/>
    <w:rsid w:val="0059016D"/>
    <w:rsid w:val="00590559"/>
    <w:rsid w:val="00590618"/>
    <w:rsid w:val="00590D49"/>
    <w:rsid w:val="005918A0"/>
    <w:rsid w:val="00591941"/>
    <w:rsid w:val="00591A35"/>
    <w:rsid w:val="00591C57"/>
    <w:rsid w:val="00592420"/>
    <w:rsid w:val="00593E9B"/>
    <w:rsid w:val="0059400B"/>
    <w:rsid w:val="00594072"/>
    <w:rsid w:val="005946A6"/>
    <w:rsid w:val="005946CD"/>
    <w:rsid w:val="0059470B"/>
    <w:rsid w:val="00594B2E"/>
    <w:rsid w:val="00594CE1"/>
    <w:rsid w:val="005955E5"/>
    <w:rsid w:val="00595D7E"/>
    <w:rsid w:val="005960A9"/>
    <w:rsid w:val="00596E5A"/>
    <w:rsid w:val="00597361"/>
    <w:rsid w:val="0059795E"/>
    <w:rsid w:val="005A0B77"/>
    <w:rsid w:val="005A16FB"/>
    <w:rsid w:val="005A2370"/>
    <w:rsid w:val="005A27AA"/>
    <w:rsid w:val="005A34F9"/>
    <w:rsid w:val="005A3CF5"/>
    <w:rsid w:val="005A48FE"/>
    <w:rsid w:val="005A5E7B"/>
    <w:rsid w:val="005A66B7"/>
    <w:rsid w:val="005A6FC7"/>
    <w:rsid w:val="005A730E"/>
    <w:rsid w:val="005A75E7"/>
    <w:rsid w:val="005A79EA"/>
    <w:rsid w:val="005B071D"/>
    <w:rsid w:val="005B0906"/>
    <w:rsid w:val="005B283C"/>
    <w:rsid w:val="005B2D4A"/>
    <w:rsid w:val="005B2D83"/>
    <w:rsid w:val="005B306E"/>
    <w:rsid w:val="005B3B3D"/>
    <w:rsid w:val="005B4304"/>
    <w:rsid w:val="005B4670"/>
    <w:rsid w:val="005B4C57"/>
    <w:rsid w:val="005B4D8A"/>
    <w:rsid w:val="005B52E1"/>
    <w:rsid w:val="005B5EE0"/>
    <w:rsid w:val="005B5FE7"/>
    <w:rsid w:val="005B62B6"/>
    <w:rsid w:val="005B6F56"/>
    <w:rsid w:val="005B7901"/>
    <w:rsid w:val="005B7EA5"/>
    <w:rsid w:val="005C07BE"/>
    <w:rsid w:val="005C3110"/>
    <w:rsid w:val="005C4FFF"/>
    <w:rsid w:val="005C5213"/>
    <w:rsid w:val="005C5479"/>
    <w:rsid w:val="005C5516"/>
    <w:rsid w:val="005C564E"/>
    <w:rsid w:val="005C5A6E"/>
    <w:rsid w:val="005C7B93"/>
    <w:rsid w:val="005C7DFE"/>
    <w:rsid w:val="005D003D"/>
    <w:rsid w:val="005D04FF"/>
    <w:rsid w:val="005D0B77"/>
    <w:rsid w:val="005D0C7A"/>
    <w:rsid w:val="005D202F"/>
    <w:rsid w:val="005D2883"/>
    <w:rsid w:val="005D30A2"/>
    <w:rsid w:val="005D382F"/>
    <w:rsid w:val="005D459B"/>
    <w:rsid w:val="005D4761"/>
    <w:rsid w:val="005D4AAE"/>
    <w:rsid w:val="005D5050"/>
    <w:rsid w:val="005D55C1"/>
    <w:rsid w:val="005D55EB"/>
    <w:rsid w:val="005D5CFE"/>
    <w:rsid w:val="005D615E"/>
    <w:rsid w:val="005D64A7"/>
    <w:rsid w:val="005D657F"/>
    <w:rsid w:val="005D68AD"/>
    <w:rsid w:val="005D7460"/>
    <w:rsid w:val="005D7628"/>
    <w:rsid w:val="005E01C8"/>
    <w:rsid w:val="005E0B32"/>
    <w:rsid w:val="005E11F1"/>
    <w:rsid w:val="005E1605"/>
    <w:rsid w:val="005E18C3"/>
    <w:rsid w:val="005E18C4"/>
    <w:rsid w:val="005E1B9D"/>
    <w:rsid w:val="005E23C4"/>
    <w:rsid w:val="005E3877"/>
    <w:rsid w:val="005E4241"/>
    <w:rsid w:val="005E45C2"/>
    <w:rsid w:val="005E5012"/>
    <w:rsid w:val="005E505F"/>
    <w:rsid w:val="005E6643"/>
    <w:rsid w:val="005E73C1"/>
    <w:rsid w:val="005E7B72"/>
    <w:rsid w:val="005F0632"/>
    <w:rsid w:val="005F0942"/>
    <w:rsid w:val="005F0AE5"/>
    <w:rsid w:val="005F34DA"/>
    <w:rsid w:val="005F3969"/>
    <w:rsid w:val="005F3F45"/>
    <w:rsid w:val="005F5171"/>
    <w:rsid w:val="005F5AFD"/>
    <w:rsid w:val="005F5D90"/>
    <w:rsid w:val="005F687F"/>
    <w:rsid w:val="005F7362"/>
    <w:rsid w:val="005F76BB"/>
    <w:rsid w:val="005F7B3D"/>
    <w:rsid w:val="005F7E29"/>
    <w:rsid w:val="00600DD9"/>
    <w:rsid w:val="00601D88"/>
    <w:rsid w:val="00602517"/>
    <w:rsid w:val="00602A58"/>
    <w:rsid w:val="006036FE"/>
    <w:rsid w:val="006038BC"/>
    <w:rsid w:val="00604E4C"/>
    <w:rsid w:val="0060530D"/>
    <w:rsid w:val="0060562F"/>
    <w:rsid w:val="00605782"/>
    <w:rsid w:val="006060D6"/>
    <w:rsid w:val="00606749"/>
    <w:rsid w:val="006069D3"/>
    <w:rsid w:val="00606CAB"/>
    <w:rsid w:val="00606F0D"/>
    <w:rsid w:val="006078F8"/>
    <w:rsid w:val="00607FEE"/>
    <w:rsid w:val="0061015A"/>
    <w:rsid w:val="006118FE"/>
    <w:rsid w:val="00611ED2"/>
    <w:rsid w:val="00612B35"/>
    <w:rsid w:val="00612C39"/>
    <w:rsid w:val="00612DC3"/>
    <w:rsid w:val="00612ECC"/>
    <w:rsid w:val="006137ED"/>
    <w:rsid w:val="00613C00"/>
    <w:rsid w:val="006145CE"/>
    <w:rsid w:val="006158E5"/>
    <w:rsid w:val="006160FD"/>
    <w:rsid w:val="0061673A"/>
    <w:rsid w:val="006168D5"/>
    <w:rsid w:val="00616DDA"/>
    <w:rsid w:val="00617031"/>
    <w:rsid w:val="0061771F"/>
    <w:rsid w:val="00617CE8"/>
    <w:rsid w:val="006206B7"/>
    <w:rsid w:val="006219A3"/>
    <w:rsid w:val="006234FE"/>
    <w:rsid w:val="00623889"/>
    <w:rsid w:val="00623C22"/>
    <w:rsid w:val="006247BB"/>
    <w:rsid w:val="006256C3"/>
    <w:rsid w:val="0062647A"/>
    <w:rsid w:val="0062664E"/>
    <w:rsid w:val="00626BE4"/>
    <w:rsid w:val="00627007"/>
    <w:rsid w:val="006270A9"/>
    <w:rsid w:val="00627657"/>
    <w:rsid w:val="0063023F"/>
    <w:rsid w:val="006309C6"/>
    <w:rsid w:val="00631F52"/>
    <w:rsid w:val="006320D8"/>
    <w:rsid w:val="006323AD"/>
    <w:rsid w:val="006324DE"/>
    <w:rsid w:val="00632DC0"/>
    <w:rsid w:val="006339A7"/>
    <w:rsid w:val="00635183"/>
    <w:rsid w:val="00635772"/>
    <w:rsid w:val="00635B7F"/>
    <w:rsid w:val="00635E15"/>
    <w:rsid w:val="0063655F"/>
    <w:rsid w:val="0063695C"/>
    <w:rsid w:val="00636E55"/>
    <w:rsid w:val="0063790F"/>
    <w:rsid w:val="00640E30"/>
    <w:rsid w:val="00641088"/>
    <w:rsid w:val="00641350"/>
    <w:rsid w:val="00642B69"/>
    <w:rsid w:val="0064345D"/>
    <w:rsid w:val="00643664"/>
    <w:rsid w:val="00643CDD"/>
    <w:rsid w:val="00646A09"/>
    <w:rsid w:val="00646DAF"/>
    <w:rsid w:val="00646DFC"/>
    <w:rsid w:val="00647808"/>
    <w:rsid w:val="00647C76"/>
    <w:rsid w:val="00647DAE"/>
    <w:rsid w:val="006500A3"/>
    <w:rsid w:val="006502BC"/>
    <w:rsid w:val="00651F0A"/>
    <w:rsid w:val="00654175"/>
    <w:rsid w:val="006546A6"/>
    <w:rsid w:val="00654917"/>
    <w:rsid w:val="00654AB8"/>
    <w:rsid w:val="00654B3D"/>
    <w:rsid w:val="0065621C"/>
    <w:rsid w:val="00656D15"/>
    <w:rsid w:val="0065705B"/>
    <w:rsid w:val="00657616"/>
    <w:rsid w:val="006601BF"/>
    <w:rsid w:val="00660869"/>
    <w:rsid w:val="00661E6A"/>
    <w:rsid w:val="00662CFA"/>
    <w:rsid w:val="006655E4"/>
    <w:rsid w:val="00665CDA"/>
    <w:rsid w:val="006664B2"/>
    <w:rsid w:val="00666EB0"/>
    <w:rsid w:val="0067116F"/>
    <w:rsid w:val="006725E2"/>
    <w:rsid w:val="00672A28"/>
    <w:rsid w:val="00672DA2"/>
    <w:rsid w:val="00674531"/>
    <w:rsid w:val="0067469B"/>
    <w:rsid w:val="0067571B"/>
    <w:rsid w:val="006758BF"/>
    <w:rsid w:val="00677C4E"/>
    <w:rsid w:val="006801CD"/>
    <w:rsid w:val="0068183F"/>
    <w:rsid w:val="006833AF"/>
    <w:rsid w:val="00683734"/>
    <w:rsid w:val="00684042"/>
    <w:rsid w:val="006841BA"/>
    <w:rsid w:val="00684B38"/>
    <w:rsid w:val="00684EE0"/>
    <w:rsid w:val="00685AA1"/>
    <w:rsid w:val="00685F27"/>
    <w:rsid w:val="00686A8C"/>
    <w:rsid w:val="00686B03"/>
    <w:rsid w:val="00686F27"/>
    <w:rsid w:val="00687A07"/>
    <w:rsid w:val="00687A15"/>
    <w:rsid w:val="006905D0"/>
    <w:rsid w:val="00690E9C"/>
    <w:rsid w:val="0069199E"/>
    <w:rsid w:val="00692A3A"/>
    <w:rsid w:val="00692FAE"/>
    <w:rsid w:val="00693023"/>
    <w:rsid w:val="00693029"/>
    <w:rsid w:val="00693379"/>
    <w:rsid w:val="00693F02"/>
    <w:rsid w:val="00694053"/>
    <w:rsid w:val="0069453F"/>
    <w:rsid w:val="00694610"/>
    <w:rsid w:val="00695168"/>
    <w:rsid w:val="006954EE"/>
    <w:rsid w:val="00695A9E"/>
    <w:rsid w:val="00696506"/>
    <w:rsid w:val="00696E4E"/>
    <w:rsid w:val="0069764D"/>
    <w:rsid w:val="006A0692"/>
    <w:rsid w:val="006A0957"/>
    <w:rsid w:val="006A0B0C"/>
    <w:rsid w:val="006A0FF4"/>
    <w:rsid w:val="006A1060"/>
    <w:rsid w:val="006A1285"/>
    <w:rsid w:val="006A16C8"/>
    <w:rsid w:val="006A302D"/>
    <w:rsid w:val="006A46F9"/>
    <w:rsid w:val="006A4F6B"/>
    <w:rsid w:val="006A552C"/>
    <w:rsid w:val="006A671B"/>
    <w:rsid w:val="006A6F80"/>
    <w:rsid w:val="006A725F"/>
    <w:rsid w:val="006A770C"/>
    <w:rsid w:val="006A7984"/>
    <w:rsid w:val="006B0A71"/>
    <w:rsid w:val="006B17E0"/>
    <w:rsid w:val="006B1865"/>
    <w:rsid w:val="006B18E9"/>
    <w:rsid w:val="006B1BC8"/>
    <w:rsid w:val="006B2309"/>
    <w:rsid w:val="006B25F3"/>
    <w:rsid w:val="006B28C3"/>
    <w:rsid w:val="006B31A2"/>
    <w:rsid w:val="006B54EE"/>
    <w:rsid w:val="006B6580"/>
    <w:rsid w:val="006B6A49"/>
    <w:rsid w:val="006B7316"/>
    <w:rsid w:val="006B7531"/>
    <w:rsid w:val="006B77A4"/>
    <w:rsid w:val="006B77D7"/>
    <w:rsid w:val="006C0820"/>
    <w:rsid w:val="006C08B5"/>
    <w:rsid w:val="006C1013"/>
    <w:rsid w:val="006C128C"/>
    <w:rsid w:val="006C2683"/>
    <w:rsid w:val="006C2C6C"/>
    <w:rsid w:val="006C32D0"/>
    <w:rsid w:val="006C37C9"/>
    <w:rsid w:val="006C3E33"/>
    <w:rsid w:val="006C564D"/>
    <w:rsid w:val="006C5CE7"/>
    <w:rsid w:val="006C5FA3"/>
    <w:rsid w:val="006C6A15"/>
    <w:rsid w:val="006C6F9D"/>
    <w:rsid w:val="006C705C"/>
    <w:rsid w:val="006C7606"/>
    <w:rsid w:val="006D0111"/>
    <w:rsid w:val="006D27EC"/>
    <w:rsid w:val="006D3097"/>
    <w:rsid w:val="006D3C42"/>
    <w:rsid w:val="006D3F9E"/>
    <w:rsid w:val="006D484D"/>
    <w:rsid w:val="006D4C33"/>
    <w:rsid w:val="006D5B7D"/>
    <w:rsid w:val="006D5C94"/>
    <w:rsid w:val="006D69CD"/>
    <w:rsid w:val="006D715F"/>
    <w:rsid w:val="006D754E"/>
    <w:rsid w:val="006D75F7"/>
    <w:rsid w:val="006D7709"/>
    <w:rsid w:val="006D787F"/>
    <w:rsid w:val="006D7ECE"/>
    <w:rsid w:val="006E0894"/>
    <w:rsid w:val="006E0CC2"/>
    <w:rsid w:val="006E114C"/>
    <w:rsid w:val="006E1E9D"/>
    <w:rsid w:val="006E2468"/>
    <w:rsid w:val="006E34A3"/>
    <w:rsid w:val="006E44F6"/>
    <w:rsid w:val="006E452C"/>
    <w:rsid w:val="006E472A"/>
    <w:rsid w:val="006E5661"/>
    <w:rsid w:val="006E579E"/>
    <w:rsid w:val="006E5F5E"/>
    <w:rsid w:val="006E71D6"/>
    <w:rsid w:val="006E754A"/>
    <w:rsid w:val="006F10C3"/>
    <w:rsid w:val="006F1855"/>
    <w:rsid w:val="006F1EDE"/>
    <w:rsid w:val="006F28E9"/>
    <w:rsid w:val="006F29E3"/>
    <w:rsid w:val="006F2C0B"/>
    <w:rsid w:val="006F43CE"/>
    <w:rsid w:val="006F448C"/>
    <w:rsid w:val="006F4DEC"/>
    <w:rsid w:val="006F5048"/>
    <w:rsid w:val="006F54B8"/>
    <w:rsid w:val="006F5646"/>
    <w:rsid w:val="006F5B8D"/>
    <w:rsid w:val="006F6796"/>
    <w:rsid w:val="006F6C66"/>
    <w:rsid w:val="006F75F3"/>
    <w:rsid w:val="006F77C0"/>
    <w:rsid w:val="00700536"/>
    <w:rsid w:val="00701139"/>
    <w:rsid w:val="00702B1D"/>
    <w:rsid w:val="0070330E"/>
    <w:rsid w:val="007043A1"/>
    <w:rsid w:val="00704856"/>
    <w:rsid w:val="007057F7"/>
    <w:rsid w:val="007065C5"/>
    <w:rsid w:val="00706BB3"/>
    <w:rsid w:val="00706CE6"/>
    <w:rsid w:val="0070729A"/>
    <w:rsid w:val="0070743B"/>
    <w:rsid w:val="0070744E"/>
    <w:rsid w:val="00707C6F"/>
    <w:rsid w:val="00710780"/>
    <w:rsid w:val="0071118D"/>
    <w:rsid w:val="007113F5"/>
    <w:rsid w:val="00711488"/>
    <w:rsid w:val="00711774"/>
    <w:rsid w:val="00711ED9"/>
    <w:rsid w:val="0071233F"/>
    <w:rsid w:val="0071238B"/>
    <w:rsid w:val="00712C2D"/>
    <w:rsid w:val="00713261"/>
    <w:rsid w:val="007145A9"/>
    <w:rsid w:val="0071582F"/>
    <w:rsid w:val="00715CEA"/>
    <w:rsid w:val="007162F0"/>
    <w:rsid w:val="00716C30"/>
    <w:rsid w:val="00716C7D"/>
    <w:rsid w:val="007173C5"/>
    <w:rsid w:val="00720C15"/>
    <w:rsid w:val="00721176"/>
    <w:rsid w:val="0072265A"/>
    <w:rsid w:val="00722FC1"/>
    <w:rsid w:val="0072329F"/>
    <w:rsid w:val="00724CF8"/>
    <w:rsid w:val="00724EF4"/>
    <w:rsid w:val="00726590"/>
    <w:rsid w:val="00727570"/>
    <w:rsid w:val="007276BD"/>
    <w:rsid w:val="00727880"/>
    <w:rsid w:val="00727911"/>
    <w:rsid w:val="0073006E"/>
    <w:rsid w:val="007305A3"/>
    <w:rsid w:val="0073067B"/>
    <w:rsid w:val="00730CA7"/>
    <w:rsid w:val="00730CC2"/>
    <w:rsid w:val="007331BA"/>
    <w:rsid w:val="007334E5"/>
    <w:rsid w:val="00735197"/>
    <w:rsid w:val="00736AA2"/>
    <w:rsid w:val="00737380"/>
    <w:rsid w:val="007379EB"/>
    <w:rsid w:val="00740376"/>
    <w:rsid w:val="007410B1"/>
    <w:rsid w:val="007416CA"/>
    <w:rsid w:val="00742CEC"/>
    <w:rsid w:val="00742FE0"/>
    <w:rsid w:val="007435D7"/>
    <w:rsid w:val="00744CDD"/>
    <w:rsid w:val="00744FDE"/>
    <w:rsid w:val="0074553C"/>
    <w:rsid w:val="0074598D"/>
    <w:rsid w:val="007470FF"/>
    <w:rsid w:val="00747194"/>
    <w:rsid w:val="00750097"/>
    <w:rsid w:val="007501BB"/>
    <w:rsid w:val="00751BB7"/>
    <w:rsid w:val="007526A9"/>
    <w:rsid w:val="00753606"/>
    <w:rsid w:val="00754CDB"/>
    <w:rsid w:val="00755164"/>
    <w:rsid w:val="00755620"/>
    <w:rsid w:val="007567C2"/>
    <w:rsid w:val="00756801"/>
    <w:rsid w:val="00757AA1"/>
    <w:rsid w:val="00757B12"/>
    <w:rsid w:val="007603A1"/>
    <w:rsid w:val="00760507"/>
    <w:rsid w:val="00760B51"/>
    <w:rsid w:val="00761234"/>
    <w:rsid w:val="00761F3B"/>
    <w:rsid w:val="00761FF9"/>
    <w:rsid w:val="00764B38"/>
    <w:rsid w:val="0076525E"/>
    <w:rsid w:val="00765481"/>
    <w:rsid w:val="00765681"/>
    <w:rsid w:val="0076681C"/>
    <w:rsid w:val="007678C4"/>
    <w:rsid w:val="00767D07"/>
    <w:rsid w:val="00767D21"/>
    <w:rsid w:val="00771E3B"/>
    <w:rsid w:val="007733E6"/>
    <w:rsid w:val="0077554A"/>
    <w:rsid w:val="007763C9"/>
    <w:rsid w:val="00777CBF"/>
    <w:rsid w:val="00780C9B"/>
    <w:rsid w:val="00780E58"/>
    <w:rsid w:val="00781759"/>
    <w:rsid w:val="00781D9B"/>
    <w:rsid w:val="0078278A"/>
    <w:rsid w:val="00782FF7"/>
    <w:rsid w:val="00784296"/>
    <w:rsid w:val="007847DE"/>
    <w:rsid w:val="00785188"/>
    <w:rsid w:val="007851C5"/>
    <w:rsid w:val="00785BBD"/>
    <w:rsid w:val="00785D5B"/>
    <w:rsid w:val="0078709C"/>
    <w:rsid w:val="00787D9C"/>
    <w:rsid w:val="00790345"/>
    <w:rsid w:val="00790B32"/>
    <w:rsid w:val="00791071"/>
    <w:rsid w:val="00791118"/>
    <w:rsid w:val="00791285"/>
    <w:rsid w:val="00791CC4"/>
    <w:rsid w:val="00791DD6"/>
    <w:rsid w:val="00794CC2"/>
    <w:rsid w:val="007958BC"/>
    <w:rsid w:val="0079674D"/>
    <w:rsid w:val="00797662"/>
    <w:rsid w:val="007A0443"/>
    <w:rsid w:val="007A0F0B"/>
    <w:rsid w:val="007A10F3"/>
    <w:rsid w:val="007A111F"/>
    <w:rsid w:val="007A17A3"/>
    <w:rsid w:val="007A17DE"/>
    <w:rsid w:val="007A1A14"/>
    <w:rsid w:val="007A1D73"/>
    <w:rsid w:val="007A2416"/>
    <w:rsid w:val="007A2614"/>
    <w:rsid w:val="007A2A90"/>
    <w:rsid w:val="007A3D65"/>
    <w:rsid w:val="007A42E1"/>
    <w:rsid w:val="007A48A3"/>
    <w:rsid w:val="007A4BD8"/>
    <w:rsid w:val="007A5FA4"/>
    <w:rsid w:val="007A632E"/>
    <w:rsid w:val="007A6CEA"/>
    <w:rsid w:val="007A6F15"/>
    <w:rsid w:val="007A7252"/>
    <w:rsid w:val="007A7B2C"/>
    <w:rsid w:val="007B0C04"/>
    <w:rsid w:val="007B1148"/>
    <w:rsid w:val="007B1A25"/>
    <w:rsid w:val="007B230B"/>
    <w:rsid w:val="007B23E9"/>
    <w:rsid w:val="007B292C"/>
    <w:rsid w:val="007B389A"/>
    <w:rsid w:val="007B4CF3"/>
    <w:rsid w:val="007B4E6C"/>
    <w:rsid w:val="007B60BD"/>
    <w:rsid w:val="007B6452"/>
    <w:rsid w:val="007B6AF3"/>
    <w:rsid w:val="007B788A"/>
    <w:rsid w:val="007B7A6A"/>
    <w:rsid w:val="007B7F69"/>
    <w:rsid w:val="007C0FB1"/>
    <w:rsid w:val="007C28D2"/>
    <w:rsid w:val="007C2917"/>
    <w:rsid w:val="007C30DE"/>
    <w:rsid w:val="007C37B3"/>
    <w:rsid w:val="007C3FDE"/>
    <w:rsid w:val="007C43EF"/>
    <w:rsid w:val="007C5375"/>
    <w:rsid w:val="007C5A47"/>
    <w:rsid w:val="007C64CC"/>
    <w:rsid w:val="007C71EB"/>
    <w:rsid w:val="007D00D9"/>
    <w:rsid w:val="007D08D3"/>
    <w:rsid w:val="007D09EC"/>
    <w:rsid w:val="007D1512"/>
    <w:rsid w:val="007D2815"/>
    <w:rsid w:val="007D2A94"/>
    <w:rsid w:val="007D37D5"/>
    <w:rsid w:val="007D496D"/>
    <w:rsid w:val="007D61D6"/>
    <w:rsid w:val="007D7D81"/>
    <w:rsid w:val="007E06C9"/>
    <w:rsid w:val="007E08D6"/>
    <w:rsid w:val="007E0EC1"/>
    <w:rsid w:val="007E0F4E"/>
    <w:rsid w:val="007E2412"/>
    <w:rsid w:val="007E2554"/>
    <w:rsid w:val="007E2FB5"/>
    <w:rsid w:val="007E3026"/>
    <w:rsid w:val="007E3BD5"/>
    <w:rsid w:val="007E472C"/>
    <w:rsid w:val="007E5248"/>
    <w:rsid w:val="007E52FE"/>
    <w:rsid w:val="007E5683"/>
    <w:rsid w:val="007E5FDF"/>
    <w:rsid w:val="007E5FF3"/>
    <w:rsid w:val="007E7BCF"/>
    <w:rsid w:val="007F1D5B"/>
    <w:rsid w:val="007F2550"/>
    <w:rsid w:val="007F2E2D"/>
    <w:rsid w:val="007F313F"/>
    <w:rsid w:val="007F348D"/>
    <w:rsid w:val="007F3A86"/>
    <w:rsid w:val="007F3F8A"/>
    <w:rsid w:val="007F4A16"/>
    <w:rsid w:val="007F5673"/>
    <w:rsid w:val="007F57F9"/>
    <w:rsid w:val="007F6915"/>
    <w:rsid w:val="007F6D85"/>
    <w:rsid w:val="00800077"/>
    <w:rsid w:val="008008A5"/>
    <w:rsid w:val="00800C58"/>
    <w:rsid w:val="00801F6D"/>
    <w:rsid w:val="00803310"/>
    <w:rsid w:val="00803672"/>
    <w:rsid w:val="00803C26"/>
    <w:rsid w:val="00804282"/>
    <w:rsid w:val="00804FA0"/>
    <w:rsid w:val="008052FA"/>
    <w:rsid w:val="008057AA"/>
    <w:rsid w:val="0080616B"/>
    <w:rsid w:val="008063D2"/>
    <w:rsid w:val="00806688"/>
    <w:rsid w:val="00807D42"/>
    <w:rsid w:val="00810637"/>
    <w:rsid w:val="008108C4"/>
    <w:rsid w:val="00810C63"/>
    <w:rsid w:val="00812345"/>
    <w:rsid w:val="008126CE"/>
    <w:rsid w:val="00812DC7"/>
    <w:rsid w:val="00812EC2"/>
    <w:rsid w:val="0081403F"/>
    <w:rsid w:val="00814600"/>
    <w:rsid w:val="0081491F"/>
    <w:rsid w:val="00816AE4"/>
    <w:rsid w:val="00817F8F"/>
    <w:rsid w:val="00820CEC"/>
    <w:rsid w:val="00820FD4"/>
    <w:rsid w:val="00821074"/>
    <w:rsid w:val="00822B95"/>
    <w:rsid w:val="008236DF"/>
    <w:rsid w:val="00823735"/>
    <w:rsid w:val="00823AB0"/>
    <w:rsid w:val="00824008"/>
    <w:rsid w:val="008240FF"/>
    <w:rsid w:val="0082425E"/>
    <w:rsid w:val="0082496B"/>
    <w:rsid w:val="00825DC4"/>
    <w:rsid w:val="008264B6"/>
    <w:rsid w:val="00827BF9"/>
    <w:rsid w:val="00827DEC"/>
    <w:rsid w:val="00830298"/>
    <w:rsid w:val="00830A32"/>
    <w:rsid w:val="008311E2"/>
    <w:rsid w:val="008326B6"/>
    <w:rsid w:val="00832AF9"/>
    <w:rsid w:val="00832D31"/>
    <w:rsid w:val="00832F9D"/>
    <w:rsid w:val="00832FF9"/>
    <w:rsid w:val="00833C77"/>
    <w:rsid w:val="00834A2E"/>
    <w:rsid w:val="00834C0D"/>
    <w:rsid w:val="00836B35"/>
    <w:rsid w:val="00836B72"/>
    <w:rsid w:val="00836D38"/>
    <w:rsid w:val="008374C7"/>
    <w:rsid w:val="008376E9"/>
    <w:rsid w:val="008379AC"/>
    <w:rsid w:val="00840233"/>
    <w:rsid w:val="00840E72"/>
    <w:rsid w:val="00841FF6"/>
    <w:rsid w:val="00842188"/>
    <w:rsid w:val="00842932"/>
    <w:rsid w:val="00842B31"/>
    <w:rsid w:val="00842B58"/>
    <w:rsid w:val="00843450"/>
    <w:rsid w:val="00843CB6"/>
    <w:rsid w:val="00843F40"/>
    <w:rsid w:val="0084418C"/>
    <w:rsid w:val="008446C9"/>
    <w:rsid w:val="00845187"/>
    <w:rsid w:val="00845737"/>
    <w:rsid w:val="008466E0"/>
    <w:rsid w:val="00846785"/>
    <w:rsid w:val="0084691F"/>
    <w:rsid w:val="008501AE"/>
    <w:rsid w:val="00850630"/>
    <w:rsid w:val="00850E99"/>
    <w:rsid w:val="00850EF9"/>
    <w:rsid w:val="008518DE"/>
    <w:rsid w:val="00851A12"/>
    <w:rsid w:val="00852318"/>
    <w:rsid w:val="00852B4B"/>
    <w:rsid w:val="0085451F"/>
    <w:rsid w:val="00855665"/>
    <w:rsid w:val="008557E8"/>
    <w:rsid w:val="00855904"/>
    <w:rsid w:val="008562EA"/>
    <w:rsid w:val="00856442"/>
    <w:rsid w:val="00856608"/>
    <w:rsid w:val="008603DF"/>
    <w:rsid w:val="0086090E"/>
    <w:rsid w:val="00860B19"/>
    <w:rsid w:val="00861B53"/>
    <w:rsid w:val="0086210B"/>
    <w:rsid w:val="0086493F"/>
    <w:rsid w:val="008651FD"/>
    <w:rsid w:val="00865B4E"/>
    <w:rsid w:val="00865F49"/>
    <w:rsid w:val="008660E9"/>
    <w:rsid w:val="00867066"/>
    <w:rsid w:val="00867E7F"/>
    <w:rsid w:val="00867F2F"/>
    <w:rsid w:val="00870022"/>
    <w:rsid w:val="008701B5"/>
    <w:rsid w:val="00871BF3"/>
    <w:rsid w:val="00871DD7"/>
    <w:rsid w:val="00871EF3"/>
    <w:rsid w:val="00873335"/>
    <w:rsid w:val="00874DF5"/>
    <w:rsid w:val="00875C8A"/>
    <w:rsid w:val="00875D6F"/>
    <w:rsid w:val="0087641E"/>
    <w:rsid w:val="008764BB"/>
    <w:rsid w:val="008772EA"/>
    <w:rsid w:val="00877DF8"/>
    <w:rsid w:val="0088079E"/>
    <w:rsid w:val="00880D4E"/>
    <w:rsid w:val="008812C0"/>
    <w:rsid w:val="008815C2"/>
    <w:rsid w:val="00882938"/>
    <w:rsid w:val="008834E4"/>
    <w:rsid w:val="008840C9"/>
    <w:rsid w:val="008849DA"/>
    <w:rsid w:val="0088537F"/>
    <w:rsid w:val="00885648"/>
    <w:rsid w:val="00885672"/>
    <w:rsid w:val="00885853"/>
    <w:rsid w:val="00885D58"/>
    <w:rsid w:val="00885EE8"/>
    <w:rsid w:val="008873C4"/>
    <w:rsid w:val="0088767D"/>
    <w:rsid w:val="00887822"/>
    <w:rsid w:val="00890389"/>
    <w:rsid w:val="00890857"/>
    <w:rsid w:val="00890A16"/>
    <w:rsid w:val="00890EB6"/>
    <w:rsid w:val="00891108"/>
    <w:rsid w:val="00891C09"/>
    <w:rsid w:val="008920BF"/>
    <w:rsid w:val="0089259F"/>
    <w:rsid w:val="00894628"/>
    <w:rsid w:val="00894AC0"/>
    <w:rsid w:val="00895A39"/>
    <w:rsid w:val="00896F96"/>
    <w:rsid w:val="00897847"/>
    <w:rsid w:val="00897895"/>
    <w:rsid w:val="00897ABB"/>
    <w:rsid w:val="00897E62"/>
    <w:rsid w:val="008A0C5E"/>
    <w:rsid w:val="008A1115"/>
    <w:rsid w:val="008A1467"/>
    <w:rsid w:val="008A1B7C"/>
    <w:rsid w:val="008A36C6"/>
    <w:rsid w:val="008A43A5"/>
    <w:rsid w:val="008A4E99"/>
    <w:rsid w:val="008A5119"/>
    <w:rsid w:val="008A610E"/>
    <w:rsid w:val="008A6487"/>
    <w:rsid w:val="008A7A0F"/>
    <w:rsid w:val="008B06CE"/>
    <w:rsid w:val="008B11A2"/>
    <w:rsid w:val="008B1A12"/>
    <w:rsid w:val="008B1E81"/>
    <w:rsid w:val="008B233D"/>
    <w:rsid w:val="008B35F7"/>
    <w:rsid w:val="008B3984"/>
    <w:rsid w:val="008B46FE"/>
    <w:rsid w:val="008B4719"/>
    <w:rsid w:val="008B4865"/>
    <w:rsid w:val="008B5F35"/>
    <w:rsid w:val="008B60C4"/>
    <w:rsid w:val="008B617C"/>
    <w:rsid w:val="008B6294"/>
    <w:rsid w:val="008C033C"/>
    <w:rsid w:val="008C0723"/>
    <w:rsid w:val="008C1E30"/>
    <w:rsid w:val="008C1E33"/>
    <w:rsid w:val="008C289B"/>
    <w:rsid w:val="008C29B5"/>
    <w:rsid w:val="008C3321"/>
    <w:rsid w:val="008C3536"/>
    <w:rsid w:val="008C36B0"/>
    <w:rsid w:val="008C38A5"/>
    <w:rsid w:val="008C3DBC"/>
    <w:rsid w:val="008C453D"/>
    <w:rsid w:val="008C576D"/>
    <w:rsid w:val="008C5DA0"/>
    <w:rsid w:val="008C5F52"/>
    <w:rsid w:val="008C6226"/>
    <w:rsid w:val="008C750D"/>
    <w:rsid w:val="008C7E07"/>
    <w:rsid w:val="008C7FE4"/>
    <w:rsid w:val="008D0202"/>
    <w:rsid w:val="008D0691"/>
    <w:rsid w:val="008D0B77"/>
    <w:rsid w:val="008D0DAC"/>
    <w:rsid w:val="008D14D4"/>
    <w:rsid w:val="008D1A20"/>
    <w:rsid w:val="008D21C1"/>
    <w:rsid w:val="008D2C24"/>
    <w:rsid w:val="008D3BF2"/>
    <w:rsid w:val="008D4EB8"/>
    <w:rsid w:val="008D5BE4"/>
    <w:rsid w:val="008D5BE8"/>
    <w:rsid w:val="008D609E"/>
    <w:rsid w:val="008D6DBF"/>
    <w:rsid w:val="008D6F8B"/>
    <w:rsid w:val="008D74EE"/>
    <w:rsid w:val="008D7D5E"/>
    <w:rsid w:val="008E0570"/>
    <w:rsid w:val="008E2178"/>
    <w:rsid w:val="008E2676"/>
    <w:rsid w:val="008E2FAF"/>
    <w:rsid w:val="008E33B8"/>
    <w:rsid w:val="008E380A"/>
    <w:rsid w:val="008E3C9D"/>
    <w:rsid w:val="008E4584"/>
    <w:rsid w:val="008E467A"/>
    <w:rsid w:val="008E5458"/>
    <w:rsid w:val="008E67B3"/>
    <w:rsid w:val="008E6A18"/>
    <w:rsid w:val="008E7378"/>
    <w:rsid w:val="008E756E"/>
    <w:rsid w:val="008E769B"/>
    <w:rsid w:val="008F0341"/>
    <w:rsid w:val="008F1A1F"/>
    <w:rsid w:val="008F1F44"/>
    <w:rsid w:val="008F2376"/>
    <w:rsid w:val="008F281D"/>
    <w:rsid w:val="008F4160"/>
    <w:rsid w:val="008F476F"/>
    <w:rsid w:val="008F5266"/>
    <w:rsid w:val="008F606A"/>
    <w:rsid w:val="008F60B6"/>
    <w:rsid w:val="008F6F5D"/>
    <w:rsid w:val="008F7091"/>
    <w:rsid w:val="008F7B38"/>
    <w:rsid w:val="008F7DD9"/>
    <w:rsid w:val="009014AF"/>
    <w:rsid w:val="0090190B"/>
    <w:rsid w:val="009020F5"/>
    <w:rsid w:val="00902B4C"/>
    <w:rsid w:val="00902D92"/>
    <w:rsid w:val="009066F0"/>
    <w:rsid w:val="00906B4E"/>
    <w:rsid w:val="00906ED3"/>
    <w:rsid w:val="0090722C"/>
    <w:rsid w:val="00907338"/>
    <w:rsid w:val="00907D51"/>
    <w:rsid w:val="00910C78"/>
    <w:rsid w:val="00910EA7"/>
    <w:rsid w:val="00910F6C"/>
    <w:rsid w:val="00911143"/>
    <w:rsid w:val="00911489"/>
    <w:rsid w:val="009117BE"/>
    <w:rsid w:val="009120B4"/>
    <w:rsid w:val="009124DA"/>
    <w:rsid w:val="00913694"/>
    <w:rsid w:val="009137CF"/>
    <w:rsid w:val="00915C06"/>
    <w:rsid w:val="00915C50"/>
    <w:rsid w:val="00915FF6"/>
    <w:rsid w:val="009169F4"/>
    <w:rsid w:val="00916B35"/>
    <w:rsid w:val="00916B75"/>
    <w:rsid w:val="00916C0C"/>
    <w:rsid w:val="00916FDC"/>
    <w:rsid w:val="00917B15"/>
    <w:rsid w:val="009209EC"/>
    <w:rsid w:val="009213AE"/>
    <w:rsid w:val="00921596"/>
    <w:rsid w:val="0092192B"/>
    <w:rsid w:val="00921FDB"/>
    <w:rsid w:val="0092321F"/>
    <w:rsid w:val="00923F1E"/>
    <w:rsid w:val="009243C1"/>
    <w:rsid w:val="00925FAA"/>
    <w:rsid w:val="00926D1B"/>
    <w:rsid w:val="00926D33"/>
    <w:rsid w:val="009278B1"/>
    <w:rsid w:val="00927C7A"/>
    <w:rsid w:val="00927FDF"/>
    <w:rsid w:val="00930D2E"/>
    <w:rsid w:val="0093185C"/>
    <w:rsid w:val="009319C4"/>
    <w:rsid w:val="00932F9E"/>
    <w:rsid w:val="00933E5E"/>
    <w:rsid w:val="00933FD4"/>
    <w:rsid w:val="00934796"/>
    <w:rsid w:val="009351CD"/>
    <w:rsid w:val="009358A0"/>
    <w:rsid w:val="00936568"/>
    <w:rsid w:val="00940E4E"/>
    <w:rsid w:val="009417B7"/>
    <w:rsid w:val="00942DFB"/>
    <w:rsid w:val="009436CF"/>
    <w:rsid w:val="009446BC"/>
    <w:rsid w:val="0094554D"/>
    <w:rsid w:val="00945A37"/>
    <w:rsid w:val="00945A6E"/>
    <w:rsid w:val="009468B2"/>
    <w:rsid w:val="00953023"/>
    <w:rsid w:val="00954685"/>
    <w:rsid w:val="00954835"/>
    <w:rsid w:val="0095485C"/>
    <w:rsid w:val="00955D19"/>
    <w:rsid w:val="00955F4A"/>
    <w:rsid w:val="0095623E"/>
    <w:rsid w:val="0095689A"/>
    <w:rsid w:val="00957B4E"/>
    <w:rsid w:val="00961E6A"/>
    <w:rsid w:val="00962CEB"/>
    <w:rsid w:val="00965668"/>
    <w:rsid w:val="00965E4A"/>
    <w:rsid w:val="00966BDF"/>
    <w:rsid w:val="009677E7"/>
    <w:rsid w:val="00967A2C"/>
    <w:rsid w:val="00967B67"/>
    <w:rsid w:val="00967C8C"/>
    <w:rsid w:val="00967FCB"/>
    <w:rsid w:val="009727AF"/>
    <w:rsid w:val="009728B2"/>
    <w:rsid w:val="00972ACF"/>
    <w:rsid w:val="00973D32"/>
    <w:rsid w:val="00973FE6"/>
    <w:rsid w:val="00974664"/>
    <w:rsid w:val="0097487C"/>
    <w:rsid w:val="00974B49"/>
    <w:rsid w:val="00974E1B"/>
    <w:rsid w:val="00975E30"/>
    <w:rsid w:val="00976759"/>
    <w:rsid w:val="00977A63"/>
    <w:rsid w:val="00980B14"/>
    <w:rsid w:val="009810B5"/>
    <w:rsid w:val="009814F8"/>
    <w:rsid w:val="0098165A"/>
    <w:rsid w:val="009816FB"/>
    <w:rsid w:val="00981872"/>
    <w:rsid w:val="00982A11"/>
    <w:rsid w:val="00983591"/>
    <w:rsid w:val="00983B8A"/>
    <w:rsid w:val="0098569D"/>
    <w:rsid w:val="00985A98"/>
    <w:rsid w:val="00985C83"/>
    <w:rsid w:val="00985E20"/>
    <w:rsid w:val="0098635C"/>
    <w:rsid w:val="009867D6"/>
    <w:rsid w:val="00987714"/>
    <w:rsid w:val="00987F91"/>
    <w:rsid w:val="009900CF"/>
    <w:rsid w:val="009908FD"/>
    <w:rsid w:val="009910C4"/>
    <w:rsid w:val="00991597"/>
    <w:rsid w:val="0099287A"/>
    <w:rsid w:val="0099348C"/>
    <w:rsid w:val="0099356C"/>
    <w:rsid w:val="009943EE"/>
    <w:rsid w:val="009945AE"/>
    <w:rsid w:val="0099485F"/>
    <w:rsid w:val="00994879"/>
    <w:rsid w:val="00994B32"/>
    <w:rsid w:val="00994C8A"/>
    <w:rsid w:val="00995B44"/>
    <w:rsid w:val="00995F87"/>
    <w:rsid w:val="00996363"/>
    <w:rsid w:val="009963BB"/>
    <w:rsid w:val="00997CF0"/>
    <w:rsid w:val="009A0060"/>
    <w:rsid w:val="009A04A2"/>
    <w:rsid w:val="009A0520"/>
    <w:rsid w:val="009A0C93"/>
    <w:rsid w:val="009A1370"/>
    <w:rsid w:val="009A1DB8"/>
    <w:rsid w:val="009A2250"/>
    <w:rsid w:val="009A38EB"/>
    <w:rsid w:val="009A3CA5"/>
    <w:rsid w:val="009A3CB2"/>
    <w:rsid w:val="009A4445"/>
    <w:rsid w:val="009A51A6"/>
    <w:rsid w:val="009A7037"/>
    <w:rsid w:val="009B04EC"/>
    <w:rsid w:val="009B0534"/>
    <w:rsid w:val="009B0EAA"/>
    <w:rsid w:val="009B0EC4"/>
    <w:rsid w:val="009B1767"/>
    <w:rsid w:val="009B220F"/>
    <w:rsid w:val="009B27E0"/>
    <w:rsid w:val="009B28C6"/>
    <w:rsid w:val="009B2C99"/>
    <w:rsid w:val="009B2DB7"/>
    <w:rsid w:val="009B2FB2"/>
    <w:rsid w:val="009B320D"/>
    <w:rsid w:val="009B3C96"/>
    <w:rsid w:val="009B607B"/>
    <w:rsid w:val="009B6633"/>
    <w:rsid w:val="009B67CE"/>
    <w:rsid w:val="009B6C09"/>
    <w:rsid w:val="009C054F"/>
    <w:rsid w:val="009C0B90"/>
    <w:rsid w:val="009C137E"/>
    <w:rsid w:val="009C1C2E"/>
    <w:rsid w:val="009C1FCF"/>
    <w:rsid w:val="009C22FA"/>
    <w:rsid w:val="009C4168"/>
    <w:rsid w:val="009C4178"/>
    <w:rsid w:val="009C43B6"/>
    <w:rsid w:val="009C473D"/>
    <w:rsid w:val="009C4A3C"/>
    <w:rsid w:val="009C5B29"/>
    <w:rsid w:val="009C5FE9"/>
    <w:rsid w:val="009C76BC"/>
    <w:rsid w:val="009C7793"/>
    <w:rsid w:val="009C7A84"/>
    <w:rsid w:val="009D01BA"/>
    <w:rsid w:val="009D11EF"/>
    <w:rsid w:val="009D12A7"/>
    <w:rsid w:val="009D3EE9"/>
    <w:rsid w:val="009D420B"/>
    <w:rsid w:val="009D443F"/>
    <w:rsid w:val="009D4913"/>
    <w:rsid w:val="009D546A"/>
    <w:rsid w:val="009D5E29"/>
    <w:rsid w:val="009D6205"/>
    <w:rsid w:val="009D6B92"/>
    <w:rsid w:val="009E12B4"/>
    <w:rsid w:val="009E259D"/>
    <w:rsid w:val="009E26D6"/>
    <w:rsid w:val="009E2D35"/>
    <w:rsid w:val="009E3966"/>
    <w:rsid w:val="009E43F7"/>
    <w:rsid w:val="009E5AD1"/>
    <w:rsid w:val="009E5D7F"/>
    <w:rsid w:val="009E6277"/>
    <w:rsid w:val="009E6D8D"/>
    <w:rsid w:val="009E6E53"/>
    <w:rsid w:val="009F015A"/>
    <w:rsid w:val="009F098B"/>
    <w:rsid w:val="009F0D62"/>
    <w:rsid w:val="009F0E23"/>
    <w:rsid w:val="009F0F61"/>
    <w:rsid w:val="009F0FC8"/>
    <w:rsid w:val="009F112A"/>
    <w:rsid w:val="009F1A09"/>
    <w:rsid w:val="009F1F26"/>
    <w:rsid w:val="009F30EC"/>
    <w:rsid w:val="009F3187"/>
    <w:rsid w:val="009F4886"/>
    <w:rsid w:val="009F48CA"/>
    <w:rsid w:val="009F52EA"/>
    <w:rsid w:val="009F565E"/>
    <w:rsid w:val="009F6426"/>
    <w:rsid w:val="009F687B"/>
    <w:rsid w:val="009F6E7D"/>
    <w:rsid w:val="009F790E"/>
    <w:rsid w:val="009F7D42"/>
    <w:rsid w:val="00A01AA9"/>
    <w:rsid w:val="00A03804"/>
    <w:rsid w:val="00A03C5B"/>
    <w:rsid w:val="00A053F1"/>
    <w:rsid w:val="00A055CB"/>
    <w:rsid w:val="00A05AAF"/>
    <w:rsid w:val="00A063FD"/>
    <w:rsid w:val="00A074F3"/>
    <w:rsid w:val="00A11150"/>
    <w:rsid w:val="00A11333"/>
    <w:rsid w:val="00A12BA9"/>
    <w:rsid w:val="00A132A2"/>
    <w:rsid w:val="00A1332B"/>
    <w:rsid w:val="00A14B91"/>
    <w:rsid w:val="00A15704"/>
    <w:rsid w:val="00A15F78"/>
    <w:rsid w:val="00A1637E"/>
    <w:rsid w:val="00A166A7"/>
    <w:rsid w:val="00A169C0"/>
    <w:rsid w:val="00A17650"/>
    <w:rsid w:val="00A176E2"/>
    <w:rsid w:val="00A22A01"/>
    <w:rsid w:val="00A22E8D"/>
    <w:rsid w:val="00A235D7"/>
    <w:rsid w:val="00A24269"/>
    <w:rsid w:val="00A24670"/>
    <w:rsid w:val="00A246A1"/>
    <w:rsid w:val="00A24B7F"/>
    <w:rsid w:val="00A256D4"/>
    <w:rsid w:val="00A2587C"/>
    <w:rsid w:val="00A26522"/>
    <w:rsid w:val="00A26F4E"/>
    <w:rsid w:val="00A26FFD"/>
    <w:rsid w:val="00A2783A"/>
    <w:rsid w:val="00A279EB"/>
    <w:rsid w:val="00A27BE6"/>
    <w:rsid w:val="00A30508"/>
    <w:rsid w:val="00A307E5"/>
    <w:rsid w:val="00A309F3"/>
    <w:rsid w:val="00A30E34"/>
    <w:rsid w:val="00A319C1"/>
    <w:rsid w:val="00A32354"/>
    <w:rsid w:val="00A328F6"/>
    <w:rsid w:val="00A32E83"/>
    <w:rsid w:val="00A340D0"/>
    <w:rsid w:val="00A34109"/>
    <w:rsid w:val="00A34D22"/>
    <w:rsid w:val="00A34F70"/>
    <w:rsid w:val="00A3578B"/>
    <w:rsid w:val="00A3617C"/>
    <w:rsid w:val="00A36D68"/>
    <w:rsid w:val="00A371D3"/>
    <w:rsid w:val="00A37590"/>
    <w:rsid w:val="00A37593"/>
    <w:rsid w:val="00A37648"/>
    <w:rsid w:val="00A37C03"/>
    <w:rsid w:val="00A37E3B"/>
    <w:rsid w:val="00A40487"/>
    <w:rsid w:val="00A4114A"/>
    <w:rsid w:val="00A415D0"/>
    <w:rsid w:val="00A4184D"/>
    <w:rsid w:val="00A42106"/>
    <w:rsid w:val="00A43FE8"/>
    <w:rsid w:val="00A44CEA"/>
    <w:rsid w:val="00A44D1B"/>
    <w:rsid w:val="00A44FD8"/>
    <w:rsid w:val="00A45DF0"/>
    <w:rsid w:val="00A464D8"/>
    <w:rsid w:val="00A46AD1"/>
    <w:rsid w:val="00A473DF"/>
    <w:rsid w:val="00A4758A"/>
    <w:rsid w:val="00A50544"/>
    <w:rsid w:val="00A507E2"/>
    <w:rsid w:val="00A516FC"/>
    <w:rsid w:val="00A524E0"/>
    <w:rsid w:val="00A52E82"/>
    <w:rsid w:val="00A536F2"/>
    <w:rsid w:val="00A538B5"/>
    <w:rsid w:val="00A54114"/>
    <w:rsid w:val="00A54761"/>
    <w:rsid w:val="00A54991"/>
    <w:rsid w:val="00A558B0"/>
    <w:rsid w:val="00A56563"/>
    <w:rsid w:val="00A60103"/>
    <w:rsid w:val="00A60538"/>
    <w:rsid w:val="00A61050"/>
    <w:rsid w:val="00A62420"/>
    <w:rsid w:val="00A62F04"/>
    <w:rsid w:val="00A637AA"/>
    <w:rsid w:val="00A63BDD"/>
    <w:rsid w:val="00A64210"/>
    <w:rsid w:val="00A645BB"/>
    <w:rsid w:val="00A6468A"/>
    <w:rsid w:val="00A65E31"/>
    <w:rsid w:val="00A65ECD"/>
    <w:rsid w:val="00A67061"/>
    <w:rsid w:val="00A67230"/>
    <w:rsid w:val="00A6746A"/>
    <w:rsid w:val="00A675BC"/>
    <w:rsid w:val="00A67D93"/>
    <w:rsid w:val="00A70429"/>
    <w:rsid w:val="00A710F6"/>
    <w:rsid w:val="00A7133E"/>
    <w:rsid w:val="00A71482"/>
    <w:rsid w:val="00A72600"/>
    <w:rsid w:val="00A72628"/>
    <w:rsid w:val="00A72663"/>
    <w:rsid w:val="00A72BD7"/>
    <w:rsid w:val="00A7309A"/>
    <w:rsid w:val="00A73EE4"/>
    <w:rsid w:val="00A740DF"/>
    <w:rsid w:val="00A74954"/>
    <w:rsid w:val="00A75652"/>
    <w:rsid w:val="00A7669A"/>
    <w:rsid w:val="00A76F9F"/>
    <w:rsid w:val="00A77311"/>
    <w:rsid w:val="00A777D4"/>
    <w:rsid w:val="00A804C6"/>
    <w:rsid w:val="00A809A6"/>
    <w:rsid w:val="00A8292F"/>
    <w:rsid w:val="00A84CA0"/>
    <w:rsid w:val="00A85909"/>
    <w:rsid w:val="00A878DB"/>
    <w:rsid w:val="00A90211"/>
    <w:rsid w:val="00A90265"/>
    <w:rsid w:val="00A903C7"/>
    <w:rsid w:val="00A90433"/>
    <w:rsid w:val="00A92F2B"/>
    <w:rsid w:val="00A93182"/>
    <w:rsid w:val="00A93967"/>
    <w:rsid w:val="00A9444B"/>
    <w:rsid w:val="00A94D8D"/>
    <w:rsid w:val="00A94E12"/>
    <w:rsid w:val="00A95AEB"/>
    <w:rsid w:val="00A95BE9"/>
    <w:rsid w:val="00A95E0D"/>
    <w:rsid w:val="00A96991"/>
    <w:rsid w:val="00A9708C"/>
    <w:rsid w:val="00A9765D"/>
    <w:rsid w:val="00A97EE0"/>
    <w:rsid w:val="00AA0687"/>
    <w:rsid w:val="00AA1A44"/>
    <w:rsid w:val="00AA21E1"/>
    <w:rsid w:val="00AA34D5"/>
    <w:rsid w:val="00AA380D"/>
    <w:rsid w:val="00AA413F"/>
    <w:rsid w:val="00AA4CD3"/>
    <w:rsid w:val="00AA539D"/>
    <w:rsid w:val="00AA56B4"/>
    <w:rsid w:val="00AA62BF"/>
    <w:rsid w:val="00AA6CD7"/>
    <w:rsid w:val="00AA7EA3"/>
    <w:rsid w:val="00AB084F"/>
    <w:rsid w:val="00AB19C1"/>
    <w:rsid w:val="00AB1E05"/>
    <w:rsid w:val="00AB2D60"/>
    <w:rsid w:val="00AB2E29"/>
    <w:rsid w:val="00AB3639"/>
    <w:rsid w:val="00AB3988"/>
    <w:rsid w:val="00AB3F01"/>
    <w:rsid w:val="00AB49CB"/>
    <w:rsid w:val="00AB551F"/>
    <w:rsid w:val="00AB5703"/>
    <w:rsid w:val="00AB5813"/>
    <w:rsid w:val="00AB5AB5"/>
    <w:rsid w:val="00AB5C13"/>
    <w:rsid w:val="00AB5E1D"/>
    <w:rsid w:val="00AC0004"/>
    <w:rsid w:val="00AC0815"/>
    <w:rsid w:val="00AC11E1"/>
    <w:rsid w:val="00AC1B2A"/>
    <w:rsid w:val="00AC1CA9"/>
    <w:rsid w:val="00AC2794"/>
    <w:rsid w:val="00AC3521"/>
    <w:rsid w:val="00AC6062"/>
    <w:rsid w:val="00AC63AE"/>
    <w:rsid w:val="00AC693E"/>
    <w:rsid w:val="00AC6BF4"/>
    <w:rsid w:val="00AC6D4E"/>
    <w:rsid w:val="00AC78B2"/>
    <w:rsid w:val="00AC78B6"/>
    <w:rsid w:val="00AC7939"/>
    <w:rsid w:val="00AC7D4F"/>
    <w:rsid w:val="00AD0116"/>
    <w:rsid w:val="00AD03C2"/>
    <w:rsid w:val="00AD07BD"/>
    <w:rsid w:val="00AD0A94"/>
    <w:rsid w:val="00AD1189"/>
    <w:rsid w:val="00AD18F3"/>
    <w:rsid w:val="00AD1D5F"/>
    <w:rsid w:val="00AD1E2B"/>
    <w:rsid w:val="00AD27F6"/>
    <w:rsid w:val="00AD28A6"/>
    <w:rsid w:val="00AD29A3"/>
    <w:rsid w:val="00AD2AD3"/>
    <w:rsid w:val="00AD329E"/>
    <w:rsid w:val="00AD3B94"/>
    <w:rsid w:val="00AD41C1"/>
    <w:rsid w:val="00AD60B7"/>
    <w:rsid w:val="00AD61CE"/>
    <w:rsid w:val="00AD627C"/>
    <w:rsid w:val="00AD6B91"/>
    <w:rsid w:val="00AD750C"/>
    <w:rsid w:val="00AD76A2"/>
    <w:rsid w:val="00AE04A9"/>
    <w:rsid w:val="00AE0661"/>
    <w:rsid w:val="00AE0729"/>
    <w:rsid w:val="00AE192D"/>
    <w:rsid w:val="00AE270B"/>
    <w:rsid w:val="00AE2CD6"/>
    <w:rsid w:val="00AE33E5"/>
    <w:rsid w:val="00AE3D63"/>
    <w:rsid w:val="00AE3F0D"/>
    <w:rsid w:val="00AE47C6"/>
    <w:rsid w:val="00AE589E"/>
    <w:rsid w:val="00AE58F8"/>
    <w:rsid w:val="00AE6FAB"/>
    <w:rsid w:val="00AF015C"/>
    <w:rsid w:val="00AF0800"/>
    <w:rsid w:val="00AF0C20"/>
    <w:rsid w:val="00AF1623"/>
    <w:rsid w:val="00AF24CB"/>
    <w:rsid w:val="00AF2FF9"/>
    <w:rsid w:val="00AF471C"/>
    <w:rsid w:val="00AF6019"/>
    <w:rsid w:val="00AF6616"/>
    <w:rsid w:val="00AF6914"/>
    <w:rsid w:val="00AF7166"/>
    <w:rsid w:val="00AF76D1"/>
    <w:rsid w:val="00AF7A40"/>
    <w:rsid w:val="00AF7A50"/>
    <w:rsid w:val="00AF7CB6"/>
    <w:rsid w:val="00B000F3"/>
    <w:rsid w:val="00B00201"/>
    <w:rsid w:val="00B00242"/>
    <w:rsid w:val="00B00256"/>
    <w:rsid w:val="00B00294"/>
    <w:rsid w:val="00B00C4C"/>
    <w:rsid w:val="00B02163"/>
    <w:rsid w:val="00B0478F"/>
    <w:rsid w:val="00B04DD4"/>
    <w:rsid w:val="00B0601C"/>
    <w:rsid w:val="00B0764D"/>
    <w:rsid w:val="00B07C9D"/>
    <w:rsid w:val="00B11851"/>
    <w:rsid w:val="00B1199F"/>
    <w:rsid w:val="00B12F32"/>
    <w:rsid w:val="00B13829"/>
    <w:rsid w:val="00B145FE"/>
    <w:rsid w:val="00B14AA8"/>
    <w:rsid w:val="00B14DC5"/>
    <w:rsid w:val="00B15F5A"/>
    <w:rsid w:val="00B164A2"/>
    <w:rsid w:val="00B202C3"/>
    <w:rsid w:val="00B207A2"/>
    <w:rsid w:val="00B211B4"/>
    <w:rsid w:val="00B21DD5"/>
    <w:rsid w:val="00B22112"/>
    <w:rsid w:val="00B22FA0"/>
    <w:rsid w:val="00B231B0"/>
    <w:rsid w:val="00B2417E"/>
    <w:rsid w:val="00B24384"/>
    <w:rsid w:val="00B24FAD"/>
    <w:rsid w:val="00B2546F"/>
    <w:rsid w:val="00B257AF"/>
    <w:rsid w:val="00B25807"/>
    <w:rsid w:val="00B25D97"/>
    <w:rsid w:val="00B26051"/>
    <w:rsid w:val="00B3091C"/>
    <w:rsid w:val="00B332C0"/>
    <w:rsid w:val="00B33907"/>
    <w:rsid w:val="00B33B07"/>
    <w:rsid w:val="00B340E2"/>
    <w:rsid w:val="00B34249"/>
    <w:rsid w:val="00B357BB"/>
    <w:rsid w:val="00B35A2A"/>
    <w:rsid w:val="00B36506"/>
    <w:rsid w:val="00B365AA"/>
    <w:rsid w:val="00B37096"/>
    <w:rsid w:val="00B376A4"/>
    <w:rsid w:val="00B41F76"/>
    <w:rsid w:val="00B43E7D"/>
    <w:rsid w:val="00B4498E"/>
    <w:rsid w:val="00B44EE9"/>
    <w:rsid w:val="00B4529F"/>
    <w:rsid w:val="00B45977"/>
    <w:rsid w:val="00B45E0B"/>
    <w:rsid w:val="00B46168"/>
    <w:rsid w:val="00B46338"/>
    <w:rsid w:val="00B469FE"/>
    <w:rsid w:val="00B47043"/>
    <w:rsid w:val="00B47BE3"/>
    <w:rsid w:val="00B47F2F"/>
    <w:rsid w:val="00B47F8D"/>
    <w:rsid w:val="00B5001E"/>
    <w:rsid w:val="00B50F1E"/>
    <w:rsid w:val="00B51167"/>
    <w:rsid w:val="00B5139E"/>
    <w:rsid w:val="00B51700"/>
    <w:rsid w:val="00B51763"/>
    <w:rsid w:val="00B51D0B"/>
    <w:rsid w:val="00B51D8E"/>
    <w:rsid w:val="00B51E3C"/>
    <w:rsid w:val="00B5213F"/>
    <w:rsid w:val="00B524B7"/>
    <w:rsid w:val="00B528F7"/>
    <w:rsid w:val="00B5312C"/>
    <w:rsid w:val="00B531FC"/>
    <w:rsid w:val="00B537B8"/>
    <w:rsid w:val="00B53B61"/>
    <w:rsid w:val="00B55DA8"/>
    <w:rsid w:val="00B55FE3"/>
    <w:rsid w:val="00B56AF1"/>
    <w:rsid w:val="00B5705B"/>
    <w:rsid w:val="00B57B64"/>
    <w:rsid w:val="00B57D59"/>
    <w:rsid w:val="00B60E2D"/>
    <w:rsid w:val="00B612CF"/>
    <w:rsid w:val="00B62957"/>
    <w:rsid w:val="00B631DD"/>
    <w:rsid w:val="00B635D2"/>
    <w:rsid w:val="00B646E3"/>
    <w:rsid w:val="00B655DD"/>
    <w:rsid w:val="00B65FE0"/>
    <w:rsid w:val="00B6721C"/>
    <w:rsid w:val="00B67758"/>
    <w:rsid w:val="00B67799"/>
    <w:rsid w:val="00B67BFE"/>
    <w:rsid w:val="00B701EA"/>
    <w:rsid w:val="00B70973"/>
    <w:rsid w:val="00B71BC9"/>
    <w:rsid w:val="00B72C0C"/>
    <w:rsid w:val="00B732EB"/>
    <w:rsid w:val="00B7376E"/>
    <w:rsid w:val="00B73C14"/>
    <w:rsid w:val="00B73D96"/>
    <w:rsid w:val="00B74197"/>
    <w:rsid w:val="00B74230"/>
    <w:rsid w:val="00B745B4"/>
    <w:rsid w:val="00B7476C"/>
    <w:rsid w:val="00B75431"/>
    <w:rsid w:val="00B7674C"/>
    <w:rsid w:val="00B76CA5"/>
    <w:rsid w:val="00B7767F"/>
    <w:rsid w:val="00B77C5B"/>
    <w:rsid w:val="00B801A3"/>
    <w:rsid w:val="00B8023F"/>
    <w:rsid w:val="00B80CB2"/>
    <w:rsid w:val="00B80E69"/>
    <w:rsid w:val="00B81479"/>
    <w:rsid w:val="00B81E4D"/>
    <w:rsid w:val="00B822B3"/>
    <w:rsid w:val="00B825BC"/>
    <w:rsid w:val="00B82C2E"/>
    <w:rsid w:val="00B837A4"/>
    <w:rsid w:val="00B845A5"/>
    <w:rsid w:val="00B85280"/>
    <w:rsid w:val="00B8529E"/>
    <w:rsid w:val="00B863E2"/>
    <w:rsid w:val="00B86E15"/>
    <w:rsid w:val="00B86FF9"/>
    <w:rsid w:val="00B870E9"/>
    <w:rsid w:val="00B9271C"/>
    <w:rsid w:val="00B92A72"/>
    <w:rsid w:val="00B942EC"/>
    <w:rsid w:val="00B94478"/>
    <w:rsid w:val="00B95978"/>
    <w:rsid w:val="00B960C1"/>
    <w:rsid w:val="00B96624"/>
    <w:rsid w:val="00B9662E"/>
    <w:rsid w:val="00B97516"/>
    <w:rsid w:val="00B97993"/>
    <w:rsid w:val="00BA0FC3"/>
    <w:rsid w:val="00BA177B"/>
    <w:rsid w:val="00BA2DC8"/>
    <w:rsid w:val="00BA457D"/>
    <w:rsid w:val="00BA477E"/>
    <w:rsid w:val="00BA47CA"/>
    <w:rsid w:val="00BA499D"/>
    <w:rsid w:val="00BA4E1E"/>
    <w:rsid w:val="00BA5356"/>
    <w:rsid w:val="00BA5BD2"/>
    <w:rsid w:val="00BA7301"/>
    <w:rsid w:val="00BA74D6"/>
    <w:rsid w:val="00BA7D11"/>
    <w:rsid w:val="00BB0C1D"/>
    <w:rsid w:val="00BB0DBE"/>
    <w:rsid w:val="00BB0E16"/>
    <w:rsid w:val="00BB15B5"/>
    <w:rsid w:val="00BB25CB"/>
    <w:rsid w:val="00BB2744"/>
    <w:rsid w:val="00BB27BE"/>
    <w:rsid w:val="00BB29CB"/>
    <w:rsid w:val="00BB369A"/>
    <w:rsid w:val="00BB427E"/>
    <w:rsid w:val="00BB480A"/>
    <w:rsid w:val="00BB4D06"/>
    <w:rsid w:val="00BB6A71"/>
    <w:rsid w:val="00BB74B0"/>
    <w:rsid w:val="00BB7957"/>
    <w:rsid w:val="00BB7AE2"/>
    <w:rsid w:val="00BC0288"/>
    <w:rsid w:val="00BC0687"/>
    <w:rsid w:val="00BC0785"/>
    <w:rsid w:val="00BC1140"/>
    <w:rsid w:val="00BC1D77"/>
    <w:rsid w:val="00BC2DF3"/>
    <w:rsid w:val="00BC32E7"/>
    <w:rsid w:val="00BC3DB4"/>
    <w:rsid w:val="00BC3E69"/>
    <w:rsid w:val="00BC4020"/>
    <w:rsid w:val="00BC4353"/>
    <w:rsid w:val="00BC4CA3"/>
    <w:rsid w:val="00BC5592"/>
    <w:rsid w:val="00BC55F6"/>
    <w:rsid w:val="00BC5600"/>
    <w:rsid w:val="00BC64B4"/>
    <w:rsid w:val="00BC65F7"/>
    <w:rsid w:val="00BC72F7"/>
    <w:rsid w:val="00BC7398"/>
    <w:rsid w:val="00BC74DD"/>
    <w:rsid w:val="00BD0179"/>
    <w:rsid w:val="00BD0211"/>
    <w:rsid w:val="00BD056C"/>
    <w:rsid w:val="00BD26CD"/>
    <w:rsid w:val="00BD30A1"/>
    <w:rsid w:val="00BD3B0B"/>
    <w:rsid w:val="00BD5858"/>
    <w:rsid w:val="00BD5F93"/>
    <w:rsid w:val="00BD6078"/>
    <w:rsid w:val="00BD7A99"/>
    <w:rsid w:val="00BD7FA2"/>
    <w:rsid w:val="00BE0170"/>
    <w:rsid w:val="00BE1197"/>
    <w:rsid w:val="00BE17ED"/>
    <w:rsid w:val="00BE20C1"/>
    <w:rsid w:val="00BE25EC"/>
    <w:rsid w:val="00BE2AB0"/>
    <w:rsid w:val="00BE3FB3"/>
    <w:rsid w:val="00BE45B8"/>
    <w:rsid w:val="00BE4A81"/>
    <w:rsid w:val="00BE4EA2"/>
    <w:rsid w:val="00BE5699"/>
    <w:rsid w:val="00BE5A0C"/>
    <w:rsid w:val="00BE7893"/>
    <w:rsid w:val="00BF024D"/>
    <w:rsid w:val="00BF02DA"/>
    <w:rsid w:val="00BF02DB"/>
    <w:rsid w:val="00BF0F73"/>
    <w:rsid w:val="00BF1081"/>
    <w:rsid w:val="00BF17BF"/>
    <w:rsid w:val="00BF180E"/>
    <w:rsid w:val="00BF248D"/>
    <w:rsid w:val="00BF294B"/>
    <w:rsid w:val="00BF32D6"/>
    <w:rsid w:val="00BF3F1D"/>
    <w:rsid w:val="00BF4942"/>
    <w:rsid w:val="00BF5271"/>
    <w:rsid w:val="00BF65F5"/>
    <w:rsid w:val="00BF673B"/>
    <w:rsid w:val="00BF6A57"/>
    <w:rsid w:val="00BF798C"/>
    <w:rsid w:val="00C00A35"/>
    <w:rsid w:val="00C01C52"/>
    <w:rsid w:val="00C02390"/>
    <w:rsid w:val="00C0261D"/>
    <w:rsid w:val="00C0273E"/>
    <w:rsid w:val="00C02811"/>
    <w:rsid w:val="00C0349E"/>
    <w:rsid w:val="00C041B6"/>
    <w:rsid w:val="00C04CA6"/>
    <w:rsid w:val="00C04DE1"/>
    <w:rsid w:val="00C063ED"/>
    <w:rsid w:val="00C06F01"/>
    <w:rsid w:val="00C075B4"/>
    <w:rsid w:val="00C07F65"/>
    <w:rsid w:val="00C10979"/>
    <w:rsid w:val="00C114B8"/>
    <w:rsid w:val="00C11747"/>
    <w:rsid w:val="00C11E77"/>
    <w:rsid w:val="00C1274C"/>
    <w:rsid w:val="00C12F6C"/>
    <w:rsid w:val="00C12FEB"/>
    <w:rsid w:val="00C1336D"/>
    <w:rsid w:val="00C13AFF"/>
    <w:rsid w:val="00C13CC1"/>
    <w:rsid w:val="00C13D33"/>
    <w:rsid w:val="00C1462B"/>
    <w:rsid w:val="00C149D9"/>
    <w:rsid w:val="00C151E3"/>
    <w:rsid w:val="00C156F6"/>
    <w:rsid w:val="00C16DEA"/>
    <w:rsid w:val="00C2038D"/>
    <w:rsid w:val="00C20A64"/>
    <w:rsid w:val="00C22646"/>
    <w:rsid w:val="00C22D74"/>
    <w:rsid w:val="00C22ECC"/>
    <w:rsid w:val="00C23D09"/>
    <w:rsid w:val="00C23D9C"/>
    <w:rsid w:val="00C2427A"/>
    <w:rsid w:val="00C24A33"/>
    <w:rsid w:val="00C25E27"/>
    <w:rsid w:val="00C26AC2"/>
    <w:rsid w:val="00C26B30"/>
    <w:rsid w:val="00C26F98"/>
    <w:rsid w:val="00C2705B"/>
    <w:rsid w:val="00C27685"/>
    <w:rsid w:val="00C302EE"/>
    <w:rsid w:val="00C303D1"/>
    <w:rsid w:val="00C3050C"/>
    <w:rsid w:val="00C33D5B"/>
    <w:rsid w:val="00C340FB"/>
    <w:rsid w:val="00C3414B"/>
    <w:rsid w:val="00C3479F"/>
    <w:rsid w:val="00C35068"/>
    <w:rsid w:val="00C362F2"/>
    <w:rsid w:val="00C3678E"/>
    <w:rsid w:val="00C36B12"/>
    <w:rsid w:val="00C37B3C"/>
    <w:rsid w:val="00C37B59"/>
    <w:rsid w:val="00C409CE"/>
    <w:rsid w:val="00C409F9"/>
    <w:rsid w:val="00C4122C"/>
    <w:rsid w:val="00C4126C"/>
    <w:rsid w:val="00C41375"/>
    <w:rsid w:val="00C42418"/>
    <w:rsid w:val="00C429EB"/>
    <w:rsid w:val="00C434C9"/>
    <w:rsid w:val="00C43AF9"/>
    <w:rsid w:val="00C46E0A"/>
    <w:rsid w:val="00C470A3"/>
    <w:rsid w:val="00C471ED"/>
    <w:rsid w:val="00C47906"/>
    <w:rsid w:val="00C50746"/>
    <w:rsid w:val="00C50795"/>
    <w:rsid w:val="00C5084D"/>
    <w:rsid w:val="00C50A0B"/>
    <w:rsid w:val="00C50FCB"/>
    <w:rsid w:val="00C51805"/>
    <w:rsid w:val="00C51B54"/>
    <w:rsid w:val="00C52428"/>
    <w:rsid w:val="00C527BA"/>
    <w:rsid w:val="00C5553A"/>
    <w:rsid w:val="00C564CF"/>
    <w:rsid w:val="00C569AC"/>
    <w:rsid w:val="00C56A67"/>
    <w:rsid w:val="00C57E28"/>
    <w:rsid w:val="00C60C6C"/>
    <w:rsid w:val="00C60F32"/>
    <w:rsid w:val="00C61523"/>
    <w:rsid w:val="00C63938"/>
    <w:rsid w:val="00C6414C"/>
    <w:rsid w:val="00C641E9"/>
    <w:rsid w:val="00C65573"/>
    <w:rsid w:val="00C663AB"/>
    <w:rsid w:val="00C663C3"/>
    <w:rsid w:val="00C667C8"/>
    <w:rsid w:val="00C677C5"/>
    <w:rsid w:val="00C67B5D"/>
    <w:rsid w:val="00C67F3A"/>
    <w:rsid w:val="00C70062"/>
    <w:rsid w:val="00C70798"/>
    <w:rsid w:val="00C707AB"/>
    <w:rsid w:val="00C71C72"/>
    <w:rsid w:val="00C7277C"/>
    <w:rsid w:val="00C72F93"/>
    <w:rsid w:val="00C73387"/>
    <w:rsid w:val="00C734EA"/>
    <w:rsid w:val="00C73A98"/>
    <w:rsid w:val="00C73AD8"/>
    <w:rsid w:val="00C73C3E"/>
    <w:rsid w:val="00C73F6F"/>
    <w:rsid w:val="00C741BD"/>
    <w:rsid w:val="00C743BA"/>
    <w:rsid w:val="00C74A03"/>
    <w:rsid w:val="00C75417"/>
    <w:rsid w:val="00C754CF"/>
    <w:rsid w:val="00C768EB"/>
    <w:rsid w:val="00C81709"/>
    <w:rsid w:val="00C82E2C"/>
    <w:rsid w:val="00C831E9"/>
    <w:rsid w:val="00C83B56"/>
    <w:rsid w:val="00C83C5F"/>
    <w:rsid w:val="00C84707"/>
    <w:rsid w:val="00C85E37"/>
    <w:rsid w:val="00C85E4C"/>
    <w:rsid w:val="00C86320"/>
    <w:rsid w:val="00C870C0"/>
    <w:rsid w:val="00C8740F"/>
    <w:rsid w:val="00C876A2"/>
    <w:rsid w:val="00C900A2"/>
    <w:rsid w:val="00C91358"/>
    <w:rsid w:val="00C9138B"/>
    <w:rsid w:val="00C9237C"/>
    <w:rsid w:val="00C92775"/>
    <w:rsid w:val="00C92904"/>
    <w:rsid w:val="00C929DE"/>
    <w:rsid w:val="00C9313A"/>
    <w:rsid w:val="00C93405"/>
    <w:rsid w:val="00C93FB2"/>
    <w:rsid w:val="00C9641E"/>
    <w:rsid w:val="00C96FD1"/>
    <w:rsid w:val="00C97666"/>
    <w:rsid w:val="00C9777B"/>
    <w:rsid w:val="00CA0B0F"/>
    <w:rsid w:val="00CA0D9D"/>
    <w:rsid w:val="00CA16B2"/>
    <w:rsid w:val="00CA2395"/>
    <w:rsid w:val="00CA2E2D"/>
    <w:rsid w:val="00CA45D0"/>
    <w:rsid w:val="00CA4D91"/>
    <w:rsid w:val="00CA4F20"/>
    <w:rsid w:val="00CA632B"/>
    <w:rsid w:val="00CA6420"/>
    <w:rsid w:val="00CA6E47"/>
    <w:rsid w:val="00CA78D6"/>
    <w:rsid w:val="00CA7981"/>
    <w:rsid w:val="00CB178D"/>
    <w:rsid w:val="00CB2028"/>
    <w:rsid w:val="00CB2A88"/>
    <w:rsid w:val="00CB435C"/>
    <w:rsid w:val="00CB4D44"/>
    <w:rsid w:val="00CB4DCB"/>
    <w:rsid w:val="00CB5329"/>
    <w:rsid w:val="00CB635A"/>
    <w:rsid w:val="00CB695F"/>
    <w:rsid w:val="00CB6E8D"/>
    <w:rsid w:val="00CB7970"/>
    <w:rsid w:val="00CB79E4"/>
    <w:rsid w:val="00CC0149"/>
    <w:rsid w:val="00CC17C6"/>
    <w:rsid w:val="00CC232E"/>
    <w:rsid w:val="00CC261A"/>
    <w:rsid w:val="00CC28FC"/>
    <w:rsid w:val="00CC3098"/>
    <w:rsid w:val="00CC3523"/>
    <w:rsid w:val="00CC363B"/>
    <w:rsid w:val="00CC3CAA"/>
    <w:rsid w:val="00CC43E9"/>
    <w:rsid w:val="00CC4A5D"/>
    <w:rsid w:val="00CC4FD1"/>
    <w:rsid w:val="00CC67AB"/>
    <w:rsid w:val="00CC6BE8"/>
    <w:rsid w:val="00CD0139"/>
    <w:rsid w:val="00CD065A"/>
    <w:rsid w:val="00CD0EB9"/>
    <w:rsid w:val="00CD12BD"/>
    <w:rsid w:val="00CD15E7"/>
    <w:rsid w:val="00CD1FFA"/>
    <w:rsid w:val="00CD2303"/>
    <w:rsid w:val="00CD2D3D"/>
    <w:rsid w:val="00CD3B28"/>
    <w:rsid w:val="00CD3B6C"/>
    <w:rsid w:val="00CD3FD7"/>
    <w:rsid w:val="00CD5C6F"/>
    <w:rsid w:val="00CD5E53"/>
    <w:rsid w:val="00CD686A"/>
    <w:rsid w:val="00CD6FAC"/>
    <w:rsid w:val="00CE03DC"/>
    <w:rsid w:val="00CE17F9"/>
    <w:rsid w:val="00CE2959"/>
    <w:rsid w:val="00CE3358"/>
    <w:rsid w:val="00CE4313"/>
    <w:rsid w:val="00CE43D0"/>
    <w:rsid w:val="00CE447E"/>
    <w:rsid w:val="00CE44B6"/>
    <w:rsid w:val="00CE4AD1"/>
    <w:rsid w:val="00CE5858"/>
    <w:rsid w:val="00CE64F8"/>
    <w:rsid w:val="00CE6832"/>
    <w:rsid w:val="00CE6D18"/>
    <w:rsid w:val="00CE77BD"/>
    <w:rsid w:val="00CE7F66"/>
    <w:rsid w:val="00CF0022"/>
    <w:rsid w:val="00CF068B"/>
    <w:rsid w:val="00CF17F1"/>
    <w:rsid w:val="00CF1A5D"/>
    <w:rsid w:val="00CF1CA2"/>
    <w:rsid w:val="00CF1DD9"/>
    <w:rsid w:val="00CF3F2F"/>
    <w:rsid w:val="00CF45A7"/>
    <w:rsid w:val="00CF5623"/>
    <w:rsid w:val="00CF585F"/>
    <w:rsid w:val="00CF63E8"/>
    <w:rsid w:val="00CF770D"/>
    <w:rsid w:val="00CF77B3"/>
    <w:rsid w:val="00CF7D0F"/>
    <w:rsid w:val="00D00965"/>
    <w:rsid w:val="00D017AF"/>
    <w:rsid w:val="00D0228E"/>
    <w:rsid w:val="00D02439"/>
    <w:rsid w:val="00D02595"/>
    <w:rsid w:val="00D0265F"/>
    <w:rsid w:val="00D02881"/>
    <w:rsid w:val="00D032B2"/>
    <w:rsid w:val="00D039BD"/>
    <w:rsid w:val="00D03A38"/>
    <w:rsid w:val="00D04CCC"/>
    <w:rsid w:val="00D05E7B"/>
    <w:rsid w:val="00D0617F"/>
    <w:rsid w:val="00D06231"/>
    <w:rsid w:val="00D071F6"/>
    <w:rsid w:val="00D074A1"/>
    <w:rsid w:val="00D07B06"/>
    <w:rsid w:val="00D10EE8"/>
    <w:rsid w:val="00D112BF"/>
    <w:rsid w:val="00D119A9"/>
    <w:rsid w:val="00D11C66"/>
    <w:rsid w:val="00D12002"/>
    <w:rsid w:val="00D127EB"/>
    <w:rsid w:val="00D12BF7"/>
    <w:rsid w:val="00D12C87"/>
    <w:rsid w:val="00D13227"/>
    <w:rsid w:val="00D133E9"/>
    <w:rsid w:val="00D13792"/>
    <w:rsid w:val="00D15268"/>
    <w:rsid w:val="00D15315"/>
    <w:rsid w:val="00D159BA"/>
    <w:rsid w:val="00D167CF"/>
    <w:rsid w:val="00D205DE"/>
    <w:rsid w:val="00D20AA9"/>
    <w:rsid w:val="00D210EE"/>
    <w:rsid w:val="00D21815"/>
    <w:rsid w:val="00D21D21"/>
    <w:rsid w:val="00D22445"/>
    <w:rsid w:val="00D22661"/>
    <w:rsid w:val="00D22E25"/>
    <w:rsid w:val="00D2362D"/>
    <w:rsid w:val="00D241B8"/>
    <w:rsid w:val="00D249A9"/>
    <w:rsid w:val="00D24E24"/>
    <w:rsid w:val="00D24E5A"/>
    <w:rsid w:val="00D24EFE"/>
    <w:rsid w:val="00D2540E"/>
    <w:rsid w:val="00D25F41"/>
    <w:rsid w:val="00D25FD2"/>
    <w:rsid w:val="00D26619"/>
    <w:rsid w:val="00D26D66"/>
    <w:rsid w:val="00D2737A"/>
    <w:rsid w:val="00D27A9B"/>
    <w:rsid w:val="00D30439"/>
    <w:rsid w:val="00D312A7"/>
    <w:rsid w:val="00D319E1"/>
    <w:rsid w:val="00D31A7D"/>
    <w:rsid w:val="00D31E95"/>
    <w:rsid w:val="00D33504"/>
    <w:rsid w:val="00D33554"/>
    <w:rsid w:val="00D34891"/>
    <w:rsid w:val="00D36411"/>
    <w:rsid w:val="00D37F43"/>
    <w:rsid w:val="00D40284"/>
    <w:rsid w:val="00D405C1"/>
    <w:rsid w:val="00D407D4"/>
    <w:rsid w:val="00D408FE"/>
    <w:rsid w:val="00D417DB"/>
    <w:rsid w:val="00D4215C"/>
    <w:rsid w:val="00D42D55"/>
    <w:rsid w:val="00D43115"/>
    <w:rsid w:val="00D43723"/>
    <w:rsid w:val="00D43941"/>
    <w:rsid w:val="00D44167"/>
    <w:rsid w:val="00D447CF"/>
    <w:rsid w:val="00D44F80"/>
    <w:rsid w:val="00D4593C"/>
    <w:rsid w:val="00D459E1"/>
    <w:rsid w:val="00D46AC3"/>
    <w:rsid w:val="00D50476"/>
    <w:rsid w:val="00D506FE"/>
    <w:rsid w:val="00D52374"/>
    <w:rsid w:val="00D52EFD"/>
    <w:rsid w:val="00D53260"/>
    <w:rsid w:val="00D532F2"/>
    <w:rsid w:val="00D534AF"/>
    <w:rsid w:val="00D539BA"/>
    <w:rsid w:val="00D55F24"/>
    <w:rsid w:val="00D56902"/>
    <w:rsid w:val="00D5703A"/>
    <w:rsid w:val="00D57336"/>
    <w:rsid w:val="00D61933"/>
    <w:rsid w:val="00D61CF0"/>
    <w:rsid w:val="00D61D4C"/>
    <w:rsid w:val="00D62517"/>
    <w:rsid w:val="00D62756"/>
    <w:rsid w:val="00D630CE"/>
    <w:rsid w:val="00D63730"/>
    <w:rsid w:val="00D64073"/>
    <w:rsid w:val="00D643D2"/>
    <w:rsid w:val="00D64DA1"/>
    <w:rsid w:val="00D653F1"/>
    <w:rsid w:val="00D66264"/>
    <w:rsid w:val="00D66C80"/>
    <w:rsid w:val="00D674A1"/>
    <w:rsid w:val="00D677EF"/>
    <w:rsid w:val="00D67B15"/>
    <w:rsid w:val="00D67F92"/>
    <w:rsid w:val="00D715C8"/>
    <w:rsid w:val="00D715D6"/>
    <w:rsid w:val="00D71968"/>
    <w:rsid w:val="00D71FF7"/>
    <w:rsid w:val="00D7241F"/>
    <w:rsid w:val="00D7299F"/>
    <w:rsid w:val="00D72D96"/>
    <w:rsid w:val="00D72F7F"/>
    <w:rsid w:val="00D7367A"/>
    <w:rsid w:val="00D7436F"/>
    <w:rsid w:val="00D74921"/>
    <w:rsid w:val="00D7533F"/>
    <w:rsid w:val="00D75459"/>
    <w:rsid w:val="00D7634E"/>
    <w:rsid w:val="00D76542"/>
    <w:rsid w:val="00D76766"/>
    <w:rsid w:val="00D771B7"/>
    <w:rsid w:val="00D77368"/>
    <w:rsid w:val="00D800FD"/>
    <w:rsid w:val="00D8020C"/>
    <w:rsid w:val="00D8179B"/>
    <w:rsid w:val="00D81A86"/>
    <w:rsid w:val="00D83467"/>
    <w:rsid w:val="00D849EA"/>
    <w:rsid w:val="00D85261"/>
    <w:rsid w:val="00D86A9A"/>
    <w:rsid w:val="00D871D2"/>
    <w:rsid w:val="00D871E8"/>
    <w:rsid w:val="00D87AE4"/>
    <w:rsid w:val="00D90ADF"/>
    <w:rsid w:val="00D90AFD"/>
    <w:rsid w:val="00D913A8"/>
    <w:rsid w:val="00D916D5"/>
    <w:rsid w:val="00D91C02"/>
    <w:rsid w:val="00D921A7"/>
    <w:rsid w:val="00D925AB"/>
    <w:rsid w:val="00D933F5"/>
    <w:rsid w:val="00D9340B"/>
    <w:rsid w:val="00D934F3"/>
    <w:rsid w:val="00D9393D"/>
    <w:rsid w:val="00D940AD"/>
    <w:rsid w:val="00D943BD"/>
    <w:rsid w:val="00D94E84"/>
    <w:rsid w:val="00D95C67"/>
    <w:rsid w:val="00D968D8"/>
    <w:rsid w:val="00D97344"/>
    <w:rsid w:val="00D97A51"/>
    <w:rsid w:val="00D97BC2"/>
    <w:rsid w:val="00D97C20"/>
    <w:rsid w:val="00DA01A2"/>
    <w:rsid w:val="00DA05D5"/>
    <w:rsid w:val="00DA0E76"/>
    <w:rsid w:val="00DA2738"/>
    <w:rsid w:val="00DA29DD"/>
    <w:rsid w:val="00DA2B84"/>
    <w:rsid w:val="00DA4A46"/>
    <w:rsid w:val="00DA4B2F"/>
    <w:rsid w:val="00DA5641"/>
    <w:rsid w:val="00DA5A79"/>
    <w:rsid w:val="00DA5ACC"/>
    <w:rsid w:val="00DA5AE7"/>
    <w:rsid w:val="00DA5CF5"/>
    <w:rsid w:val="00DA6A54"/>
    <w:rsid w:val="00DA72C1"/>
    <w:rsid w:val="00DB07A7"/>
    <w:rsid w:val="00DB08D1"/>
    <w:rsid w:val="00DB0BF0"/>
    <w:rsid w:val="00DB28C0"/>
    <w:rsid w:val="00DB2DCF"/>
    <w:rsid w:val="00DB3AAC"/>
    <w:rsid w:val="00DB3C08"/>
    <w:rsid w:val="00DB4615"/>
    <w:rsid w:val="00DB4CD3"/>
    <w:rsid w:val="00DB57C0"/>
    <w:rsid w:val="00DB5B6B"/>
    <w:rsid w:val="00DB5E05"/>
    <w:rsid w:val="00DB5EC3"/>
    <w:rsid w:val="00DB607D"/>
    <w:rsid w:val="00DB6542"/>
    <w:rsid w:val="00DB6B4D"/>
    <w:rsid w:val="00DB6F2C"/>
    <w:rsid w:val="00DB7022"/>
    <w:rsid w:val="00DB72D6"/>
    <w:rsid w:val="00DC01BC"/>
    <w:rsid w:val="00DC0857"/>
    <w:rsid w:val="00DC0E63"/>
    <w:rsid w:val="00DC111A"/>
    <w:rsid w:val="00DC1C97"/>
    <w:rsid w:val="00DC1DD6"/>
    <w:rsid w:val="00DC2B5B"/>
    <w:rsid w:val="00DC2BED"/>
    <w:rsid w:val="00DC33DB"/>
    <w:rsid w:val="00DC3943"/>
    <w:rsid w:val="00DC4DC6"/>
    <w:rsid w:val="00DC7658"/>
    <w:rsid w:val="00DC7A53"/>
    <w:rsid w:val="00DC7B28"/>
    <w:rsid w:val="00DC7D35"/>
    <w:rsid w:val="00DD0F9E"/>
    <w:rsid w:val="00DD2367"/>
    <w:rsid w:val="00DD2A3F"/>
    <w:rsid w:val="00DD2D75"/>
    <w:rsid w:val="00DD3C94"/>
    <w:rsid w:val="00DD47CA"/>
    <w:rsid w:val="00DD49DF"/>
    <w:rsid w:val="00DD577D"/>
    <w:rsid w:val="00DD5966"/>
    <w:rsid w:val="00DD5A9A"/>
    <w:rsid w:val="00DD6E95"/>
    <w:rsid w:val="00DD78C7"/>
    <w:rsid w:val="00DD7B2C"/>
    <w:rsid w:val="00DE0AE2"/>
    <w:rsid w:val="00DE16C3"/>
    <w:rsid w:val="00DE1DE3"/>
    <w:rsid w:val="00DE3428"/>
    <w:rsid w:val="00DE38DD"/>
    <w:rsid w:val="00DE419B"/>
    <w:rsid w:val="00DE4E2F"/>
    <w:rsid w:val="00DE5E83"/>
    <w:rsid w:val="00DE6240"/>
    <w:rsid w:val="00DE6893"/>
    <w:rsid w:val="00DE728A"/>
    <w:rsid w:val="00DE7305"/>
    <w:rsid w:val="00DE7EDB"/>
    <w:rsid w:val="00DF0C3D"/>
    <w:rsid w:val="00DF1FBB"/>
    <w:rsid w:val="00DF39DA"/>
    <w:rsid w:val="00DF3B7C"/>
    <w:rsid w:val="00DF3CCC"/>
    <w:rsid w:val="00DF4998"/>
    <w:rsid w:val="00DF5943"/>
    <w:rsid w:val="00DF5BD3"/>
    <w:rsid w:val="00DF695C"/>
    <w:rsid w:val="00DF6CAC"/>
    <w:rsid w:val="00DF71A5"/>
    <w:rsid w:val="00DF7411"/>
    <w:rsid w:val="00E0027A"/>
    <w:rsid w:val="00E00902"/>
    <w:rsid w:val="00E00BA5"/>
    <w:rsid w:val="00E010DD"/>
    <w:rsid w:val="00E020C8"/>
    <w:rsid w:val="00E03098"/>
    <w:rsid w:val="00E05AF0"/>
    <w:rsid w:val="00E06043"/>
    <w:rsid w:val="00E060D2"/>
    <w:rsid w:val="00E06A16"/>
    <w:rsid w:val="00E077B6"/>
    <w:rsid w:val="00E101E2"/>
    <w:rsid w:val="00E10644"/>
    <w:rsid w:val="00E10AF3"/>
    <w:rsid w:val="00E10E63"/>
    <w:rsid w:val="00E1123D"/>
    <w:rsid w:val="00E112EF"/>
    <w:rsid w:val="00E11CD9"/>
    <w:rsid w:val="00E126B7"/>
    <w:rsid w:val="00E12888"/>
    <w:rsid w:val="00E1299C"/>
    <w:rsid w:val="00E12B07"/>
    <w:rsid w:val="00E12FCE"/>
    <w:rsid w:val="00E13CC6"/>
    <w:rsid w:val="00E13E33"/>
    <w:rsid w:val="00E143D3"/>
    <w:rsid w:val="00E1447C"/>
    <w:rsid w:val="00E14FA3"/>
    <w:rsid w:val="00E158E4"/>
    <w:rsid w:val="00E15A19"/>
    <w:rsid w:val="00E16176"/>
    <w:rsid w:val="00E16F0C"/>
    <w:rsid w:val="00E17499"/>
    <w:rsid w:val="00E17AF2"/>
    <w:rsid w:val="00E20060"/>
    <w:rsid w:val="00E20B3F"/>
    <w:rsid w:val="00E220E0"/>
    <w:rsid w:val="00E22400"/>
    <w:rsid w:val="00E2242C"/>
    <w:rsid w:val="00E22A7F"/>
    <w:rsid w:val="00E2323D"/>
    <w:rsid w:val="00E2329B"/>
    <w:rsid w:val="00E235D4"/>
    <w:rsid w:val="00E2370F"/>
    <w:rsid w:val="00E23D00"/>
    <w:rsid w:val="00E24183"/>
    <w:rsid w:val="00E25004"/>
    <w:rsid w:val="00E26C77"/>
    <w:rsid w:val="00E27C29"/>
    <w:rsid w:val="00E3057D"/>
    <w:rsid w:val="00E31DDC"/>
    <w:rsid w:val="00E32190"/>
    <w:rsid w:val="00E32A7F"/>
    <w:rsid w:val="00E33046"/>
    <w:rsid w:val="00E33221"/>
    <w:rsid w:val="00E336E5"/>
    <w:rsid w:val="00E3447E"/>
    <w:rsid w:val="00E34C1A"/>
    <w:rsid w:val="00E3572A"/>
    <w:rsid w:val="00E35E14"/>
    <w:rsid w:val="00E363D6"/>
    <w:rsid w:val="00E36E0B"/>
    <w:rsid w:val="00E37695"/>
    <w:rsid w:val="00E37ADF"/>
    <w:rsid w:val="00E37D44"/>
    <w:rsid w:val="00E37F0D"/>
    <w:rsid w:val="00E40761"/>
    <w:rsid w:val="00E41098"/>
    <w:rsid w:val="00E41204"/>
    <w:rsid w:val="00E41546"/>
    <w:rsid w:val="00E41A00"/>
    <w:rsid w:val="00E41BF1"/>
    <w:rsid w:val="00E430CE"/>
    <w:rsid w:val="00E445BA"/>
    <w:rsid w:val="00E44B9B"/>
    <w:rsid w:val="00E459D5"/>
    <w:rsid w:val="00E46719"/>
    <w:rsid w:val="00E47EF0"/>
    <w:rsid w:val="00E50443"/>
    <w:rsid w:val="00E51FFF"/>
    <w:rsid w:val="00E52B4F"/>
    <w:rsid w:val="00E53F07"/>
    <w:rsid w:val="00E54588"/>
    <w:rsid w:val="00E54AB5"/>
    <w:rsid w:val="00E55228"/>
    <w:rsid w:val="00E55458"/>
    <w:rsid w:val="00E55BFB"/>
    <w:rsid w:val="00E56A72"/>
    <w:rsid w:val="00E57DF5"/>
    <w:rsid w:val="00E60972"/>
    <w:rsid w:val="00E61ABE"/>
    <w:rsid w:val="00E61ED7"/>
    <w:rsid w:val="00E6268D"/>
    <w:rsid w:val="00E6297A"/>
    <w:rsid w:val="00E62A87"/>
    <w:rsid w:val="00E631AA"/>
    <w:rsid w:val="00E648A2"/>
    <w:rsid w:val="00E65D23"/>
    <w:rsid w:val="00E663C7"/>
    <w:rsid w:val="00E70C54"/>
    <w:rsid w:val="00E714E5"/>
    <w:rsid w:val="00E71553"/>
    <w:rsid w:val="00E71A37"/>
    <w:rsid w:val="00E71B21"/>
    <w:rsid w:val="00E720DF"/>
    <w:rsid w:val="00E72F0A"/>
    <w:rsid w:val="00E730BD"/>
    <w:rsid w:val="00E7432A"/>
    <w:rsid w:val="00E7432D"/>
    <w:rsid w:val="00E748EB"/>
    <w:rsid w:val="00E75AC0"/>
    <w:rsid w:val="00E75F4D"/>
    <w:rsid w:val="00E76911"/>
    <w:rsid w:val="00E76F78"/>
    <w:rsid w:val="00E77CA5"/>
    <w:rsid w:val="00E804B0"/>
    <w:rsid w:val="00E804DE"/>
    <w:rsid w:val="00E80585"/>
    <w:rsid w:val="00E80778"/>
    <w:rsid w:val="00E81743"/>
    <w:rsid w:val="00E819C1"/>
    <w:rsid w:val="00E81E82"/>
    <w:rsid w:val="00E82269"/>
    <w:rsid w:val="00E826CE"/>
    <w:rsid w:val="00E8345B"/>
    <w:rsid w:val="00E87DE3"/>
    <w:rsid w:val="00E90C39"/>
    <w:rsid w:val="00E90EA4"/>
    <w:rsid w:val="00E91557"/>
    <w:rsid w:val="00E91CF7"/>
    <w:rsid w:val="00E931DA"/>
    <w:rsid w:val="00E936EE"/>
    <w:rsid w:val="00E93930"/>
    <w:rsid w:val="00E9455A"/>
    <w:rsid w:val="00E94E06"/>
    <w:rsid w:val="00E96629"/>
    <w:rsid w:val="00E96A8C"/>
    <w:rsid w:val="00E972F2"/>
    <w:rsid w:val="00E97634"/>
    <w:rsid w:val="00E97B58"/>
    <w:rsid w:val="00EA0BA8"/>
    <w:rsid w:val="00EA1BC2"/>
    <w:rsid w:val="00EA25B1"/>
    <w:rsid w:val="00EA2746"/>
    <w:rsid w:val="00EA2F5A"/>
    <w:rsid w:val="00EA7091"/>
    <w:rsid w:val="00EA7244"/>
    <w:rsid w:val="00EA74FE"/>
    <w:rsid w:val="00EB0077"/>
    <w:rsid w:val="00EB007F"/>
    <w:rsid w:val="00EB1D96"/>
    <w:rsid w:val="00EB1E64"/>
    <w:rsid w:val="00EB2046"/>
    <w:rsid w:val="00EB34D2"/>
    <w:rsid w:val="00EB3F3D"/>
    <w:rsid w:val="00EB4290"/>
    <w:rsid w:val="00EB440E"/>
    <w:rsid w:val="00EB49EB"/>
    <w:rsid w:val="00EB4C39"/>
    <w:rsid w:val="00EB5B7C"/>
    <w:rsid w:val="00EB5C06"/>
    <w:rsid w:val="00EB5FDD"/>
    <w:rsid w:val="00EB676C"/>
    <w:rsid w:val="00EB6905"/>
    <w:rsid w:val="00EC0AA6"/>
    <w:rsid w:val="00EC1907"/>
    <w:rsid w:val="00EC35D8"/>
    <w:rsid w:val="00EC3B84"/>
    <w:rsid w:val="00EC44F9"/>
    <w:rsid w:val="00EC4ED5"/>
    <w:rsid w:val="00EC6FD6"/>
    <w:rsid w:val="00EC7024"/>
    <w:rsid w:val="00EC7384"/>
    <w:rsid w:val="00EC75D6"/>
    <w:rsid w:val="00EC7AED"/>
    <w:rsid w:val="00EC7F72"/>
    <w:rsid w:val="00EC7F78"/>
    <w:rsid w:val="00ED07B2"/>
    <w:rsid w:val="00ED0A59"/>
    <w:rsid w:val="00ED0C38"/>
    <w:rsid w:val="00ED1045"/>
    <w:rsid w:val="00ED105D"/>
    <w:rsid w:val="00ED1C54"/>
    <w:rsid w:val="00ED1DBA"/>
    <w:rsid w:val="00ED2088"/>
    <w:rsid w:val="00ED2388"/>
    <w:rsid w:val="00ED25C7"/>
    <w:rsid w:val="00ED2FF2"/>
    <w:rsid w:val="00ED3B2E"/>
    <w:rsid w:val="00ED4147"/>
    <w:rsid w:val="00ED41F7"/>
    <w:rsid w:val="00ED5EA0"/>
    <w:rsid w:val="00ED68FB"/>
    <w:rsid w:val="00ED6DBC"/>
    <w:rsid w:val="00ED7496"/>
    <w:rsid w:val="00ED7723"/>
    <w:rsid w:val="00ED7C0B"/>
    <w:rsid w:val="00EE275E"/>
    <w:rsid w:val="00EE2D33"/>
    <w:rsid w:val="00EE311B"/>
    <w:rsid w:val="00EE33AC"/>
    <w:rsid w:val="00EE3C15"/>
    <w:rsid w:val="00EE3E7F"/>
    <w:rsid w:val="00EE5350"/>
    <w:rsid w:val="00EE5B68"/>
    <w:rsid w:val="00EE5DB6"/>
    <w:rsid w:val="00EE62F5"/>
    <w:rsid w:val="00EE6764"/>
    <w:rsid w:val="00EE6DED"/>
    <w:rsid w:val="00EE75B9"/>
    <w:rsid w:val="00EE7950"/>
    <w:rsid w:val="00EE7AF5"/>
    <w:rsid w:val="00EE7DAA"/>
    <w:rsid w:val="00EF07B8"/>
    <w:rsid w:val="00EF2336"/>
    <w:rsid w:val="00EF2384"/>
    <w:rsid w:val="00EF264F"/>
    <w:rsid w:val="00EF2AFC"/>
    <w:rsid w:val="00EF3C45"/>
    <w:rsid w:val="00EF4115"/>
    <w:rsid w:val="00EF4540"/>
    <w:rsid w:val="00EF483B"/>
    <w:rsid w:val="00EF4B3E"/>
    <w:rsid w:val="00EF4C88"/>
    <w:rsid w:val="00EF5452"/>
    <w:rsid w:val="00EF5C5A"/>
    <w:rsid w:val="00EF602C"/>
    <w:rsid w:val="00EF6F7C"/>
    <w:rsid w:val="00EF7A01"/>
    <w:rsid w:val="00F00053"/>
    <w:rsid w:val="00F005DA"/>
    <w:rsid w:val="00F00AA0"/>
    <w:rsid w:val="00F02416"/>
    <w:rsid w:val="00F02843"/>
    <w:rsid w:val="00F035DC"/>
    <w:rsid w:val="00F0448F"/>
    <w:rsid w:val="00F05CB5"/>
    <w:rsid w:val="00F06247"/>
    <w:rsid w:val="00F07712"/>
    <w:rsid w:val="00F07D0C"/>
    <w:rsid w:val="00F07DED"/>
    <w:rsid w:val="00F10587"/>
    <w:rsid w:val="00F10695"/>
    <w:rsid w:val="00F10CDE"/>
    <w:rsid w:val="00F1129C"/>
    <w:rsid w:val="00F12600"/>
    <w:rsid w:val="00F1293D"/>
    <w:rsid w:val="00F13F3B"/>
    <w:rsid w:val="00F15AA2"/>
    <w:rsid w:val="00F15C52"/>
    <w:rsid w:val="00F15CDC"/>
    <w:rsid w:val="00F15D7B"/>
    <w:rsid w:val="00F168A5"/>
    <w:rsid w:val="00F169AE"/>
    <w:rsid w:val="00F16F27"/>
    <w:rsid w:val="00F17255"/>
    <w:rsid w:val="00F179D6"/>
    <w:rsid w:val="00F21627"/>
    <w:rsid w:val="00F21A4F"/>
    <w:rsid w:val="00F21C5F"/>
    <w:rsid w:val="00F22958"/>
    <w:rsid w:val="00F2382F"/>
    <w:rsid w:val="00F23D3A"/>
    <w:rsid w:val="00F254A5"/>
    <w:rsid w:val="00F255A3"/>
    <w:rsid w:val="00F259E7"/>
    <w:rsid w:val="00F26107"/>
    <w:rsid w:val="00F26236"/>
    <w:rsid w:val="00F26784"/>
    <w:rsid w:val="00F26F4F"/>
    <w:rsid w:val="00F319F9"/>
    <w:rsid w:val="00F31A2D"/>
    <w:rsid w:val="00F31CE7"/>
    <w:rsid w:val="00F31F89"/>
    <w:rsid w:val="00F32062"/>
    <w:rsid w:val="00F348B2"/>
    <w:rsid w:val="00F3547D"/>
    <w:rsid w:val="00F35C1B"/>
    <w:rsid w:val="00F36076"/>
    <w:rsid w:val="00F36723"/>
    <w:rsid w:val="00F36CFC"/>
    <w:rsid w:val="00F36FE0"/>
    <w:rsid w:val="00F37001"/>
    <w:rsid w:val="00F3738A"/>
    <w:rsid w:val="00F37C51"/>
    <w:rsid w:val="00F404D3"/>
    <w:rsid w:val="00F40601"/>
    <w:rsid w:val="00F41DB9"/>
    <w:rsid w:val="00F42857"/>
    <w:rsid w:val="00F4337D"/>
    <w:rsid w:val="00F43566"/>
    <w:rsid w:val="00F45866"/>
    <w:rsid w:val="00F45F1A"/>
    <w:rsid w:val="00F45F54"/>
    <w:rsid w:val="00F46094"/>
    <w:rsid w:val="00F462EF"/>
    <w:rsid w:val="00F4640C"/>
    <w:rsid w:val="00F46834"/>
    <w:rsid w:val="00F46A6E"/>
    <w:rsid w:val="00F47785"/>
    <w:rsid w:val="00F478D4"/>
    <w:rsid w:val="00F47B73"/>
    <w:rsid w:val="00F47CE8"/>
    <w:rsid w:val="00F50258"/>
    <w:rsid w:val="00F50AAC"/>
    <w:rsid w:val="00F51A4B"/>
    <w:rsid w:val="00F52123"/>
    <w:rsid w:val="00F5287E"/>
    <w:rsid w:val="00F5371A"/>
    <w:rsid w:val="00F54D8B"/>
    <w:rsid w:val="00F55848"/>
    <w:rsid w:val="00F56AA8"/>
    <w:rsid w:val="00F56EBF"/>
    <w:rsid w:val="00F57C5C"/>
    <w:rsid w:val="00F57EE3"/>
    <w:rsid w:val="00F60572"/>
    <w:rsid w:val="00F607F4"/>
    <w:rsid w:val="00F60DDA"/>
    <w:rsid w:val="00F619B6"/>
    <w:rsid w:val="00F61C4D"/>
    <w:rsid w:val="00F626D6"/>
    <w:rsid w:val="00F62A21"/>
    <w:rsid w:val="00F62FF3"/>
    <w:rsid w:val="00F634C9"/>
    <w:rsid w:val="00F63B16"/>
    <w:rsid w:val="00F63F35"/>
    <w:rsid w:val="00F63FF1"/>
    <w:rsid w:val="00F64690"/>
    <w:rsid w:val="00F6481E"/>
    <w:rsid w:val="00F64AEA"/>
    <w:rsid w:val="00F6671B"/>
    <w:rsid w:val="00F718DB"/>
    <w:rsid w:val="00F733B6"/>
    <w:rsid w:val="00F735CE"/>
    <w:rsid w:val="00F73FB6"/>
    <w:rsid w:val="00F74EE0"/>
    <w:rsid w:val="00F7533B"/>
    <w:rsid w:val="00F75425"/>
    <w:rsid w:val="00F75770"/>
    <w:rsid w:val="00F757E2"/>
    <w:rsid w:val="00F75804"/>
    <w:rsid w:val="00F75F42"/>
    <w:rsid w:val="00F7616B"/>
    <w:rsid w:val="00F766C6"/>
    <w:rsid w:val="00F76AB1"/>
    <w:rsid w:val="00F76CCA"/>
    <w:rsid w:val="00F77702"/>
    <w:rsid w:val="00F778D8"/>
    <w:rsid w:val="00F779E5"/>
    <w:rsid w:val="00F8105A"/>
    <w:rsid w:val="00F815DB"/>
    <w:rsid w:val="00F82021"/>
    <w:rsid w:val="00F82B65"/>
    <w:rsid w:val="00F84166"/>
    <w:rsid w:val="00F84CA0"/>
    <w:rsid w:val="00F855EC"/>
    <w:rsid w:val="00F85ACA"/>
    <w:rsid w:val="00F86030"/>
    <w:rsid w:val="00F86E10"/>
    <w:rsid w:val="00F8723F"/>
    <w:rsid w:val="00F90264"/>
    <w:rsid w:val="00F90CA4"/>
    <w:rsid w:val="00F91EBE"/>
    <w:rsid w:val="00F925D5"/>
    <w:rsid w:val="00F93279"/>
    <w:rsid w:val="00F9328C"/>
    <w:rsid w:val="00F95960"/>
    <w:rsid w:val="00F9623A"/>
    <w:rsid w:val="00F96291"/>
    <w:rsid w:val="00F97467"/>
    <w:rsid w:val="00FA018A"/>
    <w:rsid w:val="00FA146D"/>
    <w:rsid w:val="00FA1E3B"/>
    <w:rsid w:val="00FA24A7"/>
    <w:rsid w:val="00FA28BC"/>
    <w:rsid w:val="00FA2A14"/>
    <w:rsid w:val="00FA2D16"/>
    <w:rsid w:val="00FA36E8"/>
    <w:rsid w:val="00FA42D2"/>
    <w:rsid w:val="00FA522A"/>
    <w:rsid w:val="00FA56FE"/>
    <w:rsid w:val="00FA6913"/>
    <w:rsid w:val="00FA6D75"/>
    <w:rsid w:val="00FB04FA"/>
    <w:rsid w:val="00FB0B3D"/>
    <w:rsid w:val="00FB0C2A"/>
    <w:rsid w:val="00FB0C73"/>
    <w:rsid w:val="00FB0CFD"/>
    <w:rsid w:val="00FB1DF8"/>
    <w:rsid w:val="00FB1E4E"/>
    <w:rsid w:val="00FB2400"/>
    <w:rsid w:val="00FB251F"/>
    <w:rsid w:val="00FB2832"/>
    <w:rsid w:val="00FB39C4"/>
    <w:rsid w:val="00FB3DB2"/>
    <w:rsid w:val="00FB431E"/>
    <w:rsid w:val="00FB4B09"/>
    <w:rsid w:val="00FB5361"/>
    <w:rsid w:val="00FB680E"/>
    <w:rsid w:val="00FB6B39"/>
    <w:rsid w:val="00FB764C"/>
    <w:rsid w:val="00FB78AA"/>
    <w:rsid w:val="00FB7C42"/>
    <w:rsid w:val="00FC0D25"/>
    <w:rsid w:val="00FC1CF1"/>
    <w:rsid w:val="00FC2074"/>
    <w:rsid w:val="00FC210C"/>
    <w:rsid w:val="00FC226E"/>
    <w:rsid w:val="00FC2379"/>
    <w:rsid w:val="00FC28B0"/>
    <w:rsid w:val="00FC32B1"/>
    <w:rsid w:val="00FC358A"/>
    <w:rsid w:val="00FC3967"/>
    <w:rsid w:val="00FC39C1"/>
    <w:rsid w:val="00FC3BB0"/>
    <w:rsid w:val="00FC473A"/>
    <w:rsid w:val="00FC573B"/>
    <w:rsid w:val="00FC5B00"/>
    <w:rsid w:val="00FC609F"/>
    <w:rsid w:val="00FC6D6B"/>
    <w:rsid w:val="00FC7151"/>
    <w:rsid w:val="00FC770E"/>
    <w:rsid w:val="00FD1913"/>
    <w:rsid w:val="00FD1A32"/>
    <w:rsid w:val="00FD388E"/>
    <w:rsid w:val="00FD41A9"/>
    <w:rsid w:val="00FD4F89"/>
    <w:rsid w:val="00FD5032"/>
    <w:rsid w:val="00FD768B"/>
    <w:rsid w:val="00FD78FB"/>
    <w:rsid w:val="00FD7A2F"/>
    <w:rsid w:val="00FE0291"/>
    <w:rsid w:val="00FE0541"/>
    <w:rsid w:val="00FE07E9"/>
    <w:rsid w:val="00FE1B84"/>
    <w:rsid w:val="00FE1EE1"/>
    <w:rsid w:val="00FE24B1"/>
    <w:rsid w:val="00FE27BF"/>
    <w:rsid w:val="00FE29FE"/>
    <w:rsid w:val="00FE2AF8"/>
    <w:rsid w:val="00FE3826"/>
    <w:rsid w:val="00FE39FB"/>
    <w:rsid w:val="00FE56DA"/>
    <w:rsid w:val="00FE78E0"/>
    <w:rsid w:val="00FE7FDB"/>
    <w:rsid w:val="00FF0F2E"/>
    <w:rsid w:val="00FF12DA"/>
    <w:rsid w:val="00FF1703"/>
    <w:rsid w:val="00FF19ED"/>
    <w:rsid w:val="00FF1B44"/>
    <w:rsid w:val="00FF20F4"/>
    <w:rsid w:val="00FF23D8"/>
    <w:rsid w:val="00FF3F70"/>
    <w:rsid w:val="00FF3FCB"/>
    <w:rsid w:val="00FF504A"/>
    <w:rsid w:val="00FF5512"/>
    <w:rsid w:val="00FF5843"/>
    <w:rsid w:val="00FF614F"/>
    <w:rsid w:val="00FF7A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02F06D"/>
  <w15:docId w15:val="{DCAD33E9-5FAB-4CA3-B1CA-98FB2DBE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BDD"/>
    <w:pPr>
      <w:widowControl w:val="0"/>
      <w:adjustRightInd w:val="0"/>
      <w:spacing w:after="0" w:line="360" w:lineRule="atLeast"/>
      <w:jc w:val="both"/>
      <w:textAlignment w:val="baseline"/>
    </w:pPr>
    <w:rPr>
      <w:rFonts w:ascii="Verdana" w:eastAsia="Times New Roman" w:hAnsi="Verdana" w:cs="Times New Roman"/>
      <w:sz w:val="24"/>
      <w:szCs w:val="24"/>
      <w:lang w:eastAsia="es-CR"/>
    </w:rPr>
  </w:style>
  <w:style w:type="paragraph" w:styleId="Ttulo1">
    <w:name w:val="heading 1"/>
    <w:aliases w:val="Título Verdana"/>
    <w:basedOn w:val="Normal"/>
    <w:next w:val="Normal"/>
    <w:link w:val="Ttulo1Car"/>
    <w:uiPriority w:val="9"/>
    <w:qFormat/>
    <w:rsid w:val="00085BDD"/>
    <w:pPr>
      <w:keepNext/>
      <w:keepLines/>
      <w:tabs>
        <w:tab w:val="left" w:pos="720"/>
      </w:tabs>
      <w:spacing w:line="240" w:lineRule="auto"/>
      <w:jc w:val="center"/>
      <w:outlineLvl w:val="0"/>
    </w:pPr>
    <w:rPr>
      <w:rFonts w:eastAsia="MS ????"/>
      <w:b/>
      <w:bCs/>
      <w:caps/>
      <w:snapToGrid w:val="0"/>
      <w:spacing w:val="-2"/>
      <w:sz w:val="20"/>
      <w:szCs w:val="20"/>
      <w:lang w:val="x-none" w:eastAsia="es-ES"/>
    </w:rPr>
  </w:style>
  <w:style w:type="paragraph" w:styleId="Ttulo2">
    <w:name w:val="heading 2"/>
    <w:basedOn w:val="Normal"/>
    <w:next w:val="Normal"/>
    <w:link w:val="Ttulo2Car"/>
    <w:uiPriority w:val="9"/>
    <w:semiHidden/>
    <w:unhideWhenUsed/>
    <w:qFormat/>
    <w:rsid w:val="008920BF"/>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qFormat/>
    <w:rsid w:val="00085BDD"/>
    <w:pPr>
      <w:widowControl/>
      <w:tabs>
        <w:tab w:val="left" w:pos="567"/>
      </w:tabs>
      <w:autoSpaceDE w:val="0"/>
      <w:autoSpaceDN w:val="0"/>
      <w:adjustRightInd/>
      <w:spacing w:line="240" w:lineRule="auto"/>
      <w:ind w:left="1416"/>
      <w:contextualSpacing/>
      <w:textAlignment w:val="auto"/>
      <w:outlineLvl w:val="2"/>
    </w:pPr>
    <w:rPr>
      <w:rFonts w:eastAsia="Calibri"/>
      <w:b/>
      <w:spacing w:val="-2"/>
      <w:sz w:val="20"/>
      <w:szCs w:val="20"/>
      <w:lang w:val="es-ES" w:eastAsia="x-none"/>
    </w:rPr>
  </w:style>
  <w:style w:type="paragraph" w:styleId="Ttulo4">
    <w:name w:val="heading 4"/>
    <w:basedOn w:val="Normal"/>
    <w:next w:val="Normal"/>
    <w:link w:val="Ttulo4Car"/>
    <w:uiPriority w:val="9"/>
    <w:semiHidden/>
    <w:unhideWhenUsed/>
    <w:qFormat/>
    <w:rsid w:val="008920BF"/>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E3447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Ttulo5"/>
    <w:next w:val="Normal"/>
    <w:link w:val="Ttulo6Car"/>
    <w:uiPriority w:val="9"/>
    <w:unhideWhenUsed/>
    <w:qFormat/>
    <w:rsid w:val="00E3447E"/>
    <w:pPr>
      <w:keepNext w:val="0"/>
      <w:keepLines w:val="0"/>
      <w:widowControl/>
      <w:tabs>
        <w:tab w:val="num" w:pos="3600"/>
      </w:tabs>
      <w:adjustRightInd/>
      <w:spacing w:before="0" w:line="240" w:lineRule="auto"/>
      <w:ind w:left="3600" w:hanging="360"/>
      <w:textAlignment w:val="auto"/>
      <w:outlineLvl w:val="5"/>
    </w:pPr>
    <w:rPr>
      <w:rFonts w:ascii="Verdana" w:eastAsia="Times New Roman" w:hAnsi="Verdana" w:cs="Times New Roman"/>
      <w:color w:val="auto"/>
      <w:spacing w:val="-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Verdana Car"/>
    <w:basedOn w:val="Fuentedeprrafopredeter"/>
    <w:link w:val="Ttulo1"/>
    <w:uiPriority w:val="9"/>
    <w:rsid w:val="00085BDD"/>
    <w:rPr>
      <w:rFonts w:ascii="Verdana" w:eastAsia="MS ????" w:hAnsi="Verdana" w:cs="Times New Roman"/>
      <w:b/>
      <w:bCs/>
      <w:caps/>
      <w:snapToGrid w:val="0"/>
      <w:spacing w:val="-2"/>
      <w:sz w:val="20"/>
      <w:szCs w:val="20"/>
      <w:lang w:val="x-none" w:eastAsia="es-ES"/>
    </w:rPr>
  </w:style>
  <w:style w:type="character" w:customStyle="1" w:styleId="Ttulo3Car">
    <w:name w:val="Título 3 Car"/>
    <w:basedOn w:val="Fuentedeprrafopredeter"/>
    <w:link w:val="Ttulo3"/>
    <w:uiPriority w:val="9"/>
    <w:rsid w:val="00085BDD"/>
    <w:rPr>
      <w:rFonts w:ascii="Verdana" w:eastAsia="Calibri" w:hAnsi="Verdana" w:cs="Times New Roman"/>
      <w:b/>
      <w:spacing w:val="-2"/>
      <w:sz w:val="20"/>
      <w:szCs w:val="20"/>
      <w:lang w:val="es-ES" w:eastAsia="x-none"/>
    </w:rPr>
  </w:style>
  <w:style w:type="character" w:styleId="Refdenotaalpie">
    <w:name w:val="footnote reference"/>
    <w:aliases w:val="Appel note de bas de page,Footnotes refss,Footnote number,referencia nota al pie,BVI fnr,f,4_G,16 Point,Superscript 6 Point,Texto nota al pie,Footnote Reference Char3,Footnote Reference Char1 Char,Ref. de nota al,Ref. de nota al pi"/>
    <w:link w:val="4GChar"/>
    <w:qFormat/>
    <w:rsid w:val="00085BDD"/>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TextonotapieCar"/>
    <w:qFormat/>
    <w:rsid w:val="00085BDD"/>
    <w:pPr>
      <w:spacing w:line="240" w:lineRule="auto"/>
    </w:pPr>
    <w:rPr>
      <w:sz w:val="20"/>
      <w:szCs w:val="20"/>
      <w:lang w:val="es-ES_tradnl"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085BDD"/>
    <w:rPr>
      <w:rFonts w:ascii="Verdana" w:eastAsia="Times New Roman" w:hAnsi="Verdana" w:cs="Times New Roman"/>
      <w:sz w:val="20"/>
      <w:szCs w:val="20"/>
      <w:lang w:val="es-ES_tradnl" w:eastAsia="x-none"/>
    </w:rPr>
  </w:style>
  <w:style w:type="character" w:styleId="Textoennegrita">
    <w:name w:val="Strong"/>
    <w:uiPriority w:val="22"/>
    <w:qFormat/>
    <w:rsid w:val="00085BDD"/>
    <w:rPr>
      <w:b/>
      <w:bCs/>
    </w:rPr>
  </w:style>
  <w:style w:type="paragraph" w:styleId="Prrafodelista">
    <w:name w:val="List Paragraph"/>
    <w:aliases w:val="List Paragraph2,Lista vistosa - Énfasis 11,Párrafo de lista1,Footnote,List Paragraph1"/>
    <w:basedOn w:val="Normal"/>
    <w:link w:val="PrrafodelistaCar"/>
    <w:uiPriority w:val="34"/>
    <w:qFormat/>
    <w:rsid w:val="00085BDD"/>
    <w:pPr>
      <w:ind w:left="708"/>
    </w:pPr>
  </w:style>
  <w:style w:type="character" w:customStyle="1" w:styleId="MediumGrid1-Accent2Char">
    <w:name w:val="Medium Grid 1 - Accent 2 Char"/>
    <w:aliases w:val="Footnote Char,List Paragraph1 Char,Colorful List - Accent 11 Char,Párrafo de lista1 Char,List Paragraph Char,List Paragraph2 Char,Lista vistosa - Énfasis 11 Char,Colorful List - Accent 1 Char"/>
    <w:link w:val="Cuadrculamedia1-nfasis2"/>
    <w:uiPriority w:val="34"/>
    <w:locked/>
    <w:rsid w:val="00475387"/>
    <w:rPr>
      <w:rFonts w:ascii="Verdana" w:eastAsia="Batang" w:hAnsi="Verdana" w:cs="Times"/>
      <w:noProof/>
      <w:sz w:val="20"/>
      <w:szCs w:val="24"/>
      <w:lang w:val="es-ES_tradnl"/>
    </w:rPr>
  </w:style>
  <w:style w:type="paragraph" w:customStyle="1" w:styleId="PrrafodeSentencia">
    <w:name w:val="*. Párrafo de Sentencia"/>
    <w:basedOn w:val="Textonotapie"/>
    <w:autoRedefine/>
    <w:qFormat/>
    <w:rsid w:val="00475387"/>
    <w:pPr>
      <w:widowControl/>
      <w:numPr>
        <w:numId w:val="3"/>
      </w:numPr>
      <w:tabs>
        <w:tab w:val="left" w:pos="720"/>
      </w:tabs>
      <w:adjustRightInd/>
      <w:spacing w:before="120" w:after="120"/>
      <w:textAlignment w:val="auto"/>
    </w:pPr>
    <w:rPr>
      <w:bCs/>
      <w:noProof/>
      <w:lang w:eastAsia="es-ES"/>
    </w:rPr>
  </w:style>
  <w:style w:type="table" w:styleId="Cuadrculamedia1-nfasis2">
    <w:name w:val="Medium Grid 1 Accent 2"/>
    <w:basedOn w:val="Tablanormal"/>
    <w:link w:val="MediumGrid1-Accent2Char"/>
    <w:rsid w:val="00475387"/>
    <w:pPr>
      <w:spacing w:after="0" w:line="240" w:lineRule="auto"/>
    </w:pPr>
    <w:rPr>
      <w:rFonts w:ascii="Verdana" w:eastAsia="Batang" w:hAnsi="Verdana" w:cs="Times"/>
      <w:noProof/>
      <w:sz w:val="20"/>
      <w:szCs w:val="24"/>
      <w:lang w:val="es-ES_tradn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NormalWeb">
    <w:name w:val="Normal (Web)"/>
    <w:basedOn w:val="Normal"/>
    <w:uiPriority w:val="99"/>
    <w:unhideWhenUsed/>
    <w:rsid w:val="006C37C9"/>
    <w:pPr>
      <w:adjustRightInd/>
      <w:spacing w:after="200" w:line="276" w:lineRule="auto"/>
      <w:jc w:val="left"/>
      <w:textAlignment w:val="auto"/>
    </w:pPr>
    <w:rPr>
      <w:rFonts w:ascii="Times New Roman" w:eastAsiaTheme="minorHAnsi" w:hAnsi="Times New Roman"/>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Fuentedeprrafopredeter"/>
    <w:rsid w:val="006C37C9"/>
    <w:rPr>
      <w:sz w:val="20"/>
      <w:szCs w:val="20"/>
      <w:lang w:val="en-US"/>
    </w:rPr>
  </w:style>
  <w:style w:type="paragraph" w:styleId="Encabezado">
    <w:name w:val="header"/>
    <w:basedOn w:val="Normal"/>
    <w:link w:val="EncabezadoCar"/>
    <w:uiPriority w:val="99"/>
    <w:unhideWhenUsed/>
    <w:rsid w:val="006C37C9"/>
    <w:pPr>
      <w:tabs>
        <w:tab w:val="center" w:pos="4252"/>
        <w:tab w:val="right" w:pos="8504"/>
      </w:tabs>
      <w:adjustRightInd/>
      <w:spacing w:line="240" w:lineRule="auto"/>
      <w:jc w:val="left"/>
      <w:textAlignment w:val="auto"/>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6C37C9"/>
    <w:rPr>
      <w:lang w:val="en-US"/>
    </w:rPr>
  </w:style>
  <w:style w:type="paragraph" w:styleId="Piedepgina">
    <w:name w:val="footer"/>
    <w:basedOn w:val="Normal"/>
    <w:link w:val="PiedepginaCar"/>
    <w:uiPriority w:val="99"/>
    <w:unhideWhenUsed/>
    <w:rsid w:val="006C37C9"/>
    <w:pPr>
      <w:tabs>
        <w:tab w:val="center" w:pos="4252"/>
        <w:tab w:val="right" w:pos="8504"/>
      </w:tabs>
      <w:adjustRightInd/>
      <w:spacing w:line="240" w:lineRule="auto"/>
      <w:jc w:val="left"/>
      <w:textAlignment w:val="auto"/>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6C37C9"/>
    <w:rPr>
      <w:lang w:val="en-US"/>
    </w:rPr>
  </w:style>
  <w:style w:type="paragraph" w:styleId="Textonotaalfinal">
    <w:name w:val="endnote text"/>
    <w:basedOn w:val="Normal"/>
    <w:link w:val="TextonotaalfinalCar"/>
    <w:uiPriority w:val="99"/>
    <w:semiHidden/>
    <w:unhideWhenUsed/>
    <w:rsid w:val="006C37C9"/>
    <w:pPr>
      <w:adjustRightInd/>
      <w:spacing w:line="240" w:lineRule="auto"/>
      <w:jc w:val="left"/>
      <w:textAlignment w:val="auto"/>
    </w:pPr>
    <w:rPr>
      <w:rFonts w:asciiTheme="minorHAnsi" w:eastAsiaTheme="minorHAnsi" w:hAnsiTheme="minorHAnsi" w:cstheme="minorBidi"/>
      <w:sz w:val="20"/>
      <w:szCs w:val="20"/>
      <w:lang w:val="en-US" w:eastAsia="en-US"/>
    </w:rPr>
  </w:style>
  <w:style w:type="character" w:customStyle="1" w:styleId="TextonotaalfinalCar">
    <w:name w:val="Texto nota al final Car"/>
    <w:basedOn w:val="Fuentedeprrafopredeter"/>
    <w:link w:val="Textonotaalfinal"/>
    <w:uiPriority w:val="99"/>
    <w:semiHidden/>
    <w:rsid w:val="006C37C9"/>
    <w:rPr>
      <w:sz w:val="20"/>
      <w:szCs w:val="20"/>
      <w:lang w:val="en-US"/>
    </w:rPr>
  </w:style>
  <w:style w:type="character" w:styleId="Hipervnculo">
    <w:name w:val="Hyperlink"/>
    <w:basedOn w:val="Fuentedeprrafopredeter"/>
    <w:uiPriority w:val="99"/>
    <w:unhideWhenUsed/>
    <w:rsid w:val="006C37C9"/>
    <w:rPr>
      <w:color w:val="0000FF" w:themeColor="hyperlink"/>
      <w:u w:val="single"/>
    </w:rPr>
  </w:style>
  <w:style w:type="character" w:styleId="Hipervnculovisitado">
    <w:name w:val="FollowedHyperlink"/>
    <w:basedOn w:val="Fuentedeprrafopredeter"/>
    <w:uiPriority w:val="99"/>
    <w:semiHidden/>
    <w:unhideWhenUsed/>
    <w:rsid w:val="006C37C9"/>
    <w:rPr>
      <w:color w:val="800080" w:themeColor="followedHyperlink"/>
      <w:u w:val="single"/>
    </w:rPr>
  </w:style>
  <w:style w:type="paragraph" w:styleId="Textodeglobo">
    <w:name w:val="Balloon Text"/>
    <w:basedOn w:val="Normal"/>
    <w:link w:val="TextodegloboCar"/>
    <w:uiPriority w:val="99"/>
    <w:semiHidden/>
    <w:unhideWhenUsed/>
    <w:rsid w:val="006C37C9"/>
    <w:pPr>
      <w:widowControl/>
      <w:adjustRightInd/>
      <w:spacing w:line="240" w:lineRule="auto"/>
      <w:jc w:val="left"/>
      <w:textAlignment w:val="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6C37C9"/>
    <w:rPr>
      <w:rFonts w:ascii="Tahoma" w:hAnsi="Tahoma" w:cs="Tahoma"/>
      <w:sz w:val="16"/>
      <w:szCs w:val="16"/>
    </w:rPr>
  </w:style>
  <w:style w:type="paragraph" w:styleId="TtuloTDC">
    <w:name w:val="TOC Heading"/>
    <w:basedOn w:val="Ttulo1"/>
    <w:next w:val="Normal"/>
    <w:uiPriority w:val="39"/>
    <w:unhideWhenUsed/>
    <w:qFormat/>
    <w:rsid w:val="00E16176"/>
    <w:pPr>
      <w:widowControl/>
      <w:tabs>
        <w:tab w:val="clear" w:pos="720"/>
      </w:tabs>
      <w:adjustRightInd/>
      <w:spacing w:before="480" w:line="276" w:lineRule="auto"/>
      <w:jc w:val="left"/>
      <w:textAlignment w:val="auto"/>
      <w:outlineLvl w:val="9"/>
    </w:pPr>
    <w:rPr>
      <w:rFonts w:asciiTheme="majorHAnsi" w:eastAsiaTheme="majorEastAsia" w:hAnsiTheme="majorHAnsi" w:cstheme="majorBidi"/>
      <w:caps w:val="0"/>
      <w:snapToGrid/>
      <w:color w:val="365F91" w:themeColor="accent1" w:themeShade="BF"/>
      <w:spacing w:val="0"/>
      <w:sz w:val="28"/>
      <w:szCs w:val="28"/>
      <w:lang w:val="en-US" w:eastAsia="ja-JP"/>
    </w:rPr>
  </w:style>
  <w:style w:type="paragraph" w:styleId="TDC1">
    <w:name w:val="toc 1"/>
    <w:basedOn w:val="Normal"/>
    <w:next w:val="Normal"/>
    <w:autoRedefine/>
    <w:uiPriority w:val="39"/>
    <w:unhideWhenUsed/>
    <w:rsid w:val="00E16176"/>
    <w:pPr>
      <w:spacing w:after="100"/>
    </w:pPr>
  </w:style>
  <w:style w:type="paragraph" w:styleId="TDC2">
    <w:name w:val="toc 2"/>
    <w:basedOn w:val="Normal"/>
    <w:next w:val="Normal"/>
    <w:autoRedefine/>
    <w:uiPriority w:val="39"/>
    <w:unhideWhenUsed/>
    <w:rsid w:val="008A6487"/>
    <w:pPr>
      <w:tabs>
        <w:tab w:val="left" w:pos="851"/>
        <w:tab w:val="right" w:leader="dot" w:pos="10076"/>
      </w:tabs>
      <w:spacing w:line="240" w:lineRule="auto"/>
      <w:ind w:left="240"/>
      <w:jc w:val="left"/>
    </w:pPr>
  </w:style>
  <w:style w:type="paragraph" w:styleId="TDC3">
    <w:name w:val="toc 3"/>
    <w:basedOn w:val="Normal"/>
    <w:next w:val="Normal"/>
    <w:autoRedefine/>
    <w:uiPriority w:val="39"/>
    <w:unhideWhenUsed/>
    <w:rsid w:val="0014134B"/>
    <w:pPr>
      <w:tabs>
        <w:tab w:val="left" w:pos="1560"/>
        <w:tab w:val="right" w:leader="dot" w:pos="10076"/>
      </w:tabs>
      <w:spacing w:line="240" w:lineRule="auto"/>
      <w:ind w:left="480"/>
    </w:pPr>
  </w:style>
  <w:style w:type="character" w:styleId="Nmerodelnea">
    <w:name w:val="line number"/>
    <w:basedOn w:val="Fuentedeprrafopredeter"/>
    <w:uiPriority w:val="99"/>
    <w:semiHidden/>
    <w:unhideWhenUsed/>
    <w:rsid w:val="00D407D4"/>
  </w:style>
  <w:style w:type="character" w:styleId="Refdecomentario">
    <w:name w:val="annotation reference"/>
    <w:basedOn w:val="Fuentedeprrafopredeter"/>
    <w:uiPriority w:val="99"/>
    <w:semiHidden/>
    <w:unhideWhenUsed/>
    <w:rsid w:val="007A1A14"/>
    <w:rPr>
      <w:sz w:val="16"/>
      <w:szCs w:val="16"/>
    </w:rPr>
  </w:style>
  <w:style w:type="paragraph" w:styleId="Textocomentario">
    <w:name w:val="annotation text"/>
    <w:basedOn w:val="Normal"/>
    <w:link w:val="TextocomentarioCar"/>
    <w:uiPriority w:val="99"/>
    <w:semiHidden/>
    <w:unhideWhenUsed/>
    <w:rsid w:val="007A1A14"/>
    <w:pPr>
      <w:widowControl/>
      <w:adjustRightInd/>
      <w:spacing w:after="200" w:line="240" w:lineRule="auto"/>
      <w:jc w:val="left"/>
      <w:textAlignment w:val="auto"/>
    </w:pPr>
    <w:rPr>
      <w:rFonts w:asciiTheme="minorHAnsi" w:eastAsiaTheme="minorHAnsi" w:hAnsiTheme="minorHAnsi" w:cstheme="minorBidi"/>
      <w:sz w:val="20"/>
      <w:szCs w:val="20"/>
      <w:lang w:val="en-US" w:eastAsia="en-US"/>
    </w:rPr>
  </w:style>
  <w:style w:type="character" w:customStyle="1" w:styleId="TextocomentarioCar">
    <w:name w:val="Texto comentario Car"/>
    <w:basedOn w:val="Fuentedeprrafopredeter"/>
    <w:link w:val="Textocomentario"/>
    <w:uiPriority w:val="99"/>
    <w:semiHidden/>
    <w:rsid w:val="007A1A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7A1A14"/>
    <w:rPr>
      <w:b/>
      <w:bCs/>
    </w:rPr>
  </w:style>
  <w:style w:type="character" w:customStyle="1" w:styleId="AsuntodelcomentarioCar">
    <w:name w:val="Asunto del comentario Car"/>
    <w:basedOn w:val="TextocomentarioCar"/>
    <w:link w:val="Asuntodelcomentario"/>
    <w:uiPriority w:val="99"/>
    <w:semiHidden/>
    <w:rsid w:val="007A1A14"/>
    <w:rPr>
      <w:b/>
      <w:bCs/>
      <w:sz w:val="20"/>
      <w:szCs w:val="20"/>
      <w:lang w:val="en-US"/>
    </w:rPr>
  </w:style>
  <w:style w:type="paragraph" w:customStyle="1" w:styleId="Heading21">
    <w:name w:val="Heading 21"/>
    <w:basedOn w:val="Normal"/>
    <w:next w:val="Normal"/>
    <w:uiPriority w:val="9"/>
    <w:semiHidden/>
    <w:unhideWhenUsed/>
    <w:qFormat/>
    <w:rsid w:val="008920BF"/>
    <w:pPr>
      <w:keepNext/>
      <w:keepLines/>
      <w:spacing w:before="200"/>
      <w:outlineLvl w:val="1"/>
    </w:pPr>
    <w:rPr>
      <w:rFonts w:ascii="Cambria" w:hAnsi="Cambria"/>
      <w:b/>
      <w:bCs/>
      <w:color w:val="4F81BD"/>
      <w:sz w:val="26"/>
      <w:szCs w:val="26"/>
    </w:rPr>
  </w:style>
  <w:style w:type="paragraph" w:customStyle="1" w:styleId="Heading41">
    <w:name w:val="Heading 41"/>
    <w:basedOn w:val="Normal"/>
    <w:next w:val="Normal"/>
    <w:uiPriority w:val="9"/>
    <w:semiHidden/>
    <w:unhideWhenUsed/>
    <w:qFormat/>
    <w:rsid w:val="008920BF"/>
    <w:pPr>
      <w:keepNext/>
      <w:keepLines/>
      <w:spacing w:before="200"/>
      <w:outlineLvl w:val="3"/>
    </w:pPr>
    <w:rPr>
      <w:rFonts w:ascii="Cambria" w:hAnsi="Cambria"/>
      <w:b/>
      <w:bCs/>
      <w:i/>
      <w:iCs/>
      <w:color w:val="4F81BD"/>
    </w:rPr>
  </w:style>
  <w:style w:type="numbering" w:customStyle="1" w:styleId="NoList1">
    <w:name w:val="No List1"/>
    <w:next w:val="Sinlista"/>
    <w:uiPriority w:val="99"/>
    <w:semiHidden/>
    <w:unhideWhenUsed/>
    <w:rsid w:val="008920BF"/>
  </w:style>
  <w:style w:type="character" w:customStyle="1" w:styleId="Ttulo2Car">
    <w:name w:val="Título 2 Car"/>
    <w:basedOn w:val="Fuentedeprrafopredeter"/>
    <w:link w:val="Ttulo2"/>
    <w:uiPriority w:val="9"/>
    <w:semiHidden/>
    <w:rsid w:val="008920BF"/>
    <w:rPr>
      <w:rFonts w:ascii="Cambria" w:eastAsia="Times New Roman" w:hAnsi="Cambria" w:cs="Times New Roman"/>
      <w:b/>
      <w:bCs/>
      <w:color w:val="4F81BD"/>
      <w:sz w:val="26"/>
      <w:szCs w:val="26"/>
      <w:lang w:eastAsia="es-CR"/>
    </w:rPr>
  </w:style>
  <w:style w:type="character" w:customStyle="1" w:styleId="Ttulo4Car">
    <w:name w:val="Título 4 Car"/>
    <w:basedOn w:val="Fuentedeprrafopredeter"/>
    <w:link w:val="Ttulo4"/>
    <w:uiPriority w:val="9"/>
    <w:semiHidden/>
    <w:rsid w:val="008920BF"/>
    <w:rPr>
      <w:rFonts w:ascii="Cambria" w:eastAsia="Times New Roman" w:hAnsi="Cambria" w:cs="Times New Roman"/>
      <w:b/>
      <w:bCs/>
      <w:i/>
      <w:iCs/>
      <w:color w:val="4F81BD"/>
      <w:sz w:val="24"/>
      <w:szCs w:val="24"/>
      <w:lang w:eastAsia="es-CR"/>
    </w:rPr>
  </w:style>
  <w:style w:type="paragraph" w:customStyle="1" w:styleId="Prrafodelista2">
    <w:name w:val="Párrafo de lista2"/>
    <w:basedOn w:val="Normal"/>
    <w:uiPriority w:val="99"/>
    <w:rsid w:val="008920BF"/>
    <w:pPr>
      <w:widowControl/>
      <w:adjustRightInd/>
      <w:spacing w:line="240" w:lineRule="auto"/>
      <w:ind w:left="720"/>
      <w:jc w:val="left"/>
      <w:textAlignment w:val="auto"/>
    </w:pPr>
    <w:rPr>
      <w:rFonts w:eastAsia="MS Mincho"/>
      <w:sz w:val="20"/>
      <w:szCs w:val="20"/>
      <w:lang w:val="es-ES_tradnl" w:eastAsia="en-US" w:bidi="en-US"/>
    </w:rPr>
  </w:style>
  <w:style w:type="character" w:customStyle="1" w:styleId="apple-style-span">
    <w:name w:val="apple-style-span"/>
    <w:rsid w:val="008920BF"/>
    <w:rPr>
      <w:rFonts w:cs="Times New Roman"/>
    </w:rPr>
  </w:style>
  <w:style w:type="character" w:customStyle="1" w:styleId="Listavistosa-nfasis1Car1">
    <w:name w:val="Lista vistosa - Énfasis 1 Car1"/>
    <w:link w:val="Listavistosa-nfasis1"/>
    <w:uiPriority w:val="99"/>
    <w:locked/>
    <w:rsid w:val="008920BF"/>
    <w:rPr>
      <w:rFonts w:ascii="Verdana" w:eastAsia="Times New Roman" w:hAnsi="Verdana"/>
      <w:lang w:val="es-ES_tradnl" w:eastAsia="en-US"/>
    </w:rPr>
  </w:style>
  <w:style w:type="character" w:customStyle="1" w:styleId="column01">
    <w:name w:val="column01"/>
    <w:basedOn w:val="Fuentedeprrafopredeter"/>
    <w:rsid w:val="008920BF"/>
  </w:style>
  <w:style w:type="table" w:customStyle="1" w:styleId="ColorfulList-Accent11">
    <w:name w:val="Colorful List - Accent 11"/>
    <w:basedOn w:val="Tablanormal"/>
    <w:next w:val="Listavistosa-nfasis1"/>
    <w:uiPriority w:val="99"/>
    <w:rsid w:val="008920BF"/>
    <w:pPr>
      <w:spacing w:after="0" w:line="240" w:lineRule="auto"/>
    </w:pPr>
    <w:rPr>
      <w:rFonts w:ascii="Verdana" w:eastAsia="Times New Roman" w:hAnsi="Verdana"/>
      <w:lang w:val="es-ES_tradnl"/>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Sangradetextonormal">
    <w:name w:val="Body Text Indent"/>
    <w:basedOn w:val="Normal"/>
    <w:link w:val="SangradetextonormalCar"/>
    <w:uiPriority w:val="99"/>
    <w:rsid w:val="008920BF"/>
    <w:pPr>
      <w:widowControl/>
      <w:adjustRightInd/>
      <w:spacing w:after="120" w:line="240" w:lineRule="auto"/>
      <w:ind w:left="360"/>
      <w:jc w:val="left"/>
      <w:textAlignment w:val="auto"/>
    </w:pPr>
    <w:rPr>
      <w:rFonts w:ascii="Times New Roman" w:eastAsia="MS Mincho" w:hAnsi="Times New Roman"/>
      <w:lang w:val="es-AR" w:eastAsia="en-US"/>
    </w:rPr>
  </w:style>
  <w:style w:type="character" w:customStyle="1" w:styleId="SangradetextonormalCar">
    <w:name w:val="Sangría de texto normal Car"/>
    <w:basedOn w:val="Fuentedeprrafopredeter"/>
    <w:link w:val="Sangradetextonormal"/>
    <w:uiPriority w:val="99"/>
    <w:rsid w:val="008920BF"/>
    <w:rPr>
      <w:rFonts w:ascii="Times New Roman" w:eastAsia="MS Mincho" w:hAnsi="Times New Roman" w:cs="Times New Roman"/>
      <w:sz w:val="24"/>
      <w:szCs w:val="24"/>
      <w:lang w:val="es-AR"/>
    </w:rPr>
  </w:style>
  <w:style w:type="character" w:customStyle="1" w:styleId="apple-converted-space">
    <w:name w:val="apple-converted-space"/>
    <w:basedOn w:val="Fuentedeprrafopredeter"/>
    <w:rsid w:val="008920BF"/>
  </w:style>
  <w:style w:type="paragraph" w:customStyle="1" w:styleId="CM4">
    <w:name w:val="CM4"/>
    <w:basedOn w:val="Normal"/>
    <w:next w:val="Normal"/>
    <w:uiPriority w:val="99"/>
    <w:rsid w:val="008920BF"/>
    <w:pPr>
      <w:widowControl/>
      <w:autoSpaceDE w:val="0"/>
      <w:autoSpaceDN w:val="0"/>
      <w:spacing w:line="240" w:lineRule="auto"/>
      <w:jc w:val="left"/>
      <w:textAlignment w:val="auto"/>
    </w:pPr>
    <w:rPr>
      <w:rFonts w:ascii="EUAlbertina" w:eastAsia="Calibri" w:hAnsi="EUAlbertina"/>
      <w:lang w:eastAsia="en-US"/>
    </w:rPr>
  </w:style>
  <w:style w:type="paragraph" w:customStyle="1" w:styleId="Default">
    <w:name w:val="Default"/>
    <w:rsid w:val="008920BF"/>
    <w:pPr>
      <w:autoSpaceDE w:val="0"/>
      <w:autoSpaceDN w:val="0"/>
      <w:adjustRightInd w:val="0"/>
      <w:spacing w:after="0" w:line="240" w:lineRule="auto"/>
    </w:pPr>
    <w:rPr>
      <w:rFonts w:ascii="Times New Roman" w:eastAsia="Times New Roman" w:hAnsi="Times New Roman" w:cs="Times New Roman"/>
      <w:color w:val="000000"/>
      <w:sz w:val="24"/>
      <w:szCs w:val="24"/>
      <w:lang w:eastAsia="es-CR"/>
    </w:rPr>
  </w:style>
  <w:style w:type="paragraph" w:styleId="HTMLconformatoprevio">
    <w:name w:val="HTML Preformatted"/>
    <w:basedOn w:val="Normal"/>
    <w:link w:val="HTMLconformatoprevioCar"/>
    <w:uiPriority w:val="99"/>
    <w:unhideWhenUsed/>
    <w:rsid w:val="008920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rsid w:val="008920BF"/>
    <w:rPr>
      <w:rFonts w:ascii="Courier New" w:eastAsia="Times New Roman" w:hAnsi="Courier New" w:cs="Courier New"/>
      <w:sz w:val="20"/>
      <w:szCs w:val="20"/>
      <w:lang w:val="en-US"/>
    </w:rPr>
  </w:style>
  <w:style w:type="character" w:customStyle="1" w:styleId="Heading2Char1">
    <w:name w:val="Heading 2 Char1"/>
    <w:basedOn w:val="Fuentedeprrafopredeter"/>
    <w:uiPriority w:val="9"/>
    <w:semiHidden/>
    <w:rsid w:val="008920BF"/>
    <w:rPr>
      <w:rFonts w:asciiTheme="majorHAnsi" w:eastAsiaTheme="majorEastAsia" w:hAnsiTheme="majorHAnsi" w:cstheme="majorBidi"/>
      <w:b/>
      <w:bCs/>
      <w:color w:val="4F81BD" w:themeColor="accent1"/>
      <w:sz w:val="26"/>
      <w:szCs w:val="26"/>
      <w:lang w:eastAsia="es-CR"/>
    </w:rPr>
  </w:style>
  <w:style w:type="character" w:customStyle="1" w:styleId="Heading4Char1">
    <w:name w:val="Heading 4 Char1"/>
    <w:basedOn w:val="Fuentedeprrafopredeter"/>
    <w:uiPriority w:val="9"/>
    <w:semiHidden/>
    <w:rsid w:val="008920BF"/>
    <w:rPr>
      <w:rFonts w:asciiTheme="majorHAnsi" w:eastAsiaTheme="majorEastAsia" w:hAnsiTheme="majorHAnsi" w:cstheme="majorBidi"/>
      <w:b/>
      <w:bCs/>
      <w:i/>
      <w:iCs/>
      <w:color w:val="4F81BD" w:themeColor="accent1"/>
      <w:sz w:val="24"/>
      <w:szCs w:val="24"/>
      <w:lang w:eastAsia="es-CR"/>
    </w:rPr>
  </w:style>
  <w:style w:type="table" w:styleId="Listavistosa-nfasis1">
    <w:name w:val="Colorful List Accent 1"/>
    <w:basedOn w:val="Tablanormal"/>
    <w:link w:val="Listavistosa-nfasis1Car1"/>
    <w:uiPriority w:val="99"/>
    <w:rsid w:val="008920BF"/>
    <w:pPr>
      <w:spacing w:after="0" w:line="240" w:lineRule="auto"/>
    </w:pPr>
    <w:rPr>
      <w:rFonts w:ascii="Verdana" w:eastAsia="Times New Roman" w:hAnsi="Verdana"/>
      <w:lang w:val="es-ES_tradnl"/>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b8d990e2">
    <w:name w:val="sb8d990e2"/>
    <w:basedOn w:val="Fuentedeprrafopredeter"/>
    <w:rsid w:val="00502B43"/>
  </w:style>
  <w:style w:type="character" w:customStyle="1" w:styleId="s6b621b36">
    <w:name w:val="s6b621b36"/>
    <w:basedOn w:val="Fuentedeprrafopredeter"/>
    <w:rsid w:val="00502B43"/>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502B43"/>
    <w:pPr>
      <w:widowControl/>
      <w:adjustRightInd/>
      <w:spacing w:line="240" w:lineRule="auto"/>
      <w:textAlignment w:val="auto"/>
    </w:pPr>
    <w:rPr>
      <w:rFonts w:asciiTheme="minorHAnsi" w:eastAsiaTheme="minorHAnsi" w:hAnsiTheme="minorHAnsi" w:cstheme="minorBidi"/>
      <w:sz w:val="22"/>
      <w:szCs w:val="22"/>
      <w:vertAlign w:val="superscript"/>
      <w:lang w:eastAsia="en-US"/>
    </w:rPr>
  </w:style>
  <w:style w:type="paragraph" w:customStyle="1" w:styleId="s5891fd46">
    <w:name w:val="s5891fd46"/>
    <w:basedOn w:val="Normal"/>
    <w:rsid w:val="00502B43"/>
    <w:pPr>
      <w:widowControl/>
      <w:adjustRightInd/>
      <w:spacing w:before="100" w:beforeAutospacing="1" w:after="100" w:afterAutospacing="1" w:line="240" w:lineRule="auto"/>
      <w:jc w:val="left"/>
      <w:textAlignment w:val="auto"/>
    </w:pPr>
    <w:rPr>
      <w:rFonts w:ascii="Times New Roman" w:hAnsi="Times New Roman"/>
    </w:rPr>
  </w:style>
  <w:style w:type="character" w:styleId="nfasis">
    <w:name w:val="Emphasis"/>
    <w:uiPriority w:val="20"/>
    <w:qFormat/>
    <w:rsid w:val="00502B43"/>
    <w:rPr>
      <w:b/>
      <w:bCs/>
      <w:i/>
      <w:iCs/>
      <w:spacing w:val="10"/>
      <w:bdr w:val="none" w:sz="0" w:space="0" w:color="auto"/>
      <w:shd w:val="clear" w:color="auto" w:fill="auto"/>
    </w:rPr>
  </w:style>
  <w:style w:type="paragraph" w:styleId="TDC4">
    <w:name w:val="toc 4"/>
    <w:basedOn w:val="Normal"/>
    <w:next w:val="Normal"/>
    <w:autoRedefine/>
    <w:uiPriority w:val="39"/>
    <w:unhideWhenUsed/>
    <w:rsid w:val="00E35E14"/>
    <w:pPr>
      <w:widowControl/>
      <w:adjustRightInd/>
      <w:spacing w:after="100" w:line="276" w:lineRule="auto"/>
      <w:ind w:left="660"/>
      <w:jc w:val="left"/>
      <w:textAlignment w:val="auto"/>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E35E14"/>
    <w:pPr>
      <w:widowControl/>
      <w:adjustRightInd/>
      <w:spacing w:after="100" w:line="276" w:lineRule="auto"/>
      <w:ind w:left="880"/>
      <w:jc w:val="left"/>
      <w:textAlignment w:val="auto"/>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E35E14"/>
    <w:pPr>
      <w:widowControl/>
      <w:adjustRightInd/>
      <w:spacing w:after="100" w:line="276" w:lineRule="auto"/>
      <w:ind w:left="1100"/>
      <w:jc w:val="left"/>
      <w:textAlignment w:val="auto"/>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E35E14"/>
    <w:pPr>
      <w:widowControl/>
      <w:adjustRightInd/>
      <w:spacing w:after="100" w:line="276" w:lineRule="auto"/>
      <w:ind w:left="1320"/>
      <w:jc w:val="left"/>
      <w:textAlignment w:val="auto"/>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E35E14"/>
    <w:pPr>
      <w:widowControl/>
      <w:adjustRightInd/>
      <w:spacing w:after="100" w:line="276" w:lineRule="auto"/>
      <w:ind w:left="1540"/>
      <w:jc w:val="left"/>
      <w:textAlignment w:val="auto"/>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E35E14"/>
    <w:pPr>
      <w:widowControl/>
      <w:adjustRightInd/>
      <w:spacing w:after="100" w:line="276" w:lineRule="auto"/>
      <w:ind w:left="1760"/>
      <w:jc w:val="left"/>
      <w:textAlignment w:val="auto"/>
    </w:pPr>
    <w:rPr>
      <w:rFonts w:asciiTheme="minorHAnsi" w:eastAsiaTheme="minorEastAsia" w:hAnsiTheme="minorHAnsi" w:cstheme="minorBidi"/>
      <w:sz w:val="22"/>
      <w:szCs w:val="22"/>
    </w:rPr>
  </w:style>
  <w:style w:type="paragraph" w:customStyle="1" w:styleId="styletitle2">
    <w:name w:val="styletitle2"/>
    <w:basedOn w:val="Normal"/>
    <w:rsid w:val="00000131"/>
    <w:pPr>
      <w:widowControl/>
      <w:adjustRightInd/>
      <w:spacing w:before="100" w:beforeAutospacing="1" w:after="100" w:afterAutospacing="1" w:line="240" w:lineRule="auto"/>
      <w:jc w:val="left"/>
      <w:textAlignment w:val="auto"/>
    </w:pPr>
    <w:rPr>
      <w:rFonts w:ascii="Times New Roman" w:hAnsi="Times New Roman"/>
    </w:rPr>
  </w:style>
  <w:style w:type="character" w:customStyle="1" w:styleId="PrrafodelistaCar">
    <w:name w:val="Párrafo de lista Car"/>
    <w:aliases w:val="List Paragraph2 Car,Lista vistosa - Énfasis 11 Car,Párrafo de lista1 Car,Footnote Car,List Paragraph1 Car"/>
    <w:basedOn w:val="Fuentedeprrafopredeter"/>
    <w:link w:val="Prrafodelista"/>
    <w:uiPriority w:val="34"/>
    <w:rsid w:val="005624D3"/>
    <w:rPr>
      <w:rFonts w:ascii="Verdana" w:eastAsia="Times New Roman" w:hAnsi="Verdana" w:cs="Times New Roman"/>
      <w:sz w:val="24"/>
      <w:szCs w:val="24"/>
      <w:lang w:eastAsia="es-CR"/>
    </w:rPr>
  </w:style>
  <w:style w:type="character" w:customStyle="1" w:styleId="Hipervnculo1">
    <w:name w:val="Hipervínculo1"/>
    <w:basedOn w:val="Fuentedeprrafopredeter"/>
    <w:uiPriority w:val="99"/>
    <w:unhideWhenUsed/>
    <w:rsid w:val="00D534AF"/>
    <w:rPr>
      <w:color w:val="0000FF"/>
      <w:u w:val="single"/>
    </w:rPr>
  </w:style>
  <w:style w:type="character" w:customStyle="1" w:styleId="Ttulo6Car">
    <w:name w:val="Título 6 Car"/>
    <w:basedOn w:val="Fuentedeprrafopredeter"/>
    <w:link w:val="Ttulo6"/>
    <w:uiPriority w:val="9"/>
    <w:rsid w:val="00E3447E"/>
    <w:rPr>
      <w:rFonts w:ascii="Verdana" w:eastAsia="Times New Roman" w:hAnsi="Verdana" w:cs="Times New Roman"/>
      <w:spacing w:val="-2"/>
      <w:sz w:val="20"/>
      <w:szCs w:val="20"/>
      <w:lang w:val="es-ES_tradnl" w:eastAsia="es-CR"/>
    </w:rPr>
  </w:style>
  <w:style w:type="character" w:customStyle="1" w:styleId="Caracteresdenotafinal">
    <w:name w:val="Caracteres de nota final"/>
    <w:rsid w:val="00E3447E"/>
    <w:rPr>
      <w:vertAlign w:val="superscript"/>
    </w:rPr>
  </w:style>
  <w:style w:type="character" w:customStyle="1" w:styleId="Ttulo5Car">
    <w:name w:val="Título 5 Car"/>
    <w:basedOn w:val="Fuentedeprrafopredeter"/>
    <w:link w:val="Ttulo5"/>
    <w:uiPriority w:val="9"/>
    <w:semiHidden/>
    <w:rsid w:val="00E3447E"/>
    <w:rPr>
      <w:rFonts w:asciiTheme="majorHAnsi" w:eastAsiaTheme="majorEastAsia" w:hAnsiTheme="majorHAnsi" w:cstheme="majorBidi"/>
      <w:color w:val="243F60" w:themeColor="accent1" w:themeShade="7F"/>
      <w:sz w:val="24"/>
      <w:szCs w:val="24"/>
      <w:lang w:eastAsia="es-CR"/>
    </w:rPr>
  </w:style>
  <w:style w:type="character" w:styleId="Nmerodepgina">
    <w:name w:val="page number"/>
    <w:basedOn w:val="Fuentedeprrafopredeter"/>
    <w:uiPriority w:val="99"/>
    <w:semiHidden/>
    <w:unhideWhenUsed/>
    <w:rsid w:val="00011543"/>
  </w:style>
  <w:style w:type="paragraph" w:styleId="Textoindependiente">
    <w:name w:val="Body Text"/>
    <w:basedOn w:val="Normal"/>
    <w:link w:val="TextoindependienteCar"/>
    <w:uiPriority w:val="99"/>
    <w:semiHidden/>
    <w:unhideWhenUsed/>
    <w:rsid w:val="00326672"/>
    <w:pPr>
      <w:spacing w:after="120"/>
    </w:pPr>
  </w:style>
  <w:style w:type="character" w:customStyle="1" w:styleId="TextoindependienteCar">
    <w:name w:val="Texto independiente Car"/>
    <w:basedOn w:val="Fuentedeprrafopredeter"/>
    <w:link w:val="Textoindependiente"/>
    <w:uiPriority w:val="99"/>
    <w:semiHidden/>
    <w:rsid w:val="00326672"/>
    <w:rPr>
      <w:rFonts w:ascii="Verdana" w:eastAsia="Times New Roman" w:hAnsi="Verdana" w:cs="Times New Roman"/>
      <w:sz w:val="24"/>
      <w:szCs w:val="24"/>
      <w:lang w:eastAsia="es-CR"/>
    </w:rPr>
  </w:style>
  <w:style w:type="character" w:customStyle="1" w:styleId="med1">
    <w:name w:val="med1"/>
    <w:basedOn w:val="Fuentedeprrafopredeter"/>
    <w:rsid w:val="000B6F1B"/>
  </w:style>
  <w:style w:type="paragraph" w:styleId="Cita">
    <w:name w:val="Quote"/>
    <w:basedOn w:val="Textoindependiente"/>
    <w:next w:val="Normal"/>
    <w:link w:val="CitaCar"/>
    <w:qFormat/>
    <w:rsid w:val="00AB3F01"/>
    <w:pPr>
      <w:widowControl/>
      <w:adjustRightInd/>
      <w:spacing w:after="0" w:line="240" w:lineRule="auto"/>
      <w:ind w:left="720" w:right="720"/>
      <w:textAlignment w:val="auto"/>
    </w:pPr>
    <w:rPr>
      <w:rFonts w:ascii="Calibri" w:hAnsi="Calibri"/>
      <w:sz w:val="20"/>
      <w:szCs w:val="22"/>
      <w:lang w:val="en-US" w:eastAsia="en-US"/>
    </w:rPr>
  </w:style>
  <w:style w:type="character" w:customStyle="1" w:styleId="CitaCar">
    <w:name w:val="Cita Car"/>
    <w:basedOn w:val="Fuentedeprrafopredeter"/>
    <w:link w:val="Cita"/>
    <w:rsid w:val="00AB3F01"/>
    <w:rPr>
      <w:rFonts w:ascii="Calibri" w:eastAsia="Times New Roman" w:hAnsi="Calibri" w:cs="Times New Roman"/>
      <w:sz w:val="20"/>
      <w:lang w:val="en-US"/>
    </w:rPr>
  </w:style>
  <w:style w:type="character" w:customStyle="1" w:styleId="tagtrans">
    <w:name w:val="tag_trans"/>
    <w:basedOn w:val="Fuentedeprrafopredeter"/>
    <w:rsid w:val="00D5703A"/>
  </w:style>
  <w:style w:type="paragraph" w:customStyle="1" w:styleId="Footnotes">
    <w:name w:val="Footnotes"/>
    <w:basedOn w:val="Textonotapie"/>
    <w:autoRedefine/>
    <w:qFormat/>
    <w:rsid w:val="006C2683"/>
    <w:pPr>
      <w:widowControl/>
      <w:adjustRightInd/>
      <w:spacing w:after="120"/>
      <w:ind w:firstLine="709"/>
      <w:textAlignment w:val="auto"/>
    </w:pPr>
    <w:rPr>
      <w:rFonts w:ascii="Cambria" w:hAnsi="Cambria"/>
      <w:sz w:val="16"/>
      <w:szCs w:val="16"/>
      <w:lang w:val="en-US" w:eastAsia="en-US"/>
    </w:rPr>
  </w:style>
  <w:style w:type="character" w:customStyle="1" w:styleId="e24kjd">
    <w:name w:val="e24kjd"/>
    <w:basedOn w:val="Fuentedeprrafopredeter"/>
    <w:rsid w:val="00D34891"/>
  </w:style>
  <w:style w:type="character" w:customStyle="1" w:styleId="st">
    <w:name w:val="st"/>
    <w:basedOn w:val="Fuentedeprrafopredeter"/>
    <w:rsid w:val="00D34891"/>
  </w:style>
  <w:style w:type="character" w:customStyle="1" w:styleId="highlight">
    <w:name w:val="highlight"/>
    <w:basedOn w:val="Fuentedeprrafopredeter"/>
    <w:rsid w:val="002D490E"/>
  </w:style>
  <w:style w:type="paragraph" w:customStyle="1" w:styleId="ColorfulGrid-Accent11">
    <w:name w:val="Colorful Grid - Accent 11"/>
    <w:basedOn w:val="Textoindependiente"/>
    <w:next w:val="Normal"/>
    <w:link w:val="ColorfulGrid-Accent1Char"/>
    <w:qFormat/>
    <w:rsid w:val="0013307D"/>
    <w:pPr>
      <w:widowControl/>
      <w:adjustRightInd/>
      <w:spacing w:after="0" w:line="240" w:lineRule="auto"/>
      <w:ind w:left="720" w:right="720"/>
      <w:textAlignment w:val="auto"/>
    </w:pPr>
    <w:rPr>
      <w:rFonts w:ascii="Calibri" w:hAnsi="Calibri"/>
      <w:sz w:val="20"/>
      <w:szCs w:val="22"/>
      <w:lang w:val="en-US" w:eastAsia="en-US"/>
    </w:rPr>
  </w:style>
  <w:style w:type="character" w:customStyle="1" w:styleId="ColorfulGrid-Accent1Char">
    <w:name w:val="Colorful Grid - Accent 1 Char"/>
    <w:link w:val="ColorfulGrid-Accent11"/>
    <w:rsid w:val="0013307D"/>
    <w:rPr>
      <w:rFonts w:ascii="Calibri" w:eastAsia="Times New Roman" w:hAnsi="Calibri" w:cs="Times New Roman"/>
      <w:sz w:val="20"/>
      <w:lang w:val="en-US"/>
    </w:rPr>
  </w:style>
  <w:style w:type="character" w:customStyle="1" w:styleId="Mencinsinresolver1">
    <w:name w:val="Mención sin resolver1"/>
    <w:basedOn w:val="Fuentedeprrafopredeter"/>
    <w:uiPriority w:val="99"/>
    <w:semiHidden/>
    <w:unhideWhenUsed/>
    <w:rsid w:val="00377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43350">
      <w:bodyDiv w:val="1"/>
      <w:marLeft w:val="0"/>
      <w:marRight w:val="0"/>
      <w:marTop w:val="0"/>
      <w:marBottom w:val="0"/>
      <w:divBdr>
        <w:top w:val="none" w:sz="0" w:space="0" w:color="auto"/>
        <w:left w:val="none" w:sz="0" w:space="0" w:color="auto"/>
        <w:bottom w:val="none" w:sz="0" w:space="0" w:color="auto"/>
        <w:right w:val="none" w:sz="0" w:space="0" w:color="auto"/>
      </w:divBdr>
    </w:div>
    <w:div w:id="70860996">
      <w:bodyDiv w:val="1"/>
      <w:marLeft w:val="0"/>
      <w:marRight w:val="0"/>
      <w:marTop w:val="0"/>
      <w:marBottom w:val="0"/>
      <w:divBdr>
        <w:top w:val="none" w:sz="0" w:space="0" w:color="auto"/>
        <w:left w:val="none" w:sz="0" w:space="0" w:color="auto"/>
        <w:bottom w:val="none" w:sz="0" w:space="0" w:color="auto"/>
        <w:right w:val="none" w:sz="0" w:space="0" w:color="auto"/>
      </w:divBdr>
    </w:div>
    <w:div w:id="212281300">
      <w:bodyDiv w:val="1"/>
      <w:marLeft w:val="0"/>
      <w:marRight w:val="0"/>
      <w:marTop w:val="0"/>
      <w:marBottom w:val="0"/>
      <w:divBdr>
        <w:top w:val="none" w:sz="0" w:space="0" w:color="auto"/>
        <w:left w:val="none" w:sz="0" w:space="0" w:color="auto"/>
        <w:bottom w:val="none" w:sz="0" w:space="0" w:color="auto"/>
        <w:right w:val="none" w:sz="0" w:space="0" w:color="auto"/>
      </w:divBdr>
    </w:div>
    <w:div w:id="228080537">
      <w:bodyDiv w:val="1"/>
      <w:marLeft w:val="0"/>
      <w:marRight w:val="0"/>
      <w:marTop w:val="0"/>
      <w:marBottom w:val="0"/>
      <w:divBdr>
        <w:top w:val="none" w:sz="0" w:space="0" w:color="auto"/>
        <w:left w:val="none" w:sz="0" w:space="0" w:color="auto"/>
        <w:bottom w:val="none" w:sz="0" w:space="0" w:color="auto"/>
        <w:right w:val="none" w:sz="0" w:space="0" w:color="auto"/>
      </w:divBdr>
    </w:div>
    <w:div w:id="310524029">
      <w:bodyDiv w:val="1"/>
      <w:marLeft w:val="0"/>
      <w:marRight w:val="0"/>
      <w:marTop w:val="0"/>
      <w:marBottom w:val="0"/>
      <w:divBdr>
        <w:top w:val="none" w:sz="0" w:space="0" w:color="auto"/>
        <w:left w:val="none" w:sz="0" w:space="0" w:color="auto"/>
        <w:bottom w:val="none" w:sz="0" w:space="0" w:color="auto"/>
        <w:right w:val="none" w:sz="0" w:space="0" w:color="auto"/>
      </w:divBdr>
    </w:div>
    <w:div w:id="346055597">
      <w:bodyDiv w:val="1"/>
      <w:marLeft w:val="0"/>
      <w:marRight w:val="0"/>
      <w:marTop w:val="0"/>
      <w:marBottom w:val="0"/>
      <w:divBdr>
        <w:top w:val="none" w:sz="0" w:space="0" w:color="auto"/>
        <w:left w:val="none" w:sz="0" w:space="0" w:color="auto"/>
        <w:bottom w:val="none" w:sz="0" w:space="0" w:color="auto"/>
        <w:right w:val="none" w:sz="0" w:space="0" w:color="auto"/>
      </w:divBdr>
      <w:divsChild>
        <w:div w:id="1780489099">
          <w:marLeft w:val="547"/>
          <w:marRight w:val="0"/>
          <w:marTop w:val="125"/>
          <w:marBottom w:val="0"/>
          <w:divBdr>
            <w:top w:val="none" w:sz="0" w:space="0" w:color="auto"/>
            <w:left w:val="none" w:sz="0" w:space="0" w:color="auto"/>
            <w:bottom w:val="none" w:sz="0" w:space="0" w:color="auto"/>
            <w:right w:val="none" w:sz="0" w:space="0" w:color="auto"/>
          </w:divBdr>
        </w:div>
        <w:div w:id="232393733">
          <w:marLeft w:val="547"/>
          <w:marRight w:val="0"/>
          <w:marTop w:val="125"/>
          <w:marBottom w:val="0"/>
          <w:divBdr>
            <w:top w:val="none" w:sz="0" w:space="0" w:color="auto"/>
            <w:left w:val="none" w:sz="0" w:space="0" w:color="auto"/>
            <w:bottom w:val="none" w:sz="0" w:space="0" w:color="auto"/>
            <w:right w:val="none" w:sz="0" w:space="0" w:color="auto"/>
          </w:divBdr>
        </w:div>
      </w:divsChild>
    </w:div>
    <w:div w:id="349140117">
      <w:bodyDiv w:val="1"/>
      <w:marLeft w:val="0"/>
      <w:marRight w:val="0"/>
      <w:marTop w:val="0"/>
      <w:marBottom w:val="0"/>
      <w:divBdr>
        <w:top w:val="none" w:sz="0" w:space="0" w:color="auto"/>
        <w:left w:val="none" w:sz="0" w:space="0" w:color="auto"/>
        <w:bottom w:val="none" w:sz="0" w:space="0" w:color="auto"/>
        <w:right w:val="none" w:sz="0" w:space="0" w:color="auto"/>
      </w:divBdr>
      <w:divsChild>
        <w:div w:id="1429081194">
          <w:marLeft w:val="0"/>
          <w:marRight w:val="0"/>
          <w:marTop w:val="0"/>
          <w:marBottom w:val="0"/>
          <w:divBdr>
            <w:top w:val="none" w:sz="0" w:space="0" w:color="auto"/>
            <w:left w:val="none" w:sz="0" w:space="0" w:color="auto"/>
            <w:bottom w:val="none" w:sz="0" w:space="0" w:color="auto"/>
            <w:right w:val="none" w:sz="0" w:space="0" w:color="auto"/>
          </w:divBdr>
          <w:divsChild>
            <w:div w:id="2021077975">
              <w:marLeft w:val="0"/>
              <w:marRight w:val="60"/>
              <w:marTop w:val="0"/>
              <w:marBottom w:val="0"/>
              <w:divBdr>
                <w:top w:val="none" w:sz="0" w:space="0" w:color="auto"/>
                <w:left w:val="none" w:sz="0" w:space="0" w:color="auto"/>
                <w:bottom w:val="none" w:sz="0" w:space="0" w:color="auto"/>
                <w:right w:val="none" w:sz="0" w:space="0" w:color="auto"/>
              </w:divBdr>
              <w:divsChild>
                <w:div w:id="1169172349">
                  <w:marLeft w:val="0"/>
                  <w:marRight w:val="0"/>
                  <w:marTop w:val="0"/>
                  <w:marBottom w:val="120"/>
                  <w:divBdr>
                    <w:top w:val="single" w:sz="6" w:space="0" w:color="C0C0C0"/>
                    <w:left w:val="single" w:sz="6" w:space="0" w:color="D9D9D9"/>
                    <w:bottom w:val="single" w:sz="6" w:space="0" w:color="D9D9D9"/>
                    <w:right w:val="single" w:sz="6" w:space="0" w:color="D9D9D9"/>
                  </w:divBdr>
                  <w:divsChild>
                    <w:div w:id="10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9240">
          <w:marLeft w:val="0"/>
          <w:marRight w:val="0"/>
          <w:marTop w:val="0"/>
          <w:marBottom w:val="0"/>
          <w:divBdr>
            <w:top w:val="none" w:sz="0" w:space="0" w:color="auto"/>
            <w:left w:val="none" w:sz="0" w:space="0" w:color="auto"/>
            <w:bottom w:val="none" w:sz="0" w:space="0" w:color="auto"/>
            <w:right w:val="none" w:sz="0" w:space="0" w:color="auto"/>
          </w:divBdr>
          <w:divsChild>
            <w:div w:id="9337766">
              <w:marLeft w:val="60"/>
              <w:marRight w:val="0"/>
              <w:marTop w:val="0"/>
              <w:marBottom w:val="0"/>
              <w:divBdr>
                <w:top w:val="none" w:sz="0" w:space="0" w:color="auto"/>
                <w:left w:val="none" w:sz="0" w:space="0" w:color="auto"/>
                <w:bottom w:val="none" w:sz="0" w:space="0" w:color="auto"/>
                <w:right w:val="none" w:sz="0" w:space="0" w:color="auto"/>
              </w:divBdr>
              <w:divsChild>
                <w:div w:id="896430872">
                  <w:marLeft w:val="0"/>
                  <w:marRight w:val="0"/>
                  <w:marTop w:val="0"/>
                  <w:marBottom w:val="0"/>
                  <w:divBdr>
                    <w:top w:val="none" w:sz="0" w:space="0" w:color="auto"/>
                    <w:left w:val="none" w:sz="0" w:space="0" w:color="auto"/>
                    <w:bottom w:val="none" w:sz="0" w:space="0" w:color="auto"/>
                    <w:right w:val="none" w:sz="0" w:space="0" w:color="auto"/>
                  </w:divBdr>
                  <w:divsChild>
                    <w:div w:id="1255674402">
                      <w:marLeft w:val="0"/>
                      <w:marRight w:val="0"/>
                      <w:marTop w:val="0"/>
                      <w:marBottom w:val="120"/>
                      <w:divBdr>
                        <w:top w:val="single" w:sz="6" w:space="0" w:color="F5F5F5"/>
                        <w:left w:val="single" w:sz="6" w:space="0" w:color="F5F5F5"/>
                        <w:bottom w:val="single" w:sz="6" w:space="0" w:color="F5F5F5"/>
                        <w:right w:val="single" w:sz="6" w:space="0" w:color="F5F5F5"/>
                      </w:divBdr>
                      <w:divsChild>
                        <w:div w:id="671491477">
                          <w:marLeft w:val="0"/>
                          <w:marRight w:val="0"/>
                          <w:marTop w:val="0"/>
                          <w:marBottom w:val="0"/>
                          <w:divBdr>
                            <w:top w:val="none" w:sz="0" w:space="0" w:color="auto"/>
                            <w:left w:val="none" w:sz="0" w:space="0" w:color="auto"/>
                            <w:bottom w:val="none" w:sz="0" w:space="0" w:color="auto"/>
                            <w:right w:val="none" w:sz="0" w:space="0" w:color="auto"/>
                          </w:divBdr>
                          <w:divsChild>
                            <w:div w:id="122383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913164">
      <w:bodyDiv w:val="1"/>
      <w:marLeft w:val="0"/>
      <w:marRight w:val="0"/>
      <w:marTop w:val="0"/>
      <w:marBottom w:val="0"/>
      <w:divBdr>
        <w:top w:val="none" w:sz="0" w:space="0" w:color="auto"/>
        <w:left w:val="none" w:sz="0" w:space="0" w:color="auto"/>
        <w:bottom w:val="none" w:sz="0" w:space="0" w:color="auto"/>
        <w:right w:val="none" w:sz="0" w:space="0" w:color="auto"/>
      </w:divBdr>
    </w:div>
    <w:div w:id="747845350">
      <w:bodyDiv w:val="1"/>
      <w:marLeft w:val="0"/>
      <w:marRight w:val="0"/>
      <w:marTop w:val="0"/>
      <w:marBottom w:val="0"/>
      <w:divBdr>
        <w:top w:val="none" w:sz="0" w:space="0" w:color="auto"/>
        <w:left w:val="none" w:sz="0" w:space="0" w:color="auto"/>
        <w:bottom w:val="none" w:sz="0" w:space="0" w:color="auto"/>
        <w:right w:val="none" w:sz="0" w:space="0" w:color="auto"/>
      </w:divBdr>
    </w:div>
    <w:div w:id="755058272">
      <w:bodyDiv w:val="1"/>
      <w:marLeft w:val="0"/>
      <w:marRight w:val="0"/>
      <w:marTop w:val="0"/>
      <w:marBottom w:val="0"/>
      <w:divBdr>
        <w:top w:val="none" w:sz="0" w:space="0" w:color="auto"/>
        <w:left w:val="none" w:sz="0" w:space="0" w:color="auto"/>
        <w:bottom w:val="none" w:sz="0" w:space="0" w:color="auto"/>
        <w:right w:val="none" w:sz="0" w:space="0" w:color="auto"/>
      </w:divBdr>
    </w:div>
    <w:div w:id="781265155">
      <w:bodyDiv w:val="1"/>
      <w:marLeft w:val="0"/>
      <w:marRight w:val="0"/>
      <w:marTop w:val="0"/>
      <w:marBottom w:val="0"/>
      <w:divBdr>
        <w:top w:val="none" w:sz="0" w:space="0" w:color="auto"/>
        <w:left w:val="none" w:sz="0" w:space="0" w:color="auto"/>
        <w:bottom w:val="none" w:sz="0" w:space="0" w:color="auto"/>
        <w:right w:val="none" w:sz="0" w:space="0" w:color="auto"/>
      </w:divBdr>
    </w:div>
    <w:div w:id="871185451">
      <w:bodyDiv w:val="1"/>
      <w:marLeft w:val="0"/>
      <w:marRight w:val="0"/>
      <w:marTop w:val="0"/>
      <w:marBottom w:val="0"/>
      <w:divBdr>
        <w:top w:val="none" w:sz="0" w:space="0" w:color="auto"/>
        <w:left w:val="none" w:sz="0" w:space="0" w:color="auto"/>
        <w:bottom w:val="none" w:sz="0" w:space="0" w:color="auto"/>
        <w:right w:val="none" w:sz="0" w:space="0" w:color="auto"/>
      </w:divBdr>
    </w:div>
    <w:div w:id="980354312">
      <w:bodyDiv w:val="1"/>
      <w:marLeft w:val="0"/>
      <w:marRight w:val="0"/>
      <w:marTop w:val="0"/>
      <w:marBottom w:val="0"/>
      <w:divBdr>
        <w:top w:val="none" w:sz="0" w:space="0" w:color="auto"/>
        <w:left w:val="none" w:sz="0" w:space="0" w:color="auto"/>
        <w:bottom w:val="none" w:sz="0" w:space="0" w:color="auto"/>
        <w:right w:val="none" w:sz="0" w:space="0" w:color="auto"/>
      </w:divBdr>
    </w:div>
    <w:div w:id="1075664695">
      <w:bodyDiv w:val="1"/>
      <w:marLeft w:val="0"/>
      <w:marRight w:val="0"/>
      <w:marTop w:val="0"/>
      <w:marBottom w:val="0"/>
      <w:divBdr>
        <w:top w:val="none" w:sz="0" w:space="0" w:color="auto"/>
        <w:left w:val="none" w:sz="0" w:space="0" w:color="auto"/>
        <w:bottom w:val="none" w:sz="0" w:space="0" w:color="auto"/>
        <w:right w:val="none" w:sz="0" w:space="0" w:color="auto"/>
      </w:divBdr>
    </w:div>
    <w:div w:id="1170753839">
      <w:bodyDiv w:val="1"/>
      <w:marLeft w:val="0"/>
      <w:marRight w:val="0"/>
      <w:marTop w:val="0"/>
      <w:marBottom w:val="0"/>
      <w:divBdr>
        <w:top w:val="none" w:sz="0" w:space="0" w:color="auto"/>
        <w:left w:val="none" w:sz="0" w:space="0" w:color="auto"/>
        <w:bottom w:val="none" w:sz="0" w:space="0" w:color="auto"/>
        <w:right w:val="none" w:sz="0" w:space="0" w:color="auto"/>
      </w:divBdr>
    </w:div>
    <w:div w:id="1187326676">
      <w:bodyDiv w:val="1"/>
      <w:marLeft w:val="0"/>
      <w:marRight w:val="0"/>
      <w:marTop w:val="0"/>
      <w:marBottom w:val="0"/>
      <w:divBdr>
        <w:top w:val="none" w:sz="0" w:space="0" w:color="auto"/>
        <w:left w:val="none" w:sz="0" w:space="0" w:color="auto"/>
        <w:bottom w:val="none" w:sz="0" w:space="0" w:color="auto"/>
        <w:right w:val="none" w:sz="0" w:space="0" w:color="auto"/>
      </w:divBdr>
    </w:div>
    <w:div w:id="1410224755">
      <w:bodyDiv w:val="1"/>
      <w:marLeft w:val="0"/>
      <w:marRight w:val="0"/>
      <w:marTop w:val="0"/>
      <w:marBottom w:val="0"/>
      <w:divBdr>
        <w:top w:val="none" w:sz="0" w:space="0" w:color="auto"/>
        <w:left w:val="none" w:sz="0" w:space="0" w:color="auto"/>
        <w:bottom w:val="none" w:sz="0" w:space="0" w:color="auto"/>
        <w:right w:val="none" w:sz="0" w:space="0" w:color="auto"/>
      </w:divBdr>
    </w:div>
    <w:div w:id="212495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mesecvi/docs/MESECVI-SegundoInformeHemisferico-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C866D-4A54-46CB-9B87-485CCE7D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113</Pages>
  <Words>52901</Words>
  <Characters>290957</Characters>
  <Application>Microsoft Office Word</Application>
  <DocSecurity>0</DocSecurity>
  <Lines>2424</Lines>
  <Paragraphs>686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343172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Francella Hernandez</cp:lastModifiedBy>
  <cp:revision>3</cp:revision>
  <cp:lastPrinted>2020-06-04T21:54:00Z</cp:lastPrinted>
  <dcterms:created xsi:type="dcterms:W3CDTF">2020-06-04T21:54:00Z</dcterms:created>
  <dcterms:modified xsi:type="dcterms:W3CDTF">2020-06-04T21:55:00Z</dcterms:modified>
</cp:coreProperties>
</file>