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90F2" w14:textId="77777777" w:rsidR="001254DE" w:rsidRDefault="001254DE" w:rsidP="00C149D9">
      <w:pPr>
        <w:spacing w:line="240" w:lineRule="auto"/>
        <w:ind w:left="1416" w:hanging="1416"/>
        <w:rPr>
          <w:rFonts w:eastAsia="Calibri" w:cs="Calibri"/>
          <w:bCs/>
          <w:sz w:val="16"/>
          <w:szCs w:val="16"/>
          <w:lang w:val="en-US"/>
        </w:rPr>
      </w:pPr>
    </w:p>
    <w:p w14:paraId="30B86630" w14:textId="77777777" w:rsidR="00B845A5" w:rsidRPr="00C149D9" w:rsidRDefault="00B845A5" w:rsidP="00C149D9">
      <w:pPr>
        <w:spacing w:line="240" w:lineRule="auto"/>
        <w:ind w:left="1416" w:hanging="1416"/>
        <w:rPr>
          <w:rFonts w:eastAsia="Calibri" w:cs="Calibri"/>
          <w:bCs/>
          <w:sz w:val="16"/>
          <w:szCs w:val="16"/>
          <w:lang w:val="en-US"/>
        </w:rPr>
      </w:pPr>
    </w:p>
    <w:p w14:paraId="2D3503D9" w14:textId="77777777" w:rsidR="00AF7CB6" w:rsidRPr="002E2489" w:rsidRDefault="00AF7CB6" w:rsidP="00030E2E">
      <w:pPr>
        <w:spacing w:line="240" w:lineRule="auto"/>
        <w:ind w:left="1416" w:hanging="1416"/>
        <w:rPr>
          <w:rFonts w:eastAsia="Calibri" w:cs="Calibri"/>
          <w:b/>
          <w:sz w:val="20"/>
          <w:szCs w:val="20"/>
          <w:lang w:val="en-US"/>
        </w:rPr>
      </w:pPr>
    </w:p>
    <w:p w14:paraId="65E16F73" w14:textId="77777777" w:rsidR="006C37C9" w:rsidRPr="002E2489" w:rsidRDefault="006C37C9" w:rsidP="006C37C9">
      <w:pPr>
        <w:spacing w:line="240" w:lineRule="auto"/>
        <w:rPr>
          <w:rFonts w:eastAsia="Calibri" w:cs="Calibri"/>
          <w:b/>
          <w:sz w:val="20"/>
          <w:szCs w:val="20"/>
          <w:lang w:val="en-US"/>
        </w:rPr>
      </w:pPr>
    </w:p>
    <w:p w14:paraId="147D83E5" w14:textId="77777777" w:rsidR="006C37C9" w:rsidRPr="002E2489" w:rsidRDefault="006C37C9" w:rsidP="006C37C9">
      <w:pPr>
        <w:spacing w:line="240" w:lineRule="auto"/>
        <w:rPr>
          <w:rFonts w:eastAsia="Calibri" w:cs="Calibri"/>
          <w:b/>
          <w:sz w:val="20"/>
          <w:szCs w:val="20"/>
          <w:lang w:val="en-US"/>
        </w:rPr>
      </w:pPr>
    </w:p>
    <w:p w14:paraId="2E3997FF" w14:textId="77777777" w:rsidR="006C37C9" w:rsidRPr="002E2489" w:rsidRDefault="006C37C9" w:rsidP="006C37C9">
      <w:pPr>
        <w:spacing w:line="240" w:lineRule="auto"/>
        <w:jc w:val="center"/>
        <w:rPr>
          <w:rFonts w:eastAsia="Calibri" w:cs="Calibri"/>
          <w:b/>
          <w:sz w:val="20"/>
          <w:szCs w:val="20"/>
          <w:lang w:val="en-US"/>
        </w:rPr>
      </w:pPr>
    </w:p>
    <w:p w14:paraId="7288E721" w14:textId="77777777" w:rsidR="004808FE" w:rsidRPr="002E2489" w:rsidRDefault="004808FE" w:rsidP="006C37C9">
      <w:pPr>
        <w:spacing w:line="240" w:lineRule="auto"/>
        <w:jc w:val="center"/>
        <w:rPr>
          <w:rFonts w:eastAsia="Calibri" w:cs="Calibri"/>
          <w:b/>
          <w:sz w:val="20"/>
          <w:szCs w:val="20"/>
          <w:lang w:val="en-US"/>
        </w:rPr>
      </w:pPr>
    </w:p>
    <w:p w14:paraId="0917C07F" w14:textId="77777777" w:rsidR="006C37C9" w:rsidRPr="002E2489" w:rsidRDefault="006C37C9" w:rsidP="006C37C9">
      <w:pPr>
        <w:spacing w:line="240" w:lineRule="auto"/>
        <w:jc w:val="center"/>
        <w:rPr>
          <w:rFonts w:eastAsia="Calibri" w:cs="Calibri"/>
          <w:b/>
          <w:sz w:val="20"/>
          <w:szCs w:val="20"/>
          <w:lang w:val="en-US"/>
        </w:rPr>
      </w:pPr>
    </w:p>
    <w:p w14:paraId="6F408400" w14:textId="77777777" w:rsidR="006C37C9" w:rsidRPr="00012C3F" w:rsidRDefault="001254DE" w:rsidP="006C37C9">
      <w:pPr>
        <w:spacing w:line="240" w:lineRule="auto"/>
        <w:jc w:val="center"/>
        <w:rPr>
          <w:rFonts w:eastAsia="Calibri" w:cs="Calibri"/>
          <w:b/>
          <w:sz w:val="20"/>
          <w:szCs w:val="20"/>
          <w:lang w:val="en-US"/>
        </w:rPr>
      </w:pPr>
      <w:r w:rsidRPr="00012C3F">
        <w:rPr>
          <w:rFonts w:eastAsia="Calibri" w:cs="Calibri"/>
          <w:b/>
          <w:sz w:val="20"/>
          <w:szCs w:val="20"/>
          <w:lang w:val="en-US"/>
        </w:rPr>
        <w:t>INTER-AMERICAN COURT OF HUMAN RIGHTS</w:t>
      </w:r>
    </w:p>
    <w:p w14:paraId="1914F93A" w14:textId="77777777" w:rsidR="006C37C9" w:rsidRPr="00012C3F" w:rsidRDefault="006C37C9" w:rsidP="006C37C9">
      <w:pPr>
        <w:tabs>
          <w:tab w:val="left" w:pos="720"/>
        </w:tabs>
        <w:spacing w:line="240" w:lineRule="auto"/>
        <w:jc w:val="center"/>
        <w:rPr>
          <w:rFonts w:eastAsia="Calibri" w:cs="Verdana"/>
          <w:b/>
          <w:bCs/>
          <w:caps/>
          <w:snapToGrid w:val="0"/>
          <w:sz w:val="20"/>
          <w:szCs w:val="20"/>
          <w:lang w:val="en-US" w:eastAsia="es-ES"/>
        </w:rPr>
      </w:pPr>
    </w:p>
    <w:p w14:paraId="54A9D80C" w14:textId="77777777" w:rsidR="006C37C9" w:rsidRPr="00012C3F" w:rsidRDefault="006C37C9" w:rsidP="006C37C9">
      <w:pPr>
        <w:spacing w:line="240" w:lineRule="auto"/>
        <w:jc w:val="center"/>
        <w:rPr>
          <w:rFonts w:eastAsia="Calibri" w:cs="Calibri"/>
          <w:b/>
          <w:sz w:val="20"/>
          <w:szCs w:val="20"/>
          <w:lang w:val="en-US"/>
        </w:rPr>
      </w:pPr>
      <w:r w:rsidRPr="00012C3F">
        <w:rPr>
          <w:rFonts w:eastAsia="Calibri" w:cs="Calibri"/>
          <w:b/>
          <w:sz w:val="20"/>
          <w:szCs w:val="20"/>
          <w:lang w:val="en-US"/>
        </w:rPr>
        <w:t>CAS</w:t>
      </w:r>
      <w:r w:rsidR="00F84CA0" w:rsidRPr="00012C3F">
        <w:rPr>
          <w:rFonts w:eastAsia="Calibri" w:cs="Calibri"/>
          <w:b/>
          <w:sz w:val="20"/>
          <w:szCs w:val="20"/>
          <w:lang w:val="en-US"/>
        </w:rPr>
        <w:t>E OF</w:t>
      </w:r>
      <w:r w:rsidRPr="00012C3F">
        <w:rPr>
          <w:rFonts w:eastAsia="Calibri" w:cs="Calibri"/>
          <w:b/>
          <w:sz w:val="20"/>
          <w:szCs w:val="20"/>
          <w:lang w:val="en-US"/>
        </w:rPr>
        <w:t xml:space="preserve"> </w:t>
      </w:r>
      <w:r w:rsidR="000E1C11" w:rsidRPr="00012C3F">
        <w:rPr>
          <w:rFonts w:eastAsia="Calibri" w:cs="Calibri"/>
          <w:b/>
          <w:sz w:val="20"/>
          <w:szCs w:val="20"/>
          <w:lang w:val="en-US"/>
        </w:rPr>
        <w:t>I.V.</w:t>
      </w:r>
      <w:r w:rsidRPr="00012C3F">
        <w:rPr>
          <w:rStyle w:val="Refdenotaalpie"/>
          <w:rFonts w:eastAsia="Calibri" w:cs="Calibri"/>
          <w:b/>
          <w:sz w:val="20"/>
          <w:szCs w:val="20"/>
          <w:lang w:val="en-US"/>
        </w:rPr>
        <w:footnoteReference w:customMarkFollows="1" w:id="1"/>
        <w:t>*</w:t>
      </w:r>
      <w:r w:rsidRPr="00012C3F">
        <w:rPr>
          <w:rFonts w:eastAsia="Calibri" w:cs="Calibri"/>
          <w:b/>
          <w:sz w:val="20"/>
          <w:szCs w:val="20"/>
          <w:lang w:val="en-US"/>
        </w:rPr>
        <w:t xml:space="preserve"> </w:t>
      </w:r>
      <w:r w:rsidR="000E1C11" w:rsidRPr="00012C3F">
        <w:rPr>
          <w:rFonts w:eastAsia="Calibri" w:cs="Calibri"/>
          <w:b/>
          <w:i/>
          <w:sz w:val="20"/>
          <w:szCs w:val="20"/>
          <w:lang w:val="en-US"/>
        </w:rPr>
        <w:t>v.</w:t>
      </w:r>
      <w:r w:rsidRPr="00012C3F">
        <w:rPr>
          <w:rFonts w:eastAsia="Calibri" w:cs="Calibri"/>
          <w:b/>
          <w:sz w:val="20"/>
          <w:szCs w:val="20"/>
          <w:lang w:val="en-US"/>
        </w:rPr>
        <w:t xml:space="preserve"> BOLIVIA</w:t>
      </w:r>
    </w:p>
    <w:p w14:paraId="12D2241F" w14:textId="77777777" w:rsidR="006C37C9" w:rsidRPr="00012C3F" w:rsidRDefault="006C37C9" w:rsidP="006C37C9">
      <w:pPr>
        <w:tabs>
          <w:tab w:val="left" w:pos="720"/>
        </w:tabs>
        <w:spacing w:line="240" w:lineRule="auto"/>
        <w:jc w:val="center"/>
        <w:rPr>
          <w:rFonts w:eastAsia="Calibri" w:cs="Verdana"/>
          <w:b/>
          <w:bCs/>
          <w:caps/>
          <w:snapToGrid w:val="0"/>
          <w:sz w:val="20"/>
          <w:szCs w:val="20"/>
          <w:lang w:val="en-US" w:eastAsia="es-ES"/>
        </w:rPr>
      </w:pPr>
    </w:p>
    <w:p w14:paraId="22C071FC" w14:textId="77777777" w:rsidR="006C37C9" w:rsidRPr="00012C3F" w:rsidRDefault="001254DE" w:rsidP="006C37C9">
      <w:pPr>
        <w:tabs>
          <w:tab w:val="left" w:pos="720"/>
        </w:tabs>
        <w:spacing w:line="240" w:lineRule="auto"/>
        <w:jc w:val="center"/>
        <w:rPr>
          <w:rFonts w:eastAsia="Calibri" w:cs="Verdana"/>
          <w:b/>
          <w:bCs/>
          <w:snapToGrid w:val="0"/>
          <w:sz w:val="20"/>
          <w:szCs w:val="20"/>
          <w:lang w:val="en-US" w:eastAsia="es-ES"/>
        </w:rPr>
      </w:pPr>
      <w:r w:rsidRPr="00012C3F">
        <w:rPr>
          <w:rFonts w:eastAsia="Calibri" w:cs="Verdana"/>
          <w:b/>
          <w:bCs/>
          <w:snapToGrid w:val="0"/>
          <w:sz w:val="20"/>
          <w:szCs w:val="20"/>
          <w:lang w:val="en-US" w:eastAsia="es-ES"/>
        </w:rPr>
        <w:t>JUDGMENT OF</w:t>
      </w:r>
      <w:r w:rsidR="006C37C9" w:rsidRPr="00012C3F">
        <w:rPr>
          <w:rFonts w:eastAsia="Calibri" w:cs="Verdana"/>
          <w:b/>
          <w:bCs/>
          <w:snapToGrid w:val="0"/>
          <w:sz w:val="20"/>
          <w:szCs w:val="20"/>
          <w:lang w:val="en-US" w:eastAsia="es-ES"/>
        </w:rPr>
        <w:t xml:space="preserve"> </w:t>
      </w:r>
      <w:r w:rsidRPr="00012C3F">
        <w:rPr>
          <w:rFonts w:eastAsia="Calibri" w:cs="Verdana"/>
          <w:b/>
          <w:bCs/>
          <w:snapToGrid w:val="0"/>
          <w:sz w:val="20"/>
          <w:szCs w:val="20"/>
          <w:lang w:val="en-US" w:eastAsia="es-ES"/>
        </w:rPr>
        <w:t>NOVEMBER 30,</w:t>
      </w:r>
      <w:r w:rsidR="006C37C9" w:rsidRPr="00012C3F">
        <w:rPr>
          <w:rFonts w:eastAsia="Calibri" w:cs="Verdana"/>
          <w:b/>
          <w:bCs/>
          <w:snapToGrid w:val="0"/>
          <w:sz w:val="20"/>
          <w:szCs w:val="20"/>
          <w:lang w:val="en-US" w:eastAsia="es-ES"/>
        </w:rPr>
        <w:t xml:space="preserve"> 2016</w:t>
      </w:r>
    </w:p>
    <w:p w14:paraId="4BE19747" w14:textId="77777777" w:rsidR="006C37C9" w:rsidRPr="00012C3F" w:rsidRDefault="006C37C9" w:rsidP="006C37C9">
      <w:pPr>
        <w:tabs>
          <w:tab w:val="left" w:pos="720"/>
        </w:tabs>
        <w:spacing w:line="240" w:lineRule="auto"/>
        <w:jc w:val="center"/>
        <w:rPr>
          <w:rFonts w:eastAsia="Calibri" w:cs="Verdana"/>
          <w:b/>
          <w:bCs/>
          <w:caps/>
          <w:snapToGrid w:val="0"/>
          <w:sz w:val="20"/>
          <w:szCs w:val="20"/>
          <w:lang w:val="en-US" w:eastAsia="es-ES"/>
        </w:rPr>
      </w:pPr>
    </w:p>
    <w:p w14:paraId="28756A9E" w14:textId="77777777" w:rsidR="006C37C9" w:rsidRPr="00012C3F" w:rsidRDefault="006C37C9" w:rsidP="006C37C9">
      <w:pPr>
        <w:tabs>
          <w:tab w:val="left" w:pos="720"/>
        </w:tabs>
        <w:spacing w:line="240" w:lineRule="auto"/>
        <w:jc w:val="center"/>
        <w:rPr>
          <w:rFonts w:eastAsia="Calibri" w:cs="Verdana"/>
          <w:b/>
          <w:bCs/>
          <w:caps/>
          <w:snapToGrid w:val="0"/>
          <w:sz w:val="20"/>
          <w:szCs w:val="20"/>
          <w:lang w:val="en-US" w:eastAsia="es-ES"/>
        </w:rPr>
      </w:pPr>
      <w:r w:rsidRPr="00012C3F">
        <w:rPr>
          <w:rFonts w:eastAsia="Calibri" w:cs="Verdana"/>
          <w:b/>
          <w:bCs/>
          <w:i/>
          <w:iCs/>
          <w:snapToGrid w:val="0"/>
          <w:sz w:val="20"/>
          <w:szCs w:val="20"/>
          <w:lang w:val="en-US" w:eastAsia="es-ES"/>
        </w:rPr>
        <w:t>(</w:t>
      </w:r>
      <w:r w:rsidR="001254DE" w:rsidRPr="00012C3F">
        <w:rPr>
          <w:rFonts w:eastAsia="Calibri" w:cs="Verdana"/>
          <w:b/>
          <w:bCs/>
          <w:i/>
          <w:iCs/>
          <w:snapToGrid w:val="0"/>
          <w:sz w:val="20"/>
          <w:szCs w:val="20"/>
          <w:lang w:val="en-US" w:eastAsia="es-ES"/>
        </w:rPr>
        <w:t>Preliminary objections, merits, reparations and costs</w:t>
      </w:r>
      <w:r w:rsidRPr="00012C3F">
        <w:rPr>
          <w:rFonts w:eastAsia="Calibri" w:cs="Verdana"/>
          <w:b/>
          <w:bCs/>
          <w:i/>
          <w:iCs/>
          <w:snapToGrid w:val="0"/>
          <w:sz w:val="20"/>
          <w:szCs w:val="20"/>
          <w:lang w:val="en-US" w:eastAsia="es-ES"/>
        </w:rPr>
        <w:t>)</w:t>
      </w:r>
    </w:p>
    <w:p w14:paraId="3B87F17C" w14:textId="77777777" w:rsidR="006C37C9" w:rsidRPr="00012C3F" w:rsidRDefault="006C37C9" w:rsidP="006C37C9">
      <w:pPr>
        <w:spacing w:before="4" w:line="280" w:lineRule="exact"/>
        <w:rPr>
          <w:rFonts w:ascii="Calibri" w:eastAsia="Calibri" w:hAnsi="Calibri"/>
          <w:sz w:val="28"/>
          <w:szCs w:val="28"/>
          <w:lang w:val="en-US"/>
        </w:rPr>
      </w:pPr>
    </w:p>
    <w:p w14:paraId="694803D3" w14:textId="77777777" w:rsidR="006C37C9" w:rsidRPr="00012C3F" w:rsidRDefault="006C37C9" w:rsidP="006C37C9">
      <w:pPr>
        <w:spacing w:before="4" w:line="280" w:lineRule="exact"/>
        <w:rPr>
          <w:rFonts w:ascii="Calibri" w:eastAsia="Calibri" w:hAnsi="Calibri"/>
          <w:sz w:val="28"/>
          <w:szCs w:val="28"/>
          <w:lang w:val="en-US"/>
        </w:rPr>
      </w:pPr>
    </w:p>
    <w:p w14:paraId="0AC7B76F" w14:textId="77777777" w:rsidR="001254DE" w:rsidRPr="00012C3F" w:rsidRDefault="001254DE" w:rsidP="006C37C9">
      <w:pPr>
        <w:spacing w:before="4" w:line="280" w:lineRule="exact"/>
        <w:rPr>
          <w:rFonts w:ascii="Calibri" w:eastAsia="Calibri" w:hAnsi="Calibri"/>
          <w:sz w:val="28"/>
          <w:szCs w:val="28"/>
          <w:lang w:val="en-US"/>
        </w:rPr>
      </w:pPr>
    </w:p>
    <w:p w14:paraId="2AD4C184" w14:textId="77777777" w:rsidR="006C37C9" w:rsidRPr="00012C3F" w:rsidRDefault="006C37C9" w:rsidP="006C37C9">
      <w:pPr>
        <w:spacing w:before="4" w:line="280" w:lineRule="exact"/>
        <w:rPr>
          <w:rFonts w:ascii="Calibri" w:eastAsia="Calibri" w:hAnsi="Calibri"/>
          <w:sz w:val="28"/>
          <w:szCs w:val="28"/>
          <w:lang w:val="en-US"/>
        </w:rPr>
      </w:pPr>
    </w:p>
    <w:p w14:paraId="3F10B487" w14:textId="77777777" w:rsidR="006C37C9" w:rsidRPr="00012C3F" w:rsidRDefault="006C37C9" w:rsidP="006C37C9">
      <w:pPr>
        <w:spacing w:before="4" w:line="280" w:lineRule="exact"/>
        <w:rPr>
          <w:rFonts w:ascii="Calibri" w:eastAsia="Calibri" w:hAnsi="Calibri"/>
          <w:sz w:val="28"/>
          <w:szCs w:val="28"/>
          <w:lang w:val="en-US"/>
        </w:rPr>
      </w:pPr>
    </w:p>
    <w:p w14:paraId="7EEA7522" w14:textId="77777777" w:rsidR="006C37C9" w:rsidRPr="00012C3F" w:rsidRDefault="001254DE" w:rsidP="006C37C9">
      <w:pPr>
        <w:tabs>
          <w:tab w:val="left" w:pos="720"/>
        </w:tabs>
        <w:spacing w:line="240" w:lineRule="auto"/>
        <w:rPr>
          <w:rFonts w:eastAsia="Verdana" w:cs="Verdana"/>
          <w:sz w:val="20"/>
          <w:szCs w:val="20"/>
          <w:lang w:val="en-US"/>
        </w:rPr>
      </w:pPr>
      <w:r w:rsidRPr="00012C3F">
        <w:rPr>
          <w:rFonts w:eastAsia="Verdana" w:cs="Verdana"/>
          <w:sz w:val="20"/>
          <w:szCs w:val="20"/>
          <w:lang w:val="en-US"/>
        </w:rPr>
        <w:t>In the case of</w:t>
      </w:r>
      <w:r w:rsidR="006C37C9" w:rsidRPr="00012C3F">
        <w:rPr>
          <w:rFonts w:eastAsia="Verdana" w:cs="Verdana"/>
          <w:sz w:val="20"/>
          <w:szCs w:val="20"/>
          <w:lang w:val="en-US"/>
        </w:rPr>
        <w:t xml:space="preserve"> </w:t>
      </w:r>
      <w:r w:rsidR="000E1C11" w:rsidRPr="00012C3F">
        <w:rPr>
          <w:rFonts w:eastAsia="Verdana" w:cs="Verdana"/>
          <w:i/>
          <w:sz w:val="20"/>
          <w:szCs w:val="20"/>
          <w:lang w:val="en-US"/>
        </w:rPr>
        <w:t>I.V.</w:t>
      </w:r>
      <w:r w:rsidR="006C37C9" w:rsidRPr="00012C3F">
        <w:rPr>
          <w:rFonts w:eastAsia="Verdana" w:cs="Verdana"/>
          <w:sz w:val="20"/>
          <w:szCs w:val="20"/>
          <w:lang w:val="en-US"/>
        </w:rPr>
        <w:t>,</w:t>
      </w:r>
    </w:p>
    <w:p w14:paraId="039C8E3E" w14:textId="77777777" w:rsidR="006C37C9" w:rsidRPr="00012C3F" w:rsidRDefault="006C37C9" w:rsidP="006C37C9">
      <w:pPr>
        <w:spacing w:before="4" w:line="240" w:lineRule="exact"/>
        <w:rPr>
          <w:rFonts w:ascii="Calibri" w:eastAsia="Calibri" w:hAnsi="Calibri"/>
          <w:lang w:val="en-US"/>
        </w:rPr>
      </w:pPr>
    </w:p>
    <w:p w14:paraId="2809A1CA" w14:textId="77777777" w:rsidR="006C37C9" w:rsidRPr="00012C3F" w:rsidRDefault="001254DE"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the Inter-American Court of Human Rights</w:t>
      </w:r>
      <w:r w:rsidR="006C37C9" w:rsidRPr="00012C3F">
        <w:rPr>
          <w:rFonts w:eastAsia="Calibri" w:cs="Verdana"/>
          <w:sz w:val="20"/>
          <w:szCs w:val="20"/>
          <w:lang w:val="en-US"/>
        </w:rPr>
        <w:t xml:space="preserve"> (</w:t>
      </w:r>
      <w:r w:rsidRPr="00012C3F">
        <w:rPr>
          <w:rFonts w:eastAsia="Calibri" w:cs="Verdana"/>
          <w:sz w:val="20"/>
          <w:szCs w:val="20"/>
          <w:lang w:val="en-US"/>
        </w:rPr>
        <w:t>hereinafter</w:t>
      </w:r>
      <w:r w:rsidR="006C37C9" w:rsidRPr="00012C3F">
        <w:rPr>
          <w:rFonts w:eastAsia="Calibri" w:cs="Verdana"/>
          <w:sz w:val="20"/>
          <w:szCs w:val="20"/>
          <w:lang w:val="en-US"/>
        </w:rPr>
        <w:t xml:space="preserve"> “</w:t>
      </w:r>
      <w:r w:rsidRPr="00012C3F">
        <w:rPr>
          <w:rFonts w:eastAsia="Calibri" w:cs="Verdana"/>
          <w:sz w:val="20"/>
          <w:szCs w:val="20"/>
          <w:lang w:val="en-US"/>
        </w:rPr>
        <w:t>the Inter-American Court</w:t>
      </w:r>
      <w:r w:rsidR="006C37C9" w:rsidRPr="00012C3F">
        <w:rPr>
          <w:rFonts w:eastAsia="Calibri" w:cs="Verdana"/>
          <w:sz w:val="20"/>
          <w:szCs w:val="20"/>
          <w:lang w:val="en-US"/>
        </w:rPr>
        <w:t>”</w:t>
      </w:r>
      <w:r w:rsidRPr="00012C3F">
        <w:rPr>
          <w:rFonts w:eastAsia="Calibri" w:cs="Verdana"/>
          <w:sz w:val="20"/>
          <w:szCs w:val="20"/>
          <w:lang w:val="en-US"/>
        </w:rPr>
        <w:t xml:space="preserve"> or</w:t>
      </w:r>
      <w:r w:rsidR="006C37C9" w:rsidRPr="00012C3F">
        <w:rPr>
          <w:rFonts w:eastAsia="Calibri" w:cs="Verdana"/>
          <w:sz w:val="20"/>
          <w:szCs w:val="20"/>
          <w:lang w:val="en-US"/>
        </w:rPr>
        <w:t xml:space="preserve"> “</w:t>
      </w:r>
      <w:r w:rsidRPr="00012C3F">
        <w:rPr>
          <w:rFonts w:eastAsia="Calibri" w:cs="Verdana"/>
          <w:sz w:val="20"/>
          <w:szCs w:val="20"/>
          <w:lang w:val="en-US"/>
        </w:rPr>
        <w:t>the Court</w:t>
      </w:r>
      <w:r w:rsidR="006C37C9" w:rsidRPr="00012C3F">
        <w:rPr>
          <w:rFonts w:eastAsia="Calibri" w:cs="Verdana"/>
          <w:sz w:val="20"/>
          <w:szCs w:val="20"/>
          <w:lang w:val="en-US"/>
        </w:rPr>
        <w:t>”</w:t>
      </w:r>
      <w:r w:rsidRPr="00012C3F">
        <w:rPr>
          <w:rFonts w:eastAsia="Calibri" w:cs="Verdana"/>
          <w:sz w:val="20"/>
          <w:szCs w:val="20"/>
          <w:lang w:val="en-US"/>
        </w:rPr>
        <w:t>) composed of the following judges:</w:t>
      </w:r>
    </w:p>
    <w:p w14:paraId="14907DE1" w14:textId="77777777" w:rsidR="001254DE" w:rsidRPr="00012C3F" w:rsidRDefault="001254DE" w:rsidP="006C37C9">
      <w:pPr>
        <w:tabs>
          <w:tab w:val="left" w:pos="720"/>
        </w:tabs>
        <w:spacing w:line="240" w:lineRule="auto"/>
        <w:rPr>
          <w:rFonts w:eastAsia="Calibri" w:cs="Verdana"/>
          <w:sz w:val="20"/>
          <w:szCs w:val="20"/>
          <w:lang w:val="en-US"/>
        </w:rPr>
      </w:pPr>
    </w:p>
    <w:p w14:paraId="0639DCC2"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Roberto F. Caldas, </w:t>
      </w:r>
      <w:r w:rsidR="001254DE" w:rsidRPr="00012C3F">
        <w:rPr>
          <w:rFonts w:eastAsia="Calibri" w:cs="Verdana"/>
          <w:sz w:val="20"/>
          <w:szCs w:val="20"/>
          <w:lang w:val="en-US"/>
        </w:rPr>
        <w:t>President</w:t>
      </w:r>
    </w:p>
    <w:p w14:paraId="74D6C4E8"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Eduardo Ferrer Mac-Gregor Poisot, Vice</w:t>
      </w:r>
      <w:r w:rsidR="001254DE" w:rsidRPr="00012C3F">
        <w:rPr>
          <w:rFonts w:eastAsia="Calibri" w:cs="Verdana"/>
          <w:sz w:val="20"/>
          <w:szCs w:val="20"/>
          <w:lang w:val="en-US"/>
        </w:rPr>
        <w:t xml:space="preserve"> President</w:t>
      </w:r>
    </w:p>
    <w:p w14:paraId="6E4CEE97"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Eduardo Vio Grossi, </w:t>
      </w:r>
      <w:r w:rsidR="001254DE" w:rsidRPr="00012C3F">
        <w:rPr>
          <w:rFonts w:eastAsia="Calibri" w:cs="Verdana"/>
          <w:sz w:val="20"/>
          <w:szCs w:val="20"/>
          <w:lang w:val="en-US"/>
        </w:rPr>
        <w:t>Judge</w:t>
      </w:r>
    </w:p>
    <w:p w14:paraId="186A0FDE"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Humberto Antonio Sierra Porto, </w:t>
      </w:r>
      <w:r w:rsidR="001254DE" w:rsidRPr="00012C3F">
        <w:rPr>
          <w:rFonts w:eastAsia="Calibri" w:cs="Verdana"/>
          <w:sz w:val="20"/>
          <w:szCs w:val="20"/>
          <w:lang w:val="en-US"/>
        </w:rPr>
        <w:t>Judge</w:t>
      </w:r>
    </w:p>
    <w:p w14:paraId="37EF789D"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Elizabeth Odio Benito, </w:t>
      </w:r>
      <w:r w:rsidR="001254DE" w:rsidRPr="00012C3F">
        <w:rPr>
          <w:rFonts w:eastAsia="Calibri" w:cs="Verdana"/>
          <w:sz w:val="20"/>
          <w:szCs w:val="20"/>
          <w:lang w:val="en-US"/>
        </w:rPr>
        <w:t>Judge</w:t>
      </w:r>
    </w:p>
    <w:p w14:paraId="78F2E504"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Eugenio Raúl Zaffaroni, </w:t>
      </w:r>
      <w:r w:rsidR="001254DE" w:rsidRPr="00012C3F">
        <w:rPr>
          <w:rFonts w:eastAsia="Calibri" w:cs="Verdana"/>
          <w:sz w:val="20"/>
          <w:szCs w:val="20"/>
          <w:lang w:val="en-US"/>
        </w:rPr>
        <w:t>Judge</w:t>
      </w:r>
      <w:r w:rsidRPr="00012C3F">
        <w:rPr>
          <w:rFonts w:eastAsia="Calibri" w:cs="Verdana"/>
          <w:sz w:val="20"/>
          <w:szCs w:val="20"/>
          <w:lang w:val="en-US"/>
        </w:rPr>
        <w:t xml:space="preserve">, </w:t>
      </w:r>
      <w:r w:rsidR="001254DE" w:rsidRPr="00012C3F">
        <w:rPr>
          <w:rFonts w:eastAsia="Calibri" w:cs="Verdana"/>
          <w:sz w:val="20"/>
          <w:szCs w:val="20"/>
          <w:lang w:val="en-US"/>
        </w:rPr>
        <w:t>and</w:t>
      </w:r>
    </w:p>
    <w:p w14:paraId="1948BD52"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L. Patricio Pazmiño Freire, </w:t>
      </w:r>
      <w:r w:rsidR="001254DE" w:rsidRPr="00012C3F">
        <w:rPr>
          <w:rFonts w:eastAsia="Calibri" w:cs="Verdana"/>
          <w:sz w:val="20"/>
          <w:szCs w:val="20"/>
          <w:lang w:val="en-US"/>
        </w:rPr>
        <w:t>Judge</w:t>
      </w:r>
      <w:r w:rsidRPr="00012C3F">
        <w:rPr>
          <w:rFonts w:eastAsia="Calibri" w:cs="Verdana"/>
          <w:sz w:val="20"/>
          <w:szCs w:val="20"/>
          <w:lang w:val="en-US"/>
        </w:rPr>
        <w:t>;</w:t>
      </w:r>
    </w:p>
    <w:p w14:paraId="1693B7CD" w14:textId="77777777" w:rsidR="006C37C9" w:rsidRPr="00012C3F" w:rsidRDefault="006C37C9" w:rsidP="006C37C9">
      <w:pPr>
        <w:tabs>
          <w:tab w:val="left" w:pos="720"/>
        </w:tabs>
        <w:spacing w:line="240" w:lineRule="auto"/>
        <w:rPr>
          <w:rFonts w:eastAsia="Calibri" w:cs="Verdana"/>
          <w:sz w:val="20"/>
          <w:szCs w:val="20"/>
          <w:lang w:val="en-US"/>
        </w:rPr>
      </w:pPr>
    </w:p>
    <w:p w14:paraId="3BFEF21D" w14:textId="77777777" w:rsidR="006C37C9" w:rsidRPr="00012C3F" w:rsidRDefault="001254DE"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also present</w:t>
      </w:r>
      <w:r w:rsidR="006C37C9" w:rsidRPr="00012C3F">
        <w:rPr>
          <w:rFonts w:eastAsia="Calibri" w:cs="Verdana"/>
          <w:sz w:val="20"/>
          <w:szCs w:val="20"/>
          <w:lang w:val="en-US"/>
        </w:rPr>
        <w:t>,</w:t>
      </w:r>
    </w:p>
    <w:p w14:paraId="3E9B16AE" w14:textId="77777777" w:rsidR="006C37C9" w:rsidRPr="00012C3F" w:rsidRDefault="006C37C9" w:rsidP="006C37C9">
      <w:pPr>
        <w:tabs>
          <w:tab w:val="left" w:pos="720"/>
        </w:tabs>
        <w:spacing w:line="240" w:lineRule="auto"/>
        <w:rPr>
          <w:rFonts w:eastAsia="Calibri" w:cs="Verdana"/>
          <w:sz w:val="20"/>
          <w:szCs w:val="20"/>
          <w:lang w:val="en-US"/>
        </w:rPr>
      </w:pPr>
    </w:p>
    <w:p w14:paraId="5EC1EA60"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 xml:space="preserve">Pablo Saavedra Alessandri, </w:t>
      </w:r>
      <w:r w:rsidR="001254DE" w:rsidRPr="00012C3F">
        <w:rPr>
          <w:rFonts w:eastAsia="Calibri" w:cs="Verdana"/>
          <w:sz w:val="20"/>
          <w:szCs w:val="20"/>
          <w:lang w:val="en-US"/>
        </w:rPr>
        <w:t>Secretary</w:t>
      </w:r>
      <w:r w:rsidRPr="00012C3F">
        <w:rPr>
          <w:rFonts w:eastAsia="Calibri" w:cs="Verdana"/>
          <w:sz w:val="20"/>
          <w:szCs w:val="20"/>
          <w:lang w:val="en-US"/>
        </w:rPr>
        <w:t xml:space="preserve">, </w:t>
      </w:r>
      <w:r w:rsidR="001254DE" w:rsidRPr="00012C3F">
        <w:rPr>
          <w:rFonts w:eastAsia="Calibri" w:cs="Verdana"/>
          <w:sz w:val="20"/>
          <w:szCs w:val="20"/>
          <w:lang w:val="en-US"/>
        </w:rPr>
        <w:t>and</w:t>
      </w:r>
    </w:p>
    <w:p w14:paraId="5049448F" w14:textId="77777777" w:rsidR="006C37C9" w:rsidRPr="00012C3F" w:rsidRDefault="006C37C9" w:rsidP="006C37C9">
      <w:pPr>
        <w:tabs>
          <w:tab w:val="left" w:pos="720"/>
        </w:tabs>
        <w:spacing w:line="240" w:lineRule="auto"/>
        <w:rPr>
          <w:rFonts w:eastAsia="Calibri" w:cs="Verdana"/>
          <w:sz w:val="20"/>
          <w:szCs w:val="20"/>
          <w:lang w:val="en-US"/>
        </w:rPr>
      </w:pPr>
      <w:r w:rsidRPr="00012C3F">
        <w:rPr>
          <w:rFonts w:eastAsia="Calibri" w:cs="Verdana"/>
          <w:sz w:val="20"/>
          <w:szCs w:val="20"/>
          <w:lang w:val="en-US" w:eastAsia="es-MX"/>
        </w:rPr>
        <w:t xml:space="preserve">Emilia Segares Rodríguez, </w:t>
      </w:r>
      <w:r w:rsidR="001254DE" w:rsidRPr="00012C3F">
        <w:rPr>
          <w:rFonts w:eastAsia="Calibri" w:cs="Verdana"/>
          <w:sz w:val="20"/>
          <w:szCs w:val="20"/>
          <w:lang w:val="en-US" w:eastAsia="es-MX"/>
        </w:rPr>
        <w:t>Deputy Secretary</w:t>
      </w:r>
      <w:r w:rsidRPr="00012C3F">
        <w:rPr>
          <w:rFonts w:eastAsia="Calibri" w:cs="Verdana"/>
          <w:sz w:val="20"/>
          <w:szCs w:val="20"/>
          <w:lang w:val="en-US" w:eastAsia="es-MX"/>
        </w:rPr>
        <w:t>,</w:t>
      </w:r>
    </w:p>
    <w:p w14:paraId="25D7FA11" w14:textId="77777777" w:rsidR="006C37C9" w:rsidRPr="00012C3F" w:rsidRDefault="006C37C9" w:rsidP="006C37C9">
      <w:pPr>
        <w:tabs>
          <w:tab w:val="left" w:pos="720"/>
        </w:tabs>
        <w:spacing w:line="240" w:lineRule="auto"/>
        <w:rPr>
          <w:rFonts w:eastAsia="Calibri" w:cs="Verdana"/>
          <w:sz w:val="20"/>
          <w:szCs w:val="20"/>
          <w:lang w:val="en-US"/>
        </w:rPr>
      </w:pPr>
    </w:p>
    <w:p w14:paraId="69A12907" w14:textId="77777777" w:rsidR="006C37C9" w:rsidRPr="00012C3F" w:rsidRDefault="001254DE" w:rsidP="006C37C9">
      <w:pPr>
        <w:tabs>
          <w:tab w:val="left" w:pos="720"/>
        </w:tabs>
        <w:spacing w:line="240" w:lineRule="auto"/>
        <w:rPr>
          <w:rFonts w:eastAsia="Calibri" w:cs="Verdana"/>
          <w:sz w:val="20"/>
          <w:szCs w:val="20"/>
          <w:lang w:val="en-US"/>
        </w:rPr>
      </w:pPr>
      <w:r w:rsidRPr="00012C3F">
        <w:rPr>
          <w:rFonts w:eastAsia="Calibri" w:cs="Verdana"/>
          <w:sz w:val="20"/>
          <w:szCs w:val="20"/>
          <w:lang w:val="en-US"/>
        </w:rPr>
        <w:t>pursuant to</w:t>
      </w:r>
      <w:r w:rsidR="006C37C9" w:rsidRPr="00012C3F">
        <w:rPr>
          <w:rFonts w:eastAsia="Calibri" w:cs="Verdana"/>
          <w:sz w:val="20"/>
          <w:szCs w:val="20"/>
          <w:lang w:val="en-US"/>
        </w:rPr>
        <w:t xml:space="preserve"> </w:t>
      </w:r>
      <w:r w:rsidRPr="00012C3F">
        <w:rPr>
          <w:rFonts w:eastAsia="Calibri" w:cs="Verdana"/>
          <w:sz w:val="20"/>
          <w:szCs w:val="20"/>
          <w:lang w:val="en-US"/>
        </w:rPr>
        <w:t>Articles</w:t>
      </w:r>
      <w:r w:rsidR="006C37C9" w:rsidRPr="00012C3F">
        <w:rPr>
          <w:rFonts w:eastAsia="Calibri" w:cs="Verdana"/>
          <w:sz w:val="20"/>
          <w:szCs w:val="20"/>
          <w:lang w:val="en-US"/>
        </w:rPr>
        <w:t xml:space="preserve"> </w:t>
      </w:r>
      <w:r w:rsidRPr="00012C3F">
        <w:rPr>
          <w:rFonts w:eastAsia="Calibri" w:cs="Verdana"/>
          <w:sz w:val="20"/>
          <w:szCs w:val="20"/>
          <w:lang w:val="en-US"/>
        </w:rPr>
        <w:t>62(3)</w:t>
      </w:r>
      <w:r w:rsidR="006C37C9" w:rsidRPr="00012C3F">
        <w:rPr>
          <w:rFonts w:eastAsia="Calibri" w:cs="Verdana"/>
          <w:sz w:val="20"/>
          <w:szCs w:val="20"/>
          <w:lang w:val="en-US"/>
        </w:rPr>
        <w:t xml:space="preserve"> </w:t>
      </w:r>
      <w:r w:rsidRPr="00012C3F">
        <w:rPr>
          <w:rFonts w:eastAsia="Calibri" w:cs="Verdana"/>
          <w:sz w:val="20"/>
          <w:szCs w:val="20"/>
          <w:lang w:val="en-US"/>
        </w:rPr>
        <w:t>and</w:t>
      </w:r>
      <w:r w:rsidR="006C37C9" w:rsidRPr="00012C3F">
        <w:rPr>
          <w:rFonts w:eastAsia="Calibri" w:cs="Verdana"/>
          <w:sz w:val="20"/>
          <w:szCs w:val="20"/>
          <w:lang w:val="en-US"/>
        </w:rPr>
        <w:t xml:space="preserve"> </w:t>
      </w:r>
      <w:r w:rsidRPr="00012C3F">
        <w:rPr>
          <w:rFonts w:eastAsia="Calibri" w:cs="Verdana"/>
          <w:sz w:val="20"/>
          <w:szCs w:val="20"/>
          <w:lang w:val="en-US"/>
        </w:rPr>
        <w:t>63(1) of the American Convention on Human Rights</w:t>
      </w:r>
      <w:r w:rsidR="006C37C9" w:rsidRPr="00012C3F">
        <w:rPr>
          <w:rFonts w:eastAsia="Calibri" w:cs="Verdana"/>
          <w:sz w:val="20"/>
          <w:szCs w:val="20"/>
          <w:lang w:val="en-US"/>
        </w:rPr>
        <w:t xml:space="preserve"> (</w:t>
      </w:r>
      <w:r w:rsidRPr="00012C3F">
        <w:rPr>
          <w:rFonts w:eastAsia="Calibri" w:cs="Verdana"/>
          <w:sz w:val="20"/>
          <w:szCs w:val="20"/>
          <w:lang w:val="en-US"/>
        </w:rPr>
        <w:t>hereinafter</w:t>
      </w:r>
      <w:r w:rsidR="006C37C9" w:rsidRPr="00012C3F">
        <w:rPr>
          <w:rFonts w:eastAsia="Calibri" w:cs="Verdana"/>
          <w:sz w:val="20"/>
          <w:szCs w:val="20"/>
          <w:lang w:val="en-US"/>
        </w:rPr>
        <w:t xml:space="preserve"> “</w:t>
      </w:r>
      <w:r w:rsidRPr="00012C3F">
        <w:rPr>
          <w:rFonts w:eastAsia="Calibri" w:cs="Verdana"/>
          <w:sz w:val="20"/>
          <w:szCs w:val="20"/>
          <w:lang w:val="en-US"/>
        </w:rPr>
        <w:t>the American Convention</w:t>
      </w:r>
      <w:r w:rsidR="006C37C9" w:rsidRPr="00012C3F">
        <w:rPr>
          <w:rFonts w:eastAsia="Calibri" w:cs="Verdana"/>
          <w:sz w:val="20"/>
          <w:szCs w:val="20"/>
          <w:lang w:val="en-US"/>
        </w:rPr>
        <w:t>” o</w:t>
      </w:r>
      <w:r w:rsidRPr="00012C3F">
        <w:rPr>
          <w:rFonts w:eastAsia="Calibri" w:cs="Verdana"/>
          <w:sz w:val="20"/>
          <w:szCs w:val="20"/>
          <w:lang w:val="en-US"/>
        </w:rPr>
        <w:t>r</w:t>
      </w:r>
      <w:r w:rsidR="006C37C9" w:rsidRPr="00012C3F">
        <w:rPr>
          <w:rFonts w:eastAsia="Calibri" w:cs="Verdana"/>
          <w:sz w:val="20"/>
          <w:szCs w:val="20"/>
          <w:lang w:val="en-US"/>
        </w:rPr>
        <w:t xml:space="preserve"> “</w:t>
      </w:r>
      <w:r w:rsidRPr="00012C3F">
        <w:rPr>
          <w:rFonts w:eastAsia="Calibri" w:cs="Verdana"/>
          <w:sz w:val="20"/>
          <w:szCs w:val="20"/>
          <w:lang w:val="en-US"/>
        </w:rPr>
        <w:t>the Convention</w:t>
      </w:r>
      <w:r w:rsidR="006C37C9" w:rsidRPr="00012C3F">
        <w:rPr>
          <w:rFonts w:eastAsia="Calibri" w:cs="Verdana"/>
          <w:sz w:val="20"/>
          <w:szCs w:val="20"/>
          <w:lang w:val="en-US"/>
        </w:rPr>
        <w:t xml:space="preserve">”) </w:t>
      </w:r>
      <w:r w:rsidRPr="00012C3F">
        <w:rPr>
          <w:rFonts w:eastAsia="Calibri" w:cs="Verdana"/>
          <w:sz w:val="20"/>
          <w:szCs w:val="20"/>
          <w:lang w:val="en-US"/>
        </w:rPr>
        <w:t>and</w:t>
      </w:r>
      <w:r w:rsidR="006C37C9" w:rsidRPr="00012C3F">
        <w:rPr>
          <w:rFonts w:eastAsia="Calibri" w:cs="Verdana"/>
          <w:sz w:val="20"/>
          <w:szCs w:val="20"/>
          <w:lang w:val="en-US"/>
        </w:rPr>
        <w:t xml:space="preserve"> </w:t>
      </w:r>
      <w:r w:rsidRPr="00012C3F">
        <w:rPr>
          <w:rFonts w:eastAsia="Calibri" w:cs="Verdana"/>
          <w:sz w:val="20"/>
          <w:szCs w:val="20"/>
          <w:lang w:val="en-US"/>
        </w:rPr>
        <w:t>Articles</w:t>
      </w:r>
      <w:r w:rsidR="006C37C9" w:rsidRPr="00012C3F">
        <w:rPr>
          <w:rFonts w:eastAsia="Calibri" w:cs="Verdana"/>
          <w:sz w:val="20"/>
          <w:szCs w:val="20"/>
          <w:lang w:val="en-US"/>
        </w:rPr>
        <w:t xml:space="preserve"> 31, 32, 42, 65 </w:t>
      </w:r>
      <w:r w:rsidRPr="00012C3F">
        <w:rPr>
          <w:rFonts w:eastAsia="Calibri" w:cs="Verdana"/>
          <w:sz w:val="20"/>
          <w:szCs w:val="20"/>
          <w:lang w:val="en-US"/>
        </w:rPr>
        <w:t>and</w:t>
      </w:r>
      <w:r w:rsidR="006C37C9" w:rsidRPr="00012C3F">
        <w:rPr>
          <w:rFonts w:eastAsia="Calibri" w:cs="Verdana"/>
          <w:sz w:val="20"/>
          <w:szCs w:val="20"/>
          <w:lang w:val="en-US"/>
        </w:rPr>
        <w:t xml:space="preserve"> 67</w:t>
      </w:r>
      <w:r w:rsidRPr="00012C3F">
        <w:rPr>
          <w:rFonts w:eastAsia="Calibri" w:cs="Verdana"/>
          <w:sz w:val="20"/>
          <w:szCs w:val="20"/>
          <w:lang w:val="en-US"/>
        </w:rPr>
        <w:t xml:space="preserve"> of the Rules of Procedure of the Court</w:t>
      </w:r>
      <w:r w:rsidR="006C37C9" w:rsidRPr="00012C3F">
        <w:rPr>
          <w:rFonts w:eastAsia="Calibri" w:cs="Verdana"/>
          <w:sz w:val="20"/>
          <w:szCs w:val="20"/>
          <w:lang w:val="en-US"/>
        </w:rPr>
        <w:t xml:space="preserve"> (</w:t>
      </w:r>
      <w:r w:rsidRPr="00012C3F">
        <w:rPr>
          <w:rFonts w:eastAsia="Calibri" w:cs="Verdana"/>
          <w:sz w:val="20"/>
          <w:szCs w:val="20"/>
          <w:lang w:val="en-US"/>
        </w:rPr>
        <w:t>hereinafter</w:t>
      </w:r>
      <w:r w:rsidR="006C37C9" w:rsidRPr="00012C3F">
        <w:rPr>
          <w:rFonts w:eastAsia="Calibri" w:cs="Verdana"/>
          <w:sz w:val="20"/>
          <w:szCs w:val="20"/>
          <w:lang w:val="en-US"/>
        </w:rPr>
        <w:t xml:space="preserve"> “</w:t>
      </w:r>
      <w:r w:rsidRPr="00012C3F">
        <w:rPr>
          <w:rFonts w:eastAsia="Calibri" w:cs="Verdana"/>
          <w:sz w:val="20"/>
          <w:szCs w:val="20"/>
          <w:lang w:val="en-US"/>
        </w:rPr>
        <w:t>the Rules of Procedure</w:t>
      </w:r>
      <w:r w:rsidR="006C37C9" w:rsidRPr="00012C3F">
        <w:rPr>
          <w:rFonts w:eastAsia="Calibri" w:cs="Verdana"/>
          <w:sz w:val="20"/>
          <w:szCs w:val="20"/>
          <w:lang w:val="en-US"/>
        </w:rPr>
        <w:t>” o</w:t>
      </w:r>
      <w:r w:rsidRPr="00012C3F">
        <w:rPr>
          <w:rFonts w:eastAsia="Calibri" w:cs="Verdana"/>
          <w:sz w:val="20"/>
          <w:szCs w:val="20"/>
          <w:lang w:val="en-US"/>
        </w:rPr>
        <w:t>r</w:t>
      </w:r>
      <w:r w:rsidR="006C37C9" w:rsidRPr="00012C3F">
        <w:rPr>
          <w:rFonts w:eastAsia="Calibri" w:cs="Verdana"/>
          <w:sz w:val="20"/>
          <w:szCs w:val="20"/>
          <w:lang w:val="en-US"/>
        </w:rPr>
        <w:t xml:space="preserve"> “</w:t>
      </w:r>
      <w:r w:rsidRPr="00012C3F">
        <w:rPr>
          <w:rFonts w:eastAsia="Calibri" w:cs="Verdana"/>
          <w:sz w:val="20"/>
          <w:szCs w:val="20"/>
          <w:lang w:val="en-US"/>
        </w:rPr>
        <w:t>the Court’s Rules of Procedure”</w:t>
      </w:r>
      <w:r w:rsidR="006C37C9" w:rsidRPr="00012C3F">
        <w:rPr>
          <w:rFonts w:eastAsia="Calibri" w:cs="Verdana"/>
          <w:sz w:val="20"/>
          <w:szCs w:val="20"/>
          <w:lang w:val="en-US"/>
        </w:rPr>
        <w:t xml:space="preserve">), </w:t>
      </w:r>
      <w:r w:rsidRPr="00012C3F">
        <w:rPr>
          <w:rFonts w:eastAsia="Calibri" w:cs="Verdana"/>
          <w:sz w:val="20"/>
          <w:szCs w:val="20"/>
          <w:lang w:val="en-US"/>
        </w:rPr>
        <w:t xml:space="preserve">delivers this judgment, structured as follows: </w:t>
      </w:r>
    </w:p>
    <w:p w14:paraId="66AFDCFD" w14:textId="77777777" w:rsidR="006C37C9" w:rsidRPr="00012C3F" w:rsidRDefault="006C37C9" w:rsidP="006C37C9">
      <w:pPr>
        <w:spacing w:before="1" w:line="235" w:lineRule="exact"/>
        <w:ind w:left="100" w:right="-1085"/>
        <w:rPr>
          <w:rFonts w:eastAsia="Verdana" w:cs="Verdana"/>
          <w:position w:val="-1"/>
          <w:sz w:val="20"/>
          <w:szCs w:val="20"/>
          <w:lang w:val="en-US"/>
        </w:rPr>
      </w:pPr>
    </w:p>
    <w:p w14:paraId="03BDC1E3" w14:textId="77777777" w:rsidR="006C37C9" w:rsidRPr="00012C3F" w:rsidRDefault="006C37C9" w:rsidP="006C37C9">
      <w:pPr>
        <w:spacing w:before="1" w:line="235" w:lineRule="exact"/>
        <w:ind w:left="100" w:right="-20"/>
        <w:rPr>
          <w:rFonts w:eastAsia="Verdana" w:cs="Verdana"/>
          <w:position w:val="-1"/>
          <w:sz w:val="20"/>
          <w:szCs w:val="20"/>
          <w:lang w:val="en-US"/>
        </w:rPr>
      </w:pPr>
    </w:p>
    <w:p w14:paraId="21C3CB21" w14:textId="77777777" w:rsidR="006C37C9" w:rsidRPr="00012C3F" w:rsidRDefault="006C37C9" w:rsidP="006C37C9">
      <w:pPr>
        <w:rPr>
          <w:rFonts w:eastAsia="Verdana" w:cs="Verdana"/>
          <w:position w:val="-1"/>
          <w:sz w:val="20"/>
          <w:szCs w:val="20"/>
          <w:lang w:val="en-US"/>
        </w:rPr>
      </w:pPr>
      <w:r w:rsidRPr="00012C3F">
        <w:rPr>
          <w:rFonts w:eastAsia="Verdana" w:cs="Verdana"/>
          <w:position w:val="-1"/>
          <w:sz w:val="20"/>
          <w:szCs w:val="20"/>
          <w:lang w:val="en-US"/>
        </w:rPr>
        <w:br w:type="page"/>
      </w:r>
    </w:p>
    <w:sdt>
      <w:sdtPr>
        <w:rPr>
          <w:rFonts w:ascii="Verdana" w:eastAsia="Times New Roman" w:hAnsi="Verdana" w:cs="Times New Roman"/>
          <w:b w:val="0"/>
          <w:bCs w:val="0"/>
          <w:color w:val="auto"/>
          <w:sz w:val="18"/>
          <w:szCs w:val="18"/>
          <w:lang w:val="es-CR" w:eastAsia="es-CR"/>
        </w:rPr>
        <w:id w:val="1293254421"/>
        <w:docPartObj>
          <w:docPartGallery w:val="Table of Contents"/>
          <w:docPartUnique/>
        </w:docPartObj>
      </w:sdtPr>
      <w:sdtEndPr>
        <w:rPr>
          <w:sz w:val="16"/>
          <w:szCs w:val="16"/>
        </w:rPr>
      </w:sdtEndPr>
      <w:sdtContent>
        <w:p w14:paraId="6F546429" w14:textId="77777777" w:rsidR="00E16176" w:rsidRPr="00012C3F" w:rsidRDefault="001254DE" w:rsidP="001254DE">
          <w:pPr>
            <w:pStyle w:val="TtuloTDC"/>
            <w:spacing w:before="0" w:line="240" w:lineRule="auto"/>
            <w:jc w:val="center"/>
            <w:rPr>
              <w:rFonts w:ascii="Verdana" w:hAnsi="Verdana"/>
              <w:color w:val="auto"/>
              <w:sz w:val="16"/>
              <w:szCs w:val="16"/>
            </w:rPr>
          </w:pPr>
          <w:r w:rsidRPr="00012C3F">
            <w:rPr>
              <w:rFonts w:ascii="Verdana" w:hAnsi="Verdana"/>
              <w:color w:val="auto"/>
              <w:sz w:val="16"/>
              <w:szCs w:val="16"/>
            </w:rPr>
            <w:t>TABLE OF CONTENTS</w:t>
          </w:r>
        </w:p>
        <w:p w14:paraId="13937B6C" w14:textId="77777777" w:rsidR="001254DE" w:rsidRPr="00012C3F" w:rsidRDefault="001254DE" w:rsidP="001254DE">
          <w:pPr>
            <w:rPr>
              <w:sz w:val="16"/>
              <w:szCs w:val="16"/>
              <w:lang w:val="en-US" w:eastAsia="ja-JP"/>
            </w:rPr>
          </w:pPr>
        </w:p>
        <w:p w14:paraId="1BF2A1E6" w14:textId="7FEF4237" w:rsidR="00D943BD" w:rsidRPr="00012C3F" w:rsidRDefault="00F76CCA" w:rsidP="00D943BD">
          <w:pPr>
            <w:pStyle w:val="TDC1"/>
            <w:tabs>
              <w:tab w:val="right" w:leader="dot" w:pos="10076"/>
            </w:tabs>
            <w:spacing w:after="0" w:line="240" w:lineRule="auto"/>
            <w:rPr>
              <w:rFonts w:eastAsiaTheme="minorEastAsia" w:cstheme="minorBidi"/>
              <w:noProof/>
              <w:sz w:val="16"/>
              <w:szCs w:val="16"/>
              <w:lang w:val="en-US" w:eastAsia="en-US"/>
            </w:rPr>
          </w:pPr>
          <w:r w:rsidRPr="00012C3F">
            <w:rPr>
              <w:sz w:val="16"/>
              <w:szCs w:val="16"/>
              <w:lang w:val="en-US"/>
            </w:rPr>
            <w:fldChar w:fldCharType="begin"/>
          </w:r>
          <w:r w:rsidR="00E16176" w:rsidRPr="00012C3F">
            <w:rPr>
              <w:sz w:val="16"/>
              <w:szCs w:val="16"/>
              <w:lang w:val="en-US"/>
            </w:rPr>
            <w:instrText xml:space="preserve"> TOC \o "1-3" \h \z \u </w:instrText>
          </w:r>
          <w:r w:rsidRPr="00012C3F">
            <w:rPr>
              <w:sz w:val="16"/>
              <w:szCs w:val="16"/>
              <w:lang w:val="en-US"/>
            </w:rPr>
            <w:fldChar w:fldCharType="separate"/>
          </w:r>
          <w:hyperlink w:anchor="_Toc27486816" w:history="1">
            <w:r w:rsidR="00D943BD" w:rsidRPr="00012C3F">
              <w:rPr>
                <w:rStyle w:val="Hipervnculo"/>
                <w:rFonts w:cs="Verdana"/>
                <w:b/>
                <w:bCs/>
                <w:caps/>
                <w:noProof/>
                <w:snapToGrid w:val="0"/>
                <w:sz w:val="16"/>
                <w:szCs w:val="16"/>
                <w:lang w:val="en-US"/>
              </w:rPr>
              <w:t>I INTRODUCTION OF THE CASE AND PURPOSE OF THE DISPUTE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_Toc27486816 \h </w:instrText>
            </w:r>
            <w:r w:rsidR="00D943BD" w:rsidRPr="00012C3F">
              <w:rPr>
                <w:noProof/>
                <w:webHidden/>
                <w:sz w:val="16"/>
                <w:szCs w:val="16"/>
              </w:rPr>
            </w:r>
            <w:r w:rsidR="00D943BD" w:rsidRPr="00012C3F">
              <w:rPr>
                <w:noProof/>
                <w:webHidden/>
                <w:sz w:val="16"/>
                <w:szCs w:val="16"/>
              </w:rPr>
              <w:fldChar w:fldCharType="separate"/>
            </w:r>
            <w:r w:rsidR="00C92775">
              <w:rPr>
                <w:noProof/>
                <w:webHidden/>
                <w:sz w:val="16"/>
                <w:szCs w:val="16"/>
              </w:rPr>
              <w:t>4</w:t>
            </w:r>
            <w:r w:rsidR="00D943BD" w:rsidRPr="00012C3F">
              <w:rPr>
                <w:noProof/>
                <w:webHidden/>
                <w:sz w:val="16"/>
                <w:szCs w:val="16"/>
              </w:rPr>
              <w:fldChar w:fldCharType="end"/>
            </w:r>
          </w:hyperlink>
        </w:p>
        <w:p w14:paraId="4639A8DB" w14:textId="15ECA867"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17" w:history="1">
            <w:r w:rsidR="00D943BD" w:rsidRPr="00012C3F">
              <w:rPr>
                <w:rStyle w:val="Hipervnculo"/>
                <w:rFonts w:cs="Verdana"/>
                <w:b/>
                <w:bCs/>
                <w:caps/>
                <w:noProof/>
                <w:snapToGrid w:val="0"/>
                <w:sz w:val="16"/>
                <w:szCs w:val="16"/>
                <w:lang w:val="en-US"/>
              </w:rPr>
              <w:t>II PROCEEDINGS BEFORE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_Toc27486817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5</w:t>
            </w:r>
            <w:r w:rsidR="00D943BD" w:rsidRPr="00012C3F">
              <w:rPr>
                <w:noProof/>
                <w:webHidden/>
                <w:sz w:val="16"/>
                <w:szCs w:val="16"/>
              </w:rPr>
              <w:fldChar w:fldCharType="end"/>
            </w:r>
          </w:hyperlink>
        </w:p>
        <w:p w14:paraId="2D0FAB28" w14:textId="69F1F1DA"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18" w:history="1">
            <w:r w:rsidR="00D943BD" w:rsidRPr="00012C3F">
              <w:rPr>
                <w:rStyle w:val="Hipervnculo"/>
                <w:rFonts w:cs="Verdana"/>
                <w:b/>
                <w:bCs/>
                <w:caps/>
                <w:noProof/>
                <w:snapToGrid w:val="0"/>
                <w:sz w:val="16"/>
                <w:szCs w:val="16"/>
                <w:lang w:val="en-US"/>
              </w:rPr>
              <w:t>III JURISDICTION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_Toc27486818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w:t>
            </w:r>
            <w:r w:rsidR="00D943BD" w:rsidRPr="00012C3F">
              <w:rPr>
                <w:noProof/>
                <w:webHidden/>
                <w:sz w:val="16"/>
                <w:szCs w:val="16"/>
              </w:rPr>
              <w:fldChar w:fldCharType="end"/>
            </w:r>
          </w:hyperlink>
        </w:p>
        <w:p w14:paraId="4D25EFF4" w14:textId="5A5B07E1"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19" w:history="1">
            <w:r w:rsidR="00D943BD" w:rsidRPr="00012C3F">
              <w:rPr>
                <w:rStyle w:val="Hipervnculo"/>
                <w:rFonts w:cs="Verdana"/>
                <w:b/>
                <w:bCs/>
                <w:caps/>
                <w:noProof/>
                <w:snapToGrid w:val="0"/>
                <w:sz w:val="16"/>
                <w:szCs w:val="16"/>
                <w:lang w:val="en-US"/>
              </w:rPr>
              <w:t>IV PRELIMINARY OBJECTIONS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_Toc27486819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w:t>
            </w:r>
            <w:r w:rsidR="00D943BD" w:rsidRPr="00012C3F">
              <w:rPr>
                <w:noProof/>
                <w:webHidden/>
                <w:sz w:val="16"/>
                <w:szCs w:val="16"/>
              </w:rPr>
              <w:fldChar w:fldCharType="end"/>
            </w:r>
          </w:hyperlink>
        </w:p>
        <w:p w14:paraId="437335FD" w14:textId="44035942" w:rsidR="00D943BD" w:rsidRPr="00012C3F" w:rsidRDefault="00C92775" w:rsidP="00D943BD">
          <w:pPr>
            <w:pStyle w:val="TDC2"/>
            <w:rPr>
              <w:rFonts w:eastAsiaTheme="minorEastAsia" w:cstheme="minorBidi"/>
              <w:noProof/>
              <w:sz w:val="16"/>
              <w:szCs w:val="16"/>
              <w:lang w:val="en-US" w:eastAsia="en-US"/>
            </w:rPr>
          </w:pPr>
          <w:hyperlink w:anchor="_Toc27486820" w:history="1">
            <w:r w:rsidR="00D943BD" w:rsidRPr="00012C3F">
              <w:rPr>
                <w:rStyle w:val="Hipervnculo"/>
                <w:rFonts w:eastAsia="MS Mincho"/>
                <w:b/>
                <w:bCs/>
                <w:i/>
                <w:noProof/>
                <w:sz w:val="16"/>
                <w:szCs w:val="16"/>
                <w:lang w:val="en-US"/>
              </w:rPr>
              <w:t>A.</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 xml:space="preserve">Objection concerning the alleged lack of </w:t>
            </w:r>
            <w:r w:rsidR="00D24EFE">
              <w:rPr>
                <w:rStyle w:val="Hipervnculo"/>
                <w:rFonts w:eastAsia="MS Mincho"/>
                <w:b/>
                <w:bCs/>
                <w:i/>
                <w:noProof/>
                <w:sz w:val="16"/>
                <w:szCs w:val="16"/>
                <w:lang w:val="en-US"/>
              </w:rPr>
              <w:t>jurisdiction ratione loci</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w:t>
            </w:r>
            <w:r w:rsidR="00D943BD" w:rsidRPr="00012C3F">
              <w:rPr>
                <w:noProof/>
                <w:webHidden/>
                <w:sz w:val="16"/>
                <w:szCs w:val="16"/>
              </w:rPr>
              <w:fldChar w:fldCharType="end"/>
            </w:r>
          </w:hyperlink>
        </w:p>
        <w:p w14:paraId="35EAF64A" w14:textId="198AA553" w:rsidR="00D943BD" w:rsidRPr="00012C3F" w:rsidRDefault="00C92775" w:rsidP="00D943BD">
          <w:pPr>
            <w:pStyle w:val="TDC2"/>
            <w:rPr>
              <w:rFonts w:eastAsiaTheme="minorEastAsia" w:cstheme="minorBidi"/>
              <w:noProof/>
              <w:sz w:val="16"/>
              <w:szCs w:val="16"/>
              <w:lang w:val="en-US" w:eastAsia="en-US"/>
            </w:rPr>
          </w:pPr>
          <w:hyperlink w:anchor="_Toc27486821" w:history="1">
            <w:r w:rsidR="00D943BD" w:rsidRPr="00012C3F">
              <w:rPr>
                <w:rStyle w:val="Hipervnculo"/>
                <w:i/>
                <w:noProof/>
                <w:sz w:val="16"/>
                <w:szCs w:val="16"/>
                <w:lang w:val="en-US"/>
              </w:rPr>
              <w:t xml:space="preserve">A.1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of the State and observations of the Commission and the representative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w:t>
            </w:r>
            <w:r w:rsidR="00D943BD" w:rsidRPr="00012C3F">
              <w:rPr>
                <w:noProof/>
                <w:webHidden/>
                <w:sz w:val="16"/>
                <w:szCs w:val="16"/>
              </w:rPr>
              <w:fldChar w:fldCharType="end"/>
            </w:r>
          </w:hyperlink>
        </w:p>
        <w:p w14:paraId="11F74463" w14:textId="33CBEEA9" w:rsidR="00D943BD" w:rsidRPr="00012C3F" w:rsidRDefault="00C92775" w:rsidP="00D943BD">
          <w:pPr>
            <w:pStyle w:val="TDC2"/>
            <w:rPr>
              <w:rFonts w:eastAsiaTheme="minorEastAsia" w:cstheme="minorBidi"/>
              <w:noProof/>
              <w:sz w:val="16"/>
              <w:szCs w:val="16"/>
              <w:lang w:val="en-US" w:eastAsia="en-US"/>
            </w:rPr>
          </w:pPr>
          <w:hyperlink w:anchor="_Toc27486822" w:history="1">
            <w:r w:rsidR="00D943BD" w:rsidRPr="00012C3F">
              <w:rPr>
                <w:rStyle w:val="Hipervnculo"/>
                <w:i/>
                <w:noProof/>
                <w:sz w:val="16"/>
                <w:szCs w:val="16"/>
                <w:lang w:val="en-US"/>
              </w:rPr>
              <w:t xml:space="preserve">A.2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Considerations of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w:t>
            </w:r>
            <w:r w:rsidR="00D943BD" w:rsidRPr="00012C3F">
              <w:rPr>
                <w:noProof/>
                <w:webHidden/>
                <w:sz w:val="16"/>
                <w:szCs w:val="16"/>
              </w:rPr>
              <w:fldChar w:fldCharType="end"/>
            </w:r>
          </w:hyperlink>
        </w:p>
        <w:p w14:paraId="560732BA" w14:textId="6D119681" w:rsidR="00D943BD" w:rsidRPr="00012C3F" w:rsidRDefault="00C92775" w:rsidP="00D943BD">
          <w:pPr>
            <w:pStyle w:val="TDC2"/>
            <w:rPr>
              <w:rFonts w:eastAsiaTheme="minorEastAsia" w:cstheme="minorBidi"/>
              <w:noProof/>
              <w:sz w:val="16"/>
              <w:szCs w:val="16"/>
              <w:lang w:val="en-US" w:eastAsia="en-US"/>
            </w:rPr>
          </w:pPr>
          <w:hyperlink w:anchor="_Toc27486823" w:history="1">
            <w:r w:rsidR="00D943BD" w:rsidRPr="00012C3F">
              <w:rPr>
                <w:rStyle w:val="Hipervnculo"/>
                <w:rFonts w:eastAsia="MS Mincho"/>
                <w:b/>
                <w:bCs/>
                <w:i/>
                <w:noProof/>
                <w:sz w:val="16"/>
                <w:szCs w:val="16"/>
                <w:lang w:val="en-US"/>
              </w:rPr>
              <w:t>B.</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Objection concerning the alleged failure to exhaust domestic remedies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w:t>
            </w:r>
            <w:r w:rsidR="00D943BD" w:rsidRPr="00012C3F">
              <w:rPr>
                <w:noProof/>
                <w:webHidden/>
                <w:sz w:val="16"/>
                <w:szCs w:val="16"/>
              </w:rPr>
              <w:fldChar w:fldCharType="end"/>
            </w:r>
          </w:hyperlink>
        </w:p>
        <w:p w14:paraId="6D31DC37" w14:textId="46FF72B4" w:rsidR="00D943BD" w:rsidRPr="00012C3F" w:rsidRDefault="00C92775" w:rsidP="00D943BD">
          <w:pPr>
            <w:pStyle w:val="TDC2"/>
            <w:rPr>
              <w:rFonts w:eastAsiaTheme="minorEastAsia" w:cstheme="minorBidi"/>
              <w:noProof/>
              <w:sz w:val="16"/>
              <w:szCs w:val="16"/>
              <w:lang w:val="en-US" w:eastAsia="en-US"/>
            </w:rPr>
          </w:pPr>
          <w:hyperlink w:anchor="_Toc27486824" w:history="1">
            <w:r w:rsidR="00D943BD" w:rsidRPr="00012C3F">
              <w:rPr>
                <w:rStyle w:val="Hipervnculo"/>
                <w:i/>
                <w:noProof/>
                <w:sz w:val="16"/>
                <w:szCs w:val="16"/>
                <w:lang w:val="en-US"/>
              </w:rPr>
              <w:t xml:space="preserve">B.1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of the State and observations of the Commission and the representative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w:t>
            </w:r>
            <w:r w:rsidR="00D943BD" w:rsidRPr="00012C3F">
              <w:rPr>
                <w:noProof/>
                <w:webHidden/>
                <w:sz w:val="16"/>
                <w:szCs w:val="16"/>
              </w:rPr>
              <w:fldChar w:fldCharType="end"/>
            </w:r>
          </w:hyperlink>
        </w:p>
        <w:p w14:paraId="2CDA113C" w14:textId="46BC250B" w:rsidR="00D943BD" w:rsidRPr="00012C3F" w:rsidRDefault="00C92775" w:rsidP="00D943BD">
          <w:pPr>
            <w:pStyle w:val="TDC2"/>
            <w:rPr>
              <w:rFonts w:eastAsiaTheme="minorEastAsia" w:cstheme="minorBidi"/>
              <w:noProof/>
              <w:sz w:val="16"/>
              <w:szCs w:val="16"/>
              <w:lang w:val="en-US" w:eastAsia="en-US"/>
            </w:rPr>
          </w:pPr>
          <w:hyperlink w:anchor="_Toc27486825" w:history="1">
            <w:r w:rsidR="00D943BD" w:rsidRPr="00012C3F">
              <w:rPr>
                <w:rStyle w:val="Hipervnculo"/>
                <w:i/>
                <w:noProof/>
                <w:sz w:val="16"/>
                <w:szCs w:val="16"/>
                <w:lang w:val="en-US"/>
              </w:rPr>
              <w:t xml:space="preserve">B.2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Considerations of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12</w:t>
            </w:r>
            <w:r w:rsidR="00D943BD" w:rsidRPr="00012C3F">
              <w:rPr>
                <w:noProof/>
                <w:webHidden/>
                <w:sz w:val="16"/>
                <w:szCs w:val="16"/>
              </w:rPr>
              <w:fldChar w:fldCharType="end"/>
            </w:r>
          </w:hyperlink>
        </w:p>
        <w:p w14:paraId="44D3E9F6" w14:textId="23212A3C"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26" w:history="1">
            <w:r w:rsidR="00D943BD" w:rsidRPr="00012C3F">
              <w:rPr>
                <w:rStyle w:val="Hipervnculo"/>
                <w:rFonts w:cs="Verdana"/>
                <w:b/>
                <w:bCs/>
                <w:caps/>
                <w:noProof/>
                <w:snapToGrid w:val="0"/>
                <w:sz w:val="16"/>
                <w:szCs w:val="16"/>
                <w:lang w:val="en-US"/>
              </w:rPr>
              <w:t>V PRELIMINARY CONSIDERATIONS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15</w:t>
            </w:r>
            <w:r w:rsidR="00D943BD" w:rsidRPr="00012C3F">
              <w:rPr>
                <w:noProof/>
                <w:webHidden/>
                <w:sz w:val="16"/>
                <w:szCs w:val="16"/>
              </w:rPr>
              <w:fldChar w:fldCharType="end"/>
            </w:r>
          </w:hyperlink>
        </w:p>
        <w:p w14:paraId="10C360EE" w14:textId="135E5E2E" w:rsidR="00D943BD" w:rsidRPr="00012C3F" w:rsidRDefault="00C92775" w:rsidP="00D943BD">
          <w:pPr>
            <w:pStyle w:val="TDC2"/>
            <w:rPr>
              <w:rFonts w:eastAsiaTheme="minorEastAsia" w:cstheme="minorBidi"/>
              <w:noProof/>
              <w:sz w:val="16"/>
              <w:szCs w:val="16"/>
              <w:lang w:val="en-US" w:eastAsia="en-US"/>
            </w:rPr>
          </w:pPr>
          <w:hyperlink w:anchor="_Toc27486827" w:history="1">
            <w:r w:rsidR="00D943BD" w:rsidRPr="00012C3F">
              <w:rPr>
                <w:rStyle w:val="Hipervnculo"/>
                <w:rFonts w:eastAsia="MS Mincho"/>
                <w:b/>
                <w:bCs/>
                <w:i/>
                <w:noProof/>
                <w:sz w:val="16"/>
                <w:szCs w:val="16"/>
                <w:lang w:val="en-US"/>
              </w:rPr>
              <w:t>A.</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Determination of the presumed victims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15</w:t>
            </w:r>
            <w:r w:rsidR="00D943BD" w:rsidRPr="00012C3F">
              <w:rPr>
                <w:noProof/>
                <w:webHidden/>
                <w:sz w:val="16"/>
                <w:szCs w:val="16"/>
              </w:rPr>
              <w:fldChar w:fldCharType="end"/>
            </w:r>
          </w:hyperlink>
        </w:p>
        <w:p w14:paraId="326A46C8" w14:textId="5CE9A17A" w:rsidR="00D943BD" w:rsidRPr="00012C3F" w:rsidRDefault="00C92775" w:rsidP="00D943BD">
          <w:pPr>
            <w:pStyle w:val="TDC2"/>
            <w:rPr>
              <w:rFonts w:eastAsiaTheme="minorEastAsia" w:cstheme="minorBidi"/>
              <w:noProof/>
              <w:sz w:val="16"/>
              <w:szCs w:val="16"/>
              <w:lang w:val="en-US" w:eastAsia="en-US"/>
            </w:rPr>
          </w:pPr>
          <w:hyperlink w:anchor="_Toc27486828" w:history="1">
            <w:r w:rsidR="00D943BD" w:rsidRPr="00012C3F">
              <w:rPr>
                <w:rStyle w:val="Hipervnculo"/>
                <w:rFonts w:eastAsia="MS Mincho"/>
                <w:b/>
                <w:bCs/>
                <w:i/>
                <w:noProof/>
                <w:sz w:val="16"/>
                <w:szCs w:val="16"/>
                <w:lang w:val="en-US"/>
              </w:rPr>
              <w:t>B.</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The factual framework of the case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16</w:t>
            </w:r>
            <w:r w:rsidR="00D943BD" w:rsidRPr="00012C3F">
              <w:rPr>
                <w:noProof/>
                <w:webHidden/>
                <w:sz w:val="16"/>
                <w:szCs w:val="16"/>
              </w:rPr>
              <w:fldChar w:fldCharType="end"/>
            </w:r>
          </w:hyperlink>
        </w:p>
        <w:p w14:paraId="322A229A" w14:textId="2677EE81" w:rsidR="00D943BD" w:rsidRPr="00012C3F" w:rsidRDefault="00C92775" w:rsidP="00D943BD">
          <w:pPr>
            <w:pStyle w:val="TDC2"/>
            <w:rPr>
              <w:rFonts w:eastAsiaTheme="minorEastAsia" w:cstheme="minorBidi"/>
              <w:noProof/>
              <w:sz w:val="16"/>
              <w:szCs w:val="16"/>
              <w:lang w:val="en-US" w:eastAsia="en-US"/>
            </w:rPr>
          </w:pPr>
          <w:hyperlink w:anchor="_Toc27486829" w:history="1">
            <w:r w:rsidR="00D943BD" w:rsidRPr="00012C3F">
              <w:rPr>
                <w:rStyle w:val="Hipervnculo"/>
                <w:rFonts w:eastAsia="MS Mincho"/>
                <w:b/>
                <w:bCs/>
                <w:i/>
                <w:noProof/>
                <w:sz w:val="16"/>
                <w:szCs w:val="16"/>
                <w:lang w:val="en-US"/>
              </w:rPr>
              <w:t>C.</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Other human rights violations alleged by the representative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_Toc27486829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16</w:t>
            </w:r>
            <w:r w:rsidR="00D943BD" w:rsidRPr="00012C3F">
              <w:rPr>
                <w:noProof/>
                <w:webHidden/>
                <w:sz w:val="16"/>
                <w:szCs w:val="16"/>
              </w:rPr>
              <w:fldChar w:fldCharType="end"/>
            </w:r>
          </w:hyperlink>
        </w:p>
        <w:p w14:paraId="157E2D6A" w14:textId="090BB2ED"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30" w:history="1">
            <w:r w:rsidR="00D943BD" w:rsidRPr="00012C3F">
              <w:rPr>
                <w:rStyle w:val="Hipervnculo"/>
                <w:rFonts w:cs="Verdana"/>
                <w:b/>
                <w:bCs/>
                <w:caps/>
                <w:noProof/>
                <w:snapToGrid w:val="0"/>
                <w:sz w:val="16"/>
                <w:szCs w:val="16"/>
                <w:lang w:val="en-US"/>
              </w:rPr>
              <w:t>VI EVIDENCE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17</w:t>
            </w:r>
            <w:r w:rsidR="00D943BD" w:rsidRPr="00012C3F">
              <w:rPr>
                <w:noProof/>
                <w:webHidden/>
                <w:sz w:val="16"/>
                <w:szCs w:val="16"/>
              </w:rPr>
              <w:fldChar w:fldCharType="end"/>
            </w:r>
          </w:hyperlink>
        </w:p>
        <w:p w14:paraId="24A0E937" w14:textId="2EC871CF" w:rsidR="00D943BD" w:rsidRPr="00012C3F" w:rsidRDefault="00C92775" w:rsidP="00D943BD">
          <w:pPr>
            <w:pStyle w:val="TDC2"/>
            <w:rPr>
              <w:rFonts w:eastAsiaTheme="minorEastAsia" w:cstheme="minorBidi"/>
              <w:noProof/>
              <w:sz w:val="16"/>
              <w:szCs w:val="16"/>
              <w:lang w:val="en-US" w:eastAsia="en-US"/>
            </w:rPr>
          </w:pPr>
          <w:hyperlink w:anchor="_Toc27486831" w:history="1">
            <w:r w:rsidR="00D943BD" w:rsidRPr="00012C3F">
              <w:rPr>
                <w:rStyle w:val="Hipervnculo"/>
                <w:rFonts w:eastAsia="MS Mincho"/>
                <w:b/>
                <w:bCs/>
                <w:i/>
                <w:noProof/>
                <w:sz w:val="16"/>
                <w:szCs w:val="16"/>
                <w:lang w:val="en-US"/>
              </w:rPr>
              <w:t>A.</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Documentary, testimonial and expert evidence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17</w:t>
            </w:r>
            <w:r w:rsidR="00D943BD" w:rsidRPr="00012C3F">
              <w:rPr>
                <w:noProof/>
                <w:webHidden/>
                <w:sz w:val="16"/>
                <w:szCs w:val="16"/>
              </w:rPr>
              <w:fldChar w:fldCharType="end"/>
            </w:r>
          </w:hyperlink>
        </w:p>
        <w:p w14:paraId="4C1FB52D" w14:textId="7FB2D229" w:rsidR="00D943BD" w:rsidRPr="00012C3F" w:rsidRDefault="00C92775" w:rsidP="00D943BD">
          <w:pPr>
            <w:pStyle w:val="TDC2"/>
            <w:rPr>
              <w:rFonts w:eastAsiaTheme="minorEastAsia" w:cstheme="minorBidi"/>
              <w:noProof/>
              <w:sz w:val="16"/>
              <w:szCs w:val="16"/>
              <w:lang w:val="en-US" w:eastAsia="en-US"/>
            </w:rPr>
          </w:pPr>
          <w:hyperlink w:anchor="_Toc27486832" w:history="1">
            <w:r w:rsidR="00D943BD" w:rsidRPr="00012C3F">
              <w:rPr>
                <w:rStyle w:val="Hipervnculo"/>
                <w:rFonts w:eastAsia="MS Mincho"/>
                <w:b/>
                <w:bCs/>
                <w:i/>
                <w:noProof/>
                <w:sz w:val="16"/>
                <w:szCs w:val="16"/>
                <w:lang w:val="en-US"/>
              </w:rPr>
              <w:t xml:space="preserve">B.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Admission of the evidence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17</w:t>
            </w:r>
            <w:r w:rsidR="00D943BD" w:rsidRPr="00012C3F">
              <w:rPr>
                <w:noProof/>
                <w:webHidden/>
                <w:sz w:val="16"/>
                <w:szCs w:val="16"/>
              </w:rPr>
              <w:fldChar w:fldCharType="end"/>
            </w:r>
          </w:hyperlink>
        </w:p>
        <w:p w14:paraId="77766326" w14:textId="3CAC5E02" w:rsidR="00D943BD" w:rsidRPr="00012C3F" w:rsidRDefault="00C92775" w:rsidP="00D943BD">
          <w:pPr>
            <w:pStyle w:val="TDC2"/>
            <w:rPr>
              <w:rFonts w:eastAsiaTheme="minorEastAsia" w:cstheme="minorBidi"/>
              <w:noProof/>
              <w:sz w:val="16"/>
              <w:szCs w:val="16"/>
              <w:lang w:val="en-US" w:eastAsia="en-US"/>
            </w:rPr>
          </w:pPr>
          <w:hyperlink w:anchor="_Toc27486833" w:history="1">
            <w:r w:rsidR="00D943BD" w:rsidRPr="00012C3F">
              <w:rPr>
                <w:rStyle w:val="Hipervnculo"/>
                <w:i/>
                <w:noProof/>
                <w:sz w:val="16"/>
                <w:szCs w:val="16"/>
                <w:lang w:val="en-US"/>
              </w:rPr>
              <w:t xml:space="preserve">B.1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Admission of the documentary evidence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17</w:t>
            </w:r>
            <w:r w:rsidR="00D943BD" w:rsidRPr="00012C3F">
              <w:rPr>
                <w:noProof/>
                <w:webHidden/>
                <w:sz w:val="16"/>
                <w:szCs w:val="16"/>
              </w:rPr>
              <w:fldChar w:fldCharType="end"/>
            </w:r>
          </w:hyperlink>
        </w:p>
        <w:p w14:paraId="13C6A6E9" w14:textId="681B55ED" w:rsidR="00D943BD" w:rsidRPr="00012C3F" w:rsidRDefault="00C92775" w:rsidP="00D943BD">
          <w:pPr>
            <w:pStyle w:val="TDC2"/>
            <w:rPr>
              <w:rFonts w:eastAsiaTheme="minorEastAsia" w:cstheme="minorBidi"/>
              <w:noProof/>
              <w:sz w:val="16"/>
              <w:szCs w:val="16"/>
              <w:lang w:val="en-US" w:eastAsia="en-US"/>
            </w:rPr>
          </w:pPr>
          <w:hyperlink w:anchor="_Toc27486834" w:history="1">
            <w:r w:rsidR="00D943BD" w:rsidRPr="00012C3F">
              <w:rPr>
                <w:rStyle w:val="Hipervnculo"/>
                <w:i/>
                <w:noProof/>
                <w:sz w:val="16"/>
                <w:szCs w:val="16"/>
                <w:lang w:val="en-US"/>
              </w:rPr>
              <w:t xml:space="preserve">B.2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Admission of the statements and of the expert opinions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19</w:t>
            </w:r>
            <w:r w:rsidR="00D943BD" w:rsidRPr="00012C3F">
              <w:rPr>
                <w:noProof/>
                <w:webHidden/>
                <w:sz w:val="16"/>
                <w:szCs w:val="16"/>
              </w:rPr>
              <w:fldChar w:fldCharType="end"/>
            </w:r>
          </w:hyperlink>
        </w:p>
        <w:p w14:paraId="46FE0718" w14:textId="01511D25" w:rsidR="00D943BD" w:rsidRPr="00012C3F" w:rsidRDefault="00C92775" w:rsidP="00D943BD">
          <w:pPr>
            <w:pStyle w:val="TDC2"/>
            <w:rPr>
              <w:rFonts w:eastAsiaTheme="minorEastAsia" w:cstheme="minorBidi"/>
              <w:noProof/>
              <w:sz w:val="16"/>
              <w:szCs w:val="16"/>
              <w:lang w:val="en-US" w:eastAsia="en-US"/>
            </w:rPr>
          </w:pPr>
          <w:hyperlink w:anchor="_Toc27486835" w:history="1">
            <w:r w:rsidR="00D943BD" w:rsidRPr="00012C3F">
              <w:rPr>
                <w:rStyle w:val="Hipervnculo"/>
                <w:rFonts w:eastAsia="MS Mincho"/>
                <w:b/>
                <w:bCs/>
                <w:i/>
                <w:noProof/>
                <w:sz w:val="16"/>
                <w:szCs w:val="16"/>
                <w:lang w:val="en-US"/>
              </w:rPr>
              <w:t xml:space="preserve">C.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Assessment of the evidence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19</w:t>
            </w:r>
            <w:r w:rsidR="00D943BD" w:rsidRPr="00012C3F">
              <w:rPr>
                <w:noProof/>
                <w:webHidden/>
                <w:sz w:val="16"/>
                <w:szCs w:val="16"/>
              </w:rPr>
              <w:fldChar w:fldCharType="end"/>
            </w:r>
          </w:hyperlink>
        </w:p>
        <w:p w14:paraId="1A630461" w14:textId="35AFC1F0"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36" w:history="1">
            <w:r w:rsidR="00D943BD" w:rsidRPr="00012C3F">
              <w:rPr>
                <w:rStyle w:val="Hipervnculo"/>
                <w:rFonts w:cs="Verdana"/>
                <w:b/>
                <w:bCs/>
                <w:caps/>
                <w:noProof/>
                <w:snapToGrid w:val="0"/>
                <w:sz w:val="16"/>
                <w:szCs w:val="16"/>
                <w:lang w:val="en-US"/>
              </w:rPr>
              <w:t>VII FACTS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19</w:t>
            </w:r>
            <w:r w:rsidR="00D943BD" w:rsidRPr="00012C3F">
              <w:rPr>
                <w:noProof/>
                <w:webHidden/>
                <w:sz w:val="16"/>
                <w:szCs w:val="16"/>
              </w:rPr>
              <w:fldChar w:fldCharType="end"/>
            </w:r>
          </w:hyperlink>
        </w:p>
        <w:p w14:paraId="63ABBCDA" w14:textId="23B9D3C4" w:rsidR="00D943BD" w:rsidRPr="00012C3F" w:rsidRDefault="00C92775" w:rsidP="00D943BD">
          <w:pPr>
            <w:pStyle w:val="TDC2"/>
            <w:rPr>
              <w:rFonts w:eastAsiaTheme="minorEastAsia" w:cstheme="minorBidi"/>
              <w:noProof/>
              <w:sz w:val="16"/>
              <w:szCs w:val="16"/>
              <w:lang w:val="en-US" w:eastAsia="en-US"/>
            </w:rPr>
          </w:pPr>
          <w:hyperlink w:anchor="_Toc27486837" w:history="1">
            <w:r w:rsidR="00D943BD" w:rsidRPr="00012C3F">
              <w:rPr>
                <w:rStyle w:val="Hipervnculo"/>
                <w:rFonts w:eastAsia="MS Mincho"/>
                <w:b/>
                <w:bCs/>
                <w:i/>
                <w:noProof/>
                <w:sz w:val="16"/>
                <w:szCs w:val="16"/>
                <w:lang w:val="en-US"/>
              </w:rPr>
              <w:t xml:space="preserve">A.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Background information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19</w:t>
            </w:r>
            <w:r w:rsidR="00D943BD" w:rsidRPr="00012C3F">
              <w:rPr>
                <w:noProof/>
                <w:webHidden/>
                <w:sz w:val="16"/>
                <w:szCs w:val="16"/>
              </w:rPr>
              <w:fldChar w:fldCharType="end"/>
            </w:r>
          </w:hyperlink>
        </w:p>
        <w:p w14:paraId="4E78D933" w14:textId="64FC8088" w:rsidR="00D943BD" w:rsidRPr="00012C3F" w:rsidRDefault="00C92775" w:rsidP="00D943BD">
          <w:pPr>
            <w:pStyle w:val="TDC2"/>
            <w:rPr>
              <w:rFonts w:eastAsiaTheme="minorEastAsia" w:cstheme="minorBidi"/>
              <w:noProof/>
              <w:sz w:val="16"/>
              <w:szCs w:val="16"/>
              <w:lang w:val="en-US" w:eastAsia="en-US"/>
            </w:rPr>
          </w:pPr>
          <w:hyperlink w:anchor="_Toc27486838" w:history="1">
            <w:r w:rsidR="00D943BD" w:rsidRPr="00012C3F">
              <w:rPr>
                <w:rStyle w:val="Hipervnculo"/>
                <w:rFonts w:eastAsia="MS Mincho"/>
                <w:b/>
                <w:bCs/>
                <w:i/>
                <w:noProof/>
                <w:sz w:val="16"/>
                <w:szCs w:val="16"/>
                <w:lang w:val="en-US"/>
              </w:rPr>
              <w:t xml:space="preserve">B.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The caesarean section and the tubal ligation surgical procedure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20</w:t>
            </w:r>
            <w:r w:rsidR="00D943BD" w:rsidRPr="00012C3F">
              <w:rPr>
                <w:noProof/>
                <w:webHidden/>
                <w:sz w:val="16"/>
                <w:szCs w:val="16"/>
              </w:rPr>
              <w:fldChar w:fldCharType="end"/>
            </w:r>
          </w:hyperlink>
        </w:p>
        <w:p w14:paraId="0D3169D9" w14:textId="1F0933BE" w:rsidR="00D943BD" w:rsidRPr="00012C3F" w:rsidRDefault="00C92775" w:rsidP="00D943BD">
          <w:pPr>
            <w:pStyle w:val="TDC2"/>
            <w:rPr>
              <w:rFonts w:eastAsiaTheme="minorEastAsia" w:cstheme="minorBidi"/>
              <w:noProof/>
              <w:sz w:val="16"/>
              <w:szCs w:val="16"/>
              <w:lang w:val="en-US" w:eastAsia="en-US"/>
            </w:rPr>
          </w:pPr>
          <w:hyperlink w:anchor="_Toc27486839" w:history="1">
            <w:r w:rsidR="00D943BD" w:rsidRPr="00012C3F">
              <w:rPr>
                <w:rStyle w:val="Hipervnculo"/>
                <w:rFonts w:eastAsia="MS Mincho"/>
                <w:b/>
                <w:bCs/>
                <w:i/>
                <w:noProof/>
                <w:sz w:val="16"/>
                <w:szCs w:val="16"/>
                <w:lang w:val="en-US"/>
              </w:rPr>
              <w:t xml:space="preserve">C.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Medical audits and report of the Ethics Tribunal of the La Paz Departmental Medical Association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_Toc27486839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22</w:t>
            </w:r>
            <w:r w:rsidR="00D943BD" w:rsidRPr="00012C3F">
              <w:rPr>
                <w:noProof/>
                <w:webHidden/>
                <w:sz w:val="16"/>
                <w:szCs w:val="16"/>
              </w:rPr>
              <w:fldChar w:fldCharType="end"/>
            </w:r>
          </w:hyperlink>
        </w:p>
        <w:p w14:paraId="3BB66806" w14:textId="4F2BDCC1" w:rsidR="00D943BD" w:rsidRPr="00012C3F" w:rsidRDefault="00C92775" w:rsidP="00D943BD">
          <w:pPr>
            <w:pStyle w:val="TDC2"/>
            <w:rPr>
              <w:rFonts w:eastAsiaTheme="minorEastAsia" w:cstheme="minorBidi"/>
              <w:noProof/>
              <w:sz w:val="16"/>
              <w:szCs w:val="16"/>
              <w:lang w:val="en-US" w:eastAsia="en-US"/>
            </w:rPr>
          </w:pPr>
          <w:hyperlink w:anchor="_Toc27486840" w:history="1">
            <w:r w:rsidR="00D943BD" w:rsidRPr="00012C3F">
              <w:rPr>
                <w:rStyle w:val="Hipervnculo"/>
                <w:i/>
                <w:noProof/>
                <w:sz w:val="16"/>
                <w:szCs w:val="16"/>
                <w:lang w:val="en-US"/>
              </w:rPr>
              <w:t xml:space="preserve">C.1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First medical audit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23</w:t>
            </w:r>
            <w:r w:rsidR="00D943BD" w:rsidRPr="00012C3F">
              <w:rPr>
                <w:noProof/>
                <w:webHidden/>
                <w:sz w:val="16"/>
                <w:szCs w:val="16"/>
              </w:rPr>
              <w:fldChar w:fldCharType="end"/>
            </w:r>
          </w:hyperlink>
        </w:p>
        <w:p w14:paraId="5FC17EE0" w14:textId="5A0D7F9B" w:rsidR="00D943BD" w:rsidRPr="00012C3F" w:rsidRDefault="00C92775" w:rsidP="00D943BD">
          <w:pPr>
            <w:pStyle w:val="TDC2"/>
            <w:rPr>
              <w:rFonts w:eastAsiaTheme="minorEastAsia" w:cstheme="minorBidi"/>
              <w:noProof/>
              <w:sz w:val="16"/>
              <w:szCs w:val="16"/>
              <w:lang w:val="en-US" w:eastAsia="en-US"/>
            </w:rPr>
          </w:pPr>
          <w:hyperlink w:anchor="_Toc27486841" w:history="1">
            <w:r w:rsidR="00D943BD" w:rsidRPr="00012C3F">
              <w:rPr>
                <w:rStyle w:val="Hipervnculo"/>
                <w:i/>
                <w:noProof/>
                <w:sz w:val="16"/>
                <w:szCs w:val="16"/>
                <w:lang w:val="en-US"/>
              </w:rPr>
              <w:t xml:space="preserve">C.2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Second medical audit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23</w:t>
            </w:r>
            <w:r w:rsidR="00D943BD" w:rsidRPr="00012C3F">
              <w:rPr>
                <w:noProof/>
                <w:webHidden/>
                <w:sz w:val="16"/>
                <w:szCs w:val="16"/>
              </w:rPr>
              <w:fldChar w:fldCharType="end"/>
            </w:r>
          </w:hyperlink>
        </w:p>
        <w:p w14:paraId="1D2D4945" w14:textId="4183DBD1" w:rsidR="00D943BD" w:rsidRPr="00012C3F" w:rsidRDefault="00C92775" w:rsidP="00D943BD">
          <w:pPr>
            <w:pStyle w:val="TDC2"/>
            <w:rPr>
              <w:rFonts w:eastAsiaTheme="minorEastAsia" w:cstheme="minorBidi"/>
              <w:noProof/>
              <w:sz w:val="16"/>
              <w:szCs w:val="16"/>
              <w:lang w:val="en-US" w:eastAsia="en-US"/>
            </w:rPr>
          </w:pPr>
          <w:hyperlink w:anchor="_Toc27486842" w:history="1">
            <w:r w:rsidR="00D943BD" w:rsidRPr="00012C3F">
              <w:rPr>
                <w:rStyle w:val="Hipervnculo"/>
                <w:i/>
                <w:noProof/>
                <w:sz w:val="16"/>
                <w:szCs w:val="16"/>
                <w:lang w:val="en-US"/>
              </w:rPr>
              <w:t xml:space="preserve">C.3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Third medical audit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23</w:t>
            </w:r>
            <w:r w:rsidR="00D943BD" w:rsidRPr="00012C3F">
              <w:rPr>
                <w:noProof/>
                <w:webHidden/>
                <w:sz w:val="16"/>
                <w:szCs w:val="16"/>
              </w:rPr>
              <w:fldChar w:fldCharType="end"/>
            </w:r>
          </w:hyperlink>
        </w:p>
        <w:p w14:paraId="6D609323" w14:textId="37F2F5AF" w:rsidR="00D943BD" w:rsidRPr="00012C3F" w:rsidRDefault="00C92775" w:rsidP="00D943BD">
          <w:pPr>
            <w:pStyle w:val="TDC2"/>
            <w:rPr>
              <w:rFonts w:eastAsiaTheme="minorEastAsia" w:cstheme="minorBidi"/>
              <w:noProof/>
              <w:sz w:val="16"/>
              <w:szCs w:val="16"/>
              <w:lang w:val="en-US" w:eastAsia="en-US"/>
            </w:rPr>
          </w:pPr>
          <w:hyperlink w:anchor="_Toc27486843" w:history="1">
            <w:r w:rsidR="00D943BD" w:rsidRPr="00012C3F">
              <w:rPr>
                <w:rStyle w:val="Hipervnculo"/>
                <w:i/>
                <w:noProof/>
                <w:sz w:val="16"/>
                <w:szCs w:val="16"/>
                <w:lang w:val="en-US"/>
              </w:rPr>
              <w:t xml:space="preserve">C.4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Report of the Ethics Tribunal of the La Paz Departmental Medical Association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24</w:t>
            </w:r>
            <w:r w:rsidR="00D943BD" w:rsidRPr="00012C3F">
              <w:rPr>
                <w:noProof/>
                <w:webHidden/>
                <w:sz w:val="16"/>
                <w:szCs w:val="16"/>
              </w:rPr>
              <w:fldChar w:fldCharType="end"/>
            </w:r>
          </w:hyperlink>
        </w:p>
        <w:p w14:paraId="2CF992F6" w14:textId="5CF1F61C" w:rsidR="00D943BD" w:rsidRPr="00012C3F" w:rsidRDefault="00C92775" w:rsidP="00D943BD">
          <w:pPr>
            <w:pStyle w:val="TDC2"/>
            <w:rPr>
              <w:rFonts w:eastAsiaTheme="minorEastAsia" w:cstheme="minorBidi"/>
              <w:noProof/>
              <w:sz w:val="16"/>
              <w:szCs w:val="16"/>
              <w:lang w:val="en-US" w:eastAsia="en-US"/>
            </w:rPr>
          </w:pPr>
          <w:hyperlink w:anchor="_Toc27486844" w:history="1">
            <w:r w:rsidR="00D943BD" w:rsidRPr="00012C3F">
              <w:rPr>
                <w:rStyle w:val="Hipervnculo"/>
                <w:rFonts w:eastAsia="MS Mincho"/>
                <w:b/>
                <w:bCs/>
                <w:i/>
                <w:noProof/>
                <w:sz w:val="16"/>
                <w:szCs w:val="16"/>
                <w:lang w:val="en-US"/>
              </w:rPr>
              <w:t xml:space="preserve">D.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Administrative proceeding</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26</w:t>
            </w:r>
            <w:r w:rsidR="00D943BD" w:rsidRPr="00012C3F">
              <w:rPr>
                <w:noProof/>
                <w:webHidden/>
                <w:sz w:val="16"/>
                <w:szCs w:val="16"/>
              </w:rPr>
              <w:fldChar w:fldCharType="end"/>
            </w:r>
          </w:hyperlink>
        </w:p>
        <w:p w14:paraId="7D87BAE9" w14:textId="203134A9" w:rsidR="00D943BD" w:rsidRPr="00012C3F" w:rsidRDefault="00C92775" w:rsidP="00D943BD">
          <w:pPr>
            <w:pStyle w:val="TDC2"/>
            <w:rPr>
              <w:rFonts w:eastAsiaTheme="minorEastAsia" w:cstheme="minorBidi"/>
              <w:noProof/>
              <w:sz w:val="16"/>
              <w:szCs w:val="16"/>
              <w:lang w:val="en-US" w:eastAsia="en-US"/>
            </w:rPr>
          </w:pPr>
          <w:hyperlink w:anchor="_Toc27486845" w:history="1">
            <w:r w:rsidR="00D943BD" w:rsidRPr="00012C3F">
              <w:rPr>
                <w:rStyle w:val="Hipervnculo"/>
                <w:rFonts w:eastAsia="MS Mincho"/>
                <w:b/>
                <w:bCs/>
                <w:i/>
                <w:noProof/>
                <w:sz w:val="16"/>
                <w:szCs w:val="16"/>
                <w:lang w:val="en-US"/>
              </w:rPr>
              <w:t xml:space="preserve">E.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Criminal proceedings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27</w:t>
            </w:r>
            <w:r w:rsidR="00D943BD" w:rsidRPr="00012C3F">
              <w:rPr>
                <w:noProof/>
                <w:webHidden/>
                <w:sz w:val="16"/>
                <w:szCs w:val="16"/>
              </w:rPr>
              <w:fldChar w:fldCharType="end"/>
            </w:r>
          </w:hyperlink>
        </w:p>
        <w:p w14:paraId="5B1A6ACA" w14:textId="029D820D" w:rsidR="00D943BD" w:rsidRPr="00012C3F" w:rsidRDefault="00C92775" w:rsidP="00D943BD">
          <w:pPr>
            <w:pStyle w:val="TDC2"/>
            <w:rPr>
              <w:rFonts w:eastAsiaTheme="minorEastAsia" w:cstheme="minorBidi"/>
              <w:noProof/>
              <w:sz w:val="16"/>
              <w:szCs w:val="16"/>
              <w:lang w:val="en-US" w:eastAsia="en-US"/>
            </w:rPr>
          </w:pPr>
          <w:hyperlink w:anchor="_Toc27486846" w:history="1">
            <w:r w:rsidR="00D943BD" w:rsidRPr="00012C3F">
              <w:rPr>
                <w:rStyle w:val="Hipervnculo"/>
                <w:i/>
                <w:noProof/>
                <w:sz w:val="16"/>
                <w:szCs w:val="16"/>
                <w:lang w:val="en-US"/>
              </w:rPr>
              <w:t xml:space="preserve">E.1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First oral proceeding</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27</w:t>
            </w:r>
            <w:r w:rsidR="00D943BD" w:rsidRPr="00012C3F">
              <w:rPr>
                <w:noProof/>
                <w:webHidden/>
                <w:sz w:val="16"/>
                <w:szCs w:val="16"/>
              </w:rPr>
              <w:fldChar w:fldCharType="end"/>
            </w:r>
          </w:hyperlink>
        </w:p>
        <w:p w14:paraId="1F7FA1D3" w14:textId="6F6DE4AF" w:rsidR="00D943BD" w:rsidRPr="00012C3F" w:rsidRDefault="00C92775" w:rsidP="00D943BD">
          <w:pPr>
            <w:pStyle w:val="TDC2"/>
            <w:rPr>
              <w:rFonts w:eastAsiaTheme="minorEastAsia" w:cstheme="minorBidi"/>
              <w:noProof/>
              <w:sz w:val="16"/>
              <w:szCs w:val="16"/>
              <w:lang w:val="en-US" w:eastAsia="en-US"/>
            </w:rPr>
          </w:pPr>
          <w:hyperlink w:anchor="_Toc27486847" w:history="1">
            <w:r w:rsidR="00D943BD" w:rsidRPr="00012C3F">
              <w:rPr>
                <w:rStyle w:val="Hipervnculo"/>
                <w:i/>
                <w:noProof/>
                <w:sz w:val="16"/>
                <w:szCs w:val="16"/>
                <w:lang w:val="en-US"/>
              </w:rPr>
              <w:t xml:space="preserve">E.2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Second oral proceeding</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28</w:t>
            </w:r>
            <w:r w:rsidR="00D943BD" w:rsidRPr="00012C3F">
              <w:rPr>
                <w:noProof/>
                <w:webHidden/>
                <w:sz w:val="16"/>
                <w:szCs w:val="16"/>
              </w:rPr>
              <w:fldChar w:fldCharType="end"/>
            </w:r>
          </w:hyperlink>
        </w:p>
        <w:p w14:paraId="7E6FD857" w14:textId="034EB622" w:rsidR="00D943BD" w:rsidRPr="00012C3F" w:rsidRDefault="00C92775" w:rsidP="00D943BD">
          <w:pPr>
            <w:pStyle w:val="TDC2"/>
            <w:rPr>
              <w:rFonts w:eastAsiaTheme="minorEastAsia" w:cstheme="minorBidi"/>
              <w:noProof/>
              <w:sz w:val="16"/>
              <w:szCs w:val="16"/>
              <w:lang w:val="en-US" w:eastAsia="en-US"/>
            </w:rPr>
          </w:pPr>
          <w:hyperlink w:anchor="_Toc27486848" w:history="1">
            <w:r w:rsidR="00D943BD" w:rsidRPr="00012C3F">
              <w:rPr>
                <w:rStyle w:val="Hipervnculo"/>
                <w:i/>
                <w:noProof/>
                <w:sz w:val="16"/>
                <w:szCs w:val="16"/>
                <w:lang w:val="en-US"/>
              </w:rPr>
              <w:t xml:space="preserve">E.3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Third oral proceeding</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31</w:t>
            </w:r>
            <w:r w:rsidR="00D943BD" w:rsidRPr="00012C3F">
              <w:rPr>
                <w:noProof/>
                <w:webHidden/>
                <w:sz w:val="16"/>
                <w:szCs w:val="16"/>
              </w:rPr>
              <w:fldChar w:fldCharType="end"/>
            </w:r>
          </w:hyperlink>
        </w:p>
        <w:p w14:paraId="23CB86C1" w14:textId="13FE9B0C" w:rsidR="00D943BD" w:rsidRPr="00012C3F" w:rsidRDefault="00C92775" w:rsidP="00D943BD">
          <w:pPr>
            <w:pStyle w:val="TDC2"/>
            <w:rPr>
              <w:rFonts w:eastAsiaTheme="minorEastAsia" w:cstheme="minorBidi"/>
              <w:noProof/>
              <w:sz w:val="16"/>
              <w:szCs w:val="16"/>
              <w:lang w:val="en-US" w:eastAsia="en-US"/>
            </w:rPr>
          </w:pPr>
          <w:hyperlink w:anchor="_Toc27486849" w:history="1">
            <w:r w:rsidR="00D943BD" w:rsidRPr="00012C3F">
              <w:rPr>
                <w:rStyle w:val="Hipervnculo"/>
                <w:rFonts w:eastAsia="MS Mincho"/>
                <w:b/>
                <w:bCs/>
                <w:i/>
                <w:noProof/>
                <w:sz w:val="16"/>
                <w:szCs w:val="16"/>
                <w:lang w:val="en-US"/>
              </w:rPr>
              <w:t xml:space="preserve">F.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Physical and psychological effects of the surgical procedure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_Toc27486849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33</w:t>
            </w:r>
            <w:r w:rsidR="00D943BD" w:rsidRPr="00012C3F">
              <w:rPr>
                <w:noProof/>
                <w:webHidden/>
                <w:sz w:val="16"/>
                <w:szCs w:val="16"/>
              </w:rPr>
              <w:fldChar w:fldCharType="end"/>
            </w:r>
          </w:hyperlink>
        </w:p>
        <w:p w14:paraId="51FD6B69" w14:textId="66EC760D"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50" w:history="1">
            <w:r w:rsidR="00D943BD" w:rsidRPr="00012C3F">
              <w:rPr>
                <w:rStyle w:val="Hipervnculo"/>
                <w:rFonts w:cs="Verdana"/>
                <w:b/>
                <w:bCs/>
                <w:caps/>
                <w:noProof/>
                <w:snapToGrid w:val="0"/>
                <w:sz w:val="16"/>
                <w:szCs w:val="16"/>
                <w:lang w:val="en-US"/>
              </w:rPr>
              <w:t>vIii MERITS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34</w:t>
            </w:r>
            <w:r w:rsidR="00D943BD" w:rsidRPr="00012C3F">
              <w:rPr>
                <w:noProof/>
                <w:webHidden/>
                <w:sz w:val="16"/>
                <w:szCs w:val="16"/>
              </w:rPr>
              <w:fldChar w:fldCharType="end"/>
            </w:r>
          </w:hyperlink>
        </w:p>
        <w:p w14:paraId="020E780F" w14:textId="0FB09B0E"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51" w:history="1">
            <w:r w:rsidR="00D943BD" w:rsidRPr="00012C3F">
              <w:rPr>
                <w:rStyle w:val="Hipervnculo"/>
                <w:rFonts w:eastAsia="MS ????" w:cs="Verdana"/>
                <w:b/>
                <w:bCs/>
                <w:noProof/>
                <w:snapToGrid w:val="0"/>
                <w:sz w:val="16"/>
                <w:szCs w:val="16"/>
                <w:lang w:val="en-US" w:eastAsia="es-ES"/>
              </w:rPr>
              <w:t>VIII-1 RIGHTS TO PERSONAL INTEGRITY, TO PERSONAL LIBERTY, TO DIGNITY, TO PRIVACY AND FAMILY LIFE, TO ACCESS TO INFORMATION, TO RAISE A FAMILY, AND TO RECOGNITION OF JURIDICAL PERSONALITY, IN RELATION TO THE OBLIGATIONS TO RESPECT AND TO ENSURE RIGHTS WITHOUT DISCRIMINATION, AND ALSO ARTICLE 7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35</w:t>
            </w:r>
            <w:r w:rsidR="00D943BD" w:rsidRPr="00012C3F">
              <w:rPr>
                <w:noProof/>
                <w:webHidden/>
                <w:sz w:val="16"/>
                <w:szCs w:val="16"/>
              </w:rPr>
              <w:fldChar w:fldCharType="end"/>
            </w:r>
          </w:hyperlink>
        </w:p>
        <w:p w14:paraId="002093EC" w14:textId="7C4D64B0" w:rsidR="00D943BD" w:rsidRPr="00012C3F" w:rsidRDefault="00C92775" w:rsidP="00D943BD">
          <w:pPr>
            <w:pStyle w:val="TDC2"/>
            <w:rPr>
              <w:rFonts w:eastAsiaTheme="minorEastAsia" w:cstheme="minorBidi"/>
              <w:noProof/>
              <w:sz w:val="16"/>
              <w:szCs w:val="16"/>
              <w:lang w:val="en-US" w:eastAsia="en-US"/>
            </w:rPr>
          </w:pPr>
          <w:hyperlink w:anchor="_Toc27486852" w:history="1">
            <w:r w:rsidR="00D943BD" w:rsidRPr="00012C3F">
              <w:rPr>
                <w:rStyle w:val="Hipervnculo"/>
                <w:rFonts w:eastAsia="MS Mincho"/>
                <w:b/>
                <w:bCs/>
                <w:i/>
                <w:noProof/>
                <w:sz w:val="16"/>
                <w:szCs w:val="16"/>
                <w:lang w:val="en-US"/>
              </w:rPr>
              <w:t>A.</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Arguments of the parties and of the Commission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35</w:t>
            </w:r>
            <w:r w:rsidR="00D943BD" w:rsidRPr="00012C3F">
              <w:rPr>
                <w:noProof/>
                <w:webHidden/>
                <w:sz w:val="16"/>
                <w:szCs w:val="16"/>
              </w:rPr>
              <w:fldChar w:fldCharType="end"/>
            </w:r>
          </w:hyperlink>
        </w:p>
        <w:p w14:paraId="7CD76840" w14:textId="2512BF0A" w:rsidR="00D943BD" w:rsidRPr="00012C3F" w:rsidRDefault="00C92775" w:rsidP="00D943BD">
          <w:pPr>
            <w:pStyle w:val="TDC2"/>
            <w:rPr>
              <w:rFonts w:eastAsiaTheme="minorEastAsia" w:cstheme="minorBidi"/>
              <w:noProof/>
              <w:sz w:val="16"/>
              <w:szCs w:val="16"/>
              <w:lang w:val="en-US" w:eastAsia="en-US"/>
            </w:rPr>
          </w:pPr>
          <w:hyperlink w:anchor="_Toc27486853" w:history="1">
            <w:r w:rsidR="00D943BD" w:rsidRPr="00012C3F">
              <w:rPr>
                <w:rStyle w:val="Hipervnculo"/>
                <w:i/>
                <w:noProof/>
                <w:sz w:val="16"/>
                <w:szCs w:val="16"/>
                <w:lang w:val="en-US"/>
              </w:rPr>
              <w:t>A.1</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right to personal integrity (Article 5(1) of the American Convention)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35</w:t>
            </w:r>
            <w:r w:rsidR="00D943BD" w:rsidRPr="00012C3F">
              <w:rPr>
                <w:noProof/>
                <w:webHidden/>
                <w:sz w:val="16"/>
                <w:szCs w:val="16"/>
              </w:rPr>
              <w:fldChar w:fldCharType="end"/>
            </w:r>
          </w:hyperlink>
        </w:p>
        <w:p w14:paraId="6EC753D5" w14:textId="7FF3916A" w:rsidR="00D943BD" w:rsidRPr="00012C3F" w:rsidRDefault="00C92775" w:rsidP="00D943BD">
          <w:pPr>
            <w:pStyle w:val="TDC2"/>
            <w:rPr>
              <w:rFonts w:eastAsiaTheme="minorEastAsia" w:cstheme="minorBidi"/>
              <w:noProof/>
              <w:sz w:val="16"/>
              <w:szCs w:val="16"/>
              <w:lang w:val="en-US" w:eastAsia="en-US"/>
            </w:rPr>
          </w:pPr>
          <w:hyperlink w:anchor="_Toc27486854" w:history="1">
            <w:r w:rsidR="00D943BD" w:rsidRPr="00012C3F">
              <w:rPr>
                <w:rStyle w:val="Hipervnculo"/>
                <w:i/>
                <w:noProof/>
                <w:sz w:val="16"/>
                <w:szCs w:val="16"/>
                <w:lang w:val="en-US"/>
              </w:rPr>
              <w:t>A.2</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right of access to information (Article 13(1) of the American Convention)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36</w:t>
            </w:r>
            <w:r w:rsidR="00D943BD" w:rsidRPr="00012C3F">
              <w:rPr>
                <w:noProof/>
                <w:webHidden/>
                <w:sz w:val="16"/>
                <w:szCs w:val="16"/>
              </w:rPr>
              <w:fldChar w:fldCharType="end"/>
            </w:r>
          </w:hyperlink>
        </w:p>
        <w:p w14:paraId="6FE7F44F" w14:textId="3778D3E6" w:rsidR="00D943BD" w:rsidRPr="00012C3F" w:rsidRDefault="00C92775" w:rsidP="00D943BD">
          <w:pPr>
            <w:pStyle w:val="TDC3"/>
            <w:rPr>
              <w:rFonts w:eastAsiaTheme="minorEastAsia" w:cstheme="minorBidi"/>
              <w:noProof/>
              <w:sz w:val="16"/>
              <w:szCs w:val="16"/>
              <w:lang w:val="en-US" w:eastAsia="en-US"/>
            </w:rPr>
          </w:pPr>
          <w:hyperlink w:anchor="_Toc27486855" w:history="1">
            <w:r w:rsidR="00D943BD" w:rsidRPr="00012C3F">
              <w:rPr>
                <w:rStyle w:val="Hipervnculo"/>
                <w:rFonts w:eastAsia="MS Mincho" w:cs="Arial"/>
                <w:i/>
                <w:noProof/>
                <w:sz w:val="16"/>
                <w:szCs w:val="16"/>
                <w:lang w:val="en-US" w:eastAsia="en-US"/>
              </w:rPr>
              <w:t xml:space="preserve">A.2.a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Access to information and informed consent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36</w:t>
            </w:r>
            <w:r w:rsidR="00D943BD" w:rsidRPr="00012C3F">
              <w:rPr>
                <w:noProof/>
                <w:webHidden/>
                <w:sz w:val="16"/>
                <w:szCs w:val="16"/>
              </w:rPr>
              <w:fldChar w:fldCharType="end"/>
            </w:r>
          </w:hyperlink>
        </w:p>
        <w:p w14:paraId="30946420" w14:textId="2FD1AE0C" w:rsidR="00D943BD" w:rsidRPr="00012C3F" w:rsidRDefault="00C92775" w:rsidP="00D943BD">
          <w:pPr>
            <w:pStyle w:val="TDC3"/>
            <w:rPr>
              <w:rFonts w:eastAsiaTheme="minorEastAsia" w:cstheme="minorBidi"/>
              <w:noProof/>
              <w:sz w:val="16"/>
              <w:szCs w:val="16"/>
              <w:lang w:val="en-US" w:eastAsia="en-US"/>
            </w:rPr>
          </w:pPr>
          <w:hyperlink w:anchor="_Toc27486856" w:history="1">
            <w:r w:rsidR="00D943BD" w:rsidRPr="00012C3F">
              <w:rPr>
                <w:rStyle w:val="Hipervnculo"/>
                <w:rFonts w:eastAsia="MS Mincho" w:cs="Arial"/>
                <w:i/>
                <w:noProof/>
                <w:sz w:val="16"/>
                <w:szCs w:val="16"/>
                <w:lang w:val="en-US" w:eastAsia="en-US"/>
              </w:rPr>
              <w:t xml:space="preserve">A.2.b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The right to know the truth</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38</w:t>
            </w:r>
            <w:r w:rsidR="00D943BD" w:rsidRPr="00012C3F">
              <w:rPr>
                <w:noProof/>
                <w:webHidden/>
                <w:sz w:val="16"/>
                <w:szCs w:val="16"/>
              </w:rPr>
              <w:fldChar w:fldCharType="end"/>
            </w:r>
          </w:hyperlink>
        </w:p>
        <w:p w14:paraId="47D1E8FB" w14:textId="4398EAF0" w:rsidR="00D943BD" w:rsidRPr="00012C3F" w:rsidRDefault="00C92775" w:rsidP="00D943BD">
          <w:pPr>
            <w:pStyle w:val="TDC2"/>
            <w:rPr>
              <w:rFonts w:eastAsiaTheme="minorEastAsia" w:cstheme="minorBidi"/>
              <w:noProof/>
              <w:sz w:val="16"/>
              <w:szCs w:val="16"/>
              <w:lang w:val="en-US" w:eastAsia="en-US"/>
            </w:rPr>
          </w:pPr>
          <w:hyperlink w:anchor="_Toc27486857" w:history="1">
            <w:r w:rsidR="00D943BD" w:rsidRPr="00012C3F">
              <w:rPr>
                <w:rStyle w:val="Hipervnculo"/>
                <w:i/>
                <w:noProof/>
                <w:sz w:val="16"/>
                <w:szCs w:val="16"/>
                <w:lang w:val="en-US"/>
              </w:rPr>
              <w:t xml:space="preserve">A.3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rights to dignity, to private and family life, and to raise a family (Articles 11(1), 11(2) and 17(2) of the American Convention)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38</w:t>
            </w:r>
            <w:r w:rsidR="00D943BD" w:rsidRPr="00012C3F">
              <w:rPr>
                <w:noProof/>
                <w:webHidden/>
                <w:sz w:val="16"/>
                <w:szCs w:val="16"/>
              </w:rPr>
              <w:fldChar w:fldCharType="end"/>
            </w:r>
          </w:hyperlink>
        </w:p>
        <w:p w14:paraId="5AE3B85A" w14:textId="47A1B0BA" w:rsidR="00D943BD" w:rsidRPr="00012C3F" w:rsidRDefault="00C92775" w:rsidP="00D943BD">
          <w:pPr>
            <w:pStyle w:val="TDC2"/>
            <w:rPr>
              <w:rFonts w:eastAsiaTheme="minorEastAsia" w:cstheme="minorBidi"/>
              <w:noProof/>
              <w:sz w:val="16"/>
              <w:szCs w:val="16"/>
              <w:lang w:val="en-US" w:eastAsia="en-US"/>
            </w:rPr>
          </w:pPr>
          <w:hyperlink w:anchor="_Toc27486858" w:history="1">
            <w:r w:rsidR="00D943BD" w:rsidRPr="00012C3F">
              <w:rPr>
                <w:rStyle w:val="Hipervnculo"/>
                <w:i/>
                <w:noProof/>
                <w:sz w:val="16"/>
                <w:szCs w:val="16"/>
                <w:lang w:val="en-US"/>
              </w:rPr>
              <w:t xml:space="preserve">A.4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right to recognition of juridical personality (Article 3 of the American Convention)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39</w:t>
            </w:r>
            <w:r w:rsidR="00D943BD" w:rsidRPr="00012C3F">
              <w:rPr>
                <w:noProof/>
                <w:webHidden/>
                <w:sz w:val="16"/>
                <w:szCs w:val="16"/>
              </w:rPr>
              <w:fldChar w:fldCharType="end"/>
            </w:r>
          </w:hyperlink>
        </w:p>
        <w:p w14:paraId="6D24465C" w14:textId="6EA8F0B0" w:rsidR="00D943BD" w:rsidRPr="00012C3F" w:rsidRDefault="00C92775" w:rsidP="00D943BD">
          <w:pPr>
            <w:pStyle w:val="TDC2"/>
            <w:rPr>
              <w:rFonts w:eastAsiaTheme="minorEastAsia" w:cstheme="minorBidi"/>
              <w:noProof/>
              <w:sz w:val="16"/>
              <w:szCs w:val="16"/>
              <w:lang w:val="en-US" w:eastAsia="en-US"/>
            </w:rPr>
          </w:pPr>
          <w:hyperlink w:anchor="_Toc27486859" w:history="1">
            <w:r w:rsidR="00D943BD" w:rsidRPr="00012C3F">
              <w:rPr>
                <w:rStyle w:val="Hipervnculo"/>
                <w:i/>
                <w:noProof/>
                <w:sz w:val="16"/>
                <w:szCs w:val="16"/>
                <w:lang w:val="en-US"/>
              </w:rPr>
              <w:t>A.5</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prohibition of discrimination in relation to the alleged non-consensual sterilization (Article 1(1) of the American Convention in relation to Articles 5(1), 11(1), 11(2), 13(1) and 17(2) of this instrument)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_Toc27486859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39</w:t>
            </w:r>
            <w:r w:rsidR="00D943BD" w:rsidRPr="00012C3F">
              <w:rPr>
                <w:noProof/>
                <w:webHidden/>
                <w:sz w:val="16"/>
                <w:szCs w:val="16"/>
              </w:rPr>
              <w:fldChar w:fldCharType="end"/>
            </w:r>
          </w:hyperlink>
        </w:p>
        <w:p w14:paraId="23AC2651" w14:textId="7B5233F5" w:rsidR="00D943BD" w:rsidRPr="00012C3F" w:rsidRDefault="00C92775" w:rsidP="00D943BD">
          <w:pPr>
            <w:pStyle w:val="TDC2"/>
            <w:rPr>
              <w:rFonts w:eastAsiaTheme="minorEastAsia" w:cstheme="minorBidi"/>
              <w:noProof/>
              <w:sz w:val="16"/>
              <w:szCs w:val="16"/>
              <w:lang w:val="en-US" w:eastAsia="en-US"/>
            </w:rPr>
          </w:pPr>
          <w:hyperlink w:anchor="_Toc27486860" w:history="1">
            <w:r w:rsidR="00D943BD" w:rsidRPr="00012C3F">
              <w:rPr>
                <w:rStyle w:val="Hipervnculo"/>
                <w:i/>
                <w:noProof/>
                <w:sz w:val="16"/>
                <w:szCs w:val="16"/>
                <w:lang w:val="en-US"/>
              </w:rPr>
              <w:t>A.6</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right of women to a life free from violence (Article 7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41</w:t>
            </w:r>
            <w:r w:rsidR="00D943BD" w:rsidRPr="00012C3F">
              <w:rPr>
                <w:noProof/>
                <w:webHidden/>
                <w:sz w:val="16"/>
                <w:szCs w:val="16"/>
              </w:rPr>
              <w:fldChar w:fldCharType="end"/>
            </w:r>
          </w:hyperlink>
        </w:p>
        <w:p w14:paraId="1E46C4AC" w14:textId="6EA75BC1" w:rsidR="00D943BD" w:rsidRPr="00012C3F" w:rsidRDefault="00C92775" w:rsidP="00D943BD">
          <w:pPr>
            <w:pStyle w:val="TDC2"/>
            <w:rPr>
              <w:rFonts w:eastAsiaTheme="minorEastAsia" w:cstheme="minorBidi"/>
              <w:noProof/>
              <w:sz w:val="16"/>
              <w:szCs w:val="16"/>
              <w:lang w:val="en-US" w:eastAsia="en-US"/>
            </w:rPr>
          </w:pPr>
          <w:hyperlink w:anchor="_Toc27486861" w:history="1">
            <w:r w:rsidR="00D943BD" w:rsidRPr="00012C3F">
              <w:rPr>
                <w:rStyle w:val="Hipervnculo"/>
                <w:rFonts w:eastAsia="MS Mincho"/>
                <w:b/>
                <w:bCs/>
                <w:i/>
                <w:noProof/>
                <w:sz w:val="16"/>
                <w:szCs w:val="16"/>
                <w:lang w:val="en-US"/>
              </w:rPr>
              <w:t>B.</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Considerations of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42</w:t>
            </w:r>
            <w:r w:rsidR="00D943BD" w:rsidRPr="00012C3F">
              <w:rPr>
                <w:noProof/>
                <w:webHidden/>
                <w:sz w:val="16"/>
                <w:szCs w:val="16"/>
              </w:rPr>
              <w:fldChar w:fldCharType="end"/>
            </w:r>
          </w:hyperlink>
        </w:p>
        <w:p w14:paraId="1BF3CCC2" w14:textId="02D7F375" w:rsidR="00D943BD" w:rsidRPr="00012C3F" w:rsidRDefault="00C92775" w:rsidP="00D943BD">
          <w:pPr>
            <w:pStyle w:val="TDC2"/>
            <w:rPr>
              <w:rFonts w:eastAsiaTheme="minorEastAsia" w:cstheme="minorBidi"/>
              <w:noProof/>
              <w:sz w:val="16"/>
              <w:szCs w:val="16"/>
              <w:lang w:val="en-US" w:eastAsia="en-US"/>
            </w:rPr>
          </w:pPr>
          <w:hyperlink w:anchor="_Toc27486862" w:history="1">
            <w:r w:rsidR="00D943BD" w:rsidRPr="00012C3F">
              <w:rPr>
                <w:rStyle w:val="Hipervnculo"/>
                <w:i/>
                <w:noProof/>
                <w:sz w:val="16"/>
                <w:szCs w:val="16"/>
                <w:lang w:val="en-US"/>
              </w:rPr>
              <w:t xml:space="preserve">B.1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Scope of the rights established in the American Convention in this case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42</w:t>
            </w:r>
            <w:r w:rsidR="00D943BD" w:rsidRPr="00012C3F">
              <w:rPr>
                <w:noProof/>
                <w:webHidden/>
                <w:sz w:val="16"/>
                <w:szCs w:val="16"/>
              </w:rPr>
              <w:fldChar w:fldCharType="end"/>
            </w:r>
          </w:hyperlink>
        </w:p>
        <w:p w14:paraId="7302F2E2" w14:textId="665DE5F4" w:rsidR="00D943BD" w:rsidRPr="00012C3F" w:rsidRDefault="00C92775" w:rsidP="00D943BD">
          <w:pPr>
            <w:pStyle w:val="TDC2"/>
            <w:rPr>
              <w:rFonts w:eastAsiaTheme="minorEastAsia" w:cstheme="minorBidi"/>
              <w:noProof/>
              <w:sz w:val="16"/>
              <w:szCs w:val="16"/>
              <w:lang w:val="en-US" w:eastAsia="en-US"/>
            </w:rPr>
          </w:pPr>
          <w:hyperlink w:anchor="_Toc27486863" w:history="1">
            <w:r w:rsidR="00D943BD" w:rsidRPr="00012C3F">
              <w:rPr>
                <w:rStyle w:val="Hipervnculo"/>
                <w:i/>
                <w:noProof/>
                <w:sz w:val="16"/>
                <w:szCs w:val="16"/>
                <w:lang w:val="en-US"/>
              </w:rPr>
              <w:t xml:space="preserve">B.2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Consent in international law, comparative law and jurisprudence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48</w:t>
            </w:r>
            <w:r w:rsidR="00D943BD" w:rsidRPr="00012C3F">
              <w:rPr>
                <w:noProof/>
                <w:webHidden/>
                <w:sz w:val="16"/>
                <w:szCs w:val="16"/>
              </w:rPr>
              <w:fldChar w:fldCharType="end"/>
            </w:r>
          </w:hyperlink>
        </w:p>
        <w:p w14:paraId="532CC215" w14:textId="62F3DD2D" w:rsidR="00D943BD" w:rsidRPr="00012C3F" w:rsidRDefault="00C92775" w:rsidP="00D943BD">
          <w:pPr>
            <w:pStyle w:val="TDC3"/>
            <w:rPr>
              <w:rFonts w:eastAsiaTheme="minorEastAsia" w:cstheme="minorBidi"/>
              <w:noProof/>
              <w:sz w:val="16"/>
              <w:szCs w:val="16"/>
              <w:lang w:val="en-US" w:eastAsia="en-US"/>
            </w:rPr>
          </w:pPr>
          <w:hyperlink w:anchor="_Toc27486864" w:history="1">
            <w:r w:rsidR="00D943BD" w:rsidRPr="00012C3F">
              <w:rPr>
                <w:rStyle w:val="Hipervnculo"/>
                <w:rFonts w:eastAsia="MS Mincho" w:cs="Arial"/>
                <w:i/>
                <w:noProof/>
                <w:sz w:val="16"/>
                <w:szCs w:val="16"/>
                <w:lang w:val="en-US" w:eastAsia="en-US"/>
              </w:rPr>
              <w:t xml:space="preserve">B.2.a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The elements of consent in international law and jurisprudence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50</w:t>
            </w:r>
            <w:r w:rsidR="00D943BD" w:rsidRPr="00012C3F">
              <w:rPr>
                <w:noProof/>
                <w:webHidden/>
                <w:sz w:val="16"/>
                <w:szCs w:val="16"/>
              </w:rPr>
              <w:fldChar w:fldCharType="end"/>
            </w:r>
          </w:hyperlink>
        </w:p>
        <w:p w14:paraId="771E94BD" w14:textId="7A29EBAC" w:rsidR="00D943BD" w:rsidRPr="00012C3F" w:rsidRDefault="00C92775" w:rsidP="00D943BD">
          <w:pPr>
            <w:pStyle w:val="TDC3"/>
            <w:rPr>
              <w:rFonts w:eastAsiaTheme="minorEastAsia" w:cstheme="minorBidi"/>
              <w:noProof/>
              <w:sz w:val="16"/>
              <w:szCs w:val="16"/>
              <w:lang w:val="en-US" w:eastAsia="en-US"/>
            </w:rPr>
          </w:pPr>
          <w:hyperlink w:anchor="_Toc27486865" w:history="1">
            <w:r w:rsidR="00D943BD" w:rsidRPr="00012C3F">
              <w:rPr>
                <w:rStyle w:val="Hipervnculo"/>
                <w:rFonts w:eastAsia="MS Mincho" w:cs="Arial"/>
                <w:i/>
                <w:noProof/>
                <w:sz w:val="16"/>
                <w:szCs w:val="16"/>
                <w:lang w:val="en-US" w:eastAsia="en-US"/>
              </w:rPr>
              <w:t xml:space="preserve">B.2.b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 xml:space="preserve"> The elements of consent derived from domestic legal systems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61</w:t>
            </w:r>
            <w:r w:rsidR="00D943BD" w:rsidRPr="00012C3F">
              <w:rPr>
                <w:noProof/>
                <w:webHidden/>
                <w:sz w:val="16"/>
                <w:szCs w:val="16"/>
              </w:rPr>
              <w:fldChar w:fldCharType="end"/>
            </w:r>
          </w:hyperlink>
        </w:p>
        <w:p w14:paraId="6B3D1330" w14:textId="6C20A1A6" w:rsidR="00D943BD" w:rsidRPr="00012C3F" w:rsidRDefault="00C92775" w:rsidP="00D943BD">
          <w:pPr>
            <w:pStyle w:val="TDC3"/>
            <w:rPr>
              <w:rFonts w:eastAsiaTheme="minorEastAsia" w:cstheme="minorBidi"/>
              <w:noProof/>
              <w:sz w:val="16"/>
              <w:szCs w:val="16"/>
              <w:lang w:val="en-US" w:eastAsia="en-US"/>
            </w:rPr>
          </w:pPr>
          <w:hyperlink w:anchor="_Toc27486866" w:history="1">
            <w:r w:rsidR="00D943BD" w:rsidRPr="00012C3F">
              <w:rPr>
                <w:rStyle w:val="Hipervnculo"/>
                <w:rFonts w:eastAsia="MS Mincho" w:cs="Arial"/>
                <w:i/>
                <w:noProof/>
                <w:sz w:val="16"/>
                <w:szCs w:val="16"/>
                <w:lang w:val="en-US" w:eastAsia="en-US"/>
              </w:rPr>
              <w:t xml:space="preserve">B.2.c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Conclusion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63</w:t>
            </w:r>
            <w:r w:rsidR="00D943BD" w:rsidRPr="00012C3F">
              <w:rPr>
                <w:noProof/>
                <w:webHidden/>
                <w:sz w:val="16"/>
                <w:szCs w:val="16"/>
              </w:rPr>
              <w:fldChar w:fldCharType="end"/>
            </w:r>
          </w:hyperlink>
        </w:p>
        <w:p w14:paraId="21161472" w14:textId="2EA763B4" w:rsidR="00D943BD" w:rsidRPr="00012C3F" w:rsidRDefault="00C92775" w:rsidP="00D943BD">
          <w:pPr>
            <w:pStyle w:val="TDC2"/>
            <w:rPr>
              <w:rFonts w:eastAsiaTheme="minorEastAsia" w:cstheme="minorBidi"/>
              <w:noProof/>
              <w:sz w:val="16"/>
              <w:szCs w:val="16"/>
              <w:lang w:val="en-US" w:eastAsia="en-US"/>
            </w:rPr>
          </w:pPr>
          <w:hyperlink w:anchor="_Toc27486867" w:history="1">
            <w:r w:rsidR="00D943BD" w:rsidRPr="00012C3F">
              <w:rPr>
                <w:rStyle w:val="Hipervnculo"/>
                <w:i/>
                <w:noProof/>
                <w:sz w:val="16"/>
                <w:szCs w:val="16"/>
                <w:lang w:val="en-US"/>
              </w:rPr>
              <w:t xml:space="preserve">B.3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Determination of the scope of the State’s international responsibility</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63</w:t>
            </w:r>
            <w:r w:rsidR="00D943BD" w:rsidRPr="00012C3F">
              <w:rPr>
                <w:noProof/>
                <w:webHidden/>
                <w:sz w:val="16"/>
                <w:szCs w:val="16"/>
              </w:rPr>
              <w:fldChar w:fldCharType="end"/>
            </w:r>
          </w:hyperlink>
        </w:p>
        <w:p w14:paraId="671B2491" w14:textId="7032DB57" w:rsidR="00D943BD" w:rsidRPr="00012C3F" w:rsidRDefault="00C92775" w:rsidP="00D943BD">
          <w:pPr>
            <w:pStyle w:val="TDC3"/>
            <w:rPr>
              <w:rFonts w:eastAsiaTheme="minorEastAsia" w:cstheme="minorBidi"/>
              <w:noProof/>
              <w:sz w:val="16"/>
              <w:szCs w:val="16"/>
              <w:lang w:val="en-US" w:eastAsia="en-US"/>
            </w:rPr>
          </w:pPr>
          <w:hyperlink w:anchor="_Toc27486868" w:history="1">
            <w:r w:rsidR="00D943BD" w:rsidRPr="00012C3F">
              <w:rPr>
                <w:rStyle w:val="Hipervnculo"/>
                <w:rFonts w:eastAsia="MS Mincho" w:cs="Arial"/>
                <w:i/>
                <w:noProof/>
                <w:sz w:val="16"/>
                <w:szCs w:val="16"/>
                <w:lang w:val="en-US" w:eastAsia="en-US"/>
              </w:rPr>
              <w:t>B.3.a</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Duty of prevention with regard to the rights recognized in Articles 5, 7, 11, 13 and 17 of the American Convention and 7(b)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65</w:t>
            </w:r>
            <w:r w:rsidR="00D943BD" w:rsidRPr="00012C3F">
              <w:rPr>
                <w:noProof/>
                <w:webHidden/>
                <w:sz w:val="16"/>
                <w:szCs w:val="16"/>
              </w:rPr>
              <w:fldChar w:fldCharType="end"/>
            </w:r>
          </w:hyperlink>
        </w:p>
        <w:p w14:paraId="1756AFA3" w14:textId="59E76B1F" w:rsidR="00D943BD" w:rsidRPr="00012C3F" w:rsidRDefault="00C92775" w:rsidP="00D943BD">
          <w:pPr>
            <w:pStyle w:val="TDC3"/>
            <w:rPr>
              <w:rFonts w:eastAsiaTheme="minorEastAsia" w:cstheme="minorBidi"/>
              <w:noProof/>
              <w:sz w:val="16"/>
              <w:szCs w:val="16"/>
              <w:lang w:val="en-US" w:eastAsia="en-US"/>
            </w:rPr>
          </w:pPr>
          <w:hyperlink w:anchor="_Toc27486869" w:history="1">
            <w:r w:rsidR="00D943BD" w:rsidRPr="00012C3F">
              <w:rPr>
                <w:rStyle w:val="Hipervnculo"/>
                <w:rFonts w:eastAsia="MS Mincho" w:cs="Arial"/>
                <w:i/>
                <w:noProof/>
                <w:sz w:val="16"/>
                <w:szCs w:val="16"/>
                <w:lang w:val="en-US" w:eastAsia="en-US"/>
              </w:rPr>
              <w:t>B.3.b</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Obligation to respect the rights recognized in Articles 5, 7, 11, 13 and 17 of the American Convention and 7(a)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_Toc27486869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69</w:t>
            </w:r>
            <w:r w:rsidR="00D943BD" w:rsidRPr="00012C3F">
              <w:rPr>
                <w:noProof/>
                <w:webHidden/>
                <w:sz w:val="16"/>
                <w:szCs w:val="16"/>
              </w:rPr>
              <w:fldChar w:fldCharType="end"/>
            </w:r>
          </w:hyperlink>
        </w:p>
        <w:p w14:paraId="739CB556" w14:textId="4E3D0586" w:rsidR="00D943BD" w:rsidRPr="00012C3F" w:rsidRDefault="00C92775" w:rsidP="00D943BD">
          <w:pPr>
            <w:pStyle w:val="TDC3"/>
            <w:rPr>
              <w:rFonts w:eastAsiaTheme="minorEastAsia" w:cstheme="minorBidi"/>
              <w:noProof/>
              <w:sz w:val="16"/>
              <w:szCs w:val="16"/>
              <w:lang w:val="en-US" w:eastAsia="en-US"/>
            </w:rPr>
          </w:pPr>
          <w:hyperlink w:anchor="_Toc27486870" w:history="1">
            <w:r w:rsidR="00D943BD" w:rsidRPr="00012C3F">
              <w:rPr>
                <w:rStyle w:val="Hipervnculo"/>
                <w:rFonts w:eastAsia="MS Mincho" w:cs="Arial"/>
                <w:i/>
                <w:noProof/>
                <w:sz w:val="16"/>
                <w:szCs w:val="16"/>
                <w:lang w:val="en-US" w:eastAsia="en-US"/>
              </w:rPr>
              <w:t>B.3.c</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Duty not to discriminate when respecting and ensuring the rights recognized in Articles 5, 7, 11, 13 and 17 of the American Convention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75</w:t>
            </w:r>
            <w:r w:rsidR="00D943BD" w:rsidRPr="00012C3F">
              <w:rPr>
                <w:noProof/>
                <w:webHidden/>
                <w:sz w:val="16"/>
                <w:szCs w:val="16"/>
              </w:rPr>
              <w:fldChar w:fldCharType="end"/>
            </w:r>
          </w:hyperlink>
        </w:p>
        <w:p w14:paraId="5DE59C20" w14:textId="0EDA04EE" w:rsidR="00D943BD" w:rsidRPr="00012C3F" w:rsidRDefault="00C92775" w:rsidP="00D943BD">
          <w:pPr>
            <w:pStyle w:val="TDC3"/>
            <w:rPr>
              <w:rFonts w:eastAsiaTheme="minorEastAsia" w:cstheme="minorBidi"/>
              <w:noProof/>
              <w:sz w:val="16"/>
              <w:szCs w:val="16"/>
              <w:lang w:val="en-US" w:eastAsia="en-US"/>
            </w:rPr>
          </w:pPr>
          <w:hyperlink w:anchor="_Toc27486871" w:history="1">
            <w:r w:rsidR="00D943BD" w:rsidRPr="00012C3F">
              <w:rPr>
                <w:rStyle w:val="Hipervnculo"/>
                <w:rFonts w:eastAsia="MS Mincho" w:cs="Arial"/>
                <w:i/>
                <w:noProof/>
                <w:sz w:val="16"/>
                <w:szCs w:val="16"/>
                <w:lang w:val="en-US" w:eastAsia="en-US"/>
              </w:rPr>
              <w:t xml:space="preserve">B.3.d </w:t>
            </w:r>
            <w:r w:rsidR="00D943BD" w:rsidRPr="00012C3F">
              <w:rPr>
                <w:rFonts w:eastAsiaTheme="minorEastAsia" w:cstheme="minorBidi"/>
                <w:noProof/>
                <w:sz w:val="16"/>
                <w:szCs w:val="16"/>
                <w:lang w:val="en-US" w:eastAsia="en-US"/>
              </w:rPr>
              <w:tab/>
            </w:r>
            <w:r w:rsidR="00D943BD" w:rsidRPr="00012C3F">
              <w:rPr>
                <w:rStyle w:val="Hipervnculo"/>
                <w:rFonts w:eastAsia="MS Mincho" w:cs="Arial"/>
                <w:i/>
                <w:noProof/>
                <w:sz w:val="16"/>
                <w:szCs w:val="16"/>
                <w:lang w:val="en-US" w:eastAsia="en-US"/>
              </w:rPr>
              <w:t>The right of women to a life free from violence (Article 7(a)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78</w:t>
            </w:r>
            <w:r w:rsidR="00D943BD" w:rsidRPr="00012C3F">
              <w:rPr>
                <w:noProof/>
                <w:webHidden/>
                <w:sz w:val="16"/>
                <w:szCs w:val="16"/>
              </w:rPr>
              <w:fldChar w:fldCharType="end"/>
            </w:r>
          </w:hyperlink>
        </w:p>
        <w:p w14:paraId="4CA36971" w14:textId="47242E28" w:rsidR="00D943BD" w:rsidRPr="00012C3F" w:rsidRDefault="00C92775" w:rsidP="00D943BD">
          <w:pPr>
            <w:pStyle w:val="TDC2"/>
            <w:rPr>
              <w:rFonts w:eastAsiaTheme="minorEastAsia" w:cstheme="minorBidi"/>
              <w:noProof/>
              <w:sz w:val="16"/>
              <w:szCs w:val="16"/>
              <w:lang w:val="en-US" w:eastAsia="en-US"/>
            </w:rPr>
          </w:pPr>
          <w:hyperlink w:anchor="_Toc27486872" w:history="1">
            <w:r w:rsidR="00D943BD" w:rsidRPr="00012C3F">
              <w:rPr>
                <w:rStyle w:val="Hipervnculo"/>
                <w:rFonts w:eastAsia="MS Mincho"/>
                <w:b/>
                <w:bCs/>
                <w:i/>
                <w:noProof/>
                <w:sz w:val="16"/>
                <w:szCs w:val="16"/>
                <w:lang w:val="en-US"/>
              </w:rPr>
              <w:t xml:space="preserve">C.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Conclusion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80</w:t>
            </w:r>
            <w:r w:rsidR="00D943BD" w:rsidRPr="00012C3F">
              <w:rPr>
                <w:noProof/>
                <w:webHidden/>
                <w:sz w:val="16"/>
                <w:szCs w:val="16"/>
              </w:rPr>
              <w:fldChar w:fldCharType="end"/>
            </w:r>
          </w:hyperlink>
        </w:p>
        <w:p w14:paraId="3410EA85" w14:textId="2070038A"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73" w:history="1">
            <w:r w:rsidR="00D943BD" w:rsidRPr="00012C3F">
              <w:rPr>
                <w:rStyle w:val="Hipervnculo"/>
                <w:rFonts w:cs="Verdana"/>
                <w:b/>
                <w:bCs/>
                <w:caps/>
                <w:noProof/>
                <w:snapToGrid w:val="0"/>
                <w:sz w:val="16"/>
                <w:szCs w:val="16"/>
                <w:lang w:val="en-US"/>
              </w:rPr>
              <w:t>VIII-2 RIGHT TO PERSONAL INTEGRITY and THE PROHIBITION OF TORTURE AND OTHER CRUEL, INHUMAN OR DEGRADING TREATMENT, IN RELATION TO THE OBLIGATIONS TO RESPECT AND TO ENSURE RIGHTS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80</w:t>
            </w:r>
            <w:r w:rsidR="00D943BD" w:rsidRPr="00012C3F">
              <w:rPr>
                <w:noProof/>
                <w:webHidden/>
                <w:sz w:val="16"/>
                <w:szCs w:val="16"/>
              </w:rPr>
              <w:fldChar w:fldCharType="end"/>
            </w:r>
          </w:hyperlink>
        </w:p>
        <w:p w14:paraId="0801BB53" w14:textId="546BCC78" w:rsidR="00D943BD" w:rsidRPr="00012C3F" w:rsidRDefault="00C92775" w:rsidP="00D943BD">
          <w:pPr>
            <w:pStyle w:val="TDC2"/>
            <w:rPr>
              <w:rFonts w:eastAsiaTheme="minorEastAsia" w:cstheme="minorBidi"/>
              <w:noProof/>
              <w:sz w:val="16"/>
              <w:szCs w:val="16"/>
              <w:lang w:val="en-US" w:eastAsia="en-US"/>
            </w:rPr>
          </w:pPr>
          <w:hyperlink w:anchor="_Toc27486874" w:history="1">
            <w:r w:rsidR="00D943BD" w:rsidRPr="00012C3F">
              <w:rPr>
                <w:rStyle w:val="Hipervnculo"/>
                <w:rFonts w:eastAsia="MS Mincho"/>
                <w:b/>
                <w:bCs/>
                <w:i/>
                <w:noProof/>
                <w:sz w:val="16"/>
                <w:szCs w:val="16"/>
                <w:lang w:val="en-US"/>
              </w:rPr>
              <w:t xml:space="preserve">A.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Arguments of the parties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80</w:t>
            </w:r>
            <w:r w:rsidR="00D943BD" w:rsidRPr="00012C3F">
              <w:rPr>
                <w:noProof/>
                <w:webHidden/>
                <w:sz w:val="16"/>
                <w:szCs w:val="16"/>
              </w:rPr>
              <w:fldChar w:fldCharType="end"/>
            </w:r>
          </w:hyperlink>
        </w:p>
        <w:p w14:paraId="457C0BCF" w14:textId="1C2DD57D" w:rsidR="00D943BD" w:rsidRPr="00012C3F" w:rsidRDefault="00C92775" w:rsidP="00D943BD">
          <w:pPr>
            <w:pStyle w:val="TDC2"/>
            <w:rPr>
              <w:rFonts w:eastAsiaTheme="minorEastAsia" w:cstheme="minorBidi"/>
              <w:noProof/>
              <w:sz w:val="16"/>
              <w:szCs w:val="16"/>
              <w:lang w:val="en-US" w:eastAsia="en-US"/>
            </w:rPr>
          </w:pPr>
          <w:hyperlink w:anchor="_Toc27486875" w:history="1">
            <w:r w:rsidR="00D943BD" w:rsidRPr="00012C3F">
              <w:rPr>
                <w:rStyle w:val="Hipervnculo"/>
                <w:rFonts w:eastAsia="MS Mincho"/>
                <w:b/>
                <w:bCs/>
                <w:i/>
                <w:noProof/>
                <w:sz w:val="16"/>
                <w:szCs w:val="16"/>
                <w:lang w:val="en-US"/>
              </w:rPr>
              <w:t xml:space="preserve">B.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Considerations of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82</w:t>
            </w:r>
            <w:r w:rsidR="00D943BD" w:rsidRPr="00012C3F">
              <w:rPr>
                <w:noProof/>
                <w:webHidden/>
                <w:sz w:val="16"/>
                <w:szCs w:val="16"/>
              </w:rPr>
              <w:fldChar w:fldCharType="end"/>
            </w:r>
          </w:hyperlink>
        </w:p>
        <w:p w14:paraId="42DDE7EE" w14:textId="03A08CD1"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76" w:history="1">
            <w:r w:rsidR="00D943BD" w:rsidRPr="00012C3F">
              <w:rPr>
                <w:rStyle w:val="Hipervnculo"/>
                <w:rFonts w:cs="Verdana"/>
                <w:b/>
                <w:bCs/>
                <w:caps/>
                <w:noProof/>
                <w:snapToGrid w:val="0"/>
                <w:sz w:val="16"/>
                <w:szCs w:val="16"/>
                <w:lang w:val="en-US"/>
              </w:rPr>
              <w:t xml:space="preserve">VIII-3 RIGHTS TO JUDICIAL GUARANTEES and TO JUDICIAL PROTECTION, IN RELATION TO THE OBLIGATIONS TO RESPECT AND TO ENSURE RIGHTS WITHOUT DISCRIMINATION and Article </w:t>
            </w:r>
            <w:r w:rsidR="00D943BD" w:rsidRPr="00012C3F">
              <w:rPr>
                <w:rStyle w:val="Hipervnculo"/>
                <w:rFonts w:eastAsia="MS Mincho"/>
                <w:b/>
                <w:bCs/>
                <w:noProof/>
                <w:sz w:val="16"/>
                <w:szCs w:val="16"/>
                <w:lang w:val="en-US"/>
              </w:rPr>
              <w:t>7 OF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85</w:t>
            </w:r>
            <w:r w:rsidR="00D943BD" w:rsidRPr="00012C3F">
              <w:rPr>
                <w:noProof/>
                <w:webHidden/>
                <w:sz w:val="16"/>
                <w:szCs w:val="16"/>
              </w:rPr>
              <w:fldChar w:fldCharType="end"/>
            </w:r>
          </w:hyperlink>
        </w:p>
        <w:p w14:paraId="5617663C" w14:textId="59EB3F70" w:rsidR="00D943BD" w:rsidRPr="00012C3F" w:rsidRDefault="00C92775" w:rsidP="00D943BD">
          <w:pPr>
            <w:pStyle w:val="TDC2"/>
            <w:rPr>
              <w:rFonts w:eastAsiaTheme="minorEastAsia" w:cstheme="minorBidi"/>
              <w:noProof/>
              <w:sz w:val="16"/>
              <w:szCs w:val="16"/>
              <w:lang w:val="en-US" w:eastAsia="en-US"/>
            </w:rPr>
          </w:pPr>
          <w:hyperlink w:anchor="_Toc27486877" w:history="1">
            <w:r w:rsidR="00D943BD" w:rsidRPr="00012C3F">
              <w:rPr>
                <w:rStyle w:val="Hipervnculo"/>
                <w:rFonts w:eastAsia="MS Mincho"/>
                <w:b/>
                <w:bCs/>
                <w:i/>
                <w:noProof/>
                <w:sz w:val="16"/>
                <w:szCs w:val="16"/>
                <w:lang w:val="en-US"/>
              </w:rPr>
              <w:t xml:space="preserve">A.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Arguments of the parties and of the Commission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85</w:t>
            </w:r>
            <w:r w:rsidR="00D943BD" w:rsidRPr="00012C3F">
              <w:rPr>
                <w:noProof/>
                <w:webHidden/>
                <w:sz w:val="16"/>
                <w:szCs w:val="16"/>
              </w:rPr>
              <w:fldChar w:fldCharType="end"/>
            </w:r>
          </w:hyperlink>
        </w:p>
        <w:p w14:paraId="5AB9DE4B" w14:textId="26335AAB" w:rsidR="00D943BD" w:rsidRPr="00012C3F" w:rsidRDefault="00C92775" w:rsidP="00D943BD">
          <w:pPr>
            <w:pStyle w:val="TDC2"/>
            <w:rPr>
              <w:rFonts w:eastAsiaTheme="minorEastAsia" w:cstheme="minorBidi"/>
              <w:noProof/>
              <w:sz w:val="16"/>
              <w:szCs w:val="16"/>
              <w:lang w:val="en-US" w:eastAsia="en-US"/>
            </w:rPr>
          </w:pPr>
          <w:hyperlink w:anchor="_Toc27486878" w:history="1">
            <w:r w:rsidR="00D943BD" w:rsidRPr="00012C3F">
              <w:rPr>
                <w:rStyle w:val="Hipervnculo"/>
                <w:i/>
                <w:noProof/>
                <w:sz w:val="16"/>
                <w:szCs w:val="16"/>
                <w:lang w:val="en-US"/>
              </w:rPr>
              <w:t xml:space="preserve">A.1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access to justice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85</w:t>
            </w:r>
            <w:r w:rsidR="00D943BD" w:rsidRPr="00012C3F">
              <w:rPr>
                <w:noProof/>
                <w:webHidden/>
                <w:sz w:val="16"/>
                <w:szCs w:val="16"/>
              </w:rPr>
              <w:fldChar w:fldCharType="end"/>
            </w:r>
          </w:hyperlink>
        </w:p>
        <w:p w14:paraId="2791BC90" w14:textId="3B303630" w:rsidR="00D943BD" w:rsidRPr="00012C3F" w:rsidRDefault="00C92775" w:rsidP="00D943BD">
          <w:pPr>
            <w:pStyle w:val="TDC2"/>
            <w:rPr>
              <w:rFonts w:eastAsiaTheme="minorEastAsia" w:cstheme="minorBidi"/>
              <w:noProof/>
              <w:sz w:val="16"/>
              <w:szCs w:val="16"/>
              <w:lang w:val="en-US" w:eastAsia="en-US"/>
            </w:rPr>
          </w:pPr>
          <w:hyperlink w:anchor="_Toc27486879" w:history="1">
            <w:r w:rsidR="00D943BD" w:rsidRPr="00012C3F">
              <w:rPr>
                <w:rStyle w:val="Hipervnculo"/>
                <w:i/>
                <w:noProof/>
                <w:sz w:val="16"/>
                <w:szCs w:val="16"/>
                <w:lang w:val="en-US"/>
              </w:rPr>
              <w:t xml:space="preserve">A.2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Convention of Belém do Pará</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_Toc27486879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87</w:t>
            </w:r>
            <w:r w:rsidR="00D943BD" w:rsidRPr="00012C3F">
              <w:rPr>
                <w:noProof/>
                <w:webHidden/>
                <w:sz w:val="16"/>
                <w:szCs w:val="16"/>
              </w:rPr>
              <w:fldChar w:fldCharType="end"/>
            </w:r>
          </w:hyperlink>
        </w:p>
        <w:p w14:paraId="1CFBA792" w14:textId="44528AA1" w:rsidR="00D943BD" w:rsidRPr="00012C3F" w:rsidRDefault="00C92775" w:rsidP="00D943BD">
          <w:pPr>
            <w:pStyle w:val="TDC2"/>
            <w:rPr>
              <w:rFonts w:eastAsiaTheme="minorEastAsia" w:cstheme="minorBidi"/>
              <w:noProof/>
              <w:sz w:val="16"/>
              <w:szCs w:val="16"/>
              <w:lang w:val="en-US" w:eastAsia="en-US"/>
            </w:rPr>
          </w:pPr>
          <w:hyperlink w:anchor="_Toc27486880" w:history="1">
            <w:r w:rsidR="00D943BD" w:rsidRPr="00012C3F">
              <w:rPr>
                <w:rStyle w:val="Hipervnculo"/>
                <w:i/>
                <w:noProof/>
                <w:sz w:val="16"/>
                <w:szCs w:val="16"/>
                <w:lang w:val="en-US"/>
              </w:rPr>
              <w:t xml:space="preserve">A.3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discrimination in access to justice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88</w:t>
            </w:r>
            <w:r w:rsidR="00D943BD" w:rsidRPr="00012C3F">
              <w:rPr>
                <w:noProof/>
                <w:webHidden/>
                <w:sz w:val="16"/>
                <w:szCs w:val="16"/>
              </w:rPr>
              <w:fldChar w:fldCharType="end"/>
            </w:r>
          </w:hyperlink>
        </w:p>
        <w:p w14:paraId="7D585BE9" w14:textId="01B8D8A5" w:rsidR="00D943BD" w:rsidRPr="00012C3F" w:rsidRDefault="00C92775" w:rsidP="00D943BD">
          <w:pPr>
            <w:pStyle w:val="TDC2"/>
            <w:rPr>
              <w:rFonts w:eastAsiaTheme="minorEastAsia" w:cstheme="minorBidi"/>
              <w:noProof/>
              <w:sz w:val="16"/>
              <w:szCs w:val="16"/>
              <w:lang w:val="en-US" w:eastAsia="en-US"/>
            </w:rPr>
          </w:pPr>
          <w:hyperlink w:anchor="_Toc27486881" w:history="1">
            <w:r w:rsidR="00D943BD" w:rsidRPr="00012C3F">
              <w:rPr>
                <w:rStyle w:val="Hipervnculo"/>
                <w:i/>
                <w:noProof/>
                <w:sz w:val="16"/>
                <w:szCs w:val="16"/>
                <w:lang w:val="en-US"/>
              </w:rPr>
              <w:t xml:space="preserve">A.4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Arguments on the obligation to ensure that the competent authority established by the laws of the State will determine the rights of everyone who files a remedy</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89</w:t>
            </w:r>
            <w:r w:rsidR="00D943BD" w:rsidRPr="00012C3F">
              <w:rPr>
                <w:noProof/>
                <w:webHidden/>
                <w:sz w:val="16"/>
                <w:szCs w:val="16"/>
              </w:rPr>
              <w:fldChar w:fldCharType="end"/>
            </w:r>
          </w:hyperlink>
        </w:p>
        <w:p w14:paraId="41CAEB9C" w14:textId="001B2470" w:rsidR="00D943BD" w:rsidRPr="00012C3F" w:rsidRDefault="00C92775" w:rsidP="00D943BD">
          <w:pPr>
            <w:pStyle w:val="TDC2"/>
            <w:rPr>
              <w:rFonts w:eastAsiaTheme="minorEastAsia" w:cstheme="minorBidi"/>
              <w:noProof/>
              <w:sz w:val="16"/>
              <w:szCs w:val="16"/>
              <w:lang w:val="en-US" w:eastAsia="en-US"/>
            </w:rPr>
          </w:pPr>
          <w:hyperlink w:anchor="_Toc27486882" w:history="1">
            <w:r w:rsidR="00D943BD" w:rsidRPr="00012C3F">
              <w:rPr>
                <w:rStyle w:val="Hipervnculo"/>
                <w:rFonts w:eastAsia="MS Mincho"/>
                <w:b/>
                <w:bCs/>
                <w:i/>
                <w:noProof/>
                <w:sz w:val="16"/>
                <w:szCs w:val="16"/>
                <w:lang w:val="en-US"/>
              </w:rPr>
              <w:t>B.</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Considerations of the Court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89</w:t>
            </w:r>
            <w:r w:rsidR="00D943BD" w:rsidRPr="00012C3F">
              <w:rPr>
                <w:noProof/>
                <w:webHidden/>
                <w:sz w:val="16"/>
                <w:szCs w:val="16"/>
              </w:rPr>
              <w:fldChar w:fldCharType="end"/>
            </w:r>
          </w:hyperlink>
        </w:p>
        <w:p w14:paraId="20BDA427" w14:textId="4E3D0224" w:rsidR="00D943BD" w:rsidRPr="00012C3F" w:rsidRDefault="00C92775" w:rsidP="00D943BD">
          <w:pPr>
            <w:pStyle w:val="TDC2"/>
            <w:rPr>
              <w:rFonts w:eastAsiaTheme="minorEastAsia" w:cstheme="minorBidi"/>
              <w:noProof/>
              <w:sz w:val="16"/>
              <w:szCs w:val="16"/>
              <w:lang w:val="en-US" w:eastAsia="en-US"/>
            </w:rPr>
          </w:pPr>
          <w:hyperlink w:anchor="_Toc27486883" w:history="1">
            <w:r w:rsidR="00D943BD" w:rsidRPr="00012C3F">
              <w:rPr>
                <w:rStyle w:val="Hipervnculo"/>
                <w:i/>
                <w:noProof/>
                <w:sz w:val="16"/>
                <w:szCs w:val="16"/>
                <w:lang w:val="en-US"/>
              </w:rPr>
              <w:t xml:space="preserve">B.1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Access to justice in cases of violation of sexual and reproductive rights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91</w:t>
            </w:r>
            <w:r w:rsidR="00D943BD" w:rsidRPr="00012C3F">
              <w:rPr>
                <w:noProof/>
                <w:webHidden/>
                <w:sz w:val="16"/>
                <w:szCs w:val="16"/>
              </w:rPr>
              <w:fldChar w:fldCharType="end"/>
            </w:r>
          </w:hyperlink>
        </w:p>
        <w:p w14:paraId="264F35E6" w14:textId="1C486257" w:rsidR="00D943BD" w:rsidRPr="00012C3F" w:rsidRDefault="00C92775" w:rsidP="00D943BD">
          <w:pPr>
            <w:pStyle w:val="TDC2"/>
            <w:rPr>
              <w:rFonts w:eastAsiaTheme="minorEastAsia" w:cstheme="minorBidi"/>
              <w:noProof/>
              <w:sz w:val="16"/>
              <w:szCs w:val="16"/>
              <w:lang w:val="en-US" w:eastAsia="en-US"/>
            </w:rPr>
          </w:pPr>
          <w:hyperlink w:anchor="_Toc27486884" w:history="1">
            <w:r w:rsidR="00D943BD" w:rsidRPr="00012C3F">
              <w:rPr>
                <w:rStyle w:val="Hipervnculo"/>
                <w:i/>
                <w:noProof/>
                <w:sz w:val="16"/>
                <w:szCs w:val="16"/>
                <w:lang w:val="en-US"/>
              </w:rPr>
              <w:t xml:space="preserve">B.2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Determination of the effects of the closure of the criminal proceedings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96</w:t>
            </w:r>
            <w:r w:rsidR="00D943BD" w:rsidRPr="00012C3F">
              <w:rPr>
                <w:noProof/>
                <w:webHidden/>
                <w:sz w:val="16"/>
                <w:szCs w:val="16"/>
              </w:rPr>
              <w:fldChar w:fldCharType="end"/>
            </w:r>
          </w:hyperlink>
        </w:p>
        <w:p w14:paraId="47D38834" w14:textId="09028E2A" w:rsidR="00D943BD" w:rsidRPr="00012C3F" w:rsidRDefault="00C92775" w:rsidP="00D943BD">
          <w:pPr>
            <w:pStyle w:val="TDC2"/>
            <w:rPr>
              <w:rFonts w:eastAsiaTheme="minorEastAsia" w:cstheme="minorBidi"/>
              <w:noProof/>
              <w:sz w:val="16"/>
              <w:szCs w:val="16"/>
              <w:lang w:val="en-US" w:eastAsia="en-US"/>
            </w:rPr>
          </w:pPr>
          <w:hyperlink w:anchor="_Toc27486885" w:history="1">
            <w:r w:rsidR="00D943BD" w:rsidRPr="00012C3F">
              <w:rPr>
                <w:rStyle w:val="Hipervnculo"/>
                <w:i/>
                <w:noProof/>
                <w:sz w:val="16"/>
                <w:szCs w:val="16"/>
                <w:lang w:val="en-US"/>
              </w:rPr>
              <w:t xml:space="preserve">B.3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Determination of the scope of the State’s international responsibility owing to the criminal proceedings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96</w:t>
            </w:r>
            <w:r w:rsidR="00D943BD" w:rsidRPr="00012C3F">
              <w:rPr>
                <w:noProof/>
                <w:webHidden/>
                <w:sz w:val="16"/>
                <w:szCs w:val="16"/>
              </w:rPr>
              <w:fldChar w:fldCharType="end"/>
            </w:r>
          </w:hyperlink>
        </w:p>
        <w:p w14:paraId="191D0FF4" w14:textId="2DC55D80" w:rsidR="00D943BD" w:rsidRPr="00012C3F" w:rsidRDefault="00C92775" w:rsidP="00D943BD">
          <w:pPr>
            <w:pStyle w:val="TDC2"/>
            <w:rPr>
              <w:rFonts w:eastAsiaTheme="minorEastAsia" w:cstheme="minorBidi"/>
              <w:noProof/>
              <w:sz w:val="16"/>
              <w:szCs w:val="16"/>
              <w:lang w:val="en-US" w:eastAsia="en-US"/>
            </w:rPr>
          </w:pPr>
          <w:hyperlink w:anchor="_Toc27486886" w:history="1">
            <w:r w:rsidR="00D943BD" w:rsidRPr="00012C3F">
              <w:rPr>
                <w:rStyle w:val="Hipervnculo"/>
                <w:i/>
                <w:noProof/>
                <w:sz w:val="16"/>
                <w:szCs w:val="16"/>
                <w:lang w:val="en-US"/>
              </w:rPr>
              <w:t xml:space="preserve">B.4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Conclusion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98</w:t>
            </w:r>
            <w:r w:rsidR="00D943BD" w:rsidRPr="00012C3F">
              <w:rPr>
                <w:noProof/>
                <w:webHidden/>
                <w:sz w:val="16"/>
                <w:szCs w:val="16"/>
              </w:rPr>
              <w:fldChar w:fldCharType="end"/>
            </w:r>
          </w:hyperlink>
        </w:p>
        <w:p w14:paraId="0AF9CE0C" w14:textId="3DCB5C74"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87" w:history="1">
            <w:r w:rsidR="00D943BD" w:rsidRPr="00012C3F">
              <w:rPr>
                <w:rStyle w:val="Hipervnculo"/>
                <w:rFonts w:cs="Verdana"/>
                <w:b/>
                <w:bCs/>
                <w:caps/>
                <w:noProof/>
                <w:snapToGrid w:val="0"/>
                <w:sz w:val="16"/>
                <w:szCs w:val="16"/>
                <w:lang w:val="en-US"/>
              </w:rPr>
              <w:t>IX REPARATIONS (</w:t>
            </w:r>
            <w:r w:rsidR="00D943BD" w:rsidRPr="00012C3F">
              <w:rPr>
                <w:rStyle w:val="Hipervnculo"/>
                <w:rFonts w:cs="Verdana"/>
                <w:b/>
                <w:bCs/>
                <w:noProof/>
                <w:snapToGrid w:val="0"/>
                <w:sz w:val="16"/>
                <w:szCs w:val="16"/>
                <w:lang w:val="en-US"/>
              </w:rPr>
              <w:t>Application of Article 63(1) of the American Convention</w:t>
            </w:r>
            <w:r w:rsidR="00D943BD" w:rsidRPr="00012C3F">
              <w:rPr>
                <w:rStyle w:val="Hipervnculo"/>
                <w:rFonts w:cs="Verdana"/>
                <w:b/>
                <w:bCs/>
                <w:caps/>
                <w:noProof/>
                <w:snapToGrid w:val="0"/>
                <w:sz w:val="16"/>
                <w:szCs w:val="16"/>
                <w:lang w:val="en-US"/>
              </w:rPr>
              <w:t>)</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98</w:t>
            </w:r>
            <w:r w:rsidR="00D943BD" w:rsidRPr="00012C3F">
              <w:rPr>
                <w:noProof/>
                <w:webHidden/>
                <w:sz w:val="16"/>
                <w:szCs w:val="16"/>
              </w:rPr>
              <w:fldChar w:fldCharType="end"/>
            </w:r>
          </w:hyperlink>
        </w:p>
        <w:p w14:paraId="2C626400" w14:textId="3C116AAB" w:rsidR="00D943BD" w:rsidRPr="00012C3F" w:rsidRDefault="00C92775" w:rsidP="00D943BD">
          <w:pPr>
            <w:pStyle w:val="TDC2"/>
            <w:rPr>
              <w:rFonts w:eastAsiaTheme="minorEastAsia" w:cstheme="minorBidi"/>
              <w:noProof/>
              <w:sz w:val="16"/>
              <w:szCs w:val="16"/>
              <w:lang w:val="en-US" w:eastAsia="en-US"/>
            </w:rPr>
          </w:pPr>
          <w:hyperlink w:anchor="_Toc27486888" w:history="1">
            <w:r w:rsidR="00D943BD" w:rsidRPr="00012C3F">
              <w:rPr>
                <w:rStyle w:val="Hipervnculo"/>
                <w:rFonts w:eastAsia="MS Mincho"/>
                <w:b/>
                <w:bCs/>
                <w:i/>
                <w:noProof/>
                <w:sz w:val="16"/>
                <w:szCs w:val="16"/>
                <w:lang w:val="en-US"/>
              </w:rPr>
              <w:t>A.</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Injured party</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99</w:t>
            </w:r>
            <w:r w:rsidR="00D943BD" w:rsidRPr="00012C3F">
              <w:rPr>
                <w:noProof/>
                <w:webHidden/>
                <w:sz w:val="16"/>
                <w:szCs w:val="16"/>
              </w:rPr>
              <w:fldChar w:fldCharType="end"/>
            </w:r>
          </w:hyperlink>
        </w:p>
        <w:p w14:paraId="55A30BF8" w14:textId="48CAE125" w:rsidR="00D943BD" w:rsidRPr="00012C3F" w:rsidRDefault="00C92775" w:rsidP="00D943BD">
          <w:pPr>
            <w:pStyle w:val="TDC2"/>
            <w:rPr>
              <w:rFonts w:eastAsiaTheme="minorEastAsia" w:cstheme="minorBidi"/>
              <w:noProof/>
              <w:sz w:val="16"/>
              <w:szCs w:val="16"/>
              <w:lang w:val="en-US" w:eastAsia="en-US"/>
            </w:rPr>
          </w:pPr>
          <w:hyperlink w:anchor="_Toc27486889" w:history="1">
            <w:r w:rsidR="00D943BD" w:rsidRPr="00012C3F">
              <w:rPr>
                <w:rStyle w:val="Hipervnculo"/>
                <w:rFonts w:eastAsia="MS Mincho"/>
                <w:b/>
                <w:bCs/>
                <w:i/>
                <w:noProof/>
                <w:sz w:val="16"/>
                <w:szCs w:val="16"/>
                <w:lang w:val="en-US"/>
              </w:rPr>
              <w:t xml:space="preserve">B. </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Rehabilitation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_Toc27486889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99</w:t>
            </w:r>
            <w:r w:rsidR="00D943BD" w:rsidRPr="00012C3F">
              <w:rPr>
                <w:noProof/>
                <w:webHidden/>
                <w:sz w:val="16"/>
                <w:szCs w:val="16"/>
              </w:rPr>
              <w:fldChar w:fldCharType="end"/>
            </w:r>
          </w:hyperlink>
        </w:p>
        <w:p w14:paraId="6B0F1D3B" w14:textId="77ADE98A" w:rsidR="00D943BD" w:rsidRPr="00012C3F" w:rsidRDefault="00C92775" w:rsidP="00D943BD">
          <w:pPr>
            <w:pStyle w:val="TDC2"/>
            <w:rPr>
              <w:rFonts w:eastAsiaTheme="minorEastAsia" w:cstheme="minorBidi"/>
              <w:noProof/>
              <w:sz w:val="16"/>
              <w:szCs w:val="16"/>
              <w:lang w:val="en-US" w:eastAsia="en-US"/>
            </w:rPr>
          </w:pPr>
          <w:hyperlink w:anchor="_Toc27486890" w:history="1">
            <w:r w:rsidR="00D943BD" w:rsidRPr="00012C3F">
              <w:rPr>
                <w:rStyle w:val="Hipervnculo"/>
                <w:rFonts w:eastAsia="MS Mincho"/>
                <w:b/>
                <w:bCs/>
                <w:i/>
                <w:noProof/>
                <w:sz w:val="16"/>
                <w:szCs w:val="16"/>
                <w:lang w:val="en-US"/>
              </w:rPr>
              <w:t>C.</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Satisfaction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_Toc27486890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100</w:t>
            </w:r>
            <w:r w:rsidR="00D943BD" w:rsidRPr="00012C3F">
              <w:rPr>
                <w:noProof/>
                <w:webHidden/>
                <w:sz w:val="16"/>
                <w:szCs w:val="16"/>
              </w:rPr>
              <w:fldChar w:fldCharType="end"/>
            </w:r>
          </w:hyperlink>
        </w:p>
        <w:p w14:paraId="3DE14F1A" w14:textId="276D9694" w:rsidR="00D943BD" w:rsidRPr="00012C3F" w:rsidRDefault="00C92775" w:rsidP="00D943BD">
          <w:pPr>
            <w:pStyle w:val="TDC2"/>
            <w:rPr>
              <w:rFonts w:eastAsiaTheme="minorEastAsia" w:cstheme="minorBidi"/>
              <w:noProof/>
              <w:sz w:val="16"/>
              <w:szCs w:val="16"/>
              <w:lang w:val="en-US" w:eastAsia="en-US"/>
            </w:rPr>
          </w:pPr>
          <w:hyperlink w:anchor="_Toc27486891" w:history="1">
            <w:r w:rsidR="00D943BD" w:rsidRPr="00012C3F">
              <w:rPr>
                <w:rStyle w:val="Hipervnculo"/>
                <w:i/>
                <w:noProof/>
                <w:sz w:val="16"/>
                <w:szCs w:val="16"/>
                <w:lang w:val="en-US"/>
              </w:rPr>
              <w:t xml:space="preserve">C.1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Publications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_Toc27486891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101</w:t>
            </w:r>
            <w:r w:rsidR="00D943BD" w:rsidRPr="00012C3F">
              <w:rPr>
                <w:noProof/>
                <w:webHidden/>
                <w:sz w:val="16"/>
                <w:szCs w:val="16"/>
              </w:rPr>
              <w:fldChar w:fldCharType="end"/>
            </w:r>
          </w:hyperlink>
        </w:p>
        <w:p w14:paraId="07A47D3A" w14:textId="6D15A67E" w:rsidR="00D943BD" w:rsidRPr="00012C3F" w:rsidRDefault="00C92775" w:rsidP="00D943BD">
          <w:pPr>
            <w:pStyle w:val="TDC2"/>
            <w:rPr>
              <w:rFonts w:eastAsiaTheme="minorEastAsia" w:cstheme="minorBidi"/>
              <w:noProof/>
              <w:sz w:val="16"/>
              <w:szCs w:val="16"/>
              <w:lang w:val="en-US" w:eastAsia="en-US"/>
            </w:rPr>
          </w:pPr>
          <w:hyperlink w:anchor="_Toc27486892" w:history="1">
            <w:r w:rsidR="00D943BD" w:rsidRPr="00012C3F">
              <w:rPr>
                <w:rStyle w:val="Hipervnculo"/>
                <w:i/>
                <w:noProof/>
                <w:sz w:val="16"/>
                <w:szCs w:val="16"/>
                <w:lang w:val="en-US"/>
              </w:rPr>
              <w:t xml:space="preserve">C.2 </w:t>
            </w:r>
            <w:r w:rsidR="00D943BD" w:rsidRPr="00012C3F">
              <w:rPr>
                <w:rFonts w:eastAsiaTheme="minorEastAsia" w:cstheme="minorBidi"/>
                <w:noProof/>
                <w:sz w:val="16"/>
                <w:szCs w:val="16"/>
                <w:lang w:val="en-US" w:eastAsia="en-US"/>
              </w:rPr>
              <w:tab/>
            </w:r>
            <w:r w:rsidR="00D943BD" w:rsidRPr="00012C3F">
              <w:rPr>
                <w:rStyle w:val="Hipervnculo"/>
                <w:i/>
                <w:noProof/>
                <w:sz w:val="16"/>
                <w:szCs w:val="16"/>
                <w:lang w:val="en-US"/>
              </w:rPr>
              <w:t>Act to acknowledge responsibility</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_Toc27486892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101</w:t>
            </w:r>
            <w:r w:rsidR="00D943BD" w:rsidRPr="00012C3F">
              <w:rPr>
                <w:noProof/>
                <w:webHidden/>
                <w:sz w:val="16"/>
                <w:szCs w:val="16"/>
              </w:rPr>
              <w:fldChar w:fldCharType="end"/>
            </w:r>
          </w:hyperlink>
        </w:p>
        <w:p w14:paraId="4C64D94F" w14:textId="29AF5E8B" w:rsidR="00D943BD" w:rsidRPr="00012C3F" w:rsidRDefault="00C92775" w:rsidP="00D943BD">
          <w:pPr>
            <w:pStyle w:val="TDC2"/>
            <w:rPr>
              <w:rFonts w:eastAsiaTheme="minorEastAsia" w:cstheme="minorBidi"/>
              <w:noProof/>
              <w:sz w:val="16"/>
              <w:szCs w:val="16"/>
              <w:lang w:val="en-US" w:eastAsia="en-US"/>
            </w:rPr>
          </w:pPr>
          <w:hyperlink w:anchor="_Toc27486893" w:history="1">
            <w:r w:rsidR="00D943BD" w:rsidRPr="00012C3F">
              <w:rPr>
                <w:rStyle w:val="Hipervnculo"/>
                <w:rFonts w:eastAsia="MS Mincho"/>
                <w:b/>
                <w:bCs/>
                <w:i/>
                <w:noProof/>
                <w:sz w:val="16"/>
                <w:szCs w:val="16"/>
                <w:lang w:val="en-US"/>
              </w:rPr>
              <w:t>D.</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Guarantees of non-repetition</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_Toc27486893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101</w:t>
            </w:r>
            <w:r w:rsidR="00D943BD" w:rsidRPr="00012C3F">
              <w:rPr>
                <w:noProof/>
                <w:webHidden/>
                <w:sz w:val="16"/>
                <w:szCs w:val="16"/>
              </w:rPr>
              <w:fldChar w:fldCharType="end"/>
            </w:r>
          </w:hyperlink>
        </w:p>
        <w:p w14:paraId="53F1913A" w14:textId="46167467" w:rsidR="00D943BD" w:rsidRPr="00012C3F" w:rsidRDefault="00C92775" w:rsidP="00D943BD">
          <w:pPr>
            <w:pStyle w:val="TDC2"/>
            <w:rPr>
              <w:rFonts w:eastAsiaTheme="minorEastAsia" w:cstheme="minorBidi"/>
              <w:noProof/>
              <w:sz w:val="16"/>
              <w:szCs w:val="16"/>
              <w:lang w:val="en-US" w:eastAsia="en-US"/>
            </w:rPr>
          </w:pPr>
          <w:hyperlink w:anchor="_Toc27486894" w:history="1">
            <w:r w:rsidR="00D943BD" w:rsidRPr="00012C3F">
              <w:rPr>
                <w:rStyle w:val="Hipervnculo"/>
                <w:rFonts w:eastAsia="MS Mincho"/>
                <w:b/>
                <w:bCs/>
                <w:i/>
                <w:noProof/>
                <w:sz w:val="16"/>
                <w:szCs w:val="16"/>
                <w:lang w:val="en-US"/>
              </w:rPr>
              <w:t>E.</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Other measures requested</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_Toc27486894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103</w:t>
            </w:r>
            <w:r w:rsidR="00D943BD" w:rsidRPr="00012C3F">
              <w:rPr>
                <w:noProof/>
                <w:webHidden/>
                <w:sz w:val="16"/>
                <w:szCs w:val="16"/>
              </w:rPr>
              <w:fldChar w:fldCharType="end"/>
            </w:r>
          </w:hyperlink>
        </w:p>
        <w:p w14:paraId="755D3CA0" w14:textId="50C87402" w:rsidR="00D943BD" w:rsidRPr="00012C3F" w:rsidRDefault="00C92775" w:rsidP="00D943BD">
          <w:pPr>
            <w:pStyle w:val="TDC2"/>
            <w:rPr>
              <w:rFonts w:eastAsiaTheme="minorEastAsia" w:cstheme="minorBidi"/>
              <w:noProof/>
              <w:sz w:val="16"/>
              <w:szCs w:val="16"/>
              <w:lang w:val="en-US" w:eastAsia="en-US"/>
            </w:rPr>
          </w:pPr>
          <w:hyperlink w:anchor="_Toc27486895" w:history="1">
            <w:r w:rsidR="00D943BD" w:rsidRPr="00012C3F">
              <w:rPr>
                <w:rStyle w:val="Hipervnculo"/>
                <w:rFonts w:eastAsia="MS Mincho"/>
                <w:b/>
                <w:bCs/>
                <w:i/>
                <w:noProof/>
                <w:sz w:val="16"/>
                <w:szCs w:val="16"/>
                <w:lang w:val="en-US"/>
              </w:rPr>
              <w:t>F.</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Compensation for pecuniary and non-pecuniary damage</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_Toc27486895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104</w:t>
            </w:r>
            <w:r w:rsidR="00D943BD" w:rsidRPr="00012C3F">
              <w:rPr>
                <w:noProof/>
                <w:webHidden/>
                <w:sz w:val="16"/>
                <w:szCs w:val="16"/>
              </w:rPr>
              <w:fldChar w:fldCharType="end"/>
            </w:r>
          </w:hyperlink>
        </w:p>
        <w:p w14:paraId="14EBCF2C" w14:textId="58C577A8" w:rsidR="00D943BD" w:rsidRPr="00012C3F" w:rsidRDefault="00C92775" w:rsidP="00D943BD">
          <w:pPr>
            <w:pStyle w:val="TDC2"/>
            <w:rPr>
              <w:rFonts w:eastAsiaTheme="minorEastAsia" w:cstheme="minorBidi"/>
              <w:noProof/>
              <w:sz w:val="16"/>
              <w:szCs w:val="16"/>
              <w:lang w:val="en-US" w:eastAsia="en-US"/>
            </w:rPr>
          </w:pPr>
          <w:hyperlink w:anchor="_Toc27486896" w:history="1">
            <w:r w:rsidR="00D943BD" w:rsidRPr="00012C3F">
              <w:rPr>
                <w:rStyle w:val="Hipervnculo"/>
                <w:rFonts w:eastAsia="MS Mincho"/>
                <w:b/>
                <w:bCs/>
                <w:i/>
                <w:noProof/>
                <w:sz w:val="16"/>
                <w:szCs w:val="16"/>
                <w:lang w:val="en-US"/>
              </w:rPr>
              <w:t>G.</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Costs and expenses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_Toc27486896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106</w:t>
            </w:r>
            <w:r w:rsidR="00D943BD" w:rsidRPr="00012C3F">
              <w:rPr>
                <w:noProof/>
                <w:webHidden/>
                <w:sz w:val="16"/>
                <w:szCs w:val="16"/>
              </w:rPr>
              <w:fldChar w:fldCharType="end"/>
            </w:r>
          </w:hyperlink>
        </w:p>
        <w:p w14:paraId="35778701" w14:textId="65EF69D5" w:rsidR="00D943BD" w:rsidRPr="00012C3F" w:rsidRDefault="00C92775" w:rsidP="00D943BD">
          <w:pPr>
            <w:pStyle w:val="TDC2"/>
            <w:rPr>
              <w:rFonts w:eastAsiaTheme="minorEastAsia" w:cstheme="minorBidi"/>
              <w:noProof/>
              <w:sz w:val="16"/>
              <w:szCs w:val="16"/>
              <w:lang w:val="en-US" w:eastAsia="en-US"/>
            </w:rPr>
          </w:pPr>
          <w:hyperlink w:anchor="_Toc27486897" w:history="1">
            <w:r w:rsidR="00D943BD" w:rsidRPr="00012C3F">
              <w:rPr>
                <w:rStyle w:val="Hipervnculo"/>
                <w:rFonts w:eastAsia="MS Mincho"/>
                <w:b/>
                <w:bCs/>
                <w:i/>
                <w:noProof/>
                <w:sz w:val="16"/>
                <w:szCs w:val="16"/>
                <w:lang w:val="en-US"/>
              </w:rPr>
              <w:t>H.</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Reimbursement of expenditure to the Victims’ Legal Assistance Fund</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_Toc27486897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108</w:t>
            </w:r>
            <w:r w:rsidR="00D943BD" w:rsidRPr="00012C3F">
              <w:rPr>
                <w:noProof/>
                <w:webHidden/>
                <w:sz w:val="16"/>
                <w:szCs w:val="16"/>
              </w:rPr>
              <w:fldChar w:fldCharType="end"/>
            </w:r>
          </w:hyperlink>
        </w:p>
        <w:p w14:paraId="4582F7CC" w14:textId="4179A7FB" w:rsidR="00D943BD" w:rsidRPr="00012C3F" w:rsidRDefault="00C92775" w:rsidP="00D943BD">
          <w:pPr>
            <w:pStyle w:val="TDC2"/>
            <w:rPr>
              <w:rFonts w:eastAsiaTheme="minorEastAsia" w:cstheme="minorBidi"/>
              <w:noProof/>
              <w:sz w:val="16"/>
              <w:szCs w:val="16"/>
              <w:lang w:val="en-US" w:eastAsia="en-US"/>
            </w:rPr>
          </w:pPr>
          <w:hyperlink w:anchor="_Toc27486898" w:history="1">
            <w:r w:rsidR="00D943BD" w:rsidRPr="00012C3F">
              <w:rPr>
                <w:rStyle w:val="Hipervnculo"/>
                <w:rFonts w:eastAsia="MS Mincho"/>
                <w:b/>
                <w:bCs/>
                <w:i/>
                <w:noProof/>
                <w:sz w:val="16"/>
                <w:szCs w:val="16"/>
                <w:lang w:val="en-US"/>
              </w:rPr>
              <w:t>I.</w:t>
            </w:r>
            <w:r w:rsidR="00D943BD" w:rsidRPr="00012C3F">
              <w:rPr>
                <w:rFonts w:eastAsiaTheme="minorEastAsia" w:cstheme="minorBidi"/>
                <w:noProof/>
                <w:sz w:val="16"/>
                <w:szCs w:val="16"/>
                <w:lang w:val="en-US" w:eastAsia="en-US"/>
              </w:rPr>
              <w:tab/>
            </w:r>
            <w:r w:rsidR="00D943BD" w:rsidRPr="00012C3F">
              <w:rPr>
                <w:rStyle w:val="Hipervnculo"/>
                <w:rFonts w:eastAsia="MS Mincho"/>
                <w:b/>
                <w:bCs/>
                <w:i/>
                <w:noProof/>
                <w:sz w:val="16"/>
                <w:szCs w:val="16"/>
                <w:lang w:val="en-US"/>
              </w:rPr>
              <w:t>Method of complying with the payments ordered</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_Toc27486898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108</w:t>
            </w:r>
            <w:r w:rsidR="00D943BD" w:rsidRPr="00012C3F">
              <w:rPr>
                <w:noProof/>
                <w:webHidden/>
                <w:sz w:val="16"/>
                <w:szCs w:val="16"/>
              </w:rPr>
              <w:fldChar w:fldCharType="end"/>
            </w:r>
          </w:hyperlink>
        </w:p>
        <w:p w14:paraId="4C691D0F" w14:textId="49F367D6" w:rsidR="00D943BD" w:rsidRPr="00012C3F" w:rsidRDefault="00C92775" w:rsidP="00D943BD">
          <w:pPr>
            <w:pStyle w:val="TDC1"/>
            <w:tabs>
              <w:tab w:val="right" w:leader="dot" w:pos="10076"/>
            </w:tabs>
            <w:spacing w:after="0" w:line="240" w:lineRule="auto"/>
            <w:rPr>
              <w:rFonts w:eastAsiaTheme="minorEastAsia" w:cstheme="minorBidi"/>
              <w:noProof/>
              <w:sz w:val="16"/>
              <w:szCs w:val="16"/>
              <w:lang w:val="en-US" w:eastAsia="en-US"/>
            </w:rPr>
          </w:pPr>
          <w:hyperlink w:anchor="_Toc27486899" w:history="1">
            <w:r w:rsidR="00D943BD" w:rsidRPr="00012C3F">
              <w:rPr>
                <w:rStyle w:val="Hipervnculo"/>
                <w:rFonts w:cs="Verdana"/>
                <w:b/>
                <w:bCs/>
                <w:caps/>
                <w:noProof/>
                <w:snapToGrid w:val="0"/>
                <w:sz w:val="16"/>
                <w:szCs w:val="16"/>
                <w:lang w:val="en-US"/>
              </w:rPr>
              <w:t>X OPERATIVE PARAGRAPHS</w:t>
            </w:r>
            <w:r w:rsidR="00D943BD" w:rsidRPr="00012C3F">
              <w:rPr>
                <w:noProof/>
                <w:webHidden/>
                <w:sz w:val="16"/>
                <w:szCs w:val="16"/>
              </w:rPr>
              <w:tab/>
            </w:r>
            <w:r w:rsidR="00D943BD" w:rsidRPr="00012C3F">
              <w:rPr>
                <w:noProof/>
                <w:webHidden/>
                <w:sz w:val="16"/>
                <w:szCs w:val="16"/>
              </w:rPr>
              <w:fldChar w:fldCharType="begin"/>
            </w:r>
            <w:r w:rsidR="00D943BD" w:rsidRPr="00012C3F">
              <w:rPr>
                <w:noProof/>
                <w:webHidden/>
                <w:sz w:val="16"/>
                <w:szCs w:val="16"/>
              </w:rPr>
              <w:instrText xml:space="preserve"> PAGEREF _Toc27486899 \h </w:instrText>
            </w:r>
            <w:r w:rsidR="00D943BD" w:rsidRPr="00012C3F">
              <w:rPr>
                <w:noProof/>
                <w:webHidden/>
                <w:sz w:val="16"/>
                <w:szCs w:val="16"/>
              </w:rPr>
            </w:r>
            <w:r w:rsidR="00D943BD" w:rsidRPr="00012C3F">
              <w:rPr>
                <w:noProof/>
                <w:webHidden/>
                <w:sz w:val="16"/>
                <w:szCs w:val="16"/>
              </w:rPr>
              <w:fldChar w:fldCharType="separate"/>
            </w:r>
            <w:r>
              <w:rPr>
                <w:noProof/>
                <w:webHidden/>
                <w:sz w:val="16"/>
                <w:szCs w:val="16"/>
              </w:rPr>
              <w:t>109</w:t>
            </w:r>
            <w:r w:rsidR="00D943BD" w:rsidRPr="00012C3F">
              <w:rPr>
                <w:noProof/>
                <w:webHidden/>
                <w:sz w:val="16"/>
                <w:szCs w:val="16"/>
              </w:rPr>
              <w:fldChar w:fldCharType="end"/>
            </w:r>
          </w:hyperlink>
        </w:p>
        <w:p w14:paraId="778C9B04" w14:textId="77777777" w:rsidR="00E16176" w:rsidRPr="00012C3F" w:rsidRDefault="00F76CCA" w:rsidP="00D943BD">
          <w:pPr>
            <w:spacing w:line="240" w:lineRule="auto"/>
            <w:rPr>
              <w:rFonts w:eastAsia="Verdana" w:cs="Verdana"/>
              <w:b/>
              <w:bCs/>
              <w:sz w:val="16"/>
              <w:szCs w:val="16"/>
              <w:lang w:val="en-US"/>
            </w:rPr>
          </w:pPr>
          <w:r w:rsidRPr="00012C3F">
            <w:rPr>
              <w:b/>
              <w:bCs/>
              <w:sz w:val="16"/>
              <w:szCs w:val="16"/>
              <w:lang w:val="en-US"/>
            </w:rPr>
            <w:fldChar w:fldCharType="end"/>
          </w:r>
        </w:p>
      </w:sdtContent>
    </w:sdt>
    <w:p w14:paraId="6823EF19" w14:textId="77777777" w:rsidR="00E16176" w:rsidRPr="00012C3F" w:rsidRDefault="00E16176" w:rsidP="00D943BD">
      <w:pPr>
        <w:widowControl/>
        <w:adjustRightInd/>
        <w:spacing w:line="240" w:lineRule="auto"/>
        <w:jc w:val="left"/>
        <w:textAlignment w:val="auto"/>
        <w:rPr>
          <w:rFonts w:eastAsia="Verdana" w:cs="Verdana"/>
          <w:b/>
          <w:bCs/>
          <w:sz w:val="16"/>
          <w:szCs w:val="16"/>
          <w:lang w:val="en-US"/>
        </w:rPr>
      </w:pPr>
      <w:r w:rsidRPr="00012C3F">
        <w:rPr>
          <w:rFonts w:eastAsia="Verdana" w:cs="Verdana"/>
          <w:b/>
          <w:bCs/>
          <w:sz w:val="16"/>
          <w:szCs w:val="16"/>
          <w:lang w:val="en-US"/>
        </w:rPr>
        <w:br w:type="page"/>
      </w:r>
    </w:p>
    <w:p w14:paraId="45987BA8" w14:textId="77777777" w:rsidR="006C37C9" w:rsidRPr="00012C3F"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0" w:name="_Toc373093233"/>
      <w:bookmarkStart w:id="1" w:name="_Toc373350045"/>
      <w:bookmarkStart w:id="2" w:name="_Toc375560891"/>
      <w:bookmarkStart w:id="3" w:name="_Toc401931877"/>
      <w:bookmarkStart w:id="4" w:name="_Toc428369976"/>
      <w:bookmarkStart w:id="5" w:name="_Toc459158092"/>
      <w:bookmarkStart w:id="6" w:name="_Toc27486816"/>
      <w:r w:rsidRPr="00012C3F">
        <w:rPr>
          <w:rFonts w:cs="Verdana"/>
          <w:b/>
          <w:bCs/>
          <w:caps/>
          <w:snapToGrid w:val="0"/>
          <w:sz w:val="20"/>
          <w:szCs w:val="20"/>
          <w:lang w:val="en-US"/>
        </w:rPr>
        <w:lastRenderedPageBreak/>
        <w:t>I</w:t>
      </w:r>
      <w:bookmarkStart w:id="7" w:name="_Toc375062709"/>
      <w:bookmarkStart w:id="8" w:name="_Toc375140859"/>
      <w:bookmarkStart w:id="9" w:name="_Toc375504818"/>
      <w:bookmarkStart w:id="10" w:name="_Toc375560892"/>
      <w:bookmarkEnd w:id="0"/>
      <w:bookmarkEnd w:id="1"/>
      <w:bookmarkEnd w:id="2"/>
      <w:r w:rsidRPr="00012C3F">
        <w:rPr>
          <w:rFonts w:cs="Verdana"/>
          <w:b/>
          <w:bCs/>
          <w:caps/>
          <w:snapToGrid w:val="0"/>
          <w:sz w:val="20"/>
          <w:szCs w:val="20"/>
          <w:lang w:val="en-US"/>
        </w:rPr>
        <w:br/>
      </w:r>
      <w:r w:rsidR="001254DE" w:rsidRPr="00012C3F">
        <w:rPr>
          <w:rFonts w:cs="Verdana"/>
          <w:b/>
          <w:bCs/>
          <w:caps/>
          <w:snapToGrid w:val="0"/>
          <w:sz w:val="20"/>
          <w:szCs w:val="20"/>
          <w:lang w:val="en-US"/>
        </w:rPr>
        <w:t>INTRODUCTION OF THE CASE AND PURPOSE OF THE DISPUTE</w:t>
      </w:r>
      <w:bookmarkEnd w:id="3"/>
      <w:bookmarkEnd w:id="4"/>
      <w:bookmarkEnd w:id="5"/>
      <w:bookmarkEnd w:id="6"/>
      <w:bookmarkEnd w:id="7"/>
      <w:bookmarkEnd w:id="8"/>
      <w:bookmarkEnd w:id="9"/>
      <w:bookmarkEnd w:id="10"/>
    </w:p>
    <w:p w14:paraId="05CCB340" w14:textId="77777777" w:rsidR="006C37C9" w:rsidRPr="00012C3F" w:rsidRDefault="006C37C9" w:rsidP="006C37C9">
      <w:pPr>
        <w:spacing w:before="4" w:line="240" w:lineRule="exact"/>
        <w:rPr>
          <w:rFonts w:ascii="Calibri" w:eastAsia="Calibri" w:hAnsi="Calibri"/>
          <w:lang w:val="en-US"/>
        </w:rPr>
      </w:pPr>
    </w:p>
    <w:p w14:paraId="19056236" w14:textId="77777777" w:rsidR="00326672" w:rsidRPr="00012C3F" w:rsidRDefault="001254DE" w:rsidP="00095E76">
      <w:pPr>
        <w:numPr>
          <w:ilvl w:val="0"/>
          <w:numId w:val="5"/>
        </w:numPr>
        <w:tabs>
          <w:tab w:val="left" w:pos="720"/>
          <w:tab w:val="num" w:pos="12305"/>
        </w:tabs>
        <w:spacing w:line="240" w:lineRule="auto"/>
        <w:ind w:left="0" w:firstLine="0"/>
        <w:rPr>
          <w:rFonts w:eastAsia="Calibri" w:cs="Arial"/>
          <w:sz w:val="20"/>
          <w:szCs w:val="20"/>
          <w:lang w:val="en-US"/>
        </w:rPr>
      </w:pPr>
      <w:r w:rsidRPr="00012C3F">
        <w:rPr>
          <w:rFonts w:eastAsia="Verdana" w:cs="Verdana"/>
          <w:i/>
          <w:sz w:val="20"/>
          <w:szCs w:val="20"/>
          <w:lang w:val="en-US"/>
        </w:rPr>
        <w:t>The case submitted to</w:t>
      </w:r>
      <w:r w:rsidR="006C37C9" w:rsidRPr="00012C3F">
        <w:rPr>
          <w:rFonts w:eastAsia="Verdana" w:cs="Verdana"/>
          <w:i/>
          <w:sz w:val="20"/>
          <w:szCs w:val="20"/>
          <w:lang w:val="en-US"/>
        </w:rPr>
        <w:t xml:space="preserve"> </w:t>
      </w:r>
      <w:r w:rsidRPr="00012C3F">
        <w:rPr>
          <w:rFonts w:eastAsia="Verdana" w:cs="Verdana"/>
          <w:i/>
          <w:sz w:val="20"/>
          <w:szCs w:val="20"/>
          <w:lang w:val="en-US"/>
        </w:rPr>
        <w:t>the Court</w:t>
      </w:r>
      <w:r w:rsidR="006C37C9" w:rsidRPr="00012C3F">
        <w:rPr>
          <w:rFonts w:eastAsia="Verdana" w:cs="Verdana"/>
          <w:i/>
          <w:sz w:val="20"/>
          <w:szCs w:val="20"/>
          <w:lang w:val="en-US"/>
        </w:rPr>
        <w:t xml:space="preserve">. </w:t>
      </w:r>
      <w:r w:rsidR="00A84CA0" w:rsidRPr="00012C3F">
        <w:rPr>
          <w:rFonts w:eastAsia="Verdana" w:cs="Verdana"/>
          <w:sz w:val="20"/>
          <w:szCs w:val="20"/>
          <w:lang w:val="en-US"/>
        </w:rPr>
        <w:t>On April 23,</w:t>
      </w:r>
      <w:r w:rsidR="006C37C9" w:rsidRPr="00012C3F">
        <w:rPr>
          <w:rFonts w:eastAsia="Verdana" w:cs="Verdana"/>
          <w:sz w:val="20"/>
          <w:szCs w:val="20"/>
          <w:lang w:val="en-US"/>
        </w:rPr>
        <w:t xml:space="preserve"> 2015</w:t>
      </w:r>
      <w:r w:rsidR="00A84CA0" w:rsidRPr="00012C3F">
        <w:rPr>
          <w:rFonts w:eastAsia="Verdana" w:cs="Verdana"/>
          <w:sz w:val="20"/>
          <w:szCs w:val="20"/>
          <w:lang w:val="en-US"/>
        </w:rPr>
        <w:t>,</w:t>
      </w:r>
      <w:r w:rsidR="006C37C9" w:rsidRPr="00012C3F">
        <w:rPr>
          <w:rFonts w:eastAsia="Verdana" w:cs="Verdana"/>
          <w:sz w:val="20"/>
          <w:szCs w:val="20"/>
          <w:lang w:val="en-US"/>
        </w:rPr>
        <w:t xml:space="preserve"> </w:t>
      </w:r>
      <w:r w:rsidRPr="00012C3F">
        <w:rPr>
          <w:rFonts w:eastAsia="Verdana" w:cs="Verdana"/>
          <w:sz w:val="20"/>
          <w:szCs w:val="20"/>
          <w:lang w:val="en-US"/>
        </w:rPr>
        <w:t xml:space="preserve">the Inter-American </w:t>
      </w:r>
      <w:r w:rsidR="00A84CA0" w:rsidRPr="00012C3F">
        <w:rPr>
          <w:rFonts w:eastAsia="Verdana" w:cs="Verdana"/>
          <w:sz w:val="20"/>
          <w:szCs w:val="20"/>
          <w:lang w:val="en-US"/>
        </w:rPr>
        <w:t>Commission</w:t>
      </w:r>
      <w:r w:rsidRPr="00012C3F">
        <w:rPr>
          <w:rFonts w:eastAsia="Verdana" w:cs="Verdana"/>
          <w:sz w:val="20"/>
          <w:szCs w:val="20"/>
          <w:lang w:val="en-US"/>
        </w:rPr>
        <w:t xml:space="preserve"> on Human Rights</w:t>
      </w:r>
      <w:r w:rsidR="006C37C9" w:rsidRPr="00012C3F">
        <w:rPr>
          <w:rFonts w:eastAsia="Verdana" w:cs="Verdana"/>
          <w:sz w:val="20"/>
          <w:szCs w:val="20"/>
          <w:lang w:val="en-US"/>
        </w:rPr>
        <w:t xml:space="preserve"> (</w:t>
      </w:r>
      <w:r w:rsidRPr="00012C3F">
        <w:rPr>
          <w:rFonts w:eastAsia="Verdana" w:cs="Verdana"/>
          <w:sz w:val="20"/>
          <w:szCs w:val="20"/>
          <w:lang w:val="en-US"/>
        </w:rPr>
        <w:t>hereinafter</w:t>
      </w:r>
      <w:r w:rsidR="006C37C9" w:rsidRPr="00012C3F">
        <w:rPr>
          <w:rFonts w:eastAsia="Verdana" w:cs="Verdana"/>
          <w:sz w:val="20"/>
          <w:szCs w:val="20"/>
          <w:lang w:val="en-US"/>
        </w:rPr>
        <w:t xml:space="preserve"> “</w:t>
      </w:r>
      <w:r w:rsidRPr="00012C3F">
        <w:rPr>
          <w:rFonts w:eastAsia="Verdana" w:cs="Verdana"/>
          <w:sz w:val="20"/>
          <w:szCs w:val="20"/>
          <w:lang w:val="en-US"/>
        </w:rPr>
        <w:t xml:space="preserve">the Inter-American </w:t>
      </w:r>
      <w:r w:rsidR="00A84CA0" w:rsidRPr="00012C3F">
        <w:rPr>
          <w:rFonts w:eastAsia="Verdana" w:cs="Verdana"/>
          <w:sz w:val="20"/>
          <w:szCs w:val="20"/>
          <w:lang w:val="en-US"/>
        </w:rPr>
        <w:t>Commission</w:t>
      </w:r>
      <w:r w:rsidR="006C37C9" w:rsidRPr="00012C3F">
        <w:rPr>
          <w:rFonts w:eastAsia="Verdana" w:cs="Verdana"/>
          <w:sz w:val="20"/>
          <w:szCs w:val="20"/>
          <w:lang w:val="en-US"/>
        </w:rPr>
        <w:t>” o</w:t>
      </w:r>
      <w:r w:rsidR="00A84CA0" w:rsidRPr="00012C3F">
        <w:rPr>
          <w:rFonts w:eastAsia="Verdana" w:cs="Verdana"/>
          <w:sz w:val="20"/>
          <w:szCs w:val="20"/>
          <w:lang w:val="en-US"/>
        </w:rPr>
        <w:t>r</w:t>
      </w:r>
      <w:r w:rsidR="006C37C9" w:rsidRPr="00012C3F">
        <w:rPr>
          <w:rFonts w:eastAsia="Verdana" w:cs="Verdana"/>
          <w:sz w:val="20"/>
          <w:szCs w:val="20"/>
          <w:lang w:val="en-US"/>
        </w:rPr>
        <w:t xml:space="preserve"> “</w:t>
      </w:r>
      <w:r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s</w:t>
      </w:r>
      <w:r w:rsidR="00A84CA0" w:rsidRPr="00012C3F">
        <w:rPr>
          <w:rFonts w:eastAsia="Verdana" w:cs="Verdana"/>
          <w:sz w:val="20"/>
          <w:szCs w:val="20"/>
          <w:lang w:val="en-US"/>
        </w:rPr>
        <w:t xml:space="preserve">ubmitted to the Court’s jurisdiction the case of </w:t>
      </w:r>
      <w:r w:rsidR="006C37C9" w:rsidRPr="00012C3F">
        <w:rPr>
          <w:rFonts w:eastAsia="Verdana" w:cs="Verdana"/>
          <w:iCs/>
          <w:sz w:val="20"/>
          <w:szCs w:val="20"/>
          <w:lang w:val="en-US"/>
        </w:rPr>
        <w:t>“</w:t>
      </w:r>
      <w:r w:rsidR="000E1C11" w:rsidRPr="00012C3F">
        <w:rPr>
          <w:rFonts w:eastAsia="Verdana" w:cs="Verdana"/>
          <w:iCs/>
          <w:sz w:val="20"/>
          <w:szCs w:val="20"/>
          <w:lang w:val="en-US"/>
        </w:rPr>
        <w:t>I.V.</w:t>
      </w:r>
      <w:r w:rsidR="006C37C9" w:rsidRPr="00012C3F">
        <w:rPr>
          <w:rFonts w:eastAsia="Verdana" w:cs="Verdana"/>
          <w:iCs/>
          <w:sz w:val="20"/>
          <w:szCs w:val="20"/>
          <w:lang w:val="en-US"/>
        </w:rPr>
        <w:t>”</w:t>
      </w:r>
      <w:r w:rsidR="006C37C9" w:rsidRPr="00012C3F">
        <w:rPr>
          <w:rFonts w:eastAsia="Verdana" w:cs="Verdana"/>
          <w:sz w:val="20"/>
          <w:szCs w:val="20"/>
          <w:lang w:val="en-US"/>
        </w:rPr>
        <w:t xml:space="preserve"> </w:t>
      </w:r>
      <w:r w:rsidR="00A84CA0" w:rsidRPr="00012C3F">
        <w:rPr>
          <w:rFonts w:eastAsia="Verdana" w:cs="Verdana"/>
          <w:sz w:val="20"/>
          <w:szCs w:val="20"/>
          <w:lang w:val="en-US"/>
        </w:rPr>
        <w:t>against the Plurinational State of Bolivia</w:t>
      </w:r>
      <w:r w:rsidR="006C37C9" w:rsidRPr="00012C3F">
        <w:rPr>
          <w:rFonts w:eastAsia="Verdana" w:cs="Verdana"/>
          <w:sz w:val="20"/>
          <w:szCs w:val="20"/>
          <w:lang w:val="en-US"/>
        </w:rPr>
        <w:t xml:space="preserve"> (</w:t>
      </w:r>
      <w:r w:rsidRPr="00012C3F">
        <w:rPr>
          <w:rFonts w:eastAsia="Verdana" w:cs="Verdana"/>
          <w:sz w:val="20"/>
          <w:szCs w:val="20"/>
          <w:lang w:val="en-US"/>
        </w:rPr>
        <w:t>hereinafter</w:t>
      </w:r>
      <w:r w:rsidR="006C37C9" w:rsidRPr="00012C3F">
        <w:rPr>
          <w:rFonts w:eastAsia="Verdana" w:cs="Verdana"/>
          <w:sz w:val="20"/>
          <w:szCs w:val="20"/>
          <w:lang w:val="en-US"/>
        </w:rPr>
        <w:t xml:space="preserve"> “</w:t>
      </w:r>
      <w:r w:rsidR="00A84CA0" w:rsidRPr="00012C3F">
        <w:rPr>
          <w:rFonts w:eastAsia="Verdana" w:cs="Verdana"/>
          <w:sz w:val="20"/>
          <w:szCs w:val="20"/>
          <w:lang w:val="en-US"/>
        </w:rPr>
        <w:t>the State of Bolivia,</w:t>
      </w:r>
      <w:r w:rsidR="006C37C9" w:rsidRPr="00012C3F">
        <w:rPr>
          <w:rFonts w:eastAsia="Verdana" w:cs="Verdana"/>
          <w:sz w:val="20"/>
          <w:szCs w:val="20"/>
          <w:lang w:val="en-US"/>
        </w:rPr>
        <w:t>” “</w:t>
      </w:r>
      <w:r w:rsidR="00A84CA0" w:rsidRPr="00012C3F">
        <w:rPr>
          <w:rFonts w:eastAsia="Verdana" w:cs="Verdana"/>
          <w:sz w:val="20"/>
          <w:szCs w:val="20"/>
          <w:lang w:val="en-US"/>
        </w:rPr>
        <w:t>the Bolivian State</w:t>
      </w:r>
      <w:r w:rsidR="006C37C9" w:rsidRPr="00012C3F">
        <w:rPr>
          <w:rFonts w:eastAsia="Verdana" w:cs="Verdana"/>
          <w:sz w:val="20"/>
          <w:szCs w:val="20"/>
          <w:lang w:val="en-US"/>
        </w:rPr>
        <w:t>” o</w:t>
      </w:r>
      <w:r w:rsidR="00A84CA0" w:rsidRPr="00012C3F">
        <w:rPr>
          <w:rFonts w:eastAsia="Verdana" w:cs="Verdana"/>
          <w:sz w:val="20"/>
          <w:szCs w:val="20"/>
          <w:lang w:val="en-US"/>
        </w:rPr>
        <w:t>r</w:t>
      </w:r>
      <w:r w:rsidR="006C37C9" w:rsidRPr="00012C3F">
        <w:rPr>
          <w:rFonts w:eastAsia="Verdana" w:cs="Verdana"/>
          <w:sz w:val="20"/>
          <w:szCs w:val="20"/>
          <w:lang w:val="en-US"/>
        </w:rPr>
        <w:t xml:space="preserve"> “Bolivia”). </w:t>
      </w:r>
      <w:r w:rsidR="00A84CA0" w:rsidRPr="00012C3F">
        <w:rPr>
          <w:rFonts w:eastAsia="Verdana" w:cs="Verdana"/>
          <w:sz w:val="20"/>
          <w:szCs w:val="20"/>
          <w:lang w:val="en-US"/>
        </w:rPr>
        <w:t xml:space="preserve">According to </w:t>
      </w:r>
      <w:r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00A84CA0" w:rsidRPr="00012C3F">
        <w:rPr>
          <w:rFonts w:eastAsia="Verdana" w:cs="Verdana"/>
          <w:sz w:val="20"/>
          <w:szCs w:val="20"/>
          <w:lang w:val="en-US"/>
        </w:rPr>
        <w:t>the case re</w:t>
      </w:r>
      <w:r w:rsidR="005763AA" w:rsidRPr="00012C3F">
        <w:rPr>
          <w:rFonts w:eastAsia="Verdana" w:cs="Verdana"/>
          <w:sz w:val="20"/>
          <w:szCs w:val="20"/>
          <w:lang w:val="en-US"/>
        </w:rPr>
        <w:t>lates</w:t>
      </w:r>
      <w:r w:rsidR="00A84CA0" w:rsidRPr="00012C3F">
        <w:rPr>
          <w:rFonts w:eastAsia="Verdana" w:cs="Verdana"/>
          <w:sz w:val="20"/>
          <w:szCs w:val="20"/>
          <w:lang w:val="en-US"/>
        </w:rPr>
        <w:t xml:space="preserve"> to the </w:t>
      </w:r>
      <w:r w:rsidR="004808FE" w:rsidRPr="00012C3F">
        <w:rPr>
          <w:rFonts w:eastAsia="Verdana" w:cs="Verdana"/>
          <w:sz w:val="20"/>
          <w:szCs w:val="20"/>
          <w:lang w:val="en-US"/>
        </w:rPr>
        <w:t xml:space="preserve">State’s </w:t>
      </w:r>
      <w:r w:rsidR="00A84CA0" w:rsidRPr="00012C3F">
        <w:rPr>
          <w:rFonts w:eastAsia="Verdana" w:cs="Verdana"/>
          <w:sz w:val="20"/>
          <w:szCs w:val="20"/>
          <w:lang w:val="en-US"/>
        </w:rPr>
        <w:t xml:space="preserve">alleged international responsibility for </w:t>
      </w:r>
      <w:r w:rsidR="00326672" w:rsidRPr="00012C3F">
        <w:rPr>
          <w:rFonts w:eastAsia="Verdana" w:cs="Verdana"/>
          <w:sz w:val="20"/>
          <w:szCs w:val="20"/>
          <w:lang w:val="en-US"/>
        </w:rPr>
        <w:t xml:space="preserve">the </w:t>
      </w:r>
      <w:r w:rsidR="004808FE" w:rsidRPr="00012C3F">
        <w:rPr>
          <w:rFonts w:eastAsia="Verdana" w:cs="Verdana"/>
          <w:sz w:val="20"/>
          <w:szCs w:val="20"/>
          <w:lang w:val="en-US"/>
        </w:rPr>
        <w:t>procedure</w:t>
      </w:r>
      <w:r w:rsidR="00326672" w:rsidRPr="00012C3F">
        <w:rPr>
          <w:rFonts w:eastAsia="Verdana" w:cs="Verdana"/>
          <w:sz w:val="20"/>
          <w:szCs w:val="20"/>
          <w:lang w:val="en-US"/>
        </w:rPr>
        <w:t xml:space="preserve"> to which </w:t>
      </w:r>
      <w:r w:rsidR="000E1C11" w:rsidRPr="00012C3F">
        <w:rPr>
          <w:rFonts w:eastAsia="Verdana" w:cs="Verdana"/>
          <w:sz w:val="20"/>
          <w:szCs w:val="20"/>
          <w:lang w:val="en-US"/>
        </w:rPr>
        <w:t>I.V.</w:t>
      </w:r>
      <w:r w:rsidR="00326672" w:rsidRPr="00012C3F">
        <w:rPr>
          <w:rFonts w:eastAsia="Verdana" w:cs="Verdana"/>
          <w:sz w:val="20"/>
          <w:szCs w:val="20"/>
          <w:lang w:val="en-US"/>
        </w:rPr>
        <w:t xml:space="preserve"> was subjected in a public hospital on Jul</w:t>
      </w:r>
      <w:r w:rsidR="005763AA" w:rsidRPr="00012C3F">
        <w:rPr>
          <w:rFonts w:eastAsia="Verdana" w:cs="Verdana"/>
          <w:sz w:val="20"/>
          <w:szCs w:val="20"/>
          <w:lang w:val="en-US"/>
        </w:rPr>
        <w:t>y</w:t>
      </w:r>
      <w:r w:rsidR="00326672" w:rsidRPr="00012C3F">
        <w:rPr>
          <w:rFonts w:eastAsia="Verdana" w:cs="Verdana"/>
          <w:sz w:val="20"/>
          <w:szCs w:val="20"/>
          <w:lang w:val="en-US"/>
        </w:rPr>
        <w:t xml:space="preserve"> 1, 2000. According to the Commission, this operation, consisting i</w:t>
      </w:r>
      <w:r w:rsidR="004808FE" w:rsidRPr="00012C3F">
        <w:rPr>
          <w:rFonts w:eastAsia="Verdana" w:cs="Verdana"/>
          <w:sz w:val="20"/>
          <w:szCs w:val="20"/>
          <w:lang w:val="en-US"/>
        </w:rPr>
        <w:t>n</w:t>
      </w:r>
      <w:r w:rsidR="00326672" w:rsidRPr="00012C3F">
        <w:rPr>
          <w:rFonts w:eastAsia="Verdana" w:cs="Verdana"/>
          <w:sz w:val="20"/>
          <w:szCs w:val="20"/>
          <w:lang w:val="en-US"/>
        </w:rPr>
        <w:t xml:space="preserve"> </w:t>
      </w:r>
      <w:r w:rsidR="00326672" w:rsidRPr="00012C3F">
        <w:rPr>
          <w:rStyle w:val="Ttulo1Car"/>
          <w:b w:val="0"/>
          <w:caps w:val="0"/>
          <w:lang w:val="en-US"/>
        </w:rPr>
        <w:t xml:space="preserve">bilateral tubal ligation, had been performed in the absence of an emergency situation and without the </w:t>
      </w:r>
      <w:r w:rsidR="00AC0004" w:rsidRPr="00012C3F">
        <w:rPr>
          <w:rStyle w:val="Ttulo1Car"/>
          <w:b w:val="0"/>
          <w:caps w:val="0"/>
          <w:lang w:val="en-US"/>
        </w:rPr>
        <w:t>informed consent</w:t>
      </w:r>
      <w:r w:rsidR="00326672" w:rsidRPr="00012C3F">
        <w:rPr>
          <w:rStyle w:val="Ttulo1Car"/>
          <w:b w:val="0"/>
          <w:caps w:val="0"/>
          <w:lang w:val="en-US"/>
        </w:rPr>
        <w:t xml:space="preserve"> of </w:t>
      </w:r>
      <w:r w:rsidR="000E1C11" w:rsidRPr="00012C3F">
        <w:rPr>
          <w:rStyle w:val="Ttulo1Car"/>
          <w:b w:val="0"/>
          <w:caps w:val="0"/>
          <w:lang w:val="en-US"/>
        </w:rPr>
        <w:t>I.V.</w:t>
      </w:r>
      <w:r w:rsidR="00326672" w:rsidRPr="00012C3F">
        <w:rPr>
          <w:rStyle w:val="Ttulo1Car"/>
          <w:b w:val="0"/>
          <w:caps w:val="0"/>
          <w:lang w:val="en-US"/>
        </w:rPr>
        <w:t xml:space="preserve">, who suffered the permanent and enforced loss of her reproduction function. The Commission determined that the </w:t>
      </w:r>
      <w:r w:rsidR="004808FE" w:rsidRPr="00012C3F">
        <w:rPr>
          <w:rStyle w:val="Ttulo1Car"/>
          <w:b w:val="0"/>
          <w:caps w:val="0"/>
          <w:lang w:val="en-US"/>
        </w:rPr>
        <w:t>procedure</w:t>
      </w:r>
      <w:r w:rsidR="00326672" w:rsidRPr="00012C3F">
        <w:rPr>
          <w:rStyle w:val="Ttulo1Car"/>
          <w:b w:val="0"/>
          <w:caps w:val="0"/>
          <w:lang w:val="en-US"/>
        </w:rPr>
        <w:t xml:space="preserve"> had constitute</w:t>
      </w:r>
      <w:r w:rsidR="005763AA" w:rsidRPr="00012C3F">
        <w:rPr>
          <w:rStyle w:val="Ttulo1Car"/>
          <w:b w:val="0"/>
          <w:caps w:val="0"/>
          <w:lang w:val="en-US"/>
        </w:rPr>
        <w:t>d</w:t>
      </w:r>
      <w:r w:rsidR="00326672" w:rsidRPr="00012C3F">
        <w:rPr>
          <w:rStyle w:val="Ttulo1Car"/>
          <w:b w:val="0"/>
          <w:caps w:val="0"/>
          <w:lang w:val="en-US"/>
        </w:rPr>
        <w:t xml:space="preserve"> a violation of </w:t>
      </w:r>
      <w:r w:rsidR="004808FE" w:rsidRPr="00012C3F">
        <w:rPr>
          <w:rStyle w:val="Ttulo1Car"/>
          <w:b w:val="0"/>
          <w:caps w:val="0"/>
          <w:lang w:val="en-US"/>
        </w:rPr>
        <w:t>I.V.’s</w:t>
      </w:r>
      <w:r w:rsidR="00326672" w:rsidRPr="00012C3F">
        <w:rPr>
          <w:rStyle w:val="Ttulo1Car"/>
          <w:b w:val="0"/>
          <w:caps w:val="0"/>
          <w:lang w:val="en-US"/>
        </w:rPr>
        <w:t xml:space="preserve"> physical and psychological integrity, together with her rights to live </w:t>
      </w:r>
      <w:r w:rsidR="00836B72" w:rsidRPr="00012C3F">
        <w:rPr>
          <w:rStyle w:val="Ttulo1Car"/>
          <w:b w:val="0"/>
          <w:caps w:val="0"/>
          <w:lang w:val="en-US"/>
        </w:rPr>
        <w:t>free from violence</w:t>
      </w:r>
      <w:r w:rsidR="00326672" w:rsidRPr="00012C3F">
        <w:rPr>
          <w:rStyle w:val="Ttulo1Car"/>
          <w:b w:val="0"/>
          <w:caps w:val="0"/>
          <w:lang w:val="en-US"/>
        </w:rPr>
        <w:t xml:space="preserve"> and discrimination,</w:t>
      </w:r>
      <w:r w:rsidR="005763AA" w:rsidRPr="00012C3F">
        <w:rPr>
          <w:rStyle w:val="Ttulo1Car"/>
          <w:b w:val="0"/>
          <w:caps w:val="0"/>
          <w:lang w:val="en-US"/>
        </w:rPr>
        <w:t xml:space="preserve"> of</w:t>
      </w:r>
      <w:r w:rsidR="00326672" w:rsidRPr="00012C3F">
        <w:rPr>
          <w:rStyle w:val="Ttulo1Car"/>
          <w:b w:val="0"/>
          <w:caps w:val="0"/>
          <w:lang w:val="en-US"/>
        </w:rPr>
        <w:t xml:space="preserve"> access </w:t>
      </w:r>
      <w:r w:rsidR="005763AA" w:rsidRPr="00012C3F">
        <w:rPr>
          <w:rStyle w:val="Ttulo1Car"/>
          <w:b w:val="0"/>
          <w:caps w:val="0"/>
          <w:lang w:val="en-US"/>
        </w:rPr>
        <w:t>to</w:t>
      </w:r>
      <w:r w:rsidR="00326672" w:rsidRPr="00012C3F">
        <w:rPr>
          <w:rStyle w:val="Ttulo1Car"/>
          <w:b w:val="0"/>
          <w:caps w:val="0"/>
          <w:lang w:val="en-US"/>
        </w:rPr>
        <w:t xml:space="preserve"> information, and </w:t>
      </w:r>
      <w:r w:rsidR="00DF3B7C" w:rsidRPr="00012C3F">
        <w:rPr>
          <w:rStyle w:val="Ttulo1Car"/>
          <w:b w:val="0"/>
          <w:caps w:val="0"/>
          <w:lang w:val="en-US"/>
        </w:rPr>
        <w:t>to private and family life,</w:t>
      </w:r>
      <w:r w:rsidR="005763AA" w:rsidRPr="00012C3F">
        <w:rPr>
          <w:rStyle w:val="Ttulo1Car"/>
          <w:b w:val="0"/>
          <w:caps w:val="0"/>
          <w:lang w:val="en-US"/>
        </w:rPr>
        <w:t xml:space="preserve"> in the</w:t>
      </w:r>
      <w:r w:rsidR="00326672" w:rsidRPr="00012C3F">
        <w:rPr>
          <w:rStyle w:val="Ttulo1Car"/>
          <w:b w:val="0"/>
          <w:caps w:val="0"/>
          <w:lang w:val="en-US"/>
        </w:rPr>
        <w:t xml:space="preserve"> understanding that reproductive autonomy formed part of those rights. According to the Commission, the State had not provided the presumed victim with an effective judicial remedy </w:t>
      </w:r>
      <w:r w:rsidR="00E00902" w:rsidRPr="00012C3F">
        <w:rPr>
          <w:rStyle w:val="Ttulo1Car"/>
          <w:b w:val="0"/>
          <w:caps w:val="0"/>
          <w:lang w:val="en-US"/>
        </w:rPr>
        <w:t>to address these violations.</w:t>
      </w:r>
    </w:p>
    <w:p w14:paraId="7E9581C9" w14:textId="77777777" w:rsidR="006C37C9" w:rsidRPr="00012C3F" w:rsidRDefault="006C37C9" w:rsidP="00095E76">
      <w:pPr>
        <w:tabs>
          <w:tab w:val="left" w:pos="720"/>
        </w:tabs>
        <w:spacing w:line="240" w:lineRule="auto"/>
        <w:rPr>
          <w:rFonts w:eastAsia="Calibri" w:cs="Arial"/>
          <w:sz w:val="20"/>
          <w:szCs w:val="20"/>
          <w:lang w:val="en-US"/>
        </w:rPr>
      </w:pPr>
    </w:p>
    <w:p w14:paraId="48A109DC" w14:textId="77777777" w:rsidR="006C37C9" w:rsidRPr="00012C3F" w:rsidRDefault="00E00902" w:rsidP="00095E76">
      <w:pPr>
        <w:numPr>
          <w:ilvl w:val="0"/>
          <w:numId w:val="5"/>
        </w:numPr>
        <w:tabs>
          <w:tab w:val="left" w:pos="720"/>
          <w:tab w:val="num" w:pos="12305"/>
        </w:tabs>
        <w:spacing w:line="240" w:lineRule="auto"/>
        <w:ind w:left="0" w:firstLine="0"/>
        <w:rPr>
          <w:rFonts w:eastAsia="Calibri" w:cs="Arial"/>
          <w:sz w:val="20"/>
          <w:szCs w:val="20"/>
          <w:lang w:val="en-US"/>
        </w:rPr>
      </w:pPr>
      <w:r w:rsidRPr="00012C3F">
        <w:rPr>
          <w:rFonts w:eastAsia="Verdana" w:cs="Verdana"/>
          <w:i/>
          <w:sz w:val="20"/>
          <w:szCs w:val="20"/>
          <w:lang w:val="en-US"/>
        </w:rPr>
        <w:t>Procedure before</w:t>
      </w:r>
      <w:r w:rsidR="006C37C9" w:rsidRPr="00012C3F">
        <w:rPr>
          <w:rFonts w:eastAsia="Verdana" w:cs="Verdana"/>
          <w:i/>
          <w:sz w:val="20"/>
          <w:szCs w:val="20"/>
          <w:lang w:val="en-US"/>
        </w:rPr>
        <w:t xml:space="preserve"> </w:t>
      </w:r>
      <w:r w:rsidR="001254DE" w:rsidRPr="00012C3F">
        <w:rPr>
          <w:rFonts w:eastAsia="Verdana" w:cs="Verdana"/>
          <w:i/>
          <w:sz w:val="20"/>
          <w:szCs w:val="20"/>
          <w:lang w:val="en-US"/>
        </w:rPr>
        <w:t xml:space="preserve">the </w:t>
      </w:r>
      <w:r w:rsidR="00A84CA0" w:rsidRPr="00012C3F">
        <w:rPr>
          <w:rFonts w:eastAsia="Verdana" w:cs="Verdana"/>
          <w:i/>
          <w:sz w:val="20"/>
          <w:szCs w:val="20"/>
          <w:lang w:val="en-US"/>
        </w:rPr>
        <w:t>Commission</w:t>
      </w:r>
      <w:r w:rsidR="006C37C9" w:rsidRPr="00012C3F">
        <w:rPr>
          <w:rFonts w:eastAsia="Verdana" w:cs="Verdana"/>
          <w:i/>
          <w:sz w:val="20"/>
          <w:szCs w:val="20"/>
          <w:lang w:val="en-US"/>
        </w:rPr>
        <w:t xml:space="preserve">. </w:t>
      </w:r>
      <w:r w:rsidRPr="00012C3F">
        <w:rPr>
          <w:rFonts w:eastAsia="Verdana" w:cs="Verdana"/>
          <w:sz w:val="20"/>
          <w:szCs w:val="20"/>
          <w:lang w:val="en-US"/>
        </w:rPr>
        <w:t xml:space="preserve">The procedure before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was as follows</w:t>
      </w:r>
      <w:r w:rsidR="006C37C9" w:rsidRPr="00012C3F">
        <w:rPr>
          <w:rFonts w:eastAsia="Verdana" w:cs="Verdana"/>
          <w:sz w:val="20"/>
          <w:szCs w:val="20"/>
          <w:lang w:val="en-US"/>
        </w:rPr>
        <w:t>:</w:t>
      </w:r>
    </w:p>
    <w:p w14:paraId="650410EA" w14:textId="77777777" w:rsidR="006C37C9" w:rsidRPr="00012C3F" w:rsidRDefault="006C37C9" w:rsidP="00095E76">
      <w:pPr>
        <w:tabs>
          <w:tab w:val="left" w:pos="720"/>
        </w:tabs>
        <w:spacing w:line="240" w:lineRule="auto"/>
        <w:rPr>
          <w:rFonts w:eastAsia="Calibri"/>
          <w:sz w:val="20"/>
          <w:szCs w:val="20"/>
          <w:lang w:val="en-US"/>
        </w:rPr>
      </w:pPr>
    </w:p>
    <w:p w14:paraId="6809D299" w14:textId="77777777" w:rsidR="006C37C9" w:rsidRPr="00012C3F" w:rsidRDefault="006C37C9" w:rsidP="006C37C9">
      <w:pPr>
        <w:numPr>
          <w:ilvl w:val="0"/>
          <w:numId w:val="6"/>
        </w:numPr>
        <w:adjustRightInd/>
        <w:spacing w:after="200" w:line="240" w:lineRule="auto"/>
        <w:ind w:right="144"/>
        <w:contextualSpacing/>
        <w:textAlignment w:val="auto"/>
        <w:rPr>
          <w:rFonts w:eastAsia="Verdana" w:cs="Verdana"/>
          <w:sz w:val="20"/>
          <w:szCs w:val="20"/>
          <w:lang w:val="en-US"/>
        </w:rPr>
      </w:pPr>
      <w:r w:rsidRPr="00012C3F">
        <w:rPr>
          <w:rFonts w:eastAsia="Verdana" w:cs="Verdana"/>
          <w:i/>
          <w:sz w:val="20"/>
          <w:szCs w:val="20"/>
          <w:lang w:val="en-US"/>
        </w:rPr>
        <w:t>Peti</w:t>
      </w:r>
      <w:r w:rsidR="00E00902" w:rsidRPr="00012C3F">
        <w:rPr>
          <w:rFonts w:eastAsia="Verdana" w:cs="Verdana"/>
          <w:i/>
          <w:sz w:val="20"/>
          <w:szCs w:val="20"/>
          <w:lang w:val="en-US"/>
        </w:rPr>
        <w:t>tio</w:t>
      </w:r>
      <w:r w:rsidRPr="00012C3F">
        <w:rPr>
          <w:rFonts w:eastAsia="Verdana" w:cs="Verdana"/>
          <w:i/>
          <w:sz w:val="20"/>
          <w:szCs w:val="20"/>
          <w:lang w:val="en-US"/>
        </w:rPr>
        <w:t xml:space="preserve">n. </w:t>
      </w:r>
      <w:r w:rsidR="00E00902" w:rsidRPr="00012C3F">
        <w:rPr>
          <w:rFonts w:eastAsia="Verdana" w:cs="Verdana"/>
          <w:sz w:val="20"/>
          <w:szCs w:val="20"/>
          <w:lang w:val="en-US"/>
        </w:rPr>
        <w:t>On March 7,</w:t>
      </w:r>
      <w:r w:rsidRPr="00012C3F">
        <w:rPr>
          <w:rFonts w:eastAsia="Verdana" w:cs="Verdana"/>
          <w:sz w:val="20"/>
          <w:szCs w:val="20"/>
          <w:lang w:val="en-US"/>
        </w:rPr>
        <w:t xml:space="preserve"> 2007</w:t>
      </w:r>
      <w:r w:rsidR="00E00902" w:rsidRPr="00012C3F">
        <w:rPr>
          <w:rFonts w:eastAsia="Verdana" w:cs="Verdana"/>
          <w:sz w:val="20"/>
          <w:szCs w:val="20"/>
          <w:lang w:val="en-US"/>
        </w:rPr>
        <w:t xml:space="preserve">, the Bolivian Ombudsman </w:t>
      </w:r>
      <w:r w:rsidRPr="00012C3F">
        <w:rPr>
          <w:rFonts w:eastAsia="Verdana" w:cs="Verdana"/>
          <w:sz w:val="20"/>
          <w:szCs w:val="20"/>
          <w:lang w:val="en-US"/>
        </w:rPr>
        <w:t>(</w:t>
      </w:r>
      <w:r w:rsidR="001254DE" w:rsidRPr="00012C3F">
        <w:rPr>
          <w:rFonts w:eastAsia="Verdana" w:cs="Verdana"/>
          <w:sz w:val="20"/>
          <w:szCs w:val="20"/>
          <w:lang w:val="en-US"/>
        </w:rPr>
        <w:t>hereinafter</w:t>
      </w:r>
      <w:r w:rsidRPr="00012C3F">
        <w:rPr>
          <w:rFonts w:eastAsia="Verdana" w:cs="Verdana"/>
          <w:sz w:val="20"/>
          <w:szCs w:val="20"/>
          <w:lang w:val="en-US"/>
        </w:rPr>
        <w:t xml:space="preserve"> “</w:t>
      </w:r>
      <w:r w:rsidR="00E00902" w:rsidRPr="00012C3F">
        <w:rPr>
          <w:rFonts w:eastAsia="Verdana" w:cs="Verdana"/>
          <w:sz w:val="20"/>
          <w:szCs w:val="20"/>
          <w:lang w:val="en-US"/>
        </w:rPr>
        <w:t>the petitioner</w:t>
      </w:r>
      <w:r w:rsidRPr="00012C3F">
        <w:rPr>
          <w:rFonts w:eastAsia="Verdana" w:cs="Verdana"/>
          <w:sz w:val="20"/>
          <w:szCs w:val="20"/>
          <w:lang w:val="en-US"/>
        </w:rPr>
        <w:t xml:space="preserve">”), </w:t>
      </w:r>
      <w:r w:rsidR="00E00902" w:rsidRPr="00012C3F">
        <w:rPr>
          <w:rFonts w:eastAsia="Verdana" w:cs="Verdana"/>
          <w:sz w:val="20"/>
          <w:szCs w:val="20"/>
          <w:lang w:val="en-US"/>
        </w:rPr>
        <w:t xml:space="preserve">on behalf of </w:t>
      </w:r>
      <w:r w:rsidR="000E1C11" w:rsidRPr="00012C3F">
        <w:rPr>
          <w:rFonts w:eastAsia="Verdana" w:cs="Verdana"/>
          <w:sz w:val="20"/>
          <w:szCs w:val="20"/>
          <w:lang w:val="en-US"/>
        </w:rPr>
        <w:t>I.V.</w:t>
      </w:r>
      <w:r w:rsidRPr="00012C3F">
        <w:rPr>
          <w:rFonts w:eastAsia="Verdana" w:cs="Verdana"/>
          <w:sz w:val="20"/>
          <w:szCs w:val="20"/>
          <w:lang w:val="en-US"/>
        </w:rPr>
        <w:t xml:space="preserve"> </w:t>
      </w:r>
      <w:r w:rsidRPr="00012C3F">
        <w:rPr>
          <w:rFonts w:eastAsia="Calibri" w:cs="Arial"/>
          <w:sz w:val="20"/>
          <w:szCs w:val="20"/>
          <w:lang w:val="en-US"/>
        </w:rPr>
        <w:t>(</w:t>
      </w:r>
      <w:r w:rsidR="001254DE" w:rsidRPr="00012C3F">
        <w:rPr>
          <w:rFonts w:eastAsia="Calibri" w:cs="Arial"/>
          <w:sz w:val="20"/>
          <w:szCs w:val="20"/>
          <w:lang w:val="en-US"/>
        </w:rPr>
        <w:t>hereinafter</w:t>
      </w:r>
      <w:r w:rsidRPr="00012C3F">
        <w:rPr>
          <w:rFonts w:eastAsia="Calibri" w:cs="Arial"/>
          <w:sz w:val="20"/>
          <w:szCs w:val="20"/>
          <w:lang w:val="en-US"/>
        </w:rPr>
        <w:t xml:space="preserve"> “</w:t>
      </w:r>
      <w:r w:rsidR="00E00902" w:rsidRPr="00012C3F">
        <w:rPr>
          <w:rFonts w:eastAsia="Calibri" w:cs="Arial"/>
          <w:sz w:val="20"/>
          <w:szCs w:val="20"/>
          <w:lang w:val="en-US"/>
        </w:rPr>
        <w:t>the presumed victim</w:t>
      </w:r>
      <w:r w:rsidRPr="00012C3F">
        <w:rPr>
          <w:rFonts w:eastAsia="Calibri" w:cs="Arial"/>
          <w:sz w:val="20"/>
          <w:szCs w:val="20"/>
          <w:lang w:val="en-US"/>
        </w:rPr>
        <w:t>”),</w:t>
      </w:r>
      <w:r w:rsidRPr="00012C3F">
        <w:rPr>
          <w:rFonts w:eastAsia="Verdana" w:cs="Verdana"/>
          <w:sz w:val="20"/>
          <w:szCs w:val="20"/>
          <w:lang w:val="en-US"/>
        </w:rPr>
        <w:t xml:space="preserve"> </w:t>
      </w:r>
      <w:r w:rsidR="00E00902" w:rsidRPr="00012C3F">
        <w:rPr>
          <w:rFonts w:eastAsia="Verdana" w:cs="Verdana"/>
          <w:sz w:val="20"/>
          <w:szCs w:val="20"/>
          <w:lang w:val="en-US"/>
        </w:rPr>
        <w:t xml:space="preserve">lodged the initial petition before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Pr="00012C3F">
        <w:rPr>
          <w:rFonts w:eastAsia="Verdana" w:cs="Verdana"/>
          <w:sz w:val="20"/>
          <w:szCs w:val="20"/>
          <w:lang w:val="en-US"/>
        </w:rPr>
        <w:t xml:space="preserve">. </w:t>
      </w:r>
      <w:r w:rsidR="00E00902" w:rsidRPr="00012C3F">
        <w:rPr>
          <w:rFonts w:eastAsia="Verdana" w:cs="Verdana"/>
          <w:sz w:val="20"/>
          <w:szCs w:val="20"/>
          <w:lang w:val="en-US"/>
        </w:rPr>
        <w:t>On March 6,</w:t>
      </w:r>
      <w:r w:rsidRPr="00012C3F">
        <w:rPr>
          <w:rFonts w:eastAsia="Verdana" w:cs="Verdana"/>
          <w:sz w:val="20"/>
          <w:szCs w:val="20"/>
          <w:lang w:val="en-US"/>
        </w:rPr>
        <w:t xml:space="preserve"> 2015</w:t>
      </w:r>
      <w:r w:rsidR="00E00902" w:rsidRPr="00012C3F">
        <w:rPr>
          <w:rFonts w:eastAsia="Verdana" w:cs="Verdana"/>
          <w:sz w:val="20"/>
          <w:szCs w:val="20"/>
          <w:lang w:val="en-US"/>
        </w:rPr>
        <w:t>,</w:t>
      </w:r>
      <w:r w:rsidRPr="00012C3F">
        <w:rPr>
          <w:rFonts w:eastAsia="Verdana" w:cs="Verdana"/>
          <w:sz w:val="20"/>
          <w:szCs w:val="20"/>
          <w:lang w:val="en-US"/>
        </w:rPr>
        <w:t xml:space="preserve"> </w:t>
      </w:r>
      <w:r w:rsidR="00E00902" w:rsidRPr="00012C3F">
        <w:rPr>
          <w:rFonts w:eastAsia="Verdana" w:cs="Verdana"/>
          <w:sz w:val="20"/>
          <w:szCs w:val="20"/>
          <w:lang w:val="en-US"/>
        </w:rPr>
        <w:t>the presumed victim</w:t>
      </w:r>
      <w:r w:rsidRPr="00012C3F">
        <w:rPr>
          <w:rFonts w:eastAsia="Verdana" w:cs="Verdana"/>
          <w:sz w:val="20"/>
          <w:szCs w:val="20"/>
          <w:lang w:val="en-US"/>
        </w:rPr>
        <w:t xml:space="preserve"> deci</w:t>
      </w:r>
      <w:r w:rsidR="00E00902" w:rsidRPr="00012C3F">
        <w:rPr>
          <w:rFonts w:eastAsia="Verdana" w:cs="Verdana"/>
          <w:sz w:val="20"/>
          <w:szCs w:val="20"/>
          <w:lang w:val="en-US"/>
        </w:rPr>
        <w:t>ded to substitute the Ombudsman by the association</w:t>
      </w:r>
      <w:r w:rsidR="005763AA" w:rsidRPr="00012C3F">
        <w:rPr>
          <w:rFonts w:eastAsia="Verdana" w:cs="Verdana"/>
          <w:sz w:val="20"/>
          <w:szCs w:val="20"/>
          <w:lang w:val="en-US"/>
        </w:rPr>
        <w:t>,</w:t>
      </w:r>
      <w:r w:rsidR="00E00902" w:rsidRPr="00012C3F">
        <w:rPr>
          <w:rFonts w:eastAsia="Verdana" w:cs="Verdana"/>
          <w:sz w:val="20"/>
          <w:szCs w:val="20"/>
          <w:lang w:val="en-US"/>
        </w:rPr>
        <w:t xml:space="preserve"> </w:t>
      </w:r>
      <w:r w:rsidRPr="00012C3F">
        <w:rPr>
          <w:rFonts w:eastAsia="Verdana" w:cs="Verdana"/>
          <w:i/>
          <w:iCs/>
          <w:sz w:val="20"/>
          <w:szCs w:val="20"/>
          <w:lang w:val="en-US"/>
        </w:rPr>
        <w:t>Derechos en Acción</w:t>
      </w:r>
      <w:r w:rsidRPr="00012C3F">
        <w:rPr>
          <w:rFonts w:eastAsia="Verdana" w:cs="Verdana"/>
          <w:sz w:val="20"/>
          <w:szCs w:val="20"/>
          <w:lang w:val="en-US"/>
        </w:rPr>
        <w:t>, represent</w:t>
      </w:r>
      <w:r w:rsidR="00E00902" w:rsidRPr="00012C3F">
        <w:rPr>
          <w:rFonts w:eastAsia="Verdana" w:cs="Verdana"/>
          <w:sz w:val="20"/>
          <w:szCs w:val="20"/>
          <w:lang w:val="en-US"/>
        </w:rPr>
        <w:t xml:space="preserve">ed by its Executive Director, </w:t>
      </w:r>
      <w:r w:rsidRPr="00012C3F">
        <w:rPr>
          <w:rFonts w:eastAsia="Verdana" w:cs="Verdana"/>
          <w:sz w:val="20"/>
          <w:szCs w:val="20"/>
          <w:lang w:val="en-US"/>
        </w:rPr>
        <w:t>Rielma Mencías Rivadeneira.</w:t>
      </w:r>
    </w:p>
    <w:p w14:paraId="5BE11F82" w14:textId="77777777" w:rsidR="006C37C9" w:rsidRPr="00012C3F" w:rsidRDefault="006C37C9" w:rsidP="006C37C9">
      <w:pPr>
        <w:spacing w:line="240" w:lineRule="auto"/>
        <w:ind w:left="818" w:right="144"/>
        <w:contextualSpacing/>
        <w:rPr>
          <w:rFonts w:eastAsia="Verdana" w:cs="Verdana"/>
          <w:sz w:val="20"/>
          <w:szCs w:val="20"/>
          <w:lang w:val="en-US"/>
        </w:rPr>
      </w:pPr>
    </w:p>
    <w:p w14:paraId="66829597" w14:textId="77777777" w:rsidR="006C37C9" w:rsidRPr="00012C3F" w:rsidRDefault="00E00902" w:rsidP="006C37C9">
      <w:pPr>
        <w:numPr>
          <w:ilvl w:val="0"/>
          <w:numId w:val="6"/>
        </w:numPr>
        <w:adjustRightInd/>
        <w:spacing w:after="200" w:line="240" w:lineRule="auto"/>
        <w:ind w:right="144"/>
        <w:contextualSpacing/>
        <w:textAlignment w:val="auto"/>
        <w:rPr>
          <w:rFonts w:eastAsia="Verdana" w:cs="Verdana"/>
          <w:sz w:val="20"/>
          <w:szCs w:val="20"/>
          <w:lang w:val="en-US"/>
        </w:rPr>
      </w:pPr>
      <w:r w:rsidRPr="00012C3F">
        <w:rPr>
          <w:rFonts w:eastAsia="Verdana" w:cs="Verdana"/>
          <w:i/>
          <w:sz w:val="20"/>
          <w:szCs w:val="20"/>
          <w:lang w:val="en-US"/>
        </w:rPr>
        <w:t>Admissibility Report</w:t>
      </w:r>
      <w:r w:rsidR="006C37C9" w:rsidRPr="00012C3F">
        <w:rPr>
          <w:rFonts w:eastAsia="Verdana" w:cs="Verdana"/>
          <w:i/>
          <w:sz w:val="20"/>
          <w:szCs w:val="20"/>
          <w:lang w:val="en-US"/>
        </w:rPr>
        <w:t xml:space="preserve">. </w:t>
      </w:r>
      <w:r w:rsidRPr="00012C3F">
        <w:rPr>
          <w:rFonts w:eastAsia="Verdana" w:cs="Verdana"/>
          <w:sz w:val="20"/>
          <w:szCs w:val="20"/>
          <w:lang w:val="en-US"/>
        </w:rPr>
        <w:t>On</w:t>
      </w:r>
      <w:r w:rsidR="006C37C9" w:rsidRPr="00012C3F">
        <w:rPr>
          <w:rFonts w:eastAsia="Verdana" w:cs="Verdana"/>
          <w:sz w:val="20"/>
          <w:szCs w:val="20"/>
          <w:lang w:val="en-US"/>
        </w:rPr>
        <w:t xml:space="preserve"> </w:t>
      </w:r>
      <w:r w:rsidRPr="00012C3F">
        <w:rPr>
          <w:rFonts w:eastAsia="Verdana" w:cs="Verdana"/>
          <w:sz w:val="20"/>
          <w:szCs w:val="20"/>
          <w:lang w:val="en-US"/>
        </w:rPr>
        <w:t>July 23,</w:t>
      </w:r>
      <w:r w:rsidR="006C37C9" w:rsidRPr="00012C3F">
        <w:rPr>
          <w:rFonts w:eastAsia="Verdana" w:cs="Verdana"/>
          <w:sz w:val="20"/>
          <w:szCs w:val="20"/>
          <w:lang w:val="en-US"/>
        </w:rPr>
        <w:t xml:space="preserve"> 2008</w:t>
      </w:r>
      <w:r w:rsidRPr="00012C3F">
        <w:rPr>
          <w:rFonts w:eastAsia="Verdana" w:cs="Verdana"/>
          <w:sz w:val="20"/>
          <w:szCs w:val="20"/>
          <w:lang w:val="en-US"/>
        </w:rPr>
        <w:t>,</w:t>
      </w:r>
      <w:r w:rsidR="006C37C9"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adopted</w:t>
      </w:r>
      <w:r w:rsidR="006C37C9" w:rsidRPr="00012C3F">
        <w:rPr>
          <w:rFonts w:eastAsia="Verdana" w:cs="Verdana"/>
          <w:sz w:val="20"/>
          <w:szCs w:val="20"/>
          <w:lang w:val="en-US"/>
        </w:rPr>
        <w:t xml:space="preserve"> </w:t>
      </w:r>
      <w:r w:rsidRPr="00012C3F">
        <w:rPr>
          <w:rFonts w:eastAsia="Verdana" w:cs="Verdana"/>
          <w:sz w:val="20"/>
          <w:szCs w:val="20"/>
          <w:lang w:val="en-US"/>
        </w:rPr>
        <w:t>Admissibility Report</w:t>
      </w:r>
      <w:r w:rsidR="006C37C9" w:rsidRPr="00012C3F">
        <w:rPr>
          <w:rFonts w:eastAsia="Verdana" w:cs="Verdana"/>
          <w:position w:val="-1"/>
          <w:sz w:val="20"/>
          <w:szCs w:val="20"/>
          <w:lang w:val="en-US"/>
        </w:rPr>
        <w:t xml:space="preserve"> No. 40/08 </w:t>
      </w:r>
      <w:r w:rsidRPr="00012C3F">
        <w:rPr>
          <w:rFonts w:eastAsia="Verdana" w:cs="Verdana"/>
          <w:position w:val="-1"/>
          <w:sz w:val="20"/>
          <w:szCs w:val="20"/>
          <w:lang w:val="en-US"/>
        </w:rPr>
        <w:t xml:space="preserve">in which it concluded that petition </w:t>
      </w:r>
      <w:r w:rsidR="006C37C9" w:rsidRPr="00012C3F">
        <w:rPr>
          <w:rFonts w:cs="Verdana"/>
          <w:sz w:val="20"/>
          <w:szCs w:val="20"/>
          <w:lang w:val="en-US"/>
        </w:rPr>
        <w:t xml:space="preserve">270-07 </w:t>
      </w:r>
      <w:r w:rsidRPr="00012C3F">
        <w:rPr>
          <w:rFonts w:cs="Verdana"/>
          <w:sz w:val="20"/>
          <w:szCs w:val="20"/>
          <w:lang w:val="en-US"/>
        </w:rPr>
        <w:t>was admissible.</w:t>
      </w:r>
      <w:r w:rsidR="006C37C9" w:rsidRPr="00012C3F">
        <w:rPr>
          <w:rStyle w:val="Refdenotaalpie"/>
          <w:rFonts w:eastAsia="Verdana" w:cs="Verdana"/>
          <w:position w:val="-1"/>
          <w:sz w:val="20"/>
          <w:szCs w:val="20"/>
          <w:lang w:val="en-US"/>
        </w:rPr>
        <w:footnoteReference w:id="2"/>
      </w:r>
    </w:p>
    <w:p w14:paraId="3AB1BA1E" w14:textId="77777777" w:rsidR="006C37C9" w:rsidRPr="00012C3F" w:rsidRDefault="006C37C9" w:rsidP="006C37C9">
      <w:pPr>
        <w:spacing w:line="240" w:lineRule="auto"/>
        <w:ind w:left="818" w:right="144"/>
        <w:contextualSpacing/>
        <w:rPr>
          <w:rFonts w:eastAsia="Verdana" w:cs="Verdana"/>
          <w:sz w:val="20"/>
          <w:szCs w:val="20"/>
          <w:lang w:val="en-US"/>
        </w:rPr>
      </w:pPr>
    </w:p>
    <w:p w14:paraId="4F3DD8D4" w14:textId="77777777" w:rsidR="006C37C9" w:rsidRPr="00012C3F" w:rsidRDefault="00E00902" w:rsidP="006C37C9">
      <w:pPr>
        <w:numPr>
          <w:ilvl w:val="0"/>
          <w:numId w:val="6"/>
        </w:numPr>
        <w:adjustRightInd/>
        <w:spacing w:after="200" w:line="240" w:lineRule="auto"/>
        <w:ind w:right="144"/>
        <w:contextualSpacing/>
        <w:textAlignment w:val="auto"/>
        <w:rPr>
          <w:rFonts w:eastAsia="Verdana" w:cs="Verdana"/>
          <w:sz w:val="20"/>
          <w:szCs w:val="20"/>
          <w:lang w:val="en-US"/>
        </w:rPr>
      </w:pPr>
      <w:r w:rsidRPr="00012C3F">
        <w:rPr>
          <w:rFonts w:eastAsia="Verdana" w:cs="Verdana"/>
          <w:i/>
          <w:sz w:val="20"/>
          <w:szCs w:val="20"/>
          <w:lang w:val="en-US"/>
        </w:rPr>
        <w:t>Merits Report</w:t>
      </w:r>
      <w:r w:rsidR="006C37C9" w:rsidRPr="00012C3F">
        <w:rPr>
          <w:rFonts w:eastAsia="Verdana" w:cs="Verdana"/>
          <w:i/>
          <w:sz w:val="20"/>
          <w:szCs w:val="20"/>
          <w:lang w:val="en-US"/>
        </w:rPr>
        <w:t xml:space="preserve">. </w:t>
      </w:r>
      <w:r w:rsidRPr="00012C3F">
        <w:rPr>
          <w:rFonts w:eastAsia="Verdana" w:cs="Verdana"/>
          <w:iCs/>
          <w:sz w:val="20"/>
          <w:szCs w:val="20"/>
          <w:lang w:val="en-US"/>
        </w:rPr>
        <w:t>On</w:t>
      </w:r>
      <w:r w:rsidR="006C37C9" w:rsidRPr="00012C3F">
        <w:rPr>
          <w:rFonts w:eastAsia="Verdana" w:cs="Verdana"/>
          <w:iCs/>
          <w:sz w:val="20"/>
          <w:szCs w:val="20"/>
          <w:lang w:val="en-US"/>
        </w:rPr>
        <w:t xml:space="preserve"> </w:t>
      </w:r>
      <w:r w:rsidRPr="00012C3F">
        <w:rPr>
          <w:rFonts w:eastAsia="Verdana" w:cs="Verdana"/>
          <w:sz w:val="20"/>
          <w:szCs w:val="20"/>
          <w:lang w:val="en-US"/>
        </w:rPr>
        <w:t>August 15,</w:t>
      </w:r>
      <w:r w:rsidR="006C37C9" w:rsidRPr="00012C3F">
        <w:rPr>
          <w:rFonts w:eastAsia="Verdana" w:cs="Verdana"/>
          <w:sz w:val="20"/>
          <w:szCs w:val="20"/>
          <w:lang w:val="en-US"/>
        </w:rPr>
        <w:t xml:space="preserve"> 2014</w:t>
      </w:r>
      <w:r w:rsidRPr="00012C3F">
        <w:rPr>
          <w:rFonts w:eastAsia="Verdana" w:cs="Verdana"/>
          <w:sz w:val="20"/>
          <w:szCs w:val="20"/>
          <w:lang w:val="en-US"/>
        </w:rPr>
        <w:t>,</w:t>
      </w:r>
      <w:r w:rsidR="006C37C9"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adopted</w:t>
      </w:r>
      <w:r w:rsidR="006C37C9" w:rsidRPr="00012C3F">
        <w:rPr>
          <w:rFonts w:eastAsia="Verdana" w:cs="Verdana"/>
          <w:sz w:val="20"/>
          <w:szCs w:val="20"/>
          <w:lang w:val="en-US"/>
        </w:rPr>
        <w:t xml:space="preserve"> </w:t>
      </w:r>
      <w:r w:rsidRPr="00012C3F">
        <w:rPr>
          <w:rFonts w:eastAsia="Verdana" w:cs="Verdana"/>
          <w:sz w:val="20"/>
          <w:szCs w:val="20"/>
          <w:lang w:val="en-US"/>
        </w:rPr>
        <w:t>Merits Report</w:t>
      </w:r>
      <w:r w:rsidR="006C37C9" w:rsidRPr="00012C3F">
        <w:rPr>
          <w:rFonts w:eastAsia="Verdana" w:cs="Verdana"/>
          <w:sz w:val="20"/>
          <w:szCs w:val="20"/>
          <w:lang w:val="en-US"/>
        </w:rPr>
        <w:t xml:space="preserve"> No. 72/14, </w:t>
      </w:r>
      <w:r w:rsidRPr="00012C3F">
        <w:rPr>
          <w:rFonts w:eastAsia="Verdana" w:cs="Verdana"/>
          <w:sz w:val="20"/>
          <w:szCs w:val="20"/>
          <w:lang w:val="en-US"/>
        </w:rPr>
        <w:t xml:space="preserve">under </w:t>
      </w:r>
      <w:r w:rsidR="001254DE" w:rsidRPr="00012C3F">
        <w:rPr>
          <w:rFonts w:eastAsia="Verdana" w:cs="Verdana"/>
          <w:sz w:val="20"/>
          <w:szCs w:val="20"/>
          <w:lang w:val="en-US"/>
        </w:rPr>
        <w:t>Article</w:t>
      </w:r>
      <w:r w:rsidR="006C37C9" w:rsidRPr="00012C3F">
        <w:rPr>
          <w:rFonts w:eastAsia="Verdana" w:cs="Verdana"/>
          <w:sz w:val="20"/>
          <w:szCs w:val="20"/>
          <w:lang w:val="en-US"/>
        </w:rPr>
        <w:t xml:space="preserve"> 50</w:t>
      </w:r>
      <w:r w:rsidR="001254DE" w:rsidRPr="00012C3F">
        <w:rPr>
          <w:rFonts w:eastAsia="Verdana" w:cs="Verdana"/>
          <w:sz w:val="20"/>
          <w:szCs w:val="20"/>
          <w:lang w:val="en-US"/>
        </w:rPr>
        <w:t xml:space="preserve"> of the Convention</w:t>
      </w:r>
      <w:r w:rsidR="006C37C9" w:rsidRPr="00012C3F">
        <w:rPr>
          <w:rFonts w:eastAsia="Verdana" w:cs="Verdana"/>
          <w:sz w:val="20"/>
          <w:szCs w:val="20"/>
          <w:lang w:val="en-US"/>
        </w:rPr>
        <w:t xml:space="preserve"> (</w:t>
      </w:r>
      <w:r w:rsidR="001254DE" w:rsidRPr="00012C3F">
        <w:rPr>
          <w:rFonts w:eastAsia="Verdana" w:cs="Verdana"/>
          <w:sz w:val="20"/>
          <w:szCs w:val="20"/>
          <w:lang w:val="en-US"/>
        </w:rPr>
        <w:t>hereinafter</w:t>
      </w:r>
      <w:r w:rsidR="006C37C9" w:rsidRPr="00012C3F">
        <w:rPr>
          <w:rFonts w:eastAsia="Verdana" w:cs="Verdana"/>
          <w:sz w:val="20"/>
          <w:szCs w:val="20"/>
          <w:lang w:val="en-US"/>
        </w:rPr>
        <w:t xml:space="preserve"> </w:t>
      </w:r>
      <w:r w:rsidRPr="00012C3F">
        <w:rPr>
          <w:rFonts w:eastAsia="Verdana" w:cs="Verdana"/>
          <w:sz w:val="20"/>
          <w:szCs w:val="20"/>
          <w:lang w:val="en-US"/>
        </w:rPr>
        <w:t>also</w:t>
      </w:r>
      <w:r w:rsidR="006C37C9" w:rsidRPr="00012C3F">
        <w:rPr>
          <w:rFonts w:eastAsia="Verdana" w:cs="Verdana"/>
          <w:sz w:val="20"/>
          <w:szCs w:val="20"/>
          <w:lang w:val="en-US"/>
        </w:rPr>
        <w:t xml:space="preserve"> “</w:t>
      </w:r>
      <w:r w:rsidRPr="00012C3F">
        <w:rPr>
          <w:rFonts w:eastAsia="Verdana" w:cs="Verdana"/>
          <w:sz w:val="20"/>
          <w:szCs w:val="20"/>
          <w:lang w:val="en-US"/>
        </w:rPr>
        <w:t>the</w:t>
      </w:r>
      <w:r w:rsidR="006C37C9" w:rsidRPr="00012C3F">
        <w:rPr>
          <w:rFonts w:eastAsia="Verdana" w:cs="Verdana"/>
          <w:sz w:val="20"/>
          <w:szCs w:val="20"/>
          <w:lang w:val="en-US"/>
        </w:rPr>
        <w:t xml:space="preserve"> </w:t>
      </w:r>
      <w:r w:rsidRPr="00012C3F">
        <w:rPr>
          <w:rFonts w:eastAsia="Verdana" w:cs="Verdana"/>
          <w:sz w:val="20"/>
          <w:szCs w:val="20"/>
          <w:lang w:val="en-US"/>
        </w:rPr>
        <w:t>Merits Report</w:t>
      </w:r>
      <w:r w:rsidR="006C37C9" w:rsidRPr="00012C3F">
        <w:rPr>
          <w:rFonts w:eastAsia="Verdana" w:cs="Verdana"/>
          <w:sz w:val="20"/>
          <w:szCs w:val="20"/>
          <w:lang w:val="en-US"/>
        </w:rPr>
        <w:t>” o</w:t>
      </w:r>
      <w:r w:rsidRPr="00012C3F">
        <w:rPr>
          <w:rFonts w:eastAsia="Verdana" w:cs="Verdana"/>
          <w:sz w:val="20"/>
          <w:szCs w:val="20"/>
          <w:lang w:val="en-US"/>
        </w:rPr>
        <w:t>r</w:t>
      </w:r>
      <w:r w:rsidR="006C37C9" w:rsidRPr="00012C3F">
        <w:rPr>
          <w:rFonts w:eastAsia="Verdana" w:cs="Verdana"/>
          <w:sz w:val="20"/>
          <w:szCs w:val="20"/>
          <w:lang w:val="en-US"/>
        </w:rPr>
        <w:t xml:space="preserve"> “</w:t>
      </w:r>
      <w:r w:rsidRPr="00012C3F">
        <w:rPr>
          <w:rFonts w:eastAsia="Verdana" w:cs="Verdana"/>
          <w:sz w:val="20"/>
          <w:szCs w:val="20"/>
          <w:lang w:val="en-US"/>
        </w:rPr>
        <w:t>Report</w:t>
      </w:r>
      <w:r w:rsidR="006C37C9" w:rsidRPr="00012C3F">
        <w:rPr>
          <w:rFonts w:eastAsia="Verdana" w:cs="Verdana"/>
          <w:sz w:val="20"/>
          <w:szCs w:val="20"/>
          <w:lang w:val="en-US"/>
        </w:rPr>
        <w:t xml:space="preserve"> No. 72/14”), </w:t>
      </w:r>
      <w:r w:rsidRPr="00012C3F">
        <w:rPr>
          <w:rFonts w:eastAsia="Verdana" w:cs="Verdana"/>
          <w:sz w:val="20"/>
          <w:szCs w:val="20"/>
          <w:lang w:val="en-US"/>
        </w:rPr>
        <w:t>in which it reached a series of conclusions and made several recommendations to the State.</w:t>
      </w:r>
    </w:p>
    <w:p w14:paraId="12B4253E" w14:textId="77777777" w:rsidR="006C37C9" w:rsidRPr="00012C3F" w:rsidRDefault="006C37C9" w:rsidP="006C37C9">
      <w:pPr>
        <w:pStyle w:val="Prrafodelista"/>
        <w:numPr>
          <w:ilvl w:val="0"/>
          <w:numId w:val="10"/>
        </w:numPr>
        <w:adjustRightInd/>
        <w:spacing w:line="240" w:lineRule="auto"/>
        <w:ind w:right="148"/>
        <w:contextualSpacing/>
        <w:textAlignment w:val="auto"/>
        <w:rPr>
          <w:rFonts w:eastAsia="Verdana" w:cs="Verdana"/>
          <w:sz w:val="20"/>
          <w:szCs w:val="20"/>
          <w:lang w:val="en-US"/>
        </w:rPr>
      </w:pPr>
      <w:r w:rsidRPr="00012C3F">
        <w:rPr>
          <w:rFonts w:eastAsia="Verdana" w:cs="Verdana"/>
          <w:i/>
          <w:sz w:val="20"/>
          <w:szCs w:val="20"/>
          <w:lang w:val="en-US"/>
        </w:rPr>
        <w:t xml:space="preserve">Conclusions. </w:t>
      </w:r>
      <w:r w:rsidR="005E5012" w:rsidRPr="00012C3F">
        <w:rPr>
          <w:rFonts w:eastAsia="Verdana" w:cs="Verdana"/>
          <w:sz w:val="20"/>
          <w:szCs w:val="20"/>
          <w:lang w:val="en-US"/>
        </w:rPr>
        <w:t xml:space="preserve">The Commission </w:t>
      </w:r>
      <w:r w:rsidRPr="00012C3F">
        <w:rPr>
          <w:rFonts w:eastAsia="Verdana" w:cs="Verdana"/>
          <w:sz w:val="20"/>
          <w:szCs w:val="20"/>
          <w:lang w:val="en-US"/>
        </w:rPr>
        <w:t>conclu</w:t>
      </w:r>
      <w:r w:rsidR="005E5012" w:rsidRPr="00012C3F">
        <w:rPr>
          <w:rFonts w:eastAsia="Verdana" w:cs="Verdana"/>
          <w:sz w:val="20"/>
          <w:szCs w:val="20"/>
          <w:lang w:val="en-US"/>
        </w:rPr>
        <w:t>ded that</w:t>
      </w:r>
      <w:r w:rsidRPr="00012C3F">
        <w:rPr>
          <w:rFonts w:eastAsia="Verdana" w:cs="Verdana"/>
          <w:sz w:val="20"/>
          <w:szCs w:val="20"/>
          <w:lang w:val="en-US"/>
        </w:rPr>
        <w:t xml:space="preserve"> </w:t>
      </w:r>
      <w:r w:rsidR="00A84CA0" w:rsidRPr="00012C3F">
        <w:rPr>
          <w:rFonts w:eastAsia="Verdana" w:cs="Verdana"/>
          <w:sz w:val="20"/>
          <w:szCs w:val="20"/>
          <w:lang w:val="en-US"/>
        </w:rPr>
        <w:t>the State</w:t>
      </w:r>
      <w:r w:rsidRPr="00012C3F">
        <w:rPr>
          <w:rFonts w:eastAsia="Verdana" w:cs="Verdana"/>
          <w:sz w:val="20"/>
          <w:szCs w:val="20"/>
          <w:lang w:val="en-US"/>
        </w:rPr>
        <w:t xml:space="preserve"> </w:t>
      </w:r>
      <w:r w:rsidR="005E5012" w:rsidRPr="00012C3F">
        <w:rPr>
          <w:rFonts w:eastAsia="Verdana" w:cs="Verdana"/>
          <w:sz w:val="20"/>
          <w:szCs w:val="20"/>
          <w:lang w:val="en-US"/>
        </w:rPr>
        <w:t>was</w:t>
      </w:r>
      <w:r w:rsidRPr="00012C3F">
        <w:rPr>
          <w:rFonts w:eastAsia="Verdana" w:cs="Verdana"/>
          <w:sz w:val="20"/>
          <w:szCs w:val="20"/>
          <w:lang w:val="en-US"/>
        </w:rPr>
        <w:t xml:space="preserve"> respons</w:t>
      </w:r>
      <w:r w:rsidR="005E5012" w:rsidRPr="00012C3F">
        <w:rPr>
          <w:rFonts w:eastAsia="Verdana" w:cs="Verdana"/>
          <w:sz w:val="20"/>
          <w:szCs w:val="20"/>
          <w:lang w:val="en-US"/>
        </w:rPr>
        <w:t>i</w:t>
      </w:r>
      <w:r w:rsidRPr="00012C3F">
        <w:rPr>
          <w:rFonts w:eastAsia="Verdana" w:cs="Verdana"/>
          <w:sz w:val="20"/>
          <w:szCs w:val="20"/>
          <w:lang w:val="en-US"/>
        </w:rPr>
        <w:t xml:space="preserve">ble </w:t>
      </w:r>
      <w:r w:rsidR="005E5012" w:rsidRPr="00012C3F">
        <w:rPr>
          <w:rFonts w:eastAsia="Verdana" w:cs="Verdana"/>
          <w:sz w:val="20"/>
          <w:szCs w:val="20"/>
          <w:lang w:val="en-US"/>
        </w:rPr>
        <w:t>f</w:t>
      </w:r>
      <w:r w:rsidRPr="00012C3F">
        <w:rPr>
          <w:rFonts w:eastAsia="Verdana" w:cs="Verdana"/>
          <w:sz w:val="20"/>
          <w:szCs w:val="20"/>
          <w:lang w:val="en-US"/>
        </w:rPr>
        <w:t xml:space="preserve">or </w:t>
      </w:r>
      <w:r w:rsidR="005E5012" w:rsidRPr="00012C3F">
        <w:rPr>
          <w:rFonts w:eastAsia="Verdana" w:cs="Verdana"/>
          <w:sz w:val="20"/>
          <w:szCs w:val="20"/>
          <w:lang w:val="en-US"/>
        </w:rPr>
        <w:t>the</w:t>
      </w:r>
      <w:r w:rsidRPr="00012C3F">
        <w:rPr>
          <w:rFonts w:eastAsia="Verdana" w:cs="Verdana"/>
          <w:sz w:val="20"/>
          <w:szCs w:val="20"/>
          <w:lang w:val="en-US"/>
        </w:rPr>
        <w:t xml:space="preserve"> viola</w:t>
      </w:r>
      <w:r w:rsidR="005E5012" w:rsidRPr="00012C3F">
        <w:rPr>
          <w:rFonts w:eastAsia="Verdana" w:cs="Verdana"/>
          <w:sz w:val="20"/>
          <w:szCs w:val="20"/>
          <w:lang w:val="en-US"/>
        </w:rPr>
        <w:t xml:space="preserve">tion of “the rights recognized in </w:t>
      </w:r>
      <w:r w:rsidR="001254DE" w:rsidRPr="00012C3F">
        <w:rPr>
          <w:sz w:val="20"/>
          <w:szCs w:val="20"/>
          <w:lang w:val="en-US"/>
        </w:rPr>
        <w:t>Articles</w:t>
      </w:r>
      <w:r w:rsidRPr="00012C3F">
        <w:rPr>
          <w:sz w:val="20"/>
          <w:szCs w:val="20"/>
          <w:lang w:val="en-US"/>
        </w:rPr>
        <w:t xml:space="preserve"> </w:t>
      </w:r>
      <w:r w:rsidR="005E5012" w:rsidRPr="00012C3F">
        <w:rPr>
          <w:sz w:val="20"/>
          <w:szCs w:val="20"/>
          <w:lang w:val="en-US"/>
        </w:rPr>
        <w:t>5(1)</w:t>
      </w:r>
      <w:r w:rsidRPr="00012C3F">
        <w:rPr>
          <w:sz w:val="20"/>
          <w:szCs w:val="20"/>
          <w:lang w:val="en-US"/>
        </w:rPr>
        <w:t xml:space="preserve">, </w:t>
      </w:r>
      <w:r w:rsidR="005E5012" w:rsidRPr="00012C3F">
        <w:rPr>
          <w:sz w:val="20"/>
          <w:szCs w:val="20"/>
          <w:lang w:val="en-US"/>
        </w:rPr>
        <w:t>8(1)</w:t>
      </w:r>
      <w:r w:rsidRPr="00012C3F">
        <w:rPr>
          <w:sz w:val="20"/>
          <w:szCs w:val="20"/>
          <w:lang w:val="en-US"/>
        </w:rPr>
        <w:t xml:space="preserve">, </w:t>
      </w:r>
      <w:r w:rsidR="005E5012" w:rsidRPr="00012C3F">
        <w:rPr>
          <w:sz w:val="20"/>
          <w:szCs w:val="20"/>
          <w:lang w:val="en-US"/>
        </w:rPr>
        <w:t>11(2)</w:t>
      </w:r>
      <w:r w:rsidRPr="00012C3F">
        <w:rPr>
          <w:sz w:val="20"/>
          <w:szCs w:val="20"/>
          <w:lang w:val="en-US"/>
        </w:rPr>
        <w:t xml:space="preserve">, </w:t>
      </w:r>
      <w:r w:rsidR="005E5012" w:rsidRPr="00012C3F">
        <w:rPr>
          <w:sz w:val="20"/>
          <w:szCs w:val="20"/>
          <w:lang w:val="en-US"/>
        </w:rPr>
        <w:t>13(1)</w:t>
      </w:r>
      <w:r w:rsidRPr="00012C3F">
        <w:rPr>
          <w:sz w:val="20"/>
          <w:szCs w:val="20"/>
          <w:lang w:val="en-US"/>
        </w:rPr>
        <w:t xml:space="preserve">, </w:t>
      </w:r>
      <w:r w:rsidR="005E5012" w:rsidRPr="00012C3F">
        <w:rPr>
          <w:sz w:val="20"/>
          <w:szCs w:val="20"/>
          <w:lang w:val="en-US"/>
        </w:rPr>
        <w:t xml:space="preserve">17(2) and </w:t>
      </w:r>
      <w:r w:rsidRPr="00012C3F">
        <w:rPr>
          <w:sz w:val="20"/>
          <w:szCs w:val="20"/>
          <w:lang w:val="en-US"/>
        </w:rPr>
        <w:t>2</w:t>
      </w:r>
      <w:r w:rsidR="005E5012" w:rsidRPr="00012C3F">
        <w:rPr>
          <w:sz w:val="20"/>
          <w:szCs w:val="20"/>
          <w:lang w:val="en-US"/>
        </w:rPr>
        <w:t>5(1)</w:t>
      </w:r>
      <w:r w:rsidR="001254DE" w:rsidRPr="00012C3F">
        <w:rPr>
          <w:sz w:val="20"/>
          <w:szCs w:val="20"/>
          <w:lang w:val="en-US"/>
        </w:rPr>
        <w:t xml:space="preserve"> of the American Convention</w:t>
      </w:r>
      <w:r w:rsidRPr="00012C3F">
        <w:rPr>
          <w:sz w:val="20"/>
          <w:szCs w:val="20"/>
          <w:lang w:val="en-US"/>
        </w:rPr>
        <w:t xml:space="preserve">, </w:t>
      </w:r>
      <w:r w:rsidR="005E5012" w:rsidRPr="00012C3F">
        <w:rPr>
          <w:sz w:val="20"/>
          <w:szCs w:val="20"/>
          <w:lang w:val="en-US"/>
        </w:rPr>
        <w:t xml:space="preserve">in relation to the State obligation established in </w:t>
      </w:r>
      <w:r w:rsidR="001254DE" w:rsidRPr="00012C3F">
        <w:rPr>
          <w:sz w:val="20"/>
          <w:szCs w:val="20"/>
          <w:lang w:val="en-US"/>
        </w:rPr>
        <w:t>Article</w:t>
      </w:r>
      <w:r w:rsidRPr="00012C3F">
        <w:rPr>
          <w:sz w:val="20"/>
          <w:szCs w:val="20"/>
          <w:lang w:val="en-US"/>
        </w:rPr>
        <w:t xml:space="preserve"> </w:t>
      </w:r>
      <w:r w:rsidR="005E5012" w:rsidRPr="00012C3F">
        <w:rPr>
          <w:sz w:val="20"/>
          <w:szCs w:val="20"/>
          <w:lang w:val="en-US"/>
        </w:rPr>
        <w:t>1(1)</w:t>
      </w:r>
      <w:r w:rsidRPr="00012C3F">
        <w:rPr>
          <w:sz w:val="20"/>
          <w:szCs w:val="20"/>
          <w:lang w:val="en-US"/>
        </w:rPr>
        <w:t xml:space="preserve"> </w:t>
      </w:r>
      <w:r w:rsidR="005E5012" w:rsidRPr="00012C3F">
        <w:rPr>
          <w:sz w:val="20"/>
          <w:szCs w:val="20"/>
          <w:lang w:val="en-US"/>
        </w:rPr>
        <w:t>of this instrument,”</w:t>
      </w:r>
      <w:r w:rsidRPr="00012C3F">
        <w:rPr>
          <w:sz w:val="20"/>
          <w:szCs w:val="20"/>
          <w:lang w:val="en-US"/>
        </w:rPr>
        <w:t xml:space="preserve"> </w:t>
      </w:r>
      <w:r w:rsidR="005E5012" w:rsidRPr="00012C3F">
        <w:rPr>
          <w:sz w:val="20"/>
          <w:szCs w:val="20"/>
          <w:lang w:val="en-US"/>
        </w:rPr>
        <w:t>to the detriment of</w:t>
      </w:r>
      <w:r w:rsidRPr="00012C3F">
        <w:rPr>
          <w:sz w:val="20"/>
          <w:szCs w:val="20"/>
          <w:lang w:val="en-US"/>
        </w:rPr>
        <w:t xml:space="preserve"> </w:t>
      </w:r>
      <w:r w:rsidR="000E1C11" w:rsidRPr="00012C3F">
        <w:rPr>
          <w:sz w:val="20"/>
          <w:szCs w:val="20"/>
          <w:lang w:val="en-US"/>
        </w:rPr>
        <w:t>I.V.</w:t>
      </w:r>
      <w:r w:rsidRPr="00012C3F">
        <w:rPr>
          <w:sz w:val="20"/>
          <w:szCs w:val="20"/>
          <w:lang w:val="en-US"/>
        </w:rPr>
        <w:t xml:space="preserve"> </w:t>
      </w:r>
      <w:r w:rsidR="005E5012" w:rsidRPr="00012C3F">
        <w:rPr>
          <w:sz w:val="20"/>
          <w:szCs w:val="20"/>
          <w:lang w:val="en-US"/>
        </w:rPr>
        <w:t xml:space="preserve">In addition, </w:t>
      </w:r>
      <w:r w:rsidR="001254DE" w:rsidRPr="00012C3F">
        <w:rPr>
          <w:sz w:val="20"/>
          <w:szCs w:val="20"/>
          <w:lang w:val="en-US"/>
        </w:rPr>
        <w:t xml:space="preserve">the </w:t>
      </w:r>
      <w:r w:rsidR="00A84CA0" w:rsidRPr="00012C3F">
        <w:rPr>
          <w:sz w:val="20"/>
          <w:szCs w:val="20"/>
          <w:lang w:val="en-US"/>
        </w:rPr>
        <w:t>Commission</w:t>
      </w:r>
      <w:r w:rsidRPr="00012C3F">
        <w:rPr>
          <w:sz w:val="20"/>
          <w:szCs w:val="20"/>
          <w:lang w:val="en-US"/>
        </w:rPr>
        <w:t xml:space="preserve"> </w:t>
      </w:r>
      <w:r w:rsidR="005E5012" w:rsidRPr="00012C3F">
        <w:rPr>
          <w:sz w:val="20"/>
          <w:szCs w:val="20"/>
          <w:lang w:val="en-US"/>
        </w:rPr>
        <w:t>concluded that</w:t>
      </w:r>
      <w:r w:rsidRPr="00012C3F">
        <w:rPr>
          <w:sz w:val="20"/>
          <w:szCs w:val="20"/>
          <w:lang w:val="en-US"/>
        </w:rPr>
        <w:t xml:space="preserve"> </w:t>
      </w:r>
      <w:r w:rsidR="00A84CA0" w:rsidRPr="00012C3F">
        <w:rPr>
          <w:sz w:val="20"/>
          <w:szCs w:val="20"/>
          <w:lang w:val="en-US"/>
        </w:rPr>
        <w:t>the State</w:t>
      </w:r>
      <w:r w:rsidRPr="00012C3F">
        <w:rPr>
          <w:sz w:val="20"/>
          <w:szCs w:val="20"/>
          <w:lang w:val="en-US"/>
        </w:rPr>
        <w:t xml:space="preserve"> </w:t>
      </w:r>
      <w:r w:rsidR="005E5012" w:rsidRPr="00012C3F">
        <w:rPr>
          <w:sz w:val="20"/>
          <w:szCs w:val="20"/>
          <w:lang w:val="en-US"/>
        </w:rPr>
        <w:t>had violated</w:t>
      </w:r>
      <w:r w:rsidRPr="00012C3F">
        <w:rPr>
          <w:sz w:val="20"/>
          <w:szCs w:val="20"/>
          <w:lang w:val="en-US"/>
        </w:rPr>
        <w:t xml:space="preserve"> </w:t>
      </w:r>
      <w:r w:rsidR="001254DE" w:rsidRPr="00012C3F">
        <w:rPr>
          <w:sz w:val="20"/>
          <w:szCs w:val="20"/>
          <w:lang w:val="en-US"/>
        </w:rPr>
        <w:t>Article</w:t>
      </w:r>
      <w:r w:rsidRPr="00012C3F">
        <w:rPr>
          <w:sz w:val="20"/>
          <w:szCs w:val="20"/>
          <w:lang w:val="en-US"/>
        </w:rPr>
        <w:t xml:space="preserve"> 7</w:t>
      </w:r>
      <w:r w:rsidR="001254DE" w:rsidRPr="00012C3F">
        <w:rPr>
          <w:sz w:val="20"/>
          <w:szCs w:val="20"/>
          <w:lang w:val="en-US"/>
        </w:rPr>
        <w:t xml:space="preserve"> of the Convention</w:t>
      </w:r>
      <w:r w:rsidRPr="00012C3F">
        <w:rPr>
          <w:sz w:val="20"/>
          <w:szCs w:val="20"/>
          <w:lang w:val="en-US"/>
        </w:rPr>
        <w:t xml:space="preserve"> </w:t>
      </w:r>
      <w:r w:rsidR="005E5012" w:rsidRPr="00012C3F">
        <w:rPr>
          <w:sz w:val="20"/>
          <w:szCs w:val="20"/>
          <w:lang w:val="en-US"/>
        </w:rPr>
        <w:t>of Belém</w:t>
      </w:r>
      <w:r w:rsidRPr="00012C3F">
        <w:rPr>
          <w:sz w:val="20"/>
          <w:szCs w:val="20"/>
          <w:lang w:val="en-US"/>
        </w:rPr>
        <w:t xml:space="preserve"> do Pará</w:t>
      </w:r>
      <w:r w:rsidR="005E5012" w:rsidRPr="00012C3F">
        <w:rPr>
          <w:sz w:val="20"/>
          <w:szCs w:val="20"/>
          <w:lang w:val="en-US"/>
        </w:rPr>
        <w:t xml:space="preserve"> and its paragraphs</w:t>
      </w:r>
      <w:r w:rsidRPr="00012C3F">
        <w:rPr>
          <w:sz w:val="20"/>
          <w:szCs w:val="20"/>
          <w:lang w:val="en-US"/>
        </w:rPr>
        <w:t xml:space="preserve"> </w:t>
      </w:r>
      <w:r w:rsidR="005E5012" w:rsidRPr="00012C3F">
        <w:rPr>
          <w:sz w:val="20"/>
          <w:szCs w:val="20"/>
          <w:lang w:val="en-US"/>
        </w:rPr>
        <w:t>(</w:t>
      </w:r>
      <w:r w:rsidRPr="00012C3F">
        <w:rPr>
          <w:sz w:val="20"/>
          <w:szCs w:val="20"/>
          <w:lang w:val="en-US"/>
        </w:rPr>
        <w:t xml:space="preserve">a), </w:t>
      </w:r>
      <w:r w:rsidR="005E5012" w:rsidRPr="00012C3F">
        <w:rPr>
          <w:sz w:val="20"/>
          <w:szCs w:val="20"/>
          <w:lang w:val="en-US"/>
        </w:rPr>
        <w:t>(</w:t>
      </w:r>
      <w:r w:rsidRPr="00012C3F">
        <w:rPr>
          <w:sz w:val="20"/>
          <w:szCs w:val="20"/>
          <w:lang w:val="en-US"/>
        </w:rPr>
        <w:t xml:space="preserve">b), </w:t>
      </w:r>
      <w:r w:rsidR="005E5012" w:rsidRPr="00012C3F">
        <w:rPr>
          <w:sz w:val="20"/>
          <w:szCs w:val="20"/>
          <w:lang w:val="en-US"/>
        </w:rPr>
        <w:t>(</w:t>
      </w:r>
      <w:r w:rsidRPr="00012C3F">
        <w:rPr>
          <w:sz w:val="20"/>
          <w:szCs w:val="20"/>
          <w:lang w:val="en-US"/>
        </w:rPr>
        <w:t xml:space="preserve">c), </w:t>
      </w:r>
      <w:r w:rsidR="005E5012" w:rsidRPr="00012C3F">
        <w:rPr>
          <w:sz w:val="20"/>
          <w:szCs w:val="20"/>
          <w:lang w:val="en-US"/>
        </w:rPr>
        <w:t>(</w:t>
      </w:r>
      <w:r w:rsidRPr="00012C3F">
        <w:rPr>
          <w:rFonts w:cs="Arial"/>
          <w:sz w:val="20"/>
          <w:szCs w:val="20"/>
          <w:lang w:val="en-US"/>
        </w:rPr>
        <w:t>f)</w:t>
      </w:r>
      <w:r w:rsidR="005E5012" w:rsidRPr="00012C3F">
        <w:rPr>
          <w:rFonts w:cs="Arial"/>
          <w:sz w:val="20"/>
          <w:szCs w:val="20"/>
          <w:lang w:val="en-US"/>
        </w:rPr>
        <w:t xml:space="preserve"> and (</w:t>
      </w:r>
      <w:r w:rsidRPr="00012C3F">
        <w:rPr>
          <w:sz w:val="20"/>
          <w:szCs w:val="20"/>
          <w:lang w:val="en-US"/>
        </w:rPr>
        <w:t xml:space="preserve">g), </w:t>
      </w:r>
      <w:r w:rsidR="005E5012" w:rsidRPr="00012C3F">
        <w:rPr>
          <w:sz w:val="20"/>
          <w:szCs w:val="20"/>
          <w:lang w:val="en-US"/>
        </w:rPr>
        <w:t>to the detriment of</w:t>
      </w:r>
      <w:r w:rsidRPr="00012C3F">
        <w:rPr>
          <w:sz w:val="20"/>
          <w:szCs w:val="20"/>
          <w:lang w:val="en-US"/>
        </w:rPr>
        <w:t xml:space="preserve"> </w:t>
      </w:r>
      <w:r w:rsidR="000E1C11" w:rsidRPr="00012C3F">
        <w:rPr>
          <w:iCs/>
          <w:sz w:val="20"/>
          <w:szCs w:val="20"/>
          <w:lang w:val="en-US"/>
        </w:rPr>
        <w:t>I.V.</w:t>
      </w:r>
    </w:p>
    <w:p w14:paraId="24058867" w14:textId="77777777" w:rsidR="006C37C9" w:rsidRPr="00012C3F" w:rsidRDefault="006C37C9" w:rsidP="006C37C9">
      <w:pPr>
        <w:pStyle w:val="Prrafodelista"/>
        <w:spacing w:line="240" w:lineRule="auto"/>
        <w:ind w:left="1900" w:right="148"/>
        <w:rPr>
          <w:rFonts w:eastAsia="Verdana" w:cs="Verdana"/>
          <w:sz w:val="20"/>
          <w:szCs w:val="20"/>
          <w:lang w:val="en-US"/>
        </w:rPr>
      </w:pPr>
    </w:p>
    <w:p w14:paraId="034E98D6" w14:textId="77777777" w:rsidR="006C37C9" w:rsidRPr="00012C3F" w:rsidRDefault="006C37C9" w:rsidP="006C37C9">
      <w:pPr>
        <w:pStyle w:val="Prrafodelista"/>
        <w:numPr>
          <w:ilvl w:val="0"/>
          <w:numId w:val="10"/>
        </w:numPr>
        <w:adjustRightInd/>
        <w:spacing w:line="240" w:lineRule="auto"/>
        <w:ind w:right="148"/>
        <w:contextualSpacing/>
        <w:textAlignment w:val="auto"/>
        <w:rPr>
          <w:rFonts w:eastAsia="Verdana" w:cs="Verdana"/>
          <w:sz w:val="20"/>
          <w:szCs w:val="20"/>
          <w:lang w:val="en-US"/>
        </w:rPr>
      </w:pPr>
      <w:r w:rsidRPr="00012C3F">
        <w:rPr>
          <w:rFonts w:eastAsia="Verdana" w:cs="Verdana"/>
          <w:i/>
          <w:sz w:val="20"/>
          <w:szCs w:val="20"/>
          <w:lang w:val="en-US"/>
        </w:rPr>
        <w:t>Recom</w:t>
      </w:r>
      <w:r w:rsidR="005E5012" w:rsidRPr="00012C3F">
        <w:rPr>
          <w:rFonts w:eastAsia="Verdana" w:cs="Verdana"/>
          <w:i/>
          <w:sz w:val="20"/>
          <w:szCs w:val="20"/>
          <w:lang w:val="en-US"/>
        </w:rPr>
        <w:t>m</w:t>
      </w:r>
      <w:r w:rsidRPr="00012C3F">
        <w:rPr>
          <w:rFonts w:eastAsia="Verdana" w:cs="Verdana"/>
          <w:i/>
          <w:sz w:val="20"/>
          <w:szCs w:val="20"/>
          <w:lang w:val="en-US"/>
        </w:rPr>
        <w:t>enda</w:t>
      </w:r>
      <w:r w:rsidR="005E5012" w:rsidRPr="00012C3F">
        <w:rPr>
          <w:rFonts w:eastAsia="Verdana" w:cs="Verdana"/>
          <w:i/>
          <w:sz w:val="20"/>
          <w:szCs w:val="20"/>
          <w:lang w:val="en-US"/>
        </w:rPr>
        <w:t>tion</w:t>
      </w:r>
      <w:r w:rsidRPr="00012C3F">
        <w:rPr>
          <w:rFonts w:eastAsia="Verdana" w:cs="Verdana"/>
          <w:i/>
          <w:sz w:val="20"/>
          <w:szCs w:val="20"/>
          <w:lang w:val="en-US"/>
        </w:rPr>
        <w:t xml:space="preserve">s. </w:t>
      </w:r>
      <w:r w:rsidR="005E5012" w:rsidRPr="00012C3F">
        <w:rPr>
          <w:rFonts w:eastAsia="Verdana" w:cs="Verdana"/>
          <w:sz w:val="20"/>
          <w:szCs w:val="20"/>
          <w:lang w:val="en-US"/>
        </w:rPr>
        <w:t>Consequently</w:t>
      </w:r>
      <w:r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Pr="00012C3F">
        <w:rPr>
          <w:rFonts w:eastAsia="Verdana" w:cs="Verdana"/>
          <w:sz w:val="20"/>
          <w:szCs w:val="20"/>
          <w:lang w:val="en-US"/>
        </w:rPr>
        <w:t xml:space="preserve"> </w:t>
      </w:r>
      <w:r w:rsidR="005E5012" w:rsidRPr="00012C3F">
        <w:rPr>
          <w:rFonts w:eastAsia="Verdana" w:cs="Verdana"/>
          <w:sz w:val="20"/>
          <w:szCs w:val="20"/>
          <w:lang w:val="en-US"/>
        </w:rPr>
        <w:t>made a series of recommendations to the State:</w:t>
      </w:r>
    </w:p>
    <w:p w14:paraId="7949ECCE" w14:textId="77777777" w:rsidR="006C37C9" w:rsidRPr="00012C3F" w:rsidRDefault="006C37C9" w:rsidP="006C37C9">
      <w:pPr>
        <w:pStyle w:val="Prrafodelista"/>
        <w:spacing w:line="240" w:lineRule="auto"/>
        <w:ind w:left="1900" w:right="148"/>
        <w:rPr>
          <w:rFonts w:eastAsia="Verdana" w:cs="Verdana"/>
          <w:sz w:val="20"/>
          <w:szCs w:val="20"/>
          <w:lang w:val="en-US"/>
        </w:rPr>
      </w:pPr>
    </w:p>
    <w:p w14:paraId="240E9B58" w14:textId="77777777" w:rsidR="006C37C9" w:rsidRPr="00012C3F" w:rsidRDefault="005E5012" w:rsidP="006C37C9">
      <w:pPr>
        <w:pStyle w:val="Prrafodelista"/>
        <w:widowControl/>
        <w:numPr>
          <w:ilvl w:val="0"/>
          <w:numId w:val="11"/>
        </w:numPr>
        <w:autoSpaceDE w:val="0"/>
        <w:autoSpaceDN w:val="0"/>
        <w:spacing w:after="120" w:line="240" w:lineRule="auto"/>
        <w:ind w:left="2404" w:hanging="357"/>
        <w:textAlignment w:val="auto"/>
        <w:rPr>
          <w:sz w:val="16"/>
          <w:szCs w:val="16"/>
          <w:lang w:val="en-US"/>
        </w:rPr>
      </w:pPr>
      <w:r w:rsidRPr="00012C3F">
        <w:rPr>
          <w:sz w:val="16"/>
          <w:szCs w:val="16"/>
          <w:lang w:val="en-US"/>
        </w:rPr>
        <w:t xml:space="preserve">Make full reparation to </w:t>
      </w:r>
      <w:r w:rsidR="000E1C11" w:rsidRPr="00012C3F">
        <w:rPr>
          <w:iCs/>
          <w:sz w:val="16"/>
          <w:szCs w:val="16"/>
          <w:lang w:val="en-US"/>
        </w:rPr>
        <w:t>I.V.</w:t>
      </w:r>
      <w:r w:rsidR="006C37C9" w:rsidRPr="00012C3F">
        <w:rPr>
          <w:i/>
          <w:iCs/>
          <w:sz w:val="16"/>
          <w:szCs w:val="16"/>
          <w:lang w:val="en-US"/>
        </w:rPr>
        <w:t xml:space="preserve"> </w:t>
      </w:r>
      <w:r w:rsidRPr="00012C3F">
        <w:rPr>
          <w:sz w:val="16"/>
          <w:szCs w:val="16"/>
          <w:lang w:val="en-US"/>
        </w:rPr>
        <w:t>for the human rights violations established in the […] report, taking into consideration her opinion and her needs, including compensation for the pecuniary and non-pecuniary damage suffered;</w:t>
      </w:r>
    </w:p>
    <w:p w14:paraId="5F6A36CA" w14:textId="77777777" w:rsidR="006C37C9" w:rsidRPr="00012C3F" w:rsidRDefault="00370DD4" w:rsidP="006C37C9">
      <w:pPr>
        <w:pStyle w:val="Prrafodelista"/>
        <w:widowControl/>
        <w:numPr>
          <w:ilvl w:val="0"/>
          <w:numId w:val="11"/>
        </w:numPr>
        <w:autoSpaceDE w:val="0"/>
        <w:autoSpaceDN w:val="0"/>
        <w:spacing w:after="120" w:line="240" w:lineRule="auto"/>
        <w:ind w:left="2404" w:hanging="357"/>
        <w:textAlignment w:val="auto"/>
        <w:rPr>
          <w:rFonts w:eastAsia="Verdana" w:cs="Verdana"/>
          <w:sz w:val="16"/>
          <w:szCs w:val="16"/>
          <w:lang w:val="en-US"/>
        </w:rPr>
      </w:pPr>
      <w:r w:rsidRPr="00012C3F">
        <w:rPr>
          <w:sz w:val="16"/>
          <w:szCs w:val="16"/>
          <w:lang w:val="en-US"/>
        </w:rPr>
        <w:t>Provide</w:t>
      </w:r>
      <w:r w:rsidR="006C37C9" w:rsidRPr="00012C3F">
        <w:rPr>
          <w:sz w:val="16"/>
          <w:szCs w:val="16"/>
          <w:lang w:val="en-US"/>
        </w:rPr>
        <w:t xml:space="preserve"> </w:t>
      </w:r>
      <w:r w:rsidR="000E1C11" w:rsidRPr="00012C3F">
        <w:rPr>
          <w:iCs/>
          <w:sz w:val="16"/>
          <w:szCs w:val="16"/>
          <w:lang w:val="en-US"/>
        </w:rPr>
        <w:t>I.V.</w:t>
      </w:r>
      <w:r w:rsidR="006C37C9" w:rsidRPr="00012C3F">
        <w:rPr>
          <w:i/>
          <w:iCs/>
          <w:sz w:val="16"/>
          <w:szCs w:val="16"/>
          <w:lang w:val="en-US"/>
        </w:rPr>
        <w:t xml:space="preserve"> </w:t>
      </w:r>
      <w:r w:rsidRPr="00012C3F">
        <w:rPr>
          <w:sz w:val="16"/>
          <w:szCs w:val="16"/>
          <w:lang w:val="en-US"/>
        </w:rPr>
        <w:t xml:space="preserve">with high quality, individual medical care </w:t>
      </w:r>
      <w:r w:rsidR="004808FE" w:rsidRPr="00012C3F">
        <w:rPr>
          <w:sz w:val="16"/>
          <w:szCs w:val="16"/>
          <w:lang w:val="en-US"/>
        </w:rPr>
        <w:t>tailored to</w:t>
      </w:r>
      <w:r w:rsidRPr="00012C3F">
        <w:rPr>
          <w:sz w:val="16"/>
          <w:szCs w:val="16"/>
          <w:lang w:val="en-US"/>
        </w:rPr>
        <w:t xml:space="preserve"> her need</w:t>
      </w:r>
      <w:r w:rsidR="005763AA" w:rsidRPr="00012C3F">
        <w:rPr>
          <w:sz w:val="16"/>
          <w:szCs w:val="16"/>
          <w:lang w:val="en-US"/>
        </w:rPr>
        <w:t>s,</w:t>
      </w:r>
      <w:r w:rsidRPr="00012C3F">
        <w:rPr>
          <w:sz w:val="16"/>
          <w:szCs w:val="16"/>
          <w:lang w:val="en-US"/>
        </w:rPr>
        <w:t xml:space="preserve"> and appropriate to treat her medical complaints;</w:t>
      </w:r>
    </w:p>
    <w:p w14:paraId="08C4C997" w14:textId="77777777" w:rsidR="006C37C9" w:rsidRPr="00012C3F" w:rsidRDefault="00370DD4" w:rsidP="006C37C9">
      <w:pPr>
        <w:pStyle w:val="Prrafodelista"/>
        <w:widowControl/>
        <w:numPr>
          <w:ilvl w:val="0"/>
          <w:numId w:val="11"/>
        </w:numPr>
        <w:autoSpaceDE w:val="0"/>
        <w:autoSpaceDN w:val="0"/>
        <w:spacing w:after="120" w:line="240" w:lineRule="auto"/>
        <w:ind w:left="2404" w:hanging="357"/>
        <w:textAlignment w:val="auto"/>
        <w:rPr>
          <w:rFonts w:eastAsia="Verdana" w:cs="Verdana"/>
          <w:sz w:val="16"/>
          <w:szCs w:val="16"/>
          <w:lang w:val="en-US"/>
        </w:rPr>
      </w:pPr>
      <w:r w:rsidRPr="00012C3F">
        <w:rPr>
          <w:sz w:val="16"/>
          <w:szCs w:val="16"/>
          <w:lang w:val="en-US"/>
        </w:rPr>
        <w:lastRenderedPageBreak/>
        <w:t xml:space="preserve">Investigate the facts </w:t>
      </w:r>
      <w:r w:rsidR="004808FE" w:rsidRPr="00012C3F">
        <w:rPr>
          <w:sz w:val="16"/>
          <w:szCs w:val="16"/>
          <w:lang w:val="en-US"/>
        </w:rPr>
        <w:t>surrounding</w:t>
      </w:r>
      <w:r w:rsidRPr="00012C3F">
        <w:rPr>
          <w:sz w:val="16"/>
          <w:szCs w:val="16"/>
          <w:lang w:val="en-US"/>
        </w:rPr>
        <w:t xml:space="preserve"> the sterilization of </w:t>
      </w:r>
      <w:r w:rsidR="000E1C11" w:rsidRPr="00012C3F">
        <w:rPr>
          <w:sz w:val="16"/>
          <w:szCs w:val="16"/>
          <w:lang w:val="en-US"/>
        </w:rPr>
        <w:t>I.V.</w:t>
      </w:r>
      <w:r w:rsidRPr="00012C3F">
        <w:rPr>
          <w:sz w:val="16"/>
          <w:szCs w:val="16"/>
          <w:lang w:val="en-US"/>
        </w:rPr>
        <w:t xml:space="preserve"> without her consent, and establish the</w:t>
      </w:r>
      <w:r w:rsidR="004808FE" w:rsidRPr="00012C3F">
        <w:rPr>
          <w:sz w:val="16"/>
          <w:szCs w:val="16"/>
          <w:lang w:val="en-US"/>
        </w:rPr>
        <w:t xml:space="preserve"> appropriate</w:t>
      </w:r>
      <w:r w:rsidRPr="00012C3F">
        <w:rPr>
          <w:sz w:val="16"/>
          <w:szCs w:val="16"/>
          <w:lang w:val="en-US"/>
        </w:rPr>
        <w:t xml:space="preserve"> responsibilities and sanctions;</w:t>
      </w:r>
    </w:p>
    <w:p w14:paraId="0076500B" w14:textId="77777777" w:rsidR="006C37C9" w:rsidRPr="00012C3F" w:rsidRDefault="004808FE" w:rsidP="006C37C9">
      <w:pPr>
        <w:pStyle w:val="Prrafodelista"/>
        <w:widowControl/>
        <w:numPr>
          <w:ilvl w:val="0"/>
          <w:numId w:val="11"/>
        </w:numPr>
        <w:autoSpaceDE w:val="0"/>
        <w:autoSpaceDN w:val="0"/>
        <w:spacing w:after="120" w:line="240" w:lineRule="auto"/>
        <w:ind w:left="2404" w:hanging="357"/>
        <w:textAlignment w:val="auto"/>
        <w:rPr>
          <w:rFonts w:eastAsia="Verdana" w:cs="Verdana"/>
          <w:sz w:val="16"/>
          <w:szCs w:val="16"/>
          <w:lang w:val="en-US"/>
        </w:rPr>
      </w:pPr>
      <w:r w:rsidRPr="00012C3F">
        <w:rPr>
          <w:sz w:val="16"/>
          <w:szCs w:val="16"/>
          <w:lang w:val="en-US"/>
        </w:rPr>
        <w:t>Take all</w:t>
      </w:r>
      <w:r w:rsidR="00370DD4" w:rsidRPr="00012C3F">
        <w:rPr>
          <w:sz w:val="16"/>
          <w:szCs w:val="16"/>
          <w:lang w:val="en-US"/>
        </w:rPr>
        <w:t xml:space="preserve"> necessary </w:t>
      </w:r>
      <w:r w:rsidRPr="00012C3F">
        <w:rPr>
          <w:sz w:val="16"/>
          <w:szCs w:val="16"/>
          <w:lang w:val="en-US"/>
        </w:rPr>
        <w:t>steps</w:t>
      </w:r>
      <w:r w:rsidR="00370DD4" w:rsidRPr="00012C3F">
        <w:rPr>
          <w:sz w:val="16"/>
          <w:szCs w:val="16"/>
          <w:lang w:val="en-US"/>
        </w:rPr>
        <w:t xml:space="preserve"> </w:t>
      </w:r>
      <w:r w:rsidRPr="00012C3F">
        <w:rPr>
          <w:sz w:val="16"/>
          <w:szCs w:val="16"/>
          <w:lang w:val="en-US"/>
        </w:rPr>
        <w:t xml:space="preserve">to ensure </w:t>
      </w:r>
      <w:r w:rsidR="00370DD4" w:rsidRPr="00012C3F">
        <w:rPr>
          <w:sz w:val="16"/>
          <w:szCs w:val="16"/>
          <w:lang w:val="en-US"/>
        </w:rPr>
        <w:t xml:space="preserve">non-repetition </w:t>
      </w:r>
      <w:r w:rsidRPr="00012C3F">
        <w:rPr>
          <w:sz w:val="16"/>
          <w:szCs w:val="16"/>
          <w:lang w:val="en-US"/>
        </w:rPr>
        <w:t>of</w:t>
      </w:r>
      <w:r w:rsidR="00370DD4" w:rsidRPr="00012C3F">
        <w:rPr>
          <w:sz w:val="16"/>
          <w:szCs w:val="16"/>
          <w:lang w:val="en-US"/>
        </w:rPr>
        <w:t xml:space="preserve"> similar facts in future and, in particular, review the policies and practices applied in all hospitals with regard to obtaining the </w:t>
      </w:r>
      <w:r w:rsidR="00AC0004" w:rsidRPr="00012C3F">
        <w:rPr>
          <w:sz w:val="16"/>
          <w:szCs w:val="16"/>
          <w:lang w:val="en-US"/>
        </w:rPr>
        <w:t>informed consent</w:t>
      </w:r>
      <w:r w:rsidR="00370DD4" w:rsidRPr="00012C3F">
        <w:rPr>
          <w:sz w:val="16"/>
          <w:szCs w:val="16"/>
          <w:lang w:val="en-US"/>
        </w:rPr>
        <w:t xml:space="preserve"> of patients;</w:t>
      </w:r>
    </w:p>
    <w:p w14:paraId="55E97396" w14:textId="77777777" w:rsidR="00370DD4" w:rsidRPr="00012C3F" w:rsidRDefault="00370DD4" w:rsidP="006C37C9">
      <w:pPr>
        <w:pStyle w:val="Prrafodelista"/>
        <w:widowControl/>
        <w:numPr>
          <w:ilvl w:val="0"/>
          <w:numId w:val="11"/>
        </w:numPr>
        <w:autoSpaceDE w:val="0"/>
        <w:autoSpaceDN w:val="0"/>
        <w:spacing w:after="120" w:line="240" w:lineRule="auto"/>
        <w:ind w:left="2404" w:hanging="357"/>
        <w:textAlignment w:val="auto"/>
        <w:rPr>
          <w:rFonts w:eastAsia="Verdana" w:cs="Verdana"/>
          <w:sz w:val="16"/>
          <w:szCs w:val="16"/>
          <w:lang w:val="en-US"/>
        </w:rPr>
      </w:pPr>
      <w:r w:rsidRPr="00012C3F">
        <w:rPr>
          <w:sz w:val="16"/>
          <w:szCs w:val="16"/>
          <w:lang w:val="en-US"/>
        </w:rPr>
        <w:t>Adopt legislation, public policies</w:t>
      </w:r>
      <w:r w:rsidR="00972ACF" w:rsidRPr="00012C3F">
        <w:rPr>
          <w:sz w:val="16"/>
          <w:szCs w:val="16"/>
          <w:lang w:val="en-US"/>
        </w:rPr>
        <w:t>, p</w:t>
      </w:r>
      <w:r w:rsidRPr="00012C3F">
        <w:rPr>
          <w:sz w:val="16"/>
          <w:szCs w:val="16"/>
          <w:lang w:val="en-US"/>
        </w:rPr>
        <w:t xml:space="preserve">rograms and directives to ensure respect for the right of everyone to be </w:t>
      </w:r>
      <w:r w:rsidR="004808FE" w:rsidRPr="00012C3F">
        <w:rPr>
          <w:sz w:val="16"/>
          <w:szCs w:val="16"/>
          <w:lang w:val="en-US"/>
        </w:rPr>
        <w:t>informed</w:t>
      </w:r>
      <w:r w:rsidRPr="00012C3F">
        <w:rPr>
          <w:sz w:val="16"/>
          <w:szCs w:val="16"/>
          <w:lang w:val="en-US"/>
        </w:rPr>
        <w:t xml:space="preserve"> and </w:t>
      </w:r>
      <w:r w:rsidR="004808FE" w:rsidRPr="00012C3F">
        <w:rPr>
          <w:sz w:val="16"/>
          <w:szCs w:val="16"/>
          <w:lang w:val="en-US"/>
        </w:rPr>
        <w:t>counseled</w:t>
      </w:r>
      <w:r w:rsidRPr="00012C3F">
        <w:rPr>
          <w:sz w:val="16"/>
          <w:szCs w:val="16"/>
          <w:lang w:val="en-US"/>
        </w:rPr>
        <w:t xml:space="preserve"> on </w:t>
      </w:r>
      <w:r w:rsidR="004808FE" w:rsidRPr="00012C3F">
        <w:rPr>
          <w:sz w:val="16"/>
          <w:szCs w:val="16"/>
          <w:lang w:val="en-US"/>
        </w:rPr>
        <w:t xml:space="preserve">health </w:t>
      </w:r>
      <w:r w:rsidRPr="00012C3F">
        <w:rPr>
          <w:sz w:val="16"/>
          <w:szCs w:val="16"/>
          <w:lang w:val="en-US"/>
        </w:rPr>
        <w:t xml:space="preserve">matters, and not to be subjected to </w:t>
      </w:r>
      <w:r w:rsidR="004808FE" w:rsidRPr="00012C3F">
        <w:rPr>
          <w:sz w:val="16"/>
          <w:szCs w:val="16"/>
          <w:lang w:val="en-US"/>
        </w:rPr>
        <w:t>procedures</w:t>
      </w:r>
      <w:r w:rsidRPr="00012C3F">
        <w:rPr>
          <w:sz w:val="16"/>
          <w:szCs w:val="16"/>
          <w:lang w:val="en-US"/>
        </w:rPr>
        <w:t xml:space="preserve"> or treatments without their </w:t>
      </w:r>
      <w:r w:rsidR="00AC0004" w:rsidRPr="00012C3F">
        <w:rPr>
          <w:sz w:val="16"/>
          <w:szCs w:val="16"/>
          <w:lang w:val="en-US"/>
        </w:rPr>
        <w:t>informed consent</w:t>
      </w:r>
      <w:r w:rsidRPr="00012C3F">
        <w:rPr>
          <w:sz w:val="16"/>
          <w:szCs w:val="16"/>
          <w:lang w:val="en-US"/>
        </w:rPr>
        <w:t>, when this is applicable. Such measures should give special consideration to the particular needs of persons who are in a vulnerable situation owing to the intersection of factors such as their sex, race, economic s</w:t>
      </w:r>
      <w:r w:rsidR="00D933F5" w:rsidRPr="00012C3F">
        <w:rPr>
          <w:sz w:val="16"/>
          <w:szCs w:val="16"/>
          <w:lang w:val="en-US"/>
        </w:rPr>
        <w:t>ituation</w:t>
      </w:r>
      <w:r w:rsidRPr="00012C3F">
        <w:rPr>
          <w:sz w:val="16"/>
          <w:szCs w:val="16"/>
          <w:lang w:val="en-US"/>
        </w:rPr>
        <w:t xml:space="preserve">, or </w:t>
      </w:r>
      <w:r w:rsidR="00D933F5" w:rsidRPr="00012C3F">
        <w:rPr>
          <w:sz w:val="16"/>
          <w:szCs w:val="16"/>
          <w:lang w:val="en-US"/>
        </w:rPr>
        <w:t>immigrant status</w:t>
      </w:r>
      <w:r w:rsidRPr="00012C3F">
        <w:rPr>
          <w:sz w:val="16"/>
          <w:szCs w:val="16"/>
          <w:lang w:val="en-US"/>
        </w:rPr>
        <w:t>, and</w:t>
      </w:r>
    </w:p>
    <w:p w14:paraId="7804272B" w14:textId="77777777" w:rsidR="006C37C9" w:rsidRPr="00012C3F" w:rsidRDefault="00370DD4" w:rsidP="006C37C9">
      <w:pPr>
        <w:pStyle w:val="Prrafodelista"/>
        <w:widowControl/>
        <w:numPr>
          <w:ilvl w:val="0"/>
          <w:numId w:val="11"/>
        </w:numPr>
        <w:autoSpaceDE w:val="0"/>
        <w:autoSpaceDN w:val="0"/>
        <w:spacing w:after="120" w:line="240" w:lineRule="auto"/>
        <w:ind w:left="2404" w:hanging="357"/>
        <w:textAlignment w:val="auto"/>
        <w:rPr>
          <w:rFonts w:eastAsia="Verdana" w:cs="Verdana"/>
          <w:sz w:val="16"/>
          <w:szCs w:val="16"/>
          <w:lang w:val="en-US"/>
        </w:rPr>
      </w:pPr>
      <w:r w:rsidRPr="00012C3F">
        <w:rPr>
          <w:sz w:val="16"/>
          <w:szCs w:val="16"/>
          <w:lang w:val="en-US"/>
        </w:rPr>
        <w:t xml:space="preserve">Investigate the deficiencies in the practices of the Judiciary and </w:t>
      </w:r>
      <w:r w:rsidR="008772EA" w:rsidRPr="00012C3F">
        <w:rPr>
          <w:sz w:val="16"/>
          <w:szCs w:val="16"/>
          <w:lang w:val="en-US"/>
        </w:rPr>
        <w:t>auxiliary</w:t>
      </w:r>
      <w:r w:rsidRPr="00012C3F">
        <w:rPr>
          <w:sz w:val="16"/>
          <w:szCs w:val="16"/>
          <w:lang w:val="en-US"/>
        </w:rPr>
        <w:t xml:space="preserve"> bodies that permit excessive delays in judicial proceedings, and adopt the measures required to ensure effective access to justice through due process and an expedit</w:t>
      </w:r>
      <w:r w:rsidR="008772EA" w:rsidRPr="00012C3F">
        <w:rPr>
          <w:sz w:val="16"/>
          <w:szCs w:val="16"/>
          <w:lang w:val="en-US"/>
        </w:rPr>
        <w:t>ious</w:t>
      </w:r>
      <w:r w:rsidRPr="00012C3F">
        <w:rPr>
          <w:sz w:val="16"/>
          <w:szCs w:val="16"/>
          <w:lang w:val="en-US"/>
        </w:rPr>
        <w:t xml:space="preserve"> and eff</w:t>
      </w:r>
      <w:r w:rsidR="008772EA" w:rsidRPr="00012C3F">
        <w:rPr>
          <w:sz w:val="16"/>
          <w:szCs w:val="16"/>
          <w:lang w:val="en-US"/>
        </w:rPr>
        <w:t>ective</w:t>
      </w:r>
      <w:r w:rsidRPr="00012C3F">
        <w:rPr>
          <w:sz w:val="16"/>
          <w:szCs w:val="16"/>
          <w:lang w:val="en-US"/>
        </w:rPr>
        <w:t xml:space="preserve"> administration of justice.</w:t>
      </w:r>
    </w:p>
    <w:p w14:paraId="525F9495" w14:textId="77777777" w:rsidR="006C37C9" w:rsidRPr="00012C3F" w:rsidRDefault="006C37C9" w:rsidP="006C37C9">
      <w:pPr>
        <w:pStyle w:val="Prrafodelista"/>
        <w:numPr>
          <w:ilvl w:val="0"/>
          <w:numId w:val="10"/>
        </w:numPr>
        <w:adjustRightInd/>
        <w:spacing w:after="200" w:line="240" w:lineRule="auto"/>
        <w:ind w:right="148"/>
        <w:contextualSpacing/>
        <w:textAlignment w:val="auto"/>
        <w:rPr>
          <w:rFonts w:eastAsia="Verdana" w:cs="Verdana"/>
          <w:sz w:val="20"/>
          <w:szCs w:val="20"/>
          <w:lang w:val="en-US"/>
        </w:rPr>
      </w:pPr>
      <w:r w:rsidRPr="00012C3F">
        <w:rPr>
          <w:rFonts w:eastAsia="Verdana" w:cs="Verdana"/>
          <w:i/>
          <w:sz w:val="20"/>
          <w:szCs w:val="20"/>
          <w:lang w:val="en-US"/>
        </w:rPr>
        <w:t>Notifica</w:t>
      </w:r>
      <w:r w:rsidR="00370DD4" w:rsidRPr="00012C3F">
        <w:rPr>
          <w:rFonts w:eastAsia="Verdana" w:cs="Verdana"/>
          <w:i/>
          <w:sz w:val="20"/>
          <w:szCs w:val="20"/>
          <w:lang w:val="en-US"/>
        </w:rPr>
        <w:t>tion of the State</w:t>
      </w:r>
      <w:r w:rsidRPr="00012C3F">
        <w:rPr>
          <w:rFonts w:eastAsia="Verdana" w:cs="Verdana"/>
          <w:i/>
          <w:sz w:val="20"/>
          <w:szCs w:val="20"/>
          <w:lang w:val="en-US"/>
        </w:rPr>
        <w:t xml:space="preserve">. </w:t>
      </w:r>
      <w:r w:rsidR="00370DD4" w:rsidRPr="00012C3F">
        <w:rPr>
          <w:rFonts w:eastAsia="Verdana" w:cs="Verdana"/>
          <w:sz w:val="20"/>
          <w:szCs w:val="20"/>
          <w:lang w:val="en-US"/>
        </w:rPr>
        <w:t>The</w:t>
      </w:r>
      <w:r w:rsidRPr="00012C3F">
        <w:rPr>
          <w:rFonts w:eastAsia="Verdana" w:cs="Verdana"/>
          <w:sz w:val="20"/>
          <w:szCs w:val="20"/>
          <w:lang w:val="en-US"/>
        </w:rPr>
        <w:t xml:space="preserve"> </w:t>
      </w:r>
      <w:r w:rsidR="00E00902" w:rsidRPr="00012C3F">
        <w:rPr>
          <w:rFonts w:eastAsia="Verdana" w:cs="Verdana"/>
          <w:sz w:val="20"/>
          <w:szCs w:val="20"/>
          <w:lang w:val="en-US"/>
        </w:rPr>
        <w:t>Merits Report</w:t>
      </w:r>
      <w:r w:rsidRPr="00012C3F">
        <w:rPr>
          <w:rFonts w:eastAsia="Verdana" w:cs="Verdana"/>
          <w:sz w:val="20"/>
          <w:szCs w:val="20"/>
          <w:lang w:val="en-US"/>
        </w:rPr>
        <w:t xml:space="preserve"> </w:t>
      </w:r>
      <w:r w:rsidR="00370DD4" w:rsidRPr="00012C3F">
        <w:rPr>
          <w:rFonts w:eastAsia="Verdana" w:cs="Verdana"/>
          <w:sz w:val="20"/>
          <w:szCs w:val="20"/>
          <w:lang w:val="en-US"/>
        </w:rPr>
        <w:t>was notified to the State in a communication of October 23,</w:t>
      </w:r>
      <w:r w:rsidRPr="00012C3F">
        <w:rPr>
          <w:rFonts w:eastAsia="Verdana" w:cs="Verdana"/>
          <w:sz w:val="20"/>
          <w:szCs w:val="20"/>
          <w:lang w:val="en-US"/>
        </w:rPr>
        <w:t xml:space="preserve"> 2014, </w:t>
      </w:r>
      <w:r w:rsidR="00370DD4" w:rsidRPr="00012C3F">
        <w:rPr>
          <w:rFonts w:eastAsia="Verdana" w:cs="Verdana"/>
          <w:sz w:val="20"/>
          <w:szCs w:val="20"/>
          <w:lang w:val="en-US"/>
        </w:rPr>
        <w:t>granting it two months to report on compliance with the recommendations.</w:t>
      </w:r>
    </w:p>
    <w:p w14:paraId="37D3EAA0" w14:textId="77777777" w:rsidR="006C37C9" w:rsidRPr="00012C3F" w:rsidRDefault="00370DD4" w:rsidP="006C37C9">
      <w:pPr>
        <w:numPr>
          <w:ilvl w:val="0"/>
          <w:numId w:val="6"/>
        </w:numPr>
        <w:adjustRightInd/>
        <w:spacing w:after="200" w:line="240" w:lineRule="auto"/>
        <w:ind w:right="144"/>
        <w:contextualSpacing/>
        <w:textAlignment w:val="auto"/>
        <w:rPr>
          <w:rFonts w:eastAsia="Verdana" w:cs="Verdana"/>
          <w:sz w:val="20"/>
          <w:szCs w:val="20"/>
          <w:lang w:val="en-US"/>
        </w:rPr>
      </w:pPr>
      <w:r w:rsidRPr="00012C3F">
        <w:rPr>
          <w:rFonts w:eastAsia="Verdana" w:cs="Verdana"/>
          <w:i/>
          <w:sz w:val="20"/>
          <w:szCs w:val="20"/>
          <w:lang w:val="en-US"/>
        </w:rPr>
        <w:t>Reports on the Commission’s recommendations</w:t>
      </w:r>
      <w:r w:rsidR="006C37C9" w:rsidRPr="00012C3F">
        <w:rPr>
          <w:rFonts w:eastAsia="Verdana" w:cs="Verdana"/>
          <w:i/>
          <w:sz w:val="20"/>
          <w:szCs w:val="20"/>
          <w:lang w:val="en-US"/>
        </w:rPr>
        <w:t xml:space="preserve">. </w:t>
      </w:r>
      <w:r w:rsidRPr="00012C3F">
        <w:rPr>
          <w:rFonts w:eastAsia="Verdana" w:cs="Verdana"/>
          <w:sz w:val="20"/>
          <w:szCs w:val="20"/>
          <w:lang w:val="en-US"/>
        </w:rPr>
        <w:t>On December 24,</w:t>
      </w:r>
      <w:r w:rsidR="006C37C9" w:rsidRPr="00012C3F">
        <w:rPr>
          <w:rFonts w:eastAsia="Verdana" w:cs="Verdana"/>
          <w:sz w:val="20"/>
          <w:szCs w:val="20"/>
          <w:lang w:val="en-US"/>
        </w:rPr>
        <w:t xml:space="preserve"> 2014</w:t>
      </w:r>
      <w:r w:rsidRPr="00012C3F">
        <w:rPr>
          <w:rFonts w:eastAsia="Verdana" w:cs="Verdana"/>
          <w:sz w:val="20"/>
          <w:szCs w:val="20"/>
          <w:lang w:val="en-US"/>
        </w:rPr>
        <w:t>,</w:t>
      </w:r>
      <w:r w:rsidR="006C37C9" w:rsidRPr="00012C3F">
        <w:rPr>
          <w:rFonts w:eastAsia="Verdana" w:cs="Verdana"/>
          <w:sz w:val="20"/>
          <w:szCs w:val="20"/>
          <w:lang w:val="en-US"/>
        </w:rPr>
        <w:t xml:space="preserve"> </w:t>
      </w:r>
      <w:r w:rsidR="00A84CA0" w:rsidRPr="00012C3F">
        <w:rPr>
          <w:rFonts w:eastAsia="Verdana" w:cs="Verdana"/>
          <w:sz w:val="20"/>
          <w:szCs w:val="20"/>
          <w:lang w:val="en-US"/>
        </w:rPr>
        <w:t>the State</w:t>
      </w:r>
      <w:r w:rsidR="006C37C9" w:rsidRPr="00012C3F">
        <w:rPr>
          <w:rFonts w:eastAsia="Verdana" w:cs="Verdana"/>
          <w:sz w:val="20"/>
          <w:szCs w:val="20"/>
          <w:lang w:val="en-US"/>
        </w:rPr>
        <w:t xml:space="preserve"> present</w:t>
      </w:r>
      <w:r w:rsidRPr="00012C3F">
        <w:rPr>
          <w:rFonts w:eastAsia="Verdana" w:cs="Verdana"/>
          <w:sz w:val="20"/>
          <w:szCs w:val="20"/>
          <w:lang w:val="en-US"/>
        </w:rPr>
        <w:t xml:space="preserve">ed information on the implementation of the recommendations made by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in its Report</w:t>
      </w:r>
      <w:r w:rsidR="006C37C9" w:rsidRPr="00012C3F">
        <w:rPr>
          <w:rFonts w:eastAsia="Verdana" w:cs="Verdana"/>
          <w:sz w:val="20"/>
          <w:szCs w:val="20"/>
          <w:lang w:val="en-US"/>
        </w:rPr>
        <w:t xml:space="preserve"> No. 72/14. A</w:t>
      </w:r>
      <w:r w:rsidRPr="00012C3F">
        <w:rPr>
          <w:rFonts w:eastAsia="Verdana" w:cs="Verdana"/>
          <w:sz w:val="20"/>
          <w:szCs w:val="20"/>
          <w:lang w:val="en-US"/>
        </w:rPr>
        <w:t xml:space="preserve"> three-month extension was granted for </w:t>
      </w:r>
      <w:r w:rsidR="00A84CA0" w:rsidRPr="00012C3F">
        <w:rPr>
          <w:rFonts w:eastAsia="Verdana" w:cs="Verdana"/>
          <w:sz w:val="20"/>
          <w:szCs w:val="20"/>
          <w:lang w:val="en-US"/>
        </w:rPr>
        <w:t>the State</w:t>
      </w:r>
      <w:r w:rsidR="006C37C9" w:rsidRPr="00012C3F">
        <w:rPr>
          <w:rFonts w:eastAsia="Verdana" w:cs="Verdana"/>
          <w:sz w:val="20"/>
          <w:szCs w:val="20"/>
          <w:lang w:val="en-US"/>
        </w:rPr>
        <w:t xml:space="preserve"> </w:t>
      </w:r>
      <w:r w:rsidRPr="00012C3F">
        <w:rPr>
          <w:rFonts w:eastAsia="Verdana" w:cs="Verdana"/>
          <w:sz w:val="20"/>
          <w:szCs w:val="20"/>
          <w:lang w:val="en-US"/>
        </w:rPr>
        <w:t>to comply with the Commission’s recommendations</w:t>
      </w:r>
      <w:r w:rsidR="006C37C9" w:rsidRPr="00012C3F">
        <w:rPr>
          <w:rFonts w:eastAsia="Verdana" w:cs="Verdana"/>
          <w:sz w:val="20"/>
          <w:szCs w:val="20"/>
          <w:lang w:val="en-US"/>
        </w:rPr>
        <w:t>.</w:t>
      </w:r>
    </w:p>
    <w:p w14:paraId="57DCD570" w14:textId="77777777" w:rsidR="006C37C9" w:rsidRPr="00012C3F" w:rsidRDefault="006C37C9" w:rsidP="006C37C9">
      <w:pPr>
        <w:spacing w:line="240" w:lineRule="auto"/>
        <w:ind w:left="818" w:right="144"/>
        <w:contextualSpacing/>
        <w:rPr>
          <w:rFonts w:eastAsia="Verdana" w:cs="Verdana"/>
          <w:sz w:val="20"/>
          <w:szCs w:val="20"/>
          <w:lang w:val="en-US"/>
        </w:rPr>
      </w:pPr>
    </w:p>
    <w:p w14:paraId="4DF5174F" w14:textId="77777777" w:rsidR="006C37C9" w:rsidRPr="00012C3F" w:rsidRDefault="00370DD4" w:rsidP="00370DD4">
      <w:pPr>
        <w:numPr>
          <w:ilvl w:val="0"/>
          <w:numId w:val="6"/>
        </w:numPr>
        <w:adjustRightInd/>
        <w:spacing w:after="200" w:line="240" w:lineRule="auto"/>
        <w:ind w:right="144"/>
        <w:contextualSpacing/>
        <w:textAlignment w:val="auto"/>
        <w:rPr>
          <w:rFonts w:eastAsia="Verdana" w:cs="Verdana"/>
          <w:sz w:val="20"/>
          <w:szCs w:val="20"/>
          <w:lang w:val="en-US"/>
        </w:rPr>
      </w:pPr>
      <w:r w:rsidRPr="00012C3F">
        <w:rPr>
          <w:rFonts w:eastAsia="Verdana" w:cs="Verdana"/>
          <w:i/>
          <w:sz w:val="20"/>
          <w:szCs w:val="20"/>
          <w:lang w:val="en-US"/>
        </w:rPr>
        <w:t>Submission to</w:t>
      </w:r>
      <w:r w:rsidR="006C37C9" w:rsidRPr="00012C3F">
        <w:rPr>
          <w:rFonts w:eastAsia="Verdana" w:cs="Verdana"/>
          <w:i/>
          <w:sz w:val="20"/>
          <w:szCs w:val="20"/>
          <w:lang w:val="en-US"/>
        </w:rPr>
        <w:t xml:space="preserve"> </w:t>
      </w:r>
      <w:r w:rsidR="001254DE" w:rsidRPr="00012C3F">
        <w:rPr>
          <w:rFonts w:eastAsia="Verdana" w:cs="Verdana"/>
          <w:i/>
          <w:sz w:val="20"/>
          <w:szCs w:val="20"/>
          <w:lang w:val="en-US"/>
        </w:rPr>
        <w:t>the Court</w:t>
      </w:r>
      <w:r w:rsidR="006C37C9" w:rsidRPr="00012C3F">
        <w:rPr>
          <w:rFonts w:eastAsia="Verdana" w:cs="Verdana"/>
          <w:i/>
          <w:sz w:val="20"/>
          <w:szCs w:val="20"/>
          <w:lang w:val="en-US"/>
        </w:rPr>
        <w:t>.</w:t>
      </w:r>
      <w:r w:rsidR="006C37C9" w:rsidRPr="00012C3F">
        <w:rPr>
          <w:rFonts w:eastAsia="Verdana" w:cs="Verdana"/>
          <w:sz w:val="20"/>
          <w:szCs w:val="20"/>
          <w:lang w:val="en-US"/>
        </w:rPr>
        <w:t xml:space="preserve"> </w:t>
      </w:r>
      <w:r w:rsidRPr="00012C3F">
        <w:rPr>
          <w:rFonts w:eastAsia="Verdana" w:cs="Verdana"/>
          <w:sz w:val="20"/>
          <w:szCs w:val="20"/>
          <w:lang w:val="en-US"/>
        </w:rPr>
        <w:t>On April 23,</w:t>
      </w:r>
      <w:r w:rsidR="006C37C9" w:rsidRPr="00012C3F">
        <w:rPr>
          <w:rFonts w:eastAsia="Verdana" w:cs="Verdana"/>
          <w:sz w:val="20"/>
          <w:szCs w:val="20"/>
          <w:lang w:val="en-US"/>
        </w:rPr>
        <w:t xml:space="preserve"> 2015, </w:t>
      </w:r>
      <w:r w:rsidR="00F07D0C" w:rsidRPr="00012C3F">
        <w:rPr>
          <w:rFonts w:eastAsia="Verdana" w:cs="Verdana"/>
          <w:sz w:val="20"/>
          <w:szCs w:val="20"/>
          <w:lang w:val="en-US"/>
        </w:rPr>
        <w:t>considering</w:t>
      </w:r>
      <w:r w:rsidRPr="00012C3F">
        <w:rPr>
          <w:rFonts w:eastAsia="Verdana" w:cs="Verdana"/>
          <w:sz w:val="20"/>
          <w:szCs w:val="20"/>
          <w:lang w:val="en-US"/>
        </w:rPr>
        <w:t xml:space="preserve"> the content of the State’s report, and also the absence of additional reports or a request for an extension, the Commission submitted all the facts and human rights violations described in the </w:t>
      </w:r>
      <w:r w:rsidR="00E00902" w:rsidRPr="00012C3F">
        <w:rPr>
          <w:rFonts w:eastAsia="Verdana" w:cs="Verdana"/>
          <w:sz w:val="20"/>
          <w:szCs w:val="20"/>
          <w:lang w:val="en-US"/>
        </w:rPr>
        <w:t>Merits Report</w:t>
      </w:r>
      <w:r w:rsidR="00D36411" w:rsidRPr="00012C3F">
        <w:rPr>
          <w:rFonts w:eastAsia="Verdana" w:cs="Verdana"/>
          <w:sz w:val="20"/>
          <w:szCs w:val="20"/>
          <w:lang w:val="en-US"/>
        </w:rPr>
        <w:t xml:space="preserve"> to the jurisdiction of the Inter-American Court</w:t>
      </w:r>
      <w:r w:rsidR="006C37C9" w:rsidRPr="00012C3F">
        <w:rPr>
          <w:rFonts w:eastAsia="Verdana" w:cs="Verdana"/>
          <w:sz w:val="20"/>
          <w:szCs w:val="20"/>
          <w:lang w:val="en-US"/>
        </w:rPr>
        <w:t xml:space="preserve"> “</w:t>
      </w:r>
      <w:r w:rsidRPr="00012C3F">
        <w:rPr>
          <w:rFonts w:eastAsia="Verdana" w:cs="Verdana"/>
          <w:sz w:val="20"/>
          <w:szCs w:val="20"/>
          <w:lang w:val="en-US"/>
        </w:rPr>
        <w:t xml:space="preserve">in view of the need to obtain justice” and the </w:t>
      </w:r>
      <w:r w:rsidR="00D36411" w:rsidRPr="00012C3F">
        <w:rPr>
          <w:rFonts w:eastAsia="Verdana" w:cs="Verdana"/>
          <w:sz w:val="20"/>
          <w:szCs w:val="20"/>
          <w:lang w:val="en-US"/>
        </w:rPr>
        <w:t>issues</w:t>
      </w:r>
      <w:r w:rsidRPr="00012C3F">
        <w:rPr>
          <w:rFonts w:eastAsia="Verdana" w:cs="Verdana"/>
          <w:sz w:val="20"/>
          <w:szCs w:val="20"/>
          <w:lang w:val="en-US"/>
        </w:rPr>
        <w:t xml:space="preserve"> </w:t>
      </w:r>
      <w:r w:rsidR="00D36411" w:rsidRPr="00012C3F">
        <w:rPr>
          <w:rFonts w:eastAsia="Verdana" w:cs="Verdana"/>
          <w:sz w:val="20"/>
          <w:szCs w:val="20"/>
          <w:lang w:val="en-US"/>
        </w:rPr>
        <w:t>relating to</w:t>
      </w:r>
      <w:r w:rsidRPr="00012C3F">
        <w:rPr>
          <w:rFonts w:eastAsia="Verdana" w:cs="Verdana"/>
          <w:sz w:val="20"/>
          <w:szCs w:val="20"/>
          <w:lang w:val="en-US"/>
        </w:rPr>
        <w:t xml:space="preserve"> inter-American public order </w:t>
      </w:r>
      <w:r w:rsidR="00D36411" w:rsidRPr="00012C3F">
        <w:rPr>
          <w:rFonts w:eastAsia="Verdana" w:cs="Verdana"/>
          <w:sz w:val="20"/>
          <w:szCs w:val="20"/>
          <w:lang w:val="en-US"/>
        </w:rPr>
        <w:t>in the area of</w:t>
      </w:r>
      <w:r w:rsidRPr="00012C3F">
        <w:rPr>
          <w:rFonts w:eastAsia="Verdana" w:cs="Verdana"/>
          <w:sz w:val="20"/>
          <w:szCs w:val="20"/>
          <w:lang w:val="en-US"/>
        </w:rPr>
        <w:t xml:space="preserve"> the rights to health and to sexual and reproductive autonomy, </w:t>
      </w:r>
      <w:r w:rsidR="005763AA" w:rsidRPr="00012C3F">
        <w:rPr>
          <w:rFonts w:eastAsia="Verdana" w:cs="Verdana"/>
          <w:sz w:val="20"/>
          <w:szCs w:val="20"/>
          <w:lang w:val="en-US"/>
        </w:rPr>
        <w:t>together with</w:t>
      </w:r>
      <w:r w:rsidRPr="00012C3F">
        <w:rPr>
          <w:rFonts w:eastAsia="Verdana" w:cs="Verdana"/>
          <w:sz w:val="20"/>
          <w:szCs w:val="20"/>
          <w:lang w:val="en-US"/>
        </w:rPr>
        <w:t xml:space="preserve"> </w:t>
      </w:r>
      <w:r w:rsidR="00AC0004" w:rsidRPr="00012C3F">
        <w:rPr>
          <w:rFonts w:eastAsia="Verdana" w:cs="Verdana"/>
          <w:sz w:val="20"/>
          <w:szCs w:val="20"/>
          <w:lang w:val="en-US"/>
        </w:rPr>
        <w:t>informed consent</w:t>
      </w:r>
      <w:r w:rsidRPr="00012C3F">
        <w:rPr>
          <w:rFonts w:eastAsia="Verdana" w:cs="Verdana"/>
          <w:sz w:val="20"/>
          <w:szCs w:val="20"/>
          <w:lang w:val="en-US"/>
        </w:rPr>
        <w:t xml:space="preserve"> in th</w:t>
      </w:r>
      <w:r w:rsidR="005763AA" w:rsidRPr="00012C3F">
        <w:rPr>
          <w:rFonts w:eastAsia="Verdana" w:cs="Verdana"/>
          <w:sz w:val="20"/>
          <w:szCs w:val="20"/>
          <w:lang w:val="en-US"/>
        </w:rPr>
        <w:t>is</w:t>
      </w:r>
      <w:r w:rsidRPr="00012C3F">
        <w:rPr>
          <w:rFonts w:eastAsia="Verdana" w:cs="Verdana"/>
          <w:sz w:val="20"/>
          <w:szCs w:val="20"/>
          <w:lang w:val="en-US"/>
        </w:rPr>
        <w:t xml:space="preserve"> </w:t>
      </w:r>
      <w:r w:rsidR="00D36411" w:rsidRPr="00012C3F">
        <w:rPr>
          <w:rFonts w:eastAsia="Verdana" w:cs="Verdana"/>
          <w:sz w:val="20"/>
          <w:szCs w:val="20"/>
          <w:lang w:val="en-US"/>
        </w:rPr>
        <w:t>regard</w:t>
      </w:r>
      <w:r w:rsidRPr="00012C3F">
        <w:rPr>
          <w:rFonts w:eastAsia="Verdana" w:cs="Verdana"/>
          <w:sz w:val="20"/>
          <w:szCs w:val="20"/>
          <w:lang w:val="en-US"/>
        </w:rPr>
        <w:t>.</w:t>
      </w:r>
      <w:r w:rsidR="00EB3F3D" w:rsidRPr="00012C3F">
        <w:rPr>
          <w:rStyle w:val="Refdenotaalpie"/>
          <w:rFonts w:eastAsia="Verdana" w:cs="Verdana"/>
          <w:sz w:val="20"/>
          <w:szCs w:val="20"/>
          <w:lang w:val="en-US"/>
        </w:rPr>
        <w:footnoteReference w:id="3"/>
      </w:r>
      <w:r w:rsidR="006C37C9" w:rsidRPr="00012C3F">
        <w:rPr>
          <w:rFonts w:eastAsia="Verdana" w:cs="Verdana"/>
          <w:b/>
          <w:sz w:val="16"/>
          <w:szCs w:val="16"/>
          <w:lang w:val="en-US"/>
        </w:rPr>
        <w:t xml:space="preserve"> </w:t>
      </w:r>
    </w:p>
    <w:p w14:paraId="4E8C0192" w14:textId="77777777" w:rsidR="006C37C9" w:rsidRPr="00012C3F" w:rsidRDefault="006C37C9" w:rsidP="006C37C9">
      <w:pPr>
        <w:spacing w:line="240" w:lineRule="auto"/>
        <w:ind w:left="818" w:right="144"/>
        <w:contextualSpacing/>
        <w:rPr>
          <w:rFonts w:cs="Arial"/>
          <w:sz w:val="20"/>
          <w:szCs w:val="20"/>
          <w:lang w:val="en-US"/>
        </w:rPr>
      </w:pPr>
    </w:p>
    <w:p w14:paraId="6C253001" w14:textId="77777777" w:rsidR="006C37C9" w:rsidRPr="00012C3F" w:rsidRDefault="00370DD4" w:rsidP="00095E76">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i/>
          <w:sz w:val="20"/>
          <w:szCs w:val="20"/>
          <w:lang w:val="en-US"/>
        </w:rPr>
        <w:t>Requests</w:t>
      </w:r>
      <w:r w:rsidR="001254DE" w:rsidRPr="00012C3F">
        <w:rPr>
          <w:rFonts w:eastAsia="Verdana" w:cs="Verdana"/>
          <w:i/>
          <w:sz w:val="20"/>
          <w:szCs w:val="20"/>
          <w:lang w:val="en-US"/>
        </w:rPr>
        <w:t xml:space="preserve"> of the Inter-American </w:t>
      </w:r>
      <w:r w:rsidR="00A84CA0" w:rsidRPr="00012C3F">
        <w:rPr>
          <w:rFonts w:eastAsia="Verdana" w:cs="Verdana"/>
          <w:i/>
          <w:sz w:val="20"/>
          <w:szCs w:val="20"/>
          <w:lang w:val="en-US"/>
        </w:rPr>
        <w:t>Commission</w:t>
      </w:r>
      <w:r w:rsidR="006C37C9" w:rsidRPr="00012C3F">
        <w:rPr>
          <w:rFonts w:eastAsia="Verdana" w:cs="Verdana"/>
          <w:i/>
          <w:sz w:val="20"/>
          <w:szCs w:val="20"/>
          <w:lang w:val="en-US"/>
        </w:rPr>
        <w:t xml:space="preserve">. </w:t>
      </w:r>
      <w:r w:rsidRPr="00012C3F">
        <w:rPr>
          <w:rFonts w:eastAsia="Verdana" w:cs="Verdana"/>
          <w:sz w:val="20"/>
          <w:szCs w:val="20"/>
          <w:lang w:val="en-US"/>
        </w:rPr>
        <w:t>Based on the above,</w:t>
      </w:r>
      <w:r w:rsidR="006C37C9"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asked</w:t>
      </w:r>
      <w:r w:rsidR="006C37C9" w:rsidRPr="00012C3F">
        <w:rPr>
          <w:rFonts w:eastAsia="Verdana" w:cs="Verdana"/>
          <w:sz w:val="20"/>
          <w:szCs w:val="20"/>
          <w:lang w:val="en-US"/>
        </w:rPr>
        <w:t xml:space="preserve">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Pr="00012C3F">
        <w:rPr>
          <w:rFonts w:eastAsia="Verdana" w:cs="Verdana"/>
          <w:sz w:val="20"/>
          <w:szCs w:val="20"/>
          <w:lang w:val="en-US"/>
        </w:rPr>
        <w:t xml:space="preserve">to declare the international responsibility of the </w:t>
      </w:r>
      <w:r w:rsidR="00A84CA0" w:rsidRPr="00012C3F">
        <w:rPr>
          <w:rFonts w:eastAsia="Verdana" w:cs="Verdana"/>
          <w:sz w:val="20"/>
          <w:szCs w:val="20"/>
          <w:lang w:val="en-US"/>
        </w:rPr>
        <w:t>State</w:t>
      </w:r>
      <w:r w:rsidR="006C37C9" w:rsidRPr="00012C3F">
        <w:rPr>
          <w:rFonts w:eastAsia="Verdana" w:cs="Verdana"/>
          <w:sz w:val="20"/>
          <w:szCs w:val="20"/>
          <w:lang w:val="en-US"/>
        </w:rPr>
        <w:t xml:space="preserve"> </w:t>
      </w:r>
      <w:r w:rsidRPr="00012C3F">
        <w:rPr>
          <w:rFonts w:eastAsia="Verdana" w:cs="Verdana"/>
          <w:sz w:val="20"/>
          <w:szCs w:val="20"/>
          <w:lang w:val="en-US"/>
        </w:rPr>
        <w:t xml:space="preserve">for the violations indicated in its </w:t>
      </w:r>
      <w:r w:rsidR="00E00902" w:rsidRPr="00012C3F">
        <w:rPr>
          <w:rFonts w:eastAsia="Verdana" w:cs="Verdana"/>
          <w:sz w:val="20"/>
          <w:szCs w:val="20"/>
          <w:lang w:val="en-US"/>
        </w:rPr>
        <w:t>Merits Report</w:t>
      </w:r>
      <w:r w:rsidR="006C37C9" w:rsidRPr="00012C3F">
        <w:rPr>
          <w:rFonts w:eastAsia="Verdana" w:cs="Verdana"/>
          <w:sz w:val="20"/>
          <w:szCs w:val="20"/>
          <w:lang w:val="en-US"/>
        </w:rPr>
        <w:t xml:space="preserve"> </w:t>
      </w:r>
      <w:r w:rsidR="006C37C9" w:rsidRPr="00012C3F">
        <w:rPr>
          <w:rFonts w:cs="Verdana"/>
          <w:sz w:val="20"/>
          <w:szCs w:val="20"/>
          <w:lang w:val="en-US"/>
        </w:rPr>
        <w:t>(</w:t>
      </w:r>
      <w:r w:rsidR="006C37C9" w:rsidRPr="00012C3F">
        <w:rPr>
          <w:rFonts w:cs="Verdana"/>
          <w:i/>
          <w:iCs/>
          <w:sz w:val="20"/>
          <w:szCs w:val="20"/>
          <w:lang w:val="en-US"/>
        </w:rPr>
        <w:t xml:space="preserve">supra </w:t>
      </w:r>
      <w:r w:rsidRPr="00012C3F">
        <w:rPr>
          <w:rFonts w:cs="Verdana"/>
          <w:sz w:val="20"/>
          <w:szCs w:val="20"/>
          <w:lang w:val="en-US"/>
        </w:rPr>
        <w:t>para.</w:t>
      </w:r>
      <w:r w:rsidR="006C37C9" w:rsidRPr="00012C3F">
        <w:rPr>
          <w:rFonts w:cs="Verdana"/>
          <w:sz w:val="20"/>
          <w:szCs w:val="20"/>
          <w:lang w:val="en-US"/>
        </w:rPr>
        <w:t xml:space="preserve"> 2.c.a)</w:t>
      </w:r>
      <w:r w:rsidR="006C37C9" w:rsidRPr="00012C3F">
        <w:rPr>
          <w:rFonts w:eastAsia="Verdana" w:cs="Verdana"/>
          <w:sz w:val="20"/>
          <w:szCs w:val="20"/>
          <w:lang w:val="en-US"/>
        </w:rPr>
        <w:t xml:space="preserve">. </w:t>
      </w:r>
      <w:r w:rsidRPr="00012C3F">
        <w:rPr>
          <w:rFonts w:eastAsia="Verdana" w:cs="Verdana"/>
          <w:sz w:val="20"/>
          <w:szCs w:val="20"/>
          <w:lang w:val="en-US"/>
        </w:rPr>
        <w:t>T</w:t>
      </w:r>
      <w:r w:rsidR="001254DE" w:rsidRPr="00012C3F">
        <w:rPr>
          <w:rFonts w:eastAsia="Verdana" w:cs="Verdana"/>
          <w:sz w:val="20"/>
          <w:szCs w:val="20"/>
          <w:lang w:val="en-US"/>
        </w:rPr>
        <w:t xml:space="preserve">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Pr="00012C3F">
        <w:rPr>
          <w:rFonts w:eastAsia="Verdana" w:cs="Verdana"/>
          <w:sz w:val="20"/>
          <w:szCs w:val="20"/>
          <w:lang w:val="en-US"/>
        </w:rPr>
        <w:t>also asked</w:t>
      </w:r>
      <w:r w:rsidR="006C37C9" w:rsidRPr="00012C3F">
        <w:rPr>
          <w:rFonts w:eastAsia="Verdana" w:cs="Verdana"/>
          <w:sz w:val="20"/>
          <w:szCs w:val="20"/>
          <w:lang w:val="en-US"/>
        </w:rPr>
        <w:t xml:space="preserve">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Pr="00012C3F">
        <w:rPr>
          <w:rFonts w:eastAsia="Verdana" w:cs="Verdana"/>
          <w:sz w:val="20"/>
          <w:szCs w:val="20"/>
          <w:lang w:val="en-US"/>
        </w:rPr>
        <w:t>to order the State to adopt certain measures of reparation, which will be described and analyzed in Chapter IX of this judgment</w:t>
      </w:r>
      <w:r w:rsidR="006C37C9" w:rsidRPr="00012C3F">
        <w:rPr>
          <w:rFonts w:eastAsia="Verdana" w:cs="Verdana"/>
          <w:sz w:val="20"/>
          <w:szCs w:val="20"/>
          <w:lang w:val="en-US"/>
        </w:rPr>
        <w:t>.</w:t>
      </w:r>
    </w:p>
    <w:p w14:paraId="69AF7AC4" w14:textId="77777777" w:rsidR="006C37C9" w:rsidRPr="00012C3F" w:rsidRDefault="006C37C9" w:rsidP="006C37C9">
      <w:pPr>
        <w:pStyle w:val="Prrafodelista"/>
        <w:autoSpaceDE w:val="0"/>
        <w:autoSpaceDN w:val="0"/>
        <w:spacing w:line="240" w:lineRule="auto"/>
        <w:ind w:left="709"/>
        <w:rPr>
          <w:rFonts w:eastAsia="Verdana" w:cs="Verdana"/>
          <w:sz w:val="20"/>
          <w:szCs w:val="20"/>
          <w:lang w:val="en-US"/>
        </w:rPr>
      </w:pPr>
    </w:p>
    <w:p w14:paraId="0C059A55" w14:textId="77777777" w:rsidR="006C37C9" w:rsidRPr="00012C3F"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11" w:name="_Toc372568229"/>
      <w:bookmarkStart w:id="12" w:name="_Toc373093235"/>
      <w:bookmarkStart w:id="13" w:name="_Toc373350047"/>
      <w:bookmarkStart w:id="14" w:name="_Toc375560893"/>
      <w:bookmarkStart w:id="15" w:name="_Toc401931878"/>
      <w:bookmarkStart w:id="16" w:name="_Toc428369977"/>
      <w:bookmarkStart w:id="17" w:name="_Toc459158093"/>
      <w:bookmarkStart w:id="18" w:name="_Toc27486817"/>
      <w:r w:rsidRPr="00012C3F">
        <w:rPr>
          <w:rFonts w:cs="Verdana"/>
          <w:b/>
          <w:bCs/>
          <w:caps/>
          <w:snapToGrid w:val="0"/>
          <w:sz w:val="20"/>
          <w:szCs w:val="20"/>
          <w:lang w:val="en-US"/>
        </w:rPr>
        <w:t>II</w:t>
      </w:r>
      <w:bookmarkStart w:id="19" w:name="_Toc375062711"/>
      <w:bookmarkStart w:id="20" w:name="_Toc375140861"/>
      <w:bookmarkStart w:id="21" w:name="_Toc375504820"/>
      <w:bookmarkStart w:id="22" w:name="_Toc375560894"/>
      <w:bookmarkEnd w:id="11"/>
      <w:bookmarkEnd w:id="12"/>
      <w:bookmarkEnd w:id="13"/>
      <w:bookmarkEnd w:id="14"/>
      <w:r w:rsidRPr="00012C3F">
        <w:rPr>
          <w:rFonts w:cs="Verdana"/>
          <w:b/>
          <w:bCs/>
          <w:caps/>
          <w:snapToGrid w:val="0"/>
          <w:sz w:val="20"/>
          <w:szCs w:val="20"/>
          <w:lang w:val="en-US"/>
        </w:rPr>
        <w:br/>
      </w:r>
      <w:r w:rsidR="00370DD4" w:rsidRPr="00012C3F">
        <w:rPr>
          <w:rFonts w:cs="Verdana"/>
          <w:b/>
          <w:bCs/>
          <w:caps/>
          <w:snapToGrid w:val="0"/>
          <w:sz w:val="20"/>
          <w:szCs w:val="20"/>
          <w:lang w:val="en-US"/>
        </w:rPr>
        <w:t>PROCEEDINGS BEFORE THE COURT</w:t>
      </w:r>
      <w:bookmarkEnd w:id="15"/>
      <w:bookmarkEnd w:id="16"/>
      <w:bookmarkEnd w:id="17"/>
      <w:bookmarkEnd w:id="18"/>
      <w:bookmarkEnd w:id="19"/>
      <w:bookmarkEnd w:id="20"/>
      <w:bookmarkEnd w:id="21"/>
      <w:bookmarkEnd w:id="22"/>
    </w:p>
    <w:p w14:paraId="4DFE5C49" w14:textId="77777777" w:rsidR="006C37C9" w:rsidRPr="00012C3F" w:rsidRDefault="006C37C9" w:rsidP="006C37C9">
      <w:pPr>
        <w:spacing w:line="240" w:lineRule="auto"/>
        <w:ind w:left="3255" w:right="3302" w:firstLine="1776"/>
        <w:rPr>
          <w:rFonts w:eastAsia="Verdana" w:cs="Verdana"/>
          <w:sz w:val="20"/>
          <w:szCs w:val="20"/>
          <w:lang w:val="en-US"/>
        </w:rPr>
      </w:pPr>
    </w:p>
    <w:p w14:paraId="32273935" w14:textId="77777777" w:rsidR="006C37C9" w:rsidRPr="00012C3F" w:rsidRDefault="006C37C9" w:rsidP="00095E76">
      <w:pPr>
        <w:numPr>
          <w:ilvl w:val="0"/>
          <w:numId w:val="5"/>
        </w:numPr>
        <w:tabs>
          <w:tab w:val="left" w:pos="720"/>
          <w:tab w:val="num" w:pos="12305"/>
        </w:tabs>
        <w:spacing w:line="240" w:lineRule="auto"/>
        <w:ind w:left="0" w:firstLine="0"/>
        <w:rPr>
          <w:rFonts w:eastAsia="Verdana" w:cs="Verdana"/>
          <w:sz w:val="16"/>
          <w:szCs w:val="16"/>
          <w:lang w:val="en-US"/>
        </w:rPr>
      </w:pPr>
      <w:r w:rsidRPr="00012C3F">
        <w:rPr>
          <w:rFonts w:eastAsia="Verdana" w:cs="Verdana"/>
          <w:i/>
          <w:sz w:val="20"/>
          <w:szCs w:val="20"/>
          <w:lang w:val="en-US"/>
        </w:rPr>
        <w:t>Notifica</w:t>
      </w:r>
      <w:r w:rsidR="00972ACF" w:rsidRPr="00012C3F">
        <w:rPr>
          <w:rFonts w:eastAsia="Verdana" w:cs="Verdana"/>
          <w:i/>
          <w:sz w:val="20"/>
          <w:szCs w:val="20"/>
          <w:lang w:val="en-US"/>
        </w:rPr>
        <w:t>tion to the representative and the State</w:t>
      </w:r>
      <w:r w:rsidRPr="00012C3F">
        <w:rPr>
          <w:rFonts w:eastAsia="Verdana" w:cs="Verdana"/>
          <w:i/>
          <w:sz w:val="20"/>
          <w:szCs w:val="20"/>
          <w:lang w:val="en-US"/>
        </w:rPr>
        <w:t xml:space="preserve">. </w:t>
      </w:r>
      <w:r w:rsidR="00972ACF" w:rsidRPr="00012C3F">
        <w:rPr>
          <w:rFonts w:eastAsia="Verdana" w:cs="Verdana"/>
          <w:sz w:val="20"/>
          <w:szCs w:val="20"/>
          <w:lang w:val="en-US"/>
        </w:rPr>
        <w:t xml:space="preserve">The Court notified the Commission’s submission of the case to the presumed victim’s representative </w:t>
      </w:r>
      <w:r w:rsidRPr="00012C3F">
        <w:rPr>
          <w:rFonts w:eastAsia="Verdana" w:cs="Verdana"/>
          <w:sz w:val="20"/>
          <w:szCs w:val="20"/>
          <w:lang w:val="en-US"/>
        </w:rPr>
        <w:t>(</w:t>
      </w:r>
      <w:r w:rsidR="001254DE" w:rsidRPr="00012C3F">
        <w:rPr>
          <w:rFonts w:eastAsia="Verdana" w:cs="Verdana"/>
          <w:sz w:val="20"/>
          <w:szCs w:val="20"/>
          <w:lang w:val="en-US"/>
        </w:rPr>
        <w:t>hereinafter</w:t>
      </w:r>
      <w:r w:rsidRPr="00012C3F">
        <w:rPr>
          <w:rFonts w:eastAsia="Verdana" w:cs="Verdana"/>
          <w:sz w:val="20"/>
          <w:szCs w:val="20"/>
          <w:lang w:val="en-US"/>
        </w:rPr>
        <w:t xml:space="preserve"> “</w:t>
      </w:r>
      <w:r w:rsidR="00972ACF" w:rsidRPr="00012C3F">
        <w:rPr>
          <w:rFonts w:eastAsia="Verdana" w:cs="Verdana"/>
          <w:sz w:val="20"/>
          <w:szCs w:val="20"/>
          <w:lang w:val="en-US"/>
        </w:rPr>
        <w:t>the representative</w:t>
      </w:r>
      <w:r w:rsidRPr="00012C3F">
        <w:rPr>
          <w:rFonts w:eastAsia="Verdana" w:cs="Verdana"/>
          <w:sz w:val="20"/>
          <w:szCs w:val="20"/>
          <w:lang w:val="en-US"/>
        </w:rPr>
        <w:t xml:space="preserve">”) </w:t>
      </w:r>
      <w:r w:rsidR="00972ACF" w:rsidRPr="00012C3F">
        <w:rPr>
          <w:rFonts w:eastAsia="Verdana" w:cs="Verdana"/>
          <w:sz w:val="20"/>
          <w:szCs w:val="20"/>
          <w:lang w:val="en-US"/>
        </w:rPr>
        <w:t>on July 17,</w:t>
      </w:r>
      <w:r w:rsidRPr="00012C3F">
        <w:rPr>
          <w:rFonts w:eastAsia="Verdana" w:cs="Verdana"/>
          <w:sz w:val="20"/>
          <w:szCs w:val="20"/>
          <w:lang w:val="en-US"/>
        </w:rPr>
        <w:t xml:space="preserve"> 2015</w:t>
      </w:r>
      <w:r w:rsidR="00972ACF" w:rsidRPr="00012C3F">
        <w:rPr>
          <w:rFonts w:eastAsia="Verdana" w:cs="Verdana"/>
          <w:sz w:val="20"/>
          <w:szCs w:val="20"/>
          <w:lang w:val="en-US"/>
        </w:rPr>
        <w:t>, and to the State on July</w:t>
      </w:r>
      <w:r w:rsidR="00D36411" w:rsidRPr="00012C3F">
        <w:rPr>
          <w:rFonts w:eastAsia="Verdana" w:cs="Verdana"/>
          <w:sz w:val="20"/>
          <w:szCs w:val="20"/>
          <w:lang w:val="en-US"/>
        </w:rPr>
        <w:t xml:space="preserve"> </w:t>
      </w:r>
      <w:r w:rsidR="00972ACF" w:rsidRPr="00012C3F">
        <w:rPr>
          <w:rFonts w:eastAsia="Verdana" w:cs="Verdana"/>
          <w:sz w:val="20"/>
          <w:szCs w:val="20"/>
          <w:lang w:val="en-US"/>
        </w:rPr>
        <w:t>14,</w:t>
      </w:r>
      <w:r w:rsidRPr="00012C3F">
        <w:rPr>
          <w:rFonts w:eastAsia="Verdana" w:cs="Verdana"/>
          <w:sz w:val="20"/>
          <w:szCs w:val="20"/>
          <w:lang w:val="en-US"/>
        </w:rPr>
        <w:t xml:space="preserve"> 2015.</w:t>
      </w:r>
    </w:p>
    <w:p w14:paraId="25CA742E" w14:textId="77777777" w:rsidR="006C37C9" w:rsidRPr="00012C3F" w:rsidRDefault="006C37C9" w:rsidP="006C37C9">
      <w:pPr>
        <w:spacing w:before="3" w:line="240" w:lineRule="auto"/>
        <w:rPr>
          <w:lang w:val="en-US"/>
        </w:rPr>
      </w:pPr>
    </w:p>
    <w:p w14:paraId="62D7DEF4" w14:textId="77777777" w:rsidR="006C37C9" w:rsidRPr="00012C3F" w:rsidRDefault="00972ACF" w:rsidP="00095E76">
      <w:pPr>
        <w:numPr>
          <w:ilvl w:val="0"/>
          <w:numId w:val="5"/>
        </w:numPr>
        <w:tabs>
          <w:tab w:val="left" w:pos="720"/>
          <w:tab w:val="num" w:pos="12305"/>
        </w:tabs>
        <w:spacing w:line="240" w:lineRule="auto"/>
        <w:ind w:left="0" w:firstLine="0"/>
        <w:rPr>
          <w:rFonts w:eastAsia="Verdana" w:cs="Verdana"/>
          <w:sz w:val="20"/>
          <w:szCs w:val="20"/>
          <w:u w:val="single"/>
          <w:lang w:val="en-US"/>
        </w:rPr>
      </w:pPr>
      <w:r w:rsidRPr="00012C3F">
        <w:rPr>
          <w:rFonts w:eastAsia="Verdana" w:cs="Verdana"/>
          <w:i/>
          <w:sz w:val="20"/>
          <w:szCs w:val="20"/>
          <w:lang w:val="en-US"/>
        </w:rPr>
        <w:t>Brief with motions, pleadings and evidence</w:t>
      </w:r>
      <w:r w:rsidR="006C37C9" w:rsidRPr="00012C3F">
        <w:rPr>
          <w:rFonts w:eastAsia="Verdana" w:cs="Verdana"/>
          <w:i/>
          <w:sz w:val="20"/>
          <w:szCs w:val="20"/>
          <w:lang w:val="en-US"/>
        </w:rPr>
        <w:t xml:space="preserve">. </w:t>
      </w:r>
      <w:r w:rsidRPr="00012C3F">
        <w:rPr>
          <w:rFonts w:eastAsia="Verdana" w:cs="Verdana"/>
          <w:sz w:val="20"/>
          <w:szCs w:val="20"/>
          <w:lang w:val="en-US"/>
        </w:rPr>
        <w:t>On September 14,</w:t>
      </w:r>
      <w:r w:rsidR="006C37C9" w:rsidRPr="00012C3F">
        <w:rPr>
          <w:rFonts w:eastAsia="Verdana" w:cs="Verdana"/>
          <w:sz w:val="20"/>
          <w:szCs w:val="20"/>
          <w:lang w:val="en-US"/>
        </w:rPr>
        <w:t xml:space="preserve"> 2015</w:t>
      </w:r>
      <w:r w:rsidRPr="00012C3F">
        <w:rPr>
          <w:rFonts w:eastAsia="Verdana" w:cs="Verdana"/>
          <w:sz w:val="20"/>
          <w:szCs w:val="20"/>
          <w:lang w:val="en-US"/>
        </w:rPr>
        <w:t>,</w:t>
      </w:r>
      <w:r w:rsidR="006C37C9" w:rsidRPr="00012C3F">
        <w:rPr>
          <w:rFonts w:eastAsia="Verdana" w:cs="Verdana"/>
          <w:sz w:val="20"/>
          <w:szCs w:val="20"/>
          <w:lang w:val="en-US"/>
        </w:rPr>
        <w:t xml:space="preserve"> </w:t>
      </w:r>
      <w:r w:rsidRPr="00012C3F">
        <w:rPr>
          <w:rFonts w:eastAsia="Verdana" w:cs="Verdana"/>
          <w:sz w:val="20"/>
          <w:szCs w:val="20"/>
          <w:lang w:val="en-US"/>
        </w:rPr>
        <w:t>the presumed victim’s representative</w:t>
      </w:r>
      <w:r w:rsidR="006C37C9" w:rsidRPr="00012C3F">
        <w:rPr>
          <w:rStyle w:val="Refdenotaalpie"/>
          <w:rFonts w:eastAsia="Verdana" w:cs="Verdana"/>
          <w:sz w:val="20"/>
          <w:szCs w:val="20"/>
          <w:lang w:val="en-US"/>
        </w:rPr>
        <w:footnoteReference w:id="4"/>
      </w:r>
      <w:r w:rsidR="006C37C9" w:rsidRPr="00012C3F">
        <w:rPr>
          <w:rFonts w:eastAsia="Verdana" w:cs="Verdana"/>
          <w:sz w:val="20"/>
          <w:szCs w:val="20"/>
          <w:lang w:val="en-US"/>
        </w:rPr>
        <w:t xml:space="preserve"> </w:t>
      </w:r>
      <w:r w:rsidRPr="00012C3F">
        <w:rPr>
          <w:rFonts w:eastAsia="Verdana" w:cs="Verdana"/>
          <w:sz w:val="20"/>
          <w:szCs w:val="20"/>
          <w:lang w:val="en-US"/>
        </w:rPr>
        <w:t>submitted to</w:t>
      </w:r>
      <w:r w:rsidR="006C37C9" w:rsidRPr="00012C3F">
        <w:rPr>
          <w:rFonts w:eastAsia="Verdana" w:cs="Verdana"/>
          <w:sz w:val="20"/>
          <w:szCs w:val="20"/>
          <w:lang w:val="en-US"/>
        </w:rPr>
        <w:t xml:space="preserve">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Pr="00012C3F">
        <w:rPr>
          <w:rFonts w:eastAsia="Verdana" w:cs="Verdana"/>
          <w:sz w:val="20"/>
          <w:szCs w:val="20"/>
          <w:lang w:val="en-US"/>
        </w:rPr>
        <w:t>her</w:t>
      </w:r>
      <w:r w:rsidR="006C37C9" w:rsidRPr="00012C3F">
        <w:rPr>
          <w:rFonts w:eastAsia="Verdana" w:cs="Verdana"/>
          <w:sz w:val="20"/>
          <w:szCs w:val="20"/>
          <w:lang w:val="en-US"/>
        </w:rPr>
        <w:t xml:space="preserve"> </w:t>
      </w:r>
      <w:r w:rsidRPr="00012C3F">
        <w:rPr>
          <w:rFonts w:eastAsia="Verdana" w:cs="Verdana"/>
          <w:sz w:val="20"/>
          <w:szCs w:val="20"/>
          <w:lang w:val="en-US"/>
        </w:rPr>
        <w:t>brief with motions, pleadings and evidence</w:t>
      </w:r>
      <w:r w:rsidR="006C37C9" w:rsidRPr="00012C3F">
        <w:rPr>
          <w:rFonts w:eastAsia="Verdana" w:cs="Verdana"/>
          <w:sz w:val="20"/>
          <w:szCs w:val="20"/>
          <w:lang w:val="en-US"/>
        </w:rPr>
        <w:t xml:space="preserve"> (</w:t>
      </w:r>
      <w:r w:rsidR="001254DE" w:rsidRPr="00012C3F">
        <w:rPr>
          <w:rFonts w:eastAsia="Verdana" w:cs="Verdana"/>
          <w:sz w:val="20"/>
          <w:szCs w:val="20"/>
          <w:lang w:val="en-US"/>
        </w:rPr>
        <w:t>hereinafter</w:t>
      </w:r>
      <w:r w:rsidR="006C37C9" w:rsidRPr="00012C3F">
        <w:rPr>
          <w:rFonts w:eastAsia="Verdana" w:cs="Verdana"/>
          <w:sz w:val="20"/>
          <w:szCs w:val="20"/>
          <w:lang w:val="en-US"/>
        </w:rPr>
        <w:t xml:space="preserve"> “</w:t>
      </w:r>
      <w:r w:rsidRPr="00012C3F">
        <w:rPr>
          <w:rFonts w:eastAsia="Verdana" w:cs="Verdana"/>
          <w:sz w:val="20"/>
          <w:szCs w:val="20"/>
          <w:lang w:val="en-US"/>
        </w:rPr>
        <w:t>motions and pleadings brief</w:t>
      </w:r>
      <w:r w:rsidR="006C37C9" w:rsidRPr="00012C3F">
        <w:rPr>
          <w:rFonts w:eastAsia="Verdana" w:cs="Verdana"/>
          <w:sz w:val="20"/>
          <w:szCs w:val="20"/>
          <w:lang w:val="en-US"/>
        </w:rPr>
        <w:t xml:space="preserve">”). </w:t>
      </w:r>
      <w:r w:rsidRPr="00012C3F">
        <w:rPr>
          <w:rFonts w:eastAsia="Verdana" w:cs="Verdana"/>
          <w:sz w:val="20"/>
          <w:szCs w:val="20"/>
          <w:lang w:val="en-US"/>
        </w:rPr>
        <w:t>The representative</w:t>
      </w:r>
      <w:r w:rsidR="006C37C9" w:rsidRPr="00012C3F">
        <w:rPr>
          <w:rFonts w:eastAsia="Verdana" w:cs="Verdana"/>
          <w:sz w:val="20"/>
          <w:szCs w:val="20"/>
          <w:lang w:val="en-US"/>
        </w:rPr>
        <w:t xml:space="preserve"> </w:t>
      </w:r>
      <w:r w:rsidRPr="00012C3F">
        <w:rPr>
          <w:rFonts w:eastAsia="Verdana" w:cs="Verdana"/>
          <w:sz w:val="20"/>
          <w:szCs w:val="20"/>
          <w:lang w:val="en-US"/>
        </w:rPr>
        <w:t>agreed substantially with the arguments</w:t>
      </w:r>
      <w:r w:rsidR="001254DE" w:rsidRPr="00012C3F">
        <w:rPr>
          <w:rFonts w:eastAsia="Verdana" w:cs="Verdana"/>
          <w:sz w:val="20"/>
          <w:szCs w:val="20"/>
          <w:lang w:val="en-US"/>
        </w:rPr>
        <w:t xml:space="preserve"> of the </w:t>
      </w:r>
      <w:r w:rsidR="00A84CA0" w:rsidRPr="00012C3F">
        <w:rPr>
          <w:rFonts w:eastAsia="Verdana" w:cs="Verdana"/>
          <w:sz w:val="20"/>
          <w:szCs w:val="20"/>
          <w:lang w:val="en-US"/>
        </w:rPr>
        <w:lastRenderedPageBreak/>
        <w:t>Commission</w:t>
      </w:r>
      <w:r w:rsidR="005E5012" w:rsidRPr="00012C3F">
        <w:rPr>
          <w:rFonts w:eastAsia="Verdana" w:cs="Verdana"/>
          <w:sz w:val="20"/>
          <w:szCs w:val="20"/>
          <w:lang w:val="en-US"/>
        </w:rPr>
        <w:t xml:space="preserve"> and </w:t>
      </w:r>
      <w:r w:rsidR="00B257AF" w:rsidRPr="00012C3F">
        <w:rPr>
          <w:rFonts w:eastAsia="Verdana" w:cs="Verdana"/>
          <w:sz w:val="20"/>
          <w:szCs w:val="20"/>
          <w:lang w:val="en-US"/>
        </w:rPr>
        <w:t>asked</w:t>
      </w:r>
      <w:r w:rsidR="006C37C9" w:rsidRPr="00012C3F">
        <w:rPr>
          <w:rFonts w:eastAsia="Verdana" w:cs="Verdana"/>
          <w:sz w:val="20"/>
          <w:szCs w:val="20"/>
          <w:lang w:val="en-US"/>
        </w:rPr>
        <w:t xml:space="preserve">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00B257AF" w:rsidRPr="00012C3F">
        <w:rPr>
          <w:rFonts w:eastAsia="Verdana" w:cs="Verdana"/>
          <w:sz w:val="20"/>
          <w:szCs w:val="20"/>
          <w:lang w:val="en-US"/>
        </w:rPr>
        <w:t xml:space="preserve">to declare the State internationally responsible for the violation of the articles alleged by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6C37C9" w:rsidRPr="00012C3F">
        <w:rPr>
          <w:rFonts w:eastAsia="Verdana" w:cs="Verdana"/>
          <w:sz w:val="20"/>
          <w:szCs w:val="20"/>
          <w:lang w:val="en-US"/>
        </w:rPr>
        <w:t xml:space="preserve"> </w:t>
      </w:r>
      <w:r w:rsidR="00B257AF" w:rsidRPr="00012C3F">
        <w:rPr>
          <w:rFonts w:eastAsia="Verdana" w:cs="Verdana"/>
          <w:sz w:val="20"/>
          <w:szCs w:val="20"/>
          <w:lang w:val="en-US"/>
        </w:rPr>
        <w:t xml:space="preserve">and, in addition, for the violation of </w:t>
      </w:r>
      <w:r w:rsidR="001254DE" w:rsidRPr="00012C3F">
        <w:rPr>
          <w:rFonts w:eastAsia="Verdana" w:cs="Verdana"/>
          <w:sz w:val="20"/>
          <w:szCs w:val="20"/>
          <w:lang w:val="en-US"/>
        </w:rPr>
        <w:t>Articles</w:t>
      </w:r>
      <w:r w:rsidR="006C37C9" w:rsidRPr="00012C3F">
        <w:rPr>
          <w:rFonts w:eastAsia="Verdana" w:cs="Verdana"/>
          <w:sz w:val="20"/>
          <w:szCs w:val="20"/>
          <w:lang w:val="en-US"/>
        </w:rPr>
        <w:t xml:space="preserve"> 3, </w:t>
      </w:r>
      <w:r w:rsidR="00B257AF" w:rsidRPr="00012C3F">
        <w:rPr>
          <w:rFonts w:eastAsia="Verdana" w:cs="Verdana"/>
          <w:sz w:val="20"/>
          <w:szCs w:val="20"/>
          <w:lang w:val="en-US"/>
        </w:rPr>
        <w:t>5(2)</w:t>
      </w:r>
      <w:r w:rsidR="006C37C9" w:rsidRPr="00012C3F">
        <w:rPr>
          <w:rFonts w:eastAsia="Verdana" w:cs="Verdana"/>
          <w:sz w:val="20"/>
          <w:szCs w:val="20"/>
          <w:lang w:val="en-US"/>
        </w:rPr>
        <w:t>, 1</w:t>
      </w:r>
      <w:r w:rsidR="005E5012" w:rsidRPr="00012C3F">
        <w:rPr>
          <w:rFonts w:eastAsia="Verdana" w:cs="Verdana"/>
          <w:sz w:val="20"/>
          <w:szCs w:val="20"/>
          <w:lang w:val="en-US"/>
        </w:rPr>
        <w:t xml:space="preserve">1(1) and </w:t>
      </w:r>
      <w:r w:rsidR="006C37C9" w:rsidRPr="00012C3F">
        <w:rPr>
          <w:rFonts w:eastAsia="Verdana" w:cs="Verdana"/>
          <w:sz w:val="20"/>
          <w:szCs w:val="20"/>
          <w:lang w:val="en-US"/>
        </w:rPr>
        <w:t>2</w:t>
      </w:r>
      <w:r w:rsidR="00B257AF" w:rsidRPr="00012C3F">
        <w:rPr>
          <w:rFonts w:eastAsia="Verdana" w:cs="Verdana"/>
          <w:sz w:val="20"/>
          <w:szCs w:val="20"/>
          <w:lang w:val="en-US"/>
        </w:rPr>
        <w:t>5(2)(</w:t>
      </w:r>
      <w:r w:rsidR="006C37C9" w:rsidRPr="00012C3F">
        <w:rPr>
          <w:rFonts w:eastAsia="Verdana" w:cs="Verdana"/>
          <w:sz w:val="20"/>
          <w:szCs w:val="20"/>
          <w:lang w:val="en-US"/>
        </w:rPr>
        <w:t>a)</w:t>
      </w:r>
      <w:r w:rsidR="001254DE" w:rsidRPr="00012C3F">
        <w:rPr>
          <w:rFonts w:eastAsia="Verdana" w:cs="Verdana"/>
          <w:sz w:val="20"/>
          <w:szCs w:val="20"/>
          <w:lang w:val="en-US"/>
        </w:rPr>
        <w:t xml:space="preserve"> of the American Convention</w:t>
      </w:r>
      <w:r w:rsidR="006C37C9" w:rsidRPr="00012C3F">
        <w:rPr>
          <w:rFonts w:eastAsia="Verdana" w:cs="Verdana"/>
          <w:sz w:val="20"/>
          <w:szCs w:val="20"/>
          <w:lang w:val="en-US"/>
        </w:rPr>
        <w:t xml:space="preserve">, </w:t>
      </w:r>
      <w:r w:rsidR="00B257AF" w:rsidRPr="00012C3F">
        <w:rPr>
          <w:rFonts w:eastAsia="Verdana" w:cs="Verdana"/>
          <w:sz w:val="20"/>
          <w:szCs w:val="20"/>
          <w:lang w:val="en-US"/>
        </w:rPr>
        <w:t>in relation to</w:t>
      </w:r>
      <w:r w:rsidR="006C37C9" w:rsidRPr="00012C3F">
        <w:rPr>
          <w:rFonts w:eastAsia="Verdana" w:cs="Verdana"/>
          <w:sz w:val="20"/>
          <w:szCs w:val="20"/>
          <w:lang w:val="en-US"/>
        </w:rPr>
        <w:t xml:space="preserve"> </w:t>
      </w:r>
      <w:r w:rsidR="001254DE" w:rsidRPr="00012C3F">
        <w:rPr>
          <w:rFonts w:eastAsia="Verdana" w:cs="Verdana"/>
          <w:sz w:val="20"/>
          <w:szCs w:val="20"/>
          <w:lang w:val="en-US"/>
        </w:rPr>
        <w:t>Article</w:t>
      </w:r>
      <w:r w:rsidR="006C37C9" w:rsidRPr="00012C3F">
        <w:rPr>
          <w:rFonts w:eastAsia="Verdana" w:cs="Verdana"/>
          <w:sz w:val="20"/>
          <w:szCs w:val="20"/>
          <w:lang w:val="en-US"/>
        </w:rPr>
        <w:t xml:space="preserve"> </w:t>
      </w:r>
      <w:r w:rsidR="005E5012" w:rsidRPr="00012C3F">
        <w:rPr>
          <w:rFonts w:eastAsia="Verdana" w:cs="Verdana"/>
          <w:sz w:val="20"/>
          <w:szCs w:val="20"/>
          <w:lang w:val="en-US"/>
        </w:rPr>
        <w:t>1(1)</w:t>
      </w:r>
      <w:r w:rsidR="001254DE" w:rsidRPr="00012C3F">
        <w:rPr>
          <w:rFonts w:eastAsia="Verdana" w:cs="Verdana"/>
          <w:sz w:val="20"/>
          <w:szCs w:val="20"/>
          <w:lang w:val="en-US"/>
        </w:rPr>
        <w:t xml:space="preserve"> of the Convention</w:t>
      </w:r>
      <w:r w:rsidR="0095689A" w:rsidRPr="00012C3F">
        <w:rPr>
          <w:rFonts w:eastAsia="Verdana" w:cs="Verdana"/>
          <w:sz w:val="20"/>
          <w:szCs w:val="20"/>
          <w:lang w:val="en-US"/>
        </w:rPr>
        <w:t>,</w:t>
      </w:r>
      <w:r w:rsidR="006C37C9" w:rsidRPr="00012C3F">
        <w:rPr>
          <w:rFonts w:eastAsia="Verdana" w:cs="Verdana"/>
          <w:sz w:val="20"/>
          <w:szCs w:val="20"/>
          <w:lang w:val="en-US"/>
        </w:rPr>
        <w:t xml:space="preserve"> </w:t>
      </w:r>
      <w:r w:rsidR="005E5012" w:rsidRPr="00012C3F">
        <w:rPr>
          <w:rFonts w:eastAsia="Verdana" w:cs="Verdana"/>
          <w:sz w:val="20"/>
          <w:szCs w:val="20"/>
          <w:lang w:val="en-US"/>
        </w:rPr>
        <w:t>to the detriment of</w:t>
      </w:r>
      <w:r w:rsidR="006C37C9" w:rsidRPr="00012C3F">
        <w:rPr>
          <w:rFonts w:eastAsia="Verdana" w:cs="Verdana"/>
          <w:sz w:val="20"/>
          <w:szCs w:val="20"/>
          <w:lang w:val="en-US"/>
        </w:rPr>
        <w:t xml:space="preserve"> </w:t>
      </w:r>
      <w:r w:rsidR="000E1C11" w:rsidRPr="00012C3F">
        <w:rPr>
          <w:rFonts w:eastAsia="Verdana" w:cs="Verdana"/>
          <w:sz w:val="20"/>
          <w:szCs w:val="20"/>
          <w:lang w:val="en-US"/>
        </w:rPr>
        <w:t>I.V.</w:t>
      </w:r>
      <w:r w:rsidR="006C37C9" w:rsidRPr="00012C3F">
        <w:rPr>
          <w:rFonts w:eastAsia="Verdana" w:cs="Verdana"/>
          <w:sz w:val="20"/>
          <w:szCs w:val="20"/>
          <w:lang w:val="en-US"/>
        </w:rPr>
        <w:t xml:space="preserve">; </w:t>
      </w:r>
      <w:r w:rsidR="00B257AF" w:rsidRPr="00012C3F">
        <w:rPr>
          <w:rFonts w:eastAsia="Verdana" w:cs="Verdana"/>
          <w:sz w:val="20"/>
          <w:szCs w:val="20"/>
          <w:lang w:val="en-US"/>
        </w:rPr>
        <w:t>and</w:t>
      </w:r>
      <w:r w:rsidR="006C37C9" w:rsidRPr="00012C3F">
        <w:rPr>
          <w:rFonts w:eastAsia="Verdana" w:cs="Verdana"/>
          <w:sz w:val="20"/>
          <w:szCs w:val="20"/>
          <w:lang w:val="en-US"/>
        </w:rPr>
        <w:t xml:space="preserve"> </w:t>
      </w:r>
      <w:r w:rsidR="001254DE" w:rsidRPr="00012C3F">
        <w:rPr>
          <w:rFonts w:eastAsia="Verdana" w:cs="Verdana"/>
          <w:sz w:val="20"/>
          <w:szCs w:val="20"/>
          <w:lang w:val="en-US"/>
        </w:rPr>
        <w:t>Article</w:t>
      </w:r>
      <w:r w:rsidR="006C37C9" w:rsidRPr="00012C3F">
        <w:rPr>
          <w:rFonts w:eastAsia="Verdana" w:cs="Verdana"/>
          <w:sz w:val="20"/>
          <w:szCs w:val="20"/>
          <w:lang w:val="en-US"/>
        </w:rPr>
        <w:t xml:space="preserve"> 5</w:t>
      </w:r>
      <w:r w:rsidR="001254DE" w:rsidRPr="00012C3F">
        <w:rPr>
          <w:rFonts w:eastAsia="Verdana" w:cs="Verdana"/>
          <w:sz w:val="20"/>
          <w:szCs w:val="20"/>
          <w:lang w:val="en-US"/>
        </w:rPr>
        <w:t xml:space="preserve"> of the Convention</w:t>
      </w:r>
      <w:r w:rsidR="006C37C9" w:rsidRPr="00012C3F">
        <w:rPr>
          <w:rFonts w:eastAsia="Verdana" w:cs="Verdana"/>
          <w:sz w:val="20"/>
          <w:szCs w:val="20"/>
          <w:lang w:val="en-US"/>
        </w:rPr>
        <w:t xml:space="preserve">, </w:t>
      </w:r>
      <w:r w:rsidR="00B257AF" w:rsidRPr="00012C3F">
        <w:rPr>
          <w:rFonts w:eastAsia="Verdana" w:cs="Verdana"/>
          <w:sz w:val="20"/>
          <w:szCs w:val="20"/>
          <w:lang w:val="en-US"/>
        </w:rPr>
        <w:t>in relation to</w:t>
      </w:r>
      <w:r w:rsidR="006C37C9" w:rsidRPr="00012C3F">
        <w:rPr>
          <w:rFonts w:eastAsia="Verdana" w:cs="Verdana"/>
          <w:sz w:val="20"/>
          <w:szCs w:val="20"/>
          <w:lang w:val="en-US"/>
        </w:rPr>
        <w:t xml:space="preserve"> </w:t>
      </w:r>
      <w:r w:rsidR="001254DE" w:rsidRPr="00012C3F">
        <w:rPr>
          <w:rFonts w:eastAsia="Verdana" w:cs="Verdana"/>
          <w:sz w:val="20"/>
          <w:szCs w:val="20"/>
          <w:lang w:val="en-US"/>
        </w:rPr>
        <w:t>Articles</w:t>
      </w:r>
      <w:r w:rsidR="006C37C9" w:rsidRPr="00012C3F">
        <w:rPr>
          <w:rFonts w:eastAsia="Verdana" w:cs="Verdana"/>
          <w:sz w:val="20"/>
          <w:szCs w:val="20"/>
          <w:lang w:val="en-US"/>
        </w:rPr>
        <w:t xml:space="preserve"> 19</w:t>
      </w:r>
      <w:r w:rsidR="005E5012" w:rsidRPr="00012C3F">
        <w:rPr>
          <w:rFonts w:eastAsia="Verdana" w:cs="Verdana"/>
          <w:sz w:val="20"/>
          <w:szCs w:val="20"/>
          <w:lang w:val="en-US"/>
        </w:rPr>
        <w:t xml:space="preserve"> and 1(1)</w:t>
      </w:r>
      <w:r w:rsidR="006C37C9" w:rsidRPr="00012C3F">
        <w:rPr>
          <w:rFonts w:eastAsia="Verdana" w:cs="Verdana"/>
          <w:sz w:val="20"/>
          <w:szCs w:val="20"/>
          <w:lang w:val="en-US"/>
        </w:rPr>
        <w:t xml:space="preserve"> </w:t>
      </w:r>
      <w:r w:rsidR="005E5012" w:rsidRPr="00012C3F">
        <w:rPr>
          <w:rFonts w:eastAsia="Verdana" w:cs="Verdana"/>
          <w:sz w:val="20"/>
          <w:szCs w:val="20"/>
          <w:lang w:val="en-US"/>
        </w:rPr>
        <w:t>of this instrument</w:t>
      </w:r>
      <w:r w:rsidR="006C37C9" w:rsidRPr="00012C3F">
        <w:rPr>
          <w:rFonts w:eastAsia="Verdana" w:cs="Verdana"/>
          <w:sz w:val="20"/>
          <w:szCs w:val="20"/>
          <w:lang w:val="en-US"/>
        </w:rPr>
        <w:t xml:space="preserve">, </w:t>
      </w:r>
      <w:r w:rsidR="005E5012" w:rsidRPr="00012C3F">
        <w:rPr>
          <w:rFonts w:eastAsia="Verdana" w:cs="Verdana"/>
          <w:sz w:val="20"/>
          <w:szCs w:val="20"/>
          <w:lang w:val="en-US"/>
        </w:rPr>
        <w:t>to the detriment of</w:t>
      </w:r>
      <w:r w:rsidR="006C37C9" w:rsidRPr="00012C3F">
        <w:rPr>
          <w:rFonts w:eastAsia="Verdana" w:cs="Verdana"/>
          <w:sz w:val="20"/>
          <w:szCs w:val="20"/>
          <w:lang w:val="en-US"/>
        </w:rPr>
        <w:t xml:space="preserve"> </w:t>
      </w:r>
      <w:r w:rsidR="000E1C11" w:rsidRPr="00012C3F">
        <w:rPr>
          <w:rFonts w:eastAsia="Verdana" w:cs="Verdana"/>
          <w:sz w:val="20"/>
          <w:szCs w:val="20"/>
          <w:lang w:val="en-US"/>
        </w:rPr>
        <w:t>N.V.</w:t>
      </w:r>
      <w:r w:rsidR="005E5012" w:rsidRPr="00012C3F">
        <w:rPr>
          <w:rFonts w:eastAsia="Verdana" w:cs="Verdana"/>
          <w:sz w:val="20"/>
          <w:szCs w:val="20"/>
          <w:lang w:val="en-US"/>
        </w:rPr>
        <w:t xml:space="preserve"> and </w:t>
      </w:r>
      <w:r w:rsidR="006C37C9" w:rsidRPr="00012C3F">
        <w:rPr>
          <w:rFonts w:eastAsia="Verdana" w:cs="Verdana"/>
          <w:sz w:val="20"/>
          <w:szCs w:val="20"/>
          <w:lang w:val="en-US"/>
        </w:rPr>
        <w:t>L.A.</w:t>
      </w:r>
      <w:r w:rsidR="00B257AF" w:rsidRPr="00012C3F">
        <w:rPr>
          <w:rFonts w:eastAsia="Verdana" w:cs="Verdana"/>
          <w:sz w:val="20"/>
          <w:szCs w:val="20"/>
          <w:lang w:val="en-US"/>
        </w:rPr>
        <w:t>,</w:t>
      </w:r>
      <w:r w:rsidR="006C37C9" w:rsidRPr="00012C3F">
        <w:rPr>
          <w:rFonts w:eastAsia="Verdana" w:cs="Verdana"/>
          <w:sz w:val="20"/>
          <w:szCs w:val="20"/>
          <w:vertAlign w:val="superscript"/>
          <w:lang w:val="en-US"/>
        </w:rPr>
        <w:footnoteReference w:id="5"/>
      </w:r>
      <w:r w:rsidR="006C37C9" w:rsidRPr="00012C3F">
        <w:rPr>
          <w:rFonts w:eastAsia="Verdana" w:cs="Verdana"/>
          <w:sz w:val="20"/>
          <w:szCs w:val="20"/>
          <w:lang w:val="en-US"/>
        </w:rPr>
        <w:t xml:space="preserve"> </w:t>
      </w:r>
      <w:r w:rsidR="00B257AF" w:rsidRPr="00012C3F">
        <w:rPr>
          <w:rFonts w:eastAsia="Verdana" w:cs="Verdana"/>
          <w:sz w:val="20"/>
          <w:szCs w:val="20"/>
          <w:lang w:val="en-US"/>
        </w:rPr>
        <w:t>daughters of</w:t>
      </w:r>
      <w:r w:rsidR="006C37C9" w:rsidRPr="00012C3F">
        <w:rPr>
          <w:rFonts w:eastAsia="Verdana" w:cs="Verdana"/>
          <w:sz w:val="20"/>
          <w:szCs w:val="20"/>
          <w:lang w:val="en-US"/>
        </w:rPr>
        <w:t xml:space="preserve"> </w:t>
      </w:r>
      <w:r w:rsidR="000E1C11" w:rsidRPr="00012C3F">
        <w:rPr>
          <w:rFonts w:eastAsia="Verdana" w:cs="Verdana"/>
          <w:sz w:val="20"/>
          <w:szCs w:val="20"/>
          <w:lang w:val="en-US"/>
        </w:rPr>
        <w:t>I.V.</w:t>
      </w:r>
      <w:r w:rsidR="006C37C9" w:rsidRPr="00012C3F" w:rsidDel="00473614">
        <w:rPr>
          <w:rFonts w:eastAsia="Verdana" w:cs="Verdana"/>
          <w:sz w:val="20"/>
          <w:szCs w:val="20"/>
          <w:lang w:val="en-US"/>
        </w:rPr>
        <w:t xml:space="preserve"> </w:t>
      </w:r>
      <w:r w:rsidR="00B257AF" w:rsidRPr="00012C3F">
        <w:rPr>
          <w:rFonts w:eastAsia="Verdana" w:cs="Verdana"/>
          <w:sz w:val="20"/>
          <w:szCs w:val="20"/>
          <w:lang w:val="en-US"/>
        </w:rPr>
        <w:t xml:space="preserve">Furthermore, through her representative, </w:t>
      </w:r>
      <w:r w:rsidR="00E00902" w:rsidRPr="00012C3F">
        <w:rPr>
          <w:rFonts w:eastAsia="Verdana" w:cs="Verdana"/>
          <w:sz w:val="20"/>
          <w:szCs w:val="20"/>
          <w:lang w:val="en-US"/>
        </w:rPr>
        <w:t>the presumed victim</w:t>
      </w:r>
      <w:r w:rsidR="00B257AF" w:rsidRPr="00012C3F">
        <w:rPr>
          <w:rFonts w:eastAsia="Verdana" w:cs="Verdana"/>
          <w:sz w:val="20"/>
          <w:szCs w:val="20"/>
          <w:lang w:val="en-US"/>
        </w:rPr>
        <w:t xml:space="preserve"> asked to be granted access to the Victims’ Legal Assistance Fund</w:t>
      </w:r>
      <w:r w:rsidR="001254DE" w:rsidRPr="00012C3F">
        <w:rPr>
          <w:rFonts w:eastAsia="Verdana" w:cs="Verdana"/>
          <w:sz w:val="20"/>
          <w:szCs w:val="20"/>
          <w:lang w:val="en-US"/>
        </w:rPr>
        <w:t xml:space="preserve"> of the Inter-American Court</w:t>
      </w:r>
      <w:r w:rsidR="006C37C9" w:rsidRPr="00012C3F">
        <w:rPr>
          <w:rFonts w:eastAsia="Verdana" w:cs="Verdana"/>
          <w:sz w:val="20"/>
          <w:szCs w:val="20"/>
          <w:lang w:val="en-US"/>
        </w:rPr>
        <w:t xml:space="preserve"> (</w:t>
      </w:r>
      <w:r w:rsidR="001254DE" w:rsidRPr="00012C3F">
        <w:rPr>
          <w:rFonts w:eastAsia="Verdana" w:cs="Verdana"/>
          <w:sz w:val="20"/>
          <w:szCs w:val="20"/>
          <w:lang w:val="en-US"/>
        </w:rPr>
        <w:t>hereinafter</w:t>
      </w:r>
      <w:r w:rsidR="006C37C9" w:rsidRPr="00012C3F">
        <w:rPr>
          <w:rFonts w:eastAsia="Verdana" w:cs="Verdana"/>
          <w:sz w:val="20"/>
          <w:szCs w:val="20"/>
          <w:lang w:val="en-US"/>
        </w:rPr>
        <w:t xml:space="preserve"> “</w:t>
      </w:r>
      <w:r w:rsidR="00B257AF" w:rsidRPr="00012C3F">
        <w:rPr>
          <w:rFonts w:eastAsia="Verdana" w:cs="Verdana"/>
          <w:sz w:val="20"/>
          <w:szCs w:val="20"/>
          <w:lang w:val="en-US"/>
        </w:rPr>
        <w:t>the Court’s Legal Assistance Fund</w:t>
      </w:r>
      <w:r w:rsidR="006C37C9" w:rsidRPr="00012C3F">
        <w:rPr>
          <w:rFonts w:eastAsia="Verdana" w:cs="Verdana"/>
          <w:sz w:val="20"/>
          <w:szCs w:val="20"/>
          <w:lang w:val="en-US"/>
        </w:rPr>
        <w:t>” o</w:t>
      </w:r>
      <w:r w:rsidR="00B257AF" w:rsidRPr="00012C3F">
        <w:rPr>
          <w:rFonts w:eastAsia="Verdana" w:cs="Verdana"/>
          <w:sz w:val="20"/>
          <w:szCs w:val="20"/>
          <w:lang w:val="en-US"/>
        </w:rPr>
        <w:t>r “the Fund</w:t>
      </w:r>
      <w:r w:rsidR="006C37C9" w:rsidRPr="00012C3F">
        <w:rPr>
          <w:rFonts w:eastAsia="Verdana" w:cs="Verdana"/>
          <w:sz w:val="20"/>
          <w:szCs w:val="20"/>
          <w:lang w:val="en-US"/>
        </w:rPr>
        <w:t xml:space="preserve">”). </w:t>
      </w:r>
      <w:r w:rsidR="00B257AF" w:rsidRPr="00012C3F">
        <w:rPr>
          <w:rFonts w:eastAsia="Verdana" w:cs="Verdana"/>
          <w:sz w:val="20"/>
          <w:szCs w:val="20"/>
          <w:lang w:val="en-US"/>
        </w:rPr>
        <w:t xml:space="preserve">Lastly, she asked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00B257AF" w:rsidRPr="00012C3F">
        <w:rPr>
          <w:rFonts w:eastAsia="Verdana" w:cs="Verdana"/>
          <w:sz w:val="20"/>
          <w:szCs w:val="20"/>
          <w:lang w:val="en-US"/>
        </w:rPr>
        <w:t>to require the State to adopt diverse measures of reparation and to reimburse certain costs and expenses.</w:t>
      </w:r>
    </w:p>
    <w:p w14:paraId="0E91131B" w14:textId="77777777" w:rsidR="006C37C9" w:rsidRPr="00012C3F" w:rsidRDefault="006C37C9" w:rsidP="00095E76">
      <w:pPr>
        <w:tabs>
          <w:tab w:val="left" w:pos="720"/>
        </w:tabs>
        <w:spacing w:before="4" w:line="240" w:lineRule="auto"/>
        <w:rPr>
          <w:sz w:val="20"/>
          <w:szCs w:val="20"/>
          <w:lang w:val="en-US"/>
        </w:rPr>
      </w:pPr>
    </w:p>
    <w:p w14:paraId="6E96ABD4" w14:textId="77777777" w:rsidR="006C37C9" w:rsidRPr="00012C3F" w:rsidRDefault="00B257AF" w:rsidP="00095E76">
      <w:pPr>
        <w:numPr>
          <w:ilvl w:val="0"/>
          <w:numId w:val="5"/>
        </w:numPr>
        <w:tabs>
          <w:tab w:val="left" w:pos="720"/>
          <w:tab w:val="num" w:pos="12305"/>
        </w:tabs>
        <w:spacing w:line="240" w:lineRule="auto"/>
        <w:ind w:left="0" w:firstLine="0"/>
        <w:rPr>
          <w:rFonts w:eastAsia="Verdana" w:cs="Verdana"/>
          <w:i/>
          <w:sz w:val="20"/>
          <w:szCs w:val="20"/>
          <w:lang w:val="en-US"/>
        </w:rPr>
      </w:pPr>
      <w:r w:rsidRPr="00012C3F">
        <w:rPr>
          <w:rFonts w:eastAsia="Verdana" w:cs="Verdana"/>
          <w:i/>
          <w:sz w:val="20"/>
          <w:szCs w:val="20"/>
          <w:lang w:val="en-US"/>
        </w:rPr>
        <w:t>Answering brief</w:t>
      </w:r>
      <w:r w:rsidR="006C37C9" w:rsidRPr="00012C3F">
        <w:rPr>
          <w:rFonts w:eastAsia="Verdana" w:cs="Verdana"/>
          <w:i/>
          <w:sz w:val="20"/>
          <w:szCs w:val="20"/>
          <w:lang w:val="en-US"/>
        </w:rPr>
        <w:t xml:space="preserve">. </w:t>
      </w:r>
      <w:r w:rsidRPr="00012C3F">
        <w:rPr>
          <w:rFonts w:eastAsia="Verdana" w:cs="Verdana"/>
          <w:sz w:val="20"/>
          <w:szCs w:val="20"/>
          <w:lang w:val="en-US"/>
        </w:rPr>
        <w:t>On December 16,</w:t>
      </w:r>
      <w:r w:rsidR="006C37C9" w:rsidRPr="00012C3F">
        <w:rPr>
          <w:rFonts w:eastAsia="Verdana" w:cs="Verdana"/>
          <w:sz w:val="20"/>
          <w:szCs w:val="20"/>
          <w:lang w:val="en-US"/>
        </w:rPr>
        <w:t xml:space="preserve"> 2015</w:t>
      </w:r>
      <w:r w:rsidRPr="00012C3F">
        <w:rPr>
          <w:rFonts w:eastAsia="Verdana" w:cs="Verdana"/>
          <w:sz w:val="20"/>
          <w:szCs w:val="20"/>
          <w:lang w:val="en-US"/>
        </w:rPr>
        <w:t>,</w:t>
      </w:r>
      <w:r w:rsidR="006C37C9" w:rsidRPr="00012C3F">
        <w:rPr>
          <w:rFonts w:eastAsia="Verdana" w:cs="Verdana"/>
          <w:sz w:val="20"/>
          <w:szCs w:val="20"/>
          <w:lang w:val="en-US"/>
        </w:rPr>
        <w:t xml:space="preserve"> </w:t>
      </w:r>
      <w:r w:rsidR="00A84CA0" w:rsidRPr="00012C3F">
        <w:rPr>
          <w:rFonts w:eastAsia="Verdana" w:cs="Verdana"/>
          <w:sz w:val="20"/>
          <w:szCs w:val="20"/>
          <w:lang w:val="en-US"/>
        </w:rPr>
        <w:t>the State</w:t>
      </w:r>
      <w:r w:rsidR="00EB3F3D" w:rsidRPr="00012C3F">
        <w:rPr>
          <w:rStyle w:val="Refdenotaalpie"/>
          <w:rFonts w:eastAsia="Verdana" w:cs="Verdana"/>
          <w:sz w:val="20"/>
          <w:szCs w:val="20"/>
          <w:lang w:val="en-US"/>
        </w:rPr>
        <w:footnoteReference w:id="6"/>
      </w:r>
      <w:r w:rsidR="006C37C9" w:rsidRPr="00012C3F">
        <w:rPr>
          <w:rFonts w:eastAsia="Verdana" w:cs="Verdana"/>
          <w:sz w:val="20"/>
          <w:szCs w:val="20"/>
          <w:lang w:val="en-US"/>
        </w:rPr>
        <w:t xml:space="preserve"> </w:t>
      </w:r>
      <w:r w:rsidRPr="00012C3F">
        <w:rPr>
          <w:rFonts w:eastAsia="Verdana" w:cs="Verdana"/>
          <w:sz w:val="20"/>
          <w:szCs w:val="20"/>
          <w:lang w:val="en-US"/>
        </w:rPr>
        <w:t>submitted to</w:t>
      </w:r>
      <w:r w:rsidR="006C37C9" w:rsidRPr="00012C3F">
        <w:rPr>
          <w:rFonts w:eastAsia="Verdana" w:cs="Verdana"/>
          <w:sz w:val="20"/>
          <w:szCs w:val="20"/>
          <w:lang w:val="en-US"/>
        </w:rPr>
        <w:t xml:space="preserve"> </w:t>
      </w:r>
      <w:r w:rsidR="001254DE" w:rsidRPr="00012C3F">
        <w:rPr>
          <w:rFonts w:eastAsia="Verdana" w:cs="Verdana"/>
          <w:sz w:val="20"/>
          <w:szCs w:val="20"/>
          <w:lang w:val="en-US"/>
        </w:rPr>
        <w:t>the Court</w:t>
      </w:r>
      <w:r w:rsidR="006C37C9" w:rsidRPr="00012C3F">
        <w:rPr>
          <w:rFonts w:eastAsia="Verdana" w:cs="Verdana"/>
          <w:sz w:val="20"/>
          <w:szCs w:val="20"/>
          <w:lang w:val="en-US"/>
        </w:rPr>
        <w:t xml:space="preserve"> </w:t>
      </w:r>
      <w:r w:rsidRPr="00012C3F">
        <w:rPr>
          <w:rFonts w:eastAsia="Verdana" w:cs="Verdana"/>
          <w:sz w:val="20"/>
          <w:szCs w:val="20"/>
          <w:lang w:val="en-US"/>
        </w:rPr>
        <w:t>its brief</w:t>
      </w:r>
      <w:r w:rsidR="006C37C9" w:rsidRPr="00012C3F">
        <w:rPr>
          <w:rFonts w:eastAsia="Verdana" w:cs="Verdana"/>
          <w:sz w:val="20"/>
          <w:szCs w:val="20"/>
          <w:lang w:val="en-US"/>
        </w:rPr>
        <w:t xml:space="preserve"> </w:t>
      </w:r>
      <w:r w:rsidRPr="00012C3F">
        <w:rPr>
          <w:rFonts w:eastAsia="Calibri" w:cs="Arial"/>
          <w:sz w:val="20"/>
          <w:szCs w:val="20"/>
          <w:lang w:val="en-US"/>
        </w:rPr>
        <w:t xml:space="preserve">answering the submission of the </w:t>
      </w:r>
      <w:r w:rsidR="00E00902" w:rsidRPr="00012C3F">
        <w:rPr>
          <w:rFonts w:eastAsia="Verdana" w:cs="Verdana"/>
          <w:sz w:val="20"/>
          <w:szCs w:val="20"/>
          <w:lang w:val="en-US"/>
        </w:rPr>
        <w:t>Merits Report</w:t>
      </w:r>
      <w:r w:rsidR="001254DE" w:rsidRPr="00012C3F">
        <w:rPr>
          <w:rFonts w:eastAsia="Verdana" w:cs="Verdana"/>
          <w:sz w:val="20"/>
          <w:szCs w:val="20"/>
          <w:lang w:val="en-US"/>
        </w:rPr>
        <w:t xml:space="preserve"> of the Inter-American </w:t>
      </w:r>
      <w:r w:rsidR="00A84CA0" w:rsidRPr="00012C3F">
        <w:rPr>
          <w:rFonts w:eastAsia="Verdana" w:cs="Verdana"/>
          <w:sz w:val="20"/>
          <w:szCs w:val="20"/>
          <w:lang w:val="en-US"/>
        </w:rPr>
        <w:t>Commission</w:t>
      </w:r>
      <w:r w:rsidR="001254DE" w:rsidRPr="00012C3F">
        <w:rPr>
          <w:rFonts w:eastAsia="Verdana" w:cs="Verdana"/>
          <w:sz w:val="20"/>
          <w:szCs w:val="20"/>
          <w:lang w:val="en-US"/>
        </w:rPr>
        <w:t xml:space="preserve"> on Human Rights</w:t>
      </w:r>
      <w:r w:rsidR="005E5012" w:rsidRPr="00012C3F">
        <w:rPr>
          <w:rFonts w:eastAsia="Verdana" w:cs="Verdana"/>
          <w:sz w:val="20"/>
          <w:szCs w:val="20"/>
          <w:lang w:val="en-US"/>
        </w:rPr>
        <w:t xml:space="preserve"> and </w:t>
      </w:r>
      <w:r w:rsidRPr="00012C3F">
        <w:rPr>
          <w:rFonts w:eastAsia="Verdana" w:cs="Verdana"/>
          <w:sz w:val="20"/>
          <w:szCs w:val="20"/>
          <w:lang w:val="en-US"/>
        </w:rPr>
        <w:t xml:space="preserve">the brief </w:t>
      </w:r>
      <w:r w:rsidR="00972ACF" w:rsidRPr="00012C3F">
        <w:rPr>
          <w:rFonts w:eastAsia="Verdana" w:cs="Verdana"/>
          <w:sz w:val="20"/>
          <w:szCs w:val="20"/>
          <w:lang w:val="en-US"/>
        </w:rPr>
        <w:t>with motions, pleadings and evidence of the representative</w:t>
      </w:r>
      <w:r w:rsidR="006C37C9" w:rsidRPr="00012C3F">
        <w:rPr>
          <w:rFonts w:eastAsia="Verdana" w:cs="Verdana"/>
          <w:sz w:val="20"/>
          <w:szCs w:val="20"/>
          <w:lang w:val="en-US"/>
        </w:rPr>
        <w:t xml:space="preserve"> (</w:t>
      </w:r>
      <w:r w:rsidR="001254DE" w:rsidRPr="00012C3F">
        <w:rPr>
          <w:rFonts w:eastAsia="Verdana" w:cs="Verdana"/>
          <w:sz w:val="20"/>
          <w:szCs w:val="20"/>
          <w:lang w:val="en-US"/>
        </w:rPr>
        <w:t>hereinafter</w:t>
      </w:r>
      <w:r w:rsidR="006C37C9" w:rsidRPr="00012C3F">
        <w:rPr>
          <w:rFonts w:eastAsia="Verdana" w:cs="Verdana"/>
          <w:sz w:val="20"/>
          <w:szCs w:val="20"/>
          <w:lang w:val="en-US"/>
        </w:rPr>
        <w:t xml:space="preserve"> “</w:t>
      </w:r>
      <w:r w:rsidRPr="00012C3F">
        <w:rPr>
          <w:rFonts w:eastAsia="Verdana" w:cs="Verdana"/>
          <w:sz w:val="20"/>
          <w:szCs w:val="20"/>
          <w:lang w:val="en-US"/>
        </w:rPr>
        <w:t>answering brief</w:t>
      </w:r>
      <w:r w:rsidR="006C37C9" w:rsidRPr="00012C3F">
        <w:rPr>
          <w:rFonts w:eastAsia="Verdana" w:cs="Verdana"/>
          <w:sz w:val="20"/>
          <w:szCs w:val="20"/>
          <w:lang w:val="en-US"/>
        </w:rPr>
        <w:t xml:space="preserve">”). </w:t>
      </w:r>
      <w:r w:rsidRPr="00012C3F">
        <w:rPr>
          <w:rFonts w:eastAsia="Verdana" w:cs="Verdana"/>
          <w:sz w:val="20"/>
          <w:szCs w:val="20"/>
          <w:lang w:val="en-US"/>
        </w:rPr>
        <w:t xml:space="preserve">In its brief, </w:t>
      </w:r>
      <w:r w:rsidR="00A84CA0" w:rsidRPr="00012C3F">
        <w:rPr>
          <w:rFonts w:eastAsia="Verdana" w:cs="Verdana"/>
          <w:sz w:val="20"/>
          <w:szCs w:val="20"/>
          <w:lang w:val="en-US"/>
        </w:rPr>
        <w:t>the State</w:t>
      </w:r>
      <w:r w:rsidR="006C37C9" w:rsidRPr="00012C3F">
        <w:rPr>
          <w:rFonts w:eastAsia="Verdana" w:cs="Verdana"/>
          <w:sz w:val="20"/>
          <w:szCs w:val="20"/>
          <w:lang w:val="en-US"/>
        </w:rPr>
        <w:t xml:space="preserve"> </w:t>
      </w:r>
      <w:r w:rsidRPr="00012C3F">
        <w:rPr>
          <w:rFonts w:eastAsia="Verdana" w:cs="Verdana"/>
          <w:sz w:val="20"/>
          <w:szCs w:val="20"/>
          <w:lang w:val="en-US"/>
        </w:rPr>
        <w:t>filed preliminary object</w:t>
      </w:r>
      <w:r w:rsidR="0095689A" w:rsidRPr="00012C3F">
        <w:rPr>
          <w:rFonts w:eastAsia="Verdana" w:cs="Verdana"/>
          <w:sz w:val="20"/>
          <w:szCs w:val="20"/>
          <w:lang w:val="en-US"/>
        </w:rPr>
        <w:t>ion</w:t>
      </w:r>
      <w:r w:rsidRPr="00012C3F">
        <w:rPr>
          <w:rFonts w:eastAsia="Verdana" w:cs="Verdana"/>
          <w:sz w:val="20"/>
          <w:szCs w:val="20"/>
          <w:lang w:val="en-US"/>
        </w:rPr>
        <w:t>s</w:t>
      </w:r>
      <w:r w:rsidR="0095689A" w:rsidRPr="00012C3F">
        <w:rPr>
          <w:rFonts w:eastAsia="Verdana" w:cs="Verdana"/>
          <w:sz w:val="20"/>
          <w:szCs w:val="20"/>
          <w:lang w:val="en-US"/>
        </w:rPr>
        <w:t xml:space="preserve"> on</w:t>
      </w:r>
      <w:r w:rsidRPr="00012C3F">
        <w:rPr>
          <w:rFonts w:eastAsia="Verdana" w:cs="Verdana"/>
          <w:sz w:val="20"/>
          <w:szCs w:val="20"/>
          <w:lang w:val="en-US"/>
        </w:rPr>
        <w:t xml:space="preserve"> the alleged “lack of </w:t>
      </w:r>
      <w:r w:rsidR="00D24EFE">
        <w:rPr>
          <w:rFonts w:eastAsia="Verdana" w:cs="Verdana"/>
          <w:sz w:val="20"/>
          <w:szCs w:val="20"/>
          <w:lang w:val="en-US"/>
        </w:rPr>
        <w:t xml:space="preserve">jurisdiction </w:t>
      </w:r>
      <w:r w:rsidR="00D24EFE" w:rsidRPr="00D24EFE">
        <w:rPr>
          <w:rFonts w:eastAsia="Verdana" w:cs="Verdana"/>
          <w:i/>
          <w:iCs/>
          <w:sz w:val="20"/>
          <w:szCs w:val="20"/>
          <w:lang w:val="en-US"/>
        </w:rPr>
        <w:t>ratione loci</w:t>
      </w:r>
      <w:r w:rsidR="006C37C9" w:rsidRPr="00012C3F">
        <w:rPr>
          <w:rFonts w:eastAsia="Verdana" w:cs="Verdana"/>
          <w:sz w:val="20"/>
          <w:szCs w:val="20"/>
          <w:lang w:val="en-US"/>
        </w:rPr>
        <w:t>”</w:t>
      </w:r>
      <w:r w:rsidR="005E5012" w:rsidRPr="00012C3F">
        <w:rPr>
          <w:rFonts w:eastAsia="Verdana" w:cs="Verdana"/>
          <w:sz w:val="20"/>
          <w:szCs w:val="20"/>
          <w:lang w:val="en-US"/>
        </w:rPr>
        <w:t xml:space="preserve"> and </w:t>
      </w:r>
      <w:r w:rsidRPr="00012C3F">
        <w:rPr>
          <w:rFonts w:eastAsia="Verdana" w:cs="Verdana"/>
          <w:sz w:val="20"/>
          <w:szCs w:val="20"/>
          <w:lang w:val="en-US"/>
        </w:rPr>
        <w:t>the presumed “failure to exhaust domestic remedies.”</w:t>
      </w:r>
    </w:p>
    <w:p w14:paraId="254AC6A0" w14:textId="77777777" w:rsidR="006C37C9" w:rsidRPr="00012C3F" w:rsidRDefault="006C37C9" w:rsidP="00095E76">
      <w:pPr>
        <w:tabs>
          <w:tab w:val="left" w:pos="720"/>
        </w:tabs>
        <w:spacing w:before="4" w:line="240" w:lineRule="auto"/>
        <w:rPr>
          <w:rFonts w:eastAsia="Verdana" w:cs="Verdana"/>
          <w:sz w:val="20"/>
          <w:szCs w:val="20"/>
          <w:lang w:val="en-US"/>
        </w:rPr>
      </w:pPr>
    </w:p>
    <w:p w14:paraId="40B29D19" w14:textId="77777777" w:rsidR="006C37C9" w:rsidRPr="00012C3F" w:rsidRDefault="00B257AF" w:rsidP="00095E76">
      <w:pPr>
        <w:numPr>
          <w:ilvl w:val="0"/>
          <w:numId w:val="5"/>
        </w:numPr>
        <w:tabs>
          <w:tab w:val="left" w:pos="720"/>
          <w:tab w:val="num" w:pos="12305"/>
        </w:tabs>
        <w:spacing w:line="240" w:lineRule="auto"/>
        <w:ind w:left="0" w:firstLine="0"/>
        <w:rPr>
          <w:rFonts w:eastAsia="Verdana" w:cs="Verdana"/>
          <w:i/>
          <w:sz w:val="20"/>
          <w:szCs w:val="20"/>
          <w:lang w:val="en-US"/>
        </w:rPr>
      </w:pPr>
      <w:r w:rsidRPr="00012C3F">
        <w:rPr>
          <w:rFonts w:eastAsia="Verdana" w:cs="Verdana"/>
          <w:i/>
          <w:sz w:val="20"/>
          <w:szCs w:val="20"/>
          <w:lang w:val="en-US"/>
        </w:rPr>
        <w:t>Victims’ Legal Assistance Fund</w:t>
      </w:r>
      <w:r w:rsidR="006C37C9" w:rsidRPr="00012C3F">
        <w:rPr>
          <w:rFonts w:eastAsia="Verdana" w:cs="Verdana"/>
          <w:i/>
          <w:sz w:val="20"/>
          <w:szCs w:val="20"/>
          <w:lang w:val="en-US"/>
        </w:rPr>
        <w:t>.</w:t>
      </w:r>
      <w:r w:rsidR="006C37C9" w:rsidRPr="00012C3F">
        <w:rPr>
          <w:rFonts w:cs="Verdana"/>
          <w:sz w:val="20"/>
          <w:szCs w:val="20"/>
          <w:lang w:val="en-US" w:eastAsia="es-ES"/>
        </w:rPr>
        <w:t xml:space="preserve"> </w:t>
      </w:r>
      <w:r w:rsidRPr="00012C3F">
        <w:rPr>
          <w:rFonts w:cs="Verdana"/>
          <w:sz w:val="20"/>
          <w:szCs w:val="20"/>
          <w:lang w:val="en-US" w:eastAsia="es-ES"/>
        </w:rPr>
        <w:t>In an order of the</w:t>
      </w:r>
      <w:r w:rsidR="006C37C9" w:rsidRPr="00012C3F">
        <w:rPr>
          <w:rFonts w:cs="Verdana"/>
          <w:sz w:val="20"/>
          <w:szCs w:val="20"/>
          <w:lang w:val="en-US" w:eastAsia="es-ES"/>
        </w:rPr>
        <w:t xml:space="preserve"> </w:t>
      </w:r>
      <w:r w:rsidR="001254DE" w:rsidRPr="00012C3F">
        <w:rPr>
          <w:rFonts w:cs="Verdana"/>
          <w:sz w:val="20"/>
          <w:szCs w:val="20"/>
          <w:lang w:val="en-US" w:eastAsia="es-ES"/>
        </w:rPr>
        <w:t>President of the Court</w:t>
      </w:r>
      <w:r w:rsidR="006C37C9" w:rsidRPr="00012C3F">
        <w:rPr>
          <w:rFonts w:cs="Verdana"/>
          <w:sz w:val="20"/>
          <w:szCs w:val="20"/>
          <w:lang w:val="en-US" w:eastAsia="es-ES"/>
        </w:rPr>
        <w:t xml:space="preserve"> </w:t>
      </w:r>
      <w:r w:rsidRPr="00012C3F">
        <w:rPr>
          <w:rFonts w:cs="Verdana"/>
          <w:sz w:val="20"/>
          <w:szCs w:val="20"/>
          <w:lang w:val="en-US" w:eastAsia="es-ES"/>
        </w:rPr>
        <w:t>of January 13,</w:t>
      </w:r>
      <w:r w:rsidR="006C37C9" w:rsidRPr="00012C3F">
        <w:rPr>
          <w:rFonts w:cs="Verdana"/>
          <w:sz w:val="20"/>
          <w:szCs w:val="20"/>
          <w:lang w:val="en-US" w:eastAsia="es-ES"/>
        </w:rPr>
        <w:t xml:space="preserve"> 2016, </w:t>
      </w:r>
      <w:r w:rsidRPr="00012C3F">
        <w:rPr>
          <w:rFonts w:cs="Verdana"/>
          <w:sz w:val="20"/>
          <w:szCs w:val="20"/>
          <w:lang w:val="en-US" w:eastAsia="es-ES"/>
        </w:rPr>
        <w:t>the presumed victim’s request, through her representative, to access the Court’s Legal Assistance Fund was declared admissible.</w:t>
      </w:r>
      <w:r w:rsidR="006C37C9" w:rsidRPr="00012C3F">
        <w:rPr>
          <w:rStyle w:val="Refdenotaalpie"/>
          <w:rFonts w:cs="Verdana"/>
          <w:sz w:val="20"/>
          <w:szCs w:val="20"/>
          <w:lang w:val="en-US" w:eastAsia="es-ES"/>
        </w:rPr>
        <w:footnoteReference w:id="7"/>
      </w:r>
    </w:p>
    <w:p w14:paraId="1F41B208" w14:textId="77777777" w:rsidR="006C37C9" w:rsidRPr="00012C3F" w:rsidRDefault="006C37C9" w:rsidP="00095E76">
      <w:pPr>
        <w:tabs>
          <w:tab w:val="left" w:pos="720"/>
        </w:tabs>
        <w:autoSpaceDE w:val="0"/>
        <w:autoSpaceDN w:val="0"/>
        <w:spacing w:line="240" w:lineRule="auto"/>
        <w:rPr>
          <w:rFonts w:eastAsia="Verdana" w:cs="Verdana"/>
          <w:sz w:val="20"/>
          <w:szCs w:val="20"/>
          <w:lang w:val="en-US"/>
        </w:rPr>
      </w:pPr>
    </w:p>
    <w:p w14:paraId="3657B09A" w14:textId="77777777" w:rsidR="006C37C9" w:rsidRPr="00012C3F" w:rsidRDefault="006C37C9" w:rsidP="00095E76">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i/>
          <w:sz w:val="20"/>
          <w:szCs w:val="20"/>
          <w:lang w:val="en-US"/>
        </w:rPr>
        <w:t>Observa</w:t>
      </w:r>
      <w:r w:rsidR="00B257AF" w:rsidRPr="00012C3F">
        <w:rPr>
          <w:rFonts w:eastAsia="Verdana" w:cs="Verdana"/>
          <w:i/>
          <w:sz w:val="20"/>
          <w:szCs w:val="20"/>
          <w:lang w:val="en-US"/>
        </w:rPr>
        <w:t xml:space="preserve">tions on the preliminary objections. </w:t>
      </w:r>
      <w:r w:rsidR="00B257AF" w:rsidRPr="00012C3F">
        <w:rPr>
          <w:rFonts w:eastAsia="Verdana" w:cs="Verdana"/>
          <w:sz w:val="20"/>
          <w:szCs w:val="20"/>
          <w:lang w:val="en-US"/>
        </w:rPr>
        <w:t>On February</w:t>
      </w:r>
      <w:r w:rsidRPr="00012C3F">
        <w:rPr>
          <w:rFonts w:eastAsia="Verdana" w:cs="Verdana"/>
          <w:sz w:val="20"/>
          <w:szCs w:val="20"/>
          <w:lang w:val="en-US"/>
        </w:rPr>
        <w:t xml:space="preserve"> 22</w:t>
      </w:r>
      <w:r w:rsidR="005E5012" w:rsidRPr="00012C3F">
        <w:rPr>
          <w:rFonts w:eastAsia="Verdana" w:cs="Verdana"/>
          <w:sz w:val="20"/>
          <w:szCs w:val="20"/>
          <w:lang w:val="en-US"/>
        </w:rPr>
        <w:t xml:space="preserve"> and </w:t>
      </w:r>
      <w:r w:rsidRPr="00012C3F">
        <w:rPr>
          <w:rFonts w:eastAsia="Verdana" w:cs="Verdana"/>
          <w:sz w:val="20"/>
          <w:szCs w:val="20"/>
          <w:lang w:val="en-US"/>
        </w:rPr>
        <w:t>2</w:t>
      </w:r>
      <w:r w:rsidR="00B257AF" w:rsidRPr="00012C3F">
        <w:rPr>
          <w:rFonts w:eastAsia="Verdana" w:cs="Verdana"/>
          <w:sz w:val="20"/>
          <w:szCs w:val="20"/>
          <w:lang w:val="en-US"/>
        </w:rPr>
        <w:t xml:space="preserve">8, </w:t>
      </w:r>
      <w:r w:rsidRPr="00012C3F">
        <w:rPr>
          <w:rFonts w:eastAsia="Verdana" w:cs="Verdana"/>
          <w:sz w:val="20"/>
          <w:szCs w:val="20"/>
          <w:lang w:val="en-US"/>
        </w:rPr>
        <w:t>2015</w:t>
      </w:r>
      <w:r w:rsidR="00B257AF" w:rsidRPr="00012C3F">
        <w:rPr>
          <w:rFonts w:eastAsia="Verdana" w:cs="Verdana"/>
          <w:sz w:val="20"/>
          <w:szCs w:val="20"/>
          <w:lang w:val="en-US"/>
        </w:rPr>
        <w:t>,</w:t>
      </w:r>
      <w:r w:rsidRPr="00012C3F">
        <w:rPr>
          <w:rFonts w:eastAsia="Verdana" w:cs="Verdana"/>
          <w:sz w:val="20"/>
          <w:szCs w:val="20"/>
          <w:lang w:val="en-US"/>
        </w:rPr>
        <w:t xml:space="preserve"> </w:t>
      </w:r>
      <w:r w:rsidR="0095689A" w:rsidRPr="00012C3F">
        <w:rPr>
          <w:rFonts w:eastAsia="Verdana" w:cs="Verdana"/>
          <w:sz w:val="20"/>
          <w:szCs w:val="20"/>
          <w:lang w:val="en-US"/>
        </w:rPr>
        <w:t xml:space="preserve">respectively, </w:t>
      </w:r>
      <w:r w:rsidR="00972ACF" w:rsidRPr="00012C3F">
        <w:rPr>
          <w:rFonts w:eastAsia="Verdana" w:cs="Verdana"/>
          <w:sz w:val="20"/>
          <w:szCs w:val="20"/>
          <w:lang w:val="en-US"/>
        </w:rPr>
        <w:t>the representative</w:t>
      </w:r>
      <w:r w:rsidR="005E5012" w:rsidRPr="00012C3F">
        <w:rPr>
          <w:rFonts w:eastAsia="Verdana" w:cs="Verdana"/>
          <w:sz w:val="20"/>
          <w:szCs w:val="20"/>
          <w:lang w:val="en-US"/>
        </w:rPr>
        <w:t xml:space="preserve"> and </w:t>
      </w:r>
      <w:r w:rsidR="001254DE" w:rsidRPr="00012C3F">
        <w:rPr>
          <w:rFonts w:eastAsia="Verdana" w:cs="Verdana"/>
          <w:sz w:val="20"/>
          <w:szCs w:val="20"/>
          <w:lang w:val="en-US"/>
        </w:rPr>
        <w:t xml:space="preserve">the Inter-American </w:t>
      </w:r>
      <w:r w:rsidR="00A84CA0" w:rsidRPr="00012C3F">
        <w:rPr>
          <w:rFonts w:eastAsia="Verdana" w:cs="Verdana"/>
          <w:sz w:val="20"/>
          <w:szCs w:val="20"/>
          <w:lang w:val="en-US"/>
        </w:rPr>
        <w:t>Commission</w:t>
      </w:r>
      <w:r w:rsidRPr="00012C3F">
        <w:rPr>
          <w:rFonts w:eastAsia="Verdana" w:cs="Verdana"/>
          <w:sz w:val="20"/>
          <w:szCs w:val="20"/>
          <w:lang w:val="en-US"/>
        </w:rPr>
        <w:t xml:space="preserve"> </w:t>
      </w:r>
      <w:r w:rsidR="00B257AF" w:rsidRPr="00012C3F">
        <w:rPr>
          <w:rFonts w:eastAsia="Verdana" w:cs="Verdana"/>
          <w:sz w:val="20"/>
          <w:szCs w:val="20"/>
          <w:lang w:val="en-US"/>
        </w:rPr>
        <w:t>presented</w:t>
      </w:r>
      <w:r w:rsidR="0095689A" w:rsidRPr="00012C3F">
        <w:rPr>
          <w:rFonts w:eastAsia="Verdana" w:cs="Verdana"/>
          <w:sz w:val="20"/>
          <w:szCs w:val="20"/>
          <w:lang w:val="en-US"/>
        </w:rPr>
        <w:t xml:space="preserve"> </w:t>
      </w:r>
      <w:r w:rsidR="00B257AF" w:rsidRPr="00012C3F">
        <w:rPr>
          <w:rFonts w:eastAsia="Verdana" w:cs="Verdana"/>
          <w:sz w:val="20"/>
          <w:szCs w:val="20"/>
          <w:lang w:val="en-US"/>
        </w:rPr>
        <w:t xml:space="preserve">their observations on the preliminary objections filed by </w:t>
      </w:r>
      <w:r w:rsidR="00A84CA0" w:rsidRPr="00012C3F">
        <w:rPr>
          <w:rFonts w:eastAsia="Verdana" w:cs="Verdana"/>
          <w:sz w:val="20"/>
          <w:szCs w:val="20"/>
          <w:lang w:val="en-US"/>
        </w:rPr>
        <w:t>the State</w:t>
      </w:r>
      <w:r w:rsidRPr="00012C3F">
        <w:rPr>
          <w:rFonts w:eastAsia="Verdana" w:cs="Verdana"/>
          <w:sz w:val="20"/>
          <w:szCs w:val="20"/>
          <w:lang w:val="en-US"/>
        </w:rPr>
        <w:t>.</w:t>
      </w:r>
    </w:p>
    <w:p w14:paraId="5D1ED9A9" w14:textId="77777777" w:rsidR="006C37C9" w:rsidRPr="00012C3F" w:rsidRDefault="006C37C9" w:rsidP="006C37C9">
      <w:pPr>
        <w:autoSpaceDE w:val="0"/>
        <w:autoSpaceDN w:val="0"/>
        <w:spacing w:line="240" w:lineRule="auto"/>
        <w:rPr>
          <w:rFonts w:eastAsia="Verdana" w:cs="Verdana"/>
          <w:sz w:val="20"/>
          <w:szCs w:val="20"/>
          <w:lang w:val="en-US"/>
        </w:rPr>
      </w:pPr>
    </w:p>
    <w:p w14:paraId="039120CF" w14:textId="77777777" w:rsidR="006C37C9" w:rsidRPr="00012C3F" w:rsidRDefault="00B257AF" w:rsidP="00095E76">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i/>
          <w:position w:val="-1"/>
          <w:sz w:val="20"/>
          <w:szCs w:val="20"/>
          <w:lang w:val="en-US"/>
        </w:rPr>
        <w:t>Public hearing.</w:t>
      </w:r>
      <w:r w:rsidR="006C37C9" w:rsidRPr="00012C3F">
        <w:rPr>
          <w:rFonts w:eastAsia="Verdana" w:cs="Verdana"/>
          <w:i/>
          <w:position w:val="-1"/>
          <w:sz w:val="20"/>
          <w:szCs w:val="20"/>
          <w:lang w:val="en-US"/>
        </w:rPr>
        <w:t xml:space="preserve"> </w:t>
      </w:r>
      <w:r w:rsidRPr="00012C3F">
        <w:rPr>
          <w:rFonts w:eastAsia="Verdana" w:cs="Verdana"/>
          <w:position w:val="-1"/>
          <w:sz w:val="20"/>
          <w:szCs w:val="20"/>
          <w:lang w:val="en-US"/>
        </w:rPr>
        <w:t>In an order of March</w:t>
      </w:r>
      <w:r w:rsidR="006C37C9" w:rsidRPr="00012C3F">
        <w:rPr>
          <w:rFonts w:eastAsia="Verdana" w:cs="Verdana"/>
          <w:position w:val="-1"/>
          <w:sz w:val="20"/>
          <w:szCs w:val="20"/>
          <w:lang w:val="en-US"/>
        </w:rPr>
        <w:t xml:space="preserve"> 29</w:t>
      </w:r>
      <w:r w:rsidRPr="00012C3F">
        <w:rPr>
          <w:rFonts w:eastAsia="Verdana" w:cs="Verdana"/>
          <w:position w:val="-1"/>
          <w:sz w:val="20"/>
          <w:szCs w:val="20"/>
          <w:lang w:val="en-US"/>
        </w:rPr>
        <w:t xml:space="preserve">, </w:t>
      </w:r>
      <w:r w:rsidR="006C37C9" w:rsidRPr="00012C3F">
        <w:rPr>
          <w:rFonts w:eastAsia="Verdana" w:cs="Verdana"/>
          <w:position w:val="-1"/>
          <w:sz w:val="20"/>
          <w:szCs w:val="20"/>
          <w:lang w:val="en-US"/>
        </w:rPr>
        <w:t>2016</w:t>
      </w:r>
      <w:r w:rsidRPr="00012C3F">
        <w:rPr>
          <w:rFonts w:eastAsia="Verdana" w:cs="Verdana"/>
          <w:position w:val="-1"/>
          <w:sz w:val="20"/>
          <w:szCs w:val="20"/>
          <w:lang w:val="en-US"/>
        </w:rPr>
        <w:t>,</w:t>
      </w:r>
      <w:r w:rsidR="006C37C9" w:rsidRPr="00012C3F">
        <w:rPr>
          <w:rStyle w:val="Refdenotaalpie"/>
          <w:rFonts w:eastAsia="Verdana" w:cs="Verdana"/>
          <w:position w:val="-1"/>
          <w:sz w:val="20"/>
          <w:szCs w:val="20"/>
          <w:lang w:val="en-US"/>
        </w:rPr>
        <w:footnoteReference w:id="8"/>
      </w:r>
      <w:r w:rsidR="006C37C9" w:rsidRPr="00012C3F">
        <w:rPr>
          <w:rFonts w:eastAsia="Verdana" w:cs="Verdana"/>
          <w:position w:val="-1"/>
          <w:sz w:val="20"/>
          <w:szCs w:val="20"/>
          <w:lang w:val="en-US"/>
        </w:rPr>
        <w:t xml:space="preserve"> </w:t>
      </w:r>
      <w:r w:rsidRPr="00012C3F">
        <w:rPr>
          <w:rFonts w:eastAsia="Verdana" w:cs="Verdana"/>
          <w:position w:val="-1"/>
          <w:sz w:val="20"/>
          <w:szCs w:val="20"/>
          <w:lang w:val="en-US"/>
        </w:rPr>
        <w:t>the</w:t>
      </w:r>
      <w:r w:rsidR="006C37C9" w:rsidRPr="00012C3F">
        <w:rPr>
          <w:rFonts w:eastAsia="Verdana" w:cs="Verdana"/>
          <w:position w:val="-1"/>
          <w:sz w:val="20"/>
          <w:szCs w:val="20"/>
          <w:lang w:val="en-US"/>
        </w:rPr>
        <w:t xml:space="preserve"> </w:t>
      </w:r>
      <w:r w:rsidR="001254DE" w:rsidRPr="00012C3F">
        <w:rPr>
          <w:rFonts w:eastAsia="Verdana" w:cs="Verdana"/>
          <w:position w:val="-1"/>
          <w:sz w:val="20"/>
          <w:szCs w:val="20"/>
          <w:lang w:val="en-US"/>
        </w:rPr>
        <w:t>President</w:t>
      </w:r>
      <w:r w:rsidR="006C37C9" w:rsidRPr="00012C3F">
        <w:rPr>
          <w:rFonts w:eastAsia="Verdana" w:cs="Verdana"/>
          <w:position w:val="-1"/>
          <w:sz w:val="20"/>
          <w:szCs w:val="20"/>
          <w:lang w:val="en-US"/>
        </w:rPr>
        <w:t xml:space="preserve"> c</w:t>
      </w:r>
      <w:r w:rsidRPr="00012C3F">
        <w:rPr>
          <w:rFonts w:eastAsia="Verdana" w:cs="Verdana"/>
          <w:position w:val="-1"/>
          <w:sz w:val="20"/>
          <w:szCs w:val="20"/>
          <w:lang w:val="en-US"/>
        </w:rPr>
        <w:t xml:space="preserve">alled the parties and </w:t>
      </w:r>
      <w:r w:rsidR="001254DE" w:rsidRPr="00012C3F">
        <w:rPr>
          <w:rFonts w:eastAsia="Verdana" w:cs="Verdana"/>
          <w:position w:val="-1"/>
          <w:sz w:val="20"/>
          <w:szCs w:val="20"/>
          <w:lang w:val="en-US"/>
        </w:rPr>
        <w:t xml:space="preserve">the Inter-American </w:t>
      </w:r>
      <w:r w:rsidR="00A84CA0" w:rsidRPr="00012C3F">
        <w:rPr>
          <w:rFonts w:eastAsia="Verdana" w:cs="Verdana"/>
          <w:position w:val="-1"/>
          <w:sz w:val="20"/>
          <w:szCs w:val="20"/>
          <w:lang w:val="en-US"/>
        </w:rPr>
        <w:t>Commission</w:t>
      </w:r>
      <w:r w:rsidR="006C37C9" w:rsidRPr="00012C3F">
        <w:rPr>
          <w:rFonts w:eastAsia="Verdana" w:cs="Verdana"/>
          <w:position w:val="-1"/>
          <w:sz w:val="20"/>
          <w:szCs w:val="20"/>
          <w:lang w:val="en-US"/>
        </w:rPr>
        <w:t xml:space="preserve"> </w:t>
      </w:r>
      <w:r w:rsidRPr="00012C3F">
        <w:rPr>
          <w:rFonts w:eastAsia="Verdana" w:cs="Verdana"/>
          <w:position w:val="-1"/>
          <w:sz w:val="20"/>
          <w:szCs w:val="20"/>
          <w:lang w:val="en-US"/>
        </w:rPr>
        <w:t>to a</w:t>
      </w:r>
      <w:r w:rsidR="006C37C9" w:rsidRPr="00012C3F">
        <w:rPr>
          <w:rFonts w:eastAsia="Verdana" w:cs="Verdana"/>
          <w:position w:val="-1"/>
          <w:sz w:val="20"/>
          <w:szCs w:val="20"/>
          <w:lang w:val="en-US"/>
        </w:rPr>
        <w:t xml:space="preserve"> </w:t>
      </w:r>
      <w:r w:rsidRPr="00012C3F">
        <w:rPr>
          <w:rFonts w:eastAsia="Verdana" w:cs="Verdana"/>
          <w:position w:val="-1"/>
          <w:sz w:val="20"/>
          <w:szCs w:val="20"/>
          <w:lang w:val="en-US"/>
        </w:rPr>
        <w:t>public hearing</w:t>
      </w:r>
      <w:r w:rsidR="006C37C9" w:rsidRPr="00012C3F">
        <w:rPr>
          <w:rFonts w:eastAsia="Verdana" w:cs="Verdana"/>
          <w:position w:val="-1"/>
          <w:sz w:val="20"/>
          <w:szCs w:val="20"/>
          <w:lang w:val="en-US"/>
        </w:rPr>
        <w:t xml:space="preserve"> </w:t>
      </w:r>
      <w:r w:rsidRPr="00012C3F">
        <w:rPr>
          <w:rFonts w:eastAsia="Verdana" w:cs="Verdana"/>
          <w:position w:val="-1"/>
          <w:sz w:val="20"/>
          <w:szCs w:val="20"/>
          <w:lang w:val="en-US"/>
        </w:rPr>
        <w:t>to receive their final oral arguments and observations on the preliminary objections and eventual m</w:t>
      </w:r>
      <w:r w:rsidR="001254DE" w:rsidRPr="00012C3F">
        <w:rPr>
          <w:rFonts w:eastAsia="Verdana" w:cs="Verdana"/>
          <w:position w:val="-1"/>
          <w:sz w:val="20"/>
          <w:szCs w:val="20"/>
          <w:lang w:val="en-US"/>
        </w:rPr>
        <w:t>erits</w:t>
      </w:r>
      <w:r w:rsidRPr="00012C3F">
        <w:rPr>
          <w:rFonts w:eastAsia="Verdana" w:cs="Verdana"/>
          <w:position w:val="-1"/>
          <w:sz w:val="20"/>
          <w:szCs w:val="20"/>
          <w:lang w:val="en-US"/>
        </w:rPr>
        <w:t>,</w:t>
      </w:r>
      <w:r w:rsidR="001254DE" w:rsidRPr="00012C3F">
        <w:rPr>
          <w:rFonts w:eastAsia="Verdana" w:cs="Verdana"/>
          <w:position w:val="-1"/>
          <w:sz w:val="20"/>
          <w:szCs w:val="20"/>
          <w:lang w:val="en-US"/>
        </w:rPr>
        <w:t xml:space="preserve"> reparations and costs</w:t>
      </w:r>
      <w:r w:rsidR="006C37C9" w:rsidRPr="00012C3F">
        <w:rPr>
          <w:rFonts w:eastAsia="Verdana" w:cs="Verdana"/>
          <w:position w:val="-1"/>
          <w:sz w:val="20"/>
          <w:szCs w:val="20"/>
          <w:lang w:val="en-US"/>
        </w:rPr>
        <w:t>, a</w:t>
      </w:r>
      <w:r w:rsidRPr="00012C3F">
        <w:rPr>
          <w:rFonts w:eastAsia="Verdana" w:cs="Verdana"/>
          <w:position w:val="-1"/>
          <w:sz w:val="20"/>
          <w:szCs w:val="20"/>
          <w:lang w:val="en-US"/>
        </w:rPr>
        <w:t xml:space="preserve">nd also to receive the statements </w:t>
      </w:r>
      <w:r w:rsidR="00972ACF" w:rsidRPr="00012C3F">
        <w:rPr>
          <w:rFonts w:eastAsia="Verdana" w:cs="Verdana"/>
          <w:position w:val="-1"/>
          <w:sz w:val="20"/>
          <w:szCs w:val="20"/>
          <w:lang w:val="en-US"/>
        </w:rPr>
        <w:t xml:space="preserve">of the </w:t>
      </w:r>
      <w:r w:rsidR="00E00902" w:rsidRPr="00012C3F">
        <w:rPr>
          <w:rFonts w:eastAsia="Verdana" w:cs="Verdana"/>
          <w:sz w:val="20"/>
          <w:szCs w:val="20"/>
          <w:lang w:val="en-US"/>
        </w:rPr>
        <w:t>presumed victim</w:t>
      </w:r>
      <w:r w:rsidR="006C37C9" w:rsidRPr="00012C3F">
        <w:rPr>
          <w:rFonts w:eastAsia="Verdana" w:cs="Verdana"/>
          <w:sz w:val="20"/>
          <w:szCs w:val="20"/>
          <w:lang w:val="en-US"/>
        </w:rPr>
        <w:t xml:space="preserve">, </w:t>
      </w:r>
      <w:r w:rsidRPr="00012C3F">
        <w:rPr>
          <w:rFonts w:eastAsia="Verdana" w:cs="Verdana"/>
          <w:sz w:val="20"/>
          <w:szCs w:val="20"/>
          <w:lang w:val="en-US"/>
        </w:rPr>
        <w:t xml:space="preserve">of a witness proposed by </w:t>
      </w:r>
      <w:r w:rsidR="00A84CA0" w:rsidRPr="00012C3F">
        <w:rPr>
          <w:rFonts w:eastAsia="Verdana" w:cs="Verdana"/>
          <w:position w:val="-1"/>
          <w:sz w:val="20"/>
          <w:szCs w:val="20"/>
          <w:lang w:val="en-US"/>
        </w:rPr>
        <w:t>the State</w:t>
      </w:r>
      <w:r w:rsidRPr="00012C3F">
        <w:rPr>
          <w:rFonts w:eastAsia="Verdana" w:cs="Verdana"/>
          <w:position w:val="-1"/>
          <w:sz w:val="20"/>
          <w:szCs w:val="20"/>
          <w:lang w:val="en-US"/>
        </w:rPr>
        <w:t>,</w:t>
      </w:r>
      <w:r w:rsidR="005E5012" w:rsidRPr="00012C3F">
        <w:rPr>
          <w:rFonts w:eastAsia="Verdana" w:cs="Verdana"/>
          <w:position w:val="-1"/>
          <w:sz w:val="20"/>
          <w:szCs w:val="20"/>
          <w:lang w:val="en-US"/>
        </w:rPr>
        <w:t xml:space="preserve"> and </w:t>
      </w:r>
      <w:r w:rsidRPr="00012C3F">
        <w:rPr>
          <w:rFonts w:eastAsia="Verdana" w:cs="Verdana"/>
          <w:position w:val="-1"/>
          <w:sz w:val="20"/>
          <w:szCs w:val="20"/>
          <w:lang w:val="en-US"/>
        </w:rPr>
        <w:t>of three expert witnesses proposed by</w:t>
      </w:r>
      <w:r w:rsidR="006C37C9" w:rsidRPr="00012C3F">
        <w:rPr>
          <w:rFonts w:eastAsia="Verdana" w:cs="Verdana"/>
          <w:position w:val="-1"/>
          <w:sz w:val="20"/>
          <w:szCs w:val="20"/>
          <w:lang w:val="en-US"/>
        </w:rPr>
        <w:t xml:space="preserve"> </w:t>
      </w:r>
      <w:r w:rsidR="00972ACF" w:rsidRPr="00012C3F">
        <w:rPr>
          <w:rFonts w:eastAsia="Verdana" w:cs="Verdana"/>
          <w:position w:val="-1"/>
          <w:sz w:val="20"/>
          <w:szCs w:val="20"/>
          <w:lang w:val="en-US"/>
        </w:rPr>
        <w:t>the representative</w:t>
      </w:r>
      <w:r w:rsidR="006C37C9" w:rsidRPr="00012C3F">
        <w:rPr>
          <w:rFonts w:eastAsia="Verdana" w:cs="Verdana"/>
          <w:position w:val="-1"/>
          <w:sz w:val="20"/>
          <w:szCs w:val="20"/>
          <w:lang w:val="en-US"/>
        </w:rPr>
        <w:t xml:space="preserve">, </w:t>
      </w:r>
      <w:r w:rsidR="00A84CA0" w:rsidRPr="00012C3F">
        <w:rPr>
          <w:rFonts w:eastAsia="Verdana" w:cs="Verdana"/>
          <w:position w:val="-1"/>
          <w:sz w:val="20"/>
          <w:szCs w:val="20"/>
          <w:lang w:val="en-US"/>
        </w:rPr>
        <w:t>the State</w:t>
      </w:r>
      <w:r w:rsidRPr="00012C3F">
        <w:rPr>
          <w:rFonts w:eastAsia="Verdana" w:cs="Verdana"/>
          <w:position w:val="-1"/>
          <w:sz w:val="20"/>
          <w:szCs w:val="20"/>
          <w:lang w:val="en-US"/>
        </w:rPr>
        <w:t>,</w:t>
      </w:r>
      <w:r w:rsidR="005E5012" w:rsidRPr="00012C3F">
        <w:rPr>
          <w:rFonts w:eastAsia="Verdana" w:cs="Verdana"/>
          <w:position w:val="-1"/>
          <w:sz w:val="20"/>
          <w:szCs w:val="20"/>
          <w:lang w:val="en-US"/>
        </w:rPr>
        <w:t xml:space="preserve"> and </w:t>
      </w:r>
      <w:r w:rsidR="001254DE" w:rsidRPr="00012C3F">
        <w:rPr>
          <w:rFonts w:eastAsia="Verdana" w:cs="Verdana"/>
          <w:position w:val="-1"/>
          <w:sz w:val="20"/>
          <w:szCs w:val="20"/>
          <w:lang w:val="en-US"/>
        </w:rPr>
        <w:t xml:space="preserve">the </w:t>
      </w:r>
      <w:r w:rsidR="00A84CA0" w:rsidRPr="00012C3F">
        <w:rPr>
          <w:rFonts w:eastAsia="Verdana" w:cs="Verdana"/>
          <w:position w:val="-1"/>
          <w:sz w:val="20"/>
          <w:szCs w:val="20"/>
          <w:lang w:val="en-US"/>
        </w:rPr>
        <w:t>Commission</w:t>
      </w:r>
      <w:r w:rsidRPr="00012C3F">
        <w:rPr>
          <w:rFonts w:eastAsia="Verdana" w:cs="Verdana"/>
          <w:position w:val="-1"/>
          <w:sz w:val="20"/>
          <w:szCs w:val="20"/>
          <w:lang w:val="en-US"/>
        </w:rPr>
        <w:t>.</w:t>
      </w:r>
      <w:r w:rsidR="006C37C9" w:rsidRPr="00012C3F">
        <w:rPr>
          <w:rStyle w:val="Refdenotaalpie"/>
          <w:rFonts w:eastAsia="Verdana" w:cs="Verdana"/>
          <w:position w:val="-1"/>
          <w:sz w:val="20"/>
          <w:szCs w:val="20"/>
          <w:lang w:val="en-US"/>
        </w:rPr>
        <w:footnoteReference w:id="9"/>
      </w:r>
      <w:r w:rsidR="006C37C9" w:rsidRPr="00012C3F">
        <w:rPr>
          <w:rFonts w:eastAsia="Verdana" w:cs="Verdana"/>
          <w:position w:val="-1"/>
          <w:sz w:val="20"/>
          <w:szCs w:val="20"/>
          <w:lang w:val="en-US"/>
        </w:rPr>
        <w:t xml:space="preserve"> </w:t>
      </w:r>
      <w:r w:rsidRPr="00012C3F">
        <w:rPr>
          <w:rFonts w:eastAsia="Verdana" w:cs="Verdana"/>
          <w:sz w:val="20"/>
          <w:szCs w:val="20"/>
          <w:lang w:val="en-US"/>
        </w:rPr>
        <w:t>The</w:t>
      </w:r>
      <w:r w:rsidR="006C37C9" w:rsidRPr="00012C3F">
        <w:rPr>
          <w:rFonts w:eastAsia="Verdana" w:cs="Verdana"/>
          <w:sz w:val="20"/>
          <w:szCs w:val="20"/>
          <w:lang w:val="en-US"/>
        </w:rPr>
        <w:t xml:space="preserve"> </w:t>
      </w:r>
      <w:r w:rsidRPr="00012C3F">
        <w:rPr>
          <w:rFonts w:eastAsia="Verdana" w:cs="Verdana"/>
          <w:sz w:val="20"/>
          <w:szCs w:val="20"/>
          <w:lang w:val="en-US"/>
        </w:rPr>
        <w:t>public hearing</w:t>
      </w:r>
      <w:r w:rsidR="006C37C9" w:rsidRPr="00012C3F">
        <w:rPr>
          <w:rFonts w:eastAsia="Verdana" w:cs="Verdana"/>
          <w:sz w:val="20"/>
          <w:szCs w:val="20"/>
          <w:lang w:val="en-US"/>
        </w:rPr>
        <w:t xml:space="preserve"> </w:t>
      </w:r>
      <w:r w:rsidRPr="00012C3F">
        <w:rPr>
          <w:rFonts w:eastAsia="Verdana" w:cs="Verdana"/>
          <w:sz w:val="20"/>
          <w:szCs w:val="20"/>
          <w:lang w:val="en-US"/>
        </w:rPr>
        <w:t>took place on May 2, 2</w:t>
      </w:r>
      <w:r w:rsidR="0095689A" w:rsidRPr="00012C3F">
        <w:rPr>
          <w:rFonts w:eastAsia="Verdana" w:cs="Verdana"/>
          <w:sz w:val="20"/>
          <w:szCs w:val="20"/>
          <w:lang w:val="en-US"/>
        </w:rPr>
        <w:t>0</w:t>
      </w:r>
      <w:r w:rsidR="005804E7" w:rsidRPr="00012C3F">
        <w:rPr>
          <w:rFonts w:eastAsia="Verdana" w:cs="Verdana"/>
          <w:sz w:val="20"/>
          <w:szCs w:val="20"/>
          <w:lang w:val="en-US"/>
        </w:rPr>
        <w:t>1</w:t>
      </w:r>
      <w:r w:rsidRPr="00012C3F">
        <w:rPr>
          <w:rFonts w:eastAsia="Verdana" w:cs="Verdana"/>
          <w:sz w:val="20"/>
          <w:szCs w:val="20"/>
          <w:lang w:val="en-US"/>
        </w:rPr>
        <w:t>6, during the 114th regular session of the Court, held at its seat.</w:t>
      </w:r>
      <w:r w:rsidR="006C37C9" w:rsidRPr="00012C3F">
        <w:rPr>
          <w:rStyle w:val="Refdenotaalpie"/>
          <w:rFonts w:eastAsia="Verdana" w:cs="Verdana"/>
          <w:sz w:val="20"/>
          <w:szCs w:val="20"/>
          <w:lang w:val="en-US"/>
        </w:rPr>
        <w:footnoteReference w:id="10"/>
      </w:r>
      <w:r w:rsidRPr="00012C3F">
        <w:rPr>
          <w:rFonts w:eastAsia="Verdana" w:cs="Verdana"/>
          <w:sz w:val="20"/>
          <w:szCs w:val="20"/>
          <w:lang w:val="en-US"/>
        </w:rPr>
        <w:t xml:space="preserve"> </w:t>
      </w:r>
      <w:r w:rsidRPr="00012C3F">
        <w:rPr>
          <w:rFonts w:eastAsia="Verdana" w:cs="Verdana"/>
          <w:sz w:val="20"/>
          <w:szCs w:val="20"/>
          <w:lang w:val="en-US"/>
        </w:rPr>
        <w:lastRenderedPageBreak/>
        <w:t>During the hearing, the Court heard the statements</w:t>
      </w:r>
      <w:r w:rsidR="00972ACF" w:rsidRPr="00012C3F">
        <w:rPr>
          <w:rFonts w:eastAsia="Verdana" w:cs="Verdana"/>
          <w:sz w:val="20"/>
          <w:szCs w:val="20"/>
          <w:lang w:val="en-US"/>
        </w:rPr>
        <w:t xml:space="preserve"> of the </w:t>
      </w:r>
      <w:r w:rsidR="00E00902" w:rsidRPr="00012C3F">
        <w:rPr>
          <w:rFonts w:eastAsia="Verdana" w:cs="Verdana"/>
          <w:sz w:val="20"/>
          <w:szCs w:val="20"/>
          <w:lang w:val="en-US"/>
        </w:rPr>
        <w:t>presumed victim</w:t>
      </w:r>
      <w:r w:rsidR="006C37C9" w:rsidRPr="00012C3F">
        <w:rPr>
          <w:rFonts w:eastAsia="Verdana" w:cs="Verdana"/>
          <w:sz w:val="20"/>
          <w:szCs w:val="20"/>
          <w:lang w:val="en-US"/>
        </w:rPr>
        <w:t xml:space="preserve"> </w:t>
      </w:r>
      <w:r w:rsidR="000E1C11" w:rsidRPr="00012C3F">
        <w:rPr>
          <w:rFonts w:eastAsia="Verdana" w:cs="Verdana"/>
          <w:sz w:val="20"/>
          <w:szCs w:val="20"/>
          <w:lang w:val="en-US"/>
        </w:rPr>
        <w:t>I.V.</w:t>
      </w:r>
      <w:r w:rsidR="006C37C9" w:rsidRPr="00012C3F">
        <w:rPr>
          <w:rFonts w:eastAsia="Verdana" w:cs="Verdana"/>
          <w:sz w:val="20"/>
          <w:szCs w:val="20"/>
          <w:lang w:val="en-US"/>
        </w:rPr>
        <w:t>,</w:t>
      </w:r>
      <w:r w:rsidRPr="00012C3F">
        <w:rPr>
          <w:rFonts w:eastAsia="Verdana" w:cs="Verdana"/>
          <w:sz w:val="20"/>
          <w:szCs w:val="20"/>
          <w:lang w:val="en-US"/>
        </w:rPr>
        <w:t xml:space="preserve"> witness</w:t>
      </w:r>
      <w:r w:rsidR="006C37C9" w:rsidRPr="00012C3F">
        <w:rPr>
          <w:rFonts w:eastAsia="Verdana" w:cs="Verdana"/>
          <w:sz w:val="20"/>
          <w:szCs w:val="20"/>
          <w:lang w:val="en-US"/>
        </w:rPr>
        <w:t xml:space="preserve"> Edgar Torrico Ameller</w:t>
      </w:r>
      <w:r w:rsidRPr="00012C3F">
        <w:rPr>
          <w:rFonts w:eastAsia="Verdana" w:cs="Verdana"/>
          <w:sz w:val="20"/>
          <w:szCs w:val="20"/>
          <w:lang w:val="en-US"/>
        </w:rPr>
        <w:t>,</w:t>
      </w:r>
      <w:r w:rsidR="005E5012" w:rsidRPr="00012C3F">
        <w:rPr>
          <w:rFonts w:eastAsia="Verdana" w:cs="Verdana"/>
          <w:sz w:val="20"/>
          <w:szCs w:val="20"/>
          <w:lang w:val="en-US"/>
        </w:rPr>
        <w:t xml:space="preserve"> and </w:t>
      </w:r>
      <w:r w:rsidRPr="00012C3F">
        <w:rPr>
          <w:rFonts w:eastAsia="Verdana" w:cs="Verdana"/>
          <w:sz w:val="20"/>
          <w:szCs w:val="20"/>
          <w:lang w:val="en-US"/>
        </w:rPr>
        <w:t>expert witnesses</w:t>
      </w:r>
      <w:r w:rsidR="006C37C9" w:rsidRPr="00012C3F">
        <w:rPr>
          <w:rFonts w:eastAsia="Verdana" w:cs="Verdana"/>
          <w:sz w:val="20"/>
          <w:szCs w:val="20"/>
          <w:lang w:val="en-US"/>
        </w:rPr>
        <w:t xml:space="preserve"> Christina Zampas</w:t>
      </w:r>
      <w:r w:rsidR="005E5012" w:rsidRPr="00012C3F">
        <w:rPr>
          <w:rFonts w:eastAsia="Verdana" w:cs="Verdana"/>
          <w:sz w:val="20"/>
          <w:szCs w:val="20"/>
          <w:lang w:val="en-US"/>
        </w:rPr>
        <w:t xml:space="preserve"> and </w:t>
      </w:r>
      <w:r w:rsidR="006C37C9" w:rsidRPr="00012C3F">
        <w:rPr>
          <w:rFonts w:eastAsia="Verdana" w:cs="Verdana"/>
          <w:sz w:val="20"/>
          <w:szCs w:val="20"/>
          <w:lang w:val="en-US"/>
        </w:rPr>
        <w:t xml:space="preserve">Erwin Hochstatter Arduz. </w:t>
      </w:r>
      <w:r w:rsidRPr="00012C3F">
        <w:rPr>
          <w:sz w:val="20"/>
          <w:szCs w:val="20"/>
          <w:lang w:val="en-US" w:eastAsia="es-ES"/>
        </w:rPr>
        <w:t>In addition</w:t>
      </w:r>
      <w:r w:rsidR="0011543E" w:rsidRPr="00012C3F">
        <w:rPr>
          <w:sz w:val="20"/>
          <w:szCs w:val="20"/>
          <w:lang w:val="en-US" w:eastAsia="es-ES"/>
        </w:rPr>
        <w:t xml:space="preserve">, </w:t>
      </w:r>
      <w:r w:rsidR="001254DE" w:rsidRPr="00012C3F">
        <w:rPr>
          <w:sz w:val="20"/>
          <w:szCs w:val="20"/>
          <w:lang w:val="en-US" w:eastAsia="es-ES"/>
        </w:rPr>
        <w:t>the Court</w:t>
      </w:r>
      <w:r w:rsidR="0011543E" w:rsidRPr="00012C3F">
        <w:rPr>
          <w:sz w:val="20"/>
          <w:szCs w:val="20"/>
          <w:lang w:val="en-US" w:eastAsia="es-ES"/>
        </w:rPr>
        <w:t xml:space="preserve"> requir</w:t>
      </w:r>
      <w:r w:rsidRPr="00012C3F">
        <w:rPr>
          <w:sz w:val="20"/>
          <w:szCs w:val="20"/>
          <w:lang w:val="en-US" w:eastAsia="es-ES"/>
        </w:rPr>
        <w:t>ed the parties to submit certain information and documentation</w:t>
      </w:r>
      <w:r w:rsidR="005804E7" w:rsidRPr="00012C3F">
        <w:rPr>
          <w:sz w:val="20"/>
          <w:szCs w:val="20"/>
          <w:lang w:val="en-US" w:eastAsia="es-ES"/>
        </w:rPr>
        <w:t>.</w:t>
      </w:r>
      <w:r w:rsidRPr="00012C3F">
        <w:rPr>
          <w:sz w:val="20"/>
          <w:szCs w:val="20"/>
          <w:lang w:val="en-US" w:eastAsia="es-ES"/>
        </w:rPr>
        <w:t xml:space="preserve"> </w:t>
      </w:r>
      <w:r w:rsidR="005804E7" w:rsidRPr="00012C3F">
        <w:rPr>
          <w:sz w:val="20"/>
          <w:szCs w:val="20"/>
          <w:lang w:val="en-US" w:eastAsia="es-ES"/>
        </w:rPr>
        <w:t>I</w:t>
      </w:r>
      <w:r w:rsidRPr="00012C3F">
        <w:rPr>
          <w:sz w:val="20"/>
          <w:szCs w:val="20"/>
          <w:lang w:val="en-US" w:eastAsia="es-ES"/>
        </w:rPr>
        <w:t xml:space="preserve">n particular, it requested a complete copy of the case file of the administrative proceeding and of statements collected at the domestic level of </w:t>
      </w:r>
      <w:r w:rsidR="005804E7" w:rsidRPr="00012C3F">
        <w:rPr>
          <w:sz w:val="20"/>
          <w:szCs w:val="20"/>
          <w:lang w:val="en-US" w:eastAsia="es-ES"/>
        </w:rPr>
        <w:t>those</w:t>
      </w:r>
      <w:r w:rsidRPr="00012C3F">
        <w:rPr>
          <w:sz w:val="20"/>
          <w:szCs w:val="20"/>
          <w:lang w:val="en-US" w:eastAsia="es-ES"/>
        </w:rPr>
        <w:t xml:space="preserve"> who had been involved in or witnesse</w:t>
      </w:r>
      <w:r w:rsidR="005804E7" w:rsidRPr="00012C3F">
        <w:rPr>
          <w:sz w:val="20"/>
          <w:szCs w:val="20"/>
          <w:lang w:val="en-US" w:eastAsia="es-ES"/>
        </w:rPr>
        <w:t xml:space="preserve">d </w:t>
      </w:r>
      <w:r w:rsidRPr="00012C3F">
        <w:rPr>
          <w:sz w:val="20"/>
          <w:szCs w:val="20"/>
          <w:lang w:val="en-US" w:eastAsia="es-ES"/>
        </w:rPr>
        <w:t>the bilateral tubal liga</w:t>
      </w:r>
      <w:r w:rsidR="005804E7" w:rsidRPr="00012C3F">
        <w:rPr>
          <w:sz w:val="20"/>
          <w:szCs w:val="20"/>
          <w:lang w:val="en-US" w:eastAsia="es-ES"/>
        </w:rPr>
        <w:t>tion</w:t>
      </w:r>
      <w:r w:rsidRPr="00012C3F">
        <w:rPr>
          <w:sz w:val="20"/>
          <w:szCs w:val="20"/>
          <w:lang w:val="en-US" w:eastAsia="es-ES"/>
        </w:rPr>
        <w:t xml:space="preserve"> </w:t>
      </w:r>
      <w:r w:rsidRPr="00012C3F">
        <w:rPr>
          <w:rFonts w:eastAsia="Batang"/>
          <w:sz w:val="20"/>
          <w:lang w:val="en-US"/>
        </w:rPr>
        <w:t xml:space="preserve">procedure performed on </w:t>
      </w:r>
      <w:r w:rsidR="000E1C11" w:rsidRPr="00012C3F">
        <w:rPr>
          <w:rFonts w:eastAsia="Batang"/>
          <w:sz w:val="20"/>
          <w:lang w:val="en-US"/>
        </w:rPr>
        <w:t>I.V.</w:t>
      </w:r>
      <w:r w:rsidRPr="00012C3F">
        <w:rPr>
          <w:rFonts w:eastAsia="Batang"/>
          <w:sz w:val="20"/>
          <w:lang w:val="en-US"/>
        </w:rPr>
        <w:t xml:space="preserve"> The affidavits were received on April </w:t>
      </w:r>
      <w:r w:rsidR="006C37C9" w:rsidRPr="00012C3F">
        <w:rPr>
          <w:rFonts w:eastAsia="Verdana" w:cs="Verdana"/>
          <w:position w:val="-1"/>
          <w:sz w:val="20"/>
          <w:szCs w:val="20"/>
          <w:lang w:val="en-US"/>
        </w:rPr>
        <w:t>25, 28</w:t>
      </w:r>
      <w:r w:rsidR="005E5012" w:rsidRPr="00012C3F">
        <w:rPr>
          <w:rFonts w:eastAsia="Verdana" w:cs="Verdana"/>
          <w:position w:val="-1"/>
          <w:sz w:val="20"/>
          <w:szCs w:val="20"/>
          <w:lang w:val="en-US"/>
        </w:rPr>
        <w:t xml:space="preserve"> and </w:t>
      </w:r>
      <w:r w:rsidR="006C37C9" w:rsidRPr="00012C3F">
        <w:rPr>
          <w:rFonts w:eastAsia="Verdana" w:cs="Verdana"/>
          <w:position w:val="-1"/>
          <w:sz w:val="20"/>
          <w:szCs w:val="20"/>
          <w:lang w:val="en-US"/>
        </w:rPr>
        <w:t>29</w:t>
      </w:r>
      <w:r w:rsidRPr="00012C3F">
        <w:rPr>
          <w:rFonts w:eastAsia="Verdana" w:cs="Verdana"/>
          <w:position w:val="-1"/>
          <w:sz w:val="20"/>
          <w:szCs w:val="20"/>
          <w:lang w:val="en-US"/>
        </w:rPr>
        <w:t xml:space="preserve">, </w:t>
      </w:r>
      <w:r w:rsidR="006C37C9" w:rsidRPr="00012C3F">
        <w:rPr>
          <w:rFonts w:eastAsia="Verdana" w:cs="Verdana"/>
          <w:position w:val="-1"/>
          <w:sz w:val="20"/>
          <w:szCs w:val="20"/>
          <w:lang w:val="en-US"/>
        </w:rPr>
        <w:t>2016.</w:t>
      </w:r>
      <w:r w:rsidR="006C37C9" w:rsidRPr="00012C3F">
        <w:rPr>
          <w:rFonts w:eastAsia="Verdana" w:cs="Verdana"/>
          <w:i/>
          <w:sz w:val="20"/>
          <w:szCs w:val="20"/>
          <w:lang w:val="en-US"/>
        </w:rPr>
        <w:t xml:space="preserve"> </w:t>
      </w:r>
    </w:p>
    <w:p w14:paraId="71A454B3" w14:textId="77777777" w:rsidR="006C37C9" w:rsidRPr="00012C3F" w:rsidRDefault="006C37C9" w:rsidP="00095E76">
      <w:pPr>
        <w:tabs>
          <w:tab w:val="left" w:pos="720"/>
        </w:tabs>
        <w:autoSpaceDE w:val="0"/>
        <w:autoSpaceDN w:val="0"/>
        <w:spacing w:line="240" w:lineRule="auto"/>
        <w:rPr>
          <w:rFonts w:eastAsia="Verdana" w:cs="Verdana"/>
          <w:sz w:val="20"/>
          <w:szCs w:val="20"/>
          <w:lang w:val="en-US"/>
        </w:rPr>
      </w:pPr>
    </w:p>
    <w:p w14:paraId="48525D60" w14:textId="77777777" w:rsidR="003765A7" w:rsidRPr="00012C3F" w:rsidRDefault="003765A7" w:rsidP="00095E76">
      <w:pPr>
        <w:numPr>
          <w:ilvl w:val="0"/>
          <w:numId w:val="5"/>
        </w:numPr>
        <w:tabs>
          <w:tab w:val="left" w:pos="720"/>
          <w:tab w:val="num" w:pos="12305"/>
        </w:tabs>
        <w:spacing w:line="240" w:lineRule="auto"/>
        <w:ind w:left="0" w:firstLine="0"/>
        <w:rPr>
          <w:rFonts w:eastAsia="Verdana" w:cs="Verdana"/>
          <w:bCs/>
          <w:sz w:val="20"/>
          <w:szCs w:val="20"/>
          <w:lang w:val="en-US"/>
        </w:rPr>
      </w:pPr>
      <w:r w:rsidRPr="00012C3F">
        <w:rPr>
          <w:rFonts w:eastAsia="Verdana" w:cs="Verdana"/>
          <w:i/>
          <w:sz w:val="20"/>
          <w:szCs w:val="20"/>
          <w:lang w:val="en-US"/>
        </w:rPr>
        <w:t>Amic</w:t>
      </w:r>
      <w:r w:rsidR="00867066" w:rsidRPr="00012C3F">
        <w:rPr>
          <w:rFonts w:eastAsia="Verdana" w:cs="Verdana"/>
          <w:i/>
          <w:sz w:val="20"/>
          <w:szCs w:val="20"/>
          <w:lang w:val="en-US"/>
        </w:rPr>
        <w:t>i</w:t>
      </w:r>
      <w:r w:rsidRPr="00012C3F">
        <w:rPr>
          <w:rFonts w:eastAsia="Verdana" w:cs="Verdana"/>
          <w:i/>
          <w:sz w:val="20"/>
          <w:szCs w:val="20"/>
          <w:lang w:val="en-US"/>
        </w:rPr>
        <w:t xml:space="preserve"> curiae. </w:t>
      </w:r>
      <w:r w:rsidR="00B257AF" w:rsidRPr="00012C3F">
        <w:rPr>
          <w:rFonts w:eastAsia="Verdana" w:cs="Verdana"/>
          <w:sz w:val="20"/>
          <w:szCs w:val="20"/>
          <w:lang w:val="en-US"/>
        </w:rPr>
        <w:t xml:space="preserve">The Court receive </w:t>
      </w:r>
      <w:r w:rsidRPr="00012C3F">
        <w:rPr>
          <w:rFonts w:eastAsia="Verdana" w:cs="Verdana"/>
          <w:i/>
          <w:sz w:val="20"/>
          <w:szCs w:val="20"/>
          <w:lang w:val="en-US"/>
        </w:rPr>
        <w:t>amicus curiae</w:t>
      </w:r>
      <w:r w:rsidRPr="00012C3F">
        <w:rPr>
          <w:rFonts w:eastAsia="Verdana" w:cs="Verdana"/>
          <w:sz w:val="20"/>
          <w:szCs w:val="20"/>
          <w:lang w:val="en-US"/>
        </w:rPr>
        <w:t xml:space="preserve"> </w:t>
      </w:r>
      <w:r w:rsidR="00B257AF" w:rsidRPr="00012C3F">
        <w:rPr>
          <w:rFonts w:eastAsia="Verdana" w:cs="Verdana"/>
          <w:sz w:val="20"/>
          <w:szCs w:val="20"/>
          <w:lang w:val="en-US"/>
        </w:rPr>
        <w:t>briefs from:</w:t>
      </w:r>
      <w:r w:rsidRPr="00012C3F">
        <w:rPr>
          <w:rFonts w:eastAsia="Verdana" w:cs="Verdana"/>
          <w:sz w:val="20"/>
          <w:szCs w:val="20"/>
          <w:lang w:val="en-US"/>
        </w:rPr>
        <w:t xml:space="preserve"> (1) </w:t>
      </w:r>
      <w:r w:rsidR="00B257AF" w:rsidRPr="00012C3F">
        <w:rPr>
          <w:rFonts w:eastAsia="Verdana" w:cs="Verdana"/>
          <w:sz w:val="20"/>
          <w:szCs w:val="20"/>
          <w:lang w:val="en-US"/>
        </w:rPr>
        <w:t>the International Human Rights Law</w:t>
      </w:r>
      <w:r w:rsidR="00225327" w:rsidRPr="00012C3F">
        <w:rPr>
          <w:rFonts w:eastAsia="Verdana" w:cs="Verdana"/>
          <w:sz w:val="20"/>
          <w:szCs w:val="20"/>
          <w:lang w:val="en-US"/>
        </w:rPr>
        <w:t xml:space="preserve"> Clinic</w:t>
      </w:r>
      <w:r w:rsidR="00B257AF" w:rsidRPr="00012C3F">
        <w:rPr>
          <w:rFonts w:eastAsia="Verdana" w:cs="Verdana"/>
          <w:sz w:val="20"/>
          <w:szCs w:val="20"/>
          <w:lang w:val="en-US"/>
        </w:rPr>
        <w:t xml:space="preserve"> of the Faculty of Law </w:t>
      </w:r>
      <w:r w:rsidR="00B257AF" w:rsidRPr="00012C3F">
        <w:rPr>
          <w:rFonts w:cs="TimesNewRomanPSMT"/>
          <w:sz w:val="20"/>
          <w:szCs w:val="20"/>
          <w:lang w:val="en-US"/>
        </w:rPr>
        <w:t>of</w:t>
      </w:r>
      <w:r w:rsidRPr="00012C3F">
        <w:rPr>
          <w:rFonts w:cs="TimesNewRomanPSMT"/>
          <w:sz w:val="20"/>
          <w:szCs w:val="20"/>
          <w:lang w:val="en-US"/>
        </w:rPr>
        <w:t xml:space="preserve"> Aix-en-Provence (Franc</w:t>
      </w:r>
      <w:r w:rsidR="00B257AF" w:rsidRPr="00012C3F">
        <w:rPr>
          <w:rFonts w:cs="TimesNewRomanPSMT"/>
          <w:sz w:val="20"/>
          <w:szCs w:val="20"/>
          <w:lang w:val="en-US"/>
        </w:rPr>
        <w:t>e</w:t>
      </w:r>
      <w:r w:rsidRPr="00012C3F">
        <w:rPr>
          <w:rFonts w:cs="TimesNewRomanPSMT"/>
          <w:sz w:val="20"/>
          <w:szCs w:val="20"/>
          <w:lang w:val="en-US"/>
        </w:rPr>
        <w:t>)</w:t>
      </w:r>
      <w:r w:rsidRPr="00012C3F">
        <w:rPr>
          <w:rFonts w:eastAsia="Verdana" w:cs="Verdana"/>
          <w:sz w:val="20"/>
          <w:szCs w:val="20"/>
          <w:lang w:val="en-US"/>
        </w:rPr>
        <w:t>; (2)</w:t>
      </w:r>
      <w:r w:rsidRPr="00012C3F">
        <w:rPr>
          <w:rFonts w:eastAsia="Verdana" w:cs="Verdana"/>
          <w:bCs/>
          <w:sz w:val="20"/>
          <w:szCs w:val="20"/>
          <w:lang w:val="en-US"/>
        </w:rPr>
        <w:t xml:space="preserve"> </w:t>
      </w:r>
      <w:r w:rsidR="00B257AF" w:rsidRPr="00012C3F">
        <w:rPr>
          <w:rFonts w:cs="Calibri"/>
          <w:sz w:val="20"/>
          <w:szCs w:val="20"/>
          <w:lang w:val="en-US"/>
        </w:rPr>
        <w:t xml:space="preserve">the Human Rights </w:t>
      </w:r>
      <w:r w:rsidR="00225327" w:rsidRPr="00012C3F">
        <w:rPr>
          <w:rFonts w:cs="Calibri"/>
          <w:sz w:val="20"/>
          <w:szCs w:val="20"/>
          <w:lang w:val="en-US"/>
        </w:rPr>
        <w:t xml:space="preserve">and Gender Justice </w:t>
      </w:r>
      <w:r w:rsidR="00B257AF" w:rsidRPr="00012C3F">
        <w:rPr>
          <w:rFonts w:cs="Calibri"/>
          <w:sz w:val="20"/>
          <w:szCs w:val="20"/>
          <w:lang w:val="en-US"/>
        </w:rPr>
        <w:t>Clinic of the School</w:t>
      </w:r>
      <w:r w:rsidR="00225327" w:rsidRPr="00012C3F">
        <w:rPr>
          <w:rFonts w:cs="Calibri"/>
          <w:sz w:val="20"/>
          <w:szCs w:val="20"/>
          <w:lang w:val="en-US"/>
        </w:rPr>
        <w:t xml:space="preserve"> of Law</w:t>
      </w:r>
      <w:r w:rsidR="00B257AF" w:rsidRPr="00012C3F">
        <w:rPr>
          <w:rFonts w:cs="Calibri"/>
          <w:sz w:val="20"/>
          <w:szCs w:val="20"/>
          <w:lang w:val="en-US"/>
        </w:rPr>
        <w:t xml:space="preserve"> </w:t>
      </w:r>
      <w:r w:rsidR="00225327" w:rsidRPr="00012C3F">
        <w:rPr>
          <w:rFonts w:cs="Calibri"/>
          <w:sz w:val="20"/>
          <w:szCs w:val="20"/>
          <w:lang w:val="en-US"/>
        </w:rPr>
        <w:t>at</w:t>
      </w:r>
      <w:r w:rsidR="00B257AF" w:rsidRPr="00012C3F">
        <w:rPr>
          <w:rFonts w:cs="Calibri"/>
          <w:sz w:val="20"/>
          <w:szCs w:val="20"/>
          <w:lang w:val="en-US"/>
        </w:rPr>
        <w:t xml:space="preserve"> the City University of New York (CUNY)</w:t>
      </w:r>
      <w:r w:rsidR="00225327" w:rsidRPr="00012C3F">
        <w:rPr>
          <w:rFonts w:eastAsia="Verdana" w:cs="Verdana"/>
          <w:bCs/>
          <w:sz w:val="20"/>
          <w:szCs w:val="20"/>
          <w:lang w:val="en-US"/>
        </w:rPr>
        <w:t xml:space="preserve"> </w:t>
      </w:r>
      <w:r w:rsidR="005E5012" w:rsidRPr="00012C3F">
        <w:rPr>
          <w:rFonts w:cs="Calibri"/>
          <w:sz w:val="20"/>
          <w:szCs w:val="20"/>
          <w:lang w:val="en-US"/>
        </w:rPr>
        <w:t xml:space="preserve">and </w:t>
      </w:r>
      <w:r w:rsidRPr="00012C3F">
        <w:rPr>
          <w:rFonts w:cs="Calibri"/>
          <w:sz w:val="20"/>
          <w:szCs w:val="20"/>
          <w:lang w:val="en-US"/>
        </w:rPr>
        <w:t>Women Enabled International;</w:t>
      </w:r>
      <w:r w:rsidRPr="00012C3F">
        <w:rPr>
          <w:rFonts w:eastAsia="Verdana" w:cs="Verdana"/>
          <w:bCs/>
          <w:sz w:val="20"/>
          <w:szCs w:val="20"/>
          <w:lang w:val="en-US"/>
        </w:rPr>
        <w:t xml:space="preserve"> (3) </w:t>
      </w:r>
      <w:r w:rsidR="00B257AF" w:rsidRPr="00012C3F">
        <w:rPr>
          <w:rFonts w:eastAsia="Verdana" w:cs="Verdana"/>
          <w:bCs/>
          <w:sz w:val="20"/>
          <w:szCs w:val="20"/>
          <w:lang w:val="en-US"/>
        </w:rPr>
        <w:t xml:space="preserve">the Human Rights Clinic of the Law Faculty at the </w:t>
      </w:r>
      <w:r w:rsidRPr="00012C3F">
        <w:rPr>
          <w:rFonts w:eastAsia="Verdana" w:cs="Verdana"/>
          <w:bCs/>
          <w:sz w:val="20"/>
          <w:szCs w:val="20"/>
          <w:lang w:val="en-US"/>
        </w:rPr>
        <w:t>Universidad de Santa Clara</w:t>
      </w:r>
      <w:r w:rsidR="005E5012" w:rsidRPr="00012C3F">
        <w:rPr>
          <w:rFonts w:eastAsia="Verdana" w:cs="Verdana"/>
          <w:bCs/>
          <w:sz w:val="20"/>
          <w:szCs w:val="20"/>
          <w:lang w:val="en-US"/>
        </w:rPr>
        <w:t xml:space="preserve"> and </w:t>
      </w:r>
      <w:r w:rsidR="00B257AF" w:rsidRPr="00012C3F">
        <w:rPr>
          <w:rFonts w:eastAsia="Verdana" w:cs="Verdana"/>
          <w:bCs/>
          <w:sz w:val="20"/>
          <w:szCs w:val="20"/>
          <w:lang w:val="en-US"/>
        </w:rPr>
        <w:t>the International Justice</w:t>
      </w:r>
      <w:r w:rsidR="00225327" w:rsidRPr="00012C3F">
        <w:rPr>
          <w:rFonts w:eastAsia="Verdana" w:cs="Verdana"/>
          <w:bCs/>
          <w:sz w:val="20"/>
          <w:szCs w:val="20"/>
          <w:lang w:val="en-US"/>
        </w:rPr>
        <w:t xml:space="preserve"> Resources Center (Boliv</w:t>
      </w:r>
      <w:r w:rsidR="005804E7" w:rsidRPr="00012C3F">
        <w:rPr>
          <w:rFonts w:eastAsia="Verdana" w:cs="Verdana"/>
          <w:bCs/>
          <w:sz w:val="20"/>
          <w:szCs w:val="20"/>
          <w:lang w:val="en-US"/>
        </w:rPr>
        <w:t>i</w:t>
      </w:r>
      <w:r w:rsidR="00225327" w:rsidRPr="00012C3F">
        <w:rPr>
          <w:rFonts w:eastAsia="Verdana" w:cs="Verdana"/>
          <w:bCs/>
          <w:sz w:val="20"/>
          <w:szCs w:val="20"/>
          <w:lang w:val="en-US"/>
        </w:rPr>
        <w:t>a)</w:t>
      </w:r>
      <w:r w:rsidR="00B257AF" w:rsidRPr="00012C3F">
        <w:rPr>
          <w:rFonts w:eastAsia="Verdana" w:cs="Verdana"/>
          <w:bCs/>
          <w:sz w:val="20"/>
          <w:szCs w:val="20"/>
          <w:lang w:val="en-US"/>
        </w:rPr>
        <w:t xml:space="preserve">; </w:t>
      </w:r>
      <w:r w:rsidRPr="00012C3F">
        <w:rPr>
          <w:rFonts w:eastAsia="Verdana" w:cs="Verdana"/>
          <w:bCs/>
          <w:sz w:val="20"/>
          <w:szCs w:val="20"/>
          <w:lang w:val="en-US"/>
        </w:rPr>
        <w:t xml:space="preserve">(4) </w:t>
      </w:r>
      <w:r w:rsidR="00225327" w:rsidRPr="00012C3F">
        <w:rPr>
          <w:rFonts w:eastAsia="Verdana" w:cs="Verdana"/>
          <w:bCs/>
          <w:sz w:val="20"/>
          <w:szCs w:val="20"/>
          <w:lang w:val="en-US"/>
        </w:rPr>
        <w:t>the</w:t>
      </w:r>
      <w:r w:rsidRPr="00012C3F">
        <w:rPr>
          <w:rFonts w:eastAsia="Verdana" w:cs="Verdana"/>
          <w:bCs/>
          <w:sz w:val="20"/>
          <w:szCs w:val="20"/>
          <w:lang w:val="en-US"/>
        </w:rPr>
        <w:t xml:space="preserve"> Universi</w:t>
      </w:r>
      <w:r w:rsidR="00225327" w:rsidRPr="00012C3F">
        <w:rPr>
          <w:rFonts w:eastAsia="Verdana" w:cs="Verdana"/>
          <w:bCs/>
          <w:sz w:val="20"/>
          <w:szCs w:val="20"/>
          <w:lang w:val="en-US"/>
        </w:rPr>
        <w:t>ty of</w:t>
      </w:r>
      <w:r w:rsidRPr="00012C3F">
        <w:rPr>
          <w:rFonts w:eastAsia="Verdana" w:cs="Verdana"/>
          <w:bCs/>
          <w:sz w:val="20"/>
          <w:szCs w:val="20"/>
          <w:lang w:val="en-US"/>
        </w:rPr>
        <w:t xml:space="preserve"> Sussex</w:t>
      </w:r>
      <w:r w:rsidR="005E5012" w:rsidRPr="00012C3F">
        <w:rPr>
          <w:rFonts w:eastAsia="Verdana" w:cs="Verdana"/>
          <w:bCs/>
          <w:sz w:val="20"/>
          <w:szCs w:val="20"/>
          <w:lang w:val="en-US"/>
        </w:rPr>
        <w:t xml:space="preserve"> and </w:t>
      </w:r>
      <w:r w:rsidR="00225327" w:rsidRPr="00012C3F">
        <w:rPr>
          <w:rFonts w:eastAsia="Verdana" w:cs="Verdana"/>
          <w:bCs/>
          <w:sz w:val="20"/>
          <w:szCs w:val="20"/>
          <w:lang w:val="en-US"/>
        </w:rPr>
        <w:t>the Rights and Justice Research Centre</w:t>
      </w:r>
      <w:r w:rsidRPr="00012C3F">
        <w:rPr>
          <w:rFonts w:eastAsia="Verdana" w:cs="Verdana"/>
          <w:bCs/>
          <w:sz w:val="20"/>
          <w:szCs w:val="20"/>
          <w:lang w:val="en-US"/>
        </w:rPr>
        <w:t xml:space="preserve">; (5) </w:t>
      </w:r>
      <w:r w:rsidR="00225327" w:rsidRPr="00012C3F">
        <w:rPr>
          <w:rFonts w:eastAsia="Verdana" w:cs="Verdana"/>
          <w:bCs/>
          <w:sz w:val="20"/>
          <w:szCs w:val="20"/>
          <w:lang w:val="en-US"/>
        </w:rPr>
        <w:t>the</w:t>
      </w:r>
      <w:r w:rsidRPr="00012C3F">
        <w:rPr>
          <w:rFonts w:eastAsia="Verdana" w:cs="Verdana"/>
          <w:bCs/>
          <w:sz w:val="20"/>
          <w:szCs w:val="20"/>
          <w:lang w:val="en-US"/>
        </w:rPr>
        <w:t xml:space="preserve"> </w:t>
      </w:r>
      <w:r w:rsidR="00225327" w:rsidRPr="00012C3F">
        <w:rPr>
          <w:rFonts w:eastAsia="Verdana" w:cs="Verdana"/>
          <w:bCs/>
          <w:sz w:val="20"/>
          <w:szCs w:val="20"/>
          <w:lang w:val="en-US"/>
        </w:rPr>
        <w:t xml:space="preserve">Allard </w:t>
      </w:r>
      <w:r w:rsidRPr="00012C3F">
        <w:rPr>
          <w:rFonts w:eastAsia="Verdana" w:cs="Verdana"/>
          <w:bCs/>
          <w:sz w:val="20"/>
          <w:szCs w:val="20"/>
          <w:lang w:val="en-US"/>
        </w:rPr>
        <w:t>K. Lowenstein International</w:t>
      </w:r>
      <w:r w:rsidR="00225327" w:rsidRPr="00012C3F">
        <w:rPr>
          <w:rFonts w:eastAsia="Verdana" w:cs="Verdana"/>
          <w:bCs/>
          <w:sz w:val="20"/>
          <w:szCs w:val="20"/>
          <w:lang w:val="en-US"/>
        </w:rPr>
        <w:t xml:space="preserve"> Human Rights Clinic</w:t>
      </w:r>
      <w:r w:rsidRPr="00012C3F">
        <w:rPr>
          <w:rFonts w:eastAsia="Verdana" w:cs="Verdana"/>
          <w:bCs/>
          <w:sz w:val="20"/>
          <w:szCs w:val="20"/>
          <w:lang w:val="en-US"/>
        </w:rPr>
        <w:t xml:space="preserve"> </w:t>
      </w:r>
      <w:r w:rsidR="00225327" w:rsidRPr="00012C3F">
        <w:rPr>
          <w:rFonts w:eastAsia="Verdana" w:cs="Verdana"/>
          <w:bCs/>
          <w:sz w:val="20"/>
          <w:szCs w:val="20"/>
          <w:lang w:val="en-US"/>
        </w:rPr>
        <w:t>of the Law School of the University of</w:t>
      </w:r>
      <w:r w:rsidRPr="00012C3F">
        <w:rPr>
          <w:rFonts w:eastAsia="Verdana" w:cs="Verdana"/>
          <w:bCs/>
          <w:sz w:val="20"/>
          <w:szCs w:val="20"/>
          <w:lang w:val="en-US"/>
        </w:rPr>
        <w:t xml:space="preserve"> Yale</w:t>
      </w:r>
      <w:r w:rsidR="005E5012" w:rsidRPr="00012C3F">
        <w:rPr>
          <w:rFonts w:eastAsia="Verdana" w:cs="Verdana"/>
          <w:bCs/>
          <w:sz w:val="20"/>
          <w:szCs w:val="20"/>
          <w:lang w:val="en-US"/>
        </w:rPr>
        <w:t xml:space="preserve"> and </w:t>
      </w:r>
      <w:r w:rsidRPr="00012C3F">
        <w:rPr>
          <w:rFonts w:eastAsia="Verdana" w:cs="Verdana"/>
          <w:bCs/>
          <w:sz w:val="20"/>
          <w:szCs w:val="20"/>
          <w:lang w:val="en-US"/>
        </w:rPr>
        <w:t>Wome</w:t>
      </w:r>
      <w:r w:rsidR="00225327" w:rsidRPr="00012C3F">
        <w:rPr>
          <w:rFonts w:eastAsia="Verdana" w:cs="Verdana"/>
          <w:bCs/>
          <w:sz w:val="20"/>
          <w:szCs w:val="20"/>
          <w:lang w:val="en-US"/>
        </w:rPr>
        <w:t>n’</w:t>
      </w:r>
      <w:r w:rsidRPr="00012C3F">
        <w:rPr>
          <w:rFonts w:eastAsia="Verdana" w:cs="Verdana"/>
          <w:bCs/>
          <w:sz w:val="20"/>
          <w:szCs w:val="20"/>
          <w:lang w:val="en-US"/>
        </w:rPr>
        <w:t>s Link Worldwide,</w:t>
      </w:r>
      <w:r w:rsidR="005E5012" w:rsidRPr="00012C3F">
        <w:rPr>
          <w:rFonts w:eastAsia="Verdana" w:cs="Verdana"/>
          <w:bCs/>
          <w:sz w:val="20"/>
          <w:szCs w:val="20"/>
          <w:lang w:val="en-US"/>
        </w:rPr>
        <w:t xml:space="preserve"> and </w:t>
      </w:r>
      <w:r w:rsidRPr="00012C3F">
        <w:rPr>
          <w:rFonts w:eastAsia="Verdana" w:cs="Verdana"/>
          <w:bCs/>
          <w:sz w:val="20"/>
          <w:szCs w:val="20"/>
          <w:lang w:val="en-US"/>
        </w:rPr>
        <w:t xml:space="preserve">(6) </w:t>
      </w:r>
      <w:r w:rsidR="00225327" w:rsidRPr="00012C3F">
        <w:rPr>
          <w:rFonts w:eastAsia="Verdana" w:cs="Verdana"/>
          <w:bCs/>
          <w:sz w:val="20"/>
          <w:szCs w:val="20"/>
          <w:lang w:val="en-US"/>
        </w:rPr>
        <w:t xml:space="preserve">the Reproductive Rights Center, on April 22, and May </w:t>
      </w:r>
      <w:r w:rsidRPr="00012C3F">
        <w:rPr>
          <w:rFonts w:eastAsia="Verdana" w:cs="Verdana"/>
          <w:sz w:val="20"/>
          <w:szCs w:val="20"/>
          <w:lang w:val="en-US"/>
        </w:rPr>
        <w:t>10, 13, 14, 16</w:t>
      </w:r>
      <w:r w:rsidR="005E5012" w:rsidRPr="00012C3F">
        <w:rPr>
          <w:rFonts w:eastAsia="Verdana" w:cs="Verdana"/>
          <w:sz w:val="20"/>
          <w:szCs w:val="20"/>
          <w:lang w:val="en-US"/>
        </w:rPr>
        <w:t xml:space="preserve"> and </w:t>
      </w:r>
      <w:r w:rsidRPr="00012C3F">
        <w:rPr>
          <w:rFonts w:eastAsia="Verdana" w:cs="Verdana"/>
          <w:sz w:val="20"/>
          <w:szCs w:val="20"/>
          <w:lang w:val="en-US"/>
        </w:rPr>
        <w:t>17</w:t>
      </w:r>
      <w:r w:rsidR="00225327" w:rsidRPr="00012C3F">
        <w:rPr>
          <w:rFonts w:eastAsia="Verdana" w:cs="Verdana"/>
          <w:sz w:val="20"/>
          <w:szCs w:val="20"/>
          <w:lang w:val="en-US"/>
        </w:rPr>
        <w:t xml:space="preserve">, </w:t>
      </w:r>
      <w:r w:rsidRPr="00012C3F">
        <w:rPr>
          <w:rFonts w:eastAsia="Verdana" w:cs="Verdana"/>
          <w:sz w:val="20"/>
          <w:szCs w:val="20"/>
          <w:lang w:val="en-US"/>
        </w:rPr>
        <w:t>2016, respectiv</w:t>
      </w:r>
      <w:r w:rsidR="00225327" w:rsidRPr="00012C3F">
        <w:rPr>
          <w:rFonts w:eastAsia="Verdana" w:cs="Verdana"/>
          <w:sz w:val="20"/>
          <w:szCs w:val="20"/>
          <w:lang w:val="en-US"/>
        </w:rPr>
        <w:t>ely</w:t>
      </w:r>
      <w:r w:rsidRPr="00012C3F">
        <w:rPr>
          <w:rFonts w:eastAsia="Verdana" w:cs="Verdana"/>
          <w:sz w:val="20"/>
          <w:szCs w:val="20"/>
          <w:lang w:val="en-US"/>
        </w:rPr>
        <w:t>.</w:t>
      </w:r>
    </w:p>
    <w:p w14:paraId="1AD4F994" w14:textId="77777777" w:rsidR="003765A7" w:rsidRPr="00012C3F" w:rsidRDefault="003765A7" w:rsidP="00095E76">
      <w:pPr>
        <w:tabs>
          <w:tab w:val="left" w:pos="720"/>
        </w:tabs>
        <w:autoSpaceDE w:val="0"/>
        <w:autoSpaceDN w:val="0"/>
        <w:spacing w:line="240" w:lineRule="auto"/>
        <w:rPr>
          <w:rFonts w:eastAsia="Verdana" w:cs="Verdana"/>
          <w:sz w:val="20"/>
          <w:szCs w:val="20"/>
          <w:lang w:val="en-US"/>
        </w:rPr>
      </w:pPr>
    </w:p>
    <w:p w14:paraId="7777641A" w14:textId="77777777" w:rsidR="006C37C9" w:rsidRPr="00012C3F" w:rsidRDefault="00CA45D0" w:rsidP="00095E76">
      <w:pPr>
        <w:numPr>
          <w:ilvl w:val="0"/>
          <w:numId w:val="5"/>
        </w:numPr>
        <w:tabs>
          <w:tab w:val="left" w:pos="720"/>
          <w:tab w:val="num" w:pos="12305"/>
        </w:tabs>
        <w:spacing w:line="240" w:lineRule="auto"/>
        <w:ind w:left="0" w:firstLine="0"/>
        <w:rPr>
          <w:rFonts w:cs="Verdana"/>
          <w:snapToGrid w:val="0"/>
          <w:sz w:val="20"/>
          <w:szCs w:val="20"/>
          <w:lang w:val="en-US" w:eastAsia="es-ES"/>
        </w:rPr>
      </w:pPr>
      <w:bookmarkStart w:id="23" w:name="_Ref354147731"/>
      <w:r w:rsidRPr="00012C3F">
        <w:rPr>
          <w:rFonts w:cs="Verdana"/>
          <w:i/>
          <w:sz w:val="20"/>
          <w:szCs w:val="20"/>
          <w:lang w:val="en-US"/>
        </w:rPr>
        <w:t>Final written arguments and observations</w:t>
      </w:r>
      <w:r w:rsidR="006C37C9" w:rsidRPr="00012C3F">
        <w:rPr>
          <w:rFonts w:cs="Verdana"/>
          <w:i/>
          <w:sz w:val="20"/>
          <w:szCs w:val="20"/>
          <w:lang w:val="en-US"/>
        </w:rPr>
        <w:t xml:space="preserve">. </w:t>
      </w:r>
      <w:bookmarkEnd w:id="23"/>
      <w:r w:rsidRPr="00012C3F">
        <w:rPr>
          <w:rFonts w:cs="Verdana"/>
          <w:snapToGrid w:val="0"/>
          <w:sz w:val="20"/>
          <w:szCs w:val="20"/>
          <w:lang w:val="en-US" w:eastAsia="es-ES"/>
        </w:rPr>
        <w:t xml:space="preserve">On May 31 and June 2, </w:t>
      </w:r>
      <w:r w:rsidR="006C37C9" w:rsidRPr="00012C3F">
        <w:rPr>
          <w:rFonts w:cs="Verdana"/>
          <w:snapToGrid w:val="0"/>
          <w:sz w:val="20"/>
          <w:szCs w:val="20"/>
          <w:lang w:val="en-US" w:eastAsia="es-ES"/>
        </w:rPr>
        <w:t xml:space="preserve">2016, </w:t>
      </w:r>
      <w:r w:rsidR="00972ACF" w:rsidRPr="00012C3F">
        <w:rPr>
          <w:rFonts w:cs="Verdana"/>
          <w:snapToGrid w:val="0"/>
          <w:sz w:val="20"/>
          <w:szCs w:val="20"/>
          <w:lang w:val="en-US" w:eastAsia="es-ES"/>
        </w:rPr>
        <w:t>the representative</w:t>
      </w:r>
      <w:r w:rsidR="005E5012" w:rsidRPr="00012C3F">
        <w:rPr>
          <w:rFonts w:cs="Verdana"/>
          <w:snapToGrid w:val="0"/>
          <w:sz w:val="20"/>
          <w:szCs w:val="20"/>
          <w:lang w:val="en-US" w:eastAsia="es-ES"/>
        </w:rPr>
        <w:t xml:space="preserve"> and </w:t>
      </w:r>
      <w:r w:rsidR="00A84CA0" w:rsidRPr="00012C3F">
        <w:rPr>
          <w:rFonts w:cs="Verdana"/>
          <w:snapToGrid w:val="0"/>
          <w:sz w:val="20"/>
          <w:szCs w:val="20"/>
          <w:lang w:val="en-US" w:eastAsia="es-ES"/>
        </w:rPr>
        <w:t xml:space="preserve">the </w:t>
      </w:r>
      <w:r w:rsidRPr="00012C3F">
        <w:rPr>
          <w:rFonts w:cs="Verdana"/>
          <w:snapToGrid w:val="0"/>
          <w:sz w:val="20"/>
          <w:szCs w:val="20"/>
          <w:lang w:val="en-US" w:eastAsia="es-ES"/>
        </w:rPr>
        <w:t xml:space="preserve">State, respectively, forwarded their final written arguments, as well as various annexes, and on June 2, 2016, </w:t>
      </w:r>
      <w:r w:rsidR="001254DE" w:rsidRPr="00012C3F">
        <w:rPr>
          <w:rFonts w:cs="Verdana"/>
          <w:snapToGrid w:val="0"/>
          <w:sz w:val="20"/>
          <w:szCs w:val="20"/>
          <w:lang w:val="en-US" w:eastAsia="es-ES"/>
        </w:rPr>
        <w:t xml:space="preserve">the </w:t>
      </w:r>
      <w:r w:rsidR="00A84CA0" w:rsidRPr="00012C3F">
        <w:rPr>
          <w:rFonts w:cs="Verdana"/>
          <w:snapToGrid w:val="0"/>
          <w:sz w:val="20"/>
          <w:szCs w:val="20"/>
          <w:lang w:val="en-US" w:eastAsia="es-ES"/>
        </w:rPr>
        <w:t>Commission</w:t>
      </w:r>
      <w:r w:rsidR="006C37C9" w:rsidRPr="00012C3F">
        <w:rPr>
          <w:rFonts w:cs="Verdana"/>
          <w:snapToGrid w:val="0"/>
          <w:sz w:val="20"/>
          <w:szCs w:val="20"/>
          <w:lang w:val="en-US" w:eastAsia="es-ES"/>
        </w:rPr>
        <w:t xml:space="preserve"> </w:t>
      </w:r>
      <w:r w:rsidRPr="00012C3F">
        <w:rPr>
          <w:rFonts w:cs="Verdana"/>
          <w:snapToGrid w:val="0"/>
          <w:sz w:val="20"/>
          <w:szCs w:val="20"/>
          <w:lang w:val="en-US" w:eastAsia="es-ES"/>
        </w:rPr>
        <w:t>presented its final written observations.</w:t>
      </w:r>
    </w:p>
    <w:p w14:paraId="3A482245" w14:textId="77777777" w:rsidR="006C37C9" w:rsidRPr="00012C3F" w:rsidRDefault="006C37C9" w:rsidP="00095E76">
      <w:pPr>
        <w:tabs>
          <w:tab w:val="left" w:pos="720"/>
        </w:tabs>
        <w:autoSpaceDE w:val="0"/>
        <w:autoSpaceDN w:val="0"/>
        <w:spacing w:line="240" w:lineRule="auto"/>
        <w:rPr>
          <w:rFonts w:eastAsia="Batang"/>
          <w:sz w:val="20"/>
          <w:lang w:val="en-US"/>
        </w:rPr>
      </w:pPr>
    </w:p>
    <w:p w14:paraId="7C578F66" w14:textId="77777777" w:rsidR="00CA45D0" w:rsidRPr="00012C3F" w:rsidRDefault="00CA45D0" w:rsidP="00095E76">
      <w:pPr>
        <w:numPr>
          <w:ilvl w:val="0"/>
          <w:numId w:val="5"/>
        </w:numPr>
        <w:tabs>
          <w:tab w:val="left" w:pos="720"/>
          <w:tab w:val="num" w:pos="12305"/>
        </w:tabs>
        <w:spacing w:line="240" w:lineRule="auto"/>
        <w:ind w:left="0" w:firstLine="0"/>
        <w:rPr>
          <w:rFonts w:eastAsia="Batang"/>
          <w:sz w:val="20"/>
          <w:lang w:val="en-US"/>
        </w:rPr>
      </w:pPr>
      <w:r w:rsidRPr="00012C3F">
        <w:rPr>
          <w:rFonts w:eastAsia="Batang"/>
          <w:i/>
          <w:sz w:val="20"/>
          <w:lang w:val="en-US"/>
        </w:rPr>
        <w:t>Helpful evidence</w:t>
      </w:r>
      <w:r w:rsidR="00C92904" w:rsidRPr="00012C3F">
        <w:rPr>
          <w:rFonts w:eastAsia="Batang"/>
          <w:i/>
          <w:sz w:val="20"/>
          <w:lang w:val="en-US"/>
        </w:rPr>
        <w:t xml:space="preserve">. </w:t>
      </w:r>
      <w:r w:rsidR="005804E7" w:rsidRPr="00012C3F">
        <w:rPr>
          <w:rFonts w:eastAsia="Batang"/>
          <w:sz w:val="20"/>
          <w:lang w:val="en-US"/>
        </w:rPr>
        <w:t>As</w:t>
      </w:r>
      <w:r w:rsidR="00C92904" w:rsidRPr="00012C3F">
        <w:rPr>
          <w:rFonts w:eastAsia="Batang"/>
          <w:sz w:val="20"/>
          <w:lang w:val="en-US"/>
        </w:rPr>
        <w:t xml:space="preserve"> </w:t>
      </w:r>
      <w:r w:rsidR="00A84CA0" w:rsidRPr="00012C3F">
        <w:rPr>
          <w:rFonts w:eastAsia="Batang"/>
          <w:sz w:val="20"/>
          <w:lang w:val="en-US"/>
        </w:rPr>
        <w:t>the State</w:t>
      </w:r>
      <w:r w:rsidR="00C92904" w:rsidRPr="00012C3F">
        <w:rPr>
          <w:rFonts w:eastAsia="Batang"/>
          <w:sz w:val="20"/>
          <w:lang w:val="en-US"/>
        </w:rPr>
        <w:t xml:space="preserve"> </w:t>
      </w:r>
      <w:r w:rsidRPr="00012C3F">
        <w:rPr>
          <w:rFonts w:eastAsia="Batang"/>
          <w:sz w:val="20"/>
          <w:lang w:val="en-US"/>
        </w:rPr>
        <w:t xml:space="preserve">did not forward all the information requested during the respective hearing, </w:t>
      </w:r>
      <w:r w:rsidR="005804E7" w:rsidRPr="00012C3F">
        <w:rPr>
          <w:rFonts w:eastAsia="Batang"/>
          <w:sz w:val="20"/>
          <w:lang w:val="en-US"/>
        </w:rPr>
        <w:t xml:space="preserve">since </w:t>
      </w:r>
      <w:r w:rsidRPr="00012C3F">
        <w:rPr>
          <w:rFonts w:eastAsia="Batang"/>
          <w:sz w:val="20"/>
          <w:lang w:val="en-US"/>
        </w:rPr>
        <w:t xml:space="preserve">it </w:t>
      </w:r>
      <w:r w:rsidR="005804E7" w:rsidRPr="00012C3F">
        <w:rPr>
          <w:rFonts w:eastAsia="Batang"/>
          <w:sz w:val="20"/>
          <w:lang w:val="en-US"/>
        </w:rPr>
        <w:t>did not</w:t>
      </w:r>
      <w:r w:rsidRPr="00012C3F">
        <w:rPr>
          <w:rFonts w:eastAsia="Batang"/>
          <w:sz w:val="20"/>
          <w:lang w:val="en-US"/>
        </w:rPr>
        <w:t xml:space="preserve"> submit a complete copy of the file of the administrative proceeding, but only “significant documents” from this proceeding, and failed to remit the statements collected at the domestic level of those who had been involved </w:t>
      </w:r>
      <w:r w:rsidR="005804E7" w:rsidRPr="00012C3F">
        <w:rPr>
          <w:rFonts w:eastAsia="Batang"/>
          <w:sz w:val="20"/>
          <w:lang w:val="en-US"/>
        </w:rPr>
        <w:t xml:space="preserve">in </w:t>
      </w:r>
      <w:r w:rsidRPr="00012C3F">
        <w:rPr>
          <w:rFonts w:eastAsia="Batang"/>
          <w:sz w:val="20"/>
          <w:lang w:val="en-US"/>
        </w:rPr>
        <w:t xml:space="preserve">or had witnessed the bilateral tubal ligation procedure to which </w:t>
      </w:r>
      <w:r w:rsidR="000E1C11" w:rsidRPr="00012C3F">
        <w:rPr>
          <w:rFonts w:eastAsia="Batang"/>
          <w:sz w:val="20"/>
          <w:lang w:val="en-US"/>
        </w:rPr>
        <w:t>I.V.</w:t>
      </w:r>
      <w:r w:rsidRPr="00012C3F">
        <w:rPr>
          <w:rFonts w:eastAsia="Batang"/>
          <w:sz w:val="20"/>
          <w:lang w:val="en-US"/>
        </w:rPr>
        <w:t xml:space="preserve"> was subjected, it was asked to forward this information by June 24, 2016. On that date, the State remitted some clarifications concerning the helpful evidence. In particular, it indicated that “the State’s institutions do not have the complete file of the [… administrative] proceeding.” Regarding the statements, it advised that these </w:t>
      </w:r>
      <w:r w:rsidR="005804E7" w:rsidRPr="00012C3F">
        <w:rPr>
          <w:rFonts w:eastAsia="Batang"/>
          <w:sz w:val="20"/>
          <w:lang w:val="en-US"/>
        </w:rPr>
        <w:t>had been</w:t>
      </w:r>
      <w:r w:rsidRPr="00012C3F">
        <w:rPr>
          <w:rFonts w:eastAsia="Batang"/>
          <w:sz w:val="20"/>
          <w:lang w:val="en-US"/>
        </w:rPr>
        <w:t xml:space="preserve"> collected and assessed opportunely by the jurisdictional authority during the criminal proceedings and were referred to in the rulings of the administrative proceeding and the medical audits.</w:t>
      </w:r>
    </w:p>
    <w:p w14:paraId="46253032" w14:textId="77777777" w:rsidR="00C92904" w:rsidRPr="00012C3F" w:rsidRDefault="00C92904" w:rsidP="00095E76">
      <w:pPr>
        <w:tabs>
          <w:tab w:val="left" w:pos="720"/>
        </w:tabs>
        <w:autoSpaceDE w:val="0"/>
        <w:autoSpaceDN w:val="0"/>
        <w:spacing w:line="240" w:lineRule="auto"/>
        <w:rPr>
          <w:rFonts w:eastAsia="Batang"/>
          <w:sz w:val="20"/>
          <w:lang w:val="en-US"/>
        </w:rPr>
      </w:pPr>
    </w:p>
    <w:p w14:paraId="1BB6B69F" w14:textId="77777777" w:rsidR="006C37C9" w:rsidRPr="00012C3F" w:rsidRDefault="006C37C9" w:rsidP="00095E76">
      <w:pPr>
        <w:numPr>
          <w:ilvl w:val="0"/>
          <w:numId w:val="5"/>
        </w:numPr>
        <w:tabs>
          <w:tab w:val="left" w:pos="720"/>
          <w:tab w:val="num" w:pos="12305"/>
        </w:tabs>
        <w:spacing w:line="240" w:lineRule="auto"/>
        <w:ind w:left="0" w:firstLine="0"/>
        <w:rPr>
          <w:rFonts w:cs="Verdana"/>
          <w:snapToGrid w:val="0"/>
          <w:sz w:val="20"/>
          <w:szCs w:val="20"/>
          <w:lang w:val="en-US" w:eastAsia="es-ES"/>
        </w:rPr>
      </w:pPr>
      <w:bookmarkStart w:id="24" w:name="_Ref313990861"/>
      <w:r w:rsidRPr="00012C3F">
        <w:rPr>
          <w:rFonts w:cs="Verdana"/>
          <w:i/>
          <w:snapToGrid w:val="0"/>
          <w:sz w:val="20"/>
          <w:szCs w:val="20"/>
          <w:lang w:val="en-US" w:eastAsia="es-ES"/>
        </w:rPr>
        <w:t>Observa</w:t>
      </w:r>
      <w:r w:rsidR="00CA45D0" w:rsidRPr="00012C3F">
        <w:rPr>
          <w:rFonts w:cs="Verdana"/>
          <w:i/>
          <w:snapToGrid w:val="0"/>
          <w:sz w:val="20"/>
          <w:szCs w:val="20"/>
          <w:lang w:val="en-US" w:eastAsia="es-ES"/>
        </w:rPr>
        <w:t xml:space="preserve">tions of the parties </w:t>
      </w:r>
      <w:r w:rsidR="005E5012" w:rsidRPr="00012C3F">
        <w:rPr>
          <w:rFonts w:cs="Verdana"/>
          <w:i/>
          <w:snapToGrid w:val="0"/>
          <w:sz w:val="20"/>
          <w:szCs w:val="20"/>
          <w:lang w:val="en-US" w:eastAsia="es-ES"/>
        </w:rPr>
        <w:t xml:space="preserve">and </w:t>
      </w:r>
      <w:r w:rsidR="001254DE" w:rsidRPr="00012C3F">
        <w:rPr>
          <w:rFonts w:cs="Verdana"/>
          <w:i/>
          <w:snapToGrid w:val="0"/>
          <w:sz w:val="20"/>
          <w:szCs w:val="20"/>
          <w:lang w:val="en-US" w:eastAsia="es-ES"/>
        </w:rPr>
        <w:t xml:space="preserve">the </w:t>
      </w:r>
      <w:r w:rsidR="00A84CA0" w:rsidRPr="00012C3F">
        <w:rPr>
          <w:rFonts w:cs="Verdana"/>
          <w:i/>
          <w:snapToGrid w:val="0"/>
          <w:sz w:val="20"/>
          <w:szCs w:val="20"/>
          <w:lang w:val="en-US" w:eastAsia="es-ES"/>
        </w:rPr>
        <w:t>Commission</w:t>
      </w:r>
      <w:r w:rsidRPr="00012C3F">
        <w:rPr>
          <w:rFonts w:cs="Verdana"/>
          <w:i/>
          <w:snapToGrid w:val="0"/>
          <w:sz w:val="20"/>
          <w:szCs w:val="20"/>
          <w:lang w:val="en-US" w:eastAsia="es-ES"/>
        </w:rPr>
        <w:t xml:space="preserve">. </w:t>
      </w:r>
      <w:r w:rsidR="00CA45D0" w:rsidRPr="00012C3F">
        <w:rPr>
          <w:rFonts w:cs="Verdana"/>
          <w:snapToGrid w:val="0"/>
          <w:sz w:val="20"/>
          <w:szCs w:val="20"/>
          <w:lang w:val="en-US" w:eastAsia="es-ES"/>
        </w:rPr>
        <w:t>The</w:t>
      </w:r>
      <w:r w:rsidRPr="00012C3F">
        <w:rPr>
          <w:rFonts w:cs="Verdana"/>
          <w:snapToGrid w:val="0"/>
          <w:sz w:val="20"/>
          <w:szCs w:val="20"/>
          <w:lang w:val="en-US" w:eastAsia="es-ES"/>
        </w:rPr>
        <w:t xml:space="preserve"> </w:t>
      </w:r>
      <w:r w:rsidR="001254DE" w:rsidRPr="00012C3F">
        <w:rPr>
          <w:rFonts w:cs="Verdana"/>
          <w:snapToGrid w:val="0"/>
          <w:sz w:val="20"/>
          <w:szCs w:val="20"/>
          <w:lang w:val="en-US" w:eastAsia="es-ES"/>
        </w:rPr>
        <w:t>President</w:t>
      </w:r>
      <w:r w:rsidRPr="00012C3F">
        <w:rPr>
          <w:rFonts w:cs="Verdana"/>
          <w:snapToGrid w:val="0"/>
          <w:sz w:val="20"/>
          <w:szCs w:val="20"/>
          <w:lang w:val="en-US" w:eastAsia="es-ES"/>
        </w:rPr>
        <w:t xml:space="preserve"> </w:t>
      </w:r>
      <w:r w:rsidR="00CA45D0" w:rsidRPr="00012C3F">
        <w:rPr>
          <w:rFonts w:cs="Verdana"/>
          <w:snapToGrid w:val="0"/>
          <w:sz w:val="20"/>
          <w:szCs w:val="20"/>
          <w:lang w:val="en-US" w:eastAsia="es-ES"/>
        </w:rPr>
        <w:t xml:space="preserve">granted the parties and </w:t>
      </w:r>
      <w:r w:rsidR="001254DE" w:rsidRPr="00012C3F">
        <w:rPr>
          <w:rFonts w:cs="Verdana"/>
          <w:snapToGrid w:val="0"/>
          <w:sz w:val="20"/>
          <w:szCs w:val="20"/>
          <w:lang w:val="en-US" w:eastAsia="es-ES"/>
        </w:rPr>
        <w:t xml:space="preserve">the </w:t>
      </w:r>
      <w:r w:rsidR="00A84CA0" w:rsidRPr="00012C3F">
        <w:rPr>
          <w:rFonts w:cs="Verdana"/>
          <w:snapToGrid w:val="0"/>
          <w:sz w:val="20"/>
          <w:szCs w:val="20"/>
          <w:lang w:val="en-US" w:eastAsia="es-ES"/>
        </w:rPr>
        <w:t>Commission</w:t>
      </w:r>
      <w:r w:rsidR="005804E7" w:rsidRPr="00012C3F">
        <w:rPr>
          <w:rFonts w:cs="Verdana"/>
          <w:snapToGrid w:val="0"/>
          <w:sz w:val="20"/>
          <w:szCs w:val="20"/>
          <w:lang w:val="en-US" w:eastAsia="es-ES"/>
        </w:rPr>
        <w:t xml:space="preserve"> a specific time frame</w:t>
      </w:r>
      <w:r w:rsidRPr="00012C3F">
        <w:rPr>
          <w:rFonts w:cs="Verdana"/>
          <w:snapToGrid w:val="0"/>
          <w:sz w:val="20"/>
          <w:szCs w:val="20"/>
          <w:lang w:val="en-US" w:eastAsia="es-ES"/>
        </w:rPr>
        <w:t xml:space="preserve"> </w:t>
      </w:r>
      <w:r w:rsidR="005804E7" w:rsidRPr="00012C3F">
        <w:rPr>
          <w:rFonts w:cs="Verdana"/>
          <w:snapToGrid w:val="0"/>
          <w:sz w:val="20"/>
          <w:szCs w:val="20"/>
          <w:lang w:val="en-US" w:eastAsia="es-ES"/>
        </w:rPr>
        <w:t>to</w:t>
      </w:r>
      <w:r w:rsidR="00CA45D0" w:rsidRPr="00012C3F">
        <w:rPr>
          <w:rFonts w:cs="Verdana"/>
          <w:snapToGrid w:val="0"/>
          <w:sz w:val="20"/>
          <w:szCs w:val="20"/>
          <w:lang w:val="en-US" w:eastAsia="es-ES"/>
        </w:rPr>
        <w:t xml:space="preserve"> submit any observations they deemed pertinent on the annexes forwarded by </w:t>
      </w:r>
      <w:r w:rsidR="00A84CA0" w:rsidRPr="00012C3F">
        <w:rPr>
          <w:rFonts w:cs="Verdana"/>
          <w:snapToGrid w:val="0"/>
          <w:sz w:val="20"/>
          <w:szCs w:val="20"/>
          <w:lang w:val="en-US" w:eastAsia="es-ES"/>
        </w:rPr>
        <w:t>the State</w:t>
      </w:r>
      <w:r w:rsidR="005E5012" w:rsidRPr="00012C3F">
        <w:rPr>
          <w:rFonts w:cs="Verdana"/>
          <w:snapToGrid w:val="0"/>
          <w:sz w:val="20"/>
          <w:szCs w:val="20"/>
          <w:lang w:val="en-US" w:eastAsia="es-ES"/>
        </w:rPr>
        <w:t xml:space="preserve"> and </w:t>
      </w:r>
      <w:r w:rsidR="00972ACF" w:rsidRPr="00012C3F">
        <w:rPr>
          <w:rFonts w:cs="Verdana"/>
          <w:snapToGrid w:val="0"/>
          <w:sz w:val="20"/>
          <w:szCs w:val="20"/>
          <w:lang w:val="en-US" w:eastAsia="es-ES"/>
        </w:rPr>
        <w:t>the representative</w:t>
      </w:r>
      <w:r w:rsidRPr="00012C3F">
        <w:rPr>
          <w:rFonts w:cs="Verdana"/>
          <w:snapToGrid w:val="0"/>
          <w:sz w:val="20"/>
          <w:szCs w:val="20"/>
          <w:lang w:val="en-US" w:eastAsia="es-ES"/>
        </w:rPr>
        <w:t xml:space="preserve"> </w:t>
      </w:r>
      <w:r w:rsidR="00CA45D0" w:rsidRPr="00012C3F">
        <w:rPr>
          <w:rFonts w:cs="Verdana"/>
          <w:snapToGrid w:val="0"/>
          <w:sz w:val="20"/>
          <w:szCs w:val="20"/>
          <w:lang w:val="en-US" w:eastAsia="es-ES"/>
        </w:rPr>
        <w:t xml:space="preserve">with their final written arguments. On July 5, 2016, </w:t>
      </w:r>
      <w:bookmarkStart w:id="25" w:name="_Ref303582878"/>
      <w:bookmarkEnd w:id="24"/>
      <w:r w:rsidR="00A84CA0" w:rsidRPr="00012C3F">
        <w:rPr>
          <w:rFonts w:cs="Verdana"/>
          <w:snapToGrid w:val="0"/>
          <w:sz w:val="20"/>
          <w:szCs w:val="20"/>
          <w:lang w:val="en-US" w:eastAsia="es-ES"/>
        </w:rPr>
        <w:t>the State</w:t>
      </w:r>
      <w:r w:rsidRPr="00012C3F">
        <w:rPr>
          <w:rFonts w:cs="Verdana"/>
          <w:snapToGrid w:val="0"/>
          <w:sz w:val="20"/>
          <w:szCs w:val="20"/>
          <w:lang w:val="en-US" w:eastAsia="es-ES"/>
        </w:rPr>
        <w:t xml:space="preserve"> </w:t>
      </w:r>
      <w:r w:rsidR="00CA45D0" w:rsidRPr="00012C3F">
        <w:rPr>
          <w:rFonts w:cs="Verdana"/>
          <w:snapToGrid w:val="0"/>
          <w:sz w:val="20"/>
          <w:szCs w:val="20"/>
          <w:lang w:val="en-US" w:eastAsia="es-ES"/>
        </w:rPr>
        <w:t xml:space="preserve">forwarded the observations requested. </w:t>
      </w:r>
      <w:bookmarkEnd w:id="25"/>
      <w:r w:rsidR="00972ACF" w:rsidRPr="00012C3F">
        <w:rPr>
          <w:rFonts w:cs="Verdana"/>
          <w:snapToGrid w:val="0"/>
          <w:sz w:val="20"/>
          <w:szCs w:val="20"/>
          <w:lang w:val="en-US" w:eastAsia="es-ES"/>
        </w:rPr>
        <w:t>The representative</w:t>
      </w:r>
      <w:r w:rsidRPr="00012C3F">
        <w:rPr>
          <w:rFonts w:cs="Verdana"/>
          <w:snapToGrid w:val="0"/>
          <w:sz w:val="20"/>
          <w:szCs w:val="20"/>
          <w:lang w:val="en-US" w:eastAsia="es-ES"/>
        </w:rPr>
        <w:t xml:space="preserve"> </w:t>
      </w:r>
      <w:r w:rsidR="00CA45D0" w:rsidRPr="00012C3F">
        <w:rPr>
          <w:rFonts w:cs="Verdana"/>
          <w:snapToGrid w:val="0"/>
          <w:sz w:val="20"/>
          <w:szCs w:val="20"/>
          <w:lang w:val="en-US" w:eastAsia="es-ES"/>
        </w:rPr>
        <w:t xml:space="preserve">did not </w:t>
      </w:r>
      <w:r w:rsidR="005804E7" w:rsidRPr="00012C3F">
        <w:rPr>
          <w:rFonts w:cs="Verdana"/>
          <w:snapToGrid w:val="0"/>
          <w:sz w:val="20"/>
          <w:szCs w:val="20"/>
          <w:lang w:val="en-US" w:eastAsia="es-ES"/>
        </w:rPr>
        <w:t>send</w:t>
      </w:r>
      <w:r w:rsidR="00CA45D0" w:rsidRPr="00012C3F">
        <w:rPr>
          <w:rFonts w:cs="Verdana"/>
          <w:snapToGrid w:val="0"/>
          <w:sz w:val="20"/>
          <w:szCs w:val="20"/>
          <w:lang w:val="en-US" w:eastAsia="es-ES"/>
        </w:rPr>
        <w:t xml:space="preserve"> observations within the time frame granted to this end</w:t>
      </w:r>
      <w:r w:rsidR="00095E76" w:rsidRPr="00012C3F">
        <w:rPr>
          <w:rFonts w:cs="Verdana"/>
          <w:snapToGrid w:val="0"/>
          <w:sz w:val="20"/>
          <w:szCs w:val="20"/>
          <w:lang w:val="en-US" w:eastAsia="es-ES"/>
        </w:rPr>
        <w:t xml:space="preserve"> and, following an extension, </w:t>
      </w:r>
      <w:r w:rsidR="001254DE" w:rsidRPr="00012C3F">
        <w:rPr>
          <w:rFonts w:cs="Verdana"/>
          <w:snapToGrid w:val="0"/>
          <w:sz w:val="20"/>
          <w:szCs w:val="20"/>
          <w:lang w:val="en-US" w:eastAsia="es-ES"/>
        </w:rPr>
        <w:t xml:space="preserve">the </w:t>
      </w:r>
      <w:r w:rsidR="00A84CA0" w:rsidRPr="00012C3F">
        <w:rPr>
          <w:rFonts w:cs="Verdana"/>
          <w:snapToGrid w:val="0"/>
          <w:sz w:val="20"/>
          <w:szCs w:val="20"/>
          <w:lang w:val="en-US" w:eastAsia="es-ES"/>
        </w:rPr>
        <w:t>Commission</w:t>
      </w:r>
      <w:r w:rsidR="00095E76" w:rsidRPr="00012C3F">
        <w:rPr>
          <w:rFonts w:cs="Verdana"/>
          <w:snapToGrid w:val="0"/>
          <w:sz w:val="20"/>
          <w:szCs w:val="20"/>
          <w:lang w:val="en-US" w:eastAsia="es-ES"/>
        </w:rPr>
        <w:t xml:space="preserve"> indicated that it had no observations to present,</w:t>
      </w:r>
    </w:p>
    <w:p w14:paraId="4B88BE0A" w14:textId="77777777" w:rsidR="006C37C9" w:rsidRPr="00012C3F" w:rsidRDefault="006C37C9" w:rsidP="00095E76">
      <w:pPr>
        <w:tabs>
          <w:tab w:val="left" w:pos="720"/>
          <w:tab w:val="left" w:pos="1134"/>
          <w:tab w:val="num" w:pos="6042"/>
        </w:tabs>
        <w:autoSpaceDE w:val="0"/>
        <w:autoSpaceDN w:val="0"/>
        <w:spacing w:line="240" w:lineRule="auto"/>
        <w:rPr>
          <w:rFonts w:eastAsia="Calibri" w:cs="Verdana"/>
          <w:snapToGrid w:val="0"/>
          <w:sz w:val="20"/>
          <w:szCs w:val="20"/>
          <w:lang w:val="en-US" w:eastAsia="es-ES"/>
        </w:rPr>
      </w:pPr>
    </w:p>
    <w:p w14:paraId="57EF5C06" w14:textId="77777777" w:rsidR="006C37C9" w:rsidRPr="00012C3F" w:rsidRDefault="00095E76" w:rsidP="004C6FCC">
      <w:pPr>
        <w:numPr>
          <w:ilvl w:val="0"/>
          <w:numId w:val="5"/>
        </w:numPr>
        <w:tabs>
          <w:tab w:val="left" w:pos="720"/>
          <w:tab w:val="num" w:pos="6042"/>
          <w:tab w:val="num" w:pos="12305"/>
        </w:tabs>
        <w:autoSpaceDE w:val="0"/>
        <w:autoSpaceDN w:val="0"/>
        <w:spacing w:line="240" w:lineRule="auto"/>
        <w:ind w:left="0" w:firstLine="0"/>
        <w:rPr>
          <w:rFonts w:eastAsia="Calibri" w:cs="Verdana"/>
          <w:snapToGrid w:val="0"/>
          <w:sz w:val="20"/>
          <w:szCs w:val="20"/>
          <w:lang w:val="en-US" w:eastAsia="es-ES"/>
        </w:rPr>
      </w:pPr>
      <w:r w:rsidRPr="00012C3F">
        <w:rPr>
          <w:rFonts w:cs="Verdana"/>
          <w:i/>
          <w:snapToGrid w:val="0"/>
          <w:sz w:val="20"/>
          <w:szCs w:val="20"/>
          <w:lang w:val="en-US" w:eastAsia="es-ES"/>
        </w:rPr>
        <w:t>Disbursements in application of the Legal Assistance Fund</w:t>
      </w:r>
      <w:r w:rsidR="006C37C9" w:rsidRPr="00012C3F">
        <w:rPr>
          <w:rFonts w:cs="Verdana"/>
          <w:i/>
          <w:snapToGrid w:val="0"/>
          <w:sz w:val="20"/>
          <w:szCs w:val="20"/>
          <w:lang w:val="en-US" w:eastAsia="es-ES"/>
        </w:rPr>
        <w:t>.</w:t>
      </w:r>
      <w:r w:rsidR="006C37C9" w:rsidRPr="00012C3F">
        <w:rPr>
          <w:rFonts w:cs="Verdana"/>
          <w:snapToGrid w:val="0"/>
          <w:sz w:val="20"/>
          <w:szCs w:val="20"/>
          <w:lang w:val="en-US" w:eastAsia="es-ES"/>
        </w:rPr>
        <w:t xml:space="preserve"> </w:t>
      </w:r>
      <w:r w:rsidRPr="00012C3F">
        <w:rPr>
          <w:rFonts w:cs="Verdana"/>
          <w:snapToGrid w:val="0"/>
          <w:sz w:val="20"/>
          <w:szCs w:val="20"/>
          <w:lang w:val="en-US" w:eastAsia="es-ES"/>
        </w:rPr>
        <w:t>On July 26,</w:t>
      </w:r>
      <w:r w:rsidR="006C37C9" w:rsidRPr="00012C3F">
        <w:rPr>
          <w:rFonts w:cs="Verdana"/>
          <w:snapToGrid w:val="0"/>
          <w:sz w:val="20"/>
          <w:szCs w:val="20"/>
          <w:lang w:val="en-US" w:eastAsia="es-ES"/>
        </w:rPr>
        <w:t xml:space="preserve"> 2016</w:t>
      </w:r>
      <w:r w:rsidRPr="00012C3F">
        <w:rPr>
          <w:rFonts w:cs="Verdana"/>
          <w:snapToGrid w:val="0"/>
          <w:sz w:val="20"/>
          <w:szCs w:val="20"/>
          <w:lang w:val="en-US" w:eastAsia="es-ES"/>
        </w:rPr>
        <w:t xml:space="preserve">, the Secretariat, on the instructions of the </w:t>
      </w:r>
      <w:r w:rsidR="001254DE" w:rsidRPr="00012C3F">
        <w:rPr>
          <w:rFonts w:cs="Verdana"/>
          <w:snapToGrid w:val="0"/>
          <w:sz w:val="20"/>
          <w:szCs w:val="20"/>
          <w:lang w:val="en-US" w:eastAsia="es-ES"/>
        </w:rPr>
        <w:t>President of the Court</w:t>
      </w:r>
      <w:r w:rsidR="006C37C9" w:rsidRPr="00012C3F">
        <w:rPr>
          <w:rFonts w:cs="Verdana"/>
          <w:snapToGrid w:val="0"/>
          <w:sz w:val="20"/>
          <w:szCs w:val="20"/>
          <w:lang w:val="en-US" w:eastAsia="es-ES"/>
        </w:rPr>
        <w:t xml:space="preserve">, </w:t>
      </w:r>
      <w:r w:rsidRPr="00012C3F">
        <w:rPr>
          <w:rFonts w:cs="Verdana"/>
          <w:snapToGrid w:val="0"/>
          <w:sz w:val="20"/>
          <w:szCs w:val="20"/>
          <w:lang w:val="en-US" w:eastAsia="es-ES"/>
        </w:rPr>
        <w:t>sent the State information on the disbursement</w:t>
      </w:r>
      <w:r w:rsidR="005804E7" w:rsidRPr="00012C3F">
        <w:rPr>
          <w:rFonts w:cs="Verdana"/>
          <w:snapToGrid w:val="0"/>
          <w:sz w:val="20"/>
          <w:szCs w:val="20"/>
          <w:lang w:val="en-US" w:eastAsia="es-ES"/>
        </w:rPr>
        <w:t>s</w:t>
      </w:r>
      <w:r w:rsidRPr="00012C3F">
        <w:rPr>
          <w:rFonts w:cs="Verdana"/>
          <w:snapToGrid w:val="0"/>
          <w:sz w:val="20"/>
          <w:szCs w:val="20"/>
          <w:lang w:val="en-US" w:eastAsia="es-ES"/>
        </w:rPr>
        <w:t xml:space="preserve"> made in application of the </w:t>
      </w:r>
      <w:r w:rsidR="00B257AF" w:rsidRPr="00012C3F">
        <w:rPr>
          <w:rFonts w:cs="Verdana"/>
          <w:snapToGrid w:val="0"/>
          <w:sz w:val="20"/>
          <w:szCs w:val="20"/>
          <w:lang w:val="en-US" w:eastAsia="es-ES"/>
        </w:rPr>
        <w:t>Victims’ Legal Assistance Fund</w:t>
      </w:r>
      <w:r w:rsidR="006C37C9" w:rsidRPr="00012C3F">
        <w:rPr>
          <w:rFonts w:cs="Verdana"/>
          <w:snapToGrid w:val="0"/>
          <w:sz w:val="20"/>
          <w:szCs w:val="20"/>
          <w:lang w:val="en-US" w:eastAsia="es-ES"/>
        </w:rPr>
        <w:t xml:space="preserve"> </w:t>
      </w:r>
      <w:r w:rsidRPr="00012C3F">
        <w:rPr>
          <w:rFonts w:cs="Verdana"/>
          <w:snapToGrid w:val="0"/>
          <w:sz w:val="20"/>
          <w:szCs w:val="20"/>
          <w:lang w:val="en-US" w:eastAsia="es-ES"/>
        </w:rPr>
        <w:t>in this case and, as provided for in a</w:t>
      </w:r>
      <w:r w:rsidR="001254DE" w:rsidRPr="00012C3F">
        <w:rPr>
          <w:rFonts w:cs="Verdana"/>
          <w:snapToGrid w:val="0"/>
          <w:sz w:val="20"/>
          <w:szCs w:val="20"/>
          <w:lang w:val="en-US" w:eastAsia="es-ES"/>
        </w:rPr>
        <w:t>rticle</w:t>
      </w:r>
      <w:r w:rsidR="006C37C9" w:rsidRPr="00012C3F">
        <w:rPr>
          <w:rFonts w:cs="Verdana"/>
          <w:snapToGrid w:val="0"/>
          <w:sz w:val="20"/>
          <w:szCs w:val="20"/>
          <w:lang w:val="en-US" w:eastAsia="es-ES"/>
        </w:rPr>
        <w:t xml:space="preserve"> 5</w:t>
      </w:r>
      <w:r w:rsidR="001254DE" w:rsidRPr="00012C3F">
        <w:rPr>
          <w:rFonts w:cs="Verdana"/>
          <w:snapToGrid w:val="0"/>
          <w:sz w:val="20"/>
          <w:szCs w:val="20"/>
          <w:lang w:val="en-US" w:eastAsia="es-ES"/>
        </w:rPr>
        <w:t xml:space="preserve"> of the </w:t>
      </w:r>
      <w:r w:rsidRPr="00012C3F">
        <w:rPr>
          <w:rFonts w:cs="Verdana"/>
          <w:snapToGrid w:val="0"/>
          <w:sz w:val="20"/>
          <w:szCs w:val="20"/>
          <w:lang w:val="en-US" w:eastAsia="es-ES"/>
        </w:rPr>
        <w:t xml:space="preserve">Court’s </w:t>
      </w:r>
      <w:r w:rsidR="001254DE" w:rsidRPr="00012C3F">
        <w:rPr>
          <w:rFonts w:cs="Verdana"/>
          <w:snapToGrid w:val="0"/>
          <w:sz w:val="20"/>
          <w:szCs w:val="20"/>
          <w:lang w:val="en-US" w:eastAsia="es-ES"/>
        </w:rPr>
        <w:t xml:space="preserve">Rules </w:t>
      </w:r>
      <w:r w:rsidRPr="00012C3F">
        <w:rPr>
          <w:rFonts w:cs="Verdana"/>
          <w:snapToGrid w:val="0"/>
          <w:sz w:val="20"/>
          <w:szCs w:val="20"/>
          <w:lang w:val="en-US" w:eastAsia="es-ES"/>
        </w:rPr>
        <w:t>for the operation of the Fund, granted it a time frame to present a</w:t>
      </w:r>
      <w:r w:rsidR="000E1C11" w:rsidRPr="00012C3F">
        <w:rPr>
          <w:rFonts w:cs="Verdana"/>
          <w:snapToGrid w:val="0"/>
          <w:sz w:val="20"/>
          <w:szCs w:val="20"/>
          <w:lang w:val="en-US" w:eastAsia="es-ES"/>
        </w:rPr>
        <w:t>n</w:t>
      </w:r>
      <w:r w:rsidRPr="00012C3F">
        <w:rPr>
          <w:rFonts w:cs="Verdana"/>
          <w:snapToGrid w:val="0"/>
          <w:sz w:val="20"/>
          <w:szCs w:val="20"/>
          <w:lang w:val="en-US" w:eastAsia="es-ES"/>
        </w:rPr>
        <w:t>y</w:t>
      </w:r>
      <w:r w:rsidR="000E1C11" w:rsidRPr="00012C3F">
        <w:rPr>
          <w:rFonts w:cs="Verdana"/>
          <w:snapToGrid w:val="0"/>
          <w:sz w:val="20"/>
          <w:szCs w:val="20"/>
          <w:lang w:val="en-US" w:eastAsia="es-ES"/>
        </w:rPr>
        <w:t xml:space="preserve"> </w:t>
      </w:r>
      <w:r w:rsidRPr="00012C3F">
        <w:rPr>
          <w:rFonts w:cs="Verdana"/>
          <w:snapToGrid w:val="0"/>
          <w:sz w:val="20"/>
          <w:szCs w:val="20"/>
          <w:lang w:val="en-US" w:eastAsia="es-ES"/>
        </w:rPr>
        <w:t xml:space="preserve">observations it deemed pertinent. </w:t>
      </w:r>
      <w:r w:rsidR="00A84CA0" w:rsidRPr="00012C3F">
        <w:rPr>
          <w:rFonts w:cs="Verdana"/>
          <w:snapToGrid w:val="0"/>
          <w:sz w:val="20"/>
          <w:szCs w:val="20"/>
          <w:lang w:val="en-US" w:eastAsia="es-ES"/>
        </w:rPr>
        <w:t>The State</w:t>
      </w:r>
      <w:r w:rsidR="006C37C9" w:rsidRPr="00012C3F">
        <w:rPr>
          <w:rFonts w:cs="Verdana"/>
          <w:snapToGrid w:val="0"/>
          <w:sz w:val="20"/>
          <w:szCs w:val="20"/>
          <w:lang w:val="en-US" w:eastAsia="es-ES"/>
        </w:rPr>
        <w:t xml:space="preserve"> </w:t>
      </w:r>
      <w:r w:rsidRPr="00012C3F">
        <w:rPr>
          <w:rFonts w:cs="Verdana"/>
          <w:snapToGrid w:val="0"/>
          <w:sz w:val="20"/>
          <w:szCs w:val="20"/>
          <w:lang w:val="en-US" w:eastAsia="es-ES"/>
        </w:rPr>
        <w:t>did not present observations within the respective time frame.</w:t>
      </w:r>
    </w:p>
    <w:p w14:paraId="14AA3C95" w14:textId="77777777" w:rsidR="00095E76" w:rsidRPr="00012C3F" w:rsidRDefault="00095E76" w:rsidP="004C6FCC">
      <w:pPr>
        <w:tabs>
          <w:tab w:val="left" w:pos="567"/>
          <w:tab w:val="left" w:pos="720"/>
          <w:tab w:val="num" w:pos="6042"/>
        </w:tabs>
        <w:autoSpaceDE w:val="0"/>
        <w:autoSpaceDN w:val="0"/>
        <w:spacing w:line="240" w:lineRule="auto"/>
        <w:rPr>
          <w:rFonts w:eastAsia="Calibri" w:cs="Verdana"/>
          <w:snapToGrid w:val="0"/>
          <w:sz w:val="20"/>
          <w:szCs w:val="20"/>
          <w:lang w:val="en-US" w:eastAsia="es-ES"/>
        </w:rPr>
      </w:pPr>
    </w:p>
    <w:p w14:paraId="61E2D0E8" w14:textId="77777777" w:rsidR="006C37C9" w:rsidRPr="00012C3F" w:rsidRDefault="006C37C9" w:rsidP="002D4AF2">
      <w:pPr>
        <w:numPr>
          <w:ilvl w:val="0"/>
          <w:numId w:val="5"/>
        </w:numPr>
        <w:tabs>
          <w:tab w:val="left" w:pos="720"/>
          <w:tab w:val="num" w:pos="12305"/>
        </w:tabs>
        <w:spacing w:line="240" w:lineRule="auto"/>
        <w:ind w:left="0" w:firstLine="0"/>
        <w:rPr>
          <w:rFonts w:cs="Verdana"/>
          <w:snapToGrid w:val="0"/>
          <w:sz w:val="20"/>
          <w:szCs w:val="20"/>
          <w:lang w:val="en-US" w:eastAsia="es-ES"/>
        </w:rPr>
      </w:pPr>
      <w:r w:rsidRPr="00012C3F">
        <w:rPr>
          <w:rFonts w:cs="Verdana"/>
          <w:i/>
          <w:snapToGrid w:val="0"/>
          <w:sz w:val="20"/>
          <w:szCs w:val="20"/>
          <w:lang w:val="en-US" w:eastAsia="es-ES"/>
        </w:rPr>
        <w:t>Delibera</w:t>
      </w:r>
      <w:r w:rsidR="00095E76" w:rsidRPr="00012C3F">
        <w:rPr>
          <w:rFonts w:cs="Verdana"/>
          <w:i/>
          <w:snapToGrid w:val="0"/>
          <w:sz w:val="20"/>
          <w:szCs w:val="20"/>
          <w:lang w:val="en-US" w:eastAsia="es-ES"/>
        </w:rPr>
        <w:t>tion of th</w:t>
      </w:r>
      <w:r w:rsidR="003E495C" w:rsidRPr="00012C3F">
        <w:rPr>
          <w:rFonts w:cs="Verdana"/>
          <w:i/>
          <w:snapToGrid w:val="0"/>
          <w:sz w:val="20"/>
          <w:szCs w:val="20"/>
          <w:lang w:val="en-US" w:eastAsia="es-ES"/>
        </w:rPr>
        <w:t>e</w:t>
      </w:r>
      <w:r w:rsidR="00095E76" w:rsidRPr="00012C3F">
        <w:rPr>
          <w:rFonts w:cs="Verdana"/>
          <w:i/>
          <w:snapToGrid w:val="0"/>
          <w:sz w:val="20"/>
          <w:szCs w:val="20"/>
          <w:lang w:val="en-US" w:eastAsia="es-ES"/>
        </w:rPr>
        <w:t xml:space="preserve"> case</w:t>
      </w:r>
      <w:r w:rsidRPr="00012C3F">
        <w:rPr>
          <w:rFonts w:cs="Verdana"/>
          <w:i/>
          <w:iCs/>
          <w:snapToGrid w:val="0"/>
          <w:sz w:val="20"/>
          <w:szCs w:val="20"/>
          <w:lang w:val="en-US" w:eastAsia="es-ES"/>
        </w:rPr>
        <w:t xml:space="preserve">. </w:t>
      </w:r>
      <w:r w:rsidR="001254DE" w:rsidRPr="00012C3F">
        <w:rPr>
          <w:rFonts w:cs="Verdana"/>
          <w:snapToGrid w:val="0"/>
          <w:sz w:val="20"/>
          <w:szCs w:val="20"/>
          <w:lang w:val="en-US" w:eastAsia="es-ES"/>
        </w:rPr>
        <w:t>The Court</w:t>
      </w:r>
      <w:r w:rsidRPr="00012C3F">
        <w:rPr>
          <w:rFonts w:cs="Verdana"/>
          <w:snapToGrid w:val="0"/>
          <w:sz w:val="20"/>
          <w:szCs w:val="20"/>
          <w:lang w:val="en-US" w:eastAsia="es-ES"/>
        </w:rPr>
        <w:t xml:space="preserve"> </w:t>
      </w:r>
      <w:r w:rsidR="00095E76" w:rsidRPr="00012C3F">
        <w:rPr>
          <w:rFonts w:cs="Verdana"/>
          <w:snapToGrid w:val="0"/>
          <w:sz w:val="20"/>
          <w:szCs w:val="20"/>
          <w:lang w:val="en-US" w:eastAsia="es-ES"/>
        </w:rPr>
        <w:t>began deliberat</w:t>
      </w:r>
      <w:r w:rsidR="003E495C" w:rsidRPr="00012C3F">
        <w:rPr>
          <w:rFonts w:cs="Verdana"/>
          <w:snapToGrid w:val="0"/>
          <w:sz w:val="20"/>
          <w:szCs w:val="20"/>
          <w:lang w:val="en-US" w:eastAsia="es-ES"/>
        </w:rPr>
        <w:t>ing</w:t>
      </w:r>
      <w:r w:rsidR="00095E76" w:rsidRPr="00012C3F">
        <w:rPr>
          <w:rFonts w:cs="Verdana"/>
          <w:snapToGrid w:val="0"/>
          <w:sz w:val="20"/>
          <w:szCs w:val="20"/>
          <w:lang w:val="en-US" w:eastAsia="es-ES"/>
        </w:rPr>
        <w:t xml:space="preserve"> this </w:t>
      </w:r>
      <w:r w:rsidR="002D4AF2">
        <w:rPr>
          <w:rFonts w:cs="Verdana"/>
          <w:snapToGrid w:val="0"/>
          <w:sz w:val="20"/>
          <w:szCs w:val="20"/>
          <w:lang w:val="en-US" w:eastAsia="es-ES"/>
        </w:rPr>
        <w:t>case</w:t>
      </w:r>
      <w:r w:rsidR="00095E76" w:rsidRPr="00012C3F">
        <w:rPr>
          <w:rFonts w:cs="Verdana"/>
          <w:snapToGrid w:val="0"/>
          <w:sz w:val="20"/>
          <w:szCs w:val="20"/>
          <w:lang w:val="en-US" w:eastAsia="es-ES"/>
        </w:rPr>
        <w:t xml:space="preserve"> on November 29,  </w:t>
      </w:r>
      <w:r w:rsidR="00693379" w:rsidRPr="00012C3F">
        <w:rPr>
          <w:rFonts w:cs="Verdana"/>
          <w:snapToGrid w:val="0"/>
          <w:sz w:val="20"/>
          <w:szCs w:val="20"/>
          <w:lang w:val="en-US" w:eastAsia="es-ES"/>
        </w:rPr>
        <w:t>2016</w:t>
      </w:r>
      <w:r w:rsidRPr="00012C3F">
        <w:rPr>
          <w:rFonts w:cs="Verdana"/>
          <w:snapToGrid w:val="0"/>
          <w:sz w:val="20"/>
          <w:szCs w:val="20"/>
          <w:lang w:val="en-US" w:eastAsia="es-ES"/>
        </w:rPr>
        <w:t>.</w:t>
      </w:r>
    </w:p>
    <w:p w14:paraId="557537A3" w14:textId="77777777" w:rsidR="006C37C9" w:rsidRPr="00012C3F" w:rsidRDefault="006C37C9" w:rsidP="00A93967">
      <w:pPr>
        <w:keepNext/>
        <w:keepLines/>
        <w:tabs>
          <w:tab w:val="left" w:pos="851"/>
        </w:tabs>
        <w:spacing w:line="240" w:lineRule="auto"/>
        <w:jc w:val="center"/>
        <w:outlineLvl w:val="0"/>
        <w:rPr>
          <w:rFonts w:cs="Verdana"/>
          <w:b/>
          <w:bCs/>
          <w:caps/>
          <w:snapToGrid w:val="0"/>
          <w:sz w:val="20"/>
          <w:szCs w:val="20"/>
          <w:lang w:val="en-US"/>
        </w:rPr>
      </w:pPr>
      <w:bookmarkStart w:id="26" w:name="_Toc27486818"/>
      <w:r w:rsidRPr="00012C3F">
        <w:rPr>
          <w:rFonts w:cs="Verdana"/>
          <w:b/>
          <w:bCs/>
          <w:caps/>
          <w:snapToGrid w:val="0"/>
          <w:sz w:val="20"/>
          <w:szCs w:val="20"/>
          <w:lang w:val="en-US"/>
        </w:rPr>
        <w:lastRenderedPageBreak/>
        <w:t>III</w:t>
      </w:r>
      <w:r w:rsidRPr="00012C3F">
        <w:rPr>
          <w:rFonts w:cs="Verdana"/>
          <w:b/>
          <w:bCs/>
          <w:caps/>
          <w:snapToGrid w:val="0"/>
          <w:sz w:val="20"/>
          <w:szCs w:val="20"/>
          <w:lang w:val="en-US"/>
        </w:rPr>
        <w:br/>
      </w:r>
      <w:r w:rsidR="00F07D0C" w:rsidRPr="00012C3F">
        <w:rPr>
          <w:rFonts w:cs="Verdana"/>
          <w:b/>
          <w:bCs/>
          <w:caps/>
          <w:snapToGrid w:val="0"/>
          <w:sz w:val="20"/>
          <w:szCs w:val="20"/>
          <w:lang w:val="en-US"/>
        </w:rPr>
        <w:t>JURISDICTION</w:t>
      </w:r>
      <w:bookmarkEnd w:id="26"/>
    </w:p>
    <w:p w14:paraId="0CE43C83" w14:textId="77777777" w:rsidR="006C37C9" w:rsidRPr="00012C3F" w:rsidRDefault="006C37C9" w:rsidP="006C37C9">
      <w:pPr>
        <w:spacing w:before="5" w:line="240" w:lineRule="auto"/>
        <w:rPr>
          <w:lang w:val="en-US"/>
        </w:rPr>
      </w:pPr>
    </w:p>
    <w:p w14:paraId="2AF22E54" w14:textId="77777777" w:rsidR="006C37C9" w:rsidRPr="00012C3F" w:rsidRDefault="001254DE" w:rsidP="00491B95">
      <w:pPr>
        <w:numPr>
          <w:ilvl w:val="0"/>
          <w:numId w:val="5"/>
        </w:numPr>
        <w:tabs>
          <w:tab w:val="left" w:pos="720"/>
          <w:tab w:val="num" w:pos="12305"/>
        </w:tabs>
        <w:spacing w:line="240" w:lineRule="auto"/>
        <w:ind w:left="0" w:firstLine="0"/>
        <w:rPr>
          <w:lang w:val="en-US"/>
        </w:rPr>
      </w:pPr>
      <w:r w:rsidRPr="00012C3F">
        <w:rPr>
          <w:sz w:val="20"/>
          <w:lang w:val="en-US"/>
        </w:rPr>
        <w:t>The Inter-American Court</w:t>
      </w:r>
      <w:r w:rsidR="006C37C9" w:rsidRPr="00012C3F">
        <w:rPr>
          <w:sz w:val="20"/>
          <w:lang w:val="en-US"/>
        </w:rPr>
        <w:t xml:space="preserve"> </w:t>
      </w:r>
      <w:r w:rsidR="00F07D0C" w:rsidRPr="00012C3F">
        <w:rPr>
          <w:sz w:val="20"/>
          <w:lang w:val="en-US"/>
        </w:rPr>
        <w:t xml:space="preserve">has jurisdiction to hear this case, pursuant to </w:t>
      </w:r>
      <w:r w:rsidRPr="00012C3F">
        <w:rPr>
          <w:sz w:val="20"/>
          <w:lang w:val="en-US"/>
        </w:rPr>
        <w:t>Article</w:t>
      </w:r>
      <w:r w:rsidR="006C37C9" w:rsidRPr="00012C3F">
        <w:rPr>
          <w:sz w:val="20"/>
          <w:lang w:val="en-US"/>
        </w:rPr>
        <w:t xml:space="preserve"> </w:t>
      </w:r>
      <w:r w:rsidRPr="00012C3F">
        <w:rPr>
          <w:sz w:val="20"/>
          <w:lang w:val="en-US"/>
        </w:rPr>
        <w:t>62(3) of the American Convention</w:t>
      </w:r>
      <w:r w:rsidR="006C37C9" w:rsidRPr="00012C3F">
        <w:rPr>
          <w:sz w:val="20"/>
          <w:lang w:val="en-US"/>
        </w:rPr>
        <w:t xml:space="preserve">, </w:t>
      </w:r>
      <w:r w:rsidR="00F07D0C" w:rsidRPr="00012C3F">
        <w:rPr>
          <w:sz w:val="20"/>
          <w:lang w:val="en-US"/>
        </w:rPr>
        <w:t xml:space="preserve">because Bolivia has been a State Party to the Convention since July 19, 1979, and accepted the contentious jurisdiction of the Court on July 27, </w:t>
      </w:r>
      <w:r w:rsidR="006C37C9" w:rsidRPr="00012C3F">
        <w:rPr>
          <w:sz w:val="20"/>
          <w:lang w:val="en-US"/>
        </w:rPr>
        <w:t>1993.</w:t>
      </w:r>
    </w:p>
    <w:p w14:paraId="27E823F5" w14:textId="77777777" w:rsidR="00085BDD" w:rsidRPr="00012C3F" w:rsidRDefault="00085BDD" w:rsidP="00085BDD">
      <w:pPr>
        <w:widowControl/>
        <w:tabs>
          <w:tab w:val="left" w:pos="720"/>
          <w:tab w:val="num" w:pos="5057"/>
        </w:tabs>
        <w:adjustRightInd/>
        <w:spacing w:line="240" w:lineRule="auto"/>
        <w:ind w:right="-90"/>
        <w:textAlignment w:val="auto"/>
        <w:rPr>
          <w:rFonts w:eastAsia="Calibri" w:cs="Verdana"/>
          <w:sz w:val="20"/>
          <w:szCs w:val="20"/>
          <w:lang w:val="en-US" w:eastAsia="en-US"/>
        </w:rPr>
      </w:pPr>
    </w:p>
    <w:p w14:paraId="0FB846DF" w14:textId="77777777" w:rsidR="00085BDD" w:rsidRPr="00012C3F" w:rsidRDefault="0065705B" w:rsidP="00A93967">
      <w:pPr>
        <w:keepNext/>
        <w:keepLines/>
        <w:tabs>
          <w:tab w:val="left" w:pos="851"/>
        </w:tabs>
        <w:spacing w:line="240" w:lineRule="auto"/>
        <w:jc w:val="center"/>
        <w:outlineLvl w:val="0"/>
        <w:rPr>
          <w:rFonts w:cs="Verdana"/>
          <w:b/>
          <w:bCs/>
          <w:caps/>
          <w:snapToGrid w:val="0"/>
          <w:sz w:val="20"/>
          <w:szCs w:val="20"/>
          <w:lang w:val="en-US"/>
        </w:rPr>
      </w:pPr>
      <w:bookmarkStart w:id="27" w:name="_Toc375062713"/>
      <w:bookmarkStart w:id="28" w:name="_Toc375140863"/>
      <w:bookmarkStart w:id="29" w:name="_Toc375504822"/>
      <w:bookmarkStart w:id="30" w:name="_Toc375560896"/>
      <w:bookmarkStart w:id="31" w:name="_Toc428369979"/>
      <w:bookmarkStart w:id="32" w:name="_Toc459158095"/>
      <w:bookmarkStart w:id="33" w:name="_Toc401931881"/>
      <w:bookmarkStart w:id="34" w:name="_Toc27486819"/>
      <w:r w:rsidRPr="00012C3F">
        <w:rPr>
          <w:rFonts w:cs="Verdana"/>
          <w:b/>
          <w:bCs/>
          <w:caps/>
          <w:snapToGrid w:val="0"/>
          <w:sz w:val="20"/>
          <w:szCs w:val="20"/>
          <w:lang w:val="en-US"/>
        </w:rPr>
        <w:t>IV</w:t>
      </w:r>
      <w:r w:rsidR="00085BDD" w:rsidRPr="00012C3F">
        <w:rPr>
          <w:rFonts w:cs="Verdana"/>
          <w:b/>
          <w:bCs/>
          <w:caps/>
          <w:snapToGrid w:val="0"/>
          <w:sz w:val="20"/>
          <w:szCs w:val="20"/>
          <w:lang w:val="en-US"/>
        </w:rPr>
        <w:br/>
      </w:r>
      <w:bookmarkEnd w:id="27"/>
      <w:bookmarkEnd w:id="28"/>
      <w:bookmarkEnd w:id="29"/>
      <w:bookmarkEnd w:id="30"/>
      <w:r w:rsidR="00F07D0C" w:rsidRPr="00012C3F">
        <w:rPr>
          <w:rFonts w:cs="Verdana"/>
          <w:b/>
          <w:bCs/>
          <w:caps/>
          <w:snapToGrid w:val="0"/>
          <w:sz w:val="20"/>
          <w:szCs w:val="20"/>
          <w:lang w:val="en-US"/>
        </w:rPr>
        <w:t>PRELIMINARY OBJECTIONS</w:t>
      </w:r>
      <w:bookmarkEnd w:id="31"/>
      <w:bookmarkEnd w:id="32"/>
      <w:bookmarkEnd w:id="33"/>
      <w:bookmarkEnd w:id="34"/>
    </w:p>
    <w:p w14:paraId="2B839CD3" w14:textId="77777777" w:rsidR="00085BDD" w:rsidRPr="00012C3F" w:rsidRDefault="00085BDD" w:rsidP="00085BDD">
      <w:pPr>
        <w:widowControl/>
        <w:tabs>
          <w:tab w:val="left" w:pos="540"/>
        </w:tabs>
        <w:autoSpaceDE w:val="0"/>
        <w:autoSpaceDN w:val="0"/>
        <w:spacing w:line="240" w:lineRule="auto"/>
        <w:textAlignment w:val="auto"/>
        <w:rPr>
          <w:rFonts w:eastAsia="Batang" w:cs="Arial"/>
          <w:iCs/>
          <w:sz w:val="20"/>
          <w:szCs w:val="20"/>
          <w:lang w:val="en-US" w:eastAsia="en-US"/>
        </w:rPr>
      </w:pPr>
    </w:p>
    <w:p w14:paraId="73240CE3" w14:textId="77777777" w:rsidR="00BE3FB3" w:rsidRPr="00012C3F" w:rsidRDefault="00A84CA0" w:rsidP="004C6FCC">
      <w:pPr>
        <w:numPr>
          <w:ilvl w:val="0"/>
          <w:numId w:val="5"/>
        </w:numPr>
        <w:tabs>
          <w:tab w:val="left" w:pos="720"/>
          <w:tab w:val="num" w:pos="12305"/>
        </w:tabs>
        <w:spacing w:line="240" w:lineRule="auto"/>
        <w:ind w:left="0" w:firstLine="0"/>
        <w:rPr>
          <w:rFonts w:eastAsia="Batang" w:cs="Arial"/>
          <w:iCs/>
          <w:sz w:val="20"/>
          <w:szCs w:val="20"/>
          <w:lang w:val="en-US" w:eastAsia="en-US"/>
        </w:rPr>
      </w:pPr>
      <w:r w:rsidRPr="00012C3F">
        <w:rPr>
          <w:rFonts w:eastAsia="Batang" w:cs="Arial"/>
          <w:iCs/>
          <w:sz w:val="20"/>
          <w:szCs w:val="20"/>
          <w:lang w:val="en-US" w:eastAsia="en-US"/>
        </w:rPr>
        <w:t>The State</w:t>
      </w:r>
      <w:r w:rsidR="00085BDD" w:rsidRPr="00012C3F">
        <w:rPr>
          <w:rFonts w:eastAsia="Batang" w:cs="Arial"/>
          <w:iCs/>
          <w:sz w:val="20"/>
          <w:szCs w:val="20"/>
          <w:lang w:val="en-US" w:eastAsia="en-US"/>
        </w:rPr>
        <w:t xml:space="preserve"> </w:t>
      </w:r>
      <w:r w:rsidR="00C16DEA" w:rsidRPr="00012C3F">
        <w:rPr>
          <w:rFonts w:eastAsia="Batang" w:cs="Arial"/>
          <w:iCs/>
          <w:sz w:val="20"/>
          <w:szCs w:val="20"/>
          <w:lang w:val="en-US" w:eastAsia="en-US"/>
        </w:rPr>
        <w:t>submit</w:t>
      </w:r>
      <w:r w:rsidR="00085BDD" w:rsidRPr="00012C3F">
        <w:rPr>
          <w:rFonts w:eastAsia="Batang" w:cs="Arial"/>
          <w:iCs/>
          <w:sz w:val="20"/>
          <w:szCs w:val="20"/>
          <w:lang w:val="en-US" w:eastAsia="en-US"/>
        </w:rPr>
        <w:t>t</w:t>
      </w:r>
      <w:r w:rsidR="0045122A" w:rsidRPr="00012C3F">
        <w:rPr>
          <w:rFonts w:eastAsia="Batang" w:cs="Arial"/>
          <w:iCs/>
          <w:sz w:val="20"/>
          <w:szCs w:val="20"/>
          <w:lang w:val="en-US" w:eastAsia="en-US"/>
        </w:rPr>
        <w:t xml:space="preserve">ed the following arguments </w:t>
      </w:r>
      <w:r w:rsidR="00C16DEA" w:rsidRPr="00012C3F">
        <w:rPr>
          <w:rFonts w:eastAsia="Batang" w:cs="Arial"/>
          <w:iCs/>
          <w:sz w:val="20"/>
          <w:szCs w:val="20"/>
          <w:lang w:val="en-US" w:eastAsia="en-US"/>
        </w:rPr>
        <w:t xml:space="preserve">in its answering brief </w:t>
      </w:r>
      <w:r w:rsidR="0045122A" w:rsidRPr="00012C3F">
        <w:rPr>
          <w:rFonts w:eastAsia="Batang" w:cs="Arial"/>
          <w:iCs/>
          <w:sz w:val="20"/>
          <w:szCs w:val="20"/>
          <w:lang w:val="en-US" w:eastAsia="en-US"/>
        </w:rPr>
        <w:t xml:space="preserve">as preliminary objections: the lack of </w:t>
      </w:r>
      <w:r w:rsidR="00D24EFE">
        <w:rPr>
          <w:rFonts w:eastAsia="Batang" w:cs="Arial"/>
          <w:iCs/>
          <w:sz w:val="20"/>
          <w:szCs w:val="20"/>
          <w:lang w:val="en-US" w:eastAsia="en-US"/>
        </w:rPr>
        <w:t xml:space="preserve">jurisdiction </w:t>
      </w:r>
      <w:r w:rsidR="00D24EFE" w:rsidRPr="00D24EFE">
        <w:rPr>
          <w:rFonts w:eastAsia="Batang" w:cs="Arial"/>
          <w:i/>
          <w:sz w:val="20"/>
          <w:szCs w:val="20"/>
          <w:lang w:val="en-US" w:eastAsia="en-US"/>
        </w:rPr>
        <w:t>ratione loci</w:t>
      </w:r>
      <w:r w:rsidR="005E5012" w:rsidRPr="00012C3F">
        <w:rPr>
          <w:rFonts w:eastAsia="Batang" w:cs="Arial"/>
          <w:iCs/>
          <w:sz w:val="20"/>
          <w:szCs w:val="20"/>
          <w:lang w:val="en-US" w:eastAsia="en-US"/>
        </w:rPr>
        <w:t xml:space="preserve"> and</w:t>
      </w:r>
      <w:r w:rsidR="0045122A" w:rsidRPr="00012C3F">
        <w:rPr>
          <w:rFonts w:eastAsia="Batang" w:cs="Arial"/>
          <w:iCs/>
          <w:sz w:val="20"/>
          <w:szCs w:val="20"/>
          <w:lang w:val="en-US" w:eastAsia="en-US"/>
        </w:rPr>
        <w:t xml:space="preserve"> the presumed failure to exhaust domestic remedies. </w:t>
      </w:r>
      <w:r w:rsidRPr="00012C3F">
        <w:rPr>
          <w:rFonts w:eastAsia="Batang" w:cs="Arial"/>
          <w:iCs/>
          <w:sz w:val="20"/>
          <w:szCs w:val="20"/>
          <w:lang w:val="en-US" w:eastAsia="en-US"/>
        </w:rPr>
        <w:t>The State</w:t>
      </w:r>
      <w:r w:rsidR="00BE3FB3" w:rsidRPr="00012C3F">
        <w:rPr>
          <w:rFonts w:eastAsia="Batang" w:cs="Arial"/>
          <w:iCs/>
          <w:sz w:val="20"/>
          <w:szCs w:val="20"/>
          <w:lang w:val="en-US" w:eastAsia="en-US"/>
        </w:rPr>
        <w:t xml:space="preserve"> indic</w:t>
      </w:r>
      <w:r w:rsidR="0045122A" w:rsidRPr="00012C3F">
        <w:rPr>
          <w:rFonts w:eastAsia="Batang" w:cs="Arial"/>
          <w:iCs/>
          <w:sz w:val="20"/>
          <w:szCs w:val="20"/>
          <w:lang w:val="en-US" w:eastAsia="en-US"/>
        </w:rPr>
        <w:t xml:space="preserve">ated the failure to exhaust two remedies in </w:t>
      </w:r>
      <w:r w:rsidR="00C16DEA" w:rsidRPr="00012C3F">
        <w:rPr>
          <w:rFonts w:eastAsia="Batang" w:cs="Arial"/>
          <w:iCs/>
          <w:sz w:val="20"/>
          <w:szCs w:val="20"/>
          <w:lang w:val="en-US" w:eastAsia="en-US"/>
        </w:rPr>
        <w:t xml:space="preserve">Bolivia’s </w:t>
      </w:r>
      <w:r w:rsidR="0045122A" w:rsidRPr="00012C3F">
        <w:rPr>
          <w:rFonts w:eastAsia="Batang" w:cs="Arial"/>
          <w:iCs/>
          <w:sz w:val="20"/>
          <w:szCs w:val="20"/>
          <w:lang w:val="en-US" w:eastAsia="en-US"/>
        </w:rPr>
        <w:t xml:space="preserve">domestic jurisdiction that, it argued, could have been filed against Ruling </w:t>
      </w:r>
      <w:r w:rsidR="007A6CEA" w:rsidRPr="00012C3F">
        <w:rPr>
          <w:rFonts w:eastAsia="MS Mincho" w:cs="Arial"/>
          <w:sz w:val="20"/>
          <w:lang w:val="en-US" w:eastAsia="en-US"/>
        </w:rPr>
        <w:t>N</w:t>
      </w:r>
      <w:r w:rsidR="0045122A" w:rsidRPr="00012C3F">
        <w:rPr>
          <w:rFonts w:eastAsia="MS Mincho" w:cs="Arial"/>
          <w:sz w:val="20"/>
          <w:lang w:val="en-US" w:eastAsia="en-US"/>
        </w:rPr>
        <w:t>o.</w:t>
      </w:r>
      <w:r w:rsidR="007A6CEA" w:rsidRPr="00012C3F">
        <w:rPr>
          <w:rFonts w:eastAsia="MS Mincho" w:cs="Arial"/>
          <w:sz w:val="20"/>
          <w:lang w:val="en-US" w:eastAsia="en-US"/>
        </w:rPr>
        <w:t xml:space="preserve"> 514/2006 </w:t>
      </w:r>
      <w:r w:rsidR="0045122A" w:rsidRPr="00012C3F">
        <w:rPr>
          <w:rFonts w:eastAsia="MS Mincho" w:cs="Arial"/>
          <w:sz w:val="20"/>
          <w:lang w:val="en-US" w:eastAsia="en-US"/>
        </w:rPr>
        <w:t>of August 23,</w:t>
      </w:r>
      <w:r w:rsidR="007A6CEA" w:rsidRPr="00012C3F">
        <w:rPr>
          <w:rFonts w:eastAsia="MS Mincho" w:cs="Arial"/>
          <w:sz w:val="20"/>
          <w:lang w:val="en-US" w:eastAsia="en-US"/>
        </w:rPr>
        <w:t xml:space="preserve"> 2006, </w:t>
      </w:r>
      <w:r w:rsidR="00C16DEA" w:rsidRPr="00012C3F">
        <w:rPr>
          <w:rFonts w:eastAsia="MS Mincho" w:cs="Arial"/>
          <w:sz w:val="20"/>
          <w:lang w:val="en-US" w:eastAsia="en-US"/>
        </w:rPr>
        <w:t xml:space="preserve">which </w:t>
      </w:r>
      <w:r w:rsidR="0045122A" w:rsidRPr="00012C3F">
        <w:rPr>
          <w:rFonts w:eastAsia="MS Mincho" w:cs="Arial"/>
          <w:sz w:val="20"/>
          <w:lang w:val="en-US" w:eastAsia="en-US"/>
        </w:rPr>
        <w:t>confirm</w:t>
      </w:r>
      <w:r w:rsidR="00C16DEA" w:rsidRPr="00012C3F">
        <w:rPr>
          <w:rFonts w:eastAsia="MS Mincho" w:cs="Arial"/>
          <w:sz w:val="20"/>
          <w:lang w:val="en-US" w:eastAsia="en-US"/>
        </w:rPr>
        <w:t>ed</w:t>
      </w:r>
      <w:r w:rsidR="0045122A" w:rsidRPr="00012C3F">
        <w:rPr>
          <w:rFonts w:eastAsia="MS Mincho" w:cs="Arial"/>
          <w:sz w:val="20"/>
          <w:lang w:val="en-US" w:eastAsia="en-US"/>
        </w:rPr>
        <w:t xml:space="preserve"> the decision declar</w:t>
      </w:r>
      <w:r w:rsidR="00C16DEA" w:rsidRPr="00012C3F">
        <w:rPr>
          <w:rFonts w:eastAsia="MS Mincho" w:cs="Arial"/>
          <w:sz w:val="20"/>
          <w:lang w:val="en-US" w:eastAsia="en-US"/>
        </w:rPr>
        <w:t>ing</w:t>
      </w:r>
      <w:r w:rsidR="0045122A" w:rsidRPr="00012C3F">
        <w:rPr>
          <w:rFonts w:eastAsia="MS Mincho" w:cs="Arial"/>
          <w:sz w:val="20"/>
          <w:lang w:val="en-US" w:eastAsia="en-US"/>
        </w:rPr>
        <w:t xml:space="preserve"> the extinction of the criminal proceedings against the doctor who </w:t>
      </w:r>
      <w:r w:rsidR="00A804C6" w:rsidRPr="00012C3F">
        <w:rPr>
          <w:rFonts w:eastAsia="MS Mincho" w:cs="Arial"/>
          <w:sz w:val="20"/>
          <w:lang w:val="en-US" w:eastAsia="en-US"/>
        </w:rPr>
        <w:t xml:space="preserve">had </w:t>
      </w:r>
      <w:r w:rsidR="0045122A" w:rsidRPr="00012C3F">
        <w:rPr>
          <w:rFonts w:eastAsia="MS Mincho" w:cs="Arial"/>
          <w:sz w:val="20"/>
          <w:lang w:val="en-US" w:eastAsia="en-US"/>
        </w:rPr>
        <w:t xml:space="preserve">performed the tubal ligation </w:t>
      </w:r>
      <w:r w:rsidR="00C3479F" w:rsidRPr="00012C3F">
        <w:rPr>
          <w:rFonts w:eastAsia="MS Mincho" w:cs="Arial"/>
          <w:sz w:val="20"/>
          <w:lang w:val="en-US" w:eastAsia="en-US"/>
        </w:rPr>
        <w:t>(</w:t>
      </w:r>
      <w:r w:rsidR="00C3479F" w:rsidRPr="00012C3F">
        <w:rPr>
          <w:rFonts w:eastAsia="MS Mincho" w:cs="Arial"/>
          <w:i/>
          <w:sz w:val="20"/>
          <w:lang w:val="en-US" w:eastAsia="en-US"/>
        </w:rPr>
        <w:t>infra</w:t>
      </w:r>
      <w:r w:rsidR="00C3479F" w:rsidRPr="00012C3F">
        <w:rPr>
          <w:rFonts w:eastAsia="MS Mincho" w:cs="Arial"/>
          <w:sz w:val="20"/>
          <w:lang w:val="en-US" w:eastAsia="en-US"/>
        </w:rPr>
        <w:t xml:space="preserve"> </w:t>
      </w:r>
      <w:r w:rsidR="00370DD4" w:rsidRPr="00012C3F">
        <w:rPr>
          <w:rFonts w:eastAsia="MS Mincho" w:cs="Arial"/>
          <w:sz w:val="20"/>
          <w:lang w:val="en-US" w:eastAsia="en-US"/>
        </w:rPr>
        <w:t>para.</w:t>
      </w:r>
      <w:r w:rsidR="00C3479F" w:rsidRPr="00012C3F">
        <w:rPr>
          <w:rFonts w:eastAsia="MS Mincho" w:cs="Arial"/>
          <w:sz w:val="20"/>
          <w:lang w:val="en-US" w:eastAsia="en-US"/>
        </w:rPr>
        <w:t xml:space="preserve"> </w:t>
      </w:r>
      <w:r w:rsidR="000775B9" w:rsidRPr="00012C3F">
        <w:rPr>
          <w:rFonts w:eastAsia="MS Mincho" w:cs="Arial"/>
          <w:sz w:val="20"/>
          <w:lang w:val="en-US" w:eastAsia="en-US"/>
        </w:rPr>
        <w:t>112)</w:t>
      </w:r>
      <w:r w:rsidR="000775B9" w:rsidRPr="00012C3F">
        <w:rPr>
          <w:rFonts w:eastAsia="Batang" w:cs="Arial"/>
          <w:iCs/>
          <w:sz w:val="20"/>
          <w:szCs w:val="20"/>
          <w:lang w:val="en-US" w:eastAsia="en-US"/>
        </w:rPr>
        <w:t xml:space="preserve">: </w:t>
      </w:r>
      <w:r w:rsidR="0045122A" w:rsidRPr="00012C3F">
        <w:rPr>
          <w:rFonts w:eastAsia="Batang" w:cs="Arial"/>
          <w:iCs/>
          <w:sz w:val="20"/>
          <w:szCs w:val="20"/>
          <w:lang w:val="en-US" w:eastAsia="en-US"/>
        </w:rPr>
        <w:t>the cassation</w:t>
      </w:r>
      <w:r w:rsidR="00C16DEA" w:rsidRPr="00012C3F">
        <w:rPr>
          <w:rFonts w:eastAsia="Batang" w:cs="Arial"/>
          <w:iCs/>
          <w:sz w:val="20"/>
          <w:szCs w:val="20"/>
          <w:lang w:val="en-US" w:eastAsia="en-US"/>
        </w:rPr>
        <w:t xml:space="preserve"> procedure</w:t>
      </w:r>
      <w:r w:rsidR="0045122A" w:rsidRPr="00012C3F">
        <w:rPr>
          <w:rFonts w:eastAsia="Batang" w:cs="Arial"/>
          <w:iCs/>
          <w:sz w:val="20"/>
          <w:szCs w:val="20"/>
          <w:lang w:val="en-US" w:eastAsia="en-US"/>
        </w:rPr>
        <w:t xml:space="preserve"> and the </w:t>
      </w:r>
      <w:r w:rsidR="00C16DEA" w:rsidRPr="00012C3F">
        <w:rPr>
          <w:rFonts w:eastAsia="Batang" w:cs="Arial"/>
          <w:iCs/>
          <w:sz w:val="20"/>
          <w:szCs w:val="20"/>
          <w:lang w:val="en-US" w:eastAsia="en-US"/>
        </w:rPr>
        <w:t xml:space="preserve">application for </w:t>
      </w:r>
      <w:r w:rsidR="0045122A" w:rsidRPr="00012C3F">
        <w:rPr>
          <w:rFonts w:eastAsia="Batang" w:cs="Arial"/>
          <w:iCs/>
          <w:sz w:val="20"/>
          <w:szCs w:val="20"/>
          <w:lang w:val="en-US" w:eastAsia="en-US"/>
        </w:rPr>
        <w:t xml:space="preserve">constitutional </w:t>
      </w:r>
      <w:r w:rsidR="0013059C" w:rsidRPr="00012C3F">
        <w:rPr>
          <w:rFonts w:eastAsia="Batang" w:cs="Arial"/>
          <w:iCs/>
          <w:sz w:val="20"/>
          <w:szCs w:val="20"/>
          <w:lang w:val="en-US" w:eastAsia="en-US"/>
        </w:rPr>
        <w:t>amparo (</w:t>
      </w:r>
      <w:r w:rsidR="001E71CE" w:rsidRPr="00012C3F">
        <w:rPr>
          <w:rFonts w:eastAsia="Batang" w:cs="Arial"/>
          <w:iCs/>
          <w:sz w:val="20"/>
          <w:szCs w:val="20"/>
          <w:lang w:val="en-US" w:eastAsia="en-US"/>
        </w:rPr>
        <w:t>protection)</w:t>
      </w:r>
      <w:r w:rsidR="0045122A" w:rsidRPr="00012C3F">
        <w:rPr>
          <w:rFonts w:eastAsia="Batang" w:cs="Arial"/>
          <w:iCs/>
          <w:sz w:val="20"/>
          <w:szCs w:val="20"/>
          <w:lang w:val="en-US" w:eastAsia="en-US"/>
        </w:rPr>
        <w:t>. The Court will now decide on the objections filed.</w:t>
      </w:r>
    </w:p>
    <w:p w14:paraId="490F502F" w14:textId="77777777" w:rsidR="00085BDD" w:rsidRPr="00012C3F" w:rsidRDefault="00085BDD" w:rsidP="00085BDD">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6B83EE51" w14:textId="77777777" w:rsidR="006E5F5E" w:rsidRPr="00012C3F" w:rsidRDefault="006E5F5E" w:rsidP="006E5F5E">
      <w:pPr>
        <w:keepNext/>
        <w:keepLines/>
        <w:tabs>
          <w:tab w:val="left" w:pos="1134"/>
        </w:tabs>
        <w:spacing w:line="240" w:lineRule="auto"/>
        <w:ind w:left="567" w:firstLine="1"/>
        <w:outlineLvl w:val="1"/>
        <w:rPr>
          <w:rFonts w:eastAsia="MS Mincho"/>
          <w:b/>
          <w:bCs/>
          <w:i/>
          <w:sz w:val="20"/>
          <w:szCs w:val="20"/>
          <w:lang w:val="en-US"/>
        </w:rPr>
      </w:pPr>
      <w:bookmarkStart w:id="35" w:name="_Toc401931886"/>
      <w:bookmarkStart w:id="36" w:name="_Toc428369983"/>
      <w:bookmarkStart w:id="37" w:name="_Toc459158099"/>
      <w:bookmarkStart w:id="38" w:name="_Toc27486820"/>
      <w:r w:rsidRPr="00012C3F">
        <w:rPr>
          <w:rFonts w:eastAsia="MS Mincho"/>
          <w:b/>
          <w:bCs/>
          <w:i/>
          <w:sz w:val="20"/>
          <w:szCs w:val="20"/>
          <w:lang w:val="en-US"/>
        </w:rPr>
        <w:t>A.</w:t>
      </w:r>
      <w:r w:rsidRPr="00012C3F">
        <w:rPr>
          <w:rFonts w:eastAsia="MS Mincho"/>
          <w:b/>
          <w:bCs/>
          <w:i/>
          <w:sz w:val="20"/>
          <w:szCs w:val="20"/>
          <w:lang w:val="en-US"/>
        </w:rPr>
        <w:tab/>
      </w:r>
      <w:r w:rsidR="00F07D0C" w:rsidRPr="00012C3F">
        <w:rPr>
          <w:rFonts w:eastAsia="MS Mincho"/>
          <w:b/>
          <w:bCs/>
          <w:i/>
          <w:sz w:val="20"/>
          <w:szCs w:val="20"/>
          <w:lang w:val="en-US"/>
        </w:rPr>
        <w:t xml:space="preserve">Objection concerning the alleged lack of </w:t>
      </w:r>
      <w:r w:rsidR="00D24EFE">
        <w:rPr>
          <w:rFonts w:eastAsia="MS Mincho"/>
          <w:b/>
          <w:bCs/>
          <w:i/>
          <w:sz w:val="20"/>
          <w:szCs w:val="20"/>
          <w:lang w:val="en-US"/>
        </w:rPr>
        <w:t>jurisdiction ratione loci</w:t>
      </w:r>
      <w:bookmarkEnd w:id="35"/>
      <w:bookmarkEnd w:id="36"/>
      <w:bookmarkEnd w:id="37"/>
      <w:bookmarkEnd w:id="38"/>
    </w:p>
    <w:p w14:paraId="3F5A9210" w14:textId="77777777" w:rsidR="006E5F5E" w:rsidRPr="00012C3F" w:rsidRDefault="006E5F5E" w:rsidP="00CF0022">
      <w:pPr>
        <w:tabs>
          <w:tab w:val="left" w:pos="720"/>
        </w:tabs>
        <w:spacing w:line="240" w:lineRule="auto"/>
        <w:rPr>
          <w:bCs/>
          <w:sz w:val="20"/>
          <w:szCs w:val="20"/>
          <w:lang w:val="en-US"/>
        </w:rPr>
      </w:pPr>
    </w:p>
    <w:p w14:paraId="10A23460" w14:textId="77777777" w:rsidR="006E5F5E" w:rsidRPr="00012C3F" w:rsidRDefault="006E5F5E" w:rsidP="00CF0022">
      <w:pPr>
        <w:pStyle w:val="Ttulo2"/>
        <w:tabs>
          <w:tab w:val="left" w:pos="1701"/>
        </w:tabs>
        <w:spacing w:before="0" w:line="240" w:lineRule="auto"/>
        <w:ind w:left="1134"/>
        <w:rPr>
          <w:rFonts w:ascii="Verdana" w:hAnsi="Verdana"/>
          <w:b w:val="0"/>
          <w:i/>
          <w:color w:val="auto"/>
          <w:sz w:val="20"/>
          <w:szCs w:val="20"/>
          <w:lang w:val="en-US"/>
        </w:rPr>
      </w:pPr>
      <w:bookmarkStart w:id="39" w:name="_Toc459158100"/>
      <w:bookmarkStart w:id="40" w:name="_Toc27486821"/>
      <w:r w:rsidRPr="00012C3F">
        <w:rPr>
          <w:rFonts w:ascii="Verdana" w:hAnsi="Verdana"/>
          <w:b w:val="0"/>
          <w:i/>
          <w:color w:val="auto"/>
          <w:sz w:val="20"/>
          <w:szCs w:val="20"/>
          <w:lang w:val="en-US"/>
        </w:rPr>
        <w:t xml:space="preserve">A.1 </w:t>
      </w:r>
      <w:r w:rsidR="00CF0022" w:rsidRPr="00012C3F">
        <w:rPr>
          <w:rFonts w:ascii="Verdana" w:hAnsi="Verdana"/>
          <w:b w:val="0"/>
          <w:i/>
          <w:color w:val="auto"/>
          <w:sz w:val="20"/>
          <w:szCs w:val="20"/>
          <w:lang w:val="en-US"/>
        </w:rPr>
        <w:tab/>
      </w:r>
      <w:r w:rsidR="00F07D0C" w:rsidRPr="00012C3F">
        <w:rPr>
          <w:rFonts w:ascii="Verdana" w:hAnsi="Verdana"/>
          <w:b w:val="0"/>
          <w:i/>
          <w:color w:val="auto"/>
          <w:sz w:val="20"/>
          <w:szCs w:val="20"/>
          <w:lang w:val="en-US"/>
        </w:rPr>
        <w:t>Arguments of the State and observations</w:t>
      </w:r>
      <w:r w:rsidR="001254DE" w:rsidRPr="00012C3F">
        <w:rPr>
          <w:rFonts w:ascii="Verdana" w:hAnsi="Verdana"/>
          <w:b w:val="0"/>
          <w:i/>
          <w:color w:val="auto"/>
          <w:sz w:val="20"/>
          <w:szCs w:val="20"/>
          <w:lang w:val="en-US"/>
        </w:rPr>
        <w:t xml:space="preserve"> of the </w:t>
      </w:r>
      <w:r w:rsidR="00A84CA0" w:rsidRPr="00012C3F">
        <w:rPr>
          <w:rFonts w:ascii="Verdana" w:hAnsi="Verdana"/>
          <w:b w:val="0"/>
          <w:i/>
          <w:color w:val="auto"/>
          <w:sz w:val="20"/>
          <w:szCs w:val="20"/>
          <w:lang w:val="en-US"/>
        </w:rPr>
        <w:t>Commission</w:t>
      </w:r>
      <w:r w:rsidR="005E5012" w:rsidRPr="00012C3F">
        <w:rPr>
          <w:rFonts w:ascii="Verdana" w:hAnsi="Verdana"/>
          <w:b w:val="0"/>
          <w:i/>
          <w:color w:val="auto"/>
          <w:sz w:val="20"/>
          <w:szCs w:val="20"/>
          <w:lang w:val="en-US"/>
        </w:rPr>
        <w:t xml:space="preserve"> and </w:t>
      </w:r>
      <w:r w:rsidR="00972ACF" w:rsidRPr="00012C3F">
        <w:rPr>
          <w:rFonts w:ascii="Verdana" w:hAnsi="Verdana"/>
          <w:b w:val="0"/>
          <w:i/>
          <w:color w:val="auto"/>
          <w:sz w:val="20"/>
          <w:szCs w:val="20"/>
          <w:lang w:val="en-US"/>
        </w:rPr>
        <w:t>the representative</w:t>
      </w:r>
      <w:bookmarkEnd w:id="39"/>
      <w:bookmarkEnd w:id="40"/>
    </w:p>
    <w:p w14:paraId="39C00212" w14:textId="77777777" w:rsidR="006E5F5E" w:rsidRPr="00012C3F" w:rsidRDefault="006E5F5E" w:rsidP="00CF0022">
      <w:pPr>
        <w:tabs>
          <w:tab w:val="left" w:pos="720"/>
        </w:tabs>
        <w:spacing w:line="240" w:lineRule="auto"/>
        <w:rPr>
          <w:bCs/>
          <w:sz w:val="20"/>
          <w:szCs w:val="20"/>
          <w:lang w:val="en-US"/>
        </w:rPr>
      </w:pPr>
    </w:p>
    <w:p w14:paraId="161C330D" w14:textId="77777777" w:rsidR="007733E6" w:rsidRPr="00012C3F" w:rsidRDefault="00A84CA0" w:rsidP="004C6FCC">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cs="Verdana,Italic"/>
          <w:iCs/>
          <w:sz w:val="20"/>
          <w:lang w:val="en-US" w:eastAsia="en-US"/>
        </w:rPr>
        <w:t xml:space="preserve">The </w:t>
      </w:r>
      <w:r w:rsidRPr="00012C3F">
        <w:rPr>
          <w:rFonts w:cs="Verdana,Italic"/>
          <w:b/>
          <w:bCs/>
          <w:i/>
          <w:sz w:val="20"/>
          <w:lang w:val="en-US" w:eastAsia="en-US"/>
        </w:rPr>
        <w:t>State</w:t>
      </w:r>
      <w:r w:rsidR="00D05E7B" w:rsidRPr="00012C3F">
        <w:rPr>
          <w:rFonts w:eastAsia="Calibri" w:cs="Arial"/>
          <w:b/>
          <w:bCs/>
          <w:i/>
          <w:sz w:val="20"/>
          <w:szCs w:val="20"/>
          <w:lang w:val="en-US" w:eastAsia="en-US"/>
        </w:rPr>
        <w:t xml:space="preserve"> </w:t>
      </w:r>
      <w:r w:rsidR="0045122A" w:rsidRPr="00012C3F">
        <w:rPr>
          <w:rFonts w:eastAsia="Calibri" w:cs="Arial"/>
          <w:sz w:val="20"/>
          <w:szCs w:val="20"/>
          <w:lang w:val="en-US" w:eastAsia="en-US"/>
        </w:rPr>
        <w:t>filed</w:t>
      </w:r>
      <w:r w:rsidR="00D05E7B" w:rsidRPr="00012C3F">
        <w:rPr>
          <w:rFonts w:eastAsia="Calibri" w:cs="Arial"/>
          <w:sz w:val="20"/>
          <w:szCs w:val="20"/>
          <w:lang w:val="en-US" w:eastAsia="en-US"/>
        </w:rPr>
        <w:t xml:space="preserve"> </w:t>
      </w:r>
      <w:r w:rsidR="0045122A" w:rsidRPr="00012C3F">
        <w:rPr>
          <w:rFonts w:eastAsia="Calibri" w:cs="Arial"/>
          <w:sz w:val="20"/>
          <w:szCs w:val="20"/>
          <w:lang w:val="en-US" w:eastAsia="en-US"/>
        </w:rPr>
        <w:t>the preliminary objection</w:t>
      </w:r>
      <w:r w:rsidR="00A804C6" w:rsidRPr="00012C3F">
        <w:rPr>
          <w:rFonts w:eastAsia="Calibri" w:cs="Arial"/>
          <w:sz w:val="20"/>
          <w:szCs w:val="20"/>
          <w:lang w:val="en-US" w:eastAsia="en-US"/>
        </w:rPr>
        <w:t xml:space="preserve"> of</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 xml:space="preserve">the Court’s lack of </w:t>
      </w:r>
      <w:r w:rsidR="00D24EFE">
        <w:rPr>
          <w:rFonts w:eastAsia="Calibri" w:cs="Arial"/>
          <w:sz w:val="20"/>
          <w:szCs w:val="20"/>
          <w:lang w:val="en-US" w:eastAsia="en-US"/>
        </w:rPr>
        <w:t xml:space="preserve">jurisdiction </w:t>
      </w:r>
      <w:r w:rsidR="00D24EFE" w:rsidRPr="00D24EFE">
        <w:rPr>
          <w:rFonts w:eastAsia="Calibri" w:cs="Arial"/>
          <w:i/>
          <w:iCs/>
          <w:sz w:val="20"/>
          <w:szCs w:val="20"/>
          <w:lang w:val="en-US" w:eastAsia="en-US"/>
        </w:rPr>
        <w:t>ratione loci</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based on</w:t>
      </w:r>
      <w:r w:rsidR="00F47CE8" w:rsidRPr="00012C3F">
        <w:rPr>
          <w:rFonts w:eastAsia="Calibri" w:cs="Arial"/>
          <w:sz w:val="20"/>
          <w:szCs w:val="20"/>
          <w:lang w:val="en-US" w:eastAsia="en-US"/>
        </w:rPr>
        <w:t xml:space="preserve"> </w:t>
      </w:r>
      <w:r w:rsidR="001254DE" w:rsidRPr="00012C3F">
        <w:rPr>
          <w:rFonts w:eastAsia="Calibri" w:cs="Arial"/>
          <w:sz w:val="20"/>
          <w:szCs w:val="20"/>
          <w:lang w:val="en-US" w:eastAsia="en-US"/>
        </w:rPr>
        <w:t>Article</w:t>
      </w:r>
      <w:r w:rsidR="00F47CE8" w:rsidRPr="00012C3F">
        <w:rPr>
          <w:rFonts w:eastAsia="Calibri" w:cs="Arial"/>
          <w:sz w:val="20"/>
          <w:szCs w:val="20"/>
          <w:lang w:val="en-US" w:eastAsia="en-US"/>
        </w:rPr>
        <w:t xml:space="preserve"> 46</w:t>
      </w:r>
      <w:r w:rsidR="007733E6" w:rsidRPr="00012C3F">
        <w:rPr>
          <w:rFonts w:eastAsia="Calibri" w:cs="Arial"/>
          <w:sz w:val="20"/>
          <w:szCs w:val="20"/>
          <w:lang w:val="en-US" w:eastAsia="en-US"/>
        </w:rPr>
        <w:t>(</w:t>
      </w:r>
      <w:r w:rsidR="00F47CE8" w:rsidRPr="00012C3F">
        <w:rPr>
          <w:rFonts w:eastAsia="Calibri" w:cs="Arial"/>
          <w:sz w:val="20"/>
          <w:szCs w:val="20"/>
          <w:lang w:val="en-US" w:eastAsia="en-US"/>
        </w:rPr>
        <w:t>1</w:t>
      </w:r>
      <w:r w:rsidR="007733E6" w:rsidRPr="00012C3F">
        <w:rPr>
          <w:rFonts w:eastAsia="Calibri" w:cs="Arial"/>
          <w:sz w:val="20"/>
          <w:szCs w:val="20"/>
          <w:lang w:val="en-US" w:eastAsia="en-US"/>
        </w:rPr>
        <w:t>)(</w:t>
      </w:r>
      <w:r w:rsidR="00F47CE8" w:rsidRPr="00012C3F">
        <w:rPr>
          <w:rFonts w:eastAsia="Calibri" w:cs="Arial"/>
          <w:sz w:val="20"/>
          <w:szCs w:val="20"/>
          <w:lang w:val="en-US" w:eastAsia="en-US"/>
        </w:rPr>
        <w:t>a)</w:t>
      </w:r>
      <w:r w:rsidR="001254DE" w:rsidRPr="00012C3F">
        <w:rPr>
          <w:rFonts w:eastAsia="Calibri" w:cs="Arial"/>
          <w:sz w:val="20"/>
          <w:szCs w:val="20"/>
          <w:lang w:val="en-US" w:eastAsia="en-US"/>
        </w:rPr>
        <w:t xml:space="preserve"> of the Convention</w:t>
      </w:r>
      <w:r w:rsidR="00F47CE8" w:rsidRPr="00012C3F">
        <w:rPr>
          <w:rFonts w:eastAsia="Calibri" w:cs="Arial"/>
          <w:sz w:val="20"/>
          <w:szCs w:val="20"/>
          <w:lang w:val="en-US" w:eastAsia="en-US"/>
        </w:rPr>
        <w:t xml:space="preserve"> </w:t>
      </w:r>
      <w:r w:rsidR="007733E6" w:rsidRPr="00012C3F">
        <w:rPr>
          <w:rFonts w:eastAsia="Calibri" w:cs="Arial"/>
          <w:sz w:val="20"/>
          <w:szCs w:val="20"/>
          <w:lang w:val="en-US" w:eastAsia="en-US"/>
        </w:rPr>
        <w:t>in relation to the violation of the right not to be subjected to torture or to</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cruel, inhuman or degrading treatment or punishment</w:t>
      </w:r>
      <w:r w:rsidR="00F47CE8" w:rsidRPr="00012C3F">
        <w:rPr>
          <w:rFonts w:eastAsia="Calibri" w:cs="Arial"/>
          <w:sz w:val="20"/>
          <w:szCs w:val="20"/>
          <w:lang w:val="en-US" w:eastAsia="en-US"/>
        </w:rPr>
        <w:t xml:space="preserve">, </w:t>
      </w:r>
      <w:r w:rsidR="007733E6" w:rsidRPr="00012C3F">
        <w:rPr>
          <w:rFonts w:eastAsia="Calibri" w:cs="Arial"/>
          <w:sz w:val="20"/>
          <w:szCs w:val="20"/>
          <w:lang w:val="en-US" w:eastAsia="en-US"/>
        </w:rPr>
        <w:t>recognized in</w:t>
      </w:r>
      <w:r w:rsidR="00F47CE8" w:rsidRPr="00012C3F">
        <w:rPr>
          <w:rFonts w:eastAsia="Calibri" w:cs="Arial"/>
          <w:sz w:val="20"/>
          <w:szCs w:val="20"/>
          <w:lang w:val="en-US" w:eastAsia="en-US"/>
        </w:rPr>
        <w:t xml:space="preserve"> </w:t>
      </w:r>
      <w:r w:rsidR="001254DE" w:rsidRPr="00012C3F">
        <w:rPr>
          <w:rFonts w:eastAsia="Calibri" w:cs="Arial"/>
          <w:sz w:val="20"/>
          <w:szCs w:val="20"/>
          <w:lang w:val="en-US" w:eastAsia="en-US"/>
        </w:rPr>
        <w:t>Article</w:t>
      </w:r>
      <w:r w:rsidR="00D05E7B" w:rsidRPr="00012C3F">
        <w:rPr>
          <w:rFonts w:eastAsia="Calibri" w:cs="Arial"/>
          <w:sz w:val="20"/>
          <w:szCs w:val="20"/>
          <w:lang w:val="en-US" w:eastAsia="en-US"/>
        </w:rPr>
        <w:t xml:space="preserve"> </w:t>
      </w:r>
      <w:r w:rsidR="00B257AF" w:rsidRPr="00012C3F">
        <w:rPr>
          <w:rFonts w:eastAsia="Calibri" w:cs="Arial"/>
          <w:sz w:val="20"/>
          <w:szCs w:val="20"/>
          <w:lang w:val="en-US" w:eastAsia="en-US"/>
        </w:rPr>
        <w:t>5(2)</w:t>
      </w:r>
      <w:r w:rsidR="001254DE" w:rsidRPr="00012C3F">
        <w:rPr>
          <w:rFonts w:eastAsia="Calibri" w:cs="Arial"/>
          <w:sz w:val="20"/>
          <w:szCs w:val="20"/>
          <w:lang w:val="en-US" w:eastAsia="en-US"/>
        </w:rPr>
        <w:t xml:space="preserve"> of the Convention</w:t>
      </w:r>
      <w:r w:rsidR="00A804C6" w:rsidRPr="00012C3F">
        <w:rPr>
          <w:rFonts w:eastAsia="Calibri" w:cs="Arial"/>
          <w:sz w:val="20"/>
          <w:szCs w:val="20"/>
          <w:lang w:val="en-US" w:eastAsia="en-US"/>
        </w:rPr>
        <w:t>,</w:t>
      </w:r>
      <w:r w:rsidR="003C4534" w:rsidRPr="00012C3F">
        <w:rPr>
          <w:rFonts w:eastAsia="Calibri" w:cs="Arial"/>
          <w:sz w:val="20"/>
          <w:szCs w:val="20"/>
          <w:lang w:val="en-US" w:eastAsia="en-US"/>
        </w:rPr>
        <w:t xml:space="preserve"> </w:t>
      </w:r>
      <w:r w:rsidR="007733E6" w:rsidRPr="00012C3F">
        <w:rPr>
          <w:rFonts w:eastAsia="Calibri" w:cs="Arial"/>
          <w:sz w:val="20"/>
          <w:szCs w:val="20"/>
          <w:lang w:val="en-US" w:eastAsia="en-US"/>
        </w:rPr>
        <w:t xml:space="preserve">because this had not occurred in the territory of </w:t>
      </w:r>
      <w:r w:rsidR="003C4534" w:rsidRPr="00012C3F">
        <w:rPr>
          <w:rFonts w:eastAsia="Calibri" w:cs="Arial"/>
          <w:sz w:val="20"/>
          <w:szCs w:val="20"/>
          <w:lang w:val="en-US" w:eastAsia="en-US"/>
        </w:rPr>
        <w:t>Bolivia</w:t>
      </w:r>
      <w:r w:rsidR="00D05E7B" w:rsidRPr="00012C3F">
        <w:rPr>
          <w:rFonts w:eastAsia="Calibri" w:cs="Arial"/>
          <w:sz w:val="20"/>
          <w:szCs w:val="20"/>
          <w:lang w:val="en-US" w:eastAsia="en-US"/>
        </w:rPr>
        <w:t xml:space="preserve">. </w:t>
      </w:r>
      <w:r w:rsidRPr="00012C3F">
        <w:rPr>
          <w:rFonts w:eastAsia="Calibri" w:cs="Arial"/>
          <w:sz w:val="20"/>
          <w:szCs w:val="20"/>
          <w:lang w:val="en-US" w:eastAsia="en-US"/>
        </w:rPr>
        <w:t>The State</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argued that</w:t>
      </w:r>
      <w:r w:rsidR="00D05E7B" w:rsidRPr="00012C3F">
        <w:rPr>
          <w:rFonts w:eastAsia="Calibri" w:cs="Arial"/>
          <w:sz w:val="20"/>
          <w:szCs w:val="20"/>
          <w:lang w:val="en-US" w:eastAsia="en-US"/>
        </w:rPr>
        <w:t xml:space="preserve"> “</w:t>
      </w:r>
      <w:r w:rsidR="000E1C11" w:rsidRPr="00012C3F">
        <w:rPr>
          <w:rFonts w:eastAsia="Calibri" w:cs="Arial"/>
          <w:sz w:val="20"/>
          <w:szCs w:val="20"/>
          <w:lang w:val="en-US" w:eastAsia="en-US"/>
        </w:rPr>
        <w:t>I.V.</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claimed, disregarding the</w:t>
      </w:r>
      <w:r w:rsidR="00A804C6" w:rsidRPr="00012C3F">
        <w:rPr>
          <w:rFonts w:eastAsia="Calibri" w:cs="Arial"/>
          <w:sz w:val="20"/>
          <w:szCs w:val="20"/>
          <w:lang w:val="en-US" w:eastAsia="en-US"/>
        </w:rPr>
        <w:t xml:space="preserve"> lack of connection between the facts</w:t>
      </w:r>
      <w:r w:rsidR="007733E6" w:rsidRPr="00012C3F">
        <w:rPr>
          <w:rFonts w:eastAsia="Calibri" w:cs="Arial"/>
          <w:sz w:val="20"/>
          <w:szCs w:val="20"/>
          <w:lang w:val="en-US" w:eastAsia="en-US"/>
        </w:rPr>
        <w:t xml:space="preserve">, to attribute </w:t>
      </w:r>
      <w:r w:rsidR="00A804C6" w:rsidRPr="00012C3F">
        <w:rPr>
          <w:rFonts w:eastAsia="Calibri" w:cs="Arial"/>
          <w:sz w:val="20"/>
          <w:szCs w:val="20"/>
          <w:lang w:val="en-US" w:eastAsia="en-US"/>
        </w:rPr>
        <w:t xml:space="preserve">to the Bolivian State </w:t>
      </w:r>
      <w:r w:rsidR="007733E6" w:rsidRPr="00012C3F">
        <w:rPr>
          <w:rFonts w:eastAsia="Calibri" w:cs="Arial"/>
          <w:sz w:val="20"/>
          <w:szCs w:val="20"/>
          <w:lang w:val="en-US" w:eastAsia="en-US"/>
        </w:rPr>
        <w:t xml:space="preserve">responsibility for </w:t>
      </w:r>
      <w:r w:rsidR="00A804C6" w:rsidRPr="00012C3F">
        <w:rPr>
          <w:rFonts w:eastAsia="Calibri" w:cs="Arial"/>
          <w:sz w:val="20"/>
          <w:szCs w:val="20"/>
          <w:lang w:val="en-US" w:eastAsia="en-US"/>
        </w:rPr>
        <w:t>acts</w:t>
      </w:r>
      <w:r w:rsidR="007733E6" w:rsidRPr="00012C3F">
        <w:rPr>
          <w:rFonts w:eastAsia="Calibri" w:cs="Arial"/>
          <w:sz w:val="20"/>
          <w:szCs w:val="20"/>
          <w:lang w:val="en-US" w:eastAsia="en-US"/>
        </w:rPr>
        <w:t xml:space="preserve"> and consequences that occurred in another country, thus contravening an elementary rule of liability, which is</w:t>
      </w:r>
      <w:r w:rsidR="00A804C6" w:rsidRPr="00012C3F">
        <w:rPr>
          <w:rFonts w:eastAsia="Calibri" w:cs="Arial"/>
          <w:sz w:val="20"/>
          <w:szCs w:val="20"/>
          <w:lang w:val="en-US" w:eastAsia="en-US"/>
        </w:rPr>
        <w:t xml:space="preserve"> that</w:t>
      </w:r>
      <w:r w:rsidR="007733E6" w:rsidRPr="00012C3F">
        <w:rPr>
          <w:rFonts w:eastAsia="Calibri" w:cs="Arial"/>
          <w:sz w:val="20"/>
          <w:szCs w:val="20"/>
          <w:lang w:val="en-US" w:eastAsia="en-US"/>
        </w:rPr>
        <w:t xml:space="preserve"> the entity responsible is the one that, based on the evidence, has any degree of responsibility.” In this regard, the State asserted that, “[…] regarding the supposed consequences of torture, I.V. has not been able to prove responsibility, </w:t>
      </w:r>
      <w:r w:rsidR="001E79BE" w:rsidRPr="00012C3F">
        <w:rPr>
          <w:rFonts w:eastAsia="Calibri" w:cs="Arial"/>
          <w:sz w:val="20"/>
          <w:szCs w:val="20"/>
          <w:lang w:val="en-US" w:eastAsia="en-US"/>
        </w:rPr>
        <w:t xml:space="preserve">which is </w:t>
      </w:r>
      <w:r w:rsidR="007733E6" w:rsidRPr="00012C3F">
        <w:rPr>
          <w:rFonts w:eastAsia="Calibri" w:cs="Arial"/>
          <w:sz w:val="20"/>
          <w:szCs w:val="20"/>
          <w:lang w:val="en-US" w:eastAsia="en-US"/>
        </w:rPr>
        <w:t xml:space="preserve">an argument that is pertinent, appropriate and evidently sufficient </w:t>
      </w:r>
      <w:r w:rsidR="001E79BE" w:rsidRPr="00012C3F">
        <w:rPr>
          <w:rFonts w:eastAsia="Calibri" w:cs="Arial"/>
          <w:sz w:val="20"/>
          <w:szCs w:val="20"/>
          <w:lang w:val="en-US" w:eastAsia="en-US"/>
        </w:rPr>
        <w:t xml:space="preserve">for the Court </w:t>
      </w:r>
      <w:r w:rsidR="007733E6" w:rsidRPr="00012C3F">
        <w:rPr>
          <w:rFonts w:eastAsia="Calibri" w:cs="Arial"/>
          <w:sz w:val="20"/>
          <w:szCs w:val="20"/>
          <w:lang w:val="en-US" w:eastAsia="en-US"/>
        </w:rPr>
        <w:t xml:space="preserve">to declare the admissibility of the objection </w:t>
      </w:r>
      <w:r w:rsidR="001E79BE" w:rsidRPr="00012C3F">
        <w:rPr>
          <w:rFonts w:eastAsia="Calibri" w:cs="Arial"/>
          <w:sz w:val="20"/>
          <w:szCs w:val="20"/>
          <w:lang w:val="en-US" w:eastAsia="en-US"/>
        </w:rPr>
        <w:t>concerning its</w:t>
      </w:r>
      <w:r w:rsidR="007733E6" w:rsidRPr="00012C3F">
        <w:rPr>
          <w:rFonts w:eastAsia="Calibri" w:cs="Arial"/>
          <w:sz w:val="20"/>
          <w:szCs w:val="20"/>
          <w:lang w:val="en-US" w:eastAsia="en-US"/>
        </w:rPr>
        <w:t xml:space="preserve"> lack of </w:t>
      </w:r>
      <w:r w:rsidR="00D24EFE">
        <w:rPr>
          <w:rFonts w:eastAsia="Calibri" w:cs="Arial"/>
          <w:sz w:val="20"/>
          <w:szCs w:val="20"/>
          <w:lang w:val="en-US" w:eastAsia="en-US"/>
        </w:rPr>
        <w:t>jurisdiction</w:t>
      </w:r>
      <w:r w:rsidR="007733E6" w:rsidRPr="00012C3F">
        <w:rPr>
          <w:rFonts w:eastAsia="Calibri" w:cs="Arial"/>
          <w:sz w:val="20"/>
          <w:szCs w:val="20"/>
          <w:lang w:val="en-US" w:eastAsia="en-US"/>
        </w:rPr>
        <w:t>, because Bolivia is not responsible for any</w:t>
      </w:r>
      <w:r w:rsidR="001E79BE" w:rsidRPr="00012C3F">
        <w:rPr>
          <w:rFonts w:eastAsia="Calibri" w:cs="Arial"/>
          <w:sz w:val="20"/>
          <w:szCs w:val="20"/>
          <w:lang w:val="en-US" w:eastAsia="en-US"/>
        </w:rPr>
        <w:t xml:space="preserve"> act of</w:t>
      </w:r>
      <w:r w:rsidR="007733E6" w:rsidRPr="00012C3F">
        <w:rPr>
          <w:rFonts w:eastAsia="Calibri" w:cs="Arial"/>
          <w:sz w:val="20"/>
          <w:szCs w:val="20"/>
          <w:lang w:val="en-US" w:eastAsia="en-US"/>
        </w:rPr>
        <w:t xml:space="preserve"> torture.” Lastly, the State indicated that “the trauma or consequences that affect I.V. […], were not the result of the </w:t>
      </w:r>
      <w:r w:rsidR="001E79BE" w:rsidRPr="00012C3F">
        <w:rPr>
          <w:rFonts w:eastAsia="Calibri" w:cs="Arial"/>
          <w:sz w:val="20"/>
          <w:szCs w:val="20"/>
          <w:lang w:val="en-US" w:eastAsia="en-US"/>
        </w:rPr>
        <w:t>procedure</w:t>
      </w:r>
      <w:r w:rsidR="007733E6" w:rsidRPr="00012C3F">
        <w:rPr>
          <w:rFonts w:eastAsia="Calibri" w:cs="Arial"/>
          <w:sz w:val="20"/>
          <w:szCs w:val="20"/>
          <w:lang w:val="en-US" w:eastAsia="en-US"/>
        </w:rPr>
        <w:t xml:space="preserve">, but of acts of torture </w:t>
      </w:r>
      <w:r w:rsidR="00D24EFE">
        <w:rPr>
          <w:rFonts w:eastAsia="Calibri" w:cs="Arial"/>
          <w:sz w:val="20"/>
          <w:szCs w:val="20"/>
          <w:lang w:val="en-US" w:eastAsia="en-US"/>
        </w:rPr>
        <w:t>which</w:t>
      </w:r>
      <w:r w:rsidR="007733E6" w:rsidRPr="00012C3F">
        <w:rPr>
          <w:rFonts w:eastAsia="Calibri" w:cs="Arial"/>
          <w:sz w:val="20"/>
          <w:szCs w:val="20"/>
          <w:lang w:val="en-US" w:eastAsia="en-US"/>
        </w:rPr>
        <w:t xml:space="preserve"> she alleges</w:t>
      </w:r>
      <w:r w:rsidR="00D24EFE">
        <w:rPr>
          <w:rFonts w:eastAsia="Calibri" w:cs="Arial"/>
          <w:sz w:val="20"/>
          <w:szCs w:val="20"/>
          <w:lang w:val="en-US" w:eastAsia="en-US"/>
        </w:rPr>
        <w:t xml:space="preserve"> that</w:t>
      </w:r>
      <w:r w:rsidR="007733E6" w:rsidRPr="00012C3F">
        <w:rPr>
          <w:rFonts w:eastAsia="Calibri" w:cs="Arial"/>
          <w:sz w:val="20"/>
          <w:szCs w:val="20"/>
          <w:lang w:val="en-US" w:eastAsia="en-US"/>
        </w:rPr>
        <w:t xml:space="preserve"> she suffered in Peru, a situation for which, the Bolivian State </w:t>
      </w:r>
      <w:r w:rsidR="001E79BE" w:rsidRPr="00012C3F">
        <w:rPr>
          <w:rFonts w:eastAsia="Calibri" w:cs="Arial"/>
          <w:sz w:val="20"/>
          <w:szCs w:val="20"/>
          <w:lang w:val="en-US" w:eastAsia="en-US"/>
        </w:rPr>
        <w:t>bears</w:t>
      </w:r>
      <w:r w:rsidR="007733E6" w:rsidRPr="00012C3F">
        <w:rPr>
          <w:rFonts w:eastAsia="Calibri" w:cs="Arial"/>
          <w:sz w:val="20"/>
          <w:szCs w:val="20"/>
          <w:lang w:val="en-US" w:eastAsia="en-US"/>
        </w:rPr>
        <w:t xml:space="preserve"> no responsibility.” </w:t>
      </w:r>
      <w:r w:rsidR="001E79BE" w:rsidRPr="00012C3F">
        <w:rPr>
          <w:rFonts w:eastAsia="Calibri" w:cs="Arial"/>
          <w:sz w:val="20"/>
          <w:szCs w:val="20"/>
          <w:lang w:val="en-US" w:eastAsia="en-US"/>
        </w:rPr>
        <w:t>The State</w:t>
      </w:r>
      <w:r w:rsidR="007733E6" w:rsidRPr="00012C3F">
        <w:rPr>
          <w:rFonts w:eastAsia="Calibri" w:cs="Arial"/>
          <w:sz w:val="20"/>
          <w:szCs w:val="20"/>
          <w:lang w:val="en-US" w:eastAsia="en-US"/>
        </w:rPr>
        <w:t xml:space="preserve"> therefore asked the Court to “declare that it </w:t>
      </w:r>
      <w:r w:rsidR="00D24EFE">
        <w:rPr>
          <w:rFonts w:eastAsia="Calibri" w:cs="Arial"/>
          <w:sz w:val="20"/>
          <w:szCs w:val="20"/>
          <w:lang w:val="en-US" w:eastAsia="en-US"/>
        </w:rPr>
        <w:t>did not have jurisdiction</w:t>
      </w:r>
      <w:r w:rsidR="007733E6" w:rsidRPr="00012C3F">
        <w:rPr>
          <w:rFonts w:eastAsia="Calibri" w:cs="Arial"/>
          <w:sz w:val="20"/>
          <w:szCs w:val="20"/>
          <w:lang w:val="en-US" w:eastAsia="en-US"/>
        </w:rPr>
        <w:t xml:space="preserve"> to examine the supposed violations alleged by the representatives, which were the result of acts that took place outside Bolivian territory.” In its final arguments, the State reaffirmed that the Court should refrain from declaring Bolivia responsible “for any act or any </w:t>
      </w:r>
      <w:r w:rsidR="00D24EFE">
        <w:rPr>
          <w:rFonts w:eastAsia="Calibri" w:cs="Arial"/>
          <w:sz w:val="20"/>
          <w:szCs w:val="20"/>
          <w:lang w:val="en-US" w:eastAsia="en-US"/>
        </w:rPr>
        <w:t>harm</w:t>
      </w:r>
      <w:r w:rsidR="007733E6" w:rsidRPr="00012C3F">
        <w:rPr>
          <w:rFonts w:eastAsia="Calibri" w:cs="Arial"/>
          <w:sz w:val="20"/>
          <w:szCs w:val="20"/>
          <w:lang w:val="en-US" w:eastAsia="en-US"/>
        </w:rPr>
        <w:t xml:space="preserve"> that was produced as a result of acts that took place in a foreign territory.” </w:t>
      </w:r>
    </w:p>
    <w:p w14:paraId="52DF2A46" w14:textId="77777777" w:rsidR="00D05E7B" w:rsidRPr="00012C3F" w:rsidRDefault="00D05E7B" w:rsidP="004C6FCC">
      <w:pPr>
        <w:widowControl/>
        <w:tabs>
          <w:tab w:val="left" w:pos="720"/>
        </w:tabs>
        <w:autoSpaceDE w:val="0"/>
        <w:autoSpaceDN w:val="0"/>
        <w:spacing w:line="240" w:lineRule="auto"/>
        <w:textAlignment w:val="auto"/>
        <w:rPr>
          <w:rFonts w:eastAsia="Calibri" w:cs="Arial"/>
          <w:sz w:val="20"/>
          <w:szCs w:val="20"/>
          <w:lang w:val="en-US" w:eastAsia="en-US"/>
        </w:rPr>
      </w:pPr>
    </w:p>
    <w:p w14:paraId="5665B43E" w14:textId="77777777" w:rsidR="00D05E7B" w:rsidRPr="00012C3F" w:rsidRDefault="007733E6" w:rsidP="004C6FCC">
      <w:pPr>
        <w:numPr>
          <w:ilvl w:val="0"/>
          <w:numId w:val="5"/>
        </w:numPr>
        <w:tabs>
          <w:tab w:val="left" w:pos="720"/>
          <w:tab w:val="num" w:pos="12305"/>
        </w:tabs>
        <w:spacing w:line="240" w:lineRule="auto"/>
        <w:ind w:left="0" w:firstLine="0"/>
        <w:rPr>
          <w:rFonts w:eastAsia="Calibri" w:cs="Cambria"/>
          <w:sz w:val="20"/>
          <w:szCs w:val="20"/>
          <w:lang w:val="en-US" w:eastAsia="en-US"/>
        </w:rPr>
      </w:pPr>
      <w:r w:rsidRPr="00012C3F">
        <w:rPr>
          <w:rFonts w:eastAsia="Calibri" w:cs="Arial"/>
          <w:sz w:val="20"/>
          <w:szCs w:val="20"/>
          <w:lang w:val="en-US" w:eastAsia="en-US"/>
        </w:rPr>
        <w:t>The</w:t>
      </w:r>
      <w:r w:rsidR="00D05E7B" w:rsidRPr="00012C3F">
        <w:rPr>
          <w:rFonts w:eastAsia="Calibri" w:cs="Arial"/>
          <w:sz w:val="20"/>
          <w:szCs w:val="20"/>
          <w:lang w:val="en-US" w:eastAsia="en-US"/>
        </w:rPr>
        <w:t xml:space="preserve"> </w:t>
      </w:r>
      <w:r w:rsidR="00D05E7B" w:rsidRPr="00012C3F">
        <w:rPr>
          <w:rFonts w:eastAsia="Calibri" w:cs="Arial"/>
          <w:b/>
          <w:i/>
          <w:sz w:val="20"/>
          <w:szCs w:val="20"/>
          <w:lang w:val="en-US" w:eastAsia="en-US"/>
        </w:rPr>
        <w:t>Com</w:t>
      </w:r>
      <w:r w:rsidRPr="00012C3F">
        <w:rPr>
          <w:rFonts w:eastAsia="Calibri" w:cs="Arial"/>
          <w:b/>
          <w:i/>
          <w:sz w:val="20"/>
          <w:szCs w:val="20"/>
          <w:lang w:val="en-US" w:eastAsia="en-US"/>
        </w:rPr>
        <w:t>missio</w:t>
      </w:r>
      <w:r w:rsidR="00D05E7B" w:rsidRPr="00012C3F">
        <w:rPr>
          <w:rFonts w:eastAsia="Calibri" w:cs="Arial"/>
          <w:b/>
          <w:i/>
          <w:sz w:val="20"/>
          <w:szCs w:val="20"/>
          <w:lang w:val="en-US" w:eastAsia="en-US"/>
        </w:rPr>
        <w:t>n</w:t>
      </w:r>
      <w:r w:rsidR="00D05E7B" w:rsidRPr="00012C3F">
        <w:rPr>
          <w:rFonts w:eastAsia="Calibri" w:cs="Arial"/>
          <w:sz w:val="20"/>
          <w:szCs w:val="20"/>
          <w:lang w:val="en-US" w:eastAsia="en-US"/>
        </w:rPr>
        <w:t xml:space="preserve"> </w:t>
      </w:r>
      <w:r w:rsidRPr="00012C3F">
        <w:rPr>
          <w:rFonts w:eastAsia="Calibri" w:cs="Arial"/>
          <w:sz w:val="20"/>
          <w:szCs w:val="20"/>
          <w:lang w:val="en-US" w:eastAsia="en-US"/>
        </w:rPr>
        <w:t xml:space="preserve">clarified that this </w:t>
      </w:r>
      <w:r w:rsidRPr="00012C3F">
        <w:rPr>
          <w:rFonts w:eastAsia="Calibri" w:cs="Cambria"/>
          <w:sz w:val="20"/>
          <w:szCs w:val="20"/>
          <w:lang w:val="en-US" w:eastAsia="en-US"/>
        </w:rPr>
        <w:t>preliminary objection</w:t>
      </w:r>
      <w:r w:rsidR="00D05E7B" w:rsidRPr="00012C3F">
        <w:rPr>
          <w:rFonts w:eastAsia="Calibri" w:cs="Cambria"/>
          <w:sz w:val="20"/>
          <w:szCs w:val="20"/>
          <w:lang w:val="en-US" w:eastAsia="en-US"/>
        </w:rPr>
        <w:t xml:space="preserve"> </w:t>
      </w:r>
      <w:r w:rsidR="001E79BE" w:rsidRPr="00012C3F">
        <w:rPr>
          <w:rFonts w:eastAsia="Calibri" w:cs="Cambria"/>
          <w:sz w:val="20"/>
          <w:szCs w:val="20"/>
          <w:lang w:val="en-US" w:eastAsia="en-US"/>
        </w:rPr>
        <w:t>was</w:t>
      </w:r>
      <w:r w:rsidRPr="00012C3F">
        <w:rPr>
          <w:rFonts w:eastAsia="Calibri" w:cs="Cambria"/>
          <w:sz w:val="20"/>
          <w:szCs w:val="20"/>
          <w:lang w:val="en-US" w:eastAsia="en-US"/>
        </w:rPr>
        <w:t xml:space="preserve"> not related to the contents of the </w:t>
      </w:r>
      <w:r w:rsidR="00E00902" w:rsidRPr="00012C3F">
        <w:rPr>
          <w:rFonts w:eastAsia="Calibri" w:cs="Cambria"/>
          <w:sz w:val="20"/>
          <w:szCs w:val="20"/>
          <w:lang w:val="en-US" w:eastAsia="en-US"/>
        </w:rPr>
        <w:t>Merits Report</w:t>
      </w:r>
      <w:r w:rsidR="009B2FB2" w:rsidRPr="00012C3F">
        <w:rPr>
          <w:rFonts w:eastAsia="Calibri" w:cs="Cambria"/>
          <w:sz w:val="20"/>
          <w:szCs w:val="20"/>
          <w:lang w:val="en-US" w:eastAsia="en-US"/>
        </w:rPr>
        <w:t xml:space="preserve">, </w:t>
      </w:r>
      <w:r w:rsidRPr="00012C3F">
        <w:rPr>
          <w:rFonts w:eastAsia="Calibri" w:cs="Cambria"/>
          <w:sz w:val="20"/>
          <w:szCs w:val="20"/>
          <w:lang w:val="en-US" w:eastAsia="en-US"/>
        </w:rPr>
        <w:t xml:space="preserve">but </w:t>
      </w:r>
      <w:r w:rsidR="001E79BE" w:rsidRPr="00012C3F">
        <w:rPr>
          <w:rFonts w:eastAsia="Calibri" w:cs="Cambria"/>
          <w:sz w:val="20"/>
          <w:szCs w:val="20"/>
          <w:lang w:val="en-US" w:eastAsia="en-US"/>
        </w:rPr>
        <w:t>was</w:t>
      </w:r>
      <w:r w:rsidRPr="00012C3F">
        <w:rPr>
          <w:rFonts w:eastAsia="Calibri" w:cs="Cambria"/>
          <w:sz w:val="20"/>
          <w:szCs w:val="20"/>
          <w:lang w:val="en-US" w:eastAsia="en-US"/>
        </w:rPr>
        <w:t xml:space="preserve"> </w:t>
      </w:r>
      <w:r w:rsidR="004C6FCC" w:rsidRPr="00012C3F">
        <w:rPr>
          <w:rFonts w:eastAsia="Calibri" w:cs="Cambria"/>
          <w:sz w:val="20"/>
          <w:szCs w:val="20"/>
          <w:lang w:val="en-US" w:eastAsia="en-US"/>
        </w:rPr>
        <w:t xml:space="preserve">limited </w:t>
      </w:r>
      <w:r w:rsidRPr="00012C3F">
        <w:rPr>
          <w:rFonts w:eastAsia="Calibri" w:cs="Cambria"/>
          <w:sz w:val="20"/>
          <w:szCs w:val="20"/>
          <w:lang w:val="en-US" w:eastAsia="en-US"/>
        </w:rPr>
        <w:t>exclusively to references made in the b</w:t>
      </w:r>
      <w:r w:rsidR="00972ACF" w:rsidRPr="00012C3F">
        <w:rPr>
          <w:rFonts w:eastAsia="Calibri" w:cs="Cambria"/>
          <w:sz w:val="20"/>
          <w:szCs w:val="20"/>
          <w:lang w:val="en-US" w:eastAsia="en-US"/>
        </w:rPr>
        <w:t>rief with motions, pleadings and evidence</w:t>
      </w:r>
      <w:r w:rsidR="00D05E7B" w:rsidRPr="00012C3F">
        <w:rPr>
          <w:rFonts w:eastAsia="Calibri" w:cs="Cambria"/>
          <w:sz w:val="20"/>
          <w:szCs w:val="20"/>
          <w:lang w:val="en-US" w:eastAsia="en-US"/>
        </w:rPr>
        <w:t xml:space="preserve"> </w:t>
      </w:r>
      <w:r w:rsidRPr="00012C3F">
        <w:rPr>
          <w:rFonts w:eastAsia="Calibri" w:cs="Cambria"/>
          <w:sz w:val="20"/>
          <w:szCs w:val="20"/>
          <w:lang w:val="en-US" w:eastAsia="en-US"/>
        </w:rPr>
        <w:t>by</w:t>
      </w:r>
      <w:r w:rsidR="00D05E7B" w:rsidRPr="00012C3F">
        <w:rPr>
          <w:rFonts w:eastAsia="Calibri" w:cs="Cambria"/>
          <w:sz w:val="20"/>
          <w:szCs w:val="20"/>
          <w:lang w:val="en-US" w:eastAsia="en-US"/>
        </w:rPr>
        <w:t xml:space="preserve"> </w:t>
      </w:r>
      <w:r w:rsidR="00972ACF" w:rsidRPr="00012C3F">
        <w:rPr>
          <w:rFonts w:eastAsia="Calibri" w:cs="Cambria"/>
          <w:sz w:val="20"/>
          <w:szCs w:val="20"/>
          <w:lang w:val="en-US" w:eastAsia="en-US"/>
        </w:rPr>
        <w:t xml:space="preserve">the </w:t>
      </w:r>
      <w:r w:rsidR="004C6FCC" w:rsidRPr="00012C3F">
        <w:rPr>
          <w:rFonts w:eastAsia="Calibri" w:cs="Cambria"/>
          <w:sz w:val="20"/>
          <w:szCs w:val="20"/>
          <w:lang w:val="en-US" w:eastAsia="en-US"/>
        </w:rPr>
        <w:t>presumed victim’s representative</w:t>
      </w:r>
      <w:r w:rsidR="00D05E7B" w:rsidRPr="00012C3F">
        <w:rPr>
          <w:rFonts w:eastAsia="Calibri" w:cs="Cambria"/>
          <w:sz w:val="20"/>
          <w:szCs w:val="20"/>
          <w:lang w:val="en-US" w:eastAsia="en-US"/>
        </w:rPr>
        <w:t xml:space="preserve">. </w:t>
      </w:r>
      <w:r w:rsidR="001E79BE" w:rsidRPr="00012C3F">
        <w:rPr>
          <w:rFonts w:eastAsia="Calibri" w:cs="Cambria"/>
          <w:sz w:val="20"/>
          <w:szCs w:val="20"/>
          <w:lang w:val="en-US" w:eastAsia="en-US"/>
        </w:rPr>
        <w:t>However</w:t>
      </w:r>
      <w:r w:rsidR="00D05E7B" w:rsidRPr="00012C3F">
        <w:rPr>
          <w:rFonts w:eastAsia="Calibri" w:cs="Cambria"/>
          <w:sz w:val="20"/>
          <w:szCs w:val="20"/>
          <w:lang w:val="en-US" w:eastAsia="en-US"/>
        </w:rPr>
        <w:t xml:space="preserve">, </w:t>
      </w:r>
      <w:r w:rsidR="004C6FCC" w:rsidRPr="00012C3F">
        <w:rPr>
          <w:rFonts w:eastAsia="Calibri" w:cs="Cambria"/>
          <w:sz w:val="20"/>
          <w:szCs w:val="20"/>
          <w:lang w:val="en-US" w:eastAsia="en-US"/>
        </w:rPr>
        <w:t>according to</w:t>
      </w:r>
      <w:r w:rsidR="009B2FB2" w:rsidRPr="00012C3F">
        <w:rPr>
          <w:rFonts w:eastAsia="Calibri" w:cs="Cambria"/>
          <w:sz w:val="20"/>
          <w:szCs w:val="20"/>
          <w:lang w:val="en-US" w:eastAsia="en-US"/>
        </w:rPr>
        <w:t xml:space="preserve"> </w:t>
      </w:r>
      <w:r w:rsidR="001254DE" w:rsidRPr="00012C3F">
        <w:rPr>
          <w:rFonts w:eastAsia="Calibri" w:cs="Cambria"/>
          <w:sz w:val="20"/>
          <w:szCs w:val="20"/>
          <w:lang w:val="en-US" w:eastAsia="en-US"/>
        </w:rPr>
        <w:t xml:space="preserve">the </w:t>
      </w:r>
      <w:r w:rsidR="00A84CA0" w:rsidRPr="00012C3F">
        <w:rPr>
          <w:rFonts w:eastAsia="Calibri" w:cs="Cambria"/>
          <w:sz w:val="20"/>
          <w:szCs w:val="20"/>
          <w:lang w:val="en-US" w:eastAsia="en-US"/>
        </w:rPr>
        <w:t>Commission</w:t>
      </w:r>
      <w:r w:rsidR="001E79BE" w:rsidRPr="00012C3F">
        <w:rPr>
          <w:rFonts w:eastAsia="Calibri" w:cs="Cambria"/>
          <w:sz w:val="20"/>
          <w:szCs w:val="20"/>
          <w:lang w:val="en-US" w:eastAsia="en-US"/>
        </w:rPr>
        <w:t>, those references “</w:t>
      </w:r>
      <w:r w:rsidR="004C6FCC" w:rsidRPr="00012C3F">
        <w:rPr>
          <w:rFonts w:eastAsia="Calibri" w:cs="Cambria"/>
          <w:sz w:val="20"/>
          <w:szCs w:val="20"/>
          <w:lang w:val="en-US" w:eastAsia="en-US"/>
        </w:rPr>
        <w:t xml:space="preserve">seek to provide information on other human rights violations suffered by I.V. before her forced sterilization, as background information and not </w:t>
      </w:r>
      <w:r w:rsidR="001E79BE" w:rsidRPr="00012C3F">
        <w:rPr>
          <w:rFonts w:eastAsia="Calibri" w:cs="Cambria"/>
          <w:sz w:val="20"/>
          <w:szCs w:val="20"/>
          <w:lang w:val="en-US" w:eastAsia="en-US"/>
        </w:rPr>
        <w:t>for</w:t>
      </w:r>
      <w:r w:rsidR="004C6FCC" w:rsidRPr="00012C3F">
        <w:rPr>
          <w:rFonts w:eastAsia="Calibri" w:cs="Cambria"/>
          <w:sz w:val="20"/>
          <w:szCs w:val="20"/>
          <w:lang w:val="en-US" w:eastAsia="en-US"/>
        </w:rPr>
        <w:t xml:space="preserve"> the purpose of deriving legal consequences with regard to the international responsibility of the </w:t>
      </w:r>
      <w:r w:rsidR="00A84CA0" w:rsidRPr="00012C3F">
        <w:rPr>
          <w:rFonts w:eastAsia="Calibri" w:cs="Cambria"/>
          <w:sz w:val="20"/>
          <w:szCs w:val="20"/>
          <w:lang w:val="en-US" w:eastAsia="en-US"/>
        </w:rPr>
        <w:t>State of Bolivia</w:t>
      </w:r>
      <w:r w:rsidR="00D05E7B" w:rsidRPr="00012C3F">
        <w:rPr>
          <w:rFonts w:eastAsia="Calibri" w:cs="Cambria"/>
          <w:sz w:val="20"/>
          <w:szCs w:val="20"/>
          <w:lang w:val="en-US" w:eastAsia="en-US"/>
        </w:rPr>
        <w:t xml:space="preserve"> </w:t>
      </w:r>
      <w:r w:rsidR="004C6FCC" w:rsidRPr="00012C3F">
        <w:rPr>
          <w:rFonts w:eastAsia="Calibri" w:cs="Cambria"/>
          <w:sz w:val="20"/>
          <w:szCs w:val="20"/>
          <w:lang w:val="en-US" w:eastAsia="en-US"/>
        </w:rPr>
        <w:t xml:space="preserve">for acts that took place under the jurisdiction of another State and that are not part of these international proceedings.” </w:t>
      </w:r>
      <w:r w:rsidR="001E79BE" w:rsidRPr="00012C3F">
        <w:rPr>
          <w:rFonts w:eastAsia="Calibri" w:cs="Cambria"/>
          <w:sz w:val="20"/>
          <w:szCs w:val="20"/>
          <w:lang w:val="en-US" w:eastAsia="en-US"/>
        </w:rPr>
        <w:t>The</w:t>
      </w:r>
      <w:r w:rsidR="001254DE" w:rsidRPr="00012C3F">
        <w:rPr>
          <w:rFonts w:eastAsia="Calibri" w:cs="Cambria"/>
          <w:sz w:val="20"/>
          <w:szCs w:val="20"/>
          <w:lang w:val="en-US" w:eastAsia="en-US"/>
        </w:rPr>
        <w:t xml:space="preserve"> </w:t>
      </w:r>
      <w:r w:rsidR="00A84CA0" w:rsidRPr="00012C3F">
        <w:rPr>
          <w:rFonts w:eastAsia="Calibri" w:cs="Cambria"/>
          <w:sz w:val="20"/>
          <w:szCs w:val="20"/>
          <w:lang w:val="en-US" w:eastAsia="en-US"/>
        </w:rPr>
        <w:t>Commission</w:t>
      </w:r>
      <w:r w:rsidR="00D05E7B" w:rsidRPr="00012C3F">
        <w:rPr>
          <w:rFonts w:eastAsia="Calibri" w:cs="Cambria"/>
          <w:sz w:val="20"/>
          <w:szCs w:val="20"/>
          <w:lang w:val="en-US" w:eastAsia="en-US"/>
        </w:rPr>
        <w:t xml:space="preserve"> consider</w:t>
      </w:r>
      <w:r w:rsidR="004C6FCC" w:rsidRPr="00012C3F">
        <w:rPr>
          <w:rFonts w:eastAsia="Calibri" w:cs="Cambria"/>
          <w:sz w:val="20"/>
          <w:szCs w:val="20"/>
          <w:lang w:val="en-US" w:eastAsia="en-US"/>
        </w:rPr>
        <w:t>ed appropriate that the Court take note of this background information, “only insofar as it is pertinent for a better understanding of the [presumed] victim, her circumstances</w:t>
      </w:r>
      <w:r w:rsidR="001E79BE" w:rsidRPr="00012C3F">
        <w:rPr>
          <w:rFonts w:eastAsia="Calibri" w:cs="Cambria"/>
          <w:sz w:val="20"/>
          <w:szCs w:val="20"/>
          <w:lang w:val="en-US" w:eastAsia="en-US"/>
        </w:rPr>
        <w:t xml:space="preserve">, </w:t>
      </w:r>
      <w:r w:rsidR="004C6FCC" w:rsidRPr="00012C3F">
        <w:rPr>
          <w:rFonts w:eastAsia="Calibri" w:cs="Cambria"/>
          <w:sz w:val="20"/>
          <w:szCs w:val="20"/>
          <w:lang w:val="en-US" w:eastAsia="en-US"/>
        </w:rPr>
        <w:t xml:space="preserve">and the effects of what did happen under the jurisdiction  of </w:t>
      </w:r>
      <w:r w:rsidR="004C6FCC" w:rsidRPr="00012C3F">
        <w:rPr>
          <w:rFonts w:eastAsia="Calibri" w:cs="Cambria"/>
          <w:sz w:val="20"/>
          <w:szCs w:val="20"/>
          <w:lang w:val="en-US" w:eastAsia="en-US"/>
        </w:rPr>
        <w:lastRenderedPageBreak/>
        <w:t xml:space="preserve">the </w:t>
      </w:r>
      <w:r w:rsidR="00A84CA0" w:rsidRPr="00012C3F">
        <w:rPr>
          <w:rFonts w:eastAsia="Calibri" w:cs="Cambria"/>
          <w:sz w:val="20"/>
          <w:szCs w:val="20"/>
          <w:lang w:val="en-US" w:eastAsia="en-US"/>
        </w:rPr>
        <w:t>State of Bolivia</w:t>
      </w:r>
      <w:r w:rsidR="00D05E7B" w:rsidRPr="00012C3F">
        <w:rPr>
          <w:rFonts w:eastAsia="Calibri" w:cs="Cambria"/>
          <w:sz w:val="20"/>
          <w:szCs w:val="20"/>
          <w:lang w:val="en-US" w:eastAsia="en-US"/>
        </w:rPr>
        <w:t xml:space="preserve"> </w:t>
      </w:r>
      <w:r w:rsidR="004C6FCC" w:rsidRPr="00012C3F">
        <w:rPr>
          <w:rFonts w:eastAsia="Calibri" w:cs="Cambria"/>
          <w:sz w:val="20"/>
          <w:szCs w:val="20"/>
          <w:lang w:val="en-US" w:eastAsia="en-US"/>
        </w:rPr>
        <w:t>as a foreign</w:t>
      </w:r>
      <w:r w:rsidR="001E79BE" w:rsidRPr="00012C3F">
        <w:rPr>
          <w:rFonts w:eastAsia="Calibri" w:cs="Cambria"/>
          <w:sz w:val="20"/>
          <w:szCs w:val="20"/>
          <w:lang w:val="en-US" w:eastAsia="en-US"/>
        </w:rPr>
        <w:t>er</w:t>
      </w:r>
      <w:r w:rsidR="004C6FCC" w:rsidRPr="00012C3F">
        <w:rPr>
          <w:rFonts w:eastAsia="Calibri" w:cs="Cambria"/>
          <w:sz w:val="20"/>
          <w:szCs w:val="20"/>
          <w:lang w:val="en-US" w:eastAsia="en-US"/>
        </w:rPr>
        <w:t xml:space="preserve"> with numerous factors</w:t>
      </w:r>
      <w:r w:rsidR="001E79BE" w:rsidRPr="00012C3F">
        <w:rPr>
          <w:rFonts w:eastAsia="Calibri" w:cs="Cambria"/>
          <w:sz w:val="20"/>
          <w:szCs w:val="20"/>
          <w:lang w:val="en-US" w:eastAsia="en-US"/>
        </w:rPr>
        <w:t xml:space="preserve"> that contributed to her vulnerability</w:t>
      </w:r>
      <w:r w:rsidR="004C6FCC" w:rsidRPr="00012C3F">
        <w:rPr>
          <w:rFonts w:eastAsia="Calibri" w:cs="Cambria"/>
          <w:sz w:val="20"/>
          <w:szCs w:val="20"/>
          <w:lang w:val="en-US" w:eastAsia="en-US"/>
        </w:rPr>
        <w:t xml:space="preserve"> before, during and after the facts described in the </w:t>
      </w:r>
      <w:r w:rsidR="00E00902" w:rsidRPr="00012C3F">
        <w:rPr>
          <w:rFonts w:eastAsia="Calibri" w:cs="Cambria"/>
          <w:sz w:val="20"/>
          <w:szCs w:val="20"/>
          <w:lang w:val="en-US" w:eastAsia="en-US"/>
        </w:rPr>
        <w:t>Merits Report</w:t>
      </w:r>
      <w:r w:rsidR="004C6FCC" w:rsidRPr="00012C3F">
        <w:rPr>
          <w:rFonts w:eastAsia="Calibri" w:cs="Cambria"/>
          <w:sz w:val="20"/>
          <w:szCs w:val="20"/>
          <w:lang w:val="en-US" w:eastAsia="en-US"/>
        </w:rPr>
        <w:t>.</w:t>
      </w:r>
      <w:r w:rsidR="00D05E7B" w:rsidRPr="00012C3F">
        <w:rPr>
          <w:rFonts w:eastAsia="Calibri" w:cs="Cambria"/>
          <w:sz w:val="20"/>
          <w:szCs w:val="20"/>
          <w:lang w:val="en-US" w:eastAsia="en-US"/>
        </w:rPr>
        <w:t>”</w:t>
      </w:r>
    </w:p>
    <w:p w14:paraId="16C08F2F" w14:textId="77777777" w:rsidR="00D05E7B" w:rsidRPr="00012C3F" w:rsidRDefault="00D05E7B" w:rsidP="00D05E7B">
      <w:pPr>
        <w:widowControl/>
        <w:autoSpaceDE w:val="0"/>
        <w:autoSpaceDN w:val="0"/>
        <w:spacing w:line="240" w:lineRule="auto"/>
        <w:textAlignment w:val="auto"/>
        <w:rPr>
          <w:rFonts w:eastAsia="Calibri" w:cs="Arial"/>
          <w:sz w:val="20"/>
          <w:szCs w:val="20"/>
          <w:lang w:val="en-US" w:eastAsia="en-US"/>
        </w:rPr>
      </w:pPr>
    </w:p>
    <w:p w14:paraId="7441BDAF" w14:textId="77777777" w:rsidR="00D05E7B" w:rsidRPr="00012C3F" w:rsidRDefault="00972ACF" w:rsidP="004C6FCC">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Arial"/>
          <w:sz w:val="20"/>
          <w:szCs w:val="20"/>
          <w:lang w:val="en-US" w:eastAsia="en-US"/>
        </w:rPr>
        <w:t xml:space="preserve">The </w:t>
      </w:r>
      <w:r w:rsidR="004C6FCC" w:rsidRPr="00012C3F">
        <w:rPr>
          <w:rFonts w:eastAsia="Calibri" w:cs="Arial"/>
          <w:sz w:val="20"/>
          <w:szCs w:val="20"/>
          <w:lang w:val="en-US" w:eastAsia="en-US"/>
        </w:rPr>
        <w:t xml:space="preserve">presumed victim’s </w:t>
      </w:r>
      <w:r w:rsidR="004C6FCC" w:rsidRPr="00012C3F">
        <w:rPr>
          <w:rFonts w:eastAsia="Calibri" w:cs="Arial"/>
          <w:b/>
          <w:bCs/>
          <w:i/>
          <w:iCs/>
          <w:sz w:val="20"/>
          <w:szCs w:val="20"/>
          <w:lang w:val="en-US" w:eastAsia="en-US"/>
        </w:rPr>
        <w:t>representative</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 xml:space="preserve">indicated that </w:t>
      </w:r>
      <w:r w:rsidR="00D05E7B" w:rsidRPr="00012C3F">
        <w:rPr>
          <w:rFonts w:eastAsia="Calibri" w:cs="Arial"/>
          <w:sz w:val="20"/>
          <w:szCs w:val="20"/>
          <w:lang w:val="en-US" w:eastAsia="en-US"/>
        </w:rPr>
        <w:t>“[</w:t>
      </w:r>
      <w:r w:rsidR="004C6FCC" w:rsidRPr="00012C3F">
        <w:rPr>
          <w:rFonts w:eastAsia="Calibri" w:cs="Arial"/>
          <w:sz w:val="20"/>
          <w:szCs w:val="20"/>
          <w:lang w:val="en-US" w:eastAsia="en-US"/>
        </w:rPr>
        <w:t>i</w:t>
      </w:r>
      <w:r w:rsidR="00D05E7B" w:rsidRPr="00012C3F">
        <w:rPr>
          <w:rFonts w:eastAsia="Calibri" w:cs="Arial"/>
          <w:sz w:val="20"/>
          <w:szCs w:val="20"/>
          <w:lang w:val="en-US" w:eastAsia="en-US"/>
        </w:rPr>
        <w:t>]</w:t>
      </w:r>
      <w:r w:rsidR="004C6FCC" w:rsidRPr="00012C3F">
        <w:rPr>
          <w:rFonts w:eastAsia="Calibri" w:cs="Arial"/>
          <w:sz w:val="20"/>
          <w:szCs w:val="20"/>
          <w:lang w:val="en-US" w:eastAsia="en-US"/>
        </w:rPr>
        <w:t xml:space="preserve">t would appear that there is confusion on the part of the </w:t>
      </w:r>
      <w:r w:rsidR="00A84CA0" w:rsidRPr="00012C3F">
        <w:rPr>
          <w:rFonts w:eastAsia="Calibri" w:cs="Arial"/>
          <w:sz w:val="20"/>
          <w:szCs w:val="20"/>
          <w:lang w:val="en-US" w:eastAsia="en-US"/>
        </w:rPr>
        <w:t>Bolivian State</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when it argues that the representatives</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 xml:space="preserve">are claiming that the Court </w:t>
      </w:r>
      <w:r w:rsidR="00F95960" w:rsidRPr="00012C3F">
        <w:rPr>
          <w:rFonts w:eastAsia="Calibri" w:cs="Arial"/>
          <w:sz w:val="20"/>
          <w:szCs w:val="20"/>
          <w:lang w:val="en-US" w:eastAsia="en-US"/>
        </w:rPr>
        <w:t>[…]</w:t>
      </w:r>
      <w:r w:rsidR="00D05E7B" w:rsidRPr="00012C3F">
        <w:rPr>
          <w:rFonts w:eastAsia="Calibri" w:cs="Arial"/>
          <w:sz w:val="20"/>
          <w:szCs w:val="20"/>
          <w:lang w:val="en-US" w:eastAsia="en-US"/>
        </w:rPr>
        <w:t xml:space="preserve"> s</w:t>
      </w:r>
      <w:r w:rsidR="004C6FCC" w:rsidRPr="00012C3F">
        <w:rPr>
          <w:rFonts w:eastAsia="Calibri" w:cs="Arial"/>
          <w:sz w:val="20"/>
          <w:szCs w:val="20"/>
          <w:lang w:val="en-US" w:eastAsia="en-US"/>
        </w:rPr>
        <w:t xml:space="preserve">hould rule on </w:t>
      </w:r>
      <w:r w:rsidR="001E79BE" w:rsidRPr="00012C3F">
        <w:rPr>
          <w:rFonts w:eastAsia="Calibri" w:cs="Arial"/>
          <w:sz w:val="20"/>
          <w:szCs w:val="20"/>
          <w:lang w:val="en-US" w:eastAsia="en-US"/>
        </w:rPr>
        <w:t xml:space="preserve">the </w:t>
      </w:r>
      <w:r w:rsidR="004C6FCC" w:rsidRPr="00012C3F">
        <w:rPr>
          <w:rFonts w:eastAsia="Calibri" w:cs="Arial"/>
          <w:sz w:val="20"/>
          <w:szCs w:val="20"/>
          <w:lang w:val="en-US" w:eastAsia="en-US"/>
        </w:rPr>
        <w:t xml:space="preserve">torture and cruel, inhuman or degrading treatment that I.V. did indeed suffer in Peru before moving to Bolivia where she was granted refugee status based precisely on the persecution and human rights violations that she had suffered in the neighboring country.” She added that, the events that took place in Peru were not part of the case, and that her arguments in relation to </w:t>
      </w:r>
      <w:r w:rsidR="001254DE" w:rsidRPr="00012C3F">
        <w:rPr>
          <w:rFonts w:eastAsia="Calibri" w:cs="Arial"/>
          <w:sz w:val="20"/>
          <w:szCs w:val="20"/>
          <w:lang w:val="en-US" w:eastAsia="en-US"/>
        </w:rPr>
        <w:t>Article</w:t>
      </w:r>
      <w:r w:rsidR="00E12B07" w:rsidRPr="00012C3F">
        <w:rPr>
          <w:rFonts w:eastAsia="Calibri" w:cs="Arial"/>
          <w:sz w:val="20"/>
          <w:szCs w:val="20"/>
          <w:lang w:val="en-US" w:eastAsia="en-US"/>
        </w:rPr>
        <w:t xml:space="preserve"> </w:t>
      </w:r>
      <w:r w:rsidR="005E5012" w:rsidRPr="00012C3F">
        <w:rPr>
          <w:rFonts w:eastAsia="Calibri" w:cs="Arial"/>
          <w:sz w:val="20"/>
          <w:szCs w:val="20"/>
          <w:lang w:val="en-US" w:eastAsia="en-US"/>
        </w:rPr>
        <w:t xml:space="preserve">5(1) and </w:t>
      </w:r>
      <w:r w:rsidR="00B257AF" w:rsidRPr="00012C3F">
        <w:rPr>
          <w:rFonts w:eastAsia="Calibri" w:cs="Arial"/>
          <w:sz w:val="20"/>
          <w:szCs w:val="20"/>
          <w:lang w:val="en-US" w:eastAsia="en-US"/>
        </w:rPr>
        <w:t>5(2)</w:t>
      </w:r>
      <w:r w:rsidR="001254DE" w:rsidRPr="00012C3F">
        <w:rPr>
          <w:rFonts w:eastAsia="Calibri" w:cs="Arial"/>
          <w:sz w:val="20"/>
          <w:szCs w:val="20"/>
          <w:lang w:val="en-US" w:eastAsia="en-US"/>
        </w:rPr>
        <w:t xml:space="preserve"> of the Convention</w:t>
      </w:r>
      <w:r w:rsidR="00E12B07" w:rsidRPr="00012C3F">
        <w:rPr>
          <w:rFonts w:eastAsia="Calibri" w:cs="Arial"/>
          <w:sz w:val="20"/>
          <w:szCs w:val="20"/>
          <w:lang w:val="en-US" w:eastAsia="en-US"/>
        </w:rPr>
        <w:t xml:space="preserve"> </w:t>
      </w:r>
      <w:r w:rsidR="00D05E7B" w:rsidRPr="00012C3F">
        <w:rPr>
          <w:rFonts w:eastAsia="Calibri" w:cs="Arial"/>
          <w:sz w:val="20"/>
          <w:szCs w:val="20"/>
          <w:lang w:val="en-US" w:eastAsia="en-US"/>
        </w:rPr>
        <w:t>“</w:t>
      </w:r>
      <w:r w:rsidR="004C6FCC" w:rsidRPr="00012C3F">
        <w:rPr>
          <w:rFonts w:eastAsia="Calibri" w:cs="Arial"/>
          <w:sz w:val="20"/>
          <w:szCs w:val="20"/>
          <w:lang w:val="en-US" w:eastAsia="en-US"/>
        </w:rPr>
        <w:t xml:space="preserve">refer to violations that I.V. suffered in Bolivian territory, as of July 1, </w:t>
      </w:r>
      <w:r w:rsidR="00D05E7B" w:rsidRPr="00012C3F">
        <w:rPr>
          <w:rFonts w:eastAsia="Calibri" w:cs="Arial"/>
          <w:sz w:val="20"/>
          <w:szCs w:val="20"/>
          <w:lang w:val="en-US" w:eastAsia="en-US"/>
        </w:rPr>
        <w:t>2000; viola</w:t>
      </w:r>
      <w:r w:rsidR="004C6FCC" w:rsidRPr="00012C3F">
        <w:rPr>
          <w:rFonts w:eastAsia="Calibri" w:cs="Arial"/>
          <w:sz w:val="20"/>
          <w:szCs w:val="20"/>
          <w:lang w:val="en-US" w:eastAsia="en-US"/>
        </w:rPr>
        <w:t xml:space="preserve">tions [that were allegedly] perpetrated by a medical team of Bolivian public servants and that took place in a Bolivian public hospital.” In this regard, </w:t>
      </w:r>
      <w:r w:rsidRPr="00012C3F">
        <w:rPr>
          <w:rFonts w:eastAsia="Calibri" w:cs="Arial"/>
          <w:sz w:val="20"/>
          <w:szCs w:val="20"/>
          <w:lang w:val="en-US" w:eastAsia="en-US"/>
        </w:rPr>
        <w:t>the representative</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clarified that “[a]ll the arguments that [she had submitted] o</w:t>
      </w:r>
      <w:r w:rsidR="001E79BE" w:rsidRPr="00012C3F">
        <w:rPr>
          <w:rFonts w:eastAsia="Calibri" w:cs="Arial"/>
          <w:sz w:val="20"/>
          <w:szCs w:val="20"/>
          <w:lang w:val="en-US" w:eastAsia="en-US"/>
        </w:rPr>
        <w:t>n</w:t>
      </w:r>
      <w:r w:rsidR="004C6FCC" w:rsidRPr="00012C3F">
        <w:rPr>
          <w:rFonts w:eastAsia="Calibri" w:cs="Arial"/>
          <w:sz w:val="20"/>
          <w:szCs w:val="20"/>
          <w:lang w:val="en-US" w:eastAsia="en-US"/>
        </w:rPr>
        <w:t xml:space="preserve"> the violations of </w:t>
      </w:r>
      <w:r w:rsidR="001E79BE" w:rsidRPr="00012C3F">
        <w:rPr>
          <w:rFonts w:eastAsia="Calibri" w:cs="Arial"/>
          <w:sz w:val="20"/>
          <w:szCs w:val="20"/>
          <w:lang w:val="en-US" w:eastAsia="en-US"/>
        </w:rPr>
        <w:t>I.V.’s</w:t>
      </w:r>
      <w:r w:rsidR="004C6FCC" w:rsidRPr="00012C3F">
        <w:rPr>
          <w:rFonts w:eastAsia="Calibri" w:cs="Arial"/>
          <w:sz w:val="20"/>
          <w:szCs w:val="20"/>
          <w:lang w:val="en-US" w:eastAsia="en-US"/>
        </w:rPr>
        <w:t xml:space="preserve"> rights related to acts, omission</w:t>
      </w:r>
      <w:r w:rsidR="001E79BE" w:rsidRPr="00012C3F">
        <w:rPr>
          <w:rFonts w:eastAsia="Calibri" w:cs="Arial"/>
          <w:sz w:val="20"/>
          <w:szCs w:val="20"/>
          <w:lang w:val="en-US" w:eastAsia="en-US"/>
        </w:rPr>
        <w:t>s</w:t>
      </w:r>
      <w:r w:rsidR="004C6FCC" w:rsidRPr="00012C3F">
        <w:rPr>
          <w:rFonts w:eastAsia="Calibri" w:cs="Arial"/>
          <w:sz w:val="20"/>
          <w:szCs w:val="20"/>
          <w:lang w:val="en-US" w:eastAsia="en-US"/>
        </w:rPr>
        <w:t xml:space="preserve"> and </w:t>
      </w:r>
      <w:r w:rsidR="001E79BE" w:rsidRPr="00012C3F">
        <w:rPr>
          <w:rFonts w:eastAsia="Calibri" w:cs="Arial"/>
          <w:sz w:val="20"/>
          <w:szCs w:val="20"/>
          <w:lang w:val="en-US" w:eastAsia="en-US"/>
        </w:rPr>
        <w:t xml:space="preserve">a </w:t>
      </w:r>
      <w:r w:rsidR="004C6FCC" w:rsidRPr="00012C3F">
        <w:rPr>
          <w:rFonts w:eastAsia="Calibri" w:cs="Arial"/>
          <w:sz w:val="20"/>
          <w:szCs w:val="20"/>
          <w:lang w:val="en-US" w:eastAsia="en-US"/>
        </w:rPr>
        <w:t xml:space="preserve">lack of diligence of the Bolivian, </w:t>
      </w:r>
      <w:r w:rsidR="001E79BE" w:rsidRPr="00012C3F">
        <w:rPr>
          <w:rFonts w:eastAsia="Calibri" w:cs="Arial"/>
          <w:sz w:val="20"/>
          <w:szCs w:val="20"/>
          <w:lang w:val="en-US" w:eastAsia="en-US"/>
        </w:rPr>
        <w:t xml:space="preserve">and </w:t>
      </w:r>
      <w:r w:rsidR="004C6FCC" w:rsidRPr="00012C3F">
        <w:rPr>
          <w:rFonts w:eastAsia="Calibri" w:cs="Arial"/>
          <w:sz w:val="20"/>
          <w:szCs w:val="20"/>
          <w:lang w:val="en-US" w:eastAsia="en-US"/>
        </w:rPr>
        <w:t>not the Peruvian, public entities, public servants (doctors) and agents of justice, and they took place on Bol</w:t>
      </w:r>
      <w:r w:rsidR="007E06C9" w:rsidRPr="00012C3F">
        <w:rPr>
          <w:rFonts w:eastAsia="Calibri" w:cs="Arial"/>
          <w:sz w:val="20"/>
          <w:szCs w:val="20"/>
          <w:lang w:val="en-US" w:eastAsia="en-US"/>
        </w:rPr>
        <w:t>i</w:t>
      </w:r>
      <w:r w:rsidR="004C6FCC" w:rsidRPr="00012C3F">
        <w:rPr>
          <w:rFonts w:eastAsia="Calibri" w:cs="Arial"/>
          <w:sz w:val="20"/>
          <w:szCs w:val="20"/>
          <w:lang w:val="en-US" w:eastAsia="en-US"/>
        </w:rPr>
        <w:t xml:space="preserve">vian soil.” Lastly, </w:t>
      </w:r>
      <w:r w:rsidRPr="00012C3F">
        <w:rPr>
          <w:rFonts w:eastAsia="Calibri" w:cs="Arial"/>
          <w:sz w:val="20"/>
          <w:szCs w:val="20"/>
          <w:lang w:val="en-US" w:eastAsia="en-US"/>
        </w:rPr>
        <w:t>the representative</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asked</w:t>
      </w:r>
      <w:r w:rsidR="00D05E7B" w:rsidRPr="00012C3F">
        <w:rPr>
          <w:rFonts w:eastAsia="Calibri" w:cs="Arial"/>
          <w:sz w:val="20"/>
          <w:szCs w:val="20"/>
          <w:lang w:val="en-US" w:eastAsia="en-US"/>
        </w:rPr>
        <w:t xml:space="preserve"> </w:t>
      </w:r>
      <w:r w:rsidR="001254DE" w:rsidRPr="00012C3F">
        <w:rPr>
          <w:rFonts w:eastAsia="Calibri" w:cs="Arial"/>
          <w:sz w:val="20"/>
          <w:szCs w:val="20"/>
          <w:lang w:val="en-US" w:eastAsia="en-US"/>
        </w:rPr>
        <w:t>the Court</w:t>
      </w:r>
      <w:r w:rsidR="00D05E7B" w:rsidRPr="00012C3F">
        <w:rPr>
          <w:rFonts w:eastAsia="Calibri" w:cs="Arial"/>
          <w:sz w:val="20"/>
          <w:szCs w:val="20"/>
          <w:lang w:val="en-US" w:eastAsia="en-US"/>
        </w:rPr>
        <w:t xml:space="preserve"> </w:t>
      </w:r>
      <w:r w:rsidR="004C6FCC" w:rsidRPr="00012C3F">
        <w:rPr>
          <w:rFonts w:eastAsia="Calibri" w:cs="Arial"/>
          <w:sz w:val="20"/>
          <w:szCs w:val="20"/>
          <w:lang w:val="en-US" w:eastAsia="en-US"/>
        </w:rPr>
        <w:t>to reject this</w:t>
      </w:r>
      <w:r w:rsidR="00D05E7B" w:rsidRPr="00012C3F">
        <w:rPr>
          <w:rFonts w:eastAsia="Calibri" w:cs="Arial"/>
          <w:sz w:val="20"/>
          <w:szCs w:val="20"/>
          <w:lang w:val="en-US" w:eastAsia="en-US"/>
        </w:rPr>
        <w:t xml:space="preserve"> </w:t>
      </w:r>
      <w:r w:rsidR="007733E6" w:rsidRPr="00012C3F">
        <w:rPr>
          <w:rFonts w:eastAsia="Calibri" w:cs="Arial"/>
          <w:sz w:val="20"/>
          <w:szCs w:val="20"/>
          <w:lang w:val="en-US" w:eastAsia="en-US"/>
        </w:rPr>
        <w:t>preliminary objection</w:t>
      </w:r>
      <w:r w:rsidR="00D05E7B" w:rsidRPr="00012C3F">
        <w:rPr>
          <w:rFonts w:eastAsia="Calibri" w:cs="Arial"/>
          <w:sz w:val="20"/>
          <w:szCs w:val="20"/>
          <w:lang w:val="en-US" w:eastAsia="en-US"/>
        </w:rPr>
        <w:t>.</w:t>
      </w:r>
    </w:p>
    <w:p w14:paraId="1916EAF2" w14:textId="77777777" w:rsidR="00D05E7B" w:rsidRPr="00012C3F" w:rsidRDefault="00D05E7B" w:rsidP="006E5F5E">
      <w:pPr>
        <w:widowControl/>
        <w:tabs>
          <w:tab w:val="left" w:pos="567"/>
        </w:tabs>
        <w:autoSpaceDE w:val="0"/>
        <w:autoSpaceDN w:val="0"/>
        <w:adjustRightInd/>
        <w:spacing w:line="240" w:lineRule="auto"/>
        <w:ind w:left="708" w:hanging="708"/>
        <w:textAlignment w:val="auto"/>
        <w:rPr>
          <w:sz w:val="20"/>
          <w:lang w:val="en-US"/>
        </w:rPr>
      </w:pPr>
    </w:p>
    <w:p w14:paraId="1F400FDF" w14:textId="77777777" w:rsidR="006E5F5E" w:rsidRPr="00012C3F" w:rsidRDefault="006E5F5E" w:rsidP="00CF0022">
      <w:pPr>
        <w:pStyle w:val="Ttulo2"/>
        <w:tabs>
          <w:tab w:val="left" w:pos="1701"/>
        </w:tabs>
        <w:spacing w:before="0" w:line="240" w:lineRule="auto"/>
        <w:ind w:left="1134"/>
        <w:rPr>
          <w:rFonts w:ascii="Verdana" w:hAnsi="Verdana"/>
          <w:b w:val="0"/>
          <w:i/>
          <w:color w:val="auto"/>
          <w:sz w:val="20"/>
          <w:szCs w:val="20"/>
          <w:lang w:val="en-US"/>
        </w:rPr>
      </w:pPr>
      <w:bookmarkStart w:id="41" w:name="_Toc401931885"/>
      <w:bookmarkStart w:id="42" w:name="_Toc428369982"/>
      <w:bookmarkStart w:id="43" w:name="_Toc459158101"/>
      <w:bookmarkStart w:id="44" w:name="_Toc27486822"/>
      <w:r w:rsidRPr="00012C3F">
        <w:rPr>
          <w:rFonts w:ascii="Verdana" w:hAnsi="Verdana"/>
          <w:b w:val="0"/>
          <w:i/>
          <w:color w:val="auto"/>
          <w:sz w:val="20"/>
          <w:szCs w:val="20"/>
          <w:lang w:val="en-US"/>
        </w:rPr>
        <w:t xml:space="preserve">A.2 </w:t>
      </w:r>
      <w:r w:rsidR="00CF0022"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Considerations</w:t>
      </w:r>
      <w:r w:rsidR="001254DE" w:rsidRPr="00012C3F">
        <w:rPr>
          <w:rFonts w:ascii="Verdana" w:hAnsi="Verdana"/>
          <w:b w:val="0"/>
          <w:i/>
          <w:color w:val="auto"/>
          <w:sz w:val="20"/>
          <w:szCs w:val="20"/>
          <w:lang w:val="en-US"/>
        </w:rPr>
        <w:t xml:space="preserve"> of the Court</w:t>
      </w:r>
      <w:bookmarkEnd w:id="41"/>
      <w:bookmarkEnd w:id="42"/>
      <w:bookmarkEnd w:id="43"/>
      <w:bookmarkEnd w:id="44"/>
    </w:p>
    <w:p w14:paraId="77AD9C33" w14:textId="77777777" w:rsidR="006E5F5E" w:rsidRPr="00012C3F" w:rsidRDefault="006E5F5E" w:rsidP="00CB178D">
      <w:pPr>
        <w:widowControl/>
        <w:tabs>
          <w:tab w:val="left" w:pos="567"/>
        </w:tabs>
        <w:autoSpaceDE w:val="0"/>
        <w:autoSpaceDN w:val="0"/>
        <w:adjustRightInd/>
        <w:spacing w:line="240" w:lineRule="auto"/>
        <w:textAlignment w:val="auto"/>
        <w:rPr>
          <w:bCs/>
          <w:sz w:val="20"/>
          <w:szCs w:val="20"/>
          <w:lang w:val="en-US"/>
        </w:rPr>
      </w:pPr>
    </w:p>
    <w:p w14:paraId="5A4E4796" w14:textId="77777777" w:rsidR="005161F4" w:rsidRPr="00012C3F" w:rsidRDefault="005161F4" w:rsidP="005161F4">
      <w:pPr>
        <w:widowControl/>
        <w:numPr>
          <w:ilvl w:val="0"/>
          <w:numId w:val="5"/>
        </w:numPr>
        <w:tabs>
          <w:tab w:val="left" w:pos="720"/>
          <w:tab w:val="num" w:pos="12305"/>
        </w:tabs>
        <w:autoSpaceDE w:val="0"/>
        <w:autoSpaceDN w:val="0"/>
        <w:adjustRightInd/>
        <w:spacing w:line="240" w:lineRule="auto"/>
        <w:ind w:left="0" w:firstLine="0"/>
        <w:textAlignment w:val="auto"/>
        <w:rPr>
          <w:bCs/>
          <w:sz w:val="20"/>
          <w:szCs w:val="20"/>
          <w:lang w:val="en-US"/>
        </w:rPr>
      </w:pPr>
      <w:r w:rsidRPr="00012C3F">
        <w:rPr>
          <w:sz w:val="20"/>
          <w:szCs w:val="20"/>
          <w:lang w:val="en-US"/>
        </w:rPr>
        <w:t>Regarding</w:t>
      </w:r>
      <w:r w:rsidR="00496EE1" w:rsidRPr="00012C3F">
        <w:rPr>
          <w:sz w:val="20"/>
          <w:szCs w:val="20"/>
          <w:lang w:val="en-US"/>
        </w:rPr>
        <w:t xml:space="preserve"> </w:t>
      </w:r>
      <w:r w:rsidR="00972ACF" w:rsidRPr="00012C3F">
        <w:rPr>
          <w:sz w:val="20"/>
          <w:szCs w:val="20"/>
          <w:lang w:val="en-US"/>
        </w:rPr>
        <w:t>the representative</w:t>
      </w:r>
      <w:r w:rsidRPr="00012C3F">
        <w:rPr>
          <w:sz w:val="20"/>
          <w:szCs w:val="20"/>
          <w:lang w:val="en-US"/>
        </w:rPr>
        <w:t xml:space="preserve">’s arguments in relation to the possible violation of </w:t>
      </w:r>
      <w:r w:rsidR="001254DE" w:rsidRPr="00012C3F">
        <w:rPr>
          <w:sz w:val="20"/>
          <w:szCs w:val="20"/>
          <w:lang w:val="en-US"/>
        </w:rPr>
        <w:t>Article</w:t>
      </w:r>
      <w:r w:rsidR="00496EE1" w:rsidRPr="00012C3F">
        <w:rPr>
          <w:sz w:val="20"/>
          <w:szCs w:val="20"/>
          <w:lang w:val="en-US"/>
        </w:rPr>
        <w:t xml:space="preserve"> </w:t>
      </w:r>
      <w:r w:rsidR="00B257AF" w:rsidRPr="00012C3F">
        <w:rPr>
          <w:sz w:val="20"/>
          <w:szCs w:val="20"/>
          <w:lang w:val="en-US"/>
        </w:rPr>
        <w:t>5(2)</w:t>
      </w:r>
      <w:r w:rsidR="001254DE" w:rsidRPr="00012C3F">
        <w:rPr>
          <w:sz w:val="20"/>
          <w:szCs w:val="20"/>
          <w:lang w:val="en-US"/>
        </w:rPr>
        <w:t xml:space="preserve"> of the Convention</w:t>
      </w:r>
      <w:r w:rsidR="00496EE1" w:rsidRPr="00012C3F">
        <w:rPr>
          <w:sz w:val="20"/>
          <w:szCs w:val="20"/>
          <w:lang w:val="en-US"/>
        </w:rPr>
        <w:t xml:space="preserve">, </w:t>
      </w:r>
      <w:r w:rsidRPr="00012C3F">
        <w:rPr>
          <w:sz w:val="20"/>
          <w:szCs w:val="20"/>
          <w:lang w:val="en-US"/>
        </w:rPr>
        <w:t xml:space="preserve">their purpose is for the Court to rule on whether the tubal ligation </w:t>
      </w:r>
      <w:r w:rsidR="001E79BE" w:rsidRPr="00012C3F">
        <w:rPr>
          <w:sz w:val="20"/>
          <w:szCs w:val="20"/>
          <w:lang w:val="en-US"/>
        </w:rPr>
        <w:t>procedure</w:t>
      </w:r>
      <w:r w:rsidRPr="00012C3F">
        <w:rPr>
          <w:sz w:val="20"/>
          <w:szCs w:val="20"/>
          <w:lang w:val="en-US"/>
        </w:rPr>
        <w:t xml:space="preserve"> performed on I.V. in a public hospital of the Plurinational State of Bolivia constituted an act or torture or, at least, cruel or inhuman treatment. The Court notes that, in this case, the representative has not argued possible violations of</w:t>
      </w:r>
      <w:r w:rsidRPr="00012C3F">
        <w:rPr>
          <w:bCs/>
          <w:sz w:val="20"/>
          <w:szCs w:val="20"/>
          <w:lang w:val="en-US"/>
        </w:rPr>
        <w:t xml:space="preserve"> </w:t>
      </w:r>
      <w:r w:rsidR="001254DE" w:rsidRPr="00012C3F">
        <w:rPr>
          <w:rFonts w:eastAsia="Calibri" w:cs="Arial"/>
          <w:sz w:val="20"/>
          <w:szCs w:val="20"/>
          <w:lang w:val="en-US" w:eastAsia="en-US"/>
        </w:rPr>
        <w:t>the American Convention</w:t>
      </w:r>
      <w:r w:rsidR="001826D8" w:rsidRPr="00012C3F">
        <w:rPr>
          <w:rFonts w:eastAsia="Calibri" w:cs="Arial"/>
          <w:sz w:val="20"/>
          <w:szCs w:val="20"/>
          <w:lang w:val="en-US" w:eastAsia="en-US"/>
        </w:rPr>
        <w:t xml:space="preserve"> </w:t>
      </w:r>
      <w:r w:rsidRPr="00012C3F">
        <w:rPr>
          <w:rFonts w:eastAsia="Calibri" w:cs="Arial"/>
          <w:sz w:val="20"/>
          <w:szCs w:val="20"/>
          <w:lang w:val="en-US" w:eastAsia="en-US"/>
        </w:rPr>
        <w:t xml:space="preserve">that took place in Peru, a country that is not a defendant in this case. Therefore, the Court affirms its </w:t>
      </w:r>
      <w:r w:rsidR="00D24EFE">
        <w:rPr>
          <w:rFonts w:eastAsia="Calibri" w:cs="Arial"/>
          <w:sz w:val="20"/>
          <w:szCs w:val="20"/>
          <w:lang w:val="en-US" w:eastAsia="en-US"/>
        </w:rPr>
        <w:t xml:space="preserve">jurisdiction </w:t>
      </w:r>
      <w:r w:rsidR="00D24EFE" w:rsidRPr="00D24EFE">
        <w:rPr>
          <w:rFonts w:eastAsia="Calibri" w:cs="Arial"/>
          <w:i/>
          <w:iCs/>
          <w:sz w:val="20"/>
          <w:szCs w:val="20"/>
          <w:lang w:val="en-US" w:eastAsia="en-US"/>
        </w:rPr>
        <w:t>ratione loci</w:t>
      </w:r>
      <w:r w:rsidRPr="00012C3F">
        <w:rPr>
          <w:rFonts w:eastAsia="MS Mincho"/>
          <w:iCs/>
          <w:sz w:val="20"/>
          <w:szCs w:val="20"/>
          <w:lang w:val="en-US"/>
        </w:rPr>
        <w:t xml:space="preserve"> to hear this case, because the act that gave rise to the alleged international responsibility of the State for the violation of the rights recognized in </w:t>
      </w:r>
      <w:r w:rsidRPr="00012C3F">
        <w:rPr>
          <w:rFonts w:eastAsia="Calibri" w:cs="Arial"/>
          <w:sz w:val="20"/>
          <w:szCs w:val="20"/>
          <w:lang w:val="en-US" w:eastAsia="en-US"/>
        </w:rPr>
        <w:t xml:space="preserve">the American Convention and other applicable treaties, consisting in the tubal ligation </w:t>
      </w:r>
      <w:r w:rsidR="001E79BE" w:rsidRPr="00012C3F">
        <w:rPr>
          <w:rFonts w:eastAsia="Calibri" w:cs="Arial"/>
          <w:sz w:val="20"/>
          <w:szCs w:val="20"/>
          <w:lang w:val="en-US" w:eastAsia="en-US"/>
        </w:rPr>
        <w:t>procedure</w:t>
      </w:r>
      <w:r w:rsidRPr="00012C3F">
        <w:rPr>
          <w:rFonts w:eastAsia="Calibri" w:cs="Arial"/>
          <w:sz w:val="20"/>
          <w:szCs w:val="20"/>
          <w:lang w:val="en-US" w:eastAsia="en-US"/>
        </w:rPr>
        <w:t xml:space="preserve">, </w:t>
      </w:r>
      <w:r w:rsidR="001E79BE" w:rsidRPr="00012C3F">
        <w:rPr>
          <w:rFonts w:eastAsia="Calibri" w:cs="Arial"/>
          <w:sz w:val="20"/>
          <w:szCs w:val="20"/>
          <w:lang w:val="en-US" w:eastAsia="en-US"/>
        </w:rPr>
        <w:t>took place</w:t>
      </w:r>
      <w:r w:rsidRPr="00012C3F">
        <w:rPr>
          <w:rFonts w:eastAsia="Calibri" w:cs="Arial"/>
          <w:sz w:val="20"/>
          <w:szCs w:val="20"/>
          <w:lang w:val="en-US" w:eastAsia="en-US"/>
        </w:rPr>
        <w:t xml:space="preserve"> in Bolivia. In addition, the Court notes that the determination of whether this act constituted an act or torture or cruel or inhuman treatment is a matter to be elucidated when examining the merits of the matter. Based on the foregoing, th</w:t>
      </w:r>
      <w:r w:rsidR="001E79BE" w:rsidRPr="00012C3F">
        <w:rPr>
          <w:rFonts w:eastAsia="Calibri" w:cs="Arial"/>
          <w:sz w:val="20"/>
          <w:szCs w:val="20"/>
          <w:lang w:val="en-US" w:eastAsia="en-US"/>
        </w:rPr>
        <w:t>is</w:t>
      </w:r>
      <w:r w:rsidRPr="00012C3F">
        <w:rPr>
          <w:rFonts w:eastAsia="Calibri" w:cs="Arial"/>
          <w:sz w:val="20"/>
          <w:szCs w:val="20"/>
          <w:lang w:val="en-US" w:eastAsia="en-US"/>
        </w:rPr>
        <w:t xml:space="preserve"> objection i</w:t>
      </w:r>
      <w:r w:rsidRPr="00012C3F">
        <w:rPr>
          <w:bCs/>
          <w:sz w:val="20"/>
          <w:szCs w:val="20"/>
          <w:lang w:val="en-US"/>
        </w:rPr>
        <w:t>s rejected.</w:t>
      </w:r>
    </w:p>
    <w:p w14:paraId="081D3776" w14:textId="77777777" w:rsidR="006E5F5E" w:rsidRPr="00012C3F" w:rsidRDefault="006E5F5E" w:rsidP="00085BDD">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63E567E8" w14:textId="77777777" w:rsidR="00085BDD" w:rsidRPr="00012C3F" w:rsidRDefault="006E5F5E" w:rsidP="00085BDD">
      <w:pPr>
        <w:keepNext/>
        <w:keepLines/>
        <w:tabs>
          <w:tab w:val="left" w:pos="1134"/>
        </w:tabs>
        <w:spacing w:line="240" w:lineRule="auto"/>
        <w:ind w:left="567" w:firstLine="1"/>
        <w:outlineLvl w:val="1"/>
        <w:rPr>
          <w:rFonts w:eastAsia="MS Mincho"/>
          <w:b/>
          <w:bCs/>
          <w:i/>
          <w:sz w:val="20"/>
          <w:szCs w:val="20"/>
          <w:lang w:val="en-US"/>
        </w:rPr>
      </w:pPr>
      <w:bookmarkStart w:id="45" w:name="_Toc401931883"/>
      <w:bookmarkStart w:id="46" w:name="_Toc428369980"/>
      <w:bookmarkStart w:id="47" w:name="_Toc459158096"/>
      <w:bookmarkStart w:id="48" w:name="_Toc27486823"/>
      <w:r w:rsidRPr="00012C3F">
        <w:rPr>
          <w:rFonts w:eastAsia="MS Mincho"/>
          <w:b/>
          <w:bCs/>
          <w:i/>
          <w:sz w:val="20"/>
          <w:szCs w:val="20"/>
          <w:lang w:val="en-US"/>
        </w:rPr>
        <w:t>B</w:t>
      </w:r>
      <w:r w:rsidR="00085BDD" w:rsidRPr="00012C3F">
        <w:rPr>
          <w:rFonts w:eastAsia="MS Mincho"/>
          <w:b/>
          <w:bCs/>
          <w:i/>
          <w:sz w:val="20"/>
          <w:szCs w:val="20"/>
          <w:lang w:val="en-US"/>
        </w:rPr>
        <w:t>.</w:t>
      </w:r>
      <w:r w:rsidR="00085BDD" w:rsidRPr="00012C3F">
        <w:rPr>
          <w:rFonts w:eastAsia="MS Mincho"/>
          <w:b/>
          <w:bCs/>
          <w:i/>
          <w:sz w:val="20"/>
          <w:szCs w:val="20"/>
          <w:lang w:val="en-US"/>
        </w:rPr>
        <w:tab/>
      </w:r>
      <w:bookmarkEnd w:id="45"/>
      <w:bookmarkEnd w:id="46"/>
      <w:r w:rsidR="005161F4" w:rsidRPr="00012C3F">
        <w:rPr>
          <w:rFonts w:eastAsia="MS Mincho"/>
          <w:b/>
          <w:bCs/>
          <w:i/>
          <w:sz w:val="20"/>
          <w:szCs w:val="20"/>
          <w:lang w:val="en-US"/>
        </w:rPr>
        <w:t>Objection concerning the alleged failure to exhaust domestic remedies</w:t>
      </w:r>
      <w:bookmarkEnd w:id="47"/>
      <w:bookmarkEnd w:id="48"/>
    </w:p>
    <w:p w14:paraId="72D01867" w14:textId="77777777" w:rsidR="00085BDD" w:rsidRPr="00012C3F" w:rsidRDefault="00085BDD" w:rsidP="00085BDD">
      <w:pPr>
        <w:widowControl/>
        <w:tabs>
          <w:tab w:val="left" w:pos="567"/>
        </w:tabs>
        <w:autoSpaceDE w:val="0"/>
        <w:autoSpaceDN w:val="0"/>
        <w:adjustRightInd/>
        <w:spacing w:line="240" w:lineRule="auto"/>
        <w:textAlignment w:val="auto"/>
        <w:rPr>
          <w:rFonts w:eastAsia="Batang" w:cs="Arial"/>
          <w:b/>
          <w:iCs/>
          <w:sz w:val="20"/>
          <w:szCs w:val="20"/>
          <w:lang w:val="en-US" w:eastAsia="en-US"/>
        </w:rPr>
      </w:pPr>
    </w:p>
    <w:p w14:paraId="3445218D" w14:textId="77777777" w:rsidR="00085BDD" w:rsidRPr="00012C3F" w:rsidRDefault="006E5F5E" w:rsidP="00CF0022">
      <w:pPr>
        <w:pStyle w:val="Ttulo2"/>
        <w:tabs>
          <w:tab w:val="left" w:pos="1701"/>
        </w:tabs>
        <w:spacing w:before="0" w:line="240" w:lineRule="auto"/>
        <w:ind w:left="1134"/>
        <w:rPr>
          <w:rFonts w:ascii="Verdana" w:hAnsi="Verdana"/>
          <w:b w:val="0"/>
          <w:i/>
          <w:color w:val="auto"/>
          <w:sz w:val="20"/>
          <w:szCs w:val="20"/>
          <w:lang w:val="en-US"/>
        </w:rPr>
      </w:pPr>
      <w:bookmarkStart w:id="49" w:name="_Toc459158097"/>
      <w:bookmarkStart w:id="50" w:name="_Toc27486824"/>
      <w:r w:rsidRPr="00012C3F">
        <w:rPr>
          <w:rFonts w:ascii="Verdana" w:hAnsi="Verdana"/>
          <w:b w:val="0"/>
          <w:i/>
          <w:color w:val="auto"/>
          <w:sz w:val="20"/>
          <w:szCs w:val="20"/>
          <w:lang w:val="en-US"/>
        </w:rPr>
        <w:t>B</w:t>
      </w:r>
      <w:r w:rsidR="00085BDD" w:rsidRPr="00012C3F">
        <w:rPr>
          <w:rFonts w:ascii="Verdana" w:hAnsi="Verdana"/>
          <w:b w:val="0"/>
          <w:i/>
          <w:color w:val="auto"/>
          <w:sz w:val="20"/>
          <w:szCs w:val="20"/>
          <w:lang w:val="en-US"/>
        </w:rPr>
        <w:t xml:space="preserve">.1 </w:t>
      </w:r>
      <w:r w:rsidR="00CF0022" w:rsidRPr="00012C3F">
        <w:rPr>
          <w:rFonts w:ascii="Verdana" w:hAnsi="Verdana"/>
          <w:b w:val="0"/>
          <w:i/>
          <w:color w:val="auto"/>
          <w:sz w:val="20"/>
          <w:szCs w:val="20"/>
          <w:lang w:val="en-US"/>
        </w:rPr>
        <w:tab/>
      </w:r>
      <w:r w:rsidR="00F07D0C" w:rsidRPr="00012C3F">
        <w:rPr>
          <w:rFonts w:ascii="Verdana" w:hAnsi="Verdana"/>
          <w:b w:val="0"/>
          <w:i/>
          <w:color w:val="auto"/>
          <w:sz w:val="20"/>
          <w:szCs w:val="20"/>
          <w:lang w:val="en-US"/>
        </w:rPr>
        <w:t>Arguments of the State and observations</w:t>
      </w:r>
      <w:r w:rsidR="001254DE" w:rsidRPr="00012C3F">
        <w:rPr>
          <w:rFonts w:ascii="Verdana" w:hAnsi="Verdana"/>
          <w:b w:val="0"/>
          <w:i/>
          <w:color w:val="auto"/>
          <w:sz w:val="20"/>
          <w:szCs w:val="20"/>
          <w:lang w:val="en-US"/>
        </w:rPr>
        <w:t xml:space="preserve"> of the </w:t>
      </w:r>
      <w:r w:rsidR="00A84CA0" w:rsidRPr="00012C3F">
        <w:rPr>
          <w:rFonts w:ascii="Verdana" w:hAnsi="Verdana"/>
          <w:b w:val="0"/>
          <w:i/>
          <w:color w:val="auto"/>
          <w:sz w:val="20"/>
          <w:szCs w:val="20"/>
          <w:lang w:val="en-US"/>
        </w:rPr>
        <w:t>Commission</w:t>
      </w:r>
      <w:r w:rsidR="005E5012" w:rsidRPr="00012C3F">
        <w:rPr>
          <w:rFonts w:ascii="Verdana" w:hAnsi="Verdana"/>
          <w:b w:val="0"/>
          <w:i/>
          <w:color w:val="auto"/>
          <w:sz w:val="20"/>
          <w:szCs w:val="20"/>
          <w:lang w:val="en-US"/>
        </w:rPr>
        <w:t xml:space="preserve"> and </w:t>
      </w:r>
      <w:r w:rsidR="00972ACF" w:rsidRPr="00012C3F">
        <w:rPr>
          <w:rFonts w:ascii="Verdana" w:hAnsi="Verdana"/>
          <w:b w:val="0"/>
          <w:i/>
          <w:color w:val="auto"/>
          <w:sz w:val="20"/>
          <w:szCs w:val="20"/>
          <w:lang w:val="en-US"/>
        </w:rPr>
        <w:t>the representative</w:t>
      </w:r>
      <w:bookmarkEnd w:id="49"/>
      <w:bookmarkEnd w:id="50"/>
    </w:p>
    <w:p w14:paraId="5B24FB0F" w14:textId="77777777" w:rsidR="00085BDD" w:rsidRPr="00012C3F" w:rsidRDefault="00085BDD" w:rsidP="00085BDD">
      <w:pPr>
        <w:tabs>
          <w:tab w:val="left" w:pos="720"/>
        </w:tabs>
        <w:spacing w:line="240" w:lineRule="auto"/>
        <w:rPr>
          <w:bCs/>
          <w:sz w:val="20"/>
          <w:szCs w:val="20"/>
          <w:lang w:val="en-US"/>
        </w:rPr>
      </w:pPr>
    </w:p>
    <w:p w14:paraId="34C04A50" w14:textId="77777777" w:rsidR="00F254A5" w:rsidRPr="00012C3F" w:rsidRDefault="00A84CA0" w:rsidP="000B00FB">
      <w:pPr>
        <w:numPr>
          <w:ilvl w:val="0"/>
          <w:numId w:val="5"/>
        </w:numPr>
        <w:tabs>
          <w:tab w:val="left" w:pos="720"/>
          <w:tab w:val="num" w:pos="12305"/>
        </w:tabs>
        <w:spacing w:line="240" w:lineRule="auto"/>
        <w:ind w:left="0" w:firstLine="0"/>
        <w:rPr>
          <w:rFonts w:eastAsia="MS Mincho" w:cs="Arial"/>
          <w:sz w:val="20"/>
          <w:lang w:val="en-US" w:eastAsia="en-US"/>
        </w:rPr>
      </w:pPr>
      <w:r w:rsidRPr="00012C3F">
        <w:rPr>
          <w:bCs/>
          <w:sz w:val="20"/>
          <w:szCs w:val="20"/>
          <w:lang w:val="en-US"/>
        </w:rPr>
        <w:t xml:space="preserve">The </w:t>
      </w:r>
      <w:r w:rsidRPr="00012C3F">
        <w:rPr>
          <w:b/>
          <w:i/>
          <w:iCs/>
          <w:sz w:val="20"/>
          <w:szCs w:val="20"/>
          <w:lang w:val="en-US"/>
        </w:rPr>
        <w:t>State</w:t>
      </w:r>
      <w:r w:rsidR="00CB178D" w:rsidRPr="00012C3F">
        <w:rPr>
          <w:rFonts w:eastAsia="MS Mincho" w:cs="Arial"/>
          <w:sz w:val="20"/>
          <w:lang w:val="en-US" w:eastAsia="en-US"/>
        </w:rPr>
        <w:t xml:space="preserve"> </w:t>
      </w:r>
      <w:r w:rsidR="005161F4" w:rsidRPr="00012C3F">
        <w:rPr>
          <w:rFonts w:eastAsia="MS Mincho" w:cs="Arial"/>
          <w:sz w:val="20"/>
          <w:lang w:val="en-US" w:eastAsia="en-US"/>
        </w:rPr>
        <w:t>filed</w:t>
      </w:r>
      <w:r w:rsidR="00CB178D" w:rsidRPr="00012C3F">
        <w:rPr>
          <w:rFonts w:eastAsia="MS Mincho" w:cs="Arial"/>
          <w:sz w:val="20"/>
          <w:lang w:val="en-US" w:eastAsia="en-US"/>
        </w:rPr>
        <w:t xml:space="preserve"> </w:t>
      </w:r>
      <w:r w:rsidR="0045122A" w:rsidRPr="00012C3F">
        <w:rPr>
          <w:rFonts w:eastAsia="MS Mincho" w:cs="Arial"/>
          <w:sz w:val="20"/>
          <w:lang w:val="en-US" w:eastAsia="en-US"/>
        </w:rPr>
        <w:t>the preliminary objection</w:t>
      </w:r>
      <w:r w:rsidR="00CB178D" w:rsidRPr="00012C3F">
        <w:rPr>
          <w:rFonts w:eastAsia="MS Mincho" w:cs="Arial"/>
          <w:sz w:val="20"/>
          <w:lang w:val="en-US" w:eastAsia="en-US"/>
        </w:rPr>
        <w:t xml:space="preserve"> </w:t>
      </w:r>
      <w:r w:rsidR="005161F4" w:rsidRPr="00012C3F">
        <w:rPr>
          <w:rFonts w:eastAsia="MS Mincho" w:cs="Arial"/>
          <w:sz w:val="20"/>
          <w:lang w:val="en-US" w:eastAsia="en-US"/>
        </w:rPr>
        <w:t>of</w:t>
      </w:r>
      <w:r w:rsidR="00CB178D" w:rsidRPr="00012C3F">
        <w:rPr>
          <w:rFonts w:eastAsia="MS Mincho" w:cs="Arial"/>
          <w:sz w:val="20"/>
          <w:lang w:val="en-US" w:eastAsia="en-US"/>
        </w:rPr>
        <w:t xml:space="preserve"> </w:t>
      </w:r>
      <w:r w:rsidR="005161F4" w:rsidRPr="00012C3F">
        <w:rPr>
          <w:rFonts w:eastAsia="MS Mincho" w:cs="Arial"/>
          <w:sz w:val="20"/>
          <w:lang w:val="en-US" w:eastAsia="en-US"/>
        </w:rPr>
        <w:t>failure to exhaust domestic remedies</w:t>
      </w:r>
      <w:r w:rsidR="0035263A" w:rsidRPr="00012C3F">
        <w:rPr>
          <w:rFonts w:eastAsia="MS Mincho" w:cs="Arial"/>
          <w:sz w:val="20"/>
          <w:lang w:val="en-US" w:eastAsia="en-US"/>
        </w:rPr>
        <w:t xml:space="preserve"> </w:t>
      </w:r>
      <w:r w:rsidR="005161F4" w:rsidRPr="00012C3F">
        <w:rPr>
          <w:rFonts w:eastAsia="MS Mincho" w:cs="Arial"/>
          <w:sz w:val="20"/>
          <w:lang w:val="en-US" w:eastAsia="en-US"/>
        </w:rPr>
        <w:t>based on</w:t>
      </w:r>
      <w:r w:rsidR="0035263A" w:rsidRPr="00012C3F">
        <w:rPr>
          <w:rFonts w:eastAsia="MS Mincho" w:cs="Arial"/>
          <w:sz w:val="20"/>
          <w:lang w:val="en-US" w:eastAsia="en-US"/>
        </w:rPr>
        <w:t xml:space="preserve"> </w:t>
      </w:r>
      <w:r w:rsidR="001254DE" w:rsidRPr="00012C3F">
        <w:rPr>
          <w:rFonts w:eastAsia="MS Mincho" w:cs="Arial"/>
          <w:sz w:val="20"/>
          <w:lang w:val="en-US" w:eastAsia="en-US"/>
        </w:rPr>
        <w:t>Article</w:t>
      </w:r>
      <w:r w:rsidR="0035263A" w:rsidRPr="00012C3F">
        <w:rPr>
          <w:rFonts w:eastAsia="MS Mincho" w:cs="Arial"/>
          <w:sz w:val="20"/>
          <w:lang w:val="en-US" w:eastAsia="en-US"/>
        </w:rPr>
        <w:t xml:space="preserve"> 46</w:t>
      </w:r>
      <w:r w:rsidR="005161F4" w:rsidRPr="00012C3F">
        <w:rPr>
          <w:rFonts w:eastAsia="MS Mincho" w:cs="Arial"/>
          <w:sz w:val="20"/>
          <w:lang w:val="en-US" w:eastAsia="en-US"/>
        </w:rPr>
        <w:t>(</w:t>
      </w:r>
      <w:r w:rsidR="0035263A" w:rsidRPr="00012C3F">
        <w:rPr>
          <w:rFonts w:eastAsia="MS Mincho" w:cs="Arial"/>
          <w:sz w:val="20"/>
          <w:lang w:val="en-US" w:eastAsia="en-US"/>
        </w:rPr>
        <w:t>1</w:t>
      </w:r>
      <w:r w:rsidR="005161F4" w:rsidRPr="00012C3F">
        <w:rPr>
          <w:rFonts w:eastAsia="MS Mincho" w:cs="Arial"/>
          <w:sz w:val="20"/>
          <w:lang w:val="en-US" w:eastAsia="en-US"/>
        </w:rPr>
        <w:t>)(</w:t>
      </w:r>
      <w:r w:rsidR="0035263A" w:rsidRPr="00012C3F">
        <w:rPr>
          <w:rFonts w:eastAsia="MS Mincho" w:cs="Arial"/>
          <w:sz w:val="20"/>
          <w:lang w:val="en-US" w:eastAsia="en-US"/>
        </w:rPr>
        <w:t>a)</w:t>
      </w:r>
      <w:r w:rsidR="001254DE" w:rsidRPr="00012C3F">
        <w:rPr>
          <w:rFonts w:eastAsia="MS Mincho" w:cs="Arial"/>
          <w:sz w:val="20"/>
          <w:lang w:val="en-US" w:eastAsia="en-US"/>
        </w:rPr>
        <w:t xml:space="preserve"> of the Convention</w:t>
      </w:r>
      <w:r w:rsidR="00CB178D" w:rsidRPr="00012C3F">
        <w:rPr>
          <w:rFonts w:eastAsia="MS Mincho" w:cs="Arial"/>
          <w:sz w:val="20"/>
          <w:lang w:val="en-US" w:eastAsia="en-US"/>
        </w:rPr>
        <w:t xml:space="preserve">. </w:t>
      </w:r>
      <w:r w:rsidR="006069D3" w:rsidRPr="00012C3F">
        <w:rPr>
          <w:rFonts w:eastAsia="MS Mincho" w:cs="Arial"/>
          <w:sz w:val="20"/>
          <w:lang w:val="en-US" w:eastAsia="en-US"/>
        </w:rPr>
        <w:t>Regarding</w:t>
      </w:r>
      <w:r w:rsidR="000B00FB" w:rsidRPr="00012C3F">
        <w:rPr>
          <w:rFonts w:eastAsia="MS Mincho" w:cs="Arial"/>
          <w:sz w:val="20"/>
          <w:lang w:val="en-US" w:eastAsia="en-US"/>
        </w:rPr>
        <w:t xml:space="preserve"> the </w:t>
      </w:r>
      <w:r w:rsidR="00C16DEA" w:rsidRPr="00012C3F">
        <w:rPr>
          <w:rFonts w:eastAsia="MS Mincho" w:cs="Arial"/>
          <w:sz w:val="20"/>
          <w:lang w:val="en-US" w:eastAsia="en-US"/>
        </w:rPr>
        <w:t>cassation procedure</w:t>
      </w:r>
      <w:r w:rsidR="000B00FB" w:rsidRPr="00012C3F">
        <w:rPr>
          <w:rFonts w:eastAsia="MS Mincho" w:cs="Arial"/>
          <w:sz w:val="20"/>
          <w:lang w:val="en-US" w:eastAsia="en-US"/>
        </w:rPr>
        <w:t xml:space="preserve">, it indicated that, under domestic law, this is the ordinary remedy established by the Bolivian criminal procedure to contest rulings delivered by the Superior Courts of Justice </w:t>
      </w:r>
      <w:r w:rsidR="006069D3" w:rsidRPr="00012C3F">
        <w:rPr>
          <w:rFonts w:eastAsia="MS Mincho" w:cs="Arial"/>
          <w:sz w:val="20"/>
          <w:lang w:val="en-US" w:eastAsia="en-US"/>
        </w:rPr>
        <w:t xml:space="preserve">that are </w:t>
      </w:r>
      <w:r w:rsidR="000B00FB" w:rsidRPr="00012C3F">
        <w:rPr>
          <w:rFonts w:eastAsia="MS Mincho" w:cs="Arial"/>
          <w:sz w:val="20"/>
          <w:lang w:val="en-US" w:eastAsia="en-US"/>
        </w:rPr>
        <w:t>contrary to preceding rulings by other Superior Courts of Justice or by the Criminal Chamber of the Supreme Court</w:t>
      </w:r>
      <w:r w:rsidR="006069D3" w:rsidRPr="00012C3F">
        <w:rPr>
          <w:rFonts w:eastAsia="MS Mincho" w:cs="Arial"/>
          <w:sz w:val="20"/>
          <w:lang w:val="en-US" w:eastAsia="en-US"/>
        </w:rPr>
        <w:t>;</w:t>
      </w:r>
      <w:r w:rsidR="000B00FB" w:rsidRPr="00012C3F">
        <w:rPr>
          <w:rFonts w:eastAsia="MS Mincho" w:cs="Arial"/>
          <w:sz w:val="20"/>
          <w:lang w:val="en-US" w:eastAsia="en-US"/>
        </w:rPr>
        <w:t xml:space="preserve"> the only requirement </w:t>
      </w:r>
      <w:r w:rsidR="006069D3" w:rsidRPr="00012C3F">
        <w:rPr>
          <w:rFonts w:eastAsia="MS Mincho" w:cs="Arial"/>
          <w:sz w:val="20"/>
          <w:lang w:val="en-US" w:eastAsia="en-US"/>
        </w:rPr>
        <w:t xml:space="preserve">is </w:t>
      </w:r>
      <w:r w:rsidR="000B00FB" w:rsidRPr="00012C3F">
        <w:rPr>
          <w:rFonts w:eastAsia="MS Mincho" w:cs="Arial"/>
          <w:sz w:val="20"/>
          <w:lang w:val="en-US" w:eastAsia="en-US"/>
        </w:rPr>
        <w:t xml:space="preserve">that it must cite a contradictory precedent. </w:t>
      </w:r>
      <w:r w:rsidR="006069D3" w:rsidRPr="00012C3F">
        <w:rPr>
          <w:rFonts w:eastAsia="MS Mincho" w:cs="Arial"/>
          <w:sz w:val="20"/>
          <w:lang w:val="en-US" w:eastAsia="en-US"/>
        </w:rPr>
        <w:t>The State</w:t>
      </w:r>
      <w:r w:rsidR="000B00FB" w:rsidRPr="00012C3F">
        <w:rPr>
          <w:rFonts w:eastAsia="MS Mincho" w:cs="Arial"/>
          <w:sz w:val="20"/>
          <w:lang w:val="en-US" w:eastAsia="en-US"/>
        </w:rPr>
        <w:t xml:space="preserve"> indicated that this </w:t>
      </w:r>
      <w:r w:rsidR="006069D3" w:rsidRPr="00012C3F">
        <w:rPr>
          <w:rFonts w:eastAsia="MS Mincho" w:cs="Arial"/>
          <w:sz w:val="20"/>
          <w:lang w:val="en-US" w:eastAsia="en-US"/>
        </w:rPr>
        <w:t>procedure would be</w:t>
      </w:r>
      <w:r w:rsidR="000B00FB" w:rsidRPr="00012C3F">
        <w:rPr>
          <w:rFonts w:eastAsia="MS Mincho" w:cs="Arial"/>
          <w:sz w:val="20"/>
          <w:lang w:val="en-US" w:eastAsia="en-US"/>
        </w:rPr>
        <w:t xml:space="preserve"> “adequate and effective in this case, because […] it is admissible to contest rulings delivered by the Superior Courts of Justice or the Criminal Chamber of the Supreme Court of Justice,</w:t>
      </w:r>
      <w:r w:rsidR="006069D3" w:rsidRPr="00012C3F">
        <w:rPr>
          <w:rFonts w:eastAsia="MS Mincho" w:cs="Arial"/>
          <w:sz w:val="20"/>
          <w:lang w:val="en-US" w:eastAsia="en-US"/>
        </w:rPr>
        <w:t xml:space="preserve"> in order</w:t>
      </w:r>
      <w:r w:rsidR="000B00FB" w:rsidRPr="00012C3F">
        <w:rPr>
          <w:rFonts w:eastAsia="MS Mincho" w:cs="Arial"/>
          <w:sz w:val="20"/>
          <w:lang w:val="en-US" w:eastAsia="en-US"/>
        </w:rPr>
        <w:t xml:space="preserve"> for the Supreme Court of Justice to </w:t>
      </w:r>
      <w:r w:rsidR="006069D3" w:rsidRPr="00012C3F">
        <w:rPr>
          <w:rFonts w:eastAsia="MS Mincho" w:cs="Arial"/>
          <w:sz w:val="20"/>
          <w:lang w:val="en-US" w:eastAsia="en-US"/>
        </w:rPr>
        <w:t>hand down</w:t>
      </w:r>
      <w:r w:rsidR="000B00FB" w:rsidRPr="00012C3F">
        <w:rPr>
          <w:rFonts w:eastAsia="MS Mincho" w:cs="Arial"/>
          <w:sz w:val="20"/>
          <w:lang w:val="en-US" w:eastAsia="en-US"/>
        </w:rPr>
        <w:t xml:space="preserve"> a final judgment based on the applicable legal doctrine, </w:t>
      </w:r>
      <w:r w:rsidR="006069D3" w:rsidRPr="00012C3F">
        <w:rPr>
          <w:rFonts w:eastAsia="MS Mincho" w:cs="Arial"/>
          <w:sz w:val="20"/>
          <w:lang w:val="en-US" w:eastAsia="en-US"/>
        </w:rPr>
        <w:t xml:space="preserve">that </w:t>
      </w:r>
      <w:r w:rsidR="00D24EFE">
        <w:rPr>
          <w:rFonts w:eastAsia="MS Mincho" w:cs="Arial"/>
          <w:sz w:val="20"/>
          <w:lang w:val="en-US" w:eastAsia="en-US"/>
        </w:rPr>
        <w:t>can</w:t>
      </w:r>
      <w:r w:rsidR="000B00FB" w:rsidRPr="00012C3F">
        <w:rPr>
          <w:rFonts w:eastAsia="MS Mincho" w:cs="Arial"/>
          <w:sz w:val="20"/>
          <w:lang w:val="en-US" w:eastAsia="en-US"/>
        </w:rPr>
        <w:t xml:space="preserve"> annul the </w:t>
      </w:r>
      <w:r w:rsidR="006069D3" w:rsidRPr="00012C3F">
        <w:rPr>
          <w:rFonts w:eastAsia="MS Mincho" w:cs="Arial"/>
          <w:sz w:val="20"/>
          <w:lang w:val="en-US" w:eastAsia="en-US"/>
        </w:rPr>
        <w:t>ruling</w:t>
      </w:r>
      <w:r w:rsidR="000B00FB" w:rsidRPr="00012C3F">
        <w:rPr>
          <w:rFonts w:eastAsia="MS Mincho" w:cs="Arial"/>
          <w:sz w:val="20"/>
          <w:lang w:val="en-US" w:eastAsia="en-US"/>
        </w:rPr>
        <w:t xml:space="preserve"> that was the reason for the </w:t>
      </w:r>
      <w:r w:rsidR="006069D3" w:rsidRPr="00012C3F">
        <w:rPr>
          <w:rFonts w:eastAsia="MS Mincho" w:cs="Arial"/>
          <w:sz w:val="20"/>
          <w:lang w:val="en-US" w:eastAsia="en-US"/>
        </w:rPr>
        <w:t>procedure</w:t>
      </w:r>
      <w:r w:rsidR="000B00FB" w:rsidRPr="00012C3F">
        <w:rPr>
          <w:rFonts w:eastAsia="MS Mincho" w:cs="Arial"/>
          <w:sz w:val="20"/>
          <w:lang w:val="en-US" w:eastAsia="en-US"/>
        </w:rPr>
        <w:t xml:space="preserve"> and order the delivery of a new </w:t>
      </w:r>
      <w:r w:rsidR="006069D3" w:rsidRPr="00012C3F">
        <w:rPr>
          <w:rFonts w:eastAsia="MS Mincho" w:cs="Arial"/>
          <w:sz w:val="20"/>
          <w:lang w:val="en-US" w:eastAsia="en-US"/>
        </w:rPr>
        <w:t>judgment</w:t>
      </w:r>
      <w:r w:rsidR="000B00FB" w:rsidRPr="00012C3F">
        <w:rPr>
          <w:rFonts w:eastAsia="MS Mincho" w:cs="Arial"/>
          <w:sz w:val="20"/>
          <w:lang w:val="en-US" w:eastAsia="en-US"/>
        </w:rPr>
        <w:t xml:space="preserve">.” In addition, it indicated that this remedy should have been filed before the delivery of </w:t>
      </w:r>
      <w:r w:rsidR="0014280F" w:rsidRPr="00012C3F">
        <w:rPr>
          <w:rFonts w:eastAsia="MS Mincho" w:cs="Arial"/>
          <w:sz w:val="20"/>
          <w:lang w:val="en-US" w:eastAsia="en-US"/>
        </w:rPr>
        <w:t>R</w:t>
      </w:r>
      <w:r w:rsidR="000B00FB" w:rsidRPr="00012C3F">
        <w:rPr>
          <w:rFonts w:eastAsia="MS Mincho" w:cs="Arial"/>
          <w:sz w:val="20"/>
          <w:lang w:val="en-US" w:eastAsia="en-US"/>
        </w:rPr>
        <w:t xml:space="preserve">uling No. </w:t>
      </w:r>
      <w:r w:rsidR="00F254A5" w:rsidRPr="00012C3F">
        <w:rPr>
          <w:rFonts w:eastAsia="MS Mincho" w:cs="Arial"/>
          <w:sz w:val="20"/>
          <w:lang w:val="en-US" w:eastAsia="en-US"/>
        </w:rPr>
        <w:t xml:space="preserve">514/2006 </w:t>
      </w:r>
      <w:r w:rsidR="000B00FB" w:rsidRPr="00012C3F">
        <w:rPr>
          <w:rFonts w:eastAsia="MS Mincho" w:cs="Arial"/>
          <w:sz w:val="20"/>
          <w:lang w:val="en-US" w:eastAsia="en-US"/>
        </w:rPr>
        <w:t>of August 23,</w:t>
      </w:r>
      <w:r w:rsidR="00F254A5" w:rsidRPr="00012C3F">
        <w:rPr>
          <w:rFonts w:eastAsia="MS Mincho" w:cs="Arial"/>
          <w:sz w:val="20"/>
          <w:lang w:val="en-US" w:eastAsia="en-US"/>
        </w:rPr>
        <w:t xml:space="preserve"> 200</w:t>
      </w:r>
      <w:r w:rsidR="000B00FB" w:rsidRPr="00012C3F">
        <w:rPr>
          <w:rFonts w:eastAsia="MS Mincho" w:cs="Arial"/>
          <w:sz w:val="20"/>
          <w:lang w:val="en-US" w:eastAsia="en-US"/>
        </w:rPr>
        <w:t>6, which confirmed the extinction of the criminal action owing to the passage of time.</w:t>
      </w:r>
      <w:r w:rsidR="00CB178D" w:rsidRPr="00012C3F">
        <w:rPr>
          <w:rFonts w:eastAsia="MS Mincho" w:cs="Arial"/>
          <w:b/>
          <w:sz w:val="16"/>
          <w:szCs w:val="16"/>
          <w:lang w:val="en-US" w:eastAsia="en-US"/>
        </w:rPr>
        <w:t xml:space="preserve"> </w:t>
      </w:r>
    </w:p>
    <w:p w14:paraId="4FEFAD10" w14:textId="77777777" w:rsidR="00F254A5" w:rsidRPr="00012C3F" w:rsidRDefault="00F254A5" w:rsidP="005161F4">
      <w:pPr>
        <w:widowControl/>
        <w:tabs>
          <w:tab w:val="left" w:pos="720"/>
        </w:tabs>
        <w:autoSpaceDE w:val="0"/>
        <w:autoSpaceDN w:val="0"/>
        <w:spacing w:line="240" w:lineRule="auto"/>
        <w:textAlignment w:val="auto"/>
        <w:rPr>
          <w:rFonts w:eastAsia="MS Mincho" w:cs="Arial"/>
          <w:b/>
          <w:sz w:val="16"/>
          <w:szCs w:val="16"/>
          <w:lang w:val="en-US" w:eastAsia="en-US"/>
        </w:rPr>
      </w:pPr>
    </w:p>
    <w:p w14:paraId="38CF1C06" w14:textId="77777777" w:rsidR="001C6B55" w:rsidRPr="00012C3F" w:rsidRDefault="001C6B55" w:rsidP="005161F4">
      <w:pPr>
        <w:widowControl/>
        <w:numPr>
          <w:ilvl w:val="0"/>
          <w:numId w:val="5"/>
        </w:numPr>
        <w:tabs>
          <w:tab w:val="left" w:pos="720"/>
          <w:tab w:val="num" w:pos="12305"/>
        </w:tabs>
        <w:autoSpaceDE w:val="0"/>
        <w:autoSpaceDN w:val="0"/>
        <w:spacing w:line="240" w:lineRule="auto"/>
        <w:ind w:left="0" w:firstLine="0"/>
        <w:textAlignment w:val="auto"/>
        <w:rPr>
          <w:rFonts w:eastAsia="Calibri" w:cs="Arial"/>
          <w:sz w:val="20"/>
          <w:szCs w:val="20"/>
          <w:lang w:val="en-US" w:eastAsia="en-US"/>
        </w:rPr>
      </w:pPr>
      <w:r w:rsidRPr="00012C3F">
        <w:rPr>
          <w:rFonts w:eastAsia="Calibri" w:cs="Arial"/>
          <w:sz w:val="20"/>
          <w:szCs w:val="20"/>
          <w:lang w:val="en-US" w:eastAsia="en-US"/>
        </w:rPr>
        <w:t xml:space="preserve">Regarding the </w:t>
      </w:r>
      <w:r w:rsidR="0063695C" w:rsidRPr="00012C3F">
        <w:rPr>
          <w:rFonts w:eastAsia="Calibri" w:cs="Arial"/>
          <w:sz w:val="20"/>
          <w:szCs w:val="20"/>
          <w:lang w:val="en-US" w:eastAsia="en-US"/>
        </w:rPr>
        <w:t>application for constitutional amparo</w:t>
      </w:r>
      <w:r w:rsidRPr="00012C3F">
        <w:rPr>
          <w:rFonts w:eastAsia="Calibri" w:cs="Arial"/>
          <w:sz w:val="20"/>
          <w:szCs w:val="20"/>
          <w:lang w:val="en-US" w:eastAsia="en-US"/>
        </w:rPr>
        <w:t xml:space="preserve">, </w:t>
      </w:r>
      <w:r w:rsidR="00A84CA0" w:rsidRPr="00012C3F">
        <w:rPr>
          <w:rFonts w:eastAsia="Calibri" w:cs="Arial"/>
          <w:sz w:val="20"/>
          <w:szCs w:val="20"/>
          <w:lang w:val="en-US" w:eastAsia="en-US"/>
        </w:rPr>
        <w:t>the State</w:t>
      </w:r>
      <w:r w:rsidR="00821074" w:rsidRPr="00012C3F">
        <w:rPr>
          <w:rFonts w:eastAsia="Calibri" w:cs="Arial"/>
          <w:sz w:val="20"/>
          <w:szCs w:val="20"/>
          <w:lang w:val="en-US" w:eastAsia="en-US"/>
        </w:rPr>
        <w:t xml:space="preserve"> a</w:t>
      </w:r>
      <w:r w:rsidRPr="00012C3F">
        <w:rPr>
          <w:rFonts w:eastAsia="Calibri" w:cs="Arial"/>
          <w:sz w:val="20"/>
          <w:szCs w:val="20"/>
          <w:lang w:val="en-US" w:eastAsia="en-US"/>
        </w:rPr>
        <w:t>rgued that, according to a</w:t>
      </w:r>
      <w:r w:rsidR="001254DE" w:rsidRPr="00012C3F">
        <w:rPr>
          <w:rFonts w:eastAsia="Calibri" w:cs="Arial"/>
          <w:sz w:val="20"/>
          <w:szCs w:val="20"/>
          <w:lang w:val="en-US" w:eastAsia="en-US"/>
        </w:rPr>
        <w:t>rticle</w:t>
      </w:r>
      <w:r w:rsidR="00821074" w:rsidRPr="00012C3F">
        <w:rPr>
          <w:rFonts w:eastAsia="Calibri" w:cs="Arial"/>
          <w:sz w:val="20"/>
          <w:szCs w:val="20"/>
          <w:lang w:val="en-US" w:eastAsia="en-US"/>
        </w:rPr>
        <w:t xml:space="preserve"> 19 </w:t>
      </w:r>
      <w:r w:rsidRPr="00012C3F">
        <w:rPr>
          <w:rFonts w:eastAsia="Calibri" w:cs="Arial"/>
          <w:sz w:val="20"/>
          <w:szCs w:val="20"/>
          <w:lang w:val="en-US" w:eastAsia="en-US"/>
        </w:rPr>
        <w:t xml:space="preserve">of the </w:t>
      </w:r>
      <w:r w:rsidR="002E2489" w:rsidRPr="00012C3F">
        <w:rPr>
          <w:rFonts w:eastAsia="Calibri" w:cs="Arial"/>
          <w:sz w:val="20"/>
          <w:szCs w:val="20"/>
          <w:lang w:val="en-US" w:eastAsia="en-US"/>
        </w:rPr>
        <w:t>applicable</w:t>
      </w:r>
      <w:r w:rsidRPr="00012C3F">
        <w:rPr>
          <w:rFonts w:eastAsia="Calibri" w:cs="Arial"/>
          <w:sz w:val="20"/>
          <w:szCs w:val="20"/>
          <w:lang w:val="en-US" w:eastAsia="en-US"/>
        </w:rPr>
        <w:t xml:space="preserve"> Constitution, I.V. could have filed the </w:t>
      </w:r>
      <w:r w:rsidR="00C16DEA" w:rsidRPr="00012C3F">
        <w:rPr>
          <w:rFonts w:eastAsia="Calibri" w:cs="Arial"/>
          <w:sz w:val="20"/>
          <w:szCs w:val="20"/>
          <w:lang w:val="en-US" w:eastAsia="en-US"/>
        </w:rPr>
        <w:t xml:space="preserve">application for constitutional </w:t>
      </w:r>
      <w:r w:rsidR="0013059C" w:rsidRPr="00012C3F">
        <w:rPr>
          <w:rFonts w:eastAsia="Calibri" w:cs="Arial"/>
          <w:sz w:val="20"/>
          <w:szCs w:val="20"/>
          <w:lang w:val="en-US" w:eastAsia="en-US"/>
        </w:rPr>
        <w:lastRenderedPageBreak/>
        <w:t>amparo</w:t>
      </w:r>
      <w:r w:rsidRPr="00012C3F">
        <w:rPr>
          <w:rFonts w:eastAsia="Calibri" w:cs="Arial"/>
          <w:sz w:val="20"/>
          <w:szCs w:val="20"/>
          <w:lang w:val="en-US" w:eastAsia="en-US"/>
        </w:rPr>
        <w:t xml:space="preserve">, which </w:t>
      </w:r>
      <w:r w:rsidR="006069D3" w:rsidRPr="00012C3F">
        <w:rPr>
          <w:rFonts w:eastAsia="Calibri" w:cs="Arial"/>
          <w:sz w:val="20"/>
          <w:szCs w:val="20"/>
          <w:lang w:val="en-US" w:eastAsia="en-US"/>
        </w:rPr>
        <w:t>wa</w:t>
      </w:r>
      <w:r w:rsidRPr="00012C3F">
        <w:rPr>
          <w:rFonts w:eastAsia="Calibri" w:cs="Arial"/>
          <w:sz w:val="20"/>
          <w:szCs w:val="20"/>
          <w:lang w:val="en-US" w:eastAsia="en-US"/>
        </w:rPr>
        <w:t>s admissible “against wrongful acts or undue omissions of officials or private individuals that restrict</w:t>
      </w:r>
      <w:r w:rsidR="006069D3" w:rsidRPr="00012C3F">
        <w:rPr>
          <w:rFonts w:eastAsia="Calibri" w:cs="Arial"/>
          <w:sz w:val="20"/>
          <w:szCs w:val="20"/>
          <w:lang w:val="en-US" w:eastAsia="en-US"/>
        </w:rPr>
        <w:t xml:space="preserve"> or</w:t>
      </w:r>
      <w:r w:rsidRPr="00012C3F">
        <w:rPr>
          <w:rFonts w:eastAsia="Calibri" w:cs="Arial"/>
          <w:sz w:val="20"/>
          <w:szCs w:val="20"/>
          <w:lang w:val="en-US" w:eastAsia="en-US"/>
        </w:rPr>
        <w:t xml:space="preserve"> suppress</w:t>
      </w:r>
      <w:r w:rsidR="006069D3" w:rsidRPr="00012C3F">
        <w:rPr>
          <w:rFonts w:eastAsia="Calibri" w:cs="Arial"/>
          <w:sz w:val="20"/>
          <w:szCs w:val="20"/>
          <w:lang w:val="en-US" w:eastAsia="en-US"/>
        </w:rPr>
        <w:t>,</w:t>
      </w:r>
      <w:r w:rsidRPr="00012C3F">
        <w:rPr>
          <w:rFonts w:eastAsia="Calibri" w:cs="Arial"/>
          <w:sz w:val="20"/>
          <w:szCs w:val="20"/>
          <w:lang w:val="en-US" w:eastAsia="en-US"/>
        </w:rPr>
        <w:t xml:space="preserve"> or threaten to restrict or suppress the rights and guarantees of the individual recognized by the Constitution and the law.” Regarding the effectiveness and approp</w:t>
      </w:r>
      <w:r w:rsidR="001C3A7A" w:rsidRPr="00012C3F">
        <w:rPr>
          <w:rFonts w:eastAsia="Calibri" w:cs="Arial"/>
          <w:sz w:val="20"/>
          <w:szCs w:val="20"/>
          <w:lang w:val="en-US" w:eastAsia="en-US"/>
        </w:rPr>
        <w:t>riateness of the remedy to rever</w:t>
      </w:r>
      <w:r w:rsidR="002A11C4" w:rsidRPr="00012C3F">
        <w:rPr>
          <w:rFonts w:eastAsia="Calibri" w:cs="Arial"/>
          <w:sz w:val="20"/>
          <w:szCs w:val="20"/>
          <w:lang w:val="en-US" w:eastAsia="en-US"/>
        </w:rPr>
        <w:t>se</w:t>
      </w:r>
      <w:r w:rsidR="001C3A7A" w:rsidRPr="00012C3F">
        <w:rPr>
          <w:rFonts w:eastAsia="Calibri" w:cs="Arial"/>
          <w:sz w:val="20"/>
          <w:szCs w:val="20"/>
          <w:lang w:val="en-US" w:eastAsia="en-US"/>
        </w:rPr>
        <w:t xml:space="preserve"> the extinction of the criminal action owing to </w:t>
      </w:r>
      <w:r w:rsidR="002A11C4" w:rsidRPr="00012C3F">
        <w:rPr>
          <w:rFonts w:eastAsia="Calibri" w:cs="Arial"/>
          <w:sz w:val="20"/>
          <w:szCs w:val="20"/>
          <w:lang w:val="en-US" w:eastAsia="en-US"/>
        </w:rPr>
        <w:t xml:space="preserve">the </w:t>
      </w:r>
      <w:r w:rsidR="001C3A7A" w:rsidRPr="00012C3F">
        <w:rPr>
          <w:rFonts w:eastAsia="Calibri" w:cs="Arial"/>
          <w:sz w:val="20"/>
          <w:szCs w:val="20"/>
          <w:lang w:val="en-US" w:eastAsia="en-US"/>
        </w:rPr>
        <w:t xml:space="preserve">maximum </w:t>
      </w:r>
      <w:r w:rsidR="002A11C4" w:rsidRPr="00012C3F">
        <w:rPr>
          <w:rFonts w:eastAsia="Calibri" w:cs="Arial"/>
          <w:sz w:val="20"/>
          <w:szCs w:val="20"/>
          <w:lang w:val="en-US" w:eastAsia="en-US"/>
        </w:rPr>
        <w:t>duration</w:t>
      </w:r>
      <w:r w:rsidR="001C3A7A" w:rsidRPr="00012C3F">
        <w:rPr>
          <w:rFonts w:eastAsia="Calibri" w:cs="Arial"/>
          <w:sz w:val="20"/>
          <w:szCs w:val="20"/>
          <w:lang w:val="en-US" w:eastAsia="en-US"/>
        </w:rPr>
        <w:t xml:space="preserve"> of the proceedings, t</w:t>
      </w:r>
      <w:r w:rsidR="00A84CA0" w:rsidRPr="00012C3F">
        <w:rPr>
          <w:rFonts w:eastAsia="Calibri" w:cs="Arial"/>
          <w:sz w:val="20"/>
          <w:szCs w:val="20"/>
          <w:lang w:val="en-US" w:eastAsia="en-US"/>
        </w:rPr>
        <w:t>he State</w:t>
      </w:r>
      <w:r w:rsidR="00821074" w:rsidRPr="00012C3F">
        <w:rPr>
          <w:rFonts w:eastAsia="Calibri" w:cs="Arial"/>
          <w:sz w:val="20"/>
          <w:szCs w:val="20"/>
          <w:lang w:val="en-US" w:eastAsia="en-US"/>
        </w:rPr>
        <w:t xml:space="preserve"> a</w:t>
      </w:r>
      <w:r w:rsidRPr="00012C3F">
        <w:rPr>
          <w:rFonts w:eastAsia="Calibri" w:cs="Arial"/>
          <w:sz w:val="20"/>
          <w:szCs w:val="20"/>
          <w:lang w:val="en-US" w:eastAsia="en-US"/>
        </w:rPr>
        <w:t>dded</w:t>
      </w:r>
      <w:r w:rsidR="001C3A7A" w:rsidRPr="00012C3F">
        <w:rPr>
          <w:rFonts w:eastAsia="Calibri" w:cs="Arial"/>
          <w:sz w:val="20"/>
          <w:szCs w:val="20"/>
          <w:lang w:val="en-US" w:eastAsia="en-US"/>
        </w:rPr>
        <w:t xml:space="preserve"> that “a series of rulings [exist</w:t>
      </w:r>
      <w:r w:rsidR="00816AE4" w:rsidRPr="00012C3F">
        <w:rPr>
          <w:rFonts w:eastAsia="Calibri" w:cs="Arial"/>
          <w:sz w:val="20"/>
          <w:szCs w:val="20"/>
          <w:lang w:val="en-US" w:eastAsia="en-US"/>
        </w:rPr>
        <w:t>ed</w:t>
      </w:r>
      <w:r w:rsidR="001C3A7A" w:rsidRPr="00012C3F">
        <w:rPr>
          <w:rFonts w:eastAsia="Calibri" w:cs="Arial"/>
          <w:sz w:val="20"/>
          <w:szCs w:val="20"/>
          <w:lang w:val="en-US" w:eastAsia="en-US"/>
        </w:rPr>
        <w:t>] in which the Constitutional Court</w:t>
      </w:r>
      <w:r w:rsidR="001E71CE" w:rsidRPr="00012C3F">
        <w:rPr>
          <w:rFonts w:eastAsia="Calibri" w:cs="Arial"/>
          <w:sz w:val="20"/>
          <w:szCs w:val="20"/>
          <w:lang w:val="en-US" w:eastAsia="en-US"/>
        </w:rPr>
        <w:t xml:space="preserve"> had</w:t>
      </w:r>
      <w:r w:rsidR="001C3A7A" w:rsidRPr="00012C3F">
        <w:rPr>
          <w:rFonts w:eastAsia="Calibri" w:cs="Arial"/>
          <w:sz w:val="20"/>
          <w:szCs w:val="20"/>
          <w:lang w:val="en-US" w:eastAsia="en-US"/>
        </w:rPr>
        <w:t xml:space="preserve"> revoke</w:t>
      </w:r>
      <w:r w:rsidR="002A11C4" w:rsidRPr="00012C3F">
        <w:rPr>
          <w:rFonts w:eastAsia="Calibri" w:cs="Arial"/>
          <w:sz w:val="20"/>
          <w:szCs w:val="20"/>
          <w:lang w:val="en-US" w:eastAsia="en-US"/>
        </w:rPr>
        <w:t>d</w:t>
      </w:r>
      <w:r w:rsidR="001C3A7A" w:rsidRPr="00012C3F">
        <w:rPr>
          <w:rFonts w:eastAsia="Calibri" w:cs="Arial"/>
          <w:sz w:val="20"/>
          <w:szCs w:val="20"/>
          <w:lang w:val="en-US" w:eastAsia="en-US"/>
        </w:rPr>
        <w:t xml:space="preserve"> </w:t>
      </w:r>
      <w:r w:rsidR="002A11C4" w:rsidRPr="00012C3F">
        <w:rPr>
          <w:rFonts w:eastAsia="Calibri" w:cs="Arial"/>
          <w:sz w:val="20"/>
          <w:szCs w:val="20"/>
          <w:lang w:val="en-US" w:eastAsia="en-US"/>
        </w:rPr>
        <w:t>decisions</w:t>
      </w:r>
      <w:r w:rsidR="001C3A7A" w:rsidRPr="00012C3F">
        <w:rPr>
          <w:rFonts w:eastAsia="Calibri" w:cs="Arial"/>
          <w:sz w:val="20"/>
          <w:szCs w:val="20"/>
          <w:lang w:val="en-US" w:eastAsia="en-US"/>
        </w:rPr>
        <w:t xml:space="preserve"> ordering the extinction of</w:t>
      </w:r>
      <w:r w:rsidR="002A11C4" w:rsidRPr="00012C3F">
        <w:rPr>
          <w:rFonts w:eastAsia="Calibri" w:cs="Arial"/>
          <w:sz w:val="20"/>
          <w:szCs w:val="20"/>
          <w:lang w:val="en-US" w:eastAsia="en-US"/>
        </w:rPr>
        <w:t xml:space="preserve"> a</w:t>
      </w:r>
      <w:r w:rsidR="001C3A7A" w:rsidRPr="00012C3F">
        <w:rPr>
          <w:rFonts w:eastAsia="Calibri" w:cs="Arial"/>
          <w:sz w:val="20"/>
          <w:szCs w:val="20"/>
          <w:lang w:val="en-US" w:eastAsia="en-US"/>
        </w:rPr>
        <w:t xml:space="preserve"> criminal action </w:t>
      </w:r>
      <w:r w:rsidR="00DA4A46">
        <w:rPr>
          <w:rFonts w:eastAsia="Calibri" w:cs="Arial"/>
          <w:sz w:val="20"/>
          <w:szCs w:val="20"/>
          <w:lang w:val="en-US" w:eastAsia="en-US"/>
        </w:rPr>
        <w:t>owing to</w:t>
      </w:r>
      <w:r w:rsidR="001C3A7A" w:rsidRPr="00012C3F">
        <w:rPr>
          <w:rFonts w:eastAsia="Calibri" w:cs="Arial"/>
          <w:sz w:val="20"/>
          <w:szCs w:val="20"/>
          <w:lang w:val="en-US" w:eastAsia="en-US"/>
        </w:rPr>
        <w:t xml:space="preserve"> maximum duration of the proceedings, </w:t>
      </w:r>
      <w:r w:rsidR="002A11C4" w:rsidRPr="00012C3F">
        <w:rPr>
          <w:rFonts w:eastAsia="Calibri" w:cs="Arial"/>
          <w:sz w:val="20"/>
          <w:szCs w:val="20"/>
          <w:lang w:val="en-US" w:eastAsia="en-US"/>
        </w:rPr>
        <w:t>based on</w:t>
      </w:r>
      <w:r w:rsidR="001C3A7A" w:rsidRPr="00012C3F">
        <w:rPr>
          <w:rFonts w:eastAsia="Calibri" w:cs="Arial"/>
          <w:sz w:val="20"/>
          <w:szCs w:val="20"/>
          <w:lang w:val="en-US" w:eastAsia="en-US"/>
        </w:rPr>
        <w:t xml:space="preserve"> </w:t>
      </w:r>
      <w:r w:rsidR="002A11C4" w:rsidRPr="00012C3F">
        <w:rPr>
          <w:rFonts w:eastAsia="Calibri" w:cs="Arial"/>
          <w:sz w:val="20"/>
          <w:szCs w:val="20"/>
          <w:lang w:val="en-US" w:eastAsia="en-US"/>
        </w:rPr>
        <w:t xml:space="preserve">the absence of substantiation and justification </w:t>
      </w:r>
      <w:r w:rsidR="001C3A7A" w:rsidRPr="00012C3F">
        <w:rPr>
          <w:rFonts w:eastAsia="Calibri" w:cs="Arial"/>
          <w:sz w:val="20"/>
          <w:szCs w:val="20"/>
          <w:lang w:val="en-US" w:eastAsia="en-US"/>
        </w:rPr>
        <w:t xml:space="preserve">in the </w:t>
      </w:r>
      <w:r w:rsidR="002A11C4" w:rsidRPr="00012C3F">
        <w:rPr>
          <w:rFonts w:eastAsia="Calibri" w:cs="Arial"/>
          <w:sz w:val="20"/>
          <w:szCs w:val="20"/>
          <w:lang w:val="en-US" w:eastAsia="en-US"/>
        </w:rPr>
        <w:t xml:space="preserve">decisions </w:t>
      </w:r>
      <w:r w:rsidR="001C3A7A" w:rsidRPr="00012C3F">
        <w:rPr>
          <w:rFonts w:eastAsia="Calibri" w:cs="Arial"/>
          <w:sz w:val="20"/>
          <w:szCs w:val="20"/>
          <w:lang w:val="en-US" w:eastAsia="en-US"/>
        </w:rPr>
        <w:t xml:space="preserve">that </w:t>
      </w:r>
      <w:r w:rsidR="00816AE4" w:rsidRPr="00012C3F">
        <w:rPr>
          <w:rFonts w:eastAsia="Calibri" w:cs="Arial"/>
          <w:sz w:val="20"/>
          <w:szCs w:val="20"/>
          <w:lang w:val="en-US" w:eastAsia="en-US"/>
        </w:rPr>
        <w:t xml:space="preserve">would have permitted </w:t>
      </w:r>
      <w:r w:rsidR="001C3A7A" w:rsidRPr="00012C3F">
        <w:rPr>
          <w:rFonts w:eastAsia="Calibri" w:cs="Arial"/>
          <w:sz w:val="20"/>
          <w:szCs w:val="20"/>
          <w:lang w:val="en-US" w:eastAsia="en-US"/>
        </w:rPr>
        <w:t>determin</w:t>
      </w:r>
      <w:r w:rsidR="00816AE4" w:rsidRPr="00012C3F">
        <w:rPr>
          <w:rFonts w:eastAsia="Calibri" w:cs="Arial"/>
          <w:sz w:val="20"/>
          <w:szCs w:val="20"/>
          <w:lang w:val="en-US" w:eastAsia="en-US"/>
        </w:rPr>
        <w:t>ing</w:t>
      </w:r>
      <w:r w:rsidR="001C3A7A" w:rsidRPr="00012C3F">
        <w:rPr>
          <w:rFonts w:eastAsia="Calibri" w:cs="Arial"/>
          <w:sz w:val="20"/>
          <w:szCs w:val="20"/>
          <w:lang w:val="en-US" w:eastAsia="en-US"/>
        </w:rPr>
        <w:t xml:space="preserve"> </w:t>
      </w:r>
      <w:r w:rsidR="00816AE4" w:rsidRPr="00012C3F">
        <w:rPr>
          <w:rFonts w:eastAsia="Calibri" w:cs="Arial"/>
          <w:sz w:val="20"/>
          <w:szCs w:val="20"/>
          <w:lang w:val="en-US" w:eastAsia="en-US"/>
        </w:rPr>
        <w:t xml:space="preserve">to </w:t>
      </w:r>
      <w:r w:rsidR="001C3A7A" w:rsidRPr="00012C3F">
        <w:rPr>
          <w:rFonts w:eastAsia="Calibri" w:cs="Arial"/>
          <w:sz w:val="20"/>
          <w:szCs w:val="20"/>
          <w:lang w:val="en-US" w:eastAsia="en-US"/>
        </w:rPr>
        <w:t>who</w:t>
      </w:r>
      <w:r w:rsidR="00816AE4" w:rsidRPr="00012C3F">
        <w:rPr>
          <w:rFonts w:eastAsia="Calibri" w:cs="Arial"/>
          <w:sz w:val="20"/>
          <w:szCs w:val="20"/>
          <w:lang w:val="en-US" w:eastAsia="en-US"/>
        </w:rPr>
        <w:t>m</w:t>
      </w:r>
      <w:r w:rsidR="001C3A7A" w:rsidRPr="00012C3F">
        <w:rPr>
          <w:rFonts w:eastAsia="Calibri" w:cs="Arial"/>
          <w:sz w:val="20"/>
          <w:szCs w:val="20"/>
          <w:lang w:val="en-US" w:eastAsia="en-US"/>
        </w:rPr>
        <w:t xml:space="preserve"> the delays that led to the extinction of the criminal action</w:t>
      </w:r>
      <w:r w:rsidR="00816AE4" w:rsidRPr="00012C3F">
        <w:rPr>
          <w:rFonts w:eastAsia="Calibri" w:cs="Arial"/>
          <w:sz w:val="20"/>
          <w:szCs w:val="20"/>
          <w:lang w:val="en-US" w:eastAsia="en-US"/>
        </w:rPr>
        <w:t xml:space="preserve"> could be attributed</w:t>
      </w:r>
      <w:r w:rsidR="001C3A7A" w:rsidRPr="00012C3F">
        <w:rPr>
          <w:rFonts w:eastAsia="Calibri" w:cs="Arial"/>
          <w:sz w:val="20"/>
          <w:szCs w:val="20"/>
          <w:lang w:val="en-US" w:eastAsia="en-US"/>
        </w:rPr>
        <w:t>.” Therefore, it a</w:t>
      </w:r>
      <w:r w:rsidR="00816AE4" w:rsidRPr="00012C3F">
        <w:rPr>
          <w:rFonts w:eastAsia="Calibri" w:cs="Arial"/>
          <w:sz w:val="20"/>
          <w:szCs w:val="20"/>
          <w:lang w:val="en-US" w:eastAsia="en-US"/>
        </w:rPr>
        <w:t>sserted</w:t>
      </w:r>
      <w:r w:rsidR="001C3A7A" w:rsidRPr="00012C3F">
        <w:rPr>
          <w:rFonts w:eastAsia="Calibri" w:cs="Arial"/>
          <w:sz w:val="20"/>
          <w:szCs w:val="20"/>
          <w:lang w:val="en-US" w:eastAsia="en-US"/>
        </w:rPr>
        <w:t xml:space="preserve"> that, if I.V. had filed this remedy, it would have been effective and appropriate to re-establish the rights that she considered violated, by establishing, based on an adequate </w:t>
      </w:r>
      <w:r w:rsidR="00816AE4" w:rsidRPr="00012C3F">
        <w:rPr>
          <w:rFonts w:eastAsia="Calibri" w:cs="Arial"/>
          <w:sz w:val="20"/>
          <w:szCs w:val="20"/>
          <w:lang w:val="en-US" w:eastAsia="en-US"/>
        </w:rPr>
        <w:t>justification</w:t>
      </w:r>
      <w:r w:rsidR="001C3A7A" w:rsidRPr="00012C3F">
        <w:rPr>
          <w:rFonts w:eastAsia="Calibri" w:cs="Arial"/>
          <w:sz w:val="20"/>
          <w:szCs w:val="20"/>
          <w:lang w:val="en-US" w:eastAsia="en-US"/>
        </w:rPr>
        <w:t xml:space="preserve"> and grounds</w:t>
      </w:r>
      <w:r w:rsidR="00816AE4" w:rsidRPr="00012C3F">
        <w:rPr>
          <w:rFonts w:eastAsia="Calibri" w:cs="Arial"/>
          <w:sz w:val="20"/>
          <w:szCs w:val="20"/>
          <w:lang w:val="en-US" w:eastAsia="en-US"/>
        </w:rPr>
        <w:t>,</w:t>
      </w:r>
      <w:r w:rsidR="001C3A7A" w:rsidRPr="00012C3F">
        <w:rPr>
          <w:rFonts w:eastAsia="Calibri" w:cs="Arial"/>
          <w:sz w:val="20"/>
          <w:szCs w:val="20"/>
          <w:lang w:val="en-US" w:eastAsia="en-US"/>
        </w:rPr>
        <w:t xml:space="preserve"> that the delays could be attributed to the defendant</w:t>
      </w:r>
      <w:r w:rsidR="000F32AA" w:rsidRPr="00012C3F">
        <w:rPr>
          <w:rFonts w:eastAsia="Calibri" w:cs="Arial"/>
          <w:sz w:val="20"/>
          <w:szCs w:val="20"/>
          <w:lang w:val="en-US" w:eastAsia="en-US"/>
        </w:rPr>
        <w:t xml:space="preserve"> and, consequently, the </w:t>
      </w:r>
      <w:r w:rsidR="00816AE4" w:rsidRPr="00012C3F">
        <w:rPr>
          <w:rFonts w:eastAsia="Calibri" w:cs="Arial"/>
          <w:sz w:val="20"/>
          <w:szCs w:val="20"/>
          <w:lang w:val="en-US" w:eastAsia="en-US"/>
        </w:rPr>
        <w:t>c</w:t>
      </w:r>
      <w:r w:rsidR="000F32AA" w:rsidRPr="00012C3F">
        <w:rPr>
          <w:rFonts w:eastAsia="Calibri" w:cs="Arial"/>
          <w:sz w:val="20"/>
          <w:szCs w:val="20"/>
          <w:lang w:val="en-US" w:eastAsia="en-US"/>
        </w:rPr>
        <w:t>ourt would have established the impossibility of the action extinguishing.</w:t>
      </w:r>
    </w:p>
    <w:p w14:paraId="7C72EA84" w14:textId="77777777" w:rsidR="00565870" w:rsidRPr="00012C3F" w:rsidRDefault="00565870" w:rsidP="00565870">
      <w:pPr>
        <w:tabs>
          <w:tab w:val="left" w:pos="567"/>
        </w:tabs>
        <w:spacing w:line="240" w:lineRule="auto"/>
        <w:rPr>
          <w:rFonts w:eastAsia="Calibri" w:cs="Arial"/>
          <w:sz w:val="20"/>
          <w:szCs w:val="20"/>
          <w:lang w:val="en-US" w:eastAsia="en-US"/>
        </w:rPr>
      </w:pPr>
    </w:p>
    <w:p w14:paraId="5F9BD013" w14:textId="77777777" w:rsidR="000F32AA" w:rsidRPr="00012C3F" w:rsidRDefault="000F32AA" w:rsidP="000F32AA">
      <w:pPr>
        <w:widowControl/>
        <w:numPr>
          <w:ilvl w:val="0"/>
          <w:numId w:val="5"/>
        </w:numPr>
        <w:tabs>
          <w:tab w:val="left" w:pos="720"/>
          <w:tab w:val="num" w:pos="12305"/>
        </w:tabs>
        <w:autoSpaceDE w:val="0"/>
        <w:autoSpaceDN w:val="0"/>
        <w:spacing w:line="240" w:lineRule="auto"/>
        <w:ind w:left="0" w:firstLine="0"/>
        <w:textAlignment w:val="auto"/>
        <w:rPr>
          <w:rFonts w:eastAsia="Calibri" w:cs="Arial"/>
          <w:sz w:val="20"/>
          <w:szCs w:val="20"/>
          <w:lang w:val="en-US" w:eastAsia="en-US"/>
        </w:rPr>
      </w:pPr>
      <w:r w:rsidRPr="00012C3F">
        <w:rPr>
          <w:rFonts w:eastAsia="Calibri" w:cs="Arial"/>
          <w:sz w:val="20"/>
          <w:szCs w:val="20"/>
          <w:lang w:val="en-US" w:eastAsia="en-US"/>
        </w:rPr>
        <w:t>Regarding</w:t>
      </w:r>
      <w:r w:rsidR="00821074" w:rsidRPr="00012C3F">
        <w:rPr>
          <w:rFonts w:eastAsia="Calibri" w:cs="Arial"/>
          <w:sz w:val="20"/>
          <w:szCs w:val="20"/>
          <w:lang w:val="en-US" w:eastAsia="en-US"/>
        </w:rPr>
        <w:t xml:space="preserve"> </w:t>
      </w:r>
      <w:r w:rsidRPr="00012C3F">
        <w:rPr>
          <w:rFonts w:eastAsia="Calibri" w:cs="Arial"/>
          <w:sz w:val="20"/>
          <w:szCs w:val="20"/>
          <w:lang w:val="en-US" w:eastAsia="en-US"/>
        </w:rPr>
        <w:t>the observations</w:t>
      </w:r>
      <w:r w:rsidR="001254DE" w:rsidRPr="00012C3F">
        <w:rPr>
          <w:rFonts w:eastAsia="Calibri" w:cs="Arial"/>
          <w:sz w:val="20"/>
          <w:szCs w:val="20"/>
          <w:lang w:val="en-US" w:eastAsia="en-US"/>
        </w:rPr>
        <w:t xml:space="preserve"> of the </w:t>
      </w:r>
      <w:r w:rsidR="00A84CA0" w:rsidRPr="00012C3F">
        <w:rPr>
          <w:rFonts w:eastAsia="Calibri" w:cs="Arial"/>
          <w:sz w:val="20"/>
          <w:szCs w:val="20"/>
          <w:lang w:val="en-US" w:eastAsia="en-US"/>
        </w:rPr>
        <w:t>Commission</w:t>
      </w:r>
      <w:r w:rsidR="005E5012" w:rsidRPr="00012C3F">
        <w:rPr>
          <w:rFonts w:eastAsia="Calibri" w:cs="Arial"/>
          <w:sz w:val="20"/>
          <w:szCs w:val="20"/>
          <w:lang w:val="en-US" w:eastAsia="en-US"/>
        </w:rPr>
        <w:t xml:space="preserve"> and </w:t>
      </w:r>
      <w:r w:rsidR="00972ACF" w:rsidRPr="00012C3F">
        <w:rPr>
          <w:rFonts w:eastAsia="Calibri" w:cs="Arial"/>
          <w:sz w:val="20"/>
          <w:szCs w:val="20"/>
          <w:lang w:val="en-US" w:eastAsia="en-US"/>
        </w:rPr>
        <w:t>the representative</w:t>
      </w:r>
      <w:r w:rsidR="00821074" w:rsidRPr="00012C3F">
        <w:rPr>
          <w:rFonts w:eastAsia="Calibri" w:cs="Arial"/>
          <w:sz w:val="20"/>
          <w:szCs w:val="20"/>
          <w:lang w:val="en-US" w:eastAsia="en-US"/>
        </w:rPr>
        <w:t>,</w:t>
      </w:r>
      <w:r w:rsidRPr="00012C3F">
        <w:rPr>
          <w:rFonts w:eastAsia="Calibri" w:cs="Arial"/>
          <w:sz w:val="20"/>
          <w:szCs w:val="20"/>
          <w:lang w:val="en-US" w:eastAsia="en-US"/>
        </w:rPr>
        <w:t xml:space="preserve"> in its final arguments,</w:t>
      </w:r>
      <w:r w:rsidR="00821074" w:rsidRPr="00012C3F">
        <w:rPr>
          <w:rFonts w:eastAsia="Calibri" w:cs="Arial"/>
          <w:sz w:val="20"/>
          <w:szCs w:val="20"/>
          <w:lang w:val="en-US" w:eastAsia="en-US"/>
        </w:rPr>
        <w:t xml:space="preserve"> </w:t>
      </w:r>
      <w:r w:rsidR="00A84CA0" w:rsidRPr="00012C3F">
        <w:rPr>
          <w:rFonts w:eastAsia="Calibri" w:cs="Arial"/>
          <w:sz w:val="20"/>
          <w:szCs w:val="20"/>
          <w:lang w:val="en-US" w:eastAsia="en-US"/>
        </w:rPr>
        <w:t xml:space="preserve">the </w:t>
      </w:r>
      <w:r w:rsidRPr="00012C3F">
        <w:rPr>
          <w:rFonts w:eastAsia="Calibri" w:cs="Arial"/>
          <w:sz w:val="20"/>
          <w:szCs w:val="20"/>
          <w:lang w:val="en-US" w:eastAsia="en-US"/>
        </w:rPr>
        <w:t xml:space="preserve">State expanded on the appropriateness and effectiveness of the </w:t>
      </w:r>
      <w:r w:rsidR="00C16DEA" w:rsidRPr="00012C3F">
        <w:rPr>
          <w:rFonts w:eastAsia="Calibri" w:cs="Arial"/>
          <w:sz w:val="20"/>
          <w:szCs w:val="20"/>
          <w:lang w:val="en-US" w:eastAsia="en-US"/>
        </w:rPr>
        <w:t xml:space="preserve">application for </w:t>
      </w:r>
      <w:r w:rsidR="00FA56FE" w:rsidRPr="00012C3F">
        <w:rPr>
          <w:rFonts w:eastAsia="Calibri" w:cs="Arial"/>
          <w:sz w:val="20"/>
          <w:szCs w:val="20"/>
          <w:lang w:val="en-US" w:eastAsia="en-US"/>
        </w:rPr>
        <w:t>amparo</w:t>
      </w:r>
      <w:r w:rsidRPr="00012C3F">
        <w:rPr>
          <w:rFonts w:eastAsia="Calibri" w:cs="Arial"/>
          <w:sz w:val="20"/>
          <w:szCs w:val="20"/>
          <w:lang w:val="en-US" w:eastAsia="en-US"/>
        </w:rPr>
        <w:t>, indicat</w:t>
      </w:r>
      <w:r w:rsidR="006D5B7D" w:rsidRPr="00012C3F">
        <w:rPr>
          <w:rFonts w:eastAsia="Calibri" w:cs="Arial"/>
          <w:sz w:val="20"/>
          <w:szCs w:val="20"/>
          <w:lang w:val="en-US" w:eastAsia="en-US"/>
        </w:rPr>
        <w:t>ing</w:t>
      </w:r>
      <w:r w:rsidRPr="00012C3F">
        <w:rPr>
          <w:rFonts w:eastAsia="Calibri" w:cs="Arial"/>
          <w:sz w:val="20"/>
          <w:szCs w:val="20"/>
          <w:lang w:val="en-US" w:eastAsia="en-US"/>
        </w:rPr>
        <w:t xml:space="preserve"> that: (i) since submitting its brief with observations on the admissibility of the petition</w:t>
      </w:r>
      <w:r w:rsidR="006D5B7D" w:rsidRPr="00012C3F">
        <w:rPr>
          <w:rFonts w:eastAsia="Calibri" w:cs="Arial"/>
          <w:sz w:val="20"/>
          <w:szCs w:val="20"/>
          <w:lang w:val="en-US" w:eastAsia="en-US"/>
        </w:rPr>
        <w:t>,</w:t>
      </w:r>
      <w:r w:rsidRPr="00012C3F">
        <w:rPr>
          <w:rFonts w:eastAsia="Calibri" w:cs="Arial"/>
          <w:sz w:val="20"/>
          <w:szCs w:val="20"/>
          <w:lang w:val="en-US" w:eastAsia="en-US"/>
        </w:rPr>
        <w:t xml:space="preserve"> it had argued that the </w:t>
      </w:r>
      <w:r w:rsidR="00816AE4" w:rsidRPr="00012C3F">
        <w:rPr>
          <w:rFonts w:eastAsia="Calibri" w:cs="Arial"/>
          <w:sz w:val="20"/>
          <w:szCs w:val="20"/>
          <w:lang w:val="en-US" w:eastAsia="en-US"/>
        </w:rPr>
        <w:t xml:space="preserve">application for </w:t>
      </w:r>
      <w:r w:rsidR="001E71CE" w:rsidRPr="00012C3F">
        <w:rPr>
          <w:rFonts w:eastAsia="Calibri" w:cs="Arial"/>
          <w:sz w:val="20"/>
          <w:szCs w:val="20"/>
          <w:lang w:val="en-US" w:eastAsia="en-US"/>
        </w:rPr>
        <w:t>amparo</w:t>
      </w:r>
      <w:r w:rsidRPr="00012C3F">
        <w:rPr>
          <w:rFonts w:eastAsia="Calibri" w:cs="Arial"/>
          <w:sz w:val="20"/>
          <w:szCs w:val="20"/>
          <w:lang w:val="en-US" w:eastAsia="en-US"/>
        </w:rPr>
        <w:t xml:space="preserve"> was the appropriate and effective remedy to address I.V.’s situation, providing case law </w:t>
      </w:r>
      <w:r w:rsidR="006D5B7D" w:rsidRPr="00012C3F">
        <w:rPr>
          <w:rFonts w:eastAsia="Calibri" w:cs="Arial"/>
          <w:sz w:val="20"/>
          <w:szCs w:val="20"/>
          <w:lang w:val="en-US" w:eastAsia="en-US"/>
        </w:rPr>
        <w:t>on</w:t>
      </w:r>
      <w:r w:rsidRPr="00012C3F">
        <w:rPr>
          <w:rFonts w:eastAsia="Calibri" w:cs="Arial"/>
          <w:sz w:val="20"/>
          <w:szCs w:val="20"/>
          <w:lang w:val="en-US" w:eastAsia="en-US"/>
        </w:rPr>
        <w:t xml:space="preserve"> the admissibility of the a</w:t>
      </w:r>
      <w:r w:rsidR="00816AE4" w:rsidRPr="00012C3F">
        <w:rPr>
          <w:rFonts w:eastAsia="Calibri" w:cs="Arial"/>
          <w:sz w:val="20"/>
          <w:szCs w:val="20"/>
          <w:lang w:val="en-US" w:eastAsia="en-US"/>
        </w:rPr>
        <w:t>pplication</w:t>
      </w:r>
      <w:r w:rsidRPr="00012C3F">
        <w:rPr>
          <w:rFonts w:eastAsia="Calibri" w:cs="Arial"/>
          <w:sz w:val="20"/>
          <w:szCs w:val="20"/>
          <w:lang w:val="en-US" w:eastAsia="en-US"/>
        </w:rPr>
        <w:t xml:space="preserve"> for amparo</w:t>
      </w:r>
      <w:r w:rsidR="00FA56FE" w:rsidRPr="00012C3F">
        <w:rPr>
          <w:rFonts w:eastAsia="Calibri" w:cs="Arial"/>
          <w:sz w:val="20"/>
          <w:szCs w:val="20"/>
          <w:lang w:val="en-US" w:eastAsia="en-US"/>
        </w:rPr>
        <w:t xml:space="preserve"> </w:t>
      </w:r>
      <w:r w:rsidRPr="00012C3F">
        <w:rPr>
          <w:rFonts w:eastAsia="Calibri" w:cs="Arial"/>
          <w:sz w:val="20"/>
          <w:szCs w:val="20"/>
          <w:lang w:val="en-US" w:eastAsia="en-US"/>
        </w:rPr>
        <w:t>against decisions o</w:t>
      </w:r>
      <w:r w:rsidR="00816AE4" w:rsidRPr="00012C3F">
        <w:rPr>
          <w:rFonts w:eastAsia="Calibri" w:cs="Arial"/>
          <w:sz w:val="20"/>
          <w:szCs w:val="20"/>
          <w:lang w:val="en-US" w:eastAsia="en-US"/>
        </w:rPr>
        <w:t>rdering</w:t>
      </w:r>
      <w:r w:rsidRPr="00012C3F">
        <w:rPr>
          <w:rFonts w:eastAsia="Calibri" w:cs="Arial"/>
          <w:sz w:val="20"/>
          <w:szCs w:val="20"/>
          <w:lang w:val="en-US" w:eastAsia="en-US"/>
        </w:rPr>
        <w:t xml:space="preserve"> the extinction of the criminal action; (ii) </w:t>
      </w:r>
      <w:r w:rsidR="00BD056C" w:rsidRPr="00012C3F">
        <w:rPr>
          <w:rFonts w:eastAsia="Calibri" w:cs="Arial"/>
          <w:sz w:val="20"/>
          <w:szCs w:val="20"/>
          <w:lang w:val="en-US" w:eastAsia="en-US"/>
        </w:rPr>
        <w:t>in its observations on admissibility</w:t>
      </w:r>
      <w:r w:rsidR="006D5B7D" w:rsidRPr="00012C3F">
        <w:rPr>
          <w:rFonts w:eastAsia="Calibri" w:cs="Arial"/>
          <w:sz w:val="20"/>
          <w:szCs w:val="20"/>
          <w:lang w:val="en-US" w:eastAsia="en-US"/>
        </w:rPr>
        <w:t xml:space="preserve">, the State had also </w:t>
      </w:r>
      <w:r w:rsidR="00816AE4" w:rsidRPr="00012C3F">
        <w:rPr>
          <w:rFonts w:eastAsia="Calibri" w:cs="Arial"/>
          <w:sz w:val="20"/>
          <w:szCs w:val="20"/>
          <w:lang w:val="en-US" w:eastAsia="en-US"/>
        </w:rPr>
        <w:t>demonstrated</w:t>
      </w:r>
      <w:r w:rsidR="00BD056C" w:rsidRPr="00012C3F">
        <w:rPr>
          <w:rFonts w:eastAsia="Calibri" w:cs="Arial"/>
          <w:sz w:val="20"/>
          <w:szCs w:val="20"/>
          <w:lang w:val="en-US" w:eastAsia="en-US"/>
        </w:rPr>
        <w:t xml:space="preserve"> that the </w:t>
      </w:r>
      <w:r w:rsidR="00816AE4" w:rsidRPr="00012C3F">
        <w:rPr>
          <w:rFonts w:eastAsia="Calibri" w:cs="Arial"/>
          <w:sz w:val="20"/>
          <w:szCs w:val="20"/>
          <w:lang w:val="en-US" w:eastAsia="en-US"/>
        </w:rPr>
        <w:t>application for</w:t>
      </w:r>
      <w:r w:rsidR="00BD056C" w:rsidRPr="00012C3F">
        <w:rPr>
          <w:rFonts w:eastAsia="Calibri" w:cs="Arial"/>
          <w:sz w:val="20"/>
          <w:szCs w:val="20"/>
          <w:lang w:val="en-US" w:eastAsia="en-US"/>
        </w:rPr>
        <w:t xml:space="preserve"> amparo had achieved the annulment of a </w:t>
      </w:r>
      <w:r w:rsidR="00816AE4" w:rsidRPr="00012C3F">
        <w:rPr>
          <w:rFonts w:eastAsia="Calibri" w:cs="Arial"/>
          <w:sz w:val="20"/>
          <w:szCs w:val="20"/>
          <w:lang w:val="en-US" w:eastAsia="en-US"/>
        </w:rPr>
        <w:t>decision</w:t>
      </w:r>
      <w:r w:rsidR="00BD056C" w:rsidRPr="00012C3F">
        <w:rPr>
          <w:rFonts w:eastAsia="Calibri" w:cs="Arial"/>
          <w:sz w:val="20"/>
          <w:szCs w:val="20"/>
          <w:lang w:val="en-US" w:eastAsia="en-US"/>
        </w:rPr>
        <w:t xml:space="preserve"> determining the extinction of the criminal action; (iii) </w:t>
      </w:r>
      <w:r w:rsidR="006D5B7D" w:rsidRPr="00012C3F">
        <w:rPr>
          <w:rFonts w:eastAsia="Calibri" w:cs="Arial"/>
          <w:sz w:val="20"/>
          <w:szCs w:val="20"/>
          <w:lang w:val="en-US" w:eastAsia="en-US"/>
        </w:rPr>
        <w:t>al</w:t>
      </w:r>
      <w:r w:rsidR="00BD056C" w:rsidRPr="00012C3F">
        <w:rPr>
          <w:rFonts w:eastAsia="Calibri" w:cs="Arial"/>
          <w:sz w:val="20"/>
          <w:szCs w:val="20"/>
          <w:lang w:val="en-US" w:eastAsia="en-US"/>
        </w:rPr>
        <w:t>though the factual circumstances of the rulings cited by the State differ</w:t>
      </w:r>
      <w:r w:rsidR="006D5B7D" w:rsidRPr="00012C3F">
        <w:rPr>
          <w:rFonts w:eastAsia="Calibri" w:cs="Arial"/>
          <w:sz w:val="20"/>
          <w:szCs w:val="20"/>
          <w:lang w:val="en-US" w:eastAsia="en-US"/>
        </w:rPr>
        <w:t>ed</w:t>
      </w:r>
      <w:r w:rsidR="00BD056C" w:rsidRPr="00012C3F">
        <w:rPr>
          <w:rFonts w:eastAsia="Calibri" w:cs="Arial"/>
          <w:sz w:val="20"/>
          <w:szCs w:val="20"/>
          <w:lang w:val="en-US" w:eastAsia="en-US"/>
        </w:rPr>
        <w:t xml:space="preserve"> from the facts that are the purpose of the present dispute, this </w:t>
      </w:r>
      <w:r w:rsidR="00816AE4" w:rsidRPr="00012C3F">
        <w:rPr>
          <w:rFonts w:eastAsia="Calibri" w:cs="Arial"/>
          <w:sz w:val="20"/>
          <w:szCs w:val="20"/>
          <w:lang w:val="en-US" w:eastAsia="en-US"/>
        </w:rPr>
        <w:t>did not represent</w:t>
      </w:r>
      <w:r w:rsidR="00BD056C" w:rsidRPr="00012C3F">
        <w:rPr>
          <w:rFonts w:eastAsia="Calibri" w:cs="Arial"/>
          <w:sz w:val="20"/>
          <w:szCs w:val="20"/>
          <w:lang w:val="en-US" w:eastAsia="en-US"/>
        </w:rPr>
        <w:t xml:space="preserve"> an obstacle to prov</w:t>
      </w:r>
      <w:r w:rsidR="006D5B7D" w:rsidRPr="00012C3F">
        <w:rPr>
          <w:rFonts w:eastAsia="Calibri" w:cs="Arial"/>
          <w:sz w:val="20"/>
          <w:szCs w:val="20"/>
          <w:lang w:val="en-US" w:eastAsia="en-US"/>
        </w:rPr>
        <w:t>ing</w:t>
      </w:r>
      <w:r w:rsidR="00BD056C" w:rsidRPr="00012C3F">
        <w:rPr>
          <w:rFonts w:eastAsia="Calibri" w:cs="Arial"/>
          <w:sz w:val="20"/>
          <w:szCs w:val="20"/>
          <w:lang w:val="en-US" w:eastAsia="en-US"/>
        </w:rPr>
        <w:t xml:space="preserve"> that the rule of law </w:t>
      </w:r>
      <w:r w:rsidR="006D5B7D" w:rsidRPr="00012C3F">
        <w:rPr>
          <w:rFonts w:eastAsia="Calibri" w:cs="Arial"/>
          <w:sz w:val="20"/>
          <w:szCs w:val="20"/>
          <w:lang w:val="en-US" w:eastAsia="en-US"/>
        </w:rPr>
        <w:t>evidenced by</w:t>
      </w:r>
      <w:r w:rsidR="00BD056C" w:rsidRPr="00012C3F">
        <w:rPr>
          <w:rFonts w:eastAsia="Calibri" w:cs="Arial"/>
          <w:sz w:val="20"/>
          <w:szCs w:val="20"/>
          <w:lang w:val="en-US" w:eastAsia="en-US"/>
        </w:rPr>
        <w:t xml:space="preserve"> these decisions </w:t>
      </w:r>
      <w:r w:rsidR="00816AE4" w:rsidRPr="00012C3F">
        <w:rPr>
          <w:rFonts w:eastAsia="Calibri" w:cs="Arial"/>
          <w:sz w:val="20"/>
          <w:szCs w:val="20"/>
          <w:lang w:val="en-US" w:eastAsia="en-US"/>
        </w:rPr>
        <w:t>was</w:t>
      </w:r>
      <w:r w:rsidR="00BD056C" w:rsidRPr="00012C3F">
        <w:rPr>
          <w:rFonts w:eastAsia="Calibri" w:cs="Arial"/>
          <w:sz w:val="20"/>
          <w:szCs w:val="20"/>
          <w:lang w:val="en-US" w:eastAsia="en-US"/>
        </w:rPr>
        <w:t xml:space="preserve"> applicable to this specific case; (iv) the </w:t>
      </w:r>
      <w:r w:rsidR="00816AE4" w:rsidRPr="00012C3F">
        <w:rPr>
          <w:rFonts w:eastAsia="Calibri" w:cs="Arial"/>
          <w:sz w:val="20"/>
          <w:szCs w:val="20"/>
          <w:lang w:val="en-US" w:eastAsia="en-US"/>
        </w:rPr>
        <w:t>application for</w:t>
      </w:r>
      <w:r w:rsidR="00BD056C" w:rsidRPr="00012C3F">
        <w:rPr>
          <w:rFonts w:eastAsia="Calibri" w:cs="Arial"/>
          <w:sz w:val="20"/>
          <w:szCs w:val="20"/>
          <w:lang w:val="en-US" w:eastAsia="en-US"/>
        </w:rPr>
        <w:t xml:space="preserve"> amparo was admissible in th</w:t>
      </w:r>
      <w:r w:rsidR="00816AE4" w:rsidRPr="00012C3F">
        <w:rPr>
          <w:rFonts w:eastAsia="Calibri" w:cs="Arial"/>
          <w:sz w:val="20"/>
          <w:szCs w:val="20"/>
          <w:lang w:val="en-US" w:eastAsia="en-US"/>
        </w:rPr>
        <w:t>is</w:t>
      </w:r>
      <w:r w:rsidR="00BD056C" w:rsidRPr="00012C3F">
        <w:rPr>
          <w:rFonts w:eastAsia="Calibri" w:cs="Arial"/>
          <w:sz w:val="20"/>
          <w:szCs w:val="20"/>
          <w:lang w:val="en-US" w:eastAsia="en-US"/>
        </w:rPr>
        <w:t xml:space="preserve"> specific case, because the constitutional judge could have taken into account the possible effects </w:t>
      </w:r>
      <w:r w:rsidR="00816AE4" w:rsidRPr="00012C3F">
        <w:rPr>
          <w:rFonts w:eastAsia="Calibri" w:cs="Arial"/>
          <w:sz w:val="20"/>
          <w:szCs w:val="20"/>
          <w:lang w:val="en-US" w:eastAsia="en-US"/>
        </w:rPr>
        <w:t xml:space="preserve">on I.V.’s rights </w:t>
      </w:r>
      <w:r w:rsidR="00BD056C" w:rsidRPr="00012C3F">
        <w:rPr>
          <w:rFonts w:eastAsia="Calibri" w:cs="Arial"/>
          <w:sz w:val="20"/>
          <w:szCs w:val="20"/>
          <w:lang w:val="en-US" w:eastAsia="en-US"/>
        </w:rPr>
        <w:t xml:space="preserve">of the decision extinguishing the criminal action, or that the defendant had intervened to cause a delay in the proceedings; (v) the </w:t>
      </w:r>
      <w:r w:rsidR="00816AE4" w:rsidRPr="00012C3F">
        <w:rPr>
          <w:rFonts w:eastAsia="Calibri" w:cs="Arial"/>
          <w:sz w:val="20"/>
          <w:szCs w:val="20"/>
          <w:lang w:val="en-US" w:eastAsia="en-US"/>
        </w:rPr>
        <w:t>application</w:t>
      </w:r>
      <w:r w:rsidR="00BD056C" w:rsidRPr="00012C3F">
        <w:rPr>
          <w:rFonts w:eastAsia="Calibri" w:cs="Arial"/>
          <w:sz w:val="20"/>
          <w:szCs w:val="20"/>
          <w:lang w:val="en-US" w:eastAsia="en-US"/>
        </w:rPr>
        <w:t xml:space="preserve"> </w:t>
      </w:r>
      <w:r w:rsidR="00816AE4" w:rsidRPr="00012C3F">
        <w:rPr>
          <w:rFonts w:eastAsia="Calibri" w:cs="Arial"/>
          <w:sz w:val="20"/>
          <w:szCs w:val="20"/>
          <w:lang w:val="en-US" w:eastAsia="en-US"/>
        </w:rPr>
        <w:t>for</w:t>
      </w:r>
      <w:r w:rsidR="00BD056C" w:rsidRPr="00012C3F">
        <w:rPr>
          <w:rFonts w:eastAsia="Calibri" w:cs="Arial"/>
          <w:sz w:val="20"/>
          <w:szCs w:val="20"/>
          <w:lang w:val="en-US" w:eastAsia="en-US"/>
        </w:rPr>
        <w:t xml:space="preserve"> amparo is not a special remedy, as understood in international human rights law; (vi) the standard established in the Convention and in </w:t>
      </w:r>
      <w:r w:rsidR="00816AE4" w:rsidRPr="00012C3F">
        <w:rPr>
          <w:rFonts w:eastAsia="Calibri" w:cs="Arial"/>
          <w:sz w:val="20"/>
          <w:szCs w:val="20"/>
          <w:lang w:val="en-US" w:eastAsia="en-US"/>
        </w:rPr>
        <w:t>case law</w:t>
      </w:r>
      <w:r w:rsidR="00BD056C" w:rsidRPr="00012C3F">
        <w:rPr>
          <w:rFonts w:eastAsia="Calibri" w:cs="Arial"/>
          <w:sz w:val="20"/>
          <w:szCs w:val="20"/>
          <w:lang w:val="en-US" w:eastAsia="en-US"/>
        </w:rPr>
        <w:t xml:space="preserve"> for the exhaustion of domestic remedies indicates that the “adequate and effective” remedies should be exhausted, without making any reference to whether these are “ordinary or special,” so that even if it was a special remedy this would have no relevance, and (vii) the fact that the State base</w:t>
      </w:r>
      <w:r w:rsidR="00816AE4" w:rsidRPr="00012C3F">
        <w:rPr>
          <w:rFonts w:eastAsia="Calibri" w:cs="Arial"/>
          <w:sz w:val="20"/>
          <w:szCs w:val="20"/>
          <w:lang w:val="en-US" w:eastAsia="en-US"/>
        </w:rPr>
        <w:t>d</w:t>
      </w:r>
      <w:r w:rsidR="00BD056C" w:rsidRPr="00012C3F">
        <w:rPr>
          <w:rFonts w:eastAsia="Calibri" w:cs="Arial"/>
          <w:sz w:val="20"/>
          <w:szCs w:val="20"/>
          <w:lang w:val="en-US" w:eastAsia="en-US"/>
        </w:rPr>
        <w:t xml:space="preserve"> the appropriateness and effectiveness of the </w:t>
      </w:r>
      <w:r w:rsidR="00816AE4" w:rsidRPr="00012C3F">
        <w:rPr>
          <w:rFonts w:eastAsia="Calibri" w:cs="Arial"/>
          <w:sz w:val="20"/>
          <w:szCs w:val="20"/>
          <w:lang w:val="en-US" w:eastAsia="en-US"/>
        </w:rPr>
        <w:t>application for</w:t>
      </w:r>
      <w:r w:rsidR="00BD056C" w:rsidRPr="00012C3F">
        <w:rPr>
          <w:rFonts w:eastAsia="Calibri" w:cs="Arial"/>
          <w:sz w:val="20"/>
          <w:szCs w:val="20"/>
          <w:lang w:val="en-US" w:eastAsia="en-US"/>
        </w:rPr>
        <w:t xml:space="preserve"> amparo on different constitutional rulings in its observations on admissibility and in the answer submitted to the Court d</w:t>
      </w:r>
      <w:r w:rsidR="00816AE4" w:rsidRPr="00012C3F">
        <w:rPr>
          <w:rFonts w:eastAsia="Calibri" w:cs="Arial"/>
          <w:sz w:val="20"/>
          <w:szCs w:val="20"/>
          <w:lang w:val="en-US" w:eastAsia="en-US"/>
        </w:rPr>
        <w:t>id</w:t>
      </w:r>
      <w:r w:rsidR="00BD056C" w:rsidRPr="00012C3F">
        <w:rPr>
          <w:rFonts w:eastAsia="Calibri" w:cs="Arial"/>
          <w:sz w:val="20"/>
          <w:szCs w:val="20"/>
          <w:lang w:val="en-US" w:eastAsia="en-US"/>
        </w:rPr>
        <w:t xml:space="preserve"> not make its arguments time-barred. Therefore, based on the principle of subsidiarity, the State asked the Court to declare that it was not competent to hear this case.</w:t>
      </w:r>
    </w:p>
    <w:p w14:paraId="778A4822" w14:textId="77777777" w:rsidR="00821074" w:rsidRPr="00012C3F" w:rsidRDefault="00821074" w:rsidP="00F254A5">
      <w:pPr>
        <w:widowControl/>
        <w:autoSpaceDE w:val="0"/>
        <w:autoSpaceDN w:val="0"/>
        <w:spacing w:line="240" w:lineRule="auto"/>
        <w:textAlignment w:val="auto"/>
        <w:rPr>
          <w:rFonts w:eastAsia="MS Mincho" w:cs="Arial"/>
          <w:b/>
          <w:sz w:val="20"/>
          <w:szCs w:val="20"/>
          <w:lang w:val="en-US" w:eastAsia="en-US"/>
        </w:rPr>
      </w:pPr>
    </w:p>
    <w:p w14:paraId="0EFE3B63" w14:textId="77777777" w:rsidR="00821074" w:rsidRPr="00012C3F" w:rsidRDefault="00BD056C" w:rsidP="006D5B7D">
      <w:pPr>
        <w:widowControl/>
        <w:numPr>
          <w:ilvl w:val="0"/>
          <w:numId w:val="5"/>
        </w:numPr>
        <w:tabs>
          <w:tab w:val="left" w:pos="720"/>
          <w:tab w:val="num" w:pos="12305"/>
        </w:tabs>
        <w:autoSpaceDE w:val="0"/>
        <w:autoSpaceDN w:val="0"/>
        <w:adjustRightInd/>
        <w:spacing w:line="240" w:lineRule="auto"/>
        <w:ind w:left="0" w:firstLine="0"/>
        <w:textAlignment w:val="auto"/>
        <w:rPr>
          <w:rFonts w:eastAsia="Calibri" w:cs="Cambria"/>
          <w:sz w:val="20"/>
          <w:szCs w:val="20"/>
          <w:lang w:val="en-US" w:eastAsia="en-US"/>
        </w:rPr>
      </w:pPr>
      <w:r w:rsidRPr="00012C3F">
        <w:rPr>
          <w:rFonts w:eastAsia="MS Mincho" w:cs="Arial"/>
          <w:sz w:val="20"/>
          <w:lang w:val="en-US" w:eastAsia="en-US"/>
        </w:rPr>
        <w:t>The</w:t>
      </w:r>
      <w:r w:rsidR="00F254A5" w:rsidRPr="00012C3F">
        <w:rPr>
          <w:rFonts w:eastAsia="Calibri" w:cs="Cambria"/>
          <w:sz w:val="20"/>
          <w:szCs w:val="20"/>
          <w:lang w:val="en-US" w:eastAsia="en-US"/>
        </w:rPr>
        <w:t xml:space="preserve"> </w:t>
      </w:r>
      <w:r w:rsidR="00F254A5" w:rsidRPr="00012C3F">
        <w:rPr>
          <w:rFonts w:eastAsia="Calibri" w:cs="Cambria"/>
          <w:b/>
          <w:i/>
          <w:sz w:val="20"/>
          <w:szCs w:val="20"/>
          <w:lang w:val="en-US" w:eastAsia="en-US"/>
        </w:rPr>
        <w:t>Com</w:t>
      </w:r>
      <w:r w:rsidRPr="00012C3F">
        <w:rPr>
          <w:rFonts w:eastAsia="Calibri" w:cs="Cambria"/>
          <w:b/>
          <w:i/>
          <w:sz w:val="20"/>
          <w:szCs w:val="20"/>
          <w:lang w:val="en-US" w:eastAsia="en-US"/>
        </w:rPr>
        <w:t>m</w:t>
      </w:r>
      <w:r w:rsidR="00F254A5" w:rsidRPr="00012C3F">
        <w:rPr>
          <w:rFonts w:eastAsia="Calibri" w:cs="Cambria"/>
          <w:b/>
          <w:i/>
          <w:sz w:val="20"/>
          <w:szCs w:val="20"/>
          <w:lang w:val="en-US" w:eastAsia="en-US"/>
        </w:rPr>
        <w:t>is</w:t>
      </w:r>
      <w:r w:rsidRPr="00012C3F">
        <w:rPr>
          <w:rFonts w:eastAsia="Calibri" w:cs="Cambria"/>
          <w:b/>
          <w:i/>
          <w:sz w:val="20"/>
          <w:szCs w:val="20"/>
          <w:lang w:val="en-US" w:eastAsia="en-US"/>
        </w:rPr>
        <w:t>sio</w:t>
      </w:r>
      <w:r w:rsidR="00F254A5" w:rsidRPr="00012C3F">
        <w:rPr>
          <w:rFonts w:eastAsia="Calibri" w:cs="Cambria"/>
          <w:b/>
          <w:i/>
          <w:sz w:val="20"/>
          <w:szCs w:val="20"/>
          <w:lang w:val="en-US" w:eastAsia="en-US"/>
        </w:rPr>
        <w:t>n</w:t>
      </w:r>
      <w:r w:rsidR="00F254A5" w:rsidRPr="00012C3F">
        <w:rPr>
          <w:rFonts w:eastAsia="Calibri" w:cs="Cambria"/>
          <w:sz w:val="20"/>
          <w:szCs w:val="20"/>
          <w:lang w:val="en-US" w:eastAsia="en-US"/>
        </w:rPr>
        <w:t xml:space="preserve"> </w:t>
      </w:r>
      <w:r w:rsidRPr="00012C3F">
        <w:rPr>
          <w:rFonts w:eastAsia="Calibri" w:cs="Cambria"/>
          <w:sz w:val="20"/>
          <w:szCs w:val="20"/>
          <w:lang w:val="en-US" w:eastAsia="en-US"/>
        </w:rPr>
        <w:t>indicated that</w:t>
      </w:r>
      <w:r w:rsidR="0033298B" w:rsidRPr="00012C3F">
        <w:rPr>
          <w:rFonts w:eastAsia="Calibri" w:cs="Cambria"/>
          <w:sz w:val="20"/>
          <w:szCs w:val="20"/>
          <w:lang w:val="en-US" w:eastAsia="en-US"/>
        </w:rPr>
        <w:t>,</w:t>
      </w:r>
      <w:r w:rsidR="00F254A5" w:rsidRPr="00012C3F">
        <w:rPr>
          <w:rFonts w:eastAsia="Calibri" w:cs="Cambria"/>
          <w:sz w:val="20"/>
          <w:szCs w:val="20"/>
          <w:lang w:val="en-US" w:eastAsia="en-US"/>
        </w:rPr>
        <w:t xml:space="preserve"> “[</w:t>
      </w:r>
      <w:r w:rsidRPr="00012C3F">
        <w:rPr>
          <w:rFonts w:eastAsia="Calibri" w:cs="Cambria"/>
          <w:sz w:val="20"/>
          <w:szCs w:val="20"/>
          <w:lang w:val="en-US" w:eastAsia="en-US"/>
        </w:rPr>
        <w:t>e</w:t>
      </w:r>
      <w:r w:rsidR="00F254A5" w:rsidRPr="00012C3F">
        <w:rPr>
          <w:rFonts w:eastAsia="Calibri" w:cs="Cambria"/>
          <w:sz w:val="20"/>
          <w:szCs w:val="20"/>
          <w:lang w:val="en-US" w:eastAsia="en-US"/>
        </w:rPr>
        <w:t>]</w:t>
      </w:r>
      <w:r w:rsidRPr="00012C3F">
        <w:rPr>
          <w:rFonts w:eastAsia="Calibri" w:cs="Cambria"/>
          <w:sz w:val="20"/>
          <w:szCs w:val="20"/>
          <w:lang w:val="en-US" w:eastAsia="en-US"/>
        </w:rPr>
        <w:t xml:space="preserve">ven though, at the admissibility stage before the Commission, </w:t>
      </w:r>
      <w:r w:rsidR="00A84CA0" w:rsidRPr="00012C3F">
        <w:rPr>
          <w:rFonts w:eastAsia="Calibri" w:cs="Cambria"/>
          <w:sz w:val="20"/>
          <w:szCs w:val="20"/>
          <w:lang w:val="en-US" w:eastAsia="en-US"/>
        </w:rPr>
        <w:t>the State</w:t>
      </w:r>
      <w:r w:rsidR="00F254A5" w:rsidRPr="00012C3F">
        <w:rPr>
          <w:rFonts w:eastAsia="Calibri" w:cs="Cambria"/>
          <w:sz w:val="20"/>
          <w:szCs w:val="20"/>
          <w:lang w:val="en-US" w:eastAsia="en-US"/>
        </w:rPr>
        <w:t xml:space="preserve"> </w:t>
      </w:r>
      <w:r w:rsidR="00FA56FE" w:rsidRPr="00012C3F">
        <w:rPr>
          <w:rFonts w:eastAsia="Calibri" w:cs="Cambria"/>
          <w:sz w:val="20"/>
          <w:szCs w:val="20"/>
          <w:lang w:val="en-US" w:eastAsia="en-US"/>
        </w:rPr>
        <w:t xml:space="preserve">argued </w:t>
      </w:r>
      <w:r w:rsidRPr="00012C3F">
        <w:rPr>
          <w:rFonts w:eastAsia="Calibri" w:cs="Cambria"/>
          <w:sz w:val="20"/>
          <w:szCs w:val="20"/>
          <w:lang w:val="en-US" w:eastAsia="en-US"/>
        </w:rPr>
        <w:t xml:space="preserve">the failure to exhaust domestic remedies, the content of this objection was based on the </w:t>
      </w:r>
      <w:r w:rsidR="00FA56FE" w:rsidRPr="00012C3F">
        <w:rPr>
          <w:rFonts w:eastAsia="Calibri" w:cs="Cambria"/>
          <w:sz w:val="20"/>
          <w:szCs w:val="20"/>
          <w:lang w:val="en-US" w:eastAsia="en-US"/>
        </w:rPr>
        <w:t>application for</w:t>
      </w:r>
      <w:r w:rsidRPr="00012C3F">
        <w:rPr>
          <w:rFonts w:eastAsia="Calibri" w:cs="Cambria"/>
          <w:sz w:val="20"/>
          <w:szCs w:val="20"/>
          <w:lang w:val="en-US" w:eastAsia="en-US"/>
        </w:rPr>
        <w:t xml:space="preserve"> amparo, without any mention of the </w:t>
      </w:r>
      <w:r w:rsidR="00C16DEA" w:rsidRPr="00012C3F">
        <w:rPr>
          <w:rFonts w:eastAsia="Calibri" w:cs="Cambria"/>
          <w:sz w:val="20"/>
          <w:szCs w:val="20"/>
          <w:lang w:val="en-US" w:eastAsia="en-US"/>
        </w:rPr>
        <w:t>cassation procedure</w:t>
      </w:r>
      <w:r w:rsidRPr="00012C3F">
        <w:rPr>
          <w:rFonts w:eastAsia="Calibri" w:cs="Cambria"/>
          <w:sz w:val="20"/>
          <w:szCs w:val="20"/>
          <w:lang w:val="en-US" w:eastAsia="en-US"/>
        </w:rPr>
        <w:t>”</w:t>
      </w:r>
      <w:r w:rsidR="00FA56FE" w:rsidRPr="00012C3F">
        <w:rPr>
          <w:rFonts w:eastAsia="Calibri" w:cs="Cambria"/>
          <w:sz w:val="20"/>
          <w:szCs w:val="20"/>
          <w:lang w:val="en-US" w:eastAsia="en-US"/>
        </w:rPr>
        <w:t>; consequently,</w:t>
      </w:r>
      <w:r w:rsidRPr="00012C3F">
        <w:rPr>
          <w:rFonts w:eastAsia="Calibri" w:cs="Cambria"/>
          <w:sz w:val="20"/>
          <w:szCs w:val="20"/>
          <w:lang w:val="en-US" w:eastAsia="en-US"/>
        </w:rPr>
        <w:t xml:space="preserve"> it considered that this</w:t>
      </w:r>
      <w:r w:rsidR="001E71CE" w:rsidRPr="00012C3F">
        <w:rPr>
          <w:rFonts w:eastAsia="Calibri" w:cs="Cambria"/>
          <w:sz w:val="20"/>
          <w:szCs w:val="20"/>
          <w:lang w:val="en-US" w:eastAsia="en-US"/>
        </w:rPr>
        <w:t xml:space="preserve"> was</w:t>
      </w:r>
      <w:r w:rsidRPr="00012C3F">
        <w:rPr>
          <w:rFonts w:eastAsia="Calibri" w:cs="Cambria"/>
          <w:sz w:val="20"/>
          <w:szCs w:val="20"/>
          <w:lang w:val="en-US" w:eastAsia="en-US"/>
        </w:rPr>
        <w:t xml:space="preserve"> “time-barred because it was not filed at the proper procedural opportunity.</w:t>
      </w:r>
      <w:r w:rsidR="00FA56FE" w:rsidRPr="00012C3F">
        <w:rPr>
          <w:rFonts w:eastAsia="Calibri" w:cs="Cambria"/>
          <w:sz w:val="20"/>
          <w:szCs w:val="20"/>
          <w:lang w:val="en-US" w:eastAsia="en-US"/>
        </w:rPr>
        <w:t>”</w:t>
      </w:r>
      <w:r w:rsidRPr="00012C3F">
        <w:rPr>
          <w:rFonts w:eastAsia="Calibri" w:cs="Cambria"/>
          <w:sz w:val="20"/>
          <w:szCs w:val="20"/>
          <w:lang w:val="en-US" w:eastAsia="en-US"/>
        </w:rPr>
        <w:t xml:space="preserve"> </w:t>
      </w:r>
      <w:r w:rsidRPr="00012C3F">
        <w:rPr>
          <w:rFonts w:eastAsia="Calibri" w:cs="Arial"/>
          <w:sz w:val="20"/>
          <w:szCs w:val="20"/>
          <w:lang w:val="en-US" w:eastAsia="en-US"/>
        </w:rPr>
        <w:t>The Commission</w:t>
      </w:r>
      <w:r w:rsidR="00821074" w:rsidRPr="00012C3F">
        <w:rPr>
          <w:rFonts w:eastAsia="Calibri" w:cs="Cambria"/>
          <w:sz w:val="20"/>
          <w:szCs w:val="20"/>
          <w:lang w:val="en-US" w:eastAsia="en-US"/>
        </w:rPr>
        <w:t xml:space="preserve"> not</w:t>
      </w:r>
      <w:r w:rsidRPr="00012C3F">
        <w:rPr>
          <w:rFonts w:eastAsia="Calibri" w:cs="Cambria"/>
          <w:sz w:val="20"/>
          <w:szCs w:val="20"/>
          <w:lang w:val="en-US" w:eastAsia="en-US"/>
        </w:rPr>
        <w:t xml:space="preserve">ed that “although </w:t>
      </w:r>
      <w:r w:rsidR="00A84CA0" w:rsidRPr="00012C3F">
        <w:rPr>
          <w:rFonts w:eastAsia="Calibri" w:cs="Cambria"/>
          <w:sz w:val="20"/>
          <w:szCs w:val="20"/>
          <w:lang w:val="en-US" w:eastAsia="en-US"/>
        </w:rPr>
        <w:t>the State</w:t>
      </w:r>
      <w:r w:rsidR="00821074" w:rsidRPr="00012C3F">
        <w:rPr>
          <w:rFonts w:eastAsia="Calibri" w:cs="Cambria"/>
          <w:sz w:val="20"/>
          <w:szCs w:val="20"/>
          <w:lang w:val="en-US" w:eastAsia="en-US"/>
        </w:rPr>
        <w:t xml:space="preserve"> invo</w:t>
      </w:r>
      <w:r w:rsidRPr="00012C3F">
        <w:rPr>
          <w:rFonts w:eastAsia="Calibri" w:cs="Cambria"/>
          <w:sz w:val="20"/>
          <w:szCs w:val="20"/>
          <w:lang w:val="en-US" w:eastAsia="en-US"/>
        </w:rPr>
        <w:t xml:space="preserve">ked the </w:t>
      </w:r>
      <w:r w:rsidR="00FA56FE" w:rsidRPr="00012C3F">
        <w:rPr>
          <w:rFonts w:eastAsia="Calibri" w:cs="Cambria"/>
          <w:sz w:val="20"/>
          <w:szCs w:val="20"/>
          <w:lang w:val="en-US" w:eastAsia="en-US"/>
        </w:rPr>
        <w:t>application for amparo</w:t>
      </w:r>
      <w:r w:rsidRPr="00012C3F">
        <w:rPr>
          <w:rFonts w:eastAsia="Calibri" w:cs="Cambria"/>
          <w:sz w:val="20"/>
          <w:szCs w:val="20"/>
          <w:lang w:val="en-US" w:eastAsia="en-US"/>
        </w:rPr>
        <w:t xml:space="preserve"> at the admissibility stage, the grounds for its appropriateness and effectiveness are different from those submitted to the […] Court in its answering brief.” It argued, citing this Court’s case law, that </w:t>
      </w:r>
      <w:r w:rsidR="006D5B7D" w:rsidRPr="00012C3F">
        <w:rPr>
          <w:rFonts w:eastAsia="Calibri" w:cs="Cambria"/>
          <w:sz w:val="20"/>
          <w:szCs w:val="20"/>
          <w:lang w:val="en-US" w:eastAsia="en-US"/>
        </w:rPr>
        <w:t>“</w:t>
      </w:r>
      <w:r w:rsidR="001E71CE" w:rsidRPr="00012C3F">
        <w:rPr>
          <w:rFonts w:eastAsia="Calibri" w:cs="Cambria"/>
          <w:sz w:val="20"/>
          <w:szCs w:val="20"/>
          <w:lang w:val="en-US" w:eastAsia="en-US"/>
        </w:rPr>
        <w:t>the</w:t>
      </w:r>
      <w:r w:rsidR="006D5B7D" w:rsidRPr="00012C3F">
        <w:rPr>
          <w:rFonts w:eastAsia="Calibri" w:cs="Cambria"/>
          <w:sz w:val="20"/>
          <w:szCs w:val="20"/>
          <w:lang w:val="en-US" w:eastAsia="en-US"/>
        </w:rPr>
        <w:t xml:space="preserve"> rule on correspondence” should be applied, according to which the arguments presented before the Court to support this preliminary objection should correspond to those presented to the Commission during the admissibility stage. In this regard, and </w:t>
      </w:r>
      <w:r w:rsidR="001E71CE" w:rsidRPr="00012C3F">
        <w:rPr>
          <w:rFonts w:eastAsia="Calibri" w:cs="Cambria"/>
          <w:sz w:val="20"/>
          <w:szCs w:val="20"/>
          <w:lang w:val="en-US" w:eastAsia="en-US"/>
        </w:rPr>
        <w:t>in</w:t>
      </w:r>
      <w:r w:rsidR="006D5B7D" w:rsidRPr="00012C3F">
        <w:rPr>
          <w:rFonts w:eastAsia="Calibri" w:cs="Cambria"/>
          <w:sz w:val="20"/>
          <w:szCs w:val="20"/>
          <w:lang w:val="en-US" w:eastAsia="en-US"/>
        </w:rPr>
        <w:t xml:space="preserve"> this specific case, the Commission asserted that in its brief of December 4, 2007, presented at the admissibility stage before the Commission, the State </w:t>
      </w:r>
      <w:r w:rsidR="001E71CE" w:rsidRPr="00012C3F">
        <w:rPr>
          <w:rFonts w:eastAsia="Calibri" w:cs="Cambria"/>
          <w:sz w:val="20"/>
          <w:szCs w:val="20"/>
          <w:lang w:val="en-US" w:eastAsia="en-US"/>
        </w:rPr>
        <w:t xml:space="preserve">had </w:t>
      </w:r>
      <w:r w:rsidR="006D5B7D" w:rsidRPr="00012C3F">
        <w:rPr>
          <w:rFonts w:eastAsia="Calibri" w:cs="Cambria"/>
          <w:sz w:val="20"/>
          <w:szCs w:val="20"/>
          <w:lang w:val="en-US" w:eastAsia="en-US"/>
        </w:rPr>
        <w:t>referred to three constitutional judgments</w:t>
      </w:r>
      <w:r w:rsidR="001E71CE" w:rsidRPr="00012C3F">
        <w:rPr>
          <w:rFonts w:eastAsia="Calibri" w:cs="Cambria"/>
          <w:sz w:val="20"/>
          <w:szCs w:val="20"/>
          <w:lang w:val="en-US" w:eastAsia="en-US"/>
        </w:rPr>
        <w:t xml:space="preserve"> in order to justify the appropriateness and effectiveness of the application for amparo</w:t>
      </w:r>
      <w:r w:rsidR="006D5B7D" w:rsidRPr="00012C3F">
        <w:rPr>
          <w:rFonts w:eastAsia="Calibri" w:cs="Cambria"/>
          <w:sz w:val="20"/>
          <w:szCs w:val="20"/>
          <w:lang w:val="en-US" w:eastAsia="en-US"/>
        </w:rPr>
        <w:t>,</w:t>
      </w:r>
      <w:r w:rsidR="00821074" w:rsidRPr="00012C3F">
        <w:rPr>
          <w:rStyle w:val="Refdenotaalpie"/>
          <w:rFonts w:eastAsia="Calibri" w:cs="Cambria"/>
          <w:sz w:val="20"/>
          <w:szCs w:val="20"/>
          <w:lang w:val="en-US" w:eastAsia="en-US"/>
        </w:rPr>
        <w:footnoteReference w:id="11"/>
      </w:r>
      <w:r w:rsidR="006D5B7D" w:rsidRPr="00012C3F">
        <w:rPr>
          <w:rFonts w:eastAsia="Calibri" w:cs="Cambria"/>
          <w:sz w:val="20"/>
          <w:szCs w:val="20"/>
          <w:lang w:val="en-US" w:eastAsia="en-US"/>
        </w:rPr>
        <w:t xml:space="preserve"> </w:t>
      </w:r>
      <w:r w:rsidR="006D5B7D" w:rsidRPr="00012C3F">
        <w:rPr>
          <w:rFonts w:eastAsia="Calibri" w:cs="Cambria"/>
          <w:sz w:val="20"/>
          <w:szCs w:val="20"/>
          <w:lang w:val="en-US" w:eastAsia="en-US"/>
        </w:rPr>
        <w:lastRenderedPageBreak/>
        <w:t xml:space="preserve">while, in its answering brief before </w:t>
      </w:r>
      <w:r w:rsidR="001254DE" w:rsidRPr="00012C3F">
        <w:rPr>
          <w:rFonts w:eastAsia="Calibri" w:cs="Cambria"/>
          <w:sz w:val="20"/>
          <w:szCs w:val="20"/>
          <w:lang w:val="en-US" w:eastAsia="en-US"/>
        </w:rPr>
        <w:t>the Inter-American Court</w:t>
      </w:r>
      <w:r w:rsidR="001E71CE" w:rsidRPr="00012C3F">
        <w:rPr>
          <w:rFonts w:eastAsia="Calibri" w:cs="Cambria"/>
          <w:sz w:val="20"/>
          <w:szCs w:val="20"/>
          <w:lang w:val="en-US" w:eastAsia="en-US"/>
        </w:rPr>
        <w:t>, it had</w:t>
      </w:r>
      <w:r w:rsidR="00821074" w:rsidRPr="00012C3F">
        <w:rPr>
          <w:rFonts w:eastAsia="Calibri" w:cs="Cambria"/>
          <w:sz w:val="20"/>
          <w:szCs w:val="20"/>
          <w:lang w:val="en-US" w:eastAsia="en-US"/>
        </w:rPr>
        <w:t xml:space="preserve"> cit</w:t>
      </w:r>
      <w:r w:rsidR="006D5B7D" w:rsidRPr="00012C3F">
        <w:rPr>
          <w:rFonts w:eastAsia="Calibri" w:cs="Cambria"/>
          <w:sz w:val="20"/>
          <w:szCs w:val="20"/>
          <w:lang w:val="en-US" w:eastAsia="en-US"/>
        </w:rPr>
        <w:t xml:space="preserve">ed four </w:t>
      </w:r>
      <w:r w:rsidR="001E71CE" w:rsidRPr="00012C3F">
        <w:rPr>
          <w:rFonts w:eastAsia="Calibri" w:cs="Cambria"/>
          <w:sz w:val="20"/>
          <w:szCs w:val="20"/>
          <w:lang w:val="en-US" w:eastAsia="en-US"/>
        </w:rPr>
        <w:t>different</w:t>
      </w:r>
      <w:r w:rsidR="006D5B7D" w:rsidRPr="00012C3F">
        <w:rPr>
          <w:rFonts w:eastAsia="Calibri" w:cs="Cambria"/>
          <w:sz w:val="20"/>
          <w:szCs w:val="20"/>
          <w:lang w:val="en-US" w:eastAsia="en-US"/>
        </w:rPr>
        <w:t xml:space="preserve"> constitutional judgments. Based on the foregoing, the Commission argued that, from a simple comparison between the brief presented at the admissibility stage and the </w:t>
      </w:r>
      <w:r w:rsidR="00821074" w:rsidRPr="00012C3F">
        <w:rPr>
          <w:rFonts w:eastAsia="Calibri" w:cs="Cambria"/>
          <w:sz w:val="20"/>
          <w:szCs w:val="20"/>
          <w:lang w:val="en-US" w:eastAsia="en-US"/>
        </w:rPr>
        <w:t xml:space="preserve"> </w:t>
      </w:r>
      <w:r w:rsidR="006D5B7D" w:rsidRPr="00012C3F">
        <w:rPr>
          <w:rFonts w:eastAsia="Calibri" w:cs="Cambria"/>
          <w:sz w:val="20"/>
          <w:szCs w:val="20"/>
          <w:lang w:val="en-US" w:eastAsia="en-US"/>
        </w:rPr>
        <w:t>a</w:t>
      </w:r>
      <w:r w:rsidR="00B257AF" w:rsidRPr="00012C3F">
        <w:rPr>
          <w:rFonts w:eastAsia="Calibri" w:cs="Cambria"/>
          <w:sz w:val="20"/>
          <w:szCs w:val="20"/>
          <w:lang w:val="en-US" w:eastAsia="en-US"/>
        </w:rPr>
        <w:t>nswering brief</w:t>
      </w:r>
      <w:r w:rsidR="00821074" w:rsidRPr="00012C3F">
        <w:rPr>
          <w:rFonts w:eastAsia="Calibri" w:cs="Cambria"/>
          <w:sz w:val="20"/>
          <w:szCs w:val="20"/>
          <w:lang w:val="en-US" w:eastAsia="en-US"/>
        </w:rPr>
        <w:t xml:space="preserve"> </w:t>
      </w:r>
      <w:r w:rsidR="006D5B7D" w:rsidRPr="00012C3F">
        <w:rPr>
          <w:rFonts w:eastAsia="Calibri" w:cs="Cambria"/>
          <w:sz w:val="20"/>
          <w:szCs w:val="20"/>
          <w:lang w:val="en-US" w:eastAsia="en-US"/>
        </w:rPr>
        <w:t xml:space="preserve">before </w:t>
      </w:r>
      <w:r w:rsidR="001254DE" w:rsidRPr="00012C3F">
        <w:rPr>
          <w:rFonts w:eastAsia="Calibri" w:cs="Cambria"/>
          <w:sz w:val="20"/>
          <w:szCs w:val="20"/>
          <w:lang w:val="en-US" w:eastAsia="en-US"/>
        </w:rPr>
        <w:t>the Court</w:t>
      </w:r>
      <w:r w:rsidR="00821074" w:rsidRPr="00012C3F">
        <w:rPr>
          <w:rFonts w:eastAsia="Calibri" w:cs="Cambria"/>
          <w:sz w:val="20"/>
          <w:szCs w:val="20"/>
          <w:lang w:val="en-US" w:eastAsia="en-US"/>
        </w:rPr>
        <w:t>, “</w:t>
      </w:r>
      <w:r w:rsidR="006D5B7D" w:rsidRPr="00012C3F">
        <w:rPr>
          <w:rFonts w:eastAsia="Calibri" w:cs="Cambria"/>
          <w:sz w:val="20"/>
          <w:szCs w:val="20"/>
          <w:lang w:val="en-US" w:eastAsia="en-US"/>
        </w:rPr>
        <w:t xml:space="preserve">it is evident that the arguments and case law sources by which the State seeks to comply with the requirement to prove the appropriateness and effectiveness of the </w:t>
      </w:r>
      <w:r w:rsidR="00FA56FE" w:rsidRPr="00012C3F">
        <w:rPr>
          <w:rFonts w:eastAsia="Calibri" w:cs="Cambria"/>
          <w:sz w:val="20"/>
          <w:szCs w:val="20"/>
          <w:lang w:val="en-US" w:eastAsia="en-US"/>
        </w:rPr>
        <w:t>application for amparo</w:t>
      </w:r>
      <w:r w:rsidR="006D5B7D" w:rsidRPr="00012C3F">
        <w:rPr>
          <w:rFonts w:eastAsia="Calibri" w:cs="Cambria"/>
          <w:sz w:val="20"/>
          <w:szCs w:val="20"/>
          <w:lang w:val="en-US" w:eastAsia="en-US"/>
        </w:rPr>
        <w:t xml:space="preserve"> are different in the two briefs.” Consequently, the Commission concluded that “the arguments presented before </w:t>
      </w:r>
      <w:r w:rsidR="001254DE" w:rsidRPr="00012C3F">
        <w:rPr>
          <w:rFonts w:eastAsia="Calibri" w:cs="Cambria"/>
          <w:sz w:val="20"/>
          <w:szCs w:val="20"/>
          <w:lang w:val="en-US" w:eastAsia="en-US"/>
        </w:rPr>
        <w:t>the Inter-American Court</w:t>
      </w:r>
      <w:r w:rsidR="00821074" w:rsidRPr="00012C3F">
        <w:rPr>
          <w:rFonts w:eastAsia="Calibri" w:cs="Cambria"/>
          <w:sz w:val="20"/>
          <w:szCs w:val="20"/>
          <w:lang w:val="en-US" w:eastAsia="en-US"/>
        </w:rPr>
        <w:t xml:space="preserve"> </w:t>
      </w:r>
      <w:r w:rsidR="006D5B7D" w:rsidRPr="00012C3F">
        <w:rPr>
          <w:rFonts w:eastAsia="Calibri" w:cs="Cambria"/>
          <w:sz w:val="20"/>
          <w:szCs w:val="20"/>
          <w:lang w:val="en-US" w:eastAsia="en-US"/>
        </w:rPr>
        <w:t xml:space="preserve">to justify the failure to exhaust the </w:t>
      </w:r>
      <w:r w:rsidR="00C16DEA" w:rsidRPr="00012C3F">
        <w:rPr>
          <w:rFonts w:eastAsia="Calibri" w:cs="Cambria"/>
          <w:sz w:val="20"/>
          <w:szCs w:val="20"/>
          <w:lang w:val="en-US" w:eastAsia="en-US"/>
        </w:rPr>
        <w:t xml:space="preserve">application for constitutional </w:t>
      </w:r>
      <w:r w:rsidR="0013059C" w:rsidRPr="00012C3F">
        <w:rPr>
          <w:rFonts w:eastAsia="Calibri" w:cs="Cambria"/>
          <w:sz w:val="20"/>
          <w:szCs w:val="20"/>
          <w:lang w:val="en-US" w:eastAsia="en-US"/>
        </w:rPr>
        <w:t>amparo</w:t>
      </w:r>
      <w:r w:rsidR="006D5B7D" w:rsidRPr="00012C3F">
        <w:rPr>
          <w:rFonts w:eastAsia="Calibri" w:cs="Cambria"/>
          <w:sz w:val="20"/>
          <w:szCs w:val="20"/>
          <w:lang w:val="en-US" w:eastAsia="en-US"/>
        </w:rPr>
        <w:t xml:space="preserve"> </w:t>
      </w:r>
      <w:r w:rsidR="00DA4A46">
        <w:rPr>
          <w:rFonts w:eastAsia="Calibri" w:cs="Cambria"/>
          <w:sz w:val="20"/>
          <w:szCs w:val="20"/>
          <w:lang w:val="en-US" w:eastAsia="en-US"/>
        </w:rPr>
        <w:t>we</w:t>
      </w:r>
      <w:r w:rsidR="006D5B7D" w:rsidRPr="00012C3F">
        <w:rPr>
          <w:rFonts w:eastAsia="Calibri" w:cs="Cambria"/>
          <w:sz w:val="20"/>
          <w:szCs w:val="20"/>
          <w:lang w:val="en-US" w:eastAsia="en-US"/>
        </w:rPr>
        <w:t>re time-barred.”</w:t>
      </w:r>
    </w:p>
    <w:p w14:paraId="4A390255" w14:textId="77777777" w:rsidR="00821074" w:rsidRPr="00012C3F" w:rsidRDefault="00821074" w:rsidP="00821074">
      <w:pPr>
        <w:widowControl/>
        <w:autoSpaceDE w:val="0"/>
        <w:autoSpaceDN w:val="0"/>
        <w:spacing w:line="240" w:lineRule="auto"/>
        <w:textAlignment w:val="auto"/>
        <w:rPr>
          <w:rFonts w:eastAsia="Calibri" w:cs="Cambria"/>
          <w:sz w:val="20"/>
          <w:szCs w:val="20"/>
          <w:lang w:val="en-US" w:eastAsia="en-US"/>
        </w:rPr>
      </w:pPr>
    </w:p>
    <w:p w14:paraId="081B47A8" w14:textId="77777777" w:rsidR="00CD1FFA" w:rsidRPr="00012C3F" w:rsidRDefault="0013059C" w:rsidP="006D5B7D">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Cambria"/>
          <w:sz w:val="20"/>
          <w:szCs w:val="20"/>
          <w:lang w:val="en-US" w:eastAsia="en-US"/>
        </w:rPr>
        <w:t>Additionally</w:t>
      </w:r>
      <w:r w:rsidR="00821074" w:rsidRPr="00012C3F">
        <w:rPr>
          <w:rFonts w:eastAsia="Calibri" w:cs="Cambria"/>
          <w:sz w:val="20"/>
          <w:szCs w:val="20"/>
          <w:lang w:val="en-US" w:eastAsia="en-US"/>
        </w:rPr>
        <w:t xml:space="preserve">, </w:t>
      </w:r>
      <w:r w:rsidR="001254DE" w:rsidRPr="00012C3F">
        <w:rPr>
          <w:rFonts w:eastAsia="Calibri" w:cs="Cambria"/>
          <w:sz w:val="20"/>
          <w:szCs w:val="20"/>
          <w:lang w:val="en-US" w:eastAsia="en-US"/>
        </w:rPr>
        <w:t xml:space="preserve">the </w:t>
      </w:r>
      <w:r w:rsidR="00A84CA0" w:rsidRPr="00012C3F">
        <w:rPr>
          <w:rFonts w:eastAsia="Calibri" w:cs="Cambria"/>
          <w:sz w:val="20"/>
          <w:szCs w:val="20"/>
          <w:lang w:val="en-US" w:eastAsia="en-US"/>
        </w:rPr>
        <w:t>Commission</w:t>
      </w:r>
      <w:r w:rsidR="00821074" w:rsidRPr="00012C3F">
        <w:rPr>
          <w:rFonts w:eastAsia="Calibri" w:cs="Cambria"/>
          <w:sz w:val="20"/>
          <w:szCs w:val="20"/>
          <w:lang w:val="en-US" w:eastAsia="en-US"/>
        </w:rPr>
        <w:t xml:space="preserve"> reiter</w:t>
      </w:r>
      <w:r w:rsidR="00CD1FFA" w:rsidRPr="00012C3F">
        <w:rPr>
          <w:rFonts w:eastAsia="Calibri" w:cs="Cambria"/>
          <w:sz w:val="20"/>
          <w:szCs w:val="20"/>
          <w:lang w:val="en-US" w:eastAsia="en-US"/>
        </w:rPr>
        <w:t>ated</w:t>
      </w:r>
      <w:r w:rsidR="00821074" w:rsidRPr="00012C3F">
        <w:rPr>
          <w:rFonts w:eastAsia="Calibri" w:cs="Cambria"/>
          <w:sz w:val="20"/>
          <w:szCs w:val="20"/>
          <w:lang w:val="en-US" w:eastAsia="en-US"/>
        </w:rPr>
        <w:t xml:space="preserve"> “</w:t>
      </w:r>
      <w:r w:rsidR="00CD1FFA" w:rsidRPr="00012C3F">
        <w:rPr>
          <w:rFonts w:eastAsia="Calibri" w:cs="Cambria"/>
          <w:sz w:val="20"/>
          <w:szCs w:val="20"/>
          <w:lang w:val="en-US" w:eastAsia="en-US"/>
        </w:rPr>
        <w:t xml:space="preserve">all aspects of the analysis made in its </w:t>
      </w:r>
      <w:r w:rsidR="00E00902" w:rsidRPr="00012C3F">
        <w:rPr>
          <w:rFonts w:eastAsia="Calibri" w:cs="Cambria"/>
          <w:sz w:val="20"/>
          <w:szCs w:val="20"/>
          <w:lang w:val="en-US" w:eastAsia="en-US"/>
        </w:rPr>
        <w:t>Admissibility Report</w:t>
      </w:r>
      <w:r w:rsidR="00821074" w:rsidRPr="00012C3F">
        <w:rPr>
          <w:rFonts w:eastAsia="Calibri" w:cs="Cambria"/>
          <w:sz w:val="20"/>
          <w:szCs w:val="20"/>
          <w:lang w:val="en-US" w:eastAsia="en-US"/>
        </w:rPr>
        <w:t xml:space="preserve">, </w:t>
      </w:r>
      <w:r w:rsidR="00CD1FFA" w:rsidRPr="00012C3F">
        <w:rPr>
          <w:rFonts w:eastAsia="Calibri" w:cs="Cambria"/>
          <w:sz w:val="20"/>
          <w:szCs w:val="20"/>
          <w:lang w:val="en-US" w:eastAsia="en-US"/>
        </w:rPr>
        <w:t>which was based on the information available at t</w:t>
      </w:r>
      <w:r w:rsidRPr="00012C3F">
        <w:rPr>
          <w:rFonts w:eastAsia="Calibri" w:cs="Cambria"/>
          <w:sz w:val="20"/>
          <w:szCs w:val="20"/>
          <w:lang w:val="en-US" w:eastAsia="en-US"/>
        </w:rPr>
        <w:t>he</w:t>
      </w:r>
      <w:r w:rsidR="00CD1FFA" w:rsidRPr="00012C3F">
        <w:rPr>
          <w:rFonts w:eastAsia="Calibri" w:cs="Cambria"/>
          <w:sz w:val="20"/>
          <w:szCs w:val="20"/>
          <w:lang w:val="en-US" w:eastAsia="en-US"/>
        </w:rPr>
        <w:t xml:space="preserve"> time, as well as on the treaty-based and regulatory </w:t>
      </w:r>
      <w:r w:rsidRPr="00012C3F">
        <w:rPr>
          <w:rFonts w:eastAsia="Calibri" w:cs="Cambria"/>
          <w:sz w:val="20"/>
          <w:szCs w:val="20"/>
          <w:lang w:val="en-US" w:eastAsia="en-US"/>
        </w:rPr>
        <w:t>provisions</w:t>
      </w:r>
      <w:r w:rsidR="00CD1FFA" w:rsidRPr="00012C3F">
        <w:rPr>
          <w:rFonts w:eastAsia="Calibri" w:cs="Cambria"/>
          <w:sz w:val="20"/>
          <w:szCs w:val="20"/>
          <w:lang w:val="en-US" w:eastAsia="en-US"/>
        </w:rPr>
        <w:t xml:space="preserve"> that </w:t>
      </w:r>
      <w:r w:rsidR="008D7D5E" w:rsidRPr="00012C3F">
        <w:rPr>
          <w:rFonts w:eastAsia="Calibri" w:cs="Cambria"/>
          <w:sz w:val="20"/>
          <w:szCs w:val="20"/>
          <w:lang w:val="en-US" w:eastAsia="en-US"/>
        </w:rPr>
        <w:t>govern the</w:t>
      </w:r>
      <w:r w:rsidR="00CD1FFA" w:rsidRPr="00012C3F">
        <w:rPr>
          <w:rFonts w:eastAsia="Calibri" w:cs="Cambria"/>
          <w:sz w:val="20"/>
          <w:szCs w:val="20"/>
          <w:lang w:val="en-US" w:eastAsia="en-US"/>
        </w:rPr>
        <w:t xml:space="preserve"> burden of proof</w:t>
      </w:r>
      <w:r w:rsidR="008D7D5E" w:rsidRPr="00012C3F">
        <w:rPr>
          <w:rFonts w:eastAsia="Calibri" w:cs="Cambria"/>
          <w:sz w:val="20"/>
          <w:szCs w:val="20"/>
          <w:lang w:val="en-US" w:eastAsia="en-US"/>
        </w:rPr>
        <w:t xml:space="preserve"> in this matter</w:t>
      </w:r>
      <w:r w:rsidR="00CD1FFA" w:rsidRPr="00012C3F">
        <w:rPr>
          <w:rFonts w:eastAsia="Calibri" w:cs="Cambria"/>
          <w:sz w:val="20"/>
          <w:szCs w:val="20"/>
          <w:lang w:val="en-US" w:eastAsia="en-US"/>
        </w:rPr>
        <w:t xml:space="preserve"> and that grant it the pri</w:t>
      </w:r>
      <w:r w:rsidR="008D7D5E" w:rsidRPr="00012C3F">
        <w:rPr>
          <w:rFonts w:eastAsia="Calibri" w:cs="Cambria"/>
          <w:sz w:val="20"/>
          <w:szCs w:val="20"/>
          <w:lang w:val="en-US" w:eastAsia="en-US"/>
        </w:rPr>
        <w:t>mary</w:t>
      </w:r>
      <w:r w:rsidR="00CD1FFA" w:rsidRPr="00012C3F">
        <w:rPr>
          <w:rFonts w:eastAsia="Calibri" w:cs="Cambria"/>
          <w:sz w:val="20"/>
          <w:szCs w:val="20"/>
          <w:lang w:val="en-US" w:eastAsia="en-US"/>
        </w:rPr>
        <w:t xml:space="preserve"> authority to rule on the requirements for admissibility of petitions.” Also, the Commission emphasized that the petitioner had indicated that, in Bolivia, no judgment</w:t>
      </w:r>
      <w:r w:rsidR="008D7D5E" w:rsidRPr="00012C3F">
        <w:rPr>
          <w:rFonts w:eastAsia="Calibri" w:cs="Cambria"/>
          <w:sz w:val="20"/>
          <w:szCs w:val="20"/>
          <w:lang w:val="en-US" w:eastAsia="en-US"/>
        </w:rPr>
        <w:t xml:space="preserve"> reversing an application of the extinction of the criminal action had been handed down in an amparo proceeding,</w:t>
      </w:r>
      <w:r w:rsidR="00CD1FFA" w:rsidRPr="00012C3F">
        <w:rPr>
          <w:rFonts w:eastAsia="Calibri" w:cs="Cambria"/>
          <w:sz w:val="20"/>
          <w:szCs w:val="20"/>
          <w:lang w:val="en-US" w:eastAsia="en-US"/>
        </w:rPr>
        <w:t xml:space="preserve"> and that the State had not contested the petitioner’s argument regarding the </w:t>
      </w:r>
      <w:r w:rsidR="008D7D5E" w:rsidRPr="00012C3F">
        <w:rPr>
          <w:rFonts w:eastAsia="Calibri" w:cs="Cambria"/>
          <w:sz w:val="20"/>
          <w:szCs w:val="20"/>
          <w:lang w:val="en-US" w:eastAsia="en-US"/>
        </w:rPr>
        <w:t>in</w:t>
      </w:r>
      <w:r w:rsidR="00CD1FFA" w:rsidRPr="00012C3F">
        <w:rPr>
          <w:rFonts w:eastAsia="Calibri" w:cs="Cambria"/>
          <w:sz w:val="20"/>
          <w:szCs w:val="20"/>
          <w:lang w:val="en-US" w:eastAsia="en-US"/>
        </w:rPr>
        <w:t xml:space="preserve">effectiveness of the </w:t>
      </w:r>
      <w:r w:rsidR="00FA56FE" w:rsidRPr="00012C3F">
        <w:rPr>
          <w:rFonts w:eastAsia="Calibri" w:cs="Cambria"/>
          <w:sz w:val="20"/>
          <w:szCs w:val="20"/>
          <w:lang w:val="en-US" w:eastAsia="en-US"/>
        </w:rPr>
        <w:t>application for amparo</w:t>
      </w:r>
      <w:r w:rsidR="00CD1FFA" w:rsidRPr="00012C3F">
        <w:rPr>
          <w:rFonts w:eastAsia="Calibri" w:cs="Cambria"/>
          <w:sz w:val="20"/>
          <w:szCs w:val="20"/>
          <w:lang w:val="en-US" w:eastAsia="en-US"/>
        </w:rPr>
        <w:t xml:space="preserve"> for cases such as that of I.V., even though it </w:t>
      </w:r>
      <w:r w:rsidR="002E41C7" w:rsidRPr="00012C3F">
        <w:rPr>
          <w:rFonts w:eastAsia="Calibri" w:cs="Cambria"/>
          <w:sz w:val="20"/>
          <w:szCs w:val="20"/>
          <w:lang w:val="en-US" w:eastAsia="en-US"/>
        </w:rPr>
        <w:t>was appropriate</w:t>
      </w:r>
      <w:r w:rsidR="00CD1FFA" w:rsidRPr="00012C3F">
        <w:rPr>
          <w:rFonts w:eastAsia="Calibri" w:cs="Cambria"/>
          <w:sz w:val="20"/>
          <w:szCs w:val="20"/>
          <w:lang w:val="en-US" w:eastAsia="en-US"/>
        </w:rPr>
        <w:t xml:space="preserve"> </w:t>
      </w:r>
      <w:r w:rsidR="002E41C7" w:rsidRPr="00012C3F">
        <w:rPr>
          <w:rFonts w:eastAsia="Calibri" w:cs="Cambria"/>
          <w:sz w:val="20"/>
          <w:szCs w:val="20"/>
          <w:lang w:val="en-US" w:eastAsia="en-US"/>
        </w:rPr>
        <w:t>in accordance</w:t>
      </w:r>
      <w:r w:rsidR="00CD1FFA" w:rsidRPr="00012C3F">
        <w:rPr>
          <w:rFonts w:eastAsia="Calibri" w:cs="Cambria"/>
          <w:sz w:val="20"/>
          <w:szCs w:val="20"/>
          <w:lang w:val="en-US" w:eastAsia="en-US"/>
        </w:rPr>
        <w:t xml:space="preserve"> with the </w:t>
      </w:r>
      <w:r w:rsidR="00A56563" w:rsidRPr="00012C3F">
        <w:rPr>
          <w:rFonts w:eastAsia="Calibri" w:cs="Cambria"/>
          <w:sz w:val="20"/>
          <w:szCs w:val="20"/>
          <w:lang w:val="en-US" w:eastAsia="en-US"/>
        </w:rPr>
        <w:t>burden of proof applicable</w:t>
      </w:r>
      <w:r w:rsidR="00CD1FFA" w:rsidRPr="00012C3F">
        <w:rPr>
          <w:rFonts w:eastAsia="Calibri" w:cs="Cambria"/>
          <w:sz w:val="20"/>
          <w:szCs w:val="20"/>
          <w:lang w:val="en-US" w:eastAsia="en-US"/>
        </w:rPr>
        <w:t xml:space="preserve"> in these circumstances</w:t>
      </w:r>
      <w:r w:rsidR="002E41C7" w:rsidRPr="00012C3F">
        <w:rPr>
          <w:rFonts w:eastAsia="Calibri" w:cs="Cambria"/>
          <w:sz w:val="20"/>
          <w:szCs w:val="20"/>
          <w:lang w:val="en-US" w:eastAsia="en-US"/>
        </w:rPr>
        <w:t xml:space="preserve">. Thus, </w:t>
      </w:r>
      <w:r w:rsidR="00CD1FFA" w:rsidRPr="00012C3F">
        <w:rPr>
          <w:rFonts w:eastAsia="Calibri" w:cs="Cambria"/>
          <w:sz w:val="20"/>
          <w:szCs w:val="20"/>
          <w:lang w:val="en-US" w:eastAsia="en-US"/>
        </w:rPr>
        <w:t xml:space="preserve">“at the time of its ruling, the information available to the Commission indicated that I.V. had exhausted all the ordinary remedies </w:t>
      </w:r>
      <w:r w:rsidR="00A56563" w:rsidRPr="00012C3F">
        <w:rPr>
          <w:rFonts w:eastAsia="Calibri" w:cs="Cambria"/>
          <w:sz w:val="20"/>
          <w:szCs w:val="20"/>
          <w:lang w:val="en-US" w:eastAsia="en-US"/>
        </w:rPr>
        <w:t>during</w:t>
      </w:r>
      <w:r w:rsidR="00CD1FFA" w:rsidRPr="00012C3F">
        <w:rPr>
          <w:rFonts w:eastAsia="Calibri" w:cs="Cambria"/>
          <w:sz w:val="20"/>
          <w:szCs w:val="20"/>
          <w:lang w:val="en-US" w:eastAsia="en-US"/>
        </w:rPr>
        <w:t xml:space="preserve"> the criminal proceedings.” In these circumstances, the Commission determined that “the State </w:t>
      </w:r>
      <w:r w:rsidR="00A56563" w:rsidRPr="00012C3F">
        <w:rPr>
          <w:rFonts w:eastAsia="Calibri" w:cs="Cambria"/>
          <w:sz w:val="20"/>
          <w:szCs w:val="20"/>
          <w:lang w:val="en-US" w:eastAsia="en-US"/>
        </w:rPr>
        <w:t>failed to</w:t>
      </w:r>
      <w:r w:rsidR="00CD1FFA" w:rsidRPr="00012C3F">
        <w:rPr>
          <w:rFonts w:eastAsia="Calibri" w:cs="Cambria"/>
          <w:sz w:val="20"/>
          <w:szCs w:val="20"/>
          <w:lang w:val="en-US" w:eastAsia="en-US"/>
        </w:rPr>
        <w:t xml:space="preserve"> prove, at the proper procedural opportunity and pursuant to the rules </w:t>
      </w:r>
      <w:r w:rsidR="00A56563" w:rsidRPr="00012C3F">
        <w:rPr>
          <w:rFonts w:eastAsia="Calibri" w:cs="Cambria"/>
          <w:sz w:val="20"/>
          <w:szCs w:val="20"/>
          <w:lang w:val="en-US" w:eastAsia="en-US"/>
        </w:rPr>
        <w:t>for</w:t>
      </w:r>
      <w:r w:rsidR="00CD1FFA" w:rsidRPr="00012C3F">
        <w:rPr>
          <w:rFonts w:eastAsia="Calibri" w:cs="Cambria"/>
          <w:sz w:val="20"/>
          <w:szCs w:val="20"/>
          <w:lang w:val="en-US" w:eastAsia="en-US"/>
        </w:rPr>
        <w:t xml:space="preserve"> the burden of proof applicable to the objection of the failure to exhaust domestic remedies, that the </w:t>
      </w:r>
      <w:r w:rsidR="00FA56FE" w:rsidRPr="00012C3F">
        <w:rPr>
          <w:rFonts w:eastAsia="Calibri" w:cs="Cambria"/>
          <w:sz w:val="20"/>
          <w:szCs w:val="20"/>
          <w:lang w:val="en-US" w:eastAsia="en-US"/>
        </w:rPr>
        <w:t>application for amparo</w:t>
      </w:r>
      <w:r w:rsidR="00CD1FFA" w:rsidRPr="00012C3F">
        <w:rPr>
          <w:rFonts w:eastAsia="Calibri" w:cs="Cambria"/>
          <w:sz w:val="20"/>
          <w:szCs w:val="20"/>
          <w:lang w:val="en-US" w:eastAsia="en-US"/>
        </w:rPr>
        <w:t xml:space="preserve"> </w:t>
      </w:r>
      <w:r w:rsidR="00A56563" w:rsidRPr="00012C3F">
        <w:rPr>
          <w:rFonts w:eastAsia="Calibri" w:cs="Cambria"/>
          <w:sz w:val="20"/>
          <w:szCs w:val="20"/>
          <w:lang w:val="en-US" w:eastAsia="en-US"/>
        </w:rPr>
        <w:t>would have been</w:t>
      </w:r>
      <w:r w:rsidR="00CD1FFA" w:rsidRPr="00012C3F">
        <w:rPr>
          <w:rFonts w:eastAsia="Calibri" w:cs="Cambria"/>
          <w:sz w:val="20"/>
          <w:szCs w:val="20"/>
          <w:lang w:val="en-US" w:eastAsia="en-US"/>
        </w:rPr>
        <w:t xml:space="preserve"> appropriate and effective in this case.” </w:t>
      </w:r>
      <w:r w:rsidR="002E2489" w:rsidRPr="00012C3F">
        <w:rPr>
          <w:rFonts w:eastAsia="Calibri" w:cs="Cambria"/>
          <w:sz w:val="20"/>
          <w:szCs w:val="20"/>
          <w:lang w:val="en-US" w:eastAsia="en-US"/>
        </w:rPr>
        <w:t>Consequently</w:t>
      </w:r>
      <w:r w:rsidR="00CD1FFA" w:rsidRPr="00012C3F">
        <w:rPr>
          <w:rFonts w:eastAsia="Calibri" w:cs="Cambria"/>
          <w:sz w:val="20"/>
          <w:szCs w:val="20"/>
          <w:lang w:val="en-US" w:eastAsia="en-US"/>
        </w:rPr>
        <w:t xml:space="preserve">, in the Commission’s opinion, I.V. had exhausted the domestic remedies. </w:t>
      </w:r>
    </w:p>
    <w:p w14:paraId="1998A42B" w14:textId="77777777" w:rsidR="00821074" w:rsidRPr="00012C3F" w:rsidRDefault="00821074" w:rsidP="00821074">
      <w:pPr>
        <w:widowControl/>
        <w:tabs>
          <w:tab w:val="left" w:pos="567"/>
        </w:tabs>
        <w:autoSpaceDE w:val="0"/>
        <w:autoSpaceDN w:val="0"/>
        <w:adjustRightInd/>
        <w:spacing w:line="240" w:lineRule="auto"/>
        <w:textAlignment w:val="auto"/>
        <w:rPr>
          <w:rFonts w:eastAsia="Calibri" w:cs="Arial"/>
          <w:sz w:val="20"/>
          <w:szCs w:val="20"/>
          <w:lang w:val="en-US" w:eastAsia="en-US"/>
        </w:rPr>
      </w:pPr>
    </w:p>
    <w:p w14:paraId="0FDEB893" w14:textId="77777777" w:rsidR="002E41C7" w:rsidRPr="00012C3F" w:rsidRDefault="002E41C7" w:rsidP="002E41C7">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Cambria"/>
          <w:sz w:val="20"/>
          <w:szCs w:val="20"/>
          <w:lang w:val="en-US" w:eastAsia="en-US"/>
        </w:rPr>
        <w:t xml:space="preserve">Regarding the State’s argument that the State cannot be required to abide by the arguments made at the admissibility stage in the proceedings before the Court, the Commission stressed that this requirement </w:t>
      </w:r>
      <w:r w:rsidR="00A56563" w:rsidRPr="00012C3F">
        <w:rPr>
          <w:rFonts w:eastAsia="Calibri" w:cs="Cambria"/>
          <w:sz w:val="20"/>
          <w:szCs w:val="20"/>
          <w:lang w:val="en-US" w:eastAsia="en-US"/>
        </w:rPr>
        <w:t>is in keeping with</w:t>
      </w:r>
      <w:r w:rsidRPr="00012C3F">
        <w:rPr>
          <w:rFonts w:eastAsia="Calibri" w:cs="Cambria"/>
          <w:sz w:val="20"/>
          <w:szCs w:val="20"/>
          <w:lang w:val="en-US" w:eastAsia="en-US"/>
        </w:rPr>
        <w:t xml:space="preserve"> the Court’s case law and constitutes a basic expression of the principles of “equality of arms” and legal certainty</w:t>
      </w:r>
      <w:r w:rsidR="00921FDB">
        <w:rPr>
          <w:rFonts w:eastAsia="Calibri" w:cs="Cambria"/>
          <w:sz w:val="20"/>
          <w:szCs w:val="20"/>
          <w:lang w:val="en-US" w:eastAsia="en-US"/>
        </w:rPr>
        <w:t xml:space="preserve"> that</w:t>
      </w:r>
      <w:r w:rsidRPr="00012C3F">
        <w:rPr>
          <w:rFonts w:eastAsia="Calibri" w:cs="Cambria"/>
          <w:sz w:val="20"/>
          <w:szCs w:val="20"/>
          <w:lang w:val="en-US" w:eastAsia="en-US"/>
        </w:rPr>
        <w:t xml:space="preserve"> appl</w:t>
      </w:r>
      <w:r w:rsidR="00921FDB">
        <w:rPr>
          <w:rFonts w:eastAsia="Calibri" w:cs="Cambria"/>
          <w:sz w:val="20"/>
          <w:szCs w:val="20"/>
          <w:lang w:val="en-US" w:eastAsia="en-US"/>
        </w:rPr>
        <w:t>y</w:t>
      </w:r>
      <w:r w:rsidRPr="00012C3F">
        <w:rPr>
          <w:rFonts w:eastAsia="Calibri" w:cs="Cambria"/>
          <w:sz w:val="20"/>
          <w:szCs w:val="20"/>
          <w:lang w:val="en-US" w:eastAsia="en-US"/>
        </w:rPr>
        <w:t xml:space="preserve"> to the inter-American procedure. Lastly, it emphasized that “a decision to the contrary would mean that the</w:t>
      </w:r>
      <w:r w:rsidRPr="00012C3F">
        <w:rPr>
          <w:rFonts w:eastAsia="Calibri" w:cs="Arial"/>
          <w:sz w:val="20"/>
          <w:szCs w:val="20"/>
          <w:lang w:val="en-US" w:eastAsia="en-US"/>
        </w:rPr>
        <w:t xml:space="preserve"> </w:t>
      </w:r>
      <w:r w:rsidR="001254DE" w:rsidRPr="00012C3F">
        <w:rPr>
          <w:rFonts w:eastAsia="Calibri" w:cs="Cambria"/>
          <w:sz w:val="20"/>
          <w:szCs w:val="20"/>
          <w:lang w:val="en-US" w:eastAsia="en-US"/>
        </w:rPr>
        <w:t>Inter-American Court</w:t>
      </w:r>
      <w:r w:rsidR="00821074" w:rsidRPr="00012C3F">
        <w:rPr>
          <w:rFonts w:eastAsia="Calibri" w:cs="Cambria"/>
          <w:sz w:val="20"/>
          <w:szCs w:val="20"/>
          <w:lang w:val="en-US" w:eastAsia="en-US"/>
        </w:rPr>
        <w:t xml:space="preserve"> </w:t>
      </w:r>
      <w:r w:rsidRPr="00012C3F">
        <w:rPr>
          <w:rFonts w:eastAsia="Calibri" w:cs="Cambria"/>
          <w:sz w:val="20"/>
          <w:szCs w:val="20"/>
          <w:lang w:val="en-US" w:eastAsia="en-US"/>
        </w:rPr>
        <w:t>could rule on arguments relating to the requirement of exhaustion of domestic remedies that the Commission was unable to evaluate and that the petitioners did not have the opportunity to contest at the corresponding stage.”</w:t>
      </w:r>
    </w:p>
    <w:p w14:paraId="6E5BA6A8" w14:textId="77777777" w:rsidR="00821074" w:rsidRPr="00012C3F" w:rsidRDefault="00821074" w:rsidP="002E41C7">
      <w:pPr>
        <w:widowControl/>
        <w:tabs>
          <w:tab w:val="left" w:pos="720"/>
        </w:tabs>
        <w:autoSpaceDE w:val="0"/>
        <w:autoSpaceDN w:val="0"/>
        <w:adjustRightInd/>
        <w:spacing w:line="240" w:lineRule="auto"/>
        <w:textAlignment w:val="auto"/>
        <w:rPr>
          <w:rFonts w:eastAsia="MS Mincho" w:cs="Arial"/>
          <w:sz w:val="20"/>
          <w:szCs w:val="20"/>
          <w:lang w:val="en-US" w:eastAsia="en-US"/>
        </w:rPr>
      </w:pPr>
    </w:p>
    <w:p w14:paraId="4D157145" w14:textId="77777777" w:rsidR="00F254A5" w:rsidRPr="00012C3F" w:rsidRDefault="00972ACF" w:rsidP="002E41C7">
      <w:pPr>
        <w:numPr>
          <w:ilvl w:val="0"/>
          <w:numId w:val="5"/>
        </w:numPr>
        <w:tabs>
          <w:tab w:val="left" w:pos="720"/>
          <w:tab w:val="num" w:pos="12305"/>
        </w:tabs>
        <w:spacing w:line="240" w:lineRule="auto"/>
        <w:ind w:left="0" w:firstLine="0"/>
        <w:rPr>
          <w:rFonts w:eastAsia="MS Mincho" w:cs="Arial"/>
          <w:sz w:val="20"/>
          <w:szCs w:val="20"/>
          <w:lang w:val="en-US" w:eastAsia="en-US"/>
        </w:rPr>
      </w:pPr>
      <w:r w:rsidRPr="00012C3F">
        <w:rPr>
          <w:rFonts w:eastAsia="Calibri" w:cs="Cambria"/>
          <w:sz w:val="20"/>
          <w:szCs w:val="20"/>
          <w:lang w:val="en-US" w:eastAsia="en-US"/>
        </w:rPr>
        <w:t xml:space="preserve">The </w:t>
      </w:r>
      <w:r w:rsidR="004C6FCC" w:rsidRPr="00012C3F">
        <w:rPr>
          <w:rFonts w:eastAsia="Calibri" w:cs="Cambria"/>
          <w:sz w:val="20"/>
          <w:szCs w:val="20"/>
          <w:lang w:val="en-US" w:eastAsia="en-US"/>
        </w:rPr>
        <w:t xml:space="preserve">presumed victim’s </w:t>
      </w:r>
      <w:r w:rsidR="004C6FCC" w:rsidRPr="00012C3F">
        <w:rPr>
          <w:rFonts w:eastAsia="Calibri" w:cs="Cambria"/>
          <w:b/>
          <w:bCs/>
          <w:i/>
          <w:iCs/>
          <w:sz w:val="20"/>
          <w:szCs w:val="20"/>
          <w:lang w:val="en-US" w:eastAsia="en-US"/>
        </w:rPr>
        <w:t>representative</w:t>
      </w:r>
      <w:r w:rsidR="00F254A5" w:rsidRPr="00012C3F">
        <w:rPr>
          <w:rFonts w:eastAsia="MS Mincho" w:cs="Arial"/>
          <w:sz w:val="20"/>
          <w:szCs w:val="20"/>
          <w:lang w:val="en-US" w:eastAsia="en-US"/>
        </w:rPr>
        <w:t xml:space="preserve"> a</w:t>
      </w:r>
      <w:r w:rsidR="002E41C7" w:rsidRPr="00012C3F">
        <w:rPr>
          <w:rFonts w:eastAsia="MS Mincho" w:cs="Arial"/>
          <w:sz w:val="20"/>
          <w:szCs w:val="20"/>
          <w:lang w:val="en-US" w:eastAsia="en-US"/>
        </w:rPr>
        <w:t xml:space="preserve">rgued that the preliminary objection filed by the State before the Court did not correspond to the </w:t>
      </w:r>
      <w:r w:rsidR="00A56563" w:rsidRPr="00012C3F">
        <w:rPr>
          <w:rFonts w:eastAsia="MS Mincho" w:cs="Arial"/>
          <w:sz w:val="20"/>
          <w:szCs w:val="20"/>
          <w:lang w:val="en-US" w:eastAsia="en-US"/>
        </w:rPr>
        <w:t>objection</w:t>
      </w:r>
      <w:r w:rsidR="002E41C7" w:rsidRPr="00012C3F">
        <w:rPr>
          <w:rFonts w:eastAsia="MS Mincho" w:cs="Arial"/>
          <w:sz w:val="20"/>
          <w:szCs w:val="20"/>
          <w:lang w:val="en-US" w:eastAsia="en-US"/>
        </w:rPr>
        <w:t xml:space="preserve"> filed at the admissibility stage before the Commission. </w:t>
      </w:r>
      <w:r w:rsidR="00A56563" w:rsidRPr="00012C3F">
        <w:rPr>
          <w:rFonts w:eastAsia="MS Mincho" w:cs="Arial"/>
          <w:sz w:val="20"/>
          <w:szCs w:val="20"/>
          <w:lang w:val="en-US" w:eastAsia="en-US"/>
        </w:rPr>
        <w:t>She</w:t>
      </w:r>
      <w:r w:rsidR="002E41C7" w:rsidRPr="00012C3F">
        <w:rPr>
          <w:rFonts w:eastAsia="MS Mincho" w:cs="Arial"/>
          <w:sz w:val="20"/>
          <w:szCs w:val="20"/>
          <w:lang w:val="en-US" w:eastAsia="en-US"/>
        </w:rPr>
        <w:t xml:space="preserve"> indicated that the State had not filed any objection to the rule of the exhaustion of domestic remedies</w:t>
      </w:r>
      <w:r w:rsidR="00280806" w:rsidRPr="00012C3F">
        <w:rPr>
          <w:rFonts w:eastAsia="MS Mincho" w:cs="Arial"/>
          <w:sz w:val="20"/>
          <w:szCs w:val="20"/>
          <w:lang w:val="en-US" w:eastAsia="en-US"/>
        </w:rPr>
        <w:t xml:space="preserve"> based on the </w:t>
      </w:r>
      <w:r w:rsidR="00C16DEA" w:rsidRPr="00012C3F">
        <w:rPr>
          <w:rFonts w:eastAsia="MS Mincho" w:cs="Arial"/>
          <w:sz w:val="20"/>
          <w:szCs w:val="20"/>
          <w:lang w:val="en-US" w:eastAsia="en-US"/>
        </w:rPr>
        <w:t>cassation procedure</w:t>
      </w:r>
      <w:r w:rsidR="00280806" w:rsidRPr="00012C3F">
        <w:rPr>
          <w:rFonts w:eastAsia="MS Mincho" w:cs="Arial"/>
          <w:sz w:val="20"/>
          <w:szCs w:val="20"/>
          <w:lang w:val="en-US" w:eastAsia="en-US"/>
        </w:rPr>
        <w:t xml:space="preserve"> at the admissibility stage before the Commission</w:t>
      </w:r>
      <w:r w:rsidR="00A56563" w:rsidRPr="00012C3F">
        <w:rPr>
          <w:rFonts w:eastAsia="MS Mincho" w:cs="Arial"/>
          <w:sz w:val="20"/>
          <w:szCs w:val="20"/>
          <w:lang w:val="en-US" w:eastAsia="en-US"/>
        </w:rPr>
        <w:t>; consequently,</w:t>
      </w:r>
      <w:r w:rsidR="00280806" w:rsidRPr="00012C3F">
        <w:rPr>
          <w:rFonts w:eastAsia="MS Mincho" w:cs="Arial"/>
          <w:sz w:val="20"/>
          <w:szCs w:val="20"/>
          <w:lang w:val="en-US" w:eastAsia="en-US"/>
        </w:rPr>
        <w:t xml:space="preserve"> filing an objection related to this remedy at the present procedural stage was time-barred. In addition, she a</w:t>
      </w:r>
      <w:r w:rsidR="00921FDB">
        <w:rPr>
          <w:rFonts w:eastAsia="MS Mincho" w:cs="Arial"/>
          <w:sz w:val="20"/>
          <w:szCs w:val="20"/>
          <w:lang w:val="en-US" w:eastAsia="en-US"/>
        </w:rPr>
        <w:t>rgue</w:t>
      </w:r>
      <w:r w:rsidR="00280806" w:rsidRPr="00012C3F">
        <w:rPr>
          <w:rFonts w:eastAsia="MS Mincho" w:cs="Arial"/>
          <w:sz w:val="20"/>
          <w:szCs w:val="20"/>
          <w:lang w:val="en-US" w:eastAsia="en-US"/>
        </w:rPr>
        <w:t xml:space="preserve">d that the </w:t>
      </w:r>
      <w:r w:rsidR="00C16DEA" w:rsidRPr="00012C3F">
        <w:rPr>
          <w:rFonts w:eastAsia="MS Mincho" w:cs="Arial"/>
          <w:sz w:val="20"/>
          <w:szCs w:val="20"/>
          <w:lang w:val="en-US" w:eastAsia="en-US"/>
        </w:rPr>
        <w:t>cassation procedure</w:t>
      </w:r>
      <w:r w:rsidR="00280806" w:rsidRPr="00012C3F">
        <w:rPr>
          <w:rFonts w:eastAsia="MS Mincho" w:cs="Arial"/>
          <w:sz w:val="20"/>
          <w:szCs w:val="20"/>
          <w:lang w:val="en-US" w:eastAsia="en-US"/>
        </w:rPr>
        <w:t xml:space="preserve"> </w:t>
      </w:r>
      <w:r w:rsidR="00A56563" w:rsidRPr="00012C3F">
        <w:rPr>
          <w:rFonts w:eastAsia="MS Mincho" w:cs="Arial"/>
          <w:sz w:val="20"/>
          <w:szCs w:val="20"/>
          <w:lang w:val="en-US" w:eastAsia="en-US"/>
        </w:rPr>
        <w:t>wa</w:t>
      </w:r>
      <w:r w:rsidR="00280806" w:rsidRPr="00012C3F">
        <w:rPr>
          <w:rFonts w:eastAsia="MS Mincho" w:cs="Arial"/>
          <w:sz w:val="20"/>
          <w:szCs w:val="20"/>
          <w:lang w:val="en-US" w:eastAsia="en-US"/>
        </w:rPr>
        <w:t xml:space="preserve">s reserved for contesting </w:t>
      </w:r>
      <w:r w:rsidR="0014280F" w:rsidRPr="00012C3F">
        <w:rPr>
          <w:rFonts w:eastAsia="MS Mincho" w:cs="Arial"/>
          <w:sz w:val="20"/>
          <w:szCs w:val="20"/>
          <w:lang w:val="en-US" w:eastAsia="en-US"/>
        </w:rPr>
        <w:t>rulings</w:t>
      </w:r>
      <w:r w:rsidR="00280806" w:rsidRPr="00012C3F">
        <w:rPr>
          <w:rFonts w:eastAsia="MS Mincho" w:cs="Arial"/>
          <w:sz w:val="20"/>
          <w:szCs w:val="20"/>
          <w:lang w:val="en-US" w:eastAsia="en-US"/>
        </w:rPr>
        <w:t xml:space="preserve"> that decide restricted appeals</w:t>
      </w:r>
      <w:r w:rsidR="00433F5D" w:rsidRPr="00012C3F">
        <w:rPr>
          <w:rFonts w:eastAsia="MS Mincho" w:cs="Arial"/>
          <w:sz w:val="20"/>
          <w:szCs w:val="20"/>
          <w:lang w:val="en-US" w:eastAsia="en-US"/>
        </w:rPr>
        <w:t>,</w:t>
      </w:r>
      <w:r w:rsidR="00280806" w:rsidRPr="00012C3F">
        <w:rPr>
          <w:rFonts w:eastAsia="MS Mincho" w:cs="Arial"/>
          <w:sz w:val="20"/>
          <w:szCs w:val="20"/>
          <w:lang w:val="en-US" w:eastAsia="en-US"/>
        </w:rPr>
        <w:t xml:space="preserve"> and not an incidental appeal as in this case with R</w:t>
      </w:r>
      <w:r w:rsidR="0014280F" w:rsidRPr="00012C3F">
        <w:rPr>
          <w:rFonts w:eastAsia="MS Mincho" w:cs="Arial"/>
          <w:sz w:val="20"/>
          <w:szCs w:val="20"/>
          <w:lang w:val="en-US" w:eastAsia="en-US"/>
        </w:rPr>
        <w:t>uling</w:t>
      </w:r>
      <w:r w:rsidR="00280806" w:rsidRPr="00012C3F">
        <w:rPr>
          <w:rFonts w:eastAsia="MS Mincho" w:cs="Arial"/>
          <w:sz w:val="20"/>
          <w:szCs w:val="20"/>
          <w:lang w:val="en-US" w:eastAsia="en-US"/>
        </w:rPr>
        <w:t xml:space="preserve"> 514/2006, which was the judgment delivered by the First Criminal Chamber of the La Paz Superior Court of Justice</w:t>
      </w:r>
      <w:r w:rsidR="00433F5D" w:rsidRPr="00012C3F">
        <w:rPr>
          <w:rFonts w:eastAsia="MS Mincho" w:cs="Arial"/>
          <w:sz w:val="20"/>
          <w:szCs w:val="20"/>
          <w:lang w:val="en-US" w:eastAsia="en-US"/>
        </w:rPr>
        <w:t>. Consequently,</w:t>
      </w:r>
      <w:r w:rsidR="00280806" w:rsidRPr="00012C3F">
        <w:rPr>
          <w:rFonts w:eastAsia="MS Mincho" w:cs="Arial"/>
          <w:sz w:val="20"/>
          <w:szCs w:val="20"/>
          <w:lang w:val="en-US" w:eastAsia="en-US"/>
        </w:rPr>
        <w:t xml:space="preserve"> the State’s </w:t>
      </w:r>
      <w:r w:rsidR="009E43F7" w:rsidRPr="00012C3F">
        <w:rPr>
          <w:rFonts w:eastAsia="MS Mincho" w:cs="Arial"/>
          <w:sz w:val="20"/>
          <w:szCs w:val="20"/>
          <w:lang w:val="en-US" w:eastAsia="en-US"/>
        </w:rPr>
        <w:t>pretension</w:t>
      </w:r>
      <w:r w:rsidR="00DB3C08" w:rsidRPr="00012C3F">
        <w:rPr>
          <w:rFonts w:eastAsia="MS Mincho" w:cs="Arial"/>
          <w:sz w:val="20"/>
          <w:szCs w:val="20"/>
          <w:lang w:val="en-US" w:eastAsia="en-US"/>
        </w:rPr>
        <w:t xml:space="preserve"> that “this Court […] </w:t>
      </w:r>
      <w:r w:rsidR="00433F5D" w:rsidRPr="00012C3F">
        <w:rPr>
          <w:rFonts w:eastAsia="MS Mincho" w:cs="Arial"/>
          <w:sz w:val="20"/>
          <w:szCs w:val="20"/>
          <w:lang w:val="en-US" w:eastAsia="en-US"/>
        </w:rPr>
        <w:t xml:space="preserve">consider </w:t>
      </w:r>
      <w:r w:rsidR="00DB3C08" w:rsidRPr="00012C3F">
        <w:rPr>
          <w:rFonts w:eastAsia="MS Mincho" w:cs="Arial"/>
          <w:sz w:val="20"/>
          <w:szCs w:val="20"/>
          <w:lang w:val="en-US" w:eastAsia="en-US"/>
        </w:rPr>
        <w:t xml:space="preserve">that the </w:t>
      </w:r>
      <w:r w:rsidR="00C16DEA" w:rsidRPr="00012C3F">
        <w:rPr>
          <w:rFonts w:eastAsia="MS Mincho" w:cs="Arial"/>
          <w:sz w:val="20"/>
          <w:szCs w:val="20"/>
          <w:lang w:val="en-US" w:eastAsia="en-US"/>
        </w:rPr>
        <w:t>cassation procedure</w:t>
      </w:r>
      <w:r w:rsidR="00DB3C08" w:rsidRPr="00012C3F">
        <w:rPr>
          <w:rFonts w:eastAsia="MS Mincho" w:cs="Arial"/>
          <w:sz w:val="20"/>
          <w:szCs w:val="20"/>
          <w:lang w:val="en-US" w:eastAsia="en-US"/>
        </w:rPr>
        <w:t xml:space="preserve"> should </w:t>
      </w:r>
      <w:r w:rsidR="00433F5D" w:rsidRPr="00012C3F">
        <w:rPr>
          <w:rFonts w:eastAsia="MS Mincho" w:cs="Arial"/>
          <w:sz w:val="20"/>
          <w:szCs w:val="20"/>
          <w:lang w:val="en-US" w:eastAsia="en-US"/>
        </w:rPr>
        <w:t xml:space="preserve">have </w:t>
      </w:r>
      <w:r w:rsidR="00DB3C08" w:rsidRPr="00012C3F">
        <w:rPr>
          <w:rFonts w:eastAsia="MS Mincho" w:cs="Arial"/>
          <w:sz w:val="20"/>
          <w:szCs w:val="20"/>
          <w:lang w:val="en-US" w:eastAsia="en-US"/>
        </w:rPr>
        <w:t>be</w:t>
      </w:r>
      <w:r w:rsidR="00433F5D" w:rsidRPr="00012C3F">
        <w:rPr>
          <w:rFonts w:eastAsia="MS Mincho" w:cs="Arial"/>
          <w:sz w:val="20"/>
          <w:szCs w:val="20"/>
          <w:lang w:val="en-US" w:eastAsia="en-US"/>
        </w:rPr>
        <w:t>en</w:t>
      </w:r>
      <w:r w:rsidR="00DB3C08" w:rsidRPr="00012C3F">
        <w:rPr>
          <w:rFonts w:eastAsia="MS Mincho" w:cs="Arial"/>
          <w:sz w:val="20"/>
          <w:szCs w:val="20"/>
          <w:lang w:val="en-US" w:eastAsia="en-US"/>
        </w:rPr>
        <w:t xml:space="preserve"> filed and exhausted by I.V., when according to the law and procedure this was not (and is not) feasible” constitute</w:t>
      </w:r>
      <w:r w:rsidR="00433F5D" w:rsidRPr="00012C3F">
        <w:rPr>
          <w:rFonts w:eastAsia="MS Mincho" w:cs="Arial"/>
          <w:sz w:val="20"/>
          <w:szCs w:val="20"/>
          <w:lang w:val="en-US" w:eastAsia="en-US"/>
        </w:rPr>
        <w:t>d</w:t>
      </w:r>
      <w:r w:rsidR="00DB3C08" w:rsidRPr="00012C3F">
        <w:rPr>
          <w:rFonts w:eastAsia="MS Mincho" w:cs="Arial"/>
          <w:sz w:val="20"/>
          <w:szCs w:val="20"/>
          <w:lang w:val="en-US" w:eastAsia="en-US"/>
        </w:rPr>
        <w:t xml:space="preserve"> a lack of procedural loyalty. Lastly, the representative a</w:t>
      </w:r>
      <w:r w:rsidR="00433F5D" w:rsidRPr="00012C3F">
        <w:rPr>
          <w:rFonts w:eastAsia="MS Mincho" w:cs="Arial"/>
          <w:sz w:val="20"/>
          <w:szCs w:val="20"/>
          <w:lang w:val="en-US" w:eastAsia="en-US"/>
        </w:rPr>
        <w:t>sserted</w:t>
      </w:r>
      <w:r w:rsidR="00DB3C08" w:rsidRPr="00012C3F">
        <w:rPr>
          <w:rFonts w:eastAsia="MS Mincho" w:cs="Arial"/>
          <w:sz w:val="20"/>
          <w:szCs w:val="20"/>
          <w:lang w:val="en-US" w:eastAsia="en-US"/>
        </w:rPr>
        <w:t xml:space="preserve"> that “[t]he argument on which the State founds this preliminary objection is </w:t>
      </w:r>
      <w:r w:rsidR="00433F5D" w:rsidRPr="00012C3F">
        <w:rPr>
          <w:rFonts w:eastAsia="MS Mincho" w:cs="Arial"/>
          <w:sz w:val="20"/>
          <w:szCs w:val="20"/>
          <w:lang w:val="en-US" w:eastAsia="en-US"/>
        </w:rPr>
        <w:t>totally</w:t>
      </w:r>
      <w:r w:rsidR="00DB3C08" w:rsidRPr="00012C3F">
        <w:rPr>
          <w:rFonts w:eastAsia="MS Mincho" w:cs="Arial"/>
          <w:sz w:val="20"/>
          <w:szCs w:val="20"/>
          <w:lang w:val="en-US" w:eastAsia="en-US"/>
        </w:rPr>
        <w:t xml:space="preserve"> false </w:t>
      </w:r>
      <w:r w:rsidR="00433F5D" w:rsidRPr="00012C3F">
        <w:rPr>
          <w:rFonts w:eastAsia="MS Mincho" w:cs="Arial"/>
          <w:sz w:val="20"/>
          <w:szCs w:val="20"/>
          <w:lang w:val="en-US" w:eastAsia="en-US"/>
        </w:rPr>
        <w:t>and</w:t>
      </w:r>
      <w:r w:rsidR="00DB3C08" w:rsidRPr="00012C3F">
        <w:rPr>
          <w:rFonts w:eastAsia="MS Mincho" w:cs="Arial"/>
          <w:sz w:val="20"/>
          <w:szCs w:val="20"/>
          <w:lang w:val="en-US" w:eastAsia="en-US"/>
        </w:rPr>
        <w:t xml:space="preserve"> proof of this is that the State has not cited any jurisprudential precedent to support it, and did not attach to its brief any final judgment (that is, a judgment in third instance) of the Supreme Court of Justice, or any constitutional judgment of the Constitutional Court.” She concluded that</w:t>
      </w:r>
      <w:r w:rsidR="00433F5D" w:rsidRPr="00012C3F">
        <w:rPr>
          <w:rFonts w:eastAsia="MS Mincho" w:cs="Arial"/>
          <w:sz w:val="20"/>
          <w:szCs w:val="20"/>
          <w:lang w:val="en-US" w:eastAsia="en-US"/>
        </w:rPr>
        <w:t xml:space="preserve">, </w:t>
      </w:r>
      <w:r w:rsidR="00DB3C08" w:rsidRPr="00012C3F">
        <w:rPr>
          <w:rFonts w:eastAsia="MS Mincho" w:cs="Arial"/>
          <w:sz w:val="20"/>
          <w:szCs w:val="20"/>
          <w:lang w:val="en-US" w:eastAsia="en-US"/>
        </w:rPr>
        <w:t xml:space="preserve">in </w:t>
      </w:r>
      <w:r w:rsidR="00433F5D" w:rsidRPr="00012C3F">
        <w:rPr>
          <w:rFonts w:eastAsia="MS Mincho" w:cs="Arial"/>
          <w:sz w:val="20"/>
          <w:szCs w:val="20"/>
          <w:lang w:val="en-US" w:eastAsia="en-US"/>
        </w:rPr>
        <w:t xml:space="preserve">I.V.’s </w:t>
      </w:r>
      <w:r w:rsidR="00DB3C08" w:rsidRPr="00012C3F">
        <w:rPr>
          <w:rFonts w:eastAsia="MS Mincho" w:cs="Arial"/>
          <w:sz w:val="20"/>
          <w:szCs w:val="20"/>
          <w:lang w:val="en-US" w:eastAsia="en-US"/>
        </w:rPr>
        <w:t>case</w:t>
      </w:r>
      <w:r w:rsidR="00433F5D" w:rsidRPr="00012C3F">
        <w:rPr>
          <w:rFonts w:eastAsia="MS Mincho" w:cs="Arial"/>
          <w:sz w:val="20"/>
          <w:szCs w:val="20"/>
          <w:lang w:val="en-US" w:eastAsia="en-US"/>
        </w:rPr>
        <w:t xml:space="preserve">, the cassation procedure was not </w:t>
      </w:r>
      <w:r w:rsidR="00433F5D" w:rsidRPr="00012C3F">
        <w:rPr>
          <w:rFonts w:eastAsia="MS Mincho" w:cs="Arial"/>
          <w:sz w:val="20"/>
          <w:szCs w:val="20"/>
          <w:lang w:val="en-US" w:eastAsia="en-US"/>
        </w:rPr>
        <w:lastRenderedPageBreak/>
        <w:t>admissible</w:t>
      </w:r>
      <w:r w:rsidR="00DB3C08" w:rsidRPr="00012C3F">
        <w:rPr>
          <w:rFonts w:eastAsia="MS Mincho" w:cs="Arial"/>
          <w:sz w:val="20"/>
          <w:szCs w:val="20"/>
          <w:lang w:val="en-US" w:eastAsia="en-US"/>
        </w:rPr>
        <w:t xml:space="preserve"> to contest R</w:t>
      </w:r>
      <w:r w:rsidR="0014280F" w:rsidRPr="00012C3F">
        <w:rPr>
          <w:rFonts w:eastAsia="MS Mincho" w:cs="Arial"/>
          <w:sz w:val="20"/>
          <w:szCs w:val="20"/>
          <w:lang w:val="en-US" w:eastAsia="en-US"/>
        </w:rPr>
        <w:t>uling</w:t>
      </w:r>
      <w:r w:rsidR="00DB3C08" w:rsidRPr="00012C3F">
        <w:rPr>
          <w:rFonts w:eastAsia="MS Mincho" w:cs="Arial"/>
          <w:sz w:val="20"/>
          <w:szCs w:val="20"/>
          <w:lang w:val="en-US" w:eastAsia="en-US"/>
        </w:rPr>
        <w:t xml:space="preserve"> </w:t>
      </w:r>
      <w:r w:rsidR="00471B72" w:rsidRPr="00012C3F">
        <w:rPr>
          <w:rFonts w:eastAsia="MS Mincho" w:cs="Arial"/>
          <w:sz w:val="20"/>
          <w:szCs w:val="20"/>
          <w:lang w:val="en-US" w:eastAsia="en-US"/>
        </w:rPr>
        <w:t xml:space="preserve">514/2006 </w:t>
      </w:r>
      <w:r w:rsidR="00DB3C08" w:rsidRPr="00012C3F">
        <w:rPr>
          <w:rFonts w:eastAsia="MS Mincho" w:cs="Arial"/>
          <w:sz w:val="20"/>
          <w:szCs w:val="20"/>
          <w:lang w:val="en-US" w:eastAsia="en-US"/>
        </w:rPr>
        <w:t xml:space="preserve">and, therefore, asked the Court to reject the objection filed by the State. </w:t>
      </w:r>
    </w:p>
    <w:p w14:paraId="4AA72FD2" w14:textId="77777777" w:rsidR="00F254A5" w:rsidRPr="00012C3F" w:rsidRDefault="00F254A5" w:rsidP="00F254A5">
      <w:pPr>
        <w:widowControl/>
        <w:autoSpaceDE w:val="0"/>
        <w:autoSpaceDN w:val="0"/>
        <w:spacing w:line="240" w:lineRule="auto"/>
        <w:textAlignment w:val="auto"/>
        <w:rPr>
          <w:rFonts w:eastAsia="Calibri" w:cs="Arial"/>
          <w:sz w:val="20"/>
          <w:szCs w:val="20"/>
          <w:lang w:val="en-US" w:eastAsia="en-US"/>
        </w:rPr>
      </w:pPr>
    </w:p>
    <w:p w14:paraId="0AE25745" w14:textId="77777777" w:rsidR="00DB3C08" w:rsidRPr="00012C3F" w:rsidRDefault="00972ACF" w:rsidP="004A3A26">
      <w:pPr>
        <w:widowControl/>
        <w:numPr>
          <w:ilvl w:val="0"/>
          <w:numId w:val="5"/>
        </w:numPr>
        <w:tabs>
          <w:tab w:val="left" w:pos="720"/>
          <w:tab w:val="num" w:pos="12305"/>
        </w:tabs>
        <w:adjustRightInd/>
        <w:spacing w:line="240" w:lineRule="auto"/>
        <w:ind w:left="0" w:firstLine="0"/>
        <w:textAlignment w:val="auto"/>
        <w:rPr>
          <w:rFonts w:eastAsia="Calibri" w:cs="Arial"/>
          <w:b/>
          <w:sz w:val="16"/>
          <w:szCs w:val="16"/>
          <w:lang w:val="en-US" w:eastAsia="en-US"/>
        </w:rPr>
      </w:pPr>
      <w:r w:rsidRPr="00012C3F">
        <w:rPr>
          <w:rFonts w:eastAsia="Calibri" w:cs="Cambria"/>
          <w:sz w:val="20"/>
          <w:szCs w:val="20"/>
          <w:lang w:val="en-US" w:eastAsia="en-US"/>
        </w:rPr>
        <w:t>The representative</w:t>
      </w:r>
      <w:r w:rsidR="00821074" w:rsidRPr="00012C3F">
        <w:rPr>
          <w:rFonts w:eastAsia="MS Mincho" w:cs="Arial"/>
          <w:sz w:val="20"/>
          <w:szCs w:val="20"/>
          <w:lang w:val="en-US" w:eastAsia="en-US"/>
        </w:rPr>
        <w:t xml:space="preserve"> </w:t>
      </w:r>
      <w:r w:rsidR="00DB3C08" w:rsidRPr="00012C3F">
        <w:rPr>
          <w:rFonts w:eastAsia="MS Mincho" w:cs="Arial"/>
          <w:sz w:val="20"/>
          <w:szCs w:val="20"/>
          <w:lang w:val="en-US" w:eastAsia="en-US"/>
        </w:rPr>
        <w:t>indicated that, in its observations of December 4, 2007, during the admissibility stage, the State had only indicated</w:t>
      </w:r>
      <w:r w:rsidR="00433F5D" w:rsidRPr="00012C3F">
        <w:rPr>
          <w:rFonts w:eastAsia="MS Mincho" w:cs="Arial"/>
          <w:sz w:val="20"/>
          <w:szCs w:val="20"/>
          <w:lang w:val="en-US" w:eastAsia="en-US"/>
        </w:rPr>
        <w:t>,</w:t>
      </w:r>
      <w:r w:rsidR="00DB3C08" w:rsidRPr="00012C3F">
        <w:rPr>
          <w:rFonts w:eastAsia="MS Mincho" w:cs="Arial"/>
          <w:sz w:val="20"/>
          <w:szCs w:val="20"/>
          <w:lang w:val="en-US" w:eastAsia="en-US"/>
        </w:rPr>
        <w:t xml:space="preserve"> in general, that the remedies of the domestic jurisdiction had not been exhausted, merely mentioning the </w:t>
      </w:r>
      <w:r w:rsidR="00C16DEA" w:rsidRPr="00012C3F">
        <w:rPr>
          <w:rFonts w:eastAsia="MS Mincho" w:cs="Arial"/>
          <w:sz w:val="20"/>
          <w:szCs w:val="20"/>
          <w:lang w:val="en-US" w:eastAsia="en-US"/>
        </w:rPr>
        <w:t xml:space="preserve">application for constitutional </w:t>
      </w:r>
      <w:r w:rsidR="00433F5D" w:rsidRPr="00012C3F">
        <w:rPr>
          <w:rFonts w:eastAsia="MS Mincho" w:cs="Arial"/>
          <w:sz w:val="20"/>
          <w:szCs w:val="20"/>
          <w:lang w:val="en-US" w:eastAsia="en-US"/>
        </w:rPr>
        <w:t>amparo</w:t>
      </w:r>
      <w:r w:rsidR="00DB3C08" w:rsidRPr="00012C3F">
        <w:rPr>
          <w:rFonts w:eastAsia="MS Mincho" w:cs="Arial"/>
          <w:sz w:val="20"/>
          <w:szCs w:val="20"/>
          <w:lang w:val="en-US" w:eastAsia="en-US"/>
        </w:rPr>
        <w:t xml:space="preserve">. However, the State did not reveal how the </w:t>
      </w:r>
      <w:r w:rsidR="00FA56FE" w:rsidRPr="00012C3F">
        <w:rPr>
          <w:rFonts w:eastAsia="MS Mincho" w:cs="Arial"/>
          <w:sz w:val="20"/>
          <w:szCs w:val="20"/>
          <w:lang w:val="en-US" w:eastAsia="en-US"/>
        </w:rPr>
        <w:t>application for amparo</w:t>
      </w:r>
      <w:r w:rsidR="00DB3C08" w:rsidRPr="00012C3F">
        <w:rPr>
          <w:rFonts w:eastAsia="MS Mincho" w:cs="Arial"/>
          <w:sz w:val="20"/>
          <w:szCs w:val="20"/>
          <w:lang w:val="en-US" w:eastAsia="en-US"/>
        </w:rPr>
        <w:t xml:space="preserve"> was fully available and how it was adequate, appropriate and effective for the </w:t>
      </w:r>
      <w:r w:rsidR="00E00902" w:rsidRPr="00012C3F">
        <w:rPr>
          <w:rFonts w:eastAsia="Calibri" w:cs="Arial"/>
          <w:sz w:val="20"/>
          <w:szCs w:val="20"/>
          <w:lang w:val="en-US" w:eastAsia="en-US"/>
        </w:rPr>
        <w:t>presumed victim</w:t>
      </w:r>
      <w:r w:rsidR="00433F5D" w:rsidRPr="00012C3F">
        <w:rPr>
          <w:rFonts w:eastAsia="Calibri" w:cs="Arial"/>
          <w:sz w:val="20"/>
          <w:szCs w:val="20"/>
          <w:lang w:val="en-US" w:eastAsia="en-US"/>
        </w:rPr>
        <w:t>’s p</w:t>
      </w:r>
      <w:r w:rsidR="009E43F7" w:rsidRPr="00012C3F">
        <w:rPr>
          <w:rFonts w:eastAsia="Calibri" w:cs="Arial"/>
          <w:sz w:val="20"/>
          <w:szCs w:val="20"/>
          <w:lang w:val="en-US" w:eastAsia="en-US"/>
        </w:rPr>
        <w:t>ur</w:t>
      </w:r>
      <w:r w:rsidR="00433F5D" w:rsidRPr="00012C3F">
        <w:rPr>
          <w:rFonts w:eastAsia="Calibri" w:cs="Arial"/>
          <w:sz w:val="20"/>
          <w:szCs w:val="20"/>
          <w:lang w:val="en-US" w:eastAsia="en-US"/>
        </w:rPr>
        <w:t>pose</w:t>
      </w:r>
      <w:r w:rsidR="00821074" w:rsidRPr="00012C3F">
        <w:rPr>
          <w:rFonts w:eastAsia="MS Mincho" w:cs="Arial"/>
          <w:sz w:val="20"/>
          <w:szCs w:val="20"/>
          <w:lang w:val="en-US" w:eastAsia="en-US"/>
        </w:rPr>
        <w:t xml:space="preserve">. </w:t>
      </w:r>
      <w:r w:rsidR="00DB3C08" w:rsidRPr="00012C3F">
        <w:rPr>
          <w:rFonts w:eastAsia="MS Mincho" w:cs="Arial"/>
          <w:sz w:val="20"/>
          <w:szCs w:val="20"/>
          <w:lang w:val="en-US" w:eastAsia="en-US"/>
        </w:rPr>
        <w:t xml:space="preserve">She indicated that the three constitutional judgment cited by the State in the </w:t>
      </w:r>
      <w:r w:rsidR="00F05CB5" w:rsidRPr="00012C3F">
        <w:rPr>
          <w:rFonts w:eastAsia="MS Mincho" w:cs="Arial"/>
          <w:sz w:val="20"/>
          <w:szCs w:val="20"/>
          <w:lang w:val="en-US" w:eastAsia="en-US"/>
        </w:rPr>
        <w:t>s</w:t>
      </w:r>
      <w:r w:rsidR="0063695C" w:rsidRPr="00012C3F">
        <w:rPr>
          <w:rFonts w:eastAsia="MS Mincho" w:cs="Arial"/>
          <w:sz w:val="20"/>
          <w:szCs w:val="20"/>
          <w:lang w:val="en-US" w:eastAsia="en-US"/>
        </w:rPr>
        <w:t>ing</w:t>
      </w:r>
      <w:r w:rsidR="00F05CB5" w:rsidRPr="00012C3F">
        <w:rPr>
          <w:rFonts w:eastAsia="MS Mincho" w:cs="Arial"/>
          <w:sz w:val="20"/>
          <w:szCs w:val="20"/>
          <w:lang w:val="en-US" w:eastAsia="en-US"/>
        </w:rPr>
        <w:t>le</w:t>
      </w:r>
      <w:r w:rsidR="00DB3C08" w:rsidRPr="00012C3F">
        <w:rPr>
          <w:rFonts w:eastAsia="MS Mincho" w:cs="Arial"/>
          <w:sz w:val="20"/>
          <w:szCs w:val="20"/>
          <w:lang w:val="en-US" w:eastAsia="en-US"/>
        </w:rPr>
        <w:t xml:space="preserve"> communication </w:t>
      </w:r>
      <w:r w:rsidR="00F05CB5" w:rsidRPr="00012C3F">
        <w:rPr>
          <w:rFonts w:eastAsia="MS Mincho" w:cs="Arial"/>
          <w:sz w:val="20"/>
          <w:szCs w:val="20"/>
          <w:lang w:val="en-US" w:eastAsia="en-US"/>
        </w:rPr>
        <w:t xml:space="preserve">it had </w:t>
      </w:r>
      <w:r w:rsidR="00DB3C08" w:rsidRPr="00012C3F">
        <w:rPr>
          <w:rFonts w:eastAsia="MS Mincho" w:cs="Arial"/>
          <w:sz w:val="20"/>
          <w:szCs w:val="20"/>
          <w:lang w:val="en-US" w:eastAsia="en-US"/>
        </w:rPr>
        <w:t xml:space="preserve">submitted to the Commission </w:t>
      </w:r>
      <w:r w:rsidR="00F05CB5" w:rsidRPr="00012C3F">
        <w:rPr>
          <w:rFonts w:eastAsia="MS Mincho" w:cs="Arial"/>
          <w:sz w:val="20"/>
          <w:szCs w:val="20"/>
          <w:lang w:val="en-US" w:eastAsia="en-US"/>
        </w:rPr>
        <w:t xml:space="preserve">at </w:t>
      </w:r>
      <w:r w:rsidR="00F05CB5" w:rsidRPr="00012C3F">
        <w:rPr>
          <w:rFonts w:eastAsia="Calibri" w:cs="Arial"/>
          <w:sz w:val="20"/>
          <w:szCs w:val="20"/>
          <w:lang w:val="en-US" w:eastAsia="en-US"/>
        </w:rPr>
        <w:t xml:space="preserve">the admissibility stage referred to situations that differed from the case of I.V. </w:t>
      </w:r>
      <w:r w:rsidR="0063695C" w:rsidRPr="00012C3F">
        <w:rPr>
          <w:rFonts w:eastAsia="Calibri" w:cs="Arial"/>
          <w:sz w:val="20"/>
          <w:szCs w:val="20"/>
          <w:lang w:val="en-US" w:eastAsia="en-US"/>
        </w:rPr>
        <w:t>Moreover, the judgments cited</w:t>
      </w:r>
      <w:r w:rsidR="00F05CB5" w:rsidRPr="00012C3F">
        <w:rPr>
          <w:rFonts w:eastAsia="Calibri" w:cs="Arial"/>
          <w:sz w:val="20"/>
          <w:szCs w:val="20"/>
          <w:lang w:val="en-US" w:eastAsia="en-US"/>
        </w:rPr>
        <w:t xml:space="preserve"> did not prove that</w:t>
      </w:r>
      <w:r w:rsidR="0063695C" w:rsidRPr="00012C3F">
        <w:rPr>
          <w:rFonts w:eastAsia="Calibri" w:cs="Arial"/>
          <w:sz w:val="20"/>
          <w:szCs w:val="20"/>
          <w:lang w:val="en-US" w:eastAsia="en-US"/>
        </w:rPr>
        <w:t>, by an application for constitutional amparo,</w:t>
      </w:r>
      <w:r w:rsidR="00F05CB5" w:rsidRPr="00012C3F">
        <w:rPr>
          <w:rFonts w:eastAsia="Calibri" w:cs="Arial"/>
          <w:sz w:val="20"/>
          <w:szCs w:val="20"/>
          <w:lang w:val="en-US" w:eastAsia="en-US"/>
        </w:rPr>
        <w:t xml:space="preserve"> it was possible to reverse a decision of the Superior Court of Justice </w:t>
      </w:r>
      <w:r w:rsidR="0063695C" w:rsidRPr="00012C3F">
        <w:rPr>
          <w:rFonts w:eastAsia="Calibri" w:cs="Arial"/>
          <w:sz w:val="20"/>
          <w:szCs w:val="20"/>
          <w:lang w:val="en-US" w:eastAsia="en-US"/>
        </w:rPr>
        <w:t xml:space="preserve">that </w:t>
      </w:r>
      <w:r w:rsidR="00F05CB5" w:rsidRPr="00012C3F">
        <w:rPr>
          <w:rFonts w:eastAsia="Calibri" w:cs="Arial"/>
          <w:sz w:val="20"/>
          <w:szCs w:val="20"/>
          <w:lang w:val="en-US" w:eastAsia="en-US"/>
        </w:rPr>
        <w:t>confirm</w:t>
      </w:r>
      <w:r w:rsidR="0063695C" w:rsidRPr="00012C3F">
        <w:rPr>
          <w:rFonts w:eastAsia="Calibri" w:cs="Arial"/>
          <w:sz w:val="20"/>
          <w:szCs w:val="20"/>
          <w:lang w:val="en-US" w:eastAsia="en-US"/>
        </w:rPr>
        <w:t>ed</w:t>
      </w:r>
      <w:r w:rsidR="00F05CB5" w:rsidRPr="00012C3F">
        <w:rPr>
          <w:rFonts w:eastAsia="Calibri" w:cs="Arial"/>
          <w:sz w:val="20"/>
          <w:szCs w:val="20"/>
          <w:lang w:val="en-US" w:eastAsia="en-US"/>
        </w:rPr>
        <w:t xml:space="preserve"> a decision determin</w:t>
      </w:r>
      <w:r w:rsidR="0063695C" w:rsidRPr="00012C3F">
        <w:rPr>
          <w:rFonts w:eastAsia="Calibri" w:cs="Arial"/>
          <w:sz w:val="20"/>
          <w:szCs w:val="20"/>
          <w:lang w:val="en-US" w:eastAsia="en-US"/>
        </w:rPr>
        <w:t>ing</w:t>
      </w:r>
      <w:r w:rsidR="00F05CB5" w:rsidRPr="00012C3F">
        <w:rPr>
          <w:rFonts w:eastAsia="Calibri" w:cs="Arial"/>
          <w:sz w:val="20"/>
          <w:szCs w:val="20"/>
          <w:lang w:val="en-US" w:eastAsia="en-US"/>
        </w:rPr>
        <w:t xml:space="preserve"> the extinction of the criminal action owing to the maximum duration of the </w:t>
      </w:r>
      <w:r w:rsidR="0063695C" w:rsidRPr="00012C3F">
        <w:rPr>
          <w:rFonts w:eastAsia="Calibri" w:cs="Arial"/>
          <w:sz w:val="20"/>
          <w:szCs w:val="20"/>
          <w:lang w:val="en-US" w:eastAsia="en-US"/>
        </w:rPr>
        <w:t>proceedings</w:t>
      </w:r>
      <w:r w:rsidR="00F05CB5" w:rsidRPr="00012C3F">
        <w:rPr>
          <w:rFonts w:eastAsia="Calibri" w:cs="Arial"/>
          <w:sz w:val="20"/>
          <w:szCs w:val="20"/>
          <w:lang w:val="en-US" w:eastAsia="en-US"/>
        </w:rPr>
        <w:t xml:space="preserve">, which favored the defendant and </w:t>
      </w:r>
      <w:r w:rsidR="0063695C" w:rsidRPr="00012C3F">
        <w:rPr>
          <w:rFonts w:eastAsia="Calibri" w:cs="Arial"/>
          <w:sz w:val="20"/>
          <w:szCs w:val="20"/>
          <w:lang w:val="en-US" w:eastAsia="en-US"/>
        </w:rPr>
        <w:t>was due to</w:t>
      </w:r>
      <w:r w:rsidR="00F05CB5" w:rsidRPr="00012C3F">
        <w:rPr>
          <w:rFonts w:eastAsia="Calibri" w:cs="Arial"/>
          <w:sz w:val="20"/>
          <w:szCs w:val="20"/>
          <w:lang w:val="en-US" w:eastAsia="en-US"/>
        </w:rPr>
        <w:t xml:space="preserve"> reasons that could be attributed to the organs of justice. Added to this, the representatives indicated</w:t>
      </w:r>
      <w:r w:rsidR="0063695C" w:rsidRPr="00012C3F">
        <w:rPr>
          <w:rFonts w:eastAsia="Calibri" w:cs="Arial"/>
          <w:sz w:val="20"/>
          <w:szCs w:val="20"/>
          <w:lang w:val="en-US" w:eastAsia="en-US"/>
        </w:rPr>
        <w:t>, also,</w:t>
      </w:r>
      <w:r w:rsidR="00F05CB5" w:rsidRPr="00012C3F">
        <w:rPr>
          <w:rFonts w:eastAsia="Calibri" w:cs="Arial"/>
          <w:sz w:val="20"/>
          <w:szCs w:val="20"/>
          <w:lang w:val="en-US" w:eastAsia="en-US"/>
        </w:rPr>
        <w:t xml:space="preserve"> that</w:t>
      </w:r>
      <w:r w:rsidR="0063695C" w:rsidRPr="00012C3F">
        <w:rPr>
          <w:rFonts w:eastAsia="Calibri" w:cs="Arial"/>
          <w:sz w:val="20"/>
          <w:szCs w:val="20"/>
          <w:lang w:val="en-US" w:eastAsia="en-US"/>
        </w:rPr>
        <w:t xml:space="preserve"> </w:t>
      </w:r>
      <w:r w:rsidR="00F05CB5" w:rsidRPr="00012C3F">
        <w:rPr>
          <w:rFonts w:eastAsia="Calibri" w:cs="Arial"/>
          <w:sz w:val="20"/>
          <w:szCs w:val="20"/>
          <w:lang w:val="en-US" w:eastAsia="en-US"/>
        </w:rPr>
        <w:t xml:space="preserve">I.V. was not obliged to exhaust this specific remedy because, according to this Court’s case law, it </w:t>
      </w:r>
      <w:r w:rsidR="0063695C" w:rsidRPr="00012C3F">
        <w:rPr>
          <w:rFonts w:eastAsia="Calibri" w:cs="Arial"/>
          <w:sz w:val="20"/>
          <w:szCs w:val="20"/>
          <w:lang w:val="en-US" w:eastAsia="en-US"/>
        </w:rPr>
        <w:t>was</w:t>
      </w:r>
      <w:r w:rsidR="00F05CB5" w:rsidRPr="00012C3F">
        <w:rPr>
          <w:rFonts w:eastAsia="Calibri" w:cs="Arial"/>
          <w:sz w:val="20"/>
          <w:szCs w:val="20"/>
          <w:lang w:val="en-US" w:eastAsia="en-US"/>
        </w:rPr>
        <w:t xml:space="preserve"> not necessary to exhaust all the remedies that </w:t>
      </w:r>
      <w:r w:rsidR="0063695C" w:rsidRPr="00012C3F">
        <w:rPr>
          <w:rFonts w:eastAsia="Calibri" w:cs="Arial"/>
          <w:sz w:val="20"/>
          <w:szCs w:val="20"/>
          <w:lang w:val="en-US" w:eastAsia="en-US"/>
        </w:rPr>
        <w:t>might</w:t>
      </w:r>
      <w:r w:rsidR="00F05CB5" w:rsidRPr="00012C3F">
        <w:rPr>
          <w:rFonts w:eastAsia="Calibri" w:cs="Arial"/>
          <w:sz w:val="20"/>
          <w:szCs w:val="20"/>
          <w:lang w:val="en-US" w:eastAsia="en-US"/>
        </w:rPr>
        <w:t xml:space="preserve"> exist in </w:t>
      </w:r>
      <w:r w:rsidR="0063695C" w:rsidRPr="00012C3F">
        <w:rPr>
          <w:rFonts w:eastAsia="Calibri" w:cs="Arial"/>
          <w:sz w:val="20"/>
          <w:szCs w:val="20"/>
          <w:lang w:val="en-US" w:eastAsia="en-US"/>
        </w:rPr>
        <w:t>domestic</w:t>
      </w:r>
      <w:r w:rsidR="00F05CB5" w:rsidRPr="00012C3F">
        <w:rPr>
          <w:rFonts w:eastAsia="Calibri" w:cs="Arial"/>
          <w:sz w:val="20"/>
          <w:szCs w:val="20"/>
          <w:lang w:val="en-US" w:eastAsia="en-US"/>
        </w:rPr>
        <w:t xml:space="preserve"> law. The constitutional amparo was a special remedy and, therefore, did not need to be exhausted. Consequently, the representative asked the Court to reject the objection filed by the State on the failure to exhaust the </w:t>
      </w:r>
      <w:r w:rsidR="00C16DEA" w:rsidRPr="00012C3F">
        <w:rPr>
          <w:rFonts w:eastAsia="Calibri" w:cs="Arial"/>
          <w:sz w:val="20"/>
          <w:szCs w:val="20"/>
          <w:lang w:val="en-US" w:eastAsia="en-US"/>
        </w:rPr>
        <w:t xml:space="preserve">application for constitutional </w:t>
      </w:r>
      <w:r w:rsidR="0063695C" w:rsidRPr="00012C3F">
        <w:rPr>
          <w:rFonts w:eastAsia="Calibri" w:cs="Arial"/>
          <w:sz w:val="20"/>
          <w:szCs w:val="20"/>
          <w:lang w:val="en-US" w:eastAsia="en-US"/>
        </w:rPr>
        <w:t>amparo</w:t>
      </w:r>
      <w:r w:rsidR="00F05CB5" w:rsidRPr="00012C3F">
        <w:rPr>
          <w:rFonts w:eastAsia="Calibri" w:cs="Arial"/>
          <w:sz w:val="20"/>
          <w:szCs w:val="20"/>
          <w:lang w:val="en-US" w:eastAsia="en-US"/>
        </w:rPr>
        <w:t>.</w:t>
      </w:r>
    </w:p>
    <w:p w14:paraId="283AAC96" w14:textId="77777777" w:rsidR="00821074" w:rsidRPr="00012C3F" w:rsidRDefault="00821074" w:rsidP="00821074">
      <w:pPr>
        <w:spacing w:line="240" w:lineRule="auto"/>
        <w:rPr>
          <w:sz w:val="20"/>
          <w:szCs w:val="20"/>
          <w:lang w:val="en-US"/>
        </w:rPr>
      </w:pPr>
    </w:p>
    <w:p w14:paraId="6DFBCB02" w14:textId="77777777" w:rsidR="00CB178D" w:rsidRPr="00012C3F" w:rsidRDefault="00CB178D" w:rsidP="005D5050">
      <w:pPr>
        <w:pStyle w:val="Ttulo2"/>
        <w:tabs>
          <w:tab w:val="left" w:pos="1701"/>
        </w:tabs>
        <w:spacing w:before="0" w:line="240" w:lineRule="auto"/>
        <w:ind w:left="1134"/>
        <w:rPr>
          <w:rFonts w:ascii="Verdana" w:hAnsi="Verdana"/>
          <w:b w:val="0"/>
          <w:i/>
          <w:color w:val="auto"/>
          <w:sz w:val="20"/>
          <w:szCs w:val="20"/>
          <w:lang w:val="en-US"/>
        </w:rPr>
      </w:pPr>
      <w:bookmarkStart w:id="51" w:name="_Toc401931888"/>
      <w:bookmarkStart w:id="52" w:name="_Toc428369985"/>
      <w:bookmarkStart w:id="53" w:name="_Toc459158098"/>
      <w:bookmarkStart w:id="54" w:name="_Toc27486825"/>
      <w:r w:rsidRPr="00012C3F">
        <w:rPr>
          <w:rFonts w:ascii="Verdana" w:hAnsi="Verdana"/>
          <w:b w:val="0"/>
          <w:i/>
          <w:color w:val="auto"/>
          <w:sz w:val="20"/>
          <w:szCs w:val="20"/>
          <w:lang w:val="en-US"/>
        </w:rPr>
        <w:t xml:space="preserve">B.2 </w:t>
      </w:r>
      <w:r w:rsidR="005D5050"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Considerations</w:t>
      </w:r>
      <w:r w:rsidR="001254DE" w:rsidRPr="00012C3F">
        <w:rPr>
          <w:rFonts w:ascii="Verdana" w:hAnsi="Verdana"/>
          <w:b w:val="0"/>
          <w:i/>
          <w:color w:val="auto"/>
          <w:sz w:val="20"/>
          <w:szCs w:val="20"/>
          <w:lang w:val="en-US"/>
        </w:rPr>
        <w:t xml:space="preserve"> of the Court</w:t>
      </w:r>
      <w:bookmarkEnd w:id="51"/>
      <w:bookmarkEnd w:id="52"/>
      <w:bookmarkEnd w:id="53"/>
      <w:bookmarkEnd w:id="54"/>
    </w:p>
    <w:p w14:paraId="6FA807BB" w14:textId="77777777" w:rsidR="00CB178D" w:rsidRPr="00012C3F" w:rsidRDefault="00CB178D" w:rsidP="00F254A5">
      <w:pPr>
        <w:widowControl/>
        <w:autoSpaceDE w:val="0"/>
        <w:autoSpaceDN w:val="0"/>
        <w:spacing w:line="240" w:lineRule="auto"/>
        <w:textAlignment w:val="auto"/>
        <w:rPr>
          <w:rFonts w:eastAsia="Calibri" w:cs="Arial"/>
          <w:sz w:val="20"/>
          <w:szCs w:val="20"/>
          <w:lang w:val="en-US" w:eastAsia="en-US"/>
        </w:rPr>
      </w:pPr>
    </w:p>
    <w:p w14:paraId="1C3D8274" w14:textId="77777777" w:rsidR="00E06A16" w:rsidRPr="00012C3F" w:rsidRDefault="001254DE" w:rsidP="004A3A26">
      <w:pPr>
        <w:numPr>
          <w:ilvl w:val="0"/>
          <w:numId w:val="5"/>
        </w:numPr>
        <w:tabs>
          <w:tab w:val="left" w:pos="720"/>
          <w:tab w:val="num" w:pos="12305"/>
        </w:tabs>
        <w:spacing w:line="240" w:lineRule="auto"/>
        <w:ind w:left="0" w:firstLine="0"/>
        <w:rPr>
          <w:rFonts w:cs="Arial"/>
          <w:sz w:val="20"/>
          <w:szCs w:val="20"/>
          <w:lang w:val="en-US"/>
        </w:rPr>
      </w:pPr>
      <w:r w:rsidRPr="00012C3F">
        <w:rPr>
          <w:sz w:val="20"/>
          <w:szCs w:val="20"/>
          <w:lang w:val="en-US"/>
        </w:rPr>
        <w:t>Article</w:t>
      </w:r>
      <w:r w:rsidR="00E06A16" w:rsidRPr="00012C3F">
        <w:rPr>
          <w:sz w:val="20"/>
          <w:szCs w:val="20"/>
          <w:lang w:val="en-US"/>
        </w:rPr>
        <w:t xml:space="preserve"> 46</w:t>
      </w:r>
      <w:r w:rsidR="004A3A26" w:rsidRPr="00012C3F">
        <w:rPr>
          <w:sz w:val="20"/>
          <w:szCs w:val="20"/>
          <w:lang w:val="en-US"/>
        </w:rPr>
        <w:t>(</w:t>
      </w:r>
      <w:r w:rsidR="00E06A16" w:rsidRPr="00012C3F">
        <w:rPr>
          <w:sz w:val="20"/>
          <w:szCs w:val="20"/>
          <w:lang w:val="en-US"/>
        </w:rPr>
        <w:t>1</w:t>
      </w:r>
      <w:r w:rsidR="004A3A26" w:rsidRPr="00012C3F">
        <w:rPr>
          <w:sz w:val="20"/>
          <w:szCs w:val="20"/>
          <w:lang w:val="en-US"/>
        </w:rPr>
        <w:t>)(</w:t>
      </w:r>
      <w:r w:rsidR="00E06A16" w:rsidRPr="00012C3F">
        <w:rPr>
          <w:sz w:val="20"/>
          <w:szCs w:val="20"/>
          <w:lang w:val="en-US"/>
        </w:rPr>
        <w:t>a)</w:t>
      </w:r>
      <w:r w:rsidRPr="00012C3F">
        <w:rPr>
          <w:sz w:val="20"/>
          <w:szCs w:val="20"/>
          <w:lang w:val="en-US"/>
        </w:rPr>
        <w:t xml:space="preserve"> of the American Convention</w:t>
      </w:r>
      <w:r w:rsidR="00E06A16" w:rsidRPr="00012C3F">
        <w:rPr>
          <w:sz w:val="20"/>
          <w:szCs w:val="20"/>
          <w:lang w:val="en-US"/>
        </w:rPr>
        <w:t xml:space="preserve"> </w:t>
      </w:r>
      <w:r w:rsidR="004A3A26" w:rsidRPr="00012C3F">
        <w:rPr>
          <w:sz w:val="20"/>
          <w:szCs w:val="20"/>
          <w:lang w:val="en-US"/>
        </w:rPr>
        <w:t xml:space="preserve">establishes that </w:t>
      </w:r>
      <w:r w:rsidR="004A3A26" w:rsidRPr="00012C3F">
        <w:rPr>
          <w:spacing w:val="-3"/>
          <w:sz w:val="20"/>
          <w:szCs w:val="20"/>
          <w:lang w:val="en-US"/>
        </w:rPr>
        <w:t>admission by the Commission of a petition or communication lodged in accordance with Articles 44 or 45, depends on the remedies under domestic law having been pursued and exhausted in accordance with generally recognized principles of international law</w:t>
      </w:r>
      <w:bookmarkStart w:id="55" w:name="_Ref317495849"/>
      <w:r w:rsidR="004A3A26" w:rsidRPr="00012C3F">
        <w:rPr>
          <w:spacing w:val="-3"/>
          <w:sz w:val="20"/>
          <w:szCs w:val="20"/>
          <w:lang w:val="en-US"/>
        </w:rPr>
        <w:t>.</w:t>
      </w:r>
      <w:r w:rsidR="00E06A16" w:rsidRPr="00012C3F">
        <w:rPr>
          <w:sz w:val="20"/>
          <w:szCs w:val="20"/>
          <w:vertAlign w:val="superscript"/>
          <w:lang w:val="en-US"/>
        </w:rPr>
        <w:footnoteReference w:id="12"/>
      </w:r>
      <w:bookmarkEnd w:id="55"/>
      <w:r w:rsidR="00E06A16" w:rsidRPr="00012C3F">
        <w:rPr>
          <w:sz w:val="20"/>
          <w:szCs w:val="20"/>
          <w:lang w:val="en-US"/>
        </w:rPr>
        <w:t xml:space="preserve"> </w:t>
      </w:r>
      <w:r w:rsidRPr="00012C3F">
        <w:rPr>
          <w:sz w:val="20"/>
          <w:szCs w:val="20"/>
          <w:lang w:val="en-US"/>
        </w:rPr>
        <w:t>The Court</w:t>
      </w:r>
      <w:r w:rsidR="00E06A16" w:rsidRPr="00012C3F">
        <w:rPr>
          <w:sz w:val="20"/>
          <w:szCs w:val="20"/>
          <w:lang w:val="en-US"/>
        </w:rPr>
        <w:t xml:space="preserve"> rec</w:t>
      </w:r>
      <w:r w:rsidR="004A3A26" w:rsidRPr="00012C3F">
        <w:rPr>
          <w:sz w:val="20"/>
          <w:szCs w:val="20"/>
          <w:lang w:val="en-US"/>
        </w:rPr>
        <w:t xml:space="preserve">alls that the rule of the prior exhaustion of domestic remedies was conceived in the interest of the State, because it seeks to exempt </w:t>
      </w:r>
      <w:r w:rsidR="006502BC" w:rsidRPr="00012C3F">
        <w:rPr>
          <w:sz w:val="20"/>
          <w:szCs w:val="20"/>
          <w:lang w:val="en-US"/>
        </w:rPr>
        <w:t>the State</w:t>
      </w:r>
      <w:r w:rsidR="004A3A26" w:rsidRPr="00012C3F">
        <w:rPr>
          <w:sz w:val="20"/>
          <w:szCs w:val="20"/>
          <w:lang w:val="en-US"/>
        </w:rPr>
        <w:t xml:space="preserve"> from responding before an international organ for acts attributed it before it has had the opportunity to rectify them with its own means. This </w:t>
      </w:r>
      <w:r w:rsidR="006502BC" w:rsidRPr="00012C3F">
        <w:rPr>
          <w:sz w:val="20"/>
          <w:szCs w:val="20"/>
          <w:lang w:val="en-US"/>
        </w:rPr>
        <w:t>signifies</w:t>
      </w:r>
      <w:r w:rsidR="004A3A26" w:rsidRPr="00012C3F">
        <w:rPr>
          <w:sz w:val="20"/>
          <w:szCs w:val="20"/>
          <w:lang w:val="en-US"/>
        </w:rPr>
        <w:t xml:space="preserve"> that, not only should such remedies exist formally, but they must also be adequate and effective, as a result of the exceptions established in</w:t>
      </w:r>
      <w:r w:rsidR="004A3A26" w:rsidRPr="00012C3F">
        <w:rPr>
          <w:rFonts w:cs="Arial"/>
          <w:sz w:val="20"/>
          <w:szCs w:val="20"/>
          <w:lang w:val="en-US"/>
        </w:rPr>
        <w:t xml:space="preserve"> </w:t>
      </w:r>
      <w:r w:rsidRPr="00012C3F">
        <w:rPr>
          <w:sz w:val="20"/>
          <w:szCs w:val="20"/>
          <w:lang w:val="en-US"/>
        </w:rPr>
        <w:t>Article</w:t>
      </w:r>
      <w:r w:rsidR="00E06A16" w:rsidRPr="00012C3F">
        <w:rPr>
          <w:sz w:val="20"/>
          <w:szCs w:val="20"/>
          <w:lang w:val="en-US"/>
        </w:rPr>
        <w:t xml:space="preserve"> 46</w:t>
      </w:r>
      <w:r w:rsidR="004A3A26" w:rsidRPr="00012C3F">
        <w:rPr>
          <w:sz w:val="20"/>
          <w:szCs w:val="20"/>
          <w:lang w:val="en-US"/>
        </w:rPr>
        <w:t>(</w:t>
      </w:r>
      <w:r w:rsidR="00E06A16" w:rsidRPr="00012C3F">
        <w:rPr>
          <w:sz w:val="20"/>
          <w:szCs w:val="20"/>
          <w:lang w:val="en-US"/>
        </w:rPr>
        <w:t>2</w:t>
      </w:r>
      <w:r w:rsidR="004A3A26" w:rsidRPr="00012C3F">
        <w:rPr>
          <w:sz w:val="20"/>
          <w:szCs w:val="20"/>
          <w:lang w:val="en-US"/>
        </w:rPr>
        <w:t>)</w:t>
      </w:r>
      <w:r w:rsidRPr="00012C3F">
        <w:rPr>
          <w:sz w:val="20"/>
          <w:szCs w:val="20"/>
          <w:lang w:val="en-US"/>
        </w:rPr>
        <w:t xml:space="preserve"> of the Convention</w:t>
      </w:r>
      <w:r w:rsidR="004A3A26" w:rsidRPr="00012C3F">
        <w:rPr>
          <w:sz w:val="20"/>
          <w:szCs w:val="20"/>
          <w:lang w:val="en-US"/>
        </w:rPr>
        <w:t>.</w:t>
      </w:r>
      <w:r w:rsidR="00E06A16" w:rsidRPr="00012C3F">
        <w:rPr>
          <w:sz w:val="20"/>
          <w:szCs w:val="20"/>
          <w:vertAlign w:val="superscript"/>
          <w:lang w:val="en-US"/>
        </w:rPr>
        <w:footnoteReference w:id="13"/>
      </w:r>
    </w:p>
    <w:p w14:paraId="7EC256CE" w14:textId="77777777" w:rsidR="00E06A16" w:rsidRPr="00012C3F" w:rsidRDefault="00E06A16" w:rsidP="004A3A26">
      <w:pPr>
        <w:tabs>
          <w:tab w:val="left" w:pos="720"/>
        </w:tabs>
        <w:spacing w:line="240" w:lineRule="auto"/>
        <w:rPr>
          <w:rFonts w:cs="Arial"/>
          <w:sz w:val="20"/>
          <w:szCs w:val="20"/>
          <w:lang w:val="en-US"/>
        </w:rPr>
      </w:pPr>
    </w:p>
    <w:p w14:paraId="008925A9" w14:textId="77777777" w:rsidR="00E06A16" w:rsidRPr="00012C3F" w:rsidRDefault="004A3A26" w:rsidP="00E7691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This Court has also indicated consistently that an objection to the Court’s exercise of its jurisdiction based on the supposed failure to exhaust domestic remedies must be filed at the proper procedural moment; that is, during the admissibility procedure before </w:t>
      </w:r>
      <w:r w:rsidR="001254DE" w:rsidRPr="00012C3F">
        <w:rPr>
          <w:sz w:val="20"/>
          <w:szCs w:val="20"/>
          <w:lang w:val="en-US"/>
        </w:rPr>
        <w:t xml:space="preserve">the </w:t>
      </w:r>
      <w:r w:rsidR="00A84CA0" w:rsidRPr="00012C3F">
        <w:rPr>
          <w:sz w:val="20"/>
          <w:szCs w:val="20"/>
          <w:lang w:val="en-US"/>
        </w:rPr>
        <w:t>Commission</w:t>
      </w:r>
      <w:bookmarkStart w:id="56" w:name="_Ref195093328"/>
      <w:r w:rsidRPr="00012C3F">
        <w:rPr>
          <w:sz w:val="20"/>
          <w:szCs w:val="20"/>
          <w:lang w:val="en-US"/>
        </w:rPr>
        <w:t>;</w:t>
      </w:r>
      <w:r w:rsidR="00E06A16" w:rsidRPr="00012C3F">
        <w:rPr>
          <w:rStyle w:val="Refdenotaalpie"/>
          <w:sz w:val="20"/>
          <w:szCs w:val="20"/>
          <w:lang w:val="en-US"/>
        </w:rPr>
        <w:footnoteReference w:id="14"/>
      </w:r>
      <w:bookmarkEnd w:id="56"/>
      <w:r w:rsidRPr="00012C3F">
        <w:rPr>
          <w:sz w:val="20"/>
          <w:szCs w:val="20"/>
          <w:lang w:val="en-US"/>
        </w:rPr>
        <w:t xml:space="preserve"> following this, the principle of</w:t>
      </w:r>
      <w:r w:rsidR="00E06A16" w:rsidRPr="00012C3F">
        <w:rPr>
          <w:sz w:val="20"/>
          <w:szCs w:val="20"/>
          <w:lang w:val="en-US"/>
        </w:rPr>
        <w:t xml:space="preserve"> </w:t>
      </w:r>
      <w:r w:rsidRPr="00012C3F">
        <w:rPr>
          <w:sz w:val="20"/>
          <w:szCs w:val="20"/>
          <w:lang w:val="en-US"/>
        </w:rPr>
        <w:t xml:space="preserve">estoppel </w:t>
      </w:r>
      <w:r w:rsidR="00E76911" w:rsidRPr="00012C3F">
        <w:rPr>
          <w:sz w:val="20"/>
          <w:szCs w:val="20"/>
          <w:lang w:val="en-US"/>
        </w:rPr>
        <w:t>comes into play.</w:t>
      </w:r>
      <w:r w:rsidR="00E06A16" w:rsidRPr="00012C3F">
        <w:rPr>
          <w:rStyle w:val="Refdenotaalpie"/>
          <w:rFonts w:cs="Verdana,Italic"/>
          <w:iCs/>
          <w:sz w:val="20"/>
          <w:szCs w:val="20"/>
          <w:lang w:val="en-US" w:eastAsia="en-US"/>
        </w:rPr>
        <w:footnoteReference w:id="15"/>
      </w:r>
      <w:r w:rsidR="00E76911" w:rsidRPr="00012C3F">
        <w:rPr>
          <w:sz w:val="20"/>
          <w:szCs w:val="20"/>
          <w:lang w:val="en-US"/>
        </w:rPr>
        <w:t xml:space="preserve"> When arguing the failure to exhaust domestic remedies, the State must specify the remedies that </w:t>
      </w:r>
      <w:r w:rsidR="006502BC" w:rsidRPr="00012C3F">
        <w:rPr>
          <w:sz w:val="20"/>
          <w:szCs w:val="20"/>
          <w:lang w:val="en-US"/>
        </w:rPr>
        <w:t xml:space="preserve">have </w:t>
      </w:r>
      <w:r w:rsidR="00E76911" w:rsidRPr="00012C3F">
        <w:rPr>
          <w:sz w:val="20"/>
          <w:szCs w:val="20"/>
          <w:lang w:val="en-US"/>
        </w:rPr>
        <w:t>not yet been exhausted and prove that these were available and adequate, appropriate and effective.</w:t>
      </w:r>
      <w:r w:rsidR="00E06A16" w:rsidRPr="00012C3F">
        <w:rPr>
          <w:sz w:val="20"/>
          <w:szCs w:val="20"/>
          <w:vertAlign w:val="superscript"/>
          <w:lang w:val="en-US"/>
        </w:rPr>
        <w:footnoteReference w:id="16"/>
      </w:r>
      <w:r w:rsidR="00E76911" w:rsidRPr="00012C3F">
        <w:rPr>
          <w:sz w:val="20"/>
          <w:szCs w:val="20"/>
          <w:lang w:val="en-US"/>
        </w:rPr>
        <w:t xml:space="preserve"> In this regard, the Court reiterates that it is not the task of the Court or the Commission to identify,</w:t>
      </w:r>
      <w:r w:rsidR="00E06A16" w:rsidRPr="00012C3F">
        <w:rPr>
          <w:sz w:val="20"/>
          <w:szCs w:val="20"/>
          <w:lang w:val="en-US"/>
        </w:rPr>
        <w:t xml:space="preserve"> </w:t>
      </w:r>
      <w:r w:rsidR="00E06A16" w:rsidRPr="00012C3F">
        <w:rPr>
          <w:rFonts w:cs="Arial"/>
          <w:i/>
          <w:sz w:val="20"/>
          <w:szCs w:val="20"/>
          <w:lang w:val="en-US"/>
        </w:rPr>
        <w:t>ex officio</w:t>
      </w:r>
      <w:r w:rsidR="00E76911" w:rsidRPr="00012C3F">
        <w:rPr>
          <w:rFonts w:cs="Arial"/>
          <w:i/>
          <w:sz w:val="20"/>
          <w:szCs w:val="20"/>
          <w:lang w:val="en-US"/>
        </w:rPr>
        <w:t>,</w:t>
      </w:r>
      <w:r w:rsidR="00E06A16" w:rsidRPr="00012C3F">
        <w:rPr>
          <w:rFonts w:cs="Arial"/>
          <w:sz w:val="20"/>
          <w:szCs w:val="20"/>
          <w:lang w:val="en-US"/>
        </w:rPr>
        <w:t xml:space="preserve"> </w:t>
      </w:r>
      <w:r w:rsidR="00E76911" w:rsidRPr="00012C3F">
        <w:rPr>
          <w:rFonts w:cs="Arial"/>
          <w:sz w:val="20"/>
          <w:szCs w:val="20"/>
          <w:lang w:val="en-US"/>
        </w:rPr>
        <w:t xml:space="preserve">which domestic </w:t>
      </w:r>
      <w:r w:rsidR="00E76911" w:rsidRPr="00012C3F">
        <w:rPr>
          <w:rFonts w:cs="Arial"/>
          <w:sz w:val="20"/>
          <w:szCs w:val="20"/>
          <w:lang w:val="en-US"/>
        </w:rPr>
        <w:lastRenderedPageBreak/>
        <w:t>remedies remain</w:t>
      </w:r>
      <w:r w:rsidR="006502BC" w:rsidRPr="00012C3F">
        <w:rPr>
          <w:rFonts w:cs="Arial"/>
          <w:sz w:val="20"/>
          <w:szCs w:val="20"/>
          <w:lang w:val="en-US"/>
        </w:rPr>
        <w:t>ed</w:t>
      </w:r>
      <w:r w:rsidR="00E76911" w:rsidRPr="00012C3F">
        <w:rPr>
          <w:rFonts w:cs="Arial"/>
          <w:sz w:val="20"/>
          <w:szCs w:val="20"/>
          <w:lang w:val="en-US"/>
        </w:rPr>
        <w:t xml:space="preserve"> to be exhausted; thus, it is not incumbent on the international organs to rectify the lack of precision of the State’s arguments.</w:t>
      </w:r>
      <w:r w:rsidR="00E06A16" w:rsidRPr="00012C3F">
        <w:rPr>
          <w:rStyle w:val="Refdenotaalpie"/>
          <w:rFonts w:cs="Arial"/>
          <w:sz w:val="20"/>
          <w:szCs w:val="20"/>
          <w:lang w:val="en-US"/>
        </w:rPr>
        <w:footnoteReference w:id="17"/>
      </w:r>
      <w:r w:rsidR="00E76911" w:rsidRPr="00012C3F">
        <w:rPr>
          <w:rFonts w:cs="Arial"/>
          <w:sz w:val="20"/>
          <w:szCs w:val="20"/>
          <w:lang w:val="en-US"/>
        </w:rPr>
        <w:t xml:space="preserve"> This reveals that</w:t>
      </w:r>
      <w:r w:rsidR="006502BC" w:rsidRPr="00012C3F">
        <w:rPr>
          <w:rFonts w:cs="Arial"/>
          <w:sz w:val="20"/>
          <w:szCs w:val="20"/>
          <w:lang w:val="en-US"/>
        </w:rPr>
        <w:t>,</w:t>
      </w:r>
      <w:r w:rsidR="00E76911" w:rsidRPr="00012C3F">
        <w:rPr>
          <w:rFonts w:cs="Arial"/>
          <w:sz w:val="20"/>
          <w:szCs w:val="20"/>
          <w:lang w:val="en-US"/>
        </w:rPr>
        <w:t xml:space="preserve"> when the State invokes the existence of a remedy that has not been exhausted, </w:t>
      </w:r>
      <w:r w:rsidR="006502BC" w:rsidRPr="00012C3F">
        <w:rPr>
          <w:rFonts w:cs="Arial"/>
          <w:sz w:val="20"/>
          <w:szCs w:val="20"/>
          <w:lang w:val="en-US"/>
        </w:rPr>
        <w:t>it must do so</w:t>
      </w:r>
      <w:r w:rsidR="00E76911" w:rsidRPr="00012C3F">
        <w:rPr>
          <w:rFonts w:cs="Arial"/>
          <w:sz w:val="20"/>
          <w:szCs w:val="20"/>
          <w:lang w:val="en-US"/>
        </w:rPr>
        <w:t xml:space="preserve"> at the proper moment and must also clear</w:t>
      </w:r>
      <w:r w:rsidR="006502BC" w:rsidRPr="00012C3F">
        <w:rPr>
          <w:rFonts w:cs="Arial"/>
          <w:sz w:val="20"/>
          <w:szCs w:val="20"/>
          <w:lang w:val="en-US"/>
        </w:rPr>
        <w:t>ly</w:t>
      </w:r>
      <w:r w:rsidR="00E76911" w:rsidRPr="00012C3F">
        <w:rPr>
          <w:rFonts w:cs="Arial"/>
          <w:sz w:val="20"/>
          <w:szCs w:val="20"/>
          <w:lang w:val="en-US"/>
        </w:rPr>
        <w:t xml:space="preserve"> identify the remedy in question and how, in the case concerned, it would be adequate and effective to protect the person in the situation denounced.</w:t>
      </w:r>
      <w:r w:rsidR="00E06A16" w:rsidRPr="00012C3F">
        <w:rPr>
          <w:rFonts w:cs="Arial"/>
          <w:sz w:val="20"/>
          <w:szCs w:val="20"/>
          <w:vertAlign w:val="superscript"/>
          <w:lang w:val="en-US"/>
        </w:rPr>
        <w:footnoteReference w:id="18"/>
      </w:r>
    </w:p>
    <w:p w14:paraId="28766B95" w14:textId="77777777" w:rsidR="00E06A16" w:rsidRPr="00012C3F" w:rsidRDefault="00E06A16" w:rsidP="00E06A16">
      <w:pPr>
        <w:pStyle w:val="Prrafodelista"/>
        <w:spacing w:line="240" w:lineRule="auto"/>
        <w:ind w:left="0"/>
        <w:rPr>
          <w:rFonts w:cs="Arial"/>
          <w:sz w:val="20"/>
          <w:szCs w:val="20"/>
          <w:lang w:val="en-US"/>
        </w:rPr>
      </w:pPr>
    </w:p>
    <w:p w14:paraId="620A0CE4" w14:textId="77777777" w:rsidR="00335E6E" w:rsidRPr="00012C3F" w:rsidRDefault="001254DE" w:rsidP="00FA2D16">
      <w:pPr>
        <w:numPr>
          <w:ilvl w:val="0"/>
          <w:numId w:val="5"/>
        </w:numPr>
        <w:tabs>
          <w:tab w:val="left" w:pos="720"/>
          <w:tab w:val="num" w:pos="12305"/>
        </w:tabs>
        <w:spacing w:line="240" w:lineRule="auto"/>
        <w:ind w:left="0" w:firstLine="0"/>
        <w:rPr>
          <w:b/>
          <w:sz w:val="20"/>
          <w:szCs w:val="20"/>
          <w:lang w:val="en-US" w:eastAsia="es-ES"/>
        </w:rPr>
      </w:pPr>
      <w:r w:rsidRPr="00012C3F">
        <w:rPr>
          <w:rFonts w:cs="Verdana"/>
          <w:sz w:val="20"/>
          <w:szCs w:val="20"/>
          <w:lang w:val="en-US" w:eastAsia="es-MX"/>
        </w:rPr>
        <w:t>The Court</w:t>
      </w:r>
      <w:r w:rsidR="00E06A16" w:rsidRPr="00012C3F">
        <w:rPr>
          <w:rFonts w:cs="Verdana"/>
          <w:sz w:val="20"/>
          <w:szCs w:val="20"/>
          <w:lang w:val="en-US" w:eastAsia="es-MX"/>
        </w:rPr>
        <w:t xml:space="preserve"> rec</w:t>
      </w:r>
      <w:r w:rsidR="00E76911" w:rsidRPr="00012C3F">
        <w:rPr>
          <w:rFonts w:cs="Verdana"/>
          <w:sz w:val="20"/>
          <w:szCs w:val="20"/>
          <w:lang w:val="en-US" w:eastAsia="es-MX"/>
        </w:rPr>
        <w:t xml:space="preserve">alls that the first </w:t>
      </w:r>
      <w:r w:rsidR="00890A16" w:rsidRPr="00012C3F">
        <w:rPr>
          <w:rFonts w:cs="Verdana"/>
          <w:sz w:val="20"/>
          <w:szCs w:val="20"/>
          <w:lang w:val="en-US" w:eastAsia="es-MX"/>
        </w:rPr>
        <w:t>element</w:t>
      </w:r>
      <w:r w:rsidR="00E76911" w:rsidRPr="00012C3F">
        <w:rPr>
          <w:rFonts w:cs="Verdana"/>
          <w:sz w:val="20"/>
          <w:szCs w:val="20"/>
          <w:lang w:val="en-US" w:eastAsia="es-MX"/>
        </w:rPr>
        <w:t xml:space="preserve"> that must be determined </w:t>
      </w:r>
      <w:r w:rsidR="006C705C" w:rsidRPr="00012C3F">
        <w:rPr>
          <w:rFonts w:cs="Verdana"/>
          <w:sz w:val="20"/>
          <w:szCs w:val="20"/>
          <w:lang w:val="en-US" w:eastAsia="es-MX"/>
        </w:rPr>
        <w:t>in relation to</w:t>
      </w:r>
      <w:r w:rsidR="00E06A16" w:rsidRPr="00012C3F">
        <w:rPr>
          <w:rFonts w:cs="Verdana"/>
          <w:sz w:val="20"/>
          <w:szCs w:val="20"/>
          <w:lang w:val="en-US" w:eastAsia="es-MX"/>
        </w:rPr>
        <w:t xml:space="preserve"> a </w:t>
      </w:r>
      <w:r w:rsidR="007733E6" w:rsidRPr="00012C3F">
        <w:rPr>
          <w:rFonts w:cs="Verdana"/>
          <w:sz w:val="20"/>
          <w:szCs w:val="20"/>
          <w:lang w:val="en-US" w:eastAsia="es-MX"/>
        </w:rPr>
        <w:t>preliminary objection</w:t>
      </w:r>
      <w:r w:rsidR="00E06A16" w:rsidRPr="00012C3F">
        <w:rPr>
          <w:rFonts w:cs="Verdana"/>
          <w:sz w:val="20"/>
          <w:szCs w:val="20"/>
          <w:lang w:val="en-US" w:eastAsia="es-MX"/>
        </w:rPr>
        <w:t xml:space="preserve"> </w:t>
      </w:r>
      <w:r w:rsidR="00E76911" w:rsidRPr="00012C3F">
        <w:rPr>
          <w:rFonts w:cs="Verdana"/>
          <w:sz w:val="20"/>
          <w:szCs w:val="20"/>
          <w:lang w:val="en-US" w:eastAsia="es-MX"/>
        </w:rPr>
        <w:t xml:space="preserve">of this nature is </w:t>
      </w:r>
      <w:r w:rsidR="00890A16" w:rsidRPr="00012C3F">
        <w:rPr>
          <w:rFonts w:cs="Verdana"/>
          <w:sz w:val="20"/>
          <w:szCs w:val="20"/>
          <w:lang w:val="en-US" w:eastAsia="es-MX"/>
        </w:rPr>
        <w:t>whether</w:t>
      </w:r>
      <w:r w:rsidR="00E76911" w:rsidRPr="00012C3F">
        <w:rPr>
          <w:rFonts w:cs="Verdana"/>
          <w:sz w:val="20"/>
          <w:szCs w:val="20"/>
          <w:lang w:val="en-US" w:eastAsia="es-MX"/>
        </w:rPr>
        <w:t xml:space="preserve"> the objection was filed at the proper procedural mome</w:t>
      </w:r>
      <w:r w:rsidR="00BF02DB" w:rsidRPr="00012C3F">
        <w:rPr>
          <w:rFonts w:cs="Verdana"/>
          <w:sz w:val="20"/>
          <w:szCs w:val="20"/>
          <w:lang w:val="en-US" w:eastAsia="es-MX"/>
        </w:rPr>
        <w:t>n</w:t>
      </w:r>
      <w:r w:rsidR="00E76911" w:rsidRPr="00012C3F">
        <w:rPr>
          <w:rFonts w:cs="Verdana"/>
          <w:sz w:val="20"/>
          <w:szCs w:val="20"/>
          <w:lang w:val="en-US" w:eastAsia="es-MX"/>
        </w:rPr>
        <w:t xml:space="preserve">t, an aspect that is in dispute </w:t>
      </w:r>
      <w:r w:rsidR="006C705C" w:rsidRPr="00012C3F">
        <w:rPr>
          <w:rFonts w:cs="Verdana"/>
          <w:sz w:val="20"/>
          <w:szCs w:val="20"/>
          <w:lang w:val="en-US" w:eastAsia="es-MX"/>
        </w:rPr>
        <w:t>in this case</w:t>
      </w:r>
      <w:r w:rsidR="00E06A16" w:rsidRPr="00012C3F">
        <w:rPr>
          <w:rFonts w:cs="Verdana"/>
          <w:sz w:val="20"/>
          <w:szCs w:val="20"/>
          <w:lang w:val="en-US" w:eastAsia="es-MX"/>
        </w:rPr>
        <w:t>.</w:t>
      </w:r>
      <w:r w:rsidR="00E06A16" w:rsidRPr="00012C3F">
        <w:rPr>
          <w:rFonts w:eastAsia="Verdana" w:cs="Verdana"/>
          <w:sz w:val="20"/>
          <w:szCs w:val="20"/>
          <w:lang w:val="en-US"/>
        </w:rPr>
        <w:t xml:space="preserve"> </w:t>
      </w:r>
      <w:r w:rsidR="00E76911" w:rsidRPr="00012C3F">
        <w:rPr>
          <w:rFonts w:eastAsia="Verdana" w:cs="Verdana"/>
          <w:sz w:val="20"/>
          <w:szCs w:val="20"/>
          <w:lang w:val="en-US"/>
        </w:rPr>
        <w:t xml:space="preserve">The Court notes that the petition lodged on March 7, 2007, was forwarded to the State on May 8 that year, on which </w:t>
      </w:r>
      <w:r w:rsidR="00890A16" w:rsidRPr="00012C3F">
        <w:rPr>
          <w:rFonts w:eastAsia="Verdana" w:cs="Verdana"/>
          <w:sz w:val="20"/>
          <w:szCs w:val="20"/>
          <w:lang w:val="en-US"/>
        </w:rPr>
        <w:t xml:space="preserve">date </w:t>
      </w:r>
      <w:r w:rsidRPr="00012C3F">
        <w:rPr>
          <w:rFonts w:cs="Tahoma"/>
          <w:sz w:val="20"/>
          <w:szCs w:val="20"/>
          <w:lang w:val="en-US"/>
        </w:rPr>
        <w:t xml:space="preserve">the Inter-American </w:t>
      </w:r>
      <w:r w:rsidR="00A84CA0" w:rsidRPr="00012C3F">
        <w:rPr>
          <w:rFonts w:cs="Tahoma"/>
          <w:sz w:val="20"/>
          <w:szCs w:val="20"/>
          <w:lang w:val="en-US"/>
        </w:rPr>
        <w:t>Commission</w:t>
      </w:r>
      <w:r w:rsidR="00E06A16" w:rsidRPr="00012C3F">
        <w:rPr>
          <w:rFonts w:cs="Tahoma"/>
          <w:sz w:val="20"/>
          <w:szCs w:val="20"/>
          <w:lang w:val="en-US"/>
        </w:rPr>
        <w:t xml:space="preserve"> </w:t>
      </w:r>
      <w:r w:rsidR="00E76911" w:rsidRPr="00012C3F">
        <w:rPr>
          <w:rFonts w:cs="Tahoma"/>
          <w:sz w:val="20"/>
          <w:szCs w:val="20"/>
          <w:lang w:val="en-US"/>
        </w:rPr>
        <w:t xml:space="preserve">granted the State two months to </w:t>
      </w:r>
      <w:r w:rsidR="00890A16" w:rsidRPr="00012C3F">
        <w:rPr>
          <w:rFonts w:cs="Tahoma"/>
          <w:sz w:val="20"/>
          <w:szCs w:val="20"/>
          <w:lang w:val="en-US"/>
        </w:rPr>
        <w:t>remit</w:t>
      </w:r>
      <w:r w:rsidR="00E76911" w:rsidRPr="00012C3F">
        <w:rPr>
          <w:rFonts w:cs="Tahoma"/>
          <w:sz w:val="20"/>
          <w:szCs w:val="20"/>
          <w:lang w:val="en-US"/>
        </w:rPr>
        <w:t xml:space="preserve"> </w:t>
      </w:r>
      <w:r w:rsidR="00890A16" w:rsidRPr="00012C3F">
        <w:rPr>
          <w:rFonts w:cs="Tahoma"/>
          <w:sz w:val="20"/>
          <w:szCs w:val="20"/>
          <w:lang w:val="en-US"/>
        </w:rPr>
        <w:t>its</w:t>
      </w:r>
      <w:r w:rsidR="000F32AA" w:rsidRPr="00012C3F">
        <w:rPr>
          <w:rFonts w:cs="Tahoma"/>
          <w:sz w:val="20"/>
          <w:szCs w:val="20"/>
          <w:lang w:val="en-US"/>
        </w:rPr>
        <w:t xml:space="preserve"> observations</w:t>
      </w:r>
      <w:r w:rsidR="00E06A16" w:rsidRPr="00012C3F">
        <w:rPr>
          <w:rFonts w:cs="Tahoma"/>
          <w:sz w:val="20"/>
          <w:szCs w:val="20"/>
          <w:lang w:val="en-US"/>
        </w:rPr>
        <w:t xml:space="preserve"> </w:t>
      </w:r>
      <w:r w:rsidR="00890A16" w:rsidRPr="00012C3F">
        <w:rPr>
          <w:rFonts w:cs="Tahoma"/>
          <w:sz w:val="20"/>
          <w:szCs w:val="20"/>
          <w:lang w:val="en-US"/>
        </w:rPr>
        <w:t xml:space="preserve">concerning </w:t>
      </w:r>
      <w:r w:rsidR="00E76911" w:rsidRPr="00012C3F">
        <w:rPr>
          <w:rFonts w:cs="Tahoma"/>
          <w:sz w:val="20"/>
          <w:szCs w:val="20"/>
          <w:lang w:val="en-US"/>
        </w:rPr>
        <w:t>the admissibility</w:t>
      </w:r>
      <w:r w:rsidR="00890A16" w:rsidRPr="00012C3F">
        <w:rPr>
          <w:rFonts w:cs="Tahoma"/>
          <w:sz w:val="20"/>
          <w:szCs w:val="20"/>
          <w:lang w:val="en-US"/>
        </w:rPr>
        <w:t xml:space="preserve"> </w:t>
      </w:r>
      <w:r w:rsidR="00E76911" w:rsidRPr="00012C3F">
        <w:rPr>
          <w:rFonts w:cs="Tahoma"/>
          <w:sz w:val="20"/>
          <w:szCs w:val="20"/>
          <w:lang w:val="en-US"/>
        </w:rPr>
        <w:t>of the petition</w:t>
      </w:r>
      <w:r w:rsidR="00E06A16" w:rsidRPr="00012C3F">
        <w:rPr>
          <w:rFonts w:cs="Tahoma"/>
          <w:sz w:val="20"/>
          <w:szCs w:val="20"/>
          <w:lang w:val="en-US"/>
        </w:rPr>
        <w:t xml:space="preserve">. </w:t>
      </w:r>
      <w:r w:rsidR="00FA2D16" w:rsidRPr="00012C3F">
        <w:rPr>
          <w:rFonts w:cs="Verdana,Italic"/>
          <w:iCs/>
          <w:sz w:val="20"/>
          <w:szCs w:val="20"/>
          <w:lang w:val="en-US" w:eastAsia="en-US"/>
        </w:rPr>
        <w:t>On December 6,</w:t>
      </w:r>
      <w:r w:rsidR="00262AE4" w:rsidRPr="00012C3F">
        <w:rPr>
          <w:rFonts w:eastAsia="Calibri" w:cs="Cambria"/>
          <w:sz w:val="20"/>
          <w:szCs w:val="20"/>
          <w:lang w:val="en-US" w:eastAsia="en-US"/>
        </w:rPr>
        <w:t xml:space="preserve"> 2007</w:t>
      </w:r>
      <w:r w:rsidR="00FA2D16" w:rsidRPr="00012C3F">
        <w:rPr>
          <w:rFonts w:eastAsia="Calibri" w:cs="Cambria"/>
          <w:sz w:val="20"/>
          <w:szCs w:val="20"/>
          <w:lang w:val="en-US" w:eastAsia="en-US"/>
        </w:rPr>
        <w:t>,</w:t>
      </w:r>
      <w:r w:rsidR="00262AE4" w:rsidRPr="00012C3F">
        <w:rPr>
          <w:rFonts w:eastAsia="Calibri" w:cs="Cambria"/>
          <w:sz w:val="20"/>
          <w:szCs w:val="20"/>
          <w:lang w:val="en-US" w:eastAsia="en-US"/>
        </w:rPr>
        <w:t xml:space="preserve"> </w:t>
      </w:r>
      <w:r w:rsidR="00A84CA0" w:rsidRPr="00012C3F">
        <w:rPr>
          <w:rFonts w:cs="Verdana,Italic"/>
          <w:iCs/>
          <w:sz w:val="20"/>
          <w:szCs w:val="20"/>
          <w:lang w:val="en-US" w:eastAsia="en-US"/>
        </w:rPr>
        <w:t>the State</w:t>
      </w:r>
      <w:r w:rsidR="00E06A16" w:rsidRPr="00012C3F">
        <w:rPr>
          <w:rFonts w:cs="Verdana,Italic"/>
          <w:iCs/>
          <w:sz w:val="20"/>
          <w:szCs w:val="20"/>
          <w:lang w:val="en-US" w:eastAsia="en-US"/>
        </w:rPr>
        <w:t xml:space="preserve"> </w:t>
      </w:r>
      <w:r w:rsidR="00FA2D16" w:rsidRPr="00012C3F">
        <w:rPr>
          <w:rFonts w:cs="Verdana,Italic"/>
          <w:iCs/>
          <w:sz w:val="20"/>
          <w:szCs w:val="20"/>
          <w:lang w:val="en-US" w:eastAsia="en-US"/>
        </w:rPr>
        <w:t>forwarded the</w:t>
      </w:r>
      <w:r w:rsidR="000F32AA" w:rsidRPr="00012C3F">
        <w:rPr>
          <w:rFonts w:cs="Verdana,Italic"/>
          <w:iCs/>
          <w:sz w:val="20"/>
          <w:szCs w:val="20"/>
          <w:lang w:val="en-US" w:eastAsia="en-US"/>
        </w:rPr>
        <w:t xml:space="preserve"> observations</w:t>
      </w:r>
      <w:r w:rsidR="00E06A16" w:rsidRPr="00012C3F">
        <w:rPr>
          <w:rFonts w:cs="Verdana,Italic"/>
          <w:iCs/>
          <w:sz w:val="20"/>
          <w:szCs w:val="20"/>
          <w:lang w:val="en-US" w:eastAsia="en-US"/>
        </w:rPr>
        <w:t xml:space="preserve"> </w:t>
      </w:r>
      <w:r w:rsidR="00FA2D16" w:rsidRPr="00012C3F">
        <w:rPr>
          <w:rFonts w:cs="Verdana,Italic"/>
          <w:iCs/>
          <w:sz w:val="20"/>
          <w:szCs w:val="20"/>
          <w:lang w:val="en-US" w:eastAsia="en-US"/>
        </w:rPr>
        <w:t>requested,</w:t>
      </w:r>
      <w:r w:rsidR="00E06A16" w:rsidRPr="00012C3F">
        <w:rPr>
          <w:rStyle w:val="Refdenotaalpie"/>
          <w:rFonts w:cs="Verdana,Italic"/>
          <w:iCs/>
          <w:sz w:val="20"/>
          <w:szCs w:val="20"/>
          <w:lang w:val="en-US" w:eastAsia="en-US"/>
        </w:rPr>
        <w:footnoteReference w:id="19"/>
      </w:r>
      <w:r w:rsidR="00FA2D16" w:rsidRPr="00012C3F">
        <w:rPr>
          <w:rFonts w:cs="Verdana,Italic"/>
          <w:iCs/>
          <w:sz w:val="20"/>
          <w:szCs w:val="20"/>
          <w:lang w:val="en-US" w:eastAsia="en-US"/>
        </w:rPr>
        <w:t xml:space="preserve"> </w:t>
      </w:r>
      <w:r w:rsidR="00890A16" w:rsidRPr="00012C3F">
        <w:rPr>
          <w:rFonts w:cs="Verdana,Italic"/>
          <w:iCs/>
          <w:sz w:val="20"/>
          <w:szCs w:val="20"/>
          <w:lang w:val="en-US" w:eastAsia="en-US"/>
        </w:rPr>
        <w:t>asking</w:t>
      </w:r>
      <w:r w:rsidR="00FA2D16" w:rsidRPr="00012C3F">
        <w:rPr>
          <w:rFonts w:cs="Verdana,Italic"/>
          <w:iCs/>
          <w:sz w:val="20"/>
          <w:szCs w:val="20"/>
          <w:lang w:val="en-US" w:eastAsia="en-US"/>
        </w:rPr>
        <w:t xml:space="preserve"> the Commission </w:t>
      </w:r>
      <w:r w:rsidR="00890A16" w:rsidRPr="00012C3F">
        <w:rPr>
          <w:rFonts w:cs="Verdana,Italic"/>
          <w:iCs/>
          <w:sz w:val="20"/>
          <w:szCs w:val="20"/>
          <w:lang w:val="en-US" w:eastAsia="en-US"/>
        </w:rPr>
        <w:t xml:space="preserve">to </w:t>
      </w:r>
      <w:r w:rsidR="00FA2D16" w:rsidRPr="00012C3F">
        <w:rPr>
          <w:rFonts w:cs="Verdana,Italic"/>
          <w:iCs/>
          <w:sz w:val="20"/>
          <w:szCs w:val="20"/>
          <w:lang w:val="en-US" w:eastAsia="en-US"/>
        </w:rPr>
        <w:t xml:space="preserve">declare the petition inadmissible based on the failure to exhaust domestic remedies. In </w:t>
      </w:r>
      <w:r w:rsidR="00335E6E" w:rsidRPr="00012C3F">
        <w:rPr>
          <w:rFonts w:cs="Verdana,Italic"/>
          <w:iCs/>
          <w:sz w:val="20"/>
          <w:szCs w:val="20"/>
          <w:lang w:val="en-US" w:eastAsia="en-US"/>
        </w:rPr>
        <w:t xml:space="preserve">particular, </w:t>
      </w:r>
      <w:r w:rsidR="00A84CA0" w:rsidRPr="00012C3F">
        <w:rPr>
          <w:rFonts w:cs="Verdana,Italic"/>
          <w:iCs/>
          <w:sz w:val="20"/>
          <w:szCs w:val="20"/>
          <w:lang w:val="en-US" w:eastAsia="en-US"/>
        </w:rPr>
        <w:t>the State</w:t>
      </w:r>
      <w:r w:rsidR="00335E6E" w:rsidRPr="00012C3F">
        <w:rPr>
          <w:rFonts w:cs="Verdana,Italic"/>
          <w:iCs/>
          <w:sz w:val="20"/>
          <w:szCs w:val="20"/>
          <w:lang w:val="en-US" w:eastAsia="en-US"/>
        </w:rPr>
        <w:t xml:space="preserve"> indic</w:t>
      </w:r>
      <w:r w:rsidR="00FA2D16" w:rsidRPr="00012C3F">
        <w:rPr>
          <w:rFonts w:cs="Verdana,Italic"/>
          <w:iCs/>
          <w:sz w:val="20"/>
          <w:szCs w:val="20"/>
          <w:lang w:val="en-US" w:eastAsia="en-US"/>
        </w:rPr>
        <w:t>ated that I.V. “could have filed a</w:t>
      </w:r>
      <w:r w:rsidR="00890A16" w:rsidRPr="00012C3F">
        <w:rPr>
          <w:rFonts w:cs="Verdana,Italic"/>
          <w:iCs/>
          <w:sz w:val="20"/>
          <w:szCs w:val="20"/>
          <w:lang w:val="en-US" w:eastAsia="en-US"/>
        </w:rPr>
        <w:t>n application for</w:t>
      </w:r>
      <w:r w:rsidR="00FA2D16" w:rsidRPr="00012C3F">
        <w:rPr>
          <w:rFonts w:cs="Verdana,Italic"/>
          <w:iCs/>
          <w:sz w:val="20"/>
          <w:szCs w:val="20"/>
          <w:lang w:val="en-US" w:eastAsia="en-US"/>
        </w:rPr>
        <w:t xml:space="preserve"> constitutional amparo to obtain effective reparation of the rights claimed”</w:t>
      </w:r>
      <w:r w:rsidR="00890A16" w:rsidRPr="00012C3F">
        <w:rPr>
          <w:rFonts w:cs="Verdana,Italic"/>
          <w:iCs/>
          <w:sz w:val="20"/>
          <w:szCs w:val="20"/>
          <w:lang w:val="en-US" w:eastAsia="en-US"/>
        </w:rPr>
        <w:t>;</w:t>
      </w:r>
      <w:r w:rsidR="00FA2D16" w:rsidRPr="00012C3F">
        <w:rPr>
          <w:rFonts w:cs="Verdana,Italic"/>
          <w:iCs/>
          <w:sz w:val="20"/>
          <w:szCs w:val="20"/>
          <w:lang w:val="en-US" w:eastAsia="en-US"/>
        </w:rPr>
        <w:t xml:space="preserve"> </w:t>
      </w:r>
      <w:r w:rsidR="00890A16" w:rsidRPr="00012C3F">
        <w:rPr>
          <w:rFonts w:cs="Verdana,Italic"/>
          <w:iCs/>
          <w:sz w:val="20"/>
          <w:szCs w:val="20"/>
          <w:lang w:val="en-US" w:eastAsia="en-US"/>
        </w:rPr>
        <w:t>t</w:t>
      </w:r>
      <w:r w:rsidR="00FA2D16" w:rsidRPr="00012C3F">
        <w:rPr>
          <w:rFonts w:cs="Verdana,Italic"/>
          <w:iCs/>
          <w:sz w:val="20"/>
          <w:szCs w:val="20"/>
          <w:lang w:val="en-US" w:eastAsia="en-US"/>
        </w:rPr>
        <w:t>his remedy was regulated in a</w:t>
      </w:r>
      <w:r w:rsidRPr="00012C3F">
        <w:rPr>
          <w:rFonts w:cs="Verdana,Italic"/>
          <w:iCs/>
          <w:sz w:val="20"/>
          <w:szCs w:val="20"/>
          <w:lang w:val="en-US" w:eastAsia="en-US"/>
        </w:rPr>
        <w:t>rticle</w:t>
      </w:r>
      <w:r w:rsidR="00335E6E" w:rsidRPr="00012C3F">
        <w:rPr>
          <w:rFonts w:cs="Verdana,Italic"/>
          <w:iCs/>
          <w:sz w:val="20"/>
          <w:szCs w:val="20"/>
          <w:lang w:val="en-US" w:eastAsia="en-US"/>
        </w:rPr>
        <w:t xml:space="preserve"> 19</w:t>
      </w:r>
      <w:r w:rsidR="00FA2D16" w:rsidRPr="00012C3F">
        <w:rPr>
          <w:rFonts w:cs="Verdana,Italic"/>
          <w:iCs/>
          <w:sz w:val="20"/>
          <w:szCs w:val="20"/>
          <w:lang w:val="en-US" w:eastAsia="en-US"/>
        </w:rPr>
        <w:t xml:space="preserve"> of the Constitution and was the domestic remedy that should be exhausted.</w:t>
      </w:r>
      <w:r w:rsidR="007E0F4E" w:rsidRPr="00012C3F">
        <w:rPr>
          <w:rStyle w:val="Refdenotaalpie"/>
          <w:rFonts w:cs="Verdana,Italic"/>
          <w:iCs/>
          <w:sz w:val="20"/>
          <w:szCs w:val="20"/>
          <w:lang w:val="en-US" w:eastAsia="en-US"/>
        </w:rPr>
        <w:footnoteReference w:id="20"/>
      </w:r>
    </w:p>
    <w:p w14:paraId="369D8366" w14:textId="77777777" w:rsidR="00E06A16" w:rsidRPr="00012C3F" w:rsidRDefault="00E06A16" w:rsidP="00E76911">
      <w:pPr>
        <w:widowControl/>
        <w:tabs>
          <w:tab w:val="left" w:pos="720"/>
        </w:tabs>
        <w:autoSpaceDE w:val="0"/>
        <w:autoSpaceDN w:val="0"/>
        <w:adjustRightInd/>
        <w:spacing w:line="240" w:lineRule="auto"/>
        <w:textAlignment w:val="auto"/>
        <w:rPr>
          <w:sz w:val="20"/>
          <w:szCs w:val="20"/>
          <w:lang w:val="en-US" w:eastAsia="es-ES"/>
        </w:rPr>
      </w:pPr>
    </w:p>
    <w:p w14:paraId="53C6A5E3" w14:textId="77777777" w:rsidR="004627A1" w:rsidRPr="00012C3F" w:rsidRDefault="001254DE" w:rsidP="00E76911">
      <w:pPr>
        <w:numPr>
          <w:ilvl w:val="0"/>
          <w:numId w:val="5"/>
        </w:numPr>
        <w:tabs>
          <w:tab w:val="left" w:pos="720"/>
          <w:tab w:val="num" w:pos="12305"/>
        </w:tabs>
        <w:spacing w:line="240" w:lineRule="auto"/>
        <w:ind w:left="0" w:firstLine="0"/>
        <w:rPr>
          <w:rFonts w:eastAsiaTheme="minorHAnsi"/>
          <w:sz w:val="20"/>
          <w:szCs w:val="20"/>
          <w:lang w:val="en-US"/>
        </w:rPr>
      </w:pPr>
      <w:r w:rsidRPr="00012C3F">
        <w:rPr>
          <w:rFonts w:cs="Verdana"/>
          <w:sz w:val="20"/>
          <w:szCs w:val="20"/>
          <w:lang w:val="en-US" w:eastAsia="es-MX"/>
        </w:rPr>
        <w:t>The Court</w:t>
      </w:r>
      <w:r w:rsidR="00434B81" w:rsidRPr="00012C3F">
        <w:rPr>
          <w:sz w:val="20"/>
          <w:szCs w:val="20"/>
          <w:lang w:val="en-US"/>
        </w:rPr>
        <w:t xml:space="preserve"> not</w:t>
      </w:r>
      <w:r w:rsidR="004627A1" w:rsidRPr="00012C3F">
        <w:rPr>
          <w:sz w:val="20"/>
          <w:szCs w:val="20"/>
          <w:lang w:val="en-US"/>
        </w:rPr>
        <w:t>es that the State did file an objection of failure to exhaust domestic remedies during the processing</w:t>
      </w:r>
      <w:r w:rsidR="001C696E" w:rsidRPr="00012C3F">
        <w:rPr>
          <w:sz w:val="20"/>
          <w:szCs w:val="20"/>
          <w:lang w:val="en-US"/>
        </w:rPr>
        <w:t xml:space="preserve"> of the petition</w:t>
      </w:r>
      <w:r w:rsidR="004627A1" w:rsidRPr="00012C3F">
        <w:rPr>
          <w:sz w:val="20"/>
          <w:szCs w:val="20"/>
          <w:lang w:val="en-US"/>
        </w:rPr>
        <w:t xml:space="preserve"> </w:t>
      </w:r>
      <w:r w:rsidR="001C696E" w:rsidRPr="00012C3F">
        <w:rPr>
          <w:sz w:val="20"/>
          <w:szCs w:val="20"/>
          <w:lang w:val="en-US"/>
        </w:rPr>
        <w:t>at</w:t>
      </w:r>
      <w:r w:rsidR="004627A1" w:rsidRPr="00012C3F">
        <w:rPr>
          <w:sz w:val="20"/>
          <w:szCs w:val="20"/>
          <w:lang w:val="en-US"/>
        </w:rPr>
        <w:t xml:space="preserve"> the admissibility stage before </w:t>
      </w:r>
      <w:r w:rsidRPr="00012C3F">
        <w:rPr>
          <w:rFonts w:cs="Verdana Bold"/>
          <w:bCs/>
          <w:sz w:val="20"/>
          <w:szCs w:val="20"/>
          <w:lang w:val="en-US"/>
        </w:rPr>
        <w:t xml:space="preserve">the </w:t>
      </w:r>
      <w:r w:rsidR="00A84CA0" w:rsidRPr="00012C3F">
        <w:rPr>
          <w:rFonts w:cs="Verdana Bold"/>
          <w:bCs/>
          <w:sz w:val="20"/>
          <w:szCs w:val="20"/>
          <w:lang w:val="en-US"/>
        </w:rPr>
        <w:t>Commission</w:t>
      </w:r>
      <w:r w:rsidR="001C696E" w:rsidRPr="00012C3F">
        <w:rPr>
          <w:rFonts w:cs="Verdana Bold"/>
          <w:bCs/>
          <w:sz w:val="20"/>
          <w:szCs w:val="20"/>
          <w:lang w:val="en-US"/>
        </w:rPr>
        <w:t xml:space="preserve">; </w:t>
      </w:r>
      <w:r w:rsidR="00921FDB">
        <w:rPr>
          <w:rFonts w:cs="Verdana Bold"/>
          <w:bCs/>
          <w:sz w:val="20"/>
          <w:szCs w:val="20"/>
          <w:lang w:val="en-US"/>
        </w:rPr>
        <w:t xml:space="preserve">but, </w:t>
      </w:r>
      <w:r w:rsidR="001C696E" w:rsidRPr="00012C3F">
        <w:rPr>
          <w:rFonts w:cs="Verdana Bold"/>
          <w:bCs/>
          <w:sz w:val="20"/>
          <w:szCs w:val="20"/>
          <w:lang w:val="en-US"/>
        </w:rPr>
        <w:t>it</w:t>
      </w:r>
      <w:r w:rsidR="004627A1" w:rsidRPr="00012C3F">
        <w:rPr>
          <w:rFonts w:cs="Verdana Bold"/>
          <w:bCs/>
          <w:sz w:val="20"/>
          <w:szCs w:val="20"/>
          <w:lang w:val="en-US"/>
        </w:rPr>
        <w:t xml:space="preserve"> merely argued the </w:t>
      </w:r>
      <w:r w:rsidR="004627A1" w:rsidRPr="00012C3F">
        <w:rPr>
          <w:sz w:val="20"/>
          <w:szCs w:val="20"/>
          <w:lang w:val="en-US"/>
        </w:rPr>
        <w:t xml:space="preserve">failure to exhaust the </w:t>
      </w:r>
      <w:r w:rsidR="0063695C" w:rsidRPr="00012C3F">
        <w:rPr>
          <w:sz w:val="20"/>
          <w:szCs w:val="20"/>
          <w:lang w:val="en-US"/>
        </w:rPr>
        <w:t>application for constitutional amparo</w:t>
      </w:r>
      <w:r w:rsidR="004627A1" w:rsidRPr="00012C3F">
        <w:rPr>
          <w:sz w:val="20"/>
          <w:szCs w:val="20"/>
          <w:lang w:val="en-US"/>
        </w:rPr>
        <w:t>. Therefore, and pursuant to th</w:t>
      </w:r>
      <w:r w:rsidR="001C696E" w:rsidRPr="00012C3F">
        <w:rPr>
          <w:sz w:val="20"/>
          <w:szCs w:val="20"/>
          <w:lang w:val="en-US"/>
        </w:rPr>
        <w:t>e</w:t>
      </w:r>
      <w:r w:rsidR="004627A1" w:rsidRPr="00012C3F">
        <w:rPr>
          <w:sz w:val="20"/>
          <w:szCs w:val="20"/>
          <w:lang w:val="en-US"/>
        </w:rPr>
        <w:t xml:space="preserve"> Court’s case law,</w:t>
      </w:r>
      <w:r w:rsidR="00AC2794" w:rsidRPr="00012C3F">
        <w:rPr>
          <w:rStyle w:val="Refdenotaalpie"/>
          <w:rFonts w:cs="Verdana Bold"/>
          <w:bCs/>
          <w:sz w:val="20"/>
          <w:szCs w:val="20"/>
          <w:lang w:val="en-US"/>
        </w:rPr>
        <w:footnoteReference w:id="21"/>
      </w:r>
      <w:r w:rsidR="00AC2794" w:rsidRPr="00012C3F">
        <w:rPr>
          <w:rFonts w:cs="Verdana Bold"/>
          <w:bCs/>
          <w:sz w:val="20"/>
          <w:szCs w:val="20"/>
          <w:lang w:val="en-US"/>
        </w:rPr>
        <w:t xml:space="preserve"> </w:t>
      </w:r>
      <w:r w:rsidR="00A84CA0" w:rsidRPr="00012C3F">
        <w:rPr>
          <w:rFonts w:cs="Verdana Bold"/>
          <w:bCs/>
          <w:sz w:val="20"/>
          <w:szCs w:val="20"/>
          <w:lang w:val="en-US"/>
        </w:rPr>
        <w:t>the State</w:t>
      </w:r>
      <w:r w:rsidR="00AC2794" w:rsidRPr="00012C3F">
        <w:rPr>
          <w:rFonts w:cs="Verdana Bold"/>
          <w:bCs/>
          <w:sz w:val="20"/>
          <w:szCs w:val="20"/>
          <w:lang w:val="en-US"/>
        </w:rPr>
        <w:t xml:space="preserve"> </w:t>
      </w:r>
      <w:r w:rsidR="004627A1" w:rsidRPr="00012C3F">
        <w:rPr>
          <w:rFonts w:cs="Verdana Bold"/>
          <w:bCs/>
          <w:sz w:val="20"/>
          <w:szCs w:val="20"/>
          <w:lang w:val="en-US"/>
        </w:rPr>
        <w:t xml:space="preserve">cannot argue before this Court the </w:t>
      </w:r>
      <w:r w:rsidR="004627A1" w:rsidRPr="00012C3F">
        <w:rPr>
          <w:sz w:val="20"/>
          <w:szCs w:val="20"/>
          <w:lang w:val="en-US"/>
        </w:rPr>
        <w:t xml:space="preserve">failure to exhaust other remedies that were not </w:t>
      </w:r>
      <w:r w:rsidR="001C696E" w:rsidRPr="00012C3F">
        <w:rPr>
          <w:sz w:val="20"/>
          <w:szCs w:val="20"/>
          <w:lang w:val="en-US"/>
        </w:rPr>
        <w:t>alleged</w:t>
      </w:r>
      <w:r w:rsidR="004627A1" w:rsidRPr="00012C3F">
        <w:rPr>
          <w:sz w:val="20"/>
          <w:szCs w:val="20"/>
          <w:lang w:val="en-US"/>
        </w:rPr>
        <w:t xml:space="preserve"> at that procedural opportunity. Th</w:t>
      </w:r>
      <w:r w:rsidR="001C696E" w:rsidRPr="00012C3F">
        <w:rPr>
          <w:sz w:val="20"/>
          <w:szCs w:val="20"/>
          <w:lang w:val="en-US"/>
        </w:rPr>
        <w:t>us, the</w:t>
      </w:r>
      <w:r w:rsidR="004627A1" w:rsidRPr="00012C3F">
        <w:rPr>
          <w:sz w:val="20"/>
          <w:szCs w:val="20"/>
          <w:lang w:val="en-US"/>
        </w:rPr>
        <w:t xml:space="preserve"> State’s arguments regarding the alleged failure to exhaust the </w:t>
      </w:r>
      <w:r w:rsidR="00C16DEA" w:rsidRPr="00012C3F">
        <w:rPr>
          <w:sz w:val="20"/>
          <w:szCs w:val="20"/>
          <w:lang w:val="en-US"/>
        </w:rPr>
        <w:t>cassation procedure</w:t>
      </w:r>
      <w:r w:rsidR="001C696E" w:rsidRPr="00012C3F">
        <w:rPr>
          <w:sz w:val="20"/>
          <w:szCs w:val="20"/>
          <w:lang w:val="en-US"/>
        </w:rPr>
        <w:t>,</w:t>
      </w:r>
      <w:r w:rsidR="004627A1" w:rsidRPr="00012C3F">
        <w:rPr>
          <w:sz w:val="20"/>
          <w:szCs w:val="20"/>
          <w:lang w:val="en-US"/>
        </w:rPr>
        <w:t xml:space="preserve"> which was filed for the first time in its answering brief before this Court</w:t>
      </w:r>
      <w:r w:rsidR="001C696E" w:rsidRPr="00012C3F">
        <w:rPr>
          <w:sz w:val="20"/>
          <w:szCs w:val="20"/>
          <w:lang w:val="en-US"/>
        </w:rPr>
        <w:t>,</w:t>
      </w:r>
      <w:r w:rsidR="004627A1" w:rsidRPr="00012C3F">
        <w:rPr>
          <w:sz w:val="20"/>
          <w:szCs w:val="20"/>
          <w:lang w:val="en-US"/>
        </w:rPr>
        <w:t xml:space="preserve"> are time-barred.</w:t>
      </w:r>
    </w:p>
    <w:p w14:paraId="06D6DA66" w14:textId="77777777" w:rsidR="00434B81" w:rsidRPr="00012C3F" w:rsidRDefault="00434B81" w:rsidP="00434B81">
      <w:pPr>
        <w:widowControl/>
        <w:autoSpaceDE w:val="0"/>
        <w:autoSpaceDN w:val="0"/>
        <w:spacing w:line="240" w:lineRule="auto"/>
        <w:textAlignment w:val="auto"/>
        <w:rPr>
          <w:rFonts w:cs="Verdana Bold"/>
          <w:bCs/>
          <w:sz w:val="20"/>
          <w:szCs w:val="20"/>
          <w:lang w:val="en-US"/>
        </w:rPr>
      </w:pPr>
    </w:p>
    <w:p w14:paraId="7B8521DD" w14:textId="77777777" w:rsidR="0088537F" w:rsidRPr="00012C3F" w:rsidRDefault="004627A1" w:rsidP="00EF4B3E">
      <w:pPr>
        <w:numPr>
          <w:ilvl w:val="0"/>
          <w:numId w:val="5"/>
        </w:numPr>
        <w:tabs>
          <w:tab w:val="left" w:pos="720"/>
          <w:tab w:val="num" w:pos="12305"/>
        </w:tabs>
        <w:spacing w:line="240" w:lineRule="auto"/>
        <w:ind w:left="0" w:firstLine="0"/>
        <w:rPr>
          <w:sz w:val="20"/>
          <w:szCs w:val="20"/>
          <w:lang w:val="en-US" w:eastAsia="es-CO"/>
        </w:rPr>
      </w:pPr>
      <w:r w:rsidRPr="00012C3F">
        <w:rPr>
          <w:rFonts w:eastAsia="Verdana" w:cs="Verdana"/>
          <w:sz w:val="20"/>
          <w:szCs w:val="20"/>
          <w:lang w:val="en-US"/>
        </w:rPr>
        <w:t xml:space="preserve">Regarding to the alleged failure to exhaust the </w:t>
      </w:r>
      <w:r w:rsidR="0063695C" w:rsidRPr="00012C3F">
        <w:rPr>
          <w:rFonts w:eastAsia="Verdana" w:cs="Verdana"/>
          <w:sz w:val="20"/>
          <w:szCs w:val="20"/>
          <w:lang w:val="en-US"/>
        </w:rPr>
        <w:t>application for constitutional amparo</w:t>
      </w:r>
      <w:r w:rsidRPr="00012C3F">
        <w:rPr>
          <w:rFonts w:eastAsia="Verdana" w:cs="Verdana"/>
          <w:sz w:val="20"/>
          <w:szCs w:val="20"/>
          <w:lang w:val="en-US"/>
        </w:rPr>
        <w:t xml:space="preserve">, the Court notes that, as previously mentioned </w:t>
      </w:r>
      <w:r w:rsidR="006B6580" w:rsidRPr="00012C3F">
        <w:rPr>
          <w:rFonts w:eastAsia="Verdana" w:cs="Verdana"/>
          <w:sz w:val="20"/>
          <w:szCs w:val="20"/>
          <w:lang w:val="en-US"/>
        </w:rPr>
        <w:t>(</w:t>
      </w:r>
      <w:r w:rsidR="006B6580" w:rsidRPr="00012C3F">
        <w:rPr>
          <w:rFonts w:eastAsia="Verdana" w:cs="Verdana"/>
          <w:i/>
          <w:sz w:val="20"/>
          <w:szCs w:val="20"/>
          <w:lang w:val="en-US"/>
        </w:rPr>
        <w:t>supra</w:t>
      </w:r>
      <w:r w:rsidR="006B6580" w:rsidRPr="00012C3F">
        <w:rPr>
          <w:rFonts w:eastAsia="Verdana" w:cs="Verdana"/>
          <w:sz w:val="20"/>
          <w:szCs w:val="20"/>
          <w:lang w:val="en-US"/>
        </w:rPr>
        <w:t xml:space="preserve"> </w:t>
      </w:r>
      <w:r w:rsidR="00370DD4" w:rsidRPr="00012C3F">
        <w:rPr>
          <w:rFonts w:eastAsia="Verdana" w:cs="Verdana"/>
          <w:sz w:val="20"/>
          <w:szCs w:val="20"/>
          <w:lang w:val="en-US"/>
        </w:rPr>
        <w:t>para.</w:t>
      </w:r>
      <w:r w:rsidR="006B6580" w:rsidRPr="00012C3F">
        <w:rPr>
          <w:rFonts w:eastAsia="Verdana" w:cs="Verdana"/>
          <w:sz w:val="20"/>
          <w:szCs w:val="20"/>
          <w:lang w:val="en-US"/>
        </w:rPr>
        <w:t xml:space="preserve"> </w:t>
      </w:r>
      <w:r w:rsidR="009B607B" w:rsidRPr="00012C3F">
        <w:rPr>
          <w:rFonts w:eastAsia="Verdana" w:cs="Verdana"/>
          <w:sz w:val="20"/>
          <w:szCs w:val="20"/>
          <w:lang w:val="en-US"/>
        </w:rPr>
        <w:t>33</w:t>
      </w:r>
      <w:r w:rsidR="006B6580" w:rsidRPr="00012C3F">
        <w:rPr>
          <w:rFonts w:eastAsia="Verdana" w:cs="Verdana"/>
          <w:sz w:val="20"/>
          <w:szCs w:val="20"/>
          <w:lang w:val="en-US"/>
        </w:rPr>
        <w:t>),</w:t>
      </w:r>
      <w:r w:rsidR="00475387" w:rsidRPr="00012C3F">
        <w:rPr>
          <w:rFonts w:eastAsia="Verdana" w:cs="Verdana"/>
          <w:sz w:val="20"/>
          <w:szCs w:val="20"/>
          <w:lang w:val="en-US"/>
        </w:rPr>
        <w:t xml:space="preserve"> </w:t>
      </w:r>
      <w:r w:rsidR="00A84CA0" w:rsidRPr="00012C3F">
        <w:rPr>
          <w:rFonts w:eastAsia="Verdana" w:cs="Verdana"/>
          <w:sz w:val="20"/>
          <w:szCs w:val="20"/>
          <w:lang w:val="en-US"/>
        </w:rPr>
        <w:t>the State</w:t>
      </w:r>
      <w:r w:rsidR="00475387" w:rsidRPr="00012C3F">
        <w:rPr>
          <w:rFonts w:eastAsia="Verdana" w:cs="Verdana"/>
          <w:sz w:val="20"/>
          <w:szCs w:val="20"/>
          <w:lang w:val="en-US"/>
        </w:rPr>
        <w:t xml:space="preserve"> </w:t>
      </w:r>
      <w:r w:rsidRPr="00012C3F">
        <w:rPr>
          <w:rFonts w:eastAsia="Verdana" w:cs="Verdana"/>
          <w:sz w:val="20"/>
          <w:szCs w:val="20"/>
          <w:lang w:val="en-US"/>
        </w:rPr>
        <w:t xml:space="preserve">filed this objection in its brief with observations on the initial petition, so that it was filed at the proper procedural opportunity. As grounds for its </w:t>
      </w:r>
      <w:r w:rsidR="007733E6" w:rsidRPr="00012C3F">
        <w:rPr>
          <w:sz w:val="20"/>
          <w:szCs w:val="20"/>
          <w:lang w:val="en-US" w:eastAsia="es-CO"/>
        </w:rPr>
        <w:t>preliminary objection</w:t>
      </w:r>
      <w:r w:rsidR="00D52EFD" w:rsidRPr="00012C3F">
        <w:rPr>
          <w:sz w:val="20"/>
          <w:szCs w:val="20"/>
          <w:lang w:val="en-US" w:eastAsia="es-CO"/>
        </w:rPr>
        <w:t xml:space="preserve"> </w:t>
      </w:r>
      <w:r w:rsidRPr="00012C3F">
        <w:rPr>
          <w:sz w:val="20"/>
          <w:szCs w:val="20"/>
          <w:lang w:val="en-US" w:eastAsia="es-CO"/>
        </w:rPr>
        <w:t>in the procedure before</w:t>
      </w:r>
      <w:r w:rsidR="00D52EFD" w:rsidRPr="00012C3F">
        <w:rPr>
          <w:sz w:val="20"/>
          <w:szCs w:val="20"/>
          <w:lang w:val="en-US" w:eastAsia="es-CO"/>
        </w:rPr>
        <w:t xml:space="preserve"> </w:t>
      </w:r>
      <w:r w:rsidR="001254DE" w:rsidRPr="00012C3F">
        <w:rPr>
          <w:sz w:val="20"/>
          <w:szCs w:val="20"/>
          <w:lang w:val="en-US" w:eastAsia="es-CO"/>
        </w:rPr>
        <w:t xml:space="preserve">the </w:t>
      </w:r>
      <w:r w:rsidR="00A84CA0" w:rsidRPr="00012C3F">
        <w:rPr>
          <w:sz w:val="20"/>
          <w:szCs w:val="20"/>
          <w:lang w:val="en-US" w:eastAsia="es-CO"/>
        </w:rPr>
        <w:t>Commission</w:t>
      </w:r>
      <w:r w:rsidR="00D52EFD" w:rsidRPr="00012C3F">
        <w:rPr>
          <w:sz w:val="20"/>
          <w:szCs w:val="20"/>
          <w:lang w:val="en-US" w:eastAsia="es-CO"/>
        </w:rPr>
        <w:t xml:space="preserve">, </w:t>
      </w:r>
      <w:r w:rsidR="00A84CA0" w:rsidRPr="00012C3F">
        <w:rPr>
          <w:sz w:val="20"/>
          <w:szCs w:val="20"/>
          <w:lang w:val="en-US" w:eastAsia="es-CO"/>
        </w:rPr>
        <w:t>the State</w:t>
      </w:r>
      <w:r w:rsidR="00D52EFD" w:rsidRPr="00012C3F">
        <w:rPr>
          <w:sz w:val="20"/>
          <w:szCs w:val="20"/>
          <w:lang w:val="en-US" w:eastAsia="es-CO"/>
        </w:rPr>
        <w:t xml:space="preserve"> </w:t>
      </w:r>
      <w:r w:rsidRPr="00012C3F">
        <w:rPr>
          <w:sz w:val="20"/>
          <w:szCs w:val="20"/>
          <w:lang w:val="en-US" w:eastAsia="es-CO"/>
        </w:rPr>
        <w:t>indicated that, according to a</w:t>
      </w:r>
      <w:r w:rsidR="001254DE" w:rsidRPr="00012C3F">
        <w:rPr>
          <w:sz w:val="20"/>
          <w:szCs w:val="20"/>
          <w:lang w:val="en-US" w:eastAsia="es-CO"/>
        </w:rPr>
        <w:t>rticle</w:t>
      </w:r>
      <w:r w:rsidR="0088537F" w:rsidRPr="00012C3F">
        <w:rPr>
          <w:sz w:val="20"/>
          <w:szCs w:val="20"/>
          <w:lang w:val="en-US" w:eastAsia="es-CO"/>
        </w:rPr>
        <w:t xml:space="preserve"> 19 </w:t>
      </w:r>
      <w:r w:rsidRPr="00012C3F">
        <w:rPr>
          <w:sz w:val="20"/>
          <w:szCs w:val="20"/>
          <w:lang w:val="en-US" w:eastAsia="es-CO"/>
        </w:rPr>
        <w:t>of the Constitution in force at the time and a</w:t>
      </w:r>
      <w:r w:rsidR="001254DE" w:rsidRPr="00012C3F">
        <w:rPr>
          <w:sz w:val="20"/>
          <w:szCs w:val="20"/>
          <w:lang w:val="en-US" w:eastAsia="es-CO"/>
        </w:rPr>
        <w:t>rticle</w:t>
      </w:r>
      <w:r w:rsidR="0088537F" w:rsidRPr="00012C3F">
        <w:rPr>
          <w:sz w:val="20"/>
          <w:szCs w:val="20"/>
          <w:lang w:val="en-US" w:eastAsia="es-CO"/>
        </w:rPr>
        <w:t xml:space="preserve"> 94 </w:t>
      </w:r>
      <w:r w:rsidRPr="00012C3F">
        <w:rPr>
          <w:sz w:val="20"/>
          <w:szCs w:val="20"/>
          <w:lang w:val="en-US" w:eastAsia="es-CO"/>
        </w:rPr>
        <w:t>of Law</w:t>
      </w:r>
      <w:r w:rsidR="0088537F" w:rsidRPr="00012C3F">
        <w:rPr>
          <w:sz w:val="20"/>
          <w:szCs w:val="20"/>
          <w:lang w:val="en-US" w:eastAsia="es-CO"/>
        </w:rPr>
        <w:t xml:space="preserve"> 1836, </w:t>
      </w:r>
      <w:r w:rsidRPr="00012C3F">
        <w:rPr>
          <w:sz w:val="20"/>
          <w:szCs w:val="20"/>
          <w:lang w:val="en-US" w:eastAsia="es-CO"/>
        </w:rPr>
        <w:t xml:space="preserve">the </w:t>
      </w:r>
      <w:r w:rsidR="0063695C" w:rsidRPr="00012C3F">
        <w:rPr>
          <w:sz w:val="20"/>
          <w:szCs w:val="20"/>
          <w:lang w:val="en-US" w:eastAsia="es-CO"/>
        </w:rPr>
        <w:t>application for constitutional amparo</w:t>
      </w:r>
      <w:r w:rsidRPr="00012C3F">
        <w:rPr>
          <w:sz w:val="20"/>
          <w:szCs w:val="20"/>
          <w:lang w:val="en-US" w:eastAsia="es-CO"/>
        </w:rPr>
        <w:t xml:space="preserve"> was admissible “against any undue decision, act or omission of </w:t>
      </w:r>
      <w:r w:rsidR="00EF4B3E" w:rsidRPr="00012C3F">
        <w:rPr>
          <w:sz w:val="20"/>
          <w:szCs w:val="20"/>
          <w:lang w:val="en-US" w:eastAsia="es-CO"/>
        </w:rPr>
        <w:t xml:space="preserve">an authority or official, provided that there was no other means or remedy for the immediate protection of rights and guarantees […].” Additionally, it cited the Constitutional Court’s decision No. </w:t>
      </w:r>
      <w:r w:rsidR="00586523" w:rsidRPr="00012C3F">
        <w:rPr>
          <w:sz w:val="20"/>
          <w:szCs w:val="20"/>
          <w:lang w:val="en-US" w:eastAsia="es-CO"/>
        </w:rPr>
        <w:t xml:space="preserve">1261/2006-R </w:t>
      </w:r>
      <w:r w:rsidR="00EF4B3E" w:rsidRPr="00012C3F">
        <w:rPr>
          <w:sz w:val="20"/>
          <w:szCs w:val="20"/>
          <w:lang w:val="en-US" w:eastAsia="es-CO"/>
        </w:rPr>
        <w:t>of December 11,</w:t>
      </w:r>
      <w:r w:rsidR="00586523" w:rsidRPr="00012C3F">
        <w:rPr>
          <w:sz w:val="20"/>
          <w:szCs w:val="20"/>
          <w:lang w:val="en-US" w:eastAsia="es-CO"/>
        </w:rPr>
        <w:t xml:space="preserve"> 2006, </w:t>
      </w:r>
      <w:r w:rsidR="001B334A" w:rsidRPr="00012C3F">
        <w:rPr>
          <w:sz w:val="20"/>
          <w:szCs w:val="20"/>
          <w:lang w:val="en-US" w:eastAsia="es-CO"/>
        </w:rPr>
        <w:t>a</w:t>
      </w:r>
      <w:r w:rsidR="00EF4B3E" w:rsidRPr="00012C3F">
        <w:rPr>
          <w:sz w:val="20"/>
          <w:szCs w:val="20"/>
          <w:lang w:val="en-US" w:eastAsia="es-CO"/>
        </w:rPr>
        <w:t xml:space="preserve">rguing that “if </w:t>
      </w:r>
      <w:r w:rsidR="00E00902" w:rsidRPr="00012C3F">
        <w:rPr>
          <w:sz w:val="20"/>
          <w:szCs w:val="20"/>
          <w:lang w:val="en-US" w:eastAsia="es-CO"/>
        </w:rPr>
        <w:t>the presumed victim</w:t>
      </w:r>
      <w:r w:rsidR="00921FDB">
        <w:rPr>
          <w:sz w:val="20"/>
          <w:szCs w:val="20"/>
          <w:lang w:val="en-US" w:eastAsia="es-CO"/>
        </w:rPr>
        <w:t xml:space="preserve"> had</w:t>
      </w:r>
      <w:r w:rsidR="001C696E" w:rsidRPr="00012C3F">
        <w:rPr>
          <w:sz w:val="20"/>
          <w:szCs w:val="20"/>
          <w:lang w:val="en-US" w:eastAsia="es-CO"/>
        </w:rPr>
        <w:t xml:space="preserve"> </w:t>
      </w:r>
      <w:r w:rsidR="00EF4B3E" w:rsidRPr="00012C3F">
        <w:rPr>
          <w:sz w:val="20"/>
          <w:szCs w:val="20"/>
          <w:lang w:val="en-US" w:eastAsia="es-CO"/>
        </w:rPr>
        <w:t xml:space="preserve">filed </w:t>
      </w:r>
      <w:r w:rsidR="001C696E" w:rsidRPr="00012C3F">
        <w:rPr>
          <w:sz w:val="20"/>
          <w:szCs w:val="20"/>
          <w:lang w:val="en-US" w:eastAsia="es-CO"/>
        </w:rPr>
        <w:t>the</w:t>
      </w:r>
      <w:r w:rsidR="00EF4B3E" w:rsidRPr="00012C3F">
        <w:rPr>
          <w:sz w:val="20"/>
          <w:szCs w:val="20"/>
          <w:lang w:val="en-US" w:eastAsia="es-CO"/>
        </w:rPr>
        <w:t xml:space="preserve"> appeal against the decision declaring the extinction of the criminal </w:t>
      </w:r>
      <w:r w:rsidR="001C696E" w:rsidRPr="00012C3F">
        <w:rPr>
          <w:sz w:val="20"/>
          <w:szCs w:val="20"/>
          <w:lang w:val="en-US" w:eastAsia="es-CO"/>
        </w:rPr>
        <w:t>proceedings</w:t>
      </w:r>
      <w:r w:rsidR="00EF4B3E" w:rsidRPr="00012C3F">
        <w:rPr>
          <w:sz w:val="20"/>
          <w:szCs w:val="20"/>
          <w:lang w:val="en-US" w:eastAsia="es-CO"/>
        </w:rPr>
        <w:t xml:space="preserve"> argu</w:t>
      </w:r>
      <w:r w:rsidR="001C696E" w:rsidRPr="00012C3F">
        <w:rPr>
          <w:sz w:val="20"/>
          <w:szCs w:val="20"/>
          <w:lang w:val="en-US" w:eastAsia="es-CO"/>
        </w:rPr>
        <w:t>ing</w:t>
      </w:r>
      <w:r w:rsidR="00EF4B3E" w:rsidRPr="00012C3F">
        <w:rPr>
          <w:sz w:val="20"/>
          <w:szCs w:val="20"/>
          <w:lang w:val="en-US" w:eastAsia="es-CO"/>
        </w:rPr>
        <w:t xml:space="preserve"> non-compliance with constitutional orders and judgments</w:t>
      </w:r>
      <w:r w:rsidR="00686F27" w:rsidRPr="00012C3F">
        <w:rPr>
          <w:sz w:val="20"/>
          <w:szCs w:val="20"/>
          <w:lang w:val="en-US" w:eastAsia="es-CO"/>
        </w:rPr>
        <w:t>,</w:t>
      </w:r>
      <w:r w:rsidR="00EF4B3E" w:rsidRPr="00012C3F">
        <w:rPr>
          <w:sz w:val="20"/>
          <w:szCs w:val="20"/>
          <w:lang w:val="en-US" w:eastAsia="es-CO"/>
        </w:rPr>
        <w:t xml:space="preserve"> </w:t>
      </w:r>
      <w:r w:rsidR="001C696E" w:rsidRPr="00012C3F">
        <w:rPr>
          <w:sz w:val="20"/>
          <w:szCs w:val="20"/>
          <w:lang w:val="en-US" w:eastAsia="es-CO"/>
        </w:rPr>
        <w:t>she, therefore,</w:t>
      </w:r>
      <w:r w:rsidR="00EF4B3E" w:rsidRPr="00012C3F">
        <w:rPr>
          <w:sz w:val="20"/>
          <w:szCs w:val="20"/>
          <w:lang w:val="en-US" w:eastAsia="es-CO"/>
        </w:rPr>
        <w:t xml:space="preserve"> did have an expeditious means to file a constitutional amparo” [</w:t>
      </w:r>
      <w:r w:rsidR="00EF4B3E" w:rsidRPr="00012C3F">
        <w:rPr>
          <w:i/>
          <w:iCs/>
          <w:sz w:val="20"/>
          <w:szCs w:val="20"/>
          <w:lang w:val="en-US" w:eastAsia="es-CO"/>
        </w:rPr>
        <w:t>sic</w:t>
      </w:r>
      <w:r w:rsidR="00EF4B3E" w:rsidRPr="00012C3F">
        <w:rPr>
          <w:sz w:val="20"/>
          <w:szCs w:val="20"/>
          <w:lang w:val="en-US" w:eastAsia="es-CO"/>
        </w:rPr>
        <w:t xml:space="preserve">]. In addition, it indicated that Constitutional Judgment </w:t>
      </w:r>
      <w:r w:rsidR="0082496B" w:rsidRPr="00012C3F">
        <w:rPr>
          <w:sz w:val="20"/>
          <w:szCs w:val="20"/>
          <w:lang w:val="en-US" w:eastAsia="es-CO"/>
        </w:rPr>
        <w:t xml:space="preserve">No. 0921/2004-R </w:t>
      </w:r>
      <w:r w:rsidR="00EF4B3E" w:rsidRPr="00012C3F">
        <w:rPr>
          <w:sz w:val="20"/>
          <w:szCs w:val="20"/>
          <w:lang w:val="en-US" w:eastAsia="es-CO"/>
        </w:rPr>
        <w:t>of June 15,</w:t>
      </w:r>
      <w:r w:rsidR="0082496B" w:rsidRPr="00012C3F">
        <w:rPr>
          <w:sz w:val="20"/>
          <w:szCs w:val="20"/>
          <w:lang w:val="en-US" w:eastAsia="es-CO"/>
        </w:rPr>
        <w:t xml:space="preserve"> 2004</w:t>
      </w:r>
      <w:r w:rsidR="00EF4B3E" w:rsidRPr="00012C3F">
        <w:rPr>
          <w:sz w:val="20"/>
          <w:szCs w:val="20"/>
          <w:lang w:val="en-US" w:eastAsia="es-CO"/>
        </w:rPr>
        <w:t xml:space="preserve">, established the time frame for filing the </w:t>
      </w:r>
      <w:r w:rsidR="0063695C" w:rsidRPr="00012C3F">
        <w:rPr>
          <w:sz w:val="20"/>
          <w:szCs w:val="20"/>
          <w:lang w:val="en-US" w:eastAsia="es-CO"/>
        </w:rPr>
        <w:t>application for constitutional amparo</w:t>
      </w:r>
      <w:r w:rsidR="00EF4B3E" w:rsidRPr="00012C3F">
        <w:rPr>
          <w:sz w:val="20"/>
          <w:szCs w:val="20"/>
          <w:lang w:val="en-US" w:eastAsia="es-CO"/>
        </w:rPr>
        <w:t>.</w:t>
      </w:r>
    </w:p>
    <w:p w14:paraId="3D711EEF" w14:textId="77777777" w:rsidR="0088537F" w:rsidRPr="00012C3F" w:rsidRDefault="0088537F" w:rsidP="004627A1">
      <w:pPr>
        <w:widowControl/>
        <w:tabs>
          <w:tab w:val="left" w:pos="720"/>
        </w:tabs>
        <w:autoSpaceDE w:val="0"/>
        <w:autoSpaceDN w:val="0"/>
        <w:adjustRightInd/>
        <w:spacing w:line="240" w:lineRule="auto"/>
        <w:textAlignment w:val="auto"/>
        <w:rPr>
          <w:sz w:val="20"/>
          <w:szCs w:val="20"/>
          <w:lang w:val="en-US" w:eastAsia="es-CO"/>
        </w:rPr>
      </w:pPr>
    </w:p>
    <w:p w14:paraId="37BC9635" w14:textId="77777777" w:rsidR="00E12888" w:rsidRPr="00012C3F" w:rsidRDefault="007E3BD5" w:rsidP="00C73A98">
      <w:pPr>
        <w:widowControl/>
        <w:numPr>
          <w:ilvl w:val="0"/>
          <w:numId w:val="5"/>
        </w:numPr>
        <w:tabs>
          <w:tab w:val="left" w:pos="720"/>
          <w:tab w:val="num" w:pos="12305"/>
        </w:tabs>
        <w:autoSpaceDE w:val="0"/>
        <w:autoSpaceDN w:val="0"/>
        <w:adjustRightInd/>
        <w:spacing w:line="240" w:lineRule="auto"/>
        <w:ind w:left="0" w:firstLine="0"/>
        <w:textAlignment w:val="auto"/>
        <w:rPr>
          <w:sz w:val="20"/>
          <w:szCs w:val="20"/>
          <w:lang w:val="en-US" w:eastAsia="es-CO"/>
        </w:rPr>
      </w:pPr>
      <w:r w:rsidRPr="00012C3F">
        <w:rPr>
          <w:sz w:val="20"/>
          <w:szCs w:val="20"/>
          <w:lang w:val="en-US" w:eastAsia="es-CO"/>
        </w:rPr>
        <w:lastRenderedPageBreak/>
        <w:t>Meanwhile</w:t>
      </w:r>
      <w:r w:rsidR="00867E7F" w:rsidRPr="00012C3F">
        <w:rPr>
          <w:sz w:val="20"/>
          <w:szCs w:val="20"/>
          <w:lang w:val="en-US" w:eastAsia="es-CO"/>
        </w:rPr>
        <w:t xml:space="preserve">, </w:t>
      </w:r>
      <w:r w:rsidR="00E00902" w:rsidRPr="00012C3F">
        <w:rPr>
          <w:sz w:val="20"/>
          <w:szCs w:val="20"/>
          <w:lang w:val="en-US" w:eastAsia="es-CO"/>
        </w:rPr>
        <w:t>the petitioner</w:t>
      </w:r>
      <w:r w:rsidR="00867E7F" w:rsidRPr="00012C3F">
        <w:rPr>
          <w:sz w:val="20"/>
          <w:szCs w:val="20"/>
          <w:lang w:val="en-US" w:eastAsia="es-CO"/>
        </w:rPr>
        <w:t xml:space="preserve"> </w:t>
      </w:r>
      <w:r w:rsidRPr="00012C3F">
        <w:rPr>
          <w:sz w:val="20"/>
          <w:szCs w:val="20"/>
          <w:lang w:val="en-US" w:eastAsia="es-CO"/>
        </w:rPr>
        <w:t>argued before</w:t>
      </w:r>
      <w:r w:rsidR="006F4DEC" w:rsidRPr="00012C3F">
        <w:rPr>
          <w:sz w:val="20"/>
          <w:szCs w:val="20"/>
          <w:lang w:val="en-US" w:eastAsia="es-CO"/>
        </w:rPr>
        <w:t xml:space="preserve"> </w:t>
      </w:r>
      <w:r w:rsidR="001254DE" w:rsidRPr="00012C3F">
        <w:rPr>
          <w:sz w:val="20"/>
          <w:szCs w:val="20"/>
          <w:lang w:val="en-US" w:eastAsia="es-CO"/>
        </w:rPr>
        <w:t xml:space="preserve">the </w:t>
      </w:r>
      <w:r w:rsidR="00A84CA0" w:rsidRPr="00012C3F">
        <w:rPr>
          <w:sz w:val="20"/>
          <w:szCs w:val="20"/>
          <w:lang w:val="en-US" w:eastAsia="es-CO"/>
        </w:rPr>
        <w:t>Commission</w:t>
      </w:r>
      <w:r w:rsidR="006F4DEC" w:rsidRPr="00012C3F">
        <w:rPr>
          <w:sz w:val="20"/>
          <w:szCs w:val="20"/>
          <w:lang w:val="en-US" w:eastAsia="es-CO"/>
        </w:rPr>
        <w:t xml:space="preserve"> </w:t>
      </w:r>
      <w:r w:rsidRPr="00012C3F">
        <w:rPr>
          <w:sz w:val="20"/>
          <w:szCs w:val="20"/>
          <w:lang w:val="en-US" w:eastAsia="es-CO"/>
        </w:rPr>
        <w:t xml:space="preserve">that there was no precedent in the </w:t>
      </w:r>
      <w:r w:rsidR="00686F27" w:rsidRPr="00012C3F">
        <w:rPr>
          <w:sz w:val="20"/>
          <w:szCs w:val="20"/>
          <w:lang w:val="en-US" w:eastAsia="es-CO"/>
        </w:rPr>
        <w:t>case law</w:t>
      </w:r>
      <w:r w:rsidR="00923F1E" w:rsidRPr="00012C3F">
        <w:rPr>
          <w:sz w:val="20"/>
          <w:szCs w:val="20"/>
          <w:lang w:val="en-US" w:eastAsia="es-CO"/>
        </w:rPr>
        <w:t xml:space="preserve"> of the Bolivian </w:t>
      </w:r>
      <w:r w:rsidR="00EF4B3E" w:rsidRPr="00012C3F">
        <w:rPr>
          <w:sz w:val="20"/>
          <w:szCs w:val="20"/>
          <w:lang w:val="en-US" w:eastAsia="es-CO"/>
        </w:rPr>
        <w:t>Constitutional Court</w:t>
      </w:r>
      <w:r w:rsidR="00867E7F" w:rsidRPr="00012C3F">
        <w:rPr>
          <w:sz w:val="20"/>
          <w:szCs w:val="20"/>
          <w:lang w:val="en-US" w:eastAsia="es-CO"/>
        </w:rPr>
        <w:t xml:space="preserve"> </w:t>
      </w:r>
      <w:r w:rsidR="00686F27" w:rsidRPr="00012C3F">
        <w:rPr>
          <w:sz w:val="20"/>
          <w:szCs w:val="20"/>
          <w:lang w:val="en-US" w:eastAsia="es-CO"/>
        </w:rPr>
        <w:t xml:space="preserve">that, by filing of an application for constitutional amparo, it was possible to </w:t>
      </w:r>
      <w:r w:rsidR="00923F1E" w:rsidRPr="00012C3F">
        <w:rPr>
          <w:sz w:val="20"/>
          <w:szCs w:val="20"/>
          <w:lang w:val="en-US" w:eastAsia="es-CO"/>
        </w:rPr>
        <w:t xml:space="preserve">annul a decision that extinguished criminal </w:t>
      </w:r>
      <w:r w:rsidR="00686F27" w:rsidRPr="00012C3F">
        <w:rPr>
          <w:sz w:val="20"/>
          <w:szCs w:val="20"/>
          <w:lang w:val="en-US" w:eastAsia="es-CO"/>
        </w:rPr>
        <w:t>proceedings</w:t>
      </w:r>
      <w:r w:rsidR="00923F1E" w:rsidRPr="00012C3F">
        <w:rPr>
          <w:sz w:val="20"/>
          <w:szCs w:val="20"/>
          <w:lang w:val="en-US" w:eastAsia="es-CO"/>
        </w:rPr>
        <w:t xml:space="preserve"> </w:t>
      </w:r>
      <w:r w:rsidR="00686F27" w:rsidRPr="00012C3F">
        <w:rPr>
          <w:sz w:val="20"/>
          <w:szCs w:val="20"/>
          <w:lang w:val="en-US" w:eastAsia="es-CO"/>
        </w:rPr>
        <w:t>due</w:t>
      </w:r>
      <w:r w:rsidR="00923F1E" w:rsidRPr="00012C3F">
        <w:rPr>
          <w:sz w:val="20"/>
          <w:szCs w:val="20"/>
          <w:lang w:val="en-US" w:eastAsia="es-CO"/>
        </w:rPr>
        <w:t xml:space="preserve"> to violation of due process in relation to a delay in justice that could be attributed to the jurisdictional organ</w:t>
      </w:r>
      <w:r w:rsidR="00686F27" w:rsidRPr="00012C3F">
        <w:rPr>
          <w:sz w:val="20"/>
          <w:szCs w:val="20"/>
          <w:lang w:val="en-US" w:eastAsia="es-CO"/>
        </w:rPr>
        <w:t xml:space="preserve">. </w:t>
      </w:r>
      <w:r w:rsidR="00923F1E" w:rsidRPr="00012C3F">
        <w:rPr>
          <w:sz w:val="20"/>
          <w:szCs w:val="20"/>
          <w:lang w:val="en-US" w:eastAsia="es-CO"/>
        </w:rPr>
        <w:t xml:space="preserve">Also, she distinguished the precedent cited of </w:t>
      </w:r>
      <w:r w:rsidR="00EF4B3E" w:rsidRPr="00012C3F">
        <w:rPr>
          <w:sz w:val="20"/>
          <w:szCs w:val="20"/>
          <w:lang w:val="en-US" w:eastAsia="es-CO"/>
        </w:rPr>
        <w:t>Constitutional Court</w:t>
      </w:r>
      <w:r w:rsidR="00923F1E" w:rsidRPr="00012C3F">
        <w:rPr>
          <w:sz w:val="20"/>
          <w:szCs w:val="20"/>
          <w:lang w:val="en-US" w:eastAsia="es-CO"/>
        </w:rPr>
        <w:t xml:space="preserve"> Decision</w:t>
      </w:r>
      <w:r w:rsidR="006F4DEC" w:rsidRPr="00012C3F">
        <w:rPr>
          <w:sz w:val="20"/>
          <w:szCs w:val="20"/>
          <w:lang w:val="en-US" w:eastAsia="es-CO"/>
        </w:rPr>
        <w:t xml:space="preserve"> No. 1261/2006-R </w:t>
      </w:r>
      <w:r w:rsidR="00923F1E" w:rsidRPr="00012C3F">
        <w:rPr>
          <w:sz w:val="20"/>
          <w:szCs w:val="20"/>
          <w:lang w:val="en-US" w:eastAsia="es-CO"/>
        </w:rPr>
        <w:t xml:space="preserve">from the instant case, because the case </w:t>
      </w:r>
      <w:r w:rsidR="006F4DEC" w:rsidRPr="00012C3F">
        <w:rPr>
          <w:i/>
          <w:sz w:val="20"/>
          <w:szCs w:val="20"/>
          <w:lang w:val="en-US" w:eastAsia="es-CO"/>
        </w:rPr>
        <w:t xml:space="preserve">sub judice </w:t>
      </w:r>
      <w:r w:rsidR="00923F1E" w:rsidRPr="00012C3F">
        <w:rPr>
          <w:sz w:val="20"/>
          <w:szCs w:val="20"/>
          <w:lang w:val="en-US" w:eastAsia="es-CO"/>
        </w:rPr>
        <w:t>d</w:t>
      </w:r>
      <w:r w:rsidR="00CB435C" w:rsidRPr="00012C3F">
        <w:rPr>
          <w:sz w:val="20"/>
          <w:szCs w:val="20"/>
          <w:lang w:val="en-US" w:eastAsia="es-CO"/>
        </w:rPr>
        <w:t>id</w:t>
      </w:r>
      <w:r w:rsidR="00923F1E" w:rsidRPr="00012C3F">
        <w:rPr>
          <w:sz w:val="20"/>
          <w:szCs w:val="20"/>
          <w:lang w:val="en-US" w:eastAsia="es-CO"/>
        </w:rPr>
        <w:t xml:space="preserve"> not refer to a supposed extinction of the c</w:t>
      </w:r>
      <w:r w:rsidR="006C705C" w:rsidRPr="00012C3F">
        <w:rPr>
          <w:sz w:val="20"/>
          <w:szCs w:val="20"/>
          <w:lang w:val="en-US" w:eastAsia="es-CO"/>
        </w:rPr>
        <w:t>riminal proceedings</w:t>
      </w:r>
      <w:r w:rsidR="00867E7F" w:rsidRPr="00012C3F">
        <w:rPr>
          <w:sz w:val="20"/>
          <w:szCs w:val="20"/>
          <w:lang w:val="en-US" w:eastAsia="es-CO"/>
        </w:rPr>
        <w:t xml:space="preserve"> </w:t>
      </w:r>
      <w:r w:rsidR="00923F1E" w:rsidRPr="00012C3F">
        <w:rPr>
          <w:sz w:val="20"/>
          <w:szCs w:val="20"/>
          <w:lang w:val="en-US" w:eastAsia="es-CO"/>
        </w:rPr>
        <w:t>based on their supposed abandonment owing to the failure to attend a h</w:t>
      </w:r>
      <w:r w:rsidR="00C73A98" w:rsidRPr="00012C3F">
        <w:rPr>
          <w:sz w:val="20"/>
          <w:szCs w:val="20"/>
          <w:lang w:val="en-US" w:eastAsia="es-CO"/>
        </w:rPr>
        <w:t>e</w:t>
      </w:r>
      <w:r w:rsidR="00923F1E" w:rsidRPr="00012C3F">
        <w:rPr>
          <w:sz w:val="20"/>
          <w:szCs w:val="20"/>
          <w:lang w:val="en-US" w:eastAsia="es-CO"/>
        </w:rPr>
        <w:t xml:space="preserve">aring. </w:t>
      </w:r>
    </w:p>
    <w:p w14:paraId="58DB51DC" w14:textId="77777777" w:rsidR="00923F1E" w:rsidRPr="00012C3F" w:rsidRDefault="00923F1E" w:rsidP="00923F1E">
      <w:pPr>
        <w:widowControl/>
        <w:tabs>
          <w:tab w:val="left" w:pos="720"/>
        </w:tabs>
        <w:autoSpaceDE w:val="0"/>
        <w:autoSpaceDN w:val="0"/>
        <w:adjustRightInd/>
        <w:spacing w:line="240" w:lineRule="auto"/>
        <w:textAlignment w:val="auto"/>
        <w:rPr>
          <w:sz w:val="20"/>
          <w:szCs w:val="20"/>
          <w:lang w:val="en-US" w:eastAsia="es-CO"/>
        </w:rPr>
      </w:pPr>
    </w:p>
    <w:p w14:paraId="70E04042" w14:textId="77777777" w:rsidR="006247BB" w:rsidRPr="00012C3F" w:rsidRDefault="00A84CA0" w:rsidP="00C73A98">
      <w:pPr>
        <w:numPr>
          <w:ilvl w:val="0"/>
          <w:numId w:val="5"/>
        </w:numPr>
        <w:tabs>
          <w:tab w:val="left" w:pos="720"/>
          <w:tab w:val="num" w:pos="12305"/>
        </w:tabs>
        <w:spacing w:line="240" w:lineRule="auto"/>
        <w:ind w:left="0" w:firstLine="0"/>
        <w:rPr>
          <w:sz w:val="20"/>
          <w:szCs w:val="20"/>
          <w:lang w:val="en-US" w:eastAsia="es-CO"/>
        </w:rPr>
      </w:pPr>
      <w:r w:rsidRPr="00012C3F">
        <w:rPr>
          <w:sz w:val="20"/>
          <w:szCs w:val="20"/>
          <w:lang w:val="en-US" w:eastAsia="es-CO"/>
        </w:rPr>
        <w:t>The State</w:t>
      </w:r>
      <w:r w:rsidR="006247BB" w:rsidRPr="00012C3F">
        <w:rPr>
          <w:sz w:val="20"/>
          <w:szCs w:val="20"/>
          <w:lang w:val="en-US" w:eastAsia="es-CO"/>
        </w:rPr>
        <w:t xml:space="preserve"> </w:t>
      </w:r>
      <w:r w:rsidR="00C73A98" w:rsidRPr="00012C3F">
        <w:rPr>
          <w:sz w:val="20"/>
          <w:szCs w:val="20"/>
          <w:lang w:val="en-US" w:eastAsia="es-CO"/>
        </w:rPr>
        <w:t xml:space="preserve">never responded to this argument and, therefore, did not present elements that would have allowed </w:t>
      </w:r>
      <w:r w:rsidR="001254DE" w:rsidRPr="00012C3F">
        <w:rPr>
          <w:sz w:val="20"/>
          <w:szCs w:val="20"/>
          <w:lang w:val="en-US" w:eastAsia="es-CO"/>
        </w:rPr>
        <w:t xml:space="preserve">the </w:t>
      </w:r>
      <w:r w:rsidRPr="00012C3F">
        <w:rPr>
          <w:sz w:val="20"/>
          <w:szCs w:val="20"/>
          <w:lang w:val="en-US" w:eastAsia="es-CO"/>
        </w:rPr>
        <w:t>Commission</w:t>
      </w:r>
      <w:r w:rsidR="00F32062" w:rsidRPr="00012C3F">
        <w:rPr>
          <w:sz w:val="20"/>
          <w:szCs w:val="20"/>
          <w:lang w:val="en-US" w:eastAsia="es-CO"/>
        </w:rPr>
        <w:t xml:space="preserve"> </w:t>
      </w:r>
      <w:r w:rsidR="00C73A98" w:rsidRPr="00012C3F">
        <w:rPr>
          <w:sz w:val="20"/>
          <w:szCs w:val="20"/>
          <w:lang w:val="en-US" w:eastAsia="es-CO"/>
        </w:rPr>
        <w:t xml:space="preserve">to reject the considerations presented by </w:t>
      </w:r>
      <w:r w:rsidR="00E00902" w:rsidRPr="00012C3F">
        <w:rPr>
          <w:sz w:val="20"/>
          <w:szCs w:val="20"/>
          <w:lang w:val="en-US" w:eastAsia="es-CO"/>
        </w:rPr>
        <w:t>the petitioner</w:t>
      </w:r>
      <w:r w:rsidR="00510A90" w:rsidRPr="00012C3F">
        <w:rPr>
          <w:sz w:val="20"/>
          <w:szCs w:val="20"/>
          <w:lang w:val="en-US" w:eastAsia="es-CO"/>
        </w:rPr>
        <w:t xml:space="preserve"> </w:t>
      </w:r>
      <w:r w:rsidR="00C73A98" w:rsidRPr="00012C3F">
        <w:rPr>
          <w:sz w:val="20"/>
          <w:szCs w:val="20"/>
          <w:lang w:val="en-US" w:eastAsia="es-CO"/>
        </w:rPr>
        <w:t xml:space="preserve">regarding the lack of appropriateness and effectivity of the </w:t>
      </w:r>
      <w:r w:rsidR="00FA56FE" w:rsidRPr="00012C3F">
        <w:rPr>
          <w:sz w:val="20"/>
          <w:szCs w:val="20"/>
          <w:lang w:val="en-US" w:eastAsia="es-CO"/>
        </w:rPr>
        <w:t>application for amparo</w:t>
      </w:r>
      <w:r w:rsidR="00C73A98" w:rsidRPr="00012C3F">
        <w:rPr>
          <w:sz w:val="20"/>
          <w:szCs w:val="20"/>
          <w:lang w:val="en-US" w:eastAsia="es-CO"/>
        </w:rPr>
        <w:t xml:space="preserve"> in the circumstances of this case; that is, to contest a decision of the high court that confirmed the declaration of extinction of the criminal action for causes that could be attributed to the organs of justice in the criminal proceedings against the </w:t>
      </w:r>
      <w:r w:rsidR="00921FDB">
        <w:rPr>
          <w:sz w:val="20"/>
          <w:szCs w:val="20"/>
          <w:lang w:val="en-US" w:eastAsia="es-CO"/>
        </w:rPr>
        <w:t>physician</w:t>
      </w:r>
      <w:r w:rsidR="00C73A98" w:rsidRPr="00012C3F">
        <w:rPr>
          <w:sz w:val="20"/>
          <w:szCs w:val="20"/>
          <w:lang w:val="en-US" w:eastAsia="es-CO"/>
        </w:rPr>
        <w:t xml:space="preserve"> who had performed the tubal ligation. Based on the arguments of the petitioner that were not contested by </w:t>
      </w:r>
      <w:r w:rsidRPr="00012C3F">
        <w:rPr>
          <w:sz w:val="20"/>
          <w:szCs w:val="20"/>
          <w:lang w:val="en-US" w:eastAsia="es-CO"/>
        </w:rPr>
        <w:t>the State</w:t>
      </w:r>
      <w:r w:rsidR="008C38A5" w:rsidRPr="00012C3F">
        <w:rPr>
          <w:sz w:val="20"/>
          <w:szCs w:val="20"/>
          <w:lang w:val="en-US" w:eastAsia="es-CO"/>
        </w:rPr>
        <w:t xml:space="preserve">, </w:t>
      </w:r>
      <w:r w:rsidR="001254DE" w:rsidRPr="00012C3F">
        <w:rPr>
          <w:sz w:val="20"/>
          <w:szCs w:val="20"/>
          <w:lang w:val="en-US" w:eastAsia="es-CO"/>
        </w:rPr>
        <w:t xml:space="preserve">the </w:t>
      </w:r>
      <w:r w:rsidRPr="00012C3F">
        <w:rPr>
          <w:sz w:val="20"/>
          <w:szCs w:val="20"/>
          <w:lang w:val="en-US" w:eastAsia="es-CO"/>
        </w:rPr>
        <w:t>Commission</w:t>
      </w:r>
      <w:r w:rsidR="008C38A5" w:rsidRPr="00012C3F">
        <w:rPr>
          <w:sz w:val="20"/>
          <w:szCs w:val="20"/>
          <w:lang w:val="en-US" w:eastAsia="es-CO"/>
        </w:rPr>
        <w:t xml:space="preserve"> conclu</w:t>
      </w:r>
      <w:r w:rsidR="00C73A98" w:rsidRPr="00012C3F">
        <w:rPr>
          <w:sz w:val="20"/>
          <w:szCs w:val="20"/>
          <w:lang w:val="en-US" w:eastAsia="es-CO"/>
        </w:rPr>
        <w:t xml:space="preserve">ded that </w:t>
      </w:r>
      <w:r w:rsidR="00E00902" w:rsidRPr="00012C3F">
        <w:rPr>
          <w:sz w:val="20"/>
          <w:szCs w:val="20"/>
          <w:lang w:val="en-US" w:eastAsia="es-CO"/>
        </w:rPr>
        <w:t>the petitioner</w:t>
      </w:r>
      <w:r w:rsidR="008C38A5" w:rsidRPr="00012C3F">
        <w:rPr>
          <w:sz w:val="20"/>
          <w:szCs w:val="20"/>
          <w:lang w:val="en-US" w:eastAsia="es-CO"/>
        </w:rPr>
        <w:t xml:space="preserve"> ha</w:t>
      </w:r>
      <w:r w:rsidR="00C73A98" w:rsidRPr="00012C3F">
        <w:rPr>
          <w:sz w:val="20"/>
          <w:szCs w:val="20"/>
          <w:lang w:val="en-US" w:eastAsia="es-CO"/>
        </w:rPr>
        <w:t xml:space="preserve">d exhausted the ordinary remedies of the criminal justice system and that, taking into account the </w:t>
      </w:r>
      <w:r w:rsidR="00CB435C" w:rsidRPr="00012C3F">
        <w:rPr>
          <w:sz w:val="20"/>
          <w:szCs w:val="20"/>
          <w:lang w:val="en-US" w:eastAsia="es-CO"/>
        </w:rPr>
        <w:t>case law</w:t>
      </w:r>
      <w:r w:rsidR="00C73A98" w:rsidRPr="00012C3F">
        <w:rPr>
          <w:sz w:val="20"/>
          <w:szCs w:val="20"/>
          <w:lang w:val="en-US" w:eastAsia="es-CO"/>
        </w:rPr>
        <w:t xml:space="preserve"> of </w:t>
      </w:r>
      <w:r w:rsidR="00EF4B3E" w:rsidRPr="00012C3F">
        <w:rPr>
          <w:sz w:val="20"/>
          <w:szCs w:val="20"/>
          <w:lang w:val="en-US" w:eastAsia="es-CO"/>
        </w:rPr>
        <w:t xml:space="preserve">the </w:t>
      </w:r>
      <w:r w:rsidR="00CB435C" w:rsidRPr="00012C3F">
        <w:rPr>
          <w:sz w:val="20"/>
          <w:szCs w:val="20"/>
          <w:lang w:val="en-US" w:eastAsia="es-CO"/>
        </w:rPr>
        <w:t xml:space="preserve">Bolivian </w:t>
      </w:r>
      <w:r w:rsidR="00EF4B3E" w:rsidRPr="00012C3F">
        <w:rPr>
          <w:sz w:val="20"/>
          <w:szCs w:val="20"/>
          <w:lang w:val="en-US" w:eastAsia="es-CO"/>
        </w:rPr>
        <w:t>Constitutional Court</w:t>
      </w:r>
      <w:r w:rsidR="008C38A5" w:rsidRPr="00012C3F">
        <w:rPr>
          <w:sz w:val="20"/>
          <w:szCs w:val="20"/>
          <w:lang w:val="en-US" w:eastAsia="es-CO"/>
        </w:rPr>
        <w:t xml:space="preserve">, </w:t>
      </w:r>
      <w:r w:rsidR="00C73A98" w:rsidRPr="00012C3F">
        <w:rPr>
          <w:sz w:val="20"/>
          <w:szCs w:val="20"/>
          <w:lang w:val="en-US" w:eastAsia="es-CO"/>
        </w:rPr>
        <w:t xml:space="preserve">the filing of the </w:t>
      </w:r>
      <w:r w:rsidR="00FA56FE" w:rsidRPr="00012C3F">
        <w:rPr>
          <w:sz w:val="20"/>
          <w:szCs w:val="20"/>
          <w:lang w:val="en-US" w:eastAsia="es-CO"/>
        </w:rPr>
        <w:t>application for amparo</w:t>
      </w:r>
      <w:r w:rsidR="00C73A98" w:rsidRPr="00012C3F">
        <w:rPr>
          <w:sz w:val="20"/>
          <w:szCs w:val="20"/>
          <w:lang w:val="en-US" w:eastAsia="es-CO"/>
        </w:rPr>
        <w:t xml:space="preserve"> would have had “few probabilities of success.</w:t>
      </w:r>
      <w:r w:rsidR="008C38A5" w:rsidRPr="00012C3F">
        <w:rPr>
          <w:sz w:val="20"/>
          <w:szCs w:val="20"/>
          <w:lang w:val="en-US" w:eastAsia="es-CO"/>
        </w:rPr>
        <w:t>”</w:t>
      </w:r>
      <w:r w:rsidR="008C38A5" w:rsidRPr="00012C3F">
        <w:rPr>
          <w:rStyle w:val="Refdenotaalpie"/>
          <w:sz w:val="20"/>
          <w:szCs w:val="20"/>
          <w:lang w:val="en-US" w:eastAsia="es-CO"/>
        </w:rPr>
        <w:footnoteReference w:id="22"/>
      </w:r>
      <w:r w:rsidR="00C73A98" w:rsidRPr="00012C3F">
        <w:rPr>
          <w:sz w:val="20"/>
          <w:szCs w:val="20"/>
          <w:lang w:val="en-US" w:eastAsia="es-CO"/>
        </w:rPr>
        <w:t xml:space="preserve"> Thus, this Court concludes that, </w:t>
      </w:r>
      <w:r w:rsidR="00CB435C" w:rsidRPr="00012C3F">
        <w:rPr>
          <w:sz w:val="20"/>
          <w:szCs w:val="20"/>
          <w:lang w:val="en-US" w:eastAsia="es-CO"/>
        </w:rPr>
        <w:t xml:space="preserve">even </w:t>
      </w:r>
      <w:r w:rsidR="00C73A98" w:rsidRPr="00012C3F">
        <w:rPr>
          <w:sz w:val="20"/>
          <w:szCs w:val="20"/>
          <w:lang w:val="en-US" w:eastAsia="es-CO"/>
        </w:rPr>
        <w:t>though the State filed</w:t>
      </w:r>
      <w:r w:rsidR="008C38A5" w:rsidRPr="00012C3F">
        <w:rPr>
          <w:sz w:val="20"/>
          <w:szCs w:val="20"/>
          <w:lang w:val="en-US" w:eastAsia="es-CO"/>
        </w:rPr>
        <w:t xml:space="preserve"> </w:t>
      </w:r>
      <w:r w:rsidR="0045122A" w:rsidRPr="00012C3F">
        <w:rPr>
          <w:sz w:val="20"/>
          <w:szCs w:val="20"/>
          <w:lang w:val="en-US" w:eastAsia="es-CO"/>
        </w:rPr>
        <w:t>the preliminary objection</w:t>
      </w:r>
      <w:r w:rsidR="00F32062" w:rsidRPr="00012C3F">
        <w:rPr>
          <w:sz w:val="20"/>
          <w:szCs w:val="20"/>
          <w:lang w:val="en-US" w:eastAsia="es-CO"/>
        </w:rPr>
        <w:t xml:space="preserve"> </w:t>
      </w:r>
      <w:r w:rsidR="00C73A98" w:rsidRPr="00012C3F">
        <w:rPr>
          <w:sz w:val="20"/>
          <w:szCs w:val="20"/>
          <w:lang w:val="en-US" w:eastAsia="es-CO"/>
        </w:rPr>
        <w:t>in the procedure before</w:t>
      </w:r>
      <w:r w:rsidR="004959F0" w:rsidRPr="00012C3F">
        <w:rPr>
          <w:sz w:val="20"/>
          <w:szCs w:val="20"/>
          <w:lang w:val="en-US" w:eastAsia="es-CO"/>
        </w:rPr>
        <w:t xml:space="preserve"> </w:t>
      </w:r>
      <w:r w:rsidR="001254DE" w:rsidRPr="00012C3F">
        <w:rPr>
          <w:sz w:val="20"/>
          <w:szCs w:val="20"/>
          <w:lang w:val="en-US" w:eastAsia="es-CO"/>
        </w:rPr>
        <w:t xml:space="preserve">the </w:t>
      </w:r>
      <w:r w:rsidRPr="00012C3F">
        <w:rPr>
          <w:sz w:val="20"/>
          <w:szCs w:val="20"/>
          <w:lang w:val="en-US" w:eastAsia="es-CO"/>
        </w:rPr>
        <w:t>Commission</w:t>
      </w:r>
      <w:r w:rsidR="004959F0" w:rsidRPr="00012C3F">
        <w:rPr>
          <w:sz w:val="20"/>
          <w:szCs w:val="20"/>
          <w:lang w:val="en-US" w:eastAsia="es-CO"/>
        </w:rPr>
        <w:t xml:space="preserve"> </w:t>
      </w:r>
      <w:r w:rsidR="00C73A98" w:rsidRPr="00012C3F">
        <w:rPr>
          <w:sz w:val="20"/>
          <w:szCs w:val="20"/>
          <w:lang w:val="en-US" w:eastAsia="es-CO"/>
        </w:rPr>
        <w:t xml:space="preserve">and indicated the remedy that, in its opinion, had not been exhausted, it failed to comply with the burden of proof by proving that it was adequate, appropriate and effective at the proper procedural opportunity, because the decision cited by </w:t>
      </w:r>
      <w:r w:rsidRPr="00012C3F">
        <w:rPr>
          <w:sz w:val="20"/>
          <w:szCs w:val="20"/>
          <w:lang w:val="en-US" w:eastAsia="es-CO"/>
        </w:rPr>
        <w:t>the State</w:t>
      </w:r>
      <w:r w:rsidR="00F32062" w:rsidRPr="00012C3F">
        <w:rPr>
          <w:sz w:val="20"/>
          <w:szCs w:val="20"/>
          <w:lang w:val="en-US" w:eastAsia="es-CO"/>
        </w:rPr>
        <w:t xml:space="preserve"> </w:t>
      </w:r>
      <w:r w:rsidR="00C73A98" w:rsidRPr="00012C3F">
        <w:rPr>
          <w:sz w:val="20"/>
          <w:szCs w:val="20"/>
          <w:lang w:val="en-US" w:eastAsia="es-CO"/>
        </w:rPr>
        <w:t>in the procedure before</w:t>
      </w:r>
      <w:r w:rsidR="00F32062" w:rsidRPr="00012C3F">
        <w:rPr>
          <w:sz w:val="20"/>
          <w:szCs w:val="20"/>
          <w:lang w:val="en-US" w:eastAsia="es-CO"/>
        </w:rPr>
        <w:t xml:space="preserve"> </w:t>
      </w:r>
      <w:r w:rsidR="001254DE" w:rsidRPr="00012C3F">
        <w:rPr>
          <w:sz w:val="20"/>
          <w:szCs w:val="20"/>
          <w:lang w:val="en-US" w:eastAsia="es-CO"/>
        </w:rPr>
        <w:t xml:space="preserve">the </w:t>
      </w:r>
      <w:r w:rsidRPr="00012C3F">
        <w:rPr>
          <w:sz w:val="20"/>
          <w:szCs w:val="20"/>
          <w:lang w:val="en-US" w:eastAsia="es-CO"/>
        </w:rPr>
        <w:t>Commission</w:t>
      </w:r>
      <w:r w:rsidR="00F32062" w:rsidRPr="00012C3F">
        <w:rPr>
          <w:sz w:val="20"/>
          <w:szCs w:val="20"/>
          <w:lang w:val="en-US" w:eastAsia="es-CO"/>
        </w:rPr>
        <w:t xml:space="preserve"> </w:t>
      </w:r>
      <w:r w:rsidR="00C73A98" w:rsidRPr="00012C3F">
        <w:rPr>
          <w:sz w:val="20"/>
          <w:szCs w:val="20"/>
          <w:lang w:val="en-US" w:eastAsia="es-CO"/>
        </w:rPr>
        <w:t>referred to aspects such as</w:t>
      </w:r>
      <w:r w:rsidR="00CB435C" w:rsidRPr="00012C3F">
        <w:rPr>
          <w:sz w:val="20"/>
          <w:szCs w:val="20"/>
          <w:lang w:val="en-US" w:eastAsia="es-CO"/>
        </w:rPr>
        <w:t xml:space="preserve"> the</w:t>
      </w:r>
      <w:r w:rsidR="00C73A98" w:rsidRPr="00012C3F">
        <w:rPr>
          <w:sz w:val="20"/>
          <w:szCs w:val="20"/>
          <w:lang w:val="en-US" w:eastAsia="es-CO"/>
        </w:rPr>
        <w:t xml:space="preserve"> abandonment of the dispute and the time frames to justify the failure to attend a hearing, which have </w:t>
      </w:r>
      <w:r w:rsidR="0017120B" w:rsidRPr="00012C3F">
        <w:rPr>
          <w:sz w:val="20"/>
          <w:szCs w:val="20"/>
          <w:lang w:val="en-US" w:eastAsia="es-CO"/>
        </w:rPr>
        <w:t>n</w:t>
      </w:r>
      <w:r w:rsidR="00C73A98" w:rsidRPr="00012C3F">
        <w:rPr>
          <w:sz w:val="20"/>
          <w:szCs w:val="20"/>
          <w:lang w:val="en-US" w:eastAsia="es-CO"/>
        </w:rPr>
        <w:t xml:space="preserve">o relationship to the facts of this case. </w:t>
      </w:r>
    </w:p>
    <w:p w14:paraId="660E0DEC" w14:textId="77777777" w:rsidR="00EB3F3D" w:rsidRPr="00012C3F" w:rsidRDefault="00EB3F3D" w:rsidP="00C73A98">
      <w:pPr>
        <w:tabs>
          <w:tab w:val="left" w:pos="720"/>
        </w:tabs>
        <w:spacing w:line="240" w:lineRule="auto"/>
        <w:rPr>
          <w:sz w:val="20"/>
          <w:szCs w:val="20"/>
          <w:lang w:val="en-US" w:eastAsia="es-CO"/>
        </w:rPr>
      </w:pPr>
    </w:p>
    <w:p w14:paraId="443910F1" w14:textId="77777777" w:rsidR="0031725D" w:rsidRPr="00012C3F" w:rsidRDefault="00C73A98" w:rsidP="0017120B">
      <w:pPr>
        <w:numPr>
          <w:ilvl w:val="0"/>
          <w:numId w:val="5"/>
        </w:numPr>
        <w:tabs>
          <w:tab w:val="left" w:pos="720"/>
          <w:tab w:val="num" w:pos="12305"/>
        </w:tabs>
        <w:spacing w:line="240" w:lineRule="auto"/>
        <w:ind w:left="0" w:firstLine="0"/>
        <w:rPr>
          <w:sz w:val="20"/>
          <w:szCs w:val="20"/>
          <w:lang w:val="en-US" w:eastAsia="es-CO"/>
        </w:rPr>
      </w:pPr>
      <w:r w:rsidRPr="00012C3F">
        <w:rPr>
          <w:rFonts w:cs="Verdana,Italic"/>
          <w:iCs/>
          <w:sz w:val="20"/>
          <w:szCs w:val="20"/>
          <w:lang w:val="en-US" w:eastAsia="en-US"/>
        </w:rPr>
        <w:t xml:space="preserve">This conclusion is reinforced by the fact that the State modified its arguments before this Court. Indeed, in the proceedings before the Court, the State focused its arguments on indicating that the </w:t>
      </w:r>
      <w:r w:rsidR="00FA56FE" w:rsidRPr="00012C3F">
        <w:rPr>
          <w:rFonts w:cs="Verdana,Italic"/>
          <w:iCs/>
          <w:sz w:val="20"/>
          <w:szCs w:val="20"/>
          <w:lang w:val="en-US" w:eastAsia="en-US"/>
        </w:rPr>
        <w:t>application for amparo</w:t>
      </w:r>
      <w:r w:rsidRPr="00012C3F">
        <w:rPr>
          <w:rFonts w:cs="Verdana,Italic"/>
          <w:iCs/>
          <w:sz w:val="20"/>
          <w:szCs w:val="20"/>
          <w:lang w:val="en-US" w:eastAsia="en-US"/>
        </w:rPr>
        <w:t xml:space="preserve"> was admissible to reverse the extinction of the criminal action based on the maximum duration of the proceedings when the dilatory actions were </w:t>
      </w:r>
      <w:r w:rsidR="00CB435C" w:rsidRPr="00012C3F">
        <w:rPr>
          <w:rFonts w:cs="Verdana,Italic"/>
          <w:iCs/>
          <w:sz w:val="20"/>
          <w:szCs w:val="20"/>
          <w:lang w:val="en-US" w:eastAsia="en-US"/>
        </w:rPr>
        <w:t>caused</w:t>
      </w:r>
      <w:r w:rsidRPr="00012C3F">
        <w:rPr>
          <w:rFonts w:cs="Verdana,Italic"/>
          <w:iCs/>
          <w:sz w:val="20"/>
          <w:szCs w:val="20"/>
          <w:lang w:val="en-US" w:eastAsia="en-US"/>
        </w:rPr>
        <w:t xml:space="preserve"> by the defendant and, in this regard, cited Constitutional Judgment </w:t>
      </w:r>
      <w:r w:rsidRPr="00012C3F">
        <w:rPr>
          <w:sz w:val="20"/>
          <w:szCs w:val="20"/>
          <w:lang w:val="en-US" w:eastAsia="es-CO"/>
        </w:rPr>
        <w:t xml:space="preserve">No. SC 2009/2010-R of November 3. Subsequently, in its final arguments, the State </w:t>
      </w:r>
      <w:r w:rsidR="00CB435C" w:rsidRPr="00012C3F">
        <w:rPr>
          <w:sz w:val="20"/>
          <w:szCs w:val="20"/>
          <w:lang w:val="en-US" w:eastAsia="es-CO"/>
        </w:rPr>
        <w:t>alleged</w:t>
      </w:r>
      <w:r w:rsidRPr="00012C3F">
        <w:rPr>
          <w:sz w:val="20"/>
          <w:szCs w:val="20"/>
          <w:lang w:val="en-US" w:eastAsia="es-CO"/>
        </w:rPr>
        <w:t xml:space="preserve"> that, even though the facts of the precedents cited did not correspond</w:t>
      </w:r>
      <w:r w:rsidR="0017120B" w:rsidRPr="00012C3F">
        <w:rPr>
          <w:sz w:val="20"/>
          <w:szCs w:val="20"/>
          <w:lang w:val="en-US" w:eastAsia="es-CO"/>
        </w:rPr>
        <w:t xml:space="preserve"> to the facts of the</w:t>
      </w:r>
      <w:r w:rsidR="00CB435C" w:rsidRPr="00012C3F">
        <w:rPr>
          <w:sz w:val="20"/>
          <w:szCs w:val="20"/>
          <w:lang w:val="en-US" w:eastAsia="es-CO"/>
        </w:rPr>
        <w:t xml:space="preserve"> instant</w:t>
      </w:r>
      <w:r w:rsidR="0017120B" w:rsidRPr="00012C3F">
        <w:rPr>
          <w:sz w:val="20"/>
          <w:szCs w:val="20"/>
          <w:lang w:val="en-US" w:eastAsia="es-CO"/>
        </w:rPr>
        <w:t xml:space="preserve"> case, in general it could be concluded </w:t>
      </w:r>
      <w:r w:rsidR="002E2489" w:rsidRPr="00012C3F">
        <w:rPr>
          <w:sz w:val="20"/>
          <w:szCs w:val="20"/>
          <w:lang w:val="en-US" w:eastAsia="es-CO"/>
        </w:rPr>
        <w:t>that</w:t>
      </w:r>
      <w:r w:rsidR="0017120B" w:rsidRPr="00012C3F">
        <w:rPr>
          <w:sz w:val="20"/>
          <w:szCs w:val="20"/>
          <w:lang w:val="en-US" w:eastAsia="es-CO"/>
        </w:rPr>
        <w:t xml:space="preserve"> </w:t>
      </w:r>
      <w:r w:rsidR="002E2489" w:rsidRPr="00012C3F">
        <w:rPr>
          <w:sz w:val="20"/>
          <w:szCs w:val="20"/>
          <w:lang w:val="en-US" w:eastAsia="es-CO"/>
        </w:rPr>
        <w:t>the</w:t>
      </w:r>
      <w:r w:rsidR="0017120B" w:rsidRPr="00012C3F">
        <w:rPr>
          <w:sz w:val="20"/>
          <w:szCs w:val="20"/>
          <w:lang w:val="en-US" w:eastAsia="es-CO"/>
        </w:rPr>
        <w:t xml:space="preserve"> </w:t>
      </w:r>
      <w:r w:rsidR="00FA56FE" w:rsidRPr="00012C3F">
        <w:rPr>
          <w:sz w:val="20"/>
          <w:szCs w:val="20"/>
          <w:lang w:val="en-US" w:eastAsia="es-CO"/>
        </w:rPr>
        <w:t>application for amparo</w:t>
      </w:r>
      <w:r w:rsidR="0017120B" w:rsidRPr="00012C3F">
        <w:rPr>
          <w:sz w:val="20"/>
          <w:szCs w:val="20"/>
          <w:lang w:val="en-US" w:eastAsia="es-CO"/>
        </w:rPr>
        <w:t xml:space="preserve"> was appropriate to annual </w:t>
      </w:r>
      <w:r w:rsidR="00CC43E9" w:rsidRPr="00012C3F">
        <w:rPr>
          <w:sz w:val="20"/>
          <w:szCs w:val="20"/>
          <w:lang w:val="en-US" w:eastAsia="es-CO"/>
        </w:rPr>
        <w:t xml:space="preserve">a </w:t>
      </w:r>
      <w:r w:rsidR="0017120B" w:rsidRPr="00012C3F">
        <w:rPr>
          <w:sz w:val="20"/>
          <w:szCs w:val="20"/>
          <w:lang w:val="en-US" w:eastAsia="es-CO"/>
        </w:rPr>
        <w:t xml:space="preserve">decision on the extinction of the criminal </w:t>
      </w:r>
      <w:r w:rsidR="00CC43E9" w:rsidRPr="00012C3F">
        <w:rPr>
          <w:sz w:val="20"/>
          <w:szCs w:val="20"/>
          <w:lang w:val="en-US" w:eastAsia="es-CO"/>
        </w:rPr>
        <w:t>proceedings</w:t>
      </w:r>
      <w:r w:rsidR="0017120B" w:rsidRPr="00012C3F">
        <w:rPr>
          <w:sz w:val="20"/>
          <w:szCs w:val="20"/>
          <w:lang w:val="en-US" w:eastAsia="es-CO"/>
        </w:rPr>
        <w:t xml:space="preserve">. To this end, it cited Constitutional Judgment No. 1529/2011-R of October 11, 2011, that made it necessary to weigh the right of the accused not to be subjected to criminal proceedings indefinitely and the right of the presumed victim to obtain justice in the specific case. The Court notes that the said precedent is dated after the </w:t>
      </w:r>
      <w:r w:rsidR="00E00902" w:rsidRPr="00012C3F">
        <w:rPr>
          <w:sz w:val="20"/>
          <w:szCs w:val="20"/>
          <w:lang w:val="en-US" w:eastAsia="es-CO"/>
        </w:rPr>
        <w:t>Admissibility Report</w:t>
      </w:r>
      <w:r w:rsidR="005E5012" w:rsidRPr="00012C3F">
        <w:rPr>
          <w:sz w:val="20"/>
          <w:szCs w:val="20"/>
          <w:lang w:val="en-US" w:eastAsia="es-CO"/>
        </w:rPr>
        <w:t xml:space="preserve"> and </w:t>
      </w:r>
      <w:r w:rsidR="0017120B" w:rsidRPr="00012C3F">
        <w:rPr>
          <w:sz w:val="20"/>
          <w:szCs w:val="20"/>
          <w:lang w:val="en-US" w:eastAsia="es-CO"/>
        </w:rPr>
        <w:t xml:space="preserve">is based on a </w:t>
      </w:r>
      <w:r w:rsidR="00CC43E9" w:rsidRPr="00012C3F">
        <w:rPr>
          <w:sz w:val="20"/>
          <w:szCs w:val="20"/>
          <w:lang w:val="en-US" w:eastAsia="es-CO"/>
        </w:rPr>
        <w:t>provision</w:t>
      </w:r>
      <w:r w:rsidR="0017120B" w:rsidRPr="00012C3F">
        <w:rPr>
          <w:sz w:val="20"/>
          <w:szCs w:val="20"/>
          <w:lang w:val="en-US" w:eastAsia="es-CO"/>
        </w:rPr>
        <w:t xml:space="preserve"> of the new Constitution, so that the Commission could not have taken it into account when issuing a decision on admissibility. In this regard, and </w:t>
      </w:r>
      <w:r w:rsidR="00CC43E9" w:rsidRPr="00012C3F">
        <w:rPr>
          <w:sz w:val="20"/>
          <w:szCs w:val="20"/>
          <w:lang w:val="en-US" w:eastAsia="es-CO"/>
        </w:rPr>
        <w:t>in relation to</w:t>
      </w:r>
      <w:r w:rsidR="0017120B" w:rsidRPr="00012C3F">
        <w:rPr>
          <w:sz w:val="20"/>
          <w:szCs w:val="20"/>
          <w:lang w:val="en-US" w:eastAsia="es-CO"/>
        </w:rPr>
        <w:t xml:space="preserve"> the dispute between the parties and the Commission </w:t>
      </w:r>
      <w:r w:rsidR="00CC43E9" w:rsidRPr="00012C3F">
        <w:rPr>
          <w:sz w:val="20"/>
          <w:szCs w:val="20"/>
          <w:lang w:val="en-US" w:eastAsia="es-CO"/>
        </w:rPr>
        <w:t>concerning</w:t>
      </w:r>
      <w:r w:rsidR="0017120B" w:rsidRPr="00012C3F">
        <w:rPr>
          <w:sz w:val="20"/>
          <w:szCs w:val="20"/>
          <w:lang w:val="en-US" w:eastAsia="es-CO"/>
        </w:rPr>
        <w:t xml:space="preserve"> the </w:t>
      </w:r>
      <w:r w:rsidR="00CC43E9" w:rsidRPr="00012C3F">
        <w:rPr>
          <w:sz w:val="20"/>
          <w:szCs w:val="20"/>
          <w:lang w:val="en-US" w:eastAsia="es-CO"/>
        </w:rPr>
        <w:t xml:space="preserve">possibility of the </w:t>
      </w:r>
      <w:r w:rsidR="0017120B" w:rsidRPr="00012C3F">
        <w:rPr>
          <w:sz w:val="20"/>
          <w:szCs w:val="20"/>
          <w:lang w:val="en-US" w:eastAsia="es-CO"/>
        </w:rPr>
        <w:t>State chang</w:t>
      </w:r>
      <w:r w:rsidR="00CC43E9" w:rsidRPr="00012C3F">
        <w:rPr>
          <w:sz w:val="20"/>
          <w:szCs w:val="20"/>
          <w:lang w:val="en-US" w:eastAsia="es-CO"/>
        </w:rPr>
        <w:t>ing</w:t>
      </w:r>
      <w:r w:rsidR="0017120B" w:rsidRPr="00012C3F">
        <w:rPr>
          <w:sz w:val="20"/>
          <w:szCs w:val="20"/>
          <w:lang w:val="en-US" w:eastAsia="es-CO"/>
        </w:rPr>
        <w:t xml:space="preserve"> the grounds for its arguments during the admissibility procedure </w:t>
      </w:r>
      <w:r w:rsidR="00CC43E9" w:rsidRPr="00012C3F">
        <w:rPr>
          <w:sz w:val="20"/>
          <w:szCs w:val="20"/>
          <w:lang w:val="en-US" w:eastAsia="es-CO"/>
        </w:rPr>
        <w:t>in relation to</w:t>
      </w:r>
      <w:r w:rsidR="0017120B" w:rsidRPr="00012C3F">
        <w:rPr>
          <w:sz w:val="20"/>
          <w:szCs w:val="20"/>
          <w:lang w:val="en-US" w:eastAsia="es-CO"/>
        </w:rPr>
        <w:t xml:space="preserve"> those outlined in the proceedings before the Court, this Court recalls its consistent case law that the arguments </w:t>
      </w:r>
      <w:r w:rsidR="00CC43E9" w:rsidRPr="00012C3F">
        <w:rPr>
          <w:sz w:val="20"/>
          <w:szCs w:val="20"/>
          <w:lang w:val="en-US" w:eastAsia="es-CO"/>
        </w:rPr>
        <w:t>concerning</w:t>
      </w:r>
      <w:r w:rsidR="0017120B" w:rsidRPr="00012C3F">
        <w:rPr>
          <w:sz w:val="20"/>
          <w:szCs w:val="20"/>
          <w:lang w:val="en-US" w:eastAsia="es-CO"/>
        </w:rPr>
        <w:t xml:space="preserve"> the preliminary objection filed by the State before the Commission during the admissibility stage should correspond to those </w:t>
      </w:r>
      <w:r w:rsidR="00CC43E9" w:rsidRPr="00012C3F">
        <w:rPr>
          <w:sz w:val="20"/>
          <w:szCs w:val="20"/>
          <w:lang w:val="en-US" w:eastAsia="es-CO"/>
        </w:rPr>
        <w:t>alleged</w:t>
      </w:r>
      <w:r w:rsidR="0017120B" w:rsidRPr="00012C3F">
        <w:rPr>
          <w:sz w:val="20"/>
          <w:szCs w:val="20"/>
          <w:lang w:val="en-US" w:eastAsia="es-CO"/>
        </w:rPr>
        <w:t xml:space="preserve"> before </w:t>
      </w:r>
      <w:r w:rsidR="001254DE" w:rsidRPr="00012C3F">
        <w:rPr>
          <w:sz w:val="20"/>
          <w:szCs w:val="20"/>
          <w:lang w:val="en-US"/>
        </w:rPr>
        <w:t>the Court</w:t>
      </w:r>
      <w:r w:rsidR="0017120B" w:rsidRPr="00012C3F">
        <w:rPr>
          <w:sz w:val="20"/>
          <w:szCs w:val="20"/>
          <w:lang w:val="en-US"/>
        </w:rPr>
        <w:t>.</w:t>
      </w:r>
      <w:r w:rsidR="0031725D" w:rsidRPr="00012C3F">
        <w:rPr>
          <w:rStyle w:val="Refdenotaalpie"/>
          <w:sz w:val="20"/>
          <w:szCs w:val="20"/>
          <w:lang w:val="en-US"/>
        </w:rPr>
        <w:footnoteReference w:id="23"/>
      </w:r>
    </w:p>
    <w:p w14:paraId="5C4BD134" w14:textId="77777777" w:rsidR="0031725D" w:rsidRPr="00012C3F" w:rsidRDefault="0031725D" w:rsidP="006247BB">
      <w:pPr>
        <w:tabs>
          <w:tab w:val="left" w:pos="567"/>
        </w:tabs>
        <w:spacing w:line="240" w:lineRule="auto"/>
        <w:rPr>
          <w:sz w:val="20"/>
          <w:szCs w:val="20"/>
          <w:lang w:val="en-US" w:eastAsia="es-CO"/>
        </w:rPr>
      </w:pPr>
    </w:p>
    <w:p w14:paraId="63A5A80E" w14:textId="77777777" w:rsidR="00F254A5" w:rsidRPr="00012C3F" w:rsidRDefault="001254DE" w:rsidP="00085BDD">
      <w:pPr>
        <w:numPr>
          <w:ilvl w:val="0"/>
          <w:numId w:val="5"/>
        </w:numPr>
        <w:tabs>
          <w:tab w:val="left" w:pos="720"/>
          <w:tab w:val="num" w:pos="12305"/>
        </w:tabs>
        <w:spacing w:line="240" w:lineRule="auto"/>
        <w:ind w:left="0" w:firstLine="0"/>
        <w:rPr>
          <w:sz w:val="20"/>
          <w:szCs w:val="20"/>
          <w:lang w:val="en-US" w:eastAsia="es-CO"/>
        </w:rPr>
      </w:pPr>
      <w:bookmarkStart w:id="57" w:name="_Ref455670865"/>
      <w:r w:rsidRPr="00012C3F">
        <w:rPr>
          <w:sz w:val="20"/>
          <w:szCs w:val="20"/>
          <w:lang w:val="en-US" w:eastAsia="es-CO"/>
        </w:rPr>
        <w:t>The Court</w:t>
      </w:r>
      <w:r w:rsidR="006247BB" w:rsidRPr="00012C3F">
        <w:rPr>
          <w:sz w:val="20"/>
          <w:szCs w:val="20"/>
          <w:lang w:val="en-US" w:eastAsia="es-CO"/>
        </w:rPr>
        <w:t xml:space="preserve"> </w:t>
      </w:r>
      <w:r w:rsidR="00C75417" w:rsidRPr="00012C3F">
        <w:rPr>
          <w:sz w:val="20"/>
          <w:szCs w:val="20"/>
          <w:lang w:val="en-US" w:eastAsia="es-CO"/>
        </w:rPr>
        <w:t>e</w:t>
      </w:r>
      <w:r w:rsidR="0017120B" w:rsidRPr="00012C3F">
        <w:rPr>
          <w:sz w:val="20"/>
          <w:szCs w:val="20"/>
          <w:lang w:val="en-US" w:eastAsia="es-CO"/>
        </w:rPr>
        <w:t xml:space="preserve">mphasizes that the State, when arguing failure to exhaust domestic resources, has the burden not only of specifying at the proper opportunity the domestic remedies that have </w:t>
      </w:r>
      <w:r w:rsidR="0017120B" w:rsidRPr="00012C3F">
        <w:rPr>
          <w:sz w:val="20"/>
          <w:szCs w:val="20"/>
          <w:lang w:val="en-US" w:eastAsia="es-CO"/>
        </w:rPr>
        <w:lastRenderedPageBreak/>
        <w:t xml:space="preserve">not yet been exhausted, but also of demonstrating that those remedies were available and were appropriate and effective. </w:t>
      </w:r>
      <w:r w:rsidR="006C705C" w:rsidRPr="00012C3F">
        <w:rPr>
          <w:sz w:val="20"/>
          <w:szCs w:val="20"/>
          <w:lang w:val="en-US" w:eastAsia="es-CO"/>
        </w:rPr>
        <w:t>In this case</w:t>
      </w:r>
      <w:r w:rsidR="00C75417" w:rsidRPr="00012C3F">
        <w:rPr>
          <w:sz w:val="20"/>
          <w:szCs w:val="20"/>
          <w:lang w:val="en-US" w:eastAsia="es-CO"/>
        </w:rPr>
        <w:t xml:space="preserve">, </w:t>
      </w:r>
      <w:r w:rsidR="00A84CA0" w:rsidRPr="00012C3F">
        <w:rPr>
          <w:sz w:val="20"/>
          <w:szCs w:val="20"/>
          <w:lang w:val="en-US" w:eastAsia="es-CO"/>
        </w:rPr>
        <w:t>the State</w:t>
      </w:r>
      <w:r w:rsidR="006247BB" w:rsidRPr="00012C3F">
        <w:rPr>
          <w:sz w:val="20"/>
          <w:szCs w:val="20"/>
          <w:lang w:val="en-US" w:eastAsia="es-CO"/>
        </w:rPr>
        <w:t xml:space="preserve"> </w:t>
      </w:r>
      <w:r w:rsidR="0017120B" w:rsidRPr="00012C3F">
        <w:rPr>
          <w:sz w:val="20"/>
          <w:szCs w:val="20"/>
          <w:lang w:val="en-US" w:eastAsia="es-CO"/>
        </w:rPr>
        <w:t xml:space="preserve">did not meet this burden of proof opportunely. Based on the foregoing, the Court rejects </w:t>
      </w:r>
      <w:bookmarkEnd w:id="57"/>
      <w:r w:rsidR="0045122A" w:rsidRPr="00012C3F">
        <w:rPr>
          <w:sz w:val="20"/>
          <w:szCs w:val="20"/>
          <w:lang w:val="en-US" w:eastAsia="es-CO"/>
        </w:rPr>
        <w:t>the preliminary objection</w:t>
      </w:r>
      <w:r w:rsidR="00BC5592" w:rsidRPr="00012C3F">
        <w:rPr>
          <w:sz w:val="20"/>
          <w:szCs w:val="20"/>
          <w:lang w:val="en-US" w:eastAsia="es-CO"/>
        </w:rPr>
        <w:t xml:space="preserve"> </w:t>
      </w:r>
      <w:r w:rsidR="0017120B" w:rsidRPr="00012C3F">
        <w:rPr>
          <w:sz w:val="20"/>
          <w:szCs w:val="20"/>
          <w:lang w:val="en-US" w:eastAsia="es-CO"/>
        </w:rPr>
        <w:t>filed by</w:t>
      </w:r>
      <w:r w:rsidR="00BC5592" w:rsidRPr="00012C3F">
        <w:rPr>
          <w:sz w:val="20"/>
          <w:szCs w:val="20"/>
          <w:lang w:val="en-US" w:eastAsia="es-CO"/>
        </w:rPr>
        <w:t xml:space="preserve"> </w:t>
      </w:r>
      <w:r w:rsidR="00A84CA0" w:rsidRPr="00012C3F">
        <w:rPr>
          <w:sz w:val="20"/>
          <w:szCs w:val="20"/>
          <w:lang w:val="en-US" w:eastAsia="es-CO"/>
        </w:rPr>
        <w:t>the State</w:t>
      </w:r>
      <w:r w:rsidR="00BC5592" w:rsidRPr="00012C3F">
        <w:rPr>
          <w:sz w:val="20"/>
          <w:szCs w:val="20"/>
          <w:lang w:val="en-US" w:eastAsia="es-CO"/>
        </w:rPr>
        <w:t>.</w:t>
      </w:r>
    </w:p>
    <w:p w14:paraId="652D1E10" w14:textId="77777777" w:rsidR="00CC43E9" w:rsidRPr="00012C3F" w:rsidRDefault="00CC43E9" w:rsidP="00CC43E9">
      <w:pPr>
        <w:tabs>
          <w:tab w:val="left" w:pos="720"/>
        </w:tabs>
        <w:spacing w:line="240" w:lineRule="auto"/>
        <w:rPr>
          <w:sz w:val="20"/>
          <w:szCs w:val="20"/>
          <w:lang w:val="en-US" w:eastAsia="es-CO"/>
        </w:rPr>
      </w:pPr>
    </w:p>
    <w:p w14:paraId="0EE74B1E" w14:textId="77777777" w:rsidR="00A93967" w:rsidRPr="00012C3F" w:rsidRDefault="00A93967" w:rsidP="00A93967">
      <w:pPr>
        <w:keepNext/>
        <w:keepLines/>
        <w:tabs>
          <w:tab w:val="left" w:pos="851"/>
        </w:tabs>
        <w:spacing w:line="240" w:lineRule="auto"/>
        <w:jc w:val="center"/>
        <w:outlineLvl w:val="0"/>
        <w:rPr>
          <w:rFonts w:cs="Verdana"/>
          <w:b/>
          <w:bCs/>
          <w:caps/>
          <w:snapToGrid w:val="0"/>
          <w:sz w:val="20"/>
          <w:szCs w:val="20"/>
          <w:lang w:val="en-US"/>
        </w:rPr>
      </w:pPr>
      <w:bookmarkStart w:id="58" w:name="_Toc27486826"/>
      <w:r w:rsidRPr="00012C3F">
        <w:rPr>
          <w:rFonts w:cs="Verdana"/>
          <w:b/>
          <w:bCs/>
          <w:caps/>
          <w:snapToGrid w:val="0"/>
          <w:sz w:val="20"/>
          <w:szCs w:val="20"/>
          <w:lang w:val="en-US"/>
        </w:rPr>
        <w:t>V</w:t>
      </w:r>
      <w:r w:rsidRPr="00012C3F">
        <w:rPr>
          <w:rFonts w:cs="Verdana"/>
          <w:b/>
          <w:bCs/>
          <w:caps/>
          <w:snapToGrid w:val="0"/>
          <w:sz w:val="20"/>
          <w:szCs w:val="20"/>
          <w:lang w:val="en-US"/>
        </w:rPr>
        <w:br/>
      </w:r>
      <w:r w:rsidR="00D30439" w:rsidRPr="00012C3F">
        <w:rPr>
          <w:rFonts w:cs="Verdana"/>
          <w:b/>
          <w:bCs/>
          <w:caps/>
          <w:snapToGrid w:val="0"/>
          <w:sz w:val="20"/>
          <w:szCs w:val="20"/>
          <w:lang w:val="en-US"/>
        </w:rPr>
        <w:t>PRELIMINARY CONSIDERATIONS</w:t>
      </w:r>
      <w:bookmarkEnd w:id="58"/>
    </w:p>
    <w:p w14:paraId="5A3988AD" w14:textId="77777777" w:rsidR="00A93967" w:rsidRPr="00012C3F" w:rsidRDefault="00A93967" w:rsidP="00A93967">
      <w:pPr>
        <w:spacing w:before="2" w:line="240" w:lineRule="exact"/>
        <w:rPr>
          <w:sz w:val="20"/>
          <w:szCs w:val="20"/>
          <w:lang w:val="en-US"/>
        </w:rPr>
      </w:pPr>
    </w:p>
    <w:p w14:paraId="6C3D3953" w14:textId="77777777" w:rsidR="00A93967" w:rsidRPr="00012C3F" w:rsidRDefault="00D30439" w:rsidP="00D30439">
      <w:pPr>
        <w:numPr>
          <w:ilvl w:val="0"/>
          <w:numId w:val="5"/>
        </w:numPr>
        <w:tabs>
          <w:tab w:val="left" w:pos="720"/>
          <w:tab w:val="num" w:pos="12305"/>
        </w:tabs>
        <w:spacing w:line="240" w:lineRule="auto"/>
        <w:ind w:left="0" w:firstLine="0"/>
        <w:rPr>
          <w:rFonts w:eastAsia="Calibri" w:cs="Verdana"/>
          <w:sz w:val="20"/>
          <w:szCs w:val="20"/>
          <w:lang w:val="en-US" w:eastAsia="es-ES"/>
        </w:rPr>
      </w:pPr>
      <w:r w:rsidRPr="00012C3F">
        <w:rPr>
          <w:rFonts w:cs="Verdana"/>
          <w:sz w:val="20"/>
          <w:szCs w:val="20"/>
          <w:lang w:val="en-US" w:eastAsia="es-ES"/>
        </w:rPr>
        <w:t>Before examining the pertinent facts and the application of the norms</w:t>
      </w:r>
      <w:r w:rsidR="001254DE" w:rsidRPr="00012C3F">
        <w:rPr>
          <w:rFonts w:cs="Verdana"/>
          <w:sz w:val="20"/>
          <w:szCs w:val="20"/>
          <w:lang w:val="en-US" w:eastAsia="es-ES"/>
        </w:rPr>
        <w:t xml:space="preserve"> of the American Convention</w:t>
      </w:r>
      <w:r w:rsidR="00A93967" w:rsidRPr="00012C3F">
        <w:rPr>
          <w:rFonts w:cs="Verdana"/>
          <w:sz w:val="20"/>
          <w:szCs w:val="20"/>
          <w:lang w:val="en-US" w:eastAsia="es-ES"/>
        </w:rPr>
        <w:t xml:space="preserve"> </w:t>
      </w:r>
      <w:r w:rsidRPr="00012C3F">
        <w:rPr>
          <w:rFonts w:cs="Verdana"/>
          <w:sz w:val="20"/>
          <w:szCs w:val="20"/>
          <w:lang w:val="en-US" w:eastAsia="es-ES"/>
        </w:rPr>
        <w:t>to those facts, the Court must include some preliminary consideration on the d</w:t>
      </w:r>
      <w:r w:rsidR="006C705C" w:rsidRPr="00012C3F">
        <w:rPr>
          <w:rFonts w:cs="Verdana"/>
          <w:sz w:val="20"/>
          <w:szCs w:val="20"/>
          <w:lang w:val="en-US" w:eastAsia="es-ES"/>
        </w:rPr>
        <w:t>etermination of the presumed victims</w:t>
      </w:r>
      <w:r w:rsidR="00A93967" w:rsidRPr="00012C3F">
        <w:rPr>
          <w:rFonts w:cs="Verdana"/>
          <w:sz w:val="20"/>
          <w:szCs w:val="20"/>
          <w:lang w:val="en-US" w:eastAsia="es-ES"/>
        </w:rPr>
        <w:t xml:space="preserve">, </w:t>
      </w:r>
      <w:r w:rsidRPr="00012C3F">
        <w:rPr>
          <w:rFonts w:cs="Verdana"/>
          <w:sz w:val="20"/>
          <w:szCs w:val="20"/>
          <w:lang w:val="en-US" w:eastAsia="es-ES"/>
        </w:rPr>
        <w:t xml:space="preserve">the delimitation of the factual framework, and the presumed violations of rights alleged by </w:t>
      </w:r>
      <w:r w:rsidR="00972ACF" w:rsidRPr="00012C3F">
        <w:rPr>
          <w:rFonts w:cs="Verdana"/>
          <w:sz w:val="20"/>
          <w:szCs w:val="20"/>
          <w:lang w:val="en-US" w:eastAsia="es-ES"/>
        </w:rPr>
        <w:t>the representative</w:t>
      </w:r>
      <w:r w:rsidR="00A93967" w:rsidRPr="00012C3F">
        <w:rPr>
          <w:rFonts w:eastAsia="Calibri" w:cs="Verdana"/>
          <w:sz w:val="20"/>
          <w:szCs w:val="20"/>
          <w:lang w:val="en-US" w:eastAsia="es-ES"/>
        </w:rPr>
        <w:t>.</w:t>
      </w:r>
    </w:p>
    <w:p w14:paraId="03CD1540" w14:textId="77777777" w:rsidR="00A93967" w:rsidRPr="00012C3F" w:rsidRDefault="00A93967" w:rsidP="00A93967">
      <w:pPr>
        <w:tabs>
          <w:tab w:val="left" w:pos="142"/>
        </w:tabs>
        <w:spacing w:line="240" w:lineRule="auto"/>
        <w:ind w:right="-142"/>
        <w:rPr>
          <w:sz w:val="20"/>
          <w:szCs w:val="20"/>
          <w:lang w:val="en-US"/>
        </w:rPr>
      </w:pPr>
    </w:p>
    <w:p w14:paraId="6DB4E188" w14:textId="77777777" w:rsidR="00A93967" w:rsidRPr="00012C3F" w:rsidRDefault="00A93967" w:rsidP="00A93967">
      <w:pPr>
        <w:keepNext/>
        <w:keepLines/>
        <w:tabs>
          <w:tab w:val="left" w:pos="1134"/>
        </w:tabs>
        <w:spacing w:line="240" w:lineRule="auto"/>
        <w:ind w:left="567" w:firstLine="1"/>
        <w:outlineLvl w:val="1"/>
        <w:rPr>
          <w:rFonts w:eastAsia="MS Mincho"/>
          <w:b/>
          <w:bCs/>
          <w:i/>
          <w:sz w:val="20"/>
          <w:szCs w:val="20"/>
          <w:lang w:val="en-US"/>
        </w:rPr>
      </w:pPr>
      <w:bookmarkStart w:id="59" w:name="_Toc27486827"/>
      <w:r w:rsidRPr="00012C3F">
        <w:rPr>
          <w:rFonts w:eastAsia="MS Mincho"/>
          <w:b/>
          <w:bCs/>
          <w:i/>
          <w:sz w:val="20"/>
          <w:szCs w:val="20"/>
          <w:lang w:val="en-US"/>
        </w:rPr>
        <w:t>A.</w:t>
      </w:r>
      <w:r w:rsidRPr="00012C3F">
        <w:rPr>
          <w:rFonts w:eastAsia="MS Mincho"/>
          <w:b/>
          <w:bCs/>
          <w:i/>
          <w:sz w:val="20"/>
          <w:szCs w:val="20"/>
          <w:lang w:val="en-US"/>
        </w:rPr>
        <w:tab/>
      </w:r>
      <w:r w:rsidR="006C705C" w:rsidRPr="00012C3F">
        <w:rPr>
          <w:rFonts w:eastAsia="MS Mincho"/>
          <w:b/>
          <w:bCs/>
          <w:i/>
          <w:sz w:val="20"/>
          <w:szCs w:val="20"/>
          <w:lang w:val="en-US"/>
        </w:rPr>
        <w:t>Determination of the presumed victims</w:t>
      </w:r>
      <w:bookmarkEnd w:id="59"/>
    </w:p>
    <w:p w14:paraId="4F3D21D4" w14:textId="77777777" w:rsidR="00A93967" w:rsidRPr="00012C3F" w:rsidRDefault="00A93967" w:rsidP="00A93967">
      <w:pPr>
        <w:tabs>
          <w:tab w:val="left" w:pos="142"/>
        </w:tabs>
        <w:spacing w:line="240" w:lineRule="auto"/>
        <w:ind w:right="-142"/>
        <w:rPr>
          <w:rFonts w:eastAsia="Verdana" w:cs="Verdana"/>
          <w:sz w:val="20"/>
          <w:szCs w:val="20"/>
          <w:lang w:val="en-US"/>
        </w:rPr>
      </w:pPr>
    </w:p>
    <w:p w14:paraId="7747B2EE" w14:textId="77777777" w:rsidR="00A93967" w:rsidRPr="00012C3F" w:rsidRDefault="00A84CA0" w:rsidP="008A7A0F">
      <w:pPr>
        <w:numPr>
          <w:ilvl w:val="0"/>
          <w:numId w:val="5"/>
        </w:numPr>
        <w:tabs>
          <w:tab w:val="left" w:pos="720"/>
          <w:tab w:val="num" w:pos="12305"/>
        </w:tabs>
        <w:spacing w:line="240" w:lineRule="auto"/>
        <w:ind w:left="0" w:firstLine="0"/>
        <w:rPr>
          <w:rFonts w:cs="Verdana"/>
          <w:sz w:val="20"/>
          <w:szCs w:val="20"/>
          <w:lang w:val="en-US" w:eastAsia="es-ES"/>
        </w:rPr>
      </w:pPr>
      <w:r w:rsidRPr="00012C3F">
        <w:rPr>
          <w:rFonts w:cs="Verdana"/>
          <w:sz w:val="20"/>
          <w:szCs w:val="20"/>
          <w:lang w:val="en-US" w:eastAsia="es-ES"/>
        </w:rPr>
        <w:t xml:space="preserve">The </w:t>
      </w:r>
      <w:r w:rsidRPr="00012C3F">
        <w:rPr>
          <w:rFonts w:cs="Verdana"/>
          <w:b/>
          <w:bCs/>
          <w:i/>
          <w:iCs/>
          <w:sz w:val="20"/>
          <w:szCs w:val="20"/>
          <w:lang w:val="en-US" w:eastAsia="es-ES"/>
        </w:rPr>
        <w:t>State</w:t>
      </w:r>
      <w:r w:rsidR="00A93967" w:rsidRPr="00012C3F">
        <w:rPr>
          <w:rFonts w:cs="Verdana"/>
          <w:sz w:val="20"/>
          <w:szCs w:val="20"/>
          <w:lang w:val="en-US" w:eastAsia="es-ES"/>
        </w:rPr>
        <w:t xml:space="preserve"> argu</w:t>
      </w:r>
      <w:r w:rsidR="008F476F" w:rsidRPr="00012C3F">
        <w:rPr>
          <w:rFonts w:cs="Verdana"/>
          <w:sz w:val="20"/>
          <w:szCs w:val="20"/>
          <w:lang w:val="en-US" w:eastAsia="es-ES"/>
        </w:rPr>
        <w:t xml:space="preserve">ed that the violations of the human rights </w:t>
      </w:r>
      <w:r w:rsidR="005E5012" w:rsidRPr="00012C3F">
        <w:rPr>
          <w:rFonts w:cs="Verdana"/>
          <w:sz w:val="20"/>
          <w:szCs w:val="20"/>
          <w:lang w:val="en-US" w:eastAsia="es-ES"/>
        </w:rPr>
        <w:t>of</w:t>
      </w:r>
      <w:r w:rsidR="00A93967" w:rsidRPr="00012C3F">
        <w:rPr>
          <w:rFonts w:cs="Verdana"/>
          <w:sz w:val="20"/>
          <w:szCs w:val="20"/>
          <w:lang w:val="en-US" w:eastAsia="es-ES"/>
        </w:rPr>
        <w:t xml:space="preserve"> </w:t>
      </w:r>
      <w:r w:rsidR="000E1C11" w:rsidRPr="00012C3F">
        <w:rPr>
          <w:rFonts w:cs="Verdana"/>
          <w:sz w:val="20"/>
          <w:szCs w:val="20"/>
          <w:lang w:val="en-US" w:eastAsia="es-ES"/>
        </w:rPr>
        <w:t>N.V.</w:t>
      </w:r>
      <w:r w:rsidR="005E5012" w:rsidRPr="00012C3F">
        <w:rPr>
          <w:rFonts w:cs="Verdana"/>
          <w:sz w:val="20"/>
          <w:szCs w:val="20"/>
          <w:lang w:val="en-US" w:eastAsia="es-ES"/>
        </w:rPr>
        <w:t xml:space="preserve"> and </w:t>
      </w:r>
      <w:r w:rsidR="00A93967" w:rsidRPr="00012C3F">
        <w:rPr>
          <w:rFonts w:cs="Verdana"/>
          <w:sz w:val="20"/>
          <w:szCs w:val="20"/>
          <w:lang w:val="en-US" w:eastAsia="es-ES"/>
        </w:rPr>
        <w:t>L.A., al</w:t>
      </w:r>
      <w:r w:rsidR="008F476F" w:rsidRPr="00012C3F">
        <w:rPr>
          <w:rFonts w:cs="Verdana"/>
          <w:sz w:val="20"/>
          <w:szCs w:val="20"/>
          <w:lang w:val="en-US" w:eastAsia="es-ES"/>
        </w:rPr>
        <w:t>leged by</w:t>
      </w:r>
      <w:r w:rsidR="00A93967" w:rsidRPr="00012C3F">
        <w:rPr>
          <w:rFonts w:cs="Verdana"/>
          <w:sz w:val="20"/>
          <w:szCs w:val="20"/>
          <w:lang w:val="en-US" w:eastAsia="es-ES"/>
        </w:rPr>
        <w:t xml:space="preserve"> </w:t>
      </w:r>
      <w:r w:rsidR="00972ACF" w:rsidRPr="00012C3F">
        <w:rPr>
          <w:rFonts w:cs="Verdana"/>
          <w:sz w:val="20"/>
          <w:szCs w:val="20"/>
          <w:lang w:val="en-US" w:eastAsia="es-ES"/>
        </w:rPr>
        <w:t>the representative</w:t>
      </w:r>
      <w:r w:rsidR="00686B03" w:rsidRPr="00012C3F">
        <w:rPr>
          <w:rFonts w:cs="Verdana"/>
          <w:sz w:val="20"/>
          <w:szCs w:val="20"/>
          <w:lang w:val="en-US" w:eastAsia="es-ES"/>
        </w:rPr>
        <w:t>,</w:t>
      </w:r>
      <w:r w:rsidR="00A93967" w:rsidRPr="00012C3F">
        <w:rPr>
          <w:rFonts w:cs="Verdana"/>
          <w:sz w:val="20"/>
          <w:szCs w:val="20"/>
          <w:lang w:val="en-US" w:eastAsia="es-ES"/>
        </w:rPr>
        <w:t xml:space="preserve"> </w:t>
      </w:r>
      <w:r w:rsidR="008F476F" w:rsidRPr="00012C3F">
        <w:rPr>
          <w:rFonts w:cs="Verdana"/>
          <w:sz w:val="20"/>
          <w:szCs w:val="20"/>
          <w:lang w:val="en-US" w:eastAsia="es-ES"/>
        </w:rPr>
        <w:t xml:space="preserve">referred to facts that had not been included in the </w:t>
      </w:r>
      <w:r w:rsidR="00E00902" w:rsidRPr="00012C3F">
        <w:rPr>
          <w:rFonts w:cs="Verdana"/>
          <w:sz w:val="20"/>
          <w:szCs w:val="20"/>
          <w:lang w:val="en-US" w:eastAsia="es-ES"/>
        </w:rPr>
        <w:t>Merits Report</w:t>
      </w:r>
      <w:r w:rsidR="00A93967" w:rsidRPr="00012C3F">
        <w:rPr>
          <w:rFonts w:cs="Verdana"/>
          <w:sz w:val="20"/>
          <w:szCs w:val="20"/>
          <w:lang w:val="en-US" w:eastAsia="es-ES"/>
        </w:rPr>
        <w:t xml:space="preserve">. </w:t>
      </w:r>
      <w:r w:rsidR="008F476F" w:rsidRPr="00012C3F">
        <w:rPr>
          <w:rFonts w:cs="Verdana"/>
          <w:sz w:val="20"/>
          <w:szCs w:val="20"/>
          <w:lang w:val="en-US" w:eastAsia="es-ES"/>
        </w:rPr>
        <w:t xml:space="preserve">In this regard, although </w:t>
      </w:r>
      <w:r w:rsidR="001254DE" w:rsidRPr="00012C3F">
        <w:rPr>
          <w:rFonts w:cs="Verdana"/>
          <w:sz w:val="20"/>
          <w:szCs w:val="20"/>
          <w:lang w:val="en-US" w:eastAsia="es-ES"/>
        </w:rPr>
        <w:t xml:space="preserve">the </w:t>
      </w:r>
      <w:r w:rsidRPr="00012C3F">
        <w:rPr>
          <w:rFonts w:cs="Verdana"/>
          <w:sz w:val="20"/>
          <w:szCs w:val="20"/>
          <w:lang w:val="en-US" w:eastAsia="es-ES"/>
        </w:rPr>
        <w:t>Commission</w:t>
      </w:r>
      <w:r w:rsidR="00A93967" w:rsidRPr="00012C3F">
        <w:rPr>
          <w:rFonts w:cs="Verdana"/>
          <w:sz w:val="20"/>
          <w:szCs w:val="20"/>
          <w:lang w:val="en-US" w:eastAsia="es-ES"/>
        </w:rPr>
        <w:t xml:space="preserve"> </w:t>
      </w:r>
      <w:r w:rsidR="008F476F" w:rsidRPr="00012C3F">
        <w:rPr>
          <w:rFonts w:cs="Verdana"/>
          <w:sz w:val="20"/>
          <w:szCs w:val="20"/>
          <w:lang w:val="en-US" w:eastAsia="es-ES"/>
        </w:rPr>
        <w:t xml:space="preserve">had referred to the alleged non-consensual sterilization, it had not established a factual framework for presumed violations </w:t>
      </w:r>
      <w:r w:rsidR="00686B03" w:rsidRPr="00012C3F">
        <w:rPr>
          <w:rFonts w:cs="Verdana"/>
          <w:sz w:val="20"/>
          <w:szCs w:val="20"/>
          <w:lang w:val="en-US" w:eastAsia="es-ES"/>
        </w:rPr>
        <w:t xml:space="preserve">in relation </w:t>
      </w:r>
      <w:r w:rsidR="008F476F" w:rsidRPr="00012C3F">
        <w:rPr>
          <w:rFonts w:cs="Verdana"/>
          <w:sz w:val="20"/>
          <w:szCs w:val="20"/>
          <w:lang w:val="en-US" w:eastAsia="es-ES"/>
        </w:rPr>
        <w:t>to I.V.</w:t>
      </w:r>
      <w:r w:rsidR="00686B03" w:rsidRPr="00012C3F">
        <w:rPr>
          <w:rFonts w:cs="Verdana"/>
          <w:sz w:val="20"/>
          <w:szCs w:val="20"/>
          <w:lang w:val="en-US" w:eastAsia="es-ES"/>
        </w:rPr>
        <w:t>’s daughters</w:t>
      </w:r>
      <w:r w:rsidR="008F476F" w:rsidRPr="00012C3F">
        <w:rPr>
          <w:rFonts w:cs="Verdana"/>
          <w:sz w:val="20"/>
          <w:szCs w:val="20"/>
          <w:lang w:val="en-US" w:eastAsia="es-ES"/>
        </w:rPr>
        <w:t>, and had not classified them as indirect victims. Consequently, the State rejected the inclusion of N.V. and L.A. as presumed victims in this case, on the grounds that: (i) the daughters had not been included in the Commission’s Merits Report; (ii) the facts of this case d</w:t>
      </w:r>
      <w:r w:rsidR="00686B03" w:rsidRPr="00012C3F">
        <w:rPr>
          <w:rFonts w:cs="Verdana"/>
          <w:sz w:val="20"/>
          <w:szCs w:val="20"/>
          <w:lang w:val="en-US" w:eastAsia="es-ES"/>
        </w:rPr>
        <w:t>id</w:t>
      </w:r>
      <w:r w:rsidR="008F476F" w:rsidRPr="00012C3F">
        <w:rPr>
          <w:rFonts w:cs="Verdana"/>
          <w:sz w:val="20"/>
          <w:szCs w:val="20"/>
          <w:lang w:val="en-US" w:eastAsia="es-ES"/>
        </w:rPr>
        <w:t xml:space="preserve"> not demonstrate mass violations that ha</w:t>
      </w:r>
      <w:r w:rsidR="00686B03" w:rsidRPr="00012C3F">
        <w:rPr>
          <w:rFonts w:cs="Verdana"/>
          <w:sz w:val="20"/>
          <w:szCs w:val="20"/>
          <w:lang w:val="en-US" w:eastAsia="es-ES"/>
        </w:rPr>
        <w:t>d</w:t>
      </w:r>
      <w:r w:rsidR="008F476F" w:rsidRPr="00012C3F">
        <w:rPr>
          <w:rFonts w:cs="Verdana"/>
          <w:sz w:val="20"/>
          <w:szCs w:val="20"/>
          <w:lang w:val="en-US" w:eastAsia="es-ES"/>
        </w:rPr>
        <w:t xml:space="preserve"> prevented their identification at the proper opportunity; (iii) the judgments </w:t>
      </w:r>
      <w:r w:rsidR="00686B03" w:rsidRPr="00012C3F">
        <w:rPr>
          <w:rFonts w:cs="Verdana"/>
          <w:sz w:val="20"/>
          <w:szCs w:val="20"/>
          <w:lang w:val="en-US" w:eastAsia="es-ES"/>
        </w:rPr>
        <w:t xml:space="preserve">cited </w:t>
      </w:r>
      <w:r w:rsidR="008F476F" w:rsidRPr="00012C3F">
        <w:rPr>
          <w:rFonts w:cs="Verdana"/>
          <w:sz w:val="20"/>
          <w:szCs w:val="20"/>
          <w:lang w:val="en-US" w:eastAsia="es-ES"/>
        </w:rPr>
        <w:t>by the representative refer to factual circumstances that differ</w:t>
      </w:r>
      <w:r w:rsidR="00686B03" w:rsidRPr="00012C3F">
        <w:rPr>
          <w:rFonts w:cs="Verdana"/>
          <w:sz w:val="20"/>
          <w:szCs w:val="20"/>
          <w:lang w:val="en-US" w:eastAsia="es-ES"/>
        </w:rPr>
        <w:t>ed</w:t>
      </w:r>
      <w:r w:rsidR="008F476F" w:rsidRPr="00012C3F">
        <w:rPr>
          <w:rFonts w:cs="Verdana"/>
          <w:sz w:val="20"/>
          <w:szCs w:val="20"/>
          <w:lang w:val="en-US" w:eastAsia="es-ES"/>
        </w:rPr>
        <w:t xml:space="preserve"> from this cases and </w:t>
      </w:r>
      <w:r w:rsidR="00686B03" w:rsidRPr="00012C3F">
        <w:rPr>
          <w:rFonts w:cs="Verdana"/>
          <w:sz w:val="20"/>
          <w:szCs w:val="20"/>
          <w:lang w:val="en-US" w:eastAsia="es-ES"/>
        </w:rPr>
        <w:t>we</w:t>
      </w:r>
      <w:r w:rsidR="008F476F" w:rsidRPr="00012C3F">
        <w:rPr>
          <w:rFonts w:cs="Verdana"/>
          <w:sz w:val="20"/>
          <w:szCs w:val="20"/>
          <w:lang w:val="en-US" w:eastAsia="es-ES"/>
        </w:rPr>
        <w:t>re not applicable to it, and (iv) the representative never</w:t>
      </w:r>
      <w:r w:rsidR="003C68B2" w:rsidRPr="00012C3F">
        <w:rPr>
          <w:rFonts w:cs="Verdana"/>
          <w:sz w:val="20"/>
          <w:szCs w:val="20"/>
          <w:lang w:val="en-US" w:eastAsia="es-ES"/>
        </w:rPr>
        <w:t xml:space="preserve"> </w:t>
      </w:r>
      <w:r w:rsidR="00686B03" w:rsidRPr="00012C3F">
        <w:rPr>
          <w:rFonts w:cs="Verdana"/>
          <w:sz w:val="20"/>
          <w:szCs w:val="20"/>
          <w:lang w:val="en-US" w:eastAsia="es-ES"/>
        </w:rPr>
        <w:t>requested a</w:t>
      </w:r>
      <w:r w:rsidR="003C68B2" w:rsidRPr="00012C3F">
        <w:rPr>
          <w:rFonts w:cs="Verdana"/>
          <w:sz w:val="20"/>
          <w:szCs w:val="20"/>
          <w:lang w:val="en-US" w:eastAsia="es-ES"/>
        </w:rPr>
        <w:t xml:space="preserve"> declaration of the State’s international responsibility for violating the rights of I.V.’s daughters before the Commission. The </w:t>
      </w:r>
      <w:r w:rsidR="003C68B2" w:rsidRPr="00012C3F">
        <w:rPr>
          <w:rFonts w:cs="Verdana"/>
          <w:b/>
          <w:bCs/>
          <w:i/>
          <w:iCs/>
          <w:sz w:val="20"/>
          <w:szCs w:val="20"/>
          <w:lang w:val="en-US" w:eastAsia="es-ES"/>
        </w:rPr>
        <w:t>representative</w:t>
      </w:r>
      <w:r w:rsidR="00AC78B2" w:rsidRPr="00012C3F">
        <w:rPr>
          <w:rFonts w:cs="Verdana"/>
          <w:sz w:val="20"/>
          <w:szCs w:val="20"/>
          <w:lang w:val="en-US" w:eastAsia="es-ES"/>
        </w:rPr>
        <w:t xml:space="preserve"> argued that it </w:t>
      </w:r>
      <w:r w:rsidR="00686B03" w:rsidRPr="00012C3F">
        <w:rPr>
          <w:rFonts w:cs="Verdana"/>
          <w:sz w:val="20"/>
          <w:szCs w:val="20"/>
          <w:lang w:val="en-US" w:eastAsia="es-ES"/>
        </w:rPr>
        <w:t>was based on</w:t>
      </w:r>
      <w:r w:rsidR="00AC78B2" w:rsidRPr="00012C3F">
        <w:rPr>
          <w:rFonts w:cs="Verdana"/>
          <w:sz w:val="20"/>
          <w:szCs w:val="20"/>
          <w:lang w:val="en-US" w:eastAsia="es-ES"/>
        </w:rPr>
        <w:t xml:space="preserve"> the passage of </w:t>
      </w:r>
      <w:r w:rsidR="00686B03" w:rsidRPr="00012C3F">
        <w:rPr>
          <w:rFonts w:cs="Verdana"/>
          <w:sz w:val="20"/>
          <w:szCs w:val="20"/>
          <w:lang w:val="en-US" w:eastAsia="es-ES"/>
        </w:rPr>
        <w:t>time</w:t>
      </w:r>
      <w:r w:rsidR="00AC78B2" w:rsidRPr="00012C3F">
        <w:rPr>
          <w:rFonts w:cs="Verdana"/>
          <w:sz w:val="20"/>
          <w:szCs w:val="20"/>
          <w:lang w:val="en-US" w:eastAsia="es-ES"/>
        </w:rPr>
        <w:t xml:space="preserve"> that the two daughters </w:t>
      </w:r>
      <w:r w:rsidR="00686B03" w:rsidRPr="00012C3F">
        <w:rPr>
          <w:rFonts w:cs="Verdana"/>
          <w:sz w:val="20"/>
          <w:szCs w:val="20"/>
          <w:lang w:val="en-US" w:eastAsia="es-ES"/>
        </w:rPr>
        <w:t xml:space="preserve">had </w:t>
      </w:r>
      <w:r w:rsidR="00AC78B2" w:rsidRPr="00012C3F">
        <w:rPr>
          <w:rFonts w:cs="Verdana"/>
          <w:sz w:val="20"/>
          <w:szCs w:val="20"/>
          <w:lang w:val="en-US" w:eastAsia="es-ES"/>
        </w:rPr>
        <w:t>bec</w:t>
      </w:r>
      <w:r w:rsidR="00686B03" w:rsidRPr="00012C3F">
        <w:rPr>
          <w:rFonts w:cs="Verdana"/>
          <w:sz w:val="20"/>
          <w:szCs w:val="20"/>
          <w:lang w:val="en-US" w:eastAsia="es-ES"/>
        </w:rPr>
        <w:t>o</w:t>
      </w:r>
      <w:r w:rsidR="00AC78B2" w:rsidRPr="00012C3F">
        <w:rPr>
          <w:rFonts w:cs="Verdana"/>
          <w:sz w:val="20"/>
          <w:szCs w:val="20"/>
          <w:lang w:val="en-US" w:eastAsia="es-ES"/>
        </w:rPr>
        <w:t>me indirect victims of the State’s action</w:t>
      </w:r>
      <w:r w:rsidR="00686B03" w:rsidRPr="00012C3F">
        <w:rPr>
          <w:rFonts w:cs="Verdana"/>
          <w:sz w:val="20"/>
          <w:szCs w:val="20"/>
          <w:lang w:val="en-US" w:eastAsia="es-ES"/>
        </w:rPr>
        <w:t>s</w:t>
      </w:r>
      <w:r w:rsidR="00AC78B2" w:rsidRPr="00012C3F">
        <w:rPr>
          <w:rFonts w:cs="Verdana"/>
          <w:sz w:val="20"/>
          <w:szCs w:val="20"/>
          <w:lang w:val="en-US" w:eastAsia="es-ES"/>
        </w:rPr>
        <w:t xml:space="preserve"> and inaction in relation to their mother. She added that, although it was I.V. who had experienced both the sterilization and the denial of justice directly, over the ensuing 16 years, N.V. and L.A. had also become victims of th</w:t>
      </w:r>
      <w:r w:rsidR="00686B03" w:rsidRPr="00012C3F">
        <w:rPr>
          <w:rFonts w:cs="Verdana"/>
          <w:sz w:val="20"/>
          <w:szCs w:val="20"/>
          <w:lang w:val="en-US" w:eastAsia="es-ES"/>
        </w:rPr>
        <w:t>o</w:t>
      </w:r>
      <w:r w:rsidR="00AC78B2" w:rsidRPr="00012C3F">
        <w:rPr>
          <w:rFonts w:cs="Verdana"/>
          <w:sz w:val="20"/>
          <w:szCs w:val="20"/>
          <w:lang w:val="en-US" w:eastAsia="es-ES"/>
        </w:rPr>
        <w:t>se violations and their negative implications and impacts</w:t>
      </w:r>
      <w:r w:rsidR="00A93967" w:rsidRPr="00012C3F">
        <w:rPr>
          <w:rFonts w:cs="Verdana"/>
          <w:sz w:val="20"/>
          <w:szCs w:val="20"/>
          <w:lang w:val="en-US" w:eastAsia="es-ES"/>
        </w:rPr>
        <w:t xml:space="preserve">. </w:t>
      </w:r>
      <w:r w:rsidR="00BD056C" w:rsidRPr="00012C3F">
        <w:rPr>
          <w:rFonts w:cs="Verdana"/>
          <w:sz w:val="20"/>
          <w:szCs w:val="20"/>
          <w:lang w:val="en-US" w:eastAsia="es-ES"/>
        </w:rPr>
        <w:t xml:space="preserve">The </w:t>
      </w:r>
      <w:r w:rsidR="00BD056C" w:rsidRPr="00012C3F">
        <w:rPr>
          <w:rFonts w:cs="Verdana"/>
          <w:b/>
          <w:bCs/>
          <w:i/>
          <w:iCs/>
          <w:sz w:val="20"/>
          <w:szCs w:val="20"/>
          <w:lang w:val="en-US" w:eastAsia="es-ES"/>
        </w:rPr>
        <w:t>Commission</w:t>
      </w:r>
      <w:r w:rsidR="00A93967" w:rsidRPr="00012C3F">
        <w:rPr>
          <w:rFonts w:cs="Verdana"/>
          <w:sz w:val="20"/>
          <w:szCs w:val="20"/>
          <w:lang w:val="en-US" w:eastAsia="es-ES"/>
        </w:rPr>
        <w:t xml:space="preserve"> </w:t>
      </w:r>
      <w:r w:rsidR="00AC78B2" w:rsidRPr="00012C3F">
        <w:rPr>
          <w:rFonts w:cs="Verdana"/>
          <w:sz w:val="20"/>
          <w:szCs w:val="20"/>
          <w:lang w:val="en-US" w:eastAsia="es-ES"/>
        </w:rPr>
        <w:t xml:space="preserve">made no </w:t>
      </w:r>
      <w:r w:rsidR="00686B03" w:rsidRPr="00012C3F">
        <w:rPr>
          <w:rFonts w:cs="Verdana"/>
          <w:sz w:val="20"/>
          <w:szCs w:val="20"/>
          <w:lang w:val="en-US" w:eastAsia="es-ES"/>
        </w:rPr>
        <w:t>observations</w:t>
      </w:r>
      <w:r w:rsidR="00AC78B2" w:rsidRPr="00012C3F">
        <w:rPr>
          <w:rFonts w:cs="Verdana"/>
          <w:sz w:val="20"/>
          <w:szCs w:val="20"/>
          <w:lang w:val="en-US" w:eastAsia="es-ES"/>
        </w:rPr>
        <w:t xml:space="preserve"> in this regard. </w:t>
      </w:r>
    </w:p>
    <w:p w14:paraId="14A84A67" w14:textId="77777777" w:rsidR="00AC78B2" w:rsidRPr="00012C3F" w:rsidRDefault="00AC78B2" w:rsidP="008A7A0F">
      <w:pPr>
        <w:tabs>
          <w:tab w:val="left" w:pos="720"/>
        </w:tabs>
        <w:spacing w:line="240" w:lineRule="auto"/>
        <w:rPr>
          <w:rFonts w:cs="Verdana"/>
          <w:sz w:val="20"/>
          <w:szCs w:val="20"/>
          <w:lang w:val="en-US" w:eastAsia="es-ES"/>
        </w:rPr>
      </w:pPr>
    </w:p>
    <w:p w14:paraId="173B014D" w14:textId="77777777" w:rsidR="00A93967" w:rsidRPr="00012C3F" w:rsidRDefault="001254DE" w:rsidP="008A7A0F">
      <w:pPr>
        <w:numPr>
          <w:ilvl w:val="0"/>
          <w:numId w:val="5"/>
        </w:numPr>
        <w:tabs>
          <w:tab w:val="left" w:pos="720"/>
          <w:tab w:val="num" w:pos="12305"/>
        </w:tabs>
        <w:spacing w:line="240" w:lineRule="auto"/>
        <w:ind w:left="0" w:firstLine="0"/>
        <w:rPr>
          <w:sz w:val="20"/>
          <w:szCs w:val="20"/>
          <w:lang w:val="en-US" w:eastAsia="es-MX"/>
        </w:rPr>
      </w:pPr>
      <w:r w:rsidRPr="00012C3F">
        <w:rPr>
          <w:rFonts w:cs="Arial"/>
          <w:sz w:val="20"/>
          <w:szCs w:val="20"/>
          <w:lang w:val="en-US"/>
        </w:rPr>
        <w:t>The Court</w:t>
      </w:r>
      <w:r w:rsidR="00A93967" w:rsidRPr="00012C3F">
        <w:rPr>
          <w:rFonts w:cs="Arial"/>
          <w:sz w:val="20"/>
          <w:szCs w:val="20"/>
          <w:lang w:val="en-US"/>
        </w:rPr>
        <w:t xml:space="preserve"> rec</w:t>
      </w:r>
      <w:r w:rsidR="00AC78B2" w:rsidRPr="00012C3F">
        <w:rPr>
          <w:rFonts w:cs="Arial"/>
          <w:sz w:val="20"/>
          <w:szCs w:val="20"/>
          <w:lang w:val="en-US"/>
        </w:rPr>
        <w:t xml:space="preserve">alls that, in order to safeguard legal certainty, and pursuant to </w:t>
      </w:r>
      <w:r w:rsidRPr="00012C3F">
        <w:rPr>
          <w:rFonts w:cs="Arial"/>
          <w:sz w:val="20"/>
          <w:szCs w:val="20"/>
          <w:lang w:val="en-US"/>
        </w:rPr>
        <w:t>Article</w:t>
      </w:r>
      <w:r w:rsidR="000D4F2A" w:rsidRPr="00012C3F">
        <w:rPr>
          <w:rFonts w:cs="Arial"/>
          <w:sz w:val="20"/>
          <w:szCs w:val="20"/>
          <w:lang w:val="en-US"/>
        </w:rPr>
        <w:t xml:space="preserve"> 3</w:t>
      </w:r>
      <w:r w:rsidR="005E5012" w:rsidRPr="00012C3F">
        <w:rPr>
          <w:rFonts w:cs="Arial"/>
          <w:sz w:val="20"/>
          <w:szCs w:val="20"/>
          <w:lang w:val="en-US"/>
        </w:rPr>
        <w:t>5(1)</w:t>
      </w:r>
      <w:r w:rsidRPr="00012C3F">
        <w:rPr>
          <w:rFonts w:cs="Arial"/>
          <w:sz w:val="20"/>
          <w:szCs w:val="20"/>
          <w:lang w:val="en-US"/>
        </w:rPr>
        <w:t xml:space="preserve"> of the </w:t>
      </w:r>
      <w:r w:rsidR="00AC78B2" w:rsidRPr="00012C3F">
        <w:rPr>
          <w:rFonts w:cs="Arial"/>
          <w:sz w:val="20"/>
          <w:szCs w:val="20"/>
          <w:lang w:val="en-US"/>
        </w:rPr>
        <w:t xml:space="preserve">Court’s </w:t>
      </w:r>
      <w:r w:rsidRPr="00012C3F">
        <w:rPr>
          <w:rFonts w:cs="Arial"/>
          <w:sz w:val="20"/>
          <w:szCs w:val="20"/>
          <w:lang w:val="en-US"/>
        </w:rPr>
        <w:t>Rules of Procedure</w:t>
      </w:r>
      <w:r w:rsidR="00AC78B2" w:rsidRPr="00012C3F">
        <w:rPr>
          <w:rFonts w:cs="Arial"/>
          <w:sz w:val="20"/>
          <w:szCs w:val="20"/>
          <w:lang w:val="en-US"/>
        </w:rPr>
        <w:t>, the presumed victims must be duly identified and indicated in the</w:t>
      </w:r>
      <w:r w:rsidR="000D4F2A" w:rsidRPr="00012C3F">
        <w:rPr>
          <w:rFonts w:cs="Arial"/>
          <w:sz w:val="20"/>
          <w:szCs w:val="20"/>
          <w:lang w:val="en-US"/>
        </w:rPr>
        <w:t xml:space="preserve"> </w:t>
      </w:r>
      <w:r w:rsidR="00E00902" w:rsidRPr="00012C3F">
        <w:rPr>
          <w:rFonts w:cs="Arial"/>
          <w:sz w:val="20"/>
          <w:szCs w:val="20"/>
          <w:lang w:val="en-US"/>
        </w:rPr>
        <w:t>Merits Report</w:t>
      </w:r>
      <w:r w:rsidRPr="00012C3F">
        <w:rPr>
          <w:rFonts w:cs="Arial"/>
          <w:sz w:val="20"/>
          <w:szCs w:val="20"/>
          <w:lang w:val="en-US"/>
        </w:rPr>
        <w:t xml:space="preserve"> of the </w:t>
      </w:r>
      <w:r w:rsidR="00A84CA0" w:rsidRPr="00012C3F">
        <w:rPr>
          <w:rFonts w:cs="Arial"/>
          <w:sz w:val="20"/>
          <w:szCs w:val="20"/>
          <w:lang w:val="en-US"/>
        </w:rPr>
        <w:t>Commission</w:t>
      </w:r>
      <w:r w:rsidR="00A93967" w:rsidRPr="00012C3F">
        <w:rPr>
          <w:rFonts w:cs="Arial"/>
          <w:sz w:val="20"/>
          <w:szCs w:val="20"/>
          <w:lang w:val="en-US"/>
        </w:rPr>
        <w:t>,</w:t>
      </w:r>
      <w:r w:rsidR="000D4F2A" w:rsidRPr="00012C3F">
        <w:rPr>
          <w:rFonts w:cs="Arial"/>
          <w:sz w:val="20"/>
          <w:szCs w:val="20"/>
          <w:lang w:val="en-US"/>
        </w:rPr>
        <w:t xml:space="preserve"> </w:t>
      </w:r>
      <w:r w:rsidR="00AC78B2" w:rsidRPr="00012C3F">
        <w:rPr>
          <w:rFonts w:cs="Arial"/>
          <w:sz w:val="20"/>
          <w:szCs w:val="20"/>
          <w:lang w:val="en-US"/>
        </w:rPr>
        <w:t xml:space="preserve">apart from the exceptional circumstance established in </w:t>
      </w:r>
      <w:r w:rsidRPr="00012C3F">
        <w:rPr>
          <w:rFonts w:cs="Arial"/>
          <w:sz w:val="20"/>
          <w:szCs w:val="20"/>
          <w:lang w:val="en-US"/>
        </w:rPr>
        <w:t>Article</w:t>
      </w:r>
      <w:r w:rsidR="000D4F2A" w:rsidRPr="00012C3F">
        <w:rPr>
          <w:rFonts w:cs="Arial"/>
          <w:sz w:val="20"/>
          <w:szCs w:val="20"/>
          <w:lang w:val="en-US"/>
        </w:rPr>
        <w:t xml:space="preserve"> 3</w:t>
      </w:r>
      <w:r w:rsidR="00B257AF" w:rsidRPr="00012C3F">
        <w:rPr>
          <w:rFonts w:cs="Arial"/>
          <w:sz w:val="20"/>
          <w:szCs w:val="20"/>
          <w:lang w:val="en-US"/>
        </w:rPr>
        <w:t>5(2)</w:t>
      </w:r>
      <w:r w:rsidRPr="00012C3F">
        <w:rPr>
          <w:rFonts w:cs="Arial"/>
          <w:sz w:val="20"/>
          <w:szCs w:val="20"/>
          <w:lang w:val="en-US"/>
        </w:rPr>
        <w:t xml:space="preserve"> of the Rules of Procedure</w:t>
      </w:r>
      <w:r w:rsidR="00A93967" w:rsidRPr="00012C3F">
        <w:rPr>
          <w:rFonts w:cs="Arial"/>
          <w:sz w:val="20"/>
          <w:szCs w:val="20"/>
          <w:lang w:val="en-US"/>
        </w:rPr>
        <w:t>.</w:t>
      </w:r>
      <w:r w:rsidR="000D4F2A" w:rsidRPr="00012C3F">
        <w:rPr>
          <w:rFonts w:cs="Arial"/>
          <w:sz w:val="20"/>
          <w:szCs w:val="20"/>
          <w:lang w:val="en-US"/>
        </w:rPr>
        <w:t xml:space="preserve"> </w:t>
      </w:r>
      <w:r w:rsidR="00AC78B2" w:rsidRPr="00012C3F">
        <w:rPr>
          <w:rFonts w:cs="Arial"/>
          <w:sz w:val="20"/>
          <w:szCs w:val="20"/>
          <w:lang w:val="en-US"/>
        </w:rPr>
        <w:t xml:space="preserve">Consequently, the </w:t>
      </w:r>
      <w:r w:rsidR="008A7A0F" w:rsidRPr="00012C3F">
        <w:rPr>
          <w:rFonts w:cs="Arial"/>
          <w:sz w:val="20"/>
          <w:szCs w:val="20"/>
          <w:lang w:val="en-US"/>
        </w:rPr>
        <w:t>responsibility for identifying the presumed victims in a case before the Court</w:t>
      </w:r>
      <w:r w:rsidR="00686B03" w:rsidRPr="00012C3F">
        <w:rPr>
          <w:rFonts w:cs="Arial"/>
          <w:sz w:val="20"/>
          <w:szCs w:val="20"/>
          <w:lang w:val="en-US"/>
        </w:rPr>
        <w:t>,</w:t>
      </w:r>
      <w:r w:rsidR="008A7A0F" w:rsidRPr="00012C3F">
        <w:rPr>
          <w:rFonts w:cs="Arial"/>
          <w:sz w:val="20"/>
          <w:szCs w:val="20"/>
          <w:lang w:val="en-US"/>
        </w:rPr>
        <w:t xml:space="preserve"> precisely and at the proper procedural opportunity corresponds to the Commission and not to this Court.</w:t>
      </w:r>
      <w:r w:rsidR="00A93967" w:rsidRPr="00012C3F">
        <w:rPr>
          <w:rStyle w:val="Refdenotaalpie"/>
          <w:rFonts w:cs="Arial"/>
          <w:sz w:val="20"/>
          <w:szCs w:val="20"/>
          <w:lang w:val="en-US"/>
        </w:rPr>
        <w:footnoteReference w:id="24"/>
      </w:r>
    </w:p>
    <w:p w14:paraId="4DAD9D12" w14:textId="77777777" w:rsidR="000D4F2A" w:rsidRPr="00012C3F" w:rsidRDefault="000D4F2A" w:rsidP="008A7A0F">
      <w:pPr>
        <w:tabs>
          <w:tab w:val="left" w:pos="567"/>
          <w:tab w:val="left" w:pos="720"/>
        </w:tabs>
        <w:spacing w:line="240" w:lineRule="auto"/>
        <w:rPr>
          <w:sz w:val="20"/>
          <w:szCs w:val="20"/>
          <w:lang w:val="en-US" w:eastAsia="es-MX"/>
        </w:rPr>
      </w:pPr>
    </w:p>
    <w:p w14:paraId="186F9AED" w14:textId="77777777" w:rsidR="00A93967" w:rsidRPr="00012C3F" w:rsidRDefault="001254DE" w:rsidP="008A7A0F">
      <w:pPr>
        <w:numPr>
          <w:ilvl w:val="0"/>
          <w:numId w:val="5"/>
        </w:numPr>
        <w:tabs>
          <w:tab w:val="left" w:pos="720"/>
          <w:tab w:val="num" w:pos="12305"/>
        </w:tabs>
        <w:spacing w:line="240" w:lineRule="auto"/>
        <w:ind w:left="0" w:firstLine="0"/>
        <w:rPr>
          <w:sz w:val="20"/>
          <w:szCs w:val="20"/>
          <w:lang w:val="en-US"/>
        </w:rPr>
      </w:pPr>
      <w:r w:rsidRPr="00012C3F">
        <w:rPr>
          <w:rFonts w:cs="Verdana"/>
          <w:sz w:val="20"/>
          <w:szCs w:val="20"/>
          <w:lang w:val="en-US" w:eastAsia="es-ES"/>
        </w:rPr>
        <w:t>The Court</w:t>
      </w:r>
      <w:r w:rsidR="00A93967" w:rsidRPr="00012C3F">
        <w:rPr>
          <w:rFonts w:cs="Verdana"/>
          <w:sz w:val="20"/>
          <w:szCs w:val="20"/>
          <w:lang w:val="en-US" w:eastAsia="es-ES"/>
        </w:rPr>
        <w:t xml:space="preserve"> </w:t>
      </w:r>
      <w:r w:rsidR="008A7A0F" w:rsidRPr="00012C3F">
        <w:rPr>
          <w:rFonts w:cs="Verdana"/>
          <w:sz w:val="20"/>
          <w:szCs w:val="20"/>
          <w:lang w:val="en-US" w:eastAsia="es-ES"/>
        </w:rPr>
        <w:t>has verified that</w:t>
      </w:r>
      <w:r w:rsidR="00686B03" w:rsidRPr="00012C3F">
        <w:rPr>
          <w:rFonts w:cs="Verdana"/>
          <w:sz w:val="20"/>
          <w:szCs w:val="20"/>
          <w:lang w:val="en-US" w:eastAsia="es-ES"/>
        </w:rPr>
        <w:t>,</w:t>
      </w:r>
      <w:r w:rsidR="008A7A0F" w:rsidRPr="00012C3F">
        <w:rPr>
          <w:rFonts w:cs="Verdana"/>
          <w:sz w:val="20"/>
          <w:szCs w:val="20"/>
          <w:lang w:val="en-US" w:eastAsia="es-ES"/>
        </w:rPr>
        <w:t xml:space="preserve"> in its</w:t>
      </w:r>
      <w:r w:rsidR="00A93967" w:rsidRPr="00012C3F">
        <w:rPr>
          <w:rFonts w:cs="Verdana"/>
          <w:sz w:val="20"/>
          <w:szCs w:val="20"/>
          <w:lang w:val="en-US" w:eastAsia="es-ES"/>
        </w:rPr>
        <w:t xml:space="preserve"> </w:t>
      </w:r>
      <w:r w:rsidR="00E00902" w:rsidRPr="00012C3F">
        <w:rPr>
          <w:rFonts w:cs="Verdana"/>
          <w:sz w:val="20"/>
          <w:szCs w:val="20"/>
          <w:lang w:val="en-US" w:eastAsia="es-ES"/>
        </w:rPr>
        <w:t>Merits Report</w:t>
      </w:r>
      <w:r w:rsidR="00A93967" w:rsidRPr="00012C3F">
        <w:rPr>
          <w:rFonts w:cs="Verdana"/>
          <w:sz w:val="20"/>
          <w:szCs w:val="20"/>
          <w:lang w:val="en-US" w:eastAsia="es-ES"/>
        </w:rPr>
        <w:t xml:space="preserve">, </w:t>
      </w:r>
      <w:r w:rsidRPr="00012C3F">
        <w:rPr>
          <w:rFonts w:cs="Verdana"/>
          <w:sz w:val="20"/>
          <w:szCs w:val="20"/>
          <w:lang w:val="en-US" w:eastAsia="es-ES"/>
        </w:rPr>
        <w:t xml:space="preserve">the </w:t>
      </w:r>
      <w:r w:rsidR="00A84CA0" w:rsidRPr="00012C3F">
        <w:rPr>
          <w:rFonts w:cs="Verdana"/>
          <w:sz w:val="20"/>
          <w:szCs w:val="20"/>
          <w:lang w:val="en-US" w:eastAsia="es-ES"/>
        </w:rPr>
        <w:t>Commission</w:t>
      </w:r>
      <w:r w:rsidR="00A93967" w:rsidRPr="00012C3F">
        <w:rPr>
          <w:rFonts w:cs="Verdana"/>
          <w:sz w:val="20"/>
          <w:szCs w:val="20"/>
          <w:lang w:val="en-US" w:eastAsia="es-ES"/>
        </w:rPr>
        <w:t xml:space="preserve"> establ</w:t>
      </w:r>
      <w:r w:rsidR="008A7A0F" w:rsidRPr="00012C3F">
        <w:rPr>
          <w:rFonts w:cs="Verdana"/>
          <w:sz w:val="20"/>
          <w:szCs w:val="20"/>
          <w:lang w:val="en-US" w:eastAsia="es-ES"/>
        </w:rPr>
        <w:t xml:space="preserve">ished I.V. as the sole victim in this case. However, when submitting the motions and pleadings brief, in addition to identifying I.V. as presumed victim, </w:t>
      </w:r>
      <w:r w:rsidR="00972ACF" w:rsidRPr="00012C3F">
        <w:rPr>
          <w:rFonts w:cs="Verdana"/>
          <w:sz w:val="20"/>
          <w:szCs w:val="20"/>
          <w:lang w:val="en-US" w:eastAsia="es-ES"/>
        </w:rPr>
        <w:t>the representative</w:t>
      </w:r>
      <w:r w:rsidR="00A93967" w:rsidRPr="00012C3F">
        <w:rPr>
          <w:rFonts w:cs="Verdana"/>
          <w:sz w:val="20"/>
          <w:szCs w:val="20"/>
          <w:lang w:val="en-US" w:eastAsia="es-ES"/>
        </w:rPr>
        <w:t xml:space="preserve"> a</w:t>
      </w:r>
      <w:r w:rsidR="008A7A0F" w:rsidRPr="00012C3F">
        <w:rPr>
          <w:rFonts w:cs="Verdana"/>
          <w:sz w:val="20"/>
          <w:szCs w:val="20"/>
          <w:lang w:val="en-US" w:eastAsia="es-ES"/>
        </w:rPr>
        <w:t>dded</w:t>
      </w:r>
      <w:r w:rsidR="00A93967" w:rsidRPr="00012C3F">
        <w:rPr>
          <w:rFonts w:cs="Verdana"/>
          <w:sz w:val="20"/>
          <w:szCs w:val="20"/>
          <w:lang w:val="en-US" w:eastAsia="es-ES"/>
        </w:rPr>
        <w:t xml:space="preserve"> L.A.</w:t>
      </w:r>
      <w:r w:rsidR="005E5012" w:rsidRPr="00012C3F">
        <w:rPr>
          <w:rFonts w:cs="Verdana"/>
          <w:sz w:val="20"/>
          <w:szCs w:val="20"/>
          <w:lang w:val="en-US" w:eastAsia="es-ES"/>
        </w:rPr>
        <w:t xml:space="preserve"> and </w:t>
      </w:r>
      <w:r w:rsidR="000E1C11" w:rsidRPr="00012C3F">
        <w:rPr>
          <w:rFonts w:cs="Verdana"/>
          <w:sz w:val="20"/>
          <w:szCs w:val="20"/>
          <w:lang w:val="en-US" w:eastAsia="es-ES"/>
        </w:rPr>
        <w:t>N.V.</w:t>
      </w:r>
      <w:r w:rsidR="00A93967" w:rsidRPr="00012C3F">
        <w:rPr>
          <w:rFonts w:cs="Verdana"/>
          <w:sz w:val="20"/>
          <w:szCs w:val="20"/>
          <w:lang w:val="en-US" w:eastAsia="es-ES"/>
        </w:rPr>
        <w:t xml:space="preserve">, </w:t>
      </w:r>
      <w:r w:rsidR="008A7A0F" w:rsidRPr="00012C3F">
        <w:rPr>
          <w:rFonts w:cs="Verdana"/>
          <w:sz w:val="20"/>
          <w:szCs w:val="20"/>
          <w:lang w:val="en-US" w:eastAsia="es-ES"/>
        </w:rPr>
        <w:t>the daughters of</w:t>
      </w:r>
      <w:r w:rsidR="00A93967" w:rsidRPr="00012C3F">
        <w:rPr>
          <w:rFonts w:cs="Verdana"/>
          <w:sz w:val="20"/>
          <w:szCs w:val="20"/>
          <w:lang w:val="en-US" w:eastAsia="es-ES"/>
        </w:rPr>
        <w:t xml:space="preserve"> </w:t>
      </w:r>
      <w:r w:rsidR="000E1C11" w:rsidRPr="00012C3F">
        <w:rPr>
          <w:rFonts w:cs="Verdana"/>
          <w:sz w:val="20"/>
          <w:szCs w:val="20"/>
          <w:lang w:val="en-US" w:eastAsia="es-ES"/>
        </w:rPr>
        <w:t>I.V.</w:t>
      </w:r>
      <w:r w:rsidR="00A93967" w:rsidRPr="00012C3F">
        <w:rPr>
          <w:rFonts w:cs="Verdana"/>
          <w:sz w:val="20"/>
          <w:szCs w:val="20"/>
          <w:lang w:val="en-US" w:eastAsia="es-ES"/>
        </w:rPr>
        <w:t xml:space="preserve">, </w:t>
      </w:r>
      <w:r w:rsidR="008A7A0F" w:rsidRPr="00012C3F">
        <w:rPr>
          <w:rFonts w:cs="Verdana"/>
          <w:sz w:val="20"/>
          <w:szCs w:val="20"/>
          <w:lang w:val="en-US" w:eastAsia="es-ES"/>
        </w:rPr>
        <w:t>as presumed victims of the violation</w:t>
      </w:r>
      <w:r w:rsidR="00A93967" w:rsidRPr="00012C3F">
        <w:rPr>
          <w:rFonts w:cs="Verdana"/>
          <w:sz w:val="20"/>
          <w:szCs w:val="20"/>
          <w:lang w:val="en-US" w:eastAsia="es-ES"/>
        </w:rPr>
        <w:t xml:space="preserve"> </w:t>
      </w:r>
      <w:r w:rsidR="008A7A0F" w:rsidRPr="00012C3F">
        <w:rPr>
          <w:rFonts w:cs="Verdana"/>
          <w:sz w:val="20"/>
          <w:szCs w:val="20"/>
          <w:lang w:val="en-US" w:eastAsia="es-ES"/>
        </w:rPr>
        <w:t>of Article</w:t>
      </w:r>
      <w:r w:rsidR="00A93967" w:rsidRPr="00012C3F">
        <w:rPr>
          <w:rFonts w:cs="Verdana"/>
          <w:sz w:val="20"/>
          <w:szCs w:val="20"/>
          <w:lang w:val="en-US" w:eastAsia="es-ES"/>
        </w:rPr>
        <w:t xml:space="preserve"> 5</w:t>
      </w:r>
      <w:r w:rsidRPr="00012C3F">
        <w:rPr>
          <w:rFonts w:cs="Verdana"/>
          <w:sz w:val="20"/>
          <w:szCs w:val="20"/>
          <w:lang w:val="en-US" w:eastAsia="es-ES"/>
        </w:rPr>
        <w:t xml:space="preserve"> of the Convention</w:t>
      </w:r>
      <w:r w:rsidR="00A93967" w:rsidRPr="00012C3F">
        <w:rPr>
          <w:rFonts w:cs="Verdana"/>
          <w:sz w:val="20"/>
          <w:szCs w:val="20"/>
          <w:lang w:val="en-US" w:eastAsia="es-ES"/>
        </w:rPr>
        <w:t xml:space="preserve">, </w:t>
      </w:r>
      <w:r w:rsidR="008A7A0F" w:rsidRPr="00012C3F">
        <w:rPr>
          <w:rFonts w:cs="Verdana"/>
          <w:sz w:val="20"/>
          <w:szCs w:val="20"/>
          <w:lang w:val="en-US" w:eastAsia="es-ES"/>
        </w:rPr>
        <w:t>in relation to</w:t>
      </w:r>
      <w:r w:rsidR="00A93967" w:rsidRPr="00012C3F">
        <w:rPr>
          <w:rFonts w:cs="Verdana"/>
          <w:sz w:val="20"/>
          <w:szCs w:val="20"/>
          <w:lang w:val="en-US" w:eastAsia="es-ES"/>
        </w:rPr>
        <w:t xml:space="preserve"> </w:t>
      </w:r>
      <w:r w:rsidRPr="00012C3F">
        <w:rPr>
          <w:rFonts w:cs="Verdana"/>
          <w:sz w:val="20"/>
          <w:szCs w:val="20"/>
          <w:lang w:val="en-US" w:eastAsia="es-ES"/>
        </w:rPr>
        <w:t>Articles</w:t>
      </w:r>
      <w:r w:rsidR="00A93967" w:rsidRPr="00012C3F">
        <w:rPr>
          <w:rFonts w:cs="Verdana"/>
          <w:sz w:val="20"/>
          <w:szCs w:val="20"/>
          <w:lang w:val="en-US" w:eastAsia="es-ES"/>
        </w:rPr>
        <w:t xml:space="preserve"> 19</w:t>
      </w:r>
      <w:r w:rsidR="005E5012" w:rsidRPr="00012C3F">
        <w:rPr>
          <w:rFonts w:cs="Verdana"/>
          <w:sz w:val="20"/>
          <w:szCs w:val="20"/>
          <w:lang w:val="en-US" w:eastAsia="es-ES"/>
        </w:rPr>
        <w:t xml:space="preserve"> and 1(1)</w:t>
      </w:r>
      <w:r w:rsidR="00A93967" w:rsidRPr="00012C3F">
        <w:rPr>
          <w:rFonts w:cs="Verdana"/>
          <w:sz w:val="20"/>
          <w:szCs w:val="20"/>
          <w:lang w:val="en-US" w:eastAsia="es-ES"/>
        </w:rPr>
        <w:t xml:space="preserve"> </w:t>
      </w:r>
      <w:r w:rsidR="005E5012" w:rsidRPr="00012C3F">
        <w:rPr>
          <w:rFonts w:cs="Verdana"/>
          <w:sz w:val="20"/>
          <w:szCs w:val="20"/>
          <w:lang w:val="en-US" w:eastAsia="es-ES"/>
        </w:rPr>
        <w:t>of this instrument</w:t>
      </w:r>
      <w:r w:rsidR="00A93967" w:rsidRPr="00012C3F">
        <w:rPr>
          <w:rFonts w:cs="Verdana"/>
          <w:sz w:val="20"/>
          <w:szCs w:val="20"/>
          <w:lang w:val="en-US" w:eastAsia="es-ES"/>
        </w:rPr>
        <w:t xml:space="preserve">. </w:t>
      </w:r>
      <w:r w:rsidR="008A7A0F" w:rsidRPr="00012C3F">
        <w:rPr>
          <w:rFonts w:cs="Verdana"/>
          <w:sz w:val="20"/>
          <w:szCs w:val="20"/>
          <w:lang w:val="en-US" w:eastAsia="es-ES"/>
        </w:rPr>
        <w:t xml:space="preserve">The Court points out that the instant case does not relate to one of the </w:t>
      </w:r>
      <w:r w:rsidR="00686B03" w:rsidRPr="00012C3F">
        <w:rPr>
          <w:rFonts w:cs="Verdana"/>
          <w:sz w:val="20"/>
          <w:szCs w:val="20"/>
          <w:lang w:val="en-US" w:eastAsia="es-ES"/>
        </w:rPr>
        <w:t>exceptions under</w:t>
      </w:r>
      <w:r w:rsidR="008A7A0F" w:rsidRPr="00012C3F">
        <w:rPr>
          <w:rFonts w:cs="Verdana"/>
          <w:sz w:val="20"/>
          <w:szCs w:val="20"/>
          <w:lang w:val="en-US" w:eastAsia="es-ES"/>
        </w:rPr>
        <w:t xml:space="preserve"> the said </w:t>
      </w:r>
      <w:r w:rsidRPr="00012C3F">
        <w:rPr>
          <w:sz w:val="20"/>
          <w:szCs w:val="20"/>
          <w:lang w:val="en-US"/>
        </w:rPr>
        <w:t>Article</w:t>
      </w:r>
      <w:r w:rsidR="00A93967" w:rsidRPr="00012C3F">
        <w:rPr>
          <w:sz w:val="20"/>
          <w:szCs w:val="20"/>
          <w:lang w:val="en-US"/>
        </w:rPr>
        <w:t xml:space="preserve"> 3</w:t>
      </w:r>
      <w:r w:rsidR="00B257AF" w:rsidRPr="00012C3F">
        <w:rPr>
          <w:sz w:val="20"/>
          <w:szCs w:val="20"/>
          <w:lang w:val="en-US"/>
        </w:rPr>
        <w:t>5(2)</w:t>
      </w:r>
      <w:r w:rsidR="00A93967" w:rsidRPr="00012C3F">
        <w:rPr>
          <w:sz w:val="20"/>
          <w:szCs w:val="20"/>
          <w:lang w:val="en-US"/>
        </w:rPr>
        <w:t xml:space="preserve"> </w:t>
      </w:r>
      <w:r w:rsidR="008A7A0F" w:rsidRPr="00012C3F">
        <w:rPr>
          <w:sz w:val="20"/>
          <w:szCs w:val="20"/>
          <w:lang w:val="en-US"/>
        </w:rPr>
        <w:t xml:space="preserve">that could justify the identification of presumed victims following the </w:t>
      </w:r>
      <w:r w:rsidR="00E00902" w:rsidRPr="00012C3F">
        <w:rPr>
          <w:sz w:val="20"/>
          <w:szCs w:val="20"/>
          <w:lang w:val="en-US"/>
        </w:rPr>
        <w:t>Merits Report</w:t>
      </w:r>
      <w:r w:rsidR="00A93967" w:rsidRPr="00012C3F">
        <w:rPr>
          <w:sz w:val="20"/>
          <w:szCs w:val="20"/>
          <w:lang w:val="en-US"/>
        </w:rPr>
        <w:t>.</w:t>
      </w:r>
    </w:p>
    <w:p w14:paraId="0C973258" w14:textId="77777777" w:rsidR="00A93967" w:rsidRPr="00012C3F" w:rsidRDefault="00A93967" w:rsidP="008A7A0F">
      <w:pPr>
        <w:tabs>
          <w:tab w:val="left" w:pos="720"/>
        </w:tabs>
        <w:autoSpaceDE w:val="0"/>
        <w:autoSpaceDN w:val="0"/>
        <w:spacing w:line="240" w:lineRule="auto"/>
        <w:rPr>
          <w:sz w:val="20"/>
          <w:szCs w:val="20"/>
          <w:lang w:val="en-US"/>
        </w:rPr>
      </w:pPr>
    </w:p>
    <w:p w14:paraId="1F730EF2" w14:textId="77777777" w:rsidR="00A93967" w:rsidRPr="00012C3F" w:rsidRDefault="008A7A0F" w:rsidP="00466C3A">
      <w:pPr>
        <w:numPr>
          <w:ilvl w:val="0"/>
          <w:numId w:val="5"/>
        </w:numPr>
        <w:tabs>
          <w:tab w:val="left" w:pos="720"/>
          <w:tab w:val="num" w:pos="12305"/>
        </w:tabs>
        <w:spacing w:line="240" w:lineRule="auto"/>
        <w:ind w:left="0" w:firstLine="0"/>
        <w:rPr>
          <w:rFonts w:eastAsia="Calibri" w:cs="Verdana"/>
          <w:b/>
          <w:sz w:val="20"/>
          <w:szCs w:val="20"/>
          <w:lang w:val="en-US"/>
        </w:rPr>
      </w:pPr>
      <w:bookmarkStart w:id="60" w:name="_Ref374964523"/>
      <w:r w:rsidRPr="00012C3F">
        <w:rPr>
          <w:rFonts w:eastAsia="Calibri"/>
          <w:sz w:val="20"/>
          <w:szCs w:val="20"/>
          <w:lang w:val="en-US"/>
        </w:rPr>
        <w:t>Therefore, in application of Article</w:t>
      </w:r>
      <w:r w:rsidR="00A93967" w:rsidRPr="00012C3F">
        <w:rPr>
          <w:rFonts w:eastAsia="Calibri"/>
          <w:sz w:val="20"/>
          <w:szCs w:val="20"/>
          <w:lang w:val="en-US"/>
        </w:rPr>
        <w:t xml:space="preserve"> 3</w:t>
      </w:r>
      <w:r w:rsidR="005E5012" w:rsidRPr="00012C3F">
        <w:rPr>
          <w:rFonts w:eastAsia="Calibri"/>
          <w:sz w:val="20"/>
          <w:szCs w:val="20"/>
          <w:lang w:val="en-US"/>
        </w:rPr>
        <w:t>5(1)</w:t>
      </w:r>
      <w:r w:rsidR="00A93967" w:rsidRPr="00012C3F">
        <w:rPr>
          <w:rFonts w:eastAsia="Calibri"/>
          <w:sz w:val="20"/>
          <w:szCs w:val="20"/>
          <w:lang w:val="en-US"/>
        </w:rPr>
        <w:t xml:space="preserve"> </w:t>
      </w:r>
      <w:r w:rsidRPr="00012C3F">
        <w:rPr>
          <w:rFonts w:eastAsia="Calibri"/>
          <w:sz w:val="20"/>
          <w:szCs w:val="20"/>
          <w:lang w:val="en-US"/>
        </w:rPr>
        <w:t xml:space="preserve">of its Rules of Procedure and </w:t>
      </w:r>
      <w:r w:rsidR="00686B03" w:rsidRPr="00012C3F">
        <w:rPr>
          <w:rFonts w:eastAsia="Calibri"/>
          <w:sz w:val="20"/>
          <w:szCs w:val="20"/>
          <w:lang w:val="en-US"/>
        </w:rPr>
        <w:t xml:space="preserve">its </w:t>
      </w:r>
      <w:r w:rsidRPr="00012C3F">
        <w:rPr>
          <w:rFonts w:eastAsia="Calibri"/>
          <w:sz w:val="20"/>
          <w:szCs w:val="20"/>
          <w:lang w:val="en-US"/>
        </w:rPr>
        <w:t xml:space="preserve">consistent case law, the Court declares that it will only consider I.V. to be the presumed victim, because she was the only person identified as such in the </w:t>
      </w:r>
      <w:r w:rsidR="00686B03" w:rsidRPr="00012C3F">
        <w:rPr>
          <w:rFonts w:eastAsia="Calibri"/>
          <w:sz w:val="20"/>
          <w:szCs w:val="20"/>
          <w:lang w:val="en-US"/>
        </w:rPr>
        <w:t xml:space="preserve">Commission’s </w:t>
      </w:r>
      <w:r w:rsidR="00E00902" w:rsidRPr="00012C3F">
        <w:rPr>
          <w:rFonts w:eastAsia="Calibri"/>
          <w:sz w:val="20"/>
          <w:szCs w:val="20"/>
          <w:lang w:val="en-US"/>
        </w:rPr>
        <w:t>Merits Report</w:t>
      </w:r>
      <w:r w:rsidR="00A93967" w:rsidRPr="00012C3F">
        <w:rPr>
          <w:rFonts w:eastAsia="Calibri"/>
          <w:sz w:val="20"/>
          <w:szCs w:val="20"/>
          <w:lang w:val="en-US"/>
        </w:rPr>
        <w:t>.</w:t>
      </w:r>
      <w:bookmarkEnd w:id="60"/>
      <w:r w:rsidR="00A93967" w:rsidRPr="00012C3F">
        <w:rPr>
          <w:rFonts w:eastAsia="Calibri"/>
          <w:sz w:val="20"/>
          <w:szCs w:val="20"/>
          <w:lang w:val="en-US"/>
        </w:rPr>
        <w:t xml:space="preserve"> </w:t>
      </w:r>
    </w:p>
    <w:p w14:paraId="1C111D80" w14:textId="77777777" w:rsidR="00A93967" w:rsidRPr="00012C3F" w:rsidRDefault="00A93967" w:rsidP="00A93967">
      <w:pPr>
        <w:keepNext/>
        <w:keepLines/>
        <w:tabs>
          <w:tab w:val="left" w:pos="1134"/>
        </w:tabs>
        <w:spacing w:line="240" w:lineRule="auto"/>
        <w:ind w:left="567" w:firstLine="1"/>
        <w:outlineLvl w:val="1"/>
        <w:rPr>
          <w:rFonts w:eastAsia="MS Mincho"/>
          <w:b/>
          <w:bCs/>
          <w:i/>
          <w:sz w:val="20"/>
          <w:szCs w:val="20"/>
          <w:lang w:val="en-US"/>
        </w:rPr>
      </w:pPr>
      <w:bookmarkStart w:id="61" w:name="_Toc27486828"/>
      <w:r w:rsidRPr="00012C3F">
        <w:rPr>
          <w:rFonts w:eastAsia="MS Mincho"/>
          <w:b/>
          <w:bCs/>
          <w:i/>
          <w:sz w:val="20"/>
          <w:szCs w:val="20"/>
          <w:lang w:val="en-US"/>
        </w:rPr>
        <w:lastRenderedPageBreak/>
        <w:t>B.</w:t>
      </w:r>
      <w:r w:rsidRPr="00012C3F">
        <w:rPr>
          <w:rFonts w:eastAsia="MS Mincho"/>
          <w:b/>
          <w:bCs/>
          <w:i/>
          <w:sz w:val="20"/>
          <w:szCs w:val="20"/>
          <w:lang w:val="en-US"/>
        </w:rPr>
        <w:tab/>
      </w:r>
      <w:r w:rsidR="006C705C" w:rsidRPr="00012C3F">
        <w:rPr>
          <w:rFonts w:eastAsia="MS Mincho"/>
          <w:b/>
          <w:bCs/>
          <w:i/>
          <w:sz w:val="20"/>
          <w:szCs w:val="20"/>
          <w:lang w:val="en-US"/>
        </w:rPr>
        <w:t>The factual framework of the case</w:t>
      </w:r>
      <w:bookmarkEnd w:id="61"/>
    </w:p>
    <w:p w14:paraId="57A58B32" w14:textId="77777777" w:rsidR="00A93967" w:rsidRPr="00012C3F" w:rsidRDefault="00A93967" w:rsidP="00A93967">
      <w:pPr>
        <w:spacing w:line="240" w:lineRule="auto"/>
        <w:ind w:right="-20"/>
        <w:rPr>
          <w:rFonts w:eastAsia="Verdana" w:cs="Verdana"/>
          <w:sz w:val="20"/>
          <w:szCs w:val="20"/>
          <w:lang w:val="en-US"/>
        </w:rPr>
      </w:pPr>
    </w:p>
    <w:p w14:paraId="04D9D2E3" w14:textId="77777777" w:rsidR="00A93967" w:rsidRPr="00012C3F" w:rsidRDefault="00A84CA0" w:rsidP="008A7A0F">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sz w:val="20"/>
          <w:szCs w:val="20"/>
          <w:lang w:val="en-US"/>
        </w:rPr>
        <w:t xml:space="preserve">The </w:t>
      </w:r>
      <w:r w:rsidRPr="00012C3F">
        <w:rPr>
          <w:rFonts w:eastAsia="Verdana" w:cs="Verdana"/>
          <w:b/>
          <w:bCs/>
          <w:i/>
          <w:iCs/>
          <w:sz w:val="20"/>
          <w:szCs w:val="20"/>
          <w:lang w:val="en-US"/>
        </w:rPr>
        <w:t>State</w:t>
      </w:r>
      <w:r w:rsidR="00A93967" w:rsidRPr="00012C3F">
        <w:rPr>
          <w:rFonts w:eastAsia="Verdana" w:cs="Verdana"/>
          <w:sz w:val="20"/>
          <w:szCs w:val="20"/>
          <w:lang w:val="en-US"/>
        </w:rPr>
        <w:t xml:space="preserve"> </w:t>
      </w:r>
      <w:r w:rsidR="008A7A0F" w:rsidRPr="00012C3F">
        <w:rPr>
          <w:rFonts w:eastAsia="Verdana" w:cs="Verdana"/>
          <w:sz w:val="20"/>
          <w:szCs w:val="20"/>
          <w:lang w:val="en-US"/>
        </w:rPr>
        <w:t>asked the Court</w:t>
      </w:r>
      <w:r w:rsidR="00A93967" w:rsidRPr="00012C3F">
        <w:rPr>
          <w:rFonts w:eastAsia="Verdana" w:cs="Verdana"/>
          <w:sz w:val="20"/>
          <w:szCs w:val="20"/>
          <w:lang w:val="en-US"/>
        </w:rPr>
        <w:t xml:space="preserve"> </w:t>
      </w:r>
      <w:r w:rsidR="008A7A0F" w:rsidRPr="00012C3F">
        <w:rPr>
          <w:rFonts w:eastAsia="Verdana" w:cs="Verdana"/>
          <w:sz w:val="20"/>
          <w:szCs w:val="20"/>
          <w:lang w:val="en-US"/>
        </w:rPr>
        <w:t xml:space="preserve">to disregard the additional facts presented in the </w:t>
      </w:r>
      <w:r w:rsidR="00972ACF" w:rsidRPr="00012C3F">
        <w:rPr>
          <w:rFonts w:eastAsia="Verdana" w:cs="Verdana"/>
          <w:sz w:val="20"/>
          <w:szCs w:val="20"/>
          <w:lang w:val="en-US"/>
        </w:rPr>
        <w:t>motions and pleadings brief</w:t>
      </w:r>
      <w:r w:rsidR="00A93967" w:rsidRPr="00012C3F">
        <w:rPr>
          <w:rFonts w:eastAsia="Verdana" w:cs="Verdana"/>
          <w:sz w:val="20"/>
          <w:szCs w:val="20"/>
          <w:lang w:val="en-US"/>
        </w:rPr>
        <w:t xml:space="preserve"> </w:t>
      </w:r>
      <w:r w:rsidR="0009041D" w:rsidRPr="00012C3F">
        <w:rPr>
          <w:rFonts w:eastAsia="Verdana" w:cs="Verdana"/>
          <w:sz w:val="20"/>
          <w:szCs w:val="20"/>
          <w:lang w:val="en-US"/>
        </w:rPr>
        <w:t>before it began to examine</w:t>
      </w:r>
      <w:r w:rsidR="008A7A0F" w:rsidRPr="00012C3F">
        <w:rPr>
          <w:rFonts w:eastAsia="Verdana" w:cs="Verdana"/>
          <w:sz w:val="20"/>
          <w:szCs w:val="20"/>
          <w:lang w:val="en-US"/>
        </w:rPr>
        <w:t xml:space="preserve"> the merits</w:t>
      </w:r>
      <w:r w:rsidR="0009041D" w:rsidRPr="00012C3F">
        <w:rPr>
          <w:rFonts w:eastAsia="Verdana" w:cs="Verdana"/>
          <w:sz w:val="20"/>
          <w:szCs w:val="20"/>
          <w:lang w:val="en-US"/>
        </w:rPr>
        <w:t xml:space="preserve"> of the case</w:t>
      </w:r>
      <w:r w:rsidR="008A7A0F" w:rsidRPr="00012C3F">
        <w:rPr>
          <w:rFonts w:eastAsia="Verdana" w:cs="Verdana"/>
          <w:sz w:val="20"/>
          <w:szCs w:val="20"/>
          <w:lang w:val="en-US"/>
        </w:rPr>
        <w:t xml:space="preserve">. The State underlined that </w:t>
      </w:r>
      <w:r w:rsidR="004C6FCC" w:rsidRPr="00012C3F">
        <w:rPr>
          <w:rFonts w:eastAsia="Verdana" w:cs="Verdana"/>
          <w:sz w:val="20"/>
          <w:szCs w:val="20"/>
          <w:lang w:val="en-US"/>
        </w:rPr>
        <w:t>the representatives</w:t>
      </w:r>
      <w:r w:rsidR="00A93967" w:rsidRPr="00012C3F">
        <w:rPr>
          <w:rFonts w:eastAsia="Verdana" w:cs="Verdana"/>
          <w:sz w:val="20"/>
          <w:szCs w:val="20"/>
          <w:lang w:val="en-US"/>
        </w:rPr>
        <w:t xml:space="preserve"> </w:t>
      </w:r>
      <w:r w:rsidR="008A7A0F" w:rsidRPr="00012C3F">
        <w:rPr>
          <w:rFonts w:eastAsia="Verdana" w:cs="Verdana"/>
          <w:sz w:val="20"/>
          <w:szCs w:val="20"/>
          <w:lang w:val="en-US"/>
        </w:rPr>
        <w:t xml:space="preserve">may invoke the violation of rights other than those established in the </w:t>
      </w:r>
      <w:r w:rsidR="00E00902" w:rsidRPr="00012C3F">
        <w:rPr>
          <w:rFonts w:eastAsia="Verdana" w:cs="Verdana"/>
          <w:sz w:val="20"/>
          <w:szCs w:val="20"/>
          <w:lang w:val="en-US"/>
        </w:rPr>
        <w:t>Merits Report</w:t>
      </w:r>
      <w:r w:rsidR="008A7A0F" w:rsidRPr="00012C3F">
        <w:rPr>
          <w:rFonts w:eastAsia="Verdana" w:cs="Verdana"/>
          <w:sz w:val="20"/>
          <w:szCs w:val="20"/>
          <w:lang w:val="en-US"/>
        </w:rPr>
        <w:t xml:space="preserve">, but those rights should be restricted to the facts contained in the </w:t>
      </w:r>
      <w:r w:rsidR="00E00902" w:rsidRPr="00012C3F">
        <w:rPr>
          <w:rFonts w:eastAsia="Verdana" w:cs="Verdana"/>
          <w:sz w:val="20"/>
          <w:szCs w:val="20"/>
          <w:lang w:val="en-US"/>
        </w:rPr>
        <w:t>Merits Report</w:t>
      </w:r>
      <w:r w:rsidR="00A93967" w:rsidRPr="00012C3F">
        <w:rPr>
          <w:rFonts w:eastAsia="Verdana" w:cs="Verdana"/>
          <w:sz w:val="20"/>
          <w:szCs w:val="20"/>
          <w:lang w:val="en-US"/>
        </w:rPr>
        <w:t xml:space="preserve">. </w:t>
      </w:r>
      <w:r w:rsidR="00972ACF" w:rsidRPr="00012C3F">
        <w:rPr>
          <w:rFonts w:eastAsia="Verdana" w:cs="Verdana"/>
          <w:sz w:val="20"/>
          <w:szCs w:val="20"/>
          <w:lang w:val="en-US"/>
        </w:rPr>
        <w:t xml:space="preserve">The </w:t>
      </w:r>
      <w:r w:rsidR="00972ACF" w:rsidRPr="00012C3F">
        <w:rPr>
          <w:rFonts w:eastAsia="Verdana" w:cs="Verdana"/>
          <w:b/>
          <w:bCs/>
          <w:i/>
          <w:iCs/>
          <w:sz w:val="20"/>
          <w:szCs w:val="20"/>
          <w:lang w:val="en-US"/>
        </w:rPr>
        <w:t>representative</w:t>
      </w:r>
      <w:r w:rsidR="00A93967" w:rsidRPr="00012C3F">
        <w:rPr>
          <w:rFonts w:eastAsia="Verdana" w:cs="Verdana"/>
          <w:sz w:val="20"/>
          <w:szCs w:val="20"/>
          <w:lang w:val="en-US"/>
        </w:rPr>
        <w:t xml:space="preserve"> </w:t>
      </w:r>
      <w:r w:rsidR="008A7A0F" w:rsidRPr="00012C3F">
        <w:rPr>
          <w:rFonts w:eastAsia="Verdana" w:cs="Verdana"/>
          <w:sz w:val="20"/>
          <w:szCs w:val="20"/>
          <w:lang w:val="en-US"/>
        </w:rPr>
        <w:t>indicated that the</w:t>
      </w:r>
      <w:r w:rsidR="00A93967" w:rsidRPr="00012C3F">
        <w:rPr>
          <w:rFonts w:eastAsia="Verdana" w:cs="Verdana"/>
          <w:sz w:val="20"/>
          <w:szCs w:val="20"/>
          <w:lang w:val="en-US"/>
        </w:rPr>
        <w:t xml:space="preserve"> </w:t>
      </w:r>
      <w:r w:rsidR="00972ACF" w:rsidRPr="00012C3F">
        <w:rPr>
          <w:rFonts w:eastAsia="Verdana" w:cs="Verdana"/>
          <w:sz w:val="20"/>
          <w:szCs w:val="20"/>
          <w:lang w:val="en-US"/>
        </w:rPr>
        <w:t>motions and pleadings brief</w:t>
      </w:r>
      <w:r w:rsidR="00A93967" w:rsidRPr="00012C3F">
        <w:rPr>
          <w:rFonts w:eastAsia="Verdana" w:cs="Verdana"/>
          <w:sz w:val="20"/>
          <w:szCs w:val="20"/>
          <w:lang w:val="en-US"/>
        </w:rPr>
        <w:t xml:space="preserve"> </w:t>
      </w:r>
      <w:r w:rsidR="008A7A0F" w:rsidRPr="00012C3F">
        <w:rPr>
          <w:rFonts w:eastAsia="Verdana" w:cs="Verdana"/>
          <w:sz w:val="20"/>
          <w:szCs w:val="20"/>
          <w:lang w:val="en-US"/>
        </w:rPr>
        <w:t>was limited to the factual framework established by</w:t>
      </w:r>
      <w:r w:rsidR="00A93967"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Pr="00012C3F">
        <w:rPr>
          <w:rFonts w:eastAsia="Verdana" w:cs="Verdana"/>
          <w:sz w:val="20"/>
          <w:szCs w:val="20"/>
          <w:lang w:val="en-US"/>
        </w:rPr>
        <w:t>Commission</w:t>
      </w:r>
      <w:r w:rsidR="00A93967" w:rsidRPr="00012C3F">
        <w:rPr>
          <w:rFonts w:eastAsia="Verdana" w:cs="Verdana"/>
          <w:sz w:val="20"/>
          <w:szCs w:val="20"/>
          <w:lang w:val="en-US"/>
        </w:rPr>
        <w:t xml:space="preserve"> </w:t>
      </w:r>
      <w:r w:rsidR="008A7A0F" w:rsidRPr="00012C3F">
        <w:rPr>
          <w:rFonts w:eastAsia="Verdana" w:cs="Verdana"/>
          <w:sz w:val="20"/>
          <w:szCs w:val="20"/>
          <w:lang w:val="en-US"/>
        </w:rPr>
        <w:t>in its</w:t>
      </w:r>
      <w:r w:rsidR="00A93967" w:rsidRPr="00012C3F">
        <w:rPr>
          <w:rFonts w:eastAsia="Verdana" w:cs="Verdana"/>
          <w:sz w:val="20"/>
          <w:szCs w:val="20"/>
          <w:lang w:val="en-US"/>
        </w:rPr>
        <w:t xml:space="preserve"> </w:t>
      </w:r>
      <w:r w:rsidR="00E00902" w:rsidRPr="00012C3F">
        <w:rPr>
          <w:rFonts w:eastAsia="Verdana" w:cs="Verdana"/>
          <w:sz w:val="20"/>
          <w:szCs w:val="20"/>
          <w:lang w:val="en-US"/>
        </w:rPr>
        <w:t>Merits Report</w:t>
      </w:r>
      <w:r w:rsidR="005E5012" w:rsidRPr="00012C3F">
        <w:rPr>
          <w:rFonts w:eastAsia="Verdana" w:cs="Verdana"/>
          <w:sz w:val="20"/>
          <w:szCs w:val="20"/>
          <w:lang w:val="en-US"/>
        </w:rPr>
        <w:t xml:space="preserve"> and </w:t>
      </w:r>
      <w:r w:rsidR="008A7A0F" w:rsidRPr="00012C3F">
        <w:rPr>
          <w:rFonts w:eastAsia="Verdana" w:cs="Verdana"/>
          <w:sz w:val="20"/>
          <w:szCs w:val="20"/>
          <w:lang w:val="en-US"/>
        </w:rPr>
        <w:t xml:space="preserve">no new facts </w:t>
      </w:r>
      <w:r w:rsidR="0009041D" w:rsidRPr="00012C3F">
        <w:rPr>
          <w:rFonts w:eastAsia="Verdana" w:cs="Verdana"/>
          <w:sz w:val="20"/>
          <w:szCs w:val="20"/>
          <w:lang w:val="en-US"/>
        </w:rPr>
        <w:t>had been</w:t>
      </w:r>
      <w:r w:rsidR="008A7A0F" w:rsidRPr="00012C3F">
        <w:rPr>
          <w:rFonts w:eastAsia="Verdana" w:cs="Verdana"/>
          <w:sz w:val="20"/>
          <w:szCs w:val="20"/>
          <w:lang w:val="en-US"/>
        </w:rPr>
        <w:t xml:space="preserve"> alleged. She also stressed that the State had not indicated which new facts its request</w:t>
      </w:r>
      <w:r w:rsidR="0009041D" w:rsidRPr="00012C3F">
        <w:rPr>
          <w:rFonts w:eastAsia="Verdana" w:cs="Verdana"/>
          <w:sz w:val="20"/>
          <w:szCs w:val="20"/>
          <w:lang w:val="en-US"/>
        </w:rPr>
        <w:t xml:space="preserve"> referred to</w:t>
      </w:r>
      <w:r w:rsidR="008A7A0F" w:rsidRPr="00012C3F">
        <w:rPr>
          <w:rFonts w:eastAsia="Verdana" w:cs="Verdana"/>
          <w:sz w:val="20"/>
          <w:szCs w:val="20"/>
          <w:lang w:val="en-US"/>
        </w:rPr>
        <w:t xml:space="preserve">. Consequently, she asked the Court to reject the request because it was based on imprecise arguments. </w:t>
      </w:r>
      <w:r w:rsidR="00BD056C" w:rsidRPr="00012C3F">
        <w:rPr>
          <w:rFonts w:eastAsia="Verdana" w:cs="Verdana"/>
          <w:sz w:val="20"/>
          <w:szCs w:val="20"/>
          <w:lang w:val="en-US"/>
        </w:rPr>
        <w:t xml:space="preserve">The </w:t>
      </w:r>
      <w:r w:rsidR="00BD056C" w:rsidRPr="00012C3F">
        <w:rPr>
          <w:rFonts w:eastAsia="Verdana" w:cs="Verdana"/>
          <w:b/>
          <w:bCs/>
          <w:i/>
          <w:iCs/>
          <w:sz w:val="20"/>
          <w:szCs w:val="20"/>
          <w:lang w:val="en-US"/>
        </w:rPr>
        <w:t>Commission</w:t>
      </w:r>
      <w:r w:rsidR="00A93967" w:rsidRPr="00012C3F">
        <w:rPr>
          <w:rFonts w:eastAsia="Verdana" w:cs="Verdana"/>
          <w:sz w:val="20"/>
          <w:szCs w:val="20"/>
          <w:lang w:val="en-US"/>
        </w:rPr>
        <w:t xml:space="preserve"> </w:t>
      </w:r>
      <w:r w:rsidR="008A7A0F" w:rsidRPr="00012C3F">
        <w:rPr>
          <w:rFonts w:eastAsia="Verdana" w:cs="Verdana"/>
          <w:sz w:val="20"/>
          <w:szCs w:val="20"/>
          <w:lang w:val="en-US"/>
        </w:rPr>
        <w:t>made no ruling in this regard</w:t>
      </w:r>
      <w:r w:rsidR="00A93967" w:rsidRPr="00012C3F">
        <w:rPr>
          <w:rFonts w:eastAsia="Verdana" w:cs="Verdana"/>
          <w:sz w:val="20"/>
          <w:szCs w:val="20"/>
          <w:lang w:val="en-US"/>
        </w:rPr>
        <w:t>.</w:t>
      </w:r>
    </w:p>
    <w:p w14:paraId="337BFA26" w14:textId="77777777" w:rsidR="00A93967" w:rsidRPr="00012C3F" w:rsidRDefault="00A93967" w:rsidP="008A7A0F">
      <w:pPr>
        <w:tabs>
          <w:tab w:val="left" w:pos="720"/>
        </w:tabs>
        <w:spacing w:line="240" w:lineRule="auto"/>
        <w:ind w:right="-20"/>
        <w:rPr>
          <w:rFonts w:eastAsia="Verdana" w:cs="Verdana"/>
          <w:sz w:val="20"/>
          <w:szCs w:val="20"/>
          <w:lang w:val="en-US"/>
        </w:rPr>
      </w:pPr>
    </w:p>
    <w:p w14:paraId="363859AC" w14:textId="77777777" w:rsidR="00566357" w:rsidRPr="00012C3F" w:rsidRDefault="008A7A0F" w:rsidP="008A7A0F">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sz w:val="20"/>
          <w:szCs w:val="20"/>
          <w:lang w:val="en-US"/>
        </w:rPr>
        <w:t xml:space="preserve">This Court has established that the factual framework </w:t>
      </w:r>
      <w:r w:rsidR="0009041D" w:rsidRPr="00012C3F">
        <w:rPr>
          <w:rFonts w:eastAsia="Verdana" w:cs="Verdana"/>
          <w:sz w:val="20"/>
          <w:szCs w:val="20"/>
          <w:lang w:val="en-US"/>
        </w:rPr>
        <w:t>for</w:t>
      </w:r>
      <w:r w:rsidRPr="00012C3F">
        <w:rPr>
          <w:rFonts w:eastAsia="Verdana" w:cs="Verdana"/>
          <w:sz w:val="20"/>
          <w:szCs w:val="20"/>
          <w:lang w:val="en-US"/>
        </w:rPr>
        <w:t xml:space="preserve"> the proceedings before it is constituted by the facts contained in the Merits Report submitted to its consideration. Consequently, it is not admissible for the parties to allege new facts that differ from those contained in the Merits Report, </w:t>
      </w:r>
      <w:r w:rsidR="0009041D" w:rsidRPr="00012C3F">
        <w:rPr>
          <w:rFonts w:eastAsia="Verdana" w:cs="Verdana"/>
          <w:sz w:val="20"/>
          <w:szCs w:val="20"/>
          <w:lang w:val="en-US"/>
        </w:rPr>
        <w:t>although they may</w:t>
      </w:r>
      <w:r w:rsidRPr="00012C3F">
        <w:rPr>
          <w:rFonts w:eastAsia="Verdana" w:cs="Verdana"/>
          <w:sz w:val="20"/>
          <w:szCs w:val="20"/>
          <w:lang w:val="en-US"/>
        </w:rPr>
        <w:t xml:space="preserve"> present those that explain, clarify or reject the facts mentioned in th</w:t>
      </w:r>
      <w:r w:rsidR="0009041D" w:rsidRPr="00012C3F">
        <w:rPr>
          <w:rFonts w:eastAsia="Verdana" w:cs="Verdana"/>
          <w:sz w:val="20"/>
          <w:szCs w:val="20"/>
          <w:lang w:val="en-US"/>
        </w:rPr>
        <w:t>e said</w:t>
      </w:r>
      <w:r w:rsidRPr="00012C3F">
        <w:rPr>
          <w:rFonts w:eastAsia="Verdana" w:cs="Verdana"/>
          <w:sz w:val="20"/>
          <w:szCs w:val="20"/>
          <w:lang w:val="en-US"/>
        </w:rPr>
        <w:t xml:space="preserve"> report that have been submitted to the Court’s consideration (also called “</w:t>
      </w:r>
      <w:r w:rsidR="0009041D" w:rsidRPr="00012C3F">
        <w:rPr>
          <w:rFonts w:eastAsia="Verdana" w:cs="Verdana"/>
          <w:sz w:val="20"/>
          <w:szCs w:val="20"/>
          <w:lang w:val="en-US"/>
        </w:rPr>
        <w:t>sup</w:t>
      </w:r>
      <w:r w:rsidRPr="00012C3F">
        <w:rPr>
          <w:rFonts w:eastAsia="Verdana" w:cs="Verdana"/>
          <w:sz w:val="20"/>
          <w:szCs w:val="20"/>
          <w:lang w:val="en-US"/>
        </w:rPr>
        <w:t>plementary facts”)</w:t>
      </w:r>
      <w:r w:rsidR="00566357" w:rsidRPr="00012C3F">
        <w:rPr>
          <w:rFonts w:eastAsia="Verdana" w:cs="Verdana"/>
          <w:sz w:val="20"/>
          <w:szCs w:val="20"/>
          <w:lang w:val="en-US"/>
        </w:rPr>
        <w:t>.</w:t>
      </w:r>
      <w:r w:rsidR="00A93967" w:rsidRPr="00012C3F">
        <w:rPr>
          <w:rStyle w:val="Refdenotaalpie"/>
          <w:rFonts w:eastAsia="Verdana" w:cs="Verdana"/>
          <w:sz w:val="20"/>
          <w:szCs w:val="20"/>
          <w:lang w:val="en-US"/>
        </w:rPr>
        <w:footnoteReference w:id="25"/>
      </w:r>
      <w:r w:rsidR="00566357" w:rsidRPr="00012C3F">
        <w:rPr>
          <w:rFonts w:eastAsia="Verdana" w:cs="Verdana"/>
          <w:sz w:val="20"/>
          <w:szCs w:val="20"/>
          <w:lang w:val="en-US"/>
        </w:rPr>
        <w:t xml:space="preserve"> The exception to this principle are </w:t>
      </w:r>
      <w:r w:rsidR="0009041D" w:rsidRPr="00012C3F">
        <w:rPr>
          <w:rFonts w:eastAsia="Verdana" w:cs="Verdana"/>
          <w:sz w:val="20"/>
          <w:szCs w:val="20"/>
          <w:lang w:val="en-US"/>
        </w:rPr>
        <w:t>facts</w:t>
      </w:r>
      <w:r w:rsidR="00566357" w:rsidRPr="00012C3F">
        <w:rPr>
          <w:rFonts w:eastAsia="Verdana" w:cs="Verdana"/>
          <w:sz w:val="20"/>
          <w:szCs w:val="20"/>
          <w:lang w:val="en-US"/>
        </w:rPr>
        <w:t xml:space="preserve"> that qualify as supervening facts</w:t>
      </w:r>
      <w:r w:rsidR="00512765" w:rsidRPr="00012C3F">
        <w:rPr>
          <w:rFonts w:eastAsia="Verdana" w:cs="Verdana"/>
          <w:sz w:val="20"/>
          <w:szCs w:val="20"/>
          <w:lang w:val="en-US"/>
        </w:rPr>
        <w:t>,</w:t>
      </w:r>
      <w:r w:rsidR="0009041D" w:rsidRPr="00012C3F">
        <w:rPr>
          <w:rFonts w:eastAsia="Verdana" w:cs="Verdana"/>
          <w:sz w:val="20"/>
          <w:szCs w:val="20"/>
          <w:lang w:val="en-US"/>
        </w:rPr>
        <w:t xml:space="preserve"> and they</w:t>
      </w:r>
      <w:r w:rsidR="00566357" w:rsidRPr="00012C3F">
        <w:rPr>
          <w:rFonts w:eastAsia="Verdana" w:cs="Verdana"/>
          <w:sz w:val="20"/>
          <w:szCs w:val="20"/>
          <w:lang w:val="en-US"/>
        </w:rPr>
        <w:t xml:space="preserve"> may be forwarded to the Court at any stage of the proceedings prior to the delivery of judgment, provided they relate to the facts of the case.</w:t>
      </w:r>
    </w:p>
    <w:p w14:paraId="2AD4FB78" w14:textId="77777777" w:rsidR="00A93967" w:rsidRPr="00012C3F" w:rsidRDefault="00A93967" w:rsidP="008A7A0F">
      <w:pPr>
        <w:tabs>
          <w:tab w:val="left" w:pos="720"/>
        </w:tabs>
        <w:spacing w:line="240" w:lineRule="auto"/>
        <w:rPr>
          <w:rFonts w:eastAsia="Verdana" w:cs="Verdana"/>
          <w:sz w:val="20"/>
          <w:szCs w:val="20"/>
          <w:lang w:val="en-US"/>
        </w:rPr>
      </w:pPr>
    </w:p>
    <w:p w14:paraId="47BFF838" w14:textId="77777777" w:rsidR="00566357" w:rsidRPr="00012C3F" w:rsidRDefault="00566357" w:rsidP="00566357">
      <w:pPr>
        <w:numPr>
          <w:ilvl w:val="0"/>
          <w:numId w:val="5"/>
        </w:numPr>
        <w:tabs>
          <w:tab w:val="left" w:pos="720"/>
          <w:tab w:val="num" w:pos="12305"/>
        </w:tabs>
        <w:spacing w:line="240" w:lineRule="auto"/>
        <w:ind w:left="0" w:firstLine="0"/>
        <w:rPr>
          <w:rFonts w:eastAsia="Verdana" w:cs="Verdana"/>
          <w:sz w:val="20"/>
          <w:szCs w:val="20"/>
          <w:lang w:val="en-US"/>
        </w:rPr>
      </w:pPr>
      <w:r w:rsidRPr="00012C3F">
        <w:rPr>
          <w:rFonts w:eastAsia="Verdana" w:cs="Verdana"/>
          <w:sz w:val="20"/>
          <w:szCs w:val="20"/>
          <w:lang w:val="en-US"/>
        </w:rPr>
        <w:t>In its</w:t>
      </w:r>
      <w:r w:rsidR="00A93967" w:rsidRPr="00012C3F">
        <w:rPr>
          <w:rFonts w:eastAsia="Verdana" w:cs="Verdana"/>
          <w:sz w:val="20"/>
          <w:szCs w:val="20"/>
          <w:lang w:val="en-US"/>
        </w:rPr>
        <w:t xml:space="preserve"> </w:t>
      </w:r>
      <w:r w:rsidR="00E00902" w:rsidRPr="00012C3F">
        <w:rPr>
          <w:rFonts w:eastAsia="Verdana" w:cs="Verdana"/>
          <w:sz w:val="20"/>
          <w:szCs w:val="20"/>
          <w:lang w:val="en-US"/>
        </w:rPr>
        <w:t>Merits Report</w:t>
      </w:r>
      <w:r w:rsidR="00A93967" w:rsidRPr="00012C3F">
        <w:rPr>
          <w:rFonts w:eastAsia="Verdana" w:cs="Verdana"/>
          <w:sz w:val="20"/>
          <w:szCs w:val="20"/>
          <w:lang w:val="en-US"/>
        </w:rPr>
        <w:t xml:space="preserve">, </w:t>
      </w:r>
      <w:r w:rsidR="001254DE" w:rsidRPr="00012C3F">
        <w:rPr>
          <w:rFonts w:eastAsia="Verdana" w:cs="Verdana"/>
          <w:sz w:val="20"/>
          <w:szCs w:val="20"/>
          <w:lang w:val="en-US"/>
        </w:rPr>
        <w:t xml:space="preserve">the </w:t>
      </w:r>
      <w:r w:rsidR="00A84CA0" w:rsidRPr="00012C3F">
        <w:rPr>
          <w:rFonts w:eastAsia="Verdana" w:cs="Verdana"/>
          <w:sz w:val="20"/>
          <w:szCs w:val="20"/>
          <w:lang w:val="en-US"/>
        </w:rPr>
        <w:t>Commission</w:t>
      </w:r>
      <w:r w:rsidR="00A93967" w:rsidRPr="00012C3F">
        <w:rPr>
          <w:rFonts w:eastAsia="Verdana" w:cs="Verdana"/>
          <w:sz w:val="20"/>
          <w:szCs w:val="20"/>
          <w:lang w:val="en-US"/>
        </w:rPr>
        <w:t xml:space="preserve"> establ</w:t>
      </w:r>
      <w:r w:rsidRPr="00012C3F">
        <w:rPr>
          <w:rFonts w:eastAsia="Verdana" w:cs="Verdana"/>
          <w:sz w:val="20"/>
          <w:szCs w:val="20"/>
          <w:lang w:val="en-US"/>
        </w:rPr>
        <w:t>ished</w:t>
      </w:r>
      <w:r w:rsidR="00512765" w:rsidRPr="00012C3F">
        <w:rPr>
          <w:rFonts w:eastAsia="Verdana" w:cs="Verdana"/>
          <w:sz w:val="20"/>
          <w:szCs w:val="20"/>
          <w:lang w:val="en-US"/>
        </w:rPr>
        <w:t>, as the factual framework for the proceedings before the Court,</w:t>
      </w:r>
      <w:r w:rsidRPr="00012C3F">
        <w:rPr>
          <w:rFonts w:eastAsia="Verdana" w:cs="Verdana"/>
          <w:sz w:val="20"/>
          <w:szCs w:val="20"/>
          <w:lang w:val="en-US"/>
        </w:rPr>
        <w:t xml:space="preserve"> the </w:t>
      </w:r>
      <w:r w:rsidR="00512765" w:rsidRPr="00012C3F">
        <w:rPr>
          <w:rFonts w:eastAsia="Verdana" w:cs="Verdana"/>
          <w:sz w:val="20"/>
          <w:szCs w:val="20"/>
          <w:lang w:val="en-US"/>
        </w:rPr>
        <w:t>procedure</w:t>
      </w:r>
      <w:r w:rsidRPr="00012C3F">
        <w:rPr>
          <w:rFonts w:eastAsia="Verdana" w:cs="Verdana"/>
          <w:sz w:val="20"/>
          <w:szCs w:val="20"/>
          <w:lang w:val="en-US"/>
        </w:rPr>
        <w:t xml:space="preserve"> to which I.V. was subjected in a Bolivian public hospital on July 1, 2000, and the subsequent failure of the State to provide an effective judicial remedy. However, the Court notes that, in its answering brief, the State </w:t>
      </w:r>
      <w:r w:rsidR="00512765" w:rsidRPr="00012C3F">
        <w:rPr>
          <w:rFonts w:eastAsia="Verdana" w:cs="Verdana"/>
          <w:sz w:val="20"/>
          <w:szCs w:val="20"/>
          <w:lang w:val="en-US"/>
        </w:rPr>
        <w:t>failed to</w:t>
      </w:r>
      <w:r w:rsidRPr="00012C3F">
        <w:rPr>
          <w:rFonts w:eastAsia="Verdana" w:cs="Verdana"/>
          <w:sz w:val="20"/>
          <w:szCs w:val="20"/>
          <w:lang w:val="en-US"/>
        </w:rPr>
        <w:t xml:space="preserve"> </w:t>
      </w:r>
      <w:r w:rsidR="00512765" w:rsidRPr="00012C3F">
        <w:rPr>
          <w:rFonts w:eastAsia="Verdana" w:cs="Verdana"/>
          <w:sz w:val="20"/>
          <w:szCs w:val="20"/>
          <w:lang w:val="en-US"/>
        </w:rPr>
        <w:t>indicate</w:t>
      </w:r>
      <w:r w:rsidRPr="00012C3F">
        <w:rPr>
          <w:rFonts w:eastAsia="Verdana" w:cs="Verdana"/>
          <w:sz w:val="20"/>
          <w:szCs w:val="20"/>
          <w:lang w:val="en-US"/>
        </w:rPr>
        <w:t xml:space="preserve"> the additional facts to which it allude</w:t>
      </w:r>
      <w:r w:rsidR="00512765" w:rsidRPr="00012C3F">
        <w:rPr>
          <w:rFonts w:eastAsia="Verdana" w:cs="Verdana"/>
          <w:sz w:val="20"/>
          <w:szCs w:val="20"/>
          <w:lang w:val="en-US"/>
        </w:rPr>
        <w:t>d</w:t>
      </w:r>
      <w:r w:rsidRPr="00012C3F">
        <w:rPr>
          <w:rFonts w:eastAsia="Verdana" w:cs="Verdana"/>
          <w:sz w:val="20"/>
          <w:szCs w:val="20"/>
          <w:lang w:val="en-US"/>
        </w:rPr>
        <w:t xml:space="preserve">; thus, the presumed new facts that the representative allegedly included in her </w:t>
      </w:r>
      <w:r w:rsidR="00972ACF" w:rsidRPr="00012C3F">
        <w:rPr>
          <w:rFonts w:eastAsia="Verdana" w:cs="Verdana"/>
          <w:sz w:val="20"/>
          <w:szCs w:val="20"/>
          <w:lang w:val="en-US"/>
        </w:rPr>
        <w:t>motions and pleadings brief</w:t>
      </w:r>
      <w:r w:rsidRPr="00012C3F">
        <w:rPr>
          <w:rFonts w:eastAsia="Verdana" w:cs="Verdana"/>
          <w:sz w:val="20"/>
          <w:szCs w:val="20"/>
          <w:lang w:val="en-US"/>
        </w:rPr>
        <w:t xml:space="preserve"> cannot be clearly identified from the information provided</w:t>
      </w:r>
      <w:r w:rsidR="00A93967" w:rsidRPr="00012C3F">
        <w:rPr>
          <w:rFonts w:eastAsia="Verdana" w:cs="Verdana"/>
          <w:sz w:val="20"/>
          <w:szCs w:val="20"/>
          <w:lang w:val="en-US"/>
        </w:rPr>
        <w:t xml:space="preserve">. </w:t>
      </w:r>
      <w:r w:rsidRPr="00012C3F">
        <w:rPr>
          <w:rFonts w:eastAsia="Verdana" w:cs="Verdana"/>
          <w:sz w:val="20"/>
          <w:szCs w:val="20"/>
          <w:lang w:val="en-US"/>
        </w:rPr>
        <w:t>Nevertheless, it is possible to infer from the answering brief that the facts alluded to by the State correspond to events that occurred while I.V. was living in Peru. In this regard, and if it finds it pertinent, the Court notes that it could take into account personal factors</w:t>
      </w:r>
      <w:r w:rsidR="00512765" w:rsidRPr="00012C3F">
        <w:rPr>
          <w:rFonts w:eastAsia="Verdana" w:cs="Verdana"/>
          <w:sz w:val="20"/>
          <w:szCs w:val="20"/>
          <w:lang w:val="en-US"/>
        </w:rPr>
        <w:t xml:space="preserve">, </w:t>
      </w:r>
      <w:r w:rsidRPr="00012C3F">
        <w:rPr>
          <w:rFonts w:eastAsia="Verdana" w:cs="Verdana"/>
          <w:sz w:val="20"/>
          <w:szCs w:val="20"/>
          <w:lang w:val="en-US"/>
        </w:rPr>
        <w:t xml:space="preserve">such as the presumed victim’s situation and, in particular, the events that I.V. experienced in Peru, when examining the merits in order to evaluate the characterization of the fact that took place in Bolivia as </w:t>
      </w:r>
      <w:r w:rsidRPr="00012C3F">
        <w:rPr>
          <w:sz w:val="20"/>
          <w:szCs w:val="20"/>
          <w:lang w:val="en-US"/>
        </w:rPr>
        <w:t>torture or other cruel, inhuman or degrading treatment, because this characterization depends on various factors, including the victim</w:t>
      </w:r>
      <w:r w:rsidR="00512765" w:rsidRPr="00012C3F">
        <w:rPr>
          <w:sz w:val="20"/>
          <w:szCs w:val="20"/>
          <w:lang w:val="en-US"/>
        </w:rPr>
        <w:t>’s vulnerability and</w:t>
      </w:r>
      <w:r w:rsidRPr="00012C3F">
        <w:rPr>
          <w:sz w:val="20"/>
          <w:szCs w:val="20"/>
          <w:lang w:val="en-US"/>
        </w:rPr>
        <w:t xml:space="preserve"> the context and specific circumstances of each case. Consequently, the Court finds that the State’s request that it not take into consideration the facts presented in the </w:t>
      </w:r>
      <w:r w:rsidRPr="00012C3F">
        <w:rPr>
          <w:rFonts w:eastAsia="Verdana" w:cs="Verdana"/>
          <w:sz w:val="20"/>
          <w:szCs w:val="20"/>
          <w:lang w:val="en-US"/>
        </w:rPr>
        <w:t>motions and pleadings brief</w:t>
      </w:r>
      <w:r w:rsidRPr="00012C3F">
        <w:rPr>
          <w:sz w:val="20"/>
          <w:szCs w:val="20"/>
          <w:lang w:val="en-US"/>
        </w:rPr>
        <w:t xml:space="preserve"> is inadmissible.</w:t>
      </w:r>
    </w:p>
    <w:p w14:paraId="2AA25D14" w14:textId="77777777" w:rsidR="00A93967" w:rsidRPr="00012C3F" w:rsidRDefault="00A93967" w:rsidP="00A93967">
      <w:pPr>
        <w:tabs>
          <w:tab w:val="left" w:pos="720"/>
        </w:tabs>
        <w:spacing w:line="240" w:lineRule="auto"/>
        <w:rPr>
          <w:rFonts w:eastAsia="Verdana" w:cs="Verdana"/>
          <w:sz w:val="20"/>
          <w:szCs w:val="20"/>
          <w:lang w:val="en-US"/>
        </w:rPr>
      </w:pPr>
    </w:p>
    <w:p w14:paraId="31D98ED9" w14:textId="77777777" w:rsidR="00A93967" w:rsidRPr="00012C3F" w:rsidRDefault="00A93967" w:rsidP="00A93967">
      <w:pPr>
        <w:keepNext/>
        <w:keepLines/>
        <w:tabs>
          <w:tab w:val="left" w:pos="1134"/>
        </w:tabs>
        <w:spacing w:line="240" w:lineRule="auto"/>
        <w:ind w:left="567" w:firstLine="1"/>
        <w:outlineLvl w:val="1"/>
        <w:rPr>
          <w:rFonts w:eastAsia="MS Mincho"/>
          <w:b/>
          <w:bCs/>
          <w:i/>
          <w:sz w:val="20"/>
          <w:szCs w:val="20"/>
          <w:lang w:val="en-US"/>
        </w:rPr>
      </w:pPr>
      <w:bookmarkStart w:id="62" w:name="_Toc27486829"/>
      <w:r w:rsidRPr="00012C3F">
        <w:rPr>
          <w:rFonts w:eastAsia="MS Mincho"/>
          <w:b/>
          <w:bCs/>
          <w:i/>
          <w:sz w:val="20"/>
          <w:szCs w:val="20"/>
          <w:lang w:val="en-US"/>
        </w:rPr>
        <w:t>C.</w:t>
      </w:r>
      <w:r w:rsidRPr="00012C3F">
        <w:rPr>
          <w:rFonts w:eastAsia="MS Mincho"/>
          <w:b/>
          <w:bCs/>
          <w:i/>
          <w:sz w:val="20"/>
          <w:szCs w:val="20"/>
          <w:lang w:val="en-US"/>
        </w:rPr>
        <w:tab/>
      </w:r>
      <w:r w:rsidR="006C705C" w:rsidRPr="00012C3F">
        <w:rPr>
          <w:rFonts w:eastAsia="MS Mincho"/>
          <w:b/>
          <w:bCs/>
          <w:i/>
          <w:sz w:val="20"/>
          <w:szCs w:val="20"/>
          <w:lang w:val="en-US"/>
        </w:rPr>
        <w:t>Other human rights violations alleged by</w:t>
      </w:r>
      <w:r w:rsidRPr="00012C3F">
        <w:rPr>
          <w:rFonts w:eastAsia="MS Mincho"/>
          <w:b/>
          <w:bCs/>
          <w:i/>
          <w:sz w:val="20"/>
          <w:szCs w:val="20"/>
          <w:lang w:val="en-US"/>
        </w:rPr>
        <w:t xml:space="preserve"> </w:t>
      </w:r>
      <w:r w:rsidR="00972ACF" w:rsidRPr="00012C3F">
        <w:rPr>
          <w:rFonts w:eastAsia="MS Mincho"/>
          <w:b/>
          <w:bCs/>
          <w:i/>
          <w:sz w:val="20"/>
          <w:szCs w:val="20"/>
          <w:lang w:val="en-US"/>
        </w:rPr>
        <w:t>the representative</w:t>
      </w:r>
      <w:bookmarkEnd w:id="62"/>
      <w:r w:rsidRPr="00012C3F">
        <w:rPr>
          <w:rFonts w:eastAsia="MS Mincho"/>
          <w:b/>
          <w:bCs/>
          <w:i/>
          <w:sz w:val="20"/>
          <w:szCs w:val="20"/>
          <w:lang w:val="en-US"/>
        </w:rPr>
        <w:t xml:space="preserve"> </w:t>
      </w:r>
    </w:p>
    <w:p w14:paraId="0249F8B9" w14:textId="77777777" w:rsidR="00A93967" w:rsidRPr="00012C3F" w:rsidRDefault="00A93967" w:rsidP="00A93967">
      <w:pPr>
        <w:spacing w:line="240" w:lineRule="auto"/>
        <w:ind w:right="-20"/>
        <w:rPr>
          <w:rFonts w:eastAsia="Verdana" w:cs="Verdana"/>
          <w:sz w:val="20"/>
          <w:szCs w:val="20"/>
          <w:lang w:val="en-US"/>
        </w:rPr>
      </w:pPr>
    </w:p>
    <w:p w14:paraId="6AD7752C" w14:textId="77777777" w:rsidR="00A93967" w:rsidRPr="00012C3F" w:rsidRDefault="00A84CA0" w:rsidP="006B7531">
      <w:pPr>
        <w:numPr>
          <w:ilvl w:val="0"/>
          <w:numId w:val="5"/>
        </w:numPr>
        <w:tabs>
          <w:tab w:val="left" w:pos="567"/>
          <w:tab w:val="num" w:pos="12305"/>
        </w:tabs>
        <w:spacing w:line="240" w:lineRule="auto"/>
        <w:ind w:left="0" w:firstLine="0"/>
        <w:rPr>
          <w:rFonts w:eastAsia="Verdana" w:cs="Verdana"/>
          <w:sz w:val="20"/>
          <w:szCs w:val="20"/>
          <w:lang w:val="en-US"/>
        </w:rPr>
      </w:pPr>
      <w:r w:rsidRPr="00012C3F">
        <w:rPr>
          <w:rFonts w:eastAsia="Verdana" w:cs="Verdana"/>
          <w:sz w:val="20"/>
          <w:szCs w:val="20"/>
          <w:lang w:val="en-US"/>
        </w:rPr>
        <w:t xml:space="preserve">The </w:t>
      </w:r>
      <w:r w:rsidRPr="00012C3F">
        <w:rPr>
          <w:rFonts w:eastAsia="Verdana" w:cs="Verdana"/>
          <w:b/>
          <w:bCs/>
          <w:i/>
          <w:iCs/>
          <w:sz w:val="20"/>
          <w:szCs w:val="20"/>
          <w:lang w:val="en-US"/>
        </w:rPr>
        <w:t>State</w:t>
      </w:r>
      <w:r w:rsidR="00A93967" w:rsidRPr="00012C3F">
        <w:rPr>
          <w:rFonts w:eastAsia="Verdana" w:cs="Verdana"/>
          <w:sz w:val="20"/>
          <w:szCs w:val="20"/>
          <w:lang w:val="en-US"/>
        </w:rPr>
        <w:t xml:space="preserve"> </w:t>
      </w:r>
      <w:r w:rsidR="009727AF" w:rsidRPr="00012C3F">
        <w:rPr>
          <w:rFonts w:eastAsia="Verdana" w:cs="Verdana"/>
          <w:sz w:val="20"/>
          <w:szCs w:val="20"/>
          <w:lang w:val="en-US"/>
        </w:rPr>
        <w:t xml:space="preserve">contested </w:t>
      </w:r>
      <w:r w:rsidR="00972ACF" w:rsidRPr="00012C3F">
        <w:rPr>
          <w:rFonts w:eastAsia="Verdana" w:cs="Verdana"/>
          <w:sz w:val="20"/>
          <w:szCs w:val="20"/>
          <w:lang w:val="en-US"/>
        </w:rPr>
        <w:t>the representative</w:t>
      </w:r>
      <w:r w:rsidR="009727AF" w:rsidRPr="00012C3F">
        <w:rPr>
          <w:rFonts w:eastAsia="Verdana" w:cs="Verdana"/>
          <w:sz w:val="20"/>
          <w:szCs w:val="20"/>
          <w:lang w:val="en-US"/>
        </w:rPr>
        <w:t xml:space="preserve">’s inclusion of presumed violation of rights that had not been indicated previously in the </w:t>
      </w:r>
      <w:r w:rsidR="00E00902" w:rsidRPr="00012C3F">
        <w:rPr>
          <w:rFonts w:eastAsia="Verdana" w:cs="Verdana"/>
          <w:sz w:val="20"/>
          <w:szCs w:val="20"/>
          <w:lang w:val="en-US"/>
        </w:rPr>
        <w:t>Merits Report</w:t>
      </w:r>
      <w:r w:rsidR="009727AF" w:rsidRPr="00012C3F">
        <w:rPr>
          <w:rFonts w:eastAsia="Verdana" w:cs="Verdana"/>
          <w:sz w:val="20"/>
          <w:szCs w:val="20"/>
          <w:lang w:val="en-US"/>
        </w:rPr>
        <w:t xml:space="preserve">: namely, the rights recognized in </w:t>
      </w:r>
      <w:r w:rsidR="001254DE" w:rsidRPr="00012C3F">
        <w:rPr>
          <w:rFonts w:eastAsia="Verdana" w:cs="Verdana"/>
          <w:sz w:val="20"/>
          <w:szCs w:val="20"/>
          <w:lang w:val="en-US"/>
        </w:rPr>
        <w:t>Articles</w:t>
      </w:r>
      <w:r w:rsidR="00A93967" w:rsidRPr="00012C3F">
        <w:rPr>
          <w:rFonts w:eastAsia="Verdana" w:cs="Verdana"/>
          <w:sz w:val="20"/>
          <w:szCs w:val="20"/>
          <w:lang w:val="en-US"/>
        </w:rPr>
        <w:t xml:space="preserve"> 3, </w:t>
      </w:r>
      <w:r w:rsidR="00B257AF" w:rsidRPr="00012C3F">
        <w:rPr>
          <w:rFonts w:eastAsia="Verdana" w:cs="Verdana"/>
          <w:sz w:val="20"/>
          <w:szCs w:val="20"/>
          <w:lang w:val="en-US"/>
        </w:rPr>
        <w:t>5(2)</w:t>
      </w:r>
      <w:r w:rsidR="005E5012" w:rsidRPr="00012C3F">
        <w:rPr>
          <w:rFonts w:eastAsia="Verdana" w:cs="Verdana"/>
          <w:sz w:val="20"/>
          <w:szCs w:val="20"/>
          <w:lang w:val="en-US"/>
        </w:rPr>
        <w:t xml:space="preserve"> and </w:t>
      </w:r>
      <w:r w:rsidR="00A93967" w:rsidRPr="00012C3F">
        <w:rPr>
          <w:rFonts w:eastAsia="Verdana" w:cs="Verdana"/>
          <w:sz w:val="20"/>
          <w:szCs w:val="20"/>
          <w:lang w:val="en-US"/>
        </w:rPr>
        <w:t>2</w:t>
      </w:r>
      <w:r w:rsidR="00B257AF" w:rsidRPr="00012C3F">
        <w:rPr>
          <w:rFonts w:eastAsia="Verdana" w:cs="Verdana"/>
          <w:sz w:val="20"/>
          <w:szCs w:val="20"/>
          <w:lang w:val="en-US"/>
        </w:rPr>
        <w:t>5(2)</w:t>
      </w:r>
      <w:r w:rsidR="001254DE" w:rsidRPr="00012C3F">
        <w:rPr>
          <w:rFonts w:eastAsia="Verdana" w:cs="Verdana"/>
          <w:sz w:val="20"/>
          <w:szCs w:val="20"/>
          <w:lang w:val="en-US"/>
        </w:rPr>
        <w:t xml:space="preserve"> of the Convention</w:t>
      </w:r>
      <w:r w:rsidR="009727AF" w:rsidRPr="00012C3F">
        <w:rPr>
          <w:rFonts w:eastAsia="Verdana" w:cs="Verdana"/>
          <w:sz w:val="20"/>
          <w:szCs w:val="20"/>
          <w:lang w:val="en-US"/>
        </w:rPr>
        <w:t xml:space="preserve">, and also the presumed violation </w:t>
      </w:r>
      <w:r w:rsidR="008A7A0F" w:rsidRPr="00012C3F">
        <w:rPr>
          <w:rFonts w:eastAsia="Verdana" w:cs="Verdana"/>
          <w:sz w:val="20"/>
          <w:szCs w:val="20"/>
          <w:lang w:val="en-US"/>
        </w:rPr>
        <w:t>of Article</w:t>
      </w:r>
      <w:r w:rsidR="00A93967" w:rsidRPr="00012C3F">
        <w:rPr>
          <w:rFonts w:eastAsia="Verdana" w:cs="Verdana"/>
          <w:sz w:val="20"/>
          <w:szCs w:val="20"/>
          <w:lang w:val="en-US"/>
        </w:rPr>
        <w:t xml:space="preserve"> 5 </w:t>
      </w:r>
      <w:r w:rsidR="009727AF" w:rsidRPr="00012C3F">
        <w:rPr>
          <w:rFonts w:eastAsia="Verdana" w:cs="Verdana"/>
          <w:sz w:val="20"/>
          <w:szCs w:val="20"/>
          <w:lang w:val="en-US"/>
        </w:rPr>
        <w:t>in relation to</w:t>
      </w:r>
      <w:r w:rsidR="00A93967" w:rsidRPr="00012C3F">
        <w:rPr>
          <w:rFonts w:eastAsia="Verdana" w:cs="Verdana"/>
          <w:sz w:val="20"/>
          <w:szCs w:val="20"/>
          <w:lang w:val="en-US"/>
        </w:rPr>
        <w:t xml:space="preserve"> </w:t>
      </w:r>
      <w:r w:rsidR="001254DE" w:rsidRPr="00012C3F">
        <w:rPr>
          <w:rFonts w:eastAsia="Verdana" w:cs="Verdana"/>
          <w:sz w:val="20"/>
          <w:szCs w:val="20"/>
          <w:lang w:val="en-US"/>
        </w:rPr>
        <w:t>Articles</w:t>
      </w:r>
      <w:r w:rsidR="00A93967" w:rsidRPr="00012C3F">
        <w:rPr>
          <w:rFonts w:eastAsia="Verdana" w:cs="Verdana"/>
          <w:sz w:val="20"/>
          <w:szCs w:val="20"/>
          <w:lang w:val="en-US"/>
        </w:rPr>
        <w:t xml:space="preserve"> </w:t>
      </w:r>
      <w:r w:rsidR="005E5012" w:rsidRPr="00012C3F">
        <w:rPr>
          <w:rFonts w:eastAsia="Verdana" w:cs="Verdana"/>
          <w:sz w:val="20"/>
          <w:szCs w:val="20"/>
          <w:lang w:val="en-US"/>
        </w:rPr>
        <w:t xml:space="preserve">1(1) and </w:t>
      </w:r>
      <w:r w:rsidR="00A93967" w:rsidRPr="00012C3F">
        <w:rPr>
          <w:rFonts w:eastAsia="Verdana" w:cs="Verdana"/>
          <w:sz w:val="20"/>
          <w:szCs w:val="20"/>
          <w:lang w:val="en-US"/>
        </w:rPr>
        <w:t>19</w:t>
      </w:r>
      <w:r w:rsidR="006B1BC8" w:rsidRPr="00012C3F">
        <w:rPr>
          <w:rFonts w:eastAsia="Verdana" w:cs="Verdana"/>
          <w:sz w:val="20"/>
          <w:szCs w:val="20"/>
          <w:lang w:val="en-US"/>
        </w:rPr>
        <w:t xml:space="preserve"> </w:t>
      </w:r>
      <w:r w:rsidR="009727AF" w:rsidRPr="00012C3F">
        <w:rPr>
          <w:rFonts w:eastAsia="Verdana" w:cs="Verdana"/>
          <w:sz w:val="20"/>
          <w:szCs w:val="20"/>
          <w:lang w:val="en-US"/>
        </w:rPr>
        <w:t>of this instrument with regard to</w:t>
      </w:r>
      <w:r w:rsidR="00A93967" w:rsidRPr="00012C3F">
        <w:rPr>
          <w:rFonts w:eastAsia="Verdana" w:cs="Verdana"/>
          <w:sz w:val="20"/>
          <w:szCs w:val="20"/>
          <w:lang w:val="en-US"/>
        </w:rPr>
        <w:t xml:space="preserve"> </w:t>
      </w:r>
      <w:r w:rsidR="000E1C11" w:rsidRPr="00012C3F">
        <w:rPr>
          <w:rFonts w:eastAsia="Verdana" w:cs="Verdana"/>
          <w:sz w:val="20"/>
          <w:szCs w:val="20"/>
          <w:lang w:val="en-US"/>
        </w:rPr>
        <w:t>N.V.</w:t>
      </w:r>
      <w:r w:rsidR="005E5012" w:rsidRPr="00012C3F">
        <w:rPr>
          <w:rFonts w:eastAsia="Verdana" w:cs="Verdana"/>
          <w:sz w:val="20"/>
          <w:szCs w:val="20"/>
          <w:lang w:val="en-US"/>
        </w:rPr>
        <w:t xml:space="preserve"> and </w:t>
      </w:r>
      <w:r w:rsidR="00A93967" w:rsidRPr="00012C3F">
        <w:rPr>
          <w:rFonts w:eastAsia="Verdana" w:cs="Verdana"/>
          <w:sz w:val="20"/>
          <w:szCs w:val="20"/>
          <w:lang w:val="en-US"/>
        </w:rPr>
        <w:t xml:space="preserve">L.A. </w:t>
      </w:r>
      <w:r w:rsidR="00972ACF" w:rsidRPr="00012C3F">
        <w:rPr>
          <w:rFonts w:eastAsia="Verdana" w:cs="Verdana"/>
          <w:sz w:val="20"/>
          <w:szCs w:val="20"/>
          <w:lang w:val="en-US"/>
        </w:rPr>
        <w:t xml:space="preserve">The </w:t>
      </w:r>
      <w:r w:rsidR="00972ACF" w:rsidRPr="00012C3F">
        <w:rPr>
          <w:rFonts w:eastAsia="Verdana" w:cs="Verdana"/>
          <w:b/>
          <w:bCs/>
          <w:i/>
          <w:iCs/>
          <w:sz w:val="20"/>
          <w:szCs w:val="20"/>
          <w:lang w:val="en-US"/>
        </w:rPr>
        <w:t>representative</w:t>
      </w:r>
      <w:r w:rsidR="00A93967" w:rsidRPr="00012C3F">
        <w:rPr>
          <w:rFonts w:eastAsia="Verdana" w:cs="Verdana"/>
          <w:sz w:val="20"/>
          <w:szCs w:val="20"/>
          <w:lang w:val="en-US"/>
        </w:rPr>
        <w:t xml:space="preserve"> </w:t>
      </w:r>
      <w:r w:rsidR="009727AF" w:rsidRPr="00012C3F">
        <w:rPr>
          <w:rFonts w:eastAsia="Verdana" w:cs="Verdana"/>
          <w:sz w:val="20"/>
          <w:szCs w:val="20"/>
          <w:lang w:val="en-US"/>
        </w:rPr>
        <w:t xml:space="preserve">asked the Court to disregard the State’s objection and stressed that, according to the Court’s case law, the presumed victims and their representatives could invoke the violation of rights other than those included in the </w:t>
      </w:r>
      <w:r w:rsidR="00E00902" w:rsidRPr="00012C3F">
        <w:rPr>
          <w:rFonts w:eastAsia="Verdana" w:cs="Verdana"/>
          <w:sz w:val="20"/>
          <w:szCs w:val="20"/>
          <w:lang w:val="en-US"/>
        </w:rPr>
        <w:t>Merits Report</w:t>
      </w:r>
      <w:r w:rsidR="00A93967" w:rsidRPr="00012C3F">
        <w:rPr>
          <w:rFonts w:eastAsia="Verdana" w:cs="Verdana"/>
          <w:sz w:val="20"/>
          <w:szCs w:val="20"/>
          <w:lang w:val="en-US"/>
        </w:rPr>
        <w:t xml:space="preserve">, </w:t>
      </w:r>
      <w:r w:rsidR="009727AF" w:rsidRPr="00012C3F">
        <w:rPr>
          <w:rFonts w:eastAsia="Verdana" w:cs="Verdana"/>
          <w:sz w:val="20"/>
          <w:szCs w:val="20"/>
          <w:lang w:val="en-US"/>
        </w:rPr>
        <w:t xml:space="preserve">provided that they related to the facts contained in that document. </w:t>
      </w:r>
      <w:r w:rsidR="00972ACF" w:rsidRPr="00012C3F">
        <w:rPr>
          <w:rFonts w:eastAsia="Verdana" w:cs="Verdana"/>
          <w:sz w:val="20"/>
          <w:szCs w:val="20"/>
          <w:lang w:val="en-US"/>
        </w:rPr>
        <w:t>The representative</w:t>
      </w:r>
      <w:r w:rsidR="00A93967" w:rsidRPr="00012C3F">
        <w:rPr>
          <w:rFonts w:eastAsia="Verdana" w:cs="Verdana"/>
          <w:sz w:val="20"/>
          <w:szCs w:val="20"/>
          <w:lang w:val="en-US"/>
        </w:rPr>
        <w:t xml:space="preserve"> </w:t>
      </w:r>
      <w:r w:rsidR="009727AF" w:rsidRPr="00012C3F">
        <w:rPr>
          <w:rFonts w:eastAsia="Verdana" w:cs="Verdana"/>
          <w:sz w:val="20"/>
          <w:szCs w:val="20"/>
          <w:lang w:val="en-US"/>
        </w:rPr>
        <w:t xml:space="preserve">indicated that the alleged violations were founded not only on the factual framework established by </w:t>
      </w:r>
      <w:r w:rsidRPr="00012C3F">
        <w:rPr>
          <w:rFonts w:eastAsia="Verdana" w:cs="Verdana"/>
          <w:sz w:val="20"/>
          <w:szCs w:val="20"/>
          <w:lang w:val="en-US"/>
        </w:rPr>
        <w:t>Commission</w:t>
      </w:r>
      <w:r w:rsidR="00A93967" w:rsidRPr="00012C3F">
        <w:rPr>
          <w:rFonts w:eastAsia="Verdana" w:cs="Verdana"/>
          <w:sz w:val="20"/>
          <w:szCs w:val="20"/>
          <w:lang w:val="en-US"/>
        </w:rPr>
        <w:t xml:space="preserve">, </w:t>
      </w:r>
      <w:r w:rsidR="009727AF" w:rsidRPr="00012C3F">
        <w:rPr>
          <w:rFonts w:eastAsia="Verdana" w:cs="Verdana"/>
          <w:sz w:val="20"/>
          <w:szCs w:val="20"/>
          <w:lang w:val="en-US"/>
        </w:rPr>
        <w:t xml:space="preserve">but also on the facts described by the petitioners </w:t>
      </w:r>
      <w:r w:rsidR="00B9662E" w:rsidRPr="00012C3F">
        <w:rPr>
          <w:rFonts w:eastAsia="Verdana" w:cs="Verdana"/>
          <w:sz w:val="20"/>
          <w:szCs w:val="20"/>
          <w:lang w:val="en-US"/>
        </w:rPr>
        <w:t xml:space="preserve">throughout the proceedings under the inter-American system. </w:t>
      </w:r>
      <w:r w:rsidR="00BD056C" w:rsidRPr="00012C3F">
        <w:rPr>
          <w:rFonts w:eastAsia="Verdana" w:cs="Verdana"/>
          <w:sz w:val="20"/>
          <w:szCs w:val="20"/>
          <w:lang w:val="en-US"/>
        </w:rPr>
        <w:t xml:space="preserve">The </w:t>
      </w:r>
      <w:r w:rsidR="00BD056C" w:rsidRPr="00012C3F">
        <w:rPr>
          <w:rFonts w:eastAsia="Verdana" w:cs="Verdana"/>
          <w:b/>
          <w:bCs/>
          <w:i/>
          <w:iCs/>
          <w:sz w:val="20"/>
          <w:szCs w:val="20"/>
          <w:lang w:val="en-US"/>
        </w:rPr>
        <w:t>Commission</w:t>
      </w:r>
      <w:r w:rsidR="00A93967" w:rsidRPr="00012C3F">
        <w:rPr>
          <w:rFonts w:eastAsia="Verdana" w:cs="Verdana"/>
          <w:sz w:val="20"/>
          <w:szCs w:val="20"/>
          <w:lang w:val="en-US"/>
        </w:rPr>
        <w:t xml:space="preserve"> </w:t>
      </w:r>
      <w:r w:rsidR="00B9662E" w:rsidRPr="00012C3F">
        <w:rPr>
          <w:rFonts w:eastAsia="Verdana" w:cs="Verdana"/>
          <w:sz w:val="20"/>
          <w:szCs w:val="20"/>
          <w:lang w:val="en-US"/>
        </w:rPr>
        <w:t>made no ruling in this regard</w:t>
      </w:r>
      <w:r w:rsidR="00A93967" w:rsidRPr="00012C3F">
        <w:rPr>
          <w:rFonts w:eastAsia="Verdana" w:cs="Verdana"/>
          <w:sz w:val="20"/>
          <w:szCs w:val="20"/>
          <w:lang w:val="en-US"/>
        </w:rPr>
        <w:t>.</w:t>
      </w:r>
    </w:p>
    <w:p w14:paraId="66B6FA04" w14:textId="77777777" w:rsidR="00A93967" w:rsidRPr="00012C3F" w:rsidRDefault="00A93967" w:rsidP="00A93967">
      <w:pPr>
        <w:tabs>
          <w:tab w:val="left" w:pos="720"/>
        </w:tabs>
        <w:spacing w:line="240" w:lineRule="auto"/>
        <w:rPr>
          <w:rFonts w:eastAsia="Verdana" w:cs="Verdana"/>
          <w:sz w:val="20"/>
          <w:szCs w:val="20"/>
          <w:lang w:val="en-US"/>
        </w:rPr>
      </w:pPr>
    </w:p>
    <w:p w14:paraId="14A264EA" w14:textId="77777777" w:rsidR="00A93967" w:rsidRPr="00012C3F" w:rsidRDefault="00B9662E" w:rsidP="00B9662E">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Th</w:t>
      </w:r>
      <w:r w:rsidR="00512765" w:rsidRPr="00012C3F">
        <w:rPr>
          <w:sz w:val="20"/>
          <w:szCs w:val="20"/>
          <w:lang w:val="en-US"/>
        </w:rPr>
        <w:t>e</w:t>
      </w:r>
      <w:r w:rsidRPr="00012C3F">
        <w:rPr>
          <w:sz w:val="20"/>
          <w:szCs w:val="20"/>
          <w:lang w:val="en-US"/>
        </w:rPr>
        <w:t xml:space="preserve"> Court recalls that, according to its consistent case law</w:t>
      </w:r>
      <w:r w:rsidR="00512765" w:rsidRPr="00012C3F">
        <w:rPr>
          <w:sz w:val="20"/>
          <w:szCs w:val="20"/>
          <w:lang w:val="en-US"/>
        </w:rPr>
        <w:t>,</w:t>
      </w:r>
      <w:r w:rsidRPr="00012C3F">
        <w:rPr>
          <w:sz w:val="20"/>
          <w:szCs w:val="20"/>
          <w:lang w:val="en-US"/>
        </w:rPr>
        <w:t xml:space="preserve"> the possibility of changing or  varying the legal classification of the facts that </w:t>
      </w:r>
      <w:r w:rsidR="00512765" w:rsidRPr="00012C3F">
        <w:rPr>
          <w:sz w:val="20"/>
          <w:szCs w:val="20"/>
          <w:lang w:val="en-US"/>
        </w:rPr>
        <w:t>form the grounds for</w:t>
      </w:r>
      <w:r w:rsidRPr="00012C3F">
        <w:rPr>
          <w:sz w:val="20"/>
          <w:szCs w:val="20"/>
          <w:lang w:val="en-US"/>
        </w:rPr>
        <w:t xml:space="preserve"> the specific case is permitted </w:t>
      </w:r>
      <w:r w:rsidR="00512765" w:rsidRPr="00012C3F">
        <w:rPr>
          <w:sz w:val="20"/>
          <w:szCs w:val="20"/>
          <w:lang w:val="en-US"/>
        </w:rPr>
        <w:t>during</w:t>
      </w:r>
      <w:r w:rsidRPr="00012C3F">
        <w:rPr>
          <w:sz w:val="20"/>
          <w:szCs w:val="20"/>
          <w:lang w:val="en-US"/>
        </w:rPr>
        <w:t xml:space="preserve"> proceeding</w:t>
      </w:r>
      <w:r w:rsidR="00512765" w:rsidRPr="00012C3F">
        <w:rPr>
          <w:sz w:val="20"/>
          <w:szCs w:val="20"/>
          <w:lang w:val="en-US"/>
        </w:rPr>
        <w:t>s</w:t>
      </w:r>
      <w:r w:rsidRPr="00012C3F">
        <w:rPr>
          <w:sz w:val="20"/>
          <w:szCs w:val="20"/>
          <w:lang w:val="en-US"/>
        </w:rPr>
        <w:t xml:space="preserve"> under the inter-American system. In this regard, the presumed victims and their representatives may invoke the violation of rights other than those included in the </w:t>
      </w:r>
      <w:r w:rsidR="00E00902" w:rsidRPr="00012C3F">
        <w:rPr>
          <w:sz w:val="20"/>
          <w:szCs w:val="20"/>
          <w:lang w:val="en-US"/>
        </w:rPr>
        <w:t>Merits Report</w:t>
      </w:r>
      <w:r w:rsidR="00A93967" w:rsidRPr="00012C3F">
        <w:rPr>
          <w:sz w:val="20"/>
          <w:szCs w:val="20"/>
          <w:lang w:val="en-US"/>
        </w:rPr>
        <w:t xml:space="preserve">, </w:t>
      </w:r>
      <w:r w:rsidRPr="00012C3F">
        <w:rPr>
          <w:sz w:val="20"/>
          <w:szCs w:val="20"/>
          <w:lang w:val="en-US"/>
        </w:rPr>
        <w:t>provided the</w:t>
      </w:r>
      <w:r w:rsidR="00512765" w:rsidRPr="00012C3F">
        <w:rPr>
          <w:sz w:val="20"/>
          <w:szCs w:val="20"/>
          <w:lang w:val="en-US"/>
        </w:rPr>
        <w:t>se</w:t>
      </w:r>
      <w:r w:rsidRPr="00012C3F">
        <w:rPr>
          <w:sz w:val="20"/>
          <w:szCs w:val="20"/>
          <w:lang w:val="en-US"/>
        </w:rPr>
        <w:t xml:space="preserve"> relate to the facts contained in that document, because the presumed victims are </w:t>
      </w:r>
      <w:r w:rsidR="00512765" w:rsidRPr="00012C3F">
        <w:rPr>
          <w:sz w:val="20"/>
          <w:szCs w:val="20"/>
          <w:lang w:val="en-US"/>
        </w:rPr>
        <w:t>entitled to</w:t>
      </w:r>
      <w:r w:rsidRPr="00012C3F">
        <w:rPr>
          <w:sz w:val="20"/>
          <w:szCs w:val="20"/>
          <w:lang w:val="en-US"/>
        </w:rPr>
        <w:t xml:space="preserve"> all the rights recognized in </w:t>
      </w:r>
      <w:r w:rsidR="001254DE" w:rsidRPr="00012C3F">
        <w:rPr>
          <w:sz w:val="20"/>
          <w:szCs w:val="20"/>
          <w:lang w:val="en-US"/>
        </w:rPr>
        <w:t>the Convention</w:t>
      </w:r>
      <w:r w:rsidRPr="00012C3F">
        <w:rPr>
          <w:sz w:val="20"/>
          <w:szCs w:val="20"/>
          <w:lang w:val="en-US"/>
        </w:rPr>
        <w:t>.</w:t>
      </w:r>
      <w:r w:rsidR="00A93967" w:rsidRPr="00012C3F">
        <w:rPr>
          <w:sz w:val="20"/>
          <w:szCs w:val="20"/>
          <w:vertAlign w:val="superscript"/>
          <w:lang w:val="en-US"/>
        </w:rPr>
        <w:footnoteReference w:id="26"/>
      </w:r>
    </w:p>
    <w:p w14:paraId="35062958" w14:textId="77777777" w:rsidR="00A93967" w:rsidRPr="00012C3F" w:rsidRDefault="00A93967" w:rsidP="00B9662E">
      <w:pPr>
        <w:tabs>
          <w:tab w:val="left" w:pos="720"/>
        </w:tabs>
        <w:spacing w:line="240" w:lineRule="auto"/>
        <w:rPr>
          <w:sz w:val="20"/>
          <w:szCs w:val="20"/>
          <w:lang w:val="en-US"/>
        </w:rPr>
      </w:pPr>
    </w:p>
    <w:p w14:paraId="486CE19F" w14:textId="77777777" w:rsidR="00A93967" w:rsidRPr="00012C3F" w:rsidRDefault="00B9662E" w:rsidP="00B9662E">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Consequently, the Court notes that the </w:t>
      </w:r>
      <w:r w:rsidR="00972ACF" w:rsidRPr="00012C3F">
        <w:rPr>
          <w:sz w:val="20"/>
          <w:szCs w:val="20"/>
          <w:lang w:val="en-US"/>
        </w:rPr>
        <w:t>representative</w:t>
      </w:r>
      <w:r w:rsidRPr="00012C3F">
        <w:rPr>
          <w:sz w:val="20"/>
          <w:szCs w:val="20"/>
          <w:lang w:val="en-US"/>
        </w:rPr>
        <w:t>’s arguments</w:t>
      </w:r>
      <w:r w:rsidR="00A93967" w:rsidRPr="00012C3F">
        <w:rPr>
          <w:sz w:val="20"/>
          <w:szCs w:val="20"/>
          <w:lang w:val="en-US"/>
        </w:rPr>
        <w:t xml:space="preserve"> </w:t>
      </w:r>
      <w:r w:rsidRPr="00012C3F">
        <w:rPr>
          <w:sz w:val="20"/>
          <w:szCs w:val="20"/>
          <w:lang w:val="en-US"/>
        </w:rPr>
        <w:t>with regard to</w:t>
      </w:r>
      <w:r w:rsidR="00A93967" w:rsidRPr="00012C3F">
        <w:rPr>
          <w:sz w:val="20"/>
          <w:szCs w:val="20"/>
          <w:lang w:val="en-US"/>
        </w:rPr>
        <w:t xml:space="preserve"> </w:t>
      </w:r>
      <w:r w:rsidR="001254DE" w:rsidRPr="00012C3F">
        <w:rPr>
          <w:sz w:val="20"/>
          <w:szCs w:val="20"/>
          <w:lang w:val="en-US"/>
        </w:rPr>
        <w:t>Articles</w:t>
      </w:r>
      <w:r w:rsidR="00A93967" w:rsidRPr="00012C3F">
        <w:rPr>
          <w:sz w:val="20"/>
          <w:szCs w:val="20"/>
          <w:lang w:val="en-US"/>
        </w:rPr>
        <w:t xml:space="preserve"> 3, </w:t>
      </w:r>
      <w:r w:rsidR="00B257AF" w:rsidRPr="00012C3F">
        <w:rPr>
          <w:sz w:val="20"/>
          <w:szCs w:val="20"/>
          <w:lang w:val="en-US"/>
        </w:rPr>
        <w:t>5(2)</w:t>
      </w:r>
      <w:r w:rsidR="005E5012" w:rsidRPr="00012C3F">
        <w:rPr>
          <w:sz w:val="20"/>
          <w:szCs w:val="20"/>
          <w:lang w:val="en-US"/>
        </w:rPr>
        <w:t xml:space="preserve"> and </w:t>
      </w:r>
      <w:r w:rsidR="00A93967" w:rsidRPr="00012C3F">
        <w:rPr>
          <w:sz w:val="20"/>
          <w:szCs w:val="20"/>
          <w:lang w:val="en-US"/>
        </w:rPr>
        <w:t>2</w:t>
      </w:r>
      <w:r w:rsidR="00B257AF" w:rsidRPr="00012C3F">
        <w:rPr>
          <w:sz w:val="20"/>
          <w:szCs w:val="20"/>
          <w:lang w:val="en-US"/>
        </w:rPr>
        <w:t>5(2)</w:t>
      </w:r>
      <w:r w:rsidR="001254DE" w:rsidRPr="00012C3F">
        <w:rPr>
          <w:sz w:val="20"/>
          <w:szCs w:val="20"/>
          <w:lang w:val="en-US"/>
        </w:rPr>
        <w:t xml:space="preserve"> of the American Convention</w:t>
      </w:r>
      <w:r w:rsidRPr="00012C3F">
        <w:rPr>
          <w:sz w:val="20"/>
          <w:szCs w:val="20"/>
          <w:lang w:val="en-US"/>
        </w:rPr>
        <w:t xml:space="preserve"> are founded on facts that form part of the factual framework presented by</w:t>
      </w:r>
      <w:r w:rsidR="00A93967" w:rsidRPr="00012C3F">
        <w:rPr>
          <w:sz w:val="20"/>
          <w:szCs w:val="20"/>
          <w:lang w:val="en-US"/>
        </w:rPr>
        <w:t xml:space="preserve"> </w:t>
      </w:r>
      <w:r w:rsidR="001254DE" w:rsidRPr="00012C3F">
        <w:rPr>
          <w:sz w:val="20"/>
          <w:szCs w:val="20"/>
          <w:lang w:val="en-US"/>
        </w:rPr>
        <w:t xml:space="preserve">the </w:t>
      </w:r>
      <w:r w:rsidR="00A84CA0" w:rsidRPr="00012C3F">
        <w:rPr>
          <w:sz w:val="20"/>
          <w:szCs w:val="20"/>
          <w:lang w:val="en-US"/>
        </w:rPr>
        <w:t>Commission</w:t>
      </w:r>
      <w:r w:rsidR="00A93967" w:rsidRPr="00012C3F">
        <w:rPr>
          <w:sz w:val="20"/>
          <w:szCs w:val="20"/>
          <w:lang w:val="en-US"/>
        </w:rPr>
        <w:t xml:space="preserve">. </w:t>
      </w:r>
      <w:r w:rsidRPr="00012C3F">
        <w:rPr>
          <w:sz w:val="20"/>
          <w:szCs w:val="20"/>
          <w:lang w:val="en-US"/>
        </w:rPr>
        <w:t xml:space="preserve">Therefore, </w:t>
      </w:r>
      <w:r w:rsidR="00512765" w:rsidRPr="00012C3F">
        <w:rPr>
          <w:sz w:val="20"/>
          <w:szCs w:val="20"/>
          <w:lang w:val="en-US"/>
        </w:rPr>
        <w:t xml:space="preserve">the Court does not accept </w:t>
      </w:r>
      <w:r w:rsidRPr="00012C3F">
        <w:rPr>
          <w:sz w:val="20"/>
          <w:szCs w:val="20"/>
          <w:lang w:val="en-US"/>
        </w:rPr>
        <w:t xml:space="preserve">the State’s argument that the human rights violations alleged by the representative are inadmissible, because the presumed victim and her representative are authorized to invoke the violations of rights other than those established in the Merits Report, provided they conform to the factual framework established by </w:t>
      </w:r>
      <w:r w:rsidR="001254DE" w:rsidRPr="00012C3F">
        <w:rPr>
          <w:sz w:val="20"/>
          <w:szCs w:val="20"/>
          <w:lang w:val="en-US"/>
        </w:rPr>
        <w:t xml:space="preserve">the </w:t>
      </w:r>
      <w:r w:rsidR="00A84CA0" w:rsidRPr="00012C3F">
        <w:rPr>
          <w:sz w:val="20"/>
          <w:szCs w:val="20"/>
          <w:lang w:val="en-US"/>
        </w:rPr>
        <w:t>Commission</w:t>
      </w:r>
      <w:r w:rsidR="00A93967" w:rsidRPr="00012C3F">
        <w:rPr>
          <w:sz w:val="20"/>
          <w:szCs w:val="20"/>
          <w:lang w:val="en-US"/>
        </w:rPr>
        <w:t xml:space="preserve">. </w:t>
      </w:r>
      <w:r w:rsidRPr="00012C3F">
        <w:rPr>
          <w:sz w:val="20"/>
          <w:szCs w:val="20"/>
          <w:lang w:val="en-US"/>
        </w:rPr>
        <w:t xml:space="preserve">In the case of the </w:t>
      </w:r>
      <w:r w:rsidR="00972ACF" w:rsidRPr="00012C3F">
        <w:rPr>
          <w:sz w:val="20"/>
          <w:szCs w:val="20"/>
          <w:lang w:val="en-US"/>
        </w:rPr>
        <w:t>representative</w:t>
      </w:r>
      <w:r w:rsidRPr="00012C3F">
        <w:rPr>
          <w:sz w:val="20"/>
          <w:szCs w:val="20"/>
          <w:lang w:val="en-US"/>
        </w:rPr>
        <w:t>’s arguments concerning</w:t>
      </w:r>
      <w:r w:rsidR="00A93967" w:rsidRPr="00012C3F">
        <w:rPr>
          <w:sz w:val="20"/>
          <w:szCs w:val="20"/>
          <w:lang w:val="en-US"/>
        </w:rPr>
        <w:t xml:space="preserve"> </w:t>
      </w:r>
      <w:r w:rsidR="001254DE" w:rsidRPr="00012C3F">
        <w:rPr>
          <w:rFonts w:eastAsia="Verdana" w:cs="Verdana"/>
          <w:sz w:val="20"/>
          <w:szCs w:val="20"/>
          <w:lang w:val="en-US"/>
        </w:rPr>
        <w:t>Article</w:t>
      </w:r>
      <w:r w:rsidR="00A93967" w:rsidRPr="00012C3F">
        <w:rPr>
          <w:rFonts w:eastAsia="Verdana" w:cs="Verdana"/>
          <w:sz w:val="20"/>
          <w:szCs w:val="20"/>
          <w:lang w:val="en-US"/>
        </w:rPr>
        <w:t xml:space="preserve"> 5 </w:t>
      </w:r>
      <w:r w:rsidRPr="00012C3F">
        <w:rPr>
          <w:rFonts w:eastAsia="Verdana" w:cs="Verdana"/>
          <w:sz w:val="20"/>
          <w:szCs w:val="20"/>
          <w:lang w:val="en-US"/>
        </w:rPr>
        <w:t>in relation to</w:t>
      </w:r>
      <w:r w:rsidR="00A93967" w:rsidRPr="00012C3F">
        <w:rPr>
          <w:rFonts w:eastAsia="Verdana" w:cs="Verdana"/>
          <w:sz w:val="20"/>
          <w:szCs w:val="20"/>
          <w:lang w:val="en-US"/>
        </w:rPr>
        <w:t xml:space="preserve"> </w:t>
      </w:r>
      <w:r w:rsidR="001254DE" w:rsidRPr="00012C3F">
        <w:rPr>
          <w:rFonts w:eastAsia="Verdana" w:cs="Verdana"/>
          <w:sz w:val="20"/>
          <w:szCs w:val="20"/>
          <w:lang w:val="en-US"/>
        </w:rPr>
        <w:t>Articles</w:t>
      </w:r>
      <w:r w:rsidR="00A93967" w:rsidRPr="00012C3F">
        <w:rPr>
          <w:rFonts w:eastAsia="Verdana" w:cs="Verdana"/>
          <w:sz w:val="20"/>
          <w:szCs w:val="20"/>
          <w:lang w:val="en-US"/>
        </w:rPr>
        <w:t xml:space="preserve"> </w:t>
      </w:r>
      <w:r w:rsidR="005E5012" w:rsidRPr="00012C3F">
        <w:rPr>
          <w:rFonts w:eastAsia="Verdana" w:cs="Verdana"/>
          <w:sz w:val="20"/>
          <w:szCs w:val="20"/>
          <w:lang w:val="en-US"/>
        </w:rPr>
        <w:t xml:space="preserve">1(1) and </w:t>
      </w:r>
      <w:r w:rsidR="00A93967" w:rsidRPr="00012C3F">
        <w:rPr>
          <w:rFonts w:eastAsia="Verdana" w:cs="Verdana"/>
          <w:sz w:val="20"/>
          <w:szCs w:val="20"/>
          <w:lang w:val="en-US"/>
        </w:rPr>
        <w:t>19</w:t>
      </w:r>
      <w:r w:rsidR="001254DE" w:rsidRPr="00012C3F">
        <w:rPr>
          <w:rFonts w:eastAsia="Verdana" w:cs="Verdana"/>
          <w:sz w:val="20"/>
          <w:szCs w:val="20"/>
          <w:lang w:val="en-US"/>
        </w:rPr>
        <w:t xml:space="preserve"> of the Convention</w:t>
      </w:r>
      <w:r w:rsidR="000F35F9" w:rsidRPr="00012C3F">
        <w:rPr>
          <w:rFonts w:eastAsia="Verdana" w:cs="Verdana"/>
          <w:sz w:val="20"/>
          <w:szCs w:val="20"/>
          <w:lang w:val="en-US"/>
        </w:rPr>
        <w:t xml:space="preserve"> </w:t>
      </w:r>
      <w:r w:rsidRPr="00012C3F">
        <w:rPr>
          <w:rFonts w:eastAsia="Verdana" w:cs="Verdana"/>
          <w:sz w:val="20"/>
          <w:szCs w:val="20"/>
          <w:lang w:val="en-US"/>
        </w:rPr>
        <w:t>with regard to</w:t>
      </w:r>
      <w:r w:rsidR="00A93967" w:rsidRPr="00012C3F">
        <w:rPr>
          <w:rFonts w:eastAsia="Verdana" w:cs="Verdana"/>
          <w:sz w:val="20"/>
          <w:szCs w:val="20"/>
          <w:lang w:val="en-US"/>
        </w:rPr>
        <w:t xml:space="preserve"> </w:t>
      </w:r>
      <w:r w:rsidR="000E1C11" w:rsidRPr="00012C3F">
        <w:rPr>
          <w:rFonts w:eastAsia="Verdana" w:cs="Verdana"/>
          <w:sz w:val="20"/>
          <w:szCs w:val="20"/>
          <w:lang w:val="en-US"/>
        </w:rPr>
        <w:t>N.V.</w:t>
      </w:r>
      <w:r w:rsidR="005E5012" w:rsidRPr="00012C3F">
        <w:rPr>
          <w:rFonts w:eastAsia="Verdana" w:cs="Verdana"/>
          <w:sz w:val="20"/>
          <w:szCs w:val="20"/>
          <w:lang w:val="en-US"/>
        </w:rPr>
        <w:t xml:space="preserve"> and </w:t>
      </w:r>
      <w:r w:rsidR="00A93967" w:rsidRPr="00012C3F">
        <w:rPr>
          <w:rFonts w:eastAsia="Verdana" w:cs="Verdana"/>
          <w:sz w:val="20"/>
          <w:szCs w:val="20"/>
          <w:lang w:val="en-US"/>
        </w:rPr>
        <w:t>L.A</w:t>
      </w:r>
      <w:r w:rsidR="000F35F9" w:rsidRPr="00012C3F">
        <w:rPr>
          <w:rFonts w:eastAsia="Verdana" w:cs="Verdana"/>
          <w:sz w:val="20"/>
          <w:szCs w:val="20"/>
          <w:lang w:val="en-US"/>
        </w:rPr>
        <w:t>.</w:t>
      </w:r>
      <w:r w:rsidR="00A93967" w:rsidRPr="00012C3F">
        <w:rPr>
          <w:rFonts w:eastAsia="Verdana" w:cs="Verdana"/>
          <w:sz w:val="20"/>
          <w:szCs w:val="20"/>
          <w:lang w:val="en-US"/>
        </w:rPr>
        <w:t xml:space="preserve">, </w:t>
      </w:r>
      <w:r w:rsidR="001254DE" w:rsidRPr="00012C3F">
        <w:rPr>
          <w:rFonts w:eastAsia="Verdana" w:cs="Verdana"/>
          <w:sz w:val="20"/>
          <w:szCs w:val="20"/>
          <w:lang w:val="en-US"/>
        </w:rPr>
        <w:t>the Court</w:t>
      </w:r>
      <w:r w:rsidR="00A93967" w:rsidRPr="00012C3F">
        <w:rPr>
          <w:sz w:val="20"/>
          <w:szCs w:val="20"/>
          <w:lang w:val="en-US"/>
        </w:rPr>
        <w:t xml:space="preserve"> </w:t>
      </w:r>
      <w:r w:rsidRPr="00012C3F">
        <w:rPr>
          <w:sz w:val="20"/>
          <w:szCs w:val="20"/>
          <w:lang w:val="en-US"/>
        </w:rPr>
        <w:t xml:space="preserve">finds that they are not admissible, because the latter are not considered presumed victims </w:t>
      </w:r>
      <w:r w:rsidR="006C705C" w:rsidRPr="00012C3F">
        <w:rPr>
          <w:rFonts w:eastAsia="Verdana" w:cs="Verdana"/>
          <w:sz w:val="20"/>
          <w:szCs w:val="20"/>
          <w:lang w:val="en-US"/>
        </w:rPr>
        <w:t>in this case</w:t>
      </w:r>
      <w:r w:rsidR="00A93967" w:rsidRPr="00012C3F">
        <w:rPr>
          <w:rFonts w:eastAsia="Verdana" w:cs="Verdana"/>
          <w:sz w:val="20"/>
          <w:szCs w:val="20"/>
          <w:lang w:val="en-US"/>
        </w:rPr>
        <w:t xml:space="preserve"> (</w:t>
      </w:r>
      <w:r w:rsidR="00A93967" w:rsidRPr="00012C3F">
        <w:rPr>
          <w:rFonts w:eastAsia="Verdana" w:cs="Verdana"/>
          <w:i/>
          <w:sz w:val="20"/>
          <w:szCs w:val="20"/>
          <w:lang w:val="en-US"/>
        </w:rPr>
        <w:t xml:space="preserve">supra </w:t>
      </w:r>
      <w:r w:rsidR="00370DD4" w:rsidRPr="00012C3F">
        <w:rPr>
          <w:rFonts w:eastAsia="Verdana" w:cs="Verdana"/>
          <w:sz w:val="20"/>
          <w:szCs w:val="20"/>
          <w:lang w:val="en-US"/>
        </w:rPr>
        <w:t>para.</w:t>
      </w:r>
      <w:r w:rsidR="00A93967" w:rsidRPr="00012C3F">
        <w:rPr>
          <w:rFonts w:eastAsia="Verdana" w:cs="Verdana"/>
          <w:i/>
          <w:sz w:val="20"/>
          <w:szCs w:val="20"/>
          <w:lang w:val="en-US"/>
        </w:rPr>
        <w:t xml:space="preserve"> </w:t>
      </w:r>
      <w:r w:rsidR="009B607B" w:rsidRPr="00012C3F">
        <w:rPr>
          <w:rFonts w:eastAsia="Verdana" w:cs="Verdana"/>
          <w:sz w:val="20"/>
          <w:szCs w:val="20"/>
          <w:lang w:val="en-US"/>
        </w:rPr>
        <w:t>43).</w:t>
      </w:r>
    </w:p>
    <w:p w14:paraId="141863A3" w14:textId="77777777" w:rsidR="007A1A14" w:rsidRPr="00012C3F" w:rsidRDefault="007A1A14" w:rsidP="007A1A14">
      <w:pPr>
        <w:spacing w:line="240" w:lineRule="auto"/>
        <w:rPr>
          <w:sz w:val="20"/>
          <w:szCs w:val="20"/>
          <w:lang w:val="en-US"/>
        </w:rPr>
      </w:pPr>
    </w:p>
    <w:p w14:paraId="06B313A6" w14:textId="77777777" w:rsidR="007A1A14" w:rsidRPr="00012C3F" w:rsidRDefault="007A1A14" w:rsidP="007A1A14">
      <w:pPr>
        <w:keepNext/>
        <w:keepLines/>
        <w:tabs>
          <w:tab w:val="left" w:pos="851"/>
        </w:tabs>
        <w:spacing w:line="240" w:lineRule="auto"/>
        <w:jc w:val="center"/>
        <w:outlineLvl w:val="0"/>
        <w:rPr>
          <w:rFonts w:cs="Verdana"/>
          <w:b/>
          <w:bCs/>
          <w:caps/>
          <w:snapToGrid w:val="0"/>
          <w:sz w:val="20"/>
          <w:szCs w:val="20"/>
          <w:lang w:val="en-US"/>
        </w:rPr>
      </w:pPr>
      <w:bookmarkStart w:id="63" w:name="_Toc375517114"/>
      <w:bookmarkStart w:id="64" w:name="_Toc459158102"/>
      <w:bookmarkStart w:id="65" w:name="_Toc27486830"/>
      <w:r w:rsidRPr="00012C3F">
        <w:rPr>
          <w:rFonts w:cs="Verdana"/>
          <w:b/>
          <w:bCs/>
          <w:caps/>
          <w:snapToGrid w:val="0"/>
          <w:sz w:val="20"/>
          <w:szCs w:val="20"/>
          <w:lang w:val="en-US"/>
        </w:rPr>
        <w:t>V</w:t>
      </w:r>
      <w:r w:rsidR="00A93967" w:rsidRPr="00012C3F">
        <w:rPr>
          <w:rFonts w:cs="Verdana"/>
          <w:b/>
          <w:bCs/>
          <w:caps/>
          <w:snapToGrid w:val="0"/>
          <w:sz w:val="20"/>
          <w:szCs w:val="20"/>
          <w:lang w:val="en-US"/>
        </w:rPr>
        <w:t>I</w:t>
      </w:r>
      <w:r w:rsidRPr="00012C3F">
        <w:rPr>
          <w:rFonts w:cs="Verdana"/>
          <w:b/>
          <w:bCs/>
          <w:caps/>
          <w:snapToGrid w:val="0"/>
          <w:sz w:val="20"/>
          <w:szCs w:val="20"/>
          <w:lang w:val="en-US"/>
        </w:rPr>
        <w:br/>
      </w:r>
      <w:r w:rsidR="006C705C" w:rsidRPr="00012C3F">
        <w:rPr>
          <w:rFonts w:cs="Verdana"/>
          <w:b/>
          <w:bCs/>
          <w:caps/>
          <w:snapToGrid w:val="0"/>
          <w:sz w:val="20"/>
          <w:szCs w:val="20"/>
          <w:lang w:val="en-US"/>
        </w:rPr>
        <w:t>EVIDENCE</w:t>
      </w:r>
      <w:bookmarkEnd w:id="63"/>
      <w:bookmarkEnd w:id="64"/>
      <w:bookmarkEnd w:id="65"/>
    </w:p>
    <w:p w14:paraId="1F0579F5" w14:textId="77777777" w:rsidR="007A1A14" w:rsidRPr="00012C3F" w:rsidRDefault="007A1A14" w:rsidP="007A1A14">
      <w:pPr>
        <w:tabs>
          <w:tab w:val="left" w:pos="720"/>
          <w:tab w:val="num" w:pos="1569"/>
        </w:tabs>
        <w:spacing w:line="240" w:lineRule="auto"/>
        <w:ind w:right="-90"/>
        <w:rPr>
          <w:rFonts w:cs="Verdana"/>
          <w:caps/>
          <w:snapToGrid w:val="0"/>
          <w:sz w:val="20"/>
          <w:szCs w:val="20"/>
          <w:lang w:val="en-US"/>
        </w:rPr>
      </w:pPr>
    </w:p>
    <w:p w14:paraId="30247DC1" w14:textId="77777777" w:rsidR="007A1A14" w:rsidRPr="00012C3F" w:rsidRDefault="00B9662E" w:rsidP="00B9662E">
      <w:pPr>
        <w:numPr>
          <w:ilvl w:val="0"/>
          <w:numId w:val="5"/>
        </w:numPr>
        <w:tabs>
          <w:tab w:val="left" w:pos="720"/>
          <w:tab w:val="num" w:pos="12305"/>
        </w:tabs>
        <w:spacing w:line="240" w:lineRule="auto"/>
        <w:ind w:left="0" w:firstLine="0"/>
        <w:rPr>
          <w:rFonts w:cs="Verdana"/>
          <w:sz w:val="20"/>
          <w:szCs w:val="20"/>
          <w:lang w:val="en-US"/>
        </w:rPr>
      </w:pPr>
      <w:r w:rsidRPr="00012C3F">
        <w:rPr>
          <w:sz w:val="20"/>
          <w:szCs w:val="20"/>
          <w:lang w:val="en-US"/>
        </w:rPr>
        <w:t>Based on the provisions of</w:t>
      </w:r>
      <w:r w:rsidR="007A1A14" w:rsidRPr="00012C3F">
        <w:rPr>
          <w:sz w:val="20"/>
          <w:szCs w:val="20"/>
          <w:lang w:val="en-US"/>
        </w:rPr>
        <w:t xml:space="preserve"> </w:t>
      </w:r>
      <w:r w:rsidR="001254DE" w:rsidRPr="00012C3F">
        <w:rPr>
          <w:sz w:val="20"/>
          <w:szCs w:val="20"/>
          <w:lang w:val="en-US"/>
        </w:rPr>
        <w:t>Articles</w:t>
      </w:r>
      <w:r w:rsidR="007A1A14" w:rsidRPr="00012C3F">
        <w:rPr>
          <w:sz w:val="20"/>
          <w:szCs w:val="20"/>
          <w:lang w:val="en-US"/>
        </w:rPr>
        <w:t xml:space="preserve"> 46</w:t>
      </w:r>
      <w:r w:rsidR="007A1A14" w:rsidRPr="00012C3F">
        <w:rPr>
          <w:rFonts w:cs="Verdana"/>
          <w:sz w:val="20"/>
          <w:szCs w:val="20"/>
          <w:lang w:val="en-US" w:eastAsia="en-US"/>
        </w:rPr>
        <w:t xml:space="preserve"> </w:t>
      </w:r>
      <w:r w:rsidRPr="00012C3F">
        <w:rPr>
          <w:rFonts w:cs="Verdana"/>
          <w:sz w:val="20"/>
          <w:szCs w:val="20"/>
          <w:lang w:val="en-US" w:eastAsia="en-US"/>
        </w:rPr>
        <w:t>to</w:t>
      </w:r>
      <w:r w:rsidR="007A1A14" w:rsidRPr="00012C3F">
        <w:rPr>
          <w:rFonts w:cs="Verdana"/>
          <w:sz w:val="20"/>
          <w:szCs w:val="20"/>
          <w:lang w:val="en-US" w:eastAsia="en-US"/>
        </w:rPr>
        <w:t xml:space="preserve"> 51</w:t>
      </w:r>
      <w:r w:rsidR="007A1A14" w:rsidRPr="00012C3F">
        <w:rPr>
          <w:sz w:val="20"/>
          <w:szCs w:val="20"/>
          <w:lang w:val="en-US"/>
        </w:rPr>
        <w:t>, 57</w:t>
      </w:r>
      <w:r w:rsidR="005E5012" w:rsidRPr="00012C3F">
        <w:rPr>
          <w:sz w:val="20"/>
          <w:szCs w:val="20"/>
          <w:lang w:val="en-US"/>
        </w:rPr>
        <w:t xml:space="preserve"> and </w:t>
      </w:r>
      <w:r w:rsidR="007A1A14" w:rsidRPr="00012C3F">
        <w:rPr>
          <w:sz w:val="20"/>
          <w:szCs w:val="20"/>
          <w:lang w:val="en-US"/>
        </w:rPr>
        <w:t>58</w:t>
      </w:r>
      <w:r w:rsidR="001254DE" w:rsidRPr="00012C3F">
        <w:rPr>
          <w:sz w:val="20"/>
          <w:szCs w:val="20"/>
          <w:lang w:val="en-US"/>
        </w:rPr>
        <w:t xml:space="preserve"> of the Rules of Procedure</w:t>
      </w:r>
      <w:r w:rsidR="007A1A14" w:rsidRPr="00012C3F">
        <w:rPr>
          <w:sz w:val="20"/>
          <w:szCs w:val="20"/>
          <w:lang w:val="en-US"/>
        </w:rPr>
        <w:t xml:space="preserve">, </w:t>
      </w:r>
      <w:r w:rsidR="001254DE" w:rsidRPr="00012C3F">
        <w:rPr>
          <w:sz w:val="20"/>
          <w:szCs w:val="20"/>
          <w:lang w:val="en-US"/>
        </w:rPr>
        <w:t>the Court</w:t>
      </w:r>
      <w:r w:rsidR="007A1A14" w:rsidRPr="00012C3F">
        <w:rPr>
          <w:sz w:val="20"/>
          <w:szCs w:val="20"/>
          <w:lang w:val="en-US"/>
        </w:rPr>
        <w:t xml:space="preserve"> </w:t>
      </w:r>
      <w:r w:rsidR="009B3C96" w:rsidRPr="00012C3F">
        <w:rPr>
          <w:sz w:val="20"/>
          <w:szCs w:val="20"/>
          <w:lang w:val="en-US"/>
        </w:rPr>
        <w:t xml:space="preserve">will examine the admissibility of the documentary evidence forwarded by the parties on different procedural occasions, the statements, testimony and expert opinions  provided by affidavit and during the </w:t>
      </w:r>
      <w:r w:rsidR="00B257AF" w:rsidRPr="00012C3F">
        <w:rPr>
          <w:rFonts w:cs="Verdana"/>
          <w:sz w:val="20"/>
          <w:szCs w:val="20"/>
          <w:lang w:val="en-US"/>
        </w:rPr>
        <w:t>public hearing</w:t>
      </w:r>
      <w:r w:rsidR="007A1A14" w:rsidRPr="00012C3F">
        <w:rPr>
          <w:rFonts w:cs="Verdana"/>
          <w:sz w:val="20"/>
          <w:szCs w:val="20"/>
          <w:lang w:val="en-US"/>
        </w:rPr>
        <w:t>, a</w:t>
      </w:r>
      <w:r w:rsidR="009B3C96" w:rsidRPr="00012C3F">
        <w:rPr>
          <w:rFonts w:cs="Verdana"/>
          <w:sz w:val="20"/>
          <w:szCs w:val="20"/>
          <w:lang w:val="en-US"/>
        </w:rPr>
        <w:t xml:space="preserve">nd also the helpful evidence requested by </w:t>
      </w:r>
      <w:r w:rsidR="001254DE" w:rsidRPr="00012C3F">
        <w:rPr>
          <w:rFonts w:cs="Verdana"/>
          <w:sz w:val="20"/>
          <w:szCs w:val="20"/>
          <w:lang w:val="en-US"/>
        </w:rPr>
        <w:t>the Court</w:t>
      </w:r>
      <w:r w:rsidR="007A1A14" w:rsidRPr="00012C3F">
        <w:rPr>
          <w:rFonts w:cs="Verdana"/>
          <w:sz w:val="20"/>
          <w:szCs w:val="20"/>
          <w:lang w:val="en-US"/>
        </w:rPr>
        <w:t>.</w:t>
      </w:r>
    </w:p>
    <w:p w14:paraId="02F90F1D" w14:textId="77777777" w:rsidR="007A1A14" w:rsidRPr="00012C3F" w:rsidRDefault="007A1A14" w:rsidP="007A1A14">
      <w:pPr>
        <w:spacing w:line="240" w:lineRule="auto"/>
        <w:rPr>
          <w:sz w:val="20"/>
          <w:szCs w:val="20"/>
          <w:lang w:val="en-US"/>
        </w:rPr>
      </w:pPr>
    </w:p>
    <w:p w14:paraId="27C56F47" w14:textId="77777777" w:rsidR="007A1A14" w:rsidRPr="00012C3F" w:rsidRDefault="007A1A14" w:rsidP="007A1A14">
      <w:pPr>
        <w:keepNext/>
        <w:keepLines/>
        <w:tabs>
          <w:tab w:val="left" w:pos="1134"/>
        </w:tabs>
        <w:spacing w:line="240" w:lineRule="auto"/>
        <w:ind w:left="567" w:firstLine="1"/>
        <w:outlineLvl w:val="1"/>
        <w:rPr>
          <w:rFonts w:eastAsia="MS Mincho"/>
          <w:b/>
          <w:bCs/>
          <w:i/>
          <w:sz w:val="20"/>
          <w:szCs w:val="20"/>
          <w:lang w:val="en-US"/>
        </w:rPr>
      </w:pPr>
      <w:bookmarkStart w:id="66" w:name="_Toc375517115"/>
      <w:bookmarkStart w:id="67" w:name="_Toc459158103"/>
      <w:bookmarkStart w:id="68" w:name="_Toc27486831"/>
      <w:r w:rsidRPr="00012C3F">
        <w:rPr>
          <w:rFonts w:eastAsia="MS Mincho"/>
          <w:b/>
          <w:bCs/>
          <w:i/>
          <w:sz w:val="20"/>
          <w:szCs w:val="20"/>
          <w:lang w:val="en-US"/>
        </w:rPr>
        <w:t>A.</w:t>
      </w:r>
      <w:r w:rsidRPr="00012C3F">
        <w:rPr>
          <w:rFonts w:eastAsia="MS Mincho"/>
          <w:b/>
          <w:bCs/>
          <w:i/>
          <w:sz w:val="20"/>
          <w:szCs w:val="20"/>
          <w:lang w:val="en-US"/>
        </w:rPr>
        <w:tab/>
      </w:r>
      <w:r w:rsidR="006C705C" w:rsidRPr="00012C3F">
        <w:rPr>
          <w:rFonts w:eastAsia="MS Mincho"/>
          <w:b/>
          <w:bCs/>
          <w:i/>
          <w:sz w:val="20"/>
          <w:szCs w:val="20"/>
          <w:lang w:val="en-US"/>
        </w:rPr>
        <w:t>Documentary, testimonial and expert evidence</w:t>
      </w:r>
      <w:bookmarkEnd w:id="66"/>
      <w:bookmarkEnd w:id="67"/>
      <w:bookmarkEnd w:id="68"/>
    </w:p>
    <w:p w14:paraId="5C4AC2EC" w14:textId="77777777" w:rsidR="007A1A14" w:rsidRPr="00012C3F" w:rsidRDefault="007A1A14" w:rsidP="007A1A14">
      <w:pPr>
        <w:widowControl/>
        <w:tabs>
          <w:tab w:val="left" w:pos="567"/>
        </w:tabs>
        <w:autoSpaceDE w:val="0"/>
        <w:autoSpaceDN w:val="0"/>
        <w:adjustRightInd/>
        <w:spacing w:line="240" w:lineRule="auto"/>
        <w:textAlignment w:val="auto"/>
        <w:rPr>
          <w:rFonts w:cs="Verdana"/>
          <w:sz w:val="20"/>
          <w:szCs w:val="20"/>
          <w:lang w:val="en-US" w:eastAsia="en-US"/>
        </w:rPr>
      </w:pPr>
    </w:p>
    <w:p w14:paraId="3B24B732" w14:textId="77777777" w:rsidR="007A1A14" w:rsidRPr="00012C3F" w:rsidRDefault="001254DE" w:rsidP="006B7531">
      <w:pPr>
        <w:numPr>
          <w:ilvl w:val="0"/>
          <w:numId w:val="5"/>
        </w:numPr>
        <w:tabs>
          <w:tab w:val="left" w:pos="567"/>
          <w:tab w:val="num" w:pos="12305"/>
        </w:tabs>
        <w:spacing w:line="240" w:lineRule="auto"/>
        <w:ind w:left="0" w:firstLine="0"/>
        <w:rPr>
          <w:rFonts w:cs="Verdana"/>
          <w:sz w:val="20"/>
          <w:szCs w:val="20"/>
          <w:lang w:val="en-US" w:eastAsia="en-US"/>
        </w:rPr>
      </w:pPr>
      <w:r w:rsidRPr="00012C3F">
        <w:rPr>
          <w:sz w:val="20"/>
          <w:szCs w:val="20"/>
          <w:lang w:val="en-US"/>
        </w:rPr>
        <w:t>The Court</w:t>
      </w:r>
      <w:r w:rsidR="007A1A14" w:rsidRPr="00012C3F">
        <w:rPr>
          <w:sz w:val="20"/>
          <w:szCs w:val="20"/>
          <w:lang w:val="en-US"/>
        </w:rPr>
        <w:t xml:space="preserve"> rec</w:t>
      </w:r>
      <w:r w:rsidR="009B3C96" w:rsidRPr="00012C3F">
        <w:rPr>
          <w:sz w:val="20"/>
          <w:szCs w:val="20"/>
          <w:lang w:val="en-US"/>
        </w:rPr>
        <w:t xml:space="preserve">eived diverse documents presented as evidence by </w:t>
      </w:r>
      <w:r w:rsidR="00A84CA0" w:rsidRPr="00012C3F">
        <w:rPr>
          <w:sz w:val="20"/>
          <w:szCs w:val="20"/>
          <w:lang w:val="en-US"/>
        </w:rPr>
        <w:t>the State</w:t>
      </w:r>
      <w:r w:rsidR="007A1A14" w:rsidRPr="00012C3F">
        <w:rPr>
          <w:sz w:val="20"/>
          <w:szCs w:val="20"/>
          <w:lang w:val="en-US"/>
        </w:rPr>
        <w:t xml:space="preserve">, </w:t>
      </w:r>
      <w:r w:rsidR="00972ACF" w:rsidRPr="00012C3F">
        <w:rPr>
          <w:sz w:val="20"/>
          <w:szCs w:val="20"/>
          <w:lang w:val="en-US"/>
        </w:rPr>
        <w:t>the representative</w:t>
      </w:r>
      <w:r w:rsidR="005E5012" w:rsidRPr="00012C3F">
        <w:rPr>
          <w:sz w:val="20"/>
          <w:szCs w:val="20"/>
          <w:lang w:val="en-US"/>
        </w:rPr>
        <w:t xml:space="preserve"> and </w:t>
      </w:r>
      <w:r w:rsidRPr="00012C3F">
        <w:rPr>
          <w:sz w:val="20"/>
          <w:szCs w:val="20"/>
          <w:lang w:val="en-US"/>
        </w:rPr>
        <w:t xml:space="preserve">the Inter-American </w:t>
      </w:r>
      <w:r w:rsidR="00A84CA0" w:rsidRPr="00012C3F">
        <w:rPr>
          <w:sz w:val="20"/>
          <w:szCs w:val="20"/>
          <w:lang w:val="en-US"/>
        </w:rPr>
        <w:t>Commission</w:t>
      </w:r>
      <w:r w:rsidR="009B3C96" w:rsidRPr="00012C3F">
        <w:rPr>
          <w:sz w:val="20"/>
          <w:szCs w:val="20"/>
          <w:lang w:val="en-US"/>
        </w:rPr>
        <w:t xml:space="preserve"> attached to their main briefs and final arguments </w:t>
      </w:r>
      <w:r w:rsidR="007A1A14" w:rsidRPr="00012C3F">
        <w:rPr>
          <w:sz w:val="20"/>
          <w:szCs w:val="20"/>
          <w:lang w:val="en-US"/>
        </w:rPr>
        <w:t>(</w:t>
      </w:r>
      <w:r w:rsidR="007A1A14" w:rsidRPr="00012C3F">
        <w:rPr>
          <w:i/>
          <w:sz w:val="20"/>
          <w:szCs w:val="20"/>
          <w:lang w:val="en-US"/>
        </w:rPr>
        <w:t>supra</w:t>
      </w:r>
      <w:r w:rsidR="007A1A14" w:rsidRPr="00012C3F">
        <w:rPr>
          <w:sz w:val="20"/>
          <w:szCs w:val="20"/>
          <w:lang w:val="en-US"/>
        </w:rPr>
        <w:t xml:space="preserve"> </w:t>
      </w:r>
      <w:r w:rsidR="00370DD4" w:rsidRPr="00012C3F">
        <w:rPr>
          <w:sz w:val="20"/>
          <w:szCs w:val="20"/>
          <w:lang w:val="en-US"/>
        </w:rPr>
        <w:t>paras.</w:t>
      </w:r>
      <w:r w:rsidR="007A1A14" w:rsidRPr="00012C3F">
        <w:rPr>
          <w:sz w:val="20"/>
          <w:szCs w:val="20"/>
          <w:lang w:val="en-US"/>
        </w:rPr>
        <w:t xml:space="preserve"> 1, 5, 6</w:t>
      </w:r>
      <w:r w:rsidR="005E5012" w:rsidRPr="00012C3F">
        <w:rPr>
          <w:sz w:val="20"/>
          <w:szCs w:val="20"/>
          <w:lang w:val="en-US"/>
        </w:rPr>
        <w:t xml:space="preserve"> and </w:t>
      </w:r>
      <w:r w:rsidR="007A1A14" w:rsidRPr="00012C3F">
        <w:rPr>
          <w:sz w:val="20"/>
          <w:szCs w:val="20"/>
          <w:lang w:val="en-US"/>
        </w:rPr>
        <w:t xml:space="preserve">11). </w:t>
      </w:r>
      <w:r w:rsidR="009B3C96" w:rsidRPr="00012C3F">
        <w:rPr>
          <w:sz w:val="20"/>
          <w:szCs w:val="20"/>
          <w:lang w:val="en-US"/>
        </w:rPr>
        <w:t>The</w:t>
      </w:r>
      <w:r w:rsidRPr="00012C3F">
        <w:rPr>
          <w:sz w:val="20"/>
          <w:szCs w:val="20"/>
          <w:lang w:val="en-US"/>
        </w:rPr>
        <w:t xml:space="preserve"> Court</w:t>
      </w:r>
      <w:r w:rsidR="007A1A14" w:rsidRPr="00012C3F">
        <w:rPr>
          <w:sz w:val="20"/>
          <w:szCs w:val="20"/>
          <w:lang w:val="en-US"/>
        </w:rPr>
        <w:t xml:space="preserve"> </w:t>
      </w:r>
      <w:r w:rsidR="009B3C96" w:rsidRPr="00012C3F">
        <w:rPr>
          <w:sz w:val="20"/>
          <w:szCs w:val="20"/>
          <w:lang w:val="en-US"/>
        </w:rPr>
        <w:t xml:space="preserve">also received the affidavits prepared by </w:t>
      </w:r>
      <w:r w:rsidR="000E1C11" w:rsidRPr="00012C3F">
        <w:rPr>
          <w:sz w:val="20"/>
          <w:szCs w:val="20"/>
          <w:lang w:val="en-US"/>
        </w:rPr>
        <w:t>N.V.</w:t>
      </w:r>
      <w:r w:rsidR="007A1A14" w:rsidRPr="00012C3F">
        <w:rPr>
          <w:sz w:val="20"/>
          <w:szCs w:val="20"/>
          <w:lang w:val="en-US"/>
        </w:rPr>
        <w:t>, Andre Alois Frederic Gautier, Emma Bolshia Bravo Cladera</w:t>
      </w:r>
      <w:r w:rsidR="005E5012" w:rsidRPr="00012C3F">
        <w:rPr>
          <w:sz w:val="20"/>
          <w:szCs w:val="20"/>
          <w:lang w:val="en-US"/>
        </w:rPr>
        <w:t xml:space="preserve"> and </w:t>
      </w:r>
      <w:r w:rsidR="007A1A14" w:rsidRPr="00012C3F">
        <w:rPr>
          <w:sz w:val="20"/>
          <w:szCs w:val="20"/>
          <w:lang w:val="en-US"/>
        </w:rPr>
        <w:t xml:space="preserve">Marco Vladimir Vargas Terrazas. </w:t>
      </w:r>
      <w:r w:rsidR="009B3C96" w:rsidRPr="00012C3F">
        <w:rPr>
          <w:sz w:val="20"/>
          <w:szCs w:val="20"/>
          <w:lang w:val="en-US"/>
        </w:rPr>
        <w:t xml:space="preserve">In addition, it received the opinions of expert witnesses </w:t>
      </w:r>
      <w:r w:rsidR="007A1A14" w:rsidRPr="00012C3F">
        <w:rPr>
          <w:sz w:val="20"/>
          <w:szCs w:val="20"/>
          <w:lang w:val="en-US"/>
        </w:rPr>
        <w:t>Ana G. Cepin</w:t>
      </w:r>
      <w:r w:rsidR="007A1A14" w:rsidRPr="00012C3F">
        <w:rPr>
          <w:rStyle w:val="Refdenotaalpie"/>
          <w:rFonts w:eastAsia="Calibri"/>
          <w:sz w:val="20"/>
          <w:szCs w:val="20"/>
          <w:lang w:val="en-US"/>
        </w:rPr>
        <w:footnoteReference w:id="27"/>
      </w:r>
      <w:r w:rsidR="005E5012" w:rsidRPr="00012C3F">
        <w:rPr>
          <w:sz w:val="20"/>
          <w:szCs w:val="20"/>
          <w:lang w:val="en-US"/>
        </w:rPr>
        <w:t xml:space="preserve"> and </w:t>
      </w:r>
      <w:r w:rsidR="007A1A14" w:rsidRPr="00012C3F">
        <w:rPr>
          <w:sz w:val="20"/>
          <w:szCs w:val="20"/>
          <w:lang w:val="en-US"/>
        </w:rPr>
        <w:t xml:space="preserve">Luisa Cabal. </w:t>
      </w:r>
      <w:r w:rsidR="009B3C96" w:rsidRPr="00012C3F">
        <w:rPr>
          <w:sz w:val="20"/>
          <w:szCs w:val="20"/>
          <w:lang w:val="en-US"/>
        </w:rPr>
        <w:t xml:space="preserve">Regarding the evidence provided at the </w:t>
      </w:r>
      <w:r w:rsidR="00B257AF" w:rsidRPr="00012C3F">
        <w:rPr>
          <w:sz w:val="20"/>
          <w:szCs w:val="20"/>
          <w:lang w:val="en-US"/>
        </w:rPr>
        <w:t>public hearing</w:t>
      </w:r>
      <w:r w:rsidR="007A1A14" w:rsidRPr="00012C3F">
        <w:rPr>
          <w:sz w:val="20"/>
          <w:szCs w:val="20"/>
          <w:lang w:val="en-US"/>
        </w:rPr>
        <w:t xml:space="preserve">, </w:t>
      </w:r>
      <w:r w:rsidRPr="00012C3F">
        <w:rPr>
          <w:sz w:val="20"/>
          <w:szCs w:val="20"/>
          <w:lang w:val="en-US"/>
        </w:rPr>
        <w:t>the Court</w:t>
      </w:r>
      <w:r w:rsidR="007A1A14" w:rsidRPr="00012C3F">
        <w:rPr>
          <w:sz w:val="20"/>
          <w:szCs w:val="20"/>
          <w:lang w:val="en-US"/>
        </w:rPr>
        <w:t xml:space="preserve"> rec</w:t>
      </w:r>
      <w:r w:rsidR="009B3C96" w:rsidRPr="00012C3F">
        <w:rPr>
          <w:sz w:val="20"/>
          <w:szCs w:val="20"/>
          <w:lang w:val="en-US"/>
        </w:rPr>
        <w:t xml:space="preserve">eived the statements </w:t>
      </w:r>
      <w:r w:rsidR="00972ACF" w:rsidRPr="00012C3F">
        <w:rPr>
          <w:sz w:val="20"/>
          <w:szCs w:val="20"/>
          <w:lang w:val="en-US"/>
        </w:rPr>
        <w:t xml:space="preserve">of the </w:t>
      </w:r>
      <w:r w:rsidR="00E00902" w:rsidRPr="00012C3F">
        <w:rPr>
          <w:sz w:val="20"/>
          <w:szCs w:val="20"/>
          <w:lang w:val="en-US"/>
        </w:rPr>
        <w:t>presumed victim</w:t>
      </w:r>
      <w:r w:rsidR="007A1A14" w:rsidRPr="00012C3F">
        <w:rPr>
          <w:sz w:val="20"/>
          <w:szCs w:val="20"/>
          <w:lang w:val="en-US"/>
        </w:rPr>
        <w:t xml:space="preserve"> </w:t>
      </w:r>
      <w:r w:rsidR="000E1C11" w:rsidRPr="00012C3F">
        <w:rPr>
          <w:rFonts w:cs="Arial"/>
          <w:iCs/>
          <w:sz w:val="20"/>
          <w:szCs w:val="20"/>
          <w:lang w:val="en-US"/>
        </w:rPr>
        <w:t>I.V.</w:t>
      </w:r>
      <w:r w:rsidR="007847DE" w:rsidRPr="00012C3F">
        <w:rPr>
          <w:rFonts w:cs="Arial"/>
          <w:iCs/>
          <w:sz w:val="20"/>
          <w:szCs w:val="20"/>
          <w:lang w:val="en-US"/>
        </w:rPr>
        <w:t>,</w:t>
      </w:r>
      <w:r w:rsidR="005E5012" w:rsidRPr="00012C3F">
        <w:rPr>
          <w:rFonts w:cs="Arial"/>
          <w:iCs/>
          <w:sz w:val="20"/>
          <w:szCs w:val="20"/>
          <w:lang w:val="en-US"/>
        </w:rPr>
        <w:t xml:space="preserve"> </w:t>
      </w:r>
      <w:r w:rsidR="009B3C96" w:rsidRPr="00012C3F">
        <w:rPr>
          <w:rFonts w:cs="Arial"/>
          <w:iCs/>
          <w:sz w:val="20"/>
          <w:szCs w:val="20"/>
          <w:lang w:val="en-US"/>
        </w:rPr>
        <w:t>the witness,</w:t>
      </w:r>
      <w:r w:rsidR="007A1A14" w:rsidRPr="00012C3F">
        <w:rPr>
          <w:rFonts w:cs="Arial"/>
          <w:iCs/>
          <w:sz w:val="20"/>
          <w:szCs w:val="20"/>
          <w:lang w:val="en-US"/>
        </w:rPr>
        <w:t xml:space="preserve"> Edgar Torrico Ameller, a</w:t>
      </w:r>
      <w:r w:rsidR="009B3C96" w:rsidRPr="00012C3F">
        <w:rPr>
          <w:rFonts w:cs="Arial"/>
          <w:iCs/>
          <w:sz w:val="20"/>
          <w:szCs w:val="20"/>
          <w:lang w:val="en-US"/>
        </w:rPr>
        <w:t xml:space="preserve">nd </w:t>
      </w:r>
      <w:r w:rsidR="009B3C96" w:rsidRPr="00012C3F">
        <w:rPr>
          <w:sz w:val="20"/>
          <w:szCs w:val="20"/>
          <w:lang w:val="en-US"/>
        </w:rPr>
        <w:t xml:space="preserve">expert witnesses </w:t>
      </w:r>
      <w:r w:rsidR="007A1A14" w:rsidRPr="00012C3F">
        <w:rPr>
          <w:rFonts w:cs="Arial"/>
          <w:iCs/>
          <w:sz w:val="20"/>
          <w:szCs w:val="20"/>
          <w:lang w:val="en-US"/>
        </w:rPr>
        <w:t>Christina Zampas</w:t>
      </w:r>
      <w:r w:rsidR="005E5012" w:rsidRPr="00012C3F">
        <w:rPr>
          <w:rFonts w:cs="Arial"/>
          <w:iCs/>
          <w:sz w:val="20"/>
          <w:szCs w:val="20"/>
          <w:lang w:val="en-US"/>
        </w:rPr>
        <w:t xml:space="preserve"> and </w:t>
      </w:r>
      <w:r w:rsidR="007A1A14" w:rsidRPr="00012C3F">
        <w:rPr>
          <w:rFonts w:cs="Arial"/>
          <w:iCs/>
          <w:sz w:val="20"/>
          <w:szCs w:val="20"/>
          <w:lang w:val="en-US"/>
        </w:rPr>
        <w:t>Erwin Hochstatter Arduz</w:t>
      </w:r>
      <w:r w:rsidR="007A1A14" w:rsidRPr="00012C3F">
        <w:rPr>
          <w:sz w:val="20"/>
          <w:szCs w:val="20"/>
          <w:lang w:val="en-US"/>
        </w:rPr>
        <w:t>.</w:t>
      </w:r>
    </w:p>
    <w:p w14:paraId="0A94BC61" w14:textId="77777777" w:rsidR="007A1A14" w:rsidRPr="00012C3F" w:rsidRDefault="007A1A14" w:rsidP="007A1A14">
      <w:pPr>
        <w:autoSpaceDE w:val="0"/>
        <w:autoSpaceDN w:val="0"/>
        <w:spacing w:line="240" w:lineRule="auto"/>
        <w:rPr>
          <w:sz w:val="20"/>
          <w:szCs w:val="20"/>
          <w:lang w:val="en-US"/>
        </w:rPr>
      </w:pPr>
    </w:p>
    <w:p w14:paraId="070B8618" w14:textId="77777777" w:rsidR="007A1A14" w:rsidRPr="00012C3F" w:rsidRDefault="007A1A14" w:rsidP="007A1A14">
      <w:pPr>
        <w:keepNext/>
        <w:keepLines/>
        <w:tabs>
          <w:tab w:val="left" w:pos="1134"/>
        </w:tabs>
        <w:spacing w:line="240" w:lineRule="auto"/>
        <w:ind w:left="567" w:firstLine="1"/>
        <w:outlineLvl w:val="1"/>
        <w:rPr>
          <w:rFonts w:eastAsia="MS Mincho"/>
          <w:b/>
          <w:bCs/>
          <w:i/>
          <w:sz w:val="20"/>
          <w:szCs w:val="20"/>
          <w:lang w:val="en-US"/>
        </w:rPr>
      </w:pPr>
      <w:bookmarkStart w:id="69" w:name="_Toc375517116"/>
      <w:bookmarkStart w:id="70" w:name="_Toc459158104"/>
      <w:bookmarkStart w:id="71" w:name="_Toc27486832"/>
      <w:r w:rsidRPr="00012C3F">
        <w:rPr>
          <w:rFonts w:eastAsia="MS Mincho"/>
          <w:b/>
          <w:bCs/>
          <w:i/>
          <w:sz w:val="20"/>
          <w:szCs w:val="20"/>
          <w:lang w:val="en-US"/>
        </w:rPr>
        <w:t xml:space="preserve">B. </w:t>
      </w:r>
      <w:r w:rsidRPr="00012C3F">
        <w:rPr>
          <w:rFonts w:eastAsia="MS Mincho"/>
          <w:b/>
          <w:bCs/>
          <w:i/>
          <w:sz w:val="20"/>
          <w:szCs w:val="20"/>
          <w:lang w:val="en-US"/>
        </w:rPr>
        <w:tab/>
      </w:r>
      <w:r w:rsidR="006C705C" w:rsidRPr="00012C3F">
        <w:rPr>
          <w:rFonts w:eastAsia="MS Mincho"/>
          <w:b/>
          <w:bCs/>
          <w:i/>
          <w:sz w:val="20"/>
          <w:szCs w:val="20"/>
          <w:lang w:val="en-US"/>
        </w:rPr>
        <w:t>Admission of the evidence</w:t>
      </w:r>
      <w:bookmarkEnd w:id="69"/>
      <w:bookmarkEnd w:id="70"/>
      <w:bookmarkEnd w:id="71"/>
    </w:p>
    <w:p w14:paraId="60240AAD" w14:textId="77777777" w:rsidR="007A1A14" w:rsidRPr="00012C3F" w:rsidRDefault="007A1A14" w:rsidP="007A1A14">
      <w:pPr>
        <w:spacing w:line="240" w:lineRule="auto"/>
        <w:rPr>
          <w:bCs/>
          <w:i/>
          <w:sz w:val="20"/>
          <w:szCs w:val="20"/>
          <w:lang w:val="en-US"/>
        </w:rPr>
      </w:pPr>
    </w:p>
    <w:p w14:paraId="61BA8562"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72" w:name="_Toc375517117"/>
      <w:bookmarkStart w:id="73" w:name="_Toc459158105"/>
      <w:bookmarkStart w:id="74" w:name="_Toc27486833"/>
      <w:r w:rsidRPr="00012C3F">
        <w:rPr>
          <w:rFonts w:ascii="Verdana" w:hAnsi="Verdana"/>
          <w:b w:val="0"/>
          <w:i/>
          <w:color w:val="auto"/>
          <w:sz w:val="20"/>
          <w:szCs w:val="20"/>
          <w:lang w:val="en-US"/>
        </w:rPr>
        <w:t xml:space="preserve">B.1 </w:t>
      </w:r>
      <w:r w:rsidR="005D5050"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Admission of the documentary evidence</w:t>
      </w:r>
      <w:bookmarkEnd w:id="72"/>
      <w:bookmarkEnd w:id="73"/>
      <w:bookmarkEnd w:id="74"/>
    </w:p>
    <w:p w14:paraId="4B9BE814" w14:textId="77777777" w:rsidR="007A1A14" w:rsidRPr="00012C3F" w:rsidRDefault="007A1A14" w:rsidP="007A1A14">
      <w:pPr>
        <w:widowControl/>
        <w:tabs>
          <w:tab w:val="left" w:pos="567"/>
        </w:tabs>
        <w:autoSpaceDE w:val="0"/>
        <w:autoSpaceDN w:val="0"/>
        <w:adjustRightInd/>
        <w:spacing w:line="240" w:lineRule="auto"/>
        <w:textAlignment w:val="auto"/>
        <w:rPr>
          <w:rFonts w:cs="Verdana"/>
          <w:sz w:val="20"/>
          <w:szCs w:val="20"/>
          <w:lang w:val="en-US" w:eastAsia="en-US"/>
        </w:rPr>
      </w:pPr>
    </w:p>
    <w:p w14:paraId="37231B30" w14:textId="77777777" w:rsidR="007A1A14" w:rsidRPr="00012C3F" w:rsidRDefault="006C705C" w:rsidP="006B7531">
      <w:pPr>
        <w:numPr>
          <w:ilvl w:val="0"/>
          <w:numId w:val="5"/>
        </w:numPr>
        <w:tabs>
          <w:tab w:val="left" w:pos="567"/>
          <w:tab w:val="num" w:pos="12305"/>
        </w:tabs>
        <w:spacing w:line="240" w:lineRule="auto"/>
        <w:ind w:left="0" w:firstLine="0"/>
        <w:rPr>
          <w:sz w:val="20"/>
          <w:szCs w:val="20"/>
          <w:lang w:val="en-US"/>
        </w:rPr>
      </w:pPr>
      <w:r w:rsidRPr="00012C3F">
        <w:rPr>
          <w:sz w:val="20"/>
          <w:szCs w:val="20"/>
          <w:lang w:val="en-US"/>
        </w:rPr>
        <w:t>In this case</w:t>
      </w:r>
      <w:r w:rsidR="007A1A14" w:rsidRPr="00012C3F">
        <w:rPr>
          <w:sz w:val="20"/>
          <w:szCs w:val="20"/>
          <w:lang w:val="en-US"/>
        </w:rPr>
        <w:t xml:space="preserve">, </w:t>
      </w:r>
      <w:r w:rsidR="009B3C96" w:rsidRPr="00012C3F">
        <w:rPr>
          <w:sz w:val="20"/>
          <w:szCs w:val="20"/>
          <w:lang w:val="en-US"/>
        </w:rPr>
        <w:t>as in others</w:t>
      </w:r>
      <w:r w:rsidR="007A1A14" w:rsidRPr="00012C3F">
        <w:rPr>
          <w:sz w:val="20"/>
          <w:szCs w:val="20"/>
          <w:lang w:val="en-US"/>
        </w:rPr>
        <w:t xml:space="preserve">, </w:t>
      </w:r>
      <w:r w:rsidR="009B3C96" w:rsidRPr="00012C3F">
        <w:rPr>
          <w:sz w:val="20"/>
          <w:szCs w:val="20"/>
          <w:lang w:val="en-US"/>
        </w:rPr>
        <w:t xml:space="preserve">the Court </w:t>
      </w:r>
      <w:r w:rsidR="007847DE" w:rsidRPr="00012C3F">
        <w:rPr>
          <w:sz w:val="20"/>
          <w:szCs w:val="20"/>
          <w:lang w:val="en-US"/>
        </w:rPr>
        <w:t>accepts the evidentiary</w:t>
      </w:r>
      <w:r w:rsidR="009B3C96" w:rsidRPr="00012C3F">
        <w:rPr>
          <w:sz w:val="20"/>
          <w:szCs w:val="20"/>
          <w:lang w:val="en-US"/>
        </w:rPr>
        <w:t xml:space="preserve"> value of those documents presented at the proper procedural opportunity by the parties </w:t>
      </w:r>
      <w:r w:rsidR="005E5012" w:rsidRPr="00012C3F">
        <w:rPr>
          <w:sz w:val="20"/>
          <w:szCs w:val="20"/>
          <w:lang w:val="en-US"/>
        </w:rPr>
        <w:t xml:space="preserve">and </w:t>
      </w:r>
      <w:r w:rsidR="001254DE" w:rsidRPr="00012C3F">
        <w:rPr>
          <w:sz w:val="20"/>
          <w:szCs w:val="20"/>
          <w:lang w:val="en-US"/>
        </w:rPr>
        <w:t xml:space="preserve">the </w:t>
      </w:r>
      <w:r w:rsidR="00A84CA0" w:rsidRPr="00012C3F">
        <w:rPr>
          <w:sz w:val="20"/>
          <w:szCs w:val="20"/>
          <w:lang w:val="en-US"/>
        </w:rPr>
        <w:t>Commission</w:t>
      </w:r>
      <w:r w:rsidR="007A1A14" w:rsidRPr="00012C3F">
        <w:rPr>
          <w:sz w:val="20"/>
          <w:szCs w:val="20"/>
          <w:lang w:val="en-US"/>
        </w:rPr>
        <w:t xml:space="preserve"> </w:t>
      </w:r>
      <w:r w:rsidR="009B3C96" w:rsidRPr="00012C3F">
        <w:rPr>
          <w:sz w:val="20"/>
          <w:szCs w:val="20"/>
          <w:lang w:val="en-US"/>
        </w:rPr>
        <w:t>that were not contested or opposed, and the authenticity of which was not questioned.</w:t>
      </w:r>
      <w:r w:rsidR="007A1A14" w:rsidRPr="00012C3F">
        <w:rPr>
          <w:sz w:val="20"/>
          <w:szCs w:val="20"/>
          <w:vertAlign w:val="superscript"/>
          <w:lang w:val="en-US"/>
        </w:rPr>
        <w:footnoteReference w:id="28"/>
      </w:r>
    </w:p>
    <w:p w14:paraId="58D6C4B2" w14:textId="77777777" w:rsidR="007A1A14" w:rsidRPr="00012C3F" w:rsidRDefault="007A1A14" w:rsidP="007A1A14">
      <w:pPr>
        <w:widowControl/>
        <w:tabs>
          <w:tab w:val="left" w:pos="567"/>
        </w:tabs>
        <w:autoSpaceDE w:val="0"/>
        <w:autoSpaceDN w:val="0"/>
        <w:adjustRightInd/>
        <w:spacing w:line="240" w:lineRule="auto"/>
        <w:textAlignment w:val="auto"/>
        <w:rPr>
          <w:rFonts w:cs="Verdana"/>
          <w:i/>
          <w:sz w:val="20"/>
          <w:szCs w:val="20"/>
          <w:lang w:val="en-US" w:eastAsia="es-MX"/>
        </w:rPr>
      </w:pPr>
    </w:p>
    <w:p w14:paraId="4244CCB6" w14:textId="77777777" w:rsidR="007A1A14" w:rsidRPr="00012C3F" w:rsidRDefault="007A1A14" w:rsidP="00833C77">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Re</w:t>
      </w:r>
      <w:r w:rsidR="009B3C96" w:rsidRPr="00012C3F">
        <w:rPr>
          <w:sz w:val="20"/>
          <w:szCs w:val="20"/>
          <w:lang w:val="en-US"/>
        </w:rPr>
        <w:t>garding the documents indicated by electronic links,</w:t>
      </w:r>
      <w:r w:rsidRPr="00012C3F">
        <w:rPr>
          <w:rStyle w:val="Refdenotaalpie"/>
          <w:rFonts w:eastAsia="Calibri"/>
          <w:sz w:val="20"/>
          <w:szCs w:val="20"/>
          <w:lang w:val="en-US"/>
        </w:rPr>
        <w:footnoteReference w:id="29"/>
      </w:r>
      <w:r w:rsidRPr="00012C3F">
        <w:rPr>
          <w:sz w:val="20"/>
          <w:szCs w:val="20"/>
          <w:lang w:val="en-US"/>
        </w:rPr>
        <w:t xml:space="preserve"> </w:t>
      </w:r>
      <w:r w:rsidR="001254DE" w:rsidRPr="00012C3F">
        <w:rPr>
          <w:sz w:val="20"/>
          <w:szCs w:val="20"/>
          <w:lang w:val="en-US"/>
        </w:rPr>
        <w:t>the Court</w:t>
      </w:r>
      <w:r w:rsidRPr="00012C3F">
        <w:rPr>
          <w:sz w:val="20"/>
          <w:szCs w:val="20"/>
          <w:lang w:val="en-US"/>
        </w:rPr>
        <w:t xml:space="preserve"> not</w:t>
      </w:r>
      <w:r w:rsidR="009B3C96" w:rsidRPr="00012C3F">
        <w:rPr>
          <w:sz w:val="20"/>
          <w:szCs w:val="20"/>
          <w:lang w:val="en-US"/>
        </w:rPr>
        <w:t xml:space="preserve">es that neither the parties nor the Commission opposed them or </w:t>
      </w:r>
      <w:r w:rsidR="00833C77" w:rsidRPr="00012C3F">
        <w:rPr>
          <w:sz w:val="20"/>
          <w:szCs w:val="20"/>
          <w:lang w:val="en-US"/>
        </w:rPr>
        <w:t>commented</w:t>
      </w:r>
      <w:r w:rsidR="009B3C96" w:rsidRPr="00012C3F">
        <w:rPr>
          <w:sz w:val="20"/>
          <w:szCs w:val="20"/>
          <w:lang w:val="en-US"/>
        </w:rPr>
        <w:t xml:space="preserve"> on the content and authenticity of such documents</w:t>
      </w:r>
      <w:r w:rsidR="00833C77" w:rsidRPr="00012C3F">
        <w:rPr>
          <w:sz w:val="20"/>
          <w:szCs w:val="20"/>
          <w:lang w:val="en-US"/>
        </w:rPr>
        <w:t>;</w:t>
      </w:r>
      <w:r w:rsidR="009B3C96" w:rsidRPr="00012C3F">
        <w:rPr>
          <w:sz w:val="20"/>
          <w:szCs w:val="20"/>
          <w:lang w:val="en-US"/>
        </w:rPr>
        <w:t xml:space="preserve"> they are therefore admitted for incorporation into the body of evidence in this case.</w:t>
      </w:r>
      <w:r w:rsidRPr="00012C3F">
        <w:rPr>
          <w:sz w:val="20"/>
          <w:szCs w:val="20"/>
          <w:lang w:val="en-US"/>
        </w:rPr>
        <w:t xml:space="preserve"> </w:t>
      </w:r>
    </w:p>
    <w:p w14:paraId="646E391B" w14:textId="77777777" w:rsidR="007A1A14" w:rsidRPr="00012C3F" w:rsidRDefault="007A1A14" w:rsidP="007A1A14">
      <w:pPr>
        <w:widowControl/>
        <w:tabs>
          <w:tab w:val="left" w:pos="720"/>
        </w:tabs>
        <w:adjustRightInd/>
        <w:spacing w:line="240" w:lineRule="auto"/>
        <w:ind w:right="-90"/>
        <w:textAlignment w:val="auto"/>
        <w:rPr>
          <w:sz w:val="20"/>
          <w:szCs w:val="20"/>
          <w:lang w:val="en-US"/>
        </w:rPr>
      </w:pPr>
    </w:p>
    <w:p w14:paraId="7391BC96" w14:textId="77777777" w:rsidR="007A1A14" w:rsidRPr="00012C3F" w:rsidRDefault="00833C77" w:rsidP="00833C77">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Regarding the newspaper articles, the Court has considered that they may be assessed when they refer to well-known public facts or declarations of State officials or when they corroborate aspects of the case.</w:t>
      </w:r>
      <w:r w:rsidR="007A1A14" w:rsidRPr="00012C3F">
        <w:rPr>
          <w:rFonts w:eastAsia="Batang" w:cs="Verdana"/>
          <w:sz w:val="20"/>
          <w:szCs w:val="20"/>
          <w:vertAlign w:val="superscript"/>
          <w:lang w:val="en-US"/>
        </w:rPr>
        <w:footnoteReference w:id="30"/>
      </w:r>
      <w:r w:rsidRPr="00012C3F">
        <w:rPr>
          <w:rFonts w:eastAsia="Batang" w:cs="Verdana"/>
          <w:sz w:val="20"/>
          <w:szCs w:val="20"/>
          <w:lang w:val="en-US"/>
        </w:rPr>
        <w:t xml:space="preserve"> Consequently, the Court decides not to admit the note remitted by the State with its annex 28, because its source and date of publication</w:t>
      </w:r>
      <w:r w:rsidR="007847DE" w:rsidRPr="00012C3F">
        <w:rPr>
          <w:rFonts w:eastAsia="Batang" w:cs="Verdana"/>
          <w:sz w:val="20"/>
          <w:szCs w:val="20"/>
          <w:lang w:val="en-US"/>
        </w:rPr>
        <w:t xml:space="preserve"> cannot be verified</w:t>
      </w:r>
      <w:r w:rsidRPr="00012C3F">
        <w:rPr>
          <w:rFonts w:eastAsia="Batang" w:cs="Verdana"/>
          <w:sz w:val="20"/>
          <w:szCs w:val="20"/>
          <w:lang w:val="en-US"/>
        </w:rPr>
        <w:t>.</w:t>
      </w:r>
    </w:p>
    <w:p w14:paraId="38FCC965" w14:textId="77777777" w:rsidR="007A1A14" w:rsidRPr="00012C3F" w:rsidRDefault="007A1A14" w:rsidP="00833C77">
      <w:pPr>
        <w:tabs>
          <w:tab w:val="left" w:pos="720"/>
        </w:tabs>
        <w:autoSpaceDE w:val="0"/>
        <w:autoSpaceDN w:val="0"/>
        <w:spacing w:line="240" w:lineRule="auto"/>
        <w:rPr>
          <w:sz w:val="20"/>
          <w:szCs w:val="20"/>
          <w:lang w:val="en-US"/>
        </w:rPr>
      </w:pPr>
    </w:p>
    <w:p w14:paraId="54C6E7C1" w14:textId="77777777" w:rsidR="007A1A14" w:rsidRPr="00012C3F" w:rsidRDefault="00833C77" w:rsidP="00833C77">
      <w:pPr>
        <w:numPr>
          <w:ilvl w:val="0"/>
          <w:numId w:val="5"/>
        </w:numPr>
        <w:tabs>
          <w:tab w:val="left" w:pos="720"/>
          <w:tab w:val="num" w:pos="12305"/>
        </w:tabs>
        <w:spacing w:line="240" w:lineRule="auto"/>
        <w:ind w:left="0" w:firstLine="0"/>
        <w:rPr>
          <w:sz w:val="20"/>
          <w:szCs w:val="20"/>
          <w:lang w:val="en-US" w:eastAsia="es-ES"/>
        </w:rPr>
      </w:pPr>
      <w:r w:rsidRPr="00012C3F">
        <w:rPr>
          <w:sz w:val="20"/>
          <w:szCs w:val="20"/>
          <w:lang w:val="en-US"/>
        </w:rPr>
        <w:t xml:space="preserve">That said, regarding the procedural moment to present documentary evidence, according to </w:t>
      </w:r>
      <w:r w:rsidR="001254DE" w:rsidRPr="00012C3F">
        <w:rPr>
          <w:sz w:val="20"/>
          <w:szCs w:val="20"/>
          <w:lang w:val="en-US" w:eastAsia="es-ES"/>
        </w:rPr>
        <w:t>Article</w:t>
      </w:r>
      <w:r w:rsidR="007A1A14" w:rsidRPr="00012C3F">
        <w:rPr>
          <w:sz w:val="20"/>
          <w:szCs w:val="20"/>
          <w:lang w:val="en-US" w:eastAsia="es-ES"/>
        </w:rPr>
        <w:t xml:space="preserve"> 57</w:t>
      </w:r>
      <w:r w:rsidRPr="00012C3F">
        <w:rPr>
          <w:sz w:val="20"/>
          <w:szCs w:val="20"/>
          <w:lang w:val="en-US" w:eastAsia="es-ES"/>
        </w:rPr>
        <w:t>(</w:t>
      </w:r>
      <w:r w:rsidR="007A1A14" w:rsidRPr="00012C3F">
        <w:rPr>
          <w:sz w:val="20"/>
          <w:szCs w:val="20"/>
          <w:lang w:val="en-US" w:eastAsia="es-ES"/>
        </w:rPr>
        <w:t>2</w:t>
      </w:r>
      <w:r w:rsidRPr="00012C3F">
        <w:rPr>
          <w:sz w:val="20"/>
          <w:szCs w:val="20"/>
          <w:lang w:val="en-US" w:eastAsia="es-ES"/>
        </w:rPr>
        <w:t>)</w:t>
      </w:r>
      <w:r w:rsidR="001254DE" w:rsidRPr="00012C3F">
        <w:rPr>
          <w:sz w:val="20"/>
          <w:szCs w:val="20"/>
          <w:lang w:val="en-US" w:eastAsia="es-ES"/>
        </w:rPr>
        <w:t xml:space="preserve"> of the Rules of Procedure</w:t>
      </w:r>
      <w:r w:rsidR="007A1A14" w:rsidRPr="00012C3F">
        <w:rPr>
          <w:sz w:val="20"/>
          <w:szCs w:val="20"/>
          <w:lang w:val="en-US" w:eastAsia="es-ES"/>
        </w:rPr>
        <w:t xml:space="preserve">, </w:t>
      </w:r>
      <w:r w:rsidRPr="00012C3F">
        <w:rPr>
          <w:sz w:val="20"/>
          <w:szCs w:val="20"/>
          <w:lang w:val="en-US" w:eastAsia="es-ES"/>
        </w:rPr>
        <w:t xml:space="preserve">this should </w:t>
      </w:r>
      <w:r w:rsidR="007847DE" w:rsidRPr="00012C3F">
        <w:rPr>
          <w:sz w:val="20"/>
          <w:szCs w:val="20"/>
          <w:lang w:val="en-US" w:eastAsia="es-ES"/>
        </w:rPr>
        <w:t xml:space="preserve">generally </w:t>
      </w:r>
      <w:r w:rsidRPr="00012C3F">
        <w:rPr>
          <w:sz w:val="20"/>
          <w:szCs w:val="20"/>
          <w:lang w:val="en-US" w:eastAsia="es-ES"/>
        </w:rPr>
        <w:t>be presented</w:t>
      </w:r>
      <w:r w:rsidR="007847DE" w:rsidRPr="00012C3F">
        <w:rPr>
          <w:sz w:val="20"/>
          <w:szCs w:val="20"/>
          <w:lang w:val="en-US" w:eastAsia="es-ES"/>
        </w:rPr>
        <w:t xml:space="preserve"> </w:t>
      </w:r>
      <w:r w:rsidRPr="00012C3F">
        <w:rPr>
          <w:sz w:val="20"/>
          <w:szCs w:val="20"/>
          <w:lang w:val="en-US" w:eastAsia="es-ES"/>
        </w:rPr>
        <w:t xml:space="preserve">with the briefs submitting the case, with motions and pleadings, or answering the presentation of the case, as applicable. The Court recalls that evidence forwarded outside the proper procedural opportunities is not admissible, apart from the exceptions established in the said </w:t>
      </w:r>
      <w:r w:rsidR="001254DE" w:rsidRPr="00012C3F">
        <w:rPr>
          <w:sz w:val="20"/>
          <w:szCs w:val="20"/>
          <w:lang w:val="en-US" w:eastAsia="es-ES"/>
        </w:rPr>
        <w:t>Article</w:t>
      </w:r>
      <w:r w:rsidR="007A1A14" w:rsidRPr="00012C3F">
        <w:rPr>
          <w:sz w:val="20"/>
          <w:szCs w:val="20"/>
          <w:lang w:val="en-US" w:eastAsia="es-ES"/>
        </w:rPr>
        <w:t xml:space="preserve"> 57</w:t>
      </w:r>
      <w:r w:rsidRPr="00012C3F">
        <w:rPr>
          <w:sz w:val="20"/>
          <w:szCs w:val="20"/>
          <w:lang w:val="en-US" w:eastAsia="es-ES"/>
        </w:rPr>
        <w:t>(</w:t>
      </w:r>
      <w:r w:rsidR="007A1A14" w:rsidRPr="00012C3F">
        <w:rPr>
          <w:sz w:val="20"/>
          <w:szCs w:val="20"/>
          <w:lang w:val="en-US" w:eastAsia="es-ES"/>
        </w:rPr>
        <w:t>2</w:t>
      </w:r>
      <w:r w:rsidRPr="00012C3F">
        <w:rPr>
          <w:sz w:val="20"/>
          <w:szCs w:val="20"/>
          <w:lang w:val="en-US" w:eastAsia="es-ES"/>
        </w:rPr>
        <w:t>)</w:t>
      </w:r>
      <w:r w:rsidR="001254DE" w:rsidRPr="00012C3F">
        <w:rPr>
          <w:sz w:val="20"/>
          <w:szCs w:val="20"/>
          <w:lang w:val="en-US" w:eastAsia="es-ES"/>
        </w:rPr>
        <w:t xml:space="preserve"> of the Rules of Procedure</w:t>
      </w:r>
      <w:r w:rsidRPr="00012C3F">
        <w:rPr>
          <w:sz w:val="20"/>
          <w:szCs w:val="20"/>
          <w:lang w:val="en-US" w:eastAsia="es-ES"/>
        </w:rPr>
        <w:t xml:space="preserve">; namely, </w:t>
      </w:r>
      <w:r w:rsidRPr="00012C3F">
        <w:rPr>
          <w:i/>
          <w:iCs/>
          <w:sz w:val="20"/>
          <w:szCs w:val="20"/>
          <w:lang w:val="en-US" w:eastAsia="es-ES"/>
        </w:rPr>
        <w:t>force majeure</w:t>
      </w:r>
      <w:r w:rsidRPr="00012C3F">
        <w:rPr>
          <w:sz w:val="20"/>
          <w:szCs w:val="20"/>
          <w:lang w:val="en-US" w:eastAsia="es-ES"/>
        </w:rPr>
        <w:t>, grave impediment or if it relates to a fact that occurred following the said procedural moment.</w:t>
      </w:r>
      <w:r w:rsidR="007A1A14" w:rsidRPr="00012C3F">
        <w:rPr>
          <w:sz w:val="20"/>
          <w:szCs w:val="20"/>
          <w:vertAlign w:val="superscript"/>
          <w:lang w:val="en-US" w:eastAsia="es-ES"/>
        </w:rPr>
        <w:footnoteReference w:id="31"/>
      </w:r>
    </w:p>
    <w:p w14:paraId="6DB5BC90" w14:textId="77777777" w:rsidR="007A1A14" w:rsidRPr="00012C3F" w:rsidRDefault="007A1A14" w:rsidP="007A1A14">
      <w:pPr>
        <w:widowControl/>
        <w:tabs>
          <w:tab w:val="left" w:pos="567"/>
        </w:tabs>
        <w:autoSpaceDE w:val="0"/>
        <w:autoSpaceDN w:val="0"/>
        <w:adjustRightInd/>
        <w:spacing w:line="240" w:lineRule="auto"/>
        <w:textAlignment w:val="auto"/>
        <w:rPr>
          <w:sz w:val="20"/>
          <w:szCs w:val="20"/>
          <w:lang w:val="en-US"/>
        </w:rPr>
      </w:pPr>
    </w:p>
    <w:p w14:paraId="700FDE44" w14:textId="77777777" w:rsidR="007A1A14" w:rsidRPr="00012C3F" w:rsidRDefault="006C705C" w:rsidP="00BD3B0B">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In </w:t>
      </w:r>
      <w:r w:rsidR="00833C77" w:rsidRPr="00012C3F">
        <w:rPr>
          <w:sz w:val="20"/>
          <w:szCs w:val="20"/>
          <w:lang w:val="en-US"/>
        </w:rPr>
        <w:t xml:space="preserve">the case of the documents provided by </w:t>
      </w:r>
      <w:r w:rsidR="00A84CA0" w:rsidRPr="00012C3F">
        <w:rPr>
          <w:sz w:val="20"/>
          <w:szCs w:val="20"/>
          <w:lang w:val="en-US"/>
        </w:rPr>
        <w:t>the State</w:t>
      </w:r>
      <w:r w:rsidR="005E5012" w:rsidRPr="00012C3F">
        <w:rPr>
          <w:sz w:val="20"/>
          <w:szCs w:val="20"/>
          <w:lang w:val="en-US"/>
        </w:rPr>
        <w:t xml:space="preserve"> and </w:t>
      </w:r>
      <w:r w:rsidR="00972ACF" w:rsidRPr="00012C3F">
        <w:rPr>
          <w:sz w:val="20"/>
          <w:szCs w:val="20"/>
          <w:lang w:val="en-US"/>
        </w:rPr>
        <w:t>the representative</w:t>
      </w:r>
      <w:r w:rsidR="007A1A14" w:rsidRPr="00012C3F">
        <w:rPr>
          <w:sz w:val="20"/>
          <w:szCs w:val="20"/>
          <w:lang w:val="en-US"/>
        </w:rPr>
        <w:t xml:space="preserve"> </w:t>
      </w:r>
      <w:r w:rsidR="00833C77" w:rsidRPr="00012C3F">
        <w:rPr>
          <w:sz w:val="20"/>
          <w:szCs w:val="20"/>
          <w:lang w:val="en-US"/>
        </w:rPr>
        <w:t>with their final written arguments, the Court notes that some of the</w:t>
      </w:r>
      <w:r w:rsidR="007847DE" w:rsidRPr="00012C3F">
        <w:rPr>
          <w:sz w:val="20"/>
          <w:szCs w:val="20"/>
          <w:lang w:val="en-US"/>
        </w:rPr>
        <w:t>se</w:t>
      </w:r>
      <w:r w:rsidR="00833C77" w:rsidRPr="00012C3F">
        <w:rPr>
          <w:sz w:val="20"/>
          <w:szCs w:val="20"/>
          <w:lang w:val="en-US"/>
        </w:rPr>
        <w:t xml:space="preserve"> relate to helpful evidence requested during the public hearing, in particular annexes 2 (audits and some elements of the administrative file) and 6 (certifications of the professional history of the instructing physician) forwarded by the State, and also annex 3 (Final decision No. 020/2002 issued by the Legal Advisory Services Unit of the La Paz Departmental Health Service</w:t>
      </w:r>
      <w:r w:rsidR="00BD3B0B" w:rsidRPr="00012C3F">
        <w:rPr>
          <w:sz w:val="20"/>
          <w:szCs w:val="20"/>
          <w:lang w:val="en-US"/>
        </w:rPr>
        <w:t xml:space="preserve"> on July 25, 2002, complete) forwarded by </w:t>
      </w:r>
      <w:r w:rsidR="00972ACF" w:rsidRPr="00012C3F">
        <w:rPr>
          <w:sz w:val="20"/>
          <w:szCs w:val="20"/>
          <w:lang w:val="en-US"/>
        </w:rPr>
        <w:t>the representative</w:t>
      </w:r>
      <w:r w:rsidR="007A1A14" w:rsidRPr="00012C3F">
        <w:rPr>
          <w:sz w:val="20"/>
          <w:szCs w:val="20"/>
          <w:lang w:val="en-US"/>
        </w:rPr>
        <w:t>. A</w:t>
      </w:r>
      <w:r w:rsidR="00BD3B0B" w:rsidRPr="00012C3F">
        <w:rPr>
          <w:sz w:val="20"/>
          <w:szCs w:val="20"/>
          <w:lang w:val="en-US"/>
        </w:rPr>
        <w:t xml:space="preserve">lso, regarding the </w:t>
      </w:r>
      <w:r w:rsidR="007847DE" w:rsidRPr="00012C3F">
        <w:rPr>
          <w:sz w:val="20"/>
          <w:szCs w:val="20"/>
          <w:lang w:val="en-US"/>
        </w:rPr>
        <w:t>complete</w:t>
      </w:r>
      <w:r w:rsidR="00BD3B0B" w:rsidRPr="00012C3F">
        <w:rPr>
          <w:sz w:val="20"/>
          <w:szCs w:val="20"/>
          <w:lang w:val="en-US"/>
        </w:rPr>
        <w:t xml:space="preserve"> case file of the</w:t>
      </w:r>
      <w:r w:rsidR="007A1A14" w:rsidRPr="00012C3F">
        <w:rPr>
          <w:sz w:val="20"/>
          <w:szCs w:val="20"/>
          <w:lang w:val="en-US"/>
        </w:rPr>
        <w:t xml:space="preserve"> </w:t>
      </w:r>
      <w:r w:rsidR="00BD3B0B" w:rsidRPr="00012C3F">
        <w:rPr>
          <w:sz w:val="20"/>
          <w:szCs w:val="20"/>
          <w:lang w:val="en-US"/>
        </w:rPr>
        <w:t>c</w:t>
      </w:r>
      <w:r w:rsidRPr="00012C3F">
        <w:rPr>
          <w:sz w:val="20"/>
          <w:szCs w:val="20"/>
          <w:lang w:val="en-US"/>
        </w:rPr>
        <w:t>riminal proceedings</w:t>
      </w:r>
      <w:r w:rsidR="007A1A14" w:rsidRPr="00012C3F">
        <w:rPr>
          <w:sz w:val="20"/>
          <w:szCs w:val="20"/>
          <w:lang w:val="en-US"/>
        </w:rPr>
        <w:t xml:space="preserve"> </w:t>
      </w:r>
      <w:r w:rsidR="007847DE" w:rsidRPr="00012C3F">
        <w:rPr>
          <w:sz w:val="20"/>
          <w:szCs w:val="20"/>
          <w:lang w:val="en-US"/>
        </w:rPr>
        <w:t xml:space="preserve">forwarded </w:t>
      </w:r>
      <w:r w:rsidR="00BD3B0B" w:rsidRPr="00012C3F">
        <w:rPr>
          <w:sz w:val="20"/>
          <w:szCs w:val="20"/>
          <w:lang w:val="en-US"/>
        </w:rPr>
        <w:t>by</w:t>
      </w:r>
      <w:r w:rsidR="004C6FCC" w:rsidRPr="00012C3F">
        <w:rPr>
          <w:sz w:val="20"/>
          <w:szCs w:val="20"/>
          <w:lang w:val="en-US"/>
        </w:rPr>
        <w:t xml:space="preserve"> the </w:t>
      </w:r>
      <w:r w:rsidR="00A84CA0" w:rsidRPr="00012C3F">
        <w:rPr>
          <w:sz w:val="20"/>
          <w:szCs w:val="20"/>
          <w:lang w:val="en-US"/>
        </w:rPr>
        <w:t>State</w:t>
      </w:r>
      <w:r w:rsidR="007A1A14" w:rsidRPr="00012C3F">
        <w:rPr>
          <w:sz w:val="20"/>
          <w:szCs w:val="20"/>
          <w:lang w:val="en-US"/>
        </w:rPr>
        <w:t xml:space="preserve"> (an</w:t>
      </w:r>
      <w:r w:rsidR="00BD3B0B" w:rsidRPr="00012C3F">
        <w:rPr>
          <w:sz w:val="20"/>
          <w:szCs w:val="20"/>
          <w:lang w:val="en-US"/>
        </w:rPr>
        <w:t>nex</w:t>
      </w:r>
      <w:r w:rsidR="007A1A14" w:rsidRPr="00012C3F">
        <w:rPr>
          <w:sz w:val="20"/>
          <w:szCs w:val="20"/>
          <w:lang w:val="en-US"/>
        </w:rPr>
        <w:t xml:space="preserve"> 1), </w:t>
      </w:r>
      <w:r w:rsidR="00BD3B0B" w:rsidRPr="00012C3F">
        <w:rPr>
          <w:sz w:val="20"/>
          <w:szCs w:val="20"/>
          <w:lang w:val="en-US"/>
        </w:rPr>
        <w:t>it should be noted that its incorporation into the file is necessary in order to make a correct a</w:t>
      </w:r>
      <w:r w:rsidR="007847DE" w:rsidRPr="00012C3F">
        <w:rPr>
          <w:sz w:val="20"/>
          <w:szCs w:val="20"/>
          <w:lang w:val="en-US"/>
        </w:rPr>
        <w:t>ppraisal</w:t>
      </w:r>
      <w:r w:rsidR="00BD3B0B" w:rsidRPr="00012C3F">
        <w:rPr>
          <w:sz w:val="20"/>
          <w:szCs w:val="20"/>
          <w:lang w:val="en-US"/>
        </w:rPr>
        <w:t xml:space="preserve"> of the proceedings held by the State. Consequently, these documents must be incorporated into the body of evidence of this case under </w:t>
      </w:r>
      <w:r w:rsidR="008A7A0F" w:rsidRPr="00012C3F">
        <w:rPr>
          <w:sz w:val="20"/>
          <w:szCs w:val="20"/>
          <w:lang w:val="en-US"/>
        </w:rPr>
        <w:t>Article</w:t>
      </w:r>
      <w:r w:rsidR="00E90C39" w:rsidRPr="00012C3F">
        <w:rPr>
          <w:sz w:val="20"/>
          <w:szCs w:val="20"/>
          <w:lang w:val="en-US"/>
        </w:rPr>
        <w:t xml:space="preserve"> 58</w:t>
      </w:r>
      <w:r w:rsidR="00BD3B0B" w:rsidRPr="00012C3F">
        <w:rPr>
          <w:sz w:val="20"/>
          <w:szCs w:val="20"/>
          <w:lang w:val="en-US"/>
        </w:rPr>
        <w:t>(</w:t>
      </w:r>
      <w:r w:rsidR="00E90C39" w:rsidRPr="00012C3F">
        <w:rPr>
          <w:sz w:val="20"/>
          <w:szCs w:val="20"/>
          <w:lang w:val="en-US"/>
        </w:rPr>
        <w:t>b)</w:t>
      </w:r>
      <w:r w:rsidR="001254DE" w:rsidRPr="00012C3F">
        <w:rPr>
          <w:sz w:val="20"/>
          <w:szCs w:val="20"/>
          <w:lang w:val="en-US"/>
        </w:rPr>
        <w:t xml:space="preserve"> of the Rules of Procedure</w:t>
      </w:r>
      <w:r w:rsidR="007A1A14" w:rsidRPr="00012C3F">
        <w:rPr>
          <w:rFonts w:cs="Verdana"/>
          <w:sz w:val="20"/>
          <w:szCs w:val="20"/>
          <w:lang w:val="en-US"/>
        </w:rPr>
        <w:t xml:space="preserve">. </w:t>
      </w:r>
      <w:r w:rsidR="00BD3B0B" w:rsidRPr="00012C3F">
        <w:rPr>
          <w:rFonts w:cs="Verdana"/>
          <w:sz w:val="20"/>
          <w:szCs w:val="20"/>
          <w:lang w:val="en-US"/>
        </w:rPr>
        <w:t xml:space="preserve">Regarding annexes </w:t>
      </w:r>
      <w:r w:rsidR="0067571B" w:rsidRPr="00012C3F">
        <w:rPr>
          <w:rFonts w:cs="Verdana"/>
          <w:sz w:val="20"/>
          <w:szCs w:val="20"/>
          <w:lang w:val="en-US"/>
        </w:rPr>
        <w:t>3 (</w:t>
      </w:r>
      <w:r w:rsidR="00BD3B0B" w:rsidRPr="00012C3F">
        <w:rPr>
          <w:rFonts w:cs="Verdana"/>
          <w:sz w:val="20"/>
          <w:szCs w:val="20"/>
          <w:lang w:val="en-US"/>
        </w:rPr>
        <w:t>1993 WHO manual</w:t>
      </w:r>
      <w:r w:rsidR="00F62A21" w:rsidRPr="00012C3F">
        <w:rPr>
          <w:rFonts w:cs="Verdana"/>
          <w:sz w:val="20"/>
          <w:szCs w:val="20"/>
          <w:lang w:val="en-US"/>
        </w:rPr>
        <w:t xml:space="preserve">, </w:t>
      </w:r>
      <w:r w:rsidR="00BD3B0B" w:rsidRPr="00012C3F">
        <w:rPr>
          <w:rFonts w:cs="Verdana"/>
          <w:sz w:val="20"/>
          <w:szCs w:val="20"/>
          <w:lang w:val="en-US"/>
        </w:rPr>
        <w:t>entitled</w:t>
      </w:r>
      <w:r w:rsidR="00F62A21" w:rsidRPr="00012C3F">
        <w:rPr>
          <w:rFonts w:cs="Verdana"/>
          <w:sz w:val="20"/>
          <w:szCs w:val="20"/>
          <w:lang w:val="en-US"/>
        </w:rPr>
        <w:t xml:space="preserve"> “</w:t>
      </w:r>
      <w:r w:rsidR="00BD3B0B" w:rsidRPr="00012C3F">
        <w:rPr>
          <w:rFonts w:cs="Verdana"/>
          <w:sz w:val="20"/>
          <w:szCs w:val="20"/>
          <w:lang w:val="en-US"/>
        </w:rPr>
        <w:t>Female sterilization: a guide to provision of services”), 4 (Law on the Judiciary Council of December 22,</w:t>
      </w:r>
      <w:r w:rsidR="0067571B" w:rsidRPr="00012C3F">
        <w:rPr>
          <w:rFonts w:cs="Verdana"/>
          <w:sz w:val="20"/>
          <w:szCs w:val="20"/>
          <w:lang w:val="en-US"/>
        </w:rPr>
        <w:t xml:space="preserve"> 1997)</w:t>
      </w:r>
      <w:r w:rsidR="005E5012" w:rsidRPr="00012C3F">
        <w:rPr>
          <w:rFonts w:cs="Verdana"/>
          <w:sz w:val="20"/>
          <w:szCs w:val="20"/>
          <w:lang w:val="en-US"/>
        </w:rPr>
        <w:t xml:space="preserve"> and </w:t>
      </w:r>
      <w:r w:rsidR="0067571B" w:rsidRPr="00012C3F">
        <w:rPr>
          <w:rFonts w:cs="Verdana"/>
          <w:sz w:val="20"/>
          <w:szCs w:val="20"/>
          <w:lang w:val="en-US"/>
        </w:rPr>
        <w:t>5 (</w:t>
      </w:r>
      <w:r w:rsidR="00BD3B0B" w:rsidRPr="00012C3F">
        <w:rPr>
          <w:rFonts w:cs="Verdana"/>
          <w:sz w:val="20"/>
          <w:szCs w:val="20"/>
          <w:lang w:val="en-US"/>
        </w:rPr>
        <w:t xml:space="preserve">Law </w:t>
      </w:r>
      <w:r w:rsidR="006A725F" w:rsidRPr="00012C3F">
        <w:rPr>
          <w:rFonts w:cs="Verdana"/>
          <w:sz w:val="20"/>
          <w:szCs w:val="20"/>
          <w:lang w:val="en-US"/>
        </w:rPr>
        <w:t xml:space="preserve">No. 045 </w:t>
      </w:r>
      <w:r w:rsidR="00BD3B0B" w:rsidRPr="00012C3F">
        <w:rPr>
          <w:rFonts w:cs="Verdana"/>
          <w:sz w:val="20"/>
          <w:szCs w:val="20"/>
          <w:lang w:val="en-US"/>
        </w:rPr>
        <w:t>against racism and all forms of discrimination</w:t>
      </w:r>
      <w:r w:rsidR="006A725F" w:rsidRPr="00012C3F">
        <w:rPr>
          <w:rFonts w:cs="Verdana"/>
          <w:sz w:val="20"/>
          <w:szCs w:val="20"/>
          <w:lang w:val="en-US"/>
        </w:rPr>
        <w:t xml:space="preserve"> </w:t>
      </w:r>
      <w:r w:rsidR="00BD3B0B" w:rsidRPr="00012C3F">
        <w:rPr>
          <w:rFonts w:cs="Verdana"/>
          <w:sz w:val="20"/>
          <w:szCs w:val="20"/>
          <w:lang w:val="en-US"/>
        </w:rPr>
        <w:t>of October 8,</w:t>
      </w:r>
      <w:r w:rsidR="006A725F" w:rsidRPr="00012C3F">
        <w:rPr>
          <w:rFonts w:cs="Verdana"/>
          <w:sz w:val="20"/>
          <w:szCs w:val="20"/>
          <w:lang w:val="en-US"/>
        </w:rPr>
        <w:t xml:space="preserve"> 2010</w:t>
      </w:r>
      <w:r w:rsidR="0067571B" w:rsidRPr="00012C3F">
        <w:rPr>
          <w:rFonts w:cs="Verdana"/>
          <w:sz w:val="20"/>
          <w:szCs w:val="20"/>
          <w:lang w:val="en-US"/>
        </w:rPr>
        <w:t xml:space="preserve">) </w:t>
      </w:r>
      <w:r w:rsidR="00BD3B0B" w:rsidRPr="00012C3F">
        <w:rPr>
          <w:rFonts w:cs="Verdana"/>
          <w:sz w:val="20"/>
          <w:szCs w:val="20"/>
          <w:lang w:val="en-US"/>
        </w:rPr>
        <w:t>provided by</w:t>
      </w:r>
      <w:r w:rsidR="0067571B" w:rsidRPr="00012C3F">
        <w:rPr>
          <w:rFonts w:cs="Verdana"/>
          <w:sz w:val="20"/>
          <w:szCs w:val="20"/>
          <w:lang w:val="en-US"/>
        </w:rPr>
        <w:t xml:space="preserve"> </w:t>
      </w:r>
      <w:r w:rsidR="00A84CA0" w:rsidRPr="00012C3F">
        <w:rPr>
          <w:rFonts w:cs="Verdana"/>
          <w:sz w:val="20"/>
          <w:szCs w:val="20"/>
          <w:lang w:val="en-US"/>
        </w:rPr>
        <w:t>the State</w:t>
      </w:r>
      <w:r w:rsidR="0067571B" w:rsidRPr="00012C3F">
        <w:rPr>
          <w:rFonts w:cs="Verdana"/>
          <w:sz w:val="20"/>
          <w:szCs w:val="20"/>
          <w:lang w:val="en-US"/>
        </w:rPr>
        <w:t>, as</w:t>
      </w:r>
      <w:r w:rsidR="00BD3B0B" w:rsidRPr="00012C3F">
        <w:rPr>
          <w:rFonts w:cs="Verdana"/>
          <w:sz w:val="20"/>
          <w:szCs w:val="20"/>
          <w:lang w:val="en-US"/>
        </w:rPr>
        <w:t xml:space="preserve"> well as annexes </w:t>
      </w:r>
      <w:r w:rsidR="0067571B" w:rsidRPr="00012C3F">
        <w:rPr>
          <w:rFonts w:cs="Verdana"/>
          <w:sz w:val="20"/>
          <w:szCs w:val="20"/>
          <w:lang w:val="en-US"/>
        </w:rPr>
        <w:t xml:space="preserve">4 </w:t>
      </w:r>
      <w:r w:rsidR="00BD3B0B" w:rsidRPr="00012C3F">
        <w:rPr>
          <w:rFonts w:cs="Verdana"/>
          <w:sz w:val="20"/>
          <w:szCs w:val="20"/>
          <w:lang w:val="en-US"/>
        </w:rPr>
        <w:t>to</w:t>
      </w:r>
      <w:r w:rsidR="0067571B" w:rsidRPr="00012C3F">
        <w:rPr>
          <w:rFonts w:cs="Verdana"/>
          <w:sz w:val="20"/>
          <w:szCs w:val="20"/>
          <w:lang w:val="en-US"/>
        </w:rPr>
        <w:t xml:space="preserve"> 12 (</w:t>
      </w:r>
      <w:r w:rsidR="00BD3B0B" w:rsidRPr="00012C3F">
        <w:rPr>
          <w:rFonts w:cs="Verdana"/>
          <w:sz w:val="20"/>
          <w:szCs w:val="20"/>
          <w:lang w:val="en-US"/>
        </w:rPr>
        <w:t xml:space="preserve">including the 1993 WHO manual, entitled </w:t>
      </w:r>
      <w:r w:rsidR="00F62A21" w:rsidRPr="00012C3F">
        <w:rPr>
          <w:rFonts w:eastAsia="MS Mincho" w:cs="ClassicalGaramondBT-Roman"/>
          <w:sz w:val="20"/>
          <w:szCs w:val="20"/>
          <w:lang w:val="en-US" w:eastAsia="en-US" w:bidi="en-US"/>
        </w:rPr>
        <w:t>“</w:t>
      </w:r>
      <w:r w:rsidR="00BD3B0B" w:rsidRPr="00012C3F">
        <w:rPr>
          <w:rFonts w:eastAsia="MS Mincho" w:cs="ClassicalGaramondBT-Roman"/>
          <w:sz w:val="20"/>
          <w:szCs w:val="20"/>
          <w:lang w:val="en-US" w:eastAsia="en-US" w:bidi="en-US"/>
        </w:rPr>
        <w:t>Female sterilization: a guide to provision of services,</w:t>
      </w:r>
      <w:r w:rsidR="00F62A21" w:rsidRPr="00012C3F">
        <w:rPr>
          <w:rFonts w:eastAsia="MS Mincho" w:cs="ClassicalGaramondBT-Roman"/>
          <w:sz w:val="20"/>
          <w:szCs w:val="20"/>
          <w:lang w:val="en-US" w:eastAsia="en-US" w:bidi="en-US"/>
        </w:rPr>
        <w:t>”</w:t>
      </w:r>
      <w:r w:rsidR="0067571B" w:rsidRPr="00012C3F">
        <w:rPr>
          <w:rFonts w:cs="Verdana"/>
          <w:sz w:val="20"/>
          <w:szCs w:val="20"/>
          <w:lang w:val="en-US"/>
        </w:rPr>
        <w:t xml:space="preserve"> </w:t>
      </w:r>
      <w:r w:rsidR="00BD3B0B" w:rsidRPr="00012C3F">
        <w:rPr>
          <w:rFonts w:cs="Verdana"/>
          <w:sz w:val="20"/>
          <w:szCs w:val="20"/>
          <w:lang w:val="en-US"/>
        </w:rPr>
        <w:t>the Code of Medical Ethics and Deontology</w:t>
      </w:r>
      <w:r w:rsidR="0067571B" w:rsidRPr="00012C3F">
        <w:rPr>
          <w:rFonts w:cs="Verdana"/>
          <w:sz w:val="20"/>
          <w:szCs w:val="20"/>
          <w:lang w:val="en-US"/>
        </w:rPr>
        <w:t xml:space="preserve">, </w:t>
      </w:r>
      <w:r w:rsidR="00BD3B0B" w:rsidRPr="00012C3F">
        <w:rPr>
          <w:rFonts w:cs="Verdana"/>
          <w:sz w:val="20"/>
          <w:szCs w:val="20"/>
          <w:lang w:val="en-US"/>
        </w:rPr>
        <w:t>the Report of the Special Rapporteur on torture and other cruel, inhuman or degrading treatment or punishment</w:t>
      </w:r>
      <w:r w:rsidR="00F62A21" w:rsidRPr="00012C3F" w:rsidDel="00F62A21">
        <w:rPr>
          <w:rFonts w:cs="Verdana"/>
          <w:sz w:val="20"/>
          <w:szCs w:val="20"/>
          <w:lang w:val="en-US"/>
        </w:rPr>
        <w:t xml:space="preserve"> </w:t>
      </w:r>
      <w:r w:rsidR="00BD3B0B" w:rsidRPr="00012C3F">
        <w:rPr>
          <w:rFonts w:cs="Verdana"/>
          <w:sz w:val="20"/>
          <w:szCs w:val="20"/>
          <w:lang w:val="en-US"/>
        </w:rPr>
        <w:t xml:space="preserve">of January 5, </w:t>
      </w:r>
      <w:r w:rsidR="0067571B" w:rsidRPr="00012C3F">
        <w:rPr>
          <w:rFonts w:cs="Verdana"/>
          <w:sz w:val="20"/>
          <w:szCs w:val="20"/>
          <w:lang w:val="en-US"/>
        </w:rPr>
        <w:t xml:space="preserve">2016, </w:t>
      </w:r>
      <w:r w:rsidR="00BD3B0B" w:rsidRPr="00012C3F">
        <w:rPr>
          <w:rFonts w:cs="Verdana"/>
          <w:sz w:val="20"/>
          <w:szCs w:val="20"/>
          <w:lang w:val="en-US"/>
        </w:rPr>
        <w:t>and the Draft articles on responsibility of States</w:t>
      </w:r>
      <w:r w:rsidR="0067571B" w:rsidRPr="00012C3F">
        <w:rPr>
          <w:rFonts w:cs="Verdana"/>
          <w:sz w:val="20"/>
          <w:szCs w:val="20"/>
          <w:lang w:val="en-US"/>
        </w:rPr>
        <w:t xml:space="preserve">) </w:t>
      </w:r>
      <w:r w:rsidR="00BD3B0B" w:rsidRPr="00012C3F">
        <w:rPr>
          <w:rFonts w:cs="Verdana"/>
          <w:sz w:val="20"/>
          <w:szCs w:val="20"/>
          <w:lang w:val="en-US"/>
        </w:rPr>
        <w:t>forwarded by</w:t>
      </w:r>
      <w:r w:rsidR="0067571B" w:rsidRPr="00012C3F">
        <w:rPr>
          <w:rFonts w:cs="Verdana"/>
          <w:sz w:val="20"/>
          <w:szCs w:val="20"/>
          <w:lang w:val="en-US"/>
        </w:rPr>
        <w:t xml:space="preserve"> </w:t>
      </w:r>
      <w:r w:rsidR="00972ACF" w:rsidRPr="00012C3F">
        <w:rPr>
          <w:rFonts w:cs="Verdana"/>
          <w:sz w:val="20"/>
          <w:szCs w:val="20"/>
          <w:lang w:val="en-US"/>
        </w:rPr>
        <w:t>the representative</w:t>
      </w:r>
      <w:r w:rsidR="0067571B" w:rsidRPr="00012C3F">
        <w:rPr>
          <w:rFonts w:cs="Verdana"/>
          <w:sz w:val="20"/>
          <w:szCs w:val="20"/>
          <w:lang w:val="en-US"/>
        </w:rPr>
        <w:t xml:space="preserve">, </w:t>
      </w:r>
      <w:r w:rsidR="001254DE" w:rsidRPr="00012C3F">
        <w:rPr>
          <w:rFonts w:cs="Verdana"/>
          <w:sz w:val="20"/>
          <w:szCs w:val="20"/>
          <w:lang w:val="en-US"/>
        </w:rPr>
        <w:t>the Court</w:t>
      </w:r>
      <w:r w:rsidR="0067571B" w:rsidRPr="00012C3F">
        <w:rPr>
          <w:rFonts w:cs="Verdana"/>
          <w:sz w:val="20"/>
          <w:szCs w:val="20"/>
          <w:lang w:val="en-US"/>
        </w:rPr>
        <w:t xml:space="preserve"> not</w:t>
      </w:r>
      <w:r w:rsidR="00BD3B0B" w:rsidRPr="00012C3F">
        <w:rPr>
          <w:rFonts w:cs="Verdana"/>
          <w:sz w:val="20"/>
          <w:szCs w:val="20"/>
          <w:lang w:val="en-US"/>
        </w:rPr>
        <w:t xml:space="preserve">es that their late presentation was not justified by any of the exceptional reasons established in </w:t>
      </w:r>
      <w:r w:rsidR="001254DE" w:rsidRPr="00012C3F">
        <w:rPr>
          <w:rFonts w:cs="Verdana"/>
          <w:sz w:val="20"/>
          <w:szCs w:val="20"/>
          <w:lang w:val="en-US"/>
        </w:rPr>
        <w:t>the Rules of Procedure</w:t>
      </w:r>
      <w:r w:rsidR="0067571B" w:rsidRPr="00012C3F">
        <w:rPr>
          <w:rFonts w:cs="Verdana"/>
          <w:sz w:val="20"/>
          <w:szCs w:val="20"/>
          <w:lang w:val="en-US"/>
        </w:rPr>
        <w:t xml:space="preserve">, </w:t>
      </w:r>
      <w:r w:rsidR="00BD3B0B" w:rsidRPr="00012C3F">
        <w:rPr>
          <w:rFonts w:cs="Verdana"/>
          <w:sz w:val="20"/>
          <w:szCs w:val="20"/>
          <w:lang w:val="en-US"/>
        </w:rPr>
        <w:t>and they were not expressly requested by the Court as helpful evidence; they are therefore time-barred. Nevertheless, since it is relevant for the Court to examine the 1993 WHO manual on female sterilization and the Code of Medical Ethics and Deontology</w:t>
      </w:r>
      <w:r w:rsidR="003B0185" w:rsidRPr="00012C3F">
        <w:rPr>
          <w:rFonts w:cs="Verdana"/>
          <w:sz w:val="20"/>
          <w:szCs w:val="20"/>
          <w:lang w:val="en-US"/>
        </w:rPr>
        <w:t>,</w:t>
      </w:r>
      <w:r w:rsidR="008D0202" w:rsidRPr="00012C3F">
        <w:rPr>
          <w:rFonts w:cs="Verdana"/>
          <w:sz w:val="20"/>
          <w:szCs w:val="20"/>
          <w:lang w:val="en-US"/>
        </w:rPr>
        <w:t xml:space="preserve"> </w:t>
      </w:r>
      <w:r w:rsidR="00BD3B0B" w:rsidRPr="00012C3F">
        <w:rPr>
          <w:rFonts w:cs="Verdana"/>
          <w:sz w:val="20"/>
          <w:szCs w:val="20"/>
          <w:lang w:val="en-US"/>
        </w:rPr>
        <w:t>and also the laws of</w:t>
      </w:r>
      <w:r w:rsidR="008D0202" w:rsidRPr="00012C3F">
        <w:rPr>
          <w:rFonts w:cs="Verdana"/>
          <w:sz w:val="20"/>
          <w:szCs w:val="20"/>
          <w:lang w:val="en-US"/>
        </w:rPr>
        <w:t xml:space="preserve"> </w:t>
      </w:r>
      <w:r w:rsidR="00833C77" w:rsidRPr="00012C3F">
        <w:rPr>
          <w:rFonts w:cs="Verdana"/>
          <w:sz w:val="20"/>
          <w:szCs w:val="20"/>
          <w:lang w:val="en-US"/>
        </w:rPr>
        <w:t>Peru</w:t>
      </w:r>
      <w:r w:rsidR="008D0202" w:rsidRPr="00012C3F">
        <w:rPr>
          <w:rFonts w:cs="Verdana"/>
          <w:sz w:val="20"/>
          <w:szCs w:val="20"/>
          <w:lang w:val="en-US"/>
        </w:rPr>
        <w:t xml:space="preserve">, </w:t>
      </w:r>
      <w:r w:rsidR="00BD3B0B" w:rsidRPr="00012C3F">
        <w:rPr>
          <w:rFonts w:cs="Verdana"/>
          <w:sz w:val="20"/>
          <w:szCs w:val="20"/>
          <w:lang w:val="en-US"/>
        </w:rPr>
        <w:t>Mexico</w:t>
      </w:r>
      <w:r w:rsidR="005E5012" w:rsidRPr="00012C3F">
        <w:rPr>
          <w:rFonts w:cs="Verdana"/>
          <w:sz w:val="20"/>
          <w:szCs w:val="20"/>
          <w:lang w:val="en-US"/>
        </w:rPr>
        <w:t xml:space="preserve"> and </w:t>
      </w:r>
      <w:r w:rsidR="008D0202" w:rsidRPr="00012C3F">
        <w:rPr>
          <w:rFonts w:cs="Verdana"/>
          <w:sz w:val="20"/>
          <w:szCs w:val="20"/>
          <w:lang w:val="en-US"/>
        </w:rPr>
        <w:t>Chile</w:t>
      </w:r>
      <w:r w:rsidR="00DB2DCF" w:rsidRPr="00012C3F">
        <w:rPr>
          <w:rFonts w:cs="Verdana"/>
          <w:sz w:val="20"/>
          <w:szCs w:val="20"/>
          <w:lang w:val="en-US"/>
        </w:rPr>
        <w:t>,</w:t>
      </w:r>
      <w:r w:rsidR="00B22112" w:rsidRPr="00012C3F">
        <w:rPr>
          <w:rFonts w:cs="Verdana"/>
          <w:sz w:val="20"/>
          <w:szCs w:val="20"/>
          <w:lang w:val="en-US"/>
        </w:rPr>
        <w:t xml:space="preserve"> </w:t>
      </w:r>
      <w:r w:rsidR="001254DE" w:rsidRPr="00012C3F">
        <w:rPr>
          <w:rFonts w:cs="Verdana"/>
          <w:sz w:val="20"/>
          <w:szCs w:val="20"/>
          <w:lang w:val="en-US"/>
        </w:rPr>
        <w:t>the Court</w:t>
      </w:r>
      <w:r w:rsidR="0067571B" w:rsidRPr="00012C3F">
        <w:rPr>
          <w:rFonts w:cs="Verdana"/>
          <w:sz w:val="20"/>
          <w:szCs w:val="20"/>
          <w:lang w:val="en-US"/>
        </w:rPr>
        <w:t xml:space="preserve"> incorpora</w:t>
      </w:r>
      <w:r w:rsidR="00BD3B0B" w:rsidRPr="00012C3F">
        <w:rPr>
          <w:rFonts w:cs="Verdana"/>
          <w:sz w:val="20"/>
          <w:szCs w:val="20"/>
          <w:lang w:val="en-US"/>
        </w:rPr>
        <w:t xml:space="preserve">tes these documents, </w:t>
      </w:r>
      <w:r w:rsidR="00BD3B0B" w:rsidRPr="00012C3F">
        <w:rPr>
          <w:rFonts w:cs="Verdana"/>
          <w:i/>
          <w:iCs/>
          <w:sz w:val="20"/>
          <w:szCs w:val="20"/>
          <w:lang w:val="en-US"/>
        </w:rPr>
        <w:t>ex officio</w:t>
      </w:r>
      <w:r w:rsidR="00BD3B0B" w:rsidRPr="00012C3F">
        <w:rPr>
          <w:rFonts w:cs="Verdana"/>
          <w:sz w:val="20"/>
          <w:szCs w:val="20"/>
          <w:lang w:val="en-US"/>
        </w:rPr>
        <w:t>, because they are useful for deciding this case.</w:t>
      </w:r>
    </w:p>
    <w:p w14:paraId="2BCEBD95" w14:textId="77777777" w:rsidR="007A1A14" w:rsidRPr="00012C3F" w:rsidRDefault="007A1A14" w:rsidP="007A1A14">
      <w:pPr>
        <w:widowControl/>
        <w:tabs>
          <w:tab w:val="left" w:pos="720"/>
        </w:tabs>
        <w:adjustRightInd/>
        <w:spacing w:line="240" w:lineRule="auto"/>
        <w:ind w:right="-90"/>
        <w:textAlignment w:val="auto"/>
        <w:rPr>
          <w:sz w:val="20"/>
          <w:szCs w:val="20"/>
          <w:lang w:val="en-US"/>
        </w:rPr>
      </w:pPr>
    </w:p>
    <w:p w14:paraId="354BBFBE" w14:textId="77777777" w:rsidR="007A1A14" w:rsidRPr="00012C3F" w:rsidRDefault="00BD3B0B" w:rsidP="00BD3B0B">
      <w:pPr>
        <w:numPr>
          <w:ilvl w:val="0"/>
          <w:numId w:val="5"/>
        </w:numPr>
        <w:tabs>
          <w:tab w:val="left" w:pos="720"/>
          <w:tab w:val="num" w:pos="12305"/>
        </w:tabs>
        <w:spacing w:line="240" w:lineRule="auto"/>
        <w:ind w:left="0" w:firstLine="0"/>
        <w:rPr>
          <w:sz w:val="20"/>
          <w:szCs w:val="20"/>
          <w:lang w:val="en-US"/>
        </w:rPr>
      </w:pPr>
      <w:r w:rsidRPr="00012C3F">
        <w:rPr>
          <w:rFonts w:cs="Verdana"/>
          <w:sz w:val="20"/>
          <w:szCs w:val="20"/>
          <w:lang w:val="en-US"/>
        </w:rPr>
        <w:t xml:space="preserve">With regard to the documents </w:t>
      </w:r>
      <w:r w:rsidRPr="00012C3F">
        <w:rPr>
          <w:sz w:val="20"/>
          <w:szCs w:val="20"/>
          <w:lang w:val="en-US"/>
        </w:rPr>
        <w:t xml:space="preserve">on costs and expenses </w:t>
      </w:r>
      <w:r w:rsidRPr="00012C3F">
        <w:rPr>
          <w:rFonts w:cs="Verdana"/>
          <w:sz w:val="20"/>
          <w:szCs w:val="20"/>
          <w:lang w:val="en-US"/>
        </w:rPr>
        <w:t xml:space="preserve">remitted by </w:t>
      </w:r>
      <w:r w:rsidR="00972ACF" w:rsidRPr="00012C3F">
        <w:rPr>
          <w:sz w:val="20"/>
          <w:szCs w:val="20"/>
          <w:lang w:val="en-US"/>
        </w:rPr>
        <w:t>the representative</w:t>
      </w:r>
      <w:r w:rsidRPr="00012C3F">
        <w:rPr>
          <w:sz w:val="20"/>
          <w:szCs w:val="20"/>
          <w:lang w:val="en-US"/>
        </w:rPr>
        <w:t xml:space="preserve"> with her final written arguments,</w:t>
      </w:r>
      <w:r w:rsidR="007A1A14" w:rsidRPr="00012C3F">
        <w:rPr>
          <w:sz w:val="20"/>
          <w:szCs w:val="20"/>
          <w:vertAlign w:val="superscript"/>
          <w:lang w:val="en-US"/>
        </w:rPr>
        <w:footnoteReference w:id="32"/>
      </w:r>
      <w:r w:rsidR="007A1A14" w:rsidRPr="00012C3F">
        <w:rPr>
          <w:sz w:val="20"/>
          <w:szCs w:val="20"/>
          <w:lang w:val="en-US"/>
        </w:rPr>
        <w:t xml:space="preserve"> </w:t>
      </w:r>
      <w:r w:rsidR="001254DE" w:rsidRPr="00012C3F">
        <w:rPr>
          <w:sz w:val="20"/>
          <w:szCs w:val="20"/>
          <w:lang w:val="en-US"/>
        </w:rPr>
        <w:t>the Court</w:t>
      </w:r>
      <w:r w:rsidR="007A1A14" w:rsidRPr="00012C3F">
        <w:rPr>
          <w:sz w:val="20"/>
          <w:szCs w:val="20"/>
          <w:lang w:val="en-US"/>
        </w:rPr>
        <w:t xml:space="preserve"> </w:t>
      </w:r>
      <w:r w:rsidRPr="00012C3F">
        <w:rPr>
          <w:sz w:val="20"/>
          <w:szCs w:val="20"/>
          <w:lang w:val="en-US"/>
        </w:rPr>
        <w:t xml:space="preserve">will only consider those that refer to new costs and expenses incurred due to the proceedings before this Court; in other words, those incurred after the submission of the </w:t>
      </w:r>
      <w:r w:rsidR="00972ACF" w:rsidRPr="00012C3F">
        <w:rPr>
          <w:sz w:val="20"/>
          <w:szCs w:val="20"/>
          <w:lang w:val="en-US"/>
        </w:rPr>
        <w:t>motions and pleadings brief</w:t>
      </w:r>
      <w:r w:rsidR="007A1A14" w:rsidRPr="00012C3F">
        <w:rPr>
          <w:sz w:val="20"/>
          <w:szCs w:val="20"/>
          <w:lang w:val="en-US"/>
        </w:rPr>
        <w:t xml:space="preserve">. </w:t>
      </w:r>
    </w:p>
    <w:p w14:paraId="3607A1DC" w14:textId="77777777" w:rsidR="007A1A14" w:rsidRPr="00012C3F" w:rsidRDefault="007A1A14" w:rsidP="007A1A14">
      <w:pPr>
        <w:spacing w:line="240" w:lineRule="auto"/>
        <w:rPr>
          <w:sz w:val="20"/>
          <w:szCs w:val="20"/>
          <w:lang w:val="en-US"/>
        </w:rPr>
      </w:pPr>
    </w:p>
    <w:p w14:paraId="5DD9337C"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75" w:name="_Toc375517118"/>
      <w:bookmarkStart w:id="76" w:name="_Toc459158106"/>
      <w:bookmarkStart w:id="77" w:name="_Toc27486834"/>
      <w:r w:rsidRPr="00012C3F">
        <w:rPr>
          <w:rFonts w:ascii="Verdana" w:hAnsi="Verdana"/>
          <w:b w:val="0"/>
          <w:i/>
          <w:color w:val="auto"/>
          <w:sz w:val="20"/>
          <w:szCs w:val="20"/>
          <w:lang w:val="en-US"/>
        </w:rPr>
        <w:t xml:space="preserve">B.2 </w:t>
      </w:r>
      <w:r w:rsidR="005D5050"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Admission of the statements and of the expert opinions</w:t>
      </w:r>
      <w:bookmarkEnd w:id="75"/>
      <w:bookmarkEnd w:id="76"/>
      <w:bookmarkEnd w:id="77"/>
    </w:p>
    <w:p w14:paraId="70990F95" w14:textId="77777777" w:rsidR="007A1A14" w:rsidRPr="00012C3F" w:rsidRDefault="007A1A14" w:rsidP="007A1A14">
      <w:pPr>
        <w:widowControl/>
        <w:tabs>
          <w:tab w:val="left" w:pos="720"/>
        </w:tabs>
        <w:adjustRightInd/>
        <w:spacing w:line="240" w:lineRule="auto"/>
        <w:ind w:right="-90"/>
        <w:textAlignment w:val="auto"/>
        <w:rPr>
          <w:sz w:val="20"/>
          <w:szCs w:val="20"/>
          <w:lang w:val="en-US"/>
        </w:rPr>
      </w:pPr>
    </w:p>
    <w:p w14:paraId="3AF7CAC7" w14:textId="77777777" w:rsidR="007A1A14" w:rsidRPr="00012C3F" w:rsidRDefault="001254DE" w:rsidP="00EE5DB6">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Court</w:t>
      </w:r>
      <w:r w:rsidR="007A1A14" w:rsidRPr="00012C3F">
        <w:rPr>
          <w:sz w:val="20"/>
          <w:szCs w:val="20"/>
          <w:lang w:val="en-US"/>
        </w:rPr>
        <w:t xml:space="preserve"> </w:t>
      </w:r>
      <w:r w:rsidR="00BD3B0B" w:rsidRPr="00012C3F">
        <w:rPr>
          <w:sz w:val="20"/>
          <w:szCs w:val="20"/>
          <w:lang w:val="en-US"/>
        </w:rPr>
        <w:t xml:space="preserve">finds it pertinent to admit the statements and expert opinions </w:t>
      </w:r>
      <w:r w:rsidR="00EE5DB6" w:rsidRPr="00012C3F">
        <w:rPr>
          <w:sz w:val="20"/>
          <w:szCs w:val="20"/>
          <w:lang w:val="en-US"/>
        </w:rPr>
        <w:t xml:space="preserve">provided during the </w:t>
      </w:r>
      <w:r w:rsidR="00B257AF" w:rsidRPr="00012C3F">
        <w:rPr>
          <w:sz w:val="20"/>
          <w:szCs w:val="20"/>
          <w:lang w:val="en-US"/>
        </w:rPr>
        <w:t>public hearing</w:t>
      </w:r>
      <w:r w:rsidR="005E5012" w:rsidRPr="00012C3F">
        <w:rPr>
          <w:sz w:val="20"/>
          <w:szCs w:val="20"/>
          <w:lang w:val="en-US"/>
        </w:rPr>
        <w:t xml:space="preserve"> and </w:t>
      </w:r>
      <w:r w:rsidR="00EE5DB6" w:rsidRPr="00012C3F">
        <w:rPr>
          <w:sz w:val="20"/>
          <w:szCs w:val="20"/>
          <w:lang w:val="en-US"/>
        </w:rPr>
        <w:t xml:space="preserve">by affidavit, insofar as they are in keeping with the purpose defined by the </w:t>
      </w:r>
      <w:r w:rsidRPr="00012C3F">
        <w:rPr>
          <w:sz w:val="20"/>
          <w:szCs w:val="20"/>
          <w:lang w:val="en-US"/>
        </w:rPr>
        <w:t>President</w:t>
      </w:r>
      <w:r w:rsidR="007A1A14" w:rsidRPr="00012C3F">
        <w:rPr>
          <w:sz w:val="20"/>
          <w:szCs w:val="20"/>
          <w:lang w:val="en-US"/>
        </w:rPr>
        <w:t xml:space="preserve"> </w:t>
      </w:r>
      <w:r w:rsidR="00EE5DB6" w:rsidRPr="00012C3F">
        <w:rPr>
          <w:sz w:val="20"/>
          <w:szCs w:val="20"/>
          <w:lang w:val="en-US"/>
        </w:rPr>
        <w:t>in the order requiring them,</w:t>
      </w:r>
      <w:r w:rsidR="007A1A14" w:rsidRPr="00012C3F">
        <w:rPr>
          <w:sz w:val="20"/>
          <w:szCs w:val="20"/>
          <w:vertAlign w:val="superscript"/>
          <w:lang w:val="en-US"/>
        </w:rPr>
        <w:footnoteReference w:id="33"/>
      </w:r>
      <w:r w:rsidR="005E5012" w:rsidRPr="00012C3F">
        <w:rPr>
          <w:sz w:val="20"/>
          <w:szCs w:val="20"/>
          <w:lang w:val="en-US"/>
        </w:rPr>
        <w:t xml:space="preserve"> and </w:t>
      </w:r>
      <w:r w:rsidR="00EE5DB6" w:rsidRPr="00012C3F">
        <w:rPr>
          <w:sz w:val="20"/>
          <w:szCs w:val="20"/>
          <w:lang w:val="en-US"/>
        </w:rPr>
        <w:t>the purpose of this case.</w:t>
      </w:r>
    </w:p>
    <w:p w14:paraId="4F2B13AD" w14:textId="77777777" w:rsidR="007A1A14" w:rsidRPr="00012C3F" w:rsidRDefault="007A1A14" w:rsidP="00EE5DB6">
      <w:pPr>
        <w:pStyle w:val="Prrafodelista"/>
        <w:tabs>
          <w:tab w:val="left" w:pos="720"/>
        </w:tabs>
        <w:spacing w:line="240" w:lineRule="auto"/>
        <w:ind w:left="0"/>
        <w:rPr>
          <w:rFonts w:cs="Verdana"/>
          <w:sz w:val="20"/>
          <w:szCs w:val="20"/>
          <w:lang w:val="en-US" w:eastAsia="es-MX"/>
        </w:rPr>
      </w:pPr>
    </w:p>
    <w:p w14:paraId="429EB674" w14:textId="77777777" w:rsidR="007A1A14" w:rsidRPr="00012C3F" w:rsidRDefault="007A1A14" w:rsidP="00EE5DB6">
      <w:pPr>
        <w:keepNext/>
        <w:keepLines/>
        <w:tabs>
          <w:tab w:val="left" w:pos="720"/>
          <w:tab w:val="left" w:pos="1134"/>
        </w:tabs>
        <w:spacing w:line="240" w:lineRule="auto"/>
        <w:ind w:left="567" w:firstLine="1"/>
        <w:outlineLvl w:val="1"/>
        <w:rPr>
          <w:rFonts w:eastAsia="MS Mincho"/>
          <w:b/>
          <w:bCs/>
          <w:i/>
          <w:sz w:val="20"/>
          <w:szCs w:val="20"/>
          <w:lang w:val="en-US"/>
        </w:rPr>
      </w:pPr>
      <w:bookmarkStart w:id="78" w:name="_Toc405857807"/>
      <w:bookmarkStart w:id="79" w:name="_Toc423107375"/>
      <w:bookmarkStart w:id="80" w:name="_Toc438113881"/>
      <w:bookmarkStart w:id="81" w:name="_Toc459158107"/>
      <w:bookmarkStart w:id="82" w:name="_Toc27486835"/>
      <w:r w:rsidRPr="00012C3F">
        <w:rPr>
          <w:rFonts w:eastAsia="MS Mincho"/>
          <w:b/>
          <w:bCs/>
          <w:i/>
          <w:sz w:val="20"/>
          <w:szCs w:val="20"/>
          <w:lang w:val="en-US"/>
        </w:rPr>
        <w:t xml:space="preserve">C. </w:t>
      </w:r>
      <w:r w:rsidRPr="00012C3F">
        <w:rPr>
          <w:rFonts w:eastAsia="MS Mincho"/>
          <w:b/>
          <w:bCs/>
          <w:i/>
          <w:sz w:val="20"/>
          <w:szCs w:val="20"/>
          <w:lang w:val="en-US"/>
        </w:rPr>
        <w:tab/>
      </w:r>
      <w:r w:rsidR="006C705C" w:rsidRPr="00012C3F">
        <w:rPr>
          <w:rFonts w:eastAsia="MS Mincho"/>
          <w:b/>
          <w:bCs/>
          <w:i/>
          <w:sz w:val="20"/>
          <w:szCs w:val="20"/>
          <w:lang w:val="en-US"/>
        </w:rPr>
        <w:t>Assessment of the evidence</w:t>
      </w:r>
      <w:bookmarkEnd w:id="78"/>
      <w:bookmarkEnd w:id="79"/>
      <w:bookmarkEnd w:id="80"/>
      <w:bookmarkEnd w:id="81"/>
      <w:bookmarkEnd w:id="82"/>
    </w:p>
    <w:p w14:paraId="5DCA5B7A" w14:textId="77777777" w:rsidR="007A1A14" w:rsidRPr="00012C3F" w:rsidRDefault="007A1A14" w:rsidP="00EE5DB6">
      <w:pPr>
        <w:tabs>
          <w:tab w:val="left" w:pos="720"/>
        </w:tabs>
        <w:spacing w:line="240" w:lineRule="auto"/>
        <w:rPr>
          <w:sz w:val="20"/>
          <w:szCs w:val="20"/>
          <w:lang w:val="en-US" w:eastAsia="es-MX"/>
        </w:rPr>
      </w:pPr>
      <w:bookmarkStart w:id="83" w:name="_Ref402038868"/>
    </w:p>
    <w:p w14:paraId="37244145" w14:textId="77777777" w:rsidR="007A1A14" w:rsidRPr="00012C3F" w:rsidRDefault="00EE5DB6" w:rsidP="00EE5DB6">
      <w:pPr>
        <w:numPr>
          <w:ilvl w:val="0"/>
          <w:numId w:val="5"/>
        </w:numPr>
        <w:tabs>
          <w:tab w:val="left" w:pos="720"/>
          <w:tab w:val="num" w:pos="12305"/>
        </w:tabs>
        <w:spacing w:line="240" w:lineRule="auto"/>
        <w:ind w:left="0" w:firstLine="0"/>
        <w:rPr>
          <w:rFonts w:cs="Verdana"/>
          <w:sz w:val="20"/>
          <w:szCs w:val="20"/>
          <w:lang w:val="en-US" w:eastAsia="es-MX"/>
        </w:rPr>
      </w:pPr>
      <w:bookmarkStart w:id="84" w:name="_Hlk27303664"/>
      <w:r w:rsidRPr="00012C3F">
        <w:rPr>
          <w:rFonts w:cs="Verdana"/>
          <w:sz w:val="20"/>
          <w:szCs w:val="20"/>
          <w:lang w:val="en-US" w:eastAsia="es-MX"/>
        </w:rPr>
        <w:t>Based on its consistent case law regarding evidence and its assessment, the Court will examine and assess the documentary evidence forwarded by the parties and the Commission that have been incorporated by this Court, together with the statements and expert opinions, in order to establish the facts of the case and rule on the merits. To this e</w:t>
      </w:r>
      <w:r w:rsidR="00CD2D3D" w:rsidRPr="00012C3F">
        <w:rPr>
          <w:rFonts w:cs="Verdana"/>
          <w:sz w:val="20"/>
          <w:szCs w:val="20"/>
          <w:lang w:val="en-US" w:eastAsia="es-MX"/>
        </w:rPr>
        <w:t>n</w:t>
      </w:r>
      <w:r w:rsidRPr="00012C3F">
        <w:rPr>
          <w:rFonts w:cs="Verdana"/>
          <w:sz w:val="20"/>
          <w:szCs w:val="20"/>
          <w:lang w:val="en-US" w:eastAsia="es-MX"/>
        </w:rPr>
        <w:t>d, it will abide by the principles of sound judicial criteria, within the corresponding legal framework, taking into account the whole body of evidence and the arguments submitted during the proceedings</w:t>
      </w:r>
      <w:bookmarkEnd w:id="84"/>
      <w:r w:rsidRPr="00012C3F">
        <w:rPr>
          <w:rFonts w:cs="Verdana"/>
          <w:sz w:val="20"/>
          <w:szCs w:val="20"/>
          <w:lang w:val="en-US" w:eastAsia="es-MX"/>
        </w:rPr>
        <w:t>.</w:t>
      </w:r>
      <w:r w:rsidR="007A1A14" w:rsidRPr="00012C3F">
        <w:rPr>
          <w:rFonts w:cs="Verdana"/>
          <w:sz w:val="20"/>
          <w:szCs w:val="20"/>
          <w:vertAlign w:val="superscript"/>
          <w:lang w:val="en-US" w:eastAsia="es-MX"/>
        </w:rPr>
        <w:footnoteReference w:id="34"/>
      </w:r>
      <w:bookmarkEnd w:id="83"/>
    </w:p>
    <w:p w14:paraId="04E8C7C4" w14:textId="77777777" w:rsidR="007A1A14" w:rsidRPr="00012C3F" w:rsidRDefault="007A1A14" w:rsidP="00EE5DB6">
      <w:pPr>
        <w:tabs>
          <w:tab w:val="left" w:pos="720"/>
        </w:tabs>
        <w:spacing w:line="240" w:lineRule="auto"/>
        <w:rPr>
          <w:sz w:val="20"/>
          <w:szCs w:val="20"/>
          <w:lang w:val="en-US" w:eastAsia="es-MX"/>
        </w:rPr>
      </w:pPr>
    </w:p>
    <w:p w14:paraId="7144598E" w14:textId="77777777" w:rsidR="007A1A14" w:rsidRPr="00012C3F" w:rsidRDefault="00EE5DB6" w:rsidP="00EE5DB6">
      <w:pPr>
        <w:numPr>
          <w:ilvl w:val="0"/>
          <w:numId w:val="5"/>
        </w:numPr>
        <w:tabs>
          <w:tab w:val="left" w:pos="720"/>
          <w:tab w:val="num" w:pos="12305"/>
        </w:tabs>
        <w:spacing w:line="240" w:lineRule="auto"/>
        <w:ind w:left="0" w:firstLine="0"/>
        <w:rPr>
          <w:rFonts w:cs="Verdana"/>
          <w:sz w:val="20"/>
          <w:szCs w:val="20"/>
          <w:lang w:val="en-US" w:eastAsia="es-MX"/>
        </w:rPr>
      </w:pPr>
      <w:bookmarkStart w:id="85" w:name="_Hlk27303803"/>
      <w:bookmarkStart w:id="86" w:name="_Ref402038884"/>
      <w:r w:rsidRPr="00012C3F">
        <w:rPr>
          <w:rFonts w:cs="Verdana"/>
          <w:sz w:val="20"/>
          <w:szCs w:val="20"/>
          <w:lang w:val="en-US" w:eastAsia="es-MX"/>
        </w:rPr>
        <w:t>Lastly, pursuant to its case law, the Court recalls that the statements made by presumed victims cannot be assessed in isolation, but only within the whole body of evidence, insofar as they may provide further information on the presumed violations and the consequences</w:t>
      </w:r>
      <w:bookmarkEnd w:id="85"/>
      <w:r w:rsidRPr="00012C3F">
        <w:rPr>
          <w:rFonts w:cs="Verdana"/>
          <w:sz w:val="20"/>
          <w:szCs w:val="20"/>
          <w:lang w:val="en-US" w:eastAsia="es-MX"/>
        </w:rPr>
        <w:t>.</w:t>
      </w:r>
      <w:r w:rsidR="007A1A14" w:rsidRPr="00012C3F">
        <w:rPr>
          <w:rFonts w:cs="Verdana"/>
          <w:sz w:val="20"/>
          <w:szCs w:val="20"/>
          <w:vertAlign w:val="superscript"/>
          <w:lang w:val="en-US" w:eastAsia="es-MX"/>
        </w:rPr>
        <w:footnoteReference w:id="35"/>
      </w:r>
      <w:bookmarkEnd w:id="86"/>
    </w:p>
    <w:p w14:paraId="662C94FE" w14:textId="77777777" w:rsidR="007A1A14" w:rsidRPr="00012C3F" w:rsidRDefault="007A1A14" w:rsidP="007A1A14">
      <w:pPr>
        <w:tabs>
          <w:tab w:val="left" w:pos="720"/>
          <w:tab w:val="num" w:pos="1569"/>
        </w:tabs>
        <w:spacing w:line="240" w:lineRule="auto"/>
        <w:ind w:right="-90"/>
        <w:rPr>
          <w:b/>
          <w:sz w:val="20"/>
          <w:szCs w:val="20"/>
          <w:lang w:val="en-US"/>
        </w:rPr>
      </w:pPr>
    </w:p>
    <w:p w14:paraId="575CD094" w14:textId="77777777" w:rsidR="007A1A14" w:rsidRPr="00012C3F" w:rsidRDefault="007A1A14" w:rsidP="007A1A14">
      <w:pPr>
        <w:keepNext/>
        <w:keepLines/>
        <w:tabs>
          <w:tab w:val="left" w:pos="851"/>
        </w:tabs>
        <w:spacing w:line="240" w:lineRule="auto"/>
        <w:jc w:val="center"/>
        <w:outlineLvl w:val="0"/>
        <w:rPr>
          <w:rFonts w:cs="Verdana"/>
          <w:b/>
          <w:bCs/>
          <w:caps/>
          <w:snapToGrid w:val="0"/>
          <w:sz w:val="20"/>
          <w:szCs w:val="20"/>
          <w:lang w:val="en-US"/>
        </w:rPr>
      </w:pPr>
      <w:bookmarkStart w:id="87" w:name="_Toc370421888"/>
      <w:bookmarkStart w:id="88" w:name="_Toc375517119"/>
      <w:bookmarkStart w:id="89" w:name="_Toc459158108"/>
      <w:bookmarkStart w:id="90" w:name="_Toc27486836"/>
      <w:r w:rsidRPr="00012C3F">
        <w:rPr>
          <w:rFonts w:cs="Verdana"/>
          <w:b/>
          <w:bCs/>
          <w:caps/>
          <w:snapToGrid w:val="0"/>
          <w:sz w:val="20"/>
          <w:szCs w:val="20"/>
          <w:lang w:val="en-US"/>
        </w:rPr>
        <w:t>V</w:t>
      </w:r>
      <w:r w:rsidR="00A93967" w:rsidRPr="00012C3F">
        <w:rPr>
          <w:rFonts w:cs="Verdana"/>
          <w:b/>
          <w:bCs/>
          <w:caps/>
          <w:snapToGrid w:val="0"/>
          <w:sz w:val="20"/>
          <w:szCs w:val="20"/>
          <w:lang w:val="en-US"/>
        </w:rPr>
        <w:t>I</w:t>
      </w:r>
      <w:r w:rsidRPr="00012C3F">
        <w:rPr>
          <w:rFonts w:cs="Verdana"/>
          <w:b/>
          <w:bCs/>
          <w:caps/>
          <w:snapToGrid w:val="0"/>
          <w:sz w:val="20"/>
          <w:szCs w:val="20"/>
          <w:lang w:val="en-US"/>
        </w:rPr>
        <w:t>I</w:t>
      </w:r>
      <w:bookmarkEnd w:id="87"/>
      <w:r w:rsidRPr="00012C3F">
        <w:rPr>
          <w:rFonts w:cs="Verdana"/>
          <w:b/>
          <w:bCs/>
          <w:caps/>
          <w:snapToGrid w:val="0"/>
          <w:sz w:val="20"/>
          <w:szCs w:val="20"/>
          <w:lang w:val="en-US"/>
        </w:rPr>
        <w:br/>
      </w:r>
      <w:r w:rsidR="006C705C" w:rsidRPr="00012C3F">
        <w:rPr>
          <w:rFonts w:cs="Verdana"/>
          <w:b/>
          <w:bCs/>
          <w:caps/>
          <w:snapToGrid w:val="0"/>
          <w:sz w:val="20"/>
          <w:szCs w:val="20"/>
          <w:lang w:val="en-US"/>
        </w:rPr>
        <w:t>FACTS</w:t>
      </w:r>
      <w:bookmarkEnd w:id="88"/>
      <w:bookmarkEnd w:id="89"/>
      <w:bookmarkEnd w:id="90"/>
    </w:p>
    <w:p w14:paraId="1EBAA4B8" w14:textId="77777777" w:rsidR="007A1A14" w:rsidRPr="00012C3F" w:rsidRDefault="007A1A14" w:rsidP="007A1A14">
      <w:pPr>
        <w:tabs>
          <w:tab w:val="left" w:pos="720"/>
          <w:tab w:val="num" w:pos="1569"/>
        </w:tabs>
        <w:spacing w:line="240" w:lineRule="auto"/>
        <w:ind w:right="-90"/>
        <w:rPr>
          <w:rFonts w:cs="Verdana"/>
          <w:sz w:val="20"/>
          <w:szCs w:val="20"/>
          <w:lang w:val="en-US" w:eastAsia="es-MX"/>
        </w:rPr>
      </w:pPr>
    </w:p>
    <w:p w14:paraId="794DF058" w14:textId="77777777" w:rsidR="007A1A14" w:rsidRPr="00012C3F" w:rsidRDefault="007A1A14" w:rsidP="00040BA7">
      <w:pPr>
        <w:keepNext/>
        <w:keepLines/>
        <w:tabs>
          <w:tab w:val="left" w:pos="1134"/>
        </w:tabs>
        <w:spacing w:line="240" w:lineRule="auto"/>
        <w:ind w:left="567" w:firstLine="1"/>
        <w:outlineLvl w:val="1"/>
        <w:rPr>
          <w:rFonts w:eastAsia="MS Mincho"/>
          <w:b/>
          <w:bCs/>
          <w:i/>
          <w:sz w:val="20"/>
          <w:szCs w:val="20"/>
          <w:lang w:val="en-US"/>
        </w:rPr>
      </w:pPr>
      <w:bookmarkStart w:id="91" w:name="_Toc27486837"/>
      <w:r w:rsidRPr="00012C3F">
        <w:rPr>
          <w:rFonts w:eastAsia="MS Mincho"/>
          <w:b/>
          <w:bCs/>
          <w:i/>
          <w:sz w:val="20"/>
          <w:szCs w:val="20"/>
          <w:lang w:val="en-US"/>
        </w:rPr>
        <w:t xml:space="preserve">A. </w:t>
      </w:r>
      <w:r w:rsidRPr="00012C3F">
        <w:rPr>
          <w:rFonts w:eastAsia="MS Mincho"/>
          <w:b/>
          <w:bCs/>
          <w:i/>
          <w:sz w:val="20"/>
          <w:szCs w:val="20"/>
          <w:lang w:val="en-US"/>
        </w:rPr>
        <w:tab/>
      </w:r>
      <w:r w:rsidR="00EE5DB6" w:rsidRPr="00012C3F">
        <w:rPr>
          <w:rFonts w:eastAsia="MS Mincho"/>
          <w:b/>
          <w:bCs/>
          <w:i/>
          <w:sz w:val="20"/>
          <w:szCs w:val="20"/>
          <w:lang w:val="en-US"/>
        </w:rPr>
        <w:t>Background</w:t>
      </w:r>
      <w:r w:rsidR="006C705C" w:rsidRPr="00012C3F">
        <w:rPr>
          <w:rFonts w:eastAsia="MS Mincho"/>
          <w:b/>
          <w:bCs/>
          <w:i/>
          <w:sz w:val="20"/>
          <w:szCs w:val="20"/>
          <w:lang w:val="en-US"/>
        </w:rPr>
        <w:t xml:space="preserve"> information</w:t>
      </w:r>
      <w:bookmarkEnd w:id="91"/>
    </w:p>
    <w:p w14:paraId="3E0A6771" w14:textId="77777777" w:rsidR="007A1A14" w:rsidRPr="00012C3F" w:rsidRDefault="007A1A14" w:rsidP="007A1A14">
      <w:pPr>
        <w:spacing w:line="240" w:lineRule="auto"/>
        <w:rPr>
          <w:b/>
          <w:sz w:val="20"/>
          <w:szCs w:val="20"/>
          <w:lang w:val="en-US"/>
        </w:rPr>
      </w:pPr>
    </w:p>
    <w:p w14:paraId="302F1D1D" w14:textId="77777777" w:rsidR="007A1A14" w:rsidRPr="00012C3F" w:rsidRDefault="008501AE" w:rsidP="00EE5DB6">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Before describing the proven facts that are the purpose of this case, the Court finds it pertinent to refer to the</w:t>
      </w:r>
      <w:r w:rsidR="00CD2D3D" w:rsidRPr="00012C3F">
        <w:rPr>
          <w:sz w:val="20"/>
          <w:szCs w:val="20"/>
          <w:lang w:val="en-US"/>
        </w:rPr>
        <w:t xml:space="preserve"> presumed victim’s</w:t>
      </w:r>
      <w:r w:rsidRPr="00012C3F">
        <w:rPr>
          <w:sz w:val="20"/>
          <w:szCs w:val="20"/>
          <w:lang w:val="en-US"/>
        </w:rPr>
        <w:t xml:space="preserve"> personal circumstances</w:t>
      </w:r>
      <w:r w:rsidR="005C564E" w:rsidRPr="00012C3F">
        <w:rPr>
          <w:sz w:val="20"/>
          <w:szCs w:val="20"/>
          <w:lang w:val="en-US"/>
        </w:rPr>
        <w:t xml:space="preserve">. </w:t>
      </w:r>
      <w:r w:rsidR="000E1C11" w:rsidRPr="00012C3F">
        <w:rPr>
          <w:sz w:val="20"/>
          <w:szCs w:val="20"/>
          <w:lang w:val="en-US"/>
        </w:rPr>
        <w:t>I.V.</w:t>
      </w:r>
      <w:r w:rsidRPr="00012C3F">
        <w:rPr>
          <w:sz w:val="20"/>
          <w:szCs w:val="20"/>
          <w:lang w:val="en-US"/>
        </w:rPr>
        <w:t xml:space="preserve"> was born in t</w:t>
      </w:r>
      <w:r w:rsidR="00D22661" w:rsidRPr="00012C3F">
        <w:rPr>
          <w:sz w:val="20"/>
          <w:szCs w:val="20"/>
          <w:lang w:val="en-US"/>
        </w:rPr>
        <w:t>h</w:t>
      </w:r>
      <w:r w:rsidRPr="00012C3F">
        <w:rPr>
          <w:sz w:val="20"/>
          <w:szCs w:val="20"/>
          <w:lang w:val="en-US"/>
        </w:rPr>
        <w:t xml:space="preserve">e Republic of Peru on May 20, </w:t>
      </w:r>
      <w:r w:rsidR="007A1A14" w:rsidRPr="00012C3F">
        <w:rPr>
          <w:sz w:val="20"/>
          <w:szCs w:val="20"/>
          <w:lang w:val="en-US"/>
        </w:rPr>
        <w:t>1964</w:t>
      </w:r>
      <w:r w:rsidRPr="00012C3F">
        <w:rPr>
          <w:sz w:val="20"/>
          <w:szCs w:val="20"/>
          <w:lang w:val="en-US"/>
        </w:rPr>
        <w:t>.</w:t>
      </w:r>
      <w:r w:rsidR="007A1A14" w:rsidRPr="00012C3F">
        <w:rPr>
          <w:rStyle w:val="Refdenotaalpie"/>
          <w:sz w:val="20"/>
          <w:szCs w:val="20"/>
          <w:lang w:val="en-US"/>
        </w:rPr>
        <w:footnoteReference w:id="36"/>
      </w:r>
      <w:r w:rsidR="007A1A14" w:rsidRPr="00012C3F">
        <w:rPr>
          <w:sz w:val="20"/>
          <w:szCs w:val="20"/>
          <w:lang w:val="en-US"/>
        </w:rPr>
        <w:t xml:space="preserve"> </w:t>
      </w:r>
      <w:r w:rsidRPr="00012C3F">
        <w:rPr>
          <w:sz w:val="20"/>
          <w:szCs w:val="20"/>
          <w:lang w:val="en-US"/>
        </w:rPr>
        <w:t xml:space="preserve">She advised that she had twice been detained in the Peruvian National Counter-Terrorism Directorate </w:t>
      </w:r>
      <w:r w:rsidR="007A1A14" w:rsidRPr="00012C3F">
        <w:rPr>
          <w:sz w:val="20"/>
          <w:szCs w:val="20"/>
          <w:lang w:val="en-US"/>
        </w:rPr>
        <w:t>(DINCOTE</w:t>
      </w:r>
      <w:r w:rsidR="0011342A" w:rsidRPr="00012C3F">
        <w:rPr>
          <w:sz w:val="20"/>
          <w:szCs w:val="20"/>
          <w:lang w:val="en-US"/>
        </w:rPr>
        <w:t>),</w:t>
      </w:r>
      <w:r w:rsidRPr="00012C3F">
        <w:rPr>
          <w:sz w:val="20"/>
          <w:szCs w:val="20"/>
          <w:lang w:val="en-US"/>
        </w:rPr>
        <w:t xml:space="preserve"> where she had experienced physical, sexual and psychological abuse.</w:t>
      </w:r>
      <w:r w:rsidR="007A1A14" w:rsidRPr="00012C3F">
        <w:rPr>
          <w:rStyle w:val="Refdenotaalpie"/>
          <w:sz w:val="20"/>
          <w:szCs w:val="20"/>
          <w:lang w:val="en-US"/>
        </w:rPr>
        <w:footnoteReference w:id="37"/>
      </w:r>
      <w:r w:rsidR="007A1A14" w:rsidRPr="00012C3F">
        <w:rPr>
          <w:sz w:val="20"/>
          <w:szCs w:val="20"/>
          <w:lang w:val="en-US"/>
        </w:rPr>
        <w:t xml:space="preserve"> </w:t>
      </w:r>
      <w:r w:rsidRPr="00012C3F">
        <w:rPr>
          <w:sz w:val="20"/>
          <w:szCs w:val="20"/>
          <w:lang w:val="en-US"/>
        </w:rPr>
        <w:t>In</w:t>
      </w:r>
      <w:r w:rsidR="0011342A" w:rsidRPr="00012C3F">
        <w:rPr>
          <w:sz w:val="20"/>
          <w:szCs w:val="20"/>
          <w:lang w:val="en-US"/>
        </w:rPr>
        <w:t xml:space="preserve"> 1982, </w:t>
      </w:r>
      <w:r w:rsidRPr="00012C3F">
        <w:rPr>
          <w:sz w:val="20"/>
          <w:szCs w:val="20"/>
          <w:lang w:val="en-US"/>
        </w:rPr>
        <w:t xml:space="preserve">she had her first daughter. In 1989, she went to live with </w:t>
      </w:r>
      <w:r w:rsidR="0011342A" w:rsidRPr="00012C3F">
        <w:rPr>
          <w:sz w:val="20"/>
          <w:szCs w:val="20"/>
          <w:lang w:val="en-US"/>
        </w:rPr>
        <w:t>J.E.</w:t>
      </w:r>
      <w:r w:rsidR="007A1A14" w:rsidRPr="00012C3F">
        <w:rPr>
          <w:rStyle w:val="Refdenotaalpie"/>
          <w:sz w:val="20"/>
          <w:szCs w:val="20"/>
          <w:lang w:val="en-US"/>
        </w:rPr>
        <w:footnoteReference w:id="38"/>
      </w:r>
      <w:r w:rsidR="0060530D" w:rsidRPr="00012C3F">
        <w:rPr>
          <w:sz w:val="20"/>
          <w:szCs w:val="20"/>
          <w:lang w:val="en-US"/>
        </w:rPr>
        <w:t xml:space="preserve"> </w:t>
      </w:r>
      <w:r w:rsidRPr="00012C3F">
        <w:rPr>
          <w:sz w:val="20"/>
          <w:szCs w:val="20"/>
          <w:lang w:val="en-US"/>
        </w:rPr>
        <w:t>I</w:t>
      </w:r>
      <w:r w:rsidR="007A1A14" w:rsidRPr="00012C3F">
        <w:rPr>
          <w:sz w:val="20"/>
          <w:szCs w:val="20"/>
          <w:lang w:val="en-US"/>
        </w:rPr>
        <w:t>n 1991</w:t>
      </w:r>
      <w:r w:rsidRPr="00012C3F">
        <w:rPr>
          <w:sz w:val="20"/>
          <w:szCs w:val="20"/>
          <w:lang w:val="en-US"/>
        </w:rPr>
        <w:t xml:space="preserve">, </w:t>
      </w:r>
      <w:r w:rsidR="000E1C11" w:rsidRPr="00012C3F">
        <w:rPr>
          <w:sz w:val="20"/>
          <w:szCs w:val="20"/>
          <w:lang w:val="en-US"/>
        </w:rPr>
        <w:t>N.V.</w:t>
      </w:r>
      <w:r w:rsidR="007A1A14" w:rsidRPr="00012C3F">
        <w:rPr>
          <w:sz w:val="20"/>
          <w:szCs w:val="20"/>
          <w:lang w:val="en-US"/>
        </w:rPr>
        <w:t xml:space="preserve">, </w:t>
      </w:r>
      <w:r w:rsidRPr="00012C3F">
        <w:rPr>
          <w:sz w:val="20"/>
          <w:szCs w:val="20"/>
          <w:lang w:val="en-US"/>
        </w:rPr>
        <w:t xml:space="preserve">their first daughter together was born in </w:t>
      </w:r>
      <w:r w:rsidR="00833C77" w:rsidRPr="00012C3F">
        <w:rPr>
          <w:sz w:val="20"/>
          <w:szCs w:val="20"/>
          <w:lang w:val="en-US"/>
        </w:rPr>
        <w:t>Peru</w:t>
      </w:r>
      <w:r w:rsidRPr="00012C3F">
        <w:rPr>
          <w:sz w:val="20"/>
          <w:szCs w:val="20"/>
          <w:lang w:val="en-US"/>
        </w:rPr>
        <w:t>.</w:t>
      </w:r>
      <w:r w:rsidR="007A1A14" w:rsidRPr="00012C3F">
        <w:rPr>
          <w:rStyle w:val="Refdenotaalpie"/>
          <w:sz w:val="20"/>
          <w:szCs w:val="20"/>
          <w:lang w:val="en-US"/>
        </w:rPr>
        <w:footnoteReference w:id="39"/>
      </w:r>
      <w:r w:rsidR="0011342A" w:rsidRPr="00012C3F">
        <w:rPr>
          <w:sz w:val="20"/>
          <w:szCs w:val="20"/>
          <w:lang w:val="en-US"/>
        </w:rPr>
        <w:t xml:space="preserve"> </w:t>
      </w:r>
      <w:r w:rsidRPr="00012C3F">
        <w:rPr>
          <w:sz w:val="20"/>
          <w:szCs w:val="20"/>
          <w:lang w:val="en-US"/>
        </w:rPr>
        <w:t>I</w:t>
      </w:r>
      <w:r w:rsidR="007A1A14" w:rsidRPr="00012C3F">
        <w:rPr>
          <w:sz w:val="20"/>
          <w:szCs w:val="20"/>
          <w:lang w:val="en-US"/>
        </w:rPr>
        <w:t>n 1993, J</w:t>
      </w:r>
      <w:r w:rsidR="0011342A" w:rsidRPr="00012C3F">
        <w:rPr>
          <w:sz w:val="20"/>
          <w:szCs w:val="20"/>
          <w:lang w:val="en-US"/>
        </w:rPr>
        <w:t>.</w:t>
      </w:r>
      <w:r w:rsidR="007A1A14" w:rsidRPr="00012C3F">
        <w:rPr>
          <w:sz w:val="20"/>
          <w:szCs w:val="20"/>
          <w:lang w:val="en-US"/>
        </w:rPr>
        <w:t>E</w:t>
      </w:r>
      <w:r w:rsidR="0011342A" w:rsidRPr="00012C3F">
        <w:rPr>
          <w:sz w:val="20"/>
          <w:szCs w:val="20"/>
          <w:lang w:val="en-US"/>
        </w:rPr>
        <w:t>.</w:t>
      </w:r>
      <w:r w:rsidR="007A1A14" w:rsidRPr="00012C3F">
        <w:rPr>
          <w:sz w:val="20"/>
          <w:szCs w:val="20"/>
          <w:lang w:val="en-US"/>
        </w:rPr>
        <w:t xml:space="preserve"> </w:t>
      </w:r>
      <w:r w:rsidRPr="00012C3F">
        <w:rPr>
          <w:sz w:val="20"/>
          <w:szCs w:val="20"/>
          <w:lang w:val="en-US"/>
        </w:rPr>
        <w:t>moved to</w:t>
      </w:r>
      <w:r w:rsidR="007A1A14" w:rsidRPr="00012C3F">
        <w:rPr>
          <w:sz w:val="20"/>
          <w:szCs w:val="20"/>
          <w:lang w:val="en-US"/>
        </w:rPr>
        <w:t xml:space="preserve"> La Paz, Bolivia, </w:t>
      </w:r>
      <w:r w:rsidR="00CD2D3D" w:rsidRPr="00012C3F">
        <w:rPr>
          <w:sz w:val="20"/>
          <w:szCs w:val="20"/>
          <w:lang w:val="en-US"/>
        </w:rPr>
        <w:t>requesting</w:t>
      </w:r>
      <w:r w:rsidRPr="00012C3F">
        <w:rPr>
          <w:sz w:val="20"/>
          <w:szCs w:val="20"/>
          <w:lang w:val="en-US"/>
        </w:rPr>
        <w:t xml:space="preserve"> refugee status. In February 1994, </w:t>
      </w:r>
      <w:r w:rsidR="000E1C11" w:rsidRPr="00012C3F">
        <w:rPr>
          <w:sz w:val="20"/>
          <w:szCs w:val="20"/>
          <w:lang w:val="en-US"/>
        </w:rPr>
        <w:t>I.V.</w:t>
      </w:r>
      <w:r w:rsidR="005E5012" w:rsidRPr="00012C3F">
        <w:rPr>
          <w:sz w:val="20"/>
          <w:szCs w:val="20"/>
          <w:lang w:val="en-US"/>
        </w:rPr>
        <w:t xml:space="preserve"> and </w:t>
      </w:r>
      <w:r w:rsidR="000E1C11" w:rsidRPr="00012C3F">
        <w:rPr>
          <w:sz w:val="20"/>
          <w:szCs w:val="20"/>
          <w:lang w:val="en-US"/>
        </w:rPr>
        <w:t>N.V.</w:t>
      </w:r>
      <w:r w:rsidR="007A1A14" w:rsidRPr="00012C3F">
        <w:rPr>
          <w:sz w:val="20"/>
          <w:szCs w:val="20"/>
          <w:lang w:val="en-US"/>
        </w:rPr>
        <w:t xml:space="preserve"> </w:t>
      </w:r>
      <w:r w:rsidRPr="00012C3F">
        <w:rPr>
          <w:sz w:val="20"/>
          <w:szCs w:val="20"/>
          <w:lang w:val="en-US"/>
        </w:rPr>
        <w:t xml:space="preserve">were reunited with him in La </w:t>
      </w:r>
      <w:r w:rsidR="007A1A14" w:rsidRPr="00012C3F">
        <w:rPr>
          <w:sz w:val="20"/>
          <w:szCs w:val="20"/>
          <w:lang w:val="en-US"/>
        </w:rPr>
        <w:t xml:space="preserve">Paz. </w:t>
      </w:r>
      <w:r w:rsidRPr="00012C3F">
        <w:rPr>
          <w:sz w:val="20"/>
          <w:szCs w:val="20"/>
          <w:lang w:val="en-US"/>
        </w:rPr>
        <w:t>In April</w:t>
      </w:r>
      <w:r w:rsidR="00C3414B" w:rsidRPr="00012C3F">
        <w:rPr>
          <w:sz w:val="20"/>
          <w:szCs w:val="20"/>
          <w:lang w:val="en-US"/>
        </w:rPr>
        <w:t xml:space="preserve"> </w:t>
      </w:r>
      <w:r w:rsidR="007A1A14" w:rsidRPr="00012C3F">
        <w:rPr>
          <w:sz w:val="20"/>
          <w:szCs w:val="20"/>
          <w:lang w:val="en-US"/>
        </w:rPr>
        <w:t>1994</w:t>
      </w:r>
      <w:r w:rsidRPr="00012C3F">
        <w:rPr>
          <w:sz w:val="20"/>
          <w:szCs w:val="20"/>
          <w:lang w:val="en-US"/>
        </w:rPr>
        <w:t xml:space="preserve">, the family obtained refugee status in </w:t>
      </w:r>
      <w:r w:rsidR="007A1A14" w:rsidRPr="00012C3F">
        <w:rPr>
          <w:sz w:val="20"/>
          <w:szCs w:val="20"/>
          <w:lang w:val="en-US"/>
        </w:rPr>
        <w:t>Bolivia</w:t>
      </w:r>
      <w:r w:rsidRPr="00012C3F">
        <w:rPr>
          <w:sz w:val="20"/>
          <w:szCs w:val="20"/>
          <w:lang w:val="en-US"/>
        </w:rPr>
        <w:t>.</w:t>
      </w:r>
      <w:r w:rsidR="007A1A14" w:rsidRPr="00012C3F">
        <w:rPr>
          <w:sz w:val="20"/>
          <w:szCs w:val="20"/>
          <w:vertAlign w:val="superscript"/>
          <w:lang w:val="en-US"/>
        </w:rPr>
        <w:footnoteReference w:id="40"/>
      </w:r>
      <w:r w:rsidR="005B306E" w:rsidRPr="00012C3F">
        <w:rPr>
          <w:sz w:val="20"/>
          <w:szCs w:val="20"/>
          <w:lang w:val="en-US"/>
        </w:rPr>
        <w:t xml:space="preserve"> </w:t>
      </w:r>
      <w:r w:rsidRPr="00012C3F">
        <w:rPr>
          <w:sz w:val="20"/>
          <w:szCs w:val="20"/>
          <w:lang w:val="en-US"/>
        </w:rPr>
        <w:t>I</w:t>
      </w:r>
      <w:r w:rsidR="007A1A14" w:rsidRPr="00012C3F">
        <w:rPr>
          <w:sz w:val="20"/>
          <w:szCs w:val="20"/>
          <w:lang w:val="en-US"/>
        </w:rPr>
        <w:t xml:space="preserve">n Bolivia, </w:t>
      </w:r>
      <w:r w:rsidR="000E1C11" w:rsidRPr="00012C3F">
        <w:rPr>
          <w:sz w:val="20"/>
          <w:szCs w:val="20"/>
          <w:lang w:val="en-US"/>
        </w:rPr>
        <w:t>I.V.</w:t>
      </w:r>
      <w:r w:rsidR="007A1A14" w:rsidRPr="00012C3F">
        <w:rPr>
          <w:sz w:val="20"/>
          <w:szCs w:val="20"/>
          <w:lang w:val="en-US"/>
        </w:rPr>
        <w:t xml:space="preserve"> obt</w:t>
      </w:r>
      <w:r w:rsidRPr="00012C3F">
        <w:rPr>
          <w:sz w:val="20"/>
          <w:szCs w:val="20"/>
          <w:lang w:val="en-US"/>
        </w:rPr>
        <w:t xml:space="preserve">ained a technical </w:t>
      </w:r>
      <w:r w:rsidRPr="00012C3F">
        <w:rPr>
          <w:sz w:val="20"/>
          <w:szCs w:val="20"/>
          <w:lang w:val="en-US"/>
        </w:rPr>
        <w:lastRenderedPageBreak/>
        <w:t>diploma in hotel administration</w:t>
      </w:r>
      <w:r w:rsidR="007A1A14" w:rsidRPr="00012C3F">
        <w:rPr>
          <w:rStyle w:val="Refdenotaalpie"/>
          <w:sz w:val="20"/>
          <w:szCs w:val="20"/>
          <w:lang w:val="en-US"/>
        </w:rPr>
        <w:footnoteReference w:id="41"/>
      </w:r>
      <w:r w:rsidR="005E5012" w:rsidRPr="00012C3F">
        <w:rPr>
          <w:sz w:val="20"/>
          <w:szCs w:val="20"/>
          <w:lang w:val="en-US"/>
        </w:rPr>
        <w:t xml:space="preserve"> and</w:t>
      </w:r>
      <w:r w:rsidRPr="00012C3F">
        <w:rPr>
          <w:sz w:val="20"/>
          <w:szCs w:val="20"/>
          <w:lang w:val="en-US"/>
        </w:rPr>
        <w:t>,</w:t>
      </w:r>
      <w:r w:rsidR="005E5012" w:rsidRPr="00012C3F">
        <w:rPr>
          <w:sz w:val="20"/>
          <w:szCs w:val="20"/>
          <w:lang w:val="en-US"/>
        </w:rPr>
        <w:t xml:space="preserve"> </w:t>
      </w:r>
      <w:r w:rsidRPr="00012C3F">
        <w:rPr>
          <w:sz w:val="20"/>
          <w:szCs w:val="20"/>
          <w:lang w:val="en-US"/>
        </w:rPr>
        <w:t>in</w:t>
      </w:r>
      <w:r w:rsidR="007A1A14" w:rsidRPr="00012C3F">
        <w:rPr>
          <w:sz w:val="20"/>
          <w:szCs w:val="20"/>
          <w:lang w:val="en-US"/>
        </w:rPr>
        <w:t xml:space="preserve"> 2014</w:t>
      </w:r>
      <w:r w:rsidRPr="00012C3F">
        <w:rPr>
          <w:sz w:val="20"/>
          <w:szCs w:val="20"/>
          <w:lang w:val="en-US"/>
        </w:rPr>
        <w:t>, she obtained a law degree.</w:t>
      </w:r>
      <w:r w:rsidR="007A1A14" w:rsidRPr="00012C3F">
        <w:rPr>
          <w:rStyle w:val="Refdenotaalpie"/>
          <w:sz w:val="20"/>
          <w:szCs w:val="20"/>
          <w:lang w:val="en-US"/>
        </w:rPr>
        <w:footnoteReference w:id="42"/>
      </w:r>
    </w:p>
    <w:p w14:paraId="1A7CAAD1" w14:textId="77777777" w:rsidR="007A1A14" w:rsidRPr="00012C3F" w:rsidRDefault="007A1A14" w:rsidP="007A1A14">
      <w:pPr>
        <w:spacing w:line="240" w:lineRule="auto"/>
        <w:rPr>
          <w:sz w:val="20"/>
          <w:szCs w:val="20"/>
          <w:lang w:val="en-US"/>
        </w:rPr>
      </w:pPr>
    </w:p>
    <w:p w14:paraId="3BB1E021" w14:textId="77777777" w:rsidR="007A1A14" w:rsidRPr="00012C3F" w:rsidRDefault="007A1A14" w:rsidP="00040BA7">
      <w:pPr>
        <w:keepNext/>
        <w:keepLines/>
        <w:tabs>
          <w:tab w:val="left" w:pos="1134"/>
        </w:tabs>
        <w:spacing w:line="240" w:lineRule="auto"/>
        <w:ind w:left="567" w:firstLine="1"/>
        <w:outlineLvl w:val="1"/>
        <w:rPr>
          <w:rFonts w:eastAsia="MS Mincho"/>
          <w:b/>
          <w:bCs/>
          <w:i/>
          <w:sz w:val="20"/>
          <w:szCs w:val="20"/>
          <w:lang w:val="en-US"/>
        </w:rPr>
      </w:pPr>
      <w:bookmarkStart w:id="92" w:name="_Toc27486838"/>
      <w:r w:rsidRPr="00012C3F">
        <w:rPr>
          <w:rFonts w:eastAsia="MS Mincho"/>
          <w:b/>
          <w:bCs/>
          <w:i/>
          <w:sz w:val="20"/>
          <w:szCs w:val="20"/>
          <w:lang w:val="en-US"/>
        </w:rPr>
        <w:t xml:space="preserve">B. </w:t>
      </w:r>
      <w:r w:rsidRPr="00012C3F">
        <w:rPr>
          <w:rFonts w:eastAsia="MS Mincho"/>
          <w:b/>
          <w:bCs/>
          <w:i/>
          <w:sz w:val="20"/>
          <w:szCs w:val="20"/>
          <w:lang w:val="en-US"/>
        </w:rPr>
        <w:tab/>
      </w:r>
      <w:r w:rsidR="00CD2D3D" w:rsidRPr="00012C3F">
        <w:rPr>
          <w:rFonts w:eastAsia="MS Mincho"/>
          <w:b/>
          <w:bCs/>
          <w:i/>
          <w:sz w:val="20"/>
          <w:szCs w:val="20"/>
          <w:lang w:val="en-US"/>
        </w:rPr>
        <w:t>The caesarean section</w:t>
      </w:r>
      <w:r w:rsidR="00D22661" w:rsidRPr="00012C3F">
        <w:rPr>
          <w:rFonts w:eastAsia="MS Mincho"/>
          <w:b/>
          <w:bCs/>
          <w:i/>
          <w:sz w:val="20"/>
          <w:szCs w:val="20"/>
          <w:lang w:val="en-US"/>
        </w:rPr>
        <w:t xml:space="preserve"> and the tubal ligation surgical procedure</w:t>
      </w:r>
      <w:bookmarkEnd w:id="92"/>
    </w:p>
    <w:p w14:paraId="31F0216A" w14:textId="77777777" w:rsidR="007A1A14" w:rsidRPr="00012C3F" w:rsidRDefault="007A1A14" w:rsidP="007A1A14">
      <w:pPr>
        <w:spacing w:line="240" w:lineRule="auto"/>
        <w:rPr>
          <w:b/>
          <w:sz w:val="20"/>
          <w:szCs w:val="20"/>
          <w:lang w:val="en-US"/>
        </w:rPr>
      </w:pPr>
    </w:p>
    <w:p w14:paraId="643EA7A9" w14:textId="77777777" w:rsidR="007A1A14" w:rsidRPr="00012C3F" w:rsidRDefault="00CD2D3D" w:rsidP="00CB2A8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In</w:t>
      </w:r>
      <w:r w:rsidR="00D22661" w:rsidRPr="00012C3F">
        <w:rPr>
          <w:sz w:val="20"/>
          <w:szCs w:val="20"/>
          <w:lang w:val="en-US"/>
        </w:rPr>
        <w:t xml:space="preserve"> February</w:t>
      </w:r>
      <w:r w:rsidR="0060530D" w:rsidRPr="00012C3F">
        <w:rPr>
          <w:sz w:val="20"/>
          <w:szCs w:val="20"/>
          <w:lang w:val="en-US"/>
        </w:rPr>
        <w:t xml:space="preserve"> 2000, </w:t>
      </w:r>
      <w:r w:rsidR="00D22661" w:rsidRPr="00012C3F">
        <w:rPr>
          <w:sz w:val="20"/>
          <w:szCs w:val="20"/>
          <w:lang w:val="en-US"/>
        </w:rPr>
        <w:t>on becoming aware of the existence of the Universal Health Insurance for Mothers and Children and the basic health insurance program, I.V., who was 35 years of age at the time and pregnant with her third daughter, began to attend the</w:t>
      </w:r>
      <w:r w:rsidR="0060530D" w:rsidRPr="00012C3F">
        <w:rPr>
          <w:sz w:val="20"/>
          <w:szCs w:val="20"/>
          <w:lang w:val="en-US"/>
        </w:rPr>
        <w:t xml:space="preserve"> </w:t>
      </w:r>
      <w:r w:rsidR="00D22661" w:rsidRPr="00012C3F">
        <w:rPr>
          <w:sz w:val="20"/>
          <w:szCs w:val="20"/>
          <w:lang w:val="en-US"/>
        </w:rPr>
        <w:t>Women’s Hospital in La Paz</w:t>
      </w:r>
      <w:r w:rsidR="009C22FA" w:rsidRPr="00012C3F">
        <w:rPr>
          <w:sz w:val="20"/>
          <w:szCs w:val="20"/>
          <w:lang w:val="en-US"/>
        </w:rPr>
        <w:t xml:space="preserve"> </w:t>
      </w:r>
      <w:r w:rsidR="00D22661" w:rsidRPr="00012C3F">
        <w:rPr>
          <w:sz w:val="20"/>
          <w:szCs w:val="20"/>
          <w:lang w:val="en-US"/>
        </w:rPr>
        <w:t>to receive pre-natal health care.</w:t>
      </w:r>
      <w:r w:rsidR="007A1A14" w:rsidRPr="00012C3F">
        <w:rPr>
          <w:rStyle w:val="Refdenotaalpie"/>
          <w:sz w:val="20"/>
          <w:szCs w:val="20"/>
          <w:lang w:val="en-US"/>
        </w:rPr>
        <w:footnoteReference w:id="43"/>
      </w:r>
    </w:p>
    <w:p w14:paraId="52B2FB86" w14:textId="77777777" w:rsidR="007A1A14" w:rsidRPr="00012C3F" w:rsidRDefault="007A1A14" w:rsidP="00CB2A88">
      <w:pPr>
        <w:tabs>
          <w:tab w:val="left" w:pos="720"/>
        </w:tabs>
        <w:spacing w:line="240" w:lineRule="auto"/>
        <w:rPr>
          <w:sz w:val="20"/>
          <w:szCs w:val="20"/>
          <w:lang w:val="en-US"/>
        </w:rPr>
      </w:pPr>
    </w:p>
    <w:p w14:paraId="37682A8F" w14:textId="77777777" w:rsidR="007A1A14" w:rsidRPr="00012C3F" w:rsidRDefault="00D22661" w:rsidP="00CB2A8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w:t>
      </w:r>
      <w:r w:rsidR="00CD2D3D" w:rsidRPr="00012C3F">
        <w:rPr>
          <w:sz w:val="20"/>
          <w:szCs w:val="20"/>
          <w:lang w:val="en-US"/>
        </w:rPr>
        <w:t xml:space="preserve"> the afternoon of</w:t>
      </w:r>
      <w:r w:rsidR="007A1A14" w:rsidRPr="00012C3F">
        <w:rPr>
          <w:sz w:val="20"/>
          <w:szCs w:val="20"/>
          <w:lang w:val="en-US"/>
        </w:rPr>
        <w:t xml:space="preserve"> </w:t>
      </w:r>
      <w:r w:rsidR="00566357" w:rsidRPr="00012C3F">
        <w:rPr>
          <w:sz w:val="20"/>
          <w:szCs w:val="20"/>
          <w:lang w:val="en-US"/>
        </w:rPr>
        <w:t>July 1,</w:t>
      </w:r>
      <w:r w:rsidR="007A1A14" w:rsidRPr="00012C3F">
        <w:rPr>
          <w:sz w:val="20"/>
          <w:szCs w:val="20"/>
          <w:lang w:val="en-US"/>
        </w:rPr>
        <w:t xml:space="preserve"> 2000</w:t>
      </w:r>
      <w:r w:rsidR="00F8723F" w:rsidRPr="00012C3F">
        <w:rPr>
          <w:sz w:val="20"/>
          <w:szCs w:val="20"/>
          <w:lang w:val="en-US"/>
        </w:rPr>
        <w:t xml:space="preserve">, </w:t>
      </w:r>
      <w:r w:rsidRPr="00012C3F">
        <w:rPr>
          <w:sz w:val="20"/>
          <w:szCs w:val="20"/>
          <w:lang w:val="en-US"/>
        </w:rPr>
        <w:t xml:space="preserve">I.V. was admitted to the Women’s Hospital in La Paz, after experiencing the spontaneous rupture of the membranes at week 38.5 of her pregnancy and pain at the level of </w:t>
      </w:r>
      <w:r w:rsidR="00136EDE" w:rsidRPr="00012C3F">
        <w:rPr>
          <w:sz w:val="20"/>
          <w:szCs w:val="20"/>
          <w:lang w:val="en-US"/>
        </w:rPr>
        <w:t>the caesarean section</w:t>
      </w:r>
      <w:r w:rsidRPr="00012C3F">
        <w:rPr>
          <w:sz w:val="20"/>
          <w:szCs w:val="20"/>
          <w:lang w:val="en-US"/>
        </w:rPr>
        <w:t xml:space="preserve"> she had undergone in 1982</w:t>
      </w:r>
      <w:r w:rsidR="007A1A14" w:rsidRPr="00012C3F">
        <w:rPr>
          <w:rStyle w:val="Refdenotaalpie"/>
          <w:sz w:val="20"/>
          <w:szCs w:val="20"/>
          <w:lang w:val="en-US"/>
        </w:rPr>
        <w:footnoteReference w:id="44"/>
      </w:r>
      <w:r w:rsidR="007A1A14" w:rsidRPr="00012C3F">
        <w:rPr>
          <w:sz w:val="20"/>
          <w:szCs w:val="20"/>
          <w:lang w:val="en-US"/>
        </w:rPr>
        <w:t xml:space="preserve"> (</w:t>
      </w:r>
      <w:r w:rsidR="007A1A14" w:rsidRPr="00012C3F">
        <w:rPr>
          <w:i/>
          <w:sz w:val="20"/>
          <w:szCs w:val="20"/>
          <w:lang w:val="en-US"/>
        </w:rPr>
        <w:t xml:space="preserve">supra </w:t>
      </w:r>
      <w:r w:rsidR="00370DD4" w:rsidRPr="00012C3F">
        <w:rPr>
          <w:sz w:val="20"/>
          <w:szCs w:val="20"/>
          <w:lang w:val="en-US"/>
        </w:rPr>
        <w:t>para.</w:t>
      </w:r>
      <w:r w:rsidR="007A1A14" w:rsidRPr="00012C3F">
        <w:rPr>
          <w:sz w:val="20"/>
          <w:szCs w:val="20"/>
          <w:lang w:val="en-US"/>
        </w:rPr>
        <w:t xml:space="preserve"> </w:t>
      </w:r>
      <w:r w:rsidR="00FD4F89" w:rsidRPr="00012C3F">
        <w:rPr>
          <w:sz w:val="20"/>
          <w:szCs w:val="20"/>
          <w:lang w:val="en-US"/>
        </w:rPr>
        <w:t xml:space="preserve">61). </w:t>
      </w:r>
      <w:r w:rsidRPr="00012C3F">
        <w:rPr>
          <w:sz w:val="20"/>
          <w:szCs w:val="20"/>
          <w:lang w:val="en-US"/>
        </w:rPr>
        <w:t xml:space="preserve">Since the attending physician verified that she had previously had </w:t>
      </w:r>
      <w:r w:rsidR="00CC232E" w:rsidRPr="00012C3F">
        <w:rPr>
          <w:sz w:val="20"/>
          <w:szCs w:val="20"/>
          <w:lang w:val="en-US"/>
        </w:rPr>
        <w:t>a caesarean section</w:t>
      </w:r>
      <w:r w:rsidRPr="00012C3F">
        <w:rPr>
          <w:sz w:val="20"/>
          <w:szCs w:val="20"/>
          <w:lang w:val="en-US"/>
        </w:rPr>
        <w:t>, that she had not gone into labor, and that the fetus was in tra</w:t>
      </w:r>
      <w:r w:rsidR="00CD2D3D" w:rsidRPr="00012C3F">
        <w:rPr>
          <w:sz w:val="20"/>
          <w:szCs w:val="20"/>
          <w:lang w:val="en-US"/>
        </w:rPr>
        <w:t>nsversal position</w:t>
      </w:r>
      <w:r w:rsidRPr="00012C3F">
        <w:rPr>
          <w:sz w:val="20"/>
          <w:szCs w:val="20"/>
          <w:lang w:val="en-US"/>
        </w:rPr>
        <w:t xml:space="preserve">, he decided to perform </w:t>
      </w:r>
      <w:r w:rsidR="00CC232E" w:rsidRPr="00012C3F">
        <w:rPr>
          <w:sz w:val="20"/>
          <w:szCs w:val="20"/>
          <w:lang w:val="en-US"/>
        </w:rPr>
        <w:t>a caesarean section</w:t>
      </w:r>
      <w:r w:rsidRPr="00012C3F">
        <w:rPr>
          <w:sz w:val="20"/>
          <w:szCs w:val="20"/>
          <w:lang w:val="en-US"/>
        </w:rPr>
        <w:t>.</w:t>
      </w:r>
      <w:r w:rsidR="007A1A14" w:rsidRPr="00012C3F">
        <w:rPr>
          <w:rStyle w:val="Refdenotaalpie"/>
          <w:sz w:val="20"/>
          <w:szCs w:val="20"/>
          <w:lang w:val="en-US"/>
        </w:rPr>
        <w:footnoteReference w:id="45"/>
      </w:r>
      <w:r w:rsidR="007A1A14" w:rsidRPr="00012C3F">
        <w:rPr>
          <w:sz w:val="20"/>
          <w:szCs w:val="20"/>
          <w:lang w:val="en-US"/>
        </w:rPr>
        <w:t xml:space="preserve"> </w:t>
      </w:r>
      <w:r w:rsidRPr="00012C3F">
        <w:rPr>
          <w:sz w:val="20"/>
          <w:szCs w:val="20"/>
          <w:lang w:val="en-US"/>
        </w:rPr>
        <w:t xml:space="preserve">During the procedure, the surgical team consisted of the obstetrician-gynecologist, who was </w:t>
      </w:r>
      <w:r w:rsidR="00CD2D3D" w:rsidRPr="00012C3F">
        <w:rPr>
          <w:sz w:val="20"/>
          <w:szCs w:val="20"/>
          <w:lang w:val="en-US"/>
        </w:rPr>
        <w:t xml:space="preserve">the </w:t>
      </w:r>
      <w:r w:rsidRPr="00012C3F">
        <w:rPr>
          <w:sz w:val="20"/>
          <w:szCs w:val="20"/>
          <w:lang w:val="en-US"/>
        </w:rPr>
        <w:t xml:space="preserve">head of the </w:t>
      </w:r>
      <w:r w:rsidR="00CD2D3D" w:rsidRPr="00012C3F">
        <w:rPr>
          <w:sz w:val="20"/>
          <w:szCs w:val="20"/>
          <w:lang w:val="en-US"/>
        </w:rPr>
        <w:t xml:space="preserve">doctors on call </w:t>
      </w:r>
      <w:r w:rsidRPr="00012C3F">
        <w:rPr>
          <w:sz w:val="20"/>
          <w:szCs w:val="20"/>
          <w:lang w:val="en-US"/>
        </w:rPr>
        <w:t xml:space="preserve">at the time and acted as the instructing surgeon and second </w:t>
      </w:r>
      <w:r w:rsidR="00CD2D3D" w:rsidRPr="00012C3F">
        <w:rPr>
          <w:sz w:val="20"/>
          <w:szCs w:val="20"/>
          <w:lang w:val="en-US"/>
        </w:rPr>
        <w:t>surgeon</w:t>
      </w:r>
      <w:r w:rsidRPr="00012C3F">
        <w:rPr>
          <w:sz w:val="20"/>
          <w:szCs w:val="20"/>
          <w:lang w:val="en-US"/>
        </w:rPr>
        <w:t xml:space="preserve">; the third-year resident </w:t>
      </w:r>
      <w:r w:rsidR="00CD2D3D" w:rsidRPr="00012C3F">
        <w:rPr>
          <w:sz w:val="20"/>
          <w:szCs w:val="20"/>
          <w:lang w:val="en-US"/>
        </w:rPr>
        <w:t>doctor</w:t>
      </w:r>
      <w:r w:rsidRPr="00012C3F">
        <w:rPr>
          <w:sz w:val="20"/>
          <w:szCs w:val="20"/>
          <w:lang w:val="en-US"/>
        </w:rPr>
        <w:t xml:space="preserve"> acting as the main surgeon; the anesthetist</w:t>
      </w:r>
      <w:r w:rsidR="007A1A14" w:rsidRPr="00012C3F">
        <w:rPr>
          <w:rStyle w:val="Refdenotaalpie"/>
          <w:sz w:val="20"/>
          <w:szCs w:val="20"/>
          <w:lang w:val="en-US"/>
        </w:rPr>
        <w:footnoteReference w:id="46"/>
      </w:r>
      <w:r w:rsidR="005E5012" w:rsidRPr="00012C3F">
        <w:rPr>
          <w:sz w:val="20"/>
          <w:szCs w:val="20"/>
          <w:lang w:val="en-US"/>
        </w:rPr>
        <w:t xml:space="preserve"> and </w:t>
      </w:r>
      <w:r w:rsidRPr="00012C3F">
        <w:rPr>
          <w:sz w:val="20"/>
          <w:szCs w:val="20"/>
          <w:lang w:val="en-US"/>
        </w:rPr>
        <w:t>the</w:t>
      </w:r>
      <w:r w:rsidR="007A1A14" w:rsidRPr="00012C3F">
        <w:rPr>
          <w:sz w:val="20"/>
          <w:szCs w:val="20"/>
          <w:lang w:val="en-US"/>
        </w:rPr>
        <w:t xml:space="preserve"> </w:t>
      </w:r>
      <w:r w:rsidRPr="00012C3F">
        <w:rPr>
          <w:sz w:val="20"/>
          <w:szCs w:val="20"/>
          <w:lang w:val="en-US"/>
        </w:rPr>
        <w:t>assistant.</w:t>
      </w:r>
      <w:r w:rsidR="007A1A14" w:rsidRPr="00012C3F">
        <w:rPr>
          <w:rStyle w:val="Refdenotaalpie"/>
          <w:sz w:val="20"/>
          <w:szCs w:val="20"/>
          <w:lang w:val="en-US"/>
        </w:rPr>
        <w:footnoteReference w:id="47"/>
      </w:r>
      <w:r w:rsidR="007A1A14" w:rsidRPr="00012C3F">
        <w:rPr>
          <w:sz w:val="20"/>
          <w:szCs w:val="20"/>
          <w:lang w:val="en-US"/>
        </w:rPr>
        <w:t xml:space="preserve"> </w:t>
      </w:r>
      <w:r w:rsidRPr="00012C3F">
        <w:rPr>
          <w:sz w:val="20"/>
          <w:szCs w:val="20"/>
          <w:lang w:val="en-US"/>
        </w:rPr>
        <w:t>An intern, ac</w:t>
      </w:r>
      <w:r w:rsidR="00B67799" w:rsidRPr="00012C3F">
        <w:rPr>
          <w:sz w:val="20"/>
          <w:szCs w:val="20"/>
          <w:lang w:val="en-US"/>
        </w:rPr>
        <w:t>ted</w:t>
      </w:r>
      <w:r w:rsidRPr="00012C3F">
        <w:rPr>
          <w:sz w:val="20"/>
          <w:szCs w:val="20"/>
          <w:lang w:val="en-US"/>
        </w:rPr>
        <w:t xml:space="preserve"> as a second assistan</w:t>
      </w:r>
      <w:r w:rsidR="000B6F1B" w:rsidRPr="00012C3F">
        <w:rPr>
          <w:sz w:val="20"/>
          <w:szCs w:val="20"/>
          <w:lang w:val="en-US"/>
        </w:rPr>
        <w:t>t,</w:t>
      </w:r>
      <w:r w:rsidRPr="00012C3F">
        <w:rPr>
          <w:sz w:val="20"/>
          <w:szCs w:val="20"/>
          <w:lang w:val="en-US"/>
        </w:rPr>
        <w:t xml:space="preserve"> and</w:t>
      </w:r>
      <w:r w:rsidR="00B67799" w:rsidRPr="00012C3F">
        <w:rPr>
          <w:sz w:val="20"/>
          <w:szCs w:val="20"/>
          <w:lang w:val="en-US"/>
        </w:rPr>
        <w:t xml:space="preserve"> an operating theater assistant </w:t>
      </w:r>
      <w:r w:rsidR="000B6F1B" w:rsidRPr="00012C3F">
        <w:rPr>
          <w:sz w:val="20"/>
          <w:szCs w:val="20"/>
          <w:lang w:val="en-US"/>
        </w:rPr>
        <w:t xml:space="preserve">were also present during the </w:t>
      </w:r>
      <w:r w:rsidR="00B67799" w:rsidRPr="00012C3F">
        <w:rPr>
          <w:sz w:val="20"/>
          <w:szCs w:val="20"/>
          <w:lang w:val="en-US"/>
        </w:rPr>
        <w:t>procedure</w:t>
      </w:r>
      <w:r w:rsidR="000B6F1B" w:rsidRPr="00012C3F">
        <w:rPr>
          <w:sz w:val="20"/>
          <w:szCs w:val="20"/>
          <w:lang w:val="en-US"/>
        </w:rPr>
        <w:t>.</w:t>
      </w:r>
      <w:r w:rsidR="007A1A14" w:rsidRPr="00012C3F">
        <w:rPr>
          <w:rStyle w:val="Refdenotaalpie"/>
          <w:sz w:val="20"/>
          <w:szCs w:val="20"/>
          <w:lang w:val="en-US"/>
        </w:rPr>
        <w:footnoteReference w:id="48"/>
      </w:r>
    </w:p>
    <w:p w14:paraId="3235727D" w14:textId="77777777" w:rsidR="007A1A14" w:rsidRPr="00012C3F" w:rsidRDefault="007A1A14" w:rsidP="007A1A14">
      <w:pPr>
        <w:spacing w:line="240" w:lineRule="auto"/>
        <w:rPr>
          <w:sz w:val="20"/>
          <w:szCs w:val="20"/>
          <w:lang w:val="en-US"/>
        </w:rPr>
      </w:pPr>
    </w:p>
    <w:p w14:paraId="4775E446" w14:textId="77777777" w:rsidR="00030E2E" w:rsidRPr="00012C3F" w:rsidRDefault="000B6F1B" w:rsidP="00CB2A8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7A1A14" w:rsidRPr="00012C3F">
        <w:rPr>
          <w:sz w:val="20"/>
          <w:szCs w:val="20"/>
          <w:lang w:val="en-US"/>
        </w:rPr>
        <w:t xml:space="preserve"> </w:t>
      </w:r>
      <w:r w:rsidR="00136EDE" w:rsidRPr="00012C3F">
        <w:rPr>
          <w:sz w:val="20"/>
          <w:szCs w:val="20"/>
          <w:lang w:val="en-US"/>
        </w:rPr>
        <w:t>c</w:t>
      </w:r>
      <w:r w:rsidR="00D22661" w:rsidRPr="00012C3F">
        <w:rPr>
          <w:sz w:val="20"/>
          <w:szCs w:val="20"/>
          <w:lang w:val="en-US"/>
        </w:rPr>
        <w:t>aesarean section</w:t>
      </w:r>
      <w:r w:rsidR="007A1A14" w:rsidRPr="00012C3F">
        <w:rPr>
          <w:sz w:val="20"/>
          <w:szCs w:val="20"/>
          <w:lang w:val="en-US"/>
        </w:rPr>
        <w:t xml:space="preserve"> </w:t>
      </w:r>
      <w:r w:rsidRPr="00012C3F">
        <w:rPr>
          <w:sz w:val="20"/>
          <w:szCs w:val="20"/>
          <w:lang w:val="en-US"/>
        </w:rPr>
        <w:t xml:space="preserve">was started by the third-year resident </w:t>
      </w:r>
      <w:r w:rsidR="00B67799" w:rsidRPr="00012C3F">
        <w:rPr>
          <w:sz w:val="20"/>
          <w:szCs w:val="20"/>
          <w:lang w:val="en-US"/>
        </w:rPr>
        <w:t>doctor</w:t>
      </w:r>
      <w:r w:rsidR="00F8723F" w:rsidRPr="00012C3F">
        <w:rPr>
          <w:sz w:val="20"/>
          <w:szCs w:val="20"/>
          <w:lang w:val="en-US"/>
        </w:rPr>
        <w:t xml:space="preserve"> </w:t>
      </w:r>
      <w:r w:rsidRPr="00012C3F">
        <w:rPr>
          <w:sz w:val="20"/>
          <w:szCs w:val="20"/>
          <w:lang w:val="en-US"/>
        </w:rPr>
        <w:t>just after</w:t>
      </w:r>
      <w:r w:rsidR="00F8723F" w:rsidRPr="00012C3F">
        <w:rPr>
          <w:sz w:val="20"/>
          <w:szCs w:val="20"/>
          <w:lang w:val="en-US"/>
        </w:rPr>
        <w:t xml:space="preserve"> 19:00 ho</w:t>
      </w:r>
      <w:r w:rsidRPr="00012C3F">
        <w:rPr>
          <w:sz w:val="20"/>
          <w:szCs w:val="20"/>
          <w:lang w:val="en-US"/>
        </w:rPr>
        <w:t>urs.</w:t>
      </w:r>
      <w:r w:rsidR="007A1A14" w:rsidRPr="00012C3F">
        <w:rPr>
          <w:rStyle w:val="Refdenotaalpie"/>
          <w:sz w:val="20"/>
          <w:szCs w:val="20"/>
          <w:lang w:val="en-US"/>
        </w:rPr>
        <w:footnoteReference w:id="49"/>
      </w:r>
      <w:r w:rsidRPr="00012C3F">
        <w:rPr>
          <w:sz w:val="20"/>
          <w:szCs w:val="20"/>
          <w:lang w:val="en-US"/>
        </w:rPr>
        <w:t xml:space="preserve"> However, during </w:t>
      </w:r>
      <w:r w:rsidR="00136EDE" w:rsidRPr="00012C3F">
        <w:rPr>
          <w:sz w:val="20"/>
          <w:szCs w:val="20"/>
          <w:lang w:val="en-US"/>
        </w:rPr>
        <w:t>the caesarean section</w:t>
      </w:r>
      <w:r w:rsidRPr="00012C3F">
        <w:rPr>
          <w:sz w:val="20"/>
          <w:szCs w:val="20"/>
          <w:lang w:val="en-US"/>
        </w:rPr>
        <w:t xml:space="preserve"> surgical procedure, the presence of numerous </w:t>
      </w:r>
      <w:r w:rsidRPr="00012C3F">
        <w:rPr>
          <w:sz w:val="20"/>
          <w:szCs w:val="20"/>
          <w:lang w:val="en-US"/>
        </w:rPr>
        <w:lastRenderedPageBreak/>
        <w:t>adhesions in the lower uterine segment</w:t>
      </w:r>
      <w:r w:rsidR="00136EDE" w:rsidRPr="00012C3F">
        <w:rPr>
          <w:sz w:val="20"/>
          <w:szCs w:val="20"/>
          <w:lang w:val="en-US"/>
        </w:rPr>
        <w:t xml:space="preserve"> was verified</w:t>
      </w:r>
      <w:r w:rsidR="007A1A14" w:rsidRPr="00012C3F">
        <w:rPr>
          <w:rStyle w:val="Refdenotaalpie"/>
          <w:sz w:val="20"/>
          <w:szCs w:val="20"/>
          <w:lang w:val="en-US"/>
        </w:rPr>
        <w:footnoteReference w:id="50"/>
      </w:r>
      <w:r w:rsidRPr="00012C3F">
        <w:rPr>
          <w:sz w:val="20"/>
          <w:szCs w:val="20"/>
          <w:lang w:val="en-US"/>
        </w:rPr>
        <w:t xml:space="preserve"> and, therefore, </w:t>
      </w:r>
      <w:r w:rsidR="00B67799" w:rsidRPr="00012C3F">
        <w:rPr>
          <w:sz w:val="20"/>
          <w:szCs w:val="20"/>
          <w:lang w:val="en-US"/>
        </w:rPr>
        <w:t>owing to</w:t>
      </w:r>
      <w:r w:rsidRPr="00012C3F">
        <w:rPr>
          <w:sz w:val="20"/>
          <w:szCs w:val="20"/>
          <w:lang w:val="en-US"/>
        </w:rPr>
        <w:t xml:space="preserve"> the complexity of the case, the obstetrician-gynecologist</w:t>
      </w:r>
      <w:r w:rsidR="00810637" w:rsidRPr="00012C3F">
        <w:rPr>
          <w:sz w:val="20"/>
          <w:szCs w:val="20"/>
          <w:lang w:val="en-US"/>
        </w:rPr>
        <w:t xml:space="preserve"> </w:t>
      </w:r>
      <w:r w:rsidRPr="00012C3F">
        <w:rPr>
          <w:sz w:val="20"/>
          <w:szCs w:val="20"/>
          <w:lang w:val="en-US"/>
        </w:rPr>
        <w:t>took charge of the operation in his capacity as instructing surgeon.</w:t>
      </w:r>
      <w:r w:rsidR="007A1A14" w:rsidRPr="00012C3F">
        <w:rPr>
          <w:rStyle w:val="Refdenotaalpie"/>
          <w:sz w:val="20"/>
          <w:szCs w:val="20"/>
          <w:lang w:val="en-US"/>
        </w:rPr>
        <w:footnoteReference w:id="51"/>
      </w:r>
      <w:r w:rsidRPr="00012C3F">
        <w:rPr>
          <w:sz w:val="20"/>
          <w:szCs w:val="20"/>
          <w:lang w:val="en-US"/>
        </w:rPr>
        <w:t xml:space="preserve"> After the neonatologist had taken the newborn, I.V.</w:t>
      </w:r>
      <w:r w:rsidR="00B67799" w:rsidRPr="00012C3F">
        <w:rPr>
          <w:sz w:val="20"/>
          <w:szCs w:val="20"/>
          <w:lang w:val="en-US"/>
        </w:rPr>
        <w:t xml:space="preserve"> underwent a bilateral tubal ligation</w:t>
      </w:r>
      <w:r w:rsidRPr="00012C3F">
        <w:rPr>
          <w:sz w:val="20"/>
          <w:szCs w:val="20"/>
          <w:lang w:val="en-US"/>
        </w:rPr>
        <w:t xml:space="preserve"> using the Pomeroy technique.</w:t>
      </w:r>
      <w:r w:rsidR="007A1A14" w:rsidRPr="00012C3F">
        <w:rPr>
          <w:rStyle w:val="Refdenotaalpie"/>
          <w:sz w:val="20"/>
          <w:szCs w:val="20"/>
          <w:lang w:val="en-US"/>
        </w:rPr>
        <w:footnoteReference w:id="52"/>
      </w:r>
      <w:r w:rsidRPr="00012C3F">
        <w:rPr>
          <w:sz w:val="20"/>
          <w:szCs w:val="20"/>
          <w:lang w:val="en-US"/>
        </w:rPr>
        <w:t xml:space="preserve"> Both surgical procedures were performed while the patient was under epidural anesthetic.</w:t>
      </w:r>
      <w:r w:rsidR="00435259" w:rsidRPr="00012C3F">
        <w:rPr>
          <w:rStyle w:val="Refdenotaalpie"/>
          <w:sz w:val="20"/>
          <w:szCs w:val="20"/>
          <w:lang w:val="en-US"/>
        </w:rPr>
        <w:footnoteReference w:id="53"/>
      </w:r>
    </w:p>
    <w:p w14:paraId="10C33A7B" w14:textId="77777777" w:rsidR="00030E2E" w:rsidRPr="00012C3F" w:rsidRDefault="000B6F1B" w:rsidP="00CB2A88">
      <w:pPr>
        <w:tabs>
          <w:tab w:val="left" w:pos="720"/>
          <w:tab w:val="num" w:pos="12305"/>
        </w:tabs>
        <w:spacing w:line="240" w:lineRule="auto"/>
        <w:rPr>
          <w:sz w:val="20"/>
          <w:szCs w:val="20"/>
          <w:lang w:val="en-US"/>
        </w:rPr>
      </w:pPr>
      <w:r w:rsidRPr="00012C3F">
        <w:rPr>
          <w:sz w:val="20"/>
          <w:szCs w:val="20"/>
          <w:lang w:val="en-US"/>
        </w:rPr>
        <w:t xml:space="preserve"> </w:t>
      </w:r>
    </w:p>
    <w:p w14:paraId="2CA74D7D" w14:textId="77777777" w:rsidR="007A1A14" w:rsidRPr="00012C3F" w:rsidRDefault="000B6F1B" w:rsidP="00CB2A8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Prior to the surgical procedure, </w:t>
      </w:r>
      <w:r w:rsidR="000E1C11" w:rsidRPr="00012C3F">
        <w:rPr>
          <w:sz w:val="20"/>
          <w:szCs w:val="20"/>
          <w:lang w:val="en-US"/>
        </w:rPr>
        <w:t>I.V.</w:t>
      </w:r>
      <w:r w:rsidR="00B67799" w:rsidRPr="00012C3F">
        <w:rPr>
          <w:sz w:val="20"/>
          <w:szCs w:val="20"/>
          <w:lang w:val="en-US"/>
        </w:rPr>
        <w:t>’s husband</w:t>
      </w:r>
      <w:r w:rsidR="00435259" w:rsidRPr="00012C3F">
        <w:rPr>
          <w:sz w:val="20"/>
          <w:szCs w:val="20"/>
          <w:lang w:val="en-US"/>
        </w:rPr>
        <w:t xml:space="preserve">, </w:t>
      </w:r>
      <w:r w:rsidR="00B67799" w:rsidRPr="00012C3F">
        <w:rPr>
          <w:sz w:val="20"/>
          <w:szCs w:val="20"/>
          <w:lang w:val="en-US"/>
        </w:rPr>
        <w:t xml:space="preserve">J.E., had </w:t>
      </w:r>
      <w:r w:rsidRPr="00012C3F">
        <w:rPr>
          <w:sz w:val="20"/>
          <w:szCs w:val="20"/>
          <w:lang w:val="en-US"/>
        </w:rPr>
        <w:t xml:space="preserve">signed a form entitled “Family authorization for surgery or special treatment,” in relation to </w:t>
      </w:r>
      <w:r w:rsidR="00136EDE" w:rsidRPr="00012C3F">
        <w:rPr>
          <w:sz w:val="20"/>
          <w:szCs w:val="20"/>
          <w:lang w:val="en-US"/>
        </w:rPr>
        <w:t>the caesarean section</w:t>
      </w:r>
      <w:r w:rsidRPr="00012C3F">
        <w:rPr>
          <w:sz w:val="20"/>
          <w:szCs w:val="20"/>
          <w:lang w:val="en-US"/>
        </w:rPr>
        <w:t>.</w:t>
      </w:r>
      <w:r w:rsidR="00435259" w:rsidRPr="00012C3F">
        <w:rPr>
          <w:rStyle w:val="Refdenotaalpie"/>
          <w:sz w:val="20"/>
          <w:szCs w:val="20"/>
          <w:lang w:val="en-US"/>
        </w:rPr>
        <w:footnoteReference w:id="54"/>
      </w:r>
      <w:r w:rsidRPr="00012C3F">
        <w:rPr>
          <w:sz w:val="20"/>
          <w:szCs w:val="20"/>
          <w:lang w:val="en-US"/>
        </w:rPr>
        <w:t xml:space="preserve"> This form was not signed by I.V. During</w:t>
      </w:r>
      <w:r w:rsidR="00CB2A88" w:rsidRPr="00012C3F">
        <w:rPr>
          <w:sz w:val="20"/>
          <w:szCs w:val="20"/>
          <w:lang w:val="en-US"/>
        </w:rPr>
        <w:t xml:space="preserve"> the peri-operative period</w:t>
      </w:r>
      <w:r w:rsidR="00BC1D77" w:rsidRPr="00012C3F">
        <w:rPr>
          <w:sz w:val="20"/>
          <w:szCs w:val="20"/>
          <w:lang w:val="en-US"/>
        </w:rPr>
        <w:t xml:space="preserve">, </w:t>
      </w:r>
      <w:r w:rsidRPr="00012C3F">
        <w:rPr>
          <w:sz w:val="20"/>
          <w:szCs w:val="20"/>
          <w:lang w:val="en-US"/>
        </w:rPr>
        <w:t>the obstetrician-gynecologist</w:t>
      </w:r>
      <w:r w:rsidR="007A1A14" w:rsidRPr="00012C3F">
        <w:rPr>
          <w:sz w:val="20"/>
          <w:szCs w:val="20"/>
          <w:lang w:val="en-US"/>
        </w:rPr>
        <w:t xml:space="preserve"> </w:t>
      </w:r>
      <w:r w:rsidR="00CB2A88" w:rsidRPr="00012C3F">
        <w:rPr>
          <w:sz w:val="20"/>
          <w:szCs w:val="20"/>
          <w:lang w:val="en-US"/>
        </w:rPr>
        <w:t>asked someone to fetch I.V.’s husband so that he could authorize the tubal ligation.</w:t>
      </w:r>
      <w:r w:rsidR="00223B9F" w:rsidRPr="00012C3F">
        <w:rPr>
          <w:rStyle w:val="Refdenotaalpie"/>
          <w:sz w:val="20"/>
          <w:szCs w:val="20"/>
          <w:lang w:val="en-US"/>
        </w:rPr>
        <w:footnoteReference w:id="55"/>
      </w:r>
      <w:r w:rsidR="00CB2A88" w:rsidRPr="00012C3F">
        <w:rPr>
          <w:sz w:val="20"/>
          <w:szCs w:val="20"/>
          <w:lang w:val="en-US"/>
        </w:rPr>
        <w:t xml:space="preserve"> </w:t>
      </w:r>
      <w:r w:rsidR="00BC1D77" w:rsidRPr="00012C3F">
        <w:rPr>
          <w:sz w:val="20"/>
          <w:szCs w:val="20"/>
          <w:lang w:val="en-US"/>
        </w:rPr>
        <w:t xml:space="preserve"> </w:t>
      </w:r>
      <w:r w:rsidR="00CB2A88" w:rsidRPr="00012C3F">
        <w:rPr>
          <w:sz w:val="20"/>
          <w:szCs w:val="20"/>
          <w:lang w:val="en-US"/>
        </w:rPr>
        <w:t xml:space="preserve">They were unable to find </w:t>
      </w:r>
      <w:r w:rsidR="00312D11" w:rsidRPr="00012C3F">
        <w:rPr>
          <w:sz w:val="20"/>
          <w:szCs w:val="20"/>
          <w:lang w:val="en-US"/>
        </w:rPr>
        <w:t>J.E.</w:t>
      </w:r>
      <w:r w:rsidR="007A1A14" w:rsidRPr="00012C3F">
        <w:rPr>
          <w:rStyle w:val="Refdenotaalpie"/>
          <w:sz w:val="20"/>
          <w:szCs w:val="20"/>
          <w:lang w:val="en-US"/>
        </w:rPr>
        <w:footnoteReference w:id="56"/>
      </w:r>
    </w:p>
    <w:p w14:paraId="29546EDB" w14:textId="77777777" w:rsidR="007A1A14" w:rsidRPr="00012C3F" w:rsidRDefault="007A1A14" w:rsidP="00CB2A88">
      <w:pPr>
        <w:tabs>
          <w:tab w:val="left" w:pos="720"/>
        </w:tabs>
        <w:spacing w:line="240" w:lineRule="auto"/>
        <w:rPr>
          <w:sz w:val="20"/>
          <w:szCs w:val="20"/>
          <w:lang w:val="en-US"/>
        </w:rPr>
      </w:pPr>
    </w:p>
    <w:p w14:paraId="272D951C" w14:textId="77777777" w:rsidR="007A1A14" w:rsidRPr="00012C3F" w:rsidRDefault="00CB2A88" w:rsidP="00CB2A8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7A1A14" w:rsidRPr="00012C3F">
        <w:rPr>
          <w:sz w:val="20"/>
          <w:szCs w:val="20"/>
          <w:lang w:val="en-US"/>
        </w:rPr>
        <w:t xml:space="preserve"> </w:t>
      </w:r>
      <w:r w:rsidR="00AB3F01" w:rsidRPr="00012C3F">
        <w:rPr>
          <w:sz w:val="20"/>
          <w:szCs w:val="20"/>
          <w:lang w:val="en-US"/>
        </w:rPr>
        <w:t>record of the surgical procedure</w:t>
      </w:r>
      <w:r w:rsidR="007A1A14" w:rsidRPr="00012C3F">
        <w:rPr>
          <w:sz w:val="20"/>
          <w:szCs w:val="20"/>
          <w:lang w:val="en-US"/>
        </w:rPr>
        <w:t xml:space="preserve"> </w:t>
      </w:r>
      <w:r w:rsidRPr="00012C3F">
        <w:rPr>
          <w:sz w:val="20"/>
          <w:szCs w:val="20"/>
          <w:lang w:val="en-US"/>
        </w:rPr>
        <w:t>performed on I.V. contained the following information:</w:t>
      </w:r>
    </w:p>
    <w:p w14:paraId="1ABE2CF0" w14:textId="77777777" w:rsidR="007A1A14" w:rsidRPr="00012C3F" w:rsidRDefault="007A1A14" w:rsidP="007A1A14">
      <w:pPr>
        <w:spacing w:line="240" w:lineRule="auto"/>
        <w:rPr>
          <w:sz w:val="20"/>
          <w:szCs w:val="20"/>
          <w:lang w:val="en-US"/>
        </w:rPr>
      </w:pPr>
    </w:p>
    <w:p w14:paraId="0CCEBDE5" w14:textId="77777777" w:rsidR="007A1A14" w:rsidRPr="00012C3F" w:rsidRDefault="00AB3F01" w:rsidP="00491B95">
      <w:pPr>
        <w:pStyle w:val="Cita"/>
        <w:ind w:right="571"/>
        <w:rPr>
          <w:rFonts w:ascii="Verdana" w:hAnsi="Verdana"/>
          <w:sz w:val="16"/>
          <w:szCs w:val="16"/>
        </w:rPr>
      </w:pPr>
      <w:bookmarkStart w:id="93" w:name="_Hlk26085656"/>
      <w:r w:rsidRPr="00012C3F">
        <w:rPr>
          <w:rFonts w:ascii="Verdana" w:hAnsi="Verdana"/>
          <w:sz w:val="16"/>
          <w:szCs w:val="16"/>
        </w:rPr>
        <w:t xml:space="preserve">(1) Patient lying on her back under anesthesia; [...] (4) medium infra-umbilical incision as far as the cavity; (5) multiple adhesions visible between the parietal visceral peritoneum (illegible) and intestines, making it difficult to see the lower segment of the uterus (illegible). A </w:t>
      </w:r>
      <w:r w:rsidR="0007256D" w:rsidRPr="00012C3F">
        <w:rPr>
          <w:rFonts w:ascii="Verdana" w:hAnsi="Verdana"/>
          <w:sz w:val="16"/>
          <w:szCs w:val="16"/>
        </w:rPr>
        <w:t>hysterotomy</w:t>
      </w:r>
      <w:r w:rsidRPr="00012C3F">
        <w:rPr>
          <w:rFonts w:ascii="Verdana" w:hAnsi="Verdana"/>
          <w:sz w:val="16"/>
          <w:szCs w:val="16"/>
        </w:rPr>
        <w:t xml:space="preserve"> is performed along the body's longitudinal axis because it is not possible to do it in the lower segment; [...] (7) Surgical delivery; [...], (10) due to the presence of the aforementioned multiple adhesions, [illegible] is performed in insufficient parietal peritoneum, it is decided, because of the multiple adhesions to perform a Pomeroy bilateral tubal ligation through the incision in the womb to safeguard the future life of the mother; she is </w:t>
      </w:r>
      <w:r w:rsidR="00B67799" w:rsidRPr="00012C3F">
        <w:rPr>
          <w:rFonts w:ascii="Verdana" w:hAnsi="Verdana"/>
          <w:sz w:val="16"/>
          <w:szCs w:val="16"/>
        </w:rPr>
        <w:t>informed</w:t>
      </w:r>
      <w:r w:rsidRPr="00012C3F">
        <w:rPr>
          <w:rFonts w:ascii="Verdana" w:hAnsi="Verdana"/>
          <w:sz w:val="16"/>
          <w:szCs w:val="16"/>
        </w:rPr>
        <w:t xml:space="preserve"> of this in the peri-operative period and she gives her verbal consent. The tubal ligation is performed with difficulty because of the adhesions </w:t>
      </w:r>
      <w:r w:rsidR="007A1A14" w:rsidRPr="00012C3F">
        <w:rPr>
          <w:sz w:val="16"/>
          <w:szCs w:val="16"/>
        </w:rPr>
        <w:t>[...]</w:t>
      </w:r>
      <w:r w:rsidRPr="00012C3F">
        <w:rPr>
          <w:sz w:val="16"/>
          <w:szCs w:val="16"/>
        </w:rPr>
        <w:t>.</w:t>
      </w:r>
      <w:r w:rsidR="007A1A14" w:rsidRPr="00012C3F">
        <w:rPr>
          <w:rStyle w:val="Refdenotaalpie"/>
          <w:sz w:val="16"/>
          <w:szCs w:val="16"/>
        </w:rPr>
        <w:footnoteReference w:id="57"/>
      </w:r>
    </w:p>
    <w:bookmarkEnd w:id="93"/>
    <w:p w14:paraId="7257B156" w14:textId="77777777" w:rsidR="007A1A14" w:rsidRPr="00012C3F" w:rsidRDefault="007A1A14" w:rsidP="007A1A14">
      <w:pPr>
        <w:spacing w:line="240" w:lineRule="auto"/>
        <w:ind w:right="360"/>
        <w:rPr>
          <w:sz w:val="20"/>
          <w:szCs w:val="20"/>
          <w:lang w:val="en-US"/>
        </w:rPr>
      </w:pPr>
    </w:p>
    <w:p w14:paraId="293B2475" w14:textId="77777777" w:rsidR="007A1A14" w:rsidRPr="00012C3F" w:rsidRDefault="00FF19ED" w:rsidP="00FF19E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Two days after the operation, the resident </w:t>
      </w:r>
      <w:r w:rsidR="00593E9B" w:rsidRPr="00012C3F">
        <w:rPr>
          <w:sz w:val="20"/>
          <w:szCs w:val="20"/>
          <w:lang w:val="en-US"/>
        </w:rPr>
        <w:t>doctor</w:t>
      </w:r>
      <w:r w:rsidRPr="00012C3F">
        <w:rPr>
          <w:sz w:val="20"/>
          <w:szCs w:val="20"/>
          <w:lang w:val="en-US"/>
        </w:rPr>
        <w:t xml:space="preserve"> made the </w:t>
      </w:r>
      <w:r w:rsidR="002E2489" w:rsidRPr="00012C3F">
        <w:rPr>
          <w:sz w:val="20"/>
          <w:szCs w:val="20"/>
          <w:lang w:val="en-US"/>
        </w:rPr>
        <w:t>following</w:t>
      </w:r>
      <w:r w:rsidRPr="00012C3F">
        <w:rPr>
          <w:sz w:val="20"/>
          <w:szCs w:val="20"/>
          <w:lang w:val="en-US"/>
        </w:rPr>
        <w:t xml:space="preserve"> annotation on the patient’s progress record:</w:t>
      </w:r>
    </w:p>
    <w:p w14:paraId="5CF26BDA" w14:textId="77777777" w:rsidR="007A1A14" w:rsidRPr="00012C3F" w:rsidRDefault="007A1A14" w:rsidP="00FF19ED">
      <w:pPr>
        <w:tabs>
          <w:tab w:val="left" w:pos="720"/>
        </w:tabs>
        <w:spacing w:line="240" w:lineRule="auto"/>
        <w:rPr>
          <w:sz w:val="20"/>
          <w:szCs w:val="20"/>
          <w:lang w:val="en-US"/>
        </w:rPr>
      </w:pPr>
    </w:p>
    <w:p w14:paraId="5B2071BF" w14:textId="77777777" w:rsidR="007A1A14" w:rsidRPr="00012C3F" w:rsidRDefault="007A1A14" w:rsidP="00491B95">
      <w:pPr>
        <w:tabs>
          <w:tab w:val="left" w:pos="720"/>
        </w:tabs>
        <w:spacing w:line="240" w:lineRule="auto"/>
        <w:ind w:left="720" w:right="571"/>
        <w:rPr>
          <w:sz w:val="20"/>
          <w:szCs w:val="20"/>
          <w:lang w:val="en-US"/>
        </w:rPr>
      </w:pPr>
      <w:r w:rsidRPr="00012C3F">
        <w:rPr>
          <w:sz w:val="16"/>
          <w:szCs w:val="16"/>
          <w:lang w:val="en-US"/>
        </w:rPr>
        <w:t xml:space="preserve">3/07/00. </w:t>
      </w:r>
      <w:r w:rsidR="00FF19ED" w:rsidRPr="00012C3F">
        <w:rPr>
          <w:sz w:val="16"/>
          <w:szCs w:val="16"/>
          <w:lang w:val="en-US"/>
        </w:rPr>
        <w:t xml:space="preserve">Yesterday, the patient was told that </w:t>
      </w:r>
      <w:r w:rsidR="00593E9B" w:rsidRPr="00012C3F">
        <w:rPr>
          <w:sz w:val="16"/>
          <w:szCs w:val="16"/>
          <w:lang w:val="en-US"/>
        </w:rPr>
        <w:t>a</w:t>
      </w:r>
      <w:r w:rsidR="00FF19ED" w:rsidRPr="00012C3F">
        <w:rPr>
          <w:sz w:val="16"/>
          <w:szCs w:val="16"/>
          <w:lang w:val="en-US"/>
        </w:rPr>
        <w:t xml:space="preserve"> bilateral tubal ligation had been performed owing to medical necessity; this was accepted by the patie</w:t>
      </w:r>
      <w:r w:rsidR="003430A8" w:rsidRPr="00012C3F">
        <w:rPr>
          <w:sz w:val="16"/>
          <w:szCs w:val="16"/>
          <w:lang w:val="en-US"/>
        </w:rPr>
        <w:t>n</w:t>
      </w:r>
      <w:r w:rsidR="00FF19ED" w:rsidRPr="00012C3F">
        <w:rPr>
          <w:sz w:val="16"/>
          <w:szCs w:val="16"/>
          <w:lang w:val="en-US"/>
        </w:rPr>
        <w:t xml:space="preserve">t </w:t>
      </w:r>
      <w:r w:rsidR="003430A8" w:rsidRPr="00012C3F">
        <w:rPr>
          <w:sz w:val="16"/>
          <w:szCs w:val="16"/>
          <w:lang w:val="en-US"/>
        </w:rPr>
        <w:t>w</w:t>
      </w:r>
      <w:r w:rsidR="00FF19ED" w:rsidRPr="00012C3F">
        <w:rPr>
          <w:sz w:val="16"/>
          <w:szCs w:val="16"/>
          <w:lang w:val="en-US"/>
        </w:rPr>
        <w:t xml:space="preserve">ho understood that </w:t>
      </w:r>
      <w:r w:rsidR="003430A8" w:rsidRPr="00012C3F">
        <w:rPr>
          <w:sz w:val="16"/>
          <w:szCs w:val="16"/>
          <w:lang w:val="en-US"/>
        </w:rPr>
        <w:t>a future pregnancy posed a danger to her life.</w:t>
      </w:r>
      <w:r w:rsidRPr="00012C3F">
        <w:rPr>
          <w:sz w:val="16"/>
          <w:szCs w:val="16"/>
          <w:lang w:val="en-US"/>
        </w:rPr>
        <w:t xml:space="preserve"> Dr. Vargas</w:t>
      </w:r>
      <w:r w:rsidR="003430A8" w:rsidRPr="00012C3F">
        <w:rPr>
          <w:sz w:val="16"/>
          <w:szCs w:val="16"/>
          <w:lang w:val="en-US"/>
        </w:rPr>
        <w:t>.</w:t>
      </w:r>
      <w:r w:rsidRPr="00012C3F">
        <w:rPr>
          <w:rStyle w:val="Refdenotaalpie"/>
          <w:sz w:val="16"/>
          <w:szCs w:val="16"/>
          <w:lang w:val="en-US"/>
        </w:rPr>
        <w:footnoteReference w:id="58"/>
      </w:r>
    </w:p>
    <w:p w14:paraId="06B88747" w14:textId="77777777" w:rsidR="007A1A14" w:rsidRPr="00012C3F" w:rsidRDefault="007A1A14" w:rsidP="00FF19ED">
      <w:pPr>
        <w:tabs>
          <w:tab w:val="left" w:pos="720"/>
        </w:tabs>
        <w:spacing w:line="240" w:lineRule="auto"/>
        <w:ind w:right="360"/>
        <w:rPr>
          <w:sz w:val="20"/>
          <w:szCs w:val="20"/>
          <w:lang w:val="en-US"/>
        </w:rPr>
      </w:pPr>
    </w:p>
    <w:p w14:paraId="702A6EEE" w14:textId="77777777" w:rsidR="00216D7B" w:rsidRPr="00012C3F" w:rsidRDefault="000E1C11" w:rsidP="00FF19E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I.V.</w:t>
      </w:r>
      <w:r w:rsidR="0099287A" w:rsidRPr="00012C3F">
        <w:rPr>
          <w:rFonts w:eastAsia="MS Mincho"/>
          <w:sz w:val="20"/>
          <w:szCs w:val="20"/>
          <w:lang w:val="en-US" w:eastAsia="en-US" w:bidi="en-US"/>
        </w:rPr>
        <w:t xml:space="preserve"> ha</w:t>
      </w:r>
      <w:r w:rsidR="003430A8" w:rsidRPr="00012C3F">
        <w:rPr>
          <w:rFonts w:eastAsia="MS Mincho"/>
          <w:sz w:val="20"/>
          <w:szCs w:val="20"/>
          <w:lang w:val="en-US" w:eastAsia="en-US" w:bidi="en-US"/>
        </w:rPr>
        <w:t>s consistently denied before the domestic courts, during the procedure before</w:t>
      </w:r>
      <w:r w:rsidR="0099287A" w:rsidRPr="00012C3F">
        <w:rPr>
          <w:rFonts w:eastAsia="MS Mincho"/>
          <w:sz w:val="20"/>
          <w:szCs w:val="20"/>
          <w:lang w:val="en-US" w:eastAsia="en-US" w:bidi="en-US"/>
        </w:rPr>
        <w:t xml:space="preserve"> </w:t>
      </w:r>
      <w:r w:rsidR="003430A8" w:rsidRPr="00012C3F">
        <w:rPr>
          <w:rFonts w:eastAsia="MS Mincho"/>
          <w:sz w:val="20"/>
          <w:szCs w:val="20"/>
          <w:lang w:val="en-US" w:eastAsia="en-US" w:bidi="en-US"/>
        </w:rPr>
        <w:t xml:space="preserve">the </w:t>
      </w:r>
      <w:r w:rsidR="00A84CA0" w:rsidRPr="00012C3F">
        <w:rPr>
          <w:rFonts w:eastAsia="MS Mincho"/>
          <w:sz w:val="20"/>
          <w:szCs w:val="20"/>
          <w:lang w:val="en-US" w:eastAsia="en-US" w:bidi="en-US"/>
        </w:rPr>
        <w:t>Commission</w:t>
      </w:r>
      <w:r w:rsidR="005E5012" w:rsidRPr="00012C3F">
        <w:rPr>
          <w:rFonts w:eastAsia="MS Mincho"/>
          <w:sz w:val="20"/>
          <w:szCs w:val="20"/>
          <w:lang w:val="en-US" w:eastAsia="en-US" w:bidi="en-US"/>
        </w:rPr>
        <w:t xml:space="preserve"> and </w:t>
      </w:r>
      <w:r w:rsidR="00593E9B" w:rsidRPr="00012C3F">
        <w:rPr>
          <w:rFonts w:eastAsia="MS Mincho"/>
          <w:sz w:val="20"/>
          <w:szCs w:val="20"/>
          <w:lang w:val="en-US" w:eastAsia="en-US" w:bidi="en-US"/>
        </w:rPr>
        <w:t xml:space="preserve">also </w:t>
      </w:r>
      <w:r w:rsidR="003430A8" w:rsidRPr="00012C3F">
        <w:rPr>
          <w:rFonts w:eastAsia="MS Mincho"/>
          <w:sz w:val="20"/>
          <w:szCs w:val="20"/>
          <w:lang w:val="en-US" w:eastAsia="en-US" w:bidi="en-US"/>
        </w:rPr>
        <w:t xml:space="preserve">before this Court that she gave verbal consent for the tubal ligation procedure. I.V. has stated that it was, during the visit of the </w:t>
      </w:r>
      <w:r w:rsidR="00593E9B" w:rsidRPr="00012C3F">
        <w:rPr>
          <w:rFonts w:eastAsia="MS Mincho"/>
          <w:sz w:val="20"/>
          <w:szCs w:val="20"/>
          <w:lang w:val="en-US" w:eastAsia="en-US" w:bidi="en-US"/>
        </w:rPr>
        <w:t>resident doctor</w:t>
      </w:r>
      <w:r w:rsidR="003430A8" w:rsidRPr="00012C3F">
        <w:rPr>
          <w:rFonts w:eastAsia="MS Mincho"/>
          <w:sz w:val="20"/>
          <w:szCs w:val="20"/>
          <w:lang w:val="en-US" w:eastAsia="en-US" w:bidi="en-US"/>
        </w:rPr>
        <w:t xml:space="preserve"> on </w:t>
      </w:r>
      <w:r w:rsidR="00E76911" w:rsidRPr="00012C3F">
        <w:rPr>
          <w:sz w:val="20"/>
          <w:szCs w:val="20"/>
          <w:lang w:val="en-US"/>
        </w:rPr>
        <w:t>July 2,</w:t>
      </w:r>
      <w:r w:rsidR="007A1A14" w:rsidRPr="00012C3F">
        <w:rPr>
          <w:sz w:val="20"/>
          <w:szCs w:val="20"/>
          <w:lang w:val="en-US"/>
        </w:rPr>
        <w:t xml:space="preserve"> 2000</w:t>
      </w:r>
      <w:r w:rsidR="0050312F" w:rsidRPr="00012C3F">
        <w:rPr>
          <w:sz w:val="20"/>
          <w:szCs w:val="20"/>
          <w:lang w:val="en-US"/>
        </w:rPr>
        <w:t>,</w:t>
      </w:r>
      <w:r w:rsidR="007A1A14" w:rsidRPr="00012C3F">
        <w:rPr>
          <w:sz w:val="20"/>
          <w:szCs w:val="20"/>
          <w:lang w:val="en-US"/>
        </w:rPr>
        <w:t xml:space="preserve"> </w:t>
      </w:r>
      <w:r w:rsidR="003430A8" w:rsidRPr="00012C3F">
        <w:rPr>
          <w:sz w:val="20"/>
          <w:szCs w:val="20"/>
          <w:lang w:val="en-US"/>
        </w:rPr>
        <w:t>that she became aware that the tubal ligation had been performed.</w:t>
      </w:r>
      <w:r w:rsidR="007A1A14" w:rsidRPr="00012C3F">
        <w:rPr>
          <w:sz w:val="20"/>
          <w:szCs w:val="20"/>
          <w:vertAlign w:val="superscript"/>
          <w:lang w:val="en-US"/>
        </w:rPr>
        <w:footnoteReference w:id="59"/>
      </w:r>
    </w:p>
    <w:p w14:paraId="26EE8CE2" w14:textId="77777777" w:rsidR="00216D7B" w:rsidRPr="00012C3F" w:rsidRDefault="00216D7B" w:rsidP="00FF19ED">
      <w:pPr>
        <w:tabs>
          <w:tab w:val="left" w:pos="720"/>
        </w:tabs>
        <w:spacing w:line="240" w:lineRule="auto"/>
        <w:rPr>
          <w:rFonts w:eastAsia="MS Mincho"/>
          <w:sz w:val="20"/>
          <w:szCs w:val="20"/>
          <w:lang w:val="en-US" w:eastAsia="en-US" w:bidi="en-US"/>
        </w:rPr>
      </w:pPr>
    </w:p>
    <w:p w14:paraId="289F8DA6" w14:textId="77777777" w:rsidR="003430A8" w:rsidRPr="00012C3F" w:rsidRDefault="003430A8" w:rsidP="00FF19E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Indeed, during the hearing in this case, in response to the question posed by her representative as to whether, when she was in the operating theater, she had been given an explanation, consulted, or requested to provide </w:t>
      </w:r>
      <w:r w:rsidR="00AC0004" w:rsidRPr="00012C3F">
        <w:rPr>
          <w:rFonts w:eastAsia="MS Mincho"/>
          <w:sz w:val="20"/>
          <w:szCs w:val="20"/>
          <w:lang w:val="en-US" w:eastAsia="en-US" w:bidi="en-US"/>
        </w:rPr>
        <w:t>informed consent</w:t>
      </w:r>
      <w:r w:rsidRPr="00012C3F">
        <w:rPr>
          <w:rFonts w:eastAsia="MS Mincho"/>
          <w:sz w:val="20"/>
          <w:szCs w:val="20"/>
          <w:lang w:val="en-US" w:eastAsia="en-US" w:bidi="en-US"/>
        </w:rPr>
        <w:t xml:space="preserve">, and when she became aware of her sterilization, I.V. stated: </w:t>
      </w:r>
    </w:p>
    <w:p w14:paraId="0C09E117" w14:textId="77777777" w:rsidR="0099287A" w:rsidRPr="00012C3F" w:rsidRDefault="0099287A" w:rsidP="00FF19ED">
      <w:pPr>
        <w:widowControl/>
        <w:tabs>
          <w:tab w:val="left" w:pos="720"/>
        </w:tabs>
        <w:adjustRightInd/>
        <w:spacing w:line="240" w:lineRule="auto"/>
        <w:ind w:right="-90"/>
        <w:textAlignment w:val="auto"/>
        <w:rPr>
          <w:rFonts w:eastAsia="MS Mincho"/>
          <w:sz w:val="20"/>
          <w:szCs w:val="20"/>
          <w:lang w:val="en-US" w:eastAsia="en-US" w:bidi="en-US"/>
        </w:rPr>
      </w:pPr>
    </w:p>
    <w:p w14:paraId="720CE347" w14:textId="77777777" w:rsidR="00E97634" w:rsidRPr="00012C3F" w:rsidRDefault="003430A8" w:rsidP="00491B95">
      <w:pPr>
        <w:tabs>
          <w:tab w:val="left" w:pos="720"/>
        </w:tabs>
        <w:spacing w:line="240" w:lineRule="auto"/>
        <w:ind w:left="720" w:right="588"/>
        <w:rPr>
          <w:sz w:val="16"/>
          <w:szCs w:val="16"/>
          <w:lang w:val="en-US"/>
        </w:rPr>
      </w:pPr>
      <w:r w:rsidRPr="00012C3F">
        <w:rPr>
          <w:sz w:val="16"/>
          <w:szCs w:val="16"/>
          <w:lang w:val="en-US"/>
        </w:rPr>
        <w:t xml:space="preserve">He never consulted me [referring to </w:t>
      </w:r>
      <w:r w:rsidR="0099287A" w:rsidRPr="00012C3F">
        <w:rPr>
          <w:sz w:val="16"/>
          <w:szCs w:val="16"/>
          <w:lang w:val="en-US"/>
        </w:rPr>
        <w:t>Dr. Torrico]</w:t>
      </w:r>
      <w:r w:rsidRPr="00012C3F">
        <w:rPr>
          <w:sz w:val="16"/>
          <w:szCs w:val="16"/>
          <w:lang w:val="en-US"/>
        </w:rPr>
        <w:t xml:space="preserve">; no explanation, nothing </w:t>
      </w:r>
      <w:r w:rsidR="0099287A" w:rsidRPr="00012C3F">
        <w:rPr>
          <w:sz w:val="16"/>
          <w:szCs w:val="16"/>
          <w:lang w:val="en-US"/>
        </w:rPr>
        <w:t>[…]</w:t>
      </w:r>
      <w:r w:rsidRPr="00012C3F">
        <w:rPr>
          <w:sz w:val="16"/>
          <w:szCs w:val="16"/>
          <w:lang w:val="en-US"/>
        </w:rPr>
        <w:t xml:space="preserve">; the doctor </w:t>
      </w:r>
      <w:r w:rsidR="00E97634" w:rsidRPr="00012C3F">
        <w:rPr>
          <w:sz w:val="16"/>
          <w:szCs w:val="16"/>
          <w:lang w:val="en-US"/>
        </w:rPr>
        <w:t xml:space="preserve">made an inhuman decision about my life, about my body, he tied my Fallopian tubes, even using the most radical method, the Pomeroy method, </w:t>
      </w:r>
      <w:r w:rsidR="00593E9B" w:rsidRPr="00012C3F">
        <w:rPr>
          <w:sz w:val="16"/>
          <w:szCs w:val="16"/>
          <w:lang w:val="en-US"/>
        </w:rPr>
        <w:t>destroying</w:t>
      </w:r>
      <w:r w:rsidR="00E97634" w:rsidRPr="00012C3F">
        <w:rPr>
          <w:sz w:val="16"/>
          <w:szCs w:val="16"/>
          <w:lang w:val="en-US"/>
        </w:rPr>
        <w:t xml:space="preserve"> my dreams […] and also those of my family. […] The only two questions that I was asked during </w:t>
      </w:r>
      <w:r w:rsidR="00136EDE" w:rsidRPr="00012C3F">
        <w:rPr>
          <w:sz w:val="16"/>
          <w:szCs w:val="16"/>
          <w:lang w:val="en-US"/>
        </w:rPr>
        <w:t>the caesarean section</w:t>
      </w:r>
      <w:r w:rsidR="00E97634" w:rsidRPr="00012C3F">
        <w:rPr>
          <w:sz w:val="16"/>
          <w:szCs w:val="16"/>
          <w:lang w:val="en-US"/>
        </w:rPr>
        <w:t xml:space="preserve"> procedure were: first, where did they perform the first </w:t>
      </w:r>
      <w:r w:rsidR="00593E9B" w:rsidRPr="00012C3F">
        <w:rPr>
          <w:sz w:val="16"/>
          <w:szCs w:val="16"/>
          <w:lang w:val="en-US"/>
        </w:rPr>
        <w:t>c</w:t>
      </w:r>
      <w:r w:rsidR="00E97634" w:rsidRPr="00012C3F">
        <w:rPr>
          <w:sz w:val="16"/>
          <w:szCs w:val="16"/>
          <w:lang w:val="en-US"/>
        </w:rPr>
        <w:t xml:space="preserve">aesarean section, to which I responded: in Lima, Peru, and the second was whether I had suffered complications, to which I responded: no. […] Dr. Vargas [also] didn’t tell me anything; he </w:t>
      </w:r>
      <w:r w:rsidR="00593E9B" w:rsidRPr="00012C3F">
        <w:rPr>
          <w:sz w:val="16"/>
          <w:szCs w:val="16"/>
          <w:lang w:val="en-US"/>
        </w:rPr>
        <w:t>said nothing</w:t>
      </w:r>
      <w:r w:rsidR="00E97634" w:rsidRPr="00012C3F">
        <w:rPr>
          <w:sz w:val="16"/>
          <w:szCs w:val="16"/>
          <w:lang w:val="en-US"/>
        </w:rPr>
        <w:t xml:space="preserve"> during the whole surgical procedure […].</w:t>
      </w:r>
    </w:p>
    <w:p w14:paraId="73781646" w14:textId="77777777" w:rsidR="0099287A" w:rsidRPr="00012C3F" w:rsidRDefault="0099287A" w:rsidP="00491B95">
      <w:pPr>
        <w:tabs>
          <w:tab w:val="left" w:pos="720"/>
        </w:tabs>
        <w:spacing w:line="240" w:lineRule="auto"/>
        <w:ind w:left="720" w:right="588"/>
        <w:rPr>
          <w:sz w:val="16"/>
          <w:szCs w:val="16"/>
          <w:lang w:val="en-US"/>
        </w:rPr>
      </w:pPr>
    </w:p>
    <w:p w14:paraId="60FB6274" w14:textId="77777777" w:rsidR="0099287A" w:rsidRPr="00012C3F" w:rsidRDefault="00E97634" w:rsidP="00491B95">
      <w:pPr>
        <w:tabs>
          <w:tab w:val="left" w:pos="720"/>
        </w:tabs>
        <w:spacing w:line="240" w:lineRule="auto"/>
        <w:ind w:left="720" w:right="588"/>
        <w:rPr>
          <w:sz w:val="16"/>
          <w:szCs w:val="16"/>
          <w:lang w:val="en-US"/>
        </w:rPr>
      </w:pPr>
      <w:r w:rsidRPr="00012C3F">
        <w:rPr>
          <w:sz w:val="16"/>
          <w:szCs w:val="16"/>
          <w:lang w:val="en-US"/>
        </w:rPr>
        <w:t xml:space="preserve">I found out on Sunday, July 2, during the medical visit by </w:t>
      </w:r>
      <w:r w:rsidR="0099287A" w:rsidRPr="00012C3F">
        <w:rPr>
          <w:sz w:val="16"/>
          <w:szCs w:val="16"/>
          <w:lang w:val="en-US"/>
        </w:rPr>
        <w:t>Dr. Marco Vargas Terrazas</w:t>
      </w:r>
      <w:r w:rsidRPr="00012C3F">
        <w:rPr>
          <w:sz w:val="16"/>
          <w:szCs w:val="16"/>
          <w:lang w:val="en-US"/>
        </w:rPr>
        <w:t>. He came over and I asked him how the operation had gone and he told me that it had gone well, but they had performed a tubal ligation, and I asked why they had done this and he told me that it was to safeguard my future life; then I asked whether</w:t>
      </w:r>
      <w:r w:rsidR="00593E9B" w:rsidRPr="00012C3F">
        <w:rPr>
          <w:sz w:val="16"/>
          <w:szCs w:val="16"/>
          <w:lang w:val="en-US"/>
        </w:rPr>
        <w:t xml:space="preserve"> </w:t>
      </w:r>
      <w:r w:rsidRPr="00012C3F">
        <w:rPr>
          <w:sz w:val="16"/>
          <w:szCs w:val="16"/>
          <w:lang w:val="en-US"/>
        </w:rPr>
        <w:t>the baby</w:t>
      </w:r>
      <w:r w:rsidR="00593E9B" w:rsidRPr="00012C3F">
        <w:rPr>
          <w:sz w:val="16"/>
          <w:szCs w:val="16"/>
          <w:lang w:val="en-US"/>
        </w:rPr>
        <w:t>’s life</w:t>
      </w:r>
      <w:r w:rsidRPr="00012C3F">
        <w:rPr>
          <w:sz w:val="16"/>
          <w:szCs w:val="16"/>
          <w:lang w:val="en-US"/>
        </w:rPr>
        <w:t xml:space="preserve"> or mine was in danger, and he said no, and then, when my husband came I told him what they had done to me and my husband was also outraged</w:t>
      </w:r>
      <w:r w:rsidR="008379AC" w:rsidRPr="00012C3F">
        <w:rPr>
          <w:sz w:val="16"/>
          <w:szCs w:val="16"/>
          <w:lang w:val="en-US"/>
        </w:rPr>
        <w:t>; he was really dismayed by everything they told us […]. My husband also asked him why they had not considered performing a vasectomy on him, and why had they performed a tubal ligation on me</w:t>
      </w:r>
      <w:r w:rsidR="0099287A" w:rsidRPr="00012C3F">
        <w:rPr>
          <w:sz w:val="16"/>
          <w:szCs w:val="16"/>
          <w:lang w:val="en-US"/>
        </w:rPr>
        <w:t xml:space="preserve"> […]</w:t>
      </w:r>
      <w:r w:rsidR="008379AC" w:rsidRPr="00012C3F">
        <w:rPr>
          <w:sz w:val="16"/>
          <w:szCs w:val="16"/>
          <w:lang w:val="en-US"/>
        </w:rPr>
        <w:t>.</w:t>
      </w:r>
      <w:r w:rsidR="0099287A" w:rsidRPr="00012C3F">
        <w:rPr>
          <w:sz w:val="16"/>
          <w:szCs w:val="16"/>
          <w:vertAlign w:val="superscript"/>
          <w:lang w:val="en-US"/>
        </w:rPr>
        <w:footnoteReference w:id="60"/>
      </w:r>
    </w:p>
    <w:p w14:paraId="26FCF30E" w14:textId="77777777" w:rsidR="0099287A" w:rsidRPr="00012C3F" w:rsidRDefault="0099287A" w:rsidP="00FF19ED">
      <w:pPr>
        <w:tabs>
          <w:tab w:val="left" w:pos="720"/>
        </w:tabs>
        <w:spacing w:line="240" w:lineRule="auto"/>
        <w:rPr>
          <w:sz w:val="20"/>
          <w:szCs w:val="20"/>
          <w:lang w:val="en-US"/>
        </w:rPr>
      </w:pPr>
    </w:p>
    <w:p w14:paraId="51051DAD" w14:textId="77777777" w:rsidR="007A1A14" w:rsidRPr="00012C3F" w:rsidRDefault="008379AC" w:rsidP="00FF19ED">
      <w:pPr>
        <w:numPr>
          <w:ilvl w:val="0"/>
          <w:numId w:val="5"/>
        </w:numPr>
        <w:tabs>
          <w:tab w:val="left" w:pos="720"/>
          <w:tab w:val="num" w:pos="12305"/>
        </w:tabs>
        <w:spacing w:line="240" w:lineRule="auto"/>
        <w:ind w:left="0" w:firstLine="0"/>
        <w:rPr>
          <w:sz w:val="20"/>
          <w:szCs w:val="20"/>
          <w:lang w:val="en-US"/>
        </w:rPr>
      </w:pPr>
      <w:r w:rsidRPr="00012C3F">
        <w:rPr>
          <w:rFonts w:eastAsia="MS Mincho"/>
          <w:sz w:val="20"/>
          <w:szCs w:val="20"/>
          <w:lang w:val="en-US" w:eastAsia="en-US" w:bidi="en-US"/>
        </w:rPr>
        <w:t>Consequently, there are contrary versions of the same fact because</w:t>
      </w:r>
      <w:r w:rsidR="00593E9B" w:rsidRPr="00012C3F">
        <w:rPr>
          <w:rFonts w:eastAsia="MS Mincho"/>
          <w:sz w:val="20"/>
          <w:szCs w:val="20"/>
          <w:lang w:val="en-US" w:eastAsia="en-US" w:bidi="en-US"/>
        </w:rPr>
        <w:t>,</w:t>
      </w:r>
      <w:r w:rsidRPr="00012C3F">
        <w:rPr>
          <w:rFonts w:eastAsia="MS Mincho"/>
          <w:sz w:val="20"/>
          <w:szCs w:val="20"/>
          <w:lang w:val="en-US" w:eastAsia="en-US" w:bidi="en-US"/>
        </w:rPr>
        <w:t xml:space="preserve"> while the doctor who </w:t>
      </w:r>
      <w:r w:rsidR="00593E9B" w:rsidRPr="00012C3F">
        <w:rPr>
          <w:rFonts w:eastAsia="MS Mincho"/>
          <w:sz w:val="20"/>
          <w:szCs w:val="20"/>
          <w:lang w:val="en-US" w:eastAsia="en-US" w:bidi="en-US"/>
        </w:rPr>
        <w:t>performed</w:t>
      </w:r>
      <w:r w:rsidRPr="00012C3F">
        <w:rPr>
          <w:rFonts w:eastAsia="MS Mincho"/>
          <w:sz w:val="20"/>
          <w:szCs w:val="20"/>
          <w:lang w:val="en-US" w:eastAsia="en-US" w:bidi="en-US"/>
        </w:rPr>
        <w:t xml:space="preserve"> the procedure affirms that he had obtained the</w:t>
      </w:r>
      <w:r w:rsidR="00216D7B"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00216D7B" w:rsidRPr="00012C3F">
        <w:rPr>
          <w:rFonts w:eastAsia="MS Mincho"/>
          <w:sz w:val="20"/>
          <w:szCs w:val="20"/>
          <w:lang w:val="en-US" w:eastAsia="en-US" w:bidi="en-US"/>
        </w:rPr>
        <w:t xml:space="preserve"> </w:t>
      </w:r>
      <w:r w:rsidRPr="00012C3F">
        <w:rPr>
          <w:rFonts w:eastAsia="MS Mincho"/>
          <w:sz w:val="20"/>
          <w:szCs w:val="20"/>
          <w:lang w:val="en-US" w:eastAsia="en-US" w:bidi="en-US"/>
        </w:rPr>
        <w:t>of</w:t>
      </w:r>
      <w:r w:rsidR="00216D7B" w:rsidRPr="00012C3F">
        <w:rPr>
          <w:rFonts w:eastAsia="MS Mincho"/>
          <w:sz w:val="20"/>
          <w:szCs w:val="20"/>
          <w:lang w:val="en-US" w:eastAsia="en-US" w:bidi="en-US"/>
        </w:rPr>
        <w:t xml:space="preserve"> </w:t>
      </w:r>
      <w:r w:rsidR="000E1C11" w:rsidRPr="00012C3F">
        <w:rPr>
          <w:rFonts w:eastAsia="MS Mincho"/>
          <w:sz w:val="20"/>
          <w:szCs w:val="20"/>
          <w:lang w:val="en-US" w:eastAsia="en-US" w:bidi="en-US"/>
        </w:rPr>
        <w:t>I.V.</w:t>
      </w:r>
      <w:r w:rsidR="00216D7B"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she indicates </w:t>
      </w:r>
      <w:r w:rsidR="002E2489" w:rsidRPr="00012C3F">
        <w:rPr>
          <w:rFonts w:eastAsia="MS Mincho"/>
          <w:sz w:val="20"/>
          <w:szCs w:val="20"/>
          <w:lang w:val="en-US" w:eastAsia="en-US" w:bidi="en-US"/>
        </w:rPr>
        <w:t>the</w:t>
      </w:r>
      <w:r w:rsidRPr="00012C3F">
        <w:rPr>
          <w:rFonts w:eastAsia="MS Mincho"/>
          <w:sz w:val="20"/>
          <w:szCs w:val="20"/>
          <w:lang w:val="en-US" w:eastAsia="en-US" w:bidi="en-US"/>
        </w:rPr>
        <w:t xml:space="preserve"> contrary and denies having provided it, a matter that will be analyzed when examining the merits of this judgment </w:t>
      </w:r>
      <w:r w:rsidR="007A1A14" w:rsidRPr="00012C3F">
        <w:rPr>
          <w:sz w:val="20"/>
          <w:szCs w:val="20"/>
          <w:lang w:val="en-US"/>
        </w:rPr>
        <w:t>(</w:t>
      </w:r>
      <w:r w:rsidR="007A1A14" w:rsidRPr="00012C3F">
        <w:rPr>
          <w:i/>
          <w:sz w:val="20"/>
          <w:szCs w:val="20"/>
          <w:lang w:val="en-US"/>
        </w:rPr>
        <w:t>infra</w:t>
      </w:r>
      <w:r w:rsidR="007A1A14" w:rsidRPr="00012C3F">
        <w:rPr>
          <w:sz w:val="20"/>
          <w:szCs w:val="20"/>
          <w:lang w:val="en-US"/>
        </w:rPr>
        <w:t xml:space="preserve"> </w:t>
      </w:r>
      <w:r w:rsidR="00370DD4" w:rsidRPr="00012C3F">
        <w:rPr>
          <w:sz w:val="20"/>
          <w:szCs w:val="20"/>
          <w:lang w:val="en-US"/>
        </w:rPr>
        <w:t>paras.</w:t>
      </w:r>
      <w:r w:rsidR="009B320D" w:rsidRPr="00012C3F">
        <w:rPr>
          <w:sz w:val="20"/>
          <w:szCs w:val="20"/>
          <w:lang w:val="en-US"/>
        </w:rPr>
        <w:t xml:space="preserve"> 224 </w:t>
      </w:r>
      <w:r w:rsidRPr="00012C3F">
        <w:rPr>
          <w:sz w:val="20"/>
          <w:szCs w:val="20"/>
          <w:lang w:val="en-US"/>
        </w:rPr>
        <w:t>to</w:t>
      </w:r>
      <w:r w:rsidR="009B320D" w:rsidRPr="00012C3F">
        <w:rPr>
          <w:sz w:val="20"/>
          <w:szCs w:val="20"/>
          <w:lang w:val="en-US"/>
        </w:rPr>
        <w:t xml:space="preserve"> 236).</w:t>
      </w:r>
    </w:p>
    <w:p w14:paraId="4C505B86" w14:textId="77777777" w:rsidR="007A1A14" w:rsidRPr="00012C3F" w:rsidRDefault="007A1A14" w:rsidP="00FF19ED">
      <w:pPr>
        <w:tabs>
          <w:tab w:val="left" w:pos="720"/>
        </w:tabs>
        <w:spacing w:line="240" w:lineRule="auto"/>
        <w:ind w:right="360"/>
        <w:rPr>
          <w:sz w:val="20"/>
          <w:szCs w:val="20"/>
          <w:lang w:val="en-US"/>
        </w:rPr>
      </w:pPr>
    </w:p>
    <w:p w14:paraId="41D4102D" w14:textId="77777777" w:rsidR="007A1A14" w:rsidRPr="00012C3F" w:rsidRDefault="000E1C11" w:rsidP="00FF19E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I.V.</w:t>
      </w:r>
      <w:r w:rsidR="005E5012" w:rsidRPr="00012C3F">
        <w:rPr>
          <w:sz w:val="20"/>
          <w:szCs w:val="20"/>
          <w:lang w:val="en-US"/>
        </w:rPr>
        <w:t xml:space="preserve"> and </w:t>
      </w:r>
      <w:r w:rsidR="008379AC" w:rsidRPr="00012C3F">
        <w:rPr>
          <w:sz w:val="20"/>
          <w:szCs w:val="20"/>
          <w:lang w:val="en-US"/>
        </w:rPr>
        <w:t xml:space="preserve">her daughter were released from hospital on July 5, </w:t>
      </w:r>
      <w:r w:rsidR="007A1A14" w:rsidRPr="00012C3F">
        <w:rPr>
          <w:sz w:val="20"/>
          <w:szCs w:val="20"/>
          <w:lang w:val="en-US"/>
        </w:rPr>
        <w:t>2000</w:t>
      </w:r>
      <w:r w:rsidR="008379AC" w:rsidRPr="00012C3F">
        <w:rPr>
          <w:sz w:val="20"/>
          <w:szCs w:val="20"/>
          <w:lang w:val="en-US"/>
        </w:rPr>
        <w:t>.</w:t>
      </w:r>
      <w:r w:rsidR="007A1A14" w:rsidRPr="00012C3F">
        <w:rPr>
          <w:rStyle w:val="Refdenotaalpie"/>
          <w:sz w:val="20"/>
          <w:szCs w:val="20"/>
          <w:lang w:val="en-US"/>
        </w:rPr>
        <w:footnoteReference w:id="61"/>
      </w:r>
    </w:p>
    <w:p w14:paraId="7F7D68C8" w14:textId="77777777" w:rsidR="007A1A14" w:rsidRPr="00012C3F" w:rsidRDefault="007A1A14" w:rsidP="007A1A14">
      <w:pPr>
        <w:spacing w:line="240" w:lineRule="auto"/>
        <w:ind w:right="360"/>
        <w:rPr>
          <w:sz w:val="20"/>
          <w:szCs w:val="20"/>
          <w:lang w:val="en-US"/>
        </w:rPr>
      </w:pPr>
    </w:p>
    <w:p w14:paraId="0929CA14" w14:textId="77777777" w:rsidR="007A1A14" w:rsidRPr="00012C3F" w:rsidRDefault="007A1A14" w:rsidP="00040BA7">
      <w:pPr>
        <w:keepNext/>
        <w:keepLines/>
        <w:tabs>
          <w:tab w:val="left" w:pos="1134"/>
        </w:tabs>
        <w:spacing w:line="240" w:lineRule="auto"/>
        <w:ind w:left="567" w:firstLine="1"/>
        <w:outlineLvl w:val="1"/>
        <w:rPr>
          <w:rFonts w:eastAsia="MS Mincho"/>
          <w:b/>
          <w:bCs/>
          <w:i/>
          <w:sz w:val="20"/>
          <w:szCs w:val="20"/>
          <w:lang w:val="en-US"/>
        </w:rPr>
      </w:pPr>
      <w:bookmarkStart w:id="94" w:name="_Toc27486839"/>
      <w:r w:rsidRPr="00012C3F">
        <w:rPr>
          <w:rFonts w:eastAsia="MS Mincho"/>
          <w:b/>
          <w:bCs/>
          <w:i/>
          <w:sz w:val="20"/>
          <w:szCs w:val="20"/>
          <w:lang w:val="en-US"/>
        </w:rPr>
        <w:t xml:space="preserve">C. </w:t>
      </w:r>
      <w:r w:rsidRPr="00012C3F">
        <w:rPr>
          <w:rFonts w:eastAsia="MS Mincho"/>
          <w:b/>
          <w:bCs/>
          <w:i/>
          <w:sz w:val="20"/>
          <w:szCs w:val="20"/>
          <w:lang w:val="en-US"/>
        </w:rPr>
        <w:tab/>
      </w:r>
      <w:r w:rsidR="008379AC" w:rsidRPr="00012C3F">
        <w:rPr>
          <w:rFonts w:eastAsia="MS Mincho"/>
          <w:b/>
          <w:bCs/>
          <w:i/>
          <w:sz w:val="20"/>
          <w:szCs w:val="20"/>
          <w:lang w:val="en-US"/>
        </w:rPr>
        <w:t>Medical audits and report of the Ethics Tribunal of the</w:t>
      </w:r>
      <w:r w:rsidRPr="00012C3F">
        <w:rPr>
          <w:rFonts w:eastAsia="MS Mincho"/>
          <w:b/>
          <w:bCs/>
          <w:i/>
          <w:sz w:val="20"/>
          <w:szCs w:val="20"/>
          <w:lang w:val="en-US"/>
        </w:rPr>
        <w:t xml:space="preserve"> </w:t>
      </w:r>
      <w:r w:rsidR="008379AC" w:rsidRPr="00012C3F">
        <w:rPr>
          <w:rFonts w:eastAsia="MS Mincho"/>
          <w:b/>
          <w:bCs/>
          <w:i/>
          <w:sz w:val="20"/>
          <w:szCs w:val="20"/>
          <w:lang w:val="en-US"/>
        </w:rPr>
        <w:t xml:space="preserve">La Paz Departmental </w:t>
      </w:r>
      <w:r w:rsidR="00164743" w:rsidRPr="00012C3F">
        <w:rPr>
          <w:rFonts w:eastAsia="MS Mincho"/>
          <w:b/>
          <w:bCs/>
          <w:i/>
          <w:sz w:val="20"/>
          <w:szCs w:val="20"/>
          <w:lang w:val="en-US"/>
        </w:rPr>
        <w:t>Medical Association</w:t>
      </w:r>
      <w:bookmarkEnd w:id="94"/>
    </w:p>
    <w:p w14:paraId="233A19D7" w14:textId="77777777" w:rsidR="007A1A14" w:rsidRPr="00012C3F" w:rsidRDefault="007A1A14" w:rsidP="007A1A14">
      <w:pPr>
        <w:spacing w:line="240" w:lineRule="auto"/>
        <w:rPr>
          <w:b/>
          <w:sz w:val="20"/>
          <w:szCs w:val="20"/>
          <w:lang w:val="en-US"/>
        </w:rPr>
      </w:pPr>
    </w:p>
    <w:p w14:paraId="06FE05E8" w14:textId="77777777" w:rsidR="007A1A14" w:rsidRPr="00012C3F" w:rsidRDefault="00F36FE0" w:rsidP="008379A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 xml:space="preserve">As a result of the facts and the claims filed by I.V., three medical audits were conducted </w:t>
      </w:r>
      <w:r w:rsidR="005E5012" w:rsidRPr="00012C3F">
        <w:rPr>
          <w:sz w:val="20"/>
          <w:szCs w:val="20"/>
          <w:lang w:val="en-US"/>
        </w:rPr>
        <w:t xml:space="preserve">and </w:t>
      </w:r>
      <w:r w:rsidR="008379AC" w:rsidRPr="00012C3F">
        <w:rPr>
          <w:sz w:val="20"/>
          <w:szCs w:val="20"/>
          <w:lang w:val="en-US"/>
        </w:rPr>
        <w:t xml:space="preserve">the Ethics </w:t>
      </w:r>
      <w:r w:rsidRPr="00012C3F">
        <w:rPr>
          <w:sz w:val="20"/>
          <w:szCs w:val="20"/>
          <w:lang w:val="en-US"/>
        </w:rPr>
        <w:t>Tribunal of the La</w:t>
      </w:r>
      <w:r w:rsidR="008379AC" w:rsidRPr="00012C3F">
        <w:rPr>
          <w:sz w:val="20"/>
          <w:szCs w:val="20"/>
          <w:lang w:val="en-US"/>
        </w:rPr>
        <w:t xml:space="preserve"> Paz Departmental </w:t>
      </w:r>
      <w:r w:rsidR="00164743" w:rsidRPr="00012C3F">
        <w:rPr>
          <w:sz w:val="20"/>
          <w:szCs w:val="20"/>
          <w:lang w:val="en-US"/>
        </w:rPr>
        <w:t>Medical Association</w:t>
      </w:r>
      <w:r w:rsidR="007A1A14" w:rsidRPr="00012C3F">
        <w:rPr>
          <w:sz w:val="20"/>
          <w:szCs w:val="20"/>
          <w:lang w:val="en-US"/>
        </w:rPr>
        <w:t xml:space="preserve"> </w:t>
      </w:r>
      <w:r w:rsidRPr="00012C3F">
        <w:rPr>
          <w:sz w:val="20"/>
          <w:szCs w:val="20"/>
          <w:lang w:val="en-US"/>
        </w:rPr>
        <w:t>issued a ruling concerning the tubal ligation</w:t>
      </w:r>
      <w:r w:rsidR="00CF3F2F" w:rsidRPr="00012C3F">
        <w:rPr>
          <w:sz w:val="20"/>
          <w:szCs w:val="20"/>
          <w:lang w:val="en-US"/>
        </w:rPr>
        <w:t xml:space="preserve"> </w:t>
      </w:r>
      <w:r w:rsidRPr="00012C3F">
        <w:rPr>
          <w:sz w:val="20"/>
          <w:szCs w:val="20"/>
          <w:lang w:val="en-US"/>
        </w:rPr>
        <w:t>performed on</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00593E9B" w:rsidRPr="00012C3F">
        <w:rPr>
          <w:sz w:val="20"/>
          <w:szCs w:val="20"/>
          <w:lang w:val="en-US"/>
        </w:rPr>
        <w:t>following</w:t>
      </w:r>
      <w:r w:rsidRPr="00012C3F">
        <w:rPr>
          <w:sz w:val="20"/>
          <w:szCs w:val="20"/>
          <w:lang w:val="en-US"/>
        </w:rPr>
        <w:t xml:space="preserve"> </w:t>
      </w:r>
      <w:r w:rsidR="00136EDE" w:rsidRPr="00012C3F">
        <w:rPr>
          <w:sz w:val="20"/>
          <w:szCs w:val="20"/>
          <w:lang w:val="en-US"/>
        </w:rPr>
        <w:t>the caesarean section</w:t>
      </w:r>
      <w:r w:rsidR="007A1A14" w:rsidRPr="00012C3F">
        <w:rPr>
          <w:sz w:val="20"/>
          <w:szCs w:val="20"/>
          <w:lang w:val="en-US"/>
        </w:rPr>
        <w:t>.</w:t>
      </w:r>
    </w:p>
    <w:p w14:paraId="5A353C9E" w14:textId="77777777" w:rsidR="007A1A14" w:rsidRPr="00012C3F" w:rsidRDefault="007A1A14" w:rsidP="008379AC">
      <w:pPr>
        <w:tabs>
          <w:tab w:val="left" w:pos="720"/>
        </w:tabs>
        <w:spacing w:line="240" w:lineRule="auto"/>
        <w:rPr>
          <w:sz w:val="20"/>
          <w:szCs w:val="20"/>
          <w:lang w:val="en-US"/>
        </w:rPr>
      </w:pPr>
    </w:p>
    <w:p w14:paraId="47636119" w14:textId="77777777" w:rsidR="007A1A14" w:rsidRPr="00012C3F" w:rsidRDefault="007A1A14" w:rsidP="008379AC">
      <w:pPr>
        <w:pStyle w:val="Ttulo2"/>
        <w:tabs>
          <w:tab w:val="left" w:pos="720"/>
          <w:tab w:val="left" w:pos="1701"/>
        </w:tabs>
        <w:spacing w:before="0" w:line="240" w:lineRule="auto"/>
        <w:ind w:left="1134"/>
        <w:rPr>
          <w:rFonts w:ascii="Verdana" w:hAnsi="Verdana"/>
          <w:b w:val="0"/>
          <w:i/>
          <w:color w:val="auto"/>
          <w:sz w:val="20"/>
          <w:szCs w:val="20"/>
          <w:lang w:val="en-US"/>
        </w:rPr>
      </w:pPr>
      <w:bookmarkStart w:id="95" w:name="_Toc27486840"/>
      <w:r w:rsidRPr="00012C3F">
        <w:rPr>
          <w:rFonts w:ascii="Verdana" w:hAnsi="Verdana"/>
          <w:b w:val="0"/>
          <w:i/>
          <w:color w:val="auto"/>
          <w:sz w:val="20"/>
          <w:szCs w:val="20"/>
          <w:lang w:val="en-US"/>
        </w:rPr>
        <w:t xml:space="preserve">C.1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First medical audit</w:t>
      </w:r>
      <w:bookmarkEnd w:id="95"/>
    </w:p>
    <w:p w14:paraId="4A90E4E8" w14:textId="77777777" w:rsidR="007A1A14" w:rsidRPr="00012C3F" w:rsidRDefault="007A1A14" w:rsidP="008379AC">
      <w:pPr>
        <w:tabs>
          <w:tab w:val="left" w:pos="720"/>
        </w:tabs>
        <w:spacing w:line="240" w:lineRule="auto"/>
        <w:rPr>
          <w:i/>
          <w:sz w:val="20"/>
          <w:szCs w:val="20"/>
          <w:lang w:val="en-US"/>
        </w:rPr>
      </w:pPr>
    </w:p>
    <w:p w14:paraId="33AA768B" w14:textId="77777777" w:rsidR="007A1A14" w:rsidRPr="00012C3F" w:rsidRDefault="00F36FE0" w:rsidP="008379A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7A1A14" w:rsidRPr="00012C3F">
        <w:rPr>
          <w:sz w:val="20"/>
          <w:szCs w:val="20"/>
          <w:lang w:val="en-US"/>
        </w:rPr>
        <w:t xml:space="preserve"> </w:t>
      </w:r>
      <w:r w:rsidRPr="00012C3F">
        <w:rPr>
          <w:sz w:val="20"/>
          <w:szCs w:val="20"/>
          <w:lang w:val="en-US"/>
        </w:rPr>
        <w:t>f</w:t>
      </w:r>
      <w:r w:rsidR="006C705C" w:rsidRPr="00012C3F">
        <w:rPr>
          <w:sz w:val="20"/>
          <w:szCs w:val="20"/>
          <w:lang w:val="en-US"/>
        </w:rPr>
        <w:t>irst medical audit</w:t>
      </w:r>
      <w:r w:rsidR="007A1A14" w:rsidRPr="00012C3F">
        <w:rPr>
          <w:sz w:val="20"/>
          <w:szCs w:val="20"/>
          <w:lang w:val="en-US"/>
        </w:rPr>
        <w:t xml:space="preserve"> </w:t>
      </w:r>
      <w:r w:rsidRPr="00012C3F">
        <w:rPr>
          <w:sz w:val="20"/>
          <w:szCs w:val="20"/>
          <w:lang w:val="en-US"/>
        </w:rPr>
        <w:t>was conducted by the Audit Committee</w:t>
      </w:r>
      <w:r w:rsidR="00FF19ED" w:rsidRPr="00012C3F">
        <w:rPr>
          <w:sz w:val="20"/>
          <w:szCs w:val="20"/>
          <w:lang w:val="en-US"/>
        </w:rPr>
        <w:t xml:space="preserve"> of the </w:t>
      </w:r>
      <w:r w:rsidR="00583403" w:rsidRPr="00012C3F">
        <w:rPr>
          <w:sz w:val="20"/>
          <w:szCs w:val="20"/>
          <w:lang w:val="en-US"/>
        </w:rPr>
        <w:t>Women’s Hospital</w:t>
      </w:r>
      <w:r w:rsidRPr="00012C3F">
        <w:rPr>
          <w:sz w:val="20"/>
          <w:szCs w:val="20"/>
          <w:lang w:val="en-US"/>
        </w:rPr>
        <w:t>.</w:t>
      </w:r>
      <w:r w:rsidR="007A1A14" w:rsidRPr="00012C3F">
        <w:rPr>
          <w:rStyle w:val="Refdenotaalpie"/>
          <w:sz w:val="20"/>
          <w:szCs w:val="20"/>
          <w:lang w:val="en-US"/>
        </w:rPr>
        <w:footnoteReference w:id="62"/>
      </w:r>
      <w:r w:rsidR="007A1A14" w:rsidRPr="00012C3F">
        <w:rPr>
          <w:sz w:val="20"/>
          <w:szCs w:val="20"/>
          <w:lang w:val="en-US"/>
        </w:rPr>
        <w:t xml:space="preserve"> </w:t>
      </w:r>
      <w:r w:rsidRPr="00012C3F">
        <w:rPr>
          <w:sz w:val="20"/>
          <w:szCs w:val="20"/>
          <w:lang w:val="en-US"/>
        </w:rPr>
        <w:t>This committee issued its conclusions based on the reports prepared by the medical personnel present during the surgical procedure.</w:t>
      </w:r>
      <w:r w:rsidR="007A1A14" w:rsidRPr="00012C3F">
        <w:rPr>
          <w:sz w:val="20"/>
          <w:szCs w:val="20"/>
          <w:vertAlign w:val="superscript"/>
          <w:lang w:val="en-US"/>
        </w:rPr>
        <w:footnoteReference w:id="63"/>
      </w:r>
    </w:p>
    <w:p w14:paraId="2D92794E" w14:textId="77777777" w:rsidR="007A1A14" w:rsidRPr="00012C3F" w:rsidRDefault="007A1A14" w:rsidP="008379AC">
      <w:pPr>
        <w:tabs>
          <w:tab w:val="left" w:pos="720"/>
        </w:tabs>
        <w:spacing w:line="240" w:lineRule="auto"/>
        <w:rPr>
          <w:sz w:val="20"/>
          <w:szCs w:val="20"/>
          <w:lang w:val="en-US"/>
        </w:rPr>
      </w:pPr>
    </w:p>
    <w:p w14:paraId="674471C3" w14:textId="77777777" w:rsidR="007A1A14" w:rsidRPr="00012C3F" w:rsidRDefault="00F36FE0" w:rsidP="008379A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In its report </w:t>
      </w:r>
      <w:r w:rsidR="00800C58" w:rsidRPr="00012C3F">
        <w:rPr>
          <w:sz w:val="20"/>
          <w:szCs w:val="20"/>
          <w:lang w:val="en-US"/>
        </w:rPr>
        <w:t>of August 22,</w:t>
      </w:r>
      <w:r w:rsidR="007A1A14" w:rsidRPr="00012C3F">
        <w:rPr>
          <w:sz w:val="20"/>
          <w:szCs w:val="20"/>
          <w:lang w:val="en-US"/>
        </w:rPr>
        <w:t xml:space="preserve"> 2000, </w:t>
      </w:r>
      <w:r w:rsidRPr="00012C3F">
        <w:rPr>
          <w:sz w:val="20"/>
          <w:szCs w:val="20"/>
          <w:lang w:val="en-US"/>
        </w:rPr>
        <w:t>the Committee concluded that</w:t>
      </w:r>
      <w:r w:rsidR="007A1A14" w:rsidRPr="00012C3F">
        <w:rPr>
          <w:sz w:val="20"/>
          <w:szCs w:val="20"/>
          <w:lang w:val="en-US"/>
        </w:rPr>
        <w:t>:</w:t>
      </w:r>
    </w:p>
    <w:p w14:paraId="47CD2A2B" w14:textId="77777777" w:rsidR="007A1A14" w:rsidRPr="00012C3F" w:rsidRDefault="007A1A14" w:rsidP="007A1A14">
      <w:pPr>
        <w:spacing w:line="240" w:lineRule="auto"/>
        <w:rPr>
          <w:sz w:val="20"/>
          <w:szCs w:val="20"/>
          <w:lang w:val="en-US"/>
        </w:rPr>
      </w:pPr>
    </w:p>
    <w:p w14:paraId="24D795C7" w14:textId="77777777" w:rsidR="007A1A14" w:rsidRPr="00012C3F" w:rsidRDefault="007A1A14" w:rsidP="00CA0B0F">
      <w:pPr>
        <w:tabs>
          <w:tab w:val="left" w:pos="1080"/>
          <w:tab w:val="left" w:pos="1680"/>
          <w:tab w:val="left" w:pos="5400"/>
        </w:tabs>
        <w:suppressAutoHyphens/>
        <w:spacing w:line="240" w:lineRule="auto"/>
        <w:ind w:left="720" w:right="571"/>
        <w:rPr>
          <w:rFonts w:cs="Arial"/>
          <w:sz w:val="16"/>
          <w:szCs w:val="16"/>
          <w:lang w:val="en-US"/>
        </w:rPr>
      </w:pPr>
      <w:r w:rsidRPr="00012C3F">
        <w:rPr>
          <w:sz w:val="16"/>
          <w:szCs w:val="16"/>
          <w:lang w:val="en-US"/>
        </w:rPr>
        <w:t>[…]</w:t>
      </w:r>
      <w:r w:rsidR="00CA0B0F" w:rsidRPr="00012C3F">
        <w:rPr>
          <w:sz w:val="16"/>
          <w:szCs w:val="16"/>
          <w:lang w:val="en-US"/>
        </w:rPr>
        <w:t xml:space="preserve"> having taken the decision to perform </w:t>
      </w:r>
      <w:r w:rsidR="00CC232E" w:rsidRPr="00012C3F">
        <w:rPr>
          <w:sz w:val="16"/>
          <w:szCs w:val="16"/>
          <w:lang w:val="en-US"/>
        </w:rPr>
        <w:t>a caesarean section</w:t>
      </w:r>
      <w:r w:rsidR="00CA0B0F" w:rsidRPr="00012C3F">
        <w:rPr>
          <w:sz w:val="16"/>
          <w:szCs w:val="16"/>
          <w:lang w:val="en-US"/>
        </w:rPr>
        <w:t xml:space="preserve"> due to the aforementioned complications (adhesions), at that point the surgeon takes the decision to consult the patient, who was conscious (epidural anesthesia) regarding a bilateral tubal ligation, because of the risk to her life if she had to undergo another similar operation. The mother</w:t>
      </w:r>
      <w:r w:rsidR="00593E9B" w:rsidRPr="00012C3F">
        <w:rPr>
          <w:sz w:val="16"/>
          <w:szCs w:val="16"/>
          <w:lang w:val="en-US"/>
        </w:rPr>
        <w:t>, who was awake,</w:t>
      </w:r>
      <w:r w:rsidR="00CA0B0F" w:rsidRPr="00012C3F">
        <w:rPr>
          <w:sz w:val="16"/>
          <w:szCs w:val="16"/>
          <w:lang w:val="en-US"/>
        </w:rPr>
        <w:t xml:space="preserve"> gives the corresponding authorization for that procedure; this reply is confirmed and </w:t>
      </w:r>
      <w:r w:rsidR="00593E9B" w:rsidRPr="00012C3F">
        <w:rPr>
          <w:sz w:val="16"/>
          <w:szCs w:val="16"/>
          <w:lang w:val="en-US"/>
        </w:rPr>
        <w:t>was witnessed</w:t>
      </w:r>
      <w:r w:rsidR="00CA0B0F" w:rsidRPr="00012C3F">
        <w:rPr>
          <w:sz w:val="16"/>
          <w:szCs w:val="16"/>
          <w:lang w:val="en-US"/>
        </w:rPr>
        <w:t xml:space="preserve"> by the members of the surgical team, third-year resident Rodrigo Arnez and the person responsible for preparing the operating theater, María Modesta Ticona. A request was also made to find the husband to give his authorization, but he could not be found at that time</w:t>
      </w:r>
      <w:r w:rsidRPr="00012C3F">
        <w:rPr>
          <w:sz w:val="16"/>
          <w:szCs w:val="16"/>
          <w:lang w:val="en-US"/>
        </w:rPr>
        <w:t>.</w:t>
      </w:r>
    </w:p>
    <w:p w14:paraId="7D99CB2E" w14:textId="77777777" w:rsidR="007A1A14" w:rsidRPr="00012C3F" w:rsidRDefault="007A1A14" w:rsidP="007A1A14">
      <w:pPr>
        <w:spacing w:line="240" w:lineRule="auto"/>
        <w:rPr>
          <w:sz w:val="20"/>
          <w:szCs w:val="20"/>
          <w:lang w:val="en-US"/>
        </w:rPr>
      </w:pPr>
    </w:p>
    <w:p w14:paraId="1014A664"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96" w:name="_Toc27486841"/>
      <w:r w:rsidRPr="00012C3F">
        <w:rPr>
          <w:rFonts w:ascii="Verdana" w:hAnsi="Verdana"/>
          <w:b w:val="0"/>
          <w:i/>
          <w:color w:val="auto"/>
          <w:sz w:val="20"/>
          <w:szCs w:val="20"/>
          <w:lang w:val="en-US"/>
        </w:rPr>
        <w:t xml:space="preserve">C.2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Second medical audit</w:t>
      </w:r>
      <w:bookmarkEnd w:id="96"/>
    </w:p>
    <w:p w14:paraId="033FF56A" w14:textId="77777777" w:rsidR="007A1A14" w:rsidRPr="00012C3F" w:rsidRDefault="007A1A14" w:rsidP="007A1A14">
      <w:pPr>
        <w:spacing w:line="240" w:lineRule="auto"/>
        <w:rPr>
          <w:i/>
          <w:sz w:val="20"/>
          <w:szCs w:val="20"/>
          <w:lang w:val="en-US"/>
        </w:rPr>
      </w:pPr>
      <w:r w:rsidRPr="00012C3F">
        <w:rPr>
          <w:i/>
          <w:sz w:val="20"/>
          <w:szCs w:val="20"/>
          <w:lang w:val="en-US"/>
        </w:rPr>
        <w:tab/>
      </w:r>
    </w:p>
    <w:p w14:paraId="47B6A7FE" w14:textId="77777777" w:rsidR="007A1A14" w:rsidRPr="00012C3F" w:rsidRDefault="00CA0B0F" w:rsidP="00CA0B0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7A1A14" w:rsidRPr="00012C3F">
        <w:rPr>
          <w:sz w:val="20"/>
          <w:szCs w:val="20"/>
          <w:lang w:val="en-US"/>
        </w:rPr>
        <w:t xml:space="preserve"> </w:t>
      </w:r>
      <w:r w:rsidRPr="00012C3F">
        <w:rPr>
          <w:sz w:val="20"/>
          <w:szCs w:val="20"/>
          <w:lang w:val="en-US"/>
        </w:rPr>
        <w:t>s</w:t>
      </w:r>
      <w:r w:rsidR="006C705C" w:rsidRPr="00012C3F">
        <w:rPr>
          <w:sz w:val="20"/>
          <w:szCs w:val="20"/>
          <w:lang w:val="en-US"/>
        </w:rPr>
        <w:t>econd medical audit</w:t>
      </w:r>
      <w:r w:rsidR="007A1A14" w:rsidRPr="00012C3F">
        <w:rPr>
          <w:sz w:val="20"/>
          <w:szCs w:val="20"/>
          <w:lang w:val="en-US"/>
        </w:rPr>
        <w:t xml:space="preserve"> </w:t>
      </w:r>
      <w:r w:rsidRPr="00012C3F">
        <w:rPr>
          <w:sz w:val="20"/>
          <w:szCs w:val="20"/>
          <w:lang w:val="en-US"/>
        </w:rPr>
        <w:t>was conducted by the</w:t>
      </w:r>
      <w:r w:rsidR="007A1A14" w:rsidRPr="00012C3F">
        <w:rPr>
          <w:sz w:val="20"/>
          <w:szCs w:val="20"/>
          <w:lang w:val="en-US"/>
        </w:rPr>
        <w:t xml:space="preserve"> </w:t>
      </w:r>
      <w:r w:rsidR="00593E9B" w:rsidRPr="00012C3F">
        <w:rPr>
          <w:sz w:val="20"/>
          <w:szCs w:val="20"/>
          <w:lang w:val="en-US"/>
        </w:rPr>
        <w:t xml:space="preserve">Departmental </w:t>
      </w:r>
      <w:r w:rsidR="00583403" w:rsidRPr="00012C3F">
        <w:rPr>
          <w:sz w:val="20"/>
          <w:szCs w:val="20"/>
          <w:lang w:val="en-US"/>
        </w:rPr>
        <w:t>Medical Audit Committee</w:t>
      </w:r>
      <w:r w:rsidR="007A1A14" w:rsidRPr="00012C3F">
        <w:rPr>
          <w:sz w:val="20"/>
          <w:szCs w:val="20"/>
          <w:lang w:val="en-US"/>
        </w:rPr>
        <w:t xml:space="preserve"> </w:t>
      </w:r>
      <w:r w:rsidR="00833C77" w:rsidRPr="00012C3F">
        <w:rPr>
          <w:sz w:val="20"/>
          <w:szCs w:val="20"/>
          <w:lang w:val="en-US"/>
        </w:rPr>
        <w:t>of the La Paz Departmental Health Service</w:t>
      </w:r>
      <w:r w:rsidR="007A1A14" w:rsidRPr="00012C3F">
        <w:rPr>
          <w:sz w:val="20"/>
          <w:szCs w:val="20"/>
          <w:lang w:val="en-US"/>
        </w:rPr>
        <w:t xml:space="preserve"> (SEDES)</w:t>
      </w:r>
      <w:r w:rsidRPr="00012C3F">
        <w:rPr>
          <w:sz w:val="20"/>
          <w:szCs w:val="20"/>
          <w:lang w:val="en-US"/>
        </w:rPr>
        <w:t>.</w:t>
      </w:r>
      <w:r w:rsidR="007A1A14" w:rsidRPr="00012C3F">
        <w:rPr>
          <w:rStyle w:val="Refdenotaalpie"/>
          <w:sz w:val="20"/>
          <w:szCs w:val="20"/>
          <w:lang w:val="en-US"/>
        </w:rPr>
        <w:footnoteReference w:id="64"/>
      </w:r>
      <w:r w:rsidRPr="00012C3F">
        <w:rPr>
          <w:sz w:val="20"/>
          <w:szCs w:val="20"/>
          <w:lang w:val="en-US"/>
        </w:rPr>
        <w:t xml:space="preserve"> This committee prepared a report of “Final conclusions” dated March 9, 2001, based on unspecified documents and I.V.’s</w:t>
      </w:r>
      <w:r w:rsidR="007A1A14" w:rsidRPr="00012C3F">
        <w:rPr>
          <w:sz w:val="20"/>
          <w:szCs w:val="20"/>
          <w:lang w:val="en-US"/>
        </w:rPr>
        <w:t xml:space="preserve"> </w:t>
      </w:r>
      <w:r w:rsidRPr="00012C3F">
        <w:rPr>
          <w:sz w:val="20"/>
          <w:szCs w:val="20"/>
          <w:lang w:val="en-US"/>
        </w:rPr>
        <w:t>m</w:t>
      </w:r>
      <w:r w:rsidR="007E5FDF" w:rsidRPr="00012C3F">
        <w:rPr>
          <w:sz w:val="20"/>
          <w:szCs w:val="20"/>
          <w:lang w:val="en-US"/>
        </w:rPr>
        <w:t>edical record</w:t>
      </w:r>
      <w:r w:rsidR="000E1C11" w:rsidRPr="00012C3F">
        <w:rPr>
          <w:sz w:val="20"/>
          <w:szCs w:val="20"/>
          <w:lang w:val="en-US"/>
        </w:rPr>
        <w:t>.</w:t>
      </w:r>
      <w:r w:rsidR="007A1A14" w:rsidRPr="00012C3F">
        <w:rPr>
          <w:sz w:val="20"/>
          <w:szCs w:val="20"/>
          <w:vertAlign w:val="superscript"/>
          <w:lang w:val="en-US"/>
        </w:rPr>
        <w:footnoteReference w:id="65"/>
      </w:r>
    </w:p>
    <w:p w14:paraId="455795DD" w14:textId="77777777" w:rsidR="007A1A14" w:rsidRPr="00012C3F" w:rsidRDefault="007A1A14" w:rsidP="007A1A14">
      <w:pPr>
        <w:spacing w:line="240" w:lineRule="auto"/>
        <w:rPr>
          <w:sz w:val="20"/>
          <w:szCs w:val="20"/>
          <w:lang w:val="en-US"/>
        </w:rPr>
      </w:pPr>
    </w:p>
    <w:p w14:paraId="4C1D20EB" w14:textId="77777777" w:rsidR="007A1A14" w:rsidRPr="00012C3F" w:rsidRDefault="002A5605" w:rsidP="002A5605">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Committee concluded that “the bilateral tubal ligation procedure was performed prophylactically and to safeguard the mother's future wellbeing.</w:t>
      </w:r>
      <w:r w:rsidR="007A1A14" w:rsidRPr="00012C3F">
        <w:rPr>
          <w:sz w:val="20"/>
          <w:szCs w:val="20"/>
          <w:lang w:val="en-US"/>
        </w:rPr>
        <w:t>”</w:t>
      </w:r>
      <w:r w:rsidRPr="00012C3F">
        <w:rPr>
          <w:sz w:val="20"/>
          <w:szCs w:val="20"/>
          <w:lang w:val="en-US"/>
        </w:rPr>
        <w:t xml:space="preserve"> It also stated that it “fully support[ed] the report prepared by the Medical Audit Committee</w:t>
      </w:r>
      <w:r w:rsidR="007A1A14" w:rsidRPr="00012C3F">
        <w:rPr>
          <w:sz w:val="20"/>
          <w:szCs w:val="20"/>
          <w:lang w:val="en-US"/>
        </w:rPr>
        <w:t xml:space="preserve"> (</w:t>
      </w:r>
      <w:r w:rsidR="00D22661" w:rsidRPr="00012C3F">
        <w:rPr>
          <w:sz w:val="20"/>
          <w:szCs w:val="20"/>
          <w:lang w:val="en-US"/>
        </w:rPr>
        <w:t>Women’s Hospital</w:t>
      </w:r>
      <w:r w:rsidR="007A1A14" w:rsidRPr="00012C3F">
        <w:rPr>
          <w:sz w:val="20"/>
          <w:szCs w:val="20"/>
          <w:lang w:val="en-US"/>
        </w:rPr>
        <w:t>)</w:t>
      </w:r>
      <w:r w:rsidRPr="00012C3F">
        <w:rPr>
          <w:sz w:val="20"/>
          <w:szCs w:val="20"/>
          <w:lang w:val="en-US"/>
        </w:rPr>
        <w:t>.</w:t>
      </w:r>
      <w:r w:rsidR="007A1A14" w:rsidRPr="00012C3F">
        <w:rPr>
          <w:sz w:val="20"/>
          <w:szCs w:val="20"/>
          <w:lang w:val="en-US"/>
        </w:rPr>
        <w:t>”</w:t>
      </w:r>
      <w:r w:rsidR="007A1A14" w:rsidRPr="00012C3F">
        <w:rPr>
          <w:sz w:val="20"/>
          <w:szCs w:val="20"/>
          <w:vertAlign w:val="superscript"/>
          <w:lang w:val="en-US"/>
        </w:rPr>
        <w:footnoteReference w:id="66"/>
      </w:r>
    </w:p>
    <w:p w14:paraId="1484A4DA" w14:textId="77777777" w:rsidR="007A1A14" w:rsidRPr="00012C3F" w:rsidRDefault="007A1A14" w:rsidP="007A1A14">
      <w:pPr>
        <w:spacing w:line="240" w:lineRule="auto"/>
        <w:rPr>
          <w:i/>
          <w:sz w:val="20"/>
          <w:szCs w:val="20"/>
          <w:lang w:val="en-US"/>
        </w:rPr>
      </w:pPr>
    </w:p>
    <w:p w14:paraId="3FB4EBA1"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97" w:name="_Toc27486842"/>
      <w:r w:rsidRPr="00012C3F">
        <w:rPr>
          <w:rFonts w:ascii="Verdana" w:hAnsi="Verdana"/>
          <w:b w:val="0"/>
          <w:i/>
          <w:color w:val="auto"/>
          <w:sz w:val="20"/>
          <w:szCs w:val="20"/>
          <w:lang w:val="en-US"/>
        </w:rPr>
        <w:t xml:space="preserve">C.3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Third medical audit</w:t>
      </w:r>
      <w:bookmarkEnd w:id="97"/>
    </w:p>
    <w:p w14:paraId="1AC04E51" w14:textId="77777777" w:rsidR="007A1A14" w:rsidRPr="00012C3F" w:rsidRDefault="007A1A14" w:rsidP="007A1A14">
      <w:pPr>
        <w:spacing w:line="240" w:lineRule="auto"/>
        <w:rPr>
          <w:i/>
          <w:sz w:val="20"/>
          <w:szCs w:val="20"/>
          <w:lang w:val="en-US"/>
        </w:rPr>
      </w:pPr>
    </w:p>
    <w:p w14:paraId="5E893032" w14:textId="77777777" w:rsidR="007A1A14" w:rsidRPr="00012C3F" w:rsidRDefault="002A5605" w:rsidP="00716C7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7A1A14" w:rsidRPr="00012C3F">
        <w:rPr>
          <w:sz w:val="20"/>
          <w:szCs w:val="20"/>
          <w:lang w:val="en-US"/>
        </w:rPr>
        <w:t xml:space="preserve"> </w:t>
      </w:r>
      <w:r w:rsidRPr="00012C3F">
        <w:rPr>
          <w:sz w:val="20"/>
          <w:szCs w:val="20"/>
          <w:lang w:val="en-US"/>
        </w:rPr>
        <w:t>t</w:t>
      </w:r>
      <w:r w:rsidR="006C705C" w:rsidRPr="00012C3F">
        <w:rPr>
          <w:sz w:val="20"/>
          <w:szCs w:val="20"/>
          <w:lang w:val="en-US"/>
        </w:rPr>
        <w:t>hird medical audit</w:t>
      </w:r>
      <w:r w:rsidR="007A1A14" w:rsidRPr="00012C3F">
        <w:rPr>
          <w:sz w:val="20"/>
          <w:szCs w:val="20"/>
          <w:lang w:val="en-US"/>
        </w:rPr>
        <w:t xml:space="preserve"> </w:t>
      </w:r>
      <w:r w:rsidRPr="00012C3F">
        <w:rPr>
          <w:sz w:val="20"/>
          <w:szCs w:val="20"/>
          <w:lang w:val="en-US"/>
        </w:rPr>
        <w:t xml:space="preserve">was conducted by </w:t>
      </w:r>
      <w:r w:rsidR="00583403" w:rsidRPr="00012C3F">
        <w:rPr>
          <w:sz w:val="20"/>
          <w:szCs w:val="20"/>
          <w:lang w:val="en-US"/>
        </w:rPr>
        <w:t>the Medical Audit Decisions Committee</w:t>
      </w:r>
      <w:r w:rsidRPr="00012C3F">
        <w:rPr>
          <w:sz w:val="20"/>
          <w:szCs w:val="20"/>
          <w:lang w:val="en-US"/>
        </w:rPr>
        <w:t xml:space="preserve"> of the General Directorate of Health Services of the Ministry of Health and Social Services.</w:t>
      </w:r>
      <w:r w:rsidR="007A1A14" w:rsidRPr="00012C3F">
        <w:rPr>
          <w:rStyle w:val="Refdenotaalpie"/>
          <w:sz w:val="20"/>
          <w:szCs w:val="20"/>
          <w:lang w:val="en-US"/>
        </w:rPr>
        <w:footnoteReference w:id="67"/>
      </w:r>
      <w:r w:rsidR="007A1A14" w:rsidRPr="00012C3F">
        <w:rPr>
          <w:sz w:val="20"/>
          <w:szCs w:val="20"/>
          <w:lang w:val="en-US"/>
        </w:rPr>
        <w:t xml:space="preserve"> </w:t>
      </w:r>
      <w:r w:rsidRPr="00012C3F">
        <w:rPr>
          <w:sz w:val="20"/>
          <w:szCs w:val="20"/>
          <w:lang w:val="en-US"/>
        </w:rPr>
        <w:t xml:space="preserve">The report to determine the reasons and circumstances under which a tubal ligation was performed during </w:t>
      </w:r>
      <w:r w:rsidR="00CC232E" w:rsidRPr="00012C3F">
        <w:rPr>
          <w:sz w:val="20"/>
          <w:szCs w:val="20"/>
          <w:lang w:val="en-US"/>
        </w:rPr>
        <w:t>a caesarean section</w:t>
      </w:r>
      <w:r w:rsidRPr="00012C3F">
        <w:rPr>
          <w:sz w:val="20"/>
          <w:szCs w:val="20"/>
          <w:lang w:val="en-US"/>
        </w:rPr>
        <w:t xml:space="preserve"> operation was prepared by an audit team and then submitted to the Medical Audit Decisions Committee</w:t>
      </w:r>
      <w:r w:rsidR="007A1A14" w:rsidRPr="00012C3F">
        <w:rPr>
          <w:sz w:val="20"/>
          <w:szCs w:val="20"/>
          <w:lang w:val="en-US"/>
        </w:rPr>
        <w:t xml:space="preserve"> </w:t>
      </w:r>
      <w:r w:rsidR="007E5FDF" w:rsidRPr="00012C3F">
        <w:rPr>
          <w:sz w:val="20"/>
          <w:szCs w:val="20"/>
          <w:lang w:val="en-US"/>
        </w:rPr>
        <w:t>on March 13,</w:t>
      </w:r>
      <w:r w:rsidR="007A1A14" w:rsidRPr="00012C3F">
        <w:rPr>
          <w:sz w:val="20"/>
          <w:szCs w:val="20"/>
          <w:lang w:val="en-US"/>
        </w:rPr>
        <w:t xml:space="preserve"> 2001</w:t>
      </w:r>
      <w:r w:rsidR="0007256D" w:rsidRPr="00012C3F">
        <w:rPr>
          <w:sz w:val="20"/>
          <w:szCs w:val="20"/>
          <w:lang w:val="en-US"/>
        </w:rPr>
        <w:t>.</w:t>
      </w:r>
      <w:r w:rsidR="007A1A14" w:rsidRPr="00012C3F">
        <w:rPr>
          <w:sz w:val="20"/>
          <w:szCs w:val="20"/>
          <w:vertAlign w:val="superscript"/>
          <w:lang w:val="en-US"/>
        </w:rPr>
        <w:footnoteReference w:id="68"/>
      </w:r>
    </w:p>
    <w:p w14:paraId="500AE5E6" w14:textId="77777777" w:rsidR="007A1A14" w:rsidRPr="00012C3F" w:rsidRDefault="007A1A14" w:rsidP="007A1A14">
      <w:pPr>
        <w:spacing w:line="240" w:lineRule="auto"/>
        <w:rPr>
          <w:sz w:val="20"/>
          <w:szCs w:val="20"/>
          <w:lang w:val="en-US"/>
        </w:rPr>
      </w:pPr>
    </w:p>
    <w:p w14:paraId="4D228C6F" w14:textId="77777777" w:rsidR="000D0A98" w:rsidRPr="00012C3F" w:rsidRDefault="000D0A98" w:rsidP="000D0A9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The conclusions of this report establish</w:t>
      </w:r>
      <w:r w:rsidR="003B6A98" w:rsidRPr="00012C3F">
        <w:rPr>
          <w:sz w:val="20"/>
          <w:szCs w:val="20"/>
          <w:lang w:val="en-US"/>
        </w:rPr>
        <w:t>ed</w:t>
      </w:r>
      <w:r w:rsidRPr="00012C3F">
        <w:rPr>
          <w:sz w:val="20"/>
          <w:szCs w:val="20"/>
          <w:lang w:val="en-US"/>
        </w:rPr>
        <w:t xml:space="preserve"> that errors were made when drawing up the </w:t>
      </w:r>
      <w:r w:rsidR="003B6A98" w:rsidRPr="00012C3F">
        <w:rPr>
          <w:sz w:val="20"/>
          <w:szCs w:val="20"/>
          <w:lang w:val="en-US"/>
        </w:rPr>
        <w:t>case history</w:t>
      </w:r>
      <w:r w:rsidRPr="00012C3F">
        <w:rPr>
          <w:sz w:val="20"/>
          <w:szCs w:val="20"/>
          <w:lang w:val="en-US"/>
        </w:rPr>
        <w:t>, in the progress notes, and in the Hospital</w:t>
      </w:r>
      <w:r w:rsidR="003B6A98" w:rsidRPr="00012C3F">
        <w:rPr>
          <w:sz w:val="20"/>
          <w:szCs w:val="20"/>
          <w:lang w:val="en-US"/>
        </w:rPr>
        <w:t>’s</w:t>
      </w:r>
      <w:r w:rsidRPr="00012C3F">
        <w:rPr>
          <w:sz w:val="20"/>
          <w:szCs w:val="20"/>
          <w:lang w:val="en-US"/>
        </w:rPr>
        <w:t xml:space="preserve"> records, </w:t>
      </w:r>
      <w:r w:rsidR="003B6A98" w:rsidRPr="00012C3F">
        <w:rPr>
          <w:sz w:val="20"/>
          <w:szCs w:val="20"/>
          <w:lang w:val="en-US"/>
        </w:rPr>
        <w:t>and also indicated that I.V.’s life was not in danger and, consequently, found that the sterilization of I.V. was not justified based on the health norms in force. Specifically, the Committee concluded that:</w:t>
      </w:r>
    </w:p>
    <w:p w14:paraId="41725D09" w14:textId="77777777" w:rsidR="007A1A14" w:rsidRPr="00012C3F" w:rsidRDefault="007A1A14" w:rsidP="007A1A14">
      <w:pPr>
        <w:spacing w:line="240" w:lineRule="auto"/>
        <w:rPr>
          <w:sz w:val="20"/>
          <w:szCs w:val="20"/>
          <w:lang w:val="en-US"/>
        </w:rPr>
      </w:pPr>
    </w:p>
    <w:p w14:paraId="5B67EC86"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w:t>
      </w:r>
    </w:p>
    <w:p w14:paraId="3CE9AABE"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3. </w:t>
      </w:r>
      <w:r w:rsidR="003B6A98" w:rsidRPr="00012C3F">
        <w:rPr>
          <w:sz w:val="16"/>
          <w:szCs w:val="16"/>
          <w:lang w:val="en-US"/>
        </w:rPr>
        <w:t>As regards the bilateral tubal ligation, we consider that carrying out that surgical procedure is not fully justified, because the existence of multiple adhesions does not constitute a risk to the life of the patient and, in addition, since adhesiolysis was performed during the surgical procedure, the problem was apparently being resolved.</w:t>
      </w:r>
      <w:r w:rsidRPr="00012C3F">
        <w:rPr>
          <w:sz w:val="16"/>
          <w:szCs w:val="16"/>
          <w:lang w:val="en-US"/>
        </w:rPr>
        <w:t xml:space="preserve">. </w:t>
      </w:r>
    </w:p>
    <w:p w14:paraId="6B482199"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4.</w:t>
      </w:r>
      <w:r w:rsidR="003B6A98" w:rsidRPr="00012C3F">
        <w:rPr>
          <w:sz w:val="16"/>
          <w:szCs w:val="16"/>
          <w:lang w:val="en-US"/>
        </w:rPr>
        <w:t xml:space="preserve"> In addition, corporal longitudinal hysterotomy in no way justifies peri-operative performance of tubal ligation. Standards in Force for Maternal-Child Care, p. 202</w:t>
      </w:r>
      <w:r w:rsidRPr="00012C3F">
        <w:rPr>
          <w:sz w:val="16"/>
          <w:szCs w:val="16"/>
          <w:lang w:val="en-US"/>
        </w:rPr>
        <w:t xml:space="preserve">. </w:t>
      </w:r>
    </w:p>
    <w:p w14:paraId="493DDDF9"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5. </w:t>
      </w:r>
      <w:r w:rsidR="003B6A98" w:rsidRPr="00012C3F">
        <w:rPr>
          <w:sz w:val="16"/>
          <w:szCs w:val="16"/>
          <w:lang w:val="en-US"/>
        </w:rPr>
        <w:t xml:space="preserve">There was no written and signed pre-operation consent for said surgery: bilateral tubal ligation. In no way is it acceptable to </w:t>
      </w:r>
      <w:r w:rsidR="0007256D" w:rsidRPr="00012C3F">
        <w:rPr>
          <w:sz w:val="16"/>
          <w:szCs w:val="16"/>
          <w:lang w:val="en-US"/>
        </w:rPr>
        <w:t>get</w:t>
      </w:r>
      <w:r w:rsidR="003B6A98" w:rsidRPr="00012C3F">
        <w:rPr>
          <w:sz w:val="16"/>
          <w:szCs w:val="16"/>
          <w:lang w:val="en-US"/>
        </w:rPr>
        <w:t xml:space="preserve"> the opinion of the patient during the surgical or peri-operative procedure because the patient is under surgical stress and anesthesia, even though the latter is local</w:t>
      </w:r>
      <w:r w:rsidRPr="00012C3F">
        <w:rPr>
          <w:sz w:val="16"/>
          <w:szCs w:val="16"/>
          <w:lang w:val="en-US"/>
        </w:rPr>
        <w:t xml:space="preserve">. </w:t>
      </w:r>
    </w:p>
    <w:p w14:paraId="657968CE"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6. </w:t>
      </w:r>
      <w:r w:rsidR="003B6A98" w:rsidRPr="00012C3F">
        <w:rPr>
          <w:sz w:val="16"/>
          <w:szCs w:val="16"/>
          <w:lang w:val="en-US"/>
        </w:rPr>
        <w:t xml:space="preserve">Dr. Vargas has referred to "communicating" the tubal ligation to the patient during the peri-operative period; </w:t>
      </w:r>
      <w:r w:rsidR="0007256D" w:rsidRPr="00012C3F">
        <w:rPr>
          <w:sz w:val="16"/>
          <w:szCs w:val="16"/>
          <w:lang w:val="en-US"/>
        </w:rPr>
        <w:t>but</w:t>
      </w:r>
      <w:r w:rsidR="003B6A98" w:rsidRPr="00012C3F">
        <w:rPr>
          <w:sz w:val="16"/>
          <w:szCs w:val="16"/>
          <w:lang w:val="en-US"/>
        </w:rPr>
        <w:t>, in his progress note dated July 3, he stated: yesterday, he had "communicated" to the patient that the bilateral tube ligation had been performed out of medical necessity</w:t>
      </w:r>
      <w:r w:rsidRPr="00012C3F">
        <w:rPr>
          <w:sz w:val="16"/>
          <w:szCs w:val="16"/>
          <w:lang w:val="en-US"/>
        </w:rPr>
        <w:t xml:space="preserve">. </w:t>
      </w:r>
    </w:p>
    <w:p w14:paraId="7DB68E62"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7. </w:t>
      </w:r>
      <w:r w:rsidR="003B6A98" w:rsidRPr="00012C3F">
        <w:rPr>
          <w:sz w:val="16"/>
          <w:szCs w:val="16"/>
          <w:lang w:val="en-US"/>
        </w:rPr>
        <w:t xml:space="preserve">It was verified that, in the </w:t>
      </w:r>
      <w:r w:rsidR="0007256D" w:rsidRPr="00012C3F">
        <w:rPr>
          <w:sz w:val="16"/>
          <w:szCs w:val="16"/>
          <w:lang w:val="en-US"/>
        </w:rPr>
        <w:t>Record</w:t>
      </w:r>
      <w:r w:rsidR="003B010F" w:rsidRPr="00012C3F">
        <w:rPr>
          <w:sz w:val="16"/>
          <w:szCs w:val="16"/>
          <w:lang w:val="en-US"/>
        </w:rPr>
        <w:t xml:space="preserve"> of Caesarean or Emergency Operations in the Hospital’s operating theater, there is no record on July 1, 2000, of the operation corresponding to [I.V.].</w:t>
      </w:r>
    </w:p>
    <w:p w14:paraId="5F8146DA"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w:t>
      </w:r>
      <w:r w:rsidRPr="00012C3F">
        <w:rPr>
          <w:sz w:val="16"/>
          <w:szCs w:val="16"/>
          <w:vertAlign w:val="superscript"/>
          <w:lang w:val="en-US"/>
        </w:rPr>
        <w:footnoteReference w:id="69"/>
      </w:r>
    </w:p>
    <w:p w14:paraId="7D87FFC5" w14:textId="77777777" w:rsidR="007A1A14" w:rsidRPr="00012C3F" w:rsidRDefault="007A1A14" w:rsidP="00716C7D">
      <w:pPr>
        <w:spacing w:line="240" w:lineRule="auto"/>
        <w:ind w:left="720"/>
        <w:rPr>
          <w:sz w:val="20"/>
          <w:szCs w:val="20"/>
          <w:lang w:val="en-US"/>
        </w:rPr>
      </w:pPr>
    </w:p>
    <w:p w14:paraId="656C1BF4" w14:textId="77777777" w:rsidR="007A1A14" w:rsidRPr="00012C3F" w:rsidRDefault="003B010F" w:rsidP="003B010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Based on this report, the Committee identified five aspects – medical decision and implementation of norms and protocols; inexistence of written consent to the tubal ligation; problems in following up on the </w:t>
      </w:r>
      <w:r w:rsidR="0007256D" w:rsidRPr="00012C3F">
        <w:rPr>
          <w:sz w:val="20"/>
          <w:szCs w:val="20"/>
          <w:lang w:val="en-US"/>
        </w:rPr>
        <w:t>explanatory</w:t>
      </w:r>
      <w:r w:rsidRPr="00012C3F">
        <w:rPr>
          <w:sz w:val="20"/>
          <w:szCs w:val="20"/>
          <w:lang w:val="en-US"/>
        </w:rPr>
        <w:t xml:space="preserve"> process; administrative problems concerning the inexistence of records of surgical procedures, and inexistence of the anesthesia record – that led them to make several recommendations, including: the dismissal of the physician, an audit of the Women’s Hospital; training regarding malpractice for the Women’s Hospital; a reprimand to the Management of the Women’s Hospital owing to “loss of documentation and negligence in the control of completion of medical and administrative records,” and the “forward[ing of] a report of the Medical Audit to the [Departmental Health Service] SEDES, so that it could i</w:t>
      </w:r>
      <w:r w:rsidR="00C42418" w:rsidRPr="00012C3F">
        <w:rPr>
          <w:sz w:val="20"/>
          <w:szCs w:val="20"/>
          <w:lang w:val="en-US"/>
        </w:rPr>
        <w:t xml:space="preserve">mplement the corresponding sanctions and advise [I.V.] of </w:t>
      </w:r>
      <w:r w:rsidR="00FF19ED" w:rsidRPr="00012C3F">
        <w:rPr>
          <w:sz w:val="20"/>
          <w:szCs w:val="20"/>
          <w:lang w:val="en-US"/>
        </w:rPr>
        <w:t>the</w:t>
      </w:r>
      <w:r w:rsidR="00C42418" w:rsidRPr="00012C3F">
        <w:rPr>
          <w:sz w:val="20"/>
          <w:szCs w:val="20"/>
          <w:lang w:val="en-US"/>
        </w:rPr>
        <w:t xml:space="preserve"> conclusions reached by</w:t>
      </w:r>
      <w:r w:rsidR="00FF19ED" w:rsidRPr="00012C3F">
        <w:rPr>
          <w:sz w:val="20"/>
          <w:szCs w:val="20"/>
          <w:lang w:val="en-US"/>
        </w:rPr>
        <w:t xml:space="preserve"> </w:t>
      </w:r>
      <w:r w:rsidR="0007256D" w:rsidRPr="00012C3F">
        <w:rPr>
          <w:sz w:val="20"/>
          <w:szCs w:val="20"/>
          <w:lang w:val="en-US"/>
        </w:rPr>
        <w:t xml:space="preserve">the </w:t>
      </w:r>
      <w:r w:rsidR="00583403" w:rsidRPr="00012C3F">
        <w:rPr>
          <w:sz w:val="20"/>
          <w:szCs w:val="20"/>
          <w:lang w:val="en-US"/>
        </w:rPr>
        <w:t>Medical Audit Decisions Committee</w:t>
      </w:r>
      <w:r w:rsidR="00C42418" w:rsidRPr="00012C3F">
        <w:rPr>
          <w:sz w:val="20"/>
          <w:szCs w:val="20"/>
          <w:lang w:val="en-US"/>
        </w:rPr>
        <w:t>.</w:t>
      </w:r>
      <w:r w:rsidR="007A1A14" w:rsidRPr="00012C3F">
        <w:rPr>
          <w:sz w:val="20"/>
          <w:szCs w:val="20"/>
          <w:lang w:val="en-US"/>
        </w:rPr>
        <w:t>”</w:t>
      </w:r>
      <w:r w:rsidR="007A1A14" w:rsidRPr="00012C3F">
        <w:rPr>
          <w:sz w:val="20"/>
          <w:szCs w:val="20"/>
          <w:vertAlign w:val="superscript"/>
          <w:lang w:val="en-US"/>
        </w:rPr>
        <w:footnoteReference w:id="70"/>
      </w:r>
    </w:p>
    <w:p w14:paraId="7F795559" w14:textId="77777777" w:rsidR="007A1A14" w:rsidRPr="00012C3F" w:rsidRDefault="007A1A14" w:rsidP="007A1A14">
      <w:pPr>
        <w:spacing w:line="240" w:lineRule="auto"/>
        <w:rPr>
          <w:sz w:val="20"/>
          <w:szCs w:val="20"/>
          <w:lang w:val="en-US"/>
        </w:rPr>
      </w:pPr>
    </w:p>
    <w:p w14:paraId="6CCC453E"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98" w:name="_Toc27486843"/>
      <w:r w:rsidRPr="00012C3F">
        <w:rPr>
          <w:rFonts w:ascii="Verdana" w:hAnsi="Verdana"/>
          <w:b w:val="0"/>
          <w:i/>
          <w:color w:val="auto"/>
          <w:sz w:val="20"/>
          <w:szCs w:val="20"/>
          <w:lang w:val="en-US"/>
        </w:rPr>
        <w:t xml:space="preserve">C.4 </w:t>
      </w:r>
      <w:r w:rsidRPr="00012C3F">
        <w:rPr>
          <w:rFonts w:ascii="Verdana" w:hAnsi="Verdana"/>
          <w:b w:val="0"/>
          <w:i/>
          <w:color w:val="auto"/>
          <w:sz w:val="20"/>
          <w:szCs w:val="20"/>
          <w:lang w:val="en-US"/>
        </w:rPr>
        <w:tab/>
      </w:r>
      <w:r w:rsidR="00B53B61" w:rsidRPr="00012C3F">
        <w:rPr>
          <w:rFonts w:ascii="Verdana" w:hAnsi="Verdana"/>
          <w:b w:val="0"/>
          <w:i/>
          <w:color w:val="auto"/>
          <w:sz w:val="20"/>
          <w:szCs w:val="20"/>
          <w:lang w:val="en-US"/>
        </w:rPr>
        <w:t>Report</w:t>
      </w:r>
      <w:r w:rsidR="002A5605" w:rsidRPr="00012C3F">
        <w:rPr>
          <w:rFonts w:ascii="Verdana" w:hAnsi="Verdana"/>
          <w:b w:val="0"/>
          <w:i/>
          <w:color w:val="auto"/>
          <w:sz w:val="20"/>
          <w:szCs w:val="20"/>
          <w:lang w:val="en-US"/>
        </w:rPr>
        <w:t xml:space="preserve"> of the </w:t>
      </w:r>
      <w:r w:rsidR="008379AC" w:rsidRPr="00012C3F">
        <w:rPr>
          <w:rFonts w:ascii="Verdana" w:hAnsi="Verdana"/>
          <w:b w:val="0"/>
          <w:i/>
          <w:color w:val="auto"/>
          <w:sz w:val="20"/>
          <w:szCs w:val="20"/>
          <w:lang w:val="en-US"/>
        </w:rPr>
        <w:t xml:space="preserve">Ethics </w:t>
      </w:r>
      <w:r w:rsidR="00F36FE0" w:rsidRPr="00012C3F">
        <w:rPr>
          <w:rFonts w:ascii="Verdana" w:hAnsi="Verdana"/>
          <w:b w:val="0"/>
          <w:i/>
          <w:color w:val="auto"/>
          <w:sz w:val="20"/>
          <w:szCs w:val="20"/>
          <w:lang w:val="en-US"/>
        </w:rPr>
        <w:t>Tribunal of the La</w:t>
      </w:r>
      <w:r w:rsidR="008379AC" w:rsidRPr="00012C3F">
        <w:rPr>
          <w:rFonts w:ascii="Verdana" w:hAnsi="Verdana"/>
          <w:b w:val="0"/>
          <w:i/>
          <w:color w:val="auto"/>
          <w:sz w:val="20"/>
          <w:szCs w:val="20"/>
          <w:lang w:val="en-US"/>
        </w:rPr>
        <w:t xml:space="preserve"> Paz Departmental </w:t>
      </w:r>
      <w:r w:rsidR="00164743" w:rsidRPr="00012C3F">
        <w:rPr>
          <w:rFonts w:ascii="Verdana" w:hAnsi="Verdana"/>
          <w:b w:val="0"/>
          <w:i/>
          <w:color w:val="auto"/>
          <w:sz w:val="20"/>
          <w:szCs w:val="20"/>
          <w:lang w:val="en-US"/>
        </w:rPr>
        <w:t>Medical Association</w:t>
      </w:r>
      <w:bookmarkEnd w:id="98"/>
    </w:p>
    <w:p w14:paraId="73895CEC" w14:textId="77777777" w:rsidR="007A1A14" w:rsidRPr="00012C3F" w:rsidRDefault="007A1A14" w:rsidP="007A1A14">
      <w:pPr>
        <w:spacing w:line="240" w:lineRule="auto"/>
        <w:rPr>
          <w:i/>
          <w:sz w:val="20"/>
          <w:szCs w:val="20"/>
          <w:lang w:val="en-US"/>
        </w:rPr>
      </w:pPr>
    </w:p>
    <w:p w14:paraId="77BEBE3F" w14:textId="77777777" w:rsidR="007A1A14" w:rsidRPr="00012C3F" w:rsidRDefault="008379AC" w:rsidP="00B53B6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Ethics </w:t>
      </w:r>
      <w:r w:rsidR="00F36FE0" w:rsidRPr="00012C3F">
        <w:rPr>
          <w:sz w:val="20"/>
          <w:szCs w:val="20"/>
          <w:lang w:val="en-US"/>
        </w:rPr>
        <w:t>Tribunal of the La</w:t>
      </w:r>
      <w:r w:rsidRPr="00012C3F">
        <w:rPr>
          <w:sz w:val="20"/>
          <w:szCs w:val="20"/>
          <w:lang w:val="en-US"/>
        </w:rPr>
        <w:t xml:space="preserve"> Paz Departmental </w:t>
      </w:r>
      <w:r w:rsidR="00164743" w:rsidRPr="00012C3F">
        <w:rPr>
          <w:sz w:val="20"/>
          <w:szCs w:val="20"/>
          <w:lang w:val="en-US"/>
        </w:rPr>
        <w:t>Medical Association</w:t>
      </w:r>
      <w:r w:rsidR="007A1A14" w:rsidRPr="00012C3F">
        <w:rPr>
          <w:sz w:val="20"/>
          <w:szCs w:val="20"/>
          <w:lang w:val="en-US"/>
        </w:rPr>
        <w:t xml:space="preserve"> </w:t>
      </w:r>
      <w:r w:rsidR="00B53B61" w:rsidRPr="00012C3F">
        <w:rPr>
          <w:sz w:val="20"/>
          <w:szCs w:val="20"/>
          <w:lang w:val="en-US"/>
        </w:rPr>
        <w:t>issued a</w:t>
      </w:r>
      <w:r w:rsidR="007A1A14" w:rsidRPr="00012C3F">
        <w:rPr>
          <w:sz w:val="20"/>
          <w:szCs w:val="20"/>
          <w:lang w:val="en-US"/>
        </w:rPr>
        <w:t xml:space="preserve"> </w:t>
      </w:r>
      <w:r w:rsidR="00B53B61" w:rsidRPr="00012C3F">
        <w:rPr>
          <w:sz w:val="20"/>
          <w:szCs w:val="20"/>
          <w:lang w:val="en-US"/>
        </w:rPr>
        <w:t>report</w:t>
      </w:r>
      <w:r w:rsidR="007A1A14" w:rsidRPr="00012C3F">
        <w:rPr>
          <w:sz w:val="20"/>
          <w:szCs w:val="20"/>
          <w:lang w:val="en-US"/>
        </w:rPr>
        <w:t xml:space="preserve"> </w:t>
      </w:r>
      <w:r w:rsidR="00B53B61" w:rsidRPr="00012C3F">
        <w:rPr>
          <w:sz w:val="20"/>
          <w:szCs w:val="20"/>
          <w:lang w:val="en-US"/>
        </w:rPr>
        <w:t>on the case of</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00B53B61" w:rsidRPr="00012C3F">
        <w:rPr>
          <w:sz w:val="20"/>
          <w:szCs w:val="20"/>
          <w:lang w:val="en-US"/>
        </w:rPr>
        <w:t>dated October 5,</w:t>
      </w:r>
      <w:r w:rsidR="007A1A14" w:rsidRPr="00012C3F">
        <w:rPr>
          <w:sz w:val="20"/>
          <w:szCs w:val="20"/>
          <w:lang w:val="en-US"/>
        </w:rPr>
        <w:t xml:space="preserve"> 2001, </w:t>
      </w:r>
      <w:r w:rsidR="00B53B61" w:rsidRPr="00012C3F">
        <w:rPr>
          <w:sz w:val="20"/>
          <w:szCs w:val="20"/>
          <w:lang w:val="en-US"/>
        </w:rPr>
        <w:t xml:space="preserve">in response to the notes </w:t>
      </w:r>
      <w:r w:rsidR="0007256D" w:rsidRPr="00012C3F">
        <w:rPr>
          <w:sz w:val="20"/>
          <w:szCs w:val="20"/>
          <w:lang w:val="en-US"/>
        </w:rPr>
        <w:t>received from</w:t>
      </w:r>
      <w:r w:rsidR="00B53B61" w:rsidRPr="00012C3F">
        <w:rPr>
          <w:sz w:val="20"/>
          <w:szCs w:val="20"/>
          <w:lang w:val="en-US"/>
        </w:rPr>
        <w:t xml:space="preserve"> the Minister of Health and Social Services</w:t>
      </w:r>
      <w:r w:rsidR="005E5012" w:rsidRPr="00012C3F">
        <w:rPr>
          <w:sz w:val="20"/>
          <w:szCs w:val="20"/>
          <w:lang w:val="en-US"/>
        </w:rPr>
        <w:t xml:space="preserve"> and </w:t>
      </w:r>
      <w:r w:rsidR="00B53B61" w:rsidRPr="00012C3F">
        <w:rPr>
          <w:sz w:val="20"/>
          <w:szCs w:val="20"/>
          <w:lang w:val="en-US"/>
        </w:rPr>
        <w:t xml:space="preserve">the Director of the Complaints Department </w:t>
      </w:r>
      <w:r w:rsidR="004C6FCC" w:rsidRPr="00012C3F">
        <w:rPr>
          <w:sz w:val="20"/>
          <w:szCs w:val="20"/>
          <w:lang w:val="en-US"/>
        </w:rPr>
        <w:t xml:space="preserve">of the </w:t>
      </w:r>
      <w:r w:rsidR="00E00902" w:rsidRPr="00012C3F">
        <w:rPr>
          <w:sz w:val="20"/>
          <w:szCs w:val="20"/>
          <w:lang w:val="en-US"/>
        </w:rPr>
        <w:t>Ombudsman</w:t>
      </w:r>
      <w:r w:rsidR="00B53B61" w:rsidRPr="00012C3F">
        <w:rPr>
          <w:sz w:val="20"/>
          <w:szCs w:val="20"/>
          <w:lang w:val="en-US"/>
        </w:rPr>
        <w:t>’s Office</w:t>
      </w:r>
      <w:r w:rsidR="007A1A14" w:rsidRPr="00012C3F">
        <w:rPr>
          <w:sz w:val="20"/>
          <w:szCs w:val="20"/>
          <w:lang w:val="en-US"/>
        </w:rPr>
        <w:t xml:space="preserve"> </w:t>
      </w:r>
      <w:r w:rsidR="00B53B61" w:rsidRPr="00012C3F">
        <w:rPr>
          <w:sz w:val="20"/>
          <w:szCs w:val="20"/>
          <w:lang w:val="en-US"/>
        </w:rPr>
        <w:t>in August</w:t>
      </w:r>
      <w:r w:rsidR="005E5012" w:rsidRPr="00012C3F">
        <w:rPr>
          <w:sz w:val="20"/>
          <w:szCs w:val="20"/>
          <w:lang w:val="en-US"/>
        </w:rPr>
        <w:t xml:space="preserve"> and </w:t>
      </w:r>
      <w:r w:rsidR="00B53B61" w:rsidRPr="00012C3F">
        <w:rPr>
          <w:sz w:val="20"/>
          <w:szCs w:val="20"/>
          <w:lang w:val="en-US"/>
        </w:rPr>
        <w:t>September</w:t>
      </w:r>
      <w:r w:rsidR="007A1A14" w:rsidRPr="00012C3F">
        <w:rPr>
          <w:sz w:val="20"/>
          <w:szCs w:val="20"/>
          <w:lang w:val="en-US"/>
        </w:rPr>
        <w:t xml:space="preserve"> 2001</w:t>
      </w:r>
      <w:r w:rsidR="0007256D" w:rsidRPr="00012C3F">
        <w:rPr>
          <w:sz w:val="20"/>
          <w:szCs w:val="20"/>
          <w:lang w:val="en-US"/>
        </w:rPr>
        <w:t>,</w:t>
      </w:r>
      <w:r w:rsidR="007A1A14" w:rsidRPr="00012C3F">
        <w:rPr>
          <w:sz w:val="20"/>
          <w:szCs w:val="20"/>
          <w:lang w:val="en-US"/>
        </w:rPr>
        <w:t xml:space="preserve"> respectiv</w:t>
      </w:r>
      <w:r w:rsidR="00B53B61" w:rsidRPr="00012C3F">
        <w:rPr>
          <w:sz w:val="20"/>
          <w:szCs w:val="20"/>
          <w:lang w:val="en-US"/>
        </w:rPr>
        <w:t>ely.</w:t>
      </w:r>
      <w:r w:rsidR="007A1A14" w:rsidRPr="00012C3F">
        <w:rPr>
          <w:sz w:val="20"/>
          <w:szCs w:val="20"/>
          <w:vertAlign w:val="superscript"/>
          <w:lang w:val="en-US"/>
        </w:rPr>
        <w:footnoteReference w:id="71"/>
      </w:r>
      <w:r w:rsidR="007A1A14" w:rsidRPr="00012C3F">
        <w:rPr>
          <w:sz w:val="20"/>
          <w:szCs w:val="20"/>
          <w:lang w:val="en-US"/>
        </w:rPr>
        <w:t xml:space="preserve"> </w:t>
      </w:r>
      <w:r w:rsidRPr="00012C3F">
        <w:rPr>
          <w:sz w:val="20"/>
          <w:szCs w:val="20"/>
          <w:lang w:val="en-US"/>
        </w:rPr>
        <w:t>The Ethics Tribunal</w:t>
      </w:r>
      <w:r w:rsidR="007A1A14" w:rsidRPr="00012C3F">
        <w:rPr>
          <w:sz w:val="20"/>
          <w:szCs w:val="20"/>
          <w:lang w:val="en-US"/>
        </w:rPr>
        <w:t xml:space="preserve"> </w:t>
      </w:r>
      <w:r w:rsidR="00B53B61" w:rsidRPr="00012C3F">
        <w:rPr>
          <w:sz w:val="20"/>
          <w:szCs w:val="20"/>
          <w:lang w:val="en-US"/>
        </w:rPr>
        <w:t xml:space="preserve">disagreed with the decision reached by </w:t>
      </w:r>
      <w:r w:rsidR="00583403" w:rsidRPr="00012C3F">
        <w:rPr>
          <w:sz w:val="20"/>
          <w:szCs w:val="20"/>
          <w:lang w:val="en-US"/>
        </w:rPr>
        <w:t>the Medical Audit Decisions Committee</w:t>
      </w:r>
      <w:r w:rsidR="002A5605" w:rsidRPr="00012C3F">
        <w:rPr>
          <w:sz w:val="20"/>
          <w:szCs w:val="20"/>
          <w:lang w:val="en-US"/>
        </w:rPr>
        <w:t xml:space="preserve"> of the General Directorate of Health Services of the Ministry of Health and Social Services</w:t>
      </w:r>
      <w:r w:rsidR="007A1A14" w:rsidRPr="00012C3F">
        <w:rPr>
          <w:sz w:val="20"/>
          <w:szCs w:val="20"/>
          <w:lang w:val="en-US"/>
        </w:rPr>
        <w:t>,</w:t>
      </w:r>
      <w:r w:rsidR="00B53B61" w:rsidRPr="00012C3F">
        <w:rPr>
          <w:sz w:val="20"/>
          <w:szCs w:val="20"/>
          <w:lang w:val="en-US"/>
        </w:rPr>
        <w:t xml:space="preserve"> which had conducted the pre</w:t>
      </w:r>
      <w:r w:rsidR="0007256D" w:rsidRPr="00012C3F">
        <w:rPr>
          <w:sz w:val="20"/>
          <w:szCs w:val="20"/>
          <w:lang w:val="en-US"/>
        </w:rPr>
        <w:t>ceding</w:t>
      </w:r>
      <w:r w:rsidR="00B53B61" w:rsidRPr="00012C3F">
        <w:rPr>
          <w:sz w:val="20"/>
          <w:szCs w:val="20"/>
          <w:lang w:val="en-US"/>
        </w:rPr>
        <w:t xml:space="preserve"> audit.</w:t>
      </w:r>
    </w:p>
    <w:p w14:paraId="6B95621B" w14:textId="77777777" w:rsidR="007A1A14" w:rsidRPr="00012C3F" w:rsidRDefault="007A1A14" w:rsidP="00B53B61">
      <w:pPr>
        <w:tabs>
          <w:tab w:val="left" w:pos="720"/>
        </w:tabs>
        <w:spacing w:line="240" w:lineRule="auto"/>
        <w:rPr>
          <w:sz w:val="20"/>
          <w:szCs w:val="20"/>
          <w:lang w:val="en-US"/>
        </w:rPr>
      </w:pPr>
    </w:p>
    <w:p w14:paraId="5CE1A350" w14:textId="77777777" w:rsidR="007A1A14" w:rsidRPr="00012C3F" w:rsidRDefault="00B53B61" w:rsidP="00B53B6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Among its considerations, it affirmed that, the documentation analyzed included an institutional form </w:t>
      </w:r>
      <w:r w:rsidR="00FF19ED" w:rsidRPr="00012C3F">
        <w:rPr>
          <w:sz w:val="20"/>
          <w:szCs w:val="20"/>
          <w:lang w:val="en-US"/>
        </w:rPr>
        <w:t xml:space="preserve">of the </w:t>
      </w:r>
      <w:r w:rsidR="00583403" w:rsidRPr="00012C3F">
        <w:rPr>
          <w:sz w:val="20"/>
          <w:szCs w:val="20"/>
          <w:lang w:val="en-US"/>
        </w:rPr>
        <w:t>Women’s Hospital</w:t>
      </w:r>
      <w:r w:rsidR="007A1A14" w:rsidRPr="00012C3F">
        <w:rPr>
          <w:sz w:val="20"/>
          <w:szCs w:val="20"/>
          <w:lang w:val="en-US"/>
        </w:rPr>
        <w:t xml:space="preserve"> </w:t>
      </w:r>
      <w:r w:rsidRPr="00012C3F">
        <w:rPr>
          <w:sz w:val="20"/>
          <w:szCs w:val="20"/>
          <w:lang w:val="en-US"/>
        </w:rPr>
        <w:t>signed by the patie</w:t>
      </w:r>
      <w:r w:rsidR="00AC0004" w:rsidRPr="00012C3F">
        <w:rPr>
          <w:sz w:val="20"/>
          <w:szCs w:val="20"/>
          <w:lang w:val="en-US"/>
        </w:rPr>
        <w:t>n</w:t>
      </w:r>
      <w:r w:rsidRPr="00012C3F">
        <w:rPr>
          <w:sz w:val="20"/>
          <w:szCs w:val="20"/>
          <w:lang w:val="en-US"/>
        </w:rPr>
        <w:t xml:space="preserve">t’s husband and authorizing </w:t>
      </w:r>
      <w:r w:rsidR="00136EDE" w:rsidRPr="00012C3F">
        <w:rPr>
          <w:sz w:val="20"/>
          <w:szCs w:val="20"/>
          <w:lang w:val="en-US"/>
        </w:rPr>
        <w:t xml:space="preserve">the </w:t>
      </w:r>
      <w:r w:rsidR="00136EDE" w:rsidRPr="00012C3F">
        <w:rPr>
          <w:sz w:val="20"/>
          <w:szCs w:val="20"/>
          <w:lang w:val="en-US"/>
        </w:rPr>
        <w:lastRenderedPageBreak/>
        <w:t>caesarean section</w:t>
      </w:r>
      <w:r w:rsidR="007A1A14" w:rsidRPr="00012C3F">
        <w:rPr>
          <w:sz w:val="20"/>
          <w:szCs w:val="20"/>
          <w:lang w:val="en-US"/>
        </w:rPr>
        <w:t xml:space="preserve"> </w:t>
      </w:r>
      <w:r w:rsidRPr="00012C3F">
        <w:rPr>
          <w:sz w:val="20"/>
          <w:szCs w:val="20"/>
          <w:lang w:val="en-US"/>
        </w:rPr>
        <w:t>and, if necessary, an</w:t>
      </w:r>
      <w:r w:rsidR="00103520" w:rsidRPr="00012C3F">
        <w:rPr>
          <w:sz w:val="20"/>
          <w:szCs w:val="20"/>
          <w:lang w:val="en-US"/>
        </w:rPr>
        <w:t>y</w:t>
      </w:r>
      <w:r w:rsidRPr="00012C3F">
        <w:rPr>
          <w:sz w:val="20"/>
          <w:szCs w:val="20"/>
          <w:lang w:val="en-US"/>
        </w:rPr>
        <w:t xml:space="preserve"> “special treatment” that had to be carried out “in anticipation of the different surgical findings, contingencies and/or complications that could occur during </w:t>
      </w:r>
      <w:r w:rsidR="00136EDE" w:rsidRPr="00012C3F">
        <w:rPr>
          <w:sz w:val="20"/>
          <w:szCs w:val="20"/>
          <w:lang w:val="en-US"/>
        </w:rPr>
        <w:t>the caesarean section</w:t>
      </w:r>
      <w:r w:rsidRPr="00012C3F">
        <w:rPr>
          <w:sz w:val="20"/>
          <w:szCs w:val="20"/>
          <w:lang w:val="en-US"/>
        </w:rPr>
        <w:t xml:space="preserve"> procedure, which could require the execution of additional corrective or preventive procedures.</w:t>
      </w:r>
      <w:r w:rsidR="007A1A14" w:rsidRPr="00012C3F">
        <w:rPr>
          <w:sz w:val="20"/>
          <w:szCs w:val="20"/>
          <w:lang w:val="en-US"/>
        </w:rPr>
        <w:t>”</w:t>
      </w:r>
      <w:r w:rsidR="007A1A14" w:rsidRPr="00012C3F">
        <w:rPr>
          <w:sz w:val="20"/>
          <w:szCs w:val="20"/>
          <w:vertAlign w:val="superscript"/>
          <w:lang w:val="en-US"/>
        </w:rPr>
        <w:footnoteReference w:id="72"/>
      </w:r>
      <w:r w:rsidR="007A1A14" w:rsidRPr="00012C3F">
        <w:rPr>
          <w:sz w:val="20"/>
          <w:szCs w:val="20"/>
          <w:lang w:val="en-US"/>
        </w:rPr>
        <w:t xml:space="preserve"> </w:t>
      </w:r>
      <w:r w:rsidR="008379AC" w:rsidRPr="00012C3F">
        <w:rPr>
          <w:sz w:val="20"/>
          <w:szCs w:val="20"/>
          <w:lang w:val="en-US"/>
        </w:rPr>
        <w:t>The Ethics Tribunal</w:t>
      </w:r>
      <w:r w:rsidR="007A1A14" w:rsidRPr="00012C3F">
        <w:rPr>
          <w:sz w:val="20"/>
          <w:szCs w:val="20"/>
          <w:lang w:val="en-US"/>
        </w:rPr>
        <w:t xml:space="preserve"> consider</w:t>
      </w:r>
      <w:r w:rsidRPr="00012C3F">
        <w:rPr>
          <w:sz w:val="20"/>
          <w:szCs w:val="20"/>
          <w:lang w:val="en-US"/>
        </w:rPr>
        <w:t>ed that the Pomeroy-type bilateral tubal ligation would fall within this concept.</w:t>
      </w:r>
      <w:r w:rsidR="007A1A14" w:rsidRPr="00012C3F">
        <w:rPr>
          <w:sz w:val="20"/>
          <w:szCs w:val="20"/>
          <w:vertAlign w:val="superscript"/>
          <w:lang w:val="en-US"/>
        </w:rPr>
        <w:footnoteReference w:id="73"/>
      </w:r>
    </w:p>
    <w:p w14:paraId="5743177E" w14:textId="77777777" w:rsidR="007A1A14" w:rsidRPr="00012C3F" w:rsidRDefault="007A1A14" w:rsidP="007A1A14">
      <w:pPr>
        <w:spacing w:line="240" w:lineRule="auto"/>
        <w:rPr>
          <w:sz w:val="20"/>
          <w:szCs w:val="20"/>
          <w:lang w:val="en-US"/>
        </w:rPr>
      </w:pPr>
    </w:p>
    <w:p w14:paraId="43E91809" w14:textId="77777777" w:rsidR="007A1A14" w:rsidRPr="00012C3F" w:rsidRDefault="007A1A14" w:rsidP="00716C7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Ad</w:t>
      </w:r>
      <w:r w:rsidR="00AC0004" w:rsidRPr="00012C3F">
        <w:rPr>
          <w:sz w:val="20"/>
          <w:szCs w:val="20"/>
          <w:lang w:val="en-US"/>
        </w:rPr>
        <w:t>ditionally,</w:t>
      </w:r>
      <w:r w:rsidRPr="00012C3F">
        <w:rPr>
          <w:sz w:val="20"/>
          <w:szCs w:val="20"/>
          <w:lang w:val="en-US"/>
        </w:rPr>
        <w:t xml:space="preserve"> </w:t>
      </w:r>
      <w:r w:rsidR="008379AC" w:rsidRPr="00012C3F">
        <w:rPr>
          <w:sz w:val="20"/>
          <w:szCs w:val="20"/>
          <w:lang w:val="en-US"/>
        </w:rPr>
        <w:t>the Ethics Tribunal</w:t>
      </w:r>
      <w:r w:rsidRPr="00012C3F">
        <w:rPr>
          <w:sz w:val="20"/>
          <w:szCs w:val="20"/>
          <w:lang w:val="en-US"/>
        </w:rPr>
        <w:t xml:space="preserve"> </w:t>
      </w:r>
      <w:r w:rsidR="00AC0004" w:rsidRPr="00012C3F">
        <w:rPr>
          <w:sz w:val="20"/>
          <w:szCs w:val="20"/>
          <w:lang w:val="en-US"/>
        </w:rPr>
        <w:t xml:space="preserve">indicated that “it was not possible to have the specific, written informed consent for the tubal ligation, because this procedure was not </w:t>
      </w:r>
      <w:r w:rsidR="00103520" w:rsidRPr="00012C3F">
        <w:rPr>
          <w:sz w:val="20"/>
          <w:szCs w:val="20"/>
          <w:lang w:val="en-US"/>
        </w:rPr>
        <w:t>anticipated</w:t>
      </w:r>
      <w:r w:rsidR="00AC0004" w:rsidRPr="00012C3F">
        <w:rPr>
          <w:sz w:val="20"/>
          <w:szCs w:val="20"/>
          <w:lang w:val="en-US"/>
        </w:rPr>
        <w:t>, and it was performed by the surgeon owing to the necessity revealed by the findings during the operation</w:t>
      </w:r>
      <w:r w:rsidRPr="00012C3F">
        <w:rPr>
          <w:sz w:val="20"/>
          <w:szCs w:val="20"/>
          <w:lang w:val="en-US"/>
        </w:rPr>
        <w:t>”</w:t>
      </w:r>
      <w:r w:rsidR="00AC0004" w:rsidRPr="00012C3F">
        <w:rPr>
          <w:sz w:val="20"/>
          <w:szCs w:val="20"/>
          <w:lang w:val="en-US"/>
        </w:rPr>
        <w:t>;</w:t>
      </w:r>
      <w:r w:rsidRPr="00012C3F">
        <w:rPr>
          <w:sz w:val="20"/>
          <w:szCs w:val="20"/>
          <w:vertAlign w:val="superscript"/>
          <w:lang w:val="en-US"/>
        </w:rPr>
        <w:footnoteReference w:id="74"/>
      </w:r>
      <w:r w:rsidR="00AC0004" w:rsidRPr="00012C3F">
        <w:rPr>
          <w:sz w:val="20"/>
          <w:szCs w:val="20"/>
          <w:lang w:val="en-US"/>
        </w:rPr>
        <w:t xml:space="preserve"> thus,</w:t>
      </w:r>
      <w:r w:rsidRPr="00012C3F">
        <w:rPr>
          <w:sz w:val="20"/>
          <w:szCs w:val="20"/>
          <w:lang w:val="en-US"/>
        </w:rPr>
        <w:t xml:space="preserve"> </w:t>
      </w:r>
      <w:r w:rsidR="00AC0004" w:rsidRPr="00012C3F">
        <w:rPr>
          <w:sz w:val="20"/>
          <w:szCs w:val="20"/>
          <w:lang w:val="en-US"/>
        </w:rPr>
        <w:t>the verbal authorization that the patient allegedly gave was sufficient.</w:t>
      </w:r>
      <w:r w:rsidRPr="00012C3F">
        <w:rPr>
          <w:sz w:val="20"/>
          <w:szCs w:val="20"/>
          <w:vertAlign w:val="superscript"/>
          <w:lang w:val="en-US"/>
        </w:rPr>
        <w:footnoteReference w:id="75"/>
      </w:r>
      <w:r w:rsidR="00AC0004" w:rsidRPr="00012C3F">
        <w:rPr>
          <w:sz w:val="20"/>
          <w:szCs w:val="20"/>
          <w:lang w:val="en-US"/>
        </w:rPr>
        <w:t xml:space="preserve"> In this regard, it indicated that what jeopardized the patient’s life was “the future risk of rupture of the uterus in another pregnancy, owing to the weakness of the uterine wall following </w:t>
      </w:r>
      <w:r w:rsidR="00136EDE" w:rsidRPr="00012C3F">
        <w:rPr>
          <w:sz w:val="20"/>
          <w:szCs w:val="20"/>
          <w:lang w:val="en-US"/>
        </w:rPr>
        <w:t>the caesarean section</w:t>
      </w:r>
      <w:r w:rsidRPr="00012C3F">
        <w:rPr>
          <w:sz w:val="20"/>
          <w:szCs w:val="20"/>
          <w:lang w:val="en-US"/>
        </w:rPr>
        <w:t xml:space="preserve"> </w:t>
      </w:r>
      <w:r w:rsidR="00AC0004" w:rsidRPr="00012C3F">
        <w:rPr>
          <w:sz w:val="20"/>
          <w:szCs w:val="20"/>
          <w:lang w:val="en-US"/>
        </w:rPr>
        <w:t>procedure.</w:t>
      </w:r>
      <w:r w:rsidRPr="00012C3F">
        <w:rPr>
          <w:sz w:val="20"/>
          <w:szCs w:val="20"/>
          <w:lang w:val="en-US"/>
        </w:rPr>
        <w:t>”</w:t>
      </w:r>
      <w:r w:rsidRPr="00012C3F">
        <w:rPr>
          <w:sz w:val="20"/>
          <w:szCs w:val="20"/>
          <w:vertAlign w:val="superscript"/>
          <w:lang w:val="en-US"/>
        </w:rPr>
        <w:footnoteReference w:id="76"/>
      </w:r>
    </w:p>
    <w:p w14:paraId="604BF440" w14:textId="77777777" w:rsidR="007A1A14" w:rsidRPr="00012C3F" w:rsidRDefault="007A1A14" w:rsidP="007A1A14">
      <w:pPr>
        <w:spacing w:line="240" w:lineRule="auto"/>
        <w:rPr>
          <w:sz w:val="20"/>
          <w:szCs w:val="20"/>
          <w:lang w:val="en-US"/>
        </w:rPr>
      </w:pPr>
    </w:p>
    <w:p w14:paraId="5CE61311" w14:textId="77777777" w:rsidR="007A1A14" w:rsidRPr="00012C3F" w:rsidRDefault="00AC0004" w:rsidP="00AC000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relevant part of this </w:t>
      </w:r>
      <w:r w:rsidR="00B53B61" w:rsidRPr="00012C3F">
        <w:rPr>
          <w:sz w:val="20"/>
          <w:szCs w:val="20"/>
          <w:lang w:val="en-US"/>
        </w:rPr>
        <w:t>report</w:t>
      </w:r>
      <w:r w:rsidRPr="00012C3F">
        <w:rPr>
          <w:sz w:val="20"/>
          <w:szCs w:val="20"/>
          <w:lang w:val="en-US"/>
        </w:rPr>
        <w:t xml:space="preserve"> included the following conclusions:</w:t>
      </w:r>
    </w:p>
    <w:p w14:paraId="01764886" w14:textId="77777777" w:rsidR="007A1A14" w:rsidRPr="00012C3F" w:rsidRDefault="007A1A14" w:rsidP="007A1A14">
      <w:pPr>
        <w:spacing w:line="240" w:lineRule="auto"/>
        <w:rPr>
          <w:sz w:val="20"/>
          <w:szCs w:val="20"/>
          <w:lang w:val="en-US"/>
        </w:rPr>
      </w:pPr>
    </w:p>
    <w:p w14:paraId="31C8EBE3" w14:textId="77777777" w:rsidR="007A1A14" w:rsidRPr="00012C3F" w:rsidRDefault="007A1A14" w:rsidP="00AC0004">
      <w:pPr>
        <w:spacing w:after="120" w:line="240" w:lineRule="auto"/>
        <w:ind w:left="720" w:right="573"/>
        <w:rPr>
          <w:sz w:val="16"/>
          <w:szCs w:val="16"/>
          <w:lang w:val="en-US"/>
        </w:rPr>
      </w:pPr>
      <w:r w:rsidRPr="00012C3F">
        <w:rPr>
          <w:sz w:val="16"/>
          <w:szCs w:val="16"/>
          <w:lang w:val="en-US"/>
        </w:rPr>
        <w:t>[...]</w:t>
      </w:r>
    </w:p>
    <w:p w14:paraId="040E2794" w14:textId="77777777" w:rsidR="00AC0004" w:rsidRPr="00012C3F" w:rsidRDefault="007A1A14" w:rsidP="00AC0004">
      <w:pPr>
        <w:spacing w:after="120" w:line="240" w:lineRule="auto"/>
        <w:ind w:left="720" w:right="573"/>
        <w:rPr>
          <w:sz w:val="16"/>
          <w:szCs w:val="16"/>
          <w:lang w:val="en-US"/>
        </w:rPr>
      </w:pPr>
      <w:r w:rsidRPr="00012C3F">
        <w:rPr>
          <w:sz w:val="16"/>
          <w:szCs w:val="16"/>
          <w:lang w:val="en-US"/>
        </w:rPr>
        <w:t xml:space="preserve">6. </w:t>
      </w:r>
      <w:r w:rsidR="00AC0004" w:rsidRPr="00012C3F">
        <w:rPr>
          <w:sz w:val="16"/>
          <w:szCs w:val="16"/>
          <w:lang w:val="en-US"/>
        </w:rPr>
        <w:t>The bilateral tubal ligation decision had to be taken during the surgical procedure because, prior to the cesarean section, the surgical conditions or contingencies that could indicate the need for it were unknown</w:t>
      </w:r>
    </w:p>
    <w:p w14:paraId="2E111C04" w14:textId="77777777" w:rsidR="00AC0004" w:rsidRPr="00012C3F" w:rsidRDefault="007A1A14" w:rsidP="00AC0004">
      <w:pPr>
        <w:pStyle w:val="Cita"/>
        <w:spacing w:after="120"/>
        <w:rPr>
          <w:rFonts w:ascii="Verdana" w:hAnsi="Verdana"/>
          <w:sz w:val="16"/>
          <w:szCs w:val="16"/>
        </w:rPr>
      </w:pPr>
      <w:r w:rsidRPr="00012C3F">
        <w:rPr>
          <w:rFonts w:ascii="Verdana" w:hAnsi="Verdana"/>
          <w:sz w:val="16"/>
          <w:szCs w:val="16"/>
        </w:rPr>
        <w:t xml:space="preserve">7. </w:t>
      </w:r>
      <w:r w:rsidR="00AC0004" w:rsidRPr="00012C3F">
        <w:rPr>
          <w:rFonts w:ascii="Verdana" w:hAnsi="Verdana"/>
          <w:sz w:val="16"/>
          <w:szCs w:val="16"/>
        </w:rPr>
        <w:t>That conclusion explains why there was no specific document giving written informed consent.</w:t>
      </w:r>
    </w:p>
    <w:p w14:paraId="616C8CF8" w14:textId="77777777" w:rsidR="007A1A14" w:rsidRPr="00012C3F" w:rsidRDefault="00AC0004" w:rsidP="00716C7D">
      <w:pPr>
        <w:spacing w:after="200" w:line="240" w:lineRule="auto"/>
        <w:ind w:left="720" w:right="573"/>
        <w:rPr>
          <w:sz w:val="16"/>
          <w:szCs w:val="16"/>
          <w:lang w:val="en-US"/>
        </w:rPr>
      </w:pPr>
      <w:r w:rsidRPr="00012C3F">
        <w:rPr>
          <w:sz w:val="16"/>
          <w:szCs w:val="16"/>
          <w:lang w:val="en-US"/>
        </w:rPr>
        <w:t xml:space="preserve">8. Several people made </w:t>
      </w:r>
      <w:r w:rsidR="00885648" w:rsidRPr="00012C3F">
        <w:rPr>
          <w:sz w:val="16"/>
          <w:szCs w:val="16"/>
          <w:lang w:val="en-US"/>
        </w:rPr>
        <w:t xml:space="preserve">similar </w:t>
      </w:r>
      <w:r w:rsidRPr="00012C3F">
        <w:rPr>
          <w:sz w:val="16"/>
          <w:szCs w:val="16"/>
          <w:lang w:val="en-US"/>
        </w:rPr>
        <w:t xml:space="preserve">statements asserting that the patient gave her </w:t>
      </w:r>
      <w:r w:rsidR="00885648" w:rsidRPr="00012C3F">
        <w:rPr>
          <w:sz w:val="16"/>
          <w:szCs w:val="16"/>
          <w:lang w:val="en-US"/>
        </w:rPr>
        <w:t>verb</w:t>
      </w:r>
      <w:r w:rsidRPr="00012C3F">
        <w:rPr>
          <w:sz w:val="16"/>
          <w:szCs w:val="16"/>
          <w:lang w:val="en-US"/>
        </w:rPr>
        <w:t>al authorization for the bilateral tubal ligation procedure</w:t>
      </w:r>
      <w:r w:rsidR="00885648" w:rsidRPr="00012C3F">
        <w:rPr>
          <w:sz w:val="16"/>
          <w:szCs w:val="16"/>
          <w:lang w:val="en-US"/>
        </w:rPr>
        <w:t>.</w:t>
      </w:r>
      <w:r w:rsidR="007A1A14" w:rsidRPr="00012C3F">
        <w:rPr>
          <w:rStyle w:val="Refdenotaalpie"/>
          <w:sz w:val="16"/>
          <w:szCs w:val="16"/>
          <w:lang w:val="en-US"/>
        </w:rPr>
        <w:footnoteReference w:id="77"/>
      </w:r>
    </w:p>
    <w:p w14:paraId="1C69018A" w14:textId="77777777" w:rsidR="007A1A14" w:rsidRPr="00012C3F" w:rsidRDefault="008379AC" w:rsidP="0088564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Ethics Tribunal</w:t>
      </w:r>
      <w:r w:rsidR="007A1A14" w:rsidRPr="00012C3F">
        <w:rPr>
          <w:sz w:val="20"/>
          <w:szCs w:val="20"/>
          <w:lang w:val="en-US"/>
        </w:rPr>
        <w:t xml:space="preserve"> </w:t>
      </w:r>
      <w:r w:rsidR="00885648" w:rsidRPr="00012C3F">
        <w:rPr>
          <w:sz w:val="20"/>
          <w:szCs w:val="20"/>
          <w:lang w:val="en-US"/>
        </w:rPr>
        <w:t>recognized that there had been a lack of uniformity and coherence in the methodology used in the different audit procedures conducted up until that time,</w:t>
      </w:r>
      <w:r w:rsidR="007A1A14" w:rsidRPr="00012C3F">
        <w:rPr>
          <w:sz w:val="20"/>
          <w:szCs w:val="20"/>
          <w:vertAlign w:val="superscript"/>
          <w:lang w:val="en-US"/>
        </w:rPr>
        <w:footnoteReference w:id="78"/>
      </w:r>
      <w:r w:rsidR="005E5012" w:rsidRPr="00012C3F">
        <w:rPr>
          <w:sz w:val="20"/>
          <w:szCs w:val="20"/>
          <w:lang w:val="en-US"/>
        </w:rPr>
        <w:t xml:space="preserve"> and </w:t>
      </w:r>
      <w:r w:rsidR="007A1A14" w:rsidRPr="00012C3F">
        <w:rPr>
          <w:sz w:val="20"/>
          <w:szCs w:val="20"/>
          <w:lang w:val="en-US"/>
        </w:rPr>
        <w:t>a</w:t>
      </w:r>
      <w:r w:rsidR="00885648" w:rsidRPr="00012C3F">
        <w:rPr>
          <w:sz w:val="20"/>
          <w:szCs w:val="20"/>
          <w:lang w:val="en-US"/>
        </w:rPr>
        <w:t>dded that the different methods and contradictory results indicated structural problems in the health sector: “[t]hat difference in methodology has led to contradictory results revealing serious shortcomings in the organization of the sector’s institutions</w:t>
      </w:r>
      <w:r w:rsidR="00103520" w:rsidRPr="00012C3F">
        <w:rPr>
          <w:sz w:val="20"/>
          <w:szCs w:val="20"/>
          <w:lang w:val="en-US"/>
        </w:rPr>
        <w:t xml:space="preserve"> in order</w:t>
      </w:r>
      <w:r w:rsidR="00885648" w:rsidRPr="00012C3F">
        <w:rPr>
          <w:sz w:val="20"/>
          <w:szCs w:val="20"/>
          <w:lang w:val="en-US"/>
        </w:rPr>
        <w:t xml:space="preserve"> to implement this type of action, as well as their functional interrelationship and degrees of dependency.</w:t>
      </w:r>
      <w:r w:rsidR="007A1A14" w:rsidRPr="00012C3F">
        <w:rPr>
          <w:sz w:val="20"/>
          <w:szCs w:val="20"/>
          <w:lang w:val="en-US"/>
        </w:rPr>
        <w:t>”</w:t>
      </w:r>
      <w:r w:rsidR="007A1A14" w:rsidRPr="00012C3F">
        <w:rPr>
          <w:sz w:val="20"/>
          <w:szCs w:val="20"/>
          <w:vertAlign w:val="superscript"/>
          <w:lang w:val="en-US"/>
        </w:rPr>
        <w:footnoteReference w:id="79"/>
      </w:r>
      <w:r w:rsidR="00885648" w:rsidRPr="00012C3F">
        <w:rPr>
          <w:sz w:val="20"/>
          <w:szCs w:val="20"/>
          <w:lang w:val="en-US"/>
        </w:rPr>
        <w:t xml:space="preserve"> It emphasized that the purpose of the medical audits was “to improve the quality of care in the health services” and not to conduct </w:t>
      </w:r>
      <w:r w:rsidR="007A1A14" w:rsidRPr="00012C3F">
        <w:rPr>
          <w:sz w:val="20"/>
          <w:szCs w:val="20"/>
          <w:lang w:val="en-US"/>
        </w:rPr>
        <w:t>“</w:t>
      </w:r>
      <w:r w:rsidR="00885648" w:rsidRPr="00012C3F">
        <w:rPr>
          <w:sz w:val="20"/>
          <w:szCs w:val="20"/>
          <w:lang w:val="en-US"/>
        </w:rPr>
        <w:t>a</w:t>
      </w:r>
      <w:r w:rsidR="007A1A14" w:rsidRPr="00012C3F">
        <w:rPr>
          <w:sz w:val="20"/>
          <w:szCs w:val="20"/>
          <w:lang w:val="en-US"/>
        </w:rPr>
        <w:t xml:space="preserve">n […] </w:t>
      </w:r>
      <w:r w:rsidR="00885648" w:rsidRPr="00012C3F">
        <w:rPr>
          <w:sz w:val="20"/>
          <w:szCs w:val="20"/>
          <w:lang w:val="en-US"/>
        </w:rPr>
        <w:t>a</w:t>
      </w:r>
      <w:r w:rsidR="006C705C" w:rsidRPr="00012C3F">
        <w:rPr>
          <w:sz w:val="20"/>
          <w:szCs w:val="20"/>
          <w:lang w:val="en-US"/>
        </w:rPr>
        <w:t>dministrative proce</w:t>
      </w:r>
      <w:r w:rsidR="00103520" w:rsidRPr="00012C3F">
        <w:rPr>
          <w:sz w:val="20"/>
          <w:szCs w:val="20"/>
          <w:lang w:val="en-US"/>
        </w:rPr>
        <w:t>dure</w:t>
      </w:r>
      <w:r w:rsidR="007A1A14" w:rsidRPr="00012C3F">
        <w:rPr>
          <w:sz w:val="20"/>
          <w:szCs w:val="20"/>
          <w:lang w:val="en-US"/>
        </w:rPr>
        <w:t xml:space="preserve"> […] </w:t>
      </w:r>
      <w:r w:rsidR="00103520" w:rsidRPr="00012C3F">
        <w:rPr>
          <w:sz w:val="20"/>
          <w:szCs w:val="20"/>
          <w:lang w:val="en-US"/>
        </w:rPr>
        <w:t>that</w:t>
      </w:r>
      <w:r w:rsidR="00885648" w:rsidRPr="00012C3F">
        <w:rPr>
          <w:sz w:val="20"/>
          <w:szCs w:val="20"/>
          <w:lang w:val="en-US"/>
        </w:rPr>
        <w:t xml:space="preserve"> could lead to sanctions.</w:t>
      </w:r>
      <w:r w:rsidR="007A1A14" w:rsidRPr="00012C3F">
        <w:rPr>
          <w:sz w:val="20"/>
          <w:szCs w:val="20"/>
          <w:lang w:val="en-US"/>
        </w:rPr>
        <w:t>”</w:t>
      </w:r>
      <w:r w:rsidR="007A1A14" w:rsidRPr="00012C3F">
        <w:rPr>
          <w:sz w:val="20"/>
          <w:szCs w:val="20"/>
          <w:vertAlign w:val="superscript"/>
          <w:lang w:val="en-US"/>
        </w:rPr>
        <w:footnoteReference w:id="80"/>
      </w:r>
      <w:r w:rsidR="00885648" w:rsidRPr="00012C3F">
        <w:rPr>
          <w:sz w:val="20"/>
          <w:szCs w:val="20"/>
          <w:lang w:val="en-US"/>
        </w:rPr>
        <w:t xml:space="preserve"> Consequently, it considered that it was not appropriate to determine that the </w:t>
      </w:r>
      <w:r w:rsidR="00103520" w:rsidRPr="00012C3F">
        <w:rPr>
          <w:sz w:val="20"/>
          <w:szCs w:val="20"/>
          <w:lang w:val="en-US"/>
        </w:rPr>
        <w:t>physician</w:t>
      </w:r>
      <w:r w:rsidR="00885648" w:rsidRPr="00012C3F">
        <w:rPr>
          <w:sz w:val="20"/>
          <w:szCs w:val="20"/>
          <w:lang w:val="en-US"/>
        </w:rPr>
        <w:t xml:space="preserve"> should be dismissed owing to his long professional career abiding by the rules of gynecology/obstetrics. Even though it did not specifically </w:t>
      </w:r>
      <w:r w:rsidR="00885648" w:rsidRPr="00012C3F">
        <w:rPr>
          <w:sz w:val="20"/>
          <w:szCs w:val="20"/>
          <w:lang w:val="en-US"/>
        </w:rPr>
        <w:lastRenderedPageBreak/>
        <w:t>mention the norms he abided by: “[i]t seems i</w:t>
      </w:r>
      <w:r w:rsidR="00103520" w:rsidRPr="00012C3F">
        <w:rPr>
          <w:sz w:val="20"/>
          <w:szCs w:val="20"/>
          <w:lang w:val="en-US"/>
        </w:rPr>
        <w:t>nappropriate</w:t>
      </w:r>
      <w:r w:rsidR="00885648" w:rsidRPr="00012C3F">
        <w:rPr>
          <w:sz w:val="20"/>
          <w:szCs w:val="20"/>
          <w:lang w:val="en-US"/>
        </w:rPr>
        <w:t xml:space="preserve"> and unjust to sanction a specialist who has worked</w:t>
      </w:r>
      <w:r w:rsidR="00103520" w:rsidRPr="00012C3F">
        <w:rPr>
          <w:sz w:val="20"/>
          <w:szCs w:val="20"/>
          <w:lang w:val="en-US"/>
        </w:rPr>
        <w:t xml:space="preserve"> in an institution</w:t>
      </w:r>
      <w:r w:rsidR="00885648" w:rsidRPr="00012C3F">
        <w:rPr>
          <w:sz w:val="20"/>
          <w:szCs w:val="20"/>
          <w:lang w:val="en-US"/>
        </w:rPr>
        <w:t xml:space="preserve"> for more than 26 years</w:t>
      </w:r>
      <w:r w:rsidR="00103520" w:rsidRPr="00012C3F">
        <w:rPr>
          <w:sz w:val="20"/>
          <w:szCs w:val="20"/>
          <w:lang w:val="en-US"/>
        </w:rPr>
        <w:t xml:space="preserve"> with dismissal</w:t>
      </w:r>
      <w:r w:rsidR="00885648" w:rsidRPr="00012C3F">
        <w:rPr>
          <w:sz w:val="20"/>
          <w:szCs w:val="20"/>
          <w:lang w:val="en-US"/>
        </w:rPr>
        <w:t xml:space="preserve"> for performing a procedure established in the norms of gynecology/obstetrics</w:t>
      </w:r>
      <w:r w:rsidR="00103520" w:rsidRPr="00012C3F">
        <w:rPr>
          <w:sz w:val="20"/>
          <w:szCs w:val="20"/>
          <w:lang w:val="en-US"/>
        </w:rPr>
        <w:t xml:space="preserve"> </w:t>
      </w:r>
      <w:r w:rsidR="00885648" w:rsidRPr="00012C3F">
        <w:rPr>
          <w:sz w:val="20"/>
          <w:szCs w:val="20"/>
          <w:lang w:val="en-US"/>
        </w:rPr>
        <w:t>to sa</w:t>
      </w:r>
      <w:r w:rsidR="00103520" w:rsidRPr="00012C3F">
        <w:rPr>
          <w:sz w:val="20"/>
          <w:szCs w:val="20"/>
          <w:lang w:val="en-US"/>
        </w:rPr>
        <w:t>v</w:t>
      </w:r>
      <w:r w:rsidR="00885648" w:rsidRPr="00012C3F">
        <w:rPr>
          <w:sz w:val="20"/>
          <w:szCs w:val="20"/>
          <w:lang w:val="en-US"/>
        </w:rPr>
        <w:t>e a patient from potential future complications.</w:t>
      </w:r>
      <w:r w:rsidR="007A1A14" w:rsidRPr="00012C3F">
        <w:rPr>
          <w:sz w:val="20"/>
          <w:szCs w:val="20"/>
          <w:lang w:val="en-US"/>
        </w:rPr>
        <w:t>”</w:t>
      </w:r>
      <w:r w:rsidR="007A1A14" w:rsidRPr="00012C3F">
        <w:rPr>
          <w:sz w:val="20"/>
          <w:szCs w:val="20"/>
          <w:vertAlign w:val="superscript"/>
          <w:lang w:val="en-US"/>
        </w:rPr>
        <w:footnoteReference w:id="81"/>
      </w:r>
    </w:p>
    <w:p w14:paraId="036CDB76" w14:textId="77777777" w:rsidR="007A1A14" w:rsidRPr="00012C3F" w:rsidRDefault="007A1A14" w:rsidP="007A1A14">
      <w:pPr>
        <w:spacing w:line="240" w:lineRule="auto"/>
        <w:ind w:right="360"/>
        <w:rPr>
          <w:sz w:val="20"/>
          <w:szCs w:val="20"/>
          <w:lang w:val="en-US"/>
        </w:rPr>
      </w:pPr>
    </w:p>
    <w:p w14:paraId="022BE68F" w14:textId="77777777" w:rsidR="007A1A14" w:rsidRPr="00012C3F" w:rsidRDefault="00885648" w:rsidP="0088564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Lastly, it recommended that I.V. should be given a detailed explanation of everything that happened, </w:t>
      </w:r>
      <w:r w:rsidR="00103520" w:rsidRPr="00012C3F">
        <w:rPr>
          <w:sz w:val="20"/>
          <w:szCs w:val="20"/>
          <w:lang w:val="en-US"/>
        </w:rPr>
        <w:t>as well as</w:t>
      </w:r>
      <w:r w:rsidRPr="00012C3F">
        <w:rPr>
          <w:sz w:val="20"/>
          <w:szCs w:val="20"/>
          <w:lang w:val="en-US"/>
        </w:rPr>
        <w:t xml:space="preserve"> the standardization and systematic application of written informed consent in the health care services.</w:t>
      </w:r>
      <w:r w:rsidR="007A1A14" w:rsidRPr="00012C3F">
        <w:rPr>
          <w:sz w:val="20"/>
          <w:szCs w:val="20"/>
          <w:vertAlign w:val="superscript"/>
          <w:lang w:val="en-US"/>
        </w:rPr>
        <w:footnoteReference w:id="82"/>
      </w:r>
    </w:p>
    <w:p w14:paraId="6938A143" w14:textId="77777777" w:rsidR="007A1A14" w:rsidRPr="00012C3F" w:rsidRDefault="007A1A14" w:rsidP="007A1A14">
      <w:pPr>
        <w:spacing w:line="240" w:lineRule="auto"/>
        <w:ind w:right="360"/>
        <w:rPr>
          <w:sz w:val="20"/>
          <w:szCs w:val="20"/>
          <w:lang w:val="en-US"/>
        </w:rPr>
      </w:pPr>
    </w:p>
    <w:p w14:paraId="3C8F72B7" w14:textId="77777777" w:rsidR="007A1A14" w:rsidRPr="00012C3F" w:rsidRDefault="007A1A14" w:rsidP="00040BA7">
      <w:pPr>
        <w:keepNext/>
        <w:keepLines/>
        <w:tabs>
          <w:tab w:val="left" w:pos="1134"/>
        </w:tabs>
        <w:spacing w:line="240" w:lineRule="auto"/>
        <w:ind w:left="567" w:firstLine="1"/>
        <w:outlineLvl w:val="1"/>
        <w:rPr>
          <w:rFonts w:eastAsia="MS Mincho"/>
          <w:b/>
          <w:bCs/>
          <w:i/>
          <w:sz w:val="20"/>
          <w:szCs w:val="20"/>
          <w:lang w:val="en-US"/>
        </w:rPr>
      </w:pPr>
      <w:bookmarkStart w:id="99" w:name="_Toc27486844"/>
      <w:r w:rsidRPr="00012C3F">
        <w:rPr>
          <w:rFonts w:eastAsia="MS Mincho"/>
          <w:b/>
          <w:bCs/>
          <w:i/>
          <w:sz w:val="20"/>
          <w:szCs w:val="20"/>
          <w:lang w:val="en-US"/>
        </w:rPr>
        <w:t xml:space="preserve">D. </w:t>
      </w:r>
      <w:r w:rsidRPr="00012C3F">
        <w:rPr>
          <w:rFonts w:eastAsia="MS Mincho"/>
          <w:b/>
          <w:bCs/>
          <w:i/>
          <w:sz w:val="20"/>
          <w:szCs w:val="20"/>
          <w:lang w:val="en-US"/>
        </w:rPr>
        <w:tab/>
      </w:r>
      <w:r w:rsidR="0099356C" w:rsidRPr="00012C3F">
        <w:rPr>
          <w:rFonts w:eastAsia="MS Mincho"/>
          <w:b/>
          <w:bCs/>
          <w:i/>
          <w:sz w:val="20"/>
          <w:szCs w:val="20"/>
          <w:lang w:val="en-US"/>
        </w:rPr>
        <w:t>Administrative proceeding</w:t>
      </w:r>
      <w:bookmarkEnd w:id="99"/>
    </w:p>
    <w:p w14:paraId="6630AC1F" w14:textId="77777777" w:rsidR="007A1A14" w:rsidRPr="00012C3F" w:rsidRDefault="007A1A14" w:rsidP="007A1A14">
      <w:pPr>
        <w:spacing w:line="240" w:lineRule="auto"/>
        <w:rPr>
          <w:sz w:val="20"/>
          <w:szCs w:val="20"/>
          <w:lang w:val="en-US"/>
        </w:rPr>
      </w:pPr>
    </w:p>
    <w:p w14:paraId="744812B3" w14:textId="77777777" w:rsidR="007A1A14" w:rsidRPr="00012C3F" w:rsidRDefault="007E5FDF" w:rsidP="0088564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May 12,</w:t>
      </w:r>
      <w:r w:rsidR="007A1A14" w:rsidRPr="00012C3F">
        <w:rPr>
          <w:sz w:val="20"/>
          <w:szCs w:val="20"/>
          <w:lang w:val="en-US"/>
        </w:rPr>
        <w:t xml:space="preserve"> 2002</w:t>
      </w:r>
      <w:r w:rsidR="00885648" w:rsidRPr="00012C3F">
        <w:rPr>
          <w:sz w:val="20"/>
          <w:szCs w:val="20"/>
          <w:lang w:val="en-US"/>
        </w:rPr>
        <w:t>,</w:t>
      </w:r>
      <w:r w:rsidR="007A1A14" w:rsidRPr="00012C3F">
        <w:rPr>
          <w:sz w:val="20"/>
          <w:szCs w:val="20"/>
          <w:lang w:val="en-US"/>
        </w:rPr>
        <w:t xml:space="preserve"> </w:t>
      </w:r>
      <w:r w:rsidR="00885648" w:rsidRPr="00012C3F">
        <w:rPr>
          <w:sz w:val="20"/>
          <w:szCs w:val="20"/>
          <w:lang w:val="en-US"/>
        </w:rPr>
        <w:t>the Technical Director</w:t>
      </w:r>
      <w:r w:rsidR="007A1A14" w:rsidRPr="00012C3F">
        <w:rPr>
          <w:sz w:val="20"/>
          <w:szCs w:val="20"/>
          <w:lang w:val="en-US"/>
        </w:rPr>
        <w:t xml:space="preserve"> </w:t>
      </w:r>
      <w:r w:rsidR="00885648" w:rsidRPr="00012C3F">
        <w:rPr>
          <w:sz w:val="20"/>
          <w:szCs w:val="20"/>
          <w:lang w:val="en-US"/>
        </w:rPr>
        <w:t>of the La Paz Departmental Health Service</w:t>
      </w:r>
      <w:r w:rsidR="007A1A14" w:rsidRPr="00012C3F">
        <w:rPr>
          <w:sz w:val="20"/>
          <w:szCs w:val="20"/>
          <w:lang w:val="en-US"/>
        </w:rPr>
        <w:t xml:space="preserve"> instru</w:t>
      </w:r>
      <w:r w:rsidR="00885648" w:rsidRPr="00012C3F">
        <w:rPr>
          <w:sz w:val="20"/>
          <w:szCs w:val="20"/>
          <w:lang w:val="en-US"/>
        </w:rPr>
        <w:t>cted</w:t>
      </w:r>
      <w:r w:rsidR="007A1A14" w:rsidRPr="00012C3F">
        <w:rPr>
          <w:sz w:val="20"/>
          <w:szCs w:val="20"/>
          <w:lang w:val="en-US"/>
        </w:rPr>
        <w:t xml:space="preserve"> </w:t>
      </w:r>
      <w:r w:rsidR="00833C77" w:rsidRPr="00012C3F">
        <w:rPr>
          <w:sz w:val="20"/>
          <w:szCs w:val="20"/>
          <w:lang w:val="en-US"/>
        </w:rPr>
        <w:t>the Legal Advisory Services Unit</w:t>
      </w:r>
      <w:r w:rsidR="007A1A14" w:rsidRPr="00012C3F">
        <w:rPr>
          <w:sz w:val="20"/>
          <w:szCs w:val="20"/>
          <w:lang w:val="en-US"/>
        </w:rPr>
        <w:t xml:space="preserve"> </w:t>
      </w:r>
      <w:r w:rsidR="00833C77" w:rsidRPr="00012C3F">
        <w:rPr>
          <w:sz w:val="20"/>
          <w:szCs w:val="20"/>
          <w:lang w:val="en-US"/>
        </w:rPr>
        <w:t>of the La Paz Departmental Health Service</w:t>
      </w:r>
      <w:r w:rsidR="007A1A14" w:rsidRPr="00012C3F">
        <w:rPr>
          <w:sz w:val="20"/>
          <w:szCs w:val="20"/>
          <w:lang w:val="en-US"/>
        </w:rPr>
        <w:t xml:space="preserve"> </w:t>
      </w:r>
      <w:r w:rsidR="00885648" w:rsidRPr="00012C3F">
        <w:rPr>
          <w:sz w:val="20"/>
          <w:szCs w:val="20"/>
          <w:lang w:val="en-US"/>
        </w:rPr>
        <w:t>to open an a</w:t>
      </w:r>
      <w:r w:rsidR="006C705C" w:rsidRPr="00012C3F">
        <w:rPr>
          <w:sz w:val="20"/>
          <w:szCs w:val="20"/>
          <w:lang w:val="en-US"/>
        </w:rPr>
        <w:t>dministrative proceeding</w:t>
      </w:r>
      <w:r w:rsidR="007A1A14" w:rsidRPr="00012C3F">
        <w:rPr>
          <w:sz w:val="20"/>
          <w:szCs w:val="20"/>
          <w:lang w:val="en-US"/>
        </w:rPr>
        <w:t xml:space="preserve">, </w:t>
      </w:r>
      <w:r w:rsidR="00885648" w:rsidRPr="00012C3F">
        <w:rPr>
          <w:sz w:val="20"/>
          <w:szCs w:val="20"/>
          <w:lang w:val="en-US"/>
        </w:rPr>
        <w:t>following various recommendations by the Ombudsman</w:t>
      </w:r>
      <w:r w:rsidR="005E5012" w:rsidRPr="00012C3F">
        <w:rPr>
          <w:sz w:val="20"/>
          <w:szCs w:val="20"/>
          <w:lang w:val="en-US"/>
        </w:rPr>
        <w:t xml:space="preserve"> and</w:t>
      </w:r>
      <w:r w:rsidR="00885648" w:rsidRPr="00012C3F">
        <w:rPr>
          <w:sz w:val="20"/>
          <w:szCs w:val="20"/>
          <w:lang w:val="en-US"/>
        </w:rPr>
        <w:t xml:space="preserve"> </w:t>
      </w:r>
      <w:r w:rsidR="00B53B61" w:rsidRPr="00012C3F">
        <w:rPr>
          <w:sz w:val="20"/>
          <w:szCs w:val="20"/>
          <w:lang w:val="en-US"/>
        </w:rPr>
        <w:t>the Minister of Health and Social Services</w:t>
      </w:r>
      <w:r w:rsidR="00885648" w:rsidRPr="00012C3F">
        <w:rPr>
          <w:sz w:val="20"/>
          <w:szCs w:val="20"/>
          <w:lang w:val="en-US"/>
        </w:rPr>
        <w:t>.</w:t>
      </w:r>
      <w:r w:rsidR="007A1A14" w:rsidRPr="00012C3F">
        <w:rPr>
          <w:rStyle w:val="Refdenotaalpie"/>
          <w:sz w:val="20"/>
          <w:szCs w:val="20"/>
          <w:lang w:val="en-US"/>
        </w:rPr>
        <w:footnoteReference w:id="83"/>
      </w:r>
      <w:r w:rsidR="007A1A14" w:rsidRPr="00012C3F">
        <w:rPr>
          <w:sz w:val="20"/>
          <w:szCs w:val="20"/>
          <w:lang w:val="en-US"/>
        </w:rPr>
        <w:t xml:space="preserve"> </w:t>
      </w:r>
      <w:r w:rsidR="00885648" w:rsidRPr="00012C3F">
        <w:rPr>
          <w:sz w:val="20"/>
          <w:szCs w:val="20"/>
          <w:lang w:val="en-US"/>
        </w:rPr>
        <w:t>On May 17,</w:t>
      </w:r>
      <w:r w:rsidR="007A1A14" w:rsidRPr="00012C3F">
        <w:rPr>
          <w:sz w:val="20"/>
          <w:szCs w:val="20"/>
          <w:lang w:val="en-US"/>
        </w:rPr>
        <w:t xml:space="preserve"> </w:t>
      </w:r>
      <w:r w:rsidR="00885648" w:rsidRPr="00012C3F">
        <w:rPr>
          <w:sz w:val="20"/>
          <w:szCs w:val="20"/>
          <w:lang w:val="en-US"/>
        </w:rPr>
        <w:t>the</w:t>
      </w:r>
      <w:r w:rsidR="007A1A14" w:rsidRPr="00012C3F">
        <w:rPr>
          <w:sz w:val="20"/>
          <w:szCs w:val="20"/>
          <w:lang w:val="en-US"/>
        </w:rPr>
        <w:t xml:space="preserve"> </w:t>
      </w:r>
      <w:r w:rsidR="00885648" w:rsidRPr="00012C3F">
        <w:rPr>
          <w:sz w:val="20"/>
          <w:szCs w:val="20"/>
          <w:lang w:val="en-US"/>
        </w:rPr>
        <w:t>a</w:t>
      </w:r>
      <w:r w:rsidR="006C705C" w:rsidRPr="00012C3F">
        <w:rPr>
          <w:sz w:val="20"/>
          <w:szCs w:val="20"/>
          <w:lang w:val="en-US"/>
        </w:rPr>
        <w:t>dministrative proceeding</w:t>
      </w:r>
      <w:r w:rsidR="00885648" w:rsidRPr="00012C3F">
        <w:rPr>
          <w:sz w:val="20"/>
          <w:szCs w:val="20"/>
          <w:lang w:val="en-US"/>
        </w:rPr>
        <w:t xml:space="preserve"> was opened against the instructing physician and the </w:t>
      </w:r>
      <w:r w:rsidR="00593E9B" w:rsidRPr="00012C3F">
        <w:rPr>
          <w:sz w:val="20"/>
          <w:szCs w:val="20"/>
          <w:lang w:val="en-US"/>
        </w:rPr>
        <w:t>resident doctor</w:t>
      </w:r>
      <w:r w:rsidR="00885648" w:rsidRPr="00012C3F">
        <w:rPr>
          <w:sz w:val="20"/>
          <w:szCs w:val="20"/>
          <w:lang w:val="en-US"/>
        </w:rPr>
        <w:t>.</w:t>
      </w:r>
      <w:r w:rsidR="007A1A14" w:rsidRPr="00012C3F">
        <w:rPr>
          <w:rStyle w:val="Refdenotaalpie"/>
          <w:sz w:val="20"/>
          <w:szCs w:val="20"/>
          <w:lang w:val="en-US"/>
        </w:rPr>
        <w:footnoteReference w:id="84"/>
      </w:r>
    </w:p>
    <w:p w14:paraId="0C025D62" w14:textId="77777777" w:rsidR="007A1A14" w:rsidRPr="00012C3F" w:rsidRDefault="007A1A14" w:rsidP="00885648">
      <w:pPr>
        <w:tabs>
          <w:tab w:val="left" w:pos="720"/>
        </w:tabs>
        <w:spacing w:line="240" w:lineRule="auto"/>
        <w:rPr>
          <w:sz w:val="20"/>
          <w:szCs w:val="20"/>
          <w:lang w:val="en-US"/>
        </w:rPr>
      </w:pPr>
    </w:p>
    <w:p w14:paraId="51C531EC" w14:textId="77777777" w:rsidR="007A1A14" w:rsidRPr="00012C3F" w:rsidRDefault="00833C77" w:rsidP="0099356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July 25,</w:t>
      </w:r>
      <w:r w:rsidR="007A1A14" w:rsidRPr="00012C3F">
        <w:rPr>
          <w:sz w:val="20"/>
          <w:szCs w:val="20"/>
          <w:lang w:val="en-US"/>
        </w:rPr>
        <w:t xml:space="preserve"> 2002</w:t>
      </w:r>
      <w:r w:rsidR="00885648" w:rsidRPr="00012C3F">
        <w:rPr>
          <w:sz w:val="20"/>
          <w:szCs w:val="20"/>
          <w:lang w:val="en-US"/>
        </w:rPr>
        <w:t>, the Head</w:t>
      </w:r>
      <w:r w:rsidR="007A1A14" w:rsidRPr="00012C3F">
        <w:rPr>
          <w:sz w:val="20"/>
          <w:szCs w:val="20"/>
          <w:lang w:val="en-US"/>
        </w:rPr>
        <w:t xml:space="preserve"> </w:t>
      </w:r>
      <w:r w:rsidR="002A5605" w:rsidRPr="00012C3F">
        <w:rPr>
          <w:sz w:val="20"/>
          <w:szCs w:val="20"/>
          <w:lang w:val="en-US"/>
        </w:rPr>
        <w:t>of the</w:t>
      </w:r>
      <w:r w:rsidR="00885648" w:rsidRPr="00012C3F">
        <w:rPr>
          <w:sz w:val="20"/>
          <w:szCs w:val="20"/>
          <w:lang w:val="en-US"/>
        </w:rPr>
        <w:t xml:space="preserve"> La Paz SEDES</w:t>
      </w:r>
      <w:r w:rsidR="002A5605" w:rsidRPr="00012C3F">
        <w:rPr>
          <w:sz w:val="20"/>
          <w:szCs w:val="20"/>
          <w:lang w:val="en-US"/>
        </w:rPr>
        <w:t xml:space="preserve"> </w:t>
      </w:r>
      <w:r w:rsidRPr="00012C3F">
        <w:rPr>
          <w:sz w:val="20"/>
          <w:szCs w:val="20"/>
          <w:lang w:val="en-US"/>
        </w:rPr>
        <w:t>Legal Advisory Services Unit</w:t>
      </w:r>
      <w:r w:rsidR="00885648" w:rsidRPr="00012C3F">
        <w:rPr>
          <w:sz w:val="20"/>
          <w:szCs w:val="20"/>
          <w:lang w:val="en-US"/>
        </w:rPr>
        <w:t xml:space="preserve"> issued the final </w:t>
      </w:r>
      <w:r w:rsidR="00103520" w:rsidRPr="00012C3F">
        <w:rPr>
          <w:sz w:val="20"/>
          <w:szCs w:val="20"/>
          <w:lang w:val="en-US"/>
        </w:rPr>
        <w:t>decision</w:t>
      </w:r>
      <w:r w:rsidR="00885648" w:rsidRPr="00012C3F">
        <w:rPr>
          <w:sz w:val="20"/>
          <w:szCs w:val="20"/>
          <w:lang w:val="en-US"/>
        </w:rPr>
        <w:t xml:space="preserve"> in the </w:t>
      </w:r>
      <w:r w:rsidR="0099356C" w:rsidRPr="00012C3F">
        <w:rPr>
          <w:sz w:val="20"/>
          <w:szCs w:val="20"/>
          <w:lang w:val="en-US"/>
        </w:rPr>
        <w:t>administrative proceeding</w:t>
      </w:r>
      <w:r w:rsidR="007A1A14" w:rsidRPr="00012C3F">
        <w:rPr>
          <w:sz w:val="20"/>
          <w:szCs w:val="20"/>
          <w:lang w:val="en-US"/>
        </w:rPr>
        <w:t xml:space="preserve">, </w:t>
      </w:r>
      <w:r w:rsidR="0099356C" w:rsidRPr="00012C3F">
        <w:rPr>
          <w:sz w:val="20"/>
          <w:szCs w:val="20"/>
          <w:lang w:val="en-US"/>
        </w:rPr>
        <w:t xml:space="preserve">which established the administrative liability of the instructing physician and ordered his dismissal based on article 29 of Law </w:t>
      </w:r>
      <w:r w:rsidR="007A1A14" w:rsidRPr="00012C3F">
        <w:rPr>
          <w:sz w:val="20"/>
          <w:szCs w:val="20"/>
          <w:lang w:val="en-US"/>
        </w:rPr>
        <w:t>1178</w:t>
      </w:r>
      <w:r w:rsidR="0099356C" w:rsidRPr="00012C3F">
        <w:rPr>
          <w:sz w:val="20"/>
          <w:szCs w:val="20"/>
          <w:lang w:val="en-US"/>
        </w:rPr>
        <w:t>,</w:t>
      </w:r>
      <w:r w:rsidR="007A1A14" w:rsidRPr="00012C3F">
        <w:rPr>
          <w:rStyle w:val="Refdenotaalpie"/>
          <w:sz w:val="20"/>
          <w:szCs w:val="20"/>
          <w:lang w:val="en-US"/>
        </w:rPr>
        <w:footnoteReference w:id="85"/>
      </w:r>
      <w:r w:rsidR="0099356C" w:rsidRPr="00012C3F">
        <w:rPr>
          <w:sz w:val="20"/>
          <w:szCs w:val="20"/>
          <w:lang w:val="en-US"/>
        </w:rPr>
        <w:t xml:space="preserve"> while declaring that the case against the </w:t>
      </w:r>
      <w:r w:rsidR="00593E9B" w:rsidRPr="00012C3F">
        <w:rPr>
          <w:sz w:val="20"/>
          <w:szCs w:val="20"/>
          <w:lang w:val="en-US"/>
        </w:rPr>
        <w:t>resident doctor</w:t>
      </w:r>
      <w:r w:rsidR="0099356C" w:rsidRPr="00012C3F">
        <w:rPr>
          <w:sz w:val="20"/>
          <w:szCs w:val="20"/>
          <w:lang w:val="en-US"/>
        </w:rPr>
        <w:t xml:space="preserve"> was dismissed, because he was acting in his capacity as a resident doctor and, according to the internal regulations, “was completely prohibited from performing any surgical procedure without the guidance of the ‘professor,’ in this case, </w:t>
      </w:r>
      <w:r w:rsidR="007A1A14" w:rsidRPr="00012C3F">
        <w:rPr>
          <w:sz w:val="20"/>
          <w:szCs w:val="20"/>
          <w:lang w:val="en-US"/>
        </w:rPr>
        <w:t>Dr. Edgar Torrico Ameller</w:t>
      </w:r>
      <w:r w:rsidR="0099356C" w:rsidRPr="00012C3F">
        <w:rPr>
          <w:sz w:val="20"/>
          <w:szCs w:val="20"/>
          <w:lang w:val="en-US"/>
        </w:rPr>
        <w:t>.</w:t>
      </w:r>
      <w:r w:rsidR="007A1A14" w:rsidRPr="00012C3F">
        <w:rPr>
          <w:sz w:val="20"/>
          <w:szCs w:val="20"/>
          <w:lang w:val="en-US"/>
        </w:rPr>
        <w:t>”</w:t>
      </w:r>
      <w:r w:rsidR="007A1A14" w:rsidRPr="00012C3F">
        <w:rPr>
          <w:rStyle w:val="Refdenotaalpie"/>
          <w:sz w:val="20"/>
          <w:szCs w:val="20"/>
          <w:lang w:val="en-US"/>
        </w:rPr>
        <w:footnoteReference w:id="86"/>
      </w:r>
    </w:p>
    <w:p w14:paraId="151902DA" w14:textId="77777777" w:rsidR="007A1A14" w:rsidRPr="00012C3F" w:rsidRDefault="007A1A14" w:rsidP="00885648">
      <w:pPr>
        <w:tabs>
          <w:tab w:val="left" w:pos="720"/>
        </w:tabs>
        <w:spacing w:line="240" w:lineRule="auto"/>
        <w:rPr>
          <w:sz w:val="20"/>
          <w:szCs w:val="20"/>
          <w:lang w:val="en-US"/>
        </w:rPr>
      </w:pPr>
    </w:p>
    <w:p w14:paraId="7B8F300C" w14:textId="77777777" w:rsidR="007A1A14" w:rsidRPr="00012C3F" w:rsidRDefault="0099356C" w:rsidP="0099356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This </w:t>
      </w:r>
      <w:r w:rsidR="00103520" w:rsidRPr="00012C3F">
        <w:rPr>
          <w:sz w:val="20"/>
          <w:szCs w:val="20"/>
          <w:lang w:val="en-US"/>
        </w:rPr>
        <w:t>decision</w:t>
      </w:r>
      <w:r w:rsidRPr="00012C3F">
        <w:rPr>
          <w:sz w:val="20"/>
          <w:szCs w:val="20"/>
          <w:lang w:val="en-US"/>
        </w:rPr>
        <w:t xml:space="preserve"> reviewed the statements of the two </w:t>
      </w:r>
      <w:r w:rsidR="00103520" w:rsidRPr="00012C3F">
        <w:rPr>
          <w:sz w:val="20"/>
          <w:szCs w:val="20"/>
          <w:lang w:val="en-US"/>
        </w:rPr>
        <w:t>doctor</w:t>
      </w:r>
      <w:r w:rsidRPr="00012C3F">
        <w:rPr>
          <w:sz w:val="20"/>
          <w:szCs w:val="20"/>
          <w:lang w:val="en-US"/>
        </w:rPr>
        <w:t>s. In particular, it indicated that</w:t>
      </w:r>
      <w:r w:rsidR="00103520" w:rsidRPr="00012C3F">
        <w:rPr>
          <w:sz w:val="20"/>
          <w:szCs w:val="20"/>
          <w:lang w:val="en-US"/>
        </w:rPr>
        <w:t xml:space="preserve"> the</w:t>
      </w:r>
      <w:r w:rsidRPr="00012C3F">
        <w:rPr>
          <w:sz w:val="20"/>
          <w:szCs w:val="20"/>
          <w:lang w:val="en-US"/>
        </w:rPr>
        <w:t xml:space="preserve"> </w:t>
      </w:r>
      <w:r w:rsidR="00593E9B" w:rsidRPr="00012C3F">
        <w:rPr>
          <w:sz w:val="20"/>
          <w:szCs w:val="20"/>
          <w:lang w:val="en-US"/>
        </w:rPr>
        <w:t>resident doctor</w:t>
      </w:r>
      <w:r w:rsidRPr="00012C3F">
        <w:rPr>
          <w:sz w:val="20"/>
          <w:szCs w:val="20"/>
          <w:lang w:val="en-US"/>
        </w:rPr>
        <w:t xml:space="preserve"> had stated that “it was necessary to perform </w:t>
      </w:r>
      <w:r w:rsidR="00136EDE" w:rsidRPr="00012C3F">
        <w:rPr>
          <w:sz w:val="20"/>
          <w:szCs w:val="20"/>
          <w:lang w:val="en-US"/>
        </w:rPr>
        <w:t>the caesarean section</w:t>
      </w:r>
      <w:r w:rsidRPr="00012C3F">
        <w:rPr>
          <w:sz w:val="20"/>
          <w:szCs w:val="20"/>
          <w:lang w:val="en-US"/>
        </w:rPr>
        <w:t xml:space="preserve"> and also the tubal ligation from a medical point of view, but incorrect from a legal point of view, because we should have waited for I.V., after the operation, to take a decision on whether or not to have her tubes tied.</w:t>
      </w:r>
      <w:r w:rsidR="007A1A14" w:rsidRPr="00012C3F">
        <w:rPr>
          <w:sz w:val="20"/>
          <w:szCs w:val="20"/>
          <w:lang w:val="en-US"/>
        </w:rPr>
        <w:t>”</w:t>
      </w:r>
      <w:r w:rsidR="007A1A14" w:rsidRPr="00012C3F">
        <w:rPr>
          <w:rStyle w:val="Refdenotaalpie"/>
          <w:sz w:val="20"/>
          <w:szCs w:val="20"/>
          <w:lang w:val="en-US"/>
        </w:rPr>
        <w:footnoteReference w:id="87"/>
      </w:r>
    </w:p>
    <w:p w14:paraId="3F3327CF" w14:textId="77777777" w:rsidR="007A1A14" w:rsidRPr="00012C3F" w:rsidRDefault="007A1A14" w:rsidP="007A1A14">
      <w:pPr>
        <w:spacing w:line="240" w:lineRule="auto"/>
        <w:rPr>
          <w:sz w:val="20"/>
          <w:szCs w:val="20"/>
          <w:lang w:val="en-US"/>
        </w:rPr>
      </w:pPr>
    </w:p>
    <w:p w14:paraId="288AF5F6" w14:textId="77777777" w:rsidR="00275D74" w:rsidRPr="00012C3F" w:rsidRDefault="0099356C" w:rsidP="0099356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February 12,</w:t>
      </w:r>
      <w:r w:rsidR="007A1A14" w:rsidRPr="00012C3F">
        <w:rPr>
          <w:sz w:val="20"/>
          <w:szCs w:val="20"/>
          <w:lang w:val="en-US"/>
        </w:rPr>
        <w:t xml:space="preserve"> 2003</w:t>
      </w:r>
      <w:r w:rsidRPr="00012C3F">
        <w:rPr>
          <w:sz w:val="20"/>
          <w:szCs w:val="20"/>
          <w:lang w:val="en-US"/>
        </w:rPr>
        <w:t>, the instructing physician</w:t>
      </w:r>
      <w:r w:rsidR="007A1A14" w:rsidRPr="00012C3F">
        <w:rPr>
          <w:sz w:val="20"/>
          <w:szCs w:val="20"/>
          <w:lang w:val="en-US"/>
        </w:rPr>
        <w:t xml:space="preserve"> </w:t>
      </w:r>
      <w:r w:rsidRPr="00012C3F">
        <w:rPr>
          <w:sz w:val="20"/>
          <w:szCs w:val="20"/>
          <w:lang w:val="en-US"/>
        </w:rPr>
        <w:t>filed an</w:t>
      </w:r>
      <w:r w:rsidR="00635E15" w:rsidRPr="00012C3F">
        <w:rPr>
          <w:sz w:val="20"/>
          <w:szCs w:val="20"/>
          <w:lang w:val="en-US"/>
        </w:rPr>
        <w:t xml:space="preserve"> “</w:t>
      </w:r>
      <w:r w:rsidRPr="00012C3F">
        <w:rPr>
          <w:sz w:val="20"/>
          <w:szCs w:val="20"/>
          <w:lang w:val="en-US"/>
        </w:rPr>
        <w:t>appeal</w:t>
      </w:r>
      <w:r w:rsidR="00635E15" w:rsidRPr="00012C3F">
        <w:rPr>
          <w:sz w:val="20"/>
          <w:szCs w:val="20"/>
          <w:lang w:val="en-US"/>
        </w:rPr>
        <w:t>”</w:t>
      </w:r>
      <w:r w:rsidR="00EE7AF5" w:rsidRPr="00012C3F">
        <w:rPr>
          <w:sz w:val="20"/>
          <w:szCs w:val="20"/>
          <w:lang w:val="en-US"/>
        </w:rPr>
        <w:t xml:space="preserve"> </w:t>
      </w:r>
      <w:r w:rsidRPr="00012C3F">
        <w:rPr>
          <w:sz w:val="20"/>
          <w:szCs w:val="20"/>
          <w:lang w:val="en-US"/>
        </w:rPr>
        <w:t xml:space="preserve">against the </w:t>
      </w:r>
      <w:r w:rsidR="00103520" w:rsidRPr="00012C3F">
        <w:rPr>
          <w:sz w:val="20"/>
          <w:szCs w:val="20"/>
          <w:lang w:val="en-US"/>
        </w:rPr>
        <w:t>decision</w:t>
      </w:r>
      <w:r w:rsidRPr="00012C3F">
        <w:rPr>
          <w:sz w:val="20"/>
          <w:szCs w:val="20"/>
          <w:lang w:val="en-US"/>
        </w:rPr>
        <w:t xml:space="preserve">, requesting that the information </w:t>
      </w:r>
      <w:r w:rsidR="00103520" w:rsidRPr="00012C3F">
        <w:rPr>
          <w:sz w:val="20"/>
          <w:szCs w:val="20"/>
          <w:lang w:val="en-US"/>
        </w:rPr>
        <w:t>from</w:t>
      </w:r>
      <w:r w:rsidRPr="00012C3F">
        <w:rPr>
          <w:sz w:val="20"/>
          <w:szCs w:val="20"/>
          <w:lang w:val="en-US"/>
        </w:rPr>
        <w:t xml:space="preserve"> the medical audits be taken into consideration</w:t>
      </w:r>
      <w:r w:rsidR="00C13D33" w:rsidRPr="00012C3F">
        <w:rPr>
          <w:sz w:val="20"/>
          <w:szCs w:val="20"/>
          <w:lang w:val="en-US"/>
        </w:rPr>
        <w:t>, which</w:t>
      </w:r>
      <w:r w:rsidRPr="00012C3F">
        <w:rPr>
          <w:sz w:val="20"/>
          <w:szCs w:val="20"/>
          <w:lang w:val="en-US"/>
        </w:rPr>
        <w:t xml:space="preserve"> “establish</w:t>
      </w:r>
      <w:r w:rsidR="00C13D33" w:rsidRPr="00012C3F">
        <w:rPr>
          <w:sz w:val="20"/>
          <w:szCs w:val="20"/>
          <w:lang w:val="en-US"/>
        </w:rPr>
        <w:t>ed</w:t>
      </w:r>
      <w:r w:rsidRPr="00012C3F">
        <w:rPr>
          <w:sz w:val="20"/>
          <w:szCs w:val="20"/>
          <w:lang w:val="en-US"/>
        </w:rPr>
        <w:t xml:space="preserve"> support for him” and also the statements revealing that I.V. gave her verbal consent to the tubal ligation</w:t>
      </w:r>
      <w:r w:rsidR="003B4BAE" w:rsidRPr="00012C3F">
        <w:rPr>
          <w:sz w:val="20"/>
          <w:szCs w:val="20"/>
          <w:lang w:val="en-US"/>
        </w:rPr>
        <w:t xml:space="preserve">. </w:t>
      </w:r>
      <w:r w:rsidRPr="00012C3F">
        <w:rPr>
          <w:sz w:val="20"/>
          <w:szCs w:val="20"/>
          <w:lang w:val="en-US"/>
        </w:rPr>
        <w:t>He also indicated that he had “complied with the r</w:t>
      </w:r>
      <w:r w:rsidR="003B4921" w:rsidRPr="00012C3F">
        <w:rPr>
          <w:sz w:val="20"/>
          <w:szCs w:val="20"/>
          <w:lang w:val="en-US"/>
        </w:rPr>
        <w:t>ules of procedure</w:t>
      </w:r>
      <w:r w:rsidRPr="00012C3F">
        <w:rPr>
          <w:sz w:val="20"/>
          <w:szCs w:val="20"/>
          <w:lang w:val="en-US"/>
        </w:rPr>
        <w:t xml:space="preserve"> and </w:t>
      </w:r>
      <w:r w:rsidR="003B4921" w:rsidRPr="00012C3F">
        <w:rPr>
          <w:sz w:val="20"/>
          <w:szCs w:val="20"/>
          <w:lang w:val="en-US"/>
        </w:rPr>
        <w:t xml:space="preserve">the </w:t>
      </w:r>
      <w:r w:rsidRPr="00012C3F">
        <w:rPr>
          <w:sz w:val="20"/>
          <w:szCs w:val="20"/>
          <w:lang w:val="en-US"/>
        </w:rPr>
        <w:lastRenderedPageBreak/>
        <w:t xml:space="preserve">Bolivian </w:t>
      </w:r>
      <w:r w:rsidR="003B4921" w:rsidRPr="00012C3F">
        <w:rPr>
          <w:sz w:val="20"/>
          <w:szCs w:val="20"/>
          <w:lang w:val="en-US"/>
        </w:rPr>
        <w:t>H</w:t>
      </w:r>
      <w:r w:rsidRPr="00012C3F">
        <w:rPr>
          <w:sz w:val="20"/>
          <w:szCs w:val="20"/>
          <w:lang w:val="en-US"/>
        </w:rPr>
        <w:t xml:space="preserve">ealth </w:t>
      </w:r>
      <w:r w:rsidR="003B4921" w:rsidRPr="00012C3F">
        <w:rPr>
          <w:sz w:val="20"/>
          <w:szCs w:val="20"/>
          <w:lang w:val="en-US"/>
        </w:rPr>
        <w:t>Regulations</w:t>
      </w:r>
      <w:r w:rsidRPr="00012C3F">
        <w:rPr>
          <w:sz w:val="20"/>
          <w:szCs w:val="20"/>
          <w:lang w:val="en-US"/>
        </w:rPr>
        <w:t xml:space="preserve">, when carrying out the delicate task of saving </w:t>
      </w:r>
      <w:r w:rsidR="003B4BAE" w:rsidRPr="00012C3F">
        <w:rPr>
          <w:sz w:val="20"/>
          <w:szCs w:val="20"/>
          <w:lang w:val="en-US"/>
        </w:rPr>
        <w:t>[</w:t>
      </w:r>
      <w:r w:rsidR="000E1C11" w:rsidRPr="00012C3F">
        <w:rPr>
          <w:sz w:val="20"/>
          <w:szCs w:val="20"/>
          <w:lang w:val="en-US"/>
        </w:rPr>
        <w:t>I.V.</w:t>
      </w:r>
      <w:r w:rsidR="00C13D33" w:rsidRPr="00012C3F">
        <w:rPr>
          <w:sz w:val="20"/>
          <w:szCs w:val="20"/>
          <w:lang w:val="en-US"/>
        </w:rPr>
        <w:t>’s</w:t>
      </w:r>
      <w:r w:rsidR="003B4BAE" w:rsidRPr="00012C3F">
        <w:rPr>
          <w:sz w:val="20"/>
          <w:szCs w:val="20"/>
          <w:lang w:val="en-US"/>
        </w:rPr>
        <w:t>]</w:t>
      </w:r>
      <w:r w:rsidR="00C13D33" w:rsidRPr="00012C3F">
        <w:rPr>
          <w:sz w:val="20"/>
          <w:szCs w:val="20"/>
          <w:lang w:val="en-US"/>
        </w:rPr>
        <w:t xml:space="preserve"> life.</w:t>
      </w:r>
      <w:r w:rsidR="003B4BAE" w:rsidRPr="00012C3F">
        <w:rPr>
          <w:sz w:val="20"/>
          <w:szCs w:val="20"/>
          <w:lang w:val="en-US"/>
        </w:rPr>
        <w:t>”</w:t>
      </w:r>
      <w:r w:rsidR="007A1A14" w:rsidRPr="00012C3F">
        <w:rPr>
          <w:rStyle w:val="Refdenotaalpie"/>
          <w:sz w:val="20"/>
          <w:szCs w:val="20"/>
          <w:lang w:val="en-US"/>
        </w:rPr>
        <w:footnoteReference w:id="88"/>
      </w:r>
      <w:r w:rsidR="007A1A14" w:rsidRPr="00012C3F">
        <w:rPr>
          <w:sz w:val="20"/>
          <w:szCs w:val="20"/>
          <w:lang w:val="en-US"/>
        </w:rPr>
        <w:t xml:space="preserve"> </w:t>
      </w:r>
    </w:p>
    <w:p w14:paraId="760A95F6" w14:textId="77777777" w:rsidR="00275D74" w:rsidRPr="00012C3F" w:rsidRDefault="00275D74" w:rsidP="00275D74">
      <w:pPr>
        <w:tabs>
          <w:tab w:val="left" w:pos="567"/>
        </w:tabs>
        <w:spacing w:line="240" w:lineRule="auto"/>
        <w:rPr>
          <w:sz w:val="20"/>
          <w:szCs w:val="20"/>
          <w:lang w:val="en-US"/>
        </w:rPr>
      </w:pPr>
    </w:p>
    <w:p w14:paraId="0F27F608" w14:textId="77777777" w:rsidR="007A1A14" w:rsidRPr="00012C3F" w:rsidRDefault="0099356C" w:rsidP="00716C7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March 10,</w:t>
      </w:r>
      <w:r w:rsidR="00275D74" w:rsidRPr="00012C3F">
        <w:rPr>
          <w:sz w:val="20"/>
          <w:szCs w:val="20"/>
          <w:lang w:val="en-US"/>
        </w:rPr>
        <w:t xml:space="preserve"> 2003</w:t>
      </w:r>
      <w:r w:rsidRPr="00012C3F">
        <w:rPr>
          <w:sz w:val="20"/>
          <w:szCs w:val="20"/>
          <w:lang w:val="en-US"/>
        </w:rPr>
        <w:t>, the Head</w:t>
      </w:r>
      <w:r w:rsidR="007A1A14" w:rsidRPr="00012C3F">
        <w:rPr>
          <w:sz w:val="20"/>
          <w:szCs w:val="20"/>
          <w:lang w:val="en-US"/>
        </w:rPr>
        <w:t xml:space="preserve"> </w:t>
      </w:r>
      <w:r w:rsidR="002A5605" w:rsidRPr="00012C3F">
        <w:rPr>
          <w:sz w:val="20"/>
          <w:szCs w:val="20"/>
          <w:lang w:val="en-US"/>
        </w:rPr>
        <w:t>of the</w:t>
      </w:r>
      <w:r w:rsidRPr="00012C3F">
        <w:rPr>
          <w:sz w:val="20"/>
          <w:szCs w:val="20"/>
          <w:lang w:val="en-US"/>
        </w:rPr>
        <w:t xml:space="preserve"> La Paz SEDES</w:t>
      </w:r>
      <w:r w:rsidR="002A5605" w:rsidRPr="00012C3F">
        <w:rPr>
          <w:sz w:val="20"/>
          <w:szCs w:val="20"/>
          <w:lang w:val="en-US"/>
        </w:rPr>
        <w:t xml:space="preserve"> </w:t>
      </w:r>
      <w:r w:rsidR="00833C77" w:rsidRPr="00012C3F">
        <w:rPr>
          <w:sz w:val="20"/>
          <w:szCs w:val="20"/>
          <w:lang w:val="en-US"/>
        </w:rPr>
        <w:t>Legal Advisory Services Unit</w:t>
      </w:r>
      <w:r w:rsidR="00275D74" w:rsidRPr="00012C3F">
        <w:rPr>
          <w:sz w:val="20"/>
          <w:szCs w:val="20"/>
          <w:lang w:val="en-US"/>
        </w:rPr>
        <w:t xml:space="preserve"> </w:t>
      </w:r>
      <w:r w:rsidRPr="00012C3F">
        <w:rPr>
          <w:sz w:val="20"/>
          <w:szCs w:val="20"/>
          <w:lang w:val="en-US"/>
        </w:rPr>
        <w:t xml:space="preserve">issued a new administrative </w:t>
      </w:r>
      <w:r w:rsidR="00C13D33" w:rsidRPr="00012C3F">
        <w:rPr>
          <w:sz w:val="20"/>
          <w:szCs w:val="20"/>
          <w:lang w:val="en-US"/>
        </w:rPr>
        <w:t>decision</w:t>
      </w:r>
      <w:r w:rsidRPr="00012C3F">
        <w:rPr>
          <w:sz w:val="20"/>
          <w:szCs w:val="20"/>
          <w:lang w:val="en-US"/>
        </w:rPr>
        <w:t>, based on</w:t>
      </w:r>
      <w:r w:rsidR="003810C4" w:rsidRPr="00012C3F">
        <w:rPr>
          <w:sz w:val="20"/>
          <w:szCs w:val="20"/>
          <w:lang w:val="en-US"/>
        </w:rPr>
        <w:t xml:space="preserve"> </w:t>
      </w:r>
      <w:r w:rsidRPr="00012C3F">
        <w:rPr>
          <w:sz w:val="20"/>
          <w:szCs w:val="20"/>
          <w:lang w:val="en-US"/>
        </w:rPr>
        <w:t>a</w:t>
      </w:r>
      <w:r w:rsidR="001254DE" w:rsidRPr="00012C3F">
        <w:rPr>
          <w:sz w:val="20"/>
          <w:szCs w:val="20"/>
          <w:lang w:val="en-US"/>
        </w:rPr>
        <w:t>rticles</w:t>
      </w:r>
      <w:r w:rsidR="003810C4" w:rsidRPr="00012C3F">
        <w:rPr>
          <w:sz w:val="20"/>
          <w:szCs w:val="20"/>
          <w:lang w:val="en-US"/>
        </w:rPr>
        <w:t xml:space="preserve"> 21</w:t>
      </w:r>
      <w:r w:rsidR="005E5012" w:rsidRPr="00012C3F">
        <w:rPr>
          <w:sz w:val="20"/>
          <w:szCs w:val="20"/>
          <w:lang w:val="en-US"/>
        </w:rPr>
        <w:t xml:space="preserve"> and </w:t>
      </w:r>
      <w:r w:rsidR="003810C4" w:rsidRPr="00012C3F">
        <w:rPr>
          <w:sz w:val="20"/>
          <w:szCs w:val="20"/>
          <w:lang w:val="en-US"/>
        </w:rPr>
        <w:t xml:space="preserve">24 </w:t>
      </w:r>
      <w:r w:rsidRPr="00012C3F">
        <w:rPr>
          <w:sz w:val="20"/>
          <w:szCs w:val="20"/>
          <w:lang w:val="en-US"/>
        </w:rPr>
        <w:t>of</w:t>
      </w:r>
      <w:r w:rsidR="003810C4" w:rsidRPr="00012C3F">
        <w:rPr>
          <w:sz w:val="20"/>
          <w:szCs w:val="20"/>
          <w:lang w:val="en-US"/>
        </w:rPr>
        <w:t xml:space="preserve"> </w:t>
      </w:r>
      <w:r w:rsidRPr="00012C3F">
        <w:rPr>
          <w:sz w:val="20"/>
          <w:szCs w:val="20"/>
          <w:lang w:val="en-US"/>
        </w:rPr>
        <w:t>Supreme Decree No.</w:t>
      </w:r>
      <w:r w:rsidR="003810C4" w:rsidRPr="00012C3F">
        <w:rPr>
          <w:sz w:val="20"/>
          <w:szCs w:val="20"/>
          <w:lang w:val="en-US"/>
        </w:rPr>
        <w:t xml:space="preserve"> 26237 </w:t>
      </w:r>
      <w:r w:rsidRPr="00012C3F">
        <w:rPr>
          <w:sz w:val="20"/>
          <w:szCs w:val="20"/>
          <w:lang w:val="en-US"/>
        </w:rPr>
        <w:t>which regulate</w:t>
      </w:r>
      <w:r w:rsidR="00C13D33" w:rsidRPr="00012C3F">
        <w:rPr>
          <w:sz w:val="20"/>
          <w:szCs w:val="20"/>
          <w:lang w:val="en-US"/>
        </w:rPr>
        <w:t>d</w:t>
      </w:r>
      <w:r w:rsidRPr="00012C3F">
        <w:rPr>
          <w:sz w:val="20"/>
          <w:szCs w:val="20"/>
          <w:lang w:val="en-US"/>
        </w:rPr>
        <w:t xml:space="preserve"> the </w:t>
      </w:r>
      <w:r w:rsidR="003B4921" w:rsidRPr="00012C3F">
        <w:rPr>
          <w:sz w:val="20"/>
          <w:szCs w:val="20"/>
          <w:lang w:val="en-US"/>
        </w:rPr>
        <w:t xml:space="preserve">appeal for annulment of a decision. In this </w:t>
      </w:r>
      <w:r w:rsidR="00C13D33" w:rsidRPr="00012C3F">
        <w:rPr>
          <w:sz w:val="20"/>
          <w:szCs w:val="20"/>
          <w:lang w:val="en-US"/>
        </w:rPr>
        <w:t>decision</w:t>
      </w:r>
      <w:r w:rsidR="003B4921" w:rsidRPr="00012C3F">
        <w:rPr>
          <w:sz w:val="20"/>
          <w:szCs w:val="20"/>
          <w:lang w:val="en-US"/>
        </w:rPr>
        <w:t xml:space="preserve">, it was decided to annul the declaration of administrative liability and dismissal of the </w:t>
      </w:r>
      <w:r w:rsidRPr="00012C3F">
        <w:rPr>
          <w:sz w:val="20"/>
          <w:szCs w:val="20"/>
          <w:lang w:val="en-US"/>
        </w:rPr>
        <w:t>instructing physician</w:t>
      </w:r>
      <w:r w:rsidR="005E5012" w:rsidRPr="00012C3F">
        <w:rPr>
          <w:sz w:val="20"/>
          <w:szCs w:val="20"/>
          <w:lang w:val="en-US"/>
        </w:rPr>
        <w:t xml:space="preserve"> and </w:t>
      </w:r>
      <w:r w:rsidR="003B4921" w:rsidRPr="00012C3F">
        <w:rPr>
          <w:sz w:val="20"/>
          <w:szCs w:val="20"/>
          <w:lang w:val="en-US"/>
        </w:rPr>
        <w:t>ordered the closure of the procedure against him based on, among other matters, the following</w:t>
      </w:r>
      <w:r w:rsidR="006C705C" w:rsidRPr="00012C3F">
        <w:rPr>
          <w:sz w:val="20"/>
          <w:szCs w:val="20"/>
          <w:lang w:val="en-US"/>
        </w:rPr>
        <w:t xml:space="preserve"> information</w:t>
      </w:r>
      <w:r w:rsidR="007A1A14" w:rsidRPr="00012C3F">
        <w:rPr>
          <w:sz w:val="20"/>
          <w:szCs w:val="20"/>
          <w:lang w:val="en-US"/>
        </w:rPr>
        <w:t>:</w:t>
      </w:r>
    </w:p>
    <w:p w14:paraId="0B164788" w14:textId="77777777" w:rsidR="007A1A14" w:rsidRPr="00012C3F" w:rsidRDefault="007A1A14" w:rsidP="007A1A14">
      <w:pPr>
        <w:spacing w:line="240" w:lineRule="auto"/>
        <w:rPr>
          <w:sz w:val="20"/>
          <w:szCs w:val="20"/>
          <w:lang w:val="en-US"/>
        </w:rPr>
      </w:pPr>
    </w:p>
    <w:p w14:paraId="70C2EFD7"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1. [</w:t>
      </w:r>
      <w:r w:rsidR="003B4921" w:rsidRPr="00012C3F">
        <w:rPr>
          <w:sz w:val="16"/>
          <w:szCs w:val="16"/>
          <w:lang w:val="en-US"/>
        </w:rPr>
        <w:t xml:space="preserve">Under the] Bolivian Health Regulations [...] the goal is to reduce mortality due to </w:t>
      </w:r>
      <w:r w:rsidR="00C13D33" w:rsidRPr="00012C3F">
        <w:rPr>
          <w:sz w:val="16"/>
          <w:szCs w:val="16"/>
          <w:lang w:val="en-US"/>
        </w:rPr>
        <w:t xml:space="preserve">high risk </w:t>
      </w:r>
      <w:r w:rsidR="003B4921" w:rsidRPr="00012C3F">
        <w:rPr>
          <w:sz w:val="16"/>
          <w:szCs w:val="16"/>
          <w:lang w:val="en-US"/>
        </w:rPr>
        <w:t xml:space="preserve">factors and, by medical decision, a </w:t>
      </w:r>
      <w:r w:rsidR="00C13D33" w:rsidRPr="00012C3F">
        <w:rPr>
          <w:sz w:val="16"/>
          <w:szCs w:val="16"/>
          <w:lang w:val="en-US"/>
        </w:rPr>
        <w:t xml:space="preserve">tubal ligation </w:t>
      </w:r>
      <w:r w:rsidR="003B4921" w:rsidRPr="00012C3F">
        <w:rPr>
          <w:sz w:val="16"/>
          <w:szCs w:val="16"/>
          <w:lang w:val="en-US"/>
        </w:rPr>
        <w:t>may be performed in serious cases</w:t>
      </w:r>
      <w:r w:rsidRPr="00012C3F">
        <w:rPr>
          <w:sz w:val="16"/>
          <w:szCs w:val="16"/>
          <w:lang w:val="en-US"/>
        </w:rPr>
        <w:t>.</w:t>
      </w:r>
    </w:p>
    <w:p w14:paraId="0177F73B"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2. </w:t>
      </w:r>
      <w:r w:rsidR="003B4921" w:rsidRPr="00012C3F">
        <w:rPr>
          <w:sz w:val="16"/>
          <w:szCs w:val="16"/>
          <w:lang w:val="en-US"/>
        </w:rPr>
        <w:t>That, according to statements [...] there is evidence that [I.V.] gave her consent to the tubal ligation procedure.</w:t>
      </w:r>
    </w:p>
    <w:p w14:paraId="72544A1A" w14:textId="77777777" w:rsidR="007A1A14" w:rsidRPr="00012C3F" w:rsidRDefault="007A1A14" w:rsidP="00716C7D">
      <w:pPr>
        <w:spacing w:after="120" w:line="240" w:lineRule="auto"/>
        <w:ind w:left="720" w:right="573"/>
        <w:rPr>
          <w:sz w:val="16"/>
          <w:szCs w:val="16"/>
          <w:lang w:val="en-US"/>
        </w:rPr>
      </w:pPr>
      <w:r w:rsidRPr="00012C3F">
        <w:rPr>
          <w:sz w:val="16"/>
          <w:szCs w:val="16"/>
          <w:lang w:val="en-US"/>
        </w:rPr>
        <w:t xml:space="preserve">3. </w:t>
      </w:r>
      <w:r w:rsidR="00D5703A" w:rsidRPr="00012C3F">
        <w:rPr>
          <w:sz w:val="16"/>
          <w:szCs w:val="16"/>
          <w:lang w:val="en-US"/>
        </w:rPr>
        <w:t>That</w:t>
      </w:r>
      <w:r w:rsidRPr="00012C3F">
        <w:rPr>
          <w:sz w:val="16"/>
          <w:szCs w:val="16"/>
          <w:lang w:val="en-US"/>
        </w:rPr>
        <w:t xml:space="preserve"> [</w:t>
      </w:r>
      <w:r w:rsidR="00D5703A" w:rsidRPr="00012C3F">
        <w:rPr>
          <w:sz w:val="16"/>
          <w:szCs w:val="16"/>
          <w:lang w:val="en-US"/>
        </w:rPr>
        <w:t>…</w:t>
      </w:r>
      <w:r w:rsidRPr="00012C3F">
        <w:rPr>
          <w:sz w:val="16"/>
          <w:szCs w:val="16"/>
          <w:lang w:val="en-US"/>
        </w:rPr>
        <w:t xml:space="preserve">] </w:t>
      </w:r>
      <w:r w:rsidR="00FF19ED" w:rsidRPr="00012C3F">
        <w:rPr>
          <w:sz w:val="16"/>
          <w:szCs w:val="16"/>
          <w:lang w:val="en-US"/>
        </w:rPr>
        <w:t xml:space="preserve">the Medical Audit Committee of the </w:t>
      </w:r>
      <w:r w:rsidR="00583403" w:rsidRPr="00012C3F">
        <w:rPr>
          <w:sz w:val="16"/>
          <w:szCs w:val="16"/>
          <w:lang w:val="en-US"/>
        </w:rPr>
        <w:t>Women’s Hospital</w:t>
      </w:r>
      <w:r w:rsidRPr="00012C3F">
        <w:rPr>
          <w:sz w:val="16"/>
          <w:szCs w:val="16"/>
          <w:lang w:val="en-US"/>
        </w:rPr>
        <w:t xml:space="preserve">, </w:t>
      </w:r>
      <w:r w:rsidR="00D5703A" w:rsidRPr="00012C3F">
        <w:rPr>
          <w:sz w:val="16"/>
          <w:szCs w:val="16"/>
          <w:lang w:val="en-US"/>
        </w:rPr>
        <w:t>establishe</w:t>
      </w:r>
      <w:r w:rsidR="00C13D33" w:rsidRPr="00012C3F">
        <w:rPr>
          <w:sz w:val="16"/>
          <w:szCs w:val="16"/>
          <w:lang w:val="en-US"/>
        </w:rPr>
        <w:t>d</w:t>
      </w:r>
      <w:r w:rsidR="00D5703A" w:rsidRPr="00012C3F">
        <w:rPr>
          <w:sz w:val="16"/>
          <w:szCs w:val="16"/>
          <w:lang w:val="en-US"/>
        </w:rPr>
        <w:t xml:space="preserve"> that [I.V.] was </w:t>
      </w:r>
      <w:r w:rsidR="00C13D33" w:rsidRPr="00012C3F">
        <w:rPr>
          <w:sz w:val="16"/>
          <w:szCs w:val="16"/>
          <w:lang w:val="en-US"/>
        </w:rPr>
        <w:t>awake</w:t>
      </w:r>
      <w:r w:rsidR="00D5703A" w:rsidRPr="00012C3F">
        <w:rPr>
          <w:sz w:val="16"/>
          <w:szCs w:val="16"/>
          <w:lang w:val="en-US"/>
        </w:rPr>
        <w:t xml:space="preserve"> because she had been given epidural anesthesia […] and that she gave authorization for her surgical procedure, as confirmed and </w:t>
      </w:r>
      <w:r w:rsidR="00C13D33" w:rsidRPr="00012C3F">
        <w:rPr>
          <w:sz w:val="16"/>
          <w:szCs w:val="16"/>
          <w:lang w:val="en-US"/>
        </w:rPr>
        <w:t>witnessed</w:t>
      </w:r>
      <w:r w:rsidR="00D5703A" w:rsidRPr="00012C3F">
        <w:rPr>
          <w:sz w:val="16"/>
          <w:szCs w:val="16"/>
          <w:lang w:val="en-US"/>
        </w:rPr>
        <w:t xml:space="preserve"> by the medical team […].</w:t>
      </w:r>
    </w:p>
    <w:p w14:paraId="26ABC614" w14:textId="77777777" w:rsidR="003B4921" w:rsidRPr="00012C3F" w:rsidRDefault="007A1A14" w:rsidP="004A1602">
      <w:pPr>
        <w:spacing w:line="240" w:lineRule="auto"/>
        <w:ind w:left="720" w:right="573"/>
        <w:rPr>
          <w:sz w:val="16"/>
          <w:szCs w:val="16"/>
          <w:lang w:val="en-US"/>
        </w:rPr>
      </w:pPr>
      <w:r w:rsidRPr="00012C3F">
        <w:rPr>
          <w:sz w:val="16"/>
          <w:szCs w:val="16"/>
          <w:lang w:val="en-US"/>
        </w:rPr>
        <w:t>4. [</w:t>
      </w:r>
      <w:r w:rsidR="00D5703A" w:rsidRPr="00012C3F">
        <w:rPr>
          <w:sz w:val="16"/>
          <w:szCs w:val="16"/>
          <w:lang w:val="en-US"/>
        </w:rPr>
        <w:t>… T</w:t>
      </w:r>
      <w:r w:rsidRPr="00012C3F">
        <w:rPr>
          <w:sz w:val="16"/>
          <w:szCs w:val="16"/>
          <w:lang w:val="en-US"/>
        </w:rPr>
        <w:t>]</w:t>
      </w:r>
      <w:r w:rsidR="00D5703A" w:rsidRPr="00012C3F">
        <w:rPr>
          <w:sz w:val="16"/>
          <w:szCs w:val="16"/>
          <w:lang w:val="en-US"/>
        </w:rPr>
        <w:t>he</w:t>
      </w:r>
      <w:r w:rsidRPr="00012C3F">
        <w:rPr>
          <w:sz w:val="16"/>
          <w:szCs w:val="16"/>
          <w:lang w:val="en-US"/>
        </w:rPr>
        <w:t xml:space="preserve"> </w:t>
      </w:r>
      <w:r w:rsidR="00593E9B" w:rsidRPr="00012C3F">
        <w:rPr>
          <w:sz w:val="16"/>
          <w:szCs w:val="16"/>
          <w:lang w:val="en-US"/>
        </w:rPr>
        <w:t>Departmental Medical Audit Committee</w:t>
      </w:r>
      <w:r w:rsidRPr="00012C3F">
        <w:rPr>
          <w:sz w:val="16"/>
          <w:szCs w:val="16"/>
          <w:lang w:val="en-US"/>
        </w:rPr>
        <w:t xml:space="preserve"> </w:t>
      </w:r>
      <w:r w:rsidR="00D5703A" w:rsidRPr="00012C3F">
        <w:rPr>
          <w:sz w:val="16"/>
          <w:szCs w:val="16"/>
          <w:lang w:val="en-US"/>
        </w:rPr>
        <w:t>full</w:t>
      </w:r>
      <w:r w:rsidR="00C13D33" w:rsidRPr="00012C3F">
        <w:rPr>
          <w:sz w:val="16"/>
          <w:szCs w:val="16"/>
          <w:lang w:val="en-US"/>
        </w:rPr>
        <w:t>y</w:t>
      </w:r>
      <w:r w:rsidR="00D5703A" w:rsidRPr="00012C3F">
        <w:rPr>
          <w:sz w:val="16"/>
          <w:szCs w:val="16"/>
          <w:lang w:val="en-US"/>
        </w:rPr>
        <w:t xml:space="preserve"> supports the</w:t>
      </w:r>
      <w:r w:rsidRPr="00012C3F">
        <w:rPr>
          <w:sz w:val="16"/>
          <w:szCs w:val="16"/>
          <w:lang w:val="en-US"/>
        </w:rPr>
        <w:t xml:space="preserve"> </w:t>
      </w:r>
      <w:r w:rsidR="00B53B61" w:rsidRPr="00012C3F">
        <w:rPr>
          <w:sz w:val="16"/>
          <w:szCs w:val="16"/>
          <w:lang w:val="en-US"/>
        </w:rPr>
        <w:t>report</w:t>
      </w:r>
      <w:r w:rsidR="00FF19ED" w:rsidRPr="00012C3F">
        <w:rPr>
          <w:sz w:val="16"/>
          <w:szCs w:val="16"/>
          <w:lang w:val="en-US"/>
        </w:rPr>
        <w:t xml:space="preserve"> </w:t>
      </w:r>
      <w:r w:rsidR="00D5703A" w:rsidRPr="00012C3F">
        <w:rPr>
          <w:sz w:val="16"/>
          <w:szCs w:val="16"/>
          <w:lang w:val="en-US"/>
        </w:rPr>
        <w:t>issued by</w:t>
      </w:r>
      <w:r w:rsidR="00FF19ED" w:rsidRPr="00012C3F">
        <w:rPr>
          <w:sz w:val="16"/>
          <w:szCs w:val="16"/>
          <w:lang w:val="en-US"/>
        </w:rPr>
        <w:t xml:space="preserve"> the </w:t>
      </w:r>
      <w:r w:rsidR="00583403" w:rsidRPr="00012C3F">
        <w:rPr>
          <w:sz w:val="16"/>
          <w:szCs w:val="16"/>
          <w:lang w:val="en-US"/>
        </w:rPr>
        <w:t>Women’s Hospital</w:t>
      </w:r>
      <w:r w:rsidRPr="00012C3F">
        <w:rPr>
          <w:sz w:val="16"/>
          <w:szCs w:val="16"/>
          <w:lang w:val="en-US"/>
        </w:rPr>
        <w:t xml:space="preserve"> [... establ</w:t>
      </w:r>
      <w:r w:rsidR="00D5703A" w:rsidRPr="00012C3F">
        <w:rPr>
          <w:sz w:val="16"/>
          <w:szCs w:val="16"/>
          <w:lang w:val="en-US"/>
        </w:rPr>
        <w:t>ishing</w:t>
      </w:r>
      <w:r w:rsidRPr="00012C3F">
        <w:rPr>
          <w:sz w:val="16"/>
          <w:szCs w:val="16"/>
          <w:lang w:val="en-US"/>
        </w:rPr>
        <w:t xml:space="preserve">] </w:t>
      </w:r>
      <w:r w:rsidR="00D5703A" w:rsidRPr="00012C3F">
        <w:rPr>
          <w:sz w:val="16"/>
          <w:szCs w:val="16"/>
          <w:lang w:val="en-US"/>
        </w:rPr>
        <w:t>that the tubal ligation procedure was performed for prophylactic purposes and to preserve future maternal well-being.</w:t>
      </w:r>
      <w:r w:rsidR="004A1602" w:rsidRPr="00012C3F">
        <w:rPr>
          <w:sz w:val="16"/>
          <w:szCs w:val="16"/>
          <w:lang w:val="en-US"/>
        </w:rPr>
        <w:t>”</w:t>
      </w:r>
      <w:r w:rsidRPr="00012C3F">
        <w:rPr>
          <w:sz w:val="16"/>
          <w:szCs w:val="16"/>
          <w:vertAlign w:val="superscript"/>
          <w:lang w:val="en-US"/>
        </w:rPr>
        <w:footnoteReference w:id="89"/>
      </w:r>
    </w:p>
    <w:p w14:paraId="26DAAB3C" w14:textId="77777777" w:rsidR="007A1A14" w:rsidRPr="00012C3F" w:rsidRDefault="007A1A14" w:rsidP="007A1A14">
      <w:pPr>
        <w:spacing w:line="240" w:lineRule="auto"/>
        <w:ind w:right="360"/>
        <w:rPr>
          <w:sz w:val="20"/>
          <w:szCs w:val="20"/>
          <w:lang w:val="en-US"/>
        </w:rPr>
      </w:pPr>
    </w:p>
    <w:p w14:paraId="2DE7D897" w14:textId="77777777" w:rsidR="007A1A14" w:rsidRPr="00012C3F" w:rsidRDefault="00D5703A" w:rsidP="00716C7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March 14,</w:t>
      </w:r>
      <w:r w:rsidR="007A1A14" w:rsidRPr="00012C3F">
        <w:rPr>
          <w:sz w:val="20"/>
          <w:szCs w:val="20"/>
          <w:lang w:val="en-US"/>
        </w:rPr>
        <w:t xml:space="preserve"> 2003</w:t>
      </w:r>
      <w:r w:rsidRPr="00012C3F">
        <w:rPr>
          <w:sz w:val="20"/>
          <w:szCs w:val="20"/>
          <w:lang w:val="en-US"/>
        </w:rPr>
        <w:t>,</w:t>
      </w:r>
      <w:r w:rsidR="007A1A14" w:rsidRPr="00012C3F">
        <w:rPr>
          <w:sz w:val="20"/>
          <w:szCs w:val="20"/>
          <w:lang w:val="en-US"/>
        </w:rPr>
        <w:t xml:space="preserve"> </w:t>
      </w:r>
      <w:r w:rsidRPr="00012C3F">
        <w:rPr>
          <w:sz w:val="20"/>
          <w:szCs w:val="20"/>
          <w:lang w:val="en-US"/>
        </w:rPr>
        <w:t>it was declared that this decision was final.</w:t>
      </w:r>
      <w:r w:rsidR="007A1A14" w:rsidRPr="00012C3F">
        <w:rPr>
          <w:rStyle w:val="Refdenotaalpie"/>
          <w:sz w:val="20"/>
          <w:szCs w:val="20"/>
          <w:lang w:val="en-US"/>
        </w:rPr>
        <w:footnoteReference w:id="90"/>
      </w:r>
    </w:p>
    <w:p w14:paraId="326CF0BF" w14:textId="77777777" w:rsidR="007A1A14" w:rsidRPr="00012C3F" w:rsidRDefault="007A1A14" w:rsidP="007A1A14">
      <w:pPr>
        <w:spacing w:line="240" w:lineRule="auto"/>
        <w:ind w:right="360"/>
        <w:rPr>
          <w:sz w:val="20"/>
          <w:szCs w:val="20"/>
          <w:lang w:val="en-US"/>
        </w:rPr>
      </w:pPr>
    </w:p>
    <w:p w14:paraId="185CABB3" w14:textId="77777777" w:rsidR="007A1A14" w:rsidRPr="00012C3F" w:rsidRDefault="007A1A14" w:rsidP="00040BA7">
      <w:pPr>
        <w:keepNext/>
        <w:keepLines/>
        <w:tabs>
          <w:tab w:val="left" w:pos="1134"/>
        </w:tabs>
        <w:spacing w:line="240" w:lineRule="auto"/>
        <w:ind w:left="567" w:firstLine="1"/>
        <w:outlineLvl w:val="1"/>
        <w:rPr>
          <w:rFonts w:eastAsia="MS Mincho"/>
          <w:b/>
          <w:bCs/>
          <w:i/>
          <w:sz w:val="20"/>
          <w:szCs w:val="20"/>
          <w:lang w:val="en-US"/>
        </w:rPr>
      </w:pPr>
      <w:bookmarkStart w:id="100" w:name="_Toc27486845"/>
      <w:r w:rsidRPr="00012C3F">
        <w:rPr>
          <w:rFonts w:eastAsia="MS Mincho"/>
          <w:b/>
          <w:bCs/>
          <w:i/>
          <w:sz w:val="20"/>
          <w:szCs w:val="20"/>
          <w:lang w:val="en-US"/>
        </w:rPr>
        <w:t xml:space="preserve">E. </w:t>
      </w:r>
      <w:r w:rsidRPr="00012C3F">
        <w:rPr>
          <w:rFonts w:eastAsia="MS Mincho"/>
          <w:b/>
          <w:bCs/>
          <w:i/>
          <w:sz w:val="20"/>
          <w:szCs w:val="20"/>
          <w:lang w:val="en-US"/>
        </w:rPr>
        <w:tab/>
      </w:r>
      <w:r w:rsidR="006C705C" w:rsidRPr="00012C3F">
        <w:rPr>
          <w:rFonts w:eastAsia="MS Mincho"/>
          <w:b/>
          <w:bCs/>
          <w:i/>
          <w:sz w:val="20"/>
          <w:szCs w:val="20"/>
          <w:lang w:val="en-US"/>
        </w:rPr>
        <w:t>Criminal proceedings</w:t>
      </w:r>
      <w:bookmarkEnd w:id="100"/>
    </w:p>
    <w:p w14:paraId="3633C37A" w14:textId="77777777" w:rsidR="007A1A14" w:rsidRPr="00012C3F" w:rsidRDefault="007A1A14" w:rsidP="007A1A14">
      <w:pPr>
        <w:spacing w:line="240" w:lineRule="auto"/>
        <w:rPr>
          <w:strike/>
          <w:sz w:val="20"/>
          <w:szCs w:val="20"/>
          <w:lang w:val="en-US"/>
        </w:rPr>
      </w:pPr>
    </w:p>
    <w:p w14:paraId="7ADEE3CD"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101" w:name="_Toc27486846"/>
      <w:r w:rsidRPr="00012C3F">
        <w:rPr>
          <w:rFonts w:ascii="Verdana" w:hAnsi="Verdana"/>
          <w:b w:val="0"/>
          <w:i/>
          <w:color w:val="auto"/>
          <w:sz w:val="20"/>
          <w:szCs w:val="20"/>
          <w:lang w:val="en-US"/>
        </w:rPr>
        <w:t xml:space="preserve">E.1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First oral proceeding</w:t>
      </w:r>
      <w:bookmarkEnd w:id="101"/>
    </w:p>
    <w:p w14:paraId="53D6306C" w14:textId="77777777" w:rsidR="007A1A14" w:rsidRPr="00012C3F" w:rsidRDefault="007A1A14" w:rsidP="007A1A14">
      <w:pPr>
        <w:spacing w:line="240" w:lineRule="auto"/>
        <w:rPr>
          <w:sz w:val="20"/>
          <w:szCs w:val="20"/>
          <w:lang w:val="en-US"/>
        </w:rPr>
      </w:pPr>
    </w:p>
    <w:p w14:paraId="5B0C904D" w14:textId="77777777" w:rsidR="007A1A14" w:rsidRPr="00012C3F" w:rsidRDefault="00D5703A" w:rsidP="00D5703A">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August 31,</w:t>
      </w:r>
      <w:r w:rsidR="007A1A14" w:rsidRPr="00012C3F">
        <w:rPr>
          <w:sz w:val="20"/>
          <w:szCs w:val="20"/>
          <w:lang w:val="en-US"/>
        </w:rPr>
        <w:t xml:space="preserve"> 2002</w:t>
      </w:r>
      <w:r w:rsidR="005D615E" w:rsidRPr="00012C3F">
        <w:rPr>
          <w:sz w:val="20"/>
          <w:szCs w:val="20"/>
          <w:lang w:val="en-US"/>
        </w:rPr>
        <w:t>,</w:t>
      </w:r>
      <w:r w:rsidR="007A1A14" w:rsidRPr="00012C3F">
        <w:rPr>
          <w:sz w:val="20"/>
          <w:szCs w:val="20"/>
          <w:lang w:val="en-US"/>
        </w:rPr>
        <w:t xml:space="preserve"> </w:t>
      </w:r>
      <w:r w:rsidR="00716C7D" w:rsidRPr="00012C3F">
        <w:rPr>
          <w:sz w:val="20"/>
          <w:szCs w:val="20"/>
          <w:lang w:val="en-US"/>
        </w:rPr>
        <w:t>the Public Prosecution Service</w:t>
      </w:r>
      <w:r w:rsidR="007A1A14" w:rsidRPr="00012C3F">
        <w:rPr>
          <w:sz w:val="20"/>
          <w:szCs w:val="20"/>
          <w:lang w:val="en-US"/>
        </w:rPr>
        <w:t xml:space="preserve"> </w:t>
      </w:r>
      <w:r w:rsidR="00716C7D" w:rsidRPr="00012C3F">
        <w:rPr>
          <w:sz w:val="20"/>
          <w:szCs w:val="20"/>
          <w:lang w:val="en-US"/>
        </w:rPr>
        <w:t xml:space="preserve">filed criminal charges against </w:t>
      </w:r>
      <w:r w:rsidR="003B4921" w:rsidRPr="00012C3F">
        <w:rPr>
          <w:sz w:val="20"/>
          <w:szCs w:val="20"/>
          <w:lang w:val="en-US"/>
        </w:rPr>
        <w:t xml:space="preserve">the </w:t>
      </w:r>
      <w:r w:rsidR="0099356C" w:rsidRPr="00012C3F">
        <w:rPr>
          <w:sz w:val="20"/>
          <w:szCs w:val="20"/>
          <w:lang w:val="en-US"/>
        </w:rPr>
        <w:t>instructing physician</w:t>
      </w:r>
      <w:r w:rsidR="007A1A14" w:rsidRPr="00012C3F">
        <w:rPr>
          <w:sz w:val="20"/>
          <w:szCs w:val="20"/>
          <w:lang w:val="en-US"/>
        </w:rPr>
        <w:t xml:space="preserve"> </w:t>
      </w:r>
      <w:r w:rsidR="00716C7D" w:rsidRPr="00012C3F">
        <w:rPr>
          <w:sz w:val="20"/>
          <w:szCs w:val="20"/>
          <w:lang w:val="en-US"/>
        </w:rPr>
        <w:t xml:space="preserve">for the offense of severe injuries </w:t>
      </w:r>
      <w:r w:rsidR="005E5012" w:rsidRPr="00012C3F">
        <w:rPr>
          <w:sz w:val="20"/>
          <w:szCs w:val="20"/>
          <w:lang w:val="en-US"/>
        </w:rPr>
        <w:t>to the detriment of</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00716C7D" w:rsidRPr="00012C3F">
        <w:rPr>
          <w:sz w:val="20"/>
          <w:szCs w:val="20"/>
          <w:lang w:val="en-US"/>
        </w:rPr>
        <w:t>established in paragraph 2 of</w:t>
      </w:r>
      <w:r w:rsidR="007A1A14" w:rsidRPr="00012C3F">
        <w:rPr>
          <w:sz w:val="20"/>
          <w:szCs w:val="20"/>
          <w:lang w:val="en-US"/>
        </w:rPr>
        <w:t xml:space="preserve"> </w:t>
      </w:r>
      <w:r w:rsidR="00716C7D" w:rsidRPr="00012C3F">
        <w:rPr>
          <w:sz w:val="20"/>
          <w:szCs w:val="20"/>
          <w:lang w:val="en-US"/>
        </w:rPr>
        <w:t>a</w:t>
      </w:r>
      <w:r w:rsidR="001254DE" w:rsidRPr="00012C3F">
        <w:rPr>
          <w:sz w:val="20"/>
          <w:szCs w:val="20"/>
          <w:lang w:val="en-US"/>
        </w:rPr>
        <w:t>rticle</w:t>
      </w:r>
      <w:r w:rsidR="007A1A14" w:rsidRPr="00012C3F">
        <w:rPr>
          <w:sz w:val="20"/>
          <w:szCs w:val="20"/>
          <w:lang w:val="en-US"/>
        </w:rPr>
        <w:t xml:space="preserve"> 270 </w:t>
      </w:r>
      <w:r w:rsidR="00716C7D" w:rsidRPr="00012C3F">
        <w:rPr>
          <w:sz w:val="20"/>
          <w:szCs w:val="20"/>
          <w:lang w:val="en-US"/>
        </w:rPr>
        <w:t>of the Bolivian Criminal Code</w:t>
      </w:r>
      <w:r w:rsidR="005D615E" w:rsidRPr="00012C3F">
        <w:rPr>
          <w:sz w:val="20"/>
          <w:szCs w:val="20"/>
          <w:lang w:val="en-US"/>
        </w:rPr>
        <w:t>.</w:t>
      </w:r>
      <w:r w:rsidR="007A1A14" w:rsidRPr="00012C3F">
        <w:rPr>
          <w:rStyle w:val="Refdenotaalpie"/>
          <w:sz w:val="20"/>
          <w:szCs w:val="20"/>
          <w:lang w:val="en-US"/>
        </w:rPr>
        <w:footnoteReference w:id="91"/>
      </w:r>
      <w:r w:rsidR="00716C7D" w:rsidRPr="00012C3F">
        <w:rPr>
          <w:sz w:val="20"/>
          <w:szCs w:val="20"/>
          <w:lang w:val="en-US"/>
        </w:rPr>
        <w:t xml:space="preserve"> </w:t>
      </w:r>
      <w:r w:rsidR="005D615E" w:rsidRPr="00012C3F">
        <w:rPr>
          <w:sz w:val="20"/>
          <w:szCs w:val="20"/>
          <w:lang w:val="en-US"/>
        </w:rPr>
        <w:t>The</w:t>
      </w:r>
      <w:r w:rsidR="00716C7D" w:rsidRPr="00012C3F">
        <w:rPr>
          <w:sz w:val="20"/>
          <w:szCs w:val="20"/>
          <w:lang w:val="en-US"/>
        </w:rPr>
        <w:t xml:space="preserve"> </w:t>
      </w:r>
      <w:r w:rsidR="005D615E" w:rsidRPr="00012C3F">
        <w:rPr>
          <w:sz w:val="20"/>
          <w:szCs w:val="20"/>
          <w:lang w:val="en-US"/>
        </w:rPr>
        <w:t xml:space="preserve">charges were based </w:t>
      </w:r>
      <w:r w:rsidR="00716C7D" w:rsidRPr="00012C3F">
        <w:rPr>
          <w:sz w:val="20"/>
          <w:szCs w:val="20"/>
          <w:lang w:val="en-US"/>
        </w:rPr>
        <w:t>on the tubal ligation having been performed on I.V. arbitrar</w:t>
      </w:r>
      <w:r w:rsidR="005D615E" w:rsidRPr="00012C3F">
        <w:rPr>
          <w:sz w:val="20"/>
          <w:szCs w:val="20"/>
          <w:lang w:val="en-US"/>
        </w:rPr>
        <w:t>ily</w:t>
      </w:r>
      <w:r w:rsidR="00716C7D" w:rsidRPr="00012C3F">
        <w:rPr>
          <w:sz w:val="20"/>
          <w:szCs w:val="20"/>
          <w:lang w:val="en-US"/>
        </w:rPr>
        <w:t xml:space="preserve"> and without </w:t>
      </w:r>
      <w:r w:rsidR="00D940AD" w:rsidRPr="00012C3F">
        <w:rPr>
          <w:sz w:val="20"/>
          <w:szCs w:val="20"/>
          <w:lang w:val="en-US"/>
        </w:rPr>
        <w:t>abiding by</w:t>
      </w:r>
      <w:r w:rsidR="00716C7D" w:rsidRPr="00012C3F">
        <w:rPr>
          <w:sz w:val="20"/>
          <w:szCs w:val="20"/>
          <w:lang w:val="en-US"/>
        </w:rPr>
        <w:t xml:space="preserve"> the legal procedure in force for that type of irreversible surgical procedure.</w:t>
      </w:r>
      <w:r w:rsidR="007A1A14" w:rsidRPr="00012C3F">
        <w:rPr>
          <w:rStyle w:val="Refdenotaalpie"/>
          <w:sz w:val="20"/>
          <w:szCs w:val="20"/>
          <w:lang w:val="en-US"/>
        </w:rPr>
        <w:footnoteReference w:id="92"/>
      </w:r>
      <w:r w:rsidR="00716C7D" w:rsidRPr="00012C3F">
        <w:rPr>
          <w:sz w:val="20"/>
          <w:szCs w:val="20"/>
          <w:lang w:val="en-US"/>
        </w:rPr>
        <w:t xml:space="preserve"> The</w:t>
      </w:r>
      <w:r w:rsidR="007A1A14" w:rsidRPr="00012C3F">
        <w:rPr>
          <w:sz w:val="20"/>
          <w:szCs w:val="20"/>
          <w:lang w:val="en-US"/>
        </w:rPr>
        <w:t xml:space="preserve"> </w:t>
      </w:r>
      <w:r w:rsidR="00716C7D" w:rsidRPr="00012C3F">
        <w:rPr>
          <w:sz w:val="20"/>
          <w:szCs w:val="20"/>
          <w:lang w:val="en-US"/>
        </w:rPr>
        <w:t>c</w:t>
      </w:r>
      <w:r w:rsidR="006C705C" w:rsidRPr="00012C3F">
        <w:rPr>
          <w:sz w:val="20"/>
          <w:szCs w:val="20"/>
          <w:lang w:val="en-US"/>
        </w:rPr>
        <w:t>riminal proceedings</w:t>
      </w:r>
      <w:r w:rsidR="007A1A14" w:rsidRPr="00012C3F">
        <w:rPr>
          <w:sz w:val="20"/>
          <w:szCs w:val="20"/>
          <w:lang w:val="en-US"/>
        </w:rPr>
        <w:t xml:space="preserve"> </w:t>
      </w:r>
      <w:r w:rsidR="00D940AD" w:rsidRPr="00012C3F">
        <w:rPr>
          <w:sz w:val="20"/>
          <w:szCs w:val="20"/>
          <w:lang w:val="en-US"/>
        </w:rPr>
        <w:t>were</w:t>
      </w:r>
      <w:r w:rsidR="00716C7D" w:rsidRPr="00012C3F">
        <w:rPr>
          <w:sz w:val="20"/>
          <w:szCs w:val="20"/>
          <w:lang w:val="en-US"/>
        </w:rPr>
        <w:t xml:space="preserve"> heard by </w:t>
      </w:r>
      <w:r w:rsidR="00800C58" w:rsidRPr="00012C3F">
        <w:rPr>
          <w:sz w:val="20"/>
          <w:szCs w:val="20"/>
          <w:lang w:val="en-US"/>
        </w:rPr>
        <w:t xml:space="preserve">the Second </w:t>
      </w:r>
      <w:r w:rsidR="001A5E4F" w:rsidRPr="00012C3F">
        <w:rPr>
          <w:sz w:val="20"/>
          <w:szCs w:val="20"/>
          <w:lang w:val="en-US"/>
        </w:rPr>
        <w:t>Trial Court</w:t>
      </w:r>
      <w:r w:rsidR="007A1A14" w:rsidRPr="00012C3F">
        <w:rPr>
          <w:sz w:val="20"/>
          <w:szCs w:val="20"/>
          <w:lang w:val="en-US"/>
        </w:rPr>
        <w:t xml:space="preserve"> </w:t>
      </w:r>
      <w:r w:rsidR="00716C7D" w:rsidRPr="00012C3F">
        <w:rPr>
          <w:sz w:val="20"/>
          <w:szCs w:val="20"/>
          <w:lang w:val="en-US"/>
        </w:rPr>
        <w:t>of</w:t>
      </w:r>
      <w:r w:rsidR="007A1A14" w:rsidRPr="00012C3F">
        <w:rPr>
          <w:sz w:val="20"/>
          <w:szCs w:val="20"/>
          <w:lang w:val="en-US"/>
        </w:rPr>
        <w:t xml:space="preserve"> La Paz, </w:t>
      </w:r>
      <w:r w:rsidR="00716C7D" w:rsidRPr="00012C3F">
        <w:rPr>
          <w:sz w:val="20"/>
          <w:szCs w:val="20"/>
          <w:lang w:val="en-US"/>
        </w:rPr>
        <w:t xml:space="preserve">which issued an order to start the trial on October 1, </w:t>
      </w:r>
      <w:r w:rsidR="007A1A14" w:rsidRPr="00012C3F">
        <w:rPr>
          <w:sz w:val="20"/>
          <w:szCs w:val="20"/>
          <w:lang w:val="en-US"/>
        </w:rPr>
        <w:t>2002</w:t>
      </w:r>
      <w:r w:rsidR="00716C7D" w:rsidRPr="00012C3F">
        <w:rPr>
          <w:sz w:val="20"/>
          <w:szCs w:val="20"/>
          <w:lang w:val="en-US"/>
        </w:rPr>
        <w:t>.</w:t>
      </w:r>
      <w:r w:rsidR="007A1A14" w:rsidRPr="00012C3F">
        <w:rPr>
          <w:rStyle w:val="Refdenotaalpie"/>
          <w:sz w:val="20"/>
          <w:szCs w:val="20"/>
          <w:lang w:val="en-US"/>
        </w:rPr>
        <w:footnoteReference w:id="93"/>
      </w:r>
      <w:r w:rsidR="007A1A14" w:rsidRPr="00012C3F">
        <w:rPr>
          <w:sz w:val="20"/>
          <w:szCs w:val="20"/>
          <w:lang w:val="en-US"/>
        </w:rPr>
        <w:t xml:space="preserve"> </w:t>
      </w:r>
      <w:r w:rsidR="00716C7D" w:rsidRPr="00012C3F">
        <w:rPr>
          <w:sz w:val="20"/>
          <w:szCs w:val="20"/>
          <w:lang w:val="en-US"/>
        </w:rPr>
        <w:t>On October 26,</w:t>
      </w:r>
      <w:r w:rsidR="007A1A14" w:rsidRPr="00012C3F">
        <w:rPr>
          <w:sz w:val="20"/>
          <w:szCs w:val="20"/>
          <w:lang w:val="en-US"/>
        </w:rPr>
        <w:t xml:space="preserve"> 2002</w:t>
      </w:r>
      <w:r w:rsidR="00716C7D"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00716C7D" w:rsidRPr="00012C3F">
        <w:rPr>
          <w:sz w:val="20"/>
          <w:szCs w:val="20"/>
          <w:lang w:val="en-US"/>
        </w:rPr>
        <w:t>asked to become a complainant and civil party to the proceedings.</w:t>
      </w:r>
      <w:r w:rsidR="007A1A14" w:rsidRPr="00012C3F">
        <w:rPr>
          <w:rStyle w:val="Refdenotaalpie"/>
          <w:sz w:val="20"/>
          <w:szCs w:val="20"/>
          <w:lang w:val="en-US"/>
        </w:rPr>
        <w:footnoteReference w:id="94"/>
      </w:r>
    </w:p>
    <w:p w14:paraId="0C08B77D" w14:textId="77777777" w:rsidR="007A1A14" w:rsidRPr="00012C3F" w:rsidRDefault="007A1A14" w:rsidP="007A1A14">
      <w:pPr>
        <w:spacing w:line="240" w:lineRule="auto"/>
        <w:rPr>
          <w:sz w:val="20"/>
          <w:szCs w:val="20"/>
          <w:lang w:val="en-US"/>
        </w:rPr>
      </w:pPr>
    </w:p>
    <w:p w14:paraId="4573DDE6" w14:textId="77777777" w:rsidR="004900E4" w:rsidRPr="00012C3F" w:rsidRDefault="004900E4" w:rsidP="004900E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In a j</w:t>
      </w:r>
      <w:r w:rsidR="001254DE" w:rsidRPr="00012C3F">
        <w:rPr>
          <w:sz w:val="20"/>
          <w:szCs w:val="20"/>
          <w:lang w:val="en-US"/>
        </w:rPr>
        <w:t>udgment of</w:t>
      </w:r>
      <w:r w:rsidR="007A1A14" w:rsidRPr="00012C3F">
        <w:rPr>
          <w:sz w:val="20"/>
          <w:szCs w:val="20"/>
          <w:lang w:val="en-US"/>
        </w:rPr>
        <w:t xml:space="preserve"> </w:t>
      </w:r>
      <w:r w:rsidRPr="00012C3F">
        <w:rPr>
          <w:sz w:val="20"/>
          <w:szCs w:val="20"/>
          <w:lang w:val="en-US"/>
        </w:rPr>
        <w:t>November 18,</w:t>
      </w:r>
      <w:r w:rsidR="007A1A14" w:rsidRPr="00012C3F">
        <w:rPr>
          <w:sz w:val="20"/>
          <w:szCs w:val="20"/>
          <w:lang w:val="en-US"/>
        </w:rPr>
        <w:t xml:space="preserve"> 2002, </w:t>
      </w:r>
      <w:r w:rsidR="00800C58" w:rsidRPr="00012C3F">
        <w:rPr>
          <w:sz w:val="20"/>
          <w:szCs w:val="20"/>
          <w:lang w:val="en-US"/>
        </w:rPr>
        <w:t xml:space="preserve">the Second </w:t>
      </w:r>
      <w:r w:rsidR="001A5E4F" w:rsidRPr="00012C3F">
        <w:rPr>
          <w:sz w:val="20"/>
          <w:szCs w:val="20"/>
          <w:lang w:val="en-US"/>
        </w:rPr>
        <w:t>Trial Court</w:t>
      </w:r>
      <w:r w:rsidR="007A1A14" w:rsidRPr="00012C3F">
        <w:rPr>
          <w:sz w:val="20"/>
          <w:szCs w:val="20"/>
          <w:lang w:val="en-US"/>
        </w:rPr>
        <w:t xml:space="preserve"> </w:t>
      </w:r>
      <w:r w:rsidRPr="00012C3F">
        <w:rPr>
          <w:sz w:val="20"/>
          <w:szCs w:val="20"/>
          <w:lang w:val="en-US"/>
        </w:rPr>
        <w:t>of</w:t>
      </w:r>
      <w:r w:rsidR="007A1A14" w:rsidRPr="00012C3F">
        <w:rPr>
          <w:sz w:val="20"/>
          <w:szCs w:val="20"/>
          <w:lang w:val="en-US"/>
        </w:rPr>
        <w:t xml:space="preserve"> La Paz </w:t>
      </w:r>
      <w:r w:rsidRPr="00012C3F">
        <w:rPr>
          <w:sz w:val="20"/>
          <w:szCs w:val="20"/>
          <w:lang w:val="en-US"/>
        </w:rPr>
        <w:t>unanimously convicted the physician, as author of the offense of severe injuries, to a suspended sentence of three years’ imprisonment.</w:t>
      </w:r>
      <w:r w:rsidR="007A1A14" w:rsidRPr="00012C3F">
        <w:rPr>
          <w:sz w:val="20"/>
          <w:szCs w:val="20"/>
          <w:vertAlign w:val="superscript"/>
          <w:lang w:val="en-US"/>
        </w:rPr>
        <w:footnoteReference w:id="95"/>
      </w:r>
      <w:r w:rsidRPr="00012C3F">
        <w:rPr>
          <w:sz w:val="20"/>
          <w:szCs w:val="20"/>
          <w:lang w:val="en-US"/>
        </w:rPr>
        <w:t xml:space="preserve"> As grounds for this decision, the judgment found that there was no </w:t>
      </w:r>
      <w:r w:rsidRPr="00012C3F">
        <w:rPr>
          <w:sz w:val="20"/>
          <w:szCs w:val="20"/>
          <w:lang w:val="en-US"/>
        </w:rPr>
        <w:lastRenderedPageBreak/>
        <w:t xml:space="preserve">medical justification to perform the tubal ligation; that the statements </w:t>
      </w:r>
      <w:r w:rsidR="00D940AD" w:rsidRPr="00012C3F">
        <w:rPr>
          <w:sz w:val="20"/>
          <w:szCs w:val="20"/>
          <w:lang w:val="en-US"/>
        </w:rPr>
        <w:t>reporting</w:t>
      </w:r>
      <w:r w:rsidRPr="00012C3F">
        <w:rPr>
          <w:sz w:val="20"/>
          <w:szCs w:val="20"/>
          <w:lang w:val="en-US"/>
        </w:rPr>
        <w:t xml:space="preserve"> the verbal authorization of this procedure were contradictory, and that, even if this authorization had been given, it would have </w:t>
      </w:r>
      <w:r w:rsidR="00D940AD" w:rsidRPr="00012C3F">
        <w:rPr>
          <w:sz w:val="20"/>
          <w:szCs w:val="20"/>
          <w:lang w:val="en-US"/>
        </w:rPr>
        <w:t xml:space="preserve">no </w:t>
      </w:r>
      <w:r w:rsidRPr="00012C3F">
        <w:rPr>
          <w:sz w:val="20"/>
          <w:szCs w:val="20"/>
          <w:lang w:val="en-US"/>
        </w:rPr>
        <w:t>legal value:</w:t>
      </w:r>
    </w:p>
    <w:p w14:paraId="09148FD5" w14:textId="77777777" w:rsidR="007A1A14" w:rsidRPr="00012C3F" w:rsidRDefault="007A1A14" w:rsidP="007A1A14">
      <w:pPr>
        <w:spacing w:line="240" w:lineRule="auto"/>
        <w:rPr>
          <w:sz w:val="20"/>
          <w:szCs w:val="20"/>
          <w:lang w:val="en-US"/>
        </w:rPr>
      </w:pPr>
    </w:p>
    <w:p w14:paraId="74DE9898" w14:textId="77777777" w:rsidR="0009339A" w:rsidRPr="00012C3F" w:rsidRDefault="0009339A" w:rsidP="0009339A">
      <w:pPr>
        <w:pStyle w:val="Cita"/>
        <w:spacing w:after="120"/>
        <w:rPr>
          <w:rFonts w:ascii="Verdana" w:hAnsi="Verdana"/>
          <w:sz w:val="16"/>
          <w:szCs w:val="16"/>
        </w:rPr>
      </w:pPr>
      <w:bookmarkStart w:id="102" w:name="_Hlk26105473"/>
      <w:r w:rsidRPr="00012C3F">
        <w:rPr>
          <w:rFonts w:ascii="Verdana" w:hAnsi="Verdana"/>
          <w:sz w:val="16"/>
          <w:szCs w:val="16"/>
        </w:rPr>
        <w:t xml:space="preserve">It has been </w:t>
      </w:r>
      <w:r w:rsidR="00D940AD" w:rsidRPr="00012C3F">
        <w:rPr>
          <w:rFonts w:ascii="Verdana" w:hAnsi="Verdana"/>
          <w:sz w:val="16"/>
          <w:szCs w:val="16"/>
        </w:rPr>
        <w:t>abundantly</w:t>
      </w:r>
      <w:r w:rsidRPr="00012C3F">
        <w:rPr>
          <w:rFonts w:ascii="Verdana" w:hAnsi="Verdana"/>
          <w:sz w:val="16"/>
          <w:szCs w:val="16"/>
        </w:rPr>
        <w:t xml:space="preserve"> established that there was no rational or medical justification for performing the bilateral tubal ligation, given that the numerous adhesions and the incision in the uterus did not constitute an immediate and imminent risk to the patient's life. The possibility of a health complication would have occurred in the event of another pregnancy; in other words, from a legal standpoint, what is at stake is a pending hypothetical condition, that may or may not </w:t>
      </w:r>
      <w:r w:rsidR="00D940AD" w:rsidRPr="00012C3F">
        <w:rPr>
          <w:rFonts w:ascii="Verdana" w:hAnsi="Verdana"/>
          <w:sz w:val="16"/>
          <w:szCs w:val="16"/>
        </w:rPr>
        <w:t>arise</w:t>
      </w:r>
      <w:r w:rsidRPr="00012C3F">
        <w:rPr>
          <w:rFonts w:ascii="Verdana" w:hAnsi="Verdana"/>
          <w:sz w:val="16"/>
          <w:szCs w:val="16"/>
        </w:rPr>
        <w:t>, particularly since, with birth control counseling, the couple might never have another pregnancy by using other contraceptive methods or, ultimately, deciding to opt for tubal ligation surgery, but WITH PRIOR INFORMED CONSENT.</w:t>
      </w:r>
    </w:p>
    <w:p w14:paraId="1A910498" w14:textId="77777777" w:rsidR="0009339A" w:rsidRPr="00012C3F" w:rsidRDefault="0009339A" w:rsidP="0009339A">
      <w:pPr>
        <w:pStyle w:val="Cita"/>
        <w:spacing w:after="120"/>
        <w:rPr>
          <w:rFonts w:ascii="Verdana" w:hAnsi="Verdana"/>
          <w:sz w:val="16"/>
          <w:szCs w:val="16"/>
        </w:rPr>
      </w:pPr>
      <w:r w:rsidRPr="00012C3F">
        <w:rPr>
          <w:rFonts w:ascii="Verdana" w:hAnsi="Verdana"/>
          <w:sz w:val="16"/>
          <w:szCs w:val="16"/>
        </w:rPr>
        <w:t>[…]</w:t>
      </w:r>
    </w:p>
    <w:p w14:paraId="4869FAFC" w14:textId="77777777" w:rsidR="0009339A" w:rsidRPr="00012C3F" w:rsidRDefault="0009339A" w:rsidP="0009339A">
      <w:pPr>
        <w:pStyle w:val="Cita"/>
        <w:spacing w:after="120"/>
        <w:rPr>
          <w:rFonts w:ascii="Verdana" w:hAnsi="Verdana"/>
          <w:sz w:val="16"/>
          <w:szCs w:val="16"/>
        </w:rPr>
      </w:pPr>
      <w:r w:rsidRPr="00012C3F">
        <w:rPr>
          <w:rFonts w:ascii="Verdana" w:hAnsi="Verdana"/>
          <w:sz w:val="16"/>
          <w:szCs w:val="16"/>
        </w:rPr>
        <w:t>Throughout the trial, an attempt has been made to demonstrate that the patient gave her verbal consent to the bilateral tubal ligation procedure during the peri-operat</w:t>
      </w:r>
      <w:r w:rsidR="00D940AD" w:rsidRPr="00012C3F">
        <w:rPr>
          <w:rFonts w:ascii="Verdana" w:hAnsi="Verdana"/>
          <w:sz w:val="16"/>
          <w:szCs w:val="16"/>
        </w:rPr>
        <w:t>ive</w:t>
      </w:r>
      <w:r w:rsidRPr="00012C3F">
        <w:rPr>
          <w:rFonts w:ascii="Verdana" w:hAnsi="Verdana"/>
          <w:sz w:val="16"/>
          <w:szCs w:val="16"/>
        </w:rPr>
        <w:t xml:space="preserve"> period. However, this court is convinced that contradictions exist in that respect[.]</w:t>
      </w:r>
    </w:p>
    <w:p w14:paraId="24CE5F21" w14:textId="77777777" w:rsidR="0009339A" w:rsidRPr="00012C3F" w:rsidRDefault="0009339A" w:rsidP="0009339A">
      <w:pPr>
        <w:pStyle w:val="Cita"/>
        <w:spacing w:after="120"/>
        <w:rPr>
          <w:rFonts w:ascii="Verdana" w:hAnsi="Verdana"/>
          <w:sz w:val="16"/>
          <w:szCs w:val="16"/>
        </w:rPr>
      </w:pPr>
      <w:r w:rsidRPr="00012C3F">
        <w:rPr>
          <w:rFonts w:ascii="Verdana" w:hAnsi="Verdana"/>
          <w:sz w:val="16"/>
          <w:szCs w:val="16"/>
        </w:rPr>
        <w:t>[…]</w:t>
      </w:r>
    </w:p>
    <w:p w14:paraId="1C2436B4" w14:textId="77777777" w:rsidR="007A1A14" w:rsidRPr="00012C3F" w:rsidRDefault="0009339A" w:rsidP="00D940AD">
      <w:pPr>
        <w:tabs>
          <w:tab w:val="left" w:pos="1080"/>
          <w:tab w:val="left" w:pos="1680"/>
          <w:tab w:val="left" w:pos="5400"/>
        </w:tabs>
        <w:suppressAutoHyphens/>
        <w:spacing w:after="200" w:line="240" w:lineRule="auto"/>
        <w:ind w:left="720" w:right="571"/>
        <w:rPr>
          <w:sz w:val="16"/>
          <w:szCs w:val="16"/>
          <w:lang w:val="en-US"/>
        </w:rPr>
      </w:pPr>
      <w:r w:rsidRPr="00012C3F">
        <w:rPr>
          <w:sz w:val="16"/>
          <w:szCs w:val="16"/>
          <w:lang w:val="en-US"/>
        </w:rPr>
        <w:t>This court establishes fully that, even if the patient had given her verbal consent during the surgical procedure, IT WOULD NOT BE LEGALLY VALID, because the patient was under surgical stress and anesthesia and</w:t>
      </w:r>
      <w:r w:rsidR="00D940AD" w:rsidRPr="00012C3F">
        <w:rPr>
          <w:sz w:val="16"/>
          <w:szCs w:val="16"/>
          <w:lang w:val="en-US"/>
        </w:rPr>
        <w:t>,</w:t>
      </w:r>
      <w:r w:rsidRPr="00012C3F">
        <w:rPr>
          <w:sz w:val="16"/>
          <w:szCs w:val="16"/>
          <w:lang w:val="en-US"/>
        </w:rPr>
        <w:t xml:space="preserve"> consequently</w:t>
      </w:r>
      <w:r w:rsidR="00D940AD" w:rsidRPr="00012C3F">
        <w:rPr>
          <w:sz w:val="16"/>
          <w:szCs w:val="16"/>
          <w:lang w:val="en-US"/>
        </w:rPr>
        <w:t>,</w:t>
      </w:r>
      <w:r w:rsidRPr="00012C3F">
        <w:rPr>
          <w:sz w:val="16"/>
          <w:szCs w:val="16"/>
          <w:lang w:val="en-US"/>
        </w:rPr>
        <w:t xml:space="preserve"> did not possess the appropriate mental or volitional faculties to authorize or consent to a surgical procedure involving the loss of her reproductive capacity. Finally, this court finds that, for this kind of surgery, verbal authorizations are not valid. Rather there must be WRITTEN CONSENT BASED ON INFORMATION AND GUIDANCE PROVIDED TO THE COUPLE BY THE PHYSICIAN, as established by medical regulations in Bolivia and internationally.</w:t>
      </w:r>
      <w:bookmarkEnd w:id="102"/>
      <w:r w:rsidR="007A1A14" w:rsidRPr="00012C3F">
        <w:rPr>
          <w:rStyle w:val="Refdenotaalpie"/>
          <w:sz w:val="16"/>
          <w:szCs w:val="16"/>
          <w:lang w:val="en-US"/>
        </w:rPr>
        <w:footnoteReference w:id="96"/>
      </w:r>
    </w:p>
    <w:p w14:paraId="34535655" w14:textId="77777777" w:rsidR="007A1A14" w:rsidRPr="00012C3F" w:rsidRDefault="00843CB6" w:rsidP="00843CB6">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This judgment was </w:t>
      </w:r>
      <w:r w:rsidR="004A072B" w:rsidRPr="00012C3F">
        <w:rPr>
          <w:sz w:val="20"/>
          <w:szCs w:val="20"/>
          <w:lang w:val="en-US"/>
        </w:rPr>
        <w:t>appealed</w:t>
      </w:r>
      <w:r w:rsidRPr="00012C3F">
        <w:rPr>
          <w:sz w:val="20"/>
          <w:szCs w:val="20"/>
          <w:lang w:val="en-US"/>
        </w:rPr>
        <w:t xml:space="preserve"> by th</w:t>
      </w:r>
      <w:r w:rsidR="0004293C" w:rsidRPr="00012C3F">
        <w:rPr>
          <w:sz w:val="20"/>
          <w:szCs w:val="20"/>
          <w:lang w:val="en-US"/>
        </w:rPr>
        <w:t>e persons convicted</w:t>
      </w:r>
      <w:r w:rsidRPr="00012C3F">
        <w:rPr>
          <w:sz w:val="20"/>
          <w:szCs w:val="20"/>
          <w:lang w:val="en-US"/>
        </w:rPr>
        <w:t xml:space="preserve"> on December 5, </w:t>
      </w:r>
      <w:r w:rsidR="007A1A14" w:rsidRPr="00012C3F">
        <w:rPr>
          <w:sz w:val="20"/>
          <w:szCs w:val="20"/>
          <w:lang w:val="en-US"/>
        </w:rPr>
        <w:t>2002</w:t>
      </w:r>
      <w:r w:rsidRPr="00012C3F">
        <w:rPr>
          <w:sz w:val="20"/>
          <w:szCs w:val="20"/>
          <w:lang w:val="en-US"/>
        </w:rPr>
        <w:t>.</w:t>
      </w:r>
      <w:r w:rsidR="007A1A14" w:rsidRPr="00012C3F">
        <w:rPr>
          <w:rStyle w:val="Refdenotaalpie"/>
          <w:sz w:val="20"/>
          <w:szCs w:val="20"/>
          <w:lang w:val="en-US"/>
        </w:rPr>
        <w:footnoteReference w:id="97"/>
      </w:r>
      <w:r w:rsidRPr="00012C3F">
        <w:rPr>
          <w:sz w:val="20"/>
          <w:szCs w:val="20"/>
          <w:lang w:val="en-US"/>
        </w:rPr>
        <w:t xml:space="preserve"> The appeal was decided on February 12, 2003, by</w:t>
      </w:r>
      <w:r w:rsidR="007A1A14" w:rsidRPr="00012C3F">
        <w:rPr>
          <w:sz w:val="20"/>
          <w:szCs w:val="20"/>
          <w:lang w:val="en-US"/>
        </w:rPr>
        <w:t xml:space="preserve"> </w:t>
      </w:r>
      <w:r w:rsidRPr="00012C3F">
        <w:rPr>
          <w:sz w:val="20"/>
          <w:szCs w:val="20"/>
          <w:lang w:val="en-US"/>
        </w:rPr>
        <w:t>the</w:t>
      </w:r>
      <w:r w:rsidR="007A1A14" w:rsidRPr="00012C3F">
        <w:rPr>
          <w:sz w:val="20"/>
          <w:szCs w:val="20"/>
          <w:lang w:val="en-US"/>
        </w:rPr>
        <w:t xml:space="preserve"> </w:t>
      </w:r>
      <w:r w:rsidRPr="00012C3F">
        <w:rPr>
          <w:sz w:val="20"/>
          <w:szCs w:val="20"/>
          <w:lang w:val="en-US"/>
        </w:rPr>
        <w:t>Third Criminal Chamber</w:t>
      </w:r>
      <w:r w:rsidR="001254DE" w:rsidRPr="00012C3F">
        <w:rPr>
          <w:sz w:val="20"/>
          <w:szCs w:val="20"/>
          <w:lang w:val="en-US"/>
        </w:rPr>
        <w:t xml:space="preserve"> of the </w:t>
      </w:r>
      <w:r w:rsidRPr="00012C3F">
        <w:rPr>
          <w:sz w:val="20"/>
          <w:szCs w:val="20"/>
          <w:lang w:val="en-US"/>
        </w:rPr>
        <w:t>Superior Court</w:t>
      </w:r>
      <w:r w:rsidR="007A1A14" w:rsidRPr="00012C3F">
        <w:rPr>
          <w:sz w:val="20"/>
          <w:szCs w:val="20"/>
          <w:lang w:val="en-US"/>
        </w:rPr>
        <w:t xml:space="preserve"> </w:t>
      </w:r>
      <w:r w:rsidR="00800C58" w:rsidRPr="00012C3F">
        <w:rPr>
          <w:sz w:val="20"/>
          <w:szCs w:val="20"/>
          <w:lang w:val="en-US"/>
        </w:rPr>
        <w:t>of the La Paz Judicial District</w:t>
      </w:r>
      <w:r w:rsidR="007A1A14" w:rsidRPr="00012C3F">
        <w:rPr>
          <w:sz w:val="20"/>
          <w:szCs w:val="20"/>
          <w:lang w:val="en-US"/>
        </w:rPr>
        <w:t>, declar</w:t>
      </w:r>
      <w:r w:rsidRPr="00012C3F">
        <w:rPr>
          <w:sz w:val="20"/>
          <w:szCs w:val="20"/>
          <w:lang w:val="en-US"/>
        </w:rPr>
        <w:t>ing that the appeal was admissible</w:t>
      </w:r>
      <w:r w:rsidR="0004293C" w:rsidRPr="00012C3F">
        <w:rPr>
          <w:sz w:val="20"/>
          <w:szCs w:val="20"/>
          <w:lang w:val="en-US"/>
        </w:rPr>
        <w:t>,</w:t>
      </w:r>
      <w:r w:rsidRPr="00012C3F">
        <w:rPr>
          <w:sz w:val="20"/>
          <w:szCs w:val="20"/>
          <w:lang w:val="en-US"/>
        </w:rPr>
        <w:t xml:space="preserve"> annulling the judgment that </w:t>
      </w:r>
      <w:r w:rsidR="004A072B" w:rsidRPr="00012C3F">
        <w:rPr>
          <w:sz w:val="20"/>
          <w:szCs w:val="20"/>
          <w:lang w:val="en-US"/>
        </w:rPr>
        <w:t>had been</w:t>
      </w:r>
      <w:r w:rsidRPr="00012C3F">
        <w:rPr>
          <w:sz w:val="20"/>
          <w:szCs w:val="20"/>
          <w:lang w:val="en-US"/>
        </w:rPr>
        <w:t xml:space="preserve"> appeal</w:t>
      </w:r>
      <w:r w:rsidR="004A072B" w:rsidRPr="00012C3F">
        <w:rPr>
          <w:sz w:val="20"/>
          <w:szCs w:val="20"/>
          <w:lang w:val="en-US"/>
        </w:rPr>
        <w:t xml:space="preserve">ed </w:t>
      </w:r>
      <w:r w:rsidR="0004293C" w:rsidRPr="00012C3F">
        <w:rPr>
          <w:sz w:val="20"/>
          <w:szCs w:val="20"/>
          <w:lang w:val="en-US"/>
        </w:rPr>
        <w:t xml:space="preserve">completely, </w:t>
      </w:r>
      <w:r w:rsidR="004A072B" w:rsidRPr="00012C3F">
        <w:rPr>
          <w:sz w:val="20"/>
          <w:szCs w:val="20"/>
          <w:lang w:val="en-US"/>
        </w:rPr>
        <w:t xml:space="preserve">and ordering </w:t>
      </w:r>
      <w:r w:rsidRPr="00012C3F">
        <w:rPr>
          <w:sz w:val="20"/>
          <w:szCs w:val="20"/>
          <w:lang w:val="en-US"/>
        </w:rPr>
        <w:t>that</w:t>
      </w:r>
      <w:r w:rsidR="004A072B" w:rsidRPr="00012C3F">
        <w:rPr>
          <w:sz w:val="20"/>
          <w:szCs w:val="20"/>
          <w:lang w:val="en-US"/>
        </w:rPr>
        <w:t xml:space="preserve"> the case be re-tried by</w:t>
      </w:r>
      <w:r w:rsidRPr="00012C3F">
        <w:rPr>
          <w:sz w:val="20"/>
          <w:szCs w:val="20"/>
          <w:lang w:val="en-US"/>
        </w:rPr>
        <w:t xml:space="preserve"> another </w:t>
      </w:r>
      <w:r w:rsidR="001A5E4F" w:rsidRPr="00012C3F">
        <w:rPr>
          <w:sz w:val="20"/>
          <w:szCs w:val="20"/>
          <w:lang w:val="en-US"/>
        </w:rPr>
        <w:t>Trial Court</w:t>
      </w:r>
      <w:r w:rsidRPr="00012C3F">
        <w:rPr>
          <w:sz w:val="20"/>
          <w:szCs w:val="20"/>
          <w:lang w:val="en-US"/>
        </w:rPr>
        <w:t>.</w:t>
      </w:r>
      <w:r w:rsidR="007A1A14" w:rsidRPr="00012C3F">
        <w:rPr>
          <w:rStyle w:val="Refdenotaalpie"/>
          <w:sz w:val="20"/>
          <w:szCs w:val="20"/>
          <w:lang w:val="en-US"/>
        </w:rPr>
        <w:footnoteReference w:id="98"/>
      </w:r>
      <w:r w:rsidRPr="00012C3F">
        <w:rPr>
          <w:sz w:val="20"/>
          <w:szCs w:val="20"/>
          <w:lang w:val="en-US"/>
        </w:rPr>
        <w:t xml:space="preserve"> It considered that the appealed </w:t>
      </w:r>
      <w:r w:rsidR="004A072B" w:rsidRPr="00012C3F">
        <w:rPr>
          <w:sz w:val="20"/>
          <w:szCs w:val="20"/>
          <w:lang w:val="en-US"/>
        </w:rPr>
        <w:t xml:space="preserve">judgment </w:t>
      </w:r>
      <w:r w:rsidRPr="00012C3F">
        <w:rPr>
          <w:sz w:val="20"/>
          <w:szCs w:val="20"/>
          <w:lang w:val="en-US"/>
        </w:rPr>
        <w:t xml:space="preserve">had been delivered with </w:t>
      </w:r>
      <w:r w:rsidR="004A072B" w:rsidRPr="00012C3F">
        <w:rPr>
          <w:sz w:val="20"/>
          <w:szCs w:val="20"/>
          <w:lang w:val="en-US"/>
        </w:rPr>
        <w:t>irremediable</w:t>
      </w:r>
      <w:r w:rsidRPr="00012C3F">
        <w:rPr>
          <w:sz w:val="20"/>
          <w:szCs w:val="20"/>
          <w:lang w:val="en-US"/>
        </w:rPr>
        <w:t xml:space="preserve"> defects </w:t>
      </w:r>
      <w:r w:rsidR="004A072B" w:rsidRPr="00012C3F">
        <w:rPr>
          <w:sz w:val="20"/>
          <w:szCs w:val="20"/>
          <w:lang w:val="en-US"/>
        </w:rPr>
        <w:t>involving</w:t>
      </w:r>
      <w:r w:rsidRPr="00012C3F">
        <w:rPr>
          <w:sz w:val="20"/>
          <w:szCs w:val="20"/>
          <w:lang w:val="en-US"/>
        </w:rPr>
        <w:t xml:space="preserve"> </w:t>
      </w:r>
      <w:r w:rsidR="004A072B" w:rsidRPr="00012C3F">
        <w:rPr>
          <w:sz w:val="20"/>
          <w:szCs w:val="20"/>
          <w:lang w:val="en-US"/>
        </w:rPr>
        <w:t>the failure to respect</w:t>
      </w:r>
      <w:r w:rsidR="0004293C" w:rsidRPr="00012C3F">
        <w:rPr>
          <w:sz w:val="20"/>
          <w:szCs w:val="20"/>
          <w:lang w:val="en-US"/>
        </w:rPr>
        <w:t>,</w:t>
      </w:r>
      <w:r w:rsidRPr="00012C3F">
        <w:rPr>
          <w:sz w:val="20"/>
          <w:szCs w:val="20"/>
          <w:lang w:val="en-US"/>
        </w:rPr>
        <w:t xml:space="preserve"> or </w:t>
      </w:r>
      <w:r w:rsidR="004A072B" w:rsidRPr="00012C3F">
        <w:rPr>
          <w:sz w:val="20"/>
          <w:szCs w:val="20"/>
          <w:lang w:val="en-US"/>
        </w:rPr>
        <w:t xml:space="preserve">the </w:t>
      </w:r>
      <w:r w:rsidRPr="00012C3F">
        <w:rPr>
          <w:sz w:val="20"/>
          <w:szCs w:val="20"/>
          <w:lang w:val="en-US"/>
        </w:rPr>
        <w:t>violation of rights and guarantees established in the Constitution,</w:t>
      </w:r>
      <w:r w:rsidR="0004293C" w:rsidRPr="00012C3F">
        <w:rPr>
          <w:sz w:val="20"/>
          <w:szCs w:val="20"/>
          <w:lang w:val="en-US"/>
        </w:rPr>
        <w:t xml:space="preserve"> in</w:t>
      </w:r>
      <w:r w:rsidRPr="00012C3F">
        <w:rPr>
          <w:sz w:val="20"/>
          <w:szCs w:val="20"/>
          <w:lang w:val="en-US"/>
        </w:rPr>
        <w:t xml:space="preserve"> the conventions and treaties in force, and </w:t>
      </w:r>
      <w:r w:rsidR="004A072B" w:rsidRPr="00012C3F">
        <w:rPr>
          <w:sz w:val="20"/>
          <w:szCs w:val="20"/>
          <w:lang w:val="en-US"/>
        </w:rPr>
        <w:t xml:space="preserve">in </w:t>
      </w:r>
      <w:r w:rsidRPr="00012C3F">
        <w:rPr>
          <w:sz w:val="20"/>
          <w:szCs w:val="20"/>
          <w:lang w:val="en-US"/>
        </w:rPr>
        <w:t xml:space="preserve">the Code of Criminal Procedure; in particular, </w:t>
      </w:r>
      <w:r w:rsidR="004A072B" w:rsidRPr="00012C3F">
        <w:rPr>
          <w:sz w:val="20"/>
          <w:szCs w:val="20"/>
          <w:lang w:val="en-US"/>
        </w:rPr>
        <w:t>infringements</w:t>
      </w:r>
      <w:r w:rsidRPr="00012C3F">
        <w:rPr>
          <w:sz w:val="20"/>
          <w:szCs w:val="20"/>
          <w:lang w:val="en-US"/>
        </w:rPr>
        <w:t xml:space="preserve"> of </w:t>
      </w:r>
      <w:r w:rsidR="004A072B" w:rsidRPr="00012C3F">
        <w:rPr>
          <w:sz w:val="20"/>
          <w:szCs w:val="20"/>
          <w:lang w:val="en-US"/>
        </w:rPr>
        <w:t>the right to admissibility of evidence</w:t>
      </w:r>
      <w:r w:rsidR="00804FA0" w:rsidRPr="00012C3F">
        <w:rPr>
          <w:sz w:val="20"/>
          <w:szCs w:val="20"/>
          <w:lang w:val="en-US"/>
        </w:rPr>
        <w:t xml:space="preserve"> to the detriment of the defense</w:t>
      </w:r>
      <w:r w:rsidR="0004293C" w:rsidRPr="00012C3F">
        <w:rPr>
          <w:sz w:val="20"/>
          <w:szCs w:val="20"/>
          <w:lang w:val="en-US"/>
        </w:rPr>
        <w:t>,</w:t>
      </w:r>
      <w:r w:rsidR="00804FA0" w:rsidRPr="00012C3F">
        <w:rPr>
          <w:sz w:val="20"/>
          <w:szCs w:val="20"/>
          <w:lang w:val="en-US"/>
        </w:rPr>
        <w:t xml:space="preserve"> and </w:t>
      </w:r>
      <w:r w:rsidR="0004293C" w:rsidRPr="00012C3F">
        <w:rPr>
          <w:sz w:val="20"/>
          <w:szCs w:val="20"/>
          <w:lang w:val="en-US"/>
        </w:rPr>
        <w:t>flaws</w:t>
      </w:r>
      <w:r w:rsidR="00804FA0" w:rsidRPr="00012C3F">
        <w:rPr>
          <w:sz w:val="20"/>
          <w:szCs w:val="20"/>
          <w:lang w:val="en-US"/>
        </w:rPr>
        <w:t xml:space="preserve"> in the application of criminal law.</w:t>
      </w:r>
      <w:r w:rsidR="007A1A14" w:rsidRPr="00012C3F">
        <w:rPr>
          <w:rStyle w:val="Refdenotaalpie"/>
          <w:sz w:val="20"/>
          <w:szCs w:val="20"/>
          <w:lang w:val="en-US"/>
        </w:rPr>
        <w:footnoteReference w:id="99"/>
      </w:r>
    </w:p>
    <w:p w14:paraId="7C23C488" w14:textId="77777777" w:rsidR="007A1A14" w:rsidRPr="00012C3F" w:rsidRDefault="007A1A14" w:rsidP="007A1A14">
      <w:pPr>
        <w:spacing w:line="240" w:lineRule="auto"/>
        <w:rPr>
          <w:sz w:val="20"/>
          <w:szCs w:val="20"/>
          <w:lang w:val="en-US"/>
        </w:rPr>
      </w:pPr>
    </w:p>
    <w:p w14:paraId="03378474"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103" w:name="_Toc27486847"/>
      <w:r w:rsidRPr="00012C3F">
        <w:rPr>
          <w:rFonts w:ascii="Verdana" w:hAnsi="Verdana"/>
          <w:b w:val="0"/>
          <w:i/>
          <w:color w:val="auto"/>
          <w:sz w:val="20"/>
          <w:szCs w:val="20"/>
          <w:lang w:val="en-US"/>
        </w:rPr>
        <w:t xml:space="preserve">E.2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Second oral proceeding</w:t>
      </w:r>
      <w:bookmarkEnd w:id="103"/>
    </w:p>
    <w:p w14:paraId="03E1111D" w14:textId="77777777" w:rsidR="007A1A14" w:rsidRPr="00012C3F" w:rsidRDefault="007A1A14" w:rsidP="007A1A14">
      <w:pPr>
        <w:spacing w:line="240" w:lineRule="auto"/>
        <w:rPr>
          <w:sz w:val="20"/>
          <w:szCs w:val="20"/>
          <w:lang w:val="en-US"/>
        </w:rPr>
      </w:pPr>
    </w:p>
    <w:p w14:paraId="6C5A3723" w14:textId="77777777" w:rsidR="007A1A14" w:rsidRPr="00012C3F" w:rsidRDefault="00804FA0" w:rsidP="00804FA0">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On March 14, </w:t>
      </w:r>
      <w:r w:rsidR="007A1A14" w:rsidRPr="00012C3F">
        <w:rPr>
          <w:sz w:val="20"/>
          <w:szCs w:val="20"/>
          <w:lang w:val="en-US"/>
        </w:rPr>
        <w:t>2003</w:t>
      </w:r>
      <w:r w:rsidRPr="00012C3F">
        <w:rPr>
          <w:sz w:val="20"/>
          <w:szCs w:val="20"/>
          <w:lang w:val="en-US"/>
        </w:rPr>
        <w:t xml:space="preserve">, the case was moved to the First </w:t>
      </w:r>
      <w:r w:rsidR="001A5E4F" w:rsidRPr="00012C3F">
        <w:rPr>
          <w:sz w:val="20"/>
          <w:szCs w:val="20"/>
          <w:lang w:val="en-US"/>
        </w:rPr>
        <w:t>Trial Court</w:t>
      </w:r>
      <w:r w:rsidR="007A1A14" w:rsidRPr="00012C3F">
        <w:rPr>
          <w:sz w:val="20"/>
          <w:szCs w:val="20"/>
          <w:lang w:val="en-US"/>
        </w:rPr>
        <w:t xml:space="preserve"> </w:t>
      </w:r>
      <w:r w:rsidR="00800C58" w:rsidRPr="00012C3F">
        <w:rPr>
          <w:sz w:val="20"/>
          <w:szCs w:val="20"/>
          <w:lang w:val="en-US"/>
        </w:rPr>
        <w:t>of the La Paz Judicial District</w:t>
      </w:r>
      <w:r w:rsidR="007A1A14" w:rsidRPr="00012C3F">
        <w:rPr>
          <w:rStyle w:val="Refdenotaalpie"/>
          <w:sz w:val="20"/>
          <w:szCs w:val="20"/>
          <w:lang w:val="en-US"/>
        </w:rPr>
        <w:footnoteReference w:id="100"/>
      </w:r>
      <w:r w:rsidR="005E5012" w:rsidRPr="00012C3F">
        <w:rPr>
          <w:sz w:val="20"/>
          <w:szCs w:val="20"/>
          <w:lang w:val="en-US"/>
        </w:rPr>
        <w:t xml:space="preserve"> and </w:t>
      </w:r>
      <w:r w:rsidRPr="00012C3F">
        <w:rPr>
          <w:sz w:val="20"/>
          <w:szCs w:val="20"/>
          <w:lang w:val="en-US"/>
        </w:rPr>
        <w:t>on March 17,</w:t>
      </w:r>
      <w:r w:rsidR="007A1A14" w:rsidRPr="00012C3F">
        <w:rPr>
          <w:sz w:val="20"/>
          <w:szCs w:val="20"/>
          <w:lang w:val="en-US"/>
        </w:rPr>
        <w:t xml:space="preserve"> 2003</w:t>
      </w:r>
      <w:r w:rsidRPr="00012C3F">
        <w:rPr>
          <w:sz w:val="20"/>
          <w:szCs w:val="20"/>
          <w:lang w:val="en-US"/>
        </w:rPr>
        <w:t>,</w:t>
      </w:r>
      <w:r w:rsidR="007A1A14" w:rsidRPr="00012C3F">
        <w:rPr>
          <w:sz w:val="20"/>
          <w:szCs w:val="20"/>
          <w:lang w:val="en-US"/>
        </w:rPr>
        <w:t xml:space="preserve"> </w:t>
      </w:r>
      <w:r w:rsidRPr="00012C3F">
        <w:rPr>
          <w:sz w:val="20"/>
          <w:szCs w:val="20"/>
          <w:lang w:val="en-US"/>
        </w:rPr>
        <w:t xml:space="preserve">an order was issued to open the </w:t>
      </w:r>
      <w:r w:rsidR="000E0704" w:rsidRPr="00012C3F">
        <w:rPr>
          <w:sz w:val="20"/>
          <w:szCs w:val="20"/>
          <w:lang w:val="en-US"/>
        </w:rPr>
        <w:t>proceedings</w:t>
      </w:r>
      <w:r w:rsidRPr="00012C3F">
        <w:rPr>
          <w:sz w:val="20"/>
          <w:szCs w:val="20"/>
          <w:lang w:val="en-US"/>
        </w:rPr>
        <w:t>.</w:t>
      </w:r>
      <w:r w:rsidR="007A1A14" w:rsidRPr="00012C3F">
        <w:rPr>
          <w:rStyle w:val="Refdenotaalpie"/>
          <w:sz w:val="20"/>
          <w:szCs w:val="20"/>
          <w:lang w:val="en-US"/>
        </w:rPr>
        <w:footnoteReference w:id="101"/>
      </w:r>
      <w:r w:rsidR="007A1A14" w:rsidRPr="00012C3F">
        <w:rPr>
          <w:sz w:val="20"/>
          <w:szCs w:val="20"/>
          <w:lang w:val="en-US"/>
        </w:rPr>
        <w:t xml:space="preserve"> </w:t>
      </w:r>
      <w:r w:rsidRPr="00012C3F">
        <w:rPr>
          <w:sz w:val="20"/>
          <w:szCs w:val="20"/>
          <w:lang w:val="en-US"/>
        </w:rPr>
        <w:t>On April 22,</w:t>
      </w:r>
      <w:r w:rsidR="007A1A14" w:rsidRPr="00012C3F">
        <w:rPr>
          <w:sz w:val="20"/>
          <w:szCs w:val="20"/>
          <w:lang w:val="en-US"/>
        </w:rPr>
        <w:t xml:space="preserve"> 2003</w:t>
      </w:r>
      <w:r w:rsidRPr="00012C3F">
        <w:rPr>
          <w:sz w:val="20"/>
          <w:szCs w:val="20"/>
          <w:lang w:val="en-US"/>
        </w:rPr>
        <w:t>,</w:t>
      </w:r>
      <w:r w:rsidR="007A1A14" w:rsidRPr="00012C3F">
        <w:rPr>
          <w:sz w:val="20"/>
          <w:szCs w:val="20"/>
          <w:lang w:val="en-US"/>
        </w:rPr>
        <w:t xml:space="preserve"> </w:t>
      </w:r>
      <w:r w:rsidRPr="00012C3F">
        <w:rPr>
          <w:sz w:val="20"/>
          <w:szCs w:val="20"/>
          <w:lang w:val="en-US"/>
        </w:rPr>
        <w:t xml:space="preserve">the First </w:t>
      </w:r>
      <w:r w:rsidR="001A5E4F" w:rsidRPr="00012C3F">
        <w:rPr>
          <w:sz w:val="20"/>
          <w:szCs w:val="20"/>
          <w:lang w:val="en-US"/>
        </w:rPr>
        <w:t>Trial Court</w:t>
      </w:r>
      <w:r w:rsidR="007A1A14" w:rsidRPr="00012C3F">
        <w:rPr>
          <w:sz w:val="20"/>
          <w:szCs w:val="20"/>
          <w:lang w:val="en-US"/>
        </w:rPr>
        <w:t xml:space="preserve"> </w:t>
      </w:r>
      <w:r w:rsidRPr="00012C3F">
        <w:rPr>
          <w:sz w:val="20"/>
          <w:szCs w:val="20"/>
          <w:lang w:val="en-US"/>
        </w:rPr>
        <w:t xml:space="preserve">annulled the </w:t>
      </w:r>
      <w:r w:rsidR="007567C2" w:rsidRPr="00012C3F">
        <w:rPr>
          <w:sz w:val="20"/>
          <w:szCs w:val="20"/>
          <w:lang w:val="en-US"/>
        </w:rPr>
        <w:t>drawing of lots for lay judges</w:t>
      </w:r>
      <w:r w:rsidR="00E37D44" w:rsidRPr="00012C3F">
        <w:rPr>
          <w:sz w:val="20"/>
          <w:szCs w:val="20"/>
          <w:lang w:val="en-US"/>
        </w:rPr>
        <w:t xml:space="preserve"> and </w:t>
      </w:r>
      <w:r w:rsidR="007567C2" w:rsidRPr="00012C3F">
        <w:rPr>
          <w:sz w:val="20"/>
          <w:szCs w:val="20"/>
          <w:lang w:val="en-US"/>
        </w:rPr>
        <w:t xml:space="preserve">the resulting </w:t>
      </w:r>
      <w:r w:rsidR="00E37D44" w:rsidRPr="00012C3F">
        <w:rPr>
          <w:sz w:val="20"/>
          <w:szCs w:val="20"/>
          <w:lang w:val="en-US"/>
        </w:rPr>
        <w:t>constitution of the Court owing to a problem with the computerized system</w:t>
      </w:r>
      <w:r w:rsidR="004A072B" w:rsidRPr="00012C3F">
        <w:rPr>
          <w:sz w:val="20"/>
          <w:szCs w:val="20"/>
          <w:lang w:val="en-US"/>
        </w:rPr>
        <w:t>,</w:t>
      </w:r>
      <w:r w:rsidR="00E37D44" w:rsidRPr="00012C3F">
        <w:rPr>
          <w:sz w:val="20"/>
          <w:szCs w:val="20"/>
          <w:lang w:val="en-US"/>
        </w:rPr>
        <w:t xml:space="preserve"> and established a new date and time for the</w:t>
      </w:r>
      <w:r w:rsidR="000E0704" w:rsidRPr="00012C3F">
        <w:rPr>
          <w:sz w:val="20"/>
          <w:szCs w:val="20"/>
          <w:lang w:val="en-US"/>
        </w:rPr>
        <w:t xml:space="preserve"> hearing of the oral proceeding</w:t>
      </w:r>
      <w:r w:rsidR="00E37D44" w:rsidRPr="00012C3F">
        <w:rPr>
          <w:sz w:val="20"/>
          <w:szCs w:val="20"/>
          <w:lang w:val="en-US"/>
        </w:rPr>
        <w:t xml:space="preserve">, for the public hearing to draw lots for lay judges, and </w:t>
      </w:r>
      <w:r w:rsidR="00E37D44" w:rsidRPr="00012C3F">
        <w:rPr>
          <w:sz w:val="20"/>
          <w:szCs w:val="20"/>
          <w:lang w:val="en-US"/>
        </w:rPr>
        <w:lastRenderedPageBreak/>
        <w:t xml:space="preserve">for the hearing to constitute the </w:t>
      </w:r>
      <w:r w:rsidR="00822B95" w:rsidRPr="00012C3F">
        <w:rPr>
          <w:sz w:val="20"/>
          <w:szCs w:val="20"/>
          <w:lang w:val="en-US"/>
        </w:rPr>
        <w:t>c</w:t>
      </w:r>
      <w:r w:rsidR="00E37D44" w:rsidRPr="00012C3F">
        <w:rPr>
          <w:sz w:val="20"/>
          <w:szCs w:val="20"/>
          <w:lang w:val="en-US"/>
        </w:rPr>
        <w:t>ourt.</w:t>
      </w:r>
      <w:r w:rsidR="007A1A14" w:rsidRPr="00012C3F">
        <w:rPr>
          <w:rStyle w:val="Refdenotaalpie"/>
          <w:sz w:val="20"/>
          <w:szCs w:val="20"/>
          <w:lang w:val="en-US"/>
        </w:rPr>
        <w:footnoteReference w:id="102"/>
      </w:r>
    </w:p>
    <w:p w14:paraId="5C0233FD" w14:textId="77777777" w:rsidR="007A1A14" w:rsidRPr="00012C3F" w:rsidRDefault="007A1A14" w:rsidP="007A1A14">
      <w:pPr>
        <w:spacing w:line="240" w:lineRule="auto"/>
        <w:rPr>
          <w:sz w:val="20"/>
          <w:szCs w:val="20"/>
          <w:lang w:val="en-US"/>
        </w:rPr>
      </w:pPr>
    </w:p>
    <w:p w14:paraId="5B914C65" w14:textId="77777777" w:rsidR="007A1A14" w:rsidRPr="00012C3F" w:rsidRDefault="00E37D44" w:rsidP="0066086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May 9,</w:t>
      </w:r>
      <w:r w:rsidR="007A1A14" w:rsidRPr="00012C3F">
        <w:rPr>
          <w:sz w:val="20"/>
          <w:szCs w:val="20"/>
          <w:lang w:val="en-US"/>
        </w:rPr>
        <w:t xml:space="preserve"> 2003</w:t>
      </w:r>
      <w:r w:rsidRPr="00012C3F">
        <w:rPr>
          <w:sz w:val="20"/>
          <w:szCs w:val="20"/>
          <w:lang w:val="en-US"/>
        </w:rPr>
        <w:t>,</w:t>
      </w:r>
      <w:r w:rsidR="00660869" w:rsidRPr="00012C3F">
        <w:rPr>
          <w:sz w:val="20"/>
          <w:szCs w:val="20"/>
          <w:lang w:val="en-US"/>
        </w:rPr>
        <w:t xml:space="preserve"> the</w:t>
      </w:r>
      <w:r w:rsidR="00822B95" w:rsidRPr="00012C3F">
        <w:rPr>
          <w:sz w:val="20"/>
          <w:szCs w:val="20"/>
          <w:lang w:val="en-US"/>
        </w:rPr>
        <w:t xml:space="preserve"> Presiding</w:t>
      </w:r>
      <w:r w:rsidR="007A1A14" w:rsidRPr="00012C3F">
        <w:rPr>
          <w:sz w:val="20"/>
          <w:szCs w:val="20"/>
          <w:lang w:val="en-US"/>
        </w:rPr>
        <w:t xml:space="preserve"> </w:t>
      </w:r>
      <w:r w:rsidR="001254DE" w:rsidRPr="00012C3F">
        <w:rPr>
          <w:sz w:val="20"/>
          <w:szCs w:val="20"/>
          <w:lang w:val="en-US"/>
        </w:rPr>
        <w:t>Judge</w:t>
      </w:r>
      <w:r w:rsidR="007A1A14" w:rsidRPr="00012C3F">
        <w:rPr>
          <w:sz w:val="20"/>
          <w:szCs w:val="20"/>
          <w:lang w:val="en-US"/>
        </w:rPr>
        <w:t xml:space="preserve"> </w:t>
      </w:r>
      <w:r w:rsidR="00660869" w:rsidRPr="00012C3F">
        <w:rPr>
          <w:sz w:val="20"/>
          <w:szCs w:val="20"/>
          <w:lang w:val="en-US"/>
        </w:rPr>
        <w:t xml:space="preserve">of the </w:t>
      </w:r>
      <w:r w:rsidR="00804FA0" w:rsidRPr="00012C3F">
        <w:rPr>
          <w:sz w:val="20"/>
          <w:szCs w:val="20"/>
          <w:lang w:val="en-US"/>
        </w:rPr>
        <w:t xml:space="preserve">First </w:t>
      </w:r>
      <w:r w:rsidR="001A5E4F" w:rsidRPr="00012C3F">
        <w:rPr>
          <w:sz w:val="20"/>
          <w:szCs w:val="20"/>
          <w:lang w:val="en-US"/>
        </w:rPr>
        <w:t>Trial Court</w:t>
      </w:r>
      <w:r w:rsidR="006C6F9D" w:rsidRPr="00012C3F">
        <w:rPr>
          <w:sz w:val="20"/>
          <w:szCs w:val="20"/>
          <w:lang w:val="en-US"/>
        </w:rPr>
        <w:t xml:space="preserve"> </w:t>
      </w:r>
      <w:r w:rsidR="00660869" w:rsidRPr="00012C3F">
        <w:rPr>
          <w:sz w:val="20"/>
          <w:szCs w:val="20"/>
          <w:lang w:val="en-US"/>
        </w:rPr>
        <w:t>and a technical judge of this court</w:t>
      </w:r>
      <w:r w:rsidR="00822B95" w:rsidRPr="00012C3F">
        <w:rPr>
          <w:sz w:val="20"/>
          <w:szCs w:val="20"/>
          <w:lang w:val="en-US"/>
        </w:rPr>
        <w:t xml:space="preserve"> recused</w:t>
      </w:r>
      <w:r w:rsidR="00660869" w:rsidRPr="00012C3F">
        <w:rPr>
          <w:sz w:val="20"/>
          <w:szCs w:val="20"/>
          <w:lang w:val="en-US"/>
        </w:rPr>
        <w:t xml:space="preserve"> themselves from hearing the case, </w:t>
      </w:r>
      <w:r w:rsidR="00822B95" w:rsidRPr="00012C3F">
        <w:rPr>
          <w:sz w:val="20"/>
          <w:szCs w:val="20"/>
          <w:lang w:val="en-US"/>
        </w:rPr>
        <w:t xml:space="preserve">the former because he had </w:t>
      </w:r>
      <w:r w:rsidR="00660869" w:rsidRPr="00012C3F">
        <w:rPr>
          <w:sz w:val="20"/>
          <w:szCs w:val="20"/>
          <w:lang w:val="en-US"/>
        </w:rPr>
        <w:t xml:space="preserve">given his opinion out of court in an interview, and the latter because he had been accused of </w:t>
      </w:r>
      <w:r w:rsidR="007567C2" w:rsidRPr="00012C3F">
        <w:rPr>
          <w:sz w:val="20"/>
          <w:szCs w:val="20"/>
          <w:lang w:val="en-US"/>
        </w:rPr>
        <w:t xml:space="preserve">malfeasance </w:t>
      </w:r>
      <w:r w:rsidR="00660869" w:rsidRPr="00012C3F">
        <w:rPr>
          <w:sz w:val="20"/>
          <w:szCs w:val="20"/>
          <w:lang w:val="en-US"/>
        </w:rPr>
        <w:t>in this case.</w:t>
      </w:r>
      <w:r w:rsidR="007A1A14" w:rsidRPr="00012C3F">
        <w:rPr>
          <w:rStyle w:val="Refdenotaalpie"/>
          <w:sz w:val="20"/>
          <w:szCs w:val="20"/>
          <w:lang w:val="en-US"/>
        </w:rPr>
        <w:footnoteReference w:id="103"/>
      </w:r>
      <w:r w:rsidR="00660869" w:rsidRPr="00012C3F">
        <w:rPr>
          <w:sz w:val="20"/>
          <w:szCs w:val="20"/>
          <w:lang w:val="en-US"/>
        </w:rPr>
        <w:t xml:space="preserve"> Consequently, the file of the proceedings </w:t>
      </w:r>
      <w:r w:rsidR="00822B95" w:rsidRPr="00012C3F">
        <w:rPr>
          <w:sz w:val="20"/>
          <w:szCs w:val="20"/>
          <w:lang w:val="en-US"/>
        </w:rPr>
        <w:t xml:space="preserve">was remitted </w:t>
      </w:r>
      <w:r w:rsidR="00660869" w:rsidRPr="00012C3F">
        <w:rPr>
          <w:sz w:val="20"/>
          <w:szCs w:val="20"/>
          <w:lang w:val="en-US"/>
        </w:rPr>
        <w:t xml:space="preserve">to the Third </w:t>
      </w:r>
      <w:r w:rsidR="001A5E4F" w:rsidRPr="00012C3F">
        <w:rPr>
          <w:sz w:val="20"/>
          <w:szCs w:val="20"/>
          <w:lang w:val="en-US"/>
        </w:rPr>
        <w:t>Trial Court</w:t>
      </w:r>
      <w:r w:rsidR="00660869" w:rsidRPr="00012C3F">
        <w:rPr>
          <w:sz w:val="20"/>
          <w:szCs w:val="20"/>
          <w:lang w:val="en-US"/>
        </w:rPr>
        <w:t xml:space="preserve"> of </w:t>
      </w:r>
      <w:r w:rsidR="007A1A14" w:rsidRPr="00012C3F">
        <w:rPr>
          <w:sz w:val="20"/>
          <w:szCs w:val="20"/>
          <w:lang w:val="en-US"/>
        </w:rPr>
        <w:t>La Paz</w:t>
      </w:r>
      <w:r w:rsidR="00660869" w:rsidRPr="00012C3F">
        <w:rPr>
          <w:sz w:val="20"/>
          <w:szCs w:val="20"/>
          <w:lang w:val="en-US"/>
        </w:rPr>
        <w:t>,</w:t>
      </w:r>
      <w:r w:rsidR="007A1A14" w:rsidRPr="00012C3F">
        <w:rPr>
          <w:rStyle w:val="Refdenotaalpie"/>
          <w:sz w:val="20"/>
          <w:szCs w:val="20"/>
          <w:lang w:val="en-US"/>
        </w:rPr>
        <w:footnoteReference w:id="104"/>
      </w:r>
      <w:r w:rsidR="00660869" w:rsidRPr="00012C3F">
        <w:rPr>
          <w:sz w:val="20"/>
          <w:szCs w:val="20"/>
          <w:lang w:val="en-US"/>
        </w:rPr>
        <w:t xml:space="preserve"> which returned the </w:t>
      </w:r>
      <w:r w:rsidR="00822B95" w:rsidRPr="00012C3F">
        <w:rPr>
          <w:sz w:val="20"/>
          <w:szCs w:val="20"/>
          <w:lang w:val="en-US"/>
        </w:rPr>
        <w:t>case</w:t>
      </w:r>
      <w:r w:rsidR="00660869" w:rsidRPr="00012C3F">
        <w:rPr>
          <w:sz w:val="20"/>
          <w:szCs w:val="20"/>
          <w:lang w:val="en-US"/>
        </w:rPr>
        <w:t xml:space="preserve"> to the original court </w:t>
      </w:r>
      <w:r w:rsidR="007E5FDF" w:rsidRPr="00012C3F">
        <w:rPr>
          <w:sz w:val="20"/>
          <w:szCs w:val="20"/>
          <w:lang w:val="en-US"/>
        </w:rPr>
        <w:t>on May 12,</w:t>
      </w:r>
      <w:r w:rsidR="007A1A14" w:rsidRPr="00012C3F">
        <w:rPr>
          <w:sz w:val="20"/>
          <w:szCs w:val="20"/>
          <w:lang w:val="en-US"/>
        </w:rPr>
        <w:t xml:space="preserve"> 2003, </w:t>
      </w:r>
      <w:r w:rsidR="00822B95" w:rsidRPr="00012C3F">
        <w:rPr>
          <w:sz w:val="20"/>
          <w:szCs w:val="20"/>
          <w:lang w:val="en-US"/>
        </w:rPr>
        <w:t>due to procedural defects</w:t>
      </w:r>
      <w:r w:rsidR="00660869" w:rsidRPr="00012C3F">
        <w:rPr>
          <w:sz w:val="20"/>
          <w:szCs w:val="20"/>
          <w:lang w:val="en-US"/>
        </w:rPr>
        <w:t xml:space="preserve"> </w:t>
      </w:r>
      <w:r w:rsidR="00822B95" w:rsidRPr="00012C3F">
        <w:rPr>
          <w:sz w:val="20"/>
          <w:szCs w:val="20"/>
          <w:lang w:val="en-US"/>
        </w:rPr>
        <w:t>relating</w:t>
      </w:r>
      <w:r w:rsidR="00660869" w:rsidRPr="00012C3F">
        <w:rPr>
          <w:sz w:val="20"/>
          <w:szCs w:val="20"/>
          <w:lang w:val="en-US"/>
        </w:rPr>
        <w:t xml:space="preserve"> to the acceptance or rejection of the</w:t>
      </w:r>
      <w:r w:rsidR="00822B95" w:rsidRPr="00012C3F">
        <w:rPr>
          <w:sz w:val="20"/>
          <w:szCs w:val="20"/>
          <w:lang w:val="en-US"/>
        </w:rPr>
        <w:t xml:space="preserve"> recusals</w:t>
      </w:r>
      <w:r w:rsidR="00660869" w:rsidRPr="00012C3F">
        <w:rPr>
          <w:sz w:val="20"/>
          <w:szCs w:val="20"/>
          <w:lang w:val="en-US"/>
        </w:rPr>
        <w:t>.</w:t>
      </w:r>
      <w:r w:rsidR="007A1A14" w:rsidRPr="00012C3F">
        <w:rPr>
          <w:rStyle w:val="Refdenotaalpie"/>
          <w:sz w:val="20"/>
          <w:szCs w:val="20"/>
          <w:lang w:val="en-US"/>
        </w:rPr>
        <w:footnoteReference w:id="105"/>
      </w:r>
    </w:p>
    <w:p w14:paraId="702CB693" w14:textId="77777777" w:rsidR="007A1A14" w:rsidRPr="00012C3F" w:rsidRDefault="007A1A14" w:rsidP="00E37D44">
      <w:pPr>
        <w:tabs>
          <w:tab w:val="left" w:pos="720"/>
        </w:tabs>
        <w:spacing w:line="240" w:lineRule="auto"/>
        <w:rPr>
          <w:sz w:val="20"/>
          <w:szCs w:val="20"/>
          <w:lang w:val="en-US"/>
        </w:rPr>
      </w:pPr>
    </w:p>
    <w:p w14:paraId="7E651737" w14:textId="77777777" w:rsidR="007A1A14" w:rsidRPr="00012C3F" w:rsidRDefault="00660869" w:rsidP="00E37D4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Since a sufficient number of citizens had not come forward to constitute the Third </w:t>
      </w:r>
      <w:r w:rsidR="001A5E4F" w:rsidRPr="00012C3F">
        <w:rPr>
          <w:sz w:val="20"/>
          <w:szCs w:val="20"/>
          <w:lang w:val="en-US"/>
        </w:rPr>
        <w:t>Trial Court</w:t>
      </w:r>
      <w:r w:rsidR="007A1A14" w:rsidRPr="00012C3F">
        <w:rPr>
          <w:sz w:val="20"/>
          <w:szCs w:val="20"/>
          <w:lang w:val="en-US"/>
        </w:rPr>
        <w:t xml:space="preserve">, </w:t>
      </w:r>
      <w:r w:rsidRPr="00012C3F">
        <w:rPr>
          <w:sz w:val="20"/>
          <w:szCs w:val="20"/>
          <w:lang w:val="en-US"/>
        </w:rPr>
        <w:t>it was decided to forward the case to the nearest judicial district,</w:t>
      </w:r>
      <w:r w:rsidR="007A1A14" w:rsidRPr="00012C3F">
        <w:rPr>
          <w:rStyle w:val="Refdenotaalpie"/>
          <w:sz w:val="20"/>
          <w:szCs w:val="20"/>
          <w:lang w:val="en-US"/>
        </w:rPr>
        <w:footnoteReference w:id="106"/>
      </w:r>
      <w:r w:rsidRPr="00012C3F">
        <w:rPr>
          <w:sz w:val="20"/>
          <w:szCs w:val="20"/>
          <w:lang w:val="en-US"/>
        </w:rPr>
        <w:t xml:space="preserve"> which was </w:t>
      </w:r>
      <w:r w:rsidR="007A1A14" w:rsidRPr="00012C3F">
        <w:rPr>
          <w:sz w:val="20"/>
          <w:szCs w:val="20"/>
          <w:lang w:val="en-US"/>
        </w:rPr>
        <w:t>El Alto</w:t>
      </w:r>
      <w:r w:rsidRPr="00012C3F">
        <w:rPr>
          <w:sz w:val="20"/>
          <w:szCs w:val="20"/>
          <w:lang w:val="en-US"/>
        </w:rPr>
        <w:t xml:space="preserve">; accordingly, the file was forwarded to the </w:t>
      </w:r>
      <w:r w:rsidR="001A5E4F" w:rsidRPr="00012C3F">
        <w:rPr>
          <w:sz w:val="20"/>
          <w:szCs w:val="20"/>
          <w:lang w:val="en-US"/>
        </w:rPr>
        <w:t>Trial Court</w:t>
      </w:r>
      <w:r w:rsidRPr="00012C3F">
        <w:rPr>
          <w:sz w:val="20"/>
          <w:szCs w:val="20"/>
          <w:lang w:val="en-US"/>
        </w:rPr>
        <w:t xml:space="preserve"> </w:t>
      </w:r>
      <w:r w:rsidR="00822B95" w:rsidRPr="00012C3F">
        <w:rPr>
          <w:sz w:val="20"/>
          <w:szCs w:val="20"/>
          <w:lang w:val="en-US"/>
        </w:rPr>
        <w:t xml:space="preserve">on duty </w:t>
      </w:r>
      <w:r w:rsidRPr="00012C3F">
        <w:rPr>
          <w:sz w:val="20"/>
          <w:szCs w:val="20"/>
          <w:lang w:val="en-US"/>
        </w:rPr>
        <w:t xml:space="preserve">on May 28, </w:t>
      </w:r>
      <w:r w:rsidR="007A1A14" w:rsidRPr="00012C3F">
        <w:rPr>
          <w:sz w:val="20"/>
          <w:szCs w:val="20"/>
          <w:lang w:val="en-US"/>
        </w:rPr>
        <w:t>2003</w:t>
      </w:r>
      <w:r w:rsidRPr="00012C3F">
        <w:rPr>
          <w:sz w:val="20"/>
          <w:szCs w:val="20"/>
          <w:lang w:val="en-US"/>
        </w:rPr>
        <w:t>.</w:t>
      </w:r>
      <w:r w:rsidR="007A1A14" w:rsidRPr="00012C3F">
        <w:rPr>
          <w:rStyle w:val="Refdenotaalpie"/>
          <w:sz w:val="20"/>
          <w:szCs w:val="20"/>
          <w:lang w:val="en-US"/>
        </w:rPr>
        <w:footnoteReference w:id="107"/>
      </w:r>
      <w:r w:rsidR="007A1A14" w:rsidRPr="00012C3F">
        <w:rPr>
          <w:sz w:val="20"/>
          <w:szCs w:val="20"/>
          <w:lang w:val="en-US"/>
        </w:rPr>
        <w:t xml:space="preserve"> </w:t>
      </w:r>
      <w:r w:rsidRPr="00012C3F">
        <w:rPr>
          <w:sz w:val="20"/>
          <w:szCs w:val="20"/>
          <w:lang w:val="en-US"/>
        </w:rPr>
        <w:t xml:space="preserve">The case was then moved to </w:t>
      </w:r>
      <w:r w:rsidR="00800C58" w:rsidRPr="00012C3F">
        <w:rPr>
          <w:sz w:val="20"/>
          <w:szCs w:val="20"/>
          <w:lang w:val="en-US"/>
        </w:rPr>
        <w:t xml:space="preserve">the Second </w:t>
      </w:r>
      <w:r w:rsidR="001A5E4F" w:rsidRPr="00012C3F">
        <w:rPr>
          <w:sz w:val="20"/>
          <w:szCs w:val="20"/>
          <w:lang w:val="en-US"/>
        </w:rPr>
        <w:t>Trial Court</w:t>
      </w:r>
      <w:r w:rsidR="007A1A14" w:rsidRPr="00012C3F">
        <w:rPr>
          <w:sz w:val="20"/>
          <w:szCs w:val="20"/>
          <w:lang w:val="en-US"/>
        </w:rPr>
        <w:t xml:space="preserve"> </w:t>
      </w:r>
      <w:r w:rsidRPr="00012C3F">
        <w:rPr>
          <w:sz w:val="20"/>
          <w:szCs w:val="20"/>
          <w:lang w:val="en-US"/>
        </w:rPr>
        <w:t>of</w:t>
      </w:r>
      <w:r w:rsidR="007A1A14" w:rsidRPr="00012C3F">
        <w:rPr>
          <w:sz w:val="20"/>
          <w:szCs w:val="20"/>
          <w:lang w:val="en-US"/>
        </w:rPr>
        <w:t xml:space="preserve"> El Alto</w:t>
      </w:r>
      <w:r w:rsidRPr="00012C3F">
        <w:rPr>
          <w:sz w:val="20"/>
          <w:szCs w:val="20"/>
          <w:lang w:val="en-US"/>
        </w:rPr>
        <w:t xml:space="preserve"> on May 31, 2003,</w:t>
      </w:r>
      <w:r w:rsidR="005E5012" w:rsidRPr="00012C3F">
        <w:rPr>
          <w:sz w:val="20"/>
          <w:szCs w:val="20"/>
          <w:lang w:val="en-US"/>
        </w:rPr>
        <w:t xml:space="preserve"> and </w:t>
      </w:r>
      <w:r w:rsidRPr="00012C3F">
        <w:rPr>
          <w:sz w:val="20"/>
          <w:szCs w:val="20"/>
          <w:lang w:val="en-US"/>
        </w:rPr>
        <w:t xml:space="preserve">a date was set for the hearing of the oral </w:t>
      </w:r>
      <w:r w:rsidR="000E0704" w:rsidRPr="00012C3F">
        <w:rPr>
          <w:sz w:val="20"/>
          <w:szCs w:val="20"/>
          <w:lang w:val="en-US"/>
        </w:rPr>
        <w:t>proceeding</w:t>
      </w:r>
      <w:r w:rsidRPr="00012C3F">
        <w:rPr>
          <w:sz w:val="20"/>
          <w:szCs w:val="20"/>
          <w:lang w:val="en-US"/>
        </w:rPr>
        <w:t xml:space="preserve"> and for the </w:t>
      </w:r>
      <w:r w:rsidR="00B257AF" w:rsidRPr="00012C3F">
        <w:rPr>
          <w:sz w:val="20"/>
          <w:szCs w:val="20"/>
          <w:lang w:val="en-US"/>
        </w:rPr>
        <w:t>public hearing</w:t>
      </w:r>
      <w:r w:rsidR="007A1A14" w:rsidRPr="00012C3F">
        <w:rPr>
          <w:sz w:val="20"/>
          <w:szCs w:val="20"/>
          <w:lang w:val="en-US"/>
        </w:rPr>
        <w:t xml:space="preserve"> </w:t>
      </w:r>
      <w:r w:rsidRPr="00012C3F">
        <w:rPr>
          <w:sz w:val="20"/>
          <w:szCs w:val="20"/>
          <w:lang w:val="en-US"/>
        </w:rPr>
        <w:t>to draw lots for lay judges.</w:t>
      </w:r>
      <w:r w:rsidR="007A1A14" w:rsidRPr="00012C3F">
        <w:rPr>
          <w:rStyle w:val="Refdenotaalpie"/>
          <w:sz w:val="20"/>
          <w:szCs w:val="20"/>
          <w:lang w:val="en-US"/>
        </w:rPr>
        <w:footnoteReference w:id="108"/>
      </w:r>
    </w:p>
    <w:p w14:paraId="073895E4" w14:textId="77777777" w:rsidR="007A1A14" w:rsidRPr="00012C3F" w:rsidRDefault="007A1A14" w:rsidP="00E37D44">
      <w:pPr>
        <w:tabs>
          <w:tab w:val="left" w:pos="720"/>
        </w:tabs>
        <w:spacing w:line="240" w:lineRule="auto"/>
        <w:rPr>
          <w:sz w:val="20"/>
          <w:szCs w:val="20"/>
          <w:lang w:val="en-US"/>
        </w:rPr>
      </w:pPr>
    </w:p>
    <w:p w14:paraId="20DAF783" w14:textId="77777777" w:rsidR="007A1A14" w:rsidRPr="00012C3F" w:rsidRDefault="00660869" w:rsidP="0066086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July 15,</w:t>
      </w:r>
      <w:r w:rsidR="007A1A14" w:rsidRPr="00012C3F">
        <w:rPr>
          <w:sz w:val="20"/>
          <w:szCs w:val="20"/>
          <w:lang w:val="en-US"/>
        </w:rPr>
        <w:t xml:space="preserve"> 2003</w:t>
      </w:r>
      <w:r w:rsidRPr="00012C3F">
        <w:rPr>
          <w:sz w:val="20"/>
          <w:szCs w:val="20"/>
          <w:lang w:val="en-US"/>
        </w:rPr>
        <w:t>,</w:t>
      </w:r>
      <w:r w:rsidR="007A1A14" w:rsidRPr="00012C3F">
        <w:rPr>
          <w:sz w:val="20"/>
          <w:szCs w:val="20"/>
          <w:lang w:val="en-US"/>
        </w:rPr>
        <w:t xml:space="preserve"> </w:t>
      </w:r>
      <w:r w:rsidRPr="00012C3F">
        <w:rPr>
          <w:sz w:val="20"/>
          <w:szCs w:val="20"/>
          <w:lang w:val="en-US"/>
        </w:rPr>
        <w:t>a</w:t>
      </w:r>
      <w:r w:rsidR="007A1A14" w:rsidRPr="00012C3F">
        <w:rPr>
          <w:sz w:val="20"/>
          <w:szCs w:val="20"/>
          <w:lang w:val="en-US"/>
        </w:rPr>
        <w:t xml:space="preserve"> </w:t>
      </w:r>
      <w:r w:rsidR="00822B95" w:rsidRPr="00012C3F">
        <w:rPr>
          <w:sz w:val="20"/>
          <w:szCs w:val="20"/>
          <w:lang w:val="en-US"/>
        </w:rPr>
        <w:t xml:space="preserve">special </w:t>
      </w:r>
      <w:r w:rsidR="00B257AF" w:rsidRPr="00012C3F">
        <w:rPr>
          <w:sz w:val="20"/>
          <w:szCs w:val="20"/>
          <w:lang w:val="en-US"/>
        </w:rPr>
        <w:t>public hearing</w:t>
      </w:r>
      <w:r w:rsidR="007A1A14" w:rsidRPr="00012C3F">
        <w:rPr>
          <w:sz w:val="20"/>
          <w:szCs w:val="20"/>
          <w:lang w:val="en-US"/>
        </w:rPr>
        <w:t xml:space="preserve"> </w:t>
      </w:r>
      <w:r w:rsidRPr="00012C3F">
        <w:rPr>
          <w:sz w:val="20"/>
          <w:szCs w:val="20"/>
          <w:lang w:val="en-US"/>
        </w:rPr>
        <w:t xml:space="preserve">was held </w:t>
      </w:r>
      <w:r w:rsidR="00822B95" w:rsidRPr="00012C3F">
        <w:rPr>
          <w:sz w:val="20"/>
          <w:szCs w:val="20"/>
          <w:lang w:val="en-US"/>
        </w:rPr>
        <w:t>to constitute the</w:t>
      </w:r>
      <w:r w:rsidRPr="00012C3F">
        <w:rPr>
          <w:sz w:val="20"/>
          <w:szCs w:val="20"/>
          <w:lang w:val="en-US"/>
        </w:rPr>
        <w:t xml:space="preserve"> court before the </w:t>
      </w:r>
      <w:r w:rsidR="00822B95" w:rsidRPr="00012C3F">
        <w:rPr>
          <w:sz w:val="20"/>
          <w:szCs w:val="20"/>
          <w:lang w:val="en-US"/>
        </w:rPr>
        <w:t xml:space="preserve">El Alto </w:t>
      </w:r>
      <w:r w:rsidR="00800C58" w:rsidRPr="00012C3F">
        <w:rPr>
          <w:sz w:val="20"/>
          <w:szCs w:val="20"/>
          <w:lang w:val="en-US"/>
        </w:rPr>
        <w:t xml:space="preserve">Second </w:t>
      </w:r>
      <w:r w:rsidR="001A5E4F" w:rsidRPr="00012C3F">
        <w:rPr>
          <w:sz w:val="20"/>
          <w:szCs w:val="20"/>
          <w:lang w:val="en-US"/>
        </w:rPr>
        <w:t>Trial Court</w:t>
      </w:r>
      <w:r w:rsidR="00822B95" w:rsidRPr="00012C3F">
        <w:rPr>
          <w:sz w:val="20"/>
          <w:szCs w:val="20"/>
          <w:lang w:val="en-US"/>
        </w:rPr>
        <w:t>. At the hearing it was reported</w:t>
      </w:r>
      <w:r w:rsidR="007A1A14" w:rsidRPr="00012C3F">
        <w:rPr>
          <w:sz w:val="20"/>
          <w:szCs w:val="20"/>
          <w:lang w:val="en-US"/>
        </w:rPr>
        <w:t xml:space="preserve"> </w:t>
      </w:r>
      <w:r w:rsidRPr="00012C3F">
        <w:rPr>
          <w:sz w:val="20"/>
          <w:szCs w:val="20"/>
          <w:lang w:val="en-US"/>
        </w:rPr>
        <w:t xml:space="preserve">that none of the citizens whose names had been drawn had been </w:t>
      </w:r>
      <w:r w:rsidR="00822B95" w:rsidRPr="00012C3F">
        <w:rPr>
          <w:sz w:val="20"/>
          <w:szCs w:val="20"/>
          <w:lang w:val="en-US"/>
        </w:rPr>
        <w:t>notified</w:t>
      </w:r>
      <w:r w:rsidRPr="00012C3F">
        <w:rPr>
          <w:sz w:val="20"/>
          <w:szCs w:val="20"/>
          <w:lang w:val="en-US"/>
        </w:rPr>
        <w:t>, because they had not been located at their registered addresse</w:t>
      </w:r>
      <w:r w:rsidR="00822B95" w:rsidRPr="00012C3F">
        <w:rPr>
          <w:sz w:val="20"/>
          <w:szCs w:val="20"/>
          <w:lang w:val="en-US"/>
        </w:rPr>
        <w:t>s</w:t>
      </w:r>
      <w:r w:rsidRPr="00012C3F">
        <w:rPr>
          <w:sz w:val="20"/>
          <w:szCs w:val="20"/>
          <w:lang w:val="en-US"/>
        </w:rPr>
        <w:t>. Consequently, the Court decided to re</w:t>
      </w:r>
      <w:r w:rsidR="00822B95" w:rsidRPr="00012C3F">
        <w:rPr>
          <w:sz w:val="20"/>
          <w:szCs w:val="20"/>
          <w:lang w:val="en-US"/>
        </w:rPr>
        <w:t>fer</w:t>
      </w:r>
      <w:r w:rsidRPr="00012C3F">
        <w:rPr>
          <w:sz w:val="20"/>
          <w:szCs w:val="20"/>
          <w:lang w:val="en-US"/>
        </w:rPr>
        <w:t xml:space="preserve"> the case to the nearest judicial district, corresponding to </w:t>
      </w:r>
      <w:r w:rsidR="00822B95" w:rsidRPr="00012C3F">
        <w:rPr>
          <w:sz w:val="20"/>
          <w:szCs w:val="20"/>
          <w:lang w:val="en-US"/>
        </w:rPr>
        <w:t xml:space="preserve">the town of </w:t>
      </w:r>
      <w:r w:rsidR="007A1A14" w:rsidRPr="00012C3F">
        <w:rPr>
          <w:sz w:val="20"/>
          <w:szCs w:val="20"/>
          <w:lang w:val="en-US"/>
        </w:rPr>
        <w:t>Achacachi</w:t>
      </w:r>
      <w:r w:rsidRPr="00012C3F">
        <w:rPr>
          <w:sz w:val="20"/>
          <w:szCs w:val="20"/>
          <w:lang w:val="en-US"/>
        </w:rPr>
        <w:t>.</w:t>
      </w:r>
      <w:r w:rsidR="007A1A14" w:rsidRPr="00012C3F">
        <w:rPr>
          <w:rStyle w:val="Refdenotaalpie"/>
          <w:sz w:val="20"/>
          <w:szCs w:val="20"/>
          <w:lang w:val="en-US"/>
        </w:rPr>
        <w:footnoteReference w:id="109"/>
      </w:r>
    </w:p>
    <w:p w14:paraId="0B563276" w14:textId="77777777" w:rsidR="007A1A14" w:rsidRPr="00012C3F" w:rsidRDefault="007A1A14" w:rsidP="00E37D44">
      <w:pPr>
        <w:tabs>
          <w:tab w:val="left" w:pos="720"/>
        </w:tabs>
        <w:spacing w:line="240" w:lineRule="auto"/>
        <w:rPr>
          <w:sz w:val="20"/>
          <w:szCs w:val="20"/>
          <w:lang w:val="en-US"/>
        </w:rPr>
      </w:pPr>
    </w:p>
    <w:p w14:paraId="04DA927E" w14:textId="77777777" w:rsidR="007A1A14" w:rsidRPr="00012C3F" w:rsidRDefault="00660869" w:rsidP="00E37D4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February 16,</w:t>
      </w:r>
      <w:r w:rsidR="007A1A14" w:rsidRPr="00012C3F">
        <w:rPr>
          <w:sz w:val="20"/>
          <w:szCs w:val="20"/>
          <w:lang w:val="en-US"/>
        </w:rPr>
        <w:t xml:space="preserve"> 2004</w:t>
      </w:r>
      <w:r w:rsidRPr="00012C3F">
        <w:rPr>
          <w:sz w:val="20"/>
          <w:szCs w:val="20"/>
          <w:lang w:val="en-US"/>
        </w:rPr>
        <w:t>,</w:t>
      </w:r>
      <w:r w:rsidR="007A1A14" w:rsidRPr="00012C3F">
        <w:rPr>
          <w:sz w:val="20"/>
          <w:szCs w:val="20"/>
          <w:lang w:val="en-US"/>
        </w:rPr>
        <w:t xml:space="preserve"> </w:t>
      </w:r>
      <w:r w:rsidRPr="00012C3F">
        <w:rPr>
          <w:sz w:val="20"/>
          <w:szCs w:val="20"/>
          <w:lang w:val="en-US"/>
        </w:rPr>
        <w:t>a</w:t>
      </w:r>
      <w:r w:rsidR="007A1A14" w:rsidRPr="00012C3F">
        <w:rPr>
          <w:sz w:val="20"/>
          <w:szCs w:val="20"/>
          <w:lang w:val="en-US"/>
        </w:rPr>
        <w:t xml:space="preserve"> </w:t>
      </w:r>
      <w:r w:rsidR="00B257AF" w:rsidRPr="00012C3F">
        <w:rPr>
          <w:sz w:val="20"/>
          <w:szCs w:val="20"/>
          <w:lang w:val="en-US"/>
        </w:rPr>
        <w:t>public hearing</w:t>
      </w:r>
      <w:r w:rsidR="007A1A14" w:rsidRPr="00012C3F">
        <w:rPr>
          <w:sz w:val="20"/>
          <w:szCs w:val="20"/>
          <w:lang w:val="en-US"/>
        </w:rPr>
        <w:t xml:space="preserve"> </w:t>
      </w:r>
      <w:r w:rsidRPr="00012C3F">
        <w:rPr>
          <w:sz w:val="20"/>
          <w:szCs w:val="20"/>
          <w:lang w:val="en-US"/>
        </w:rPr>
        <w:t xml:space="preserve">was held to constitute a court before the </w:t>
      </w:r>
      <w:r w:rsidR="007A1A14" w:rsidRPr="00012C3F">
        <w:rPr>
          <w:sz w:val="20"/>
          <w:szCs w:val="20"/>
          <w:lang w:val="en-US"/>
        </w:rPr>
        <w:t>Achacachi</w:t>
      </w:r>
      <w:r w:rsidR="00822B95" w:rsidRPr="00012C3F">
        <w:rPr>
          <w:sz w:val="20"/>
          <w:szCs w:val="20"/>
          <w:lang w:val="en-US"/>
        </w:rPr>
        <w:t xml:space="preserve"> Trial Court</w:t>
      </w:r>
      <w:r w:rsidR="007A1A14" w:rsidRPr="00012C3F">
        <w:rPr>
          <w:sz w:val="20"/>
          <w:szCs w:val="20"/>
          <w:lang w:val="en-US"/>
        </w:rPr>
        <w:t xml:space="preserve">, </w:t>
      </w:r>
      <w:r w:rsidRPr="00012C3F">
        <w:rPr>
          <w:sz w:val="20"/>
          <w:szCs w:val="20"/>
          <w:lang w:val="en-US"/>
        </w:rPr>
        <w:t xml:space="preserve">which determined, having held the hearing and being unable to constitute a court with lay judges, to </w:t>
      </w:r>
      <w:r w:rsidR="00822B95" w:rsidRPr="00012C3F">
        <w:rPr>
          <w:sz w:val="20"/>
          <w:szCs w:val="20"/>
          <w:lang w:val="en-US"/>
        </w:rPr>
        <w:t>remit</w:t>
      </w:r>
      <w:r w:rsidRPr="00012C3F">
        <w:rPr>
          <w:sz w:val="20"/>
          <w:szCs w:val="20"/>
          <w:lang w:val="en-US"/>
        </w:rPr>
        <w:t xml:space="preserve"> the proceedings to the nearest judicial district, which corresponded to </w:t>
      </w:r>
      <w:r w:rsidR="007A1A14" w:rsidRPr="00012C3F">
        <w:rPr>
          <w:sz w:val="20"/>
          <w:szCs w:val="20"/>
          <w:lang w:val="en-US"/>
        </w:rPr>
        <w:t>Copacabana</w:t>
      </w:r>
      <w:r w:rsidRPr="00012C3F">
        <w:rPr>
          <w:sz w:val="20"/>
          <w:szCs w:val="20"/>
          <w:lang w:val="en-US"/>
        </w:rPr>
        <w:t>.</w:t>
      </w:r>
      <w:r w:rsidR="007A1A14" w:rsidRPr="00012C3F">
        <w:rPr>
          <w:rStyle w:val="Refdenotaalpie"/>
          <w:sz w:val="20"/>
          <w:szCs w:val="20"/>
          <w:lang w:val="en-US"/>
        </w:rPr>
        <w:footnoteReference w:id="110"/>
      </w:r>
      <w:r w:rsidRPr="00012C3F">
        <w:rPr>
          <w:sz w:val="20"/>
          <w:szCs w:val="20"/>
          <w:lang w:val="en-US"/>
        </w:rPr>
        <w:t xml:space="preserve"> The case was forwarded to that court on February 19, </w:t>
      </w:r>
      <w:r w:rsidR="007A1A14" w:rsidRPr="00012C3F">
        <w:rPr>
          <w:sz w:val="20"/>
          <w:szCs w:val="20"/>
          <w:lang w:val="en-US"/>
        </w:rPr>
        <w:t>2004</w:t>
      </w:r>
      <w:r w:rsidRPr="00012C3F">
        <w:rPr>
          <w:sz w:val="20"/>
          <w:szCs w:val="20"/>
          <w:lang w:val="en-US"/>
        </w:rPr>
        <w:t>.</w:t>
      </w:r>
      <w:r w:rsidR="007A1A14" w:rsidRPr="00012C3F">
        <w:rPr>
          <w:rStyle w:val="Refdenotaalpie"/>
          <w:sz w:val="20"/>
          <w:szCs w:val="20"/>
          <w:lang w:val="en-US"/>
        </w:rPr>
        <w:footnoteReference w:id="111"/>
      </w:r>
      <w:r w:rsidR="007A1A14" w:rsidRPr="00012C3F">
        <w:rPr>
          <w:sz w:val="20"/>
          <w:szCs w:val="20"/>
          <w:lang w:val="en-US"/>
        </w:rPr>
        <w:t xml:space="preserve"> </w:t>
      </w:r>
      <w:r w:rsidR="000E0704" w:rsidRPr="00012C3F">
        <w:rPr>
          <w:sz w:val="20"/>
          <w:szCs w:val="20"/>
          <w:lang w:val="en-US"/>
        </w:rPr>
        <w:t>On April</w:t>
      </w:r>
      <w:r w:rsidR="007A1A14" w:rsidRPr="00012C3F">
        <w:rPr>
          <w:sz w:val="20"/>
          <w:szCs w:val="20"/>
          <w:lang w:val="en-US"/>
        </w:rPr>
        <w:t xml:space="preserve"> 30</w:t>
      </w:r>
      <w:r w:rsidR="000E0704" w:rsidRPr="00012C3F">
        <w:rPr>
          <w:sz w:val="20"/>
          <w:szCs w:val="20"/>
          <w:lang w:val="en-US"/>
        </w:rPr>
        <w:t xml:space="preserve">, </w:t>
      </w:r>
      <w:r w:rsidR="007A1A14" w:rsidRPr="00012C3F">
        <w:rPr>
          <w:sz w:val="20"/>
          <w:szCs w:val="20"/>
          <w:lang w:val="en-US"/>
        </w:rPr>
        <w:t>2004</w:t>
      </w:r>
      <w:r w:rsidR="000E0704" w:rsidRPr="00012C3F">
        <w:rPr>
          <w:sz w:val="20"/>
          <w:szCs w:val="20"/>
          <w:lang w:val="en-US"/>
        </w:rPr>
        <w:t>, an order was issued to</w:t>
      </w:r>
      <w:r w:rsidR="00822B95" w:rsidRPr="00012C3F">
        <w:rPr>
          <w:sz w:val="20"/>
          <w:szCs w:val="20"/>
          <w:lang w:val="en-US"/>
        </w:rPr>
        <w:t xml:space="preserve"> admit</w:t>
      </w:r>
      <w:r w:rsidR="000E0704" w:rsidRPr="00012C3F">
        <w:rPr>
          <w:sz w:val="20"/>
          <w:szCs w:val="20"/>
          <w:lang w:val="en-US"/>
        </w:rPr>
        <w:t xml:space="preserve"> the </w:t>
      </w:r>
      <w:r w:rsidR="00822B95" w:rsidRPr="00012C3F">
        <w:rPr>
          <w:sz w:val="20"/>
          <w:szCs w:val="20"/>
          <w:lang w:val="en-US"/>
        </w:rPr>
        <w:t>case</w:t>
      </w:r>
      <w:r w:rsidR="000E0704" w:rsidRPr="00012C3F">
        <w:rPr>
          <w:sz w:val="20"/>
          <w:szCs w:val="20"/>
          <w:lang w:val="en-US"/>
        </w:rPr>
        <w:t>.</w:t>
      </w:r>
      <w:r w:rsidR="007A1A14" w:rsidRPr="00012C3F">
        <w:rPr>
          <w:rStyle w:val="Refdenotaalpie"/>
          <w:sz w:val="20"/>
          <w:szCs w:val="20"/>
          <w:lang w:val="en-US"/>
        </w:rPr>
        <w:footnoteReference w:id="112"/>
      </w:r>
    </w:p>
    <w:p w14:paraId="50329309" w14:textId="77777777" w:rsidR="007A1A14" w:rsidRPr="00012C3F" w:rsidRDefault="007A1A14" w:rsidP="007A1A14">
      <w:pPr>
        <w:spacing w:line="240" w:lineRule="auto"/>
        <w:rPr>
          <w:sz w:val="20"/>
          <w:szCs w:val="20"/>
          <w:lang w:val="en-US"/>
        </w:rPr>
      </w:pPr>
    </w:p>
    <w:p w14:paraId="3F3FA101" w14:textId="77777777" w:rsidR="007A1A14" w:rsidRPr="00012C3F" w:rsidRDefault="000E0704" w:rsidP="000E070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On August 13,</w:t>
      </w:r>
      <w:r w:rsidR="007A1A14" w:rsidRPr="00012C3F">
        <w:rPr>
          <w:sz w:val="20"/>
          <w:szCs w:val="20"/>
          <w:lang w:val="en-US"/>
        </w:rPr>
        <w:t xml:space="preserve"> 2004, </w:t>
      </w:r>
      <w:r w:rsidRPr="00012C3F">
        <w:rPr>
          <w:sz w:val="20"/>
          <w:szCs w:val="20"/>
          <w:lang w:val="en-US"/>
        </w:rPr>
        <w:t xml:space="preserve">following the oral proceeding, </w:t>
      </w:r>
      <w:r w:rsidR="00F63FF1" w:rsidRPr="00012C3F">
        <w:rPr>
          <w:sz w:val="20"/>
          <w:szCs w:val="20"/>
          <w:lang w:val="en-US"/>
        </w:rPr>
        <w:t xml:space="preserve">the Copacabana </w:t>
      </w:r>
      <w:r w:rsidR="001A5E4F" w:rsidRPr="00012C3F">
        <w:rPr>
          <w:sz w:val="20"/>
          <w:szCs w:val="20"/>
          <w:lang w:val="en-US"/>
        </w:rPr>
        <w:t>Trial Court</w:t>
      </w:r>
      <w:r w:rsidR="007A1A14" w:rsidRPr="00012C3F">
        <w:rPr>
          <w:sz w:val="20"/>
          <w:szCs w:val="20"/>
          <w:lang w:val="en-US"/>
        </w:rPr>
        <w:t xml:space="preserve"> </w:t>
      </w:r>
      <w:r w:rsidRPr="00012C3F">
        <w:rPr>
          <w:sz w:val="20"/>
          <w:szCs w:val="20"/>
          <w:lang w:val="en-US"/>
        </w:rPr>
        <w:t xml:space="preserve">composed of three lay judges and a technical judge delivered judgment. In this judgment it rejected the plea of </w:t>
      </w:r>
      <w:r w:rsidR="004A1602" w:rsidRPr="00012C3F">
        <w:rPr>
          <w:sz w:val="20"/>
          <w:szCs w:val="20"/>
          <w:lang w:val="en-US"/>
        </w:rPr>
        <w:t>unfounded proceedings</w:t>
      </w:r>
      <w:r w:rsidRPr="00012C3F">
        <w:rPr>
          <w:sz w:val="20"/>
          <w:szCs w:val="20"/>
          <w:lang w:val="en-US"/>
        </w:rPr>
        <w:t xml:space="preserve"> </w:t>
      </w:r>
      <w:r w:rsidR="007567C2" w:rsidRPr="00012C3F">
        <w:rPr>
          <w:sz w:val="20"/>
          <w:szCs w:val="20"/>
          <w:lang w:val="en-US"/>
        </w:rPr>
        <w:t>filed</w:t>
      </w:r>
      <w:r w:rsidRPr="00012C3F">
        <w:rPr>
          <w:sz w:val="20"/>
          <w:szCs w:val="20"/>
          <w:lang w:val="en-US"/>
        </w:rPr>
        <w:t xml:space="preserve"> by the defense and declared the instructing physician </w:t>
      </w:r>
      <w:r w:rsidR="002D178D" w:rsidRPr="00012C3F">
        <w:rPr>
          <w:sz w:val="20"/>
          <w:szCs w:val="20"/>
          <w:lang w:val="en-US"/>
        </w:rPr>
        <w:t>guilty</w:t>
      </w:r>
      <w:r w:rsidRPr="00012C3F">
        <w:rPr>
          <w:sz w:val="20"/>
          <w:szCs w:val="20"/>
          <w:lang w:val="en-US"/>
        </w:rPr>
        <w:t xml:space="preserve"> of the offense of </w:t>
      </w:r>
      <w:r w:rsidR="00822B95" w:rsidRPr="00012C3F">
        <w:rPr>
          <w:sz w:val="20"/>
          <w:szCs w:val="20"/>
          <w:lang w:val="en-US"/>
        </w:rPr>
        <w:t>negligent bodily harm (</w:t>
      </w:r>
      <w:r w:rsidR="00822B95" w:rsidRPr="00012C3F">
        <w:rPr>
          <w:i/>
          <w:iCs/>
          <w:sz w:val="20"/>
          <w:szCs w:val="20"/>
          <w:lang w:val="en-US"/>
        </w:rPr>
        <w:t>lesión culposa</w:t>
      </w:r>
      <w:r w:rsidR="00822B95" w:rsidRPr="00012C3F">
        <w:rPr>
          <w:sz w:val="20"/>
          <w:szCs w:val="20"/>
          <w:lang w:val="en-US"/>
        </w:rPr>
        <w:t>)</w:t>
      </w:r>
      <w:r w:rsidRPr="00012C3F">
        <w:rPr>
          <w:sz w:val="20"/>
          <w:szCs w:val="20"/>
          <w:lang w:val="en-US"/>
        </w:rPr>
        <w:t xml:space="preserve"> </w:t>
      </w:r>
      <w:r w:rsidR="002D178D" w:rsidRPr="00012C3F">
        <w:rPr>
          <w:sz w:val="20"/>
          <w:szCs w:val="20"/>
          <w:lang w:val="en-US"/>
        </w:rPr>
        <w:t>defined</w:t>
      </w:r>
      <w:r w:rsidRPr="00012C3F">
        <w:rPr>
          <w:sz w:val="20"/>
          <w:szCs w:val="20"/>
          <w:lang w:val="en-US"/>
        </w:rPr>
        <w:t xml:space="preserve"> in a</w:t>
      </w:r>
      <w:r w:rsidR="001254DE" w:rsidRPr="00012C3F">
        <w:rPr>
          <w:sz w:val="20"/>
          <w:szCs w:val="20"/>
          <w:lang w:val="en-US"/>
        </w:rPr>
        <w:t>rticle</w:t>
      </w:r>
      <w:r w:rsidR="007A1A14" w:rsidRPr="00012C3F">
        <w:rPr>
          <w:sz w:val="20"/>
          <w:szCs w:val="20"/>
          <w:lang w:val="en-US"/>
        </w:rPr>
        <w:t xml:space="preserve"> 274</w:t>
      </w:r>
      <w:r w:rsidR="00660869" w:rsidRPr="00012C3F">
        <w:rPr>
          <w:sz w:val="20"/>
          <w:szCs w:val="20"/>
          <w:lang w:val="en-US"/>
        </w:rPr>
        <w:t xml:space="preserve"> of the </w:t>
      </w:r>
      <w:r w:rsidR="00716C7D" w:rsidRPr="00012C3F">
        <w:rPr>
          <w:sz w:val="20"/>
          <w:szCs w:val="20"/>
          <w:lang w:val="en-US"/>
        </w:rPr>
        <w:t>Bolivian Criminal Code</w:t>
      </w:r>
      <w:r w:rsidR="007A1A14" w:rsidRPr="00012C3F">
        <w:rPr>
          <w:sz w:val="20"/>
          <w:szCs w:val="20"/>
          <w:lang w:val="en-US"/>
        </w:rPr>
        <w:t xml:space="preserve">, </w:t>
      </w:r>
      <w:r w:rsidR="002D178D" w:rsidRPr="00012C3F">
        <w:rPr>
          <w:sz w:val="20"/>
          <w:szCs w:val="20"/>
          <w:lang w:val="en-US"/>
        </w:rPr>
        <w:t xml:space="preserve">sentencing him to a fine of </w:t>
      </w:r>
      <w:r w:rsidR="00822B95" w:rsidRPr="00012C3F">
        <w:rPr>
          <w:sz w:val="20"/>
          <w:szCs w:val="20"/>
          <w:lang w:val="en-US"/>
        </w:rPr>
        <w:t>sixty-four thousand</w:t>
      </w:r>
      <w:r w:rsidR="002D178D" w:rsidRPr="00012C3F">
        <w:rPr>
          <w:sz w:val="20"/>
          <w:szCs w:val="20"/>
          <w:lang w:val="en-US"/>
        </w:rPr>
        <w:t xml:space="preserve"> </w:t>
      </w:r>
      <w:r w:rsidR="00822B95" w:rsidRPr="00012C3F">
        <w:rPr>
          <w:sz w:val="20"/>
          <w:szCs w:val="20"/>
          <w:lang w:val="en-US"/>
        </w:rPr>
        <w:t>b</w:t>
      </w:r>
      <w:r w:rsidR="002D178D" w:rsidRPr="00012C3F">
        <w:rPr>
          <w:sz w:val="20"/>
          <w:szCs w:val="20"/>
          <w:lang w:val="en-US"/>
        </w:rPr>
        <w:t>olivianos, plus costs in favor of the State, and reparation of the damage to I.V</w:t>
      </w:r>
      <w:r w:rsidR="000E1C11" w:rsidRPr="00012C3F">
        <w:rPr>
          <w:sz w:val="20"/>
          <w:szCs w:val="20"/>
          <w:lang w:val="en-US"/>
        </w:rPr>
        <w:t>.</w:t>
      </w:r>
      <w:r w:rsidR="007A1A14" w:rsidRPr="00012C3F">
        <w:rPr>
          <w:rStyle w:val="Refdenotaalpie"/>
          <w:sz w:val="20"/>
          <w:szCs w:val="20"/>
          <w:lang w:val="en-US"/>
        </w:rPr>
        <w:footnoteReference w:id="113"/>
      </w:r>
      <w:r w:rsidR="007A1A14" w:rsidRPr="00012C3F">
        <w:rPr>
          <w:sz w:val="20"/>
          <w:szCs w:val="20"/>
          <w:lang w:val="en-US"/>
        </w:rPr>
        <w:t xml:space="preserve"> </w:t>
      </w:r>
    </w:p>
    <w:p w14:paraId="071069F3" w14:textId="77777777" w:rsidR="007A1A14" w:rsidRPr="00012C3F" w:rsidRDefault="007A1A14" w:rsidP="000E0704">
      <w:pPr>
        <w:tabs>
          <w:tab w:val="left" w:pos="720"/>
        </w:tabs>
        <w:spacing w:line="240" w:lineRule="auto"/>
        <w:rPr>
          <w:sz w:val="20"/>
          <w:szCs w:val="20"/>
          <w:lang w:val="en-US"/>
        </w:rPr>
      </w:pPr>
    </w:p>
    <w:p w14:paraId="1BBD46CD" w14:textId="77777777" w:rsidR="007A1A14" w:rsidRPr="00012C3F" w:rsidRDefault="002D178D" w:rsidP="002D178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physician filed a “restricted appeal</w:t>
      </w:r>
      <w:r w:rsidR="008A1B7C" w:rsidRPr="00012C3F">
        <w:rPr>
          <w:sz w:val="20"/>
          <w:szCs w:val="20"/>
          <w:lang w:val="en-US"/>
        </w:rPr>
        <w:t>”</w:t>
      </w:r>
      <w:r w:rsidR="008A1B7C" w:rsidRPr="00012C3F">
        <w:rPr>
          <w:rStyle w:val="Refdenotaalpie"/>
          <w:sz w:val="20"/>
          <w:szCs w:val="20"/>
          <w:lang w:val="en-US"/>
        </w:rPr>
        <w:footnoteReference w:id="114"/>
      </w:r>
      <w:r w:rsidR="007A1A14" w:rsidRPr="00012C3F">
        <w:rPr>
          <w:sz w:val="20"/>
          <w:szCs w:val="20"/>
          <w:lang w:val="en-US"/>
        </w:rPr>
        <w:t xml:space="preserve"> </w:t>
      </w:r>
      <w:r w:rsidRPr="00012C3F">
        <w:rPr>
          <w:sz w:val="20"/>
          <w:szCs w:val="20"/>
          <w:lang w:val="en-US"/>
        </w:rPr>
        <w:t xml:space="preserve">against this sentence arguing, above all, the </w:t>
      </w:r>
      <w:r w:rsidR="004A1602" w:rsidRPr="00012C3F">
        <w:rPr>
          <w:sz w:val="20"/>
          <w:szCs w:val="20"/>
          <w:lang w:val="en-US"/>
        </w:rPr>
        <w:t>obj</w:t>
      </w:r>
      <w:r w:rsidRPr="00012C3F">
        <w:rPr>
          <w:sz w:val="20"/>
          <w:szCs w:val="20"/>
          <w:lang w:val="en-US"/>
        </w:rPr>
        <w:t>e</w:t>
      </w:r>
      <w:r w:rsidR="004A1602" w:rsidRPr="00012C3F">
        <w:rPr>
          <w:sz w:val="20"/>
          <w:szCs w:val="20"/>
          <w:lang w:val="en-US"/>
        </w:rPr>
        <w:t>c</w:t>
      </w:r>
      <w:r w:rsidRPr="00012C3F">
        <w:rPr>
          <w:sz w:val="20"/>
          <w:szCs w:val="20"/>
          <w:lang w:val="en-US"/>
        </w:rPr>
        <w:t xml:space="preserve">tion of </w:t>
      </w:r>
      <w:r w:rsidR="004A1602" w:rsidRPr="00012C3F">
        <w:rPr>
          <w:sz w:val="20"/>
          <w:szCs w:val="20"/>
          <w:lang w:val="en-US"/>
        </w:rPr>
        <w:t>unfounded proceedings</w:t>
      </w:r>
      <w:r w:rsidRPr="00012C3F">
        <w:rPr>
          <w:sz w:val="20"/>
          <w:szCs w:val="20"/>
          <w:lang w:val="en-US"/>
        </w:rPr>
        <w:t xml:space="preserve">, because the Public Prosecution Service should not have filed an action against him, </w:t>
      </w:r>
      <w:r w:rsidR="00822B95" w:rsidRPr="00012C3F">
        <w:rPr>
          <w:sz w:val="20"/>
          <w:szCs w:val="20"/>
          <w:lang w:val="en-US"/>
        </w:rPr>
        <w:t>since</w:t>
      </w:r>
      <w:r w:rsidRPr="00012C3F">
        <w:rPr>
          <w:sz w:val="20"/>
          <w:szCs w:val="20"/>
          <w:lang w:val="en-US"/>
        </w:rPr>
        <w:t>, as a medical professional, his actions were subject to specific rules and regulations.</w:t>
      </w:r>
      <w:r w:rsidR="007A1A14" w:rsidRPr="00012C3F">
        <w:rPr>
          <w:rStyle w:val="Refdenotaalpie"/>
          <w:sz w:val="20"/>
          <w:szCs w:val="20"/>
          <w:lang w:val="en-US"/>
        </w:rPr>
        <w:footnoteReference w:id="115"/>
      </w:r>
      <w:r w:rsidRPr="00012C3F">
        <w:rPr>
          <w:sz w:val="20"/>
          <w:szCs w:val="20"/>
          <w:lang w:val="en-US"/>
        </w:rPr>
        <w:t xml:space="preserve"> </w:t>
      </w:r>
      <w:r w:rsidR="007A1A14" w:rsidRPr="00012C3F">
        <w:rPr>
          <w:sz w:val="20"/>
          <w:szCs w:val="20"/>
          <w:lang w:val="en-US"/>
        </w:rPr>
        <w:t xml:space="preserve"> </w:t>
      </w:r>
      <w:r w:rsidRPr="00012C3F">
        <w:rPr>
          <w:sz w:val="20"/>
          <w:szCs w:val="20"/>
          <w:lang w:val="en-US"/>
        </w:rPr>
        <w:t>The Second Criminal Chamber</w:t>
      </w:r>
      <w:r w:rsidR="001254DE" w:rsidRPr="00012C3F">
        <w:rPr>
          <w:sz w:val="20"/>
          <w:szCs w:val="20"/>
          <w:lang w:val="en-US"/>
        </w:rPr>
        <w:t xml:space="preserve"> of the </w:t>
      </w:r>
      <w:r w:rsidR="00280806" w:rsidRPr="00012C3F">
        <w:rPr>
          <w:sz w:val="20"/>
          <w:szCs w:val="20"/>
          <w:lang w:val="en-US"/>
        </w:rPr>
        <w:t>La Paz Superior Court of Justice</w:t>
      </w:r>
      <w:r w:rsidR="004D4E43" w:rsidRPr="00012C3F">
        <w:rPr>
          <w:sz w:val="20"/>
          <w:szCs w:val="20"/>
          <w:lang w:val="en-US"/>
        </w:rPr>
        <w:t xml:space="preserve"> </w:t>
      </w:r>
      <w:r w:rsidRPr="00012C3F">
        <w:rPr>
          <w:sz w:val="20"/>
          <w:szCs w:val="20"/>
          <w:lang w:val="en-US"/>
        </w:rPr>
        <w:t>required that the formal defects and omissions noted in the appeal be rectified.</w:t>
      </w:r>
      <w:r w:rsidR="007A1A14" w:rsidRPr="00012C3F">
        <w:rPr>
          <w:rStyle w:val="Refdenotaalpie"/>
          <w:sz w:val="20"/>
          <w:szCs w:val="20"/>
          <w:lang w:val="en-US"/>
        </w:rPr>
        <w:footnoteReference w:id="116"/>
      </w:r>
      <w:r w:rsidRPr="00012C3F">
        <w:rPr>
          <w:sz w:val="20"/>
          <w:szCs w:val="20"/>
          <w:lang w:val="en-US"/>
        </w:rPr>
        <w:t xml:space="preserve"> Meanwhile, in response to the restricted appeal,</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Pr="00012C3F">
        <w:rPr>
          <w:sz w:val="20"/>
          <w:szCs w:val="20"/>
          <w:lang w:val="en-US"/>
        </w:rPr>
        <w:t xml:space="preserve">asked the Court to confirm the judgment </w:t>
      </w:r>
      <w:r w:rsidR="004A1602" w:rsidRPr="00012C3F">
        <w:rPr>
          <w:sz w:val="20"/>
          <w:szCs w:val="20"/>
          <w:lang w:val="en-US"/>
        </w:rPr>
        <w:t xml:space="preserve">that had been </w:t>
      </w:r>
      <w:r w:rsidRPr="00012C3F">
        <w:rPr>
          <w:sz w:val="20"/>
          <w:szCs w:val="20"/>
          <w:lang w:val="en-US"/>
        </w:rPr>
        <w:t xml:space="preserve">delivered and argued that “the main purpose [of the appeal was] to gain time so that in February </w:t>
      </w:r>
      <w:r w:rsidR="007A1A14" w:rsidRPr="00012C3F">
        <w:rPr>
          <w:sz w:val="20"/>
          <w:szCs w:val="20"/>
          <w:lang w:val="en-US"/>
        </w:rPr>
        <w:t xml:space="preserve">[2005] </w:t>
      </w:r>
      <w:r w:rsidRPr="00012C3F">
        <w:rPr>
          <w:sz w:val="20"/>
          <w:szCs w:val="20"/>
          <w:lang w:val="en-US"/>
        </w:rPr>
        <w:t>the criminal action would extinguish.</w:t>
      </w:r>
      <w:r w:rsidR="007A1A14" w:rsidRPr="00012C3F">
        <w:rPr>
          <w:sz w:val="20"/>
          <w:szCs w:val="20"/>
          <w:lang w:val="en-US"/>
        </w:rPr>
        <w:t>”</w:t>
      </w:r>
      <w:r w:rsidR="007A1A14" w:rsidRPr="00012C3F">
        <w:rPr>
          <w:rStyle w:val="Refdenotaalpie"/>
          <w:sz w:val="20"/>
          <w:szCs w:val="20"/>
          <w:lang w:val="en-US"/>
        </w:rPr>
        <w:footnoteReference w:id="117"/>
      </w:r>
    </w:p>
    <w:p w14:paraId="4751F0CD" w14:textId="77777777" w:rsidR="007A1A14" w:rsidRPr="00012C3F" w:rsidRDefault="007A1A14" w:rsidP="000E0704">
      <w:pPr>
        <w:tabs>
          <w:tab w:val="left" w:pos="720"/>
        </w:tabs>
        <w:spacing w:line="240" w:lineRule="auto"/>
        <w:rPr>
          <w:sz w:val="20"/>
          <w:szCs w:val="20"/>
          <w:lang w:val="en-US"/>
        </w:rPr>
      </w:pPr>
    </w:p>
    <w:p w14:paraId="2D8FC982" w14:textId="77777777" w:rsidR="007A1A14" w:rsidRPr="00012C3F" w:rsidRDefault="002D178D" w:rsidP="000E070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appeal was decided by the Second Criminal Chamber</w:t>
      </w:r>
      <w:r w:rsidR="001254DE" w:rsidRPr="00012C3F">
        <w:rPr>
          <w:sz w:val="20"/>
          <w:szCs w:val="20"/>
          <w:lang w:val="en-US"/>
        </w:rPr>
        <w:t xml:space="preserve"> of the </w:t>
      </w:r>
      <w:r w:rsidR="00280806" w:rsidRPr="00012C3F">
        <w:rPr>
          <w:sz w:val="20"/>
          <w:szCs w:val="20"/>
          <w:lang w:val="en-US"/>
        </w:rPr>
        <w:t>La Paz Superior Court of Justice</w:t>
      </w:r>
      <w:r w:rsidR="007A1A14" w:rsidRPr="00012C3F">
        <w:rPr>
          <w:sz w:val="20"/>
          <w:szCs w:val="20"/>
          <w:lang w:val="en-US"/>
        </w:rPr>
        <w:t xml:space="preserve"> </w:t>
      </w:r>
      <w:r w:rsidRPr="00012C3F">
        <w:rPr>
          <w:sz w:val="20"/>
          <w:szCs w:val="20"/>
          <w:lang w:val="en-US"/>
        </w:rPr>
        <w:t>on October 22,</w:t>
      </w:r>
      <w:r w:rsidR="007A1A14" w:rsidRPr="00012C3F">
        <w:rPr>
          <w:sz w:val="20"/>
          <w:szCs w:val="20"/>
          <w:lang w:val="en-US"/>
        </w:rPr>
        <w:t xml:space="preserve"> 2004</w:t>
      </w:r>
      <w:r w:rsidRPr="00012C3F">
        <w:rPr>
          <w:sz w:val="20"/>
          <w:szCs w:val="20"/>
          <w:lang w:val="en-US"/>
        </w:rPr>
        <w:t>.</w:t>
      </w:r>
      <w:r w:rsidR="007A1A14" w:rsidRPr="00012C3F">
        <w:rPr>
          <w:rStyle w:val="Refdenotaalpie"/>
          <w:sz w:val="20"/>
          <w:szCs w:val="20"/>
          <w:lang w:val="en-US"/>
        </w:rPr>
        <w:footnoteReference w:id="118"/>
      </w:r>
      <w:r w:rsidRPr="00012C3F">
        <w:rPr>
          <w:sz w:val="20"/>
          <w:szCs w:val="20"/>
          <w:lang w:val="en-US"/>
        </w:rPr>
        <w:t xml:space="preserve"> The Chamber annulle</w:t>
      </w:r>
      <w:r w:rsidR="004A1602" w:rsidRPr="00012C3F">
        <w:rPr>
          <w:sz w:val="20"/>
          <w:szCs w:val="20"/>
          <w:lang w:val="en-US"/>
        </w:rPr>
        <w:t xml:space="preserve">d </w:t>
      </w:r>
      <w:r w:rsidRPr="00012C3F">
        <w:rPr>
          <w:sz w:val="20"/>
          <w:szCs w:val="20"/>
          <w:lang w:val="en-US"/>
        </w:rPr>
        <w:t>the</w:t>
      </w:r>
      <w:r w:rsidR="004A1602" w:rsidRPr="00012C3F">
        <w:rPr>
          <w:sz w:val="20"/>
          <w:szCs w:val="20"/>
          <w:lang w:val="en-US"/>
        </w:rPr>
        <w:t xml:space="preserve"> appealed</w:t>
      </w:r>
      <w:r w:rsidRPr="00012C3F">
        <w:rPr>
          <w:sz w:val="20"/>
          <w:szCs w:val="20"/>
          <w:lang w:val="en-US"/>
        </w:rPr>
        <w:t xml:space="preserve"> judgment in its entirety and ordered that the </w:t>
      </w:r>
      <w:r w:rsidR="004A1602" w:rsidRPr="00012C3F">
        <w:rPr>
          <w:sz w:val="20"/>
          <w:szCs w:val="20"/>
          <w:lang w:val="en-US"/>
        </w:rPr>
        <w:t>case</w:t>
      </w:r>
      <w:r w:rsidRPr="00012C3F">
        <w:rPr>
          <w:sz w:val="20"/>
          <w:szCs w:val="20"/>
          <w:lang w:val="en-US"/>
        </w:rPr>
        <w:t xml:space="preserve"> be heard by another court. As grounds for this decision, the Chamber considered that the appealed judgment had not complied fully with the legal provisions regulating the formal requirements and t</w:t>
      </w:r>
      <w:r w:rsidR="004A1602" w:rsidRPr="00012C3F">
        <w:rPr>
          <w:sz w:val="20"/>
          <w:szCs w:val="20"/>
          <w:lang w:val="en-US"/>
        </w:rPr>
        <w:t xml:space="preserve">he </w:t>
      </w:r>
      <w:r w:rsidR="00665CDA" w:rsidRPr="00012C3F">
        <w:rPr>
          <w:sz w:val="20"/>
          <w:szCs w:val="20"/>
          <w:lang w:val="en-US"/>
        </w:rPr>
        <w:t>substantiation of</w:t>
      </w:r>
      <w:r w:rsidRPr="00012C3F">
        <w:rPr>
          <w:sz w:val="20"/>
          <w:szCs w:val="20"/>
          <w:lang w:val="en-US"/>
        </w:rPr>
        <w:t xml:space="preserve"> the judgment.</w:t>
      </w:r>
      <w:r w:rsidR="007A1A14" w:rsidRPr="00012C3F">
        <w:rPr>
          <w:rStyle w:val="Refdenotaalpie"/>
          <w:sz w:val="20"/>
          <w:szCs w:val="20"/>
          <w:lang w:val="en-US"/>
        </w:rPr>
        <w:footnoteReference w:id="119"/>
      </w:r>
    </w:p>
    <w:p w14:paraId="00323C53" w14:textId="77777777" w:rsidR="007A1A14" w:rsidRPr="00012C3F" w:rsidRDefault="007A1A14" w:rsidP="000E0704">
      <w:pPr>
        <w:tabs>
          <w:tab w:val="left" w:pos="720"/>
        </w:tabs>
        <w:spacing w:line="240" w:lineRule="auto"/>
        <w:rPr>
          <w:sz w:val="20"/>
          <w:szCs w:val="20"/>
          <w:lang w:val="en-US"/>
        </w:rPr>
      </w:pPr>
    </w:p>
    <w:p w14:paraId="2240E331" w14:textId="77777777" w:rsidR="007A1A14" w:rsidRPr="00012C3F" w:rsidRDefault="000E1C11" w:rsidP="000E070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I.V.</w:t>
      </w:r>
      <w:r w:rsidR="007A1A14" w:rsidRPr="00012C3F">
        <w:rPr>
          <w:sz w:val="20"/>
          <w:szCs w:val="20"/>
          <w:lang w:val="en-US"/>
        </w:rPr>
        <w:t xml:space="preserve"> </w:t>
      </w:r>
      <w:r w:rsidR="002D178D" w:rsidRPr="00012C3F">
        <w:rPr>
          <w:sz w:val="20"/>
          <w:szCs w:val="20"/>
          <w:lang w:val="en-US"/>
        </w:rPr>
        <w:t>filed a cassation appeal against the said decision,</w:t>
      </w:r>
      <w:r w:rsidR="007A1A14" w:rsidRPr="00012C3F">
        <w:rPr>
          <w:rStyle w:val="Refdenotaalpie"/>
          <w:sz w:val="20"/>
          <w:szCs w:val="20"/>
          <w:lang w:val="en-US"/>
        </w:rPr>
        <w:footnoteReference w:id="120"/>
      </w:r>
      <w:r w:rsidR="002D178D" w:rsidRPr="00012C3F">
        <w:rPr>
          <w:sz w:val="20"/>
          <w:szCs w:val="20"/>
          <w:lang w:val="en-US"/>
        </w:rPr>
        <w:t xml:space="preserve"> which was declared inadmissible by the First Criminal Chamber</w:t>
      </w:r>
      <w:r w:rsidR="001254DE" w:rsidRPr="00012C3F">
        <w:rPr>
          <w:sz w:val="20"/>
          <w:szCs w:val="20"/>
          <w:lang w:val="en-US"/>
        </w:rPr>
        <w:t xml:space="preserve"> of the </w:t>
      </w:r>
      <w:r w:rsidR="000B00FB" w:rsidRPr="00012C3F">
        <w:rPr>
          <w:sz w:val="20"/>
          <w:szCs w:val="20"/>
          <w:lang w:val="en-US"/>
        </w:rPr>
        <w:t>Supreme Court of Justice</w:t>
      </w:r>
      <w:r w:rsidR="007A1A14" w:rsidRPr="00012C3F">
        <w:rPr>
          <w:sz w:val="20"/>
          <w:szCs w:val="20"/>
          <w:lang w:val="en-US"/>
        </w:rPr>
        <w:t xml:space="preserve"> </w:t>
      </w:r>
      <w:r w:rsidR="002D178D" w:rsidRPr="00012C3F">
        <w:rPr>
          <w:sz w:val="20"/>
          <w:szCs w:val="20"/>
          <w:lang w:val="en-US"/>
        </w:rPr>
        <w:t>on February 1,</w:t>
      </w:r>
      <w:r w:rsidR="007A1A14" w:rsidRPr="00012C3F">
        <w:rPr>
          <w:sz w:val="20"/>
          <w:szCs w:val="20"/>
          <w:lang w:val="en-US"/>
        </w:rPr>
        <w:t xml:space="preserve"> 2005, </w:t>
      </w:r>
      <w:r w:rsidR="002D178D" w:rsidRPr="00012C3F">
        <w:rPr>
          <w:sz w:val="20"/>
          <w:szCs w:val="20"/>
          <w:lang w:val="en-US"/>
        </w:rPr>
        <w:t xml:space="preserve">considering that, even though the appellant had forwarded the precedents that </w:t>
      </w:r>
      <w:r w:rsidR="004A1602" w:rsidRPr="00012C3F">
        <w:rPr>
          <w:sz w:val="20"/>
          <w:szCs w:val="20"/>
          <w:lang w:val="en-US"/>
        </w:rPr>
        <w:t>she had</w:t>
      </w:r>
      <w:r w:rsidR="002D178D" w:rsidRPr="00012C3F">
        <w:rPr>
          <w:sz w:val="20"/>
          <w:szCs w:val="20"/>
          <w:lang w:val="en-US"/>
        </w:rPr>
        <w:t xml:space="preserve"> cited as </w:t>
      </w:r>
      <w:r w:rsidR="004A1602" w:rsidRPr="00012C3F">
        <w:rPr>
          <w:sz w:val="20"/>
          <w:szCs w:val="20"/>
          <w:lang w:val="en-US"/>
        </w:rPr>
        <w:t xml:space="preserve">being </w:t>
      </w:r>
      <w:r w:rsidR="002D178D" w:rsidRPr="00012C3F">
        <w:rPr>
          <w:sz w:val="20"/>
          <w:szCs w:val="20"/>
          <w:lang w:val="en-US"/>
        </w:rPr>
        <w:t xml:space="preserve">contradictory, she had not “specifie[d] </w:t>
      </w:r>
      <w:r w:rsidR="004A1602" w:rsidRPr="00012C3F">
        <w:rPr>
          <w:sz w:val="20"/>
          <w:szCs w:val="20"/>
          <w:lang w:val="en-US"/>
        </w:rPr>
        <w:t xml:space="preserve">the </w:t>
      </w:r>
      <w:r w:rsidR="002D178D" w:rsidRPr="00012C3F">
        <w:rPr>
          <w:sz w:val="20"/>
          <w:szCs w:val="20"/>
          <w:lang w:val="en-US"/>
        </w:rPr>
        <w:t>simila</w:t>
      </w:r>
      <w:r w:rsidR="00D133E9" w:rsidRPr="00012C3F">
        <w:rPr>
          <w:sz w:val="20"/>
          <w:szCs w:val="20"/>
          <w:lang w:val="en-US"/>
        </w:rPr>
        <w:t>r</w:t>
      </w:r>
      <w:r w:rsidR="002D178D" w:rsidRPr="00012C3F">
        <w:rPr>
          <w:sz w:val="20"/>
          <w:szCs w:val="20"/>
          <w:lang w:val="en-US"/>
        </w:rPr>
        <w:t xml:space="preserve"> facts, or explain[ed] clearly the contradictory </w:t>
      </w:r>
      <w:r w:rsidR="00D133E9" w:rsidRPr="00012C3F">
        <w:rPr>
          <w:sz w:val="20"/>
          <w:szCs w:val="20"/>
          <w:lang w:val="en-US"/>
        </w:rPr>
        <w:t>legal meaning between the</w:t>
      </w:r>
      <w:r w:rsidR="002D178D" w:rsidRPr="00012C3F">
        <w:rPr>
          <w:sz w:val="20"/>
          <w:szCs w:val="20"/>
          <w:lang w:val="en-US"/>
        </w:rPr>
        <w:t xml:space="preserve"> </w:t>
      </w:r>
      <w:r w:rsidR="00D133E9" w:rsidRPr="00012C3F">
        <w:rPr>
          <w:sz w:val="20"/>
          <w:szCs w:val="20"/>
          <w:lang w:val="en-US"/>
        </w:rPr>
        <w:t>contested</w:t>
      </w:r>
      <w:r w:rsidR="007A1A14" w:rsidRPr="00012C3F">
        <w:rPr>
          <w:sz w:val="20"/>
          <w:szCs w:val="20"/>
          <w:lang w:val="en-US"/>
        </w:rPr>
        <w:t xml:space="preserve"> </w:t>
      </w:r>
      <w:r w:rsidR="004A1602" w:rsidRPr="00012C3F">
        <w:rPr>
          <w:sz w:val="20"/>
          <w:szCs w:val="20"/>
          <w:lang w:val="en-US"/>
        </w:rPr>
        <w:t>judgment</w:t>
      </w:r>
      <w:r w:rsidR="00D133E9" w:rsidRPr="00012C3F">
        <w:rPr>
          <w:sz w:val="20"/>
          <w:szCs w:val="20"/>
          <w:lang w:val="en-US"/>
        </w:rPr>
        <w:t xml:space="preserve"> and the precedents</w:t>
      </w:r>
      <w:r w:rsidR="004A1602" w:rsidRPr="00012C3F">
        <w:rPr>
          <w:sz w:val="20"/>
          <w:szCs w:val="20"/>
          <w:lang w:val="en-US"/>
        </w:rPr>
        <w:t xml:space="preserve"> she ha[d]</w:t>
      </w:r>
      <w:r w:rsidR="00D133E9" w:rsidRPr="00012C3F">
        <w:rPr>
          <w:sz w:val="20"/>
          <w:szCs w:val="20"/>
          <w:lang w:val="en-US"/>
        </w:rPr>
        <w:t xml:space="preserve"> forwarded, thus failing to comply with basic requirements</w:t>
      </w:r>
      <w:r w:rsidR="007A1A14" w:rsidRPr="00012C3F">
        <w:rPr>
          <w:sz w:val="20"/>
          <w:szCs w:val="20"/>
          <w:lang w:val="en-US"/>
        </w:rPr>
        <w:t xml:space="preserve"> […]</w:t>
      </w:r>
      <w:r w:rsidR="00287C82" w:rsidRPr="00012C3F">
        <w:rPr>
          <w:sz w:val="20"/>
          <w:szCs w:val="20"/>
          <w:lang w:val="en-US"/>
        </w:rPr>
        <w:t>.</w:t>
      </w:r>
      <w:r w:rsidR="007A1A14" w:rsidRPr="00012C3F">
        <w:rPr>
          <w:sz w:val="20"/>
          <w:szCs w:val="20"/>
          <w:lang w:val="en-US"/>
        </w:rPr>
        <w:t>”</w:t>
      </w:r>
      <w:r w:rsidR="007A1A14" w:rsidRPr="00012C3F">
        <w:rPr>
          <w:rStyle w:val="Refdenotaalpie"/>
          <w:sz w:val="20"/>
          <w:szCs w:val="20"/>
          <w:lang w:val="en-US"/>
        </w:rPr>
        <w:footnoteReference w:id="121"/>
      </w:r>
    </w:p>
    <w:p w14:paraId="2E589AA2" w14:textId="77777777" w:rsidR="007A1A14" w:rsidRPr="00012C3F" w:rsidRDefault="007A1A14" w:rsidP="007A1A14">
      <w:pPr>
        <w:spacing w:line="240" w:lineRule="auto"/>
        <w:rPr>
          <w:sz w:val="20"/>
          <w:szCs w:val="20"/>
          <w:lang w:val="en-US"/>
        </w:rPr>
      </w:pPr>
    </w:p>
    <w:p w14:paraId="1830F3D3" w14:textId="77777777" w:rsidR="007A1A14" w:rsidRPr="00012C3F" w:rsidRDefault="007A1A14" w:rsidP="005D5050">
      <w:pPr>
        <w:pStyle w:val="Ttulo2"/>
        <w:tabs>
          <w:tab w:val="left" w:pos="1701"/>
        </w:tabs>
        <w:spacing w:before="0" w:line="240" w:lineRule="auto"/>
        <w:ind w:left="1134"/>
        <w:rPr>
          <w:rFonts w:ascii="Verdana" w:hAnsi="Verdana"/>
          <w:b w:val="0"/>
          <w:i/>
          <w:color w:val="auto"/>
          <w:sz w:val="20"/>
          <w:szCs w:val="20"/>
          <w:lang w:val="en-US"/>
        </w:rPr>
      </w:pPr>
      <w:bookmarkStart w:id="104" w:name="_Toc27486848"/>
      <w:r w:rsidRPr="00012C3F">
        <w:rPr>
          <w:rFonts w:ascii="Verdana" w:hAnsi="Verdana"/>
          <w:b w:val="0"/>
          <w:i/>
          <w:color w:val="auto"/>
          <w:sz w:val="20"/>
          <w:szCs w:val="20"/>
          <w:lang w:val="en-US"/>
        </w:rPr>
        <w:lastRenderedPageBreak/>
        <w:t xml:space="preserve">E.3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Third oral proceeding</w:t>
      </w:r>
      <w:bookmarkEnd w:id="104"/>
    </w:p>
    <w:p w14:paraId="29069742" w14:textId="77777777" w:rsidR="007A1A14" w:rsidRPr="00012C3F" w:rsidRDefault="007A1A14" w:rsidP="007A1A14">
      <w:pPr>
        <w:spacing w:line="240" w:lineRule="auto"/>
        <w:rPr>
          <w:sz w:val="20"/>
          <w:szCs w:val="20"/>
          <w:lang w:val="en-US"/>
        </w:rPr>
      </w:pPr>
    </w:p>
    <w:p w14:paraId="7CE57BE4" w14:textId="77777777" w:rsidR="007A1A14" w:rsidRPr="00012C3F" w:rsidRDefault="001254DE" w:rsidP="001A5E4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w:t>
      </w:r>
      <w:r w:rsidR="001A5E4F" w:rsidRPr="00012C3F">
        <w:rPr>
          <w:sz w:val="20"/>
          <w:szCs w:val="20"/>
          <w:lang w:val="en-US"/>
        </w:rPr>
        <w:t>Superior Court of Justice</w:t>
      </w:r>
      <w:r w:rsidR="007A1A14" w:rsidRPr="00012C3F">
        <w:rPr>
          <w:sz w:val="20"/>
          <w:szCs w:val="20"/>
          <w:lang w:val="en-US"/>
        </w:rPr>
        <w:t xml:space="preserve"> </w:t>
      </w:r>
      <w:r w:rsidR="001A5E4F" w:rsidRPr="00012C3F">
        <w:rPr>
          <w:sz w:val="20"/>
          <w:szCs w:val="20"/>
          <w:lang w:val="en-US"/>
        </w:rPr>
        <w:t>returned the case to</w:t>
      </w:r>
      <w:r w:rsidR="007A1A14" w:rsidRPr="00012C3F">
        <w:rPr>
          <w:sz w:val="20"/>
          <w:szCs w:val="20"/>
          <w:lang w:val="en-US"/>
        </w:rPr>
        <w:t xml:space="preserve"> </w:t>
      </w:r>
      <w:r w:rsidR="001A5E4F" w:rsidRPr="00012C3F">
        <w:rPr>
          <w:sz w:val="20"/>
          <w:szCs w:val="20"/>
          <w:lang w:val="en-US"/>
        </w:rPr>
        <w:t xml:space="preserve">the </w:t>
      </w:r>
      <w:r w:rsidR="007A1A14" w:rsidRPr="00012C3F">
        <w:rPr>
          <w:sz w:val="20"/>
          <w:szCs w:val="20"/>
          <w:lang w:val="en-US"/>
        </w:rPr>
        <w:t>Copacabana</w:t>
      </w:r>
      <w:r w:rsidR="001A5E4F" w:rsidRPr="00012C3F">
        <w:rPr>
          <w:sz w:val="20"/>
          <w:szCs w:val="20"/>
          <w:lang w:val="en-US"/>
        </w:rPr>
        <w:t xml:space="preserve"> Trial Court,</w:t>
      </w:r>
      <w:r w:rsidR="007A1A14" w:rsidRPr="00012C3F">
        <w:rPr>
          <w:rStyle w:val="Refdenotaalpie"/>
          <w:sz w:val="20"/>
          <w:szCs w:val="20"/>
          <w:lang w:val="en-US"/>
        </w:rPr>
        <w:footnoteReference w:id="122"/>
      </w:r>
      <w:r w:rsidR="001A5E4F" w:rsidRPr="00012C3F">
        <w:rPr>
          <w:sz w:val="20"/>
          <w:szCs w:val="20"/>
          <w:lang w:val="en-US"/>
        </w:rPr>
        <w:t xml:space="preserve"> which, in turn, </w:t>
      </w:r>
      <w:r w:rsidR="00665CDA" w:rsidRPr="00012C3F">
        <w:rPr>
          <w:sz w:val="20"/>
          <w:szCs w:val="20"/>
          <w:lang w:val="en-US"/>
        </w:rPr>
        <w:t>referred</w:t>
      </w:r>
      <w:r w:rsidR="001A5E4F" w:rsidRPr="00012C3F">
        <w:rPr>
          <w:sz w:val="20"/>
          <w:szCs w:val="20"/>
          <w:lang w:val="en-US"/>
        </w:rPr>
        <w:t xml:space="preserve"> the case to the Trial Court</w:t>
      </w:r>
      <w:r w:rsidRPr="00012C3F">
        <w:rPr>
          <w:sz w:val="20"/>
          <w:szCs w:val="20"/>
          <w:lang w:val="en-US"/>
        </w:rPr>
        <w:t xml:space="preserve"> of</w:t>
      </w:r>
      <w:r w:rsidR="007A1A14" w:rsidRPr="00012C3F">
        <w:rPr>
          <w:sz w:val="20"/>
          <w:szCs w:val="20"/>
          <w:lang w:val="en-US"/>
        </w:rPr>
        <w:t xml:space="preserve"> Sica Sica, </w:t>
      </w:r>
      <w:r w:rsidR="001A5E4F" w:rsidRPr="00012C3F">
        <w:rPr>
          <w:sz w:val="20"/>
          <w:szCs w:val="20"/>
          <w:lang w:val="en-US"/>
        </w:rPr>
        <w:t>province of</w:t>
      </w:r>
      <w:r w:rsidR="007A1A14" w:rsidRPr="00012C3F">
        <w:rPr>
          <w:sz w:val="20"/>
          <w:szCs w:val="20"/>
          <w:lang w:val="en-US"/>
        </w:rPr>
        <w:t xml:space="preserve"> Aroma, </w:t>
      </w:r>
      <w:r w:rsidR="001A5E4F" w:rsidRPr="00012C3F">
        <w:rPr>
          <w:sz w:val="20"/>
          <w:szCs w:val="20"/>
          <w:lang w:val="en-US"/>
        </w:rPr>
        <w:t>on August 2,</w:t>
      </w:r>
      <w:r w:rsidR="007A1A14" w:rsidRPr="00012C3F">
        <w:rPr>
          <w:sz w:val="20"/>
          <w:szCs w:val="20"/>
          <w:lang w:val="en-US"/>
        </w:rPr>
        <w:t xml:space="preserve"> 2005</w:t>
      </w:r>
      <w:r w:rsidR="001A5E4F" w:rsidRPr="00012C3F">
        <w:rPr>
          <w:sz w:val="20"/>
          <w:szCs w:val="20"/>
          <w:lang w:val="en-US"/>
        </w:rPr>
        <w:t>,</w:t>
      </w:r>
      <w:r w:rsidR="007A1A14" w:rsidRPr="00012C3F">
        <w:rPr>
          <w:rStyle w:val="Refdenotaalpie"/>
          <w:sz w:val="20"/>
          <w:szCs w:val="20"/>
          <w:lang w:val="en-US"/>
        </w:rPr>
        <w:footnoteReference w:id="123"/>
      </w:r>
      <w:r w:rsidR="007A1A14" w:rsidRPr="00012C3F">
        <w:rPr>
          <w:sz w:val="20"/>
          <w:szCs w:val="20"/>
          <w:lang w:val="en-US"/>
        </w:rPr>
        <w:t xml:space="preserve"> </w:t>
      </w:r>
      <w:r w:rsidR="001A5E4F" w:rsidRPr="00012C3F">
        <w:rPr>
          <w:sz w:val="20"/>
          <w:szCs w:val="20"/>
          <w:lang w:val="en-US"/>
        </w:rPr>
        <w:t xml:space="preserve">and the matter was admitted in this court on August 3, </w:t>
      </w:r>
      <w:r w:rsidR="007A1A14" w:rsidRPr="00012C3F">
        <w:rPr>
          <w:sz w:val="20"/>
          <w:szCs w:val="20"/>
          <w:lang w:val="en-US"/>
        </w:rPr>
        <w:t>2005</w:t>
      </w:r>
      <w:r w:rsidR="001A5E4F" w:rsidRPr="00012C3F">
        <w:rPr>
          <w:sz w:val="20"/>
          <w:szCs w:val="20"/>
          <w:lang w:val="en-US"/>
        </w:rPr>
        <w:t>,</w:t>
      </w:r>
      <w:r w:rsidR="007A1A14" w:rsidRPr="00012C3F">
        <w:rPr>
          <w:rStyle w:val="Refdenotaalpie"/>
          <w:sz w:val="20"/>
          <w:szCs w:val="20"/>
          <w:lang w:val="en-US"/>
        </w:rPr>
        <w:footnoteReference w:id="124"/>
      </w:r>
      <w:r w:rsidR="001A5E4F" w:rsidRPr="00012C3F">
        <w:rPr>
          <w:sz w:val="20"/>
          <w:szCs w:val="20"/>
          <w:lang w:val="en-US"/>
        </w:rPr>
        <w:t xml:space="preserve"> in compliance with the decision of </w:t>
      </w:r>
      <w:r w:rsidR="002D178D" w:rsidRPr="00012C3F">
        <w:rPr>
          <w:sz w:val="20"/>
          <w:szCs w:val="20"/>
          <w:lang w:val="en-US"/>
        </w:rPr>
        <w:t>the Second Criminal Chamber</w:t>
      </w:r>
      <w:r w:rsidRPr="00012C3F">
        <w:rPr>
          <w:sz w:val="20"/>
          <w:szCs w:val="20"/>
          <w:lang w:val="en-US"/>
        </w:rPr>
        <w:t xml:space="preserve"> of the </w:t>
      </w:r>
      <w:r w:rsidR="00280806" w:rsidRPr="00012C3F">
        <w:rPr>
          <w:sz w:val="20"/>
          <w:szCs w:val="20"/>
          <w:lang w:val="en-US"/>
        </w:rPr>
        <w:t>La Paz Superior Court of Justice</w:t>
      </w:r>
      <w:r w:rsidR="007A1A14" w:rsidRPr="00012C3F">
        <w:rPr>
          <w:sz w:val="20"/>
          <w:szCs w:val="20"/>
          <w:lang w:val="en-US"/>
        </w:rPr>
        <w:t xml:space="preserve"> (</w:t>
      </w:r>
      <w:r w:rsidR="007A1A14" w:rsidRPr="00012C3F">
        <w:rPr>
          <w:i/>
          <w:sz w:val="20"/>
          <w:szCs w:val="20"/>
          <w:lang w:val="en-US"/>
        </w:rPr>
        <w:t>supra</w:t>
      </w:r>
      <w:r w:rsidR="007A1A14" w:rsidRPr="00012C3F">
        <w:rPr>
          <w:sz w:val="20"/>
          <w:szCs w:val="20"/>
          <w:lang w:val="en-US"/>
        </w:rPr>
        <w:t xml:space="preserve"> </w:t>
      </w:r>
      <w:r w:rsidR="00370DD4" w:rsidRPr="00012C3F">
        <w:rPr>
          <w:sz w:val="20"/>
          <w:szCs w:val="20"/>
          <w:lang w:val="en-US"/>
        </w:rPr>
        <w:t>para.</w:t>
      </w:r>
      <w:r w:rsidR="007A1A14" w:rsidRPr="00012C3F">
        <w:rPr>
          <w:sz w:val="20"/>
          <w:szCs w:val="20"/>
          <w:lang w:val="en-US"/>
        </w:rPr>
        <w:t xml:space="preserve"> </w:t>
      </w:r>
      <w:r w:rsidR="00FD4F89" w:rsidRPr="00012C3F">
        <w:rPr>
          <w:sz w:val="20"/>
          <w:szCs w:val="20"/>
          <w:lang w:val="en-US"/>
        </w:rPr>
        <w:t>102</w:t>
      </w:r>
      <w:r w:rsidR="007A1A14" w:rsidRPr="00012C3F">
        <w:rPr>
          <w:sz w:val="20"/>
          <w:szCs w:val="20"/>
          <w:lang w:val="en-US"/>
        </w:rPr>
        <w:t>).</w:t>
      </w:r>
    </w:p>
    <w:p w14:paraId="0ACECD85" w14:textId="77777777" w:rsidR="007A1A14" w:rsidRPr="00012C3F" w:rsidRDefault="007A1A14" w:rsidP="001A5E4F">
      <w:pPr>
        <w:tabs>
          <w:tab w:val="left" w:pos="720"/>
        </w:tabs>
        <w:spacing w:line="240" w:lineRule="auto"/>
        <w:rPr>
          <w:sz w:val="20"/>
          <w:szCs w:val="20"/>
          <w:lang w:val="en-US"/>
        </w:rPr>
      </w:pPr>
    </w:p>
    <w:p w14:paraId="3AAF2C2D" w14:textId="77777777" w:rsidR="007A1A14" w:rsidRPr="00012C3F" w:rsidRDefault="001A5E4F" w:rsidP="001A5E4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August 10,</w:t>
      </w:r>
      <w:r w:rsidR="007A1A14" w:rsidRPr="00012C3F">
        <w:rPr>
          <w:sz w:val="20"/>
          <w:szCs w:val="20"/>
          <w:lang w:val="en-US"/>
        </w:rPr>
        <w:t xml:space="preserve"> 2005</w:t>
      </w:r>
      <w:r w:rsidRPr="00012C3F">
        <w:rPr>
          <w:sz w:val="20"/>
          <w:szCs w:val="20"/>
          <w:lang w:val="en-US"/>
        </w:rPr>
        <w:t>,</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Pr="00012C3F">
        <w:rPr>
          <w:sz w:val="20"/>
          <w:szCs w:val="20"/>
          <w:lang w:val="en-US"/>
        </w:rPr>
        <w:t xml:space="preserve">requested </w:t>
      </w:r>
      <w:r w:rsidR="002D178D" w:rsidRPr="00012C3F">
        <w:rPr>
          <w:sz w:val="20"/>
          <w:szCs w:val="20"/>
          <w:lang w:val="en-US"/>
        </w:rPr>
        <w:t>the Second Criminal Chamber</w:t>
      </w:r>
      <w:r w:rsidR="001254DE" w:rsidRPr="00012C3F">
        <w:rPr>
          <w:sz w:val="20"/>
          <w:szCs w:val="20"/>
          <w:lang w:val="en-US"/>
        </w:rPr>
        <w:t xml:space="preserve"> of the</w:t>
      </w:r>
      <w:r w:rsidRPr="00012C3F">
        <w:rPr>
          <w:sz w:val="20"/>
          <w:szCs w:val="20"/>
          <w:lang w:val="en-US"/>
        </w:rPr>
        <w:t xml:space="preserve"> La Paz</w:t>
      </w:r>
      <w:r w:rsidR="001254DE" w:rsidRPr="00012C3F">
        <w:rPr>
          <w:sz w:val="20"/>
          <w:szCs w:val="20"/>
          <w:lang w:val="en-US"/>
        </w:rPr>
        <w:t xml:space="preserve"> </w:t>
      </w:r>
      <w:r w:rsidR="00843CB6" w:rsidRPr="00012C3F">
        <w:rPr>
          <w:sz w:val="20"/>
          <w:szCs w:val="20"/>
          <w:lang w:val="en-US"/>
        </w:rPr>
        <w:t>Superior Court</w:t>
      </w:r>
      <w:r w:rsidRPr="00012C3F">
        <w:rPr>
          <w:sz w:val="20"/>
          <w:szCs w:val="20"/>
          <w:lang w:val="en-US"/>
        </w:rPr>
        <w:t xml:space="preserve"> to </w:t>
      </w:r>
      <w:r w:rsidR="00665CDA" w:rsidRPr="00012C3F">
        <w:rPr>
          <w:sz w:val="20"/>
          <w:szCs w:val="20"/>
          <w:lang w:val="en-US"/>
        </w:rPr>
        <w:t>refer</w:t>
      </w:r>
      <w:r w:rsidRPr="00012C3F">
        <w:rPr>
          <w:sz w:val="20"/>
          <w:szCs w:val="20"/>
          <w:lang w:val="en-US"/>
        </w:rPr>
        <w:t xml:space="preserve"> the case to La Paz, considering that it was very </w:t>
      </w:r>
      <w:r w:rsidR="00665CDA" w:rsidRPr="00012C3F">
        <w:rPr>
          <w:sz w:val="20"/>
          <w:szCs w:val="20"/>
          <w:lang w:val="en-US"/>
        </w:rPr>
        <w:t>burdensome</w:t>
      </w:r>
      <w:r w:rsidRPr="00012C3F">
        <w:rPr>
          <w:sz w:val="20"/>
          <w:szCs w:val="20"/>
          <w:lang w:val="en-US"/>
        </w:rPr>
        <w:t xml:space="preserve"> for the parties and for the Public Prosecution Service to pursue proceeding</w:t>
      </w:r>
      <w:r w:rsidR="00665CDA" w:rsidRPr="00012C3F">
        <w:rPr>
          <w:sz w:val="20"/>
          <w:szCs w:val="20"/>
          <w:lang w:val="en-US"/>
        </w:rPr>
        <w:t>s</w:t>
      </w:r>
      <w:r w:rsidRPr="00012C3F">
        <w:rPr>
          <w:sz w:val="20"/>
          <w:szCs w:val="20"/>
          <w:lang w:val="en-US"/>
        </w:rPr>
        <w:t xml:space="preserve"> before a jurisdiction that was so far from the place where the supposed offense </w:t>
      </w:r>
      <w:r w:rsidR="00665CDA" w:rsidRPr="00012C3F">
        <w:rPr>
          <w:sz w:val="20"/>
          <w:szCs w:val="20"/>
          <w:lang w:val="en-US"/>
        </w:rPr>
        <w:t>had been committed</w:t>
      </w:r>
      <w:r w:rsidRPr="00012C3F">
        <w:rPr>
          <w:sz w:val="20"/>
          <w:szCs w:val="20"/>
          <w:lang w:val="en-US"/>
        </w:rPr>
        <w:t xml:space="preserve"> and </w:t>
      </w:r>
      <w:r w:rsidR="00665CDA" w:rsidRPr="00012C3F">
        <w:rPr>
          <w:sz w:val="20"/>
          <w:szCs w:val="20"/>
          <w:lang w:val="en-US"/>
        </w:rPr>
        <w:t xml:space="preserve">from </w:t>
      </w:r>
      <w:r w:rsidRPr="00012C3F">
        <w:rPr>
          <w:sz w:val="20"/>
          <w:szCs w:val="20"/>
          <w:lang w:val="en-US"/>
        </w:rPr>
        <w:t>the domicile of the parties.</w:t>
      </w:r>
      <w:r w:rsidR="007A1A14" w:rsidRPr="00012C3F">
        <w:rPr>
          <w:rStyle w:val="Refdenotaalpie"/>
          <w:sz w:val="20"/>
          <w:szCs w:val="20"/>
          <w:lang w:val="en-US"/>
        </w:rPr>
        <w:footnoteReference w:id="125"/>
      </w:r>
    </w:p>
    <w:p w14:paraId="6D3E9169" w14:textId="77777777" w:rsidR="007A1A14" w:rsidRPr="00012C3F" w:rsidRDefault="007A1A14" w:rsidP="001A5E4F">
      <w:pPr>
        <w:tabs>
          <w:tab w:val="left" w:pos="720"/>
        </w:tabs>
        <w:spacing w:line="240" w:lineRule="auto"/>
        <w:rPr>
          <w:sz w:val="20"/>
          <w:szCs w:val="20"/>
          <w:lang w:val="en-US"/>
        </w:rPr>
      </w:pPr>
    </w:p>
    <w:p w14:paraId="145D6BE6" w14:textId="77777777" w:rsidR="000932A6" w:rsidRPr="00012C3F" w:rsidRDefault="001A5E4F" w:rsidP="001A5E4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August 30,</w:t>
      </w:r>
      <w:r w:rsidR="007A1A14" w:rsidRPr="00012C3F">
        <w:rPr>
          <w:sz w:val="20"/>
          <w:szCs w:val="20"/>
          <w:lang w:val="en-US"/>
        </w:rPr>
        <w:t xml:space="preserve"> 2005</w:t>
      </w:r>
      <w:r w:rsidRPr="00012C3F">
        <w:rPr>
          <w:sz w:val="20"/>
          <w:szCs w:val="20"/>
          <w:lang w:val="en-US"/>
        </w:rPr>
        <w:t>,</w:t>
      </w:r>
      <w:r w:rsidR="007A1A14" w:rsidRPr="00012C3F">
        <w:rPr>
          <w:sz w:val="20"/>
          <w:szCs w:val="20"/>
          <w:lang w:val="en-US"/>
        </w:rPr>
        <w:t xml:space="preserve"> </w:t>
      </w:r>
      <w:r w:rsidR="0099356C" w:rsidRPr="00012C3F">
        <w:rPr>
          <w:sz w:val="20"/>
          <w:szCs w:val="20"/>
          <w:lang w:val="en-US"/>
        </w:rPr>
        <w:t>the instructing physician</w:t>
      </w:r>
      <w:r w:rsidR="007A1A14" w:rsidRPr="00012C3F">
        <w:rPr>
          <w:sz w:val="20"/>
          <w:szCs w:val="20"/>
          <w:lang w:val="en-US"/>
        </w:rPr>
        <w:t xml:space="preserve"> </w:t>
      </w:r>
      <w:r w:rsidRPr="00012C3F">
        <w:rPr>
          <w:sz w:val="20"/>
          <w:szCs w:val="20"/>
          <w:lang w:val="en-US"/>
        </w:rPr>
        <w:t>requested the</w:t>
      </w:r>
      <w:r w:rsidR="00660869" w:rsidRPr="00012C3F">
        <w:rPr>
          <w:sz w:val="20"/>
          <w:szCs w:val="20"/>
          <w:lang w:val="en-US"/>
        </w:rPr>
        <w:t xml:space="preserve"> </w:t>
      </w:r>
      <w:r w:rsidR="00287C82" w:rsidRPr="00012C3F">
        <w:rPr>
          <w:sz w:val="20"/>
          <w:szCs w:val="20"/>
          <w:lang w:val="en-US"/>
        </w:rPr>
        <w:t>Sica Sica Trial Court</w:t>
      </w:r>
      <w:r w:rsidRPr="00012C3F">
        <w:rPr>
          <w:sz w:val="20"/>
          <w:szCs w:val="20"/>
          <w:lang w:val="en-US"/>
        </w:rPr>
        <w:t xml:space="preserve"> to extinguish the criminal action owing to the maximum duration of the proceedings.</w:t>
      </w:r>
      <w:r w:rsidR="007A1A14" w:rsidRPr="00012C3F">
        <w:rPr>
          <w:rStyle w:val="Refdenotaalpie"/>
          <w:sz w:val="20"/>
          <w:szCs w:val="20"/>
          <w:lang w:val="en-US"/>
        </w:rPr>
        <w:footnoteReference w:id="126"/>
      </w:r>
    </w:p>
    <w:p w14:paraId="5F0108AE" w14:textId="77777777" w:rsidR="007A1A14" w:rsidRPr="00012C3F" w:rsidRDefault="007A1A14" w:rsidP="001A5E4F">
      <w:pPr>
        <w:tabs>
          <w:tab w:val="left" w:pos="720"/>
        </w:tabs>
        <w:spacing w:line="240" w:lineRule="auto"/>
        <w:rPr>
          <w:sz w:val="20"/>
          <w:szCs w:val="20"/>
          <w:lang w:val="en-US"/>
        </w:rPr>
      </w:pPr>
    </w:p>
    <w:p w14:paraId="45B6E8E8" w14:textId="77777777" w:rsidR="007A1A14" w:rsidRPr="00012C3F" w:rsidRDefault="001A5E4F" w:rsidP="001A5E4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August 23,</w:t>
      </w:r>
      <w:r w:rsidR="007A1A14" w:rsidRPr="00012C3F">
        <w:rPr>
          <w:sz w:val="20"/>
          <w:szCs w:val="20"/>
          <w:lang w:val="en-US"/>
        </w:rPr>
        <w:t xml:space="preserve"> 2005</w:t>
      </w:r>
      <w:r w:rsidRPr="00012C3F">
        <w:rPr>
          <w:sz w:val="20"/>
          <w:szCs w:val="20"/>
          <w:lang w:val="en-US"/>
        </w:rPr>
        <w:t>,</w:t>
      </w:r>
      <w:r w:rsidR="007A1A14"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Pr="00012C3F">
        <w:rPr>
          <w:sz w:val="20"/>
          <w:szCs w:val="20"/>
          <w:lang w:val="en-US"/>
        </w:rPr>
        <w:t xml:space="preserve">filed a complaint before the District Prosecutor against the prosecutor in charge of her case, indicating that, during the most recent trial, she had had to </w:t>
      </w:r>
      <w:r w:rsidR="00665CDA" w:rsidRPr="00012C3F">
        <w:rPr>
          <w:sz w:val="20"/>
          <w:szCs w:val="20"/>
          <w:lang w:val="en-US"/>
        </w:rPr>
        <w:t>defray the costs of transporting</w:t>
      </w:r>
      <w:r w:rsidRPr="00012C3F">
        <w:rPr>
          <w:sz w:val="20"/>
          <w:szCs w:val="20"/>
          <w:lang w:val="en-US"/>
        </w:rPr>
        <w:t xml:space="preserve"> the forensic physicians and witnesses</w:t>
      </w:r>
      <w:r w:rsidR="00665CDA" w:rsidRPr="00012C3F">
        <w:rPr>
          <w:sz w:val="20"/>
          <w:szCs w:val="20"/>
          <w:lang w:val="en-US"/>
        </w:rPr>
        <w:t xml:space="preserve"> to Copacabana</w:t>
      </w:r>
      <w:r w:rsidRPr="00012C3F">
        <w:rPr>
          <w:sz w:val="20"/>
          <w:szCs w:val="20"/>
          <w:lang w:val="en-US"/>
        </w:rPr>
        <w:t xml:space="preserve">, which had </w:t>
      </w:r>
      <w:r w:rsidR="00665CDA" w:rsidRPr="00012C3F">
        <w:rPr>
          <w:sz w:val="20"/>
          <w:szCs w:val="20"/>
          <w:lang w:val="en-US"/>
        </w:rPr>
        <w:t>involved a heavy financial outlay</w:t>
      </w:r>
      <w:r w:rsidRPr="00012C3F">
        <w:rPr>
          <w:sz w:val="20"/>
          <w:szCs w:val="20"/>
          <w:lang w:val="en-US"/>
        </w:rPr>
        <w:t xml:space="preserve">. She also indicated that the prosecutor had not </w:t>
      </w:r>
      <w:r w:rsidR="009677E7" w:rsidRPr="00012C3F">
        <w:rPr>
          <w:sz w:val="20"/>
          <w:szCs w:val="20"/>
          <w:lang w:val="en-US"/>
        </w:rPr>
        <w:t>made an effort</w:t>
      </w:r>
      <w:r w:rsidRPr="00012C3F">
        <w:rPr>
          <w:sz w:val="20"/>
          <w:szCs w:val="20"/>
          <w:lang w:val="en-US"/>
        </w:rPr>
        <w:t xml:space="preserve"> to take steps </w:t>
      </w:r>
      <w:r w:rsidR="00665CDA" w:rsidRPr="00012C3F">
        <w:rPr>
          <w:sz w:val="20"/>
          <w:szCs w:val="20"/>
          <w:lang w:val="en-US"/>
        </w:rPr>
        <w:t>to prevent</w:t>
      </w:r>
      <w:r w:rsidRPr="00012C3F">
        <w:rPr>
          <w:sz w:val="20"/>
          <w:szCs w:val="20"/>
          <w:lang w:val="en-US"/>
        </w:rPr>
        <w:t xml:space="preserve"> </w:t>
      </w:r>
      <w:r w:rsidR="00665CDA" w:rsidRPr="00012C3F">
        <w:rPr>
          <w:sz w:val="20"/>
          <w:szCs w:val="20"/>
          <w:lang w:val="en-US"/>
        </w:rPr>
        <w:t>a</w:t>
      </w:r>
      <w:r w:rsidRPr="00012C3F">
        <w:rPr>
          <w:sz w:val="20"/>
          <w:szCs w:val="20"/>
          <w:lang w:val="en-US"/>
        </w:rPr>
        <w:t xml:space="preserve"> delay </w:t>
      </w:r>
      <w:r w:rsidR="00665CDA" w:rsidRPr="00012C3F">
        <w:rPr>
          <w:sz w:val="20"/>
          <w:szCs w:val="20"/>
          <w:lang w:val="en-US"/>
        </w:rPr>
        <w:t xml:space="preserve">in </w:t>
      </w:r>
      <w:r w:rsidRPr="00012C3F">
        <w:rPr>
          <w:sz w:val="20"/>
          <w:szCs w:val="20"/>
          <w:lang w:val="en-US"/>
        </w:rPr>
        <w:t>the new criminal trial</w:t>
      </w:r>
      <w:r w:rsidR="00665CDA" w:rsidRPr="00012C3F">
        <w:rPr>
          <w:sz w:val="20"/>
          <w:szCs w:val="20"/>
          <w:lang w:val="en-US"/>
        </w:rPr>
        <w:t xml:space="preserve"> and asked</w:t>
      </w:r>
      <w:r w:rsidRPr="00012C3F">
        <w:rPr>
          <w:sz w:val="20"/>
          <w:szCs w:val="20"/>
          <w:lang w:val="en-US"/>
        </w:rPr>
        <w:t xml:space="preserve"> that another prosecutor be put in charge of the case.</w:t>
      </w:r>
      <w:r w:rsidR="007A1A14" w:rsidRPr="00012C3F">
        <w:rPr>
          <w:rStyle w:val="Refdenotaalpie"/>
          <w:sz w:val="20"/>
          <w:szCs w:val="20"/>
          <w:lang w:val="en-US"/>
        </w:rPr>
        <w:footnoteReference w:id="127"/>
      </w:r>
      <w:r w:rsidRPr="00012C3F">
        <w:rPr>
          <w:sz w:val="20"/>
          <w:szCs w:val="20"/>
          <w:lang w:val="en-US"/>
        </w:rPr>
        <w:t xml:space="preserve"> This request was repeated on September 6, </w:t>
      </w:r>
      <w:r w:rsidR="007A1A14" w:rsidRPr="00012C3F">
        <w:rPr>
          <w:sz w:val="20"/>
          <w:szCs w:val="20"/>
          <w:lang w:val="en-US"/>
        </w:rPr>
        <w:t>2005</w:t>
      </w:r>
      <w:r w:rsidRPr="00012C3F">
        <w:rPr>
          <w:sz w:val="20"/>
          <w:szCs w:val="20"/>
          <w:lang w:val="en-US"/>
        </w:rPr>
        <w:t>.</w:t>
      </w:r>
      <w:r w:rsidR="007A1A14" w:rsidRPr="00012C3F">
        <w:rPr>
          <w:rStyle w:val="Refdenotaalpie"/>
          <w:sz w:val="20"/>
          <w:szCs w:val="20"/>
          <w:lang w:val="en-US"/>
        </w:rPr>
        <w:footnoteReference w:id="128"/>
      </w:r>
      <w:r w:rsidRPr="00012C3F">
        <w:rPr>
          <w:sz w:val="20"/>
          <w:szCs w:val="20"/>
          <w:lang w:val="en-US"/>
        </w:rPr>
        <w:t xml:space="preserve"> Also, on September 6, </w:t>
      </w:r>
      <w:r w:rsidR="007A1A14" w:rsidRPr="00012C3F">
        <w:rPr>
          <w:sz w:val="20"/>
          <w:szCs w:val="20"/>
          <w:lang w:val="en-US"/>
        </w:rPr>
        <w:t>2005</w:t>
      </w:r>
      <w:r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00287C82" w:rsidRPr="00012C3F">
        <w:rPr>
          <w:sz w:val="20"/>
          <w:szCs w:val="20"/>
          <w:lang w:val="en-US"/>
        </w:rPr>
        <w:t>wrote to the</w:t>
      </w:r>
      <w:r w:rsidR="007A1A14" w:rsidRPr="00012C3F">
        <w:rPr>
          <w:sz w:val="20"/>
          <w:szCs w:val="20"/>
          <w:lang w:val="en-US"/>
        </w:rPr>
        <w:t xml:space="preserve"> </w:t>
      </w:r>
      <w:r w:rsidR="00287C82" w:rsidRPr="00012C3F">
        <w:rPr>
          <w:sz w:val="20"/>
          <w:szCs w:val="20"/>
          <w:lang w:val="en-US"/>
        </w:rPr>
        <w:t>Sica Sica Trial Court</w:t>
      </w:r>
      <w:r w:rsidR="007A1A14" w:rsidRPr="00012C3F">
        <w:rPr>
          <w:sz w:val="20"/>
          <w:szCs w:val="20"/>
          <w:lang w:val="en-US"/>
        </w:rPr>
        <w:t xml:space="preserve"> </w:t>
      </w:r>
      <w:r w:rsidR="00287C82" w:rsidRPr="00012C3F">
        <w:rPr>
          <w:sz w:val="20"/>
          <w:szCs w:val="20"/>
          <w:lang w:val="en-US"/>
        </w:rPr>
        <w:t xml:space="preserve">asking that the case be forwarded to La </w:t>
      </w:r>
      <w:r w:rsidR="007A1A14" w:rsidRPr="00012C3F">
        <w:rPr>
          <w:sz w:val="20"/>
          <w:szCs w:val="20"/>
          <w:lang w:val="en-US"/>
        </w:rPr>
        <w:t>Paz</w:t>
      </w:r>
      <w:r w:rsidR="00287C82" w:rsidRPr="00012C3F">
        <w:rPr>
          <w:sz w:val="20"/>
          <w:szCs w:val="20"/>
          <w:lang w:val="en-US"/>
        </w:rPr>
        <w:t>.</w:t>
      </w:r>
      <w:r w:rsidR="007A1A14" w:rsidRPr="00012C3F">
        <w:rPr>
          <w:rStyle w:val="Refdenotaalpie"/>
          <w:sz w:val="20"/>
          <w:szCs w:val="20"/>
          <w:lang w:val="en-US"/>
        </w:rPr>
        <w:footnoteReference w:id="129"/>
      </w:r>
    </w:p>
    <w:p w14:paraId="1511E320" w14:textId="77777777" w:rsidR="007A1A14" w:rsidRPr="00012C3F" w:rsidRDefault="007A1A14" w:rsidP="007A1A14">
      <w:pPr>
        <w:spacing w:line="240" w:lineRule="auto"/>
        <w:rPr>
          <w:sz w:val="20"/>
          <w:szCs w:val="20"/>
          <w:lang w:val="en-US"/>
        </w:rPr>
      </w:pPr>
    </w:p>
    <w:p w14:paraId="6A430A1B" w14:textId="77777777" w:rsidR="007A1A14" w:rsidRPr="00012C3F" w:rsidRDefault="00287C82" w:rsidP="00287C8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September 23,</w:t>
      </w:r>
      <w:r w:rsidR="007A1A14" w:rsidRPr="00012C3F">
        <w:rPr>
          <w:sz w:val="20"/>
          <w:szCs w:val="20"/>
          <w:lang w:val="en-US"/>
        </w:rPr>
        <w:t xml:space="preserve"> 2005</w:t>
      </w:r>
      <w:r w:rsidRPr="00012C3F">
        <w:rPr>
          <w:sz w:val="20"/>
          <w:szCs w:val="20"/>
          <w:lang w:val="en-US"/>
        </w:rPr>
        <w:t>,</w:t>
      </w:r>
      <w:r w:rsidR="007A1A14" w:rsidRPr="00012C3F">
        <w:rPr>
          <w:sz w:val="20"/>
          <w:szCs w:val="20"/>
          <w:lang w:val="en-US"/>
        </w:rPr>
        <w:t xml:space="preserve"> </w:t>
      </w:r>
      <w:r w:rsidR="0099356C" w:rsidRPr="00012C3F">
        <w:rPr>
          <w:sz w:val="20"/>
          <w:szCs w:val="20"/>
          <w:lang w:val="en-US"/>
        </w:rPr>
        <w:t>the instructing physician</w:t>
      </w:r>
      <w:r w:rsidR="00DF1FBB" w:rsidRPr="00012C3F">
        <w:rPr>
          <w:sz w:val="20"/>
          <w:szCs w:val="20"/>
          <w:lang w:val="en-US"/>
        </w:rPr>
        <w:t xml:space="preserve"> </w:t>
      </w:r>
      <w:r w:rsidRPr="00012C3F">
        <w:rPr>
          <w:sz w:val="20"/>
          <w:szCs w:val="20"/>
          <w:lang w:val="en-US"/>
        </w:rPr>
        <w:t>asked the</w:t>
      </w:r>
      <w:r w:rsidR="007A1A14" w:rsidRPr="00012C3F">
        <w:rPr>
          <w:sz w:val="20"/>
          <w:szCs w:val="20"/>
          <w:lang w:val="en-US"/>
        </w:rPr>
        <w:t xml:space="preserve"> </w:t>
      </w:r>
      <w:r w:rsidRPr="00012C3F">
        <w:rPr>
          <w:sz w:val="20"/>
          <w:szCs w:val="20"/>
          <w:lang w:val="en-US"/>
        </w:rPr>
        <w:t xml:space="preserve">Sica Sica Trial Court to suspend the hearing of the oral trial </w:t>
      </w:r>
      <w:r w:rsidR="00665CDA" w:rsidRPr="00012C3F">
        <w:rPr>
          <w:sz w:val="20"/>
          <w:szCs w:val="20"/>
          <w:lang w:val="en-US"/>
        </w:rPr>
        <w:t>scheduled</w:t>
      </w:r>
      <w:r w:rsidRPr="00012C3F">
        <w:rPr>
          <w:sz w:val="20"/>
          <w:szCs w:val="20"/>
          <w:lang w:val="en-US"/>
        </w:rPr>
        <w:t xml:space="preserve"> for October 3,</w:t>
      </w:r>
      <w:r w:rsidR="007A1A14" w:rsidRPr="00012C3F">
        <w:rPr>
          <w:sz w:val="20"/>
          <w:szCs w:val="20"/>
          <w:lang w:val="en-US"/>
        </w:rPr>
        <w:t xml:space="preserve"> 2005</w:t>
      </w:r>
      <w:r w:rsidRPr="00012C3F">
        <w:rPr>
          <w:sz w:val="20"/>
          <w:szCs w:val="20"/>
          <w:lang w:val="en-US"/>
        </w:rPr>
        <w:t>.</w:t>
      </w:r>
      <w:r w:rsidR="007A1A14" w:rsidRPr="00012C3F">
        <w:rPr>
          <w:rStyle w:val="Refdenotaalpie"/>
          <w:sz w:val="20"/>
          <w:szCs w:val="20"/>
          <w:lang w:val="en-US"/>
        </w:rPr>
        <w:footnoteReference w:id="130"/>
      </w:r>
      <w:r w:rsidR="007A1A14" w:rsidRPr="00012C3F">
        <w:rPr>
          <w:sz w:val="20"/>
          <w:szCs w:val="20"/>
          <w:lang w:val="en-US"/>
        </w:rPr>
        <w:t xml:space="preserve"> </w:t>
      </w:r>
      <w:r w:rsidRPr="00012C3F">
        <w:rPr>
          <w:sz w:val="20"/>
          <w:szCs w:val="20"/>
          <w:lang w:val="en-US"/>
        </w:rPr>
        <w:t>The Court admitted this request and set</w:t>
      </w:r>
      <w:r w:rsidR="00665CDA" w:rsidRPr="00012C3F">
        <w:rPr>
          <w:sz w:val="20"/>
          <w:szCs w:val="20"/>
          <w:lang w:val="en-US"/>
        </w:rPr>
        <w:t xml:space="preserve"> October 12, 2005, as the </w:t>
      </w:r>
      <w:r w:rsidRPr="00012C3F">
        <w:rPr>
          <w:sz w:val="20"/>
          <w:szCs w:val="20"/>
          <w:lang w:val="en-US"/>
        </w:rPr>
        <w:t>new date for the hearing.</w:t>
      </w:r>
      <w:r w:rsidR="007A1A14" w:rsidRPr="00012C3F">
        <w:rPr>
          <w:rStyle w:val="Refdenotaalpie"/>
          <w:sz w:val="20"/>
          <w:szCs w:val="20"/>
          <w:lang w:val="en-US"/>
        </w:rPr>
        <w:footnoteReference w:id="131"/>
      </w:r>
    </w:p>
    <w:p w14:paraId="28E79297" w14:textId="77777777" w:rsidR="007A1A14" w:rsidRPr="00012C3F" w:rsidRDefault="007A1A14" w:rsidP="007A1A14">
      <w:pPr>
        <w:spacing w:line="240" w:lineRule="auto"/>
        <w:rPr>
          <w:sz w:val="20"/>
          <w:szCs w:val="20"/>
          <w:lang w:val="en-US"/>
        </w:rPr>
      </w:pPr>
    </w:p>
    <w:p w14:paraId="56EF6A18" w14:textId="77777777" w:rsidR="007A1A14" w:rsidRPr="00012C3F" w:rsidRDefault="00287C82" w:rsidP="00287C8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January 20,</w:t>
      </w:r>
      <w:r w:rsidR="007A1A14" w:rsidRPr="00012C3F">
        <w:rPr>
          <w:sz w:val="20"/>
          <w:szCs w:val="20"/>
          <w:lang w:val="en-US"/>
        </w:rPr>
        <w:t xml:space="preserve"> 2006</w:t>
      </w:r>
      <w:r w:rsidRPr="00012C3F">
        <w:rPr>
          <w:sz w:val="20"/>
          <w:szCs w:val="20"/>
          <w:lang w:val="en-US"/>
        </w:rPr>
        <w:t>,</w:t>
      </w:r>
      <w:r w:rsidR="007A1A14" w:rsidRPr="00012C3F">
        <w:rPr>
          <w:sz w:val="20"/>
          <w:szCs w:val="20"/>
          <w:lang w:val="en-US"/>
        </w:rPr>
        <w:t xml:space="preserve"> </w:t>
      </w:r>
      <w:r w:rsidR="00660869" w:rsidRPr="00012C3F">
        <w:rPr>
          <w:sz w:val="20"/>
          <w:szCs w:val="20"/>
          <w:lang w:val="en-US"/>
        </w:rPr>
        <w:t xml:space="preserve">the </w:t>
      </w:r>
      <w:r w:rsidRPr="00012C3F">
        <w:rPr>
          <w:sz w:val="20"/>
          <w:szCs w:val="20"/>
          <w:lang w:val="en-US"/>
        </w:rPr>
        <w:t>Sica Sica Trial Court</w:t>
      </w:r>
      <w:r w:rsidR="007A1A14" w:rsidRPr="00012C3F">
        <w:rPr>
          <w:sz w:val="20"/>
          <w:szCs w:val="20"/>
          <w:lang w:val="en-US"/>
        </w:rPr>
        <w:t xml:space="preserve"> </w:t>
      </w:r>
      <w:r w:rsidRPr="00012C3F">
        <w:rPr>
          <w:sz w:val="20"/>
          <w:szCs w:val="20"/>
          <w:lang w:val="en-US"/>
        </w:rPr>
        <w:t>declared that it lack</w:t>
      </w:r>
      <w:r w:rsidR="00665CDA" w:rsidRPr="00012C3F">
        <w:rPr>
          <w:sz w:val="20"/>
          <w:szCs w:val="20"/>
          <w:lang w:val="en-US"/>
        </w:rPr>
        <w:t>ed</w:t>
      </w:r>
      <w:r w:rsidRPr="00012C3F">
        <w:rPr>
          <w:sz w:val="20"/>
          <w:szCs w:val="20"/>
          <w:lang w:val="en-US"/>
        </w:rPr>
        <w:t xml:space="preserve"> jurisdiction to continue hearing the proceedings and decided to </w:t>
      </w:r>
      <w:r w:rsidR="00665CDA" w:rsidRPr="00012C3F">
        <w:rPr>
          <w:sz w:val="20"/>
          <w:szCs w:val="20"/>
          <w:lang w:val="en-US"/>
        </w:rPr>
        <w:t>refer</w:t>
      </w:r>
      <w:r w:rsidRPr="00012C3F">
        <w:rPr>
          <w:sz w:val="20"/>
          <w:szCs w:val="20"/>
          <w:lang w:val="en-US"/>
        </w:rPr>
        <w:t xml:space="preserve"> the case to </w:t>
      </w:r>
      <w:r w:rsidR="001254DE" w:rsidRPr="00012C3F">
        <w:rPr>
          <w:sz w:val="20"/>
          <w:szCs w:val="20"/>
          <w:lang w:val="en-US"/>
        </w:rPr>
        <w:t xml:space="preserve">the </w:t>
      </w:r>
      <w:r w:rsidR="00280806" w:rsidRPr="00012C3F">
        <w:rPr>
          <w:sz w:val="20"/>
          <w:szCs w:val="20"/>
          <w:lang w:val="en-US"/>
        </w:rPr>
        <w:t>La Paz Superior Court of Justice</w:t>
      </w:r>
      <w:r w:rsidR="007A1A14" w:rsidRPr="00012C3F">
        <w:rPr>
          <w:sz w:val="20"/>
          <w:szCs w:val="20"/>
          <w:lang w:val="en-US"/>
        </w:rPr>
        <w:t xml:space="preserve">, </w:t>
      </w:r>
      <w:r w:rsidR="005D0B77" w:rsidRPr="00012C3F">
        <w:rPr>
          <w:sz w:val="20"/>
          <w:szCs w:val="20"/>
          <w:lang w:val="en-US"/>
        </w:rPr>
        <w:t xml:space="preserve">so that it could determine whether to </w:t>
      </w:r>
      <w:r w:rsidR="00665CDA" w:rsidRPr="00012C3F">
        <w:rPr>
          <w:sz w:val="20"/>
          <w:szCs w:val="20"/>
          <w:lang w:val="en-US"/>
        </w:rPr>
        <w:t>forward it</w:t>
      </w:r>
      <w:r w:rsidR="005D0B77" w:rsidRPr="00012C3F">
        <w:rPr>
          <w:sz w:val="20"/>
          <w:szCs w:val="20"/>
          <w:lang w:val="en-US"/>
        </w:rPr>
        <w:t xml:space="preserve"> to the competent trial court</w:t>
      </w:r>
      <w:r w:rsidR="007A1A14" w:rsidRPr="00012C3F">
        <w:rPr>
          <w:sz w:val="20"/>
          <w:szCs w:val="20"/>
          <w:lang w:val="en-US"/>
        </w:rPr>
        <w:t xml:space="preserve"> </w:t>
      </w:r>
      <w:r w:rsidR="005D0B77" w:rsidRPr="00012C3F">
        <w:rPr>
          <w:sz w:val="20"/>
          <w:szCs w:val="20"/>
          <w:lang w:val="en-US"/>
        </w:rPr>
        <w:t>of</w:t>
      </w:r>
      <w:r w:rsidR="007A1A14" w:rsidRPr="00012C3F">
        <w:rPr>
          <w:sz w:val="20"/>
          <w:szCs w:val="20"/>
          <w:lang w:val="en-US"/>
        </w:rPr>
        <w:t xml:space="preserve"> La Paz</w:t>
      </w:r>
      <w:r w:rsidR="005D0B77" w:rsidRPr="00012C3F">
        <w:rPr>
          <w:sz w:val="20"/>
          <w:szCs w:val="20"/>
          <w:lang w:val="en-US"/>
        </w:rPr>
        <w:t>.</w:t>
      </w:r>
      <w:r w:rsidR="007A1A14" w:rsidRPr="00012C3F">
        <w:rPr>
          <w:rStyle w:val="Refdenotaalpie"/>
          <w:sz w:val="20"/>
          <w:szCs w:val="20"/>
          <w:lang w:val="en-US"/>
        </w:rPr>
        <w:footnoteReference w:id="132"/>
      </w:r>
      <w:r w:rsidR="005D0B77" w:rsidRPr="00012C3F">
        <w:rPr>
          <w:sz w:val="20"/>
          <w:szCs w:val="20"/>
          <w:lang w:val="en-US"/>
        </w:rPr>
        <w:t xml:space="preserve"> </w:t>
      </w:r>
      <w:r w:rsidR="007A1A14" w:rsidRPr="00012C3F">
        <w:rPr>
          <w:sz w:val="20"/>
          <w:szCs w:val="20"/>
          <w:lang w:val="en-US"/>
        </w:rPr>
        <w:t xml:space="preserve"> </w:t>
      </w:r>
      <w:r w:rsidR="005D0B77" w:rsidRPr="00012C3F">
        <w:rPr>
          <w:sz w:val="20"/>
          <w:szCs w:val="20"/>
          <w:lang w:val="en-US"/>
        </w:rPr>
        <w:lastRenderedPageBreak/>
        <w:t>On February 10,</w:t>
      </w:r>
      <w:r w:rsidR="007A1A14" w:rsidRPr="00012C3F">
        <w:rPr>
          <w:sz w:val="20"/>
          <w:szCs w:val="20"/>
          <w:lang w:val="en-US"/>
        </w:rPr>
        <w:t xml:space="preserve"> 2006</w:t>
      </w:r>
      <w:r w:rsidR="005D0B77" w:rsidRPr="00012C3F">
        <w:rPr>
          <w:sz w:val="20"/>
          <w:szCs w:val="20"/>
          <w:lang w:val="en-US"/>
        </w:rPr>
        <w:t>,</w:t>
      </w:r>
      <w:r w:rsidR="007A1A14" w:rsidRPr="00012C3F">
        <w:rPr>
          <w:sz w:val="20"/>
          <w:szCs w:val="20"/>
          <w:lang w:val="en-US"/>
        </w:rPr>
        <w:t xml:space="preserve"> </w:t>
      </w:r>
      <w:r w:rsidR="002D178D" w:rsidRPr="00012C3F">
        <w:rPr>
          <w:sz w:val="20"/>
          <w:szCs w:val="20"/>
          <w:lang w:val="en-US"/>
        </w:rPr>
        <w:t>the Second Criminal Chamber</w:t>
      </w:r>
      <w:r w:rsidR="001254DE" w:rsidRPr="00012C3F">
        <w:rPr>
          <w:sz w:val="20"/>
          <w:szCs w:val="20"/>
          <w:lang w:val="en-US"/>
        </w:rPr>
        <w:t xml:space="preserve"> of the </w:t>
      </w:r>
      <w:r w:rsidR="00280806" w:rsidRPr="00012C3F">
        <w:rPr>
          <w:sz w:val="20"/>
          <w:szCs w:val="20"/>
          <w:lang w:val="en-US"/>
        </w:rPr>
        <w:t>La Paz Superior Court of Justice</w:t>
      </w:r>
      <w:r w:rsidR="007A1A14" w:rsidRPr="00012C3F">
        <w:rPr>
          <w:sz w:val="20"/>
          <w:szCs w:val="20"/>
          <w:lang w:val="en-US"/>
        </w:rPr>
        <w:t xml:space="preserve"> </w:t>
      </w:r>
      <w:r w:rsidR="005D0B77" w:rsidRPr="00012C3F">
        <w:rPr>
          <w:sz w:val="20"/>
          <w:szCs w:val="20"/>
          <w:lang w:val="en-US"/>
        </w:rPr>
        <w:t>decided to remit the proceedings to the Fourth Trial Court of</w:t>
      </w:r>
      <w:r w:rsidR="007A1A14" w:rsidRPr="00012C3F">
        <w:rPr>
          <w:sz w:val="20"/>
          <w:szCs w:val="20"/>
          <w:lang w:val="en-US"/>
        </w:rPr>
        <w:t xml:space="preserve"> La Paz</w:t>
      </w:r>
      <w:r w:rsidR="005D0B77" w:rsidRPr="00012C3F">
        <w:rPr>
          <w:sz w:val="20"/>
          <w:szCs w:val="20"/>
          <w:lang w:val="en-US"/>
        </w:rPr>
        <w:t>,</w:t>
      </w:r>
      <w:r w:rsidR="007A1A14" w:rsidRPr="00012C3F">
        <w:rPr>
          <w:rStyle w:val="Refdenotaalpie"/>
          <w:sz w:val="20"/>
          <w:szCs w:val="20"/>
          <w:lang w:val="en-US"/>
        </w:rPr>
        <w:footnoteReference w:id="133"/>
      </w:r>
      <w:r w:rsidR="005D0B77" w:rsidRPr="00012C3F">
        <w:rPr>
          <w:sz w:val="20"/>
          <w:szCs w:val="20"/>
          <w:lang w:val="en-US"/>
        </w:rPr>
        <w:t xml:space="preserve"> and this </w:t>
      </w:r>
      <w:r w:rsidR="0031214D" w:rsidRPr="00012C3F">
        <w:rPr>
          <w:sz w:val="20"/>
          <w:szCs w:val="20"/>
          <w:lang w:val="en-US"/>
        </w:rPr>
        <w:t>decision was complied with</w:t>
      </w:r>
      <w:r w:rsidR="005D0B77" w:rsidRPr="00012C3F">
        <w:rPr>
          <w:sz w:val="20"/>
          <w:szCs w:val="20"/>
          <w:lang w:val="en-US"/>
        </w:rPr>
        <w:t xml:space="preserve"> on March 16,</w:t>
      </w:r>
      <w:r w:rsidR="007A1A14" w:rsidRPr="00012C3F">
        <w:rPr>
          <w:sz w:val="20"/>
          <w:szCs w:val="20"/>
          <w:lang w:val="en-US"/>
        </w:rPr>
        <w:t xml:space="preserve"> 2006</w:t>
      </w:r>
      <w:r w:rsidR="005D0B77" w:rsidRPr="00012C3F">
        <w:rPr>
          <w:sz w:val="20"/>
          <w:szCs w:val="20"/>
          <w:lang w:val="en-US"/>
        </w:rPr>
        <w:t>.</w:t>
      </w:r>
      <w:r w:rsidR="007A1A14" w:rsidRPr="00012C3F">
        <w:rPr>
          <w:rStyle w:val="Refdenotaalpie"/>
          <w:sz w:val="20"/>
          <w:szCs w:val="20"/>
          <w:lang w:val="en-US"/>
        </w:rPr>
        <w:footnoteReference w:id="134"/>
      </w:r>
    </w:p>
    <w:p w14:paraId="39C6003F" w14:textId="77777777" w:rsidR="007A1A14" w:rsidRPr="00012C3F" w:rsidRDefault="007A1A14" w:rsidP="00287C82">
      <w:pPr>
        <w:tabs>
          <w:tab w:val="left" w:pos="720"/>
        </w:tabs>
        <w:spacing w:line="240" w:lineRule="auto"/>
        <w:rPr>
          <w:sz w:val="20"/>
          <w:szCs w:val="20"/>
          <w:lang w:val="en-US"/>
        </w:rPr>
      </w:pPr>
    </w:p>
    <w:p w14:paraId="7C044F71" w14:textId="77777777" w:rsidR="007A1A14" w:rsidRPr="00012C3F" w:rsidRDefault="00287C82" w:rsidP="00287C8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March 20,</w:t>
      </w:r>
      <w:r w:rsidR="005D0B77" w:rsidRPr="00012C3F">
        <w:rPr>
          <w:sz w:val="20"/>
          <w:szCs w:val="20"/>
          <w:lang w:val="en-US"/>
        </w:rPr>
        <w:t xml:space="preserve"> </w:t>
      </w:r>
      <w:r w:rsidR="007A1A14" w:rsidRPr="00012C3F">
        <w:rPr>
          <w:sz w:val="20"/>
          <w:szCs w:val="20"/>
          <w:lang w:val="en-US"/>
        </w:rPr>
        <w:t>2006</w:t>
      </w:r>
      <w:r w:rsidR="005D0B77" w:rsidRPr="00012C3F">
        <w:rPr>
          <w:sz w:val="20"/>
          <w:szCs w:val="20"/>
          <w:lang w:val="en-US"/>
        </w:rPr>
        <w:t>,</w:t>
      </w:r>
      <w:r w:rsidR="007A1A14" w:rsidRPr="00012C3F">
        <w:rPr>
          <w:sz w:val="20"/>
          <w:szCs w:val="20"/>
          <w:lang w:val="en-US"/>
        </w:rPr>
        <w:t xml:space="preserve"> </w:t>
      </w:r>
      <w:r w:rsidR="005D0B77" w:rsidRPr="00012C3F">
        <w:rPr>
          <w:sz w:val="20"/>
          <w:szCs w:val="20"/>
          <w:lang w:val="en-US"/>
        </w:rPr>
        <w:t>the</w:t>
      </w:r>
      <w:r w:rsidR="007A1A14" w:rsidRPr="00012C3F">
        <w:rPr>
          <w:sz w:val="20"/>
          <w:szCs w:val="20"/>
          <w:lang w:val="en-US"/>
        </w:rPr>
        <w:t xml:space="preserve"> </w:t>
      </w:r>
      <w:r w:rsidR="005D0B77" w:rsidRPr="00012C3F">
        <w:rPr>
          <w:sz w:val="20"/>
          <w:szCs w:val="20"/>
          <w:lang w:val="en-US"/>
        </w:rPr>
        <w:t>Fourth Trial Court of</w:t>
      </w:r>
      <w:r w:rsidR="007A1A14" w:rsidRPr="00012C3F">
        <w:rPr>
          <w:sz w:val="20"/>
          <w:szCs w:val="20"/>
          <w:lang w:val="en-US"/>
        </w:rPr>
        <w:t xml:space="preserve"> La Paz </w:t>
      </w:r>
      <w:r w:rsidR="005D0B77" w:rsidRPr="00012C3F">
        <w:rPr>
          <w:sz w:val="20"/>
          <w:szCs w:val="20"/>
          <w:lang w:val="en-US"/>
        </w:rPr>
        <w:t>returned the case to</w:t>
      </w:r>
      <w:r w:rsidR="007A1A14" w:rsidRPr="00012C3F">
        <w:rPr>
          <w:sz w:val="20"/>
          <w:szCs w:val="20"/>
          <w:lang w:val="en-US"/>
        </w:rPr>
        <w:t xml:space="preserve"> </w:t>
      </w:r>
      <w:r w:rsidR="002D178D" w:rsidRPr="00012C3F">
        <w:rPr>
          <w:sz w:val="20"/>
          <w:szCs w:val="20"/>
          <w:lang w:val="en-US"/>
        </w:rPr>
        <w:t>the Second Criminal Chamber</w:t>
      </w:r>
      <w:r w:rsidR="001254DE" w:rsidRPr="00012C3F">
        <w:rPr>
          <w:sz w:val="20"/>
          <w:szCs w:val="20"/>
          <w:lang w:val="en-US"/>
        </w:rPr>
        <w:t xml:space="preserve"> of the </w:t>
      </w:r>
      <w:r w:rsidR="00280806" w:rsidRPr="00012C3F">
        <w:rPr>
          <w:sz w:val="20"/>
          <w:szCs w:val="20"/>
          <w:lang w:val="en-US"/>
        </w:rPr>
        <w:t>La Paz Superior Court of Justice</w:t>
      </w:r>
      <w:r w:rsidR="007A1A14" w:rsidRPr="00012C3F">
        <w:rPr>
          <w:sz w:val="20"/>
          <w:szCs w:val="20"/>
          <w:lang w:val="en-US"/>
        </w:rPr>
        <w:t xml:space="preserve"> </w:t>
      </w:r>
      <w:r w:rsidR="005D0B77" w:rsidRPr="00012C3F">
        <w:rPr>
          <w:sz w:val="20"/>
          <w:szCs w:val="20"/>
          <w:lang w:val="en-US"/>
        </w:rPr>
        <w:t>for the latter to remedy a procedural defect.</w:t>
      </w:r>
      <w:r w:rsidR="007A1A14" w:rsidRPr="00012C3F">
        <w:rPr>
          <w:rStyle w:val="Refdenotaalpie"/>
          <w:sz w:val="20"/>
          <w:szCs w:val="20"/>
          <w:lang w:val="en-US"/>
        </w:rPr>
        <w:footnoteReference w:id="135"/>
      </w:r>
      <w:r w:rsidR="007A1A14" w:rsidRPr="00012C3F">
        <w:rPr>
          <w:sz w:val="20"/>
          <w:szCs w:val="20"/>
          <w:lang w:val="en-US"/>
        </w:rPr>
        <w:t xml:space="preserve"> </w:t>
      </w:r>
      <w:r w:rsidR="005D0B77" w:rsidRPr="00012C3F">
        <w:rPr>
          <w:sz w:val="20"/>
          <w:szCs w:val="20"/>
          <w:lang w:val="en-US"/>
        </w:rPr>
        <w:t>On April 10,</w:t>
      </w:r>
      <w:r w:rsidR="007A1A14" w:rsidRPr="00012C3F">
        <w:rPr>
          <w:sz w:val="20"/>
          <w:szCs w:val="20"/>
          <w:lang w:val="en-US"/>
        </w:rPr>
        <w:t xml:space="preserve"> 2006</w:t>
      </w:r>
      <w:r w:rsidR="005D0B77" w:rsidRPr="00012C3F">
        <w:rPr>
          <w:sz w:val="20"/>
          <w:szCs w:val="20"/>
          <w:lang w:val="en-US"/>
        </w:rPr>
        <w:t xml:space="preserve">, the same court </w:t>
      </w:r>
      <w:r w:rsidR="0031214D" w:rsidRPr="00012C3F">
        <w:rPr>
          <w:sz w:val="20"/>
          <w:szCs w:val="20"/>
          <w:lang w:val="en-US"/>
        </w:rPr>
        <w:t>set aside its decision</w:t>
      </w:r>
      <w:r w:rsidR="007A1A14" w:rsidRPr="00012C3F">
        <w:rPr>
          <w:sz w:val="20"/>
          <w:szCs w:val="20"/>
          <w:lang w:val="en-US"/>
        </w:rPr>
        <w:t xml:space="preserve"> </w:t>
      </w:r>
      <w:r w:rsidR="005D0B77" w:rsidRPr="00012C3F">
        <w:rPr>
          <w:sz w:val="20"/>
          <w:szCs w:val="20"/>
          <w:lang w:val="en-US"/>
        </w:rPr>
        <w:t>of</w:t>
      </w:r>
      <w:r w:rsidRPr="00012C3F">
        <w:rPr>
          <w:sz w:val="20"/>
          <w:szCs w:val="20"/>
          <w:lang w:val="en-US"/>
        </w:rPr>
        <w:t xml:space="preserve"> March 20,</w:t>
      </w:r>
      <w:r w:rsidR="005D0B77" w:rsidRPr="00012C3F">
        <w:rPr>
          <w:sz w:val="20"/>
          <w:szCs w:val="20"/>
          <w:lang w:val="en-US"/>
        </w:rPr>
        <w:t xml:space="preserve"> </w:t>
      </w:r>
      <w:r w:rsidR="007A1A14" w:rsidRPr="00012C3F">
        <w:rPr>
          <w:sz w:val="20"/>
          <w:szCs w:val="20"/>
          <w:lang w:val="en-US"/>
        </w:rPr>
        <w:t>2006</w:t>
      </w:r>
      <w:r w:rsidR="005D0B77" w:rsidRPr="00012C3F">
        <w:rPr>
          <w:sz w:val="20"/>
          <w:szCs w:val="20"/>
          <w:lang w:val="en-US"/>
        </w:rPr>
        <w:t>, and admitted the case.</w:t>
      </w:r>
      <w:r w:rsidR="007A1A14" w:rsidRPr="00012C3F">
        <w:rPr>
          <w:rStyle w:val="Refdenotaalpie"/>
          <w:sz w:val="20"/>
          <w:szCs w:val="20"/>
          <w:lang w:val="en-US"/>
        </w:rPr>
        <w:footnoteReference w:id="136"/>
      </w:r>
    </w:p>
    <w:p w14:paraId="4C68AB18" w14:textId="77777777" w:rsidR="007A1A14" w:rsidRPr="00012C3F" w:rsidRDefault="007A1A14" w:rsidP="00287C82">
      <w:pPr>
        <w:tabs>
          <w:tab w:val="left" w:pos="720"/>
        </w:tabs>
        <w:spacing w:line="240" w:lineRule="auto"/>
        <w:rPr>
          <w:sz w:val="20"/>
          <w:szCs w:val="20"/>
          <w:lang w:val="en-US"/>
        </w:rPr>
      </w:pPr>
    </w:p>
    <w:p w14:paraId="66789A19" w14:textId="77777777" w:rsidR="007A1A14" w:rsidRPr="00012C3F" w:rsidRDefault="00583403" w:rsidP="005D0B77">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April 28,</w:t>
      </w:r>
      <w:r w:rsidR="007A1A14" w:rsidRPr="00012C3F">
        <w:rPr>
          <w:sz w:val="20"/>
          <w:szCs w:val="20"/>
          <w:lang w:val="en-US"/>
        </w:rPr>
        <w:t xml:space="preserve"> 2006</w:t>
      </w:r>
      <w:r w:rsidR="005D0B77" w:rsidRPr="00012C3F">
        <w:rPr>
          <w:sz w:val="20"/>
          <w:szCs w:val="20"/>
          <w:lang w:val="en-US"/>
        </w:rPr>
        <w:t>,</w:t>
      </w:r>
      <w:r w:rsidR="007A1A14" w:rsidRPr="00012C3F">
        <w:rPr>
          <w:sz w:val="20"/>
          <w:szCs w:val="20"/>
          <w:lang w:val="en-US"/>
        </w:rPr>
        <w:t xml:space="preserve"> </w:t>
      </w:r>
      <w:r w:rsidR="005D0B77" w:rsidRPr="00012C3F">
        <w:rPr>
          <w:sz w:val="20"/>
          <w:szCs w:val="20"/>
          <w:lang w:val="en-US"/>
        </w:rPr>
        <w:t>the</w:t>
      </w:r>
      <w:r w:rsidR="003B4921" w:rsidRPr="00012C3F">
        <w:rPr>
          <w:sz w:val="20"/>
          <w:szCs w:val="20"/>
          <w:lang w:val="en-US"/>
        </w:rPr>
        <w:t xml:space="preserve"> </w:t>
      </w:r>
      <w:r w:rsidR="0099356C" w:rsidRPr="00012C3F">
        <w:rPr>
          <w:sz w:val="20"/>
          <w:szCs w:val="20"/>
          <w:lang w:val="en-US"/>
        </w:rPr>
        <w:t>instructing physician</w:t>
      </w:r>
      <w:r w:rsidR="005D0B77" w:rsidRPr="00012C3F">
        <w:rPr>
          <w:sz w:val="20"/>
          <w:szCs w:val="20"/>
          <w:lang w:val="en-US"/>
        </w:rPr>
        <w:t xml:space="preserve">’s defense </w:t>
      </w:r>
      <w:r w:rsidR="007A1A14" w:rsidRPr="00012C3F">
        <w:rPr>
          <w:sz w:val="20"/>
          <w:szCs w:val="20"/>
          <w:lang w:val="en-US"/>
        </w:rPr>
        <w:t>f</w:t>
      </w:r>
      <w:r w:rsidR="005D0B77" w:rsidRPr="00012C3F">
        <w:rPr>
          <w:sz w:val="20"/>
          <w:szCs w:val="20"/>
          <w:lang w:val="en-US"/>
        </w:rPr>
        <w:t xml:space="preserve">iled a </w:t>
      </w:r>
      <w:r w:rsidR="0031214D" w:rsidRPr="00012C3F">
        <w:rPr>
          <w:sz w:val="20"/>
          <w:szCs w:val="20"/>
          <w:lang w:val="en-US"/>
        </w:rPr>
        <w:t>motion</w:t>
      </w:r>
      <w:r w:rsidR="005D0B77" w:rsidRPr="00012C3F">
        <w:rPr>
          <w:sz w:val="20"/>
          <w:szCs w:val="20"/>
          <w:lang w:val="en-US"/>
        </w:rPr>
        <w:t xml:space="preserve"> that the criminal action be extinguished, based on article 133 of the Bolivian Code of Criminal Procedure,</w:t>
      </w:r>
      <w:r w:rsidR="00D715D6" w:rsidRPr="00012C3F">
        <w:rPr>
          <w:rStyle w:val="Refdenotaalpie"/>
          <w:sz w:val="20"/>
          <w:szCs w:val="20"/>
          <w:lang w:val="en-US"/>
        </w:rPr>
        <w:footnoteReference w:id="137"/>
      </w:r>
      <w:r w:rsidR="007A1A14" w:rsidRPr="00012C3F">
        <w:rPr>
          <w:sz w:val="20"/>
          <w:szCs w:val="20"/>
          <w:lang w:val="en-US"/>
        </w:rPr>
        <w:t xml:space="preserve"> </w:t>
      </w:r>
      <w:r w:rsidR="005D0B77" w:rsidRPr="00012C3F">
        <w:rPr>
          <w:sz w:val="20"/>
          <w:szCs w:val="20"/>
          <w:lang w:val="en-US"/>
        </w:rPr>
        <w:t>because more than three years had elapsed since the first action of the proceedings against him.</w:t>
      </w:r>
      <w:r w:rsidR="007A1A14" w:rsidRPr="00012C3F">
        <w:rPr>
          <w:rStyle w:val="Refdenotaalpie"/>
          <w:sz w:val="20"/>
          <w:szCs w:val="20"/>
          <w:lang w:val="en-US"/>
        </w:rPr>
        <w:footnoteReference w:id="138"/>
      </w:r>
      <w:r w:rsidR="007A1A14" w:rsidRPr="00012C3F">
        <w:rPr>
          <w:sz w:val="20"/>
          <w:szCs w:val="20"/>
          <w:lang w:val="en-US"/>
        </w:rPr>
        <w:t xml:space="preserve"> </w:t>
      </w:r>
      <w:r w:rsidR="005D0B77" w:rsidRPr="00012C3F">
        <w:rPr>
          <w:sz w:val="20"/>
          <w:szCs w:val="20"/>
          <w:lang w:val="en-US"/>
        </w:rPr>
        <w:t>The oral trial began on May 7, 2006.</w:t>
      </w:r>
      <w:r w:rsidR="007A1A14" w:rsidRPr="00012C3F">
        <w:rPr>
          <w:rStyle w:val="Refdenotaalpie"/>
          <w:sz w:val="20"/>
          <w:szCs w:val="20"/>
          <w:lang w:val="en-US"/>
        </w:rPr>
        <w:footnoteReference w:id="139"/>
      </w:r>
      <w:r w:rsidR="007A1A14" w:rsidRPr="00012C3F">
        <w:rPr>
          <w:sz w:val="20"/>
          <w:szCs w:val="20"/>
          <w:lang w:val="en-US"/>
        </w:rPr>
        <w:t xml:space="preserve"> </w:t>
      </w:r>
      <w:r w:rsidR="005D0B77" w:rsidRPr="00012C3F">
        <w:rPr>
          <w:sz w:val="20"/>
          <w:szCs w:val="20"/>
          <w:lang w:val="en-US"/>
        </w:rPr>
        <w:t xml:space="preserve">When the oral trial was re-started on June 1, </w:t>
      </w:r>
      <w:r w:rsidR="007A1A14" w:rsidRPr="00012C3F">
        <w:rPr>
          <w:sz w:val="20"/>
          <w:szCs w:val="20"/>
          <w:lang w:val="en-US"/>
        </w:rPr>
        <w:t xml:space="preserve">2006, </w:t>
      </w:r>
      <w:r w:rsidR="005D0B77" w:rsidRPr="00012C3F">
        <w:rPr>
          <w:sz w:val="20"/>
          <w:szCs w:val="20"/>
          <w:lang w:val="en-US"/>
        </w:rPr>
        <w:t>the</w:t>
      </w:r>
      <w:r w:rsidR="007A1A14" w:rsidRPr="00012C3F">
        <w:rPr>
          <w:sz w:val="20"/>
          <w:szCs w:val="20"/>
          <w:lang w:val="en-US"/>
        </w:rPr>
        <w:t xml:space="preserve"> </w:t>
      </w:r>
      <w:r w:rsidR="005D0B77" w:rsidRPr="00012C3F">
        <w:rPr>
          <w:sz w:val="20"/>
          <w:szCs w:val="20"/>
          <w:lang w:val="en-US"/>
        </w:rPr>
        <w:t>Fourth Trial Court of</w:t>
      </w:r>
      <w:r w:rsidR="007A1A14" w:rsidRPr="00012C3F">
        <w:rPr>
          <w:sz w:val="20"/>
          <w:szCs w:val="20"/>
          <w:lang w:val="en-US"/>
        </w:rPr>
        <w:t xml:space="preserve"> La Paz declar</w:t>
      </w:r>
      <w:r w:rsidR="005D0B77" w:rsidRPr="00012C3F">
        <w:rPr>
          <w:sz w:val="20"/>
          <w:szCs w:val="20"/>
          <w:lang w:val="en-US"/>
        </w:rPr>
        <w:t xml:space="preserve">ed that the </w:t>
      </w:r>
      <w:r w:rsidR="0031214D" w:rsidRPr="00012C3F">
        <w:rPr>
          <w:sz w:val="20"/>
          <w:szCs w:val="20"/>
          <w:lang w:val="en-US"/>
        </w:rPr>
        <w:t>motion</w:t>
      </w:r>
      <w:r w:rsidR="005D0B77" w:rsidRPr="00012C3F">
        <w:rPr>
          <w:sz w:val="20"/>
          <w:szCs w:val="20"/>
          <w:lang w:val="en-US"/>
        </w:rPr>
        <w:t xml:space="preserve"> </w:t>
      </w:r>
      <w:r w:rsidR="009677E7" w:rsidRPr="00012C3F">
        <w:rPr>
          <w:sz w:val="20"/>
          <w:szCs w:val="20"/>
          <w:lang w:val="en-US"/>
        </w:rPr>
        <w:t>for</w:t>
      </w:r>
      <w:r w:rsidR="005D0B77" w:rsidRPr="00012C3F">
        <w:rPr>
          <w:sz w:val="20"/>
          <w:szCs w:val="20"/>
          <w:lang w:val="en-US"/>
        </w:rPr>
        <w:t xml:space="preserve"> the action </w:t>
      </w:r>
      <w:r w:rsidR="009677E7" w:rsidRPr="00012C3F">
        <w:rPr>
          <w:sz w:val="20"/>
          <w:szCs w:val="20"/>
          <w:lang w:val="en-US"/>
        </w:rPr>
        <w:t xml:space="preserve">to </w:t>
      </w:r>
      <w:r w:rsidR="005D0B77" w:rsidRPr="00012C3F">
        <w:rPr>
          <w:sz w:val="20"/>
          <w:szCs w:val="20"/>
          <w:lang w:val="en-US"/>
        </w:rPr>
        <w:t xml:space="preserve">be extinguished </w:t>
      </w:r>
      <w:r w:rsidR="0031214D" w:rsidRPr="00012C3F">
        <w:rPr>
          <w:sz w:val="20"/>
          <w:szCs w:val="20"/>
          <w:lang w:val="en-US"/>
        </w:rPr>
        <w:t xml:space="preserve">was founded </w:t>
      </w:r>
      <w:r w:rsidR="005D0B77" w:rsidRPr="00012C3F">
        <w:rPr>
          <w:sz w:val="20"/>
          <w:szCs w:val="20"/>
          <w:lang w:val="en-US"/>
        </w:rPr>
        <w:t>and ordered that the case be closed.</w:t>
      </w:r>
      <w:r w:rsidR="007A1A14" w:rsidRPr="00012C3F">
        <w:rPr>
          <w:rStyle w:val="Refdenotaalpie"/>
          <w:sz w:val="20"/>
          <w:szCs w:val="20"/>
          <w:lang w:val="en-US"/>
        </w:rPr>
        <w:footnoteReference w:id="140"/>
      </w:r>
      <w:r w:rsidR="005D0B77" w:rsidRPr="00012C3F">
        <w:rPr>
          <w:sz w:val="20"/>
          <w:szCs w:val="20"/>
          <w:lang w:val="en-US"/>
        </w:rPr>
        <w:t xml:space="preserve"> This decision indicated that</w:t>
      </w:r>
      <w:r w:rsidR="0031214D" w:rsidRPr="00012C3F">
        <w:rPr>
          <w:sz w:val="20"/>
          <w:szCs w:val="20"/>
          <w:lang w:val="en-US"/>
        </w:rPr>
        <w:t xml:space="preserve"> it was </w:t>
      </w:r>
      <w:r w:rsidR="009677E7" w:rsidRPr="00012C3F">
        <w:rPr>
          <w:sz w:val="20"/>
          <w:szCs w:val="20"/>
          <w:lang w:val="en-US"/>
        </w:rPr>
        <w:t xml:space="preserve">the </w:t>
      </w:r>
      <w:r w:rsidR="0031214D" w:rsidRPr="00012C3F">
        <w:rPr>
          <w:sz w:val="20"/>
          <w:szCs w:val="20"/>
          <w:lang w:val="en-US"/>
        </w:rPr>
        <w:t>organs responsible for the administration of justice that had caused</w:t>
      </w:r>
      <w:r w:rsidR="005D0B77" w:rsidRPr="00012C3F">
        <w:rPr>
          <w:sz w:val="20"/>
          <w:szCs w:val="20"/>
          <w:lang w:val="en-US"/>
        </w:rPr>
        <w:t xml:space="preserve"> the delays</w:t>
      </w:r>
      <w:r w:rsidR="0031214D" w:rsidRPr="00012C3F">
        <w:rPr>
          <w:sz w:val="20"/>
          <w:szCs w:val="20"/>
          <w:lang w:val="en-US"/>
        </w:rPr>
        <w:t xml:space="preserve"> </w:t>
      </w:r>
      <w:r w:rsidR="005D0B77" w:rsidRPr="00012C3F">
        <w:rPr>
          <w:sz w:val="20"/>
          <w:szCs w:val="20"/>
          <w:lang w:val="en-US"/>
        </w:rPr>
        <w:t>and considered:</w:t>
      </w:r>
    </w:p>
    <w:p w14:paraId="3BBC9DE1" w14:textId="77777777" w:rsidR="007A1A14" w:rsidRPr="00012C3F" w:rsidRDefault="007A1A14" w:rsidP="007A1A14">
      <w:pPr>
        <w:spacing w:line="240" w:lineRule="auto"/>
        <w:rPr>
          <w:sz w:val="20"/>
          <w:szCs w:val="20"/>
          <w:lang w:val="en-US"/>
        </w:rPr>
      </w:pPr>
    </w:p>
    <w:p w14:paraId="4E0190B0" w14:textId="77777777" w:rsidR="007A1A14" w:rsidRPr="00012C3F" w:rsidRDefault="00214252" w:rsidP="00177A56">
      <w:pPr>
        <w:tabs>
          <w:tab w:val="left" w:pos="1080"/>
          <w:tab w:val="left" w:pos="1680"/>
          <w:tab w:val="left" w:pos="5400"/>
        </w:tabs>
        <w:suppressAutoHyphens/>
        <w:spacing w:line="240" w:lineRule="auto"/>
        <w:ind w:left="720" w:right="546"/>
        <w:rPr>
          <w:sz w:val="16"/>
          <w:szCs w:val="16"/>
          <w:lang w:val="en-US"/>
        </w:rPr>
      </w:pPr>
      <w:r w:rsidRPr="00012C3F">
        <w:rPr>
          <w:sz w:val="16"/>
          <w:szCs w:val="16"/>
          <w:lang w:val="en-US"/>
        </w:rPr>
        <w:t xml:space="preserve">That the </w:t>
      </w:r>
      <w:r w:rsidR="00177A56" w:rsidRPr="00012C3F">
        <w:rPr>
          <w:sz w:val="16"/>
          <w:szCs w:val="16"/>
          <w:lang w:val="en-US"/>
        </w:rPr>
        <w:t xml:space="preserve">case </w:t>
      </w:r>
      <w:r w:rsidRPr="00012C3F">
        <w:rPr>
          <w:sz w:val="16"/>
          <w:szCs w:val="16"/>
          <w:lang w:val="en-US"/>
        </w:rPr>
        <w:t xml:space="preserve">documents reveal quite clearly </w:t>
      </w:r>
      <w:r w:rsidR="00177A56" w:rsidRPr="00012C3F">
        <w:rPr>
          <w:sz w:val="16"/>
          <w:szCs w:val="16"/>
          <w:lang w:val="en-US"/>
        </w:rPr>
        <w:t xml:space="preserve">that there has </w:t>
      </w:r>
      <w:r w:rsidRPr="00012C3F">
        <w:rPr>
          <w:sz w:val="16"/>
          <w:szCs w:val="16"/>
          <w:lang w:val="en-US"/>
        </w:rPr>
        <w:t xml:space="preserve">been </w:t>
      </w:r>
      <w:r w:rsidR="00177A56" w:rsidRPr="00012C3F">
        <w:rPr>
          <w:sz w:val="16"/>
          <w:szCs w:val="16"/>
          <w:lang w:val="en-US"/>
        </w:rPr>
        <w:t xml:space="preserve">a </w:t>
      </w:r>
      <w:r w:rsidRPr="00012C3F">
        <w:rPr>
          <w:sz w:val="16"/>
          <w:szCs w:val="16"/>
          <w:lang w:val="en-US"/>
        </w:rPr>
        <w:t xml:space="preserve">delay related, </w:t>
      </w:r>
      <w:r w:rsidR="00177A56" w:rsidRPr="00012C3F">
        <w:rPr>
          <w:sz w:val="16"/>
          <w:szCs w:val="16"/>
          <w:lang w:val="en-US"/>
        </w:rPr>
        <w:t>first</w:t>
      </w:r>
      <w:r w:rsidRPr="00012C3F">
        <w:rPr>
          <w:sz w:val="16"/>
          <w:szCs w:val="16"/>
          <w:lang w:val="en-US"/>
        </w:rPr>
        <w:t xml:space="preserve">, </w:t>
      </w:r>
      <w:r w:rsidR="00177A56" w:rsidRPr="00012C3F">
        <w:rPr>
          <w:sz w:val="16"/>
          <w:szCs w:val="16"/>
          <w:lang w:val="en-US"/>
        </w:rPr>
        <w:t>to</w:t>
      </w:r>
      <w:r w:rsidRPr="00012C3F">
        <w:rPr>
          <w:sz w:val="16"/>
          <w:szCs w:val="16"/>
          <w:lang w:val="en-US"/>
        </w:rPr>
        <w:t xml:space="preserve"> the ineffectiveness of the officials responsible for delivering correct notifications for the constitution of a court jury and, then, </w:t>
      </w:r>
      <w:r w:rsidR="00177A56" w:rsidRPr="00012C3F">
        <w:rPr>
          <w:sz w:val="16"/>
          <w:szCs w:val="16"/>
          <w:lang w:val="en-US"/>
        </w:rPr>
        <w:t>to</w:t>
      </w:r>
      <w:r w:rsidRPr="00012C3F">
        <w:rPr>
          <w:sz w:val="16"/>
          <w:szCs w:val="16"/>
          <w:lang w:val="en-US"/>
        </w:rPr>
        <w:t xml:space="preserve"> jurisdictional bodies that, for trivial reasons, have proceeded to suspend hearings and move the case from one jurisdiction to another [...]. </w:t>
      </w:r>
      <w:r w:rsidR="00177A56" w:rsidRPr="00012C3F">
        <w:rPr>
          <w:sz w:val="16"/>
          <w:szCs w:val="16"/>
          <w:lang w:val="en-US"/>
        </w:rPr>
        <w:t>T</w:t>
      </w:r>
      <w:r w:rsidRPr="00012C3F">
        <w:rPr>
          <w:sz w:val="16"/>
          <w:szCs w:val="16"/>
          <w:lang w:val="en-US"/>
        </w:rPr>
        <w:t xml:space="preserve">he organs responsible for administering justice have </w:t>
      </w:r>
      <w:r w:rsidR="00177A56" w:rsidRPr="00012C3F">
        <w:rPr>
          <w:sz w:val="16"/>
          <w:szCs w:val="16"/>
          <w:lang w:val="en-US"/>
        </w:rPr>
        <w:t>to</w:t>
      </w:r>
      <w:r w:rsidRPr="00012C3F">
        <w:rPr>
          <w:sz w:val="16"/>
          <w:szCs w:val="16"/>
          <w:lang w:val="en-US"/>
        </w:rPr>
        <w:t>yed with the law in a way that seriously impaired the correct administration of justice.</w:t>
      </w:r>
      <w:r w:rsidR="007A1A14" w:rsidRPr="00012C3F">
        <w:rPr>
          <w:rStyle w:val="Refdenotaalpie"/>
          <w:sz w:val="16"/>
          <w:szCs w:val="16"/>
          <w:lang w:val="en-US"/>
        </w:rPr>
        <w:footnoteReference w:id="141"/>
      </w:r>
    </w:p>
    <w:p w14:paraId="2D188283" w14:textId="77777777" w:rsidR="007A1A14" w:rsidRPr="00012C3F" w:rsidRDefault="007A1A14" w:rsidP="007A1A14">
      <w:pPr>
        <w:spacing w:line="240" w:lineRule="auto"/>
        <w:ind w:left="360" w:right="360"/>
        <w:rPr>
          <w:sz w:val="20"/>
          <w:szCs w:val="20"/>
          <w:lang w:val="en-US"/>
        </w:rPr>
      </w:pPr>
    </w:p>
    <w:p w14:paraId="20539583" w14:textId="77777777" w:rsidR="007A1A14" w:rsidRPr="00012C3F" w:rsidRDefault="00214252" w:rsidP="0021425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Both the prosecutor and I.V. filed an appeal against the decision declaring the extinction of the c</w:t>
      </w:r>
      <w:r w:rsidR="006C705C" w:rsidRPr="00012C3F">
        <w:rPr>
          <w:sz w:val="20"/>
          <w:szCs w:val="20"/>
          <w:lang w:val="en-US"/>
        </w:rPr>
        <w:t>riminal proceedings</w:t>
      </w:r>
      <w:r w:rsidRPr="00012C3F">
        <w:rPr>
          <w:sz w:val="20"/>
          <w:szCs w:val="20"/>
          <w:lang w:val="en-US"/>
        </w:rPr>
        <w:t>.</w:t>
      </w:r>
      <w:r w:rsidR="007A1A14" w:rsidRPr="00012C3F">
        <w:rPr>
          <w:rStyle w:val="Refdenotaalpie"/>
          <w:sz w:val="20"/>
          <w:szCs w:val="20"/>
          <w:lang w:val="en-US"/>
        </w:rPr>
        <w:footnoteReference w:id="142"/>
      </w:r>
      <w:r w:rsidR="00113FF5" w:rsidRPr="00012C3F">
        <w:rPr>
          <w:sz w:val="20"/>
          <w:szCs w:val="20"/>
          <w:lang w:val="en-US"/>
        </w:rPr>
        <w:t xml:space="preserve"> </w:t>
      </w:r>
      <w:r w:rsidRPr="00012C3F">
        <w:rPr>
          <w:sz w:val="20"/>
          <w:szCs w:val="20"/>
          <w:lang w:val="en-US"/>
        </w:rPr>
        <w:t>On August 23,</w:t>
      </w:r>
      <w:r w:rsidR="007A1A14" w:rsidRPr="00012C3F">
        <w:rPr>
          <w:sz w:val="20"/>
          <w:szCs w:val="20"/>
          <w:lang w:val="en-US"/>
        </w:rPr>
        <w:t xml:space="preserve"> 2006</w:t>
      </w:r>
      <w:r w:rsidRPr="00012C3F">
        <w:rPr>
          <w:sz w:val="20"/>
          <w:szCs w:val="20"/>
          <w:lang w:val="en-US"/>
        </w:rPr>
        <w:t>,</w:t>
      </w:r>
      <w:r w:rsidR="007A1A14" w:rsidRPr="00012C3F">
        <w:rPr>
          <w:sz w:val="20"/>
          <w:szCs w:val="20"/>
          <w:lang w:val="en-US"/>
        </w:rPr>
        <w:t xml:space="preserve"> </w:t>
      </w:r>
      <w:r w:rsidR="002D178D" w:rsidRPr="00012C3F">
        <w:rPr>
          <w:sz w:val="20"/>
          <w:szCs w:val="20"/>
          <w:lang w:val="en-US"/>
        </w:rPr>
        <w:t>the First Criminal Chamber</w:t>
      </w:r>
      <w:r w:rsidR="001254DE" w:rsidRPr="00012C3F">
        <w:rPr>
          <w:sz w:val="20"/>
          <w:szCs w:val="20"/>
          <w:lang w:val="en-US"/>
        </w:rPr>
        <w:t xml:space="preserve"> of the </w:t>
      </w:r>
      <w:r w:rsidR="00843CB6" w:rsidRPr="00012C3F">
        <w:rPr>
          <w:sz w:val="20"/>
          <w:szCs w:val="20"/>
          <w:lang w:val="en-US"/>
        </w:rPr>
        <w:t>Superior Court</w:t>
      </w:r>
      <w:r w:rsidR="007A1A14" w:rsidRPr="00012C3F">
        <w:rPr>
          <w:sz w:val="20"/>
          <w:szCs w:val="20"/>
          <w:lang w:val="en-US"/>
        </w:rPr>
        <w:t xml:space="preserve"> </w:t>
      </w:r>
      <w:r w:rsidRPr="00012C3F">
        <w:rPr>
          <w:sz w:val="20"/>
          <w:szCs w:val="20"/>
          <w:lang w:val="en-US"/>
        </w:rPr>
        <w:t>of</w:t>
      </w:r>
      <w:r w:rsidR="007A1A14" w:rsidRPr="00012C3F">
        <w:rPr>
          <w:sz w:val="20"/>
          <w:szCs w:val="20"/>
          <w:lang w:val="en-US"/>
        </w:rPr>
        <w:t xml:space="preserve"> La Paz declar</w:t>
      </w:r>
      <w:r w:rsidRPr="00012C3F">
        <w:rPr>
          <w:sz w:val="20"/>
          <w:szCs w:val="20"/>
          <w:lang w:val="en-US"/>
        </w:rPr>
        <w:t>ed the appeals inadmissible and the questions raised irrelevant and, therefore, confirmed the contested decision.</w:t>
      </w:r>
      <w:r w:rsidR="007A1A14" w:rsidRPr="00012C3F">
        <w:rPr>
          <w:rStyle w:val="Refdenotaalpie"/>
          <w:sz w:val="20"/>
          <w:szCs w:val="20"/>
          <w:lang w:val="en-US"/>
        </w:rPr>
        <w:footnoteReference w:id="143"/>
      </w:r>
      <w:r w:rsidR="007A1A14" w:rsidRPr="00012C3F">
        <w:rPr>
          <w:sz w:val="20"/>
          <w:szCs w:val="20"/>
          <w:lang w:val="en-US"/>
        </w:rPr>
        <w:t xml:space="preserve"> </w:t>
      </w:r>
      <w:r w:rsidRPr="00012C3F">
        <w:rPr>
          <w:sz w:val="20"/>
          <w:szCs w:val="20"/>
          <w:lang w:val="en-US"/>
        </w:rPr>
        <w:t xml:space="preserve">This ruling reiterated that the delays in the proceedings were </w:t>
      </w:r>
      <w:r w:rsidRPr="00012C3F">
        <w:rPr>
          <w:sz w:val="20"/>
          <w:szCs w:val="20"/>
          <w:lang w:val="en-US"/>
        </w:rPr>
        <w:lastRenderedPageBreak/>
        <w:t xml:space="preserve">attributable to the courts, indicating: “[a] review of the court records shows that the delay </w:t>
      </w:r>
      <w:r w:rsidR="00BF294B" w:rsidRPr="00012C3F">
        <w:rPr>
          <w:sz w:val="20"/>
          <w:szCs w:val="20"/>
          <w:lang w:val="en-US"/>
        </w:rPr>
        <w:t>is attributable to the court hearing the case because, twice, it caused the proceedings to be annulled due to procedural defects.</w:t>
      </w:r>
      <w:r w:rsidR="007A1A14" w:rsidRPr="00012C3F">
        <w:rPr>
          <w:sz w:val="20"/>
          <w:szCs w:val="20"/>
          <w:lang w:val="en-US"/>
        </w:rPr>
        <w:t>”</w:t>
      </w:r>
      <w:r w:rsidR="007A1A14" w:rsidRPr="00012C3F">
        <w:rPr>
          <w:rStyle w:val="Refdenotaalpie"/>
          <w:sz w:val="20"/>
          <w:szCs w:val="20"/>
          <w:lang w:val="en-US"/>
        </w:rPr>
        <w:footnoteReference w:id="144"/>
      </w:r>
    </w:p>
    <w:p w14:paraId="419B85BA" w14:textId="77777777" w:rsidR="007A1A14" w:rsidRPr="00012C3F" w:rsidRDefault="007A1A14" w:rsidP="007A1A14">
      <w:pPr>
        <w:spacing w:line="240" w:lineRule="auto"/>
        <w:rPr>
          <w:sz w:val="20"/>
          <w:szCs w:val="20"/>
          <w:lang w:val="en-US"/>
        </w:rPr>
      </w:pPr>
    </w:p>
    <w:p w14:paraId="066600D3" w14:textId="77777777" w:rsidR="007A1A14" w:rsidRPr="00012C3F" w:rsidRDefault="00BF294B" w:rsidP="00BF294B">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September 21,</w:t>
      </w:r>
      <w:r w:rsidR="007A1A14" w:rsidRPr="00012C3F">
        <w:rPr>
          <w:sz w:val="20"/>
          <w:szCs w:val="20"/>
          <w:lang w:val="en-US"/>
        </w:rPr>
        <w:t xml:space="preserve"> 2006</w:t>
      </w:r>
      <w:r w:rsidRPr="00012C3F">
        <w:rPr>
          <w:sz w:val="20"/>
          <w:szCs w:val="20"/>
          <w:lang w:val="en-US"/>
        </w:rPr>
        <w:t>, the</w:t>
      </w:r>
      <w:r w:rsidR="007A1A14" w:rsidRPr="00012C3F">
        <w:rPr>
          <w:sz w:val="20"/>
          <w:szCs w:val="20"/>
          <w:lang w:val="en-US"/>
        </w:rPr>
        <w:t xml:space="preserve"> </w:t>
      </w:r>
      <w:r w:rsidR="005D0B77" w:rsidRPr="00012C3F">
        <w:rPr>
          <w:sz w:val="20"/>
          <w:szCs w:val="20"/>
          <w:lang w:val="en-US"/>
        </w:rPr>
        <w:t>Fourth Trial Court of</w:t>
      </w:r>
      <w:r w:rsidR="007A1A14" w:rsidRPr="00012C3F">
        <w:rPr>
          <w:sz w:val="20"/>
          <w:szCs w:val="20"/>
          <w:lang w:val="en-US"/>
        </w:rPr>
        <w:t xml:space="preserve"> La Paz indic</w:t>
      </w:r>
      <w:r w:rsidRPr="00012C3F">
        <w:rPr>
          <w:sz w:val="20"/>
          <w:szCs w:val="20"/>
          <w:lang w:val="en-US"/>
        </w:rPr>
        <w:t xml:space="preserve">ated that, by law, the </w:t>
      </w:r>
      <w:r w:rsidR="00177A56" w:rsidRPr="00012C3F">
        <w:rPr>
          <w:sz w:val="20"/>
          <w:szCs w:val="20"/>
          <w:lang w:val="en-US"/>
        </w:rPr>
        <w:t>said</w:t>
      </w:r>
      <w:r w:rsidRPr="00012C3F">
        <w:rPr>
          <w:sz w:val="20"/>
          <w:szCs w:val="20"/>
          <w:lang w:val="en-US"/>
        </w:rPr>
        <w:t xml:space="preserve"> decision was final, and it was not necessary to expressly declare that it had become final.</w:t>
      </w:r>
      <w:r w:rsidR="007A1A14" w:rsidRPr="00012C3F">
        <w:rPr>
          <w:rStyle w:val="Refdenotaalpie"/>
          <w:sz w:val="20"/>
          <w:szCs w:val="20"/>
          <w:lang w:val="en-US"/>
        </w:rPr>
        <w:footnoteReference w:id="145"/>
      </w:r>
    </w:p>
    <w:p w14:paraId="123A4060" w14:textId="77777777" w:rsidR="007A1A14" w:rsidRPr="00012C3F" w:rsidRDefault="007A1A14" w:rsidP="007A1A14">
      <w:pPr>
        <w:spacing w:line="240" w:lineRule="auto"/>
        <w:rPr>
          <w:sz w:val="20"/>
          <w:szCs w:val="20"/>
          <w:lang w:val="en-US"/>
        </w:rPr>
      </w:pPr>
    </w:p>
    <w:p w14:paraId="5FC44C4F" w14:textId="77777777" w:rsidR="007A1A14" w:rsidRPr="00012C3F" w:rsidRDefault="007A1A14" w:rsidP="006C2683">
      <w:pPr>
        <w:keepNext/>
        <w:keepLines/>
        <w:tabs>
          <w:tab w:val="left" w:pos="1134"/>
          <w:tab w:val="left" w:pos="8550"/>
        </w:tabs>
        <w:spacing w:line="240" w:lineRule="auto"/>
        <w:ind w:left="567" w:firstLine="1"/>
        <w:outlineLvl w:val="1"/>
        <w:rPr>
          <w:rFonts w:eastAsia="MS Mincho"/>
          <w:b/>
          <w:bCs/>
          <w:i/>
          <w:sz w:val="20"/>
          <w:szCs w:val="20"/>
          <w:lang w:val="en-US"/>
        </w:rPr>
      </w:pPr>
      <w:bookmarkStart w:id="105" w:name="_Toc27486849"/>
      <w:r w:rsidRPr="00012C3F">
        <w:rPr>
          <w:rFonts w:eastAsia="MS Mincho"/>
          <w:b/>
          <w:bCs/>
          <w:i/>
          <w:sz w:val="20"/>
          <w:szCs w:val="20"/>
          <w:lang w:val="en-US"/>
        </w:rPr>
        <w:t xml:space="preserve">F. </w:t>
      </w:r>
      <w:r w:rsidRPr="00012C3F">
        <w:rPr>
          <w:rFonts w:eastAsia="MS Mincho"/>
          <w:b/>
          <w:bCs/>
          <w:i/>
          <w:sz w:val="20"/>
          <w:szCs w:val="20"/>
          <w:lang w:val="en-US"/>
        </w:rPr>
        <w:tab/>
      </w:r>
      <w:r w:rsidR="006C2683" w:rsidRPr="00012C3F">
        <w:rPr>
          <w:rFonts w:eastAsia="MS Mincho"/>
          <w:b/>
          <w:bCs/>
          <w:i/>
          <w:sz w:val="20"/>
          <w:szCs w:val="20"/>
          <w:lang w:val="en-US"/>
        </w:rPr>
        <w:t xml:space="preserve">Physical and psychological effects of the </w:t>
      </w:r>
      <w:r w:rsidR="00177A56" w:rsidRPr="00012C3F">
        <w:rPr>
          <w:rFonts w:eastAsia="MS Mincho"/>
          <w:b/>
          <w:bCs/>
          <w:i/>
          <w:sz w:val="20"/>
          <w:szCs w:val="20"/>
          <w:lang w:val="en-US"/>
        </w:rPr>
        <w:t>surgical procedure</w:t>
      </w:r>
      <w:bookmarkEnd w:id="105"/>
    </w:p>
    <w:p w14:paraId="08B05DB3" w14:textId="77777777" w:rsidR="007A1A14" w:rsidRPr="00012C3F" w:rsidRDefault="007A1A14" w:rsidP="007A1A14">
      <w:pPr>
        <w:spacing w:line="240" w:lineRule="auto"/>
        <w:rPr>
          <w:sz w:val="20"/>
          <w:szCs w:val="20"/>
          <w:lang w:val="en-US"/>
        </w:rPr>
      </w:pPr>
    </w:p>
    <w:p w14:paraId="71075E30" w14:textId="77777777" w:rsidR="00F43566" w:rsidRPr="00012C3F" w:rsidRDefault="006C2683" w:rsidP="006C2683">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Between August and September </w:t>
      </w:r>
      <w:r w:rsidR="007A1A14" w:rsidRPr="00012C3F">
        <w:rPr>
          <w:sz w:val="20"/>
          <w:szCs w:val="20"/>
          <w:lang w:val="en-US"/>
        </w:rPr>
        <w:t>2000</w:t>
      </w:r>
      <w:r w:rsidRPr="00012C3F">
        <w:rPr>
          <w:sz w:val="20"/>
          <w:szCs w:val="20"/>
          <w:lang w:val="en-US"/>
        </w:rPr>
        <w:t xml:space="preserve">, </w:t>
      </w:r>
      <w:r w:rsidR="000E1C11" w:rsidRPr="00012C3F">
        <w:rPr>
          <w:sz w:val="20"/>
          <w:szCs w:val="20"/>
          <w:lang w:val="en-US"/>
        </w:rPr>
        <w:t>I.V.</w:t>
      </w:r>
      <w:r w:rsidR="007A1A14" w:rsidRPr="00012C3F">
        <w:rPr>
          <w:sz w:val="20"/>
          <w:szCs w:val="20"/>
          <w:lang w:val="en-US"/>
        </w:rPr>
        <w:t xml:space="preserve"> </w:t>
      </w:r>
      <w:r w:rsidRPr="00012C3F">
        <w:rPr>
          <w:sz w:val="20"/>
          <w:szCs w:val="20"/>
          <w:lang w:val="en-US"/>
        </w:rPr>
        <w:t xml:space="preserve">was diagnosed with remains of the placenta </w:t>
      </w:r>
      <w:r w:rsidR="00177A56" w:rsidRPr="00012C3F">
        <w:rPr>
          <w:sz w:val="20"/>
          <w:szCs w:val="20"/>
          <w:lang w:val="en-US"/>
        </w:rPr>
        <w:t>i</w:t>
      </w:r>
      <w:r w:rsidRPr="00012C3F">
        <w:rPr>
          <w:sz w:val="20"/>
          <w:szCs w:val="20"/>
          <w:lang w:val="en-US"/>
        </w:rPr>
        <w:t>n the endometrial cavity, acute endometritis</w:t>
      </w:r>
      <w:r w:rsidR="00B34249" w:rsidRPr="00012C3F">
        <w:rPr>
          <w:sz w:val="20"/>
          <w:szCs w:val="20"/>
          <w:lang w:val="en-US"/>
        </w:rPr>
        <w:t>,</w:t>
      </w:r>
      <w:r w:rsidRPr="00012C3F">
        <w:rPr>
          <w:sz w:val="20"/>
          <w:szCs w:val="20"/>
          <w:lang w:val="en-US"/>
        </w:rPr>
        <w:t xml:space="preserve"> and abscess in the abdominal wall.</w:t>
      </w:r>
      <w:r w:rsidR="007A1A14" w:rsidRPr="00012C3F">
        <w:rPr>
          <w:rStyle w:val="Refdenotaalpie"/>
          <w:sz w:val="20"/>
          <w:szCs w:val="20"/>
          <w:lang w:val="en-US"/>
        </w:rPr>
        <w:footnoteReference w:id="146"/>
      </w:r>
      <w:r w:rsidRPr="00012C3F">
        <w:rPr>
          <w:sz w:val="20"/>
          <w:szCs w:val="20"/>
          <w:lang w:val="en-US"/>
        </w:rPr>
        <w:t xml:space="preserve"> I.V. was also diagnosed with atrophic endometritis in March 2002.</w:t>
      </w:r>
      <w:r w:rsidR="00F43566" w:rsidRPr="00012C3F">
        <w:rPr>
          <w:rStyle w:val="Refdenotaalpie"/>
          <w:sz w:val="20"/>
          <w:szCs w:val="20"/>
          <w:lang w:val="en-US"/>
        </w:rPr>
        <w:footnoteReference w:id="147"/>
      </w:r>
      <w:r w:rsidRPr="00012C3F">
        <w:rPr>
          <w:sz w:val="20"/>
          <w:szCs w:val="20"/>
          <w:lang w:val="en-US"/>
        </w:rPr>
        <w:t xml:space="preserve"> I.V. had to undergo another surgical procedure owing to these aftereffects.</w:t>
      </w:r>
      <w:r w:rsidR="00F43566" w:rsidRPr="00012C3F">
        <w:rPr>
          <w:rStyle w:val="Refdenotaalpie"/>
          <w:sz w:val="20"/>
          <w:szCs w:val="20"/>
          <w:lang w:val="en-US"/>
        </w:rPr>
        <w:footnoteReference w:id="148"/>
      </w:r>
    </w:p>
    <w:p w14:paraId="42B54030" w14:textId="77777777" w:rsidR="007A1A14" w:rsidRPr="00012C3F" w:rsidRDefault="007A1A14" w:rsidP="006C2683">
      <w:pPr>
        <w:tabs>
          <w:tab w:val="left" w:pos="720"/>
        </w:tabs>
        <w:spacing w:line="240" w:lineRule="auto"/>
        <w:rPr>
          <w:sz w:val="20"/>
          <w:szCs w:val="20"/>
          <w:lang w:val="en-US"/>
        </w:rPr>
      </w:pPr>
    </w:p>
    <w:p w14:paraId="3E6C48E1" w14:textId="77777777" w:rsidR="007A1A14" w:rsidRPr="00012C3F" w:rsidRDefault="000E1C11" w:rsidP="006C2683">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I.V.</w:t>
      </w:r>
      <w:r w:rsidR="007A1A14" w:rsidRPr="00012C3F">
        <w:rPr>
          <w:sz w:val="20"/>
          <w:szCs w:val="20"/>
          <w:lang w:val="en-US"/>
        </w:rPr>
        <w:t xml:space="preserve"> </w:t>
      </w:r>
      <w:r w:rsidR="0047214C" w:rsidRPr="00012C3F">
        <w:rPr>
          <w:sz w:val="20"/>
          <w:szCs w:val="20"/>
          <w:lang w:val="en-US"/>
        </w:rPr>
        <w:t xml:space="preserve">suffered anguish and frustration as a result of the tubal ligation. She believed that her right to become a mother again had been </w:t>
      </w:r>
      <w:r w:rsidR="00B34249" w:rsidRPr="00012C3F">
        <w:rPr>
          <w:sz w:val="20"/>
          <w:szCs w:val="20"/>
          <w:lang w:val="en-US"/>
        </w:rPr>
        <w:t>violated</w:t>
      </w:r>
      <w:r w:rsidR="0070744E" w:rsidRPr="00012C3F">
        <w:rPr>
          <w:sz w:val="20"/>
          <w:szCs w:val="20"/>
          <w:lang w:val="en-US"/>
        </w:rPr>
        <w:t xml:space="preserve"> </w:t>
      </w:r>
      <w:r w:rsidR="0047214C" w:rsidRPr="00012C3F">
        <w:rPr>
          <w:sz w:val="20"/>
          <w:szCs w:val="20"/>
          <w:lang w:val="en-US"/>
        </w:rPr>
        <w:t>and felt “less of a woman because she could not have more children.</w:t>
      </w:r>
      <w:r w:rsidR="007A1A14" w:rsidRPr="00012C3F">
        <w:rPr>
          <w:sz w:val="20"/>
          <w:szCs w:val="20"/>
          <w:lang w:val="en-US"/>
        </w:rPr>
        <w:t>”</w:t>
      </w:r>
      <w:r w:rsidR="007A1A14" w:rsidRPr="00012C3F">
        <w:rPr>
          <w:rStyle w:val="Refdenotaalpie"/>
          <w:sz w:val="20"/>
          <w:szCs w:val="20"/>
          <w:lang w:val="en-US"/>
        </w:rPr>
        <w:footnoteReference w:id="149"/>
      </w:r>
      <w:r w:rsidR="00F43566" w:rsidRPr="00012C3F">
        <w:rPr>
          <w:sz w:val="20"/>
          <w:szCs w:val="20"/>
          <w:lang w:val="en-US"/>
        </w:rPr>
        <w:t xml:space="preserve"> </w:t>
      </w:r>
      <w:r w:rsidR="0047214C" w:rsidRPr="00012C3F">
        <w:rPr>
          <w:sz w:val="20"/>
          <w:szCs w:val="20"/>
          <w:lang w:val="en-US"/>
        </w:rPr>
        <w:t>I</w:t>
      </w:r>
      <w:r w:rsidR="00F43566" w:rsidRPr="00012C3F">
        <w:rPr>
          <w:sz w:val="20"/>
          <w:szCs w:val="20"/>
          <w:lang w:val="en-US"/>
        </w:rPr>
        <w:t>n 2002</w:t>
      </w:r>
      <w:r w:rsidR="0047214C" w:rsidRPr="00012C3F">
        <w:rPr>
          <w:sz w:val="20"/>
          <w:szCs w:val="20"/>
          <w:lang w:val="en-US"/>
        </w:rPr>
        <w:t>,</w:t>
      </w:r>
      <w:r w:rsidR="00F43566" w:rsidRPr="00012C3F">
        <w:rPr>
          <w:sz w:val="20"/>
          <w:szCs w:val="20"/>
          <w:lang w:val="en-US"/>
        </w:rPr>
        <w:t xml:space="preserve"> </w:t>
      </w:r>
      <w:r w:rsidRPr="00012C3F">
        <w:rPr>
          <w:sz w:val="20"/>
          <w:szCs w:val="20"/>
          <w:lang w:val="en-US"/>
        </w:rPr>
        <w:t>I.V.</w:t>
      </w:r>
      <w:r w:rsidR="0047214C" w:rsidRPr="00012C3F">
        <w:rPr>
          <w:sz w:val="20"/>
          <w:szCs w:val="20"/>
          <w:lang w:val="en-US"/>
        </w:rPr>
        <w:t>’s household broke up and she was left responsible for her two daughters who live in Bolivia. Despite psychotherapy, I.V. has suffered emotional crises, some of them very strong,</w:t>
      </w:r>
      <w:r w:rsidR="007A1A14" w:rsidRPr="00012C3F">
        <w:rPr>
          <w:rStyle w:val="Refdenotaalpie"/>
          <w:sz w:val="20"/>
          <w:szCs w:val="20"/>
          <w:lang w:val="en-US"/>
        </w:rPr>
        <w:footnoteReference w:id="150"/>
      </w:r>
      <w:r w:rsidR="0047214C" w:rsidRPr="00012C3F">
        <w:rPr>
          <w:sz w:val="20"/>
          <w:szCs w:val="20"/>
          <w:lang w:val="en-US"/>
        </w:rPr>
        <w:t xml:space="preserve"> and this led her to ask </w:t>
      </w:r>
      <w:r w:rsidR="001254DE" w:rsidRPr="00012C3F">
        <w:rPr>
          <w:sz w:val="20"/>
          <w:szCs w:val="20"/>
          <w:lang w:val="en-US"/>
        </w:rPr>
        <w:t xml:space="preserve">the Inter-American </w:t>
      </w:r>
      <w:r w:rsidR="00A84CA0" w:rsidRPr="00012C3F">
        <w:rPr>
          <w:sz w:val="20"/>
          <w:szCs w:val="20"/>
          <w:lang w:val="en-US"/>
        </w:rPr>
        <w:t>Commission</w:t>
      </w:r>
      <w:r w:rsidR="007A1A14" w:rsidRPr="00012C3F">
        <w:rPr>
          <w:sz w:val="20"/>
          <w:szCs w:val="20"/>
          <w:lang w:val="en-US"/>
        </w:rPr>
        <w:t xml:space="preserve"> </w:t>
      </w:r>
      <w:r w:rsidR="0047214C" w:rsidRPr="00012C3F">
        <w:rPr>
          <w:sz w:val="20"/>
          <w:szCs w:val="20"/>
          <w:lang w:val="en-US"/>
        </w:rPr>
        <w:t>to grant precautionary measures in her favor and in favor of her two daughters.</w:t>
      </w:r>
      <w:r w:rsidR="007A1A14" w:rsidRPr="00012C3F">
        <w:rPr>
          <w:rStyle w:val="Refdenotaalpie"/>
          <w:sz w:val="20"/>
          <w:szCs w:val="20"/>
          <w:lang w:val="en-US"/>
        </w:rPr>
        <w:footnoteReference w:id="151"/>
      </w:r>
      <w:r w:rsidR="007A1A14" w:rsidRPr="00012C3F">
        <w:rPr>
          <w:sz w:val="20"/>
          <w:szCs w:val="20"/>
          <w:lang w:val="en-US"/>
        </w:rPr>
        <w:t xml:space="preserve"> </w:t>
      </w:r>
      <w:r w:rsidR="0047214C" w:rsidRPr="00012C3F">
        <w:rPr>
          <w:sz w:val="20"/>
          <w:szCs w:val="20"/>
          <w:lang w:val="en-US"/>
        </w:rPr>
        <w:t>In November</w:t>
      </w:r>
      <w:r w:rsidR="007A1A14" w:rsidRPr="00012C3F">
        <w:rPr>
          <w:sz w:val="20"/>
          <w:szCs w:val="20"/>
          <w:lang w:val="en-US"/>
        </w:rPr>
        <w:t xml:space="preserve"> </w:t>
      </w:r>
      <w:r w:rsidR="005B4670" w:rsidRPr="00012C3F">
        <w:rPr>
          <w:sz w:val="20"/>
          <w:szCs w:val="20"/>
          <w:lang w:val="en-US"/>
        </w:rPr>
        <w:t>2013</w:t>
      </w:r>
      <w:r w:rsidR="007A1A14" w:rsidRPr="00012C3F">
        <w:rPr>
          <w:sz w:val="20"/>
          <w:szCs w:val="20"/>
          <w:lang w:val="en-US"/>
        </w:rPr>
        <w:t xml:space="preserve">, </w:t>
      </w:r>
      <w:r w:rsidRPr="00012C3F">
        <w:rPr>
          <w:sz w:val="20"/>
          <w:szCs w:val="20"/>
          <w:lang w:val="en-US"/>
        </w:rPr>
        <w:t>I.V.</w:t>
      </w:r>
      <w:r w:rsidR="007A1A14" w:rsidRPr="00012C3F">
        <w:rPr>
          <w:sz w:val="20"/>
          <w:szCs w:val="20"/>
          <w:lang w:val="en-US"/>
        </w:rPr>
        <w:t xml:space="preserve"> </w:t>
      </w:r>
      <w:r w:rsidR="0047214C" w:rsidRPr="00012C3F">
        <w:rPr>
          <w:sz w:val="20"/>
          <w:szCs w:val="20"/>
          <w:lang w:val="en-US"/>
        </w:rPr>
        <w:t xml:space="preserve">suffered a more severe crisis that led her to destroy almost all the files and papers </w:t>
      </w:r>
      <w:r w:rsidR="00B34249" w:rsidRPr="00012C3F">
        <w:rPr>
          <w:sz w:val="20"/>
          <w:szCs w:val="20"/>
          <w:lang w:val="en-US"/>
        </w:rPr>
        <w:t>with</w:t>
      </w:r>
      <w:r w:rsidR="0047214C" w:rsidRPr="00012C3F">
        <w:rPr>
          <w:sz w:val="20"/>
          <w:szCs w:val="20"/>
          <w:lang w:val="en-US"/>
        </w:rPr>
        <w:t xml:space="preserve"> her name</w:t>
      </w:r>
      <w:r w:rsidR="005E5012" w:rsidRPr="00012C3F">
        <w:rPr>
          <w:sz w:val="20"/>
          <w:szCs w:val="20"/>
          <w:lang w:val="en-US"/>
        </w:rPr>
        <w:t xml:space="preserve"> </w:t>
      </w:r>
      <w:r w:rsidR="0047214C" w:rsidRPr="00012C3F">
        <w:rPr>
          <w:sz w:val="20"/>
          <w:szCs w:val="20"/>
          <w:lang w:val="en-US"/>
        </w:rPr>
        <w:t>or personal data</w:t>
      </w:r>
      <w:r w:rsidR="00B34249" w:rsidRPr="00012C3F">
        <w:rPr>
          <w:sz w:val="20"/>
          <w:szCs w:val="20"/>
          <w:lang w:val="en-US"/>
        </w:rPr>
        <w:t xml:space="preserve"> that she had kept at home</w:t>
      </w:r>
      <w:r w:rsidR="0047214C" w:rsidRPr="00012C3F">
        <w:rPr>
          <w:sz w:val="20"/>
          <w:szCs w:val="20"/>
          <w:lang w:val="en-US"/>
        </w:rPr>
        <w:t xml:space="preserve">. </w:t>
      </w:r>
      <w:r w:rsidR="005960A9" w:rsidRPr="00012C3F">
        <w:rPr>
          <w:sz w:val="20"/>
          <w:szCs w:val="20"/>
          <w:lang w:val="en-US"/>
        </w:rPr>
        <w:t>She was admitted to the emergency department of the mental health ward of the La Paz</w:t>
      </w:r>
      <w:r w:rsidR="00F43566" w:rsidRPr="00012C3F">
        <w:rPr>
          <w:sz w:val="20"/>
          <w:szCs w:val="20"/>
          <w:lang w:val="en-US"/>
        </w:rPr>
        <w:t xml:space="preserve"> Hospital de Clínicas </w:t>
      </w:r>
      <w:r w:rsidR="005960A9" w:rsidRPr="00012C3F">
        <w:rPr>
          <w:sz w:val="20"/>
          <w:szCs w:val="20"/>
          <w:lang w:val="en-US"/>
        </w:rPr>
        <w:t xml:space="preserve">for three weeks from November 12 to December 2, </w:t>
      </w:r>
      <w:r w:rsidR="007A1A14" w:rsidRPr="00012C3F">
        <w:rPr>
          <w:sz w:val="20"/>
          <w:szCs w:val="20"/>
          <w:lang w:val="en-US"/>
        </w:rPr>
        <w:t>2013</w:t>
      </w:r>
      <w:r w:rsidR="005960A9" w:rsidRPr="00012C3F">
        <w:rPr>
          <w:sz w:val="20"/>
          <w:szCs w:val="20"/>
          <w:lang w:val="en-US"/>
        </w:rPr>
        <w:t>.</w:t>
      </w:r>
      <w:r w:rsidR="007A1A14" w:rsidRPr="00012C3F">
        <w:rPr>
          <w:rStyle w:val="Refdenotaalpie"/>
          <w:sz w:val="20"/>
          <w:szCs w:val="20"/>
          <w:lang w:val="en-US"/>
        </w:rPr>
        <w:footnoteReference w:id="152"/>
      </w:r>
      <w:r w:rsidR="005960A9" w:rsidRPr="00012C3F">
        <w:rPr>
          <w:sz w:val="20"/>
          <w:szCs w:val="20"/>
          <w:lang w:val="en-US"/>
        </w:rPr>
        <w:t xml:space="preserve"> Since that time, I.V. is on medication.</w:t>
      </w:r>
      <w:r w:rsidR="007A1A14" w:rsidRPr="00012C3F">
        <w:rPr>
          <w:rStyle w:val="Refdenotaalpie"/>
          <w:sz w:val="20"/>
          <w:szCs w:val="20"/>
          <w:lang w:val="en-US"/>
        </w:rPr>
        <w:footnoteReference w:id="153"/>
      </w:r>
      <w:r w:rsidR="00597361" w:rsidRPr="00012C3F">
        <w:rPr>
          <w:sz w:val="20"/>
          <w:szCs w:val="20"/>
          <w:lang w:val="en-US"/>
        </w:rPr>
        <w:t xml:space="preserve"> </w:t>
      </w:r>
      <w:r w:rsidR="00B34249" w:rsidRPr="00012C3F">
        <w:rPr>
          <w:sz w:val="20"/>
          <w:szCs w:val="20"/>
          <w:lang w:val="en-US"/>
        </w:rPr>
        <w:t>I.V.’s</w:t>
      </w:r>
      <w:r w:rsidR="00A84CA0" w:rsidRPr="00012C3F">
        <w:rPr>
          <w:sz w:val="20"/>
          <w:szCs w:val="20"/>
          <w:lang w:val="en-US"/>
        </w:rPr>
        <w:t xml:space="preserve"> </w:t>
      </w:r>
      <w:r w:rsidR="00597361" w:rsidRPr="00012C3F">
        <w:rPr>
          <w:sz w:val="20"/>
          <w:szCs w:val="20"/>
          <w:lang w:val="en-US"/>
        </w:rPr>
        <w:t xml:space="preserve">mental </w:t>
      </w:r>
      <w:r w:rsidR="005960A9" w:rsidRPr="00012C3F">
        <w:rPr>
          <w:sz w:val="20"/>
          <w:szCs w:val="20"/>
          <w:lang w:val="en-US"/>
        </w:rPr>
        <w:t>state also affected her daughters.</w:t>
      </w:r>
      <w:r w:rsidR="00597361" w:rsidRPr="00012C3F">
        <w:rPr>
          <w:rStyle w:val="Refdenotaalpie"/>
          <w:sz w:val="20"/>
          <w:szCs w:val="20"/>
          <w:lang w:val="en-US"/>
        </w:rPr>
        <w:footnoteReference w:id="154"/>
      </w:r>
    </w:p>
    <w:p w14:paraId="5B34B89A" w14:textId="77777777" w:rsidR="00597361" w:rsidRPr="00012C3F" w:rsidRDefault="00597361" w:rsidP="007A1A14">
      <w:pPr>
        <w:spacing w:line="240" w:lineRule="auto"/>
        <w:rPr>
          <w:sz w:val="20"/>
          <w:szCs w:val="20"/>
          <w:lang w:val="en-US"/>
        </w:rPr>
      </w:pPr>
    </w:p>
    <w:p w14:paraId="109AD61F" w14:textId="77777777" w:rsidR="007A1A14" w:rsidRPr="00012C3F" w:rsidRDefault="001D1354" w:rsidP="005960A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following are the conclusions of the last psychological examination of I.V. conducted by the ITEI in August  </w:t>
      </w:r>
      <w:r w:rsidR="007A1A14" w:rsidRPr="00012C3F">
        <w:rPr>
          <w:sz w:val="20"/>
          <w:szCs w:val="20"/>
          <w:lang w:val="en-US"/>
        </w:rPr>
        <w:t>2015</w:t>
      </w:r>
      <w:r w:rsidRPr="00012C3F">
        <w:rPr>
          <w:sz w:val="20"/>
          <w:szCs w:val="20"/>
          <w:lang w:val="en-US"/>
        </w:rPr>
        <w:t>:</w:t>
      </w:r>
      <w:r w:rsidR="007A1A14" w:rsidRPr="00012C3F">
        <w:rPr>
          <w:rStyle w:val="Refdenotaalpie"/>
          <w:sz w:val="20"/>
          <w:szCs w:val="20"/>
          <w:lang w:val="en-US"/>
        </w:rPr>
        <w:footnoteReference w:id="155"/>
      </w:r>
    </w:p>
    <w:p w14:paraId="1F152580" w14:textId="77777777" w:rsidR="007A1A14" w:rsidRPr="00012C3F" w:rsidRDefault="007A1A14" w:rsidP="007A1A14">
      <w:pPr>
        <w:spacing w:line="240" w:lineRule="auto"/>
        <w:rPr>
          <w:sz w:val="20"/>
          <w:szCs w:val="20"/>
          <w:lang w:val="en-US"/>
        </w:rPr>
      </w:pPr>
    </w:p>
    <w:p w14:paraId="094C68DC"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A. </w:t>
      </w:r>
      <w:r w:rsidR="008052FA" w:rsidRPr="00012C3F">
        <w:rPr>
          <w:sz w:val="16"/>
          <w:szCs w:val="16"/>
          <w:lang w:val="en-US"/>
        </w:rPr>
        <w:t>A</w:t>
      </w:r>
      <w:r w:rsidR="001D1354" w:rsidRPr="00012C3F">
        <w:rPr>
          <w:sz w:val="16"/>
          <w:szCs w:val="16"/>
          <w:lang w:val="en-US"/>
        </w:rPr>
        <w:t xml:space="preserve"> high degree of consistency and congruence </w:t>
      </w:r>
      <w:r w:rsidR="008052FA" w:rsidRPr="00012C3F">
        <w:rPr>
          <w:sz w:val="16"/>
          <w:szCs w:val="16"/>
          <w:lang w:val="en-US"/>
        </w:rPr>
        <w:t xml:space="preserve">exists </w:t>
      </w:r>
      <w:r w:rsidR="001D1354" w:rsidRPr="00012C3F">
        <w:rPr>
          <w:sz w:val="16"/>
          <w:szCs w:val="16"/>
          <w:lang w:val="en-US"/>
        </w:rPr>
        <w:t>between the suffering that subsists owing to the non-consensual sterilization</w:t>
      </w:r>
      <w:r w:rsidR="008052FA" w:rsidRPr="00012C3F">
        <w:rPr>
          <w:sz w:val="16"/>
          <w:szCs w:val="16"/>
          <w:lang w:val="en-US"/>
        </w:rPr>
        <w:t xml:space="preserve"> and her desire to have at least one more child.</w:t>
      </w:r>
    </w:p>
    <w:p w14:paraId="535F6CBA"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B. </w:t>
      </w:r>
      <w:r w:rsidR="008052FA" w:rsidRPr="00012C3F">
        <w:rPr>
          <w:sz w:val="16"/>
          <w:szCs w:val="16"/>
          <w:lang w:val="en-US"/>
        </w:rPr>
        <w:t xml:space="preserve">A high degree of consistency and congruence exists between the suffering </w:t>
      </w:r>
      <w:r w:rsidR="005E5012" w:rsidRPr="00012C3F">
        <w:rPr>
          <w:sz w:val="16"/>
          <w:szCs w:val="16"/>
          <w:lang w:val="en-US"/>
        </w:rPr>
        <w:t xml:space="preserve">and </w:t>
      </w:r>
      <w:r w:rsidR="008052FA" w:rsidRPr="00012C3F">
        <w:rPr>
          <w:sz w:val="16"/>
          <w:szCs w:val="16"/>
          <w:lang w:val="en-US"/>
        </w:rPr>
        <w:t xml:space="preserve">the need for justice to be done because this is a case of a </w:t>
      </w:r>
      <w:r w:rsidRPr="00012C3F">
        <w:rPr>
          <w:sz w:val="16"/>
          <w:szCs w:val="16"/>
          <w:lang w:val="en-US"/>
        </w:rPr>
        <w:t>“man</w:t>
      </w:r>
      <w:r w:rsidR="008052FA" w:rsidRPr="00012C3F">
        <w:rPr>
          <w:sz w:val="16"/>
          <w:szCs w:val="16"/>
          <w:lang w:val="en-US"/>
        </w:rPr>
        <w:t>-</w:t>
      </w:r>
      <w:r w:rsidRPr="00012C3F">
        <w:rPr>
          <w:sz w:val="16"/>
          <w:szCs w:val="16"/>
          <w:lang w:val="en-US"/>
        </w:rPr>
        <w:t>made disaster</w:t>
      </w:r>
      <w:r w:rsidR="008052FA" w:rsidRPr="00012C3F">
        <w:rPr>
          <w:sz w:val="16"/>
          <w:szCs w:val="16"/>
          <w:lang w:val="en-US"/>
        </w:rPr>
        <w:t>.</w:t>
      </w:r>
      <w:r w:rsidRPr="00012C3F">
        <w:rPr>
          <w:sz w:val="16"/>
          <w:szCs w:val="16"/>
          <w:lang w:val="en-US"/>
        </w:rPr>
        <w:t xml:space="preserve">” </w:t>
      </w:r>
    </w:p>
    <w:p w14:paraId="0EDB0D3D"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C. </w:t>
      </w:r>
      <w:r w:rsidR="008052FA" w:rsidRPr="00012C3F">
        <w:rPr>
          <w:sz w:val="16"/>
          <w:szCs w:val="16"/>
          <w:lang w:val="en-US"/>
        </w:rPr>
        <w:t xml:space="preserve">A high degree of consistency and congruence exists between the </w:t>
      </w:r>
      <w:r w:rsidRPr="00012C3F">
        <w:rPr>
          <w:sz w:val="16"/>
          <w:szCs w:val="16"/>
          <w:lang w:val="en-US"/>
        </w:rPr>
        <w:t>injustic</w:t>
      </w:r>
      <w:r w:rsidR="008052FA" w:rsidRPr="00012C3F">
        <w:rPr>
          <w:sz w:val="16"/>
          <w:szCs w:val="16"/>
          <w:lang w:val="en-US"/>
        </w:rPr>
        <w:t>e suffered owing to the physician’s abuse of power and the desire that the abuser be condemned.</w:t>
      </w:r>
    </w:p>
    <w:p w14:paraId="0497A5B2" w14:textId="77777777" w:rsidR="008052FA" w:rsidRPr="00012C3F" w:rsidRDefault="007A1A14" w:rsidP="007A1A14">
      <w:pPr>
        <w:spacing w:after="120" w:line="240" w:lineRule="auto"/>
        <w:ind w:left="567" w:right="573"/>
        <w:rPr>
          <w:sz w:val="16"/>
          <w:szCs w:val="16"/>
          <w:lang w:val="en-US"/>
        </w:rPr>
      </w:pPr>
      <w:r w:rsidRPr="00012C3F">
        <w:rPr>
          <w:sz w:val="16"/>
          <w:szCs w:val="16"/>
          <w:lang w:val="en-US"/>
        </w:rPr>
        <w:t xml:space="preserve">D. </w:t>
      </w:r>
      <w:r w:rsidR="008052FA" w:rsidRPr="00012C3F">
        <w:rPr>
          <w:sz w:val="16"/>
          <w:szCs w:val="16"/>
          <w:lang w:val="en-US"/>
        </w:rPr>
        <w:t xml:space="preserve">A high degree of consistency and congruence exists between </w:t>
      </w:r>
      <w:r w:rsidRPr="00012C3F">
        <w:rPr>
          <w:sz w:val="16"/>
          <w:szCs w:val="16"/>
          <w:lang w:val="en-US"/>
        </w:rPr>
        <w:t>[</w:t>
      </w:r>
      <w:r w:rsidR="000E1C11" w:rsidRPr="00012C3F">
        <w:rPr>
          <w:sz w:val="16"/>
          <w:szCs w:val="16"/>
          <w:lang w:val="en-US"/>
        </w:rPr>
        <w:t>I.V.</w:t>
      </w:r>
      <w:r w:rsidR="008052FA" w:rsidRPr="00012C3F">
        <w:rPr>
          <w:sz w:val="16"/>
          <w:szCs w:val="16"/>
          <w:lang w:val="en-US"/>
        </w:rPr>
        <w:t>’s</w:t>
      </w:r>
      <w:r w:rsidRPr="00012C3F">
        <w:rPr>
          <w:sz w:val="16"/>
          <w:szCs w:val="16"/>
          <w:lang w:val="en-US"/>
        </w:rPr>
        <w:t xml:space="preserve">] </w:t>
      </w:r>
      <w:r w:rsidR="008052FA" w:rsidRPr="00012C3F">
        <w:rPr>
          <w:sz w:val="16"/>
          <w:szCs w:val="16"/>
          <w:lang w:val="en-US"/>
        </w:rPr>
        <w:t xml:space="preserve">search for justice and a public acknowledgement of the harm caused. A temporal relationship exists between the facts suffered and the current psychological symptoms; particularly, the persistent anguish owing to the desire for a future maternity that has been </w:t>
      </w:r>
      <w:r w:rsidR="00AA0687" w:rsidRPr="00012C3F">
        <w:rPr>
          <w:sz w:val="16"/>
          <w:szCs w:val="16"/>
          <w:lang w:val="en-US"/>
        </w:rPr>
        <w:t>curtailed</w:t>
      </w:r>
      <w:r w:rsidR="008052FA" w:rsidRPr="00012C3F">
        <w:rPr>
          <w:sz w:val="16"/>
          <w:szCs w:val="16"/>
          <w:lang w:val="en-US"/>
        </w:rPr>
        <w:t xml:space="preserve"> by external forces.</w:t>
      </w:r>
    </w:p>
    <w:p w14:paraId="48BC4A8C"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E. </w:t>
      </w:r>
      <w:r w:rsidR="00AA0687" w:rsidRPr="00012C3F">
        <w:rPr>
          <w:sz w:val="16"/>
          <w:szCs w:val="16"/>
          <w:lang w:val="en-US"/>
        </w:rPr>
        <w:t>The mental reactions noted are foreseeable or typical reactions in the affected person’s social and cultural context</w:t>
      </w:r>
      <w:r w:rsidRPr="00012C3F">
        <w:rPr>
          <w:sz w:val="16"/>
          <w:szCs w:val="16"/>
          <w:lang w:val="en-US"/>
        </w:rPr>
        <w:t xml:space="preserve">. </w:t>
      </w:r>
    </w:p>
    <w:p w14:paraId="7A84AF21"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F. </w:t>
      </w:r>
      <w:r w:rsidR="00AA0687" w:rsidRPr="00012C3F">
        <w:rPr>
          <w:sz w:val="16"/>
          <w:szCs w:val="16"/>
          <w:lang w:val="en-US"/>
        </w:rPr>
        <w:t>A</w:t>
      </w:r>
      <w:r w:rsidR="008052FA" w:rsidRPr="00012C3F">
        <w:rPr>
          <w:sz w:val="16"/>
          <w:szCs w:val="16"/>
          <w:lang w:val="en-US"/>
        </w:rPr>
        <w:t xml:space="preserve"> high degree of consistency and congruence </w:t>
      </w:r>
      <w:r w:rsidR="00AA0687" w:rsidRPr="00012C3F">
        <w:rPr>
          <w:sz w:val="16"/>
          <w:szCs w:val="16"/>
          <w:lang w:val="en-US"/>
        </w:rPr>
        <w:t xml:space="preserve">exists </w:t>
      </w:r>
      <w:r w:rsidR="008052FA" w:rsidRPr="00012C3F">
        <w:rPr>
          <w:sz w:val="16"/>
          <w:szCs w:val="16"/>
          <w:lang w:val="en-US"/>
        </w:rPr>
        <w:t xml:space="preserve">between </w:t>
      </w:r>
      <w:r w:rsidR="00AA0687" w:rsidRPr="00012C3F">
        <w:rPr>
          <w:sz w:val="16"/>
          <w:szCs w:val="16"/>
          <w:lang w:val="en-US"/>
        </w:rPr>
        <w:t xml:space="preserve">what [I.V.] has suffered and her wish to contribute to the </w:t>
      </w:r>
      <w:r w:rsidR="00B34249" w:rsidRPr="00012C3F">
        <w:rPr>
          <w:sz w:val="16"/>
          <w:szCs w:val="16"/>
          <w:lang w:val="en-US"/>
        </w:rPr>
        <w:t>efforts</w:t>
      </w:r>
      <w:r w:rsidR="00AA0687" w:rsidRPr="00012C3F">
        <w:rPr>
          <w:sz w:val="16"/>
          <w:szCs w:val="16"/>
          <w:lang w:val="en-US"/>
        </w:rPr>
        <w:t xml:space="preserve"> to ensure that this type of abuse is not repeated</w:t>
      </w:r>
      <w:r w:rsidRPr="00012C3F">
        <w:rPr>
          <w:sz w:val="16"/>
          <w:szCs w:val="16"/>
          <w:lang w:val="en-US"/>
        </w:rPr>
        <w:t xml:space="preserve">. </w:t>
      </w:r>
    </w:p>
    <w:p w14:paraId="4F3F6FC3" w14:textId="77777777" w:rsidR="007A1A14" w:rsidRPr="00012C3F" w:rsidRDefault="007A1A14" w:rsidP="007A1A14">
      <w:pPr>
        <w:spacing w:after="120" w:line="240" w:lineRule="auto"/>
        <w:ind w:left="567" w:right="573"/>
        <w:rPr>
          <w:sz w:val="16"/>
          <w:szCs w:val="16"/>
          <w:lang w:val="en-US"/>
        </w:rPr>
      </w:pPr>
      <w:r w:rsidRPr="00012C3F">
        <w:rPr>
          <w:sz w:val="16"/>
          <w:szCs w:val="16"/>
          <w:lang w:val="en-US"/>
        </w:rPr>
        <w:t xml:space="preserve">G. </w:t>
      </w:r>
      <w:r w:rsidR="00AA0687" w:rsidRPr="00012C3F">
        <w:rPr>
          <w:sz w:val="16"/>
          <w:szCs w:val="16"/>
          <w:lang w:val="en-US"/>
        </w:rPr>
        <w:t>There is clinical and diagnostic evidence of effects on her mental state.</w:t>
      </w:r>
    </w:p>
    <w:p w14:paraId="4FAF5F89" w14:textId="77777777" w:rsidR="007A1A14" w:rsidRPr="00012C3F" w:rsidRDefault="007A1A14" w:rsidP="007A1A14">
      <w:pPr>
        <w:spacing w:line="240" w:lineRule="auto"/>
        <w:rPr>
          <w:sz w:val="20"/>
          <w:szCs w:val="20"/>
          <w:lang w:val="en-US"/>
        </w:rPr>
      </w:pPr>
    </w:p>
    <w:p w14:paraId="15F0E07E" w14:textId="77777777" w:rsidR="008920BF" w:rsidRPr="00012C3F" w:rsidRDefault="008920BF" w:rsidP="008920BF">
      <w:pPr>
        <w:keepNext/>
        <w:keepLines/>
        <w:tabs>
          <w:tab w:val="left" w:pos="851"/>
        </w:tabs>
        <w:spacing w:line="240" w:lineRule="auto"/>
        <w:jc w:val="center"/>
        <w:outlineLvl w:val="0"/>
        <w:rPr>
          <w:rFonts w:cs="Verdana"/>
          <w:b/>
          <w:bCs/>
          <w:caps/>
          <w:snapToGrid w:val="0"/>
          <w:sz w:val="20"/>
          <w:szCs w:val="20"/>
          <w:lang w:val="en-US"/>
        </w:rPr>
      </w:pPr>
      <w:bookmarkStart w:id="106" w:name="_Toc375517129"/>
      <w:bookmarkStart w:id="107" w:name="_Toc447893028"/>
      <w:bookmarkStart w:id="108" w:name="_Toc27486850"/>
      <w:bookmarkStart w:id="109" w:name="_Toc437247300"/>
      <w:r w:rsidRPr="00012C3F">
        <w:rPr>
          <w:rFonts w:cs="Verdana"/>
          <w:b/>
          <w:bCs/>
          <w:caps/>
          <w:snapToGrid w:val="0"/>
          <w:sz w:val="20"/>
          <w:szCs w:val="20"/>
          <w:lang w:val="en-US"/>
        </w:rPr>
        <w:t>vIii</w:t>
      </w:r>
      <w:r w:rsidRPr="00012C3F">
        <w:rPr>
          <w:rFonts w:cs="Verdana"/>
          <w:b/>
          <w:bCs/>
          <w:caps/>
          <w:snapToGrid w:val="0"/>
          <w:sz w:val="20"/>
          <w:szCs w:val="20"/>
          <w:lang w:val="en-US"/>
        </w:rPr>
        <w:br/>
      </w:r>
      <w:r w:rsidR="006C705C" w:rsidRPr="00012C3F">
        <w:rPr>
          <w:rFonts w:cs="Verdana"/>
          <w:b/>
          <w:bCs/>
          <w:caps/>
          <w:snapToGrid w:val="0"/>
          <w:sz w:val="20"/>
          <w:szCs w:val="20"/>
          <w:lang w:val="en-US"/>
        </w:rPr>
        <w:t>MERITS</w:t>
      </w:r>
      <w:bookmarkEnd w:id="106"/>
      <w:bookmarkEnd w:id="107"/>
      <w:bookmarkEnd w:id="108"/>
    </w:p>
    <w:p w14:paraId="54E0ED75" w14:textId="77777777" w:rsidR="008920BF" w:rsidRPr="00012C3F" w:rsidRDefault="008920BF" w:rsidP="007D00D9">
      <w:pPr>
        <w:spacing w:line="240" w:lineRule="auto"/>
        <w:rPr>
          <w:rFonts w:cs="Verdana"/>
          <w:bCs/>
          <w:caps/>
          <w:snapToGrid w:val="0"/>
          <w:sz w:val="20"/>
          <w:szCs w:val="20"/>
          <w:lang w:val="en-US"/>
        </w:rPr>
      </w:pPr>
    </w:p>
    <w:p w14:paraId="5402775F" w14:textId="77777777" w:rsidR="00D26619" w:rsidRPr="00012C3F" w:rsidRDefault="00D119A9" w:rsidP="007D00D9">
      <w:pPr>
        <w:numPr>
          <w:ilvl w:val="0"/>
          <w:numId w:val="5"/>
        </w:numPr>
        <w:tabs>
          <w:tab w:val="left" w:pos="720"/>
          <w:tab w:val="num" w:pos="12305"/>
        </w:tabs>
        <w:spacing w:line="240" w:lineRule="auto"/>
        <w:ind w:left="0" w:firstLine="0"/>
        <w:rPr>
          <w:rFonts w:cs="Verdana"/>
          <w:bCs/>
          <w:caps/>
          <w:snapToGrid w:val="0"/>
          <w:sz w:val="20"/>
          <w:szCs w:val="20"/>
          <w:lang w:val="en-US"/>
        </w:rPr>
      </w:pPr>
      <w:r w:rsidRPr="00012C3F">
        <w:rPr>
          <w:sz w:val="20"/>
          <w:szCs w:val="20"/>
          <w:lang w:val="en-US"/>
        </w:rPr>
        <w:t>In this chapter, the Court will address the merits of the case. The Court finds it pertinent, owing to the different legal arguments presented and the fact that many of them are interrelated, to divide the analysis into three sections. First, the Court will examine all the arguments concerning the alleged violations relating to the tubal ligation procedure to which I.V. was subjected. Then, the Court will address the arguments relating to the possible constitution of an act of torture or cruel, inhuman or degrading treatment. Lastly, the Court will examine all the arguments related to the right of access to justice.</w:t>
      </w:r>
    </w:p>
    <w:p w14:paraId="7DAA577E" w14:textId="77777777" w:rsidR="008920BF" w:rsidRPr="00012C3F" w:rsidRDefault="008920BF" w:rsidP="008920BF">
      <w:pPr>
        <w:keepNext/>
        <w:keepLines/>
        <w:tabs>
          <w:tab w:val="left" w:pos="720"/>
          <w:tab w:val="left" w:pos="851"/>
        </w:tabs>
        <w:spacing w:line="240" w:lineRule="auto"/>
        <w:jc w:val="center"/>
        <w:outlineLvl w:val="0"/>
        <w:rPr>
          <w:rFonts w:eastAsia="MS ????" w:cs="Verdana"/>
          <w:b/>
          <w:bCs/>
          <w:snapToGrid w:val="0"/>
          <w:sz w:val="20"/>
          <w:szCs w:val="20"/>
          <w:lang w:val="en-US" w:eastAsia="es-ES"/>
        </w:rPr>
      </w:pPr>
      <w:bookmarkStart w:id="110" w:name="_Toc447893029"/>
      <w:bookmarkStart w:id="111" w:name="_Toc27486851"/>
      <w:r w:rsidRPr="00012C3F">
        <w:rPr>
          <w:rFonts w:eastAsia="MS ????" w:cs="Verdana"/>
          <w:b/>
          <w:bCs/>
          <w:snapToGrid w:val="0"/>
          <w:sz w:val="20"/>
          <w:szCs w:val="20"/>
          <w:lang w:val="en-US" w:eastAsia="es-ES"/>
        </w:rPr>
        <w:lastRenderedPageBreak/>
        <w:t>VIII-1</w:t>
      </w:r>
      <w:r w:rsidRPr="00012C3F">
        <w:rPr>
          <w:rFonts w:eastAsia="MS ????" w:cs="Verdana"/>
          <w:b/>
          <w:bCs/>
          <w:snapToGrid w:val="0"/>
          <w:sz w:val="20"/>
          <w:szCs w:val="20"/>
          <w:lang w:val="en-US" w:eastAsia="es-ES"/>
        </w:rPr>
        <w:br/>
      </w:r>
      <w:bookmarkEnd w:id="109"/>
      <w:r w:rsidR="005E1B9D" w:rsidRPr="00012C3F">
        <w:rPr>
          <w:rFonts w:eastAsia="MS ????" w:cs="Verdana"/>
          <w:b/>
          <w:bCs/>
          <w:snapToGrid w:val="0"/>
          <w:sz w:val="20"/>
          <w:szCs w:val="20"/>
          <w:lang w:val="en-US" w:eastAsia="es-ES"/>
        </w:rPr>
        <w:t>RIGHTS</w:t>
      </w:r>
      <w:r w:rsidRPr="00012C3F">
        <w:rPr>
          <w:rFonts w:eastAsia="MS ????" w:cs="Verdana"/>
          <w:b/>
          <w:bCs/>
          <w:snapToGrid w:val="0"/>
          <w:sz w:val="20"/>
          <w:szCs w:val="20"/>
          <w:lang w:val="en-US" w:eastAsia="es-ES"/>
        </w:rPr>
        <w:t xml:space="preserve"> </w:t>
      </w:r>
      <w:r w:rsidR="006C705C" w:rsidRPr="00012C3F">
        <w:rPr>
          <w:rFonts w:eastAsia="MS ????" w:cs="Verdana"/>
          <w:b/>
          <w:bCs/>
          <w:snapToGrid w:val="0"/>
          <w:sz w:val="20"/>
          <w:szCs w:val="20"/>
          <w:lang w:val="en-US" w:eastAsia="es-ES"/>
        </w:rPr>
        <w:t>TO PERSONAL INTEGRITY</w:t>
      </w:r>
      <w:r w:rsidR="005E1B9D" w:rsidRPr="00012C3F">
        <w:rPr>
          <w:rFonts w:eastAsia="MS ????" w:cs="Verdana"/>
          <w:b/>
          <w:bCs/>
          <w:snapToGrid w:val="0"/>
          <w:sz w:val="20"/>
          <w:szCs w:val="20"/>
          <w:lang w:val="en-US" w:eastAsia="es-ES"/>
        </w:rPr>
        <w:t>,</w:t>
      </w:r>
      <w:r w:rsidR="006B77A4" w:rsidRPr="00012C3F">
        <w:rPr>
          <w:rStyle w:val="Refdenotaalpie"/>
          <w:rFonts w:eastAsia="MS ????" w:cs="Verdana"/>
          <w:b/>
          <w:bCs/>
          <w:snapToGrid w:val="0"/>
          <w:sz w:val="20"/>
          <w:szCs w:val="20"/>
          <w:lang w:val="en-US" w:eastAsia="es-ES"/>
        </w:rPr>
        <w:footnoteReference w:id="156"/>
      </w:r>
      <w:r w:rsidRPr="00012C3F">
        <w:rPr>
          <w:rFonts w:eastAsia="MS ????" w:cs="Verdana"/>
          <w:b/>
          <w:bCs/>
          <w:snapToGrid w:val="0"/>
          <w:sz w:val="20"/>
          <w:szCs w:val="20"/>
          <w:lang w:val="en-US" w:eastAsia="es-ES"/>
        </w:rPr>
        <w:t xml:space="preserve"> </w:t>
      </w:r>
      <w:r w:rsidR="00B34249" w:rsidRPr="00012C3F">
        <w:rPr>
          <w:rFonts w:eastAsia="MS ????" w:cs="Verdana"/>
          <w:b/>
          <w:bCs/>
          <w:snapToGrid w:val="0"/>
          <w:sz w:val="20"/>
          <w:szCs w:val="20"/>
          <w:lang w:val="en-US" w:eastAsia="es-ES"/>
        </w:rPr>
        <w:t xml:space="preserve">TO </w:t>
      </w:r>
      <w:r w:rsidR="004E0261" w:rsidRPr="00012C3F">
        <w:rPr>
          <w:rFonts w:eastAsia="MS ????" w:cs="Verdana"/>
          <w:b/>
          <w:bCs/>
          <w:snapToGrid w:val="0"/>
          <w:sz w:val="20"/>
          <w:szCs w:val="20"/>
          <w:lang w:val="en-US" w:eastAsia="es-ES"/>
        </w:rPr>
        <w:t>PERSONAL</w:t>
      </w:r>
      <w:r w:rsidR="005E1B9D" w:rsidRPr="00012C3F">
        <w:rPr>
          <w:rFonts w:eastAsia="MS ????" w:cs="Verdana"/>
          <w:b/>
          <w:bCs/>
          <w:snapToGrid w:val="0"/>
          <w:sz w:val="20"/>
          <w:szCs w:val="20"/>
          <w:lang w:val="en-US" w:eastAsia="es-ES"/>
        </w:rPr>
        <w:t xml:space="preserve"> LIBERTY,</w:t>
      </w:r>
      <w:r w:rsidR="006B77A4" w:rsidRPr="00012C3F">
        <w:rPr>
          <w:rStyle w:val="Refdenotaalpie"/>
          <w:rFonts w:eastAsia="MS ????" w:cs="Verdana"/>
          <w:b/>
          <w:bCs/>
          <w:snapToGrid w:val="0"/>
          <w:sz w:val="20"/>
          <w:szCs w:val="20"/>
          <w:lang w:val="en-US" w:eastAsia="es-ES"/>
        </w:rPr>
        <w:footnoteReference w:id="157"/>
      </w:r>
      <w:r w:rsidR="00B34249" w:rsidRPr="00012C3F">
        <w:rPr>
          <w:rFonts w:eastAsia="MS ????" w:cs="Verdana"/>
          <w:b/>
          <w:bCs/>
          <w:snapToGrid w:val="0"/>
          <w:sz w:val="20"/>
          <w:szCs w:val="20"/>
          <w:lang w:val="en-US" w:eastAsia="es-ES"/>
        </w:rPr>
        <w:t xml:space="preserve"> TO</w:t>
      </w:r>
      <w:r w:rsidR="005E1B9D" w:rsidRPr="00012C3F">
        <w:rPr>
          <w:rFonts w:eastAsia="MS ????" w:cs="Verdana"/>
          <w:b/>
          <w:bCs/>
          <w:snapToGrid w:val="0"/>
          <w:sz w:val="20"/>
          <w:szCs w:val="20"/>
          <w:lang w:val="en-US" w:eastAsia="es-ES"/>
        </w:rPr>
        <w:t xml:space="preserve"> </w:t>
      </w:r>
      <w:r w:rsidR="001C7633" w:rsidRPr="00012C3F">
        <w:rPr>
          <w:rFonts w:eastAsia="MS ????" w:cs="Verdana"/>
          <w:b/>
          <w:bCs/>
          <w:snapToGrid w:val="0"/>
          <w:sz w:val="20"/>
          <w:szCs w:val="20"/>
          <w:lang w:val="en-US" w:eastAsia="es-ES"/>
        </w:rPr>
        <w:t>DIGNI</w:t>
      </w:r>
      <w:r w:rsidR="005E1B9D" w:rsidRPr="00012C3F">
        <w:rPr>
          <w:rFonts w:eastAsia="MS ????" w:cs="Verdana"/>
          <w:b/>
          <w:bCs/>
          <w:snapToGrid w:val="0"/>
          <w:sz w:val="20"/>
          <w:szCs w:val="20"/>
          <w:lang w:val="en-US" w:eastAsia="es-ES"/>
        </w:rPr>
        <w:t>TY,</w:t>
      </w:r>
      <w:r w:rsidR="006B77A4" w:rsidRPr="00012C3F">
        <w:rPr>
          <w:rStyle w:val="Refdenotaalpie"/>
          <w:rFonts w:eastAsia="MS ????" w:cs="Verdana"/>
          <w:b/>
          <w:bCs/>
          <w:snapToGrid w:val="0"/>
          <w:sz w:val="20"/>
          <w:szCs w:val="20"/>
          <w:lang w:val="en-US" w:eastAsia="es-ES"/>
        </w:rPr>
        <w:footnoteReference w:id="158"/>
      </w:r>
      <w:r w:rsidR="005E1B9D" w:rsidRPr="00012C3F">
        <w:rPr>
          <w:rFonts w:eastAsia="MS ????" w:cs="Verdana"/>
          <w:b/>
          <w:bCs/>
          <w:snapToGrid w:val="0"/>
          <w:sz w:val="20"/>
          <w:szCs w:val="20"/>
          <w:lang w:val="en-US" w:eastAsia="es-ES"/>
        </w:rPr>
        <w:t xml:space="preserve"> </w:t>
      </w:r>
      <w:r w:rsidR="00B34249" w:rsidRPr="00012C3F">
        <w:rPr>
          <w:rFonts w:eastAsia="MS ????" w:cs="Verdana"/>
          <w:b/>
          <w:bCs/>
          <w:snapToGrid w:val="0"/>
          <w:sz w:val="20"/>
          <w:szCs w:val="20"/>
          <w:lang w:val="en-US" w:eastAsia="es-ES"/>
        </w:rPr>
        <w:t xml:space="preserve">TO </w:t>
      </w:r>
      <w:r w:rsidR="005E1B9D" w:rsidRPr="00012C3F">
        <w:rPr>
          <w:rFonts w:eastAsia="MS ????" w:cs="Verdana"/>
          <w:b/>
          <w:bCs/>
          <w:snapToGrid w:val="0"/>
          <w:sz w:val="20"/>
          <w:szCs w:val="20"/>
          <w:lang w:val="en-US" w:eastAsia="es-ES"/>
        </w:rPr>
        <w:t>PRIVACY AND FAMILY LIFE,</w:t>
      </w:r>
      <w:r w:rsidR="006B77A4" w:rsidRPr="00012C3F">
        <w:rPr>
          <w:rStyle w:val="Refdenotaalpie"/>
          <w:rFonts w:eastAsia="MS ????" w:cs="Verdana"/>
          <w:b/>
          <w:bCs/>
          <w:snapToGrid w:val="0"/>
          <w:sz w:val="20"/>
          <w:szCs w:val="20"/>
          <w:lang w:val="en-US" w:eastAsia="es-ES"/>
        </w:rPr>
        <w:footnoteReference w:id="159"/>
      </w:r>
      <w:r w:rsidRPr="00012C3F">
        <w:rPr>
          <w:rFonts w:eastAsia="MS ????" w:cs="Verdana"/>
          <w:b/>
          <w:bCs/>
          <w:snapToGrid w:val="0"/>
          <w:sz w:val="20"/>
          <w:szCs w:val="20"/>
          <w:lang w:val="en-US" w:eastAsia="es-ES"/>
        </w:rPr>
        <w:t xml:space="preserve"> </w:t>
      </w:r>
      <w:r w:rsidR="00B34249" w:rsidRPr="00012C3F">
        <w:rPr>
          <w:rFonts w:eastAsia="MS ????" w:cs="Verdana"/>
          <w:b/>
          <w:bCs/>
          <w:snapToGrid w:val="0"/>
          <w:sz w:val="20"/>
          <w:szCs w:val="20"/>
          <w:lang w:val="en-US" w:eastAsia="es-ES"/>
        </w:rPr>
        <w:t xml:space="preserve">TO </w:t>
      </w:r>
      <w:r w:rsidR="006C705C" w:rsidRPr="00012C3F">
        <w:rPr>
          <w:rFonts w:eastAsia="MS ????" w:cs="Verdana"/>
          <w:b/>
          <w:bCs/>
          <w:snapToGrid w:val="0"/>
          <w:sz w:val="20"/>
          <w:szCs w:val="20"/>
          <w:lang w:val="en-US" w:eastAsia="es-ES"/>
        </w:rPr>
        <w:t>ACCESS TO INFORMATION</w:t>
      </w:r>
      <w:r w:rsidR="005E1B9D" w:rsidRPr="00012C3F">
        <w:rPr>
          <w:rFonts w:eastAsia="MS ????" w:cs="Verdana"/>
          <w:b/>
          <w:bCs/>
          <w:snapToGrid w:val="0"/>
          <w:sz w:val="20"/>
          <w:szCs w:val="20"/>
          <w:lang w:val="en-US" w:eastAsia="es-ES"/>
        </w:rPr>
        <w:t>,</w:t>
      </w:r>
      <w:r w:rsidR="006B77A4" w:rsidRPr="00012C3F">
        <w:rPr>
          <w:rStyle w:val="Refdenotaalpie"/>
          <w:rFonts w:eastAsia="MS ????" w:cs="Verdana"/>
          <w:b/>
          <w:bCs/>
          <w:snapToGrid w:val="0"/>
          <w:sz w:val="20"/>
          <w:szCs w:val="20"/>
          <w:lang w:val="en-US" w:eastAsia="es-ES"/>
        </w:rPr>
        <w:footnoteReference w:id="160"/>
      </w:r>
      <w:r w:rsidR="005E1B9D" w:rsidRPr="00012C3F">
        <w:rPr>
          <w:rFonts w:eastAsia="MS ????" w:cs="Verdana"/>
          <w:b/>
          <w:bCs/>
          <w:snapToGrid w:val="0"/>
          <w:sz w:val="20"/>
          <w:szCs w:val="20"/>
          <w:lang w:val="en-US" w:eastAsia="es-ES"/>
        </w:rPr>
        <w:t xml:space="preserve"> </w:t>
      </w:r>
      <w:r w:rsidR="00B34249" w:rsidRPr="00012C3F">
        <w:rPr>
          <w:rFonts w:eastAsia="MS ????" w:cs="Verdana"/>
          <w:b/>
          <w:bCs/>
          <w:snapToGrid w:val="0"/>
          <w:sz w:val="20"/>
          <w:szCs w:val="20"/>
          <w:lang w:val="en-US" w:eastAsia="es-ES"/>
        </w:rPr>
        <w:t xml:space="preserve">TO RAISE </w:t>
      </w:r>
      <w:r w:rsidR="005E1B9D" w:rsidRPr="00012C3F">
        <w:rPr>
          <w:rFonts w:eastAsia="MS ????" w:cs="Verdana"/>
          <w:b/>
          <w:bCs/>
          <w:snapToGrid w:val="0"/>
          <w:sz w:val="20"/>
          <w:szCs w:val="20"/>
          <w:lang w:val="en-US" w:eastAsia="es-ES"/>
        </w:rPr>
        <w:t>A FAMILY,</w:t>
      </w:r>
      <w:r w:rsidR="006B77A4" w:rsidRPr="00012C3F">
        <w:rPr>
          <w:rStyle w:val="Refdenotaalpie"/>
          <w:rFonts w:eastAsia="MS ????" w:cs="Verdana"/>
          <w:b/>
          <w:bCs/>
          <w:snapToGrid w:val="0"/>
          <w:sz w:val="20"/>
          <w:szCs w:val="20"/>
          <w:lang w:val="en-US" w:eastAsia="es-ES"/>
        </w:rPr>
        <w:footnoteReference w:id="161"/>
      </w:r>
      <w:r w:rsidR="005E5012" w:rsidRPr="00012C3F">
        <w:rPr>
          <w:rFonts w:eastAsia="MS ????" w:cs="Verdana"/>
          <w:b/>
          <w:bCs/>
          <w:snapToGrid w:val="0"/>
          <w:sz w:val="20"/>
          <w:szCs w:val="20"/>
          <w:lang w:val="en-US" w:eastAsia="es-ES"/>
        </w:rPr>
        <w:t xml:space="preserve"> </w:t>
      </w:r>
      <w:r w:rsidR="005E1B9D" w:rsidRPr="00012C3F">
        <w:rPr>
          <w:rFonts w:eastAsia="MS ????" w:cs="Verdana"/>
          <w:b/>
          <w:bCs/>
          <w:snapToGrid w:val="0"/>
          <w:sz w:val="20"/>
          <w:szCs w:val="20"/>
          <w:lang w:val="en-US" w:eastAsia="es-ES"/>
        </w:rPr>
        <w:t>AND</w:t>
      </w:r>
      <w:r w:rsidR="006C705C" w:rsidRPr="00012C3F">
        <w:rPr>
          <w:rFonts w:eastAsia="MS ????" w:cs="Verdana"/>
          <w:b/>
          <w:bCs/>
          <w:snapToGrid w:val="0"/>
          <w:sz w:val="20"/>
          <w:szCs w:val="20"/>
          <w:lang w:val="en-US" w:eastAsia="es-ES"/>
        </w:rPr>
        <w:t xml:space="preserve"> </w:t>
      </w:r>
      <w:r w:rsidR="00B34249" w:rsidRPr="00012C3F">
        <w:rPr>
          <w:rFonts w:eastAsia="MS ????" w:cs="Verdana"/>
          <w:b/>
          <w:bCs/>
          <w:snapToGrid w:val="0"/>
          <w:sz w:val="20"/>
          <w:szCs w:val="20"/>
          <w:lang w:val="en-US" w:eastAsia="es-ES"/>
        </w:rPr>
        <w:t xml:space="preserve">TO </w:t>
      </w:r>
      <w:r w:rsidR="006C705C" w:rsidRPr="00012C3F">
        <w:rPr>
          <w:rFonts w:eastAsia="MS ????" w:cs="Verdana"/>
          <w:b/>
          <w:bCs/>
          <w:snapToGrid w:val="0"/>
          <w:sz w:val="20"/>
          <w:szCs w:val="20"/>
          <w:lang w:val="en-US" w:eastAsia="es-ES"/>
        </w:rPr>
        <w:t>RECOGNITION OF JURIDICAL PERSONALITY</w:t>
      </w:r>
      <w:r w:rsidR="005E1B9D" w:rsidRPr="00012C3F">
        <w:rPr>
          <w:rFonts w:eastAsia="MS ????" w:cs="Verdana"/>
          <w:b/>
          <w:bCs/>
          <w:snapToGrid w:val="0"/>
          <w:sz w:val="20"/>
          <w:szCs w:val="20"/>
          <w:lang w:val="en-US" w:eastAsia="es-ES"/>
        </w:rPr>
        <w:t>,</w:t>
      </w:r>
      <w:r w:rsidR="006B77A4" w:rsidRPr="00012C3F">
        <w:rPr>
          <w:rStyle w:val="Refdenotaalpie"/>
          <w:rFonts w:eastAsia="MS ????" w:cs="Verdana"/>
          <w:b/>
          <w:bCs/>
          <w:snapToGrid w:val="0"/>
          <w:sz w:val="20"/>
          <w:szCs w:val="20"/>
          <w:lang w:val="en-US" w:eastAsia="es-ES"/>
        </w:rPr>
        <w:footnoteReference w:id="162"/>
      </w:r>
      <w:r w:rsidRPr="00012C3F">
        <w:rPr>
          <w:rFonts w:eastAsia="MS ????" w:cs="Verdana"/>
          <w:b/>
          <w:bCs/>
          <w:snapToGrid w:val="0"/>
          <w:sz w:val="20"/>
          <w:szCs w:val="20"/>
          <w:lang w:val="en-US" w:eastAsia="es-ES"/>
        </w:rPr>
        <w:t xml:space="preserve"> </w:t>
      </w:r>
      <w:r w:rsidR="006C705C" w:rsidRPr="00012C3F">
        <w:rPr>
          <w:rFonts w:eastAsia="MS ????" w:cs="Verdana"/>
          <w:b/>
          <w:bCs/>
          <w:snapToGrid w:val="0"/>
          <w:sz w:val="20"/>
          <w:szCs w:val="20"/>
          <w:lang w:val="en-US" w:eastAsia="es-ES"/>
        </w:rPr>
        <w:t>IN RELATION TO</w:t>
      </w:r>
      <w:r w:rsidRPr="00012C3F">
        <w:rPr>
          <w:rFonts w:eastAsia="MS ????" w:cs="Verdana"/>
          <w:b/>
          <w:bCs/>
          <w:snapToGrid w:val="0"/>
          <w:sz w:val="20"/>
          <w:szCs w:val="20"/>
          <w:lang w:val="en-US" w:eastAsia="es-ES"/>
        </w:rPr>
        <w:t xml:space="preserve"> </w:t>
      </w:r>
      <w:r w:rsidR="005E1B9D" w:rsidRPr="00012C3F">
        <w:rPr>
          <w:rFonts w:eastAsia="MS ????" w:cs="Verdana"/>
          <w:b/>
          <w:bCs/>
          <w:snapToGrid w:val="0"/>
          <w:sz w:val="20"/>
          <w:szCs w:val="20"/>
          <w:lang w:val="en-US" w:eastAsia="es-ES"/>
        </w:rPr>
        <w:t xml:space="preserve">THE OBLIGATIONS TO RESPECT </w:t>
      </w:r>
      <w:r w:rsidR="00E46719" w:rsidRPr="00012C3F">
        <w:rPr>
          <w:rFonts w:eastAsia="MS ????" w:cs="Verdana"/>
          <w:b/>
          <w:bCs/>
          <w:snapToGrid w:val="0"/>
          <w:sz w:val="20"/>
          <w:szCs w:val="20"/>
          <w:lang w:val="en-US" w:eastAsia="es-ES"/>
        </w:rPr>
        <w:t>AND TO ENSURE RIGHTS</w:t>
      </w:r>
      <w:r w:rsidR="005E1B9D" w:rsidRPr="00012C3F">
        <w:rPr>
          <w:rFonts w:eastAsia="MS ????" w:cs="Verdana"/>
          <w:b/>
          <w:bCs/>
          <w:snapToGrid w:val="0"/>
          <w:sz w:val="20"/>
          <w:szCs w:val="20"/>
          <w:lang w:val="en-US" w:eastAsia="es-ES"/>
        </w:rPr>
        <w:t xml:space="preserve"> WITHOUT DISCRIMINATION</w:t>
      </w:r>
      <w:bookmarkEnd w:id="110"/>
      <w:r w:rsidR="005E1B9D" w:rsidRPr="00012C3F">
        <w:rPr>
          <w:rFonts w:eastAsia="MS ????" w:cs="Verdana"/>
          <w:b/>
          <w:bCs/>
          <w:snapToGrid w:val="0"/>
          <w:sz w:val="20"/>
          <w:szCs w:val="20"/>
          <w:lang w:val="en-US" w:eastAsia="es-ES"/>
        </w:rPr>
        <w:t>,</w:t>
      </w:r>
      <w:r w:rsidR="006B77A4" w:rsidRPr="00012C3F">
        <w:rPr>
          <w:rStyle w:val="Refdenotaalpie"/>
          <w:rFonts w:eastAsia="MS ????" w:cs="Verdana"/>
          <w:b/>
          <w:bCs/>
          <w:snapToGrid w:val="0"/>
          <w:sz w:val="20"/>
          <w:szCs w:val="20"/>
          <w:lang w:val="en-US" w:eastAsia="es-ES"/>
        </w:rPr>
        <w:footnoteReference w:id="163"/>
      </w:r>
      <w:r w:rsidR="001C7633" w:rsidRPr="00012C3F">
        <w:rPr>
          <w:rFonts w:eastAsia="MS ????" w:cs="Verdana"/>
          <w:b/>
          <w:bCs/>
          <w:snapToGrid w:val="0"/>
          <w:sz w:val="20"/>
          <w:szCs w:val="20"/>
          <w:lang w:val="en-US" w:eastAsia="es-ES"/>
        </w:rPr>
        <w:t xml:space="preserve"> </w:t>
      </w:r>
      <w:r w:rsidR="005E1B9D" w:rsidRPr="00012C3F">
        <w:rPr>
          <w:rFonts w:eastAsia="MS ????" w:cs="Verdana"/>
          <w:b/>
          <w:bCs/>
          <w:snapToGrid w:val="0"/>
          <w:sz w:val="20"/>
          <w:szCs w:val="20"/>
          <w:lang w:val="en-US" w:eastAsia="es-ES"/>
        </w:rPr>
        <w:t xml:space="preserve">AND ALSO </w:t>
      </w:r>
      <w:r w:rsidR="00F63FF1" w:rsidRPr="00012C3F">
        <w:rPr>
          <w:rFonts w:eastAsia="MS ????" w:cs="Verdana"/>
          <w:b/>
          <w:bCs/>
          <w:snapToGrid w:val="0"/>
          <w:sz w:val="20"/>
          <w:szCs w:val="20"/>
          <w:lang w:val="en-US" w:eastAsia="es-ES"/>
        </w:rPr>
        <w:t>ARTICLE</w:t>
      </w:r>
      <w:r w:rsidR="001C7633" w:rsidRPr="00012C3F">
        <w:rPr>
          <w:rFonts w:eastAsia="MS ????" w:cs="Verdana"/>
          <w:b/>
          <w:bCs/>
          <w:snapToGrid w:val="0"/>
          <w:sz w:val="20"/>
          <w:szCs w:val="20"/>
          <w:lang w:val="en-US" w:eastAsia="es-ES"/>
        </w:rPr>
        <w:t xml:space="preserve"> 7</w:t>
      </w:r>
      <w:r w:rsidR="001254DE" w:rsidRPr="00012C3F">
        <w:rPr>
          <w:rFonts w:eastAsia="MS ????" w:cs="Verdana"/>
          <w:b/>
          <w:bCs/>
          <w:snapToGrid w:val="0"/>
          <w:sz w:val="20"/>
          <w:szCs w:val="20"/>
          <w:lang w:val="en-US" w:eastAsia="es-ES"/>
        </w:rPr>
        <w:t xml:space="preserve"> </w:t>
      </w:r>
      <w:r w:rsidR="005E1B9D" w:rsidRPr="00012C3F">
        <w:rPr>
          <w:rFonts w:eastAsia="MS ????" w:cs="Verdana"/>
          <w:b/>
          <w:bCs/>
          <w:snapToGrid w:val="0"/>
          <w:sz w:val="20"/>
          <w:szCs w:val="20"/>
          <w:lang w:val="en-US" w:eastAsia="es-ES"/>
        </w:rPr>
        <w:t>OF THE</w:t>
      </w:r>
      <w:r w:rsidR="001254DE" w:rsidRPr="00012C3F">
        <w:rPr>
          <w:rFonts w:eastAsia="MS ????" w:cs="Verdana"/>
          <w:b/>
          <w:bCs/>
          <w:snapToGrid w:val="0"/>
          <w:sz w:val="20"/>
          <w:szCs w:val="20"/>
          <w:lang w:val="en-US" w:eastAsia="es-ES"/>
        </w:rPr>
        <w:t xml:space="preserve"> CONVENTION</w:t>
      </w:r>
      <w:r w:rsidR="001C7633" w:rsidRPr="00012C3F">
        <w:rPr>
          <w:rFonts w:eastAsia="MS ????" w:cs="Verdana"/>
          <w:b/>
          <w:bCs/>
          <w:snapToGrid w:val="0"/>
          <w:sz w:val="20"/>
          <w:szCs w:val="20"/>
          <w:lang w:val="en-US" w:eastAsia="es-ES"/>
        </w:rPr>
        <w:t xml:space="preserve"> </w:t>
      </w:r>
      <w:r w:rsidR="005E5012" w:rsidRPr="00012C3F">
        <w:rPr>
          <w:rFonts w:eastAsia="MS ????" w:cs="Verdana"/>
          <w:b/>
          <w:bCs/>
          <w:snapToGrid w:val="0"/>
          <w:sz w:val="20"/>
          <w:szCs w:val="20"/>
          <w:lang w:val="en-US" w:eastAsia="es-ES"/>
        </w:rPr>
        <w:t>OF BELÉM</w:t>
      </w:r>
      <w:r w:rsidR="001C7633" w:rsidRPr="00012C3F">
        <w:rPr>
          <w:rFonts w:eastAsia="MS ????" w:cs="Verdana"/>
          <w:b/>
          <w:bCs/>
          <w:snapToGrid w:val="0"/>
          <w:sz w:val="20"/>
          <w:szCs w:val="20"/>
          <w:lang w:val="en-US" w:eastAsia="es-ES"/>
        </w:rPr>
        <w:t xml:space="preserve"> DO PARÁ</w:t>
      </w:r>
      <w:r w:rsidR="00817F8F" w:rsidRPr="00012C3F">
        <w:rPr>
          <w:rStyle w:val="Refdenotaalpie"/>
          <w:rFonts w:eastAsia="MS ????" w:cs="Verdana"/>
          <w:b/>
          <w:bCs/>
          <w:snapToGrid w:val="0"/>
          <w:sz w:val="20"/>
          <w:szCs w:val="20"/>
          <w:lang w:val="en-US" w:eastAsia="es-ES"/>
        </w:rPr>
        <w:footnoteReference w:id="164"/>
      </w:r>
      <w:bookmarkEnd w:id="111"/>
    </w:p>
    <w:p w14:paraId="0AEB70C4" w14:textId="77777777" w:rsidR="008920BF" w:rsidRPr="00012C3F" w:rsidRDefault="008920BF" w:rsidP="008920BF">
      <w:pPr>
        <w:rPr>
          <w:sz w:val="20"/>
          <w:szCs w:val="20"/>
          <w:lang w:val="en-US" w:eastAsia="es-ES"/>
        </w:rPr>
      </w:pPr>
    </w:p>
    <w:p w14:paraId="0551C994" w14:textId="77777777" w:rsidR="00407E71" w:rsidRPr="00012C3F" w:rsidRDefault="00582DDD" w:rsidP="00B34249">
      <w:pPr>
        <w:widowControl/>
        <w:numPr>
          <w:ilvl w:val="0"/>
          <w:numId w:val="5"/>
        </w:numPr>
        <w:tabs>
          <w:tab w:val="left" w:pos="720"/>
          <w:tab w:val="num" w:pos="12305"/>
        </w:tabs>
        <w:adjustRightInd/>
        <w:spacing w:line="240" w:lineRule="auto"/>
        <w:ind w:left="0" w:right="-90" w:firstLine="0"/>
        <w:textAlignment w:val="auto"/>
        <w:rPr>
          <w:sz w:val="20"/>
          <w:szCs w:val="20"/>
          <w:lang w:val="en-US" w:eastAsia="es-ES"/>
        </w:rPr>
      </w:pPr>
      <w:r w:rsidRPr="00012C3F">
        <w:rPr>
          <w:sz w:val="20"/>
          <w:szCs w:val="20"/>
          <w:lang w:val="en-US"/>
        </w:rPr>
        <w:t>In this section, the Court will examine the arguments concerning the alleged violations relat</w:t>
      </w:r>
      <w:r w:rsidR="00595D7E" w:rsidRPr="00012C3F">
        <w:rPr>
          <w:sz w:val="20"/>
          <w:szCs w:val="20"/>
          <w:lang w:val="en-US"/>
        </w:rPr>
        <w:t>ed</w:t>
      </w:r>
      <w:r w:rsidRPr="00012C3F">
        <w:rPr>
          <w:sz w:val="20"/>
          <w:szCs w:val="20"/>
          <w:lang w:val="en-US"/>
        </w:rPr>
        <w:t xml:space="preserve"> to the tubal ligation procedure to which I.V. was subjected. To this end, the Court finds it pertinent, first, to describe the a</w:t>
      </w:r>
      <w:r w:rsidR="006C705C" w:rsidRPr="00012C3F">
        <w:rPr>
          <w:sz w:val="20"/>
          <w:szCs w:val="20"/>
          <w:lang w:val="en-US"/>
        </w:rPr>
        <w:t>rguments of the parties</w:t>
      </w:r>
      <w:r w:rsidR="005E5012" w:rsidRPr="00012C3F">
        <w:rPr>
          <w:sz w:val="20"/>
          <w:szCs w:val="20"/>
          <w:lang w:val="en-US"/>
        </w:rPr>
        <w:t xml:space="preserve"> and </w:t>
      </w:r>
      <w:r w:rsidR="001254DE" w:rsidRPr="00012C3F">
        <w:rPr>
          <w:sz w:val="20"/>
          <w:szCs w:val="20"/>
          <w:lang w:val="en-US"/>
        </w:rPr>
        <w:t xml:space="preserve">of the </w:t>
      </w:r>
      <w:r w:rsidR="00A84CA0" w:rsidRPr="00012C3F">
        <w:rPr>
          <w:sz w:val="20"/>
          <w:szCs w:val="20"/>
          <w:lang w:val="en-US"/>
        </w:rPr>
        <w:t>Commission</w:t>
      </w:r>
      <w:r w:rsidR="008840C9" w:rsidRPr="00012C3F">
        <w:rPr>
          <w:sz w:val="20"/>
          <w:szCs w:val="20"/>
          <w:lang w:val="en-US"/>
        </w:rPr>
        <w:t xml:space="preserve"> </w:t>
      </w:r>
      <w:r w:rsidRPr="00012C3F">
        <w:rPr>
          <w:sz w:val="20"/>
          <w:szCs w:val="20"/>
          <w:lang w:val="en-US"/>
        </w:rPr>
        <w:t>regarding</w:t>
      </w:r>
      <w:r w:rsidR="008840C9" w:rsidRPr="00012C3F">
        <w:rPr>
          <w:sz w:val="20"/>
          <w:szCs w:val="20"/>
          <w:lang w:val="en-US"/>
        </w:rPr>
        <w:t xml:space="preserve"> </w:t>
      </w:r>
      <w:r w:rsidR="001254DE" w:rsidRPr="00012C3F">
        <w:rPr>
          <w:sz w:val="20"/>
          <w:szCs w:val="20"/>
          <w:lang w:val="en-US"/>
        </w:rPr>
        <w:t>Articles</w:t>
      </w:r>
      <w:r w:rsidR="008840C9" w:rsidRPr="00012C3F">
        <w:rPr>
          <w:sz w:val="20"/>
          <w:szCs w:val="20"/>
          <w:lang w:val="en-US"/>
        </w:rPr>
        <w:t xml:space="preserve"> </w:t>
      </w:r>
      <w:r w:rsidR="005E5012" w:rsidRPr="00012C3F">
        <w:rPr>
          <w:sz w:val="20"/>
          <w:szCs w:val="20"/>
          <w:lang w:val="en-US"/>
        </w:rPr>
        <w:t>5(1)</w:t>
      </w:r>
      <w:r w:rsidR="008840C9" w:rsidRPr="00012C3F">
        <w:rPr>
          <w:sz w:val="20"/>
          <w:szCs w:val="20"/>
          <w:lang w:val="en-US"/>
        </w:rPr>
        <w:t xml:space="preserve">, </w:t>
      </w:r>
      <w:r w:rsidR="005E5012" w:rsidRPr="00012C3F">
        <w:rPr>
          <w:sz w:val="20"/>
          <w:szCs w:val="20"/>
          <w:lang w:val="en-US"/>
        </w:rPr>
        <w:t>13(1)</w:t>
      </w:r>
      <w:r w:rsidR="008840C9" w:rsidRPr="00012C3F">
        <w:rPr>
          <w:sz w:val="20"/>
          <w:szCs w:val="20"/>
          <w:lang w:val="en-US"/>
        </w:rPr>
        <w:t>, 1</w:t>
      </w:r>
      <w:r w:rsidR="005E5012" w:rsidRPr="00012C3F">
        <w:rPr>
          <w:sz w:val="20"/>
          <w:szCs w:val="20"/>
          <w:lang w:val="en-US"/>
        </w:rPr>
        <w:t>1(1)</w:t>
      </w:r>
      <w:r w:rsidR="008840C9" w:rsidRPr="00012C3F">
        <w:rPr>
          <w:sz w:val="20"/>
          <w:szCs w:val="20"/>
          <w:lang w:val="en-US"/>
        </w:rPr>
        <w:t xml:space="preserve">, </w:t>
      </w:r>
      <w:r w:rsidR="005E5012" w:rsidRPr="00012C3F">
        <w:rPr>
          <w:sz w:val="20"/>
          <w:szCs w:val="20"/>
          <w:lang w:val="en-US"/>
        </w:rPr>
        <w:t>11(2)</w:t>
      </w:r>
      <w:r w:rsidR="008840C9" w:rsidRPr="00012C3F">
        <w:rPr>
          <w:sz w:val="20"/>
          <w:szCs w:val="20"/>
          <w:lang w:val="en-US"/>
        </w:rPr>
        <w:t xml:space="preserve">, </w:t>
      </w:r>
      <w:r w:rsidR="005E5012" w:rsidRPr="00012C3F">
        <w:rPr>
          <w:sz w:val="20"/>
          <w:szCs w:val="20"/>
          <w:lang w:val="en-US"/>
        </w:rPr>
        <w:t>17(2)</w:t>
      </w:r>
      <w:r w:rsidR="008840C9" w:rsidRPr="00012C3F">
        <w:rPr>
          <w:sz w:val="20"/>
          <w:szCs w:val="20"/>
          <w:lang w:val="en-US"/>
        </w:rPr>
        <w:t>, 3</w:t>
      </w:r>
      <w:r w:rsidR="005E5012" w:rsidRPr="00012C3F">
        <w:rPr>
          <w:sz w:val="20"/>
          <w:szCs w:val="20"/>
          <w:lang w:val="en-US"/>
        </w:rPr>
        <w:t xml:space="preserve"> and 1(1)</w:t>
      </w:r>
      <w:r w:rsidR="001254DE" w:rsidRPr="00012C3F">
        <w:rPr>
          <w:sz w:val="20"/>
          <w:szCs w:val="20"/>
          <w:lang w:val="en-US"/>
        </w:rPr>
        <w:t xml:space="preserve"> of the American Convention</w:t>
      </w:r>
      <w:r w:rsidR="008840C9" w:rsidRPr="00012C3F">
        <w:rPr>
          <w:sz w:val="20"/>
          <w:szCs w:val="20"/>
          <w:lang w:val="en-US"/>
        </w:rPr>
        <w:t xml:space="preserve">, </w:t>
      </w:r>
      <w:r w:rsidRPr="00012C3F">
        <w:rPr>
          <w:sz w:val="20"/>
          <w:szCs w:val="20"/>
          <w:lang w:val="en-US"/>
        </w:rPr>
        <w:t>and also</w:t>
      </w:r>
      <w:r w:rsidR="008840C9" w:rsidRPr="00012C3F">
        <w:rPr>
          <w:sz w:val="20"/>
          <w:szCs w:val="20"/>
          <w:lang w:val="en-US"/>
        </w:rPr>
        <w:t xml:space="preserve"> </w:t>
      </w:r>
      <w:r w:rsidR="001254DE" w:rsidRPr="00012C3F">
        <w:rPr>
          <w:sz w:val="20"/>
          <w:szCs w:val="20"/>
          <w:lang w:val="en-US"/>
        </w:rPr>
        <w:t>Article</w:t>
      </w:r>
      <w:r w:rsidR="008840C9" w:rsidRPr="00012C3F">
        <w:rPr>
          <w:sz w:val="20"/>
          <w:szCs w:val="20"/>
          <w:lang w:val="en-US"/>
        </w:rPr>
        <w:t xml:space="preserve"> 7</w:t>
      </w:r>
      <w:r w:rsidR="001254DE" w:rsidRPr="00012C3F">
        <w:rPr>
          <w:sz w:val="20"/>
          <w:szCs w:val="20"/>
          <w:lang w:val="en-US"/>
        </w:rPr>
        <w:t xml:space="preserve"> of the Convention</w:t>
      </w:r>
      <w:r w:rsidR="008840C9" w:rsidRPr="00012C3F">
        <w:rPr>
          <w:sz w:val="20"/>
          <w:szCs w:val="20"/>
          <w:lang w:val="en-US"/>
        </w:rPr>
        <w:t xml:space="preserve"> </w:t>
      </w:r>
      <w:r w:rsidR="005E5012" w:rsidRPr="00012C3F">
        <w:rPr>
          <w:sz w:val="20"/>
          <w:szCs w:val="20"/>
          <w:lang w:val="en-US"/>
        </w:rPr>
        <w:t>of Belém</w:t>
      </w:r>
      <w:r w:rsidR="008840C9" w:rsidRPr="00012C3F">
        <w:rPr>
          <w:sz w:val="20"/>
          <w:szCs w:val="20"/>
          <w:lang w:val="en-US"/>
        </w:rPr>
        <w:t xml:space="preserve"> do Pará</w:t>
      </w:r>
      <w:r w:rsidR="00595D7E" w:rsidRPr="00012C3F">
        <w:rPr>
          <w:sz w:val="20"/>
          <w:szCs w:val="20"/>
          <w:lang w:val="en-US"/>
        </w:rPr>
        <w:t xml:space="preserve">, and </w:t>
      </w:r>
      <w:r w:rsidRPr="00012C3F">
        <w:rPr>
          <w:sz w:val="20"/>
          <w:szCs w:val="20"/>
          <w:lang w:val="en-US"/>
        </w:rPr>
        <w:t xml:space="preserve">then </w:t>
      </w:r>
      <w:r w:rsidR="00595D7E" w:rsidRPr="00012C3F">
        <w:rPr>
          <w:sz w:val="20"/>
          <w:szCs w:val="20"/>
          <w:lang w:val="en-US"/>
        </w:rPr>
        <w:t>to present</w:t>
      </w:r>
      <w:r w:rsidRPr="00012C3F">
        <w:rPr>
          <w:sz w:val="20"/>
          <w:szCs w:val="20"/>
          <w:lang w:val="en-US"/>
        </w:rPr>
        <w:t xml:space="preserve"> the pertinent considerations and decide the disputes collectively, rather than separately article by article.</w:t>
      </w:r>
    </w:p>
    <w:p w14:paraId="2DAED2FC" w14:textId="77777777" w:rsidR="00407E71" w:rsidRPr="00012C3F" w:rsidRDefault="00407E71" w:rsidP="00370FCA">
      <w:pPr>
        <w:spacing w:line="240" w:lineRule="auto"/>
        <w:rPr>
          <w:sz w:val="20"/>
          <w:szCs w:val="20"/>
          <w:lang w:val="en-US" w:eastAsia="es-ES"/>
        </w:rPr>
      </w:pPr>
    </w:p>
    <w:p w14:paraId="26E0EB6F" w14:textId="77777777" w:rsidR="008920BF" w:rsidRPr="00012C3F" w:rsidRDefault="009867D6" w:rsidP="009867D6">
      <w:pPr>
        <w:keepNext/>
        <w:keepLines/>
        <w:tabs>
          <w:tab w:val="left" w:pos="1134"/>
        </w:tabs>
        <w:spacing w:line="240" w:lineRule="auto"/>
        <w:ind w:left="567" w:firstLine="1"/>
        <w:outlineLvl w:val="1"/>
        <w:rPr>
          <w:rFonts w:eastAsia="MS Mincho"/>
          <w:b/>
          <w:bCs/>
          <w:i/>
          <w:sz w:val="20"/>
          <w:szCs w:val="20"/>
          <w:lang w:val="en-US"/>
        </w:rPr>
      </w:pPr>
      <w:bookmarkStart w:id="112" w:name="_Toc27486852"/>
      <w:bookmarkStart w:id="113" w:name="_Toc447893030"/>
      <w:r w:rsidRPr="00012C3F">
        <w:rPr>
          <w:rFonts w:eastAsia="MS Mincho"/>
          <w:b/>
          <w:bCs/>
          <w:i/>
          <w:sz w:val="20"/>
          <w:szCs w:val="20"/>
          <w:lang w:val="en-US"/>
        </w:rPr>
        <w:t>A.</w:t>
      </w:r>
      <w:r w:rsidRPr="00012C3F">
        <w:rPr>
          <w:rFonts w:eastAsia="MS Mincho"/>
          <w:b/>
          <w:bCs/>
          <w:i/>
          <w:sz w:val="20"/>
          <w:szCs w:val="20"/>
          <w:lang w:val="en-US"/>
        </w:rPr>
        <w:tab/>
      </w:r>
      <w:r w:rsidR="006C705C" w:rsidRPr="00012C3F">
        <w:rPr>
          <w:rFonts w:eastAsia="MS Mincho"/>
          <w:b/>
          <w:bCs/>
          <w:i/>
          <w:sz w:val="20"/>
          <w:szCs w:val="20"/>
          <w:lang w:val="en-US"/>
        </w:rPr>
        <w:t>Arguments of the parties</w:t>
      </w:r>
      <w:r w:rsidR="005E5012" w:rsidRPr="00012C3F">
        <w:rPr>
          <w:rFonts w:eastAsia="MS Mincho"/>
          <w:b/>
          <w:bCs/>
          <w:i/>
          <w:sz w:val="20"/>
          <w:szCs w:val="20"/>
          <w:lang w:val="en-US"/>
        </w:rPr>
        <w:t xml:space="preserve"> and </w:t>
      </w:r>
      <w:r w:rsidR="001254DE" w:rsidRPr="00012C3F">
        <w:rPr>
          <w:rFonts w:eastAsia="MS Mincho"/>
          <w:b/>
          <w:bCs/>
          <w:i/>
          <w:sz w:val="20"/>
          <w:szCs w:val="20"/>
          <w:lang w:val="en-US"/>
        </w:rPr>
        <w:t xml:space="preserve">of the </w:t>
      </w:r>
      <w:r w:rsidR="00A84CA0" w:rsidRPr="00012C3F">
        <w:rPr>
          <w:rFonts w:eastAsia="MS Mincho"/>
          <w:b/>
          <w:bCs/>
          <w:i/>
          <w:sz w:val="20"/>
          <w:szCs w:val="20"/>
          <w:lang w:val="en-US"/>
        </w:rPr>
        <w:t>Commission</w:t>
      </w:r>
      <w:bookmarkEnd w:id="112"/>
    </w:p>
    <w:p w14:paraId="1DB4CBA8" w14:textId="77777777" w:rsidR="008920BF" w:rsidRPr="00012C3F" w:rsidRDefault="008920BF" w:rsidP="00370FCA">
      <w:pPr>
        <w:widowControl/>
        <w:tabs>
          <w:tab w:val="left" w:pos="720"/>
        </w:tabs>
        <w:adjustRightInd/>
        <w:spacing w:line="240" w:lineRule="auto"/>
        <w:ind w:right="-90"/>
        <w:textAlignment w:val="auto"/>
        <w:rPr>
          <w:rFonts w:eastAsia="MS Mincho"/>
          <w:sz w:val="20"/>
          <w:szCs w:val="20"/>
          <w:lang w:val="en-US" w:eastAsia="en-US" w:bidi="en-US"/>
        </w:rPr>
      </w:pPr>
    </w:p>
    <w:p w14:paraId="3BF5A6B3" w14:textId="77777777" w:rsidR="008920BF" w:rsidRPr="00012C3F" w:rsidRDefault="00E50443" w:rsidP="0039676A">
      <w:pPr>
        <w:pStyle w:val="Ttulo2"/>
        <w:tabs>
          <w:tab w:val="left" w:pos="1701"/>
        </w:tabs>
        <w:spacing w:before="0" w:line="240" w:lineRule="auto"/>
        <w:ind w:left="1134"/>
        <w:rPr>
          <w:rFonts w:ascii="Verdana" w:hAnsi="Verdana"/>
          <w:b w:val="0"/>
          <w:i/>
          <w:color w:val="auto"/>
          <w:sz w:val="20"/>
          <w:szCs w:val="20"/>
          <w:lang w:val="en-US"/>
        </w:rPr>
      </w:pPr>
      <w:bookmarkStart w:id="114" w:name="_Toc445290337"/>
      <w:bookmarkStart w:id="115" w:name="_Toc27486853"/>
      <w:r w:rsidRPr="00012C3F">
        <w:rPr>
          <w:rFonts w:ascii="Verdana" w:hAnsi="Verdana"/>
          <w:b w:val="0"/>
          <w:i/>
          <w:color w:val="auto"/>
          <w:sz w:val="20"/>
          <w:szCs w:val="20"/>
          <w:lang w:val="en-US"/>
        </w:rPr>
        <w:t>A.1</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 right</w:t>
      </w:r>
      <w:r w:rsidR="008920BF"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to personal integrity</w:t>
      </w:r>
      <w:r w:rsidR="008920BF"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008920BF"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5(1)</w:t>
      </w:r>
      <w:r w:rsidR="001254DE" w:rsidRPr="00012C3F">
        <w:rPr>
          <w:rFonts w:ascii="Verdana" w:hAnsi="Verdana"/>
          <w:b w:val="0"/>
          <w:i/>
          <w:color w:val="auto"/>
          <w:sz w:val="20"/>
          <w:szCs w:val="20"/>
          <w:lang w:val="en-US"/>
        </w:rPr>
        <w:t xml:space="preserve"> of the American Convention</w:t>
      </w:r>
      <w:r w:rsidR="008920BF" w:rsidRPr="00012C3F">
        <w:rPr>
          <w:rFonts w:ascii="Verdana" w:hAnsi="Verdana"/>
          <w:b w:val="0"/>
          <w:i/>
          <w:color w:val="auto"/>
          <w:sz w:val="20"/>
          <w:szCs w:val="20"/>
          <w:lang w:val="en-US"/>
        </w:rPr>
        <w:t>)</w:t>
      </w:r>
      <w:bookmarkEnd w:id="114"/>
      <w:bookmarkEnd w:id="115"/>
    </w:p>
    <w:p w14:paraId="5A09037B" w14:textId="77777777" w:rsidR="008920BF" w:rsidRPr="00012C3F" w:rsidRDefault="008920BF" w:rsidP="00E50443">
      <w:pPr>
        <w:widowControl/>
        <w:tabs>
          <w:tab w:val="left" w:pos="720"/>
        </w:tabs>
        <w:adjustRightInd/>
        <w:spacing w:line="240" w:lineRule="auto"/>
        <w:ind w:right="-90"/>
        <w:textAlignment w:val="auto"/>
        <w:rPr>
          <w:rFonts w:eastAsia="MS Mincho"/>
          <w:sz w:val="20"/>
          <w:szCs w:val="20"/>
          <w:lang w:val="en-US" w:eastAsia="en-US" w:bidi="en-US"/>
        </w:rPr>
      </w:pPr>
    </w:p>
    <w:p w14:paraId="26D77973" w14:textId="77777777" w:rsidR="004B2395" w:rsidRPr="00012C3F" w:rsidRDefault="00BD056C" w:rsidP="00B85280">
      <w:pPr>
        <w:widowControl/>
        <w:numPr>
          <w:ilvl w:val="0"/>
          <w:numId w:val="5"/>
        </w:numPr>
        <w:tabs>
          <w:tab w:val="left" w:pos="720"/>
          <w:tab w:val="num" w:pos="12305"/>
        </w:tabs>
        <w:adjustRightInd/>
        <w:spacing w:line="240" w:lineRule="auto"/>
        <w:ind w:left="0" w:right="-90" w:firstLine="0"/>
        <w:textAlignment w:val="auto"/>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Commission</w:t>
      </w:r>
      <w:r w:rsidR="004B2395" w:rsidRPr="00012C3F">
        <w:rPr>
          <w:rFonts w:eastAsia="MS Mincho" w:cs="Arial"/>
          <w:b/>
          <w:bCs/>
          <w:i/>
          <w:iCs/>
          <w:sz w:val="20"/>
          <w:szCs w:val="20"/>
          <w:lang w:val="en-US" w:eastAsia="en-US" w:bidi="en-US"/>
        </w:rPr>
        <w:t xml:space="preserve"> </w:t>
      </w:r>
      <w:r w:rsidR="004B2395" w:rsidRPr="00012C3F">
        <w:rPr>
          <w:rFonts w:eastAsia="MS Mincho" w:cs="Arial"/>
          <w:sz w:val="20"/>
          <w:szCs w:val="20"/>
          <w:lang w:val="en-US" w:eastAsia="en-US" w:bidi="en-US"/>
        </w:rPr>
        <w:t>a</w:t>
      </w:r>
      <w:r w:rsidR="00D50476" w:rsidRPr="00012C3F">
        <w:rPr>
          <w:rFonts w:eastAsia="MS Mincho" w:cs="Arial"/>
          <w:sz w:val="20"/>
          <w:szCs w:val="20"/>
          <w:lang w:val="en-US" w:eastAsia="en-US" w:bidi="en-US"/>
        </w:rPr>
        <w:t xml:space="preserve">rgued that the right </w:t>
      </w:r>
      <w:r w:rsidR="006C705C" w:rsidRPr="00012C3F">
        <w:rPr>
          <w:rFonts w:eastAsia="MS Mincho" w:cs="Arial"/>
          <w:sz w:val="20"/>
          <w:szCs w:val="20"/>
          <w:lang w:val="en-US" w:eastAsia="en-US" w:bidi="en-US"/>
        </w:rPr>
        <w:t>to personal integrity</w:t>
      </w:r>
      <w:r w:rsidR="004B2395" w:rsidRPr="00012C3F">
        <w:rPr>
          <w:rFonts w:eastAsia="MS Mincho" w:cs="Arial"/>
          <w:sz w:val="20"/>
          <w:szCs w:val="20"/>
          <w:lang w:val="en-US" w:eastAsia="en-US" w:bidi="en-US"/>
        </w:rPr>
        <w:t xml:space="preserve"> </w:t>
      </w:r>
      <w:r w:rsidR="00D50476" w:rsidRPr="00012C3F">
        <w:rPr>
          <w:rFonts w:eastAsia="MS Mincho" w:cs="Arial"/>
          <w:sz w:val="20"/>
          <w:szCs w:val="20"/>
          <w:lang w:val="en-US" w:eastAsia="en-US" w:bidi="en-US"/>
        </w:rPr>
        <w:t xml:space="preserve">is a </w:t>
      </w:r>
      <w:r w:rsidR="00595D7E" w:rsidRPr="00012C3F">
        <w:rPr>
          <w:rFonts w:eastAsia="MS Mincho" w:cs="Arial"/>
          <w:sz w:val="20"/>
          <w:szCs w:val="20"/>
          <w:lang w:val="en-US" w:eastAsia="en-US" w:bidi="en-US"/>
        </w:rPr>
        <w:t xml:space="preserve">broad </w:t>
      </w:r>
      <w:r w:rsidR="00D50476" w:rsidRPr="00012C3F">
        <w:rPr>
          <w:rFonts w:eastAsia="MS Mincho" w:cs="Arial"/>
          <w:sz w:val="20"/>
          <w:szCs w:val="20"/>
          <w:lang w:val="en-US" w:eastAsia="en-US" w:bidi="en-US"/>
        </w:rPr>
        <w:t>concept that includes a woman’s maternal health</w:t>
      </w:r>
      <w:r w:rsidR="00595D7E" w:rsidRPr="00012C3F">
        <w:rPr>
          <w:rFonts w:eastAsia="MS Mincho" w:cs="Arial"/>
          <w:sz w:val="20"/>
          <w:szCs w:val="20"/>
          <w:lang w:val="en-US" w:eastAsia="en-US" w:bidi="en-US"/>
        </w:rPr>
        <w:t>,</w:t>
      </w:r>
      <w:r w:rsidR="00D50476" w:rsidRPr="00012C3F">
        <w:rPr>
          <w:rFonts w:eastAsia="MS Mincho" w:cs="Arial"/>
          <w:sz w:val="20"/>
          <w:szCs w:val="20"/>
          <w:lang w:val="en-US" w:eastAsia="en-US" w:bidi="en-US"/>
        </w:rPr>
        <w:t xml:space="preserve"> and its protection entails the </w:t>
      </w:r>
      <w:r w:rsidR="00595D7E" w:rsidRPr="00012C3F">
        <w:rPr>
          <w:rFonts w:eastAsia="MS Mincho" w:cs="Arial"/>
          <w:sz w:val="20"/>
          <w:szCs w:val="20"/>
          <w:lang w:val="en-US" w:eastAsia="en-US" w:bidi="en-US"/>
        </w:rPr>
        <w:t xml:space="preserve">State’s </w:t>
      </w:r>
      <w:r w:rsidR="00D50476" w:rsidRPr="00012C3F">
        <w:rPr>
          <w:rFonts w:eastAsia="MS Mincho" w:cs="Arial"/>
          <w:sz w:val="20"/>
          <w:szCs w:val="20"/>
          <w:lang w:val="en-US" w:eastAsia="en-US" w:bidi="en-US"/>
        </w:rPr>
        <w:t>obligation to ensure that women have access</w:t>
      </w:r>
      <w:r w:rsidR="00595D7E" w:rsidRPr="00012C3F">
        <w:rPr>
          <w:rFonts w:eastAsia="MS Mincho" w:cs="Arial"/>
          <w:sz w:val="20"/>
          <w:szCs w:val="20"/>
          <w:lang w:val="en-US" w:eastAsia="en-US" w:bidi="en-US"/>
        </w:rPr>
        <w:t>,</w:t>
      </w:r>
      <w:r w:rsidR="00D50476" w:rsidRPr="00012C3F">
        <w:rPr>
          <w:rFonts w:eastAsia="MS Mincho" w:cs="Arial"/>
          <w:sz w:val="20"/>
          <w:szCs w:val="20"/>
          <w:lang w:val="en-US" w:eastAsia="en-US" w:bidi="en-US"/>
        </w:rPr>
        <w:t xml:space="preserve"> on an equal footing</w:t>
      </w:r>
      <w:r w:rsidR="00595D7E" w:rsidRPr="00012C3F">
        <w:rPr>
          <w:rFonts w:eastAsia="MS Mincho" w:cs="Arial"/>
          <w:sz w:val="20"/>
          <w:szCs w:val="20"/>
          <w:lang w:val="en-US" w:eastAsia="en-US" w:bidi="en-US"/>
        </w:rPr>
        <w:t>,</w:t>
      </w:r>
      <w:r w:rsidR="00D50476" w:rsidRPr="00012C3F">
        <w:rPr>
          <w:rFonts w:eastAsia="MS Mincho" w:cs="Arial"/>
          <w:sz w:val="20"/>
          <w:szCs w:val="20"/>
          <w:lang w:val="en-US" w:eastAsia="en-US" w:bidi="en-US"/>
        </w:rPr>
        <w:t xml:space="preserve"> to adequate and timely health services and to the necessary information on maternity and reproductive health. In this regard, it considered that performing the surgical procedure of sterilization without </w:t>
      </w:r>
      <w:r w:rsidR="00595D7E" w:rsidRPr="00012C3F">
        <w:rPr>
          <w:rFonts w:eastAsia="MS Mincho" w:cs="Arial"/>
          <w:sz w:val="20"/>
          <w:szCs w:val="20"/>
          <w:lang w:val="en-US" w:eastAsia="en-US" w:bidi="en-US"/>
        </w:rPr>
        <w:t>I.V.’s</w:t>
      </w:r>
      <w:r w:rsidR="00D50476" w:rsidRPr="00012C3F">
        <w:rPr>
          <w:rFonts w:eastAsia="MS Mincho" w:cs="Arial"/>
          <w:sz w:val="20"/>
          <w:szCs w:val="20"/>
          <w:lang w:val="en-US" w:eastAsia="en-US" w:bidi="en-US"/>
        </w:rPr>
        <w:t xml:space="preserve"> consent did not constitute an a</w:t>
      </w:r>
      <w:r w:rsidR="00595D7E" w:rsidRPr="00012C3F">
        <w:rPr>
          <w:rFonts w:eastAsia="MS Mincho" w:cs="Arial"/>
          <w:sz w:val="20"/>
          <w:szCs w:val="20"/>
          <w:lang w:val="en-US" w:eastAsia="en-US" w:bidi="en-US"/>
        </w:rPr>
        <w:t>ppropriate</w:t>
      </w:r>
      <w:r w:rsidR="00D50476" w:rsidRPr="00012C3F">
        <w:rPr>
          <w:rFonts w:eastAsia="MS Mincho" w:cs="Arial"/>
          <w:sz w:val="20"/>
          <w:szCs w:val="20"/>
          <w:lang w:val="en-US" w:eastAsia="en-US" w:bidi="en-US"/>
        </w:rPr>
        <w:t xml:space="preserve"> or </w:t>
      </w:r>
      <w:r w:rsidR="00595D7E" w:rsidRPr="00012C3F">
        <w:rPr>
          <w:rFonts w:eastAsia="MS Mincho" w:cs="Arial"/>
          <w:sz w:val="20"/>
          <w:szCs w:val="20"/>
          <w:lang w:val="en-US" w:eastAsia="en-US" w:bidi="en-US"/>
        </w:rPr>
        <w:t xml:space="preserve">opportune </w:t>
      </w:r>
      <w:r w:rsidR="00D50476" w:rsidRPr="00012C3F">
        <w:rPr>
          <w:rFonts w:eastAsia="MS Mincho" w:cs="Arial"/>
          <w:sz w:val="20"/>
          <w:szCs w:val="20"/>
          <w:lang w:val="en-US" w:eastAsia="en-US" w:bidi="en-US"/>
        </w:rPr>
        <w:t xml:space="preserve">measure of maternal health </w:t>
      </w:r>
      <w:r w:rsidR="00595D7E" w:rsidRPr="00012C3F">
        <w:rPr>
          <w:rFonts w:eastAsia="MS Mincho" w:cs="Arial"/>
          <w:sz w:val="20"/>
          <w:szCs w:val="20"/>
          <w:lang w:val="en-US" w:eastAsia="en-US" w:bidi="en-US"/>
        </w:rPr>
        <w:t>and</w:t>
      </w:r>
      <w:r w:rsidR="00D50476" w:rsidRPr="00012C3F">
        <w:rPr>
          <w:rFonts w:eastAsia="MS Mincho" w:cs="Arial"/>
          <w:sz w:val="20"/>
          <w:szCs w:val="20"/>
          <w:lang w:val="en-US" w:eastAsia="en-US" w:bidi="en-US"/>
        </w:rPr>
        <w:t xml:space="preserve"> deprived</w:t>
      </w:r>
      <w:r w:rsidR="00595D7E" w:rsidRPr="00012C3F">
        <w:rPr>
          <w:rFonts w:eastAsia="MS Mincho" w:cs="Arial"/>
          <w:sz w:val="20"/>
          <w:szCs w:val="20"/>
          <w:lang w:val="en-US" w:eastAsia="en-US" w:bidi="en-US"/>
        </w:rPr>
        <w:t xml:space="preserve"> her</w:t>
      </w:r>
      <w:r w:rsidR="00D50476" w:rsidRPr="00012C3F">
        <w:rPr>
          <w:rFonts w:eastAsia="MS Mincho" w:cs="Arial"/>
          <w:sz w:val="20"/>
          <w:szCs w:val="20"/>
          <w:lang w:val="en-US" w:eastAsia="en-US" w:bidi="en-US"/>
        </w:rPr>
        <w:t>, permanently and absolutely, of her reproductive rights, which violated her right to physical and mental integrity, and caused her feelings of profound anguish</w:t>
      </w:r>
      <w:r w:rsidR="004B2395" w:rsidRPr="00012C3F">
        <w:rPr>
          <w:rFonts w:eastAsia="MS Mincho" w:cs="Arial"/>
          <w:sz w:val="20"/>
          <w:szCs w:val="20"/>
          <w:lang w:val="en-US" w:eastAsia="en-US" w:bidi="en-US"/>
        </w:rPr>
        <w:t>,</w:t>
      </w:r>
      <w:r w:rsidR="00D50476" w:rsidRPr="00012C3F">
        <w:rPr>
          <w:rFonts w:eastAsia="MS Mincho" w:cs="Arial"/>
          <w:sz w:val="20"/>
          <w:szCs w:val="20"/>
          <w:lang w:val="en-US" w:eastAsia="en-US" w:bidi="en-US"/>
        </w:rPr>
        <w:t xml:space="preserve"> helplessness</w:t>
      </w:r>
      <w:r w:rsidR="005E5012" w:rsidRPr="00012C3F">
        <w:rPr>
          <w:rFonts w:eastAsia="MS Mincho" w:cs="Arial"/>
          <w:sz w:val="20"/>
          <w:szCs w:val="20"/>
          <w:lang w:val="en-US" w:eastAsia="en-US" w:bidi="en-US"/>
        </w:rPr>
        <w:t xml:space="preserve"> and </w:t>
      </w:r>
      <w:r w:rsidR="004B2395" w:rsidRPr="00012C3F">
        <w:rPr>
          <w:rFonts w:eastAsia="MS Mincho" w:cs="Arial"/>
          <w:sz w:val="20"/>
          <w:szCs w:val="20"/>
          <w:lang w:val="en-US" w:eastAsia="en-US" w:bidi="en-US"/>
        </w:rPr>
        <w:t>frustra</w:t>
      </w:r>
      <w:r w:rsidR="00D50476" w:rsidRPr="00012C3F">
        <w:rPr>
          <w:rFonts w:eastAsia="MS Mincho" w:cs="Arial"/>
          <w:sz w:val="20"/>
          <w:szCs w:val="20"/>
          <w:lang w:val="en-US" w:eastAsia="en-US" w:bidi="en-US"/>
        </w:rPr>
        <w:t>tio</w:t>
      </w:r>
      <w:r w:rsidR="004B2395" w:rsidRPr="00012C3F">
        <w:rPr>
          <w:rFonts w:eastAsia="MS Mincho" w:cs="Arial"/>
          <w:sz w:val="20"/>
          <w:szCs w:val="20"/>
          <w:lang w:val="en-US" w:eastAsia="en-US" w:bidi="en-US"/>
        </w:rPr>
        <w:t>n, exacerba</w:t>
      </w:r>
      <w:r w:rsidR="00D50476" w:rsidRPr="00012C3F">
        <w:rPr>
          <w:rFonts w:eastAsia="MS Mincho" w:cs="Arial"/>
          <w:sz w:val="20"/>
          <w:szCs w:val="20"/>
          <w:lang w:val="en-US" w:eastAsia="en-US" w:bidi="en-US"/>
        </w:rPr>
        <w:t xml:space="preserve">ted by the lack of access to justice. In addition, it considered that the existence of a request to reverse a tubal ligation by the </w:t>
      </w:r>
      <w:r w:rsidR="00D50476" w:rsidRPr="00012C3F">
        <w:rPr>
          <w:rFonts w:eastAsia="MS Mincho" w:cs="Arial"/>
          <w:sz w:val="20"/>
          <w:szCs w:val="20"/>
          <w:lang w:val="en-US" w:eastAsia="en-US" w:bidi="en-US"/>
        </w:rPr>
        <w:lastRenderedPageBreak/>
        <w:t xml:space="preserve">victim of </w:t>
      </w:r>
      <w:r w:rsidR="002E2489" w:rsidRPr="00012C3F">
        <w:rPr>
          <w:rFonts w:eastAsia="MS Mincho" w:cs="Arial"/>
          <w:sz w:val="20"/>
          <w:szCs w:val="20"/>
          <w:lang w:val="en-US" w:eastAsia="en-US" w:bidi="en-US"/>
        </w:rPr>
        <w:t>a</w:t>
      </w:r>
      <w:r w:rsidR="008F5266" w:rsidRPr="00012C3F">
        <w:rPr>
          <w:rFonts w:eastAsia="MS Mincho" w:cs="Arial"/>
          <w:sz w:val="20"/>
          <w:szCs w:val="20"/>
          <w:lang w:val="en-US" w:eastAsia="en-US" w:bidi="en-US"/>
        </w:rPr>
        <w:t xml:space="preserve"> forced sterilization</w:t>
      </w:r>
      <w:r w:rsidR="00D50476" w:rsidRPr="00012C3F">
        <w:rPr>
          <w:rFonts w:eastAsia="MS Mincho" w:cs="Arial"/>
          <w:sz w:val="20"/>
          <w:szCs w:val="20"/>
          <w:lang w:val="en-US" w:eastAsia="en-US" w:bidi="en-US"/>
        </w:rPr>
        <w:t xml:space="preserve"> </w:t>
      </w:r>
      <w:r w:rsidR="00595D7E" w:rsidRPr="00012C3F">
        <w:rPr>
          <w:rFonts w:eastAsia="MS Mincho" w:cs="Arial"/>
          <w:sz w:val="20"/>
          <w:szCs w:val="20"/>
          <w:lang w:val="en-US" w:eastAsia="en-US" w:bidi="en-US"/>
        </w:rPr>
        <w:t>wa</w:t>
      </w:r>
      <w:r w:rsidR="00D50476" w:rsidRPr="00012C3F">
        <w:rPr>
          <w:rFonts w:eastAsia="MS Mincho" w:cs="Arial"/>
          <w:sz w:val="20"/>
          <w:szCs w:val="20"/>
          <w:lang w:val="en-US" w:eastAsia="en-US" w:bidi="en-US"/>
        </w:rPr>
        <w:t xml:space="preserve">s irrelevant to the assessment </w:t>
      </w:r>
      <w:r w:rsidR="006F29E3" w:rsidRPr="00012C3F">
        <w:rPr>
          <w:rFonts w:eastAsia="MS Mincho" w:cs="Arial"/>
          <w:sz w:val="20"/>
          <w:szCs w:val="20"/>
          <w:lang w:val="en-US" w:eastAsia="en-US" w:bidi="en-US"/>
        </w:rPr>
        <w:t>of the violation of her personal integrity and/or her reproductive rights. In addition, it considered that a surgical procedure or an invasive medical treatment, without the patient’s consent, constitute</w:t>
      </w:r>
      <w:r w:rsidR="00B85280" w:rsidRPr="00012C3F">
        <w:rPr>
          <w:rFonts w:eastAsia="MS Mincho" w:cs="Arial"/>
          <w:sz w:val="20"/>
          <w:szCs w:val="20"/>
          <w:lang w:val="en-US" w:eastAsia="en-US" w:bidi="en-US"/>
        </w:rPr>
        <w:t>d</w:t>
      </w:r>
      <w:r w:rsidR="006F29E3" w:rsidRPr="00012C3F">
        <w:rPr>
          <w:rFonts w:eastAsia="MS Mincho" w:cs="Arial"/>
          <w:sz w:val="20"/>
          <w:szCs w:val="20"/>
          <w:lang w:val="en-US" w:eastAsia="en-US" w:bidi="en-US"/>
        </w:rPr>
        <w:t xml:space="preserve"> a violation of the right </w:t>
      </w:r>
      <w:r w:rsidR="006C705C" w:rsidRPr="00012C3F">
        <w:rPr>
          <w:rFonts w:eastAsia="MS Mincho" w:cs="Arial"/>
          <w:sz w:val="20"/>
          <w:szCs w:val="20"/>
          <w:lang w:val="en-US" w:eastAsia="en-US" w:bidi="en-US"/>
        </w:rPr>
        <w:t>to personal integrity</w:t>
      </w:r>
      <w:r w:rsidR="004B2395" w:rsidRPr="00012C3F">
        <w:rPr>
          <w:rFonts w:eastAsia="MS Mincho" w:cs="Arial"/>
          <w:sz w:val="20"/>
          <w:szCs w:val="20"/>
          <w:lang w:val="en-US" w:eastAsia="en-US" w:bidi="en-US"/>
        </w:rPr>
        <w:t xml:space="preserve">, </w:t>
      </w:r>
      <w:r w:rsidR="006F29E3" w:rsidRPr="00012C3F">
        <w:rPr>
          <w:rFonts w:eastAsia="MS Mincho" w:cs="Arial"/>
          <w:sz w:val="20"/>
          <w:szCs w:val="20"/>
          <w:lang w:val="en-US" w:eastAsia="en-US" w:bidi="en-US"/>
        </w:rPr>
        <w:t xml:space="preserve">which </w:t>
      </w:r>
      <w:r w:rsidR="00B85280" w:rsidRPr="00012C3F">
        <w:rPr>
          <w:rFonts w:eastAsia="MS Mincho" w:cs="Arial"/>
          <w:sz w:val="20"/>
          <w:szCs w:val="20"/>
          <w:lang w:val="en-US" w:eastAsia="en-US" w:bidi="en-US"/>
        </w:rPr>
        <w:t>wa</w:t>
      </w:r>
      <w:r w:rsidR="006F29E3" w:rsidRPr="00012C3F">
        <w:rPr>
          <w:rFonts w:eastAsia="MS Mincho" w:cs="Arial"/>
          <w:sz w:val="20"/>
          <w:szCs w:val="20"/>
          <w:lang w:val="en-US" w:eastAsia="en-US" w:bidi="en-US"/>
        </w:rPr>
        <w:t xml:space="preserve">s related to other rights recognized in </w:t>
      </w:r>
      <w:r w:rsidR="001254DE" w:rsidRPr="00012C3F">
        <w:rPr>
          <w:rFonts w:eastAsia="MS Mincho" w:cs="Arial"/>
          <w:sz w:val="20"/>
          <w:szCs w:val="20"/>
          <w:lang w:val="en-US" w:eastAsia="en-US" w:bidi="en-US"/>
        </w:rPr>
        <w:t>the Convention</w:t>
      </w:r>
      <w:r w:rsidR="004B2395" w:rsidRPr="00012C3F">
        <w:rPr>
          <w:rFonts w:eastAsia="MS Mincho" w:cs="Arial"/>
          <w:sz w:val="20"/>
          <w:szCs w:val="20"/>
          <w:lang w:val="en-US" w:eastAsia="en-US" w:bidi="en-US"/>
        </w:rPr>
        <w:t>.</w:t>
      </w:r>
    </w:p>
    <w:p w14:paraId="335AFC9B" w14:textId="77777777" w:rsidR="004B2395" w:rsidRPr="00012C3F" w:rsidRDefault="004B2395" w:rsidP="004B2395">
      <w:pPr>
        <w:widowControl/>
        <w:tabs>
          <w:tab w:val="left" w:pos="567"/>
          <w:tab w:val="left" w:pos="720"/>
        </w:tabs>
        <w:adjustRightInd/>
        <w:spacing w:line="240" w:lineRule="auto"/>
        <w:ind w:right="-90"/>
        <w:textAlignment w:val="auto"/>
        <w:rPr>
          <w:rFonts w:eastAsia="MS Mincho"/>
          <w:sz w:val="20"/>
          <w:szCs w:val="20"/>
          <w:lang w:val="en-US" w:eastAsia="en-US" w:bidi="en-US"/>
        </w:rPr>
      </w:pPr>
    </w:p>
    <w:p w14:paraId="44999941" w14:textId="77777777" w:rsidR="004B2395" w:rsidRPr="00012C3F" w:rsidRDefault="00972ACF" w:rsidP="00B85280">
      <w:pPr>
        <w:widowControl/>
        <w:numPr>
          <w:ilvl w:val="0"/>
          <w:numId w:val="5"/>
        </w:numPr>
        <w:tabs>
          <w:tab w:val="left" w:pos="720"/>
          <w:tab w:val="num" w:pos="12305"/>
        </w:tabs>
        <w:adjustRightInd/>
        <w:spacing w:line="240" w:lineRule="auto"/>
        <w:ind w:left="0" w:right="-90" w:firstLine="0"/>
        <w:textAlignment w:val="auto"/>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representative</w:t>
      </w:r>
      <w:r w:rsidR="004B2395" w:rsidRPr="00012C3F">
        <w:rPr>
          <w:rFonts w:eastAsia="MS Mincho" w:cs="Arial"/>
          <w:b/>
          <w:sz w:val="20"/>
          <w:szCs w:val="20"/>
          <w:lang w:val="en-US" w:eastAsia="en-US" w:bidi="en-US"/>
        </w:rPr>
        <w:t xml:space="preserve"> </w:t>
      </w:r>
      <w:r w:rsidR="00B85280" w:rsidRPr="00012C3F">
        <w:rPr>
          <w:rFonts w:eastAsia="MS Mincho" w:cs="Arial"/>
          <w:sz w:val="20"/>
          <w:szCs w:val="20"/>
          <w:lang w:val="en-US" w:eastAsia="en-US" w:bidi="en-US"/>
        </w:rPr>
        <w:t>endorsed</w:t>
      </w:r>
      <w:r w:rsidR="006F29E3" w:rsidRPr="00012C3F">
        <w:rPr>
          <w:rFonts w:eastAsia="MS Mincho" w:cs="Arial"/>
          <w:sz w:val="20"/>
          <w:szCs w:val="20"/>
          <w:lang w:val="en-US" w:eastAsia="en-US" w:bidi="en-US"/>
        </w:rPr>
        <w:t xml:space="preserve"> the arguments </w:t>
      </w:r>
      <w:r w:rsidR="001254DE" w:rsidRPr="00012C3F">
        <w:rPr>
          <w:rFonts w:eastAsia="MS Mincho" w:cs="Arial"/>
          <w:sz w:val="20"/>
          <w:szCs w:val="20"/>
          <w:lang w:val="en-US" w:eastAsia="en-US" w:bidi="en-US"/>
        </w:rPr>
        <w:t xml:space="preserve">of the </w:t>
      </w:r>
      <w:r w:rsidR="00A84CA0" w:rsidRPr="00012C3F">
        <w:rPr>
          <w:rFonts w:eastAsia="MS Mincho" w:cs="Arial"/>
          <w:sz w:val="20"/>
          <w:szCs w:val="20"/>
          <w:lang w:val="en-US" w:eastAsia="en-US" w:bidi="en-US"/>
        </w:rPr>
        <w:t>Commission</w:t>
      </w:r>
      <w:r w:rsidR="008264B6" w:rsidRPr="00012C3F">
        <w:rPr>
          <w:rFonts w:eastAsia="MS Mincho" w:cs="Arial"/>
          <w:sz w:val="20"/>
          <w:szCs w:val="20"/>
          <w:lang w:val="en-US" w:eastAsia="en-US" w:bidi="en-US"/>
        </w:rPr>
        <w:t>.</w:t>
      </w:r>
    </w:p>
    <w:p w14:paraId="53992F60" w14:textId="77777777" w:rsidR="004B2395" w:rsidRPr="00012C3F" w:rsidRDefault="004B2395" w:rsidP="004B2395">
      <w:pPr>
        <w:widowControl/>
        <w:tabs>
          <w:tab w:val="left" w:pos="567"/>
          <w:tab w:val="left" w:pos="720"/>
        </w:tabs>
        <w:adjustRightInd/>
        <w:spacing w:line="240" w:lineRule="auto"/>
        <w:ind w:right="-90"/>
        <w:textAlignment w:val="auto"/>
        <w:rPr>
          <w:rFonts w:eastAsia="MS Mincho"/>
          <w:sz w:val="20"/>
          <w:szCs w:val="20"/>
          <w:lang w:val="en-US" w:eastAsia="en-US" w:bidi="en-US"/>
        </w:rPr>
      </w:pPr>
    </w:p>
    <w:p w14:paraId="36BB4AC5" w14:textId="77777777" w:rsidR="006F29E3" w:rsidRPr="00012C3F" w:rsidRDefault="00A84CA0" w:rsidP="00B85280">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State</w:t>
      </w:r>
      <w:r w:rsidR="004B2395" w:rsidRPr="00012C3F">
        <w:rPr>
          <w:rFonts w:eastAsia="MS Mincho" w:cs="Arial"/>
          <w:b/>
          <w:sz w:val="20"/>
          <w:szCs w:val="20"/>
          <w:lang w:val="en-US" w:eastAsia="en-US" w:bidi="en-US"/>
        </w:rPr>
        <w:t xml:space="preserve"> </w:t>
      </w:r>
      <w:r w:rsidR="004B2395" w:rsidRPr="00012C3F">
        <w:rPr>
          <w:rFonts w:eastAsia="MS Mincho" w:cs="Arial"/>
          <w:sz w:val="20"/>
          <w:szCs w:val="20"/>
          <w:lang w:val="en-US" w:eastAsia="en-US" w:bidi="en-US"/>
        </w:rPr>
        <w:t>consider</w:t>
      </w:r>
      <w:r w:rsidR="006F29E3" w:rsidRPr="00012C3F">
        <w:rPr>
          <w:rFonts w:eastAsia="MS Mincho" w:cs="Arial"/>
          <w:sz w:val="20"/>
          <w:szCs w:val="20"/>
          <w:lang w:val="en-US" w:eastAsia="en-US" w:bidi="en-US"/>
        </w:rPr>
        <w:t xml:space="preserve">ed that, asserting the inexistence of consent </w:t>
      </w:r>
      <w:r w:rsidR="00B85280" w:rsidRPr="00012C3F">
        <w:rPr>
          <w:rFonts w:eastAsia="MS Mincho" w:cs="Arial"/>
          <w:sz w:val="20"/>
          <w:szCs w:val="20"/>
          <w:lang w:val="en-US" w:eastAsia="en-US" w:bidi="en-US"/>
        </w:rPr>
        <w:t>wa</w:t>
      </w:r>
      <w:r w:rsidR="006F29E3" w:rsidRPr="00012C3F">
        <w:rPr>
          <w:rFonts w:eastAsia="MS Mincho" w:cs="Arial"/>
          <w:sz w:val="20"/>
          <w:szCs w:val="20"/>
          <w:lang w:val="en-US" w:eastAsia="en-US" w:bidi="en-US"/>
        </w:rPr>
        <w:t xml:space="preserve">s disproportionate, in view of the fact that, during the surgical procedure, the </w:t>
      </w:r>
      <w:r w:rsidR="00B85280" w:rsidRPr="00012C3F">
        <w:rPr>
          <w:rFonts w:eastAsia="MS Mincho" w:cs="Arial"/>
          <w:sz w:val="20"/>
          <w:szCs w:val="20"/>
          <w:lang w:val="en-US" w:eastAsia="en-US" w:bidi="en-US"/>
        </w:rPr>
        <w:t>attending</w:t>
      </w:r>
      <w:r w:rsidR="006F29E3" w:rsidRPr="00012C3F">
        <w:rPr>
          <w:rFonts w:eastAsia="MS Mincho" w:cs="Arial"/>
          <w:sz w:val="20"/>
          <w:szCs w:val="20"/>
          <w:lang w:val="en-US" w:eastAsia="en-US" w:bidi="en-US"/>
        </w:rPr>
        <w:t xml:space="preserve"> physician in the presence of his team, decided to consult I.V. about the possibility of performing the tubal ligation as a result of the clinical picture observed during </w:t>
      </w:r>
      <w:r w:rsidR="00136EDE" w:rsidRPr="00012C3F">
        <w:rPr>
          <w:rFonts w:eastAsia="MS Mincho" w:cs="Arial"/>
          <w:sz w:val="20"/>
          <w:szCs w:val="20"/>
          <w:lang w:val="en-US" w:eastAsia="en-US" w:bidi="en-US"/>
        </w:rPr>
        <w:t>the caesarean section</w:t>
      </w:r>
      <w:r w:rsidR="006F29E3" w:rsidRPr="00012C3F">
        <w:rPr>
          <w:rFonts w:eastAsia="MS Mincho" w:cs="Arial"/>
          <w:sz w:val="20"/>
          <w:szCs w:val="20"/>
          <w:lang w:val="en-US" w:eastAsia="en-US" w:bidi="en-US"/>
        </w:rPr>
        <w:t xml:space="preserve">. In response to this consultation and advice, I.V. had given her free, voluntary and spontaneous consent. The State concluded that the surgical procedure performed on I.V. was characterized as a </w:t>
      </w:r>
      <w:r w:rsidR="006F29E3" w:rsidRPr="00012C3F">
        <w:rPr>
          <w:sz w:val="20"/>
          <w:szCs w:val="20"/>
          <w:lang w:val="en-US"/>
        </w:rPr>
        <w:t xml:space="preserve">high-risk obstetric procedure and, consequently, the </w:t>
      </w:r>
      <w:r w:rsidR="00FB04FA" w:rsidRPr="00012C3F">
        <w:rPr>
          <w:sz w:val="20"/>
          <w:szCs w:val="20"/>
          <w:lang w:val="en-US"/>
        </w:rPr>
        <w:t xml:space="preserve">actions of </w:t>
      </w:r>
      <w:r w:rsidR="00FB04FA" w:rsidRPr="00012C3F">
        <w:rPr>
          <w:rFonts w:eastAsia="MS Mincho" w:cs="Arial"/>
          <w:sz w:val="20"/>
          <w:szCs w:val="20"/>
          <w:lang w:val="en-US" w:eastAsia="en-US" w:bidi="en-US"/>
        </w:rPr>
        <w:t>the instructing physician were only aimed at safeguarding her life and integrity</w:t>
      </w:r>
      <w:r w:rsidR="00B85280" w:rsidRPr="00012C3F">
        <w:rPr>
          <w:rFonts w:eastAsia="MS Mincho" w:cs="Arial"/>
          <w:sz w:val="20"/>
          <w:szCs w:val="20"/>
          <w:lang w:val="en-US" w:eastAsia="en-US" w:bidi="en-US"/>
        </w:rPr>
        <w:t>. Thus,</w:t>
      </w:r>
      <w:r w:rsidR="00FB04FA" w:rsidRPr="00012C3F">
        <w:rPr>
          <w:rFonts w:eastAsia="MS Mincho" w:cs="Arial"/>
          <w:sz w:val="20"/>
          <w:szCs w:val="20"/>
          <w:lang w:val="en-US" w:eastAsia="en-US" w:bidi="en-US"/>
        </w:rPr>
        <w:t xml:space="preserve"> </w:t>
      </w:r>
      <w:r w:rsidR="00B85280" w:rsidRPr="00012C3F">
        <w:rPr>
          <w:rFonts w:eastAsia="MS Mincho" w:cs="Arial"/>
          <w:sz w:val="20"/>
          <w:szCs w:val="20"/>
          <w:lang w:val="en-US" w:eastAsia="en-US" w:bidi="en-US"/>
        </w:rPr>
        <w:t xml:space="preserve">in an exceptional emergency situation, </w:t>
      </w:r>
      <w:r w:rsidR="00FB04FA" w:rsidRPr="00012C3F">
        <w:rPr>
          <w:rFonts w:eastAsia="MS Mincho" w:cs="Arial"/>
          <w:sz w:val="20"/>
          <w:szCs w:val="20"/>
          <w:lang w:val="en-US" w:eastAsia="en-US" w:bidi="en-US"/>
        </w:rPr>
        <w:t>reducing the</w:t>
      </w:r>
      <w:r w:rsidR="00B85280" w:rsidRPr="00012C3F">
        <w:rPr>
          <w:rFonts w:eastAsia="MS Mincho" w:cs="Arial"/>
          <w:sz w:val="20"/>
          <w:szCs w:val="20"/>
          <w:lang w:val="en-US" w:eastAsia="en-US" w:bidi="en-US"/>
        </w:rPr>
        <w:t xml:space="preserve"> need to</w:t>
      </w:r>
      <w:r w:rsidR="00FB04FA" w:rsidRPr="00012C3F">
        <w:rPr>
          <w:rFonts w:eastAsia="MS Mincho" w:cs="Arial"/>
          <w:sz w:val="20"/>
          <w:szCs w:val="20"/>
          <w:lang w:val="en-US" w:eastAsia="en-US" w:bidi="en-US"/>
        </w:rPr>
        <w:t xml:space="preserve"> obtain this consent </w:t>
      </w:r>
      <w:r w:rsidR="00B85280" w:rsidRPr="00012C3F">
        <w:rPr>
          <w:rFonts w:eastAsia="MS Mincho" w:cs="Arial"/>
          <w:sz w:val="20"/>
          <w:szCs w:val="20"/>
          <w:lang w:val="en-US" w:eastAsia="en-US" w:bidi="en-US"/>
        </w:rPr>
        <w:t>to</w:t>
      </w:r>
      <w:r w:rsidR="00FB04FA" w:rsidRPr="00012C3F">
        <w:rPr>
          <w:rFonts w:eastAsia="MS Mincho" w:cs="Arial"/>
          <w:sz w:val="20"/>
          <w:szCs w:val="20"/>
          <w:lang w:val="en-US" w:eastAsia="en-US" w:bidi="en-US"/>
        </w:rPr>
        <w:t xml:space="preserve"> a mere formality consisting in a consent form </w:t>
      </w:r>
      <w:r w:rsidR="00B85280" w:rsidRPr="00012C3F">
        <w:rPr>
          <w:rFonts w:eastAsia="MS Mincho" w:cs="Arial"/>
          <w:sz w:val="20"/>
          <w:szCs w:val="20"/>
          <w:lang w:val="en-US" w:eastAsia="en-US" w:bidi="en-US"/>
        </w:rPr>
        <w:t>signified</w:t>
      </w:r>
      <w:r w:rsidR="00FB04FA" w:rsidRPr="00012C3F">
        <w:rPr>
          <w:rFonts w:eastAsia="MS Mincho" w:cs="Arial"/>
          <w:sz w:val="20"/>
          <w:szCs w:val="20"/>
          <w:lang w:val="en-US" w:eastAsia="en-US" w:bidi="en-US"/>
        </w:rPr>
        <w:t xml:space="preserve"> </w:t>
      </w:r>
      <w:r w:rsidR="00B85280" w:rsidRPr="00012C3F">
        <w:rPr>
          <w:rFonts w:eastAsia="MS Mincho" w:cs="Arial"/>
          <w:sz w:val="20"/>
          <w:szCs w:val="20"/>
          <w:lang w:val="en-US" w:eastAsia="en-US" w:bidi="en-US"/>
        </w:rPr>
        <w:t>jeopardizing</w:t>
      </w:r>
      <w:r w:rsidR="00FB04FA" w:rsidRPr="00012C3F">
        <w:rPr>
          <w:rFonts w:eastAsia="MS Mincho" w:cs="Arial"/>
          <w:sz w:val="20"/>
          <w:szCs w:val="20"/>
          <w:lang w:val="en-US" w:eastAsia="en-US" w:bidi="en-US"/>
        </w:rPr>
        <w:t xml:space="preserve"> the immediate need for the surgical procedure. The State indicated that the alleged violation of </w:t>
      </w:r>
      <w:r w:rsidR="00B85280" w:rsidRPr="00012C3F">
        <w:rPr>
          <w:rFonts w:eastAsia="MS Mincho" w:cs="Arial"/>
          <w:sz w:val="20"/>
          <w:szCs w:val="20"/>
          <w:lang w:val="en-US" w:eastAsia="en-US" w:bidi="en-US"/>
        </w:rPr>
        <w:t>I.V’s</w:t>
      </w:r>
      <w:r w:rsidR="00FB04FA" w:rsidRPr="00012C3F">
        <w:rPr>
          <w:rFonts w:eastAsia="MS Mincho" w:cs="Arial"/>
          <w:sz w:val="20"/>
          <w:szCs w:val="20"/>
          <w:lang w:val="en-US" w:eastAsia="en-US" w:bidi="en-US"/>
        </w:rPr>
        <w:t xml:space="preserve"> personal integrity in relation to her condition as a woman, who was poor, Peruvian and a refugee in Bolivia, and the presumed continuity of this violation, was unwarranted in this specific case, because it </w:t>
      </w:r>
      <w:r w:rsidR="00AD03C2" w:rsidRPr="00012C3F">
        <w:rPr>
          <w:rFonts w:eastAsia="MS Mincho" w:cs="Arial"/>
          <w:sz w:val="20"/>
          <w:szCs w:val="20"/>
          <w:lang w:val="en-US" w:eastAsia="en-US" w:bidi="en-US"/>
        </w:rPr>
        <w:t xml:space="preserve">concerned </w:t>
      </w:r>
      <w:r w:rsidR="00FB04FA" w:rsidRPr="00012C3F">
        <w:rPr>
          <w:rFonts w:eastAsia="MS Mincho" w:cs="Arial"/>
          <w:sz w:val="20"/>
          <w:szCs w:val="20"/>
          <w:lang w:val="en-US" w:eastAsia="en-US" w:bidi="en-US"/>
        </w:rPr>
        <w:t>a sterilization</w:t>
      </w:r>
      <w:r w:rsidR="00AD03C2" w:rsidRPr="00012C3F">
        <w:rPr>
          <w:rFonts w:eastAsia="MS Mincho" w:cs="Arial"/>
          <w:sz w:val="20"/>
          <w:szCs w:val="20"/>
          <w:lang w:val="en-US" w:eastAsia="en-US" w:bidi="en-US"/>
        </w:rPr>
        <w:t xml:space="preserve"> procedure</w:t>
      </w:r>
      <w:r w:rsidR="00FB04FA" w:rsidRPr="00012C3F">
        <w:rPr>
          <w:rFonts w:eastAsia="MS Mincho" w:cs="Arial"/>
          <w:sz w:val="20"/>
          <w:szCs w:val="20"/>
          <w:lang w:val="en-US" w:eastAsia="en-US" w:bidi="en-US"/>
        </w:rPr>
        <w:t xml:space="preserve"> performed with </w:t>
      </w:r>
      <w:r w:rsidR="00AD03C2" w:rsidRPr="00012C3F">
        <w:rPr>
          <w:rFonts w:eastAsia="MS Mincho" w:cs="Arial"/>
          <w:sz w:val="20"/>
          <w:szCs w:val="20"/>
          <w:lang w:val="en-US" w:eastAsia="en-US" w:bidi="en-US"/>
        </w:rPr>
        <w:t xml:space="preserve">I.V.’s </w:t>
      </w:r>
      <w:r w:rsidR="00FB04FA" w:rsidRPr="00012C3F">
        <w:rPr>
          <w:rFonts w:eastAsia="MS Mincho" w:cs="Arial"/>
          <w:sz w:val="20"/>
          <w:szCs w:val="20"/>
          <w:lang w:val="en-US" w:eastAsia="en-US" w:bidi="en-US"/>
        </w:rPr>
        <w:t xml:space="preserve">prior </w:t>
      </w:r>
      <w:r w:rsidR="00AD03C2" w:rsidRPr="00012C3F">
        <w:rPr>
          <w:rFonts w:eastAsia="MS Mincho" w:cs="Arial"/>
          <w:sz w:val="20"/>
          <w:szCs w:val="20"/>
          <w:lang w:val="en-US" w:eastAsia="en-US" w:bidi="en-US"/>
        </w:rPr>
        <w:t xml:space="preserve">and </w:t>
      </w:r>
      <w:r w:rsidR="00FB04FA" w:rsidRPr="00012C3F">
        <w:rPr>
          <w:rFonts w:eastAsia="MS Mincho" w:cs="Arial"/>
          <w:sz w:val="20"/>
          <w:szCs w:val="20"/>
          <w:lang w:val="en-US" w:eastAsia="en-US" w:bidi="en-US"/>
        </w:rPr>
        <w:t xml:space="preserve">free consent. </w:t>
      </w:r>
      <w:r w:rsidR="00AD03C2" w:rsidRPr="00012C3F">
        <w:rPr>
          <w:rFonts w:eastAsia="MS Mincho" w:cs="Arial"/>
          <w:sz w:val="20"/>
          <w:szCs w:val="20"/>
          <w:lang w:val="en-US" w:eastAsia="en-US" w:bidi="en-US"/>
        </w:rPr>
        <w:t>Therefore,</w:t>
      </w:r>
      <w:r w:rsidR="00FB04FA" w:rsidRPr="00012C3F">
        <w:rPr>
          <w:rFonts w:eastAsia="MS Mincho" w:cs="Arial"/>
          <w:sz w:val="20"/>
          <w:szCs w:val="20"/>
          <w:lang w:val="en-US" w:eastAsia="en-US" w:bidi="en-US"/>
        </w:rPr>
        <w:t xml:space="preserve"> the State could not assume any responsibility.</w:t>
      </w:r>
    </w:p>
    <w:p w14:paraId="4A3039B0" w14:textId="77777777" w:rsidR="004B2395" w:rsidRPr="00012C3F" w:rsidRDefault="004B2395" w:rsidP="004B2395">
      <w:pPr>
        <w:widowControl/>
        <w:tabs>
          <w:tab w:val="left" w:pos="720"/>
        </w:tabs>
        <w:adjustRightInd/>
        <w:spacing w:line="240" w:lineRule="auto"/>
        <w:ind w:right="-90"/>
        <w:textAlignment w:val="auto"/>
        <w:rPr>
          <w:rFonts w:eastAsia="MS Mincho"/>
          <w:sz w:val="20"/>
          <w:szCs w:val="20"/>
          <w:lang w:val="en-US" w:eastAsia="en-US" w:bidi="en-US"/>
        </w:rPr>
      </w:pPr>
    </w:p>
    <w:p w14:paraId="3721F1C6" w14:textId="77777777" w:rsidR="004B2395" w:rsidRPr="00012C3F" w:rsidRDefault="004B2395" w:rsidP="0039676A">
      <w:pPr>
        <w:pStyle w:val="Ttulo2"/>
        <w:tabs>
          <w:tab w:val="left" w:pos="1701"/>
        </w:tabs>
        <w:spacing w:before="0" w:line="240" w:lineRule="auto"/>
        <w:ind w:left="1134"/>
        <w:rPr>
          <w:rFonts w:ascii="Verdana" w:hAnsi="Verdana"/>
          <w:b w:val="0"/>
          <w:i/>
          <w:color w:val="auto"/>
          <w:sz w:val="20"/>
          <w:szCs w:val="20"/>
          <w:lang w:val="en-US"/>
        </w:rPr>
      </w:pPr>
      <w:bookmarkStart w:id="116" w:name="_Toc445290340"/>
      <w:bookmarkStart w:id="117" w:name="_Toc27486854"/>
      <w:r w:rsidRPr="00012C3F">
        <w:rPr>
          <w:rFonts w:ascii="Verdana" w:hAnsi="Verdana"/>
          <w:b w:val="0"/>
          <w:i/>
          <w:color w:val="auto"/>
          <w:sz w:val="20"/>
          <w:szCs w:val="20"/>
          <w:lang w:val="en-US"/>
        </w:rPr>
        <w:t>A.2</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 right</w:t>
      </w:r>
      <w:r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of access to information</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13(1)</w:t>
      </w:r>
      <w:r w:rsidR="001254DE" w:rsidRPr="00012C3F">
        <w:rPr>
          <w:rFonts w:ascii="Verdana" w:hAnsi="Verdana"/>
          <w:b w:val="0"/>
          <w:i/>
          <w:color w:val="auto"/>
          <w:sz w:val="20"/>
          <w:szCs w:val="20"/>
          <w:lang w:val="en-US"/>
        </w:rPr>
        <w:t xml:space="preserve"> of the American Convention</w:t>
      </w:r>
      <w:r w:rsidRPr="00012C3F">
        <w:rPr>
          <w:rFonts w:ascii="Verdana" w:hAnsi="Verdana"/>
          <w:b w:val="0"/>
          <w:i/>
          <w:color w:val="auto"/>
          <w:sz w:val="20"/>
          <w:szCs w:val="20"/>
          <w:lang w:val="en-US"/>
        </w:rPr>
        <w:t>)</w:t>
      </w:r>
      <w:bookmarkEnd w:id="116"/>
      <w:bookmarkEnd w:id="117"/>
    </w:p>
    <w:p w14:paraId="2C4514CB" w14:textId="77777777" w:rsidR="004B2395" w:rsidRPr="00012C3F" w:rsidRDefault="004B2395" w:rsidP="004B2395">
      <w:pPr>
        <w:widowControl/>
        <w:autoSpaceDE w:val="0"/>
        <w:autoSpaceDN w:val="0"/>
        <w:spacing w:line="240" w:lineRule="auto"/>
        <w:textAlignment w:val="auto"/>
        <w:rPr>
          <w:rFonts w:eastAsia="Calibri" w:cs="Arial"/>
          <w:sz w:val="20"/>
          <w:szCs w:val="20"/>
          <w:lang w:val="en-US" w:eastAsia="en-US"/>
        </w:rPr>
      </w:pPr>
    </w:p>
    <w:p w14:paraId="713B7DBE" w14:textId="77777777" w:rsidR="004B2395" w:rsidRPr="00012C3F" w:rsidRDefault="004B2395" w:rsidP="001F033C">
      <w:pPr>
        <w:pStyle w:val="Ttulo3"/>
        <w:tabs>
          <w:tab w:val="left" w:pos="2552"/>
        </w:tabs>
        <w:ind w:left="1701"/>
        <w:rPr>
          <w:rFonts w:eastAsia="MS Mincho" w:cs="Arial"/>
          <w:b w:val="0"/>
          <w:i/>
          <w:spacing w:val="0"/>
          <w:lang w:val="en-US" w:eastAsia="en-US"/>
        </w:rPr>
      </w:pPr>
      <w:bookmarkStart w:id="118" w:name="_Toc27486855"/>
      <w:r w:rsidRPr="00012C3F">
        <w:rPr>
          <w:rFonts w:eastAsia="MS Mincho" w:cs="Arial"/>
          <w:b w:val="0"/>
          <w:i/>
          <w:spacing w:val="0"/>
          <w:lang w:val="en-US" w:eastAsia="en-US"/>
        </w:rPr>
        <w:t xml:space="preserve">A.2.a </w:t>
      </w:r>
      <w:r w:rsidR="001F033C" w:rsidRPr="00012C3F">
        <w:rPr>
          <w:rFonts w:eastAsia="MS Mincho" w:cs="Arial"/>
          <w:b w:val="0"/>
          <w:i/>
          <w:spacing w:val="0"/>
          <w:lang w:val="en-US" w:eastAsia="en-US"/>
        </w:rPr>
        <w:tab/>
      </w:r>
      <w:r w:rsidR="006C705C" w:rsidRPr="00012C3F">
        <w:rPr>
          <w:rFonts w:eastAsia="MS Mincho" w:cs="Arial"/>
          <w:b w:val="0"/>
          <w:i/>
          <w:spacing w:val="0"/>
          <w:lang w:val="en-US" w:eastAsia="en-US"/>
        </w:rPr>
        <w:t>Access to information</w:t>
      </w:r>
      <w:r w:rsidR="005E5012" w:rsidRPr="00012C3F">
        <w:rPr>
          <w:rFonts w:eastAsia="MS Mincho" w:cs="Arial"/>
          <w:b w:val="0"/>
          <w:i/>
          <w:spacing w:val="0"/>
          <w:lang w:val="en-US" w:eastAsia="en-US"/>
        </w:rPr>
        <w:t xml:space="preserve"> and </w:t>
      </w:r>
      <w:r w:rsidR="00AC0004" w:rsidRPr="00012C3F">
        <w:rPr>
          <w:rFonts w:eastAsia="MS Mincho" w:cs="Arial"/>
          <w:b w:val="0"/>
          <w:i/>
          <w:spacing w:val="0"/>
          <w:lang w:val="en-US" w:eastAsia="en-US"/>
        </w:rPr>
        <w:t>informed consent</w:t>
      </w:r>
      <w:bookmarkEnd w:id="118"/>
    </w:p>
    <w:p w14:paraId="1253E59A" w14:textId="77777777" w:rsidR="004B2395" w:rsidRPr="00012C3F" w:rsidRDefault="004B2395" w:rsidP="004B2395">
      <w:pPr>
        <w:widowControl/>
        <w:autoSpaceDE w:val="0"/>
        <w:autoSpaceDN w:val="0"/>
        <w:spacing w:line="240" w:lineRule="auto"/>
        <w:textAlignment w:val="auto"/>
        <w:rPr>
          <w:rFonts w:eastAsia="MS Mincho" w:cs="Arial"/>
          <w:sz w:val="20"/>
          <w:szCs w:val="20"/>
          <w:lang w:val="en-US" w:eastAsia="en-US"/>
        </w:rPr>
      </w:pPr>
    </w:p>
    <w:p w14:paraId="379BF6EC" w14:textId="77777777" w:rsidR="00701139" w:rsidRPr="00012C3F" w:rsidRDefault="00BD056C" w:rsidP="00A54991">
      <w:pPr>
        <w:numPr>
          <w:ilvl w:val="0"/>
          <w:numId w:val="5"/>
        </w:numPr>
        <w:tabs>
          <w:tab w:val="left" w:pos="567"/>
          <w:tab w:val="num" w:pos="12305"/>
        </w:tabs>
        <w:spacing w:line="240" w:lineRule="auto"/>
        <w:ind w:left="0" w:firstLine="0"/>
        <w:rPr>
          <w:rFonts w:eastAsia="MS Mincho" w:cs="Arial"/>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Commission</w:t>
      </w:r>
      <w:r w:rsidR="004B2395" w:rsidRPr="00012C3F">
        <w:rPr>
          <w:rFonts w:eastAsia="MS Mincho" w:cs="Arial"/>
          <w:sz w:val="20"/>
          <w:szCs w:val="20"/>
          <w:lang w:val="en-US" w:eastAsia="en-US" w:bidi="en-US"/>
        </w:rPr>
        <w:t xml:space="preserve"> consider</w:t>
      </w:r>
      <w:r w:rsidR="00A54991" w:rsidRPr="00012C3F">
        <w:rPr>
          <w:rFonts w:eastAsia="MS Mincho" w:cs="Arial"/>
          <w:sz w:val="20"/>
          <w:szCs w:val="20"/>
          <w:lang w:val="en-US" w:eastAsia="en-US" w:bidi="en-US"/>
        </w:rPr>
        <w:t xml:space="preserve">ed that the right of </w:t>
      </w:r>
      <w:r w:rsidR="006C705C" w:rsidRPr="00012C3F">
        <w:rPr>
          <w:rFonts w:eastAsia="MS Mincho" w:cs="Arial"/>
          <w:sz w:val="20"/>
          <w:szCs w:val="20"/>
          <w:lang w:val="en-US" w:eastAsia="en-US" w:bidi="en-US"/>
        </w:rPr>
        <w:t>access to information</w:t>
      </w:r>
      <w:r w:rsidR="005E5012" w:rsidRPr="00012C3F">
        <w:rPr>
          <w:rFonts w:eastAsia="MS Mincho" w:cs="Arial"/>
          <w:sz w:val="20"/>
          <w:szCs w:val="20"/>
          <w:lang w:val="en-US" w:eastAsia="en-US" w:bidi="en-US"/>
        </w:rPr>
        <w:t xml:space="preserve"> and </w:t>
      </w:r>
      <w:r w:rsidR="00AC0004" w:rsidRPr="00012C3F">
        <w:rPr>
          <w:rFonts w:eastAsia="MS Mincho" w:cs="Arial"/>
          <w:sz w:val="20"/>
          <w:szCs w:val="20"/>
          <w:lang w:val="en-US" w:eastAsia="en-US" w:bidi="en-US"/>
        </w:rPr>
        <w:t>informed consent</w:t>
      </w:r>
      <w:r w:rsidR="004B2395" w:rsidRPr="00012C3F">
        <w:rPr>
          <w:rFonts w:eastAsia="MS Mincho" w:cs="Arial"/>
          <w:sz w:val="20"/>
          <w:szCs w:val="20"/>
          <w:lang w:val="en-US" w:eastAsia="en-US" w:bidi="en-US"/>
        </w:rPr>
        <w:t xml:space="preserve"> </w:t>
      </w:r>
      <w:r w:rsidR="00A54991" w:rsidRPr="00012C3F">
        <w:rPr>
          <w:rFonts w:eastAsia="MS Mincho" w:cs="Arial"/>
          <w:sz w:val="20"/>
          <w:szCs w:val="20"/>
          <w:lang w:val="en-US" w:eastAsia="en-US" w:bidi="en-US"/>
        </w:rPr>
        <w:t xml:space="preserve">are essential instruments to ensure other rights such as personal integrity, autonomy, sexual and reproductive health, the right to decide freely on maternity and </w:t>
      </w:r>
      <w:r w:rsidR="00EF483B" w:rsidRPr="00012C3F">
        <w:rPr>
          <w:rFonts w:eastAsia="MS Mincho" w:cs="Arial"/>
          <w:sz w:val="20"/>
          <w:szCs w:val="20"/>
          <w:lang w:val="en-US" w:eastAsia="en-US" w:bidi="en-US"/>
        </w:rPr>
        <w:t xml:space="preserve">to </w:t>
      </w:r>
      <w:r w:rsidR="00AD03C2" w:rsidRPr="00012C3F">
        <w:rPr>
          <w:rFonts w:eastAsia="MS Mincho" w:cs="Arial"/>
          <w:sz w:val="20"/>
          <w:szCs w:val="20"/>
          <w:lang w:val="en-US" w:eastAsia="en-US" w:bidi="en-US"/>
        </w:rPr>
        <w:t>raise</w:t>
      </w:r>
      <w:r w:rsidR="00EF483B" w:rsidRPr="00012C3F">
        <w:rPr>
          <w:rFonts w:eastAsia="MS Mincho" w:cs="Arial"/>
          <w:sz w:val="20"/>
          <w:szCs w:val="20"/>
          <w:lang w:val="en-US" w:eastAsia="en-US" w:bidi="en-US"/>
        </w:rPr>
        <w:t xml:space="preserve"> a family</w:t>
      </w:r>
      <w:r w:rsidR="00A54991" w:rsidRPr="00012C3F">
        <w:rPr>
          <w:rFonts w:eastAsia="MS Mincho" w:cs="Arial"/>
          <w:sz w:val="20"/>
          <w:szCs w:val="20"/>
          <w:lang w:val="en-US" w:eastAsia="en-US" w:bidi="en-US"/>
        </w:rPr>
        <w:t xml:space="preserve">, as well as to give free and informed consent to any measure that may affect </w:t>
      </w:r>
      <w:r w:rsidR="00701139" w:rsidRPr="00012C3F">
        <w:rPr>
          <w:rFonts w:eastAsia="MS Mincho" w:cs="Arial"/>
          <w:sz w:val="20"/>
          <w:szCs w:val="20"/>
          <w:lang w:val="en-US" w:eastAsia="en-US" w:bidi="en-US"/>
        </w:rPr>
        <w:t>the reproductive capacity, and these are all interrelated. In addition, it established that the right of access to information protect</w:t>
      </w:r>
      <w:r w:rsidR="00AD03C2" w:rsidRPr="00012C3F">
        <w:rPr>
          <w:rFonts w:eastAsia="MS Mincho" w:cs="Arial"/>
          <w:sz w:val="20"/>
          <w:szCs w:val="20"/>
          <w:lang w:val="en-US" w:eastAsia="en-US" w:bidi="en-US"/>
        </w:rPr>
        <w:t>ed</w:t>
      </w:r>
      <w:r w:rsidR="00701139" w:rsidRPr="00012C3F">
        <w:rPr>
          <w:rFonts w:eastAsia="MS Mincho" w:cs="Arial"/>
          <w:sz w:val="20"/>
          <w:szCs w:val="20"/>
          <w:lang w:val="en-US" w:eastAsia="en-US" w:bidi="en-US"/>
        </w:rPr>
        <w:t xml:space="preserve"> the right of a patient to receive from the State, previously and formally, relevant, comprehensible information to be able to take free </w:t>
      </w:r>
      <w:r w:rsidR="00AD03C2" w:rsidRPr="00012C3F">
        <w:rPr>
          <w:rFonts w:eastAsia="MS Mincho" w:cs="Arial"/>
          <w:sz w:val="20"/>
          <w:szCs w:val="20"/>
          <w:lang w:val="en-US" w:eastAsia="en-US" w:bidi="en-US"/>
        </w:rPr>
        <w:t>well-informed</w:t>
      </w:r>
      <w:r w:rsidR="00701139" w:rsidRPr="00012C3F">
        <w:rPr>
          <w:rFonts w:eastAsia="MS Mincho" w:cs="Arial"/>
          <w:sz w:val="20"/>
          <w:szCs w:val="20"/>
          <w:lang w:val="en-US" w:eastAsia="en-US" w:bidi="en-US"/>
        </w:rPr>
        <w:t xml:space="preserve"> decisions on intimate aspects of her health, body and personality, and require</w:t>
      </w:r>
      <w:r w:rsidR="00AD03C2" w:rsidRPr="00012C3F">
        <w:rPr>
          <w:rFonts w:eastAsia="MS Mincho" w:cs="Arial"/>
          <w:sz w:val="20"/>
          <w:szCs w:val="20"/>
          <w:lang w:val="en-US" w:eastAsia="en-US" w:bidi="en-US"/>
        </w:rPr>
        <w:t>d</w:t>
      </w:r>
      <w:r w:rsidR="00701139" w:rsidRPr="00012C3F">
        <w:rPr>
          <w:rFonts w:eastAsia="MS Mincho" w:cs="Arial"/>
          <w:sz w:val="20"/>
          <w:szCs w:val="20"/>
          <w:lang w:val="en-US" w:eastAsia="en-US" w:bidi="en-US"/>
        </w:rPr>
        <w:t xml:space="preserve"> that the State obtain this consent prior to any health procedure. </w:t>
      </w:r>
      <w:r w:rsidRPr="00012C3F">
        <w:rPr>
          <w:rFonts w:eastAsia="MS Mincho" w:cs="Arial"/>
          <w:sz w:val="20"/>
          <w:szCs w:val="20"/>
          <w:lang w:val="en-US" w:eastAsia="en-US" w:bidi="en-US"/>
        </w:rPr>
        <w:t>The Commission</w:t>
      </w:r>
      <w:r w:rsidR="004B2395" w:rsidRPr="00012C3F">
        <w:rPr>
          <w:rFonts w:eastAsia="MS Mincho" w:cs="Arial"/>
          <w:sz w:val="20"/>
          <w:szCs w:val="20"/>
          <w:lang w:val="en-US" w:eastAsia="en-US" w:bidi="en-US"/>
        </w:rPr>
        <w:t xml:space="preserve"> </w:t>
      </w:r>
      <w:r w:rsidR="00701139" w:rsidRPr="00012C3F">
        <w:rPr>
          <w:rFonts w:eastAsia="MS Mincho" w:cs="Arial"/>
          <w:sz w:val="20"/>
          <w:szCs w:val="20"/>
          <w:lang w:val="en-US" w:eastAsia="en-US" w:bidi="en-US"/>
        </w:rPr>
        <w:t xml:space="preserve">noted that, as tubal ligation </w:t>
      </w:r>
      <w:r w:rsidR="00AD03C2" w:rsidRPr="00012C3F">
        <w:rPr>
          <w:rFonts w:eastAsia="MS Mincho" w:cs="Arial"/>
          <w:sz w:val="20"/>
          <w:szCs w:val="20"/>
          <w:lang w:val="en-US" w:eastAsia="en-US" w:bidi="en-US"/>
        </w:rPr>
        <w:t>was</w:t>
      </w:r>
      <w:r w:rsidR="00701139" w:rsidRPr="00012C3F">
        <w:rPr>
          <w:rFonts w:eastAsia="MS Mincho" w:cs="Arial"/>
          <w:sz w:val="20"/>
          <w:szCs w:val="20"/>
          <w:lang w:val="en-US" w:eastAsia="en-US" w:bidi="en-US"/>
        </w:rPr>
        <w:t xml:space="preserve"> a permanent method of contraception, the controls to ensure free and informed consent </w:t>
      </w:r>
      <w:r w:rsidR="00AD03C2" w:rsidRPr="00012C3F">
        <w:rPr>
          <w:rFonts w:eastAsia="MS Mincho" w:cs="Arial"/>
          <w:sz w:val="20"/>
          <w:szCs w:val="20"/>
          <w:lang w:val="en-US" w:eastAsia="en-US" w:bidi="en-US"/>
        </w:rPr>
        <w:t>needed to</w:t>
      </w:r>
      <w:r w:rsidR="00701139" w:rsidRPr="00012C3F">
        <w:rPr>
          <w:rFonts w:eastAsia="MS Mincho" w:cs="Arial"/>
          <w:sz w:val="20"/>
          <w:szCs w:val="20"/>
          <w:lang w:val="en-US" w:eastAsia="en-US" w:bidi="en-US"/>
        </w:rPr>
        <w:t xml:space="preserve"> be more rigorous. In this regard, the Commission concluded that: (i) there was no record that the presumed victim received complete information on her health situation and the nature of the clinical diagnosis based on which the tubal ligation procedure was recommended, nor that the relevant person had provided her with a detailed description of the nature, risks and consequences of the procedure; (ii) in addition, it appeared that the patient had not been advised about alternative treatments to safeguard her life in the case of a future pregnancy, such as the use of non-permanent contraception methods; (iii) </w:t>
      </w:r>
      <w:r w:rsidR="00DD5966" w:rsidRPr="00012C3F">
        <w:rPr>
          <w:rFonts w:eastAsia="MS Mincho" w:cs="Arial"/>
          <w:sz w:val="20"/>
          <w:szCs w:val="20"/>
          <w:lang w:val="en-US" w:eastAsia="en-US" w:bidi="en-US"/>
        </w:rPr>
        <w:t>a situation of medical emergency did not exist that would have required the tubal ligation to sa</w:t>
      </w:r>
      <w:r w:rsidR="00AD03C2" w:rsidRPr="00012C3F">
        <w:rPr>
          <w:rFonts w:eastAsia="MS Mincho" w:cs="Arial"/>
          <w:sz w:val="20"/>
          <w:szCs w:val="20"/>
          <w:lang w:val="en-US" w:eastAsia="en-US" w:bidi="en-US"/>
        </w:rPr>
        <w:t>v</w:t>
      </w:r>
      <w:r w:rsidR="00DD5966" w:rsidRPr="00012C3F">
        <w:rPr>
          <w:rFonts w:eastAsia="MS Mincho" w:cs="Arial"/>
          <w:sz w:val="20"/>
          <w:szCs w:val="20"/>
          <w:lang w:val="en-US" w:eastAsia="en-US" w:bidi="en-US"/>
        </w:rPr>
        <w:t xml:space="preserve">e </w:t>
      </w:r>
      <w:r w:rsidR="00AD03C2" w:rsidRPr="00012C3F">
        <w:rPr>
          <w:rFonts w:eastAsia="MS Mincho" w:cs="Arial"/>
          <w:sz w:val="20"/>
          <w:szCs w:val="20"/>
          <w:lang w:val="en-US" w:eastAsia="en-US" w:bidi="en-US"/>
        </w:rPr>
        <w:t>I.V.’s</w:t>
      </w:r>
      <w:r w:rsidR="00DD5966" w:rsidRPr="00012C3F">
        <w:rPr>
          <w:rFonts w:eastAsia="MS Mincho" w:cs="Arial"/>
          <w:sz w:val="20"/>
          <w:szCs w:val="20"/>
          <w:lang w:val="en-US" w:eastAsia="en-US" w:bidi="en-US"/>
        </w:rPr>
        <w:t xml:space="preserve"> life during her surgery</w:t>
      </w:r>
      <w:r w:rsidR="00AD03C2" w:rsidRPr="00012C3F">
        <w:rPr>
          <w:rFonts w:eastAsia="MS Mincho" w:cs="Arial"/>
          <w:sz w:val="20"/>
          <w:szCs w:val="20"/>
          <w:lang w:val="en-US" w:eastAsia="en-US" w:bidi="en-US"/>
        </w:rPr>
        <w:t>;</w:t>
      </w:r>
      <w:r w:rsidR="00DD5966" w:rsidRPr="00012C3F">
        <w:rPr>
          <w:rFonts w:eastAsia="MS Mincho" w:cs="Arial"/>
          <w:sz w:val="20"/>
          <w:szCs w:val="20"/>
          <w:lang w:val="en-US" w:eastAsia="en-US" w:bidi="en-US"/>
        </w:rPr>
        <w:t xml:space="preserve"> to the contrary, it was an elective procedure that could be performed at any other moment, so that there was no justification for the patient not to have obtained timely and accessible information on contraception methods, and (iv) I.V. should not have been consulted about the sterilization during </w:t>
      </w:r>
      <w:r w:rsidR="00136EDE" w:rsidRPr="00012C3F">
        <w:rPr>
          <w:rFonts w:eastAsia="MS Mincho" w:cs="Arial"/>
          <w:sz w:val="20"/>
          <w:szCs w:val="20"/>
          <w:lang w:val="en-US" w:eastAsia="en-US" w:bidi="en-US"/>
        </w:rPr>
        <w:t>the caesarean section</w:t>
      </w:r>
      <w:r w:rsidR="00DD5966" w:rsidRPr="00012C3F">
        <w:rPr>
          <w:rFonts w:eastAsia="MS Mincho" w:cs="Arial"/>
          <w:sz w:val="20"/>
          <w:szCs w:val="20"/>
          <w:lang w:val="en-US" w:eastAsia="en-US" w:bidi="en-US"/>
        </w:rPr>
        <w:t>, because she was under epidural anesthesia, and it is reasonable to consider that she was in a state of surgical stress, so that her consent could not be truly free. The Commission indicated that, even if I.V. had been given information verbally, as argued by the State, th</w:t>
      </w:r>
      <w:r w:rsidR="00AD03C2" w:rsidRPr="00012C3F">
        <w:rPr>
          <w:rFonts w:eastAsia="MS Mincho" w:cs="Arial"/>
          <w:sz w:val="20"/>
          <w:szCs w:val="20"/>
          <w:lang w:val="en-US" w:eastAsia="en-US" w:bidi="en-US"/>
        </w:rPr>
        <w:t>at</w:t>
      </w:r>
      <w:r w:rsidR="00DD5966" w:rsidRPr="00012C3F">
        <w:rPr>
          <w:rFonts w:eastAsia="MS Mincho" w:cs="Arial"/>
          <w:sz w:val="20"/>
          <w:szCs w:val="20"/>
          <w:lang w:val="en-US" w:eastAsia="en-US" w:bidi="en-US"/>
        </w:rPr>
        <w:t xml:space="preserve"> did not meet the necessary requirements and conditions to have enabled her to give her informed consent. It also indicated that there was no </w:t>
      </w:r>
      <w:r w:rsidR="00AD03C2" w:rsidRPr="00012C3F">
        <w:rPr>
          <w:rFonts w:eastAsia="MS Mincho" w:cs="Arial"/>
          <w:sz w:val="20"/>
          <w:szCs w:val="20"/>
          <w:lang w:val="en-US" w:eastAsia="en-US" w:bidi="en-US"/>
        </w:rPr>
        <w:t>real</w:t>
      </w:r>
      <w:r w:rsidR="00DD5966" w:rsidRPr="00012C3F">
        <w:rPr>
          <w:rFonts w:eastAsia="MS Mincho" w:cs="Arial"/>
          <w:sz w:val="20"/>
          <w:szCs w:val="20"/>
          <w:lang w:val="en-US" w:eastAsia="en-US" w:bidi="en-US"/>
        </w:rPr>
        <w:t xml:space="preserve"> and immediate danger to her life that would have excluded the need </w:t>
      </w:r>
      <w:r w:rsidR="00AD03C2" w:rsidRPr="00012C3F">
        <w:rPr>
          <w:rFonts w:eastAsia="MS Mincho" w:cs="Arial"/>
          <w:sz w:val="20"/>
          <w:szCs w:val="20"/>
          <w:lang w:val="en-US" w:eastAsia="en-US" w:bidi="en-US"/>
        </w:rPr>
        <w:t>for her</w:t>
      </w:r>
      <w:r w:rsidR="00DD5966" w:rsidRPr="00012C3F">
        <w:rPr>
          <w:rFonts w:eastAsia="MS Mincho" w:cs="Arial"/>
          <w:sz w:val="20"/>
          <w:szCs w:val="20"/>
          <w:lang w:val="en-US" w:eastAsia="en-US" w:bidi="en-US"/>
        </w:rPr>
        <w:t xml:space="preserve"> express consent.</w:t>
      </w:r>
    </w:p>
    <w:p w14:paraId="755C9B7D" w14:textId="77777777" w:rsidR="004B2395" w:rsidRPr="00012C3F" w:rsidRDefault="004B2395" w:rsidP="004B2395">
      <w:pPr>
        <w:tabs>
          <w:tab w:val="left" w:pos="567"/>
        </w:tabs>
        <w:spacing w:line="240" w:lineRule="auto"/>
        <w:rPr>
          <w:sz w:val="20"/>
          <w:szCs w:val="20"/>
          <w:lang w:val="en-US"/>
        </w:rPr>
      </w:pPr>
    </w:p>
    <w:p w14:paraId="7CC60FDB" w14:textId="77777777" w:rsidR="004B2395" w:rsidRPr="00012C3F" w:rsidRDefault="00972ACF" w:rsidP="009319C4">
      <w:pPr>
        <w:numPr>
          <w:ilvl w:val="0"/>
          <w:numId w:val="5"/>
        </w:numPr>
        <w:tabs>
          <w:tab w:val="left" w:pos="567"/>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representative</w:t>
      </w:r>
      <w:r w:rsidR="004B2395" w:rsidRPr="00012C3F">
        <w:rPr>
          <w:rFonts w:eastAsia="MS Mincho" w:cs="Arial"/>
          <w:b/>
          <w:sz w:val="20"/>
          <w:szCs w:val="20"/>
          <w:lang w:val="en-US" w:eastAsia="en-US" w:bidi="en-US"/>
        </w:rPr>
        <w:t xml:space="preserve"> </w:t>
      </w:r>
      <w:r w:rsidR="00DD5966" w:rsidRPr="00012C3F">
        <w:rPr>
          <w:rFonts w:eastAsia="MS Mincho" w:cs="Arial"/>
          <w:sz w:val="20"/>
          <w:szCs w:val="20"/>
          <w:lang w:val="en-US" w:eastAsia="en-US" w:bidi="en-US"/>
        </w:rPr>
        <w:t>indic</w:t>
      </w:r>
      <w:r w:rsidR="00AD03C2" w:rsidRPr="00012C3F">
        <w:rPr>
          <w:rFonts w:eastAsia="MS Mincho" w:cs="Arial"/>
          <w:sz w:val="20"/>
          <w:szCs w:val="20"/>
          <w:lang w:val="en-US" w:eastAsia="en-US" w:bidi="en-US"/>
        </w:rPr>
        <w:t>a</w:t>
      </w:r>
      <w:r w:rsidR="00DD5966" w:rsidRPr="00012C3F">
        <w:rPr>
          <w:rFonts w:eastAsia="MS Mincho" w:cs="Arial"/>
          <w:sz w:val="20"/>
          <w:szCs w:val="20"/>
          <w:lang w:val="en-US" w:eastAsia="en-US" w:bidi="en-US"/>
        </w:rPr>
        <w:t>ted that</w:t>
      </w:r>
      <w:r w:rsidR="004B2395" w:rsidRPr="00012C3F">
        <w:rPr>
          <w:rFonts w:eastAsia="MS Mincho" w:cs="Arial"/>
          <w:sz w:val="20"/>
          <w:szCs w:val="20"/>
          <w:lang w:val="en-US" w:eastAsia="en-US" w:bidi="en-US"/>
        </w:rPr>
        <w:t xml:space="preserve"> </w:t>
      </w:r>
      <w:r w:rsidR="000E1C11" w:rsidRPr="00012C3F">
        <w:rPr>
          <w:rFonts w:eastAsia="MS Mincho" w:cs="Arial"/>
          <w:sz w:val="20"/>
          <w:szCs w:val="20"/>
          <w:lang w:val="en-US" w:eastAsia="en-US" w:bidi="en-US"/>
        </w:rPr>
        <w:t>I.V.</w:t>
      </w:r>
      <w:r w:rsidR="004B2395" w:rsidRPr="00012C3F">
        <w:rPr>
          <w:rFonts w:eastAsia="MS Mincho" w:cs="Arial"/>
          <w:sz w:val="20"/>
          <w:szCs w:val="20"/>
          <w:lang w:val="en-US" w:eastAsia="en-US" w:bidi="en-US"/>
        </w:rPr>
        <w:t xml:space="preserve"> </w:t>
      </w:r>
      <w:r w:rsidR="00DD5966" w:rsidRPr="00012C3F">
        <w:rPr>
          <w:rFonts w:eastAsia="MS Mincho" w:cs="Arial"/>
          <w:sz w:val="20"/>
          <w:szCs w:val="20"/>
          <w:lang w:val="en-US" w:eastAsia="en-US" w:bidi="en-US"/>
        </w:rPr>
        <w:t>was sterilized without her prior, full, free and informed consent, because she was never told that a tubal ligation would be performed. She indicated that there was no record that the protocols on consent and on tubal ligat</w:t>
      </w:r>
      <w:r w:rsidR="00AD03C2" w:rsidRPr="00012C3F">
        <w:rPr>
          <w:rFonts w:eastAsia="MS Mincho" w:cs="Arial"/>
          <w:sz w:val="20"/>
          <w:szCs w:val="20"/>
          <w:lang w:val="en-US" w:eastAsia="en-US" w:bidi="en-US"/>
        </w:rPr>
        <w:t>ion</w:t>
      </w:r>
      <w:r w:rsidR="00DD5966" w:rsidRPr="00012C3F">
        <w:rPr>
          <w:rFonts w:eastAsia="MS Mincho" w:cs="Arial"/>
          <w:sz w:val="20"/>
          <w:szCs w:val="20"/>
          <w:lang w:val="en-US" w:eastAsia="en-US" w:bidi="en-US"/>
        </w:rPr>
        <w:t xml:space="preserve"> had been complied with in the case of the presumed victim and based on existing laws. The representative indicated that I.V. found out about the surgical procedure the day after it had been performed – in other words, July 2, 2000 – as revealed by the “progress sheet” signed by the </w:t>
      </w:r>
      <w:r w:rsidR="00593E9B" w:rsidRPr="00012C3F">
        <w:rPr>
          <w:rFonts w:eastAsia="MS Mincho" w:cs="Arial"/>
          <w:sz w:val="20"/>
          <w:szCs w:val="20"/>
          <w:lang w:val="en-US" w:eastAsia="en-US" w:bidi="en-US"/>
        </w:rPr>
        <w:t>resident doctor</w:t>
      </w:r>
      <w:r w:rsidR="00DD5966" w:rsidRPr="00012C3F">
        <w:rPr>
          <w:rFonts w:eastAsia="MS Mincho" w:cs="Arial"/>
          <w:sz w:val="20"/>
          <w:szCs w:val="20"/>
          <w:lang w:val="en-US" w:eastAsia="en-US" w:bidi="en-US"/>
        </w:rPr>
        <w:t xml:space="preserve">, which </w:t>
      </w:r>
      <w:r w:rsidR="009319C4" w:rsidRPr="00012C3F">
        <w:rPr>
          <w:rFonts w:eastAsia="MS Mincho" w:cs="Arial"/>
          <w:sz w:val="20"/>
          <w:szCs w:val="20"/>
          <w:lang w:val="en-US" w:eastAsia="en-US" w:bidi="en-US"/>
        </w:rPr>
        <w:t xml:space="preserve">records that I.V. was only informed about the tubal ligation at that time. Accordingly, this disproves the evidence used by the State to assert that I.V. had given her consent – that is, the contradictory statements of some members of the medical team. She also indicated that: (i) requesting </w:t>
      </w:r>
      <w:r w:rsidR="00AD03C2" w:rsidRPr="00012C3F">
        <w:rPr>
          <w:rFonts w:eastAsia="MS Mincho" w:cs="Arial"/>
          <w:sz w:val="20"/>
          <w:szCs w:val="20"/>
          <w:lang w:val="en-US" w:eastAsia="en-US" w:bidi="en-US"/>
        </w:rPr>
        <w:t>a woman’s</w:t>
      </w:r>
      <w:r w:rsidR="009319C4" w:rsidRPr="00012C3F">
        <w:rPr>
          <w:rFonts w:eastAsia="MS Mincho" w:cs="Arial"/>
          <w:sz w:val="20"/>
          <w:szCs w:val="20"/>
          <w:lang w:val="en-US" w:eastAsia="en-US" w:bidi="en-US"/>
        </w:rPr>
        <w:t xml:space="preserve"> consent </w:t>
      </w:r>
      <w:r w:rsidR="00AD03C2" w:rsidRPr="00012C3F">
        <w:rPr>
          <w:rFonts w:eastAsia="MS Mincho" w:cs="Arial"/>
          <w:sz w:val="20"/>
          <w:szCs w:val="20"/>
          <w:lang w:val="en-US" w:eastAsia="en-US" w:bidi="en-US"/>
        </w:rPr>
        <w:t>to</w:t>
      </w:r>
      <w:r w:rsidR="009319C4" w:rsidRPr="00012C3F">
        <w:rPr>
          <w:rFonts w:eastAsia="MS Mincho" w:cs="Arial"/>
          <w:sz w:val="20"/>
          <w:szCs w:val="20"/>
          <w:lang w:val="en-US" w:eastAsia="en-US" w:bidi="en-US"/>
        </w:rPr>
        <w:t xml:space="preserve"> a tubal ligation in the circumstances described was inadmissible, especially if there was no medical emergency; (ii) the medical indication could not be taken as a factor that excluded the need to obtain prior, full, free and informed consent, and (iii) it was inadmissible </w:t>
      </w:r>
      <w:r w:rsidR="00AD03C2" w:rsidRPr="00012C3F">
        <w:rPr>
          <w:rFonts w:eastAsia="MS Mincho" w:cs="Arial"/>
          <w:sz w:val="20"/>
          <w:szCs w:val="20"/>
          <w:lang w:val="en-US" w:eastAsia="en-US" w:bidi="en-US"/>
        </w:rPr>
        <w:t>t</w:t>
      </w:r>
      <w:r w:rsidR="009319C4" w:rsidRPr="00012C3F">
        <w:rPr>
          <w:rFonts w:eastAsia="MS Mincho" w:cs="Arial"/>
          <w:sz w:val="20"/>
          <w:szCs w:val="20"/>
          <w:lang w:val="en-US" w:eastAsia="en-US" w:bidi="en-US"/>
        </w:rPr>
        <w:t xml:space="preserve">o consider that written consent was a “mere and unimportant formality,” when domestic law required this. Regarding the international standards </w:t>
      </w:r>
      <w:r w:rsidR="002E7B3D" w:rsidRPr="00012C3F">
        <w:rPr>
          <w:rFonts w:eastAsia="MS Mincho" w:cs="Arial"/>
          <w:sz w:val="20"/>
          <w:szCs w:val="20"/>
          <w:lang w:val="en-US" w:eastAsia="en-US" w:bidi="en-US"/>
        </w:rPr>
        <w:t xml:space="preserve">for </w:t>
      </w:r>
      <w:r w:rsidR="00AC0004" w:rsidRPr="00012C3F">
        <w:rPr>
          <w:rFonts w:eastAsia="MS Mincho" w:cs="Arial"/>
          <w:sz w:val="20"/>
          <w:szCs w:val="20"/>
          <w:lang w:val="en-US" w:eastAsia="en-US" w:bidi="en-US"/>
        </w:rPr>
        <w:t>informed consent</w:t>
      </w:r>
      <w:r w:rsidR="004B2395" w:rsidRPr="00012C3F">
        <w:rPr>
          <w:rFonts w:eastAsia="MS Mincho" w:cs="Arial"/>
          <w:sz w:val="20"/>
          <w:szCs w:val="20"/>
          <w:lang w:val="en-US" w:eastAsia="en-US" w:bidi="en-US"/>
        </w:rPr>
        <w:t xml:space="preserve">, </w:t>
      </w:r>
      <w:r w:rsidRPr="00012C3F">
        <w:rPr>
          <w:rFonts w:eastAsia="MS Mincho" w:cs="Arial"/>
          <w:sz w:val="20"/>
          <w:szCs w:val="20"/>
          <w:lang w:val="en-US" w:eastAsia="en-US" w:bidi="en-US"/>
        </w:rPr>
        <w:t>the representative</w:t>
      </w:r>
      <w:r w:rsidR="004B2395" w:rsidRPr="00012C3F">
        <w:rPr>
          <w:rFonts w:eastAsia="MS Mincho" w:cs="Arial"/>
          <w:sz w:val="20"/>
          <w:szCs w:val="20"/>
          <w:lang w:val="en-US" w:eastAsia="en-US" w:bidi="en-US"/>
        </w:rPr>
        <w:t xml:space="preserve"> consider</w:t>
      </w:r>
      <w:r w:rsidR="009319C4" w:rsidRPr="00012C3F">
        <w:rPr>
          <w:rFonts w:eastAsia="MS Mincho" w:cs="Arial"/>
          <w:sz w:val="20"/>
          <w:szCs w:val="20"/>
          <w:lang w:val="en-US" w:eastAsia="en-US" w:bidi="en-US"/>
        </w:rPr>
        <w:t>ed that they already existed and were in force at the time of the facts, and indicated that the Court had the authority to consider this matter in accordance with an evolutive interpretation</w:t>
      </w:r>
      <w:r w:rsidR="009319C4" w:rsidRPr="00012C3F">
        <w:rPr>
          <w:rFonts w:eastAsia="MS Mincho"/>
          <w:sz w:val="20"/>
          <w:szCs w:val="20"/>
          <w:lang w:val="en-US" w:eastAsia="en-US" w:bidi="en-US"/>
        </w:rPr>
        <w:t xml:space="preserve"> of </w:t>
      </w:r>
      <w:r w:rsidR="001254DE" w:rsidRPr="00012C3F">
        <w:rPr>
          <w:rFonts w:eastAsia="MS Mincho" w:cs="Arial"/>
          <w:sz w:val="20"/>
          <w:szCs w:val="20"/>
          <w:lang w:val="en-US" w:eastAsia="en-US" w:bidi="en-US"/>
        </w:rPr>
        <w:t>the Convention</w:t>
      </w:r>
      <w:r w:rsidR="00DD2A3F" w:rsidRPr="00012C3F">
        <w:rPr>
          <w:rFonts w:eastAsia="MS Mincho" w:cs="Arial"/>
          <w:sz w:val="20"/>
          <w:szCs w:val="20"/>
          <w:lang w:val="en-US" w:eastAsia="en-US" w:bidi="en-US"/>
        </w:rPr>
        <w:t>.</w:t>
      </w:r>
    </w:p>
    <w:p w14:paraId="555B31BA" w14:textId="77777777" w:rsidR="004B2395" w:rsidRPr="00012C3F" w:rsidRDefault="004B2395" w:rsidP="004B2395">
      <w:pPr>
        <w:widowControl/>
        <w:tabs>
          <w:tab w:val="left" w:pos="720"/>
        </w:tabs>
        <w:adjustRightInd/>
        <w:spacing w:line="240" w:lineRule="auto"/>
        <w:ind w:right="-90"/>
        <w:textAlignment w:val="auto"/>
        <w:rPr>
          <w:rFonts w:eastAsia="MS Mincho"/>
          <w:sz w:val="20"/>
          <w:szCs w:val="20"/>
          <w:lang w:val="en-US" w:eastAsia="en-US" w:bidi="en-US"/>
        </w:rPr>
      </w:pPr>
    </w:p>
    <w:p w14:paraId="268F9F70" w14:textId="77777777" w:rsidR="004B2395" w:rsidRPr="00012C3F" w:rsidRDefault="00A84CA0" w:rsidP="00C12F6C">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State</w:t>
      </w:r>
      <w:r w:rsidR="004B2395" w:rsidRPr="00012C3F">
        <w:rPr>
          <w:rFonts w:eastAsia="MS Mincho" w:cs="Arial"/>
          <w:sz w:val="20"/>
          <w:szCs w:val="20"/>
          <w:lang w:val="en-US" w:eastAsia="en-US" w:bidi="en-US"/>
        </w:rPr>
        <w:t xml:space="preserve"> af</w:t>
      </w:r>
      <w:r w:rsidR="009319C4" w:rsidRPr="00012C3F">
        <w:rPr>
          <w:rFonts w:eastAsia="MS Mincho" w:cs="Arial"/>
          <w:sz w:val="20"/>
          <w:szCs w:val="20"/>
          <w:lang w:val="en-US" w:eastAsia="en-US" w:bidi="en-US"/>
        </w:rPr>
        <w:t>firmed that the tubal ligation procedure</w:t>
      </w:r>
      <w:r w:rsidR="009319C4" w:rsidRPr="00012C3F">
        <w:rPr>
          <w:rFonts w:eastAsia="MS Mincho"/>
          <w:sz w:val="20"/>
          <w:szCs w:val="20"/>
          <w:lang w:val="en-US" w:eastAsia="en-US" w:bidi="en-US"/>
        </w:rPr>
        <w:t xml:space="preserve"> had not been planned by either the medical professionals or I.V., because the surgical procedure was performed during </w:t>
      </w:r>
      <w:r w:rsidR="00136EDE" w:rsidRPr="00012C3F">
        <w:rPr>
          <w:rFonts w:eastAsia="MS Mincho"/>
          <w:sz w:val="20"/>
          <w:szCs w:val="20"/>
          <w:lang w:val="en-US" w:eastAsia="en-US" w:bidi="en-US"/>
        </w:rPr>
        <w:t>the caesarean section</w:t>
      </w:r>
      <w:r w:rsidR="009319C4" w:rsidRPr="00012C3F">
        <w:rPr>
          <w:rFonts w:eastAsia="MS Mincho" w:cs="Arial"/>
          <w:sz w:val="20"/>
          <w:szCs w:val="20"/>
          <w:lang w:val="en-US" w:eastAsia="en-US" w:bidi="en-US"/>
        </w:rPr>
        <w:t xml:space="preserve"> in light of the clinical picture observed, </w:t>
      </w:r>
      <w:r w:rsidR="00865F49" w:rsidRPr="00012C3F">
        <w:rPr>
          <w:rFonts w:eastAsia="MS Mincho" w:cs="Arial"/>
          <w:sz w:val="20"/>
          <w:szCs w:val="20"/>
          <w:lang w:val="en-US" w:eastAsia="en-US" w:bidi="en-US"/>
        </w:rPr>
        <w:t>consisting of</w:t>
      </w:r>
      <w:r w:rsidR="009319C4" w:rsidRPr="00012C3F">
        <w:rPr>
          <w:rFonts w:eastAsia="MS Mincho" w:cs="Arial"/>
          <w:sz w:val="20"/>
          <w:szCs w:val="20"/>
          <w:lang w:val="en-US" w:eastAsia="en-US" w:bidi="en-US"/>
        </w:rPr>
        <w:t xml:space="preserve"> the adhesions found and the type of </w:t>
      </w:r>
      <w:r w:rsidR="00865F49" w:rsidRPr="00012C3F">
        <w:rPr>
          <w:rFonts w:eastAsia="MS Mincho" w:cs="Arial"/>
          <w:sz w:val="20"/>
          <w:szCs w:val="20"/>
          <w:lang w:val="en-US" w:eastAsia="en-US" w:bidi="en-US"/>
        </w:rPr>
        <w:t>incision</w:t>
      </w:r>
      <w:r w:rsidR="009319C4" w:rsidRPr="00012C3F">
        <w:rPr>
          <w:rFonts w:eastAsia="MS Mincho" w:cs="Arial"/>
          <w:sz w:val="20"/>
          <w:szCs w:val="20"/>
          <w:lang w:val="en-US" w:eastAsia="en-US" w:bidi="en-US"/>
        </w:rPr>
        <w:t xml:space="preserve"> that had to be made</w:t>
      </w:r>
      <w:r w:rsidR="00865F49" w:rsidRPr="00012C3F">
        <w:rPr>
          <w:rFonts w:eastAsia="MS Mincho" w:cs="Arial"/>
          <w:sz w:val="20"/>
          <w:szCs w:val="20"/>
          <w:lang w:val="en-US" w:eastAsia="en-US" w:bidi="en-US"/>
        </w:rPr>
        <w:t xml:space="preserve"> in the uterus</w:t>
      </w:r>
      <w:r w:rsidR="009319C4" w:rsidRPr="00012C3F">
        <w:rPr>
          <w:rFonts w:eastAsia="MS Mincho" w:cs="Arial"/>
          <w:sz w:val="20"/>
          <w:szCs w:val="20"/>
          <w:lang w:val="en-US" w:eastAsia="en-US" w:bidi="en-US"/>
        </w:rPr>
        <w:t xml:space="preserve">. It indicated that I.V. was informed of these complications, of the risks that another pregnancy would involve, of the benefits of the tubal ligation, and of the existing alternatives, “in a reasonable time, taking into account the circumstances,” and added that the bilateral tubal ligation procedure was performed to safeguard the health and life of the mother </w:t>
      </w:r>
      <w:r w:rsidR="00865F49" w:rsidRPr="00012C3F">
        <w:rPr>
          <w:rFonts w:eastAsia="MS Mincho" w:cs="Arial"/>
          <w:sz w:val="20"/>
          <w:szCs w:val="20"/>
          <w:lang w:val="en-US" w:eastAsia="en-US" w:bidi="en-US"/>
        </w:rPr>
        <w:t>under the assumption</w:t>
      </w:r>
      <w:r w:rsidR="009319C4" w:rsidRPr="00012C3F">
        <w:rPr>
          <w:rFonts w:eastAsia="MS Mincho" w:cs="Arial"/>
          <w:sz w:val="20"/>
          <w:szCs w:val="20"/>
          <w:lang w:val="en-US" w:eastAsia="en-US" w:bidi="en-US"/>
        </w:rPr>
        <w:t xml:space="preserve"> that </w:t>
      </w:r>
      <w:r w:rsidR="00865F49" w:rsidRPr="00012C3F">
        <w:rPr>
          <w:rFonts w:eastAsia="MS Mincho" w:cs="Arial"/>
          <w:sz w:val="20"/>
          <w:szCs w:val="20"/>
          <w:lang w:val="en-US" w:eastAsia="en-US" w:bidi="en-US"/>
        </w:rPr>
        <w:t>she could become pregnant again</w:t>
      </w:r>
      <w:r w:rsidR="009319C4" w:rsidRPr="00012C3F">
        <w:rPr>
          <w:rFonts w:eastAsia="MS Mincho" w:cs="Arial"/>
          <w:sz w:val="20"/>
          <w:szCs w:val="20"/>
          <w:lang w:val="en-US" w:eastAsia="en-US" w:bidi="en-US"/>
        </w:rPr>
        <w:t>. The State argued that I.V. gave her verbal consent</w:t>
      </w:r>
      <w:r w:rsidR="00865F49" w:rsidRPr="00012C3F">
        <w:rPr>
          <w:rFonts w:eastAsia="MS Mincho" w:cs="Arial"/>
          <w:sz w:val="20"/>
          <w:szCs w:val="20"/>
          <w:lang w:val="en-US" w:eastAsia="en-US" w:bidi="en-US"/>
        </w:rPr>
        <w:t xml:space="preserve">, as </w:t>
      </w:r>
      <w:r w:rsidR="009319C4" w:rsidRPr="00012C3F">
        <w:rPr>
          <w:rFonts w:eastAsia="MS Mincho" w:cs="Arial"/>
          <w:sz w:val="20"/>
          <w:szCs w:val="20"/>
          <w:lang w:val="en-US" w:eastAsia="en-US" w:bidi="en-US"/>
        </w:rPr>
        <w:t xml:space="preserve">proved by the statements of the medical team, after </w:t>
      </w:r>
      <w:r w:rsidR="00AD60B7" w:rsidRPr="00012C3F">
        <w:rPr>
          <w:rFonts w:eastAsia="MS Mincho" w:cs="Arial"/>
          <w:sz w:val="20"/>
          <w:szCs w:val="20"/>
          <w:lang w:val="en-US" w:eastAsia="en-US" w:bidi="en-US"/>
        </w:rPr>
        <w:t xml:space="preserve">they had tried </w:t>
      </w:r>
      <w:r w:rsidR="00865F49" w:rsidRPr="00012C3F">
        <w:rPr>
          <w:rFonts w:eastAsia="MS Mincho" w:cs="Arial"/>
          <w:sz w:val="20"/>
          <w:szCs w:val="20"/>
          <w:lang w:val="en-US" w:eastAsia="en-US" w:bidi="en-US"/>
        </w:rPr>
        <w:t xml:space="preserve">unsuccessfully </w:t>
      </w:r>
      <w:r w:rsidR="00AD60B7" w:rsidRPr="00012C3F">
        <w:rPr>
          <w:rFonts w:eastAsia="MS Mincho" w:cs="Arial"/>
          <w:sz w:val="20"/>
          <w:szCs w:val="20"/>
          <w:lang w:val="en-US" w:eastAsia="en-US" w:bidi="en-US"/>
        </w:rPr>
        <w:t>to find her husband to formalize the verbal authorization. The</w:t>
      </w:r>
      <w:r w:rsidR="00865F49" w:rsidRPr="00012C3F">
        <w:rPr>
          <w:rFonts w:eastAsia="MS Mincho" w:cs="Arial"/>
          <w:sz w:val="20"/>
          <w:szCs w:val="20"/>
          <w:lang w:val="en-US" w:eastAsia="en-US" w:bidi="en-US"/>
        </w:rPr>
        <w:t xml:space="preserve"> </w:t>
      </w:r>
      <w:r w:rsidR="00AD60B7" w:rsidRPr="00012C3F">
        <w:rPr>
          <w:rFonts w:eastAsia="MS Mincho" w:cs="Arial"/>
          <w:sz w:val="20"/>
          <w:szCs w:val="20"/>
          <w:lang w:val="en-US" w:eastAsia="en-US" w:bidi="en-US"/>
        </w:rPr>
        <w:t>State added that: (i) nothing revealed that I.V.’s cognitive faculty was impaired in a way that would have prevented her understanding the situation; during the operation, she did not suffer surgical stress; the administration of an epidural anesthesia would not</w:t>
      </w:r>
      <w:r w:rsidR="00865F49" w:rsidRPr="00012C3F">
        <w:rPr>
          <w:rFonts w:eastAsia="MS Mincho" w:cs="Arial"/>
          <w:sz w:val="20"/>
          <w:szCs w:val="20"/>
          <w:lang w:val="en-US" w:eastAsia="en-US" w:bidi="en-US"/>
        </w:rPr>
        <w:t xml:space="preserve"> have</w:t>
      </w:r>
      <w:r w:rsidR="00AD60B7" w:rsidRPr="00012C3F">
        <w:rPr>
          <w:rFonts w:eastAsia="MS Mincho" w:cs="Arial"/>
          <w:sz w:val="20"/>
          <w:szCs w:val="20"/>
          <w:lang w:val="en-US" w:eastAsia="en-US" w:bidi="en-US"/>
        </w:rPr>
        <w:t xml:space="preserve"> inhibit</w:t>
      </w:r>
      <w:r w:rsidR="00865F49" w:rsidRPr="00012C3F">
        <w:rPr>
          <w:rFonts w:eastAsia="MS Mincho" w:cs="Arial"/>
          <w:sz w:val="20"/>
          <w:szCs w:val="20"/>
          <w:lang w:val="en-US" w:eastAsia="en-US" w:bidi="en-US"/>
        </w:rPr>
        <w:t>ed</w:t>
      </w:r>
      <w:r w:rsidR="00AD60B7" w:rsidRPr="00012C3F">
        <w:rPr>
          <w:rFonts w:eastAsia="MS Mincho" w:cs="Arial"/>
          <w:sz w:val="20"/>
          <w:szCs w:val="20"/>
          <w:lang w:val="en-US" w:eastAsia="en-US" w:bidi="en-US"/>
        </w:rPr>
        <w:t xml:space="preserve"> her from understanding, and I.V. had full use of her intellectual capacity; (ii) in addition, there was no indication that the information provided to the patient had been misleading or distorted or that the health </w:t>
      </w:r>
      <w:r w:rsidR="00865F49" w:rsidRPr="00012C3F">
        <w:rPr>
          <w:rFonts w:eastAsia="MS Mincho" w:cs="Arial"/>
          <w:sz w:val="20"/>
          <w:szCs w:val="20"/>
          <w:lang w:val="en-US" w:eastAsia="en-US" w:bidi="en-US"/>
        </w:rPr>
        <w:t>personnel</w:t>
      </w:r>
      <w:r w:rsidR="00AD60B7" w:rsidRPr="00012C3F">
        <w:rPr>
          <w:rFonts w:eastAsia="MS Mincho" w:cs="Arial"/>
          <w:sz w:val="20"/>
          <w:szCs w:val="20"/>
          <w:lang w:val="en-US" w:eastAsia="en-US" w:bidi="en-US"/>
        </w:rPr>
        <w:t xml:space="preserve"> had exerted any kind of pressure, so that the verbal consent was provided freely by the patient on understanding that a new pregnancy would endanger her life, and (iii) owing to the circumstances of the case, it was not possible to apply the rules of written consent, and its absence did not signify the absence of consent and, in particular, a</w:t>
      </w:r>
      <w:r w:rsidR="008F5266" w:rsidRPr="00012C3F">
        <w:rPr>
          <w:rFonts w:eastAsia="MS Mincho" w:cs="Arial"/>
          <w:sz w:val="20"/>
          <w:szCs w:val="20"/>
          <w:lang w:val="en-US" w:eastAsia="en-US" w:bidi="en-US"/>
        </w:rPr>
        <w:t xml:space="preserve"> forced sterilization</w:t>
      </w:r>
      <w:r w:rsidR="00AD60B7" w:rsidRPr="00012C3F">
        <w:rPr>
          <w:rFonts w:eastAsia="MS Mincho" w:cs="Arial"/>
          <w:sz w:val="20"/>
          <w:szCs w:val="20"/>
          <w:lang w:val="en-US" w:eastAsia="en-US" w:bidi="en-US"/>
        </w:rPr>
        <w:t xml:space="preserve">. Therefore, the State considered that </w:t>
      </w:r>
      <w:r w:rsidR="00C12F6C" w:rsidRPr="00012C3F">
        <w:rPr>
          <w:rFonts w:eastAsia="MS Mincho" w:cs="Arial"/>
          <w:sz w:val="20"/>
          <w:szCs w:val="20"/>
          <w:lang w:val="en-US" w:eastAsia="en-US" w:bidi="en-US"/>
        </w:rPr>
        <w:t>the actions complied with the basic parameters of a process of</w:t>
      </w:r>
      <w:r w:rsidR="00C12F6C" w:rsidRPr="00012C3F">
        <w:rPr>
          <w:rFonts w:eastAsia="MS Mincho"/>
          <w:sz w:val="20"/>
          <w:szCs w:val="20"/>
          <w:lang w:val="en-US" w:eastAsia="en-US" w:bidi="en-US"/>
        </w:rPr>
        <w:t xml:space="preserve"> </w:t>
      </w:r>
      <w:r w:rsidR="00AC0004" w:rsidRPr="00012C3F">
        <w:rPr>
          <w:rFonts w:eastAsia="MS Mincho" w:cs="Arial"/>
          <w:sz w:val="20"/>
          <w:szCs w:val="20"/>
          <w:lang w:val="en-US" w:eastAsia="en-US" w:bidi="en-US"/>
        </w:rPr>
        <w:t>informed consent</w:t>
      </w:r>
      <w:r w:rsidR="00DD2A3F" w:rsidRPr="00012C3F">
        <w:rPr>
          <w:rFonts w:eastAsia="MS Mincho" w:cs="Arial"/>
          <w:sz w:val="20"/>
          <w:szCs w:val="20"/>
          <w:lang w:val="en-US" w:eastAsia="en-US" w:bidi="en-US"/>
        </w:rPr>
        <w:t>.</w:t>
      </w:r>
      <w:r w:rsidR="004B2395" w:rsidRPr="00012C3F">
        <w:rPr>
          <w:rFonts w:eastAsia="MS Mincho" w:cs="Arial"/>
          <w:sz w:val="20"/>
          <w:szCs w:val="20"/>
          <w:lang w:val="en-US" w:eastAsia="en-US" w:bidi="en-US"/>
        </w:rPr>
        <w:t xml:space="preserve"> </w:t>
      </w:r>
    </w:p>
    <w:p w14:paraId="6EE4509E" w14:textId="77777777" w:rsidR="004B2395" w:rsidRPr="00012C3F" w:rsidRDefault="004B2395" w:rsidP="00C12F6C">
      <w:pPr>
        <w:tabs>
          <w:tab w:val="left" w:pos="720"/>
        </w:tabs>
        <w:spacing w:line="240" w:lineRule="auto"/>
        <w:rPr>
          <w:rFonts w:eastAsia="MS Mincho"/>
          <w:sz w:val="20"/>
          <w:szCs w:val="20"/>
          <w:lang w:val="en-US" w:eastAsia="en-US" w:bidi="en-US"/>
        </w:rPr>
      </w:pPr>
    </w:p>
    <w:p w14:paraId="47F5C1CC" w14:textId="77777777" w:rsidR="004B2395" w:rsidRPr="00012C3F" w:rsidRDefault="00242C27" w:rsidP="00035A18">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Additionally</w:t>
      </w:r>
      <w:r w:rsidR="004B2395" w:rsidRPr="00012C3F">
        <w:rPr>
          <w:rFonts w:eastAsia="MS Mincho" w:cs="Arial"/>
          <w:sz w:val="20"/>
          <w:szCs w:val="20"/>
          <w:lang w:val="en-US" w:eastAsia="en-US" w:bidi="en-US"/>
        </w:rPr>
        <w:t>,</w:t>
      </w:r>
      <w:r w:rsidRPr="00012C3F">
        <w:rPr>
          <w:rFonts w:eastAsia="MS Mincho" w:cs="Arial"/>
          <w:sz w:val="20"/>
          <w:szCs w:val="20"/>
          <w:lang w:val="en-US" w:eastAsia="en-US" w:bidi="en-US"/>
        </w:rPr>
        <w:t xml:space="preserve"> following the</w:t>
      </w:r>
      <w:r w:rsidR="004B2395" w:rsidRPr="00012C3F">
        <w:rPr>
          <w:rFonts w:eastAsia="MS Mincho" w:cs="Arial"/>
          <w:sz w:val="20"/>
          <w:szCs w:val="20"/>
          <w:lang w:val="en-US" w:eastAsia="en-US" w:bidi="en-US"/>
        </w:rPr>
        <w:t xml:space="preserve"> </w:t>
      </w:r>
      <w:r w:rsidR="00B257AF" w:rsidRPr="00012C3F">
        <w:rPr>
          <w:rFonts w:eastAsia="MS Mincho" w:cs="Arial"/>
          <w:sz w:val="20"/>
          <w:szCs w:val="20"/>
          <w:lang w:val="en-US" w:eastAsia="en-US" w:bidi="en-US"/>
        </w:rPr>
        <w:t>public hearing</w:t>
      </w:r>
      <w:r w:rsidR="004B2395" w:rsidRPr="00012C3F">
        <w:rPr>
          <w:rFonts w:eastAsia="MS Mincho" w:cs="Arial"/>
          <w:sz w:val="20"/>
          <w:szCs w:val="20"/>
          <w:lang w:val="en-US" w:eastAsia="en-US" w:bidi="en-US"/>
        </w:rPr>
        <w:t xml:space="preserve"> </w:t>
      </w:r>
      <w:r w:rsidRPr="00012C3F">
        <w:rPr>
          <w:rFonts w:eastAsia="MS Mincho" w:cs="Arial"/>
          <w:sz w:val="20"/>
          <w:szCs w:val="20"/>
          <w:lang w:val="en-US" w:eastAsia="en-US" w:bidi="en-US"/>
        </w:rPr>
        <w:t xml:space="preserve">of the case and in its final written arguments, the State indicated that, although it was </w:t>
      </w:r>
      <w:r w:rsidR="00865F49" w:rsidRPr="00012C3F">
        <w:rPr>
          <w:rFonts w:eastAsia="MS Mincho" w:cs="Arial"/>
          <w:sz w:val="20"/>
          <w:szCs w:val="20"/>
          <w:lang w:val="en-US" w:eastAsia="en-US" w:bidi="en-US"/>
        </w:rPr>
        <w:t>admissible</w:t>
      </w:r>
      <w:r w:rsidRPr="00012C3F">
        <w:rPr>
          <w:rFonts w:eastAsia="MS Mincho" w:cs="Arial"/>
          <w:sz w:val="20"/>
          <w:szCs w:val="20"/>
          <w:lang w:val="en-US" w:eastAsia="en-US" w:bidi="en-US"/>
        </w:rPr>
        <w:t xml:space="preserve"> for the Court to incorporate the elements of prior, free and informed consent in the interpretation of the provisions of the Convention, it would be legally incorrect to apply retroactively </w:t>
      </w:r>
      <w:r w:rsidR="00865F49" w:rsidRPr="00012C3F">
        <w:rPr>
          <w:rFonts w:eastAsia="MS Mincho" w:cs="Arial"/>
          <w:sz w:val="20"/>
          <w:szCs w:val="20"/>
          <w:lang w:val="en-US" w:eastAsia="en-US" w:bidi="en-US"/>
        </w:rPr>
        <w:t xml:space="preserve">elements </w:t>
      </w:r>
      <w:r w:rsidRPr="00012C3F">
        <w:rPr>
          <w:rFonts w:eastAsia="MS Mincho" w:cs="Arial"/>
          <w:sz w:val="20"/>
          <w:szCs w:val="20"/>
          <w:lang w:val="en-US" w:eastAsia="en-US" w:bidi="en-US"/>
        </w:rPr>
        <w:t xml:space="preserve">that not only did not exist in international law at the time of the facts, but whose complete development </w:t>
      </w:r>
      <w:r w:rsidR="00865F49" w:rsidRPr="00012C3F">
        <w:rPr>
          <w:rFonts w:eastAsia="MS Mincho" w:cs="Arial"/>
          <w:sz w:val="20"/>
          <w:szCs w:val="20"/>
          <w:lang w:val="en-US" w:eastAsia="en-US" w:bidi="en-US"/>
        </w:rPr>
        <w:t>stems</w:t>
      </w:r>
      <w:r w:rsidRPr="00012C3F">
        <w:rPr>
          <w:rFonts w:eastAsia="MS Mincho" w:cs="Arial"/>
          <w:sz w:val="20"/>
          <w:szCs w:val="20"/>
          <w:lang w:val="en-US" w:eastAsia="en-US" w:bidi="en-US"/>
        </w:rPr>
        <w:t xml:space="preserve"> from instruments that are non-binding for the State. Furthermore, it indicated that I.V.’s consent was obtained in accordance with the standards that were in force at the time, which did not require, for example, that th</w:t>
      </w:r>
      <w:r w:rsidR="00865F49" w:rsidRPr="00012C3F">
        <w:rPr>
          <w:rFonts w:eastAsia="MS Mincho" w:cs="Arial"/>
          <w:sz w:val="20"/>
          <w:szCs w:val="20"/>
          <w:lang w:val="en-US" w:eastAsia="en-US" w:bidi="en-US"/>
        </w:rPr>
        <w:t>is was</w:t>
      </w:r>
      <w:r w:rsidRPr="00012C3F">
        <w:rPr>
          <w:rFonts w:eastAsia="MS Mincho" w:cs="Arial"/>
          <w:sz w:val="20"/>
          <w:szCs w:val="20"/>
          <w:lang w:val="en-US" w:eastAsia="en-US" w:bidi="en-US"/>
        </w:rPr>
        <w:t xml:space="preserve"> written or that the health personnel should inform the patient of alternative methods. It indicated that, even </w:t>
      </w:r>
      <w:r w:rsidR="00865F49" w:rsidRPr="00012C3F">
        <w:rPr>
          <w:rFonts w:eastAsia="MS Mincho" w:cs="Arial"/>
          <w:sz w:val="20"/>
          <w:szCs w:val="20"/>
          <w:lang w:val="en-US" w:eastAsia="en-US" w:bidi="en-US"/>
        </w:rPr>
        <w:t>based on</w:t>
      </w:r>
      <w:r w:rsidRPr="00012C3F">
        <w:rPr>
          <w:rFonts w:eastAsia="MS Mincho" w:cs="Arial"/>
          <w:sz w:val="20"/>
          <w:szCs w:val="20"/>
          <w:lang w:val="en-US" w:eastAsia="en-US" w:bidi="en-US"/>
        </w:rPr>
        <w:t xml:space="preserve"> the 1994 WHO document </w:t>
      </w:r>
      <w:r w:rsidR="004B2395" w:rsidRPr="00012C3F">
        <w:rPr>
          <w:rFonts w:eastAsia="MS Mincho"/>
          <w:sz w:val="20"/>
          <w:szCs w:val="20"/>
          <w:lang w:val="en-US" w:eastAsia="en-US" w:bidi="en-US"/>
        </w:rPr>
        <w:t>“</w:t>
      </w:r>
      <w:r w:rsidR="00BD3B0B" w:rsidRPr="00012C3F">
        <w:rPr>
          <w:rFonts w:eastAsia="MS Mincho"/>
          <w:sz w:val="20"/>
          <w:szCs w:val="20"/>
          <w:lang w:val="en-US" w:eastAsia="en-US" w:bidi="en-US"/>
        </w:rPr>
        <w:t>Female sterilization: a guide to provision of services</w:t>
      </w:r>
      <w:r w:rsidRPr="00012C3F">
        <w:rPr>
          <w:rFonts w:eastAsia="MS Mincho"/>
          <w:sz w:val="20"/>
          <w:szCs w:val="20"/>
          <w:lang w:val="en-US" w:eastAsia="en-US" w:bidi="en-US"/>
        </w:rPr>
        <w:t>,</w:t>
      </w:r>
      <w:r w:rsidR="004B2395" w:rsidRPr="00012C3F">
        <w:rPr>
          <w:rFonts w:eastAsia="MS Mincho"/>
          <w:sz w:val="20"/>
          <w:szCs w:val="20"/>
          <w:lang w:val="en-US" w:eastAsia="en-US" w:bidi="en-US"/>
        </w:rPr>
        <w:t>”</w:t>
      </w:r>
      <w:r w:rsidRPr="00012C3F">
        <w:rPr>
          <w:rFonts w:eastAsia="MS Mincho"/>
          <w:sz w:val="20"/>
          <w:szCs w:val="20"/>
          <w:lang w:val="en-US" w:eastAsia="en-US" w:bidi="en-US"/>
        </w:rPr>
        <w:t xml:space="preserve"> the standard</w:t>
      </w:r>
      <w:r w:rsidR="00865F49" w:rsidRPr="00012C3F">
        <w:rPr>
          <w:rFonts w:eastAsia="MS Mincho"/>
          <w:sz w:val="20"/>
          <w:szCs w:val="20"/>
          <w:lang w:val="en-US" w:eastAsia="en-US" w:bidi="en-US"/>
        </w:rPr>
        <w:t>, in 2000,</w:t>
      </w:r>
      <w:r w:rsidRPr="00012C3F">
        <w:rPr>
          <w:rFonts w:eastAsia="MS Mincho"/>
          <w:sz w:val="20"/>
          <w:szCs w:val="20"/>
          <w:lang w:val="en-US" w:eastAsia="en-US" w:bidi="en-US"/>
        </w:rPr>
        <w:t xml:space="preserve"> was that</w:t>
      </w:r>
      <w:r w:rsidR="00006405" w:rsidRPr="00012C3F">
        <w:rPr>
          <w:rFonts w:eastAsia="MS Mincho"/>
          <w:sz w:val="20"/>
          <w:szCs w:val="20"/>
          <w:lang w:val="en-US" w:eastAsia="en-US" w:bidi="en-US"/>
        </w:rPr>
        <w:t>,</w:t>
      </w:r>
      <w:r w:rsidRPr="00012C3F">
        <w:rPr>
          <w:rFonts w:eastAsia="MS Mincho"/>
          <w:sz w:val="20"/>
          <w:szCs w:val="20"/>
          <w:lang w:val="en-US" w:eastAsia="en-US" w:bidi="en-US"/>
        </w:rPr>
        <w:t xml:space="preserve"> in cases such as that of I.V., the doctor could perform sterilization even without the patient’s consent, although this was exceptional </w:t>
      </w:r>
      <w:r w:rsidR="00006405" w:rsidRPr="00012C3F">
        <w:rPr>
          <w:rFonts w:eastAsia="MS Mincho"/>
          <w:sz w:val="20"/>
          <w:szCs w:val="20"/>
          <w:lang w:val="en-US" w:eastAsia="en-US" w:bidi="en-US"/>
        </w:rPr>
        <w:t xml:space="preserve">and </w:t>
      </w:r>
      <w:r w:rsidRPr="00012C3F">
        <w:rPr>
          <w:rFonts w:eastAsia="MS Mincho"/>
          <w:sz w:val="20"/>
          <w:szCs w:val="20"/>
          <w:lang w:val="en-US" w:eastAsia="en-US" w:bidi="en-US"/>
        </w:rPr>
        <w:t xml:space="preserve">when the sterilization arose from a medical indication and there </w:t>
      </w:r>
      <w:r w:rsidR="00035A18" w:rsidRPr="00012C3F">
        <w:rPr>
          <w:rFonts w:eastAsia="MS Mincho"/>
          <w:sz w:val="20"/>
          <w:szCs w:val="20"/>
          <w:lang w:val="en-US" w:eastAsia="en-US" w:bidi="en-US"/>
        </w:rPr>
        <w:t>were</w:t>
      </w:r>
      <w:r w:rsidRPr="00012C3F">
        <w:rPr>
          <w:rFonts w:eastAsia="MS Mincho"/>
          <w:sz w:val="20"/>
          <w:szCs w:val="20"/>
          <w:lang w:val="en-US" w:eastAsia="en-US" w:bidi="en-US"/>
        </w:rPr>
        <w:t xml:space="preserve"> reasonable and non-arbitrary </w:t>
      </w:r>
      <w:r w:rsidR="00035A18" w:rsidRPr="00012C3F">
        <w:rPr>
          <w:rFonts w:eastAsia="MS Mincho"/>
          <w:sz w:val="20"/>
          <w:szCs w:val="20"/>
          <w:lang w:val="en-US" w:eastAsia="en-US" w:bidi="en-US"/>
        </w:rPr>
        <w:t xml:space="preserve">criteria </w:t>
      </w:r>
      <w:r w:rsidR="00035A18" w:rsidRPr="00012C3F">
        <w:rPr>
          <w:rFonts w:eastAsia="MS Mincho"/>
          <w:sz w:val="20"/>
          <w:szCs w:val="20"/>
          <w:lang w:val="en-US" w:eastAsia="en-US" w:bidi="en-US"/>
        </w:rPr>
        <w:lastRenderedPageBreak/>
        <w:t>that there was a high probability that a further pregnancy would have fatal consequences</w:t>
      </w:r>
      <w:r w:rsidR="0076681C" w:rsidRPr="00012C3F">
        <w:rPr>
          <w:rFonts w:eastAsia="MS Mincho"/>
          <w:sz w:val="20"/>
          <w:szCs w:val="20"/>
          <w:lang w:val="en-US" w:eastAsia="en-US" w:bidi="en-US"/>
        </w:rPr>
        <w:t>.</w:t>
      </w:r>
      <w:r w:rsidR="0076681C" w:rsidRPr="00012C3F">
        <w:rPr>
          <w:rFonts w:eastAsia="MS Mincho"/>
          <w:b/>
          <w:sz w:val="16"/>
          <w:szCs w:val="16"/>
          <w:lang w:val="en-US" w:eastAsia="en-US" w:bidi="en-US"/>
        </w:rPr>
        <w:t xml:space="preserve"> </w:t>
      </w:r>
      <w:r w:rsidR="00A84CA0" w:rsidRPr="00012C3F">
        <w:rPr>
          <w:rFonts w:eastAsia="MS Mincho"/>
          <w:sz w:val="20"/>
          <w:szCs w:val="20"/>
          <w:lang w:val="en-US" w:eastAsia="en-US" w:bidi="en-US"/>
        </w:rPr>
        <w:t>The State</w:t>
      </w:r>
      <w:r w:rsidR="004B2395" w:rsidRPr="00012C3F">
        <w:rPr>
          <w:rFonts w:eastAsia="MS Mincho"/>
          <w:sz w:val="20"/>
          <w:szCs w:val="20"/>
          <w:lang w:val="en-US" w:eastAsia="en-US" w:bidi="en-US"/>
        </w:rPr>
        <w:t xml:space="preserve"> argu</w:t>
      </w:r>
      <w:r w:rsidR="00035A18" w:rsidRPr="00012C3F">
        <w:rPr>
          <w:rFonts w:eastAsia="MS Mincho"/>
          <w:sz w:val="20"/>
          <w:szCs w:val="20"/>
          <w:lang w:val="en-US" w:eastAsia="en-US" w:bidi="en-US"/>
        </w:rPr>
        <w:t xml:space="preserve">ed that, even though the standards authorized the doctor to perform sterilization without </w:t>
      </w:r>
      <w:r w:rsidR="00006405" w:rsidRPr="00012C3F">
        <w:rPr>
          <w:rFonts w:eastAsia="MS Mincho"/>
          <w:sz w:val="20"/>
          <w:szCs w:val="20"/>
          <w:lang w:val="en-US" w:eastAsia="en-US" w:bidi="en-US"/>
        </w:rPr>
        <w:t>I.V.’s</w:t>
      </w:r>
      <w:r w:rsidR="00035A18" w:rsidRPr="00012C3F">
        <w:rPr>
          <w:rFonts w:eastAsia="MS Mincho"/>
          <w:sz w:val="20"/>
          <w:szCs w:val="20"/>
          <w:lang w:val="en-US" w:eastAsia="en-US" w:bidi="en-US"/>
        </w:rPr>
        <w:t xml:space="preserve"> consent, he had asked for this in a prior, free and informed manner. The State alleged that</w:t>
      </w:r>
      <w:r w:rsidR="00006405" w:rsidRPr="00012C3F">
        <w:rPr>
          <w:rFonts w:eastAsia="MS Mincho"/>
          <w:sz w:val="20"/>
          <w:szCs w:val="20"/>
          <w:lang w:val="en-US" w:eastAsia="en-US" w:bidi="en-US"/>
        </w:rPr>
        <w:t>, now,</w:t>
      </w:r>
      <w:r w:rsidR="00035A18" w:rsidRPr="00012C3F">
        <w:rPr>
          <w:rFonts w:eastAsia="MS Mincho"/>
          <w:sz w:val="20"/>
          <w:szCs w:val="20"/>
          <w:lang w:val="en-US" w:eastAsia="en-US" w:bidi="en-US"/>
        </w:rPr>
        <w:t xml:space="preserve"> it has various documents, including  the 2008 “Protocol to obtain </w:t>
      </w:r>
      <w:r w:rsidR="00AC0004" w:rsidRPr="00012C3F">
        <w:rPr>
          <w:rFonts w:eastAsia="MS Mincho"/>
          <w:sz w:val="20"/>
          <w:szCs w:val="20"/>
          <w:lang w:val="en-US" w:eastAsia="en-US" w:bidi="en-US"/>
        </w:rPr>
        <w:t>informed consent</w:t>
      </w:r>
      <w:r w:rsidR="00035A18" w:rsidRPr="00012C3F">
        <w:rPr>
          <w:rFonts w:eastAsia="MS Mincho"/>
          <w:sz w:val="20"/>
          <w:szCs w:val="20"/>
          <w:lang w:val="en-US" w:eastAsia="en-US" w:bidi="en-US"/>
        </w:rPr>
        <w:t>,</w:t>
      </w:r>
      <w:r w:rsidR="00CB635A" w:rsidRPr="00012C3F">
        <w:rPr>
          <w:rFonts w:eastAsia="MS Mincho"/>
          <w:sz w:val="20"/>
          <w:szCs w:val="20"/>
          <w:lang w:val="en-US" w:eastAsia="en-US" w:bidi="en-US"/>
        </w:rPr>
        <w:t>”</w:t>
      </w:r>
      <w:r w:rsidR="004B2395" w:rsidRPr="00012C3F">
        <w:rPr>
          <w:rFonts w:eastAsia="MS Mincho"/>
          <w:sz w:val="20"/>
          <w:szCs w:val="20"/>
          <w:lang w:val="en-US" w:eastAsia="en-US" w:bidi="en-US"/>
        </w:rPr>
        <w:t xml:space="preserve"> </w:t>
      </w:r>
      <w:r w:rsidR="00035A18" w:rsidRPr="00012C3F">
        <w:rPr>
          <w:rFonts w:eastAsia="MS Mincho"/>
          <w:sz w:val="20"/>
          <w:szCs w:val="20"/>
          <w:lang w:val="en-US" w:eastAsia="en-US" w:bidi="en-US"/>
        </w:rPr>
        <w:t xml:space="preserve">which have incorporated the </w:t>
      </w:r>
      <w:r w:rsidR="00006405" w:rsidRPr="00012C3F">
        <w:rPr>
          <w:rFonts w:eastAsia="MS Mincho"/>
          <w:sz w:val="20"/>
          <w:szCs w:val="20"/>
          <w:lang w:val="en-US" w:eastAsia="en-US" w:bidi="en-US"/>
        </w:rPr>
        <w:t xml:space="preserve">relevant </w:t>
      </w:r>
      <w:r w:rsidR="00035A18" w:rsidRPr="00012C3F">
        <w:rPr>
          <w:rFonts w:eastAsia="MS Mincho"/>
          <w:sz w:val="20"/>
          <w:szCs w:val="20"/>
          <w:lang w:val="en-US" w:eastAsia="en-US" w:bidi="en-US"/>
        </w:rPr>
        <w:t>standards of international law, as it has evolved over the years.</w:t>
      </w:r>
    </w:p>
    <w:p w14:paraId="3A188773" w14:textId="77777777" w:rsidR="004B2395" w:rsidRPr="00012C3F" w:rsidRDefault="004B2395" w:rsidP="004B2395">
      <w:pPr>
        <w:widowControl/>
        <w:autoSpaceDE w:val="0"/>
        <w:autoSpaceDN w:val="0"/>
        <w:spacing w:line="240" w:lineRule="auto"/>
        <w:ind w:left="851"/>
        <w:textAlignment w:val="auto"/>
        <w:outlineLvl w:val="2"/>
        <w:rPr>
          <w:rFonts w:eastAsia="Calibri" w:cs="Arial"/>
          <w:i/>
          <w:sz w:val="20"/>
          <w:szCs w:val="20"/>
          <w:lang w:val="en-US" w:eastAsia="en-US"/>
        </w:rPr>
      </w:pPr>
    </w:p>
    <w:p w14:paraId="5A112689" w14:textId="77777777" w:rsidR="004B2395" w:rsidRPr="00012C3F" w:rsidRDefault="004B2395" w:rsidP="001F033C">
      <w:pPr>
        <w:pStyle w:val="Ttulo3"/>
        <w:tabs>
          <w:tab w:val="left" w:pos="2552"/>
        </w:tabs>
        <w:ind w:left="1701"/>
        <w:rPr>
          <w:rFonts w:eastAsia="MS Mincho" w:cs="Arial"/>
          <w:b w:val="0"/>
          <w:i/>
          <w:spacing w:val="0"/>
          <w:lang w:val="en-US" w:eastAsia="en-US"/>
        </w:rPr>
      </w:pPr>
      <w:bookmarkStart w:id="119" w:name="_Toc445290344"/>
      <w:bookmarkStart w:id="120" w:name="_Toc27486856"/>
      <w:r w:rsidRPr="00012C3F">
        <w:rPr>
          <w:rFonts w:eastAsia="MS Mincho" w:cs="Arial"/>
          <w:b w:val="0"/>
          <w:i/>
          <w:spacing w:val="0"/>
          <w:lang w:val="en-US" w:eastAsia="en-US"/>
        </w:rPr>
        <w:t xml:space="preserve">A.2.b </w:t>
      </w:r>
      <w:r w:rsidR="001F033C" w:rsidRPr="00012C3F">
        <w:rPr>
          <w:rFonts w:eastAsia="MS Mincho" w:cs="Arial"/>
          <w:b w:val="0"/>
          <w:i/>
          <w:spacing w:val="0"/>
          <w:lang w:val="en-US" w:eastAsia="en-US"/>
        </w:rPr>
        <w:tab/>
      </w:r>
      <w:r w:rsidR="006C705C" w:rsidRPr="00012C3F">
        <w:rPr>
          <w:rFonts w:eastAsia="MS Mincho" w:cs="Arial"/>
          <w:b w:val="0"/>
          <w:i/>
          <w:spacing w:val="0"/>
          <w:lang w:val="en-US" w:eastAsia="en-US"/>
        </w:rPr>
        <w:t>The right to know the truth</w:t>
      </w:r>
      <w:bookmarkEnd w:id="119"/>
      <w:bookmarkEnd w:id="120"/>
    </w:p>
    <w:p w14:paraId="5F0034DA" w14:textId="77777777" w:rsidR="004B2395" w:rsidRPr="00012C3F" w:rsidRDefault="004B2395" w:rsidP="004B2395">
      <w:pPr>
        <w:widowControl/>
        <w:autoSpaceDE w:val="0"/>
        <w:autoSpaceDN w:val="0"/>
        <w:spacing w:line="240" w:lineRule="auto"/>
        <w:textAlignment w:val="auto"/>
        <w:rPr>
          <w:rFonts w:eastAsia="Calibri" w:cs="Arial"/>
          <w:sz w:val="20"/>
          <w:szCs w:val="20"/>
          <w:lang w:val="en-US" w:eastAsia="en-US"/>
        </w:rPr>
      </w:pPr>
    </w:p>
    <w:p w14:paraId="25F87C4B" w14:textId="77777777" w:rsidR="004B2395" w:rsidRPr="00012C3F" w:rsidRDefault="00972ACF" w:rsidP="00DF3B7C">
      <w:pPr>
        <w:numPr>
          <w:ilvl w:val="0"/>
          <w:numId w:val="5"/>
        </w:numPr>
        <w:tabs>
          <w:tab w:val="left" w:pos="720"/>
          <w:tab w:val="num" w:pos="12305"/>
        </w:tabs>
        <w:spacing w:line="240" w:lineRule="auto"/>
        <w:ind w:left="0" w:firstLine="0"/>
        <w:rPr>
          <w:rFonts w:eastAsia="Calibri" w:cs="Arial"/>
          <w:b/>
          <w:sz w:val="16"/>
          <w:szCs w:val="20"/>
          <w:lang w:val="en-US" w:eastAsia="en-US"/>
        </w:rPr>
      </w:pPr>
      <w:r w:rsidRPr="00012C3F">
        <w:rPr>
          <w:rFonts w:eastAsia="Batang"/>
          <w:sz w:val="20"/>
          <w:lang w:val="en-US"/>
        </w:rPr>
        <w:t xml:space="preserve">The </w:t>
      </w:r>
      <w:r w:rsidRPr="00012C3F">
        <w:rPr>
          <w:rFonts w:eastAsia="Batang"/>
          <w:b/>
          <w:bCs/>
          <w:i/>
          <w:iCs/>
          <w:sz w:val="20"/>
          <w:lang w:val="en-US"/>
        </w:rPr>
        <w:t>representative</w:t>
      </w:r>
      <w:r w:rsidR="004B2395" w:rsidRPr="00012C3F">
        <w:rPr>
          <w:rFonts w:eastAsia="Calibri" w:cs="Arial"/>
          <w:b/>
          <w:sz w:val="20"/>
          <w:szCs w:val="20"/>
          <w:lang w:val="en-US" w:eastAsia="en-US"/>
        </w:rPr>
        <w:t xml:space="preserve"> </w:t>
      </w:r>
      <w:r w:rsidR="00035A18" w:rsidRPr="00012C3F">
        <w:rPr>
          <w:rFonts w:eastAsia="Calibri" w:cs="Arial"/>
          <w:sz w:val="20"/>
          <w:szCs w:val="20"/>
          <w:lang w:val="en-US" w:eastAsia="en-US"/>
        </w:rPr>
        <w:t>asserted that the State’s assertions that seek to show that I.V. was consulted in the peri-operati</w:t>
      </w:r>
      <w:r w:rsidR="00F45F54" w:rsidRPr="00012C3F">
        <w:rPr>
          <w:rFonts w:eastAsia="Calibri" w:cs="Arial"/>
          <w:sz w:val="20"/>
          <w:szCs w:val="20"/>
          <w:lang w:val="en-US" w:eastAsia="en-US"/>
        </w:rPr>
        <w:t>ve</w:t>
      </w:r>
      <w:r w:rsidR="00035A18" w:rsidRPr="00012C3F">
        <w:rPr>
          <w:rFonts w:eastAsia="Calibri" w:cs="Arial"/>
          <w:sz w:val="20"/>
          <w:szCs w:val="20"/>
          <w:lang w:val="en-US" w:eastAsia="en-US"/>
        </w:rPr>
        <w:t xml:space="preserve"> period and that, in July 2000, the prior, written, free and informed consent of the patient who was going to be subjected to a tubal ligation was not required, </w:t>
      </w:r>
      <w:r w:rsidR="00F45F54" w:rsidRPr="00012C3F">
        <w:rPr>
          <w:rFonts w:eastAsia="Calibri" w:cs="Arial"/>
          <w:sz w:val="20"/>
          <w:szCs w:val="20"/>
          <w:lang w:val="en-US" w:eastAsia="en-US"/>
        </w:rPr>
        <w:t>we</w:t>
      </w:r>
      <w:r w:rsidR="00035A18" w:rsidRPr="00012C3F">
        <w:rPr>
          <w:rFonts w:eastAsia="Calibri" w:cs="Arial"/>
          <w:sz w:val="20"/>
          <w:szCs w:val="20"/>
          <w:lang w:val="en-US" w:eastAsia="en-US"/>
        </w:rPr>
        <w:t xml:space="preserve">re erroneous. </w:t>
      </w:r>
      <w:r w:rsidR="00F45F54" w:rsidRPr="00012C3F">
        <w:rPr>
          <w:rFonts w:eastAsia="Calibri" w:cs="Arial"/>
          <w:sz w:val="20"/>
          <w:szCs w:val="20"/>
          <w:lang w:val="en-US" w:eastAsia="en-US"/>
        </w:rPr>
        <w:t>She</w:t>
      </w:r>
      <w:r w:rsidR="00035A18" w:rsidRPr="00012C3F">
        <w:rPr>
          <w:rFonts w:eastAsia="Calibri" w:cs="Arial"/>
          <w:sz w:val="20"/>
          <w:szCs w:val="20"/>
          <w:lang w:val="en-US" w:eastAsia="en-US"/>
        </w:rPr>
        <w:t xml:space="preserve"> </w:t>
      </w:r>
      <w:r w:rsidR="00F45F54" w:rsidRPr="00012C3F">
        <w:rPr>
          <w:rFonts w:eastAsia="Calibri" w:cs="Arial"/>
          <w:sz w:val="20"/>
          <w:szCs w:val="20"/>
          <w:lang w:val="en-US" w:eastAsia="en-US"/>
        </w:rPr>
        <w:t>argued</w:t>
      </w:r>
      <w:r w:rsidR="00035A18" w:rsidRPr="00012C3F">
        <w:rPr>
          <w:rFonts w:eastAsia="Calibri" w:cs="Arial"/>
          <w:sz w:val="20"/>
          <w:szCs w:val="20"/>
          <w:lang w:val="en-US" w:eastAsia="en-US"/>
        </w:rPr>
        <w:t xml:space="preserve"> that th</w:t>
      </w:r>
      <w:r w:rsidR="00F45F54" w:rsidRPr="00012C3F">
        <w:rPr>
          <w:rFonts w:eastAsia="Calibri" w:cs="Arial"/>
          <w:sz w:val="20"/>
          <w:szCs w:val="20"/>
          <w:lang w:val="en-US" w:eastAsia="en-US"/>
        </w:rPr>
        <w:t>o</w:t>
      </w:r>
      <w:r w:rsidR="00035A18" w:rsidRPr="00012C3F">
        <w:rPr>
          <w:rFonts w:eastAsia="Calibri" w:cs="Arial"/>
          <w:sz w:val="20"/>
          <w:szCs w:val="20"/>
          <w:lang w:val="en-US" w:eastAsia="en-US"/>
        </w:rPr>
        <w:t xml:space="preserve">se assertions “are inexact, to say the least, [and are] not in keeping with the truth, or the ‘right to the truth’ to which I.V. is entitled.” </w:t>
      </w:r>
      <w:r w:rsidR="00F45F54" w:rsidRPr="00012C3F">
        <w:rPr>
          <w:rFonts w:eastAsia="Calibri" w:cs="Arial"/>
          <w:sz w:val="20"/>
          <w:szCs w:val="20"/>
          <w:lang w:val="en-US" w:eastAsia="en-US"/>
        </w:rPr>
        <w:t>She also</w:t>
      </w:r>
      <w:r w:rsidR="004B2395" w:rsidRPr="00012C3F">
        <w:rPr>
          <w:rFonts w:eastAsia="Calibri" w:cs="Arial"/>
          <w:sz w:val="20"/>
          <w:szCs w:val="20"/>
          <w:lang w:val="en-US" w:eastAsia="en-US"/>
        </w:rPr>
        <w:t xml:space="preserve"> </w:t>
      </w:r>
      <w:r w:rsidR="00035A18" w:rsidRPr="00012C3F">
        <w:rPr>
          <w:rFonts w:eastAsia="Calibri" w:cs="Arial"/>
          <w:sz w:val="20"/>
          <w:szCs w:val="20"/>
          <w:lang w:val="en-US" w:eastAsia="en-US"/>
        </w:rPr>
        <w:t>indicated that</w:t>
      </w:r>
      <w:r w:rsidR="004B2395" w:rsidRPr="00012C3F">
        <w:rPr>
          <w:rFonts w:eastAsia="Calibri" w:cs="Arial"/>
          <w:sz w:val="20"/>
          <w:szCs w:val="20"/>
          <w:lang w:val="en-US" w:eastAsia="en-US"/>
        </w:rPr>
        <w:t xml:space="preserve"> </w:t>
      </w:r>
      <w:r w:rsidR="000E1C11" w:rsidRPr="00012C3F">
        <w:rPr>
          <w:rFonts w:eastAsia="Calibri" w:cs="Arial"/>
          <w:sz w:val="20"/>
          <w:szCs w:val="20"/>
          <w:lang w:val="en-US" w:eastAsia="en-US"/>
        </w:rPr>
        <w:t>I.V.</w:t>
      </w:r>
      <w:r w:rsidR="004B2395" w:rsidRPr="00012C3F">
        <w:rPr>
          <w:rFonts w:eastAsia="Calibri" w:cs="Arial"/>
          <w:sz w:val="20"/>
          <w:szCs w:val="20"/>
          <w:lang w:val="en-US" w:eastAsia="en-US"/>
        </w:rPr>
        <w:t xml:space="preserve"> </w:t>
      </w:r>
      <w:r w:rsidR="00035A18" w:rsidRPr="00012C3F">
        <w:rPr>
          <w:rFonts w:eastAsia="Calibri" w:cs="Arial"/>
          <w:sz w:val="20"/>
          <w:szCs w:val="20"/>
          <w:lang w:val="en-US" w:eastAsia="en-US"/>
        </w:rPr>
        <w:t>hope</w:t>
      </w:r>
      <w:r w:rsidR="00F45F54" w:rsidRPr="00012C3F">
        <w:rPr>
          <w:rFonts w:eastAsia="Calibri" w:cs="Arial"/>
          <w:sz w:val="20"/>
          <w:szCs w:val="20"/>
          <w:lang w:val="en-US" w:eastAsia="en-US"/>
        </w:rPr>
        <w:t>d</w:t>
      </w:r>
      <w:r w:rsidR="00035A18" w:rsidRPr="00012C3F">
        <w:rPr>
          <w:rFonts w:eastAsia="Calibri" w:cs="Arial"/>
          <w:sz w:val="20"/>
          <w:szCs w:val="20"/>
          <w:lang w:val="en-US" w:eastAsia="en-US"/>
        </w:rPr>
        <w:t xml:space="preserve"> that, through its jurisdiction, the Court w</w:t>
      </w:r>
      <w:r w:rsidR="00F45F54" w:rsidRPr="00012C3F">
        <w:rPr>
          <w:rFonts w:eastAsia="Calibri" w:cs="Arial"/>
          <w:sz w:val="20"/>
          <w:szCs w:val="20"/>
          <w:lang w:val="en-US" w:eastAsia="en-US"/>
        </w:rPr>
        <w:t>ould</w:t>
      </w:r>
      <w:r w:rsidR="00035A18" w:rsidRPr="00012C3F">
        <w:rPr>
          <w:rFonts w:eastAsia="Calibri" w:cs="Arial"/>
          <w:sz w:val="20"/>
          <w:szCs w:val="20"/>
          <w:lang w:val="en-US" w:eastAsia="en-US"/>
        </w:rPr>
        <w:t xml:space="preserve"> allow the comprehensive, complete and public truth to be known about the specific circumstances </w:t>
      </w:r>
      <w:r w:rsidR="00F45F54" w:rsidRPr="00012C3F">
        <w:rPr>
          <w:rFonts w:eastAsia="Calibri" w:cs="Arial"/>
          <w:sz w:val="20"/>
          <w:szCs w:val="20"/>
          <w:lang w:val="en-US" w:eastAsia="en-US"/>
        </w:rPr>
        <w:t>of the</w:t>
      </w:r>
      <w:r w:rsidR="00035A18" w:rsidRPr="00012C3F">
        <w:rPr>
          <w:rFonts w:eastAsia="Calibri" w:cs="Arial"/>
          <w:sz w:val="20"/>
          <w:szCs w:val="20"/>
          <w:lang w:val="en-US" w:eastAsia="en-US"/>
        </w:rPr>
        <w:t xml:space="preserve"> facts </w:t>
      </w:r>
      <w:r w:rsidR="00F45F54" w:rsidRPr="00012C3F">
        <w:rPr>
          <w:rFonts w:eastAsia="Calibri" w:cs="Arial"/>
          <w:sz w:val="20"/>
          <w:szCs w:val="20"/>
          <w:lang w:val="en-US" w:eastAsia="en-US"/>
        </w:rPr>
        <w:t>that</w:t>
      </w:r>
      <w:r w:rsidR="00035A18" w:rsidRPr="00012C3F">
        <w:rPr>
          <w:rFonts w:eastAsia="Calibri" w:cs="Arial"/>
          <w:sz w:val="20"/>
          <w:szCs w:val="20"/>
          <w:lang w:val="en-US" w:eastAsia="en-US"/>
        </w:rPr>
        <w:t xml:space="preserve"> occurred on</w:t>
      </w:r>
      <w:r w:rsidR="004B2395" w:rsidRPr="00012C3F">
        <w:rPr>
          <w:rFonts w:eastAsia="Calibri" w:cs="Arial"/>
          <w:sz w:val="20"/>
          <w:szCs w:val="20"/>
          <w:lang w:val="en-US" w:eastAsia="en-US"/>
        </w:rPr>
        <w:t xml:space="preserve"> </w:t>
      </w:r>
      <w:r w:rsidR="00566357" w:rsidRPr="00012C3F">
        <w:rPr>
          <w:rFonts w:eastAsia="Calibri" w:cs="Arial"/>
          <w:sz w:val="20"/>
          <w:szCs w:val="20"/>
          <w:lang w:val="en-US" w:eastAsia="en-US"/>
        </w:rPr>
        <w:t>July 1,</w:t>
      </w:r>
      <w:r w:rsidR="004B2395" w:rsidRPr="00012C3F">
        <w:rPr>
          <w:rFonts w:eastAsia="Calibri" w:cs="Arial"/>
          <w:sz w:val="20"/>
          <w:szCs w:val="20"/>
          <w:lang w:val="en-US" w:eastAsia="en-US"/>
        </w:rPr>
        <w:t xml:space="preserve"> 2000</w:t>
      </w:r>
      <w:r w:rsidR="00DD2A3F" w:rsidRPr="00012C3F">
        <w:rPr>
          <w:rFonts w:eastAsia="Calibri" w:cs="Arial"/>
          <w:sz w:val="20"/>
          <w:szCs w:val="20"/>
          <w:lang w:val="en-US" w:eastAsia="en-US"/>
        </w:rPr>
        <w:t>.</w:t>
      </w:r>
    </w:p>
    <w:p w14:paraId="48C50EB4" w14:textId="77777777" w:rsidR="004B2395" w:rsidRPr="00012C3F" w:rsidRDefault="004B2395" w:rsidP="004B2395">
      <w:pPr>
        <w:widowControl/>
        <w:tabs>
          <w:tab w:val="left" w:pos="720"/>
        </w:tabs>
        <w:adjustRightInd/>
        <w:spacing w:line="240" w:lineRule="auto"/>
        <w:ind w:right="-90"/>
        <w:textAlignment w:val="auto"/>
        <w:rPr>
          <w:rFonts w:eastAsia="MS Mincho"/>
          <w:sz w:val="20"/>
          <w:szCs w:val="20"/>
          <w:lang w:val="en-US" w:eastAsia="en-US" w:bidi="en-US"/>
        </w:rPr>
      </w:pPr>
    </w:p>
    <w:p w14:paraId="4AD1F7D7" w14:textId="77777777" w:rsidR="004B2395" w:rsidRPr="00012C3F" w:rsidRDefault="00BD056C" w:rsidP="00DF3B7C">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Commission</w:t>
      </w:r>
      <w:r w:rsidR="005E5012" w:rsidRPr="00012C3F">
        <w:rPr>
          <w:rFonts w:eastAsia="MS Mincho" w:cs="Arial"/>
          <w:b/>
          <w:bCs/>
          <w:i/>
          <w:iCs/>
          <w:sz w:val="20"/>
          <w:szCs w:val="20"/>
          <w:lang w:val="en-US" w:eastAsia="en-US" w:bidi="en-US"/>
        </w:rPr>
        <w:t xml:space="preserve"> </w:t>
      </w:r>
      <w:r w:rsidR="005E5012" w:rsidRPr="00012C3F">
        <w:rPr>
          <w:rFonts w:eastAsia="MS Mincho" w:cs="Arial"/>
          <w:sz w:val="20"/>
          <w:szCs w:val="20"/>
          <w:lang w:val="en-US" w:eastAsia="en-US" w:bidi="en-US"/>
        </w:rPr>
        <w:t xml:space="preserve">and </w:t>
      </w:r>
      <w:r w:rsidR="00A84CA0" w:rsidRPr="00012C3F">
        <w:rPr>
          <w:rFonts w:eastAsia="MS Mincho" w:cs="Arial"/>
          <w:sz w:val="20"/>
          <w:szCs w:val="20"/>
          <w:lang w:val="en-US" w:eastAsia="en-US" w:bidi="en-US"/>
        </w:rPr>
        <w:t>the</w:t>
      </w:r>
      <w:r w:rsidR="00A84CA0" w:rsidRPr="00012C3F">
        <w:rPr>
          <w:rFonts w:eastAsia="MS Mincho" w:cs="Arial"/>
          <w:b/>
          <w:bCs/>
          <w:i/>
          <w:iCs/>
          <w:sz w:val="20"/>
          <w:szCs w:val="20"/>
          <w:lang w:val="en-US" w:eastAsia="en-US" w:bidi="en-US"/>
        </w:rPr>
        <w:t xml:space="preserve"> State</w:t>
      </w:r>
      <w:r w:rsidR="004B2395" w:rsidRPr="00012C3F">
        <w:rPr>
          <w:rFonts w:eastAsia="MS Mincho" w:cs="Arial"/>
          <w:sz w:val="20"/>
          <w:szCs w:val="20"/>
          <w:lang w:val="en-US" w:eastAsia="en-US" w:bidi="en-US"/>
        </w:rPr>
        <w:t xml:space="preserve"> </w:t>
      </w:r>
      <w:r w:rsidR="00035A18" w:rsidRPr="00012C3F">
        <w:rPr>
          <w:rFonts w:eastAsia="MS Mincho" w:cs="Arial"/>
          <w:sz w:val="20"/>
          <w:szCs w:val="20"/>
          <w:lang w:val="en-US" w:eastAsia="en-US" w:bidi="en-US"/>
        </w:rPr>
        <w:t>made no express mention of this point</w:t>
      </w:r>
      <w:r w:rsidR="004B2395" w:rsidRPr="00012C3F">
        <w:rPr>
          <w:rFonts w:eastAsia="MS Mincho" w:cs="Arial"/>
          <w:sz w:val="20"/>
          <w:szCs w:val="20"/>
          <w:lang w:val="en-US" w:eastAsia="en-US" w:bidi="en-US"/>
        </w:rPr>
        <w:t>.</w:t>
      </w:r>
    </w:p>
    <w:p w14:paraId="741DD4E2" w14:textId="77777777" w:rsidR="004B2395" w:rsidRPr="00012C3F" w:rsidRDefault="004B2395" w:rsidP="004B2395">
      <w:pPr>
        <w:widowControl/>
        <w:autoSpaceDE w:val="0"/>
        <w:autoSpaceDN w:val="0"/>
        <w:spacing w:line="240" w:lineRule="auto"/>
        <w:textAlignment w:val="auto"/>
        <w:rPr>
          <w:rFonts w:eastAsia="Calibri" w:cs="Arial"/>
          <w:sz w:val="20"/>
          <w:szCs w:val="20"/>
          <w:lang w:val="en-US" w:eastAsia="en-US"/>
        </w:rPr>
      </w:pPr>
    </w:p>
    <w:p w14:paraId="377CE3E1" w14:textId="77777777" w:rsidR="004B2395" w:rsidRPr="00012C3F" w:rsidRDefault="004B2395" w:rsidP="0039676A">
      <w:pPr>
        <w:pStyle w:val="Ttulo2"/>
        <w:tabs>
          <w:tab w:val="left" w:pos="1701"/>
        </w:tabs>
        <w:spacing w:before="0" w:line="240" w:lineRule="auto"/>
        <w:ind w:left="1134"/>
        <w:rPr>
          <w:rFonts w:ascii="Verdana" w:hAnsi="Verdana"/>
          <w:b w:val="0"/>
          <w:i/>
          <w:color w:val="auto"/>
          <w:sz w:val="20"/>
          <w:szCs w:val="20"/>
          <w:lang w:val="en-US"/>
        </w:rPr>
      </w:pPr>
      <w:bookmarkStart w:id="121" w:name="_Toc445290345"/>
      <w:bookmarkStart w:id="122" w:name="_Toc27486857"/>
      <w:r w:rsidRPr="00012C3F">
        <w:rPr>
          <w:rFonts w:ascii="Verdana" w:hAnsi="Verdana"/>
          <w:b w:val="0"/>
          <w:i/>
          <w:color w:val="auto"/>
          <w:sz w:val="20"/>
          <w:szCs w:val="20"/>
          <w:lang w:val="en-US"/>
        </w:rPr>
        <w:t xml:space="preserve">A.3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 rights</w:t>
      </w:r>
      <w:r w:rsidR="002108C0"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 xml:space="preserve">to dignity, </w:t>
      </w:r>
      <w:r w:rsidR="00DF3B7C" w:rsidRPr="00012C3F">
        <w:rPr>
          <w:rFonts w:ascii="Verdana" w:hAnsi="Verdana"/>
          <w:b w:val="0"/>
          <w:i/>
          <w:color w:val="auto"/>
          <w:sz w:val="20"/>
          <w:szCs w:val="20"/>
          <w:lang w:val="en-US"/>
        </w:rPr>
        <w:t>to private and family life, and</w:t>
      </w:r>
      <w:r w:rsidR="006C705C" w:rsidRPr="00012C3F">
        <w:rPr>
          <w:rFonts w:ascii="Verdana" w:hAnsi="Verdana"/>
          <w:b w:val="0"/>
          <w:i/>
          <w:color w:val="auto"/>
          <w:sz w:val="20"/>
          <w:szCs w:val="20"/>
          <w:lang w:val="en-US"/>
        </w:rPr>
        <w:t xml:space="preserve"> </w:t>
      </w:r>
      <w:r w:rsidR="00EF483B" w:rsidRPr="00012C3F">
        <w:rPr>
          <w:rFonts w:ascii="Verdana" w:hAnsi="Verdana"/>
          <w:b w:val="0"/>
          <w:i/>
          <w:color w:val="auto"/>
          <w:sz w:val="20"/>
          <w:szCs w:val="20"/>
          <w:lang w:val="en-US"/>
        </w:rPr>
        <w:t xml:space="preserve">to </w:t>
      </w:r>
      <w:r w:rsidR="00F45F54" w:rsidRPr="00012C3F">
        <w:rPr>
          <w:rFonts w:ascii="Verdana" w:hAnsi="Verdana"/>
          <w:b w:val="0"/>
          <w:i/>
          <w:color w:val="auto"/>
          <w:sz w:val="20"/>
          <w:szCs w:val="20"/>
          <w:lang w:val="en-US"/>
        </w:rPr>
        <w:t>raise</w:t>
      </w:r>
      <w:r w:rsidR="00EF483B" w:rsidRPr="00012C3F">
        <w:rPr>
          <w:rFonts w:ascii="Verdana" w:hAnsi="Verdana"/>
          <w:b w:val="0"/>
          <w:i/>
          <w:color w:val="auto"/>
          <w:sz w:val="20"/>
          <w:szCs w:val="20"/>
          <w:lang w:val="en-US"/>
        </w:rPr>
        <w:t xml:space="preserve"> a family</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Pr="00012C3F">
        <w:rPr>
          <w:rFonts w:ascii="Verdana" w:hAnsi="Verdana"/>
          <w:b w:val="0"/>
          <w:i/>
          <w:color w:val="auto"/>
          <w:sz w:val="20"/>
          <w:szCs w:val="20"/>
          <w:lang w:val="en-US"/>
        </w:rPr>
        <w:t>s 1</w:t>
      </w:r>
      <w:r w:rsidR="005E5012" w:rsidRPr="00012C3F">
        <w:rPr>
          <w:rFonts w:ascii="Verdana" w:hAnsi="Verdana"/>
          <w:b w:val="0"/>
          <w:i/>
          <w:color w:val="auto"/>
          <w:sz w:val="20"/>
          <w:szCs w:val="20"/>
          <w:lang w:val="en-US"/>
        </w:rPr>
        <w:t>1(1)</w:t>
      </w:r>
      <w:r w:rsidR="00C470A3" w:rsidRPr="00012C3F">
        <w:rPr>
          <w:rFonts w:ascii="Verdana" w:hAnsi="Verdana"/>
          <w:b w:val="0"/>
          <w:i/>
          <w:color w:val="auto"/>
          <w:sz w:val="20"/>
          <w:szCs w:val="20"/>
          <w:lang w:val="en-US"/>
        </w:rPr>
        <w:t>,</w:t>
      </w:r>
      <w:r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11(2) and 17(2)</w:t>
      </w:r>
      <w:r w:rsidR="001254DE" w:rsidRPr="00012C3F">
        <w:rPr>
          <w:rFonts w:ascii="Verdana" w:hAnsi="Verdana"/>
          <w:b w:val="0"/>
          <w:i/>
          <w:color w:val="auto"/>
          <w:sz w:val="20"/>
          <w:szCs w:val="20"/>
          <w:lang w:val="en-US"/>
        </w:rPr>
        <w:t xml:space="preserve"> of the American Convention</w:t>
      </w:r>
      <w:r w:rsidRPr="00012C3F">
        <w:rPr>
          <w:rFonts w:ascii="Verdana" w:hAnsi="Verdana"/>
          <w:b w:val="0"/>
          <w:i/>
          <w:color w:val="auto"/>
          <w:sz w:val="20"/>
          <w:szCs w:val="20"/>
          <w:lang w:val="en-US"/>
        </w:rPr>
        <w:t>)</w:t>
      </w:r>
      <w:bookmarkEnd w:id="121"/>
      <w:bookmarkEnd w:id="122"/>
    </w:p>
    <w:p w14:paraId="4D3EF94B" w14:textId="77777777" w:rsidR="004B2395" w:rsidRPr="00012C3F" w:rsidRDefault="004B2395" w:rsidP="004B2395">
      <w:pPr>
        <w:widowControl/>
        <w:autoSpaceDE w:val="0"/>
        <w:autoSpaceDN w:val="0"/>
        <w:spacing w:line="240" w:lineRule="auto"/>
        <w:textAlignment w:val="auto"/>
        <w:outlineLvl w:val="2"/>
        <w:rPr>
          <w:rFonts w:eastAsia="Calibri" w:cs="Arial"/>
          <w:i/>
          <w:sz w:val="20"/>
          <w:szCs w:val="20"/>
          <w:lang w:val="en-US" w:eastAsia="en-US"/>
        </w:rPr>
      </w:pPr>
    </w:p>
    <w:p w14:paraId="03EE81D3" w14:textId="77777777" w:rsidR="004B2395" w:rsidRPr="00012C3F" w:rsidRDefault="00BD056C" w:rsidP="0081491F">
      <w:pPr>
        <w:numPr>
          <w:ilvl w:val="0"/>
          <w:numId w:val="5"/>
        </w:numPr>
        <w:tabs>
          <w:tab w:val="left" w:pos="720"/>
          <w:tab w:val="left" w:pos="81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The</w:t>
      </w:r>
      <w:r w:rsidRPr="00012C3F">
        <w:rPr>
          <w:rFonts w:eastAsia="MS Mincho" w:cs="Arial"/>
          <w:b/>
          <w:bCs/>
          <w:i/>
          <w:iCs/>
          <w:sz w:val="20"/>
          <w:szCs w:val="20"/>
          <w:lang w:val="en-US" w:eastAsia="en-US" w:bidi="en-US"/>
        </w:rPr>
        <w:t xml:space="preserve"> Commission</w:t>
      </w:r>
      <w:r w:rsidR="004B2395" w:rsidRPr="00012C3F">
        <w:rPr>
          <w:rFonts w:eastAsia="MS Mincho" w:cs="Arial"/>
          <w:sz w:val="20"/>
          <w:szCs w:val="20"/>
          <w:lang w:val="en-US" w:eastAsia="en-US" w:bidi="en-US"/>
        </w:rPr>
        <w:t xml:space="preserve"> indic</w:t>
      </w:r>
      <w:r w:rsidR="00DF3B7C" w:rsidRPr="00012C3F">
        <w:rPr>
          <w:rFonts w:eastAsia="MS Mincho" w:cs="Arial"/>
          <w:sz w:val="20"/>
          <w:szCs w:val="20"/>
          <w:lang w:val="en-US" w:eastAsia="en-US" w:bidi="en-US"/>
        </w:rPr>
        <w:t xml:space="preserve">ated that the sterilization of </w:t>
      </w:r>
      <w:r w:rsidR="000E1C11" w:rsidRPr="00012C3F">
        <w:rPr>
          <w:rFonts w:eastAsia="MS Mincho" w:cs="Arial"/>
          <w:sz w:val="20"/>
          <w:szCs w:val="20"/>
          <w:lang w:val="en-US" w:eastAsia="en-US" w:bidi="en-US"/>
        </w:rPr>
        <w:t>I.V.</w:t>
      </w:r>
      <w:r w:rsidR="00DF3B7C" w:rsidRPr="00012C3F">
        <w:rPr>
          <w:rFonts w:eastAsia="MS Mincho" w:cs="Arial"/>
          <w:sz w:val="20"/>
          <w:szCs w:val="20"/>
          <w:lang w:val="en-US" w:eastAsia="en-US" w:bidi="en-US"/>
        </w:rPr>
        <w:t xml:space="preserve"> was performed in an arbitrary manner and without </w:t>
      </w:r>
      <w:r w:rsidR="00AC0004" w:rsidRPr="00012C3F">
        <w:rPr>
          <w:rFonts w:eastAsia="MS Mincho" w:cs="Arial"/>
          <w:sz w:val="20"/>
          <w:szCs w:val="20"/>
          <w:lang w:val="en-US" w:eastAsia="en-US" w:bidi="en-US"/>
        </w:rPr>
        <w:t>informed consent</w:t>
      </w:r>
      <w:r w:rsidR="004B2395" w:rsidRPr="00012C3F">
        <w:rPr>
          <w:rFonts w:eastAsia="MS Mincho" w:cs="Arial"/>
          <w:sz w:val="20"/>
          <w:szCs w:val="20"/>
          <w:lang w:val="en-US" w:eastAsia="en-US" w:bidi="en-US"/>
        </w:rPr>
        <w:t xml:space="preserve">, </w:t>
      </w:r>
      <w:r w:rsidR="00DF3B7C" w:rsidRPr="00012C3F">
        <w:rPr>
          <w:rFonts w:eastAsia="MS Mincho" w:cs="Arial"/>
          <w:sz w:val="20"/>
          <w:szCs w:val="20"/>
          <w:lang w:val="en-US" w:eastAsia="en-US" w:bidi="en-US"/>
        </w:rPr>
        <w:t xml:space="preserve">even though there was no immediate risk to her life or health, which would only have been affected if she became pregnant in the future, and this could be prevented by less restrictive measures, such as the use of </w:t>
      </w:r>
      <w:r w:rsidR="0081491F" w:rsidRPr="00012C3F">
        <w:rPr>
          <w:rFonts w:eastAsia="MS Mincho" w:cs="Arial"/>
          <w:sz w:val="20"/>
          <w:szCs w:val="20"/>
          <w:lang w:val="en-US" w:eastAsia="en-US" w:bidi="en-US"/>
        </w:rPr>
        <w:t xml:space="preserve">non-permanent </w:t>
      </w:r>
      <w:r w:rsidR="00DF3B7C" w:rsidRPr="00012C3F">
        <w:rPr>
          <w:rFonts w:eastAsia="MS Mincho" w:cs="Arial"/>
          <w:sz w:val="20"/>
          <w:szCs w:val="20"/>
          <w:lang w:val="en-US" w:eastAsia="en-US" w:bidi="en-US"/>
        </w:rPr>
        <w:t>contraception methods</w:t>
      </w:r>
      <w:r w:rsidR="0081491F" w:rsidRPr="00012C3F">
        <w:rPr>
          <w:rFonts w:eastAsia="MS Mincho" w:cs="Arial"/>
          <w:sz w:val="20"/>
          <w:szCs w:val="20"/>
          <w:lang w:val="en-US" w:eastAsia="en-US" w:bidi="en-US"/>
        </w:rPr>
        <w:t xml:space="preserve">. </w:t>
      </w:r>
      <w:r w:rsidRPr="00012C3F">
        <w:rPr>
          <w:rFonts w:eastAsia="MS Mincho" w:cs="Arial"/>
          <w:sz w:val="20"/>
          <w:szCs w:val="20"/>
          <w:lang w:val="en-US" w:eastAsia="en-US" w:bidi="en-US"/>
        </w:rPr>
        <w:t>The Commission</w:t>
      </w:r>
      <w:r w:rsidR="004B2395" w:rsidRPr="00012C3F">
        <w:rPr>
          <w:rFonts w:eastAsia="MS Mincho" w:cs="Arial"/>
          <w:sz w:val="20"/>
          <w:szCs w:val="20"/>
          <w:lang w:val="en-US" w:eastAsia="en-US" w:bidi="en-US"/>
        </w:rPr>
        <w:t xml:space="preserve"> a</w:t>
      </w:r>
      <w:r w:rsidR="00DF3B7C" w:rsidRPr="00012C3F">
        <w:rPr>
          <w:rFonts w:eastAsia="MS Mincho" w:cs="Arial"/>
          <w:sz w:val="20"/>
          <w:szCs w:val="20"/>
          <w:lang w:val="en-US" w:eastAsia="en-US" w:bidi="en-US"/>
        </w:rPr>
        <w:t>rgued that non-consensual sterilization resulted in the permanent loss of I.V.’s reproductive capacity and, consequently, affected her right to reproductive autonomy, which included the capacity to decide freely and autonomously the number of children and the interval between births, which form</w:t>
      </w:r>
      <w:r w:rsidR="0081491F" w:rsidRPr="00012C3F">
        <w:rPr>
          <w:rFonts w:eastAsia="MS Mincho" w:cs="Arial"/>
          <w:sz w:val="20"/>
          <w:szCs w:val="20"/>
          <w:lang w:val="en-US" w:eastAsia="en-US" w:bidi="en-US"/>
        </w:rPr>
        <w:t>ed</w:t>
      </w:r>
      <w:r w:rsidR="00DF3B7C" w:rsidRPr="00012C3F">
        <w:rPr>
          <w:rFonts w:eastAsia="MS Mincho" w:cs="Arial"/>
          <w:sz w:val="20"/>
          <w:szCs w:val="20"/>
          <w:lang w:val="en-US" w:eastAsia="en-US" w:bidi="en-US"/>
        </w:rPr>
        <w:t xml:space="preserve"> part of the most intimate sphere of private and family life, pursuant to </w:t>
      </w:r>
      <w:r w:rsidR="001254DE" w:rsidRPr="00012C3F">
        <w:rPr>
          <w:rFonts w:eastAsia="MS Mincho" w:cs="Arial"/>
          <w:sz w:val="20"/>
          <w:szCs w:val="20"/>
          <w:lang w:val="en-US" w:eastAsia="en-US" w:bidi="en-US"/>
        </w:rPr>
        <w:t>Article</w:t>
      </w:r>
      <w:r w:rsidR="004B2395" w:rsidRPr="00012C3F">
        <w:rPr>
          <w:rFonts w:eastAsia="MS Mincho" w:cs="Arial"/>
          <w:sz w:val="20"/>
          <w:szCs w:val="20"/>
          <w:lang w:val="en-US" w:eastAsia="en-US" w:bidi="en-US"/>
        </w:rPr>
        <w:t xml:space="preserve"> </w:t>
      </w:r>
      <w:r w:rsidR="005E5012" w:rsidRPr="00012C3F">
        <w:rPr>
          <w:rFonts w:eastAsia="MS Mincho" w:cs="Arial"/>
          <w:sz w:val="20"/>
          <w:szCs w:val="20"/>
          <w:lang w:val="en-US" w:eastAsia="en-US" w:bidi="en-US"/>
        </w:rPr>
        <w:t>11(2)</w:t>
      </w:r>
      <w:r w:rsidR="001254DE" w:rsidRPr="00012C3F">
        <w:rPr>
          <w:rFonts w:eastAsia="MS Mincho" w:cs="Arial"/>
          <w:sz w:val="20"/>
          <w:szCs w:val="20"/>
          <w:lang w:val="en-US" w:eastAsia="en-US" w:bidi="en-US"/>
        </w:rPr>
        <w:t xml:space="preserve"> of the Convention</w:t>
      </w:r>
      <w:r w:rsidR="004B2395" w:rsidRPr="00012C3F">
        <w:rPr>
          <w:rFonts w:eastAsia="MS Mincho" w:cs="Arial"/>
          <w:sz w:val="20"/>
          <w:szCs w:val="20"/>
          <w:lang w:val="en-US" w:eastAsia="en-US" w:bidi="en-US"/>
        </w:rPr>
        <w:t xml:space="preserve">. </w:t>
      </w:r>
      <w:r w:rsidR="00DF3B7C" w:rsidRPr="00012C3F">
        <w:rPr>
          <w:rFonts w:eastAsia="MS Mincho" w:cs="Arial"/>
          <w:sz w:val="20"/>
          <w:szCs w:val="20"/>
          <w:lang w:val="en-US" w:eastAsia="en-US" w:bidi="en-US"/>
        </w:rPr>
        <w:t>Also, according to</w:t>
      </w:r>
      <w:r w:rsidR="000136CC" w:rsidRPr="00012C3F">
        <w:rPr>
          <w:rFonts w:eastAsia="MS Mincho" w:cs="Arial"/>
          <w:sz w:val="20"/>
          <w:szCs w:val="20"/>
          <w:lang w:val="en-US" w:eastAsia="en-US" w:bidi="en-US"/>
        </w:rPr>
        <w:t xml:space="preserve"> </w:t>
      </w:r>
      <w:r w:rsidR="001254DE" w:rsidRPr="00012C3F">
        <w:rPr>
          <w:rFonts w:eastAsia="MS Mincho" w:cs="Arial"/>
          <w:sz w:val="20"/>
          <w:szCs w:val="20"/>
          <w:lang w:val="en-US" w:eastAsia="en-US" w:bidi="en-US"/>
        </w:rPr>
        <w:t xml:space="preserve">the </w:t>
      </w:r>
      <w:r w:rsidR="00A84CA0" w:rsidRPr="00012C3F">
        <w:rPr>
          <w:rFonts w:eastAsia="MS Mincho" w:cs="Arial"/>
          <w:sz w:val="20"/>
          <w:szCs w:val="20"/>
          <w:lang w:val="en-US" w:eastAsia="en-US" w:bidi="en-US"/>
        </w:rPr>
        <w:t>Commission</w:t>
      </w:r>
      <w:r w:rsidR="00DF3B7C" w:rsidRPr="00012C3F">
        <w:rPr>
          <w:rFonts w:eastAsia="MS Mincho" w:cs="Arial"/>
          <w:sz w:val="20"/>
          <w:szCs w:val="20"/>
          <w:lang w:val="en-US" w:eastAsia="en-US" w:bidi="en-US"/>
        </w:rPr>
        <w:t>,</w:t>
      </w:r>
      <w:r w:rsidR="000136CC" w:rsidRPr="00012C3F">
        <w:rPr>
          <w:rFonts w:eastAsia="MS Mincho" w:cs="Arial"/>
          <w:sz w:val="20"/>
          <w:szCs w:val="20"/>
          <w:lang w:val="en-US" w:eastAsia="en-US" w:bidi="en-US"/>
        </w:rPr>
        <w:t xml:space="preserve"> </w:t>
      </w:r>
      <w:r w:rsidR="00DF3B7C" w:rsidRPr="00012C3F">
        <w:rPr>
          <w:rFonts w:eastAsia="MS Mincho" w:cs="Arial"/>
          <w:sz w:val="20"/>
          <w:szCs w:val="20"/>
          <w:lang w:val="en-US" w:eastAsia="en-US" w:bidi="en-US"/>
        </w:rPr>
        <w:t>non-consensual sterilization</w:t>
      </w:r>
      <w:r w:rsidR="004B2395" w:rsidRPr="00012C3F">
        <w:rPr>
          <w:rFonts w:eastAsia="MS Mincho" w:cs="Arial"/>
          <w:sz w:val="20"/>
          <w:szCs w:val="20"/>
          <w:lang w:val="en-US" w:eastAsia="en-US" w:bidi="en-US"/>
        </w:rPr>
        <w:t xml:space="preserve"> viol</w:t>
      </w:r>
      <w:r w:rsidR="00DF3B7C" w:rsidRPr="00012C3F">
        <w:rPr>
          <w:rFonts w:eastAsia="MS Mincho" w:cs="Arial"/>
          <w:sz w:val="20"/>
          <w:szCs w:val="20"/>
          <w:lang w:val="en-US" w:eastAsia="en-US" w:bidi="en-US"/>
        </w:rPr>
        <w:t>ated the right of</w:t>
      </w:r>
      <w:r w:rsidR="004B2395" w:rsidRPr="00012C3F">
        <w:rPr>
          <w:rFonts w:eastAsia="MS Mincho" w:cs="Arial"/>
          <w:sz w:val="20"/>
          <w:szCs w:val="20"/>
          <w:lang w:val="en-US" w:eastAsia="en-US" w:bidi="en-US"/>
        </w:rPr>
        <w:t xml:space="preserve"> </w:t>
      </w:r>
      <w:r w:rsidR="000E1C11" w:rsidRPr="00012C3F">
        <w:rPr>
          <w:rFonts w:eastAsia="MS Mincho" w:cs="Arial"/>
          <w:sz w:val="20"/>
          <w:szCs w:val="20"/>
          <w:lang w:val="en-US" w:eastAsia="en-US" w:bidi="en-US"/>
        </w:rPr>
        <w:t>I.V.</w:t>
      </w:r>
      <w:r w:rsidR="004B2395" w:rsidRPr="00012C3F">
        <w:rPr>
          <w:rFonts w:eastAsia="MS Mincho" w:cs="Arial"/>
          <w:sz w:val="20"/>
          <w:szCs w:val="20"/>
          <w:lang w:val="en-US" w:eastAsia="en-US" w:bidi="en-US"/>
        </w:rPr>
        <w:t xml:space="preserve"> </w:t>
      </w:r>
      <w:r w:rsidR="00DF3B7C" w:rsidRPr="00012C3F">
        <w:rPr>
          <w:rFonts w:eastAsia="MS Mincho" w:cs="Arial"/>
          <w:sz w:val="20"/>
          <w:szCs w:val="20"/>
          <w:lang w:val="en-US" w:eastAsia="en-US" w:bidi="en-US"/>
        </w:rPr>
        <w:t xml:space="preserve">to have the possibility of having more children, a decision that </w:t>
      </w:r>
      <w:r w:rsidR="00790B32" w:rsidRPr="00012C3F">
        <w:rPr>
          <w:rFonts w:eastAsia="MS Mincho" w:cs="Arial"/>
          <w:sz w:val="20"/>
          <w:szCs w:val="20"/>
          <w:lang w:val="en-US" w:eastAsia="en-US" w:bidi="en-US"/>
        </w:rPr>
        <w:t>wa</w:t>
      </w:r>
      <w:r w:rsidR="00DF3B7C" w:rsidRPr="00012C3F">
        <w:rPr>
          <w:rFonts w:eastAsia="MS Mincho" w:cs="Arial"/>
          <w:sz w:val="20"/>
          <w:szCs w:val="20"/>
          <w:lang w:val="en-US" w:eastAsia="en-US" w:bidi="en-US"/>
        </w:rPr>
        <w:t xml:space="preserve">s protected by the right </w:t>
      </w:r>
      <w:r w:rsidR="00EF483B" w:rsidRPr="00012C3F">
        <w:rPr>
          <w:rFonts w:eastAsia="MS Mincho" w:cs="Arial"/>
          <w:sz w:val="20"/>
          <w:szCs w:val="20"/>
          <w:lang w:val="en-US" w:eastAsia="en-US" w:bidi="en-US"/>
        </w:rPr>
        <w:t xml:space="preserve">to </w:t>
      </w:r>
      <w:r w:rsidR="0081491F" w:rsidRPr="00012C3F">
        <w:rPr>
          <w:rFonts w:eastAsia="MS Mincho" w:cs="Arial"/>
          <w:sz w:val="20"/>
          <w:szCs w:val="20"/>
          <w:lang w:val="en-US" w:eastAsia="en-US" w:bidi="en-US"/>
        </w:rPr>
        <w:t>raise a family</w:t>
      </w:r>
      <w:r w:rsidR="00DF3B7C" w:rsidRPr="00012C3F">
        <w:rPr>
          <w:rFonts w:eastAsia="MS Mincho" w:cs="Arial"/>
          <w:sz w:val="20"/>
          <w:szCs w:val="20"/>
          <w:lang w:val="en-US" w:eastAsia="en-US" w:bidi="en-US"/>
        </w:rPr>
        <w:t xml:space="preserve">, recognized in </w:t>
      </w:r>
      <w:r w:rsidR="001254DE" w:rsidRPr="00012C3F">
        <w:rPr>
          <w:rFonts w:eastAsia="MS Mincho" w:cs="Arial"/>
          <w:sz w:val="20"/>
          <w:szCs w:val="20"/>
          <w:lang w:val="en-US" w:eastAsia="en-US" w:bidi="en-US"/>
        </w:rPr>
        <w:t>Article</w:t>
      </w:r>
      <w:r w:rsidR="004B2395" w:rsidRPr="00012C3F">
        <w:rPr>
          <w:rFonts w:eastAsia="MS Mincho" w:cs="Arial"/>
          <w:sz w:val="20"/>
          <w:szCs w:val="20"/>
          <w:lang w:val="en-US" w:eastAsia="en-US" w:bidi="en-US"/>
        </w:rPr>
        <w:t xml:space="preserve"> </w:t>
      </w:r>
      <w:r w:rsidR="005E5012" w:rsidRPr="00012C3F">
        <w:rPr>
          <w:rFonts w:eastAsia="MS Mincho" w:cs="Arial"/>
          <w:sz w:val="20"/>
          <w:szCs w:val="20"/>
          <w:lang w:val="en-US" w:eastAsia="en-US" w:bidi="en-US"/>
        </w:rPr>
        <w:t>17(2)</w:t>
      </w:r>
      <w:r w:rsidR="001254DE" w:rsidRPr="00012C3F">
        <w:rPr>
          <w:rFonts w:eastAsia="MS Mincho" w:cs="Arial"/>
          <w:sz w:val="20"/>
          <w:szCs w:val="20"/>
          <w:lang w:val="en-US" w:eastAsia="en-US" w:bidi="en-US"/>
        </w:rPr>
        <w:t xml:space="preserve"> of the Convention</w:t>
      </w:r>
      <w:r w:rsidR="004B2395" w:rsidRPr="00012C3F">
        <w:rPr>
          <w:rFonts w:eastAsia="MS Mincho" w:cs="Arial"/>
          <w:sz w:val="20"/>
          <w:szCs w:val="20"/>
          <w:lang w:val="en-US" w:eastAsia="en-US" w:bidi="en-US"/>
        </w:rPr>
        <w:t xml:space="preserve">. </w:t>
      </w:r>
      <w:r w:rsidRPr="00012C3F">
        <w:rPr>
          <w:rFonts w:eastAsia="MS Mincho" w:cs="Arial"/>
          <w:sz w:val="20"/>
          <w:szCs w:val="20"/>
          <w:lang w:val="en-US" w:eastAsia="en-US" w:bidi="en-US"/>
        </w:rPr>
        <w:t>The Commission</w:t>
      </w:r>
      <w:r w:rsidR="004B2395" w:rsidRPr="00012C3F">
        <w:rPr>
          <w:rFonts w:eastAsia="MS Mincho" w:cs="Arial"/>
          <w:sz w:val="20"/>
          <w:szCs w:val="20"/>
          <w:lang w:val="en-US" w:eastAsia="en-US" w:bidi="en-US"/>
        </w:rPr>
        <w:t xml:space="preserve"> </w:t>
      </w:r>
      <w:r w:rsidR="00DF3B7C" w:rsidRPr="00012C3F">
        <w:rPr>
          <w:rFonts w:eastAsia="MS Mincho" w:cs="Arial"/>
          <w:sz w:val="20"/>
          <w:szCs w:val="20"/>
          <w:lang w:val="en-US" w:eastAsia="en-US" w:bidi="en-US"/>
        </w:rPr>
        <w:t xml:space="preserve">did not refer explicitly to the right to protection of </w:t>
      </w:r>
      <w:r w:rsidR="00790B32" w:rsidRPr="00012C3F">
        <w:rPr>
          <w:rFonts w:eastAsia="MS Mincho" w:cs="Arial"/>
          <w:sz w:val="20"/>
          <w:szCs w:val="20"/>
          <w:lang w:val="en-US" w:eastAsia="en-US" w:bidi="en-US"/>
        </w:rPr>
        <w:t>I.V.’s</w:t>
      </w:r>
      <w:r w:rsidR="00DF3B7C" w:rsidRPr="00012C3F">
        <w:rPr>
          <w:rFonts w:eastAsia="MS Mincho" w:cs="Arial"/>
          <w:sz w:val="20"/>
          <w:szCs w:val="20"/>
          <w:lang w:val="en-US" w:eastAsia="en-US" w:bidi="en-US"/>
        </w:rPr>
        <w:t xml:space="preserve"> dignity</w:t>
      </w:r>
      <w:r w:rsidR="000E1C11" w:rsidRPr="00012C3F">
        <w:rPr>
          <w:rFonts w:eastAsia="MS Mincho" w:cs="Arial"/>
          <w:sz w:val="20"/>
          <w:szCs w:val="20"/>
          <w:lang w:val="en-US" w:eastAsia="en-US" w:bidi="en-US"/>
        </w:rPr>
        <w:t>.</w:t>
      </w:r>
    </w:p>
    <w:p w14:paraId="6FF72B61" w14:textId="77777777" w:rsidR="004B2395" w:rsidRPr="00012C3F" w:rsidRDefault="004B2395" w:rsidP="00DF3B7C">
      <w:pPr>
        <w:tabs>
          <w:tab w:val="left" w:pos="720"/>
        </w:tabs>
        <w:spacing w:line="240" w:lineRule="auto"/>
        <w:rPr>
          <w:rFonts w:eastAsia="MS Mincho"/>
          <w:sz w:val="20"/>
          <w:szCs w:val="20"/>
          <w:lang w:val="en-US" w:eastAsia="en-US" w:bidi="en-US"/>
        </w:rPr>
      </w:pPr>
    </w:p>
    <w:p w14:paraId="78481D20" w14:textId="77777777" w:rsidR="00DF3B7C" w:rsidRPr="00012C3F" w:rsidRDefault="00972ACF" w:rsidP="00DF3B7C">
      <w:pPr>
        <w:numPr>
          <w:ilvl w:val="0"/>
          <w:numId w:val="5"/>
        </w:numPr>
        <w:tabs>
          <w:tab w:val="left" w:pos="720"/>
          <w:tab w:val="num" w:pos="12305"/>
        </w:tabs>
        <w:spacing w:line="240" w:lineRule="auto"/>
        <w:ind w:left="0" w:firstLine="0"/>
        <w:rPr>
          <w:rFonts w:eastAsia="MS Mincho"/>
          <w:sz w:val="20"/>
          <w:szCs w:val="20"/>
          <w:lang w:val="en-US" w:eastAsia="en-US" w:bidi="en-US"/>
        </w:rPr>
      </w:pPr>
      <w:bookmarkStart w:id="123" w:name="_Toc416260585"/>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representative</w:t>
      </w:r>
      <w:r w:rsidR="004B2395" w:rsidRPr="00012C3F">
        <w:rPr>
          <w:rFonts w:eastAsia="MS Mincho" w:cs="Arial"/>
          <w:b/>
          <w:sz w:val="20"/>
          <w:szCs w:val="20"/>
          <w:lang w:val="en-US" w:eastAsia="en-US" w:bidi="en-US"/>
        </w:rPr>
        <w:t xml:space="preserve"> </w:t>
      </w:r>
      <w:r w:rsidR="00DF3B7C" w:rsidRPr="00012C3F">
        <w:rPr>
          <w:rFonts w:eastAsia="MS Mincho" w:cs="Arial"/>
          <w:bCs/>
          <w:sz w:val="20"/>
          <w:szCs w:val="20"/>
          <w:lang w:val="en-US" w:eastAsia="en-US" w:bidi="en-US"/>
        </w:rPr>
        <w:t xml:space="preserve">agreed with the legal </w:t>
      </w:r>
      <w:r w:rsidR="00DB08D1" w:rsidRPr="00012C3F">
        <w:rPr>
          <w:rFonts w:eastAsia="MS Mincho" w:cs="Arial"/>
          <w:bCs/>
          <w:sz w:val="20"/>
          <w:szCs w:val="20"/>
          <w:lang w:val="en-US" w:eastAsia="en-US" w:bidi="en-US"/>
        </w:rPr>
        <w:t>grounds</w:t>
      </w:r>
      <w:r w:rsidR="00DF3B7C" w:rsidRPr="00012C3F">
        <w:rPr>
          <w:rFonts w:eastAsia="MS Mincho" w:cs="Arial"/>
          <w:bCs/>
          <w:sz w:val="20"/>
          <w:szCs w:val="20"/>
          <w:lang w:val="en-US" w:eastAsia="en-US" w:bidi="en-US"/>
        </w:rPr>
        <w:t xml:space="preserve"> and conclusions developed by the Commission in relation to the violation of </w:t>
      </w:r>
      <w:r w:rsidR="001254DE" w:rsidRPr="00012C3F">
        <w:rPr>
          <w:rFonts w:eastAsia="MS Mincho" w:cs="Arial"/>
          <w:bCs/>
          <w:sz w:val="20"/>
          <w:szCs w:val="20"/>
          <w:lang w:val="en-US" w:eastAsia="en-US" w:bidi="en-US"/>
        </w:rPr>
        <w:t>Articles</w:t>
      </w:r>
      <w:r w:rsidR="004B2395" w:rsidRPr="00012C3F">
        <w:rPr>
          <w:rFonts w:eastAsia="MS Mincho" w:cs="Arial"/>
          <w:bCs/>
          <w:sz w:val="20"/>
          <w:szCs w:val="20"/>
          <w:lang w:val="en-US" w:eastAsia="en-US" w:bidi="en-US"/>
        </w:rPr>
        <w:t xml:space="preserve"> </w:t>
      </w:r>
      <w:r w:rsidR="005E5012" w:rsidRPr="00012C3F">
        <w:rPr>
          <w:rFonts w:eastAsia="MS Mincho" w:cs="Arial"/>
          <w:bCs/>
          <w:sz w:val="20"/>
          <w:szCs w:val="20"/>
          <w:lang w:val="en-US" w:eastAsia="en-US" w:bidi="en-US"/>
        </w:rPr>
        <w:t>11(2) and 17(2)</w:t>
      </w:r>
      <w:r w:rsidR="001254DE" w:rsidRPr="00012C3F">
        <w:rPr>
          <w:rFonts w:eastAsia="MS Mincho" w:cs="Arial"/>
          <w:bCs/>
          <w:sz w:val="20"/>
          <w:szCs w:val="20"/>
          <w:lang w:val="en-US" w:eastAsia="en-US" w:bidi="en-US"/>
        </w:rPr>
        <w:t xml:space="preserve"> of the American Convention</w:t>
      </w:r>
      <w:r w:rsidR="00DF3B7C" w:rsidRPr="00012C3F">
        <w:rPr>
          <w:rFonts w:eastAsia="MS Mincho" w:cs="Arial"/>
          <w:bCs/>
          <w:sz w:val="20"/>
          <w:szCs w:val="20"/>
          <w:lang w:val="en-US" w:eastAsia="en-US" w:bidi="en-US"/>
        </w:rPr>
        <w:t xml:space="preserve"> and emphasized that, after </w:t>
      </w:r>
      <w:r w:rsidR="00566357" w:rsidRPr="00012C3F">
        <w:rPr>
          <w:rFonts w:eastAsia="MS Mincho" w:cs="Arial"/>
          <w:bCs/>
          <w:sz w:val="20"/>
          <w:szCs w:val="20"/>
          <w:lang w:val="en-US" w:eastAsia="en-US" w:bidi="en-US"/>
        </w:rPr>
        <w:t>July 1,</w:t>
      </w:r>
      <w:r w:rsidR="004B2395" w:rsidRPr="00012C3F">
        <w:rPr>
          <w:rFonts w:eastAsia="MS Mincho" w:cs="Arial"/>
          <w:bCs/>
          <w:sz w:val="20"/>
          <w:szCs w:val="20"/>
          <w:lang w:val="en-US" w:eastAsia="en-US" w:bidi="en-US"/>
        </w:rPr>
        <w:t xml:space="preserve"> 2000, </w:t>
      </w:r>
      <w:r w:rsidR="000E1C11" w:rsidRPr="00012C3F">
        <w:rPr>
          <w:rFonts w:eastAsia="MS Mincho" w:cs="Arial"/>
          <w:bCs/>
          <w:sz w:val="20"/>
          <w:szCs w:val="20"/>
          <w:lang w:val="en-US" w:eastAsia="en-US" w:bidi="en-US"/>
        </w:rPr>
        <w:t>I.V.</w:t>
      </w:r>
      <w:r w:rsidR="004B2395" w:rsidRPr="00012C3F">
        <w:rPr>
          <w:rFonts w:eastAsia="MS Mincho" w:cs="Arial"/>
          <w:bCs/>
          <w:sz w:val="20"/>
          <w:szCs w:val="20"/>
          <w:lang w:val="en-US" w:eastAsia="en-US" w:bidi="en-US"/>
        </w:rPr>
        <w:t xml:space="preserve"> </w:t>
      </w:r>
      <w:r w:rsidR="00DF3B7C" w:rsidRPr="00012C3F">
        <w:rPr>
          <w:rFonts w:eastAsia="MS Mincho" w:cs="Arial"/>
          <w:bCs/>
          <w:sz w:val="20"/>
          <w:szCs w:val="20"/>
          <w:lang w:val="en-US" w:eastAsia="en-US" w:bidi="en-US"/>
        </w:rPr>
        <w:t xml:space="preserve">was never able to decide, either alone or with her partner, on whether to become pregnant again, and that the violation of these rights was constituted even though I.V. already had children and had </w:t>
      </w:r>
      <w:r w:rsidR="00DB08D1" w:rsidRPr="00012C3F">
        <w:rPr>
          <w:rFonts w:eastAsia="MS Mincho" w:cs="Arial"/>
          <w:bCs/>
          <w:sz w:val="20"/>
          <w:szCs w:val="20"/>
          <w:lang w:val="en-US" w:eastAsia="en-US" w:bidi="en-US"/>
        </w:rPr>
        <w:t>founded</w:t>
      </w:r>
      <w:r w:rsidR="00DF3B7C" w:rsidRPr="00012C3F">
        <w:rPr>
          <w:rFonts w:eastAsia="MS Mincho" w:cs="Arial"/>
          <w:bCs/>
          <w:sz w:val="20"/>
          <w:szCs w:val="20"/>
          <w:lang w:val="en-US" w:eastAsia="en-US" w:bidi="en-US"/>
        </w:rPr>
        <w:t xml:space="preserve"> a family. She added that the fact that the authorization for </w:t>
      </w:r>
      <w:r w:rsidR="00136EDE" w:rsidRPr="00012C3F">
        <w:rPr>
          <w:rFonts w:eastAsia="MS Mincho" w:cs="Arial"/>
          <w:bCs/>
          <w:sz w:val="20"/>
          <w:szCs w:val="20"/>
          <w:lang w:val="en-US" w:eastAsia="en-US" w:bidi="en-US"/>
        </w:rPr>
        <w:t>the caesarean section</w:t>
      </w:r>
      <w:r w:rsidR="00DF3B7C" w:rsidRPr="00012C3F">
        <w:rPr>
          <w:rFonts w:eastAsia="MS Mincho" w:cs="Arial"/>
          <w:bCs/>
          <w:sz w:val="20"/>
          <w:szCs w:val="20"/>
          <w:lang w:val="en-US" w:eastAsia="en-US" w:bidi="en-US"/>
        </w:rPr>
        <w:t xml:space="preserve"> was signed by I.V.’s partner and not by her, even though she had the possibility of dong this during the five hours she waited before entering the operating theater, involved a violation of her right to privacy and her autonomy of decision in relation to her reproductive rights.</w:t>
      </w:r>
    </w:p>
    <w:p w14:paraId="01923C41" w14:textId="77777777" w:rsidR="004B2395" w:rsidRPr="00012C3F" w:rsidRDefault="004B2395" w:rsidP="00C470A3">
      <w:pPr>
        <w:tabs>
          <w:tab w:val="left" w:pos="567"/>
        </w:tabs>
        <w:spacing w:line="240" w:lineRule="auto"/>
        <w:rPr>
          <w:rFonts w:eastAsia="MS Mincho"/>
          <w:sz w:val="20"/>
          <w:szCs w:val="20"/>
          <w:lang w:val="en-US" w:eastAsia="en-US" w:bidi="en-US"/>
        </w:rPr>
      </w:pPr>
    </w:p>
    <w:p w14:paraId="621E452E" w14:textId="77777777" w:rsidR="002961DA" w:rsidRPr="00012C3F" w:rsidRDefault="00DF3B7C" w:rsidP="00DF3B7C">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In addition</w:t>
      </w:r>
      <w:r w:rsidR="004B2395" w:rsidRPr="00012C3F">
        <w:rPr>
          <w:rFonts w:eastAsia="MS Mincho" w:cs="Arial"/>
          <w:bCs/>
          <w:sz w:val="20"/>
          <w:szCs w:val="20"/>
          <w:lang w:val="en-US" w:eastAsia="en-US" w:bidi="en-US"/>
        </w:rPr>
        <w:t xml:space="preserve">, </w:t>
      </w:r>
      <w:r w:rsidR="00972ACF" w:rsidRPr="00012C3F">
        <w:rPr>
          <w:rFonts w:eastAsia="MS Mincho" w:cs="Arial"/>
          <w:bCs/>
          <w:sz w:val="20"/>
          <w:szCs w:val="20"/>
          <w:lang w:val="en-US" w:eastAsia="en-US" w:bidi="en-US"/>
        </w:rPr>
        <w:t>the representative</w:t>
      </w:r>
      <w:r w:rsidR="004B2395" w:rsidRPr="00012C3F">
        <w:rPr>
          <w:rFonts w:eastAsia="MS Mincho" w:cs="Arial"/>
          <w:bCs/>
          <w:sz w:val="20"/>
          <w:szCs w:val="20"/>
          <w:lang w:val="en-US" w:eastAsia="en-US" w:bidi="en-US"/>
        </w:rPr>
        <w:t xml:space="preserve"> </w:t>
      </w:r>
      <w:r w:rsidRPr="00012C3F">
        <w:rPr>
          <w:rFonts w:eastAsia="MS Mincho" w:cs="Arial"/>
          <w:bCs/>
          <w:sz w:val="20"/>
          <w:szCs w:val="20"/>
          <w:lang w:val="en-US" w:eastAsia="en-US" w:bidi="en-US"/>
        </w:rPr>
        <w:t xml:space="preserve">stressed that, although </w:t>
      </w:r>
      <w:r w:rsidR="001254DE" w:rsidRPr="00012C3F">
        <w:rPr>
          <w:rFonts w:eastAsia="MS Mincho" w:cs="Arial"/>
          <w:bCs/>
          <w:sz w:val="20"/>
          <w:szCs w:val="20"/>
          <w:lang w:val="en-US" w:eastAsia="en-US" w:bidi="en-US"/>
        </w:rPr>
        <w:t xml:space="preserve">the </w:t>
      </w:r>
      <w:r w:rsidR="00A84CA0" w:rsidRPr="00012C3F">
        <w:rPr>
          <w:rFonts w:eastAsia="MS Mincho" w:cs="Arial"/>
          <w:bCs/>
          <w:sz w:val="20"/>
          <w:szCs w:val="20"/>
          <w:lang w:val="en-US" w:eastAsia="en-US" w:bidi="en-US"/>
        </w:rPr>
        <w:t>Commission</w:t>
      </w:r>
      <w:r w:rsidR="004B2395" w:rsidRPr="00012C3F">
        <w:rPr>
          <w:rFonts w:eastAsia="MS Mincho" w:cs="Arial"/>
          <w:bCs/>
          <w:sz w:val="20"/>
          <w:szCs w:val="20"/>
          <w:lang w:val="en-US" w:eastAsia="en-US" w:bidi="en-US"/>
        </w:rPr>
        <w:t xml:space="preserve"> </w:t>
      </w:r>
      <w:r w:rsidRPr="00012C3F">
        <w:rPr>
          <w:rFonts w:eastAsia="MS Mincho" w:cs="Arial"/>
          <w:bCs/>
          <w:sz w:val="20"/>
          <w:szCs w:val="20"/>
          <w:lang w:val="en-US" w:eastAsia="en-US" w:bidi="en-US"/>
        </w:rPr>
        <w:t xml:space="preserve">had merely established a violation </w:t>
      </w:r>
      <w:r w:rsidR="008A7A0F" w:rsidRPr="00012C3F">
        <w:rPr>
          <w:rFonts w:eastAsia="MS Mincho" w:cs="Arial"/>
          <w:bCs/>
          <w:sz w:val="20"/>
          <w:szCs w:val="20"/>
          <w:lang w:val="en-US" w:eastAsia="en-US" w:bidi="en-US"/>
        </w:rPr>
        <w:t>of Article</w:t>
      </w:r>
      <w:r w:rsidR="004B2395" w:rsidRPr="00012C3F">
        <w:rPr>
          <w:rFonts w:eastAsia="MS Mincho" w:cs="Arial"/>
          <w:bCs/>
          <w:sz w:val="20"/>
          <w:szCs w:val="20"/>
          <w:lang w:val="en-US" w:eastAsia="en-US" w:bidi="en-US"/>
        </w:rPr>
        <w:t xml:space="preserve"> </w:t>
      </w:r>
      <w:r w:rsidR="005E5012" w:rsidRPr="00012C3F">
        <w:rPr>
          <w:rFonts w:eastAsia="MS Mincho" w:cs="Arial"/>
          <w:bCs/>
          <w:sz w:val="20"/>
          <w:szCs w:val="20"/>
          <w:lang w:val="en-US" w:eastAsia="en-US" w:bidi="en-US"/>
        </w:rPr>
        <w:t>11(2)</w:t>
      </w:r>
      <w:r w:rsidR="001254DE" w:rsidRPr="00012C3F">
        <w:rPr>
          <w:rFonts w:eastAsia="MS Mincho" w:cs="Arial"/>
          <w:bCs/>
          <w:sz w:val="20"/>
          <w:szCs w:val="20"/>
          <w:lang w:val="en-US" w:eastAsia="en-US" w:bidi="en-US"/>
        </w:rPr>
        <w:t xml:space="preserve"> of the American Convention</w:t>
      </w:r>
      <w:r w:rsidR="004B2395" w:rsidRPr="00012C3F">
        <w:rPr>
          <w:rFonts w:eastAsia="MS Mincho" w:cs="Arial"/>
          <w:bCs/>
          <w:sz w:val="20"/>
          <w:szCs w:val="20"/>
          <w:lang w:val="en-US" w:eastAsia="en-US" w:bidi="en-US"/>
        </w:rPr>
        <w:t xml:space="preserve">, </w:t>
      </w:r>
      <w:r w:rsidR="008A7A0F" w:rsidRPr="00012C3F">
        <w:rPr>
          <w:rFonts w:eastAsia="MS Mincho" w:cs="Arial"/>
          <w:bCs/>
          <w:sz w:val="20"/>
          <w:szCs w:val="20"/>
          <w:lang w:val="en-US" w:eastAsia="en-US" w:bidi="en-US"/>
        </w:rPr>
        <w:t>Article</w:t>
      </w:r>
      <w:r w:rsidR="004605F3" w:rsidRPr="00012C3F">
        <w:rPr>
          <w:rFonts w:eastAsia="MS Mincho" w:cs="Arial"/>
          <w:bCs/>
          <w:sz w:val="20"/>
          <w:szCs w:val="20"/>
          <w:lang w:val="en-US" w:eastAsia="en-US" w:bidi="en-US"/>
        </w:rPr>
        <w:t xml:space="preserve"> </w:t>
      </w:r>
      <w:r w:rsidR="004B2395" w:rsidRPr="00012C3F">
        <w:rPr>
          <w:rFonts w:eastAsia="MS Mincho" w:cs="Arial"/>
          <w:bCs/>
          <w:sz w:val="20"/>
          <w:szCs w:val="20"/>
          <w:lang w:val="en-US" w:eastAsia="en-US" w:bidi="en-US"/>
        </w:rPr>
        <w:t>1</w:t>
      </w:r>
      <w:r w:rsidR="005E5012" w:rsidRPr="00012C3F">
        <w:rPr>
          <w:rFonts w:eastAsia="MS Mincho" w:cs="Arial"/>
          <w:bCs/>
          <w:sz w:val="20"/>
          <w:szCs w:val="20"/>
          <w:lang w:val="en-US" w:eastAsia="en-US" w:bidi="en-US"/>
        </w:rPr>
        <w:t>1(1)</w:t>
      </w:r>
      <w:r w:rsidR="004605F3" w:rsidRPr="00012C3F">
        <w:rPr>
          <w:rFonts w:eastAsia="MS Mincho" w:cs="Arial"/>
          <w:bCs/>
          <w:sz w:val="20"/>
          <w:szCs w:val="20"/>
          <w:lang w:val="en-US" w:eastAsia="en-US" w:bidi="en-US"/>
        </w:rPr>
        <w:t xml:space="preserve"> </w:t>
      </w:r>
      <w:r w:rsidR="006C705C" w:rsidRPr="00012C3F">
        <w:rPr>
          <w:rFonts w:eastAsia="MS Mincho" w:cs="Arial"/>
          <w:bCs/>
          <w:sz w:val="20"/>
          <w:szCs w:val="20"/>
          <w:lang w:val="en-US" w:eastAsia="en-US" w:bidi="en-US"/>
        </w:rPr>
        <w:t>of this instrument</w:t>
      </w:r>
      <w:r w:rsidRPr="00012C3F">
        <w:rPr>
          <w:rFonts w:eastAsia="MS Mincho" w:cs="Arial"/>
          <w:bCs/>
          <w:sz w:val="20"/>
          <w:szCs w:val="20"/>
          <w:lang w:val="en-US" w:eastAsia="en-US" w:bidi="en-US"/>
        </w:rPr>
        <w:t xml:space="preserve"> had also been violated</w:t>
      </w:r>
      <w:r w:rsidR="004B2395" w:rsidRPr="00012C3F">
        <w:rPr>
          <w:rFonts w:eastAsia="MS Mincho" w:cs="Arial"/>
          <w:bCs/>
          <w:sz w:val="20"/>
          <w:szCs w:val="20"/>
          <w:lang w:val="en-US" w:eastAsia="en-US" w:bidi="en-US"/>
        </w:rPr>
        <w:t xml:space="preserve">, </w:t>
      </w:r>
      <w:r w:rsidRPr="00012C3F">
        <w:rPr>
          <w:rFonts w:eastAsia="MS Mincho" w:cs="Arial"/>
          <w:bCs/>
          <w:sz w:val="20"/>
          <w:szCs w:val="20"/>
          <w:lang w:val="en-US" w:eastAsia="en-US" w:bidi="en-US"/>
        </w:rPr>
        <w:t xml:space="preserve">in the understanding that the State failed to recognize </w:t>
      </w:r>
      <w:r w:rsidR="00DB08D1" w:rsidRPr="00012C3F">
        <w:rPr>
          <w:rFonts w:eastAsia="MS Mincho" w:cs="Arial"/>
          <w:bCs/>
          <w:sz w:val="20"/>
          <w:szCs w:val="20"/>
          <w:lang w:val="en-US" w:eastAsia="en-US" w:bidi="en-US"/>
        </w:rPr>
        <w:t>I.V’s</w:t>
      </w:r>
      <w:r w:rsidRPr="00012C3F">
        <w:rPr>
          <w:rFonts w:eastAsia="MS Mincho" w:cs="Arial"/>
          <w:bCs/>
          <w:sz w:val="20"/>
          <w:szCs w:val="20"/>
          <w:lang w:val="en-US" w:eastAsia="en-US" w:bidi="en-US"/>
        </w:rPr>
        <w:t xml:space="preserve"> dignity due, above all: (i) </w:t>
      </w:r>
      <w:r w:rsidR="00DB08D1" w:rsidRPr="00012C3F">
        <w:rPr>
          <w:rFonts w:eastAsia="MS Mincho" w:cs="Arial"/>
          <w:bCs/>
          <w:sz w:val="20"/>
          <w:szCs w:val="20"/>
          <w:lang w:val="en-US" w:eastAsia="en-US" w:bidi="en-US"/>
        </w:rPr>
        <w:t xml:space="preserve">to the fact that </w:t>
      </w:r>
      <w:r w:rsidRPr="00012C3F">
        <w:rPr>
          <w:rFonts w:eastAsia="MS Mincho" w:cs="Arial"/>
          <w:bCs/>
          <w:sz w:val="20"/>
          <w:szCs w:val="20"/>
          <w:lang w:val="en-US" w:eastAsia="en-US" w:bidi="en-US"/>
        </w:rPr>
        <w:t xml:space="preserve">even though Bolivian Health Regulation </w:t>
      </w:r>
      <w:r w:rsidRPr="00012C3F">
        <w:rPr>
          <w:rFonts w:eastAsia="MS Mincho" w:cs="Arial"/>
          <w:sz w:val="20"/>
          <w:szCs w:val="20"/>
          <w:lang w:val="en-US" w:eastAsia="en-US" w:bidi="en-US"/>
        </w:rPr>
        <w:t>MSPS-98, was in force, I.V. was subjected, without consulting her, to a highly invasive and irreversible procedure, as if her decision “was unimportant or of no value”; (ii)</w:t>
      </w:r>
      <w:r w:rsidR="00DB08D1" w:rsidRPr="00012C3F">
        <w:rPr>
          <w:rFonts w:eastAsia="MS Mincho" w:cs="Arial"/>
          <w:sz w:val="20"/>
          <w:szCs w:val="20"/>
          <w:lang w:val="en-US" w:eastAsia="en-US" w:bidi="en-US"/>
        </w:rPr>
        <w:t xml:space="preserve"> </w:t>
      </w:r>
      <w:r w:rsidR="00DB08D1" w:rsidRPr="00012C3F">
        <w:rPr>
          <w:rFonts w:eastAsia="MS Mincho" w:cs="Arial"/>
          <w:bCs/>
          <w:sz w:val="20"/>
          <w:szCs w:val="20"/>
          <w:lang w:val="en-US" w:eastAsia="en-US" w:bidi="en-US"/>
        </w:rPr>
        <w:t xml:space="preserve">the fact that </w:t>
      </w:r>
      <w:r w:rsidRPr="00012C3F">
        <w:rPr>
          <w:rFonts w:eastAsia="MS Mincho" w:cs="Arial"/>
          <w:sz w:val="20"/>
          <w:szCs w:val="20"/>
          <w:lang w:val="en-US" w:eastAsia="en-US" w:bidi="en-US"/>
        </w:rPr>
        <w:t xml:space="preserve">the medical team tried to obtain the written consent of I.V.’s </w:t>
      </w:r>
      <w:r w:rsidR="005E73C1" w:rsidRPr="00012C3F">
        <w:rPr>
          <w:rFonts w:eastAsia="MS Mincho" w:cs="Arial"/>
          <w:sz w:val="20"/>
          <w:szCs w:val="20"/>
          <w:lang w:val="en-US" w:eastAsia="en-US" w:bidi="en-US"/>
        </w:rPr>
        <w:t>partner whe</w:t>
      </w:r>
      <w:r w:rsidR="002961DA" w:rsidRPr="00012C3F">
        <w:rPr>
          <w:rFonts w:eastAsia="MS Mincho" w:cs="Arial"/>
          <w:sz w:val="20"/>
          <w:szCs w:val="20"/>
          <w:lang w:val="en-US" w:eastAsia="en-US" w:bidi="en-US"/>
        </w:rPr>
        <w:t>n</w:t>
      </w:r>
      <w:r w:rsidR="005E73C1" w:rsidRPr="00012C3F">
        <w:rPr>
          <w:rFonts w:eastAsia="MS Mincho" w:cs="Arial"/>
          <w:sz w:val="20"/>
          <w:szCs w:val="20"/>
          <w:lang w:val="en-US" w:eastAsia="en-US" w:bidi="en-US"/>
        </w:rPr>
        <w:t xml:space="preserve"> I.V. was in the operating theater also constituted a “very serious offense to the dignity of </w:t>
      </w:r>
      <w:r w:rsidR="00134BEC" w:rsidRPr="00012C3F">
        <w:rPr>
          <w:rFonts w:eastAsia="MS Mincho" w:cs="Arial"/>
          <w:sz w:val="20"/>
          <w:szCs w:val="20"/>
          <w:lang w:val="en-US" w:eastAsia="en-US" w:bidi="en-US"/>
        </w:rPr>
        <w:t>[</w:t>
      </w:r>
      <w:r w:rsidR="000E1C11" w:rsidRPr="00012C3F">
        <w:rPr>
          <w:rFonts w:eastAsia="MS Mincho" w:cs="Arial"/>
          <w:sz w:val="20"/>
          <w:szCs w:val="20"/>
          <w:lang w:val="en-US" w:eastAsia="en-US" w:bidi="en-US"/>
        </w:rPr>
        <w:t>I.V.</w:t>
      </w:r>
      <w:r w:rsidR="00134BEC" w:rsidRPr="00012C3F">
        <w:rPr>
          <w:rFonts w:eastAsia="MS Mincho" w:cs="Arial"/>
          <w:sz w:val="20"/>
          <w:szCs w:val="20"/>
          <w:lang w:val="en-US" w:eastAsia="en-US" w:bidi="en-US"/>
        </w:rPr>
        <w:t>]</w:t>
      </w:r>
      <w:r w:rsidR="005E73C1" w:rsidRPr="00012C3F">
        <w:rPr>
          <w:rFonts w:eastAsia="MS Mincho" w:cs="Arial"/>
          <w:sz w:val="20"/>
          <w:szCs w:val="20"/>
          <w:lang w:val="en-US" w:eastAsia="en-US" w:bidi="en-US"/>
        </w:rPr>
        <w:t>,</w:t>
      </w:r>
      <w:r w:rsidR="00134BEC" w:rsidRPr="00012C3F">
        <w:rPr>
          <w:rFonts w:eastAsia="MS Mincho" w:cs="Arial"/>
          <w:sz w:val="20"/>
          <w:szCs w:val="20"/>
          <w:lang w:val="en-US" w:eastAsia="en-US" w:bidi="en-US"/>
        </w:rPr>
        <w:t>”</w:t>
      </w:r>
      <w:r w:rsidR="005E73C1" w:rsidRPr="00012C3F">
        <w:rPr>
          <w:rFonts w:eastAsia="MS Mincho" w:cs="Arial"/>
          <w:sz w:val="20"/>
          <w:szCs w:val="20"/>
          <w:lang w:val="en-US" w:eastAsia="en-US" w:bidi="en-US"/>
        </w:rPr>
        <w:t xml:space="preserve"> because the decision on the tubal ligation corresponded only</w:t>
      </w:r>
      <w:r w:rsidR="002961DA" w:rsidRPr="00012C3F">
        <w:rPr>
          <w:rFonts w:eastAsia="MS Mincho" w:cs="Arial"/>
          <w:sz w:val="20"/>
          <w:szCs w:val="20"/>
          <w:lang w:val="en-US" w:eastAsia="en-US" w:bidi="en-US"/>
        </w:rPr>
        <w:t xml:space="preserve"> </w:t>
      </w:r>
      <w:r w:rsidR="005E73C1" w:rsidRPr="00012C3F">
        <w:rPr>
          <w:rFonts w:eastAsia="MS Mincho" w:cs="Arial"/>
          <w:sz w:val="20"/>
          <w:szCs w:val="20"/>
          <w:lang w:val="en-US" w:eastAsia="en-US" w:bidi="en-US"/>
        </w:rPr>
        <w:t xml:space="preserve">and exclusively to her, based on her reproductive autonomy; (iii) </w:t>
      </w:r>
      <w:r w:rsidR="00DB08D1" w:rsidRPr="00012C3F">
        <w:rPr>
          <w:rFonts w:eastAsia="MS Mincho" w:cs="Arial"/>
          <w:sz w:val="20"/>
          <w:szCs w:val="20"/>
          <w:lang w:val="en-US" w:eastAsia="en-US" w:bidi="en-US"/>
        </w:rPr>
        <w:t xml:space="preserve">the fact that </w:t>
      </w:r>
      <w:r w:rsidR="002961DA" w:rsidRPr="00012C3F">
        <w:rPr>
          <w:rFonts w:eastAsia="MS Mincho" w:cs="Arial"/>
          <w:sz w:val="20"/>
          <w:szCs w:val="20"/>
          <w:lang w:val="en-US" w:eastAsia="en-US" w:bidi="en-US"/>
        </w:rPr>
        <w:t xml:space="preserve">on the day </w:t>
      </w:r>
      <w:r w:rsidR="002961DA" w:rsidRPr="00012C3F">
        <w:rPr>
          <w:rFonts w:eastAsia="MS Mincho" w:cs="Arial"/>
          <w:sz w:val="20"/>
          <w:szCs w:val="20"/>
          <w:lang w:val="en-US" w:eastAsia="en-US" w:bidi="en-US"/>
        </w:rPr>
        <w:lastRenderedPageBreak/>
        <w:t xml:space="preserve">following the operation, a doctor told I.V. very casually and </w:t>
      </w:r>
      <w:r w:rsidR="00DB08D1" w:rsidRPr="00012C3F">
        <w:rPr>
          <w:rFonts w:eastAsia="MS Mincho" w:cs="Arial"/>
          <w:sz w:val="20"/>
          <w:szCs w:val="20"/>
          <w:lang w:val="en-US" w:eastAsia="en-US" w:bidi="en-US"/>
        </w:rPr>
        <w:t>unconcernedly</w:t>
      </w:r>
      <w:r w:rsidR="002961DA" w:rsidRPr="00012C3F">
        <w:rPr>
          <w:rFonts w:eastAsia="MS Mincho" w:cs="Arial"/>
          <w:sz w:val="20"/>
          <w:szCs w:val="20"/>
          <w:lang w:val="en-US" w:eastAsia="en-US" w:bidi="en-US"/>
        </w:rPr>
        <w:t xml:space="preserve">, that she had been sterilized; (iv) </w:t>
      </w:r>
      <w:r w:rsidR="00DB08D1" w:rsidRPr="00012C3F">
        <w:rPr>
          <w:rFonts w:eastAsia="MS Mincho" w:cs="Arial"/>
          <w:sz w:val="20"/>
          <w:szCs w:val="20"/>
          <w:lang w:val="en-US" w:eastAsia="en-US" w:bidi="en-US"/>
        </w:rPr>
        <w:t xml:space="preserve">the fact that </w:t>
      </w:r>
      <w:r w:rsidR="002961DA" w:rsidRPr="00012C3F">
        <w:rPr>
          <w:rFonts w:eastAsia="MS Mincho" w:cs="Arial"/>
          <w:sz w:val="20"/>
          <w:szCs w:val="20"/>
          <w:lang w:val="en-US" w:eastAsia="en-US" w:bidi="en-US"/>
        </w:rPr>
        <w:t xml:space="preserve">during the procedure before the Commission, the State </w:t>
      </w:r>
      <w:r w:rsidR="00DB08D1" w:rsidRPr="00012C3F">
        <w:rPr>
          <w:rFonts w:eastAsia="MS Mincho" w:cs="Arial"/>
          <w:sz w:val="20"/>
          <w:szCs w:val="20"/>
          <w:lang w:val="en-US" w:eastAsia="en-US" w:bidi="en-US"/>
        </w:rPr>
        <w:t>argued</w:t>
      </w:r>
      <w:r w:rsidR="002961DA" w:rsidRPr="00012C3F">
        <w:rPr>
          <w:rFonts w:eastAsia="MS Mincho" w:cs="Arial"/>
          <w:sz w:val="20"/>
          <w:szCs w:val="20"/>
          <w:lang w:val="en-US" w:eastAsia="en-US" w:bidi="en-US"/>
        </w:rPr>
        <w:t xml:space="preserve"> that I.V. had not indicated </w:t>
      </w:r>
      <w:r w:rsidR="00DB08D1" w:rsidRPr="00012C3F">
        <w:rPr>
          <w:rFonts w:eastAsia="MS Mincho" w:cs="Arial"/>
          <w:sz w:val="20"/>
          <w:szCs w:val="20"/>
          <w:lang w:val="en-US" w:eastAsia="en-US" w:bidi="en-US"/>
        </w:rPr>
        <w:t xml:space="preserve">an </w:t>
      </w:r>
      <w:r w:rsidR="002961DA" w:rsidRPr="00012C3F">
        <w:rPr>
          <w:rFonts w:eastAsia="MS Mincho" w:cs="Arial"/>
          <w:sz w:val="20"/>
          <w:szCs w:val="20"/>
          <w:lang w:val="en-US" w:eastAsia="en-US" w:bidi="en-US"/>
        </w:rPr>
        <w:t xml:space="preserve">intention to request </w:t>
      </w:r>
      <w:r w:rsidR="00DB08D1" w:rsidRPr="00012C3F">
        <w:rPr>
          <w:rFonts w:eastAsia="MS Mincho" w:cs="Arial"/>
          <w:sz w:val="20"/>
          <w:szCs w:val="20"/>
          <w:lang w:val="en-US" w:eastAsia="en-US" w:bidi="en-US"/>
        </w:rPr>
        <w:t>reversal of</w:t>
      </w:r>
      <w:r w:rsidR="002961DA" w:rsidRPr="00012C3F">
        <w:rPr>
          <w:rFonts w:eastAsia="MS Mincho" w:cs="Arial"/>
          <w:sz w:val="20"/>
          <w:szCs w:val="20"/>
          <w:lang w:val="en-US" w:eastAsia="en-US" w:bidi="en-US"/>
        </w:rPr>
        <w:t xml:space="preserve"> the tubal ligation, and (v) </w:t>
      </w:r>
      <w:r w:rsidR="00DB08D1" w:rsidRPr="00012C3F">
        <w:rPr>
          <w:rFonts w:eastAsia="MS Mincho" w:cs="Arial"/>
          <w:sz w:val="20"/>
          <w:szCs w:val="20"/>
          <w:lang w:val="en-US" w:eastAsia="en-US" w:bidi="en-US"/>
        </w:rPr>
        <w:t xml:space="preserve">the fact that </w:t>
      </w:r>
      <w:r w:rsidR="002961DA" w:rsidRPr="00012C3F">
        <w:rPr>
          <w:rFonts w:eastAsia="MS Mincho" w:cs="Arial"/>
          <w:sz w:val="20"/>
          <w:szCs w:val="20"/>
          <w:lang w:val="en-US" w:eastAsia="en-US" w:bidi="en-US"/>
        </w:rPr>
        <w:t xml:space="preserve">during the domestic investigations and proceedings, which </w:t>
      </w:r>
      <w:r w:rsidR="00DB08D1" w:rsidRPr="00012C3F">
        <w:rPr>
          <w:rFonts w:eastAsia="MS Mincho" w:cs="Arial"/>
          <w:sz w:val="20"/>
          <w:szCs w:val="20"/>
          <w:lang w:val="en-US" w:eastAsia="en-US" w:bidi="en-US"/>
        </w:rPr>
        <w:t>I.V.</w:t>
      </w:r>
      <w:r w:rsidR="002961DA" w:rsidRPr="00012C3F">
        <w:rPr>
          <w:rFonts w:eastAsia="MS Mincho" w:cs="Arial"/>
          <w:sz w:val="20"/>
          <w:szCs w:val="20"/>
          <w:lang w:val="en-US" w:eastAsia="en-US" w:bidi="en-US"/>
        </w:rPr>
        <w:t xml:space="preserve"> had to promote </w:t>
      </w:r>
      <w:r w:rsidR="00DB08D1" w:rsidRPr="00012C3F">
        <w:rPr>
          <w:rFonts w:eastAsia="MS Mincho" w:cs="Arial"/>
          <w:sz w:val="20"/>
          <w:szCs w:val="20"/>
          <w:lang w:val="en-US" w:eastAsia="en-US" w:bidi="en-US"/>
        </w:rPr>
        <w:t>and</w:t>
      </w:r>
      <w:r w:rsidR="002961DA" w:rsidRPr="00012C3F">
        <w:rPr>
          <w:rFonts w:eastAsia="MS Mincho" w:cs="Arial"/>
          <w:sz w:val="20"/>
          <w:szCs w:val="20"/>
          <w:lang w:val="en-US" w:eastAsia="en-US" w:bidi="en-US"/>
        </w:rPr>
        <w:t xml:space="preserve"> take part in, she experienced</w:t>
      </w:r>
      <w:r w:rsidR="00DB08D1" w:rsidRPr="00012C3F">
        <w:rPr>
          <w:rFonts w:eastAsia="MS Mincho" w:cs="Arial"/>
          <w:sz w:val="20"/>
          <w:szCs w:val="20"/>
          <w:lang w:val="en-US" w:eastAsia="en-US" w:bidi="en-US"/>
        </w:rPr>
        <w:t xml:space="preserve"> constant</w:t>
      </w:r>
      <w:r w:rsidR="002961DA" w:rsidRPr="00012C3F">
        <w:rPr>
          <w:rFonts w:eastAsia="MS Mincho" w:cs="Arial"/>
          <w:sz w:val="20"/>
          <w:szCs w:val="20"/>
          <w:lang w:val="en-US" w:eastAsia="en-US" w:bidi="en-US"/>
        </w:rPr>
        <w:t xml:space="preserve"> re-victimization and</w:t>
      </w:r>
      <w:r w:rsidR="00DB08D1" w:rsidRPr="00012C3F">
        <w:rPr>
          <w:rFonts w:eastAsia="MS Mincho" w:cs="Arial"/>
          <w:sz w:val="20"/>
          <w:szCs w:val="20"/>
          <w:lang w:val="en-US" w:eastAsia="en-US" w:bidi="en-US"/>
        </w:rPr>
        <w:t xml:space="preserve"> was confronted by</w:t>
      </w:r>
      <w:r w:rsidR="002961DA" w:rsidRPr="00012C3F">
        <w:rPr>
          <w:rFonts w:eastAsia="MS Mincho" w:cs="Arial"/>
          <w:sz w:val="20"/>
          <w:szCs w:val="20"/>
          <w:lang w:val="en-US" w:eastAsia="en-US" w:bidi="en-US"/>
        </w:rPr>
        <w:t xml:space="preserve"> the corporate cover-up that the doctors provided to their colleagues.</w:t>
      </w:r>
    </w:p>
    <w:p w14:paraId="3E50DF10" w14:textId="77777777" w:rsidR="004B2395" w:rsidRPr="00012C3F" w:rsidRDefault="004B2395" w:rsidP="004B2395">
      <w:pPr>
        <w:tabs>
          <w:tab w:val="left" w:pos="567"/>
        </w:tabs>
        <w:spacing w:line="240" w:lineRule="auto"/>
        <w:rPr>
          <w:rFonts w:eastAsia="Calibri" w:cs="Arial"/>
          <w:sz w:val="20"/>
          <w:szCs w:val="20"/>
          <w:lang w:val="en-US"/>
        </w:rPr>
      </w:pPr>
    </w:p>
    <w:p w14:paraId="3F8A3697" w14:textId="77777777" w:rsidR="002423DE" w:rsidRPr="00012C3F" w:rsidRDefault="00A84CA0" w:rsidP="002961DA">
      <w:pPr>
        <w:widowControl/>
        <w:numPr>
          <w:ilvl w:val="0"/>
          <w:numId w:val="5"/>
        </w:numPr>
        <w:tabs>
          <w:tab w:val="left" w:pos="720"/>
          <w:tab w:val="num" w:pos="12305"/>
        </w:tabs>
        <w:autoSpaceDE w:val="0"/>
        <w:autoSpaceDN w:val="0"/>
        <w:adjustRightInd/>
        <w:spacing w:line="240" w:lineRule="auto"/>
        <w:ind w:left="0" w:right="-90" w:firstLine="0"/>
        <w:textAlignment w:val="auto"/>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State</w:t>
      </w:r>
      <w:r w:rsidR="004B2395" w:rsidRPr="00012C3F">
        <w:rPr>
          <w:rFonts w:eastAsia="MS Mincho" w:cs="Arial"/>
          <w:sz w:val="20"/>
          <w:szCs w:val="20"/>
          <w:lang w:val="en-US" w:eastAsia="en-US" w:bidi="en-US"/>
        </w:rPr>
        <w:t xml:space="preserve"> </w:t>
      </w:r>
      <w:r w:rsidR="002423DE" w:rsidRPr="00012C3F">
        <w:rPr>
          <w:rFonts w:eastAsia="MS Mincho" w:cs="Arial"/>
          <w:sz w:val="20"/>
          <w:szCs w:val="20"/>
          <w:lang w:val="en-US" w:eastAsia="en-US" w:bidi="en-US"/>
        </w:rPr>
        <w:t>a</w:t>
      </w:r>
      <w:r w:rsidR="00FB2400" w:rsidRPr="00012C3F">
        <w:rPr>
          <w:rFonts w:eastAsia="MS Mincho" w:cs="Arial"/>
          <w:sz w:val="20"/>
          <w:szCs w:val="20"/>
          <w:lang w:val="en-US" w:eastAsia="en-US" w:bidi="en-US"/>
        </w:rPr>
        <w:t>rgued</w:t>
      </w:r>
      <w:r w:rsidR="002423DE" w:rsidRPr="00012C3F">
        <w:rPr>
          <w:rFonts w:eastAsia="MS Mincho" w:cs="Arial"/>
          <w:sz w:val="20"/>
          <w:szCs w:val="20"/>
          <w:lang w:val="en-US" w:eastAsia="en-US" w:bidi="en-US"/>
        </w:rPr>
        <w:t xml:space="preserve"> that I.V., by a “rational assessment and weighing </w:t>
      </w:r>
      <w:r w:rsidR="00DB08D1" w:rsidRPr="00012C3F">
        <w:rPr>
          <w:rFonts w:eastAsia="MS Mincho" w:cs="Arial"/>
          <w:sz w:val="20"/>
          <w:szCs w:val="20"/>
          <w:lang w:val="en-US" w:eastAsia="en-US" w:bidi="en-US"/>
        </w:rPr>
        <w:t xml:space="preserve">up </w:t>
      </w:r>
      <w:r w:rsidR="002423DE" w:rsidRPr="00012C3F">
        <w:rPr>
          <w:rFonts w:eastAsia="MS Mincho" w:cs="Arial"/>
          <w:sz w:val="20"/>
          <w:szCs w:val="20"/>
          <w:lang w:val="en-US" w:eastAsia="en-US" w:bidi="en-US"/>
        </w:rPr>
        <w:t xml:space="preserve">of her right to life versus her right to reproduction, with appropriate counseling, decided to safeguard her life in light of the imminent risk posed by a possible pregnancy, giving her consent to a tubal ligation, an autonomous decision, in which the State did not intervene.” Accordingly, the State considered that </w:t>
      </w:r>
      <w:r w:rsidR="00DB08D1" w:rsidRPr="00012C3F">
        <w:rPr>
          <w:rFonts w:eastAsia="MS Mincho" w:cs="Arial"/>
          <w:sz w:val="20"/>
          <w:szCs w:val="20"/>
          <w:lang w:val="en-US" w:eastAsia="en-US" w:bidi="en-US"/>
        </w:rPr>
        <w:t xml:space="preserve">I.V.’s </w:t>
      </w:r>
      <w:r w:rsidR="002423DE" w:rsidRPr="00012C3F">
        <w:rPr>
          <w:rFonts w:eastAsia="MS Mincho" w:cs="Arial"/>
          <w:sz w:val="20"/>
          <w:szCs w:val="20"/>
          <w:lang w:val="en-US" w:eastAsia="en-US" w:bidi="en-US"/>
        </w:rPr>
        <w:t xml:space="preserve">prior, free and voluntary consent meant that consent had been given to the tubal ligation and, therefore, the State had not interfered in the private sphere of her decisions or interfered arbitrarily or abusively in her private life, or with regard to her right to </w:t>
      </w:r>
      <w:r w:rsidR="00D64DA1" w:rsidRPr="00012C3F">
        <w:rPr>
          <w:rFonts w:eastAsia="MS Mincho" w:cs="Arial"/>
          <w:sz w:val="20"/>
          <w:szCs w:val="20"/>
          <w:lang w:val="en-US" w:eastAsia="en-US" w:bidi="en-US"/>
        </w:rPr>
        <w:t>raise</w:t>
      </w:r>
      <w:r w:rsidR="002423DE" w:rsidRPr="00012C3F">
        <w:rPr>
          <w:rFonts w:eastAsia="MS Mincho" w:cs="Arial"/>
          <w:sz w:val="20"/>
          <w:szCs w:val="20"/>
          <w:lang w:val="en-US" w:eastAsia="en-US" w:bidi="en-US"/>
        </w:rPr>
        <w:t xml:space="preserve"> a family. In addition, the State indicated that no causal nexus existed between the </w:t>
      </w:r>
      <w:r w:rsidR="00D64DA1" w:rsidRPr="00012C3F">
        <w:rPr>
          <w:rFonts w:eastAsia="MS Mincho" w:cs="Arial"/>
          <w:sz w:val="20"/>
          <w:szCs w:val="20"/>
          <w:lang w:val="en-US" w:eastAsia="en-US" w:bidi="en-US"/>
        </w:rPr>
        <w:t>procedure</w:t>
      </w:r>
      <w:r w:rsidR="002423DE" w:rsidRPr="00012C3F">
        <w:rPr>
          <w:rFonts w:eastAsia="MS Mincho" w:cs="Arial"/>
          <w:sz w:val="20"/>
          <w:szCs w:val="20"/>
          <w:lang w:val="en-US" w:eastAsia="en-US" w:bidi="en-US"/>
        </w:rPr>
        <w:t xml:space="preserve"> performed and the decision </w:t>
      </w:r>
      <w:r w:rsidR="00D64DA1" w:rsidRPr="00012C3F">
        <w:rPr>
          <w:rFonts w:eastAsia="MS Mincho" w:cs="Arial"/>
          <w:sz w:val="20"/>
          <w:szCs w:val="20"/>
          <w:lang w:val="en-US" w:eastAsia="en-US" w:bidi="en-US"/>
        </w:rPr>
        <w:t>to raise</w:t>
      </w:r>
      <w:r w:rsidR="002423DE" w:rsidRPr="00012C3F">
        <w:rPr>
          <w:rFonts w:eastAsia="MS Mincho" w:cs="Arial"/>
          <w:sz w:val="20"/>
          <w:szCs w:val="20"/>
          <w:lang w:val="en-US" w:eastAsia="en-US" w:bidi="en-US"/>
        </w:rPr>
        <w:t xml:space="preserve"> a family because, at the time, I.V. </w:t>
      </w:r>
      <w:r w:rsidR="00D64DA1" w:rsidRPr="00012C3F">
        <w:rPr>
          <w:rFonts w:eastAsia="MS Mincho" w:cs="Arial"/>
          <w:sz w:val="20"/>
          <w:szCs w:val="20"/>
          <w:lang w:val="en-US" w:eastAsia="en-US" w:bidi="en-US"/>
        </w:rPr>
        <w:t xml:space="preserve">had </w:t>
      </w:r>
      <w:r w:rsidR="002423DE" w:rsidRPr="00012C3F">
        <w:rPr>
          <w:rFonts w:eastAsia="MS Mincho" w:cs="Arial"/>
          <w:sz w:val="20"/>
          <w:szCs w:val="20"/>
          <w:lang w:val="en-US" w:eastAsia="en-US" w:bidi="en-US"/>
        </w:rPr>
        <w:t xml:space="preserve">already </w:t>
      </w:r>
      <w:r w:rsidR="00D64DA1" w:rsidRPr="00012C3F">
        <w:rPr>
          <w:rFonts w:eastAsia="MS Mincho" w:cs="Arial"/>
          <w:sz w:val="20"/>
          <w:szCs w:val="20"/>
          <w:lang w:val="en-US" w:eastAsia="en-US" w:bidi="en-US"/>
        </w:rPr>
        <w:t>founded</w:t>
      </w:r>
      <w:r w:rsidR="002423DE" w:rsidRPr="00012C3F">
        <w:rPr>
          <w:rFonts w:eastAsia="MS Mincho" w:cs="Arial"/>
          <w:sz w:val="20"/>
          <w:szCs w:val="20"/>
          <w:lang w:val="en-US" w:eastAsia="en-US" w:bidi="en-US"/>
        </w:rPr>
        <w:t xml:space="preserve"> a family. The State </w:t>
      </w:r>
      <w:r w:rsidR="00FB2400" w:rsidRPr="00012C3F">
        <w:rPr>
          <w:rFonts w:eastAsia="MS Mincho" w:cs="Arial"/>
          <w:sz w:val="20"/>
          <w:szCs w:val="20"/>
          <w:lang w:val="en-US" w:eastAsia="en-US" w:bidi="en-US"/>
        </w:rPr>
        <w:t>affirmed</w:t>
      </w:r>
      <w:r w:rsidR="002423DE" w:rsidRPr="00012C3F">
        <w:rPr>
          <w:rFonts w:eastAsia="MS Mincho" w:cs="Arial"/>
          <w:sz w:val="20"/>
          <w:szCs w:val="20"/>
          <w:lang w:val="en-US" w:eastAsia="en-US" w:bidi="en-US"/>
        </w:rPr>
        <w:t xml:space="preserve"> that the representative’s arguments were contradictory, because </w:t>
      </w:r>
      <w:r w:rsidR="00232F0D" w:rsidRPr="00012C3F">
        <w:rPr>
          <w:rFonts w:eastAsia="MS Mincho" w:cs="Arial"/>
          <w:sz w:val="20"/>
          <w:szCs w:val="20"/>
          <w:lang w:val="en-US" w:eastAsia="en-US" w:bidi="en-US"/>
        </w:rPr>
        <w:t xml:space="preserve">it contrasted the right of a man and a woman to </w:t>
      </w:r>
      <w:r w:rsidR="0081491F" w:rsidRPr="00012C3F">
        <w:rPr>
          <w:rFonts w:eastAsia="MS Mincho" w:cs="Arial"/>
          <w:sz w:val="20"/>
          <w:szCs w:val="20"/>
          <w:lang w:val="en-US" w:eastAsia="en-US" w:bidi="en-US"/>
        </w:rPr>
        <w:t>raise a family</w:t>
      </w:r>
      <w:r w:rsidR="00232F0D" w:rsidRPr="00012C3F">
        <w:rPr>
          <w:rFonts w:eastAsia="MS Mincho" w:cs="Arial"/>
          <w:sz w:val="20"/>
          <w:szCs w:val="20"/>
          <w:lang w:val="en-US" w:eastAsia="en-US" w:bidi="en-US"/>
        </w:rPr>
        <w:t>, a decision that should be taken by both of them, with the right that allows a woman to have absolute autonomy and control over her body. The State did not refer explicitly to I.V.’s right to protection of her dignity.</w:t>
      </w:r>
    </w:p>
    <w:bookmarkEnd w:id="123"/>
    <w:p w14:paraId="345D072A" w14:textId="77777777" w:rsidR="004B2395" w:rsidRPr="00012C3F" w:rsidRDefault="004B2395" w:rsidP="004B2395">
      <w:pPr>
        <w:tabs>
          <w:tab w:val="left" w:pos="567"/>
        </w:tabs>
        <w:spacing w:line="240" w:lineRule="auto"/>
        <w:rPr>
          <w:rFonts w:eastAsia="Calibri" w:cs="Arial"/>
          <w:sz w:val="20"/>
          <w:szCs w:val="20"/>
          <w:lang w:val="en-US" w:eastAsia="en-US"/>
        </w:rPr>
      </w:pPr>
    </w:p>
    <w:p w14:paraId="6FE89498" w14:textId="77777777" w:rsidR="004B2395" w:rsidRPr="00012C3F" w:rsidRDefault="004B2395" w:rsidP="0039676A">
      <w:pPr>
        <w:pStyle w:val="Ttulo2"/>
        <w:tabs>
          <w:tab w:val="left" w:pos="1701"/>
        </w:tabs>
        <w:spacing w:before="0" w:line="240" w:lineRule="auto"/>
        <w:ind w:left="1134"/>
        <w:rPr>
          <w:rFonts w:ascii="Verdana" w:hAnsi="Verdana"/>
          <w:b w:val="0"/>
          <w:i/>
          <w:color w:val="auto"/>
          <w:sz w:val="20"/>
          <w:szCs w:val="20"/>
          <w:lang w:val="en-US"/>
        </w:rPr>
      </w:pPr>
      <w:bookmarkStart w:id="124" w:name="_Toc445290348"/>
      <w:bookmarkStart w:id="125" w:name="_Toc27486858"/>
      <w:bookmarkStart w:id="126" w:name="_Toc416260586"/>
      <w:r w:rsidRPr="00012C3F">
        <w:rPr>
          <w:rFonts w:ascii="Verdana" w:hAnsi="Verdana"/>
          <w:b w:val="0"/>
          <w:i/>
          <w:color w:val="auto"/>
          <w:sz w:val="20"/>
          <w:szCs w:val="20"/>
          <w:lang w:val="en-US"/>
        </w:rPr>
        <w:t xml:space="preserve">A.4 </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 right</w:t>
      </w:r>
      <w:r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to recognition of juridical personality</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Pr="00012C3F">
        <w:rPr>
          <w:rFonts w:ascii="Verdana" w:hAnsi="Verdana"/>
          <w:b w:val="0"/>
          <w:i/>
          <w:color w:val="auto"/>
          <w:sz w:val="20"/>
          <w:szCs w:val="20"/>
          <w:lang w:val="en-US"/>
        </w:rPr>
        <w:t xml:space="preserve"> 3</w:t>
      </w:r>
      <w:r w:rsidR="001254DE" w:rsidRPr="00012C3F">
        <w:rPr>
          <w:rFonts w:ascii="Verdana" w:hAnsi="Verdana"/>
          <w:b w:val="0"/>
          <w:i/>
          <w:color w:val="auto"/>
          <w:sz w:val="20"/>
          <w:szCs w:val="20"/>
          <w:lang w:val="en-US"/>
        </w:rPr>
        <w:t xml:space="preserve"> of the American Convention</w:t>
      </w:r>
      <w:r w:rsidRPr="00012C3F">
        <w:rPr>
          <w:rFonts w:ascii="Verdana" w:hAnsi="Verdana"/>
          <w:b w:val="0"/>
          <w:i/>
          <w:color w:val="auto"/>
          <w:sz w:val="20"/>
          <w:szCs w:val="20"/>
          <w:lang w:val="en-US"/>
        </w:rPr>
        <w:t>)</w:t>
      </w:r>
      <w:bookmarkEnd w:id="124"/>
      <w:bookmarkEnd w:id="125"/>
    </w:p>
    <w:p w14:paraId="48999037" w14:textId="77777777" w:rsidR="004B2395" w:rsidRPr="00012C3F" w:rsidRDefault="004B2395" w:rsidP="004B2395">
      <w:pPr>
        <w:widowControl/>
        <w:autoSpaceDE w:val="0"/>
        <w:autoSpaceDN w:val="0"/>
        <w:spacing w:line="240" w:lineRule="auto"/>
        <w:textAlignment w:val="auto"/>
        <w:rPr>
          <w:rFonts w:eastAsia="Calibri" w:cs="Arial"/>
          <w:sz w:val="20"/>
          <w:szCs w:val="20"/>
          <w:lang w:val="en-US" w:eastAsia="en-US"/>
        </w:rPr>
      </w:pPr>
    </w:p>
    <w:p w14:paraId="463E77B4" w14:textId="77777777" w:rsidR="00232F0D" w:rsidRPr="00012C3F" w:rsidRDefault="00972ACF" w:rsidP="00232F0D">
      <w:pPr>
        <w:widowControl/>
        <w:numPr>
          <w:ilvl w:val="0"/>
          <w:numId w:val="5"/>
        </w:numPr>
        <w:tabs>
          <w:tab w:val="left" w:pos="720"/>
          <w:tab w:val="num" w:pos="12305"/>
        </w:tabs>
        <w:adjustRightInd/>
        <w:spacing w:line="240" w:lineRule="auto"/>
        <w:ind w:left="0" w:right="-90" w:firstLine="0"/>
        <w:textAlignment w:val="auto"/>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representative</w:t>
      </w:r>
      <w:r w:rsidR="004B2395" w:rsidRPr="00012C3F">
        <w:rPr>
          <w:rFonts w:eastAsia="MS Mincho" w:cs="Arial"/>
          <w:b/>
          <w:bCs/>
          <w:i/>
          <w:iCs/>
          <w:sz w:val="20"/>
          <w:szCs w:val="20"/>
          <w:lang w:val="en-US" w:eastAsia="en-US" w:bidi="en-US"/>
        </w:rPr>
        <w:t xml:space="preserve"> </w:t>
      </w:r>
      <w:r w:rsidR="00FB2400" w:rsidRPr="00012C3F">
        <w:rPr>
          <w:rFonts w:eastAsia="MS Mincho" w:cs="Arial"/>
          <w:sz w:val="20"/>
          <w:szCs w:val="20"/>
          <w:lang w:val="en-US" w:eastAsia="en-US" w:bidi="en-US"/>
        </w:rPr>
        <w:t>a</w:t>
      </w:r>
      <w:r w:rsidR="00505CB6" w:rsidRPr="00012C3F">
        <w:rPr>
          <w:rFonts w:eastAsia="MS Mincho" w:cs="Arial"/>
          <w:sz w:val="20"/>
          <w:szCs w:val="20"/>
          <w:lang w:val="en-US" w:eastAsia="en-US" w:bidi="en-US"/>
        </w:rPr>
        <w:t>rgued</w:t>
      </w:r>
      <w:r w:rsidR="00232F0D" w:rsidRPr="00012C3F">
        <w:rPr>
          <w:rFonts w:eastAsia="MS Mincho" w:cs="Arial"/>
          <w:sz w:val="20"/>
          <w:szCs w:val="20"/>
          <w:lang w:val="en-US" w:eastAsia="en-US" w:bidi="en-US"/>
        </w:rPr>
        <w:t xml:space="preserve"> that the right</w:t>
      </w:r>
      <w:r w:rsidR="004B2395" w:rsidRPr="00012C3F">
        <w:rPr>
          <w:rFonts w:eastAsia="MS Mincho" w:cs="Arial"/>
          <w:sz w:val="20"/>
          <w:szCs w:val="20"/>
          <w:lang w:val="en-US" w:eastAsia="en-US" w:bidi="en-US"/>
        </w:rPr>
        <w:t xml:space="preserve"> </w:t>
      </w:r>
      <w:r w:rsidR="006C705C" w:rsidRPr="00012C3F">
        <w:rPr>
          <w:rFonts w:eastAsia="MS Mincho" w:cs="Arial"/>
          <w:sz w:val="20"/>
          <w:szCs w:val="20"/>
          <w:lang w:val="en-US" w:eastAsia="en-US" w:bidi="en-US"/>
        </w:rPr>
        <w:t>to recognition of juridical personality</w:t>
      </w:r>
      <w:r w:rsidR="004B2395" w:rsidRPr="00012C3F">
        <w:rPr>
          <w:rFonts w:eastAsia="MS Mincho" w:cs="Arial"/>
          <w:sz w:val="20"/>
          <w:szCs w:val="20"/>
          <w:lang w:val="en-US" w:eastAsia="en-US" w:bidi="en-US"/>
        </w:rPr>
        <w:t xml:space="preserve"> </w:t>
      </w:r>
      <w:r w:rsidR="00232F0D" w:rsidRPr="00012C3F">
        <w:rPr>
          <w:rFonts w:eastAsia="MS Mincho" w:cs="Arial"/>
          <w:sz w:val="20"/>
          <w:szCs w:val="20"/>
          <w:lang w:val="en-US" w:eastAsia="en-US" w:bidi="en-US"/>
        </w:rPr>
        <w:t xml:space="preserve">was autonomous and </w:t>
      </w:r>
      <w:r w:rsidR="00FB2400" w:rsidRPr="00012C3F">
        <w:rPr>
          <w:rFonts w:eastAsia="MS Mincho" w:cs="Arial"/>
          <w:sz w:val="20"/>
          <w:szCs w:val="20"/>
          <w:lang w:val="en-US" w:eastAsia="en-US" w:bidi="en-US"/>
        </w:rPr>
        <w:t xml:space="preserve">it </w:t>
      </w:r>
      <w:r w:rsidR="00232F0D" w:rsidRPr="00012C3F">
        <w:rPr>
          <w:rFonts w:eastAsia="MS Mincho" w:cs="Arial"/>
          <w:sz w:val="20"/>
          <w:szCs w:val="20"/>
          <w:lang w:val="en-US" w:eastAsia="en-US" w:bidi="en-US"/>
        </w:rPr>
        <w:t xml:space="preserve">was not violated </w:t>
      </w:r>
      <w:r w:rsidR="00FB2400" w:rsidRPr="00012C3F">
        <w:rPr>
          <w:rFonts w:eastAsia="MS Mincho" w:cs="Arial"/>
          <w:sz w:val="20"/>
          <w:szCs w:val="20"/>
          <w:lang w:val="en-US" w:eastAsia="en-US" w:bidi="en-US"/>
        </w:rPr>
        <w:t xml:space="preserve">merely </w:t>
      </w:r>
      <w:r w:rsidR="00232F0D" w:rsidRPr="00012C3F">
        <w:rPr>
          <w:rFonts w:eastAsia="MS Mincho" w:cs="Arial"/>
          <w:sz w:val="20"/>
          <w:szCs w:val="20"/>
          <w:lang w:val="en-US" w:eastAsia="en-US" w:bidi="en-US"/>
        </w:rPr>
        <w:t xml:space="preserve">in cases of enforced disappearance. She considered that the medical team decided, unilaterally, to perform a tubal ligation on I.V.’s reproductive organ, without consulting her as to whether she consented to this procedure. </w:t>
      </w:r>
      <w:r w:rsidRPr="00012C3F">
        <w:rPr>
          <w:rFonts w:eastAsia="MS Mincho" w:cs="Arial"/>
          <w:sz w:val="20"/>
          <w:szCs w:val="20"/>
          <w:lang w:val="en-US" w:eastAsia="en-US" w:bidi="en-US"/>
        </w:rPr>
        <w:t>The representative</w:t>
      </w:r>
      <w:r w:rsidR="004B2395" w:rsidRPr="00012C3F">
        <w:rPr>
          <w:rFonts w:eastAsia="MS Mincho" w:cs="Arial"/>
          <w:sz w:val="20"/>
          <w:szCs w:val="20"/>
          <w:lang w:val="en-US" w:eastAsia="en-US" w:bidi="en-US"/>
        </w:rPr>
        <w:t xml:space="preserve"> </w:t>
      </w:r>
      <w:r w:rsidR="00232F0D" w:rsidRPr="00012C3F">
        <w:rPr>
          <w:rFonts w:eastAsia="MS Mincho" w:cs="Arial"/>
          <w:sz w:val="20"/>
          <w:szCs w:val="20"/>
          <w:lang w:val="en-US" w:eastAsia="en-US" w:bidi="en-US"/>
        </w:rPr>
        <w:t xml:space="preserve">argued that I.V. had the right to be recognized as a subject of rights by the medical team, but this did not </w:t>
      </w:r>
      <w:r w:rsidR="00FB2400" w:rsidRPr="00012C3F">
        <w:rPr>
          <w:rFonts w:eastAsia="MS Mincho" w:cs="Arial"/>
          <w:sz w:val="20"/>
          <w:szCs w:val="20"/>
          <w:lang w:val="en-US" w:eastAsia="en-US" w:bidi="en-US"/>
        </w:rPr>
        <w:t>happen</w:t>
      </w:r>
      <w:r w:rsidR="00232F0D" w:rsidRPr="00012C3F">
        <w:rPr>
          <w:rFonts w:eastAsia="MS Mincho" w:cs="Arial"/>
          <w:sz w:val="20"/>
          <w:szCs w:val="20"/>
          <w:lang w:val="en-US" w:eastAsia="en-US" w:bidi="en-US"/>
        </w:rPr>
        <w:t xml:space="preserve">, because </w:t>
      </w:r>
      <w:r w:rsidR="00FB2400" w:rsidRPr="00012C3F">
        <w:rPr>
          <w:rFonts w:eastAsia="MS Mincho" w:cs="Arial"/>
          <w:sz w:val="20"/>
          <w:szCs w:val="20"/>
          <w:lang w:val="en-US" w:eastAsia="en-US" w:bidi="en-US"/>
        </w:rPr>
        <w:t>the team</w:t>
      </w:r>
      <w:r w:rsidR="00232F0D" w:rsidRPr="00012C3F">
        <w:rPr>
          <w:rFonts w:eastAsia="MS Mincho" w:cs="Arial"/>
          <w:sz w:val="20"/>
          <w:szCs w:val="20"/>
          <w:lang w:val="en-US" w:eastAsia="en-US" w:bidi="en-US"/>
        </w:rPr>
        <w:t xml:space="preserve"> ignored the fact that the situation involved a woman with the right to decide autonomously about her private life, her humanity, her physical and emotional integrity</w:t>
      </w:r>
      <w:r w:rsidR="00FB2400" w:rsidRPr="00012C3F">
        <w:rPr>
          <w:rFonts w:eastAsia="MS Mincho" w:cs="Arial"/>
          <w:sz w:val="20"/>
          <w:szCs w:val="20"/>
          <w:lang w:val="en-US" w:eastAsia="en-US" w:bidi="en-US"/>
        </w:rPr>
        <w:t>,</w:t>
      </w:r>
      <w:r w:rsidR="00232F0D" w:rsidRPr="00012C3F">
        <w:rPr>
          <w:rFonts w:eastAsia="MS Mincho" w:cs="Arial"/>
          <w:sz w:val="20"/>
          <w:szCs w:val="20"/>
          <w:lang w:val="en-US" w:eastAsia="en-US" w:bidi="en-US"/>
        </w:rPr>
        <w:t xml:space="preserve"> and her reproductive rights. </w:t>
      </w:r>
      <w:r w:rsidRPr="00012C3F">
        <w:rPr>
          <w:rFonts w:eastAsia="MS Mincho" w:cs="Arial"/>
          <w:sz w:val="20"/>
          <w:szCs w:val="20"/>
          <w:lang w:val="en-US" w:eastAsia="en-US" w:bidi="en-US"/>
        </w:rPr>
        <w:t>The representative</w:t>
      </w:r>
      <w:r w:rsidR="004B2395" w:rsidRPr="00012C3F">
        <w:rPr>
          <w:rFonts w:eastAsia="MS Mincho" w:cs="Arial"/>
          <w:sz w:val="20"/>
          <w:szCs w:val="20"/>
          <w:lang w:val="en-US" w:eastAsia="en-US" w:bidi="en-US"/>
        </w:rPr>
        <w:t xml:space="preserve"> </w:t>
      </w:r>
      <w:r w:rsidR="00232F0D" w:rsidRPr="00012C3F">
        <w:rPr>
          <w:rFonts w:eastAsia="MS Mincho" w:cs="Arial"/>
          <w:sz w:val="20"/>
          <w:szCs w:val="20"/>
          <w:lang w:val="en-US" w:eastAsia="en-US" w:bidi="en-US"/>
        </w:rPr>
        <w:t>added that, even if the situation outlined by the State concerning I.V.’s verbal acceptance of the surgical procedure</w:t>
      </w:r>
      <w:r w:rsidR="00FB2400" w:rsidRPr="00012C3F">
        <w:rPr>
          <w:rFonts w:eastAsia="MS Mincho" w:cs="Arial"/>
          <w:sz w:val="20"/>
          <w:szCs w:val="20"/>
          <w:lang w:val="en-US" w:eastAsia="en-US" w:bidi="en-US"/>
        </w:rPr>
        <w:t xml:space="preserve"> were to be accepted</w:t>
      </w:r>
      <w:r w:rsidR="00232F0D" w:rsidRPr="00012C3F">
        <w:rPr>
          <w:rFonts w:eastAsia="MS Mincho" w:cs="Arial"/>
          <w:sz w:val="20"/>
          <w:szCs w:val="20"/>
          <w:lang w:val="en-US" w:eastAsia="en-US" w:bidi="en-US"/>
        </w:rPr>
        <w:t xml:space="preserve">, this was given at a moment in which I.V., who was under the complete control of the doctors and </w:t>
      </w:r>
      <w:r w:rsidR="00FB2400" w:rsidRPr="00012C3F">
        <w:rPr>
          <w:rFonts w:eastAsia="MS Mincho" w:cs="Arial"/>
          <w:sz w:val="20"/>
          <w:szCs w:val="20"/>
          <w:lang w:val="en-US" w:eastAsia="en-US" w:bidi="en-US"/>
        </w:rPr>
        <w:t>in the stressful and vulnerable setting of the operating theatre, did not have the cognitive capacity to understand fully what was happening; in other words, her capacity to act freely was annulled, even though this capacity is one of the essential elements of the juridical personality; thus, the said consent was invalid.</w:t>
      </w:r>
    </w:p>
    <w:p w14:paraId="6583198B" w14:textId="77777777" w:rsidR="004B2395" w:rsidRPr="00012C3F" w:rsidRDefault="004B2395" w:rsidP="00232F0D">
      <w:pPr>
        <w:widowControl/>
        <w:tabs>
          <w:tab w:val="left" w:pos="720"/>
        </w:tabs>
        <w:adjustRightInd/>
        <w:spacing w:line="240" w:lineRule="auto"/>
        <w:ind w:right="-90"/>
        <w:textAlignment w:val="auto"/>
        <w:rPr>
          <w:rFonts w:eastAsia="MS Mincho"/>
          <w:sz w:val="20"/>
          <w:szCs w:val="20"/>
          <w:lang w:val="en-US" w:eastAsia="en-US" w:bidi="en-US"/>
        </w:rPr>
      </w:pPr>
    </w:p>
    <w:p w14:paraId="7177CB93" w14:textId="77777777" w:rsidR="00FB2400" w:rsidRPr="00012C3F" w:rsidRDefault="00A84CA0" w:rsidP="00232F0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State</w:t>
      </w:r>
      <w:r w:rsidR="004B2395" w:rsidRPr="00012C3F">
        <w:rPr>
          <w:rFonts w:eastAsia="MS Mincho" w:cs="Arial"/>
          <w:sz w:val="20"/>
          <w:szCs w:val="20"/>
          <w:lang w:val="en-US" w:eastAsia="en-US" w:bidi="en-US"/>
        </w:rPr>
        <w:t xml:space="preserve"> </w:t>
      </w:r>
      <w:r w:rsidR="00FB2400" w:rsidRPr="00012C3F">
        <w:rPr>
          <w:rFonts w:eastAsia="MS Mincho" w:cs="Arial"/>
          <w:sz w:val="20"/>
          <w:szCs w:val="20"/>
          <w:lang w:val="en-US" w:eastAsia="en-US" w:bidi="en-US"/>
        </w:rPr>
        <w:t>argued that</w:t>
      </w:r>
      <w:r w:rsidR="004B2395" w:rsidRPr="00012C3F">
        <w:rPr>
          <w:rFonts w:eastAsia="MS Mincho" w:cs="Arial"/>
          <w:sz w:val="20"/>
          <w:szCs w:val="20"/>
          <w:lang w:val="en-US" w:eastAsia="en-US" w:bidi="en-US"/>
        </w:rPr>
        <w:t xml:space="preserve"> “</w:t>
      </w:r>
      <w:r w:rsidR="00FB2400" w:rsidRPr="00012C3F">
        <w:rPr>
          <w:rFonts w:eastAsia="MS Mincho" w:cs="Arial"/>
          <w:sz w:val="20"/>
          <w:szCs w:val="20"/>
          <w:lang w:val="en-US" w:eastAsia="en-US" w:bidi="en-US"/>
        </w:rPr>
        <w:t>in this specific case</w:t>
      </w:r>
      <w:r w:rsidR="000D309F" w:rsidRPr="00012C3F">
        <w:rPr>
          <w:rFonts w:eastAsia="MS Mincho" w:cs="Arial"/>
          <w:sz w:val="20"/>
          <w:szCs w:val="20"/>
          <w:lang w:val="en-US" w:eastAsia="en-US" w:bidi="en-US"/>
        </w:rPr>
        <w:t>,</w:t>
      </w:r>
      <w:r w:rsidR="004B2395" w:rsidRPr="00012C3F">
        <w:rPr>
          <w:rFonts w:eastAsia="MS Mincho" w:cs="Arial"/>
          <w:sz w:val="20"/>
          <w:szCs w:val="20"/>
          <w:lang w:val="en-US" w:eastAsia="en-US" w:bidi="en-US"/>
        </w:rPr>
        <w:t xml:space="preserve"> </w:t>
      </w:r>
      <w:r w:rsidR="000E1C11" w:rsidRPr="00012C3F">
        <w:rPr>
          <w:rFonts w:eastAsia="MS Mincho" w:cs="Arial"/>
          <w:sz w:val="20"/>
          <w:szCs w:val="20"/>
          <w:lang w:val="en-US" w:eastAsia="en-US" w:bidi="en-US"/>
        </w:rPr>
        <w:t>I.V.</w:t>
      </w:r>
      <w:r w:rsidR="004B2395" w:rsidRPr="00012C3F">
        <w:rPr>
          <w:rFonts w:eastAsia="MS Mincho" w:cs="Arial"/>
          <w:sz w:val="20"/>
          <w:szCs w:val="20"/>
          <w:lang w:val="en-US" w:eastAsia="en-US" w:bidi="en-US"/>
        </w:rPr>
        <w:t xml:space="preserve"> </w:t>
      </w:r>
      <w:r w:rsidR="00FB2400" w:rsidRPr="00012C3F">
        <w:rPr>
          <w:rFonts w:eastAsia="MS Mincho" w:cs="Arial"/>
          <w:sz w:val="20"/>
          <w:szCs w:val="20"/>
          <w:lang w:val="en-US" w:eastAsia="en-US" w:bidi="en-US"/>
        </w:rPr>
        <w:t xml:space="preserve">was not annulled as a subject of rights and obligations, because she was able to exercise them at all times before public institutions (hospitals – in the exercise of her right to health) and jurisdictional organs, in order to denounce the perpetration of presumed offenses” and it considered that there were no grounds for analyzing </w:t>
      </w:r>
      <w:r w:rsidR="007C64CC" w:rsidRPr="00012C3F">
        <w:rPr>
          <w:rFonts w:eastAsia="MS Mincho" w:cs="Arial"/>
          <w:sz w:val="20"/>
          <w:szCs w:val="20"/>
          <w:lang w:val="en-US" w:eastAsia="en-US" w:bidi="en-US"/>
        </w:rPr>
        <w:t>“a presumed violation of I.V.’s right to juridical personality, as if the facts constituted an enforced disappearance.”</w:t>
      </w:r>
    </w:p>
    <w:p w14:paraId="1BC9BDB1" w14:textId="77777777" w:rsidR="004B2395" w:rsidRPr="00012C3F" w:rsidRDefault="004B2395" w:rsidP="00232F0D">
      <w:pPr>
        <w:tabs>
          <w:tab w:val="left" w:pos="720"/>
        </w:tabs>
        <w:spacing w:line="240" w:lineRule="auto"/>
        <w:rPr>
          <w:rFonts w:eastAsia="MS Mincho"/>
          <w:sz w:val="20"/>
          <w:szCs w:val="20"/>
          <w:lang w:val="en-US" w:eastAsia="en-US" w:bidi="en-US"/>
        </w:rPr>
      </w:pPr>
    </w:p>
    <w:p w14:paraId="257EE95F" w14:textId="77777777" w:rsidR="004B2395" w:rsidRPr="00012C3F" w:rsidRDefault="00BD056C" w:rsidP="00232F0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Arial"/>
          <w:sz w:val="20"/>
          <w:szCs w:val="20"/>
          <w:lang w:val="en-US" w:eastAsia="en-US" w:bidi="en-US"/>
        </w:rPr>
        <w:t xml:space="preserve">The </w:t>
      </w:r>
      <w:r w:rsidRPr="00012C3F">
        <w:rPr>
          <w:rFonts w:eastAsia="MS Mincho" w:cs="Arial"/>
          <w:b/>
          <w:bCs/>
          <w:i/>
          <w:iCs/>
          <w:sz w:val="20"/>
          <w:szCs w:val="20"/>
          <w:lang w:val="en-US" w:eastAsia="en-US" w:bidi="en-US"/>
        </w:rPr>
        <w:t>Commission</w:t>
      </w:r>
      <w:r w:rsidR="004B2395" w:rsidRPr="00012C3F">
        <w:rPr>
          <w:rFonts w:eastAsia="MS Mincho" w:cs="Arial"/>
          <w:sz w:val="20"/>
          <w:szCs w:val="20"/>
          <w:lang w:val="en-US" w:eastAsia="en-US" w:bidi="en-US"/>
        </w:rPr>
        <w:t xml:space="preserve"> </w:t>
      </w:r>
      <w:r w:rsidR="00232F0D" w:rsidRPr="00012C3F">
        <w:rPr>
          <w:rFonts w:eastAsia="MS Mincho" w:cs="Arial"/>
          <w:sz w:val="20"/>
          <w:szCs w:val="20"/>
          <w:lang w:val="en-US" w:eastAsia="en-US" w:bidi="en-US"/>
        </w:rPr>
        <w:t>made no explicit reference to this right.</w:t>
      </w:r>
    </w:p>
    <w:bookmarkEnd w:id="126"/>
    <w:p w14:paraId="10CBB296" w14:textId="77777777" w:rsidR="004B2395" w:rsidRPr="00012C3F" w:rsidRDefault="004B2395" w:rsidP="00232F0D">
      <w:pPr>
        <w:tabs>
          <w:tab w:val="left" w:pos="720"/>
        </w:tabs>
        <w:spacing w:line="240" w:lineRule="auto"/>
        <w:rPr>
          <w:rFonts w:eastAsia="MS Mincho"/>
          <w:sz w:val="20"/>
          <w:szCs w:val="20"/>
          <w:lang w:val="en-US" w:eastAsia="en-US" w:bidi="en-US"/>
        </w:rPr>
      </w:pPr>
    </w:p>
    <w:p w14:paraId="718EEC7F" w14:textId="77777777" w:rsidR="004B2395" w:rsidRPr="00012C3F" w:rsidRDefault="004B2395" w:rsidP="00232F0D">
      <w:pPr>
        <w:pStyle w:val="Ttulo2"/>
        <w:tabs>
          <w:tab w:val="left" w:pos="720"/>
          <w:tab w:val="left" w:pos="1701"/>
        </w:tabs>
        <w:spacing w:before="0" w:line="240" w:lineRule="auto"/>
        <w:ind w:left="1134"/>
        <w:rPr>
          <w:rFonts w:ascii="Verdana" w:hAnsi="Verdana"/>
          <w:b w:val="0"/>
          <w:i/>
          <w:color w:val="auto"/>
          <w:sz w:val="20"/>
          <w:szCs w:val="20"/>
          <w:lang w:val="en-US"/>
        </w:rPr>
      </w:pPr>
      <w:bookmarkStart w:id="127" w:name="_Toc27486859"/>
      <w:r w:rsidRPr="00012C3F">
        <w:rPr>
          <w:rFonts w:ascii="Verdana" w:hAnsi="Verdana"/>
          <w:b w:val="0"/>
          <w:i/>
          <w:color w:val="auto"/>
          <w:sz w:val="20"/>
          <w:szCs w:val="20"/>
          <w:lang w:val="en-US"/>
        </w:rPr>
        <w:t>A.</w:t>
      </w:r>
      <w:r w:rsidR="00885EE8" w:rsidRPr="00012C3F">
        <w:rPr>
          <w:rFonts w:ascii="Verdana" w:hAnsi="Verdana"/>
          <w:b w:val="0"/>
          <w:i/>
          <w:color w:val="auto"/>
          <w:sz w:val="20"/>
          <w:szCs w:val="20"/>
          <w:lang w:val="en-US"/>
        </w:rPr>
        <w:t>5</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w:t>
      </w:r>
      <w:r w:rsidR="007305A3" w:rsidRPr="00012C3F">
        <w:rPr>
          <w:rFonts w:ascii="Verdana" w:hAnsi="Verdana"/>
          <w:b w:val="0"/>
          <w:i/>
          <w:color w:val="auto"/>
          <w:sz w:val="20"/>
          <w:szCs w:val="20"/>
          <w:lang w:val="en-US"/>
        </w:rPr>
        <w:t xml:space="preserve"> </w:t>
      </w:r>
      <w:r w:rsidR="007C64CC" w:rsidRPr="00012C3F">
        <w:rPr>
          <w:rFonts w:ascii="Verdana" w:hAnsi="Verdana"/>
          <w:b w:val="0"/>
          <w:i/>
          <w:color w:val="auto"/>
          <w:sz w:val="20"/>
          <w:szCs w:val="20"/>
          <w:lang w:val="en-US"/>
        </w:rPr>
        <w:t>prohibition of discrimination in relation to the alleged non-consensual sterilization</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00B2417E"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1(1)</w:t>
      </w:r>
      <w:r w:rsidR="001254DE" w:rsidRPr="00012C3F">
        <w:rPr>
          <w:rFonts w:ascii="Verdana" w:hAnsi="Verdana"/>
          <w:b w:val="0"/>
          <w:i/>
          <w:color w:val="auto"/>
          <w:sz w:val="20"/>
          <w:szCs w:val="20"/>
          <w:lang w:val="en-US"/>
        </w:rPr>
        <w:t xml:space="preserve"> of the American Convention</w:t>
      </w:r>
      <w:r w:rsidR="00B2417E"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in relation to</w:t>
      </w:r>
      <w:r w:rsidR="00B2417E"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Articles</w:t>
      </w:r>
      <w:r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5(1)</w:t>
      </w:r>
      <w:r w:rsidRPr="00012C3F">
        <w:rPr>
          <w:rFonts w:ascii="Verdana" w:hAnsi="Verdana"/>
          <w:b w:val="0"/>
          <w:i/>
          <w:color w:val="auto"/>
          <w:sz w:val="20"/>
          <w:szCs w:val="20"/>
          <w:lang w:val="en-US"/>
        </w:rPr>
        <w:t>, 1</w:t>
      </w:r>
      <w:r w:rsidR="005E5012" w:rsidRPr="00012C3F">
        <w:rPr>
          <w:rFonts w:ascii="Verdana" w:hAnsi="Verdana"/>
          <w:b w:val="0"/>
          <w:i/>
          <w:color w:val="auto"/>
          <w:sz w:val="20"/>
          <w:szCs w:val="20"/>
          <w:lang w:val="en-US"/>
        </w:rPr>
        <w:t>1(1)</w:t>
      </w:r>
      <w:r w:rsidR="0039676A"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11(2)</w:t>
      </w:r>
      <w:r w:rsidR="0039676A"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13(1) and 17(2)</w:t>
      </w:r>
      <w:r w:rsidR="00B2417E"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of this instrument</w:t>
      </w:r>
      <w:r w:rsidRPr="00012C3F">
        <w:rPr>
          <w:rFonts w:ascii="Verdana" w:hAnsi="Verdana"/>
          <w:b w:val="0"/>
          <w:i/>
          <w:color w:val="auto"/>
          <w:sz w:val="20"/>
          <w:szCs w:val="20"/>
          <w:lang w:val="en-US"/>
        </w:rPr>
        <w:t>)</w:t>
      </w:r>
      <w:bookmarkEnd w:id="127"/>
    </w:p>
    <w:p w14:paraId="1313B355" w14:textId="77777777" w:rsidR="004B2395" w:rsidRPr="00012C3F" w:rsidRDefault="004B2395" w:rsidP="00232F0D">
      <w:pPr>
        <w:tabs>
          <w:tab w:val="left" w:pos="720"/>
        </w:tabs>
        <w:autoSpaceDE w:val="0"/>
        <w:autoSpaceDN w:val="0"/>
        <w:spacing w:line="240" w:lineRule="auto"/>
        <w:rPr>
          <w:sz w:val="20"/>
          <w:szCs w:val="20"/>
          <w:lang w:val="en-US"/>
        </w:rPr>
      </w:pPr>
    </w:p>
    <w:p w14:paraId="75D38CA2" w14:textId="77777777" w:rsidR="007C64CC" w:rsidRPr="00012C3F" w:rsidRDefault="00BD056C" w:rsidP="00232F0D">
      <w:pPr>
        <w:numPr>
          <w:ilvl w:val="0"/>
          <w:numId w:val="5"/>
        </w:numPr>
        <w:tabs>
          <w:tab w:val="left" w:pos="720"/>
          <w:tab w:val="num" w:pos="12305"/>
        </w:tabs>
        <w:spacing w:line="240" w:lineRule="auto"/>
        <w:ind w:left="0" w:firstLine="0"/>
        <w:rPr>
          <w:rFonts w:eastAsiaTheme="minorHAnsi" w:cs="Arial"/>
          <w:bCs/>
          <w:sz w:val="20"/>
          <w:szCs w:val="20"/>
          <w:lang w:val="en-US" w:eastAsia="en-US"/>
        </w:rPr>
      </w:pPr>
      <w:r w:rsidRPr="00012C3F">
        <w:rPr>
          <w:rFonts w:eastAsiaTheme="minorHAnsi" w:cs="Arial"/>
          <w:bCs/>
          <w:sz w:val="20"/>
          <w:szCs w:val="20"/>
          <w:lang w:val="en-US" w:eastAsia="en-US"/>
        </w:rPr>
        <w:t xml:space="preserve">The </w:t>
      </w:r>
      <w:r w:rsidRPr="00012C3F">
        <w:rPr>
          <w:rFonts w:eastAsiaTheme="minorHAnsi" w:cs="Arial"/>
          <w:b/>
          <w:i/>
          <w:iCs/>
          <w:sz w:val="20"/>
          <w:szCs w:val="20"/>
          <w:lang w:val="en-US" w:eastAsia="en-US"/>
        </w:rPr>
        <w:t>Commission</w:t>
      </w:r>
      <w:r w:rsidR="004B2395" w:rsidRPr="00012C3F">
        <w:rPr>
          <w:rFonts w:eastAsiaTheme="minorHAnsi" w:cs="Arial"/>
          <w:bCs/>
          <w:sz w:val="20"/>
          <w:szCs w:val="20"/>
          <w:lang w:val="en-US" w:eastAsia="en-US"/>
        </w:rPr>
        <w:t xml:space="preserve"> </w:t>
      </w:r>
      <w:r w:rsidR="007C64CC" w:rsidRPr="00012C3F">
        <w:rPr>
          <w:rFonts w:eastAsiaTheme="minorHAnsi" w:cs="Arial"/>
          <w:bCs/>
          <w:sz w:val="20"/>
          <w:szCs w:val="20"/>
          <w:lang w:val="en-US" w:eastAsia="en-US"/>
        </w:rPr>
        <w:t>indicated that</w:t>
      </w:r>
      <w:r w:rsidR="004B2395" w:rsidRPr="00012C3F">
        <w:rPr>
          <w:rFonts w:eastAsiaTheme="minorHAnsi" w:cs="Arial"/>
          <w:bCs/>
          <w:sz w:val="20"/>
          <w:szCs w:val="20"/>
          <w:lang w:val="en-US" w:eastAsia="en-US"/>
        </w:rPr>
        <w:t xml:space="preserve"> </w:t>
      </w:r>
      <w:r w:rsidR="000E1C11" w:rsidRPr="00012C3F">
        <w:rPr>
          <w:rFonts w:eastAsiaTheme="minorHAnsi" w:cs="Arial"/>
          <w:bCs/>
          <w:sz w:val="20"/>
          <w:szCs w:val="20"/>
          <w:lang w:val="en-US" w:eastAsia="en-US"/>
        </w:rPr>
        <w:t>I.V.</w:t>
      </w:r>
      <w:r w:rsidR="004B2395" w:rsidRPr="00012C3F">
        <w:rPr>
          <w:rFonts w:eastAsiaTheme="minorHAnsi" w:cs="Arial"/>
          <w:bCs/>
          <w:sz w:val="20"/>
          <w:szCs w:val="20"/>
          <w:lang w:val="en-US" w:eastAsia="en-US"/>
        </w:rPr>
        <w:t xml:space="preserve"> </w:t>
      </w:r>
      <w:r w:rsidR="007C64CC" w:rsidRPr="00012C3F">
        <w:rPr>
          <w:rFonts w:eastAsiaTheme="minorHAnsi" w:cs="Arial"/>
          <w:bCs/>
          <w:sz w:val="20"/>
          <w:szCs w:val="20"/>
          <w:lang w:val="en-US" w:eastAsia="en-US"/>
        </w:rPr>
        <w:t xml:space="preserve">was the victim of sterilization without her consent in a </w:t>
      </w:r>
      <w:r w:rsidR="007C64CC" w:rsidRPr="00012C3F">
        <w:rPr>
          <w:rFonts w:eastAsiaTheme="minorHAnsi" w:cs="Arial"/>
          <w:bCs/>
          <w:sz w:val="20"/>
          <w:szCs w:val="20"/>
          <w:lang w:val="en-US" w:eastAsia="en-US"/>
        </w:rPr>
        <w:lastRenderedPageBreak/>
        <w:t xml:space="preserve">public health institution and, as a result, permanently lost her ability to procreate and suffered psychological aftereffects, added to “the humiliation she was subjected to as the victim of a surgical procedure on her body for which her opinion was not taken into consideration, thereby violating her reproductive autonomy.” It indicated that an international consensus existed that non-consensual sterilization constituted a form of violence against women in which a series of human rights are infringed. </w:t>
      </w:r>
      <w:r w:rsidR="009C4168" w:rsidRPr="00012C3F">
        <w:rPr>
          <w:rFonts w:eastAsiaTheme="minorHAnsi" w:cs="Arial"/>
          <w:bCs/>
          <w:sz w:val="20"/>
          <w:szCs w:val="20"/>
          <w:lang w:val="en-US" w:eastAsia="en-US"/>
        </w:rPr>
        <w:t>The Commission</w:t>
      </w:r>
      <w:r w:rsidR="007C64CC" w:rsidRPr="00012C3F">
        <w:rPr>
          <w:rFonts w:eastAsiaTheme="minorHAnsi" w:cs="Arial"/>
          <w:bCs/>
          <w:sz w:val="20"/>
          <w:szCs w:val="20"/>
          <w:lang w:val="en-US" w:eastAsia="en-US"/>
        </w:rPr>
        <w:t xml:space="preserve"> added that, in the </w:t>
      </w:r>
      <w:r w:rsidR="009C4168" w:rsidRPr="00012C3F">
        <w:rPr>
          <w:rFonts w:eastAsiaTheme="minorHAnsi" w:cs="Arial"/>
          <w:bCs/>
          <w:sz w:val="20"/>
          <w:szCs w:val="20"/>
          <w:lang w:val="en-US" w:eastAsia="en-US"/>
        </w:rPr>
        <w:t>area of maternal health, it  “has considered that the States have a duty to adopt affirmative measures to guarantee the accessibility of maternal health services and their availability, acceptability and quality as part of their obligations deriving from the principles of equality and non-discrimination.”</w:t>
      </w:r>
    </w:p>
    <w:p w14:paraId="4FC70B00" w14:textId="77777777" w:rsidR="004B2395" w:rsidRPr="00012C3F" w:rsidRDefault="004B2395" w:rsidP="004B2395">
      <w:pPr>
        <w:widowControl/>
        <w:autoSpaceDE w:val="0"/>
        <w:autoSpaceDN w:val="0"/>
        <w:spacing w:line="240" w:lineRule="auto"/>
        <w:textAlignment w:val="auto"/>
        <w:rPr>
          <w:rFonts w:eastAsiaTheme="minorHAnsi" w:cs="Arial"/>
          <w:bCs/>
          <w:sz w:val="20"/>
          <w:szCs w:val="20"/>
          <w:lang w:val="en-US" w:eastAsia="en-US"/>
        </w:rPr>
      </w:pPr>
    </w:p>
    <w:p w14:paraId="21FDEB6C" w14:textId="77777777" w:rsidR="009C4168" w:rsidRPr="00012C3F" w:rsidRDefault="00BD056C" w:rsidP="009C4168">
      <w:pPr>
        <w:numPr>
          <w:ilvl w:val="0"/>
          <w:numId w:val="5"/>
        </w:numPr>
        <w:tabs>
          <w:tab w:val="left" w:pos="720"/>
          <w:tab w:val="num" w:pos="12305"/>
        </w:tabs>
        <w:spacing w:line="240" w:lineRule="auto"/>
        <w:ind w:left="0" w:firstLine="0"/>
        <w:rPr>
          <w:rFonts w:eastAsiaTheme="minorHAnsi" w:cs="Arial"/>
          <w:bCs/>
          <w:sz w:val="20"/>
          <w:szCs w:val="20"/>
          <w:lang w:val="en-US" w:eastAsia="en-US"/>
        </w:rPr>
      </w:pPr>
      <w:r w:rsidRPr="00012C3F">
        <w:rPr>
          <w:rFonts w:eastAsiaTheme="minorHAnsi" w:cs="Arial"/>
          <w:bCs/>
          <w:sz w:val="20"/>
          <w:szCs w:val="20"/>
          <w:lang w:val="en-US" w:eastAsia="en-US"/>
        </w:rPr>
        <w:t>The Commission</w:t>
      </w:r>
      <w:r w:rsidR="004B2395" w:rsidRPr="00012C3F">
        <w:rPr>
          <w:rFonts w:eastAsiaTheme="minorHAnsi" w:cs="Arial"/>
          <w:bCs/>
          <w:sz w:val="20"/>
          <w:szCs w:val="20"/>
          <w:lang w:val="en-US" w:eastAsia="en-US"/>
        </w:rPr>
        <w:t xml:space="preserve"> rec</w:t>
      </w:r>
      <w:r w:rsidR="009C4168" w:rsidRPr="00012C3F">
        <w:rPr>
          <w:rFonts w:eastAsiaTheme="minorHAnsi" w:cs="Arial"/>
          <w:bCs/>
          <w:sz w:val="20"/>
          <w:szCs w:val="20"/>
          <w:lang w:val="en-US" w:eastAsia="en-US"/>
        </w:rPr>
        <w:t xml:space="preserve">alled that it </w:t>
      </w:r>
      <w:r w:rsidR="004B2395" w:rsidRPr="00012C3F">
        <w:rPr>
          <w:rFonts w:eastAsiaTheme="minorHAnsi" w:cs="Arial"/>
          <w:bCs/>
          <w:sz w:val="20"/>
          <w:szCs w:val="20"/>
          <w:lang w:val="en-US" w:eastAsia="en-US"/>
        </w:rPr>
        <w:t>“ha</w:t>
      </w:r>
      <w:r w:rsidR="009C4168" w:rsidRPr="00012C3F">
        <w:rPr>
          <w:rFonts w:eastAsiaTheme="minorHAnsi" w:cs="Arial"/>
          <w:bCs/>
          <w:sz w:val="20"/>
          <w:szCs w:val="20"/>
          <w:lang w:val="en-US" w:eastAsia="en-US"/>
        </w:rPr>
        <w:t xml:space="preserve">s recognized that </w:t>
      </w:r>
      <w:r w:rsidR="009C4168" w:rsidRPr="00012C3F">
        <w:rPr>
          <w:rStyle w:val="Ttulo1Car"/>
          <w:b w:val="0"/>
          <w:caps w:val="0"/>
          <w:lang w:val="en-US"/>
        </w:rPr>
        <w:t xml:space="preserve">certain groups of women, as in the case of I.V., an immigrant woman of modest means, suffer discrimination throughout their lives based on one or more factors in addition to their sex, which increases their exposure to acts of violence and other violations of their human rights.” The Commission considered that “this case is an example of the multiple forms of discrimination that intersect to hinder the enjoyment and exercise of human rights by certain groups of women on the basis of their sex, immigrant status, and economic </w:t>
      </w:r>
      <w:r w:rsidR="00D933F5" w:rsidRPr="00012C3F">
        <w:rPr>
          <w:rStyle w:val="Ttulo1Car"/>
          <w:b w:val="0"/>
          <w:caps w:val="0"/>
          <w:lang w:val="en-US"/>
        </w:rPr>
        <w:t>situation</w:t>
      </w:r>
      <w:r w:rsidR="009C4168" w:rsidRPr="00012C3F">
        <w:rPr>
          <w:rStyle w:val="Ttulo1Car"/>
          <w:b w:val="0"/>
          <w:caps w:val="0"/>
          <w:lang w:val="en-US"/>
        </w:rPr>
        <w:t>.</w:t>
      </w:r>
      <w:r w:rsidR="004B2395" w:rsidRPr="00012C3F">
        <w:rPr>
          <w:rFonts w:eastAsiaTheme="minorHAnsi" w:cs="Arial"/>
          <w:bCs/>
          <w:sz w:val="20"/>
          <w:szCs w:val="20"/>
          <w:lang w:val="en-US" w:eastAsia="en-US"/>
        </w:rPr>
        <w:t xml:space="preserve">” </w:t>
      </w:r>
      <w:r w:rsidR="009C4168" w:rsidRPr="00012C3F">
        <w:rPr>
          <w:rFonts w:eastAsiaTheme="minorHAnsi" w:cs="Arial"/>
          <w:bCs/>
          <w:sz w:val="20"/>
          <w:szCs w:val="20"/>
          <w:lang w:val="en-US" w:eastAsia="en-US"/>
        </w:rPr>
        <w:t>In this regard it argued that “</w:t>
      </w:r>
      <w:r w:rsidR="009C4168" w:rsidRPr="00012C3F">
        <w:rPr>
          <w:rStyle w:val="Ttulo1Car"/>
          <w:b w:val="0"/>
          <w:caps w:val="0"/>
          <w:lang w:val="en-US"/>
        </w:rPr>
        <w:t>women migrants of scarce resources are in a special situation of vulnerability, often being forced to seek public medical services that may not be suitable to meet their needs due to the limited nature of the care options available to them</w:t>
      </w:r>
      <w:r w:rsidR="00505CB6" w:rsidRPr="00012C3F">
        <w:rPr>
          <w:rStyle w:val="Ttulo1Car"/>
          <w:b w:val="0"/>
          <w:caps w:val="0"/>
          <w:lang w:val="en-US"/>
        </w:rPr>
        <w:t>.</w:t>
      </w:r>
      <w:r w:rsidR="009C4168" w:rsidRPr="00012C3F">
        <w:rPr>
          <w:rStyle w:val="Ttulo1Car"/>
          <w:b w:val="0"/>
          <w:caps w:val="0"/>
          <w:lang w:val="en-US"/>
        </w:rPr>
        <w:t xml:space="preserve">” </w:t>
      </w:r>
    </w:p>
    <w:p w14:paraId="253D61B5" w14:textId="77777777" w:rsidR="004B2395" w:rsidRPr="00012C3F" w:rsidRDefault="004B2395" w:rsidP="004B2395">
      <w:pPr>
        <w:widowControl/>
        <w:autoSpaceDE w:val="0"/>
        <w:autoSpaceDN w:val="0"/>
        <w:spacing w:line="240" w:lineRule="auto"/>
        <w:textAlignment w:val="auto"/>
        <w:rPr>
          <w:rFonts w:eastAsiaTheme="minorHAnsi" w:cs="Arial"/>
          <w:bCs/>
          <w:sz w:val="20"/>
          <w:szCs w:val="20"/>
          <w:lang w:val="en-US" w:eastAsia="en-US"/>
        </w:rPr>
      </w:pPr>
    </w:p>
    <w:p w14:paraId="3EDA1D91" w14:textId="77777777" w:rsidR="004B2395" w:rsidRPr="00012C3F" w:rsidRDefault="009C4168" w:rsidP="00EC7024">
      <w:pPr>
        <w:numPr>
          <w:ilvl w:val="0"/>
          <w:numId w:val="5"/>
        </w:numPr>
        <w:tabs>
          <w:tab w:val="left" w:pos="720"/>
          <w:tab w:val="num" w:pos="12305"/>
        </w:tabs>
        <w:spacing w:line="240" w:lineRule="auto"/>
        <w:ind w:left="0" w:firstLine="0"/>
        <w:rPr>
          <w:rFonts w:eastAsiaTheme="minorHAnsi" w:cs="Arial"/>
          <w:bCs/>
          <w:sz w:val="20"/>
          <w:szCs w:val="20"/>
          <w:lang w:val="en-US" w:eastAsia="en-US"/>
        </w:rPr>
      </w:pPr>
      <w:r w:rsidRPr="00012C3F">
        <w:rPr>
          <w:rFonts w:eastAsiaTheme="minorHAnsi" w:cs="Arial"/>
          <w:bCs/>
          <w:sz w:val="20"/>
          <w:szCs w:val="20"/>
          <w:lang w:val="en-US" w:eastAsia="en-US"/>
        </w:rPr>
        <w:t>The</w:t>
      </w:r>
      <w:r w:rsidR="001254DE" w:rsidRPr="00012C3F">
        <w:rPr>
          <w:rFonts w:eastAsiaTheme="minorHAnsi" w:cs="Arial"/>
          <w:bCs/>
          <w:sz w:val="20"/>
          <w:szCs w:val="20"/>
          <w:lang w:val="en-US" w:eastAsia="en-US"/>
        </w:rPr>
        <w:t xml:space="preserve"> </w:t>
      </w:r>
      <w:r w:rsidR="00A84CA0" w:rsidRPr="00012C3F">
        <w:rPr>
          <w:rFonts w:eastAsiaTheme="minorHAnsi" w:cs="Arial"/>
          <w:bCs/>
          <w:sz w:val="20"/>
          <w:szCs w:val="20"/>
          <w:lang w:val="en-US" w:eastAsia="en-US"/>
        </w:rPr>
        <w:t>Commission</w:t>
      </w:r>
      <w:r w:rsidR="004B2395" w:rsidRPr="00012C3F">
        <w:rPr>
          <w:rFonts w:eastAsiaTheme="minorHAnsi" w:cs="Arial"/>
          <w:bCs/>
          <w:sz w:val="20"/>
          <w:szCs w:val="20"/>
          <w:lang w:val="en-US" w:eastAsia="en-US"/>
        </w:rPr>
        <w:t xml:space="preserve"> </w:t>
      </w:r>
      <w:r w:rsidRPr="00012C3F">
        <w:rPr>
          <w:rFonts w:eastAsiaTheme="minorHAnsi" w:cs="Arial"/>
          <w:bCs/>
          <w:sz w:val="20"/>
          <w:szCs w:val="20"/>
          <w:lang w:val="en-US" w:eastAsia="en-US"/>
        </w:rPr>
        <w:t xml:space="preserve">also argued that </w:t>
      </w:r>
      <w:r w:rsidR="00EC7024" w:rsidRPr="00012C3F">
        <w:rPr>
          <w:rFonts w:eastAsiaTheme="minorHAnsi" w:cs="Arial"/>
          <w:bCs/>
          <w:sz w:val="20"/>
          <w:szCs w:val="20"/>
          <w:lang w:val="en-US" w:eastAsia="en-US"/>
        </w:rPr>
        <w:t xml:space="preserve">there were signs that the medical team that performed the surgery on I.V. was influenced by gender stereotypes </w:t>
      </w:r>
      <w:r w:rsidR="00505CB6" w:rsidRPr="00012C3F">
        <w:rPr>
          <w:rFonts w:eastAsiaTheme="minorHAnsi" w:cs="Arial"/>
          <w:bCs/>
          <w:sz w:val="20"/>
          <w:szCs w:val="20"/>
          <w:lang w:val="en-US" w:eastAsia="en-US"/>
        </w:rPr>
        <w:t>concerning</w:t>
      </w:r>
      <w:r w:rsidR="00EC7024" w:rsidRPr="00012C3F">
        <w:rPr>
          <w:rFonts w:eastAsiaTheme="minorHAnsi" w:cs="Arial"/>
          <w:bCs/>
          <w:sz w:val="20"/>
          <w:szCs w:val="20"/>
          <w:lang w:val="en-US" w:eastAsia="en-US"/>
        </w:rPr>
        <w:t xml:space="preserve"> the inability of women to </w:t>
      </w:r>
      <w:r w:rsidR="009D3EE9" w:rsidRPr="00012C3F">
        <w:rPr>
          <w:rFonts w:eastAsiaTheme="minorHAnsi" w:cs="Arial"/>
          <w:bCs/>
          <w:sz w:val="20"/>
          <w:szCs w:val="20"/>
          <w:lang w:val="en-US" w:eastAsia="en-US"/>
        </w:rPr>
        <w:t>make</w:t>
      </w:r>
      <w:r w:rsidR="00EC7024" w:rsidRPr="00012C3F">
        <w:rPr>
          <w:rFonts w:eastAsiaTheme="minorHAnsi" w:cs="Arial"/>
          <w:bCs/>
          <w:sz w:val="20"/>
          <w:szCs w:val="20"/>
          <w:lang w:val="en-US" w:eastAsia="en-US"/>
        </w:rPr>
        <w:t xml:space="preserve"> autonomous decisions with regard to their own reproduction. In this regard, it considered that the medical decision to perform sterilization without I.V.’s informed consent reflected a notion that medical personnel are empowered to take better decisions than the woman concerned regarding control over her reproduction. According to the Commission, “</w:t>
      </w:r>
      <w:r w:rsidR="00EC7024" w:rsidRPr="00012C3F">
        <w:rPr>
          <w:rStyle w:val="Ttulo1Car"/>
          <w:b w:val="0"/>
          <w:caps w:val="0"/>
          <w:lang w:val="en-US"/>
        </w:rPr>
        <w:t>the presence of these kinds of gender stereotypes in health personnel has a differentiated impact on women and leads to discrimination  against them in the health services and especially in the provision of sexual and reproductive health care services.”</w:t>
      </w:r>
      <w:r w:rsidR="00EC7024" w:rsidRPr="00012C3F">
        <w:rPr>
          <w:rFonts w:eastAsiaTheme="minorHAnsi" w:cs="Arial"/>
          <w:bCs/>
          <w:sz w:val="20"/>
          <w:szCs w:val="20"/>
          <w:lang w:val="en-US" w:eastAsia="en-US"/>
        </w:rPr>
        <w:t xml:space="preserve"> In this regard,</w:t>
      </w:r>
      <w:r w:rsidR="004B2395" w:rsidRPr="00012C3F">
        <w:rPr>
          <w:rFonts w:eastAsiaTheme="minorHAnsi" w:cs="Arial"/>
          <w:bCs/>
          <w:sz w:val="20"/>
          <w:szCs w:val="20"/>
          <w:lang w:val="en-US" w:eastAsia="en-US"/>
        </w:rPr>
        <w:t xml:space="preserve"> </w:t>
      </w:r>
      <w:r w:rsidR="001254DE" w:rsidRPr="00012C3F">
        <w:rPr>
          <w:rFonts w:eastAsiaTheme="minorHAnsi" w:cs="Arial"/>
          <w:bCs/>
          <w:sz w:val="20"/>
          <w:szCs w:val="20"/>
          <w:lang w:val="en-US" w:eastAsia="en-US"/>
        </w:rPr>
        <w:t xml:space="preserve">the </w:t>
      </w:r>
      <w:r w:rsidR="00A84CA0" w:rsidRPr="00012C3F">
        <w:rPr>
          <w:rFonts w:eastAsiaTheme="minorHAnsi" w:cs="Arial"/>
          <w:bCs/>
          <w:sz w:val="20"/>
          <w:szCs w:val="20"/>
          <w:lang w:val="en-US" w:eastAsia="en-US"/>
        </w:rPr>
        <w:t>Commission</w:t>
      </w:r>
      <w:r w:rsidR="004B2395" w:rsidRPr="00012C3F">
        <w:rPr>
          <w:rFonts w:eastAsiaTheme="minorHAnsi" w:cs="Arial"/>
          <w:bCs/>
          <w:sz w:val="20"/>
          <w:szCs w:val="20"/>
          <w:lang w:val="en-US" w:eastAsia="en-US"/>
        </w:rPr>
        <w:t xml:space="preserve"> </w:t>
      </w:r>
      <w:r w:rsidR="00320BB4" w:rsidRPr="00012C3F">
        <w:rPr>
          <w:rFonts w:eastAsiaTheme="minorHAnsi" w:cs="Arial"/>
          <w:bCs/>
          <w:sz w:val="20"/>
          <w:szCs w:val="20"/>
          <w:lang w:val="en-US" w:eastAsia="en-US"/>
        </w:rPr>
        <w:t>rec</w:t>
      </w:r>
      <w:r w:rsidR="00EC7024" w:rsidRPr="00012C3F">
        <w:rPr>
          <w:rFonts w:eastAsiaTheme="minorHAnsi" w:cs="Arial"/>
          <w:bCs/>
          <w:sz w:val="20"/>
          <w:szCs w:val="20"/>
          <w:lang w:val="en-US" w:eastAsia="en-US"/>
        </w:rPr>
        <w:t>alled that persistent gender stereotypes in the health sector act as an obstacle to women’s access to maternal health services, which also amounts to discrimination in women’s access to health</w:t>
      </w:r>
      <w:r w:rsidR="004B2395" w:rsidRPr="00012C3F">
        <w:rPr>
          <w:rFonts w:eastAsiaTheme="minorHAnsi" w:cs="Arial"/>
          <w:bCs/>
          <w:sz w:val="20"/>
          <w:szCs w:val="20"/>
          <w:lang w:val="en-US" w:eastAsia="en-US"/>
        </w:rPr>
        <w:t>.</w:t>
      </w:r>
    </w:p>
    <w:p w14:paraId="50AD2216" w14:textId="77777777" w:rsidR="004B2395" w:rsidRPr="00012C3F" w:rsidRDefault="004B2395" w:rsidP="004B2395">
      <w:pPr>
        <w:widowControl/>
        <w:autoSpaceDE w:val="0"/>
        <w:autoSpaceDN w:val="0"/>
        <w:spacing w:line="240" w:lineRule="auto"/>
        <w:textAlignment w:val="auto"/>
        <w:rPr>
          <w:rFonts w:eastAsiaTheme="minorHAnsi" w:cs="Arial"/>
          <w:bCs/>
          <w:sz w:val="20"/>
          <w:szCs w:val="20"/>
          <w:lang w:val="en-US" w:eastAsia="en-US"/>
        </w:rPr>
      </w:pPr>
    </w:p>
    <w:p w14:paraId="1D017ABD" w14:textId="77777777" w:rsidR="004B2395" w:rsidRPr="00012C3F" w:rsidRDefault="00BD056C" w:rsidP="00916B35">
      <w:pPr>
        <w:numPr>
          <w:ilvl w:val="0"/>
          <w:numId w:val="5"/>
        </w:numPr>
        <w:tabs>
          <w:tab w:val="left" w:pos="720"/>
          <w:tab w:val="num" w:pos="12305"/>
        </w:tabs>
        <w:spacing w:line="240" w:lineRule="auto"/>
        <w:ind w:left="0" w:firstLine="0"/>
        <w:rPr>
          <w:rFonts w:eastAsiaTheme="minorHAnsi" w:cs="Arial"/>
          <w:bCs/>
          <w:sz w:val="20"/>
          <w:szCs w:val="20"/>
          <w:lang w:val="en-US" w:eastAsia="en-US"/>
        </w:rPr>
      </w:pPr>
      <w:r w:rsidRPr="00012C3F">
        <w:rPr>
          <w:rFonts w:eastAsiaTheme="minorHAnsi" w:cs="Arial"/>
          <w:bCs/>
          <w:sz w:val="20"/>
          <w:szCs w:val="20"/>
          <w:lang w:val="en-US" w:eastAsia="en-US"/>
        </w:rPr>
        <w:t>The Commission</w:t>
      </w:r>
      <w:r w:rsidR="004B2395" w:rsidRPr="00012C3F">
        <w:rPr>
          <w:rFonts w:eastAsiaTheme="minorHAnsi" w:cs="Arial"/>
          <w:bCs/>
          <w:sz w:val="20"/>
          <w:szCs w:val="20"/>
          <w:lang w:val="en-US" w:eastAsia="en-US"/>
        </w:rPr>
        <w:t xml:space="preserve"> </w:t>
      </w:r>
      <w:r w:rsidR="00320BB4" w:rsidRPr="00012C3F">
        <w:rPr>
          <w:rFonts w:eastAsiaTheme="minorHAnsi" w:cs="Arial"/>
          <w:bCs/>
          <w:sz w:val="20"/>
          <w:szCs w:val="20"/>
          <w:lang w:val="en-US" w:eastAsia="en-US"/>
        </w:rPr>
        <w:t>conclu</w:t>
      </w:r>
      <w:r w:rsidR="00EC7024" w:rsidRPr="00012C3F">
        <w:rPr>
          <w:rFonts w:eastAsiaTheme="minorHAnsi" w:cs="Arial"/>
          <w:bCs/>
          <w:sz w:val="20"/>
          <w:szCs w:val="20"/>
          <w:lang w:val="en-US" w:eastAsia="en-US"/>
        </w:rPr>
        <w:t>ded that the absence of</w:t>
      </w:r>
      <w:r w:rsidR="004B2395" w:rsidRPr="00012C3F">
        <w:rPr>
          <w:rFonts w:eastAsiaTheme="minorHAnsi" w:cs="Arial"/>
          <w:bCs/>
          <w:sz w:val="20"/>
          <w:szCs w:val="20"/>
          <w:lang w:val="en-US" w:eastAsia="en-US"/>
        </w:rPr>
        <w:t xml:space="preserve"> </w:t>
      </w:r>
      <w:r w:rsidR="00AC0004" w:rsidRPr="00012C3F">
        <w:rPr>
          <w:rFonts w:eastAsiaTheme="minorHAnsi" w:cs="Arial"/>
          <w:bCs/>
          <w:sz w:val="20"/>
          <w:szCs w:val="20"/>
          <w:lang w:val="en-US" w:eastAsia="en-US"/>
        </w:rPr>
        <w:t>informed consent</w:t>
      </w:r>
      <w:r w:rsidR="004B2395" w:rsidRPr="00012C3F">
        <w:rPr>
          <w:rFonts w:eastAsiaTheme="minorHAnsi" w:cs="Arial"/>
          <w:bCs/>
          <w:sz w:val="20"/>
          <w:szCs w:val="20"/>
          <w:lang w:val="en-US" w:eastAsia="en-US"/>
        </w:rPr>
        <w:t xml:space="preserve"> </w:t>
      </w:r>
      <w:r w:rsidR="00EC7024" w:rsidRPr="00012C3F">
        <w:rPr>
          <w:rFonts w:eastAsiaTheme="minorHAnsi" w:cs="Arial"/>
          <w:bCs/>
          <w:sz w:val="20"/>
          <w:szCs w:val="20"/>
          <w:lang w:val="en-US" w:eastAsia="en-US"/>
        </w:rPr>
        <w:t>led to</w:t>
      </w:r>
      <w:r w:rsidR="004B2395" w:rsidRPr="00012C3F">
        <w:rPr>
          <w:rFonts w:eastAsiaTheme="minorHAnsi" w:cs="Arial"/>
          <w:bCs/>
          <w:sz w:val="20"/>
          <w:szCs w:val="20"/>
          <w:lang w:val="en-US" w:eastAsia="en-US"/>
        </w:rPr>
        <w:t xml:space="preserve"> </w:t>
      </w:r>
      <w:r w:rsidR="000E1C11" w:rsidRPr="00012C3F">
        <w:rPr>
          <w:rFonts w:eastAsiaTheme="minorHAnsi" w:cs="Arial"/>
          <w:bCs/>
          <w:sz w:val="20"/>
          <w:szCs w:val="20"/>
          <w:lang w:val="en-US" w:eastAsia="en-US"/>
        </w:rPr>
        <w:t>I.V.</w:t>
      </w:r>
      <w:r w:rsidR="004B2395" w:rsidRPr="00012C3F">
        <w:rPr>
          <w:rFonts w:eastAsiaTheme="minorHAnsi" w:cs="Arial"/>
          <w:bCs/>
          <w:sz w:val="20"/>
          <w:szCs w:val="20"/>
          <w:lang w:val="en-US" w:eastAsia="en-US"/>
        </w:rPr>
        <w:t xml:space="preserve"> no</w:t>
      </w:r>
      <w:r w:rsidR="00EC7024" w:rsidRPr="00012C3F">
        <w:rPr>
          <w:rFonts w:eastAsiaTheme="minorHAnsi" w:cs="Arial"/>
          <w:bCs/>
          <w:sz w:val="20"/>
          <w:szCs w:val="20"/>
          <w:lang w:val="en-US" w:eastAsia="en-US"/>
        </w:rPr>
        <w:t xml:space="preserve">t receiving the appropriate maternal health services in relation to </w:t>
      </w:r>
      <w:r w:rsidR="00916B35" w:rsidRPr="00012C3F">
        <w:rPr>
          <w:rFonts w:eastAsiaTheme="minorHAnsi" w:cs="Arial"/>
          <w:bCs/>
          <w:sz w:val="20"/>
          <w:szCs w:val="20"/>
          <w:lang w:val="en-US" w:eastAsia="en-US"/>
        </w:rPr>
        <w:t>h</w:t>
      </w:r>
      <w:r w:rsidR="00EC7024" w:rsidRPr="00012C3F">
        <w:rPr>
          <w:rFonts w:eastAsiaTheme="minorHAnsi" w:cs="Arial"/>
          <w:bCs/>
          <w:sz w:val="20"/>
          <w:szCs w:val="20"/>
          <w:lang w:val="en-US" w:eastAsia="en-US"/>
        </w:rPr>
        <w:t>er reproductive capacity, thereby curtailing her free and autonomous choice in this sphere</w:t>
      </w:r>
      <w:r w:rsidR="00916B35" w:rsidRPr="00012C3F">
        <w:rPr>
          <w:rFonts w:eastAsiaTheme="minorHAnsi" w:cs="Arial"/>
          <w:bCs/>
          <w:sz w:val="20"/>
          <w:szCs w:val="20"/>
          <w:lang w:val="en-US" w:eastAsia="en-US"/>
        </w:rPr>
        <w:t xml:space="preserve"> unique to women. Consequently, the Commission argued that I.V.’s non-consensual sterilization constituted a form of discrimination against her in relation to the guarantee of her right to personal integrity under </w:t>
      </w:r>
      <w:r w:rsidR="001254DE" w:rsidRPr="00012C3F">
        <w:rPr>
          <w:rFonts w:eastAsiaTheme="minorHAnsi" w:cs="Arial"/>
          <w:bCs/>
          <w:sz w:val="20"/>
          <w:szCs w:val="20"/>
          <w:lang w:val="en-US" w:eastAsia="en-US"/>
        </w:rPr>
        <w:t>Article</w:t>
      </w:r>
      <w:r w:rsidR="004B2395" w:rsidRPr="00012C3F">
        <w:rPr>
          <w:rFonts w:eastAsiaTheme="minorHAnsi" w:cs="Arial"/>
          <w:bCs/>
          <w:sz w:val="20"/>
          <w:szCs w:val="20"/>
          <w:lang w:val="en-US" w:eastAsia="en-US"/>
        </w:rPr>
        <w:t xml:space="preserve"> </w:t>
      </w:r>
      <w:r w:rsidR="005E5012" w:rsidRPr="00012C3F">
        <w:rPr>
          <w:rFonts w:eastAsiaTheme="minorHAnsi" w:cs="Arial"/>
          <w:bCs/>
          <w:sz w:val="20"/>
          <w:szCs w:val="20"/>
          <w:lang w:val="en-US" w:eastAsia="en-US"/>
        </w:rPr>
        <w:t>5(1)</w:t>
      </w:r>
      <w:r w:rsidR="001254DE" w:rsidRPr="00012C3F">
        <w:rPr>
          <w:rFonts w:eastAsiaTheme="minorHAnsi" w:cs="Arial"/>
          <w:bCs/>
          <w:sz w:val="20"/>
          <w:szCs w:val="20"/>
          <w:lang w:val="en-US" w:eastAsia="en-US"/>
        </w:rPr>
        <w:t xml:space="preserve"> of the American Convention</w:t>
      </w:r>
      <w:r w:rsidR="004B2395" w:rsidRPr="00012C3F">
        <w:rPr>
          <w:rFonts w:eastAsiaTheme="minorHAnsi" w:cs="Arial"/>
          <w:bCs/>
          <w:sz w:val="20"/>
          <w:szCs w:val="20"/>
          <w:lang w:val="en-US" w:eastAsia="en-US"/>
        </w:rPr>
        <w:t>, as</w:t>
      </w:r>
      <w:r w:rsidR="00916B35" w:rsidRPr="00012C3F">
        <w:rPr>
          <w:rFonts w:eastAsiaTheme="minorHAnsi" w:cs="Arial"/>
          <w:bCs/>
          <w:sz w:val="20"/>
          <w:szCs w:val="20"/>
          <w:lang w:val="en-US" w:eastAsia="en-US"/>
        </w:rPr>
        <w:t xml:space="preserve"> well as her right to private and family life and to </w:t>
      </w:r>
      <w:r w:rsidR="0081491F" w:rsidRPr="00012C3F">
        <w:rPr>
          <w:rFonts w:eastAsiaTheme="minorHAnsi" w:cs="Arial"/>
          <w:bCs/>
          <w:sz w:val="20"/>
          <w:szCs w:val="20"/>
          <w:lang w:val="en-US" w:eastAsia="en-US"/>
        </w:rPr>
        <w:t>raise a family</w:t>
      </w:r>
      <w:r w:rsidR="00916B35" w:rsidRPr="00012C3F">
        <w:rPr>
          <w:rFonts w:eastAsiaTheme="minorHAnsi" w:cs="Arial"/>
          <w:bCs/>
          <w:sz w:val="20"/>
          <w:szCs w:val="20"/>
          <w:lang w:val="en-US" w:eastAsia="en-US"/>
        </w:rPr>
        <w:t xml:space="preserve"> under </w:t>
      </w:r>
      <w:r w:rsidR="001254DE" w:rsidRPr="00012C3F">
        <w:rPr>
          <w:rFonts w:eastAsiaTheme="minorHAnsi" w:cs="Arial"/>
          <w:bCs/>
          <w:sz w:val="20"/>
          <w:szCs w:val="20"/>
          <w:lang w:val="en-US" w:eastAsia="en-US"/>
        </w:rPr>
        <w:t>Articles</w:t>
      </w:r>
      <w:r w:rsidR="004B2395" w:rsidRPr="00012C3F">
        <w:rPr>
          <w:rFonts w:eastAsiaTheme="minorHAnsi" w:cs="Arial"/>
          <w:bCs/>
          <w:sz w:val="20"/>
          <w:szCs w:val="20"/>
          <w:lang w:val="en-US" w:eastAsia="en-US"/>
        </w:rPr>
        <w:t xml:space="preserve"> 11</w:t>
      </w:r>
      <w:r w:rsidR="005E5012" w:rsidRPr="00012C3F">
        <w:rPr>
          <w:rFonts w:eastAsiaTheme="minorHAnsi" w:cs="Arial"/>
          <w:bCs/>
          <w:sz w:val="20"/>
          <w:szCs w:val="20"/>
          <w:lang w:val="en-US" w:eastAsia="en-US"/>
        </w:rPr>
        <w:t xml:space="preserve"> and </w:t>
      </w:r>
      <w:r w:rsidR="004B2395" w:rsidRPr="00012C3F">
        <w:rPr>
          <w:rFonts w:eastAsiaTheme="minorHAnsi" w:cs="Arial"/>
          <w:bCs/>
          <w:sz w:val="20"/>
          <w:szCs w:val="20"/>
          <w:lang w:val="en-US" w:eastAsia="en-US"/>
        </w:rPr>
        <w:t>17</w:t>
      </w:r>
      <w:r w:rsidR="001254DE" w:rsidRPr="00012C3F">
        <w:rPr>
          <w:rFonts w:eastAsiaTheme="minorHAnsi" w:cs="Arial"/>
          <w:bCs/>
          <w:sz w:val="20"/>
          <w:szCs w:val="20"/>
          <w:lang w:val="en-US" w:eastAsia="en-US"/>
        </w:rPr>
        <w:t xml:space="preserve"> of the American Convention</w:t>
      </w:r>
      <w:r w:rsidR="004B2395" w:rsidRPr="00012C3F">
        <w:rPr>
          <w:rFonts w:eastAsiaTheme="minorHAnsi" w:cs="Arial"/>
          <w:bCs/>
          <w:sz w:val="20"/>
          <w:szCs w:val="20"/>
          <w:lang w:val="en-US" w:eastAsia="en-US"/>
        </w:rPr>
        <w:t>.</w:t>
      </w:r>
    </w:p>
    <w:p w14:paraId="5CCE68D8" w14:textId="77777777" w:rsidR="004B2395" w:rsidRPr="00012C3F" w:rsidRDefault="004B2395" w:rsidP="004B2395">
      <w:pPr>
        <w:widowControl/>
        <w:autoSpaceDE w:val="0"/>
        <w:autoSpaceDN w:val="0"/>
        <w:spacing w:line="240" w:lineRule="auto"/>
        <w:textAlignment w:val="auto"/>
        <w:rPr>
          <w:rFonts w:eastAsiaTheme="minorHAnsi" w:cs="Arial"/>
          <w:sz w:val="20"/>
          <w:szCs w:val="20"/>
          <w:lang w:val="en-US" w:eastAsia="en-US"/>
        </w:rPr>
      </w:pPr>
    </w:p>
    <w:p w14:paraId="75990B8B" w14:textId="77777777" w:rsidR="004B2395" w:rsidRPr="00012C3F" w:rsidRDefault="00972ACF" w:rsidP="00916B35">
      <w:pPr>
        <w:widowControl/>
        <w:numPr>
          <w:ilvl w:val="0"/>
          <w:numId w:val="5"/>
        </w:numPr>
        <w:tabs>
          <w:tab w:val="left" w:pos="720"/>
          <w:tab w:val="num" w:pos="12305"/>
        </w:tabs>
        <w:autoSpaceDE w:val="0"/>
        <w:autoSpaceDN w:val="0"/>
        <w:spacing w:line="240" w:lineRule="auto"/>
        <w:ind w:left="0" w:firstLine="0"/>
        <w:textAlignment w:val="auto"/>
        <w:rPr>
          <w:rFonts w:eastAsiaTheme="minorHAnsi" w:cs="Arial"/>
          <w:sz w:val="20"/>
          <w:szCs w:val="20"/>
          <w:lang w:val="en-US" w:eastAsia="en-US"/>
        </w:rPr>
      </w:pPr>
      <w:r w:rsidRPr="00012C3F">
        <w:rPr>
          <w:rFonts w:eastAsiaTheme="minorHAnsi" w:cs="Arial"/>
          <w:bCs/>
          <w:sz w:val="20"/>
          <w:szCs w:val="20"/>
          <w:lang w:val="en-US" w:eastAsia="en-US"/>
        </w:rPr>
        <w:t xml:space="preserve">The </w:t>
      </w:r>
      <w:r w:rsidRPr="00012C3F">
        <w:rPr>
          <w:rFonts w:eastAsiaTheme="minorHAnsi" w:cs="Arial"/>
          <w:b/>
          <w:i/>
          <w:iCs/>
          <w:sz w:val="20"/>
          <w:szCs w:val="20"/>
          <w:lang w:val="en-US" w:eastAsia="en-US"/>
        </w:rPr>
        <w:t>representative</w:t>
      </w:r>
      <w:r w:rsidR="004B2395" w:rsidRPr="00012C3F">
        <w:rPr>
          <w:rFonts w:eastAsiaTheme="minorHAnsi" w:cs="Arial"/>
          <w:b/>
          <w:i/>
          <w:iCs/>
          <w:sz w:val="20"/>
          <w:szCs w:val="20"/>
          <w:lang w:val="en-US" w:eastAsia="en-US"/>
        </w:rPr>
        <w:t xml:space="preserve"> </w:t>
      </w:r>
      <w:r w:rsidR="00916B35" w:rsidRPr="00012C3F">
        <w:rPr>
          <w:rFonts w:eastAsiaTheme="minorHAnsi" w:cs="Arial"/>
          <w:sz w:val="20"/>
          <w:szCs w:val="20"/>
          <w:lang w:val="en-US" w:eastAsia="en-US"/>
        </w:rPr>
        <w:t>indicated that discrimination existed in cases of</w:t>
      </w:r>
      <w:r w:rsidR="008F5266" w:rsidRPr="00012C3F">
        <w:rPr>
          <w:rFonts w:eastAsiaTheme="minorHAnsi" w:cs="Arial"/>
          <w:sz w:val="20"/>
          <w:szCs w:val="20"/>
          <w:lang w:val="en-US" w:eastAsia="en-US"/>
        </w:rPr>
        <w:t xml:space="preserve"> forced sterilization</w:t>
      </w:r>
      <w:r w:rsidR="00916B35" w:rsidRPr="00012C3F">
        <w:rPr>
          <w:rFonts w:eastAsiaTheme="minorHAnsi" w:cs="Arial"/>
          <w:sz w:val="20"/>
          <w:szCs w:val="20"/>
          <w:lang w:val="en-US" w:eastAsia="en-US"/>
        </w:rPr>
        <w:t xml:space="preserve"> not only </w:t>
      </w:r>
      <w:r w:rsidR="006C705C" w:rsidRPr="00012C3F">
        <w:rPr>
          <w:rFonts w:eastAsiaTheme="minorHAnsi" w:cs="Arial"/>
          <w:sz w:val="20"/>
          <w:szCs w:val="20"/>
          <w:lang w:val="en-US" w:eastAsia="en-US"/>
        </w:rPr>
        <w:t>in relation to</w:t>
      </w:r>
      <w:r w:rsidR="004B2395"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Articles</w:t>
      </w:r>
      <w:r w:rsidR="004B2395"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5(1)</w:t>
      </w:r>
      <w:r w:rsidR="004B2395"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11(2) and 17(2)</w:t>
      </w:r>
      <w:r w:rsidR="001254DE" w:rsidRPr="00012C3F">
        <w:rPr>
          <w:rFonts w:eastAsiaTheme="minorHAnsi" w:cs="Arial"/>
          <w:sz w:val="20"/>
          <w:szCs w:val="20"/>
          <w:lang w:val="en-US" w:eastAsia="en-US"/>
        </w:rPr>
        <w:t xml:space="preserve"> of the American Convention</w:t>
      </w:r>
      <w:r w:rsidR="00DA5641" w:rsidRPr="00012C3F">
        <w:rPr>
          <w:rFonts w:eastAsiaTheme="minorHAnsi" w:cs="Arial"/>
          <w:sz w:val="20"/>
          <w:szCs w:val="20"/>
          <w:lang w:val="en-US" w:eastAsia="en-US"/>
        </w:rPr>
        <w:t>,</w:t>
      </w:r>
      <w:r w:rsidR="004B2395" w:rsidRPr="00012C3F">
        <w:rPr>
          <w:rFonts w:eastAsiaTheme="minorHAnsi" w:cs="Arial"/>
          <w:sz w:val="20"/>
          <w:szCs w:val="20"/>
          <w:lang w:val="en-US" w:eastAsia="en-US"/>
        </w:rPr>
        <w:t xml:space="preserve"> </w:t>
      </w:r>
      <w:r w:rsidR="00916B35" w:rsidRPr="00012C3F">
        <w:rPr>
          <w:rFonts w:eastAsiaTheme="minorHAnsi" w:cs="Arial"/>
          <w:sz w:val="20"/>
          <w:szCs w:val="20"/>
          <w:lang w:val="en-US" w:eastAsia="en-US"/>
        </w:rPr>
        <w:t>but also in relation to</w:t>
      </w:r>
      <w:r w:rsidR="004B2395"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w:t>
      </w:r>
      <w:r w:rsidR="004B2395"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13(1)</w:t>
      </w:r>
      <w:r w:rsidR="008873C4" w:rsidRPr="00012C3F">
        <w:rPr>
          <w:rFonts w:eastAsiaTheme="minorHAnsi" w:cs="Arial"/>
          <w:sz w:val="20"/>
          <w:szCs w:val="20"/>
          <w:lang w:val="en-US" w:eastAsia="en-US"/>
        </w:rPr>
        <w:t xml:space="preserve"> </w:t>
      </w:r>
      <w:r w:rsidR="006C705C" w:rsidRPr="00012C3F">
        <w:rPr>
          <w:rFonts w:eastAsiaTheme="minorHAnsi" w:cs="Arial"/>
          <w:sz w:val="20"/>
          <w:szCs w:val="20"/>
          <w:lang w:val="en-US" w:eastAsia="en-US"/>
        </w:rPr>
        <w:t>of this instrument</w:t>
      </w:r>
      <w:r w:rsidR="008873C4" w:rsidRPr="00012C3F">
        <w:rPr>
          <w:rFonts w:eastAsiaTheme="minorHAnsi" w:cs="Arial"/>
          <w:sz w:val="20"/>
          <w:szCs w:val="20"/>
          <w:lang w:val="en-US" w:eastAsia="en-US"/>
        </w:rPr>
        <w:t>.</w:t>
      </w:r>
      <w:r w:rsidR="008873C4" w:rsidRPr="00012C3F" w:rsidDel="008873C4">
        <w:rPr>
          <w:rFonts w:eastAsiaTheme="minorHAnsi" w:cs="Arial"/>
          <w:sz w:val="20"/>
          <w:szCs w:val="20"/>
          <w:lang w:val="en-US" w:eastAsia="en-US"/>
        </w:rPr>
        <w:t xml:space="preserve"> </w:t>
      </w:r>
      <w:r w:rsidR="00916B35" w:rsidRPr="00012C3F">
        <w:rPr>
          <w:rFonts w:eastAsiaTheme="minorHAnsi" w:cs="Arial"/>
          <w:sz w:val="20"/>
          <w:szCs w:val="20"/>
          <w:lang w:val="en-US" w:eastAsia="en-US"/>
        </w:rPr>
        <w:t xml:space="preserve">In this regard, she argued that the right to receive information (Article 13 of the American Convention) was violated based on discrimination and, also, expanded </w:t>
      </w:r>
      <w:r w:rsidR="00505CB6" w:rsidRPr="00012C3F">
        <w:rPr>
          <w:rFonts w:eastAsiaTheme="minorHAnsi" w:cs="Arial"/>
          <w:sz w:val="20"/>
          <w:szCs w:val="20"/>
          <w:lang w:val="en-US" w:eastAsia="en-US"/>
        </w:rPr>
        <w:t xml:space="preserve">on </w:t>
      </w:r>
      <w:r w:rsidR="00916B35" w:rsidRPr="00012C3F">
        <w:rPr>
          <w:rFonts w:eastAsiaTheme="minorHAnsi" w:cs="Arial"/>
          <w:sz w:val="20"/>
          <w:szCs w:val="20"/>
          <w:lang w:val="en-US" w:eastAsia="en-US"/>
        </w:rPr>
        <w:t xml:space="preserve">the factors of discrimination that presumably motivated the violation of I.V.’s rights. In particular, she argued that “enforced sterilization is a discriminatory phenomenon that affects women just as, in this case, it affected I.V. because she is a woman.” She also argued that I.V. was attended in the Women’s Hospital with the profile of being a poor woman with little schooling, </w:t>
      </w:r>
      <w:r w:rsidR="002E0435" w:rsidRPr="00012C3F">
        <w:rPr>
          <w:rFonts w:eastAsiaTheme="minorHAnsi" w:cs="Arial"/>
          <w:sz w:val="20"/>
          <w:szCs w:val="20"/>
          <w:lang w:val="en-US" w:eastAsia="en-US"/>
        </w:rPr>
        <w:t>of another national origin</w:t>
      </w:r>
      <w:r w:rsidR="00780E58" w:rsidRPr="00012C3F">
        <w:rPr>
          <w:rFonts w:eastAsiaTheme="minorHAnsi" w:cs="Arial"/>
          <w:sz w:val="20"/>
          <w:szCs w:val="20"/>
          <w:lang w:val="en-US" w:eastAsia="en-US"/>
        </w:rPr>
        <w:t>, and, according to the representative, this had given rise to feelings and attitudes of xenophobia and discrimination. Lastly, she indicated that, in addition to being a “woman,” “poor” and “Peruvian,” I.V. was and is a refugee in Bolivia and, as such, ha</w:t>
      </w:r>
      <w:r w:rsidR="002E0435" w:rsidRPr="00012C3F">
        <w:rPr>
          <w:rFonts w:eastAsiaTheme="minorHAnsi" w:cs="Arial"/>
          <w:sz w:val="20"/>
          <w:szCs w:val="20"/>
          <w:lang w:val="en-US" w:eastAsia="en-US"/>
        </w:rPr>
        <w:t>d</w:t>
      </w:r>
      <w:r w:rsidR="00780E58" w:rsidRPr="00012C3F">
        <w:rPr>
          <w:rFonts w:eastAsiaTheme="minorHAnsi" w:cs="Arial"/>
          <w:sz w:val="20"/>
          <w:szCs w:val="20"/>
          <w:lang w:val="en-US" w:eastAsia="en-US"/>
        </w:rPr>
        <w:t xml:space="preserve"> also been a victim of discrimination. In sum, she concluded that I.V. suffered numerous types of discrimination in </w:t>
      </w:r>
      <w:r w:rsidR="00583403" w:rsidRPr="00012C3F">
        <w:rPr>
          <w:rFonts w:eastAsiaTheme="minorHAnsi" w:cs="Arial"/>
          <w:sz w:val="20"/>
          <w:szCs w:val="20"/>
          <w:lang w:val="en-US" w:eastAsia="en-US"/>
        </w:rPr>
        <w:t>the Women’s Hospital</w:t>
      </w:r>
      <w:r w:rsidR="005A6FC7" w:rsidRPr="00012C3F">
        <w:rPr>
          <w:rFonts w:eastAsiaTheme="minorHAnsi" w:cs="Arial"/>
          <w:sz w:val="20"/>
          <w:szCs w:val="20"/>
          <w:lang w:val="en-US" w:eastAsia="en-US"/>
        </w:rPr>
        <w:t>.</w:t>
      </w:r>
    </w:p>
    <w:p w14:paraId="0B5CD4FA" w14:textId="77777777" w:rsidR="004B2395" w:rsidRPr="00012C3F" w:rsidRDefault="004B2395" w:rsidP="004B2395">
      <w:pPr>
        <w:widowControl/>
        <w:autoSpaceDE w:val="0"/>
        <w:autoSpaceDN w:val="0"/>
        <w:spacing w:line="240" w:lineRule="auto"/>
        <w:textAlignment w:val="auto"/>
        <w:rPr>
          <w:rFonts w:eastAsiaTheme="minorHAnsi" w:cs="Arial"/>
          <w:sz w:val="20"/>
          <w:szCs w:val="20"/>
          <w:lang w:val="en-US" w:eastAsia="en-US"/>
        </w:rPr>
      </w:pPr>
    </w:p>
    <w:p w14:paraId="03632981" w14:textId="77777777" w:rsidR="00780E58" w:rsidRPr="00012C3F" w:rsidRDefault="00A84CA0" w:rsidP="006C5FA3">
      <w:pPr>
        <w:widowControl/>
        <w:numPr>
          <w:ilvl w:val="0"/>
          <w:numId w:val="5"/>
        </w:numPr>
        <w:tabs>
          <w:tab w:val="left" w:pos="720"/>
          <w:tab w:val="num" w:pos="12305"/>
        </w:tabs>
        <w:autoSpaceDE w:val="0"/>
        <w:autoSpaceDN w:val="0"/>
        <w:spacing w:line="240" w:lineRule="auto"/>
        <w:ind w:left="0" w:firstLine="0"/>
        <w:textAlignment w:val="auto"/>
        <w:rPr>
          <w:rFonts w:eastAsiaTheme="minorHAnsi" w:cs="Arial"/>
          <w:sz w:val="20"/>
          <w:szCs w:val="20"/>
          <w:lang w:val="en-US" w:eastAsia="en-US"/>
        </w:rPr>
      </w:pPr>
      <w:r w:rsidRPr="00012C3F">
        <w:rPr>
          <w:rFonts w:eastAsiaTheme="minorHAnsi" w:cs="Arial"/>
          <w:bCs/>
          <w:sz w:val="20"/>
          <w:szCs w:val="20"/>
          <w:lang w:val="en-US" w:eastAsia="en-US"/>
        </w:rPr>
        <w:t xml:space="preserve">The </w:t>
      </w:r>
      <w:r w:rsidRPr="00012C3F">
        <w:rPr>
          <w:rFonts w:eastAsiaTheme="minorHAnsi" w:cs="Arial"/>
          <w:b/>
          <w:i/>
          <w:iCs/>
          <w:sz w:val="20"/>
          <w:szCs w:val="20"/>
          <w:lang w:val="en-US" w:eastAsia="en-US"/>
        </w:rPr>
        <w:t>State</w:t>
      </w:r>
      <w:r w:rsidR="004B2395" w:rsidRPr="00012C3F">
        <w:rPr>
          <w:rFonts w:eastAsiaTheme="minorHAnsi" w:cs="Arial"/>
          <w:sz w:val="20"/>
          <w:szCs w:val="20"/>
          <w:lang w:val="en-US" w:eastAsia="en-US"/>
        </w:rPr>
        <w:t xml:space="preserve"> </w:t>
      </w:r>
      <w:r w:rsidR="00780E58" w:rsidRPr="00012C3F">
        <w:rPr>
          <w:rFonts w:eastAsiaTheme="minorHAnsi" w:cs="Arial"/>
          <w:sz w:val="20"/>
          <w:szCs w:val="20"/>
          <w:lang w:val="en-US" w:eastAsia="en-US"/>
        </w:rPr>
        <w:t>argued that it had</w:t>
      </w:r>
      <w:r w:rsidR="004B2395" w:rsidRPr="00012C3F">
        <w:rPr>
          <w:rFonts w:eastAsiaTheme="minorHAnsi" w:cs="Arial"/>
          <w:sz w:val="20"/>
          <w:szCs w:val="20"/>
          <w:lang w:val="en-US" w:eastAsia="en-US"/>
        </w:rPr>
        <w:t xml:space="preserve"> “</w:t>
      </w:r>
      <w:r w:rsidR="00780E58" w:rsidRPr="00012C3F">
        <w:rPr>
          <w:rFonts w:eastAsiaTheme="minorHAnsi" w:cs="Arial"/>
          <w:sz w:val="20"/>
          <w:szCs w:val="20"/>
          <w:lang w:val="en-US" w:eastAsia="en-US"/>
        </w:rPr>
        <w:t xml:space="preserve">never exercised gender-based discrimination in relation to I.V.’s reproductive rights,” and noted that “there is no evidence whatsoever proving that I.V. was subjected to discriminatory treatment </w:t>
      </w:r>
      <w:r w:rsidR="00780E58" w:rsidRPr="00012C3F">
        <w:rPr>
          <w:rFonts w:eastAsiaTheme="minorHAnsi" w:cs="Arial"/>
          <w:i/>
          <w:sz w:val="20"/>
          <w:szCs w:val="20"/>
          <w:lang w:val="en-US" w:eastAsia="en-US"/>
        </w:rPr>
        <w:t>de iure</w:t>
      </w:r>
      <w:r w:rsidR="00780E58" w:rsidRPr="00012C3F">
        <w:rPr>
          <w:rFonts w:eastAsiaTheme="minorHAnsi" w:cs="Arial"/>
          <w:sz w:val="20"/>
          <w:szCs w:val="20"/>
          <w:lang w:val="en-US" w:eastAsia="en-US"/>
        </w:rPr>
        <w:t xml:space="preserve"> or </w:t>
      </w:r>
      <w:r w:rsidR="00780E58" w:rsidRPr="00012C3F">
        <w:rPr>
          <w:rFonts w:eastAsiaTheme="minorHAnsi" w:cs="Arial"/>
          <w:i/>
          <w:sz w:val="20"/>
          <w:szCs w:val="20"/>
          <w:lang w:val="en-US" w:eastAsia="en-US"/>
        </w:rPr>
        <w:t>de facto</w:t>
      </w:r>
      <w:r w:rsidR="00780E58" w:rsidRPr="00012C3F">
        <w:rPr>
          <w:rFonts w:eastAsiaTheme="minorHAnsi" w:cs="Arial"/>
          <w:iCs/>
          <w:sz w:val="20"/>
          <w:szCs w:val="20"/>
          <w:lang w:val="en-US" w:eastAsia="en-US"/>
        </w:rPr>
        <w:t xml:space="preserve"> by the State in relation to the rights recognized in </w:t>
      </w:r>
      <w:r w:rsidR="00780E58" w:rsidRPr="00012C3F">
        <w:rPr>
          <w:rFonts w:eastAsiaTheme="minorHAnsi" w:cs="Arial"/>
          <w:sz w:val="20"/>
          <w:szCs w:val="20"/>
          <w:lang w:val="en-US" w:eastAsia="en-US"/>
        </w:rPr>
        <w:t xml:space="preserve">Articles 11(2) and 17(2) of the Convention.” Regarding the inexistence of discrimination </w:t>
      </w:r>
      <w:r w:rsidR="00780E58" w:rsidRPr="00012C3F">
        <w:rPr>
          <w:rFonts w:eastAsiaTheme="minorHAnsi" w:cs="Arial"/>
          <w:i/>
          <w:sz w:val="20"/>
          <w:szCs w:val="20"/>
          <w:lang w:val="en-US" w:eastAsia="en-US"/>
        </w:rPr>
        <w:t>de iure</w:t>
      </w:r>
      <w:r w:rsidR="00780E58" w:rsidRPr="00012C3F">
        <w:rPr>
          <w:rFonts w:eastAsiaTheme="minorHAnsi" w:cs="Arial"/>
          <w:sz w:val="20"/>
          <w:szCs w:val="20"/>
          <w:lang w:val="en-US" w:eastAsia="en-US"/>
        </w:rPr>
        <w:t xml:space="preserve">, the State indicated that Bolivian law on the provision of health services </w:t>
      </w:r>
      <w:r w:rsidR="002E0435" w:rsidRPr="00012C3F">
        <w:rPr>
          <w:rFonts w:eastAsiaTheme="minorHAnsi" w:cs="Arial"/>
          <w:sz w:val="20"/>
          <w:szCs w:val="20"/>
          <w:lang w:val="en-US" w:eastAsia="en-US"/>
        </w:rPr>
        <w:t>wa</w:t>
      </w:r>
      <w:r w:rsidR="00780E58" w:rsidRPr="00012C3F">
        <w:rPr>
          <w:rFonts w:eastAsiaTheme="minorHAnsi" w:cs="Arial"/>
          <w:sz w:val="20"/>
          <w:szCs w:val="20"/>
          <w:lang w:val="en-US" w:eastAsia="en-US"/>
        </w:rPr>
        <w:t xml:space="preserve">s not exclusive, and furthermore, </w:t>
      </w:r>
      <w:r w:rsidR="002E0435" w:rsidRPr="00012C3F">
        <w:rPr>
          <w:rFonts w:eastAsiaTheme="minorHAnsi" w:cs="Arial"/>
          <w:sz w:val="20"/>
          <w:szCs w:val="20"/>
          <w:lang w:val="en-US" w:eastAsia="en-US"/>
        </w:rPr>
        <w:t xml:space="preserve">there was </w:t>
      </w:r>
      <w:r w:rsidR="00780E58" w:rsidRPr="00012C3F">
        <w:rPr>
          <w:rFonts w:eastAsiaTheme="minorHAnsi" w:cs="Arial"/>
          <w:sz w:val="20"/>
          <w:szCs w:val="20"/>
          <w:lang w:val="en-US" w:eastAsia="en-US"/>
        </w:rPr>
        <w:t xml:space="preserve">no discrimination whatsoever or discriminating criteria in the regulations on choice and informed consent (Health </w:t>
      </w:r>
      <w:r w:rsidR="006C5FA3" w:rsidRPr="00012C3F">
        <w:rPr>
          <w:rFonts w:eastAsiaTheme="minorHAnsi" w:cs="Arial"/>
          <w:sz w:val="20"/>
          <w:szCs w:val="20"/>
          <w:lang w:val="en-US" w:eastAsia="en-US"/>
        </w:rPr>
        <w:t xml:space="preserve">Regulation MSPS 4-98), or in the surgical protocols applied in this specific case. Consequently, it argued that “there is no provision whatsoever in relation to reproductive health that, based on discrimination, limits the exercise of the reproductive rights of women.” In addition, the State argued the inexistence of discrimination </w:t>
      </w:r>
      <w:r w:rsidR="006C5FA3" w:rsidRPr="00012C3F">
        <w:rPr>
          <w:rFonts w:eastAsiaTheme="minorHAnsi" w:cs="Arial"/>
          <w:i/>
          <w:sz w:val="20"/>
          <w:szCs w:val="20"/>
          <w:lang w:val="en-US" w:eastAsia="en-US"/>
        </w:rPr>
        <w:t>de facto</w:t>
      </w:r>
      <w:r w:rsidR="006C5FA3" w:rsidRPr="00012C3F">
        <w:rPr>
          <w:rFonts w:eastAsiaTheme="minorHAnsi" w:cs="Arial"/>
          <w:sz w:val="20"/>
          <w:szCs w:val="20"/>
          <w:lang w:val="en-US" w:eastAsia="en-US"/>
        </w:rPr>
        <w:t>, because the “the medical personnel performed their tasks professionally, and without making any distinctions to the detriment of I.V.” It a</w:t>
      </w:r>
      <w:r w:rsidR="002E0435" w:rsidRPr="00012C3F">
        <w:rPr>
          <w:rFonts w:eastAsiaTheme="minorHAnsi" w:cs="Arial"/>
          <w:sz w:val="20"/>
          <w:szCs w:val="20"/>
          <w:lang w:val="en-US" w:eastAsia="en-US"/>
        </w:rPr>
        <w:t>rgued</w:t>
      </w:r>
      <w:r w:rsidR="006C5FA3" w:rsidRPr="00012C3F">
        <w:rPr>
          <w:rFonts w:eastAsiaTheme="minorHAnsi" w:cs="Arial"/>
          <w:sz w:val="20"/>
          <w:szCs w:val="20"/>
          <w:lang w:val="en-US" w:eastAsia="en-US"/>
        </w:rPr>
        <w:t xml:space="preserve"> that actions, such as the performance of </w:t>
      </w:r>
      <w:r w:rsidR="00136EDE" w:rsidRPr="00012C3F">
        <w:rPr>
          <w:rFonts w:eastAsiaTheme="minorHAnsi" w:cs="Arial"/>
          <w:sz w:val="20"/>
          <w:szCs w:val="20"/>
          <w:lang w:val="en-US" w:eastAsia="en-US"/>
        </w:rPr>
        <w:t>the caesarean section</w:t>
      </w:r>
      <w:r w:rsidR="006C5FA3" w:rsidRPr="00012C3F">
        <w:rPr>
          <w:rFonts w:eastAsiaTheme="minorHAnsi" w:cs="Arial"/>
          <w:sz w:val="20"/>
          <w:szCs w:val="20"/>
          <w:lang w:val="en-US" w:eastAsia="en-US"/>
        </w:rPr>
        <w:t xml:space="preserve"> to protect her life and that of the baby, were carried out in accordance with the patient’s needs. Therefore, in its opinion, there </w:t>
      </w:r>
      <w:r w:rsidR="002E0435" w:rsidRPr="00012C3F">
        <w:rPr>
          <w:rFonts w:eastAsiaTheme="minorHAnsi" w:cs="Arial"/>
          <w:sz w:val="20"/>
          <w:szCs w:val="20"/>
          <w:lang w:val="en-US" w:eastAsia="en-US"/>
        </w:rPr>
        <w:t>wa</w:t>
      </w:r>
      <w:r w:rsidR="006C5FA3" w:rsidRPr="00012C3F">
        <w:rPr>
          <w:rFonts w:eastAsiaTheme="minorHAnsi" w:cs="Arial"/>
          <w:sz w:val="20"/>
          <w:szCs w:val="20"/>
          <w:lang w:val="en-US" w:eastAsia="en-US"/>
        </w:rPr>
        <w:t>s no record showing that the alleged numerous forms of discrimination existed, based on the fact that I.V. was a woman, a migrant, and with scarce financial resources, because she was provided with every possibility of access to health care services, and the respective controls to protect her maternal health.</w:t>
      </w:r>
    </w:p>
    <w:p w14:paraId="0E3BF390" w14:textId="77777777" w:rsidR="004B2395" w:rsidRPr="00012C3F" w:rsidRDefault="004B2395" w:rsidP="004B2395">
      <w:pPr>
        <w:widowControl/>
        <w:autoSpaceDE w:val="0"/>
        <w:autoSpaceDN w:val="0"/>
        <w:spacing w:line="240" w:lineRule="auto"/>
        <w:textAlignment w:val="auto"/>
        <w:rPr>
          <w:rFonts w:eastAsiaTheme="minorHAnsi" w:cs="Arial"/>
          <w:sz w:val="20"/>
          <w:szCs w:val="20"/>
          <w:lang w:val="en-US" w:eastAsia="en-US"/>
        </w:rPr>
      </w:pPr>
    </w:p>
    <w:p w14:paraId="2CFB898B" w14:textId="77777777" w:rsidR="006C5FA3" w:rsidRPr="00012C3F" w:rsidRDefault="006C5FA3" w:rsidP="006C5FA3">
      <w:pPr>
        <w:widowControl/>
        <w:numPr>
          <w:ilvl w:val="0"/>
          <w:numId w:val="5"/>
        </w:numPr>
        <w:tabs>
          <w:tab w:val="left" w:pos="720"/>
          <w:tab w:val="num" w:pos="12305"/>
        </w:tabs>
        <w:autoSpaceDE w:val="0"/>
        <w:autoSpaceDN w:val="0"/>
        <w:spacing w:line="240" w:lineRule="auto"/>
        <w:ind w:left="0" w:firstLine="0"/>
        <w:textAlignment w:val="auto"/>
        <w:rPr>
          <w:rFonts w:eastAsiaTheme="minorHAnsi" w:cs="Arial"/>
          <w:sz w:val="20"/>
          <w:szCs w:val="20"/>
          <w:lang w:val="en-US" w:eastAsia="en-US"/>
        </w:rPr>
      </w:pPr>
      <w:r w:rsidRPr="00012C3F">
        <w:rPr>
          <w:rFonts w:eastAsiaTheme="minorHAnsi" w:cs="Arial"/>
          <w:sz w:val="20"/>
          <w:szCs w:val="20"/>
          <w:lang w:val="en-US" w:eastAsia="en-US"/>
        </w:rPr>
        <w:t>Regarding the supposed existence of a systematic pattern of</w:t>
      </w:r>
      <w:r w:rsidR="008F5266" w:rsidRPr="00012C3F">
        <w:rPr>
          <w:rFonts w:eastAsiaTheme="minorHAnsi" w:cs="Arial"/>
          <w:sz w:val="20"/>
          <w:szCs w:val="20"/>
          <w:lang w:val="en-US" w:eastAsia="en-US"/>
        </w:rPr>
        <w:t xml:space="preserve"> forced sterilization</w:t>
      </w:r>
      <w:r w:rsidRPr="00012C3F">
        <w:rPr>
          <w:rFonts w:eastAsiaTheme="minorHAnsi" w:cs="Arial"/>
          <w:sz w:val="20"/>
          <w:szCs w:val="20"/>
          <w:lang w:val="en-US" w:eastAsia="en-US"/>
        </w:rPr>
        <w:t>, the State indicated that tubal ligation “can never be classified as a practice of</w:t>
      </w:r>
      <w:r w:rsidR="008F5266" w:rsidRPr="00012C3F">
        <w:rPr>
          <w:rFonts w:eastAsiaTheme="minorHAnsi" w:cs="Arial"/>
          <w:sz w:val="20"/>
          <w:szCs w:val="20"/>
          <w:lang w:val="en-US" w:eastAsia="en-US"/>
        </w:rPr>
        <w:t xml:space="preserve"> forced sterilization</w:t>
      </w:r>
      <w:r w:rsidRPr="00012C3F">
        <w:rPr>
          <w:rFonts w:eastAsiaTheme="minorHAnsi" w:cs="Arial"/>
          <w:sz w:val="20"/>
          <w:szCs w:val="20"/>
          <w:lang w:val="en-US" w:eastAsia="en-US"/>
        </w:rPr>
        <w:t xml:space="preserve"> based on discriminatory criteria, seeking to portray the State as a violator of human rights, </w:t>
      </w:r>
      <w:r w:rsidR="008F5266" w:rsidRPr="00012C3F">
        <w:rPr>
          <w:rFonts w:eastAsiaTheme="minorHAnsi" w:cs="Arial"/>
          <w:sz w:val="20"/>
          <w:szCs w:val="20"/>
          <w:lang w:val="en-US" w:eastAsia="en-US"/>
        </w:rPr>
        <w:t>as</w:t>
      </w:r>
      <w:r w:rsidRPr="00012C3F">
        <w:rPr>
          <w:rFonts w:eastAsiaTheme="minorHAnsi" w:cs="Arial"/>
          <w:sz w:val="20"/>
          <w:szCs w:val="20"/>
          <w:lang w:val="en-US" w:eastAsia="en-US"/>
        </w:rPr>
        <w:t xml:space="preserve"> if its actions w</w:t>
      </w:r>
      <w:r w:rsidR="008F5266" w:rsidRPr="00012C3F">
        <w:rPr>
          <w:rFonts w:eastAsiaTheme="minorHAnsi" w:cs="Arial"/>
          <w:sz w:val="20"/>
          <w:szCs w:val="20"/>
          <w:lang w:val="en-US" w:eastAsia="en-US"/>
        </w:rPr>
        <w:t>ere</w:t>
      </w:r>
      <w:r w:rsidRPr="00012C3F">
        <w:rPr>
          <w:rFonts w:eastAsiaTheme="minorHAnsi" w:cs="Arial"/>
          <w:sz w:val="20"/>
          <w:szCs w:val="20"/>
          <w:lang w:val="en-US" w:eastAsia="en-US"/>
        </w:rPr>
        <w:t xml:space="preserve"> aimed at arbitrarily limiting the reproductive freedom of women through a mass, obligatory and systematic government birth control policy</w:t>
      </w:r>
      <w:r w:rsidR="008F5266" w:rsidRPr="00012C3F">
        <w:rPr>
          <w:rFonts w:eastAsiaTheme="minorHAnsi" w:cs="Arial"/>
          <w:sz w:val="20"/>
          <w:szCs w:val="20"/>
          <w:lang w:val="en-US" w:eastAsia="en-US"/>
        </w:rPr>
        <w:t xml:space="preserve">, an argument that [… it] reject[ed]] because it was totally divorced from reality.” It also argued that, the instant case “absolutely cannot be compared to the acts of forced sterilization [that occur in other countries and] that, based on a poverty control policy, take away the right of women to decide if and when to have children, thus affecting the country’s marginalized and indigenous communities […].”  </w:t>
      </w:r>
    </w:p>
    <w:p w14:paraId="48D8761B" w14:textId="77777777" w:rsidR="004B2395" w:rsidRPr="00012C3F" w:rsidRDefault="004B2395" w:rsidP="004B2395">
      <w:pPr>
        <w:widowControl/>
        <w:autoSpaceDE w:val="0"/>
        <w:autoSpaceDN w:val="0"/>
        <w:spacing w:line="240" w:lineRule="auto"/>
        <w:textAlignment w:val="auto"/>
        <w:rPr>
          <w:rFonts w:eastAsiaTheme="minorHAnsi" w:cs="Arial"/>
          <w:sz w:val="20"/>
          <w:szCs w:val="20"/>
          <w:lang w:val="en-US" w:eastAsia="en-US"/>
        </w:rPr>
      </w:pPr>
    </w:p>
    <w:p w14:paraId="3337D721" w14:textId="77777777" w:rsidR="008F5266" w:rsidRPr="00012C3F" w:rsidRDefault="008F5266" w:rsidP="008F5266">
      <w:pPr>
        <w:numPr>
          <w:ilvl w:val="0"/>
          <w:numId w:val="5"/>
        </w:numPr>
        <w:tabs>
          <w:tab w:val="left" w:pos="720"/>
          <w:tab w:val="num" w:pos="12305"/>
        </w:tabs>
        <w:spacing w:line="240" w:lineRule="auto"/>
        <w:ind w:left="0" w:firstLine="0"/>
        <w:rPr>
          <w:rFonts w:eastAsiaTheme="minorHAnsi" w:cs="Arial"/>
          <w:b/>
          <w:sz w:val="16"/>
          <w:szCs w:val="16"/>
          <w:lang w:val="en-US" w:eastAsia="en-US"/>
        </w:rPr>
      </w:pPr>
      <w:r w:rsidRPr="00012C3F">
        <w:rPr>
          <w:rFonts w:eastAsiaTheme="minorHAnsi" w:cs="Arial"/>
          <w:sz w:val="20"/>
          <w:szCs w:val="20"/>
          <w:lang w:val="en-US" w:eastAsia="en-US"/>
        </w:rPr>
        <w:t>Lastly</w:t>
      </w:r>
      <w:r w:rsidR="004B2395" w:rsidRPr="00012C3F">
        <w:rPr>
          <w:rFonts w:eastAsiaTheme="minorHAnsi" w:cs="Arial"/>
          <w:sz w:val="20"/>
          <w:szCs w:val="20"/>
          <w:lang w:val="en-US" w:eastAsia="en-US"/>
        </w:rPr>
        <w:t xml:space="preserve">, </w:t>
      </w:r>
      <w:r w:rsidR="00A84CA0" w:rsidRPr="00012C3F">
        <w:rPr>
          <w:rFonts w:eastAsiaTheme="minorHAnsi" w:cs="Arial"/>
          <w:sz w:val="20"/>
          <w:szCs w:val="20"/>
          <w:lang w:val="en-US" w:eastAsia="en-US"/>
        </w:rPr>
        <w:t>the State</w:t>
      </w:r>
      <w:r w:rsidR="004B2395" w:rsidRPr="00012C3F">
        <w:rPr>
          <w:rFonts w:eastAsiaTheme="minorHAnsi" w:cs="Arial"/>
          <w:sz w:val="20"/>
          <w:szCs w:val="20"/>
          <w:lang w:val="en-US" w:eastAsia="en-US"/>
        </w:rPr>
        <w:t xml:space="preserve"> </w:t>
      </w:r>
      <w:r w:rsidRPr="00012C3F">
        <w:rPr>
          <w:rFonts w:eastAsiaTheme="minorHAnsi" w:cs="Arial"/>
          <w:sz w:val="20"/>
          <w:szCs w:val="20"/>
          <w:lang w:val="en-US" w:eastAsia="en-US"/>
        </w:rPr>
        <w:t>rejected the facts alleged in this case, because they did not accord with the provisions of</w:t>
      </w:r>
      <w:r w:rsidR="004B2395"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Articles</w:t>
      </w:r>
      <w:r w:rsidR="004B2395"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17(2) and 11(2)</w:t>
      </w:r>
      <w:r w:rsidR="000D4F90" w:rsidRPr="00012C3F">
        <w:rPr>
          <w:rFonts w:eastAsiaTheme="minorHAnsi" w:cs="Arial"/>
          <w:sz w:val="20"/>
          <w:szCs w:val="20"/>
          <w:lang w:val="en-US" w:eastAsia="en-US"/>
        </w:rPr>
        <w:t>,</w:t>
      </w:r>
      <w:r w:rsidR="004B2395" w:rsidRPr="00012C3F">
        <w:rPr>
          <w:rFonts w:eastAsiaTheme="minorHAnsi" w:cs="Arial"/>
          <w:sz w:val="20"/>
          <w:szCs w:val="20"/>
          <w:lang w:val="en-US" w:eastAsia="en-US"/>
        </w:rPr>
        <w:t xml:space="preserve"> </w:t>
      </w:r>
      <w:r w:rsidR="006C705C" w:rsidRPr="00012C3F">
        <w:rPr>
          <w:rFonts w:eastAsiaTheme="minorHAnsi" w:cs="Arial"/>
          <w:sz w:val="20"/>
          <w:szCs w:val="20"/>
          <w:lang w:val="en-US" w:eastAsia="en-US"/>
        </w:rPr>
        <w:t>in relation to</w:t>
      </w:r>
      <w:r w:rsidR="004B2395"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w:t>
      </w:r>
      <w:r w:rsidR="004B2395"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1(1)</w:t>
      </w:r>
      <w:r w:rsidR="001254DE" w:rsidRPr="00012C3F">
        <w:rPr>
          <w:rFonts w:eastAsiaTheme="minorHAnsi" w:cs="Arial"/>
          <w:sz w:val="20"/>
          <w:szCs w:val="20"/>
          <w:lang w:val="en-US" w:eastAsia="en-US"/>
        </w:rPr>
        <w:t xml:space="preserve"> of the Convention</w:t>
      </w:r>
      <w:r w:rsidR="000D4F90" w:rsidRPr="00012C3F">
        <w:rPr>
          <w:rFonts w:eastAsiaTheme="minorHAnsi" w:cs="Arial"/>
          <w:sz w:val="20"/>
          <w:szCs w:val="20"/>
          <w:lang w:val="en-US" w:eastAsia="en-US"/>
        </w:rPr>
        <w:t xml:space="preserve">, </w:t>
      </w:r>
      <w:r w:rsidRPr="00012C3F">
        <w:rPr>
          <w:rFonts w:eastAsiaTheme="minorHAnsi" w:cs="Arial"/>
          <w:sz w:val="20"/>
          <w:szCs w:val="20"/>
          <w:lang w:val="en-US" w:eastAsia="en-US"/>
        </w:rPr>
        <w:t>since</w:t>
      </w:r>
      <w:r w:rsidR="004B2395" w:rsidRPr="00012C3F">
        <w:rPr>
          <w:rFonts w:eastAsiaTheme="minorHAnsi" w:cs="Arial"/>
          <w:sz w:val="20"/>
          <w:szCs w:val="20"/>
          <w:lang w:val="en-US" w:eastAsia="en-US"/>
        </w:rPr>
        <w:t xml:space="preserve"> </w:t>
      </w:r>
      <w:r w:rsidR="000D4F90" w:rsidRPr="00012C3F">
        <w:rPr>
          <w:rFonts w:eastAsiaTheme="minorHAnsi" w:cs="Arial"/>
          <w:sz w:val="20"/>
          <w:szCs w:val="20"/>
          <w:lang w:val="en-US" w:eastAsia="en-US"/>
        </w:rPr>
        <w:t>“</w:t>
      </w:r>
      <w:r w:rsidRPr="00012C3F">
        <w:rPr>
          <w:rFonts w:eastAsiaTheme="minorHAnsi" w:cs="Arial"/>
          <w:sz w:val="20"/>
          <w:szCs w:val="20"/>
          <w:lang w:val="en-US" w:eastAsia="en-US"/>
        </w:rPr>
        <w:t>the presumed violation of I.V.’s family life was not the result of a specific act or omission of the State to this end, but rather the result of a free, voluntary and rational decision not to conceive more children.” Accordingly, the State asked the Court to declare that the State had not violated the said provisions.</w:t>
      </w:r>
    </w:p>
    <w:p w14:paraId="0044E75B" w14:textId="77777777" w:rsidR="007A632E" w:rsidRPr="00012C3F" w:rsidRDefault="007A632E" w:rsidP="007D00D9">
      <w:pPr>
        <w:spacing w:line="240" w:lineRule="auto"/>
        <w:rPr>
          <w:sz w:val="20"/>
          <w:szCs w:val="20"/>
          <w:lang w:val="en-US"/>
        </w:rPr>
      </w:pPr>
    </w:p>
    <w:p w14:paraId="6E6C43C8" w14:textId="77777777" w:rsidR="00885EE8" w:rsidRPr="00012C3F" w:rsidRDefault="00885EE8" w:rsidP="006A16C8">
      <w:pPr>
        <w:pStyle w:val="Ttulo2"/>
        <w:tabs>
          <w:tab w:val="left" w:pos="1701"/>
        </w:tabs>
        <w:spacing w:before="0" w:line="240" w:lineRule="auto"/>
        <w:ind w:left="1134"/>
        <w:rPr>
          <w:rFonts w:ascii="Verdana" w:hAnsi="Verdana"/>
          <w:b w:val="0"/>
          <w:i/>
          <w:color w:val="auto"/>
          <w:sz w:val="20"/>
          <w:szCs w:val="20"/>
          <w:lang w:val="en-US"/>
        </w:rPr>
      </w:pPr>
      <w:bookmarkStart w:id="128" w:name="_Toc27486860"/>
      <w:r w:rsidRPr="00012C3F">
        <w:rPr>
          <w:rFonts w:ascii="Verdana" w:hAnsi="Verdana"/>
          <w:b w:val="0"/>
          <w:i/>
          <w:color w:val="auto"/>
          <w:sz w:val="20"/>
          <w:szCs w:val="20"/>
          <w:lang w:val="en-US"/>
        </w:rPr>
        <w:t>A.6</w:t>
      </w:r>
      <w:r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 right</w:t>
      </w:r>
      <w:r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 xml:space="preserve">of women to a life </w:t>
      </w:r>
      <w:r w:rsidR="00836B72" w:rsidRPr="00012C3F">
        <w:rPr>
          <w:rFonts w:ascii="Verdana" w:hAnsi="Verdana"/>
          <w:b w:val="0"/>
          <w:i/>
          <w:color w:val="auto"/>
          <w:sz w:val="20"/>
          <w:szCs w:val="20"/>
          <w:lang w:val="en-US"/>
        </w:rPr>
        <w:t>free from violence</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Article</w:t>
      </w:r>
      <w:r w:rsidRPr="00012C3F">
        <w:rPr>
          <w:rFonts w:ascii="Verdana" w:hAnsi="Verdana"/>
          <w:b w:val="0"/>
          <w:i/>
          <w:color w:val="auto"/>
          <w:sz w:val="20"/>
          <w:szCs w:val="20"/>
          <w:lang w:val="en-US"/>
        </w:rPr>
        <w:t xml:space="preserve"> 7</w:t>
      </w:r>
      <w:r w:rsidR="001254DE" w:rsidRPr="00012C3F">
        <w:rPr>
          <w:rFonts w:ascii="Verdana" w:hAnsi="Verdana"/>
          <w:b w:val="0"/>
          <w:i/>
          <w:color w:val="auto"/>
          <w:sz w:val="20"/>
          <w:szCs w:val="20"/>
          <w:lang w:val="en-US"/>
        </w:rPr>
        <w:t xml:space="preserve"> of the Convention</w:t>
      </w:r>
      <w:r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of Belém</w:t>
      </w:r>
      <w:r w:rsidRPr="00012C3F">
        <w:rPr>
          <w:rFonts w:ascii="Verdana" w:hAnsi="Verdana"/>
          <w:b w:val="0"/>
          <w:i/>
          <w:color w:val="auto"/>
          <w:sz w:val="20"/>
          <w:szCs w:val="20"/>
          <w:lang w:val="en-US"/>
        </w:rPr>
        <w:t xml:space="preserve"> do Pará)</w:t>
      </w:r>
      <w:bookmarkEnd w:id="128"/>
    </w:p>
    <w:p w14:paraId="4A713290" w14:textId="77777777" w:rsidR="00885EE8" w:rsidRPr="00012C3F" w:rsidRDefault="00885EE8" w:rsidP="00885EE8">
      <w:pPr>
        <w:spacing w:line="240" w:lineRule="auto"/>
        <w:rPr>
          <w:sz w:val="20"/>
          <w:szCs w:val="20"/>
          <w:lang w:val="en-US"/>
        </w:rPr>
      </w:pPr>
    </w:p>
    <w:p w14:paraId="73AD9D8B" w14:textId="77777777" w:rsidR="00885EE8" w:rsidRPr="00012C3F" w:rsidRDefault="00BD056C" w:rsidP="00570C15">
      <w:pPr>
        <w:numPr>
          <w:ilvl w:val="0"/>
          <w:numId w:val="5"/>
        </w:numPr>
        <w:tabs>
          <w:tab w:val="left" w:pos="720"/>
          <w:tab w:val="num" w:pos="12305"/>
        </w:tabs>
        <w:spacing w:line="240" w:lineRule="auto"/>
        <w:ind w:left="0" w:firstLine="0"/>
        <w:rPr>
          <w:b/>
          <w:sz w:val="16"/>
          <w:szCs w:val="16"/>
          <w:lang w:val="en-US"/>
        </w:rPr>
      </w:pPr>
      <w:r w:rsidRPr="00012C3F">
        <w:rPr>
          <w:sz w:val="20"/>
          <w:szCs w:val="20"/>
          <w:lang w:val="en-US"/>
        </w:rPr>
        <w:t xml:space="preserve">The </w:t>
      </w:r>
      <w:r w:rsidRPr="00012C3F">
        <w:rPr>
          <w:b/>
          <w:bCs/>
          <w:i/>
          <w:iCs/>
          <w:sz w:val="20"/>
          <w:szCs w:val="20"/>
          <w:lang w:val="en-US"/>
        </w:rPr>
        <w:t>Commission</w:t>
      </w:r>
      <w:r w:rsidR="00885EE8" w:rsidRPr="00012C3F">
        <w:rPr>
          <w:sz w:val="20"/>
          <w:szCs w:val="20"/>
          <w:lang w:val="en-US"/>
        </w:rPr>
        <w:t xml:space="preserve"> consider</w:t>
      </w:r>
      <w:r w:rsidR="00271E24" w:rsidRPr="00012C3F">
        <w:rPr>
          <w:sz w:val="20"/>
          <w:szCs w:val="20"/>
          <w:lang w:val="en-US"/>
        </w:rPr>
        <w:t>ed that</w:t>
      </w:r>
      <w:r w:rsidR="00885EE8" w:rsidRPr="00012C3F">
        <w:rPr>
          <w:sz w:val="20"/>
          <w:szCs w:val="20"/>
          <w:lang w:val="en-US"/>
        </w:rPr>
        <w:t xml:space="preserve"> </w:t>
      </w:r>
      <w:r w:rsidR="00271E24" w:rsidRPr="00012C3F">
        <w:rPr>
          <w:sz w:val="20"/>
          <w:szCs w:val="20"/>
          <w:lang w:val="en-US"/>
        </w:rPr>
        <w:t>non-consensual sterilization</w:t>
      </w:r>
      <w:r w:rsidR="00885EE8" w:rsidRPr="00012C3F">
        <w:rPr>
          <w:sz w:val="20"/>
          <w:szCs w:val="20"/>
          <w:lang w:val="en-US"/>
        </w:rPr>
        <w:t xml:space="preserve"> </w:t>
      </w:r>
      <w:r w:rsidR="00271E24" w:rsidRPr="00012C3F">
        <w:rPr>
          <w:sz w:val="20"/>
          <w:szCs w:val="20"/>
          <w:lang w:val="en-US"/>
        </w:rPr>
        <w:t>also violated I.V.’s right to live free of all forms of violence in violation of</w:t>
      </w:r>
      <w:r w:rsidR="00271E24" w:rsidRPr="00012C3F">
        <w:rPr>
          <w:b/>
          <w:sz w:val="16"/>
          <w:szCs w:val="16"/>
          <w:lang w:val="en-US"/>
        </w:rPr>
        <w:t xml:space="preserve"> </w:t>
      </w:r>
      <w:r w:rsidR="008A7A0F" w:rsidRPr="00012C3F">
        <w:rPr>
          <w:sz w:val="20"/>
          <w:szCs w:val="20"/>
          <w:lang w:val="en-US"/>
        </w:rPr>
        <w:t>Article</w:t>
      </w:r>
      <w:r w:rsidR="00885EE8" w:rsidRPr="00012C3F">
        <w:rPr>
          <w:sz w:val="20"/>
          <w:szCs w:val="20"/>
          <w:lang w:val="en-US"/>
        </w:rPr>
        <w:t xml:space="preserve"> 7</w:t>
      </w:r>
      <w:r w:rsidR="001254DE" w:rsidRPr="00012C3F">
        <w:rPr>
          <w:sz w:val="20"/>
          <w:szCs w:val="20"/>
          <w:lang w:val="en-US"/>
        </w:rPr>
        <w:t xml:space="preserve"> of the Convention</w:t>
      </w:r>
      <w:r w:rsidR="00885EE8" w:rsidRPr="00012C3F">
        <w:rPr>
          <w:sz w:val="20"/>
          <w:szCs w:val="20"/>
          <w:lang w:val="en-US"/>
        </w:rPr>
        <w:t xml:space="preserve"> </w:t>
      </w:r>
      <w:r w:rsidR="005E5012" w:rsidRPr="00012C3F">
        <w:rPr>
          <w:sz w:val="20"/>
          <w:szCs w:val="20"/>
          <w:lang w:val="en-US"/>
        </w:rPr>
        <w:t>of Belém</w:t>
      </w:r>
      <w:r w:rsidR="00885EE8" w:rsidRPr="00012C3F">
        <w:rPr>
          <w:sz w:val="20"/>
          <w:szCs w:val="20"/>
          <w:lang w:val="en-US"/>
        </w:rPr>
        <w:t xml:space="preserve"> do Pará. </w:t>
      </w:r>
      <w:r w:rsidR="00271E24" w:rsidRPr="00012C3F">
        <w:rPr>
          <w:sz w:val="20"/>
          <w:szCs w:val="20"/>
          <w:lang w:val="en-US"/>
        </w:rPr>
        <w:t xml:space="preserve">In this regard, </w:t>
      </w:r>
      <w:r w:rsidR="001254DE" w:rsidRPr="00012C3F">
        <w:rPr>
          <w:sz w:val="20"/>
          <w:szCs w:val="20"/>
          <w:lang w:val="en-US"/>
        </w:rPr>
        <w:t xml:space="preserve">the </w:t>
      </w:r>
      <w:r w:rsidR="00A84CA0" w:rsidRPr="00012C3F">
        <w:rPr>
          <w:sz w:val="20"/>
          <w:szCs w:val="20"/>
          <w:lang w:val="en-US"/>
        </w:rPr>
        <w:t>Commission</w:t>
      </w:r>
      <w:r w:rsidR="00885EE8" w:rsidRPr="00012C3F">
        <w:rPr>
          <w:sz w:val="20"/>
          <w:szCs w:val="20"/>
          <w:lang w:val="en-US"/>
        </w:rPr>
        <w:t xml:space="preserve"> </w:t>
      </w:r>
      <w:r w:rsidR="00271E24" w:rsidRPr="00012C3F">
        <w:rPr>
          <w:sz w:val="20"/>
          <w:szCs w:val="20"/>
          <w:lang w:val="en-US"/>
        </w:rPr>
        <w:t>argued that “</w:t>
      </w:r>
      <w:r w:rsidR="00570C15" w:rsidRPr="00012C3F">
        <w:rPr>
          <w:rStyle w:val="Ttulo1Car"/>
          <w:b w:val="0"/>
          <w:caps w:val="0"/>
          <w:lang w:val="en-US"/>
        </w:rPr>
        <w:t>performing a non-consensual sterilization causes the wom</w:t>
      </w:r>
      <w:r w:rsidR="009F565E" w:rsidRPr="00012C3F">
        <w:rPr>
          <w:rStyle w:val="Ttulo1Car"/>
          <w:b w:val="0"/>
          <w:caps w:val="0"/>
          <w:lang w:val="en-US"/>
        </w:rPr>
        <w:t>a</w:t>
      </w:r>
      <w:r w:rsidR="00570C15" w:rsidRPr="00012C3F">
        <w:rPr>
          <w:rStyle w:val="Ttulo1Car"/>
          <w:b w:val="0"/>
          <w:caps w:val="0"/>
          <w:lang w:val="en-US"/>
        </w:rPr>
        <w:t>n</w:t>
      </w:r>
      <w:r w:rsidR="009F565E" w:rsidRPr="00012C3F">
        <w:rPr>
          <w:rStyle w:val="Ttulo1Car"/>
          <w:b w:val="0"/>
          <w:caps w:val="0"/>
          <w:lang w:val="en-US"/>
        </w:rPr>
        <w:t xml:space="preserve"> concerned</w:t>
      </w:r>
      <w:r w:rsidR="00570C15" w:rsidRPr="00012C3F">
        <w:rPr>
          <w:rStyle w:val="Ttulo1Car"/>
          <w:b w:val="0"/>
          <w:caps w:val="0"/>
          <w:lang w:val="en-US"/>
        </w:rPr>
        <w:t xml:space="preserve"> pain and suffering and constitutes a form of violence, with ongoing physical and psychological consequences for </w:t>
      </w:r>
      <w:r w:rsidR="009F565E" w:rsidRPr="00012C3F">
        <w:rPr>
          <w:rStyle w:val="Ttulo1Car"/>
          <w:b w:val="0"/>
          <w:caps w:val="0"/>
          <w:lang w:val="en-US"/>
        </w:rPr>
        <w:t>her</w:t>
      </w:r>
      <w:r w:rsidR="00570C15" w:rsidRPr="00012C3F">
        <w:rPr>
          <w:rStyle w:val="Ttulo1Car"/>
          <w:b w:val="0"/>
          <w:caps w:val="0"/>
          <w:lang w:val="en-US"/>
        </w:rPr>
        <w:t xml:space="preserve"> reproductive health.</w:t>
      </w:r>
      <w:r w:rsidR="00570C15" w:rsidRPr="00012C3F">
        <w:rPr>
          <w:b/>
          <w:sz w:val="16"/>
          <w:szCs w:val="16"/>
          <w:lang w:val="en-US"/>
        </w:rPr>
        <w:t xml:space="preserve">” </w:t>
      </w:r>
      <w:r w:rsidR="00885EE8" w:rsidRPr="00012C3F">
        <w:rPr>
          <w:sz w:val="20"/>
          <w:szCs w:val="20"/>
          <w:lang w:val="en-US"/>
        </w:rPr>
        <w:t>I</w:t>
      </w:r>
      <w:r w:rsidR="00570C15" w:rsidRPr="00012C3F">
        <w:rPr>
          <w:sz w:val="20"/>
          <w:szCs w:val="20"/>
          <w:lang w:val="en-US"/>
        </w:rPr>
        <w:t>t indicated that this had been expressly recognized in the l</w:t>
      </w:r>
      <w:r w:rsidR="009F565E" w:rsidRPr="00012C3F">
        <w:rPr>
          <w:sz w:val="20"/>
          <w:szCs w:val="20"/>
          <w:lang w:val="en-US"/>
        </w:rPr>
        <w:t>aws</w:t>
      </w:r>
      <w:r w:rsidR="00570C15" w:rsidRPr="00012C3F">
        <w:rPr>
          <w:sz w:val="20"/>
          <w:szCs w:val="20"/>
          <w:lang w:val="en-US"/>
        </w:rPr>
        <w:t xml:space="preserve"> of s</w:t>
      </w:r>
      <w:r w:rsidR="009F565E" w:rsidRPr="00012C3F">
        <w:rPr>
          <w:sz w:val="20"/>
          <w:szCs w:val="20"/>
          <w:lang w:val="en-US"/>
        </w:rPr>
        <w:t>everal</w:t>
      </w:r>
      <w:r w:rsidR="00570C15" w:rsidRPr="00012C3F">
        <w:rPr>
          <w:sz w:val="20"/>
          <w:szCs w:val="20"/>
          <w:lang w:val="en-US"/>
        </w:rPr>
        <w:t xml:space="preserve"> Latin American countries</w:t>
      </w:r>
      <w:r w:rsidR="009F565E" w:rsidRPr="00012C3F">
        <w:rPr>
          <w:sz w:val="20"/>
          <w:szCs w:val="20"/>
          <w:lang w:val="en-US"/>
        </w:rPr>
        <w:t>,</w:t>
      </w:r>
      <w:r w:rsidR="00570C15" w:rsidRPr="00012C3F">
        <w:rPr>
          <w:sz w:val="20"/>
          <w:szCs w:val="20"/>
          <w:lang w:val="en-US"/>
        </w:rPr>
        <w:t xml:space="preserve"> such as Argentina and Venezuela, which classif</w:t>
      </w:r>
      <w:r w:rsidR="009F565E" w:rsidRPr="00012C3F">
        <w:rPr>
          <w:sz w:val="20"/>
          <w:szCs w:val="20"/>
          <w:lang w:val="en-US"/>
        </w:rPr>
        <w:t>ied</w:t>
      </w:r>
      <w:r w:rsidR="00570C15" w:rsidRPr="00012C3F">
        <w:rPr>
          <w:sz w:val="20"/>
          <w:szCs w:val="20"/>
          <w:lang w:val="en-US"/>
        </w:rPr>
        <w:t xml:space="preserve"> forced sterilization as a form of obstetric </w:t>
      </w:r>
      <w:r w:rsidR="009F565E" w:rsidRPr="00012C3F">
        <w:rPr>
          <w:sz w:val="20"/>
          <w:szCs w:val="20"/>
          <w:lang w:val="en-US"/>
        </w:rPr>
        <w:t>or</w:t>
      </w:r>
      <w:r w:rsidR="00570C15" w:rsidRPr="00012C3F">
        <w:rPr>
          <w:sz w:val="20"/>
          <w:szCs w:val="20"/>
          <w:lang w:val="en-US"/>
        </w:rPr>
        <w:t xml:space="preserve"> autonomous violence. In the instant case, the Commission argued that</w:t>
      </w:r>
      <w:r w:rsidR="009F565E" w:rsidRPr="00012C3F">
        <w:rPr>
          <w:sz w:val="20"/>
          <w:szCs w:val="20"/>
          <w:lang w:val="en-US"/>
        </w:rPr>
        <w:t>, as a</w:t>
      </w:r>
      <w:r w:rsidR="00570C15" w:rsidRPr="00012C3F">
        <w:rPr>
          <w:sz w:val="20"/>
          <w:szCs w:val="20"/>
          <w:lang w:val="en-US"/>
        </w:rPr>
        <w:t xml:space="preserve"> result of</w:t>
      </w:r>
      <w:r w:rsidR="009F565E" w:rsidRPr="00012C3F">
        <w:rPr>
          <w:sz w:val="20"/>
          <w:szCs w:val="20"/>
          <w:lang w:val="en-US"/>
        </w:rPr>
        <w:t xml:space="preserve"> her</w:t>
      </w:r>
      <w:r w:rsidR="00570C15" w:rsidRPr="00012C3F">
        <w:rPr>
          <w:sz w:val="20"/>
          <w:szCs w:val="20"/>
          <w:lang w:val="en-US"/>
        </w:rPr>
        <w:t xml:space="preserve"> sterilization</w:t>
      </w:r>
      <w:r w:rsidR="009F565E" w:rsidRPr="00012C3F">
        <w:rPr>
          <w:sz w:val="20"/>
          <w:szCs w:val="20"/>
          <w:lang w:val="en-US"/>
        </w:rPr>
        <w:t>.</w:t>
      </w:r>
      <w:r w:rsidR="00570C15" w:rsidRPr="00012C3F">
        <w:rPr>
          <w:sz w:val="20"/>
          <w:szCs w:val="20"/>
          <w:lang w:val="en-US"/>
        </w:rPr>
        <w:t xml:space="preserve"> I.V. ha</w:t>
      </w:r>
      <w:r w:rsidR="009F565E" w:rsidRPr="00012C3F">
        <w:rPr>
          <w:sz w:val="20"/>
          <w:szCs w:val="20"/>
          <w:lang w:val="en-US"/>
        </w:rPr>
        <w:t>d</w:t>
      </w:r>
      <w:r w:rsidR="00570C15" w:rsidRPr="00012C3F">
        <w:rPr>
          <w:sz w:val="20"/>
          <w:szCs w:val="20"/>
          <w:lang w:val="en-US"/>
        </w:rPr>
        <w:t xml:space="preserve"> been prevented, permanently, from exercising her reproductive autonomy to decide freely and responsibly on the number and spacing of her children using the methods available to facilitate that right. On this basis, the Commission concluded that, in this regard, the State </w:t>
      </w:r>
      <w:r w:rsidR="009F565E" w:rsidRPr="00012C3F">
        <w:rPr>
          <w:sz w:val="20"/>
          <w:szCs w:val="20"/>
          <w:lang w:val="en-US"/>
        </w:rPr>
        <w:t xml:space="preserve">had </w:t>
      </w:r>
      <w:r w:rsidR="00570C15" w:rsidRPr="00012C3F">
        <w:rPr>
          <w:sz w:val="20"/>
          <w:szCs w:val="20"/>
          <w:lang w:val="en-US"/>
        </w:rPr>
        <w:t>violated the obligation to refrain from any act or practice of violence against women in violation of the obligations established</w:t>
      </w:r>
      <w:r w:rsidR="00570C15" w:rsidRPr="00012C3F">
        <w:rPr>
          <w:b/>
          <w:sz w:val="16"/>
          <w:szCs w:val="16"/>
          <w:lang w:val="en-US"/>
        </w:rPr>
        <w:t xml:space="preserve"> </w:t>
      </w:r>
      <w:r w:rsidR="00570C15" w:rsidRPr="00012C3F">
        <w:rPr>
          <w:sz w:val="20"/>
          <w:szCs w:val="20"/>
          <w:lang w:val="en-US"/>
        </w:rPr>
        <w:t>i</w:t>
      </w:r>
      <w:r w:rsidR="00885EE8" w:rsidRPr="00012C3F">
        <w:rPr>
          <w:sz w:val="20"/>
          <w:szCs w:val="20"/>
          <w:lang w:val="en-US"/>
        </w:rPr>
        <w:t xml:space="preserve">n </w:t>
      </w:r>
      <w:r w:rsidR="001254DE" w:rsidRPr="00012C3F">
        <w:rPr>
          <w:sz w:val="20"/>
          <w:szCs w:val="20"/>
          <w:lang w:val="en-US"/>
        </w:rPr>
        <w:t>Article</w:t>
      </w:r>
      <w:r w:rsidR="00885EE8" w:rsidRPr="00012C3F">
        <w:rPr>
          <w:sz w:val="20"/>
          <w:szCs w:val="20"/>
          <w:lang w:val="en-US"/>
        </w:rPr>
        <w:t xml:space="preserve"> 7</w:t>
      </w:r>
      <w:r w:rsidR="001254DE" w:rsidRPr="00012C3F">
        <w:rPr>
          <w:sz w:val="20"/>
          <w:szCs w:val="20"/>
          <w:lang w:val="en-US"/>
        </w:rPr>
        <w:t xml:space="preserve"> of the Convention</w:t>
      </w:r>
      <w:r w:rsidR="00885EE8" w:rsidRPr="00012C3F">
        <w:rPr>
          <w:sz w:val="20"/>
          <w:szCs w:val="20"/>
          <w:lang w:val="en-US"/>
        </w:rPr>
        <w:t xml:space="preserve"> </w:t>
      </w:r>
      <w:r w:rsidR="005E5012" w:rsidRPr="00012C3F">
        <w:rPr>
          <w:sz w:val="20"/>
          <w:szCs w:val="20"/>
          <w:lang w:val="en-US"/>
        </w:rPr>
        <w:t>of Belém</w:t>
      </w:r>
      <w:r w:rsidR="00885EE8" w:rsidRPr="00012C3F">
        <w:rPr>
          <w:sz w:val="20"/>
          <w:szCs w:val="20"/>
          <w:lang w:val="en-US"/>
        </w:rPr>
        <w:t xml:space="preserve"> do Pará.</w:t>
      </w:r>
    </w:p>
    <w:p w14:paraId="6681D887" w14:textId="77777777" w:rsidR="00885EE8" w:rsidRPr="00012C3F" w:rsidRDefault="00885EE8" w:rsidP="00885EE8">
      <w:pPr>
        <w:tabs>
          <w:tab w:val="left" w:pos="567"/>
        </w:tabs>
        <w:spacing w:line="240" w:lineRule="auto"/>
        <w:rPr>
          <w:sz w:val="20"/>
          <w:szCs w:val="20"/>
          <w:lang w:val="en-US"/>
        </w:rPr>
      </w:pPr>
    </w:p>
    <w:p w14:paraId="1E5C96C6" w14:textId="77777777" w:rsidR="00885EE8" w:rsidRPr="00012C3F" w:rsidRDefault="00972ACF" w:rsidP="00486D71">
      <w:pPr>
        <w:numPr>
          <w:ilvl w:val="0"/>
          <w:numId w:val="5"/>
        </w:numPr>
        <w:tabs>
          <w:tab w:val="left" w:pos="720"/>
          <w:tab w:val="num" w:pos="12305"/>
        </w:tabs>
        <w:spacing w:line="240" w:lineRule="auto"/>
        <w:ind w:left="0" w:firstLine="0"/>
        <w:rPr>
          <w:b/>
          <w:sz w:val="20"/>
          <w:szCs w:val="20"/>
          <w:lang w:val="en-US"/>
        </w:rPr>
      </w:pPr>
      <w:r w:rsidRPr="00012C3F">
        <w:rPr>
          <w:sz w:val="20"/>
          <w:szCs w:val="20"/>
          <w:lang w:val="en-US"/>
        </w:rPr>
        <w:lastRenderedPageBreak/>
        <w:t xml:space="preserve">The </w:t>
      </w:r>
      <w:r w:rsidRPr="00012C3F">
        <w:rPr>
          <w:b/>
          <w:bCs/>
          <w:i/>
          <w:iCs/>
          <w:sz w:val="20"/>
          <w:szCs w:val="20"/>
          <w:lang w:val="en-US"/>
        </w:rPr>
        <w:t>representative</w:t>
      </w:r>
      <w:r w:rsidR="00885EE8" w:rsidRPr="00012C3F">
        <w:rPr>
          <w:sz w:val="20"/>
          <w:szCs w:val="20"/>
          <w:lang w:val="en-US"/>
        </w:rPr>
        <w:t xml:space="preserve"> </w:t>
      </w:r>
      <w:r w:rsidR="00570C15" w:rsidRPr="00012C3F">
        <w:rPr>
          <w:sz w:val="20"/>
          <w:szCs w:val="20"/>
          <w:lang w:val="en-US"/>
        </w:rPr>
        <w:t xml:space="preserve">agreed with the legal </w:t>
      </w:r>
      <w:r w:rsidR="009F565E" w:rsidRPr="00012C3F">
        <w:rPr>
          <w:sz w:val="20"/>
          <w:szCs w:val="20"/>
          <w:lang w:val="en-US"/>
        </w:rPr>
        <w:t>grounds</w:t>
      </w:r>
      <w:r w:rsidR="00570C15" w:rsidRPr="00012C3F">
        <w:rPr>
          <w:sz w:val="20"/>
          <w:szCs w:val="20"/>
          <w:lang w:val="en-US"/>
        </w:rPr>
        <w:t xml:space="preserve"> and conclusions </w:t>
      </w:r>
      <w:r w:rsidR="00486D71" w:rsidRPr="00012C3F">
        <w:rPr>
          <w:sz w:val="20"/>
          <w:szCs w:val="20"/>
          <w:lang w:val="en-US"/>
        </w:rPr>
        <w:t>set forth by</w:t>
      </w:r>
      <w:r w:rsidR="000D230F" w:rsidRPr="00012C3F">
        <w:rPr>
          <w:sz w:val="20"/>
          <w:szCs w:val="20"/>
          <w:lang w:val="en-US"/>
        </w:rPr>
        <w:t xml:space="preserve"> </w:t>
      </w:r>
      <w:r w:rsidR="001254DE" w:rsidRPr="00012C3F">
        <w:rPr>
          <w:sz w:val="20"/>
          <w:szCs w:val="20"/>
          <w:lang w:val="en-US"/>
        </w:rPr>
        <w:t xml:space="preserve">the </w:t>
      </w:r>
      <w:r w:rsidR="00A84CA0" w:rsidRPr="00012C3F">
        <w:rPr>
          <w:sz w:val="20"/>
          <w:szCs w:val="20"/>
          <w:lang w:val="en-US"/>
        </w:rPr>
        <w:t>Commission</w:t>
      </w:r>
      <w:r w:rsidR="000D230F" w:rsidRPr="00012C3F">
        <w:rPr>
          <w:sz w:val="20"/>
          <w:szCs w:val="20"/>
          <w:lang w:val="en-US"/>
        </w:rPr>
        <w:t xml:space="preserve"> </w:t>
      </w:r>
      <w:r w:rsidR="00486D71" w:rsidRPr="00012C3F">
        <w:rPr>
          <w:sz w:val="20"/>
          <w:szCs w:val="20"/>
          <w:lang w:val="en-US"/>
        </w:rPr>
        <w:t>in its</w:t>
      </w:r>
      <w:r w:rsidR="000D230F" w:rsidRPr="00012C3F">
        <w:rPr>
          <w:sz w:val="20"/>
          <w:szCs w:val="20"/>
          <w:lang w:val="en-US"/>
        </w:rPr>
        <w:t xml:space="preserve"> </w:t>
      </w:r>
      <w:r w:rsidR="00E00902" w:rsidRPr="00012C3F">
        <w:rPr>
          <w:sz w:val="20"/>
          <w:szCs w:val="20"/>
          <w:lang w:val="en-US"/>
        </w:rPr>
        <w:t>Merits Report</w:t>
      </w:r>
      <w:r w:rsidR="00885EE8" w:rsidRPr="00012C3F">
        <w:rPr>
          <w:sz w:val="20"/>
          <w:szCs w:val="20"/>
          <w:lang w:val="en-US"/>
        </w:rPr>
        <w:t xml:space="preserve"> </w:t>
      </w:r>
      <w:r w:rsidR="00486D71" w:rsidRPr="00012C3F">
        <w:rPr>
          <w:sz w:val="20"/>
          <w:szCs w:val="20"/>
          <w:lang w:val="en-US"/>
        </w:rPr>
        <w:t>in relation to the violation of</w:t>
      </w:r>
      <w:r w:rsidR="008A7A0F" w:rsidRPr="00012C3F">
        <w:rPr>
          <w:sz w:val="20"/>
          <w:szCs w:val="20"/>
          <w:lang w:val="en-US"/>
        </w:rPr>
        <w:t xml:space="preserve"> Article</w:t>
      </w:r>
      <w:r w:rsidR="00885EE8" w:rsidRPr="00012C3F">
        <w:rPr>
          <w:sz w:val="20"/>
          <w:szCs w:val="20"/>
          <w:lang w:val="en-US"/>
        </w:rPr>
        <w:t xml:space="preserve"> 7 (a, b, c, f</w:t>
      </w:r>
      <w:r w:rsidR="005E5012" w:rsidRPr="00012C3F">
        <w:rPr>
          <w:sz w:val="20"/>
          <w:szCs w:val="20"/>
          <w:lang w:val="en-US"/>
        </w:rPr>
        <w:t xml:space="preserve"> and </w:t>
      </w:r>
      <w:r w:rsidR="00885EE8" w:rsidRPr="00012C3F">
        <w:rPr>
          <w:sz w:val="20"/>
          <w:szCs w:val="20"/>
          <w:lang w:val="en-US"/>
        </w:rPr>
        <w:t>g)</w:t>
      </w:r>
      <w:r w:rsidR="001254DE" w:rsidRPr="00012C3F">
        <w:rPr>
          <w:sz w:val="20"/>
          <w:szCs w:val="20"/>
          <w:lang w:val="en-US"/>
        </w:rPr>
        <w:t xml:space="preserve"> of the Convention</w:t>
      </w:r>
      <w:r w:rsidR="00885EE8" w:rsidRPr="00012C3F">
        <w:rPr>
          <w:sz w:val="20"/>
          <w:szCs w:val="20"/>
          <w:lang w:val="en-US"/>
        </w:rPr>
        <w:t xml:space="preserve"> </w:t>
      </w:r>
      <w:r w:rsidR="005E5012" w:rsidRPr="00012C3F">
        <w:rPr>
          <w:sz w:val="20"/>
          <w:szCs w:val="20"/>
          <w:lang w:val="en-US"/>
        </w:rPr>
        <w:t>of Belém</w:t>
      </w:r>
      <w:r w:rsidR="00885EE8" w:rsidRPr="00012C3F">
        <w:rPr>
          <w:sz w:val="20"/>
          <w:szCs w:val="20"/>
          <w:lang w:val="en-US"/>
        </w:rPr>
        <w:t xml:space="preserve"> do Pará.</w:t>
      </w:r>
    </w:p>
    <w:p w14:paraId="6110FAB3" w14:textId="77777777" w:rsidR="00885EE8" w:rsidRPr="00012C3F" w:rsidRDefault="00885EE8" w:rsidP="00486D71">
      <w:pPr>
        <w:tabs>
          <w:tab w:val="left" w:pos="720"/>
        </w:tabs>
        <w:spacing w:line="240" w:lineRule="auto"/>
        <w:rPr>
          <w:b/>
          <w:sz w:val="20"/>
          <w:szCs w:val="20"/>
          <w:lang w:val="en-US"/>
        </w:rPr>
      </w:pPr>
    </w:p>
    <w:p w14:paraId="636E9DE3" w14:textId="77777777" w:rsidR="00885EE8" w:rsidRPr="00012C3F" w:rsidRDefault="00A84CA0" w:rsidP="00486D7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w:t>
      </w:r>
      <w:r w:rsidRPr="00012C3F">
        <w:rPr>
          <w:b/>
          <w:bCs/>
          <w:i/>
          <w:iCs/>
          <w:sz w:val="20"/>
          <w:szCs w:val="20"/>
          <w:lang w:val="en-US"/>
        </w:rPr>
        <w:t>State</w:t>
      </w:r>
      <w:r w:rsidR="00885EE8" w:rsidRPr="00012C3F">
        <w:rPr>
          <w:sz w:val="20"/>
          <w:szCs w:val="20"/>
          <w:lang w:val="en-US"/>
        </w:rPr>
        <w:t xml:space="preserve"> re</w:t>
      </w:r>
      <w:r w:rsidR="00486D71" w:rsidRPr="00012C3F">
        <w:rPr>
          <w:sz w:val="20"/>
          <w:szCs w:val="20"/>
          <w:lang w:val="en-US"/>
        </w:rPr>
        <w:t xml:space="preserve">jected </w:t>
      </w:r>
      <w:r w:rsidR="001254DE" w:rsidRPr="00012C3F">
        <w:rPr>
          <w:sz w:val="20"/>
          <w:szCs w:val="20"/>
          <w:lang w:val="en-US"/>
        </w:rPr>
        <w:t xml:space="preserve">the </w:t>
      </w:r>
      <w:r w:rsidRPr="00012C3F">
        <w:rPr>
          <w:sz w:val="20"/>
          <w:szCs w:val="20"/>
          <w:lang w:val="en-US"/>
        </w:rPr>
        <w:t>Commission</w:t>
      </w:r>
      <w:r w:rsidR="00486D71" w:rsidRPr="00012C3F">
        <w:rPr>
          <w:sz w:val="20"/>
          <w:szCs w:val="20"/>
          <w:lang w:val="en-US"/>
        </w:rPr>
        <w:t>’s arguments that, for I.V., the presumed</w:t>
      </w:r>
      <w:r w:rsidR="00885EE8" w:rsidRPr="00012C3F">
        <w:rPr>
          <w:sz w:val="20"/>
          <w:szCs w:val="20"/>
          <w:lang w:val="en-US"/>
        </w:rPr>
        <w:t xml:space="preserve"> </w:t>
      </w:r>
      <w:r w:rsidR="00486D71" w:rsidRPr="00012C3F">
        <w:rPr>
          <w:sz w:val="20"/>
          <w:szCs w:val="20"/>
          <w:lang w:val="en-US"/>
        </w:rPr>
        <w:t>non-consensual sterilization</w:t>
      </w:r>
      <w:r w:rsidR="00885EE8" w:rsidRPr="00012C3F">
        <w:rPr>
          <w:sz w:val="20"/>
          <w:szCs w:val="20"/>
          <w:lang w:val="en-US"/>
        </w:rPr>
        <w:t xml:space="preserve"> constitu</w:t>
      </w:r>
      <w:r w:rsidR="00486D71" w:rsidRPr="00012C3F">
        <w:rPr>
          <w:sz w:val="20"/>
          <w:szCs w:val="20"/>
          <w:lang w:val="en-US"/>
        </w:rPr>
        <w:t xml:space="preserve">ted a form of violence and interference in her private and family life, “because I.V. gave her free and voluntary consent, with appropriate counseling </w:t>
      </w:r>
      <w:r w:rsidR="009F565E" w:rsidRPr="00012C3F">
        <w:rPr>
          <w:sz w:val="20"/>
          <w:szCs w:val="20"/>
          <w:lang w:val="en-US"/>
        </w:rPr>
        <w:t>concerning</w:t>
      </w:r>
      <w:r w:rsidR="00486D71" w:rsidRPr="00012C3F">
        <w:rPr>
          <w:sz w:val="20"/>
          <w:szCs w:val="20"/>
          <w:lang w:val="en-US"/>
        </w:rPr>
        <w:t xml:space="preserve"> the risks and benefits of the procedure, so that the tubal ligation was performed as a prophylactic measure and </w:t>
      </w:r>
      <w:r w:rsidR="009F565E" w:rsidRPr="00012C3F">
        <w:rPr>
          <w:sz w:val="20"/>
          <w:szCs w:val="20"/>
          <w:lang w:val="en-US"/>
        </w:rPr>
        <w:t>to comply</w:t>
      </w:r>
      <w:r w:rsidR="00486D71" w:rsidRPr="00012C3F">
        <w:rPr>
          <w:sz w:val="20"/>
          <w:szCs w:val="20"/>
          <w:lang w:val="en-US"/>
        </w:rPr>
        <w:t xml:space="preserve"> with the protection of her life.” The State also argued that </w:t>
      </w:r>
      <w:r w:rsidR="009F565E" w:rsidRPr="00012C3F">
        <w:rPr>
          <w:sz w:val="20"/>
          <w:szCs w:val="20"/>
          <w:lang w:val="en-US"/>
        </w:rPr>
        <w:t>it</w:t>
      </w:r>
      <w:r w:rsidR="00486D71" w:rsidRPr="00012C3F">
        <w:rPr>
          <w:sz w:val="20"/>
          <w:szCs w:val="20"/>
          <w:lang w:val="en-US"/>
        </w:rPr>
        <w:t xml:space="preserve"> had not failed to comply with </w:t>
      </w:r>
      <w:r w:rsidR="001254DE" w:rsidRPr="00012C3F">
        <w:rPr>
          <w:sz w:val="20"/>
          <w:szCs w:val="20"/>
          <w:lang w:val="en-US"/>
        </w:rPr>
        <w:t>Article</w:t>
      </w:r>
      <w:r w:rsidR="00885EE8" w:rsidRPr="00012C3F">
        <w:rPr>
          <w:sz w:val="20"/>
          <w:szCs w:val="20"/>
          <w:lang w:val="en-US"/>
        </w:rPr>
        <w:t xml:space="preserve"> 7</w:t>
      </w:r>
      <w:r w:rsidR="001254DE" w:rsidRPr="00012C3F">
        <w:rPr>
          <w:sz w:val="20"/>
          <w:szCs w:val="20"/>
          <w:lang w:val="en-US"/>
        </w:rPr>
        <w:t xml:space="preserve"> of the Convention</w:t>
      </w:r>
      <w:r w:rsidR="00885EE8" w:rsidRPr="00012C3F">
        <w:rPr>
          <w:sz w:val="20"/>
          <w:szCs w:val="20"/>
          <w:lang w:val="en-US"/>
        </w:rPr>
        <w:t xml:space="preserve"> </w:t>
      </w:r>
      <w:r w:rsidR="005E5012" w:rsidRPr="00012C3F">
        <w:rPr>
          <w:sz w:val="20"/>
          <w:szCs w:val="20"/>
          <w:lang w:val="en-US"/>
        </w:rPr>
        <w:t>of Belém</w:t>
      </w:r>
      <w:r w:rsidR="00885EE8" w:rsidRPr="00012C3F">
        <w:rPr>
          <w:sz w:val="20"/>
          <w:szCs w:val="20"/>
          <w:lang w:val="en-US"/>
        </w:rPr>
        <w:t xml:space="preserve"> do Pará</w:t>
      </w:r>
      <w:r w:rsidR="00486D71" w:rsidRPr="00012C3F">
        <w:rPr>
          <w:sz w:val="20"/>
          <w:szCs w:val="20"/>
          <w:lang w:val="en-US"/>
        </w:rPr>
        <w:t>, because its public institutions had not committed any act of violence against I.V., with regard to her decision-making</w:t>
      </w:r>
      <w:r w:rsidR="009F565E" w:rsidRPr="00012C3F">
        <w:rPr>
          <w:sz w:val="20"/>
          <w:szCs w:val="20"/>
          <w:lang w:val="en-US"/>
        </w:rPr>
        <w:t xml:space="preserve"> either</w:t>
      </w:r>
      <w:r w:rsidR="00486D71" w:rsidRPr="00012C3F">
        <w:rPr>
          <w:sz w:val="20"/>
          <w:szCs w:val="20"/>
          <w:lang w:val="en-US"/>
        </w:rPr>
        <w:t xml:space="preserve"> in her private life, or </w:t>
      </w:r>
      <w:r w:rsidR="009F565E" w:rsidRPr="00012C3F">
        <w:rPr>
          <w:sz w:val="20"/>
          <w:szCs w:val="20"/>
          <w:lang w:val="en-US"/>
        </w:rPr>
        <w:t xml:space="preserve">in </w:t>
      </w:r>
      <w:r w:rsidR="00486D71" w:rsidRPr="00012C3F">
        <w:rPr>
          <w:sz w:val="20"/>
          <w:szCs w:val="20"/>
          <w:lang w:val="en-US"/>
        </w:rPr>
        <w:t>the sphere of her intimacy. Consequently, the State a</w:t>
      </w:r>
      <w:r w:rsidR="009F565E" w:rsidRPr="00012C3F">
        <w:rPr>
          <w:sz w:val="20"/>
          <w:szCs w:val="20"/>
          <w:lang w:val="en-US"/>
        </w:rPr>
        <w:t>rgue</w:t>
      </w:r>
      <w:r w:rsidR="00486D71" w:rsidRPr="00012C3F">
        <w:rPr>
          <w:sz w:val="20"/>
          <w:szCs w:val="20"/>
          <w:lang w:val="en-US"/>
        </w:rPr>
        <w:t xml:space="preserve">d that it had complied with the obligations established in </w:t>
      </w:r>
      <w:r w:rsidR="001254DE" w:rsidRPr="00012C3F">
        <w:rPr>
          <w:sz w:val="20"/>
          <w:szCs w:val="20"/>
          <w:lang w:val="en-US"/>
        </w:rPr>
        <w:t>Article</w:t>
      </w:r>
      <w:r w:rsidR="00885EE8" w:rsidRPr="00012C3F">
        <w:rPr>
          <w:sz w:val="20"/>
          <w:szCs w:val="20"/>
          <w:lang w:val="en-US"/>
        </w:rPr>
        <w:t xml:space="preserve"> 7</w:t>
      </w:r>
      <w:r w:rsidR="001254DE" w:rsidRPr="00012C3F">
        <w:rPr>
          <w:sz w:val="20"/>
          <w:szCs w:val="20"/>
          <w:lang w:val="en-US"/>
        </w:rPr>
        <w:t xml:space="preserve"> of the Convention</w:t>
      </w:r>
      <w:r w:rsidR="00885EE8" w:rsidRPr="00012C3F">
        <w:rPr>
          <w:sz w:val="20"/>
          <w:szCs w:val="20"/>
          <w:lang w:val="en-US"/>
        </w:rPr>
        <w:t xml:space="preserve"> </w:t>
      </w:r>
      <w:r w:rsidR="005E5012" w:rsidRPr="00012C3F">
        <w:rPr>
          <w:sz w:val="20"/>
          <w:szCs w:val="20"/>
          <w:lang w:val="en-US"/>
        </w:rPr>
        <w:t>of Belém</w:t>
      </w:r>
      <w:r w:rsidR="00885EE8" w:rsidRPr="00012C3F">
        <w:rPr>
          <w:sz w:val="20"/>
          <w:szCs w:val="20"/>
          <w:lang w:val="en-US"/>
        </w:rPr>
        <w:t xml:space="preserve"> do Pará.</w:t>
      </w:r>
    </w:p>
    <w:p w14:paraId="25ABE6C8" w14:textId="77777777" w:rsidR="00885EE8" w:rsidRPr="00012C3F" w:rsidRDefault="00885EE8" w:rsidP="00486D71">
      <w:pPr>
        <w:tabs>
          <w:tab w:val="left" w:pos="720"/>
        </w:tabs>
        <w:spacing w:line="240" w:lineRule="auto"/>
        <w:rPr>
          <w:sz w:val="20"/>
          <w:szCs w:val="20"/>
          <w:lang w:val="en-US"/>
        </w:rPr>
      </w:pPr>
    </w:p>
    <w:p w14:paraId="4EC14DEA" w14:textId="77777777" w:rsidR="00486D71" w:rsidRPr="00012C3F" w:rsidRDefault="00486D71" w:rsidP="00486D7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Regarding the duty to refrain from an</w:t>
      </w:r>
      <w:r w:rsidR="00E158E4" w:rsidRPr="00012C3F">
        <w:rPr>
          <w:sz w:val="20"/>
          <w:szCs w:val="20"/>
          <w:lang w:val="en-US"/>
        </w:rPr>
        <w:t>y</w:t>
      </w:r>
      <w:r w:rsidRPr="00012C3F">
        <w:rPr>
          <w:sz w:val="20"/>
          <w:szCs w:val="20"/>
          <w:lang w:val="en-US"/>
        </w:rPr>
        <w:t xml:space="preserve"> act or practice of violence against women and to ensure that the conduct of its authorities, officials, perso</w:t>
      </w:r>
      <w:r w:rsidR="00E158E4" w:rsidRPr="00012C3F">
        <w:rPr>
          <w:sz w:val="20"/>
          <w:szCs w:val="20"/>
          <w:lang w:val="en-US"/>
        </w:rPr>
        <w:t>nnel</w:t>
      </w:r>
      <w:r w:rsidRPr="00012C3F">
        <w:rPr>
          <w:sz w:val="20"/>
          <w:szCs w:val="20"/>
          <w:lang w:val="en-US"/>
        </w:rPr>
        <w:t xml:space="preserve">, agents and institutions complied with this obligation, the State </w:t>
      </w:r>
      <w:r w:rsidR="004E2C6C" w:rsidRPr="00012C3F">
        <w:rPr>
          <w:sz w:val="20"/>
          <w:szCs w:val="20"/>
          <w:lang w:val="en-US"/>
        </w:rPr>
        <w:t>a</w:t>
      </w:r>
      <w:r w:rsidR="00E158E4" w:rsidRPr="00012C3F">
        <w:rPr>
          <w:sz w:val="20"/>
          <w:szCs w:val="20"/>
          <w:lang w:val="en-US"/>
        </w:rPr>
        <w:t>rgu</w:t>
      </w:r>
      <w:r w:rsidR="004E2C6C" w:rsidRPr="00012C3F">
        <w:rPr>
          <w:sz w:val="20"/>
          <w:szCs w:val="20"/>
          <w:lang w:val="en-US"/>
        </w:rPr>
        <w:t xml:space="preserve">ed that, during the surgical procedure, “it was I.V. who, with appropriate counseling about the risks and benefits of the procedure, gave her consent to the tubal ligation,” and that “[t]he medical personnel performed the tubal ligation procedure abiding strictly </w:t>
      </w:r>
      <w:r w:rsidR="00E158E4" w:rsidRPr="00012C3F">
        <w:rPr>
          <w:sz w:val="20"/>
          <w:szCs w:val="20"/>
          <w:lang w:val="en-US"/>
        </w:rPr>
        <w:t>by</w:t>
      </w:r>
      <w:r w:rsidR="004E2C6C" w:rsidRPr="00012C3F">
        <w:rPr>
          <w:sz w:val="20"/>
          <w:szCs w:val="20"/>
          <w:lang w:val="en-US"/>
        </w:rPr>
        <w:t xml:space="preserve"> the </w:t>
      </w:r>
      <w:r w:rsidR="004E2C6C" w:rsidRPr="00012C3F">
        <w:rPr>
          <w:i/>
          <w:sz w:val="20"/>
          <w:szCs w:val="20"/>
          <w:lang w:val="en-US"/>
        </w:rPr>
        <w:t>lex artis</w:t>
      </w:r>
      <w:r w:rsidR="004E2C6C" w:rsidRPr="00012C3F">
        <w:rPr>
          <w:sz w:val="20"/>
          <w:szCs w:val="20"/>
          <w:lang w:val="en-US"/>
        </w:rPr>
        <w:t xml:space="preserve"> of the medical profession, </w:t>
      </w:r>
      <w:r w:rsidR="00E158E4" w:rsidRPr="00012C3F">
        <w:rPr>
          <w:sz w:val="20"/>
          <w:szCs w:val="20"/>
          <w:lang w:val="en-US"/>
        </w:rPr>
        <w:t>offering</w:t>
      </w:r>
      <w:r w:rsidR="004E2C6C" w:rsidRPr="00012C3F">
        <w:rPr>
          <w:sz w:val="20"/>
          <w:szCs w:val="20"/>
          <w:lang w:val="en-US"/>
        </w:rPr>
        <w:t xml:space="preserve"> information on the procedure, performing the operation as a prophylactic measure, and providing the medical care services in accordance with the patient’s needs.” The State also argued that it had not facilitated or consented to any violence against I.V. Lastly, the State indicated that, at the time of the facts, its l</w:t>
      </w:r>
      <w:r w:rsidR="00E158E4" w:rsidRPr="00012C3F">
        <w:rPr>
          <w:sz w:val="20"/>
          <w:szCs w:val="20"/>
          <w:lang w:val="en-US"/>
        </w:rPr>
        <w:t>aws</w:t>
      </w:r>
      <w:r w:rsidR="004E2C6C" w:rsidRPr="00012C3F">
        <w:rPr>
          <w:sz w:val="20"/>
          <w:szCs w:val="20"/>
          <w:lang w:val="en-US"/>
        </w:rPr>
        <w:t xml:space="preserve"> contained provisions that protected women, as well as measures that regulated the actions of professionals trained in surgical contraceptive procedures. It added that, “even though the form for granting informed consent existed when I.V. underwent the surgical procedure, this could not be used because the patient took the decision in the operating theater, based on the best medical criteria for her health.”</w:t>
      </w:r>
    </w:p>
    <w:p w14:paraId="68D6D9E1" w14:textId="77777777" w:rsidR="00885EE8" w:rsidRPr="00012C3F" w:rsidRDefault="00885EE8" w:rsidP="00486D71">
      <w:pPr>
        <w:tabs>
          <w:tab w:val="left" w:pos="720"/>
        </w:tabs>
        <w:spacing w:line="240" w:lineRule="auto"/>
        <w:rPr>
          <w:sz w:val="20"/>
          <w:szCs w:val="20"/>
          <w:lang w:val="en-US"/>
        </w:rPr>
      </w:pPr>
    </w:p>
    <w:p w14:paraId="15717EB5" w14:textId="77777777" w:rsidR="008920BF" w:rsidRPr="00012C3F" w:rsidRDefault="009867D6" w:rsidP="00486D71">
      <w:pPr>
        <w:keepNext/>
        <w:keepLines/>
        <w:tabs>
          <w:tab w:val="left" w:pos="720"/>
          <w:tab w:val="left" w:pos="1134"/>
        </w:tabs>
        <w:spacing w:line="240" w:lineRule="auto"/>
        <w:ind w:left="567" w:firstLine="1"/>
        <w:outlineLvl w:val="1"/>
        <w:rPr>
          <w:rFonts w:eastAsia="MS Mincho"/>
          <w:b/>
          <w:bCs/>
          <w:i/>
          <w:sz w:val="20"/>
          <w:szCs w:val="20"/>
          <w:lang w:val="en-US"/>
        </w:rPr>
      </w:pPr>
      <w:bookmarkStart w:id="129" w:name="_Toc27486861"/>
      <w:r w:rsidRPr="00012C3F">
        <w:rPr>
          <w:rFonts w:eastAsia="MS Mincho"/>
          <w:b/>
          <w:bCs/>
          <w:i/>
          <w:sz w:val="20"/>
          <w:szCs w:val="20"/>
          <w:lang w:val="en-US"/>
        </w:rPr>
        <w:t>B.</w:t>
      </w:r>
      <w:r w:rsidRPr="00012C3F">
        <w:rPr>
          <w:rFonts w:eastAsia="MS Mincho"/>
          <w:b/>
          <w:bCs/>
          <w:i/>
          <w:sz w:val="20"/>
          <w:szCs w:val="20"/>
          <w:lang w:val="en-US"/>
        </w:rPr>
        <w:tab/>
      </w:r>
      <w:r w:rsidR="006C705C" w:rsidRPr="00012C3F">
        <w:rPr>
          <w:rFonts w:eastAsia="MS Mincho"/>
          <w:b/>
          <w:bCs/>
          <w:i/>
          <w:sz w:val="20"/>
          <w:szCs w:val="20"/>
          <w:lang w:val="en-US"/>
        </w:rPr>
        <w:t>Considerations</w:t>
      </w:r>
      <w:r w:rsidR="001254DE" w:rsidRPr="00012C3F">
        <w:rPr>
          <w:rFonts w:eastAsia="MS Mincho"/>
          <w:b/>
          <w:bCs/>
          <w:i/>
          <w:sz w:val="20"/>
          <w:szCs w:val="20"/>
          <w:lang w:val="en-US"/>
        </w:rPr>
        <w:t xml:space="preserve"> of the Court</w:t>
      </w:r>
      <w:bookmarkEnd w:id="129"/>
    </w:p>
    <w:p w14:paraId="3E16A3CC" w14:textId="77777777" w:rsidR="008920BF" w:rsidRPr="00012C3F" w:rsidRDefault="008920BF" w:rsidP="00486D71">
      <w:pPr>
        <w:tabs>
          <w:tab w:val="left" w:pos="720"/>
        </w:tabs>
        <w:spacing w:line="240" w:lineRule="auto"/>
        <w:rPr>
          <w:sz w:val="20"/>
          <w:szCs w:val="20"/>
          <w:lang w:val="en-US"/>
        </w:rPr>
      </w:pPr>
    </w:p>
    <w:p w14:paraId="05968BE0" w14:textId="77777777" w:rsidR="00130362" w:rsidRPr="00012C3F" w:rsidRDefault="004E2C6C" w:rsidP="0013036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main</w:t>
      </w:r>
      <w:r w:rsidR="00130362" w:rsidRPr="00012C3F">
        <w:rPr>
          <w:sz w:val="20"/>
          <w:szCs w:val="20"/>
          <w:lang w:val="en-US"/>
        </w:rPr>
        <w:t xml:space="preserve"> dispute in the instant case consists in determining whether</w:t>
      </w:r>
      <w:r w:rsidR="00FC0D25" w:rsidRPr="00012C3F">
        <w:rPr>
          <w:sz w:val="20"/>
          <w:szCs w:val="20"/>
          <w:lang w:val="en-US"/>
        </w:rPr>
        <w:t xml:space="preserve"> </w:t>
      </w:r>
      <w:r w:rsidR="00F36FE0" w:rsidRPr="00012C3F">
        <w:rPr>
          <w:sz w:val="20"/>
          <w:szCs w:val="20"/>
          <w:lang w:val="en-US"/>
        </w:rPr>
        <w:t>the tubal ligation</w:t>
      </w:r>
      <w:r w:rsidR="00CF3F2F" w:rsidRPr="00012C3F">
        <w:rPr>
          <w:sz w:val="20"/>
          <w:szCs w:val="20"/>
          <w:lang w:val="en-US"/>
        </w:rPr>
        <w:t xml:space="preserve"> </w:t>
      </w:r>
      <w:r w:rsidR="00FC0D25" w:rsidRPr="00012C3F">
        <w:rPr>
          <w:sz w:val="20"/>
          <w:szCs w:val="20"/>
          <w:lang w:val="en-US"/>
        </w:rPr>
        <w:t>p</w:t>
      </w:r>
      <w:r w:rsidR="00130362" w:rsidRPr="00012C3F">
        <w:rPr>
          <w:sz w:val="20"/>
          <w:szCs w:val="20"/>
          <w:lang w:val="en-US"/>
        </w:rPr>
        <w:t xml:space="preserve">erformed on </w:t>
      </w:r>
      <w:r w:rsidR="000E1C11" w:rsidRPr="00012C3F">
        <w:rPr>
          <w:sz w:val="20"/>
          <w:szCs w:val="20"/>
          <w:lang w:val="en-US"/>
        </w:rPr>
        <w:t>I.V.</w:t>
      </w:r>
      <w:r w:rsidR="00FC0D25" w:rsidRPr="00012C3F">
        <w:rPr>
          <w:sz w:val="20"/>
          <w:szCs w:val="20"/>
          <w:lang w:val="en-US"/>
        </w:rPr>
        <w:t xml:space="preserve"> </w:t>
      </w:r>
      <w:r w:rsidR="00130362" w:rsidRPr="00012C3F">
        <w:rPr>
          <w:sz w:val="20"/>
          <w:szCs w:val="20"/>
          <w:lang w:val="en-US"/>
        </w:rPr>
        <w:t xml:space="preserve">on </w:t>
      </w:r>
      <w:r w:rsidR="00566357" w:rsidRPr="00012C3F">
        <w:rPr>
          <w:sz w:val="20"/>
          <w:szCs w:val="20"/>
          <w:lang w:val="en-US"/>
        </w:rPr>
        <w:t>July 1,</w:t>
      </w:r>
      <w:r w:rsidR="00FC0D25" w:rsidRPr="00012C3F">
        <w:rPr>
          <w:sz w:val="20"/>
          <w:szCs w:val="20"/>
          <w:lang w:val="en-US"/>
        </w:rPr>
        <w:t xml:space="preserve"> 2000</w:t>
      </w:r>
      <w:r w:rsidR="00130362" w:rsidRPr="00012C3F">
        <w:rPr>
          <w:sz w:val="20"/>
          <w:szCs w:val="20"/>
          <w:lang w:val="en-US"/>
        </w:rPr>
        <w:t>,</w:t>
      </w:r>
      <w:r w:rsidR="00FC0D25" w:rsidRPr="00012C3F">
        <w:rPr>
          <w:sz w:val="20"/>
          <w:szCs w:val="20"/>
          <w:lang w:val="en-US"/>
        </w:rPr>
        <w:t xml:space="preserve"> </w:t>
      </w:r>
      <w:r w:rsidR="00130362" w:rsidRPr="00012C3F">
        <w:rPr>
          <w:sz w:val="20"/>
          <w:szCs w:val="20"/>
          <w:lang w:val="en-US"/>
        </w:rPr>
        <w:t>i</w:t>
      </w:r>
      <w:r w:rsidR="00B655DD" w:rsidRPr="00012C3F">
        <w:rPr>
          <w:sz w:val="20"/>
          <w:szCs w:val="20"/>
          <w:lang w:val="en-US"/>
        </w:rPr>
        <w:t>n Bolivia</w:t>
      </w:r>
      <w:r w:rsidR="00E158E4" w:rsidRPr="00012C3F">
        <w:rPr>
          <w:sz w:val="20"/>
          <w:szCs w:val="20"/>
          <w:lang w:val="en-US"/>
        </w:rPr>
        <w:t>,</w:t>
      </w:r>
      <w:r w:rsidR="00B655DD" w:rsidRPr="00012C3F">
        <w:rPr>
          <w:sz w:val="20"/>
          <w:szCs w:val="20"/>
          <w:lang w:val="en-US"/>
        </w:rPr>
        <w:t xml:space="preserve"> </w:t>
      </w:r>
      <w:r w:rsidR="00130362" w:rsidRPr="00012C3F">
        <w:rPr>
          <w:sz w:val="20"/>
          <w:szCs w:val="20"/>
          <w:lang w:val="en-US"/>
        </w:rPr>
        <w:t>by a public official in a State hospital was contrary to the State’s international obligations. The key aspect to elucidate is, therefore, whether this procedure was performed after the patient’s informed consent had been obtained in accordance with the parameters established in international law for this type of medical act at the time of the facts. If it is determined that this consent was not properly obtained, there is an additional dispute between the parties as to how the Court should classify the facts of this case; in other words, the legal classification that should be assigned to the conduct. Taking this into account and in order to determine whether the international responsibility of the State has been constituted, the Court finds it pertinent to proceed, first, to provide content to the s</w:t>
      </w:r>
      <w:r w:rsidR="006C705C" w:rsidRPr="00012C3F">
        <w:rPr>
          <w:sz w:val="20"/>
          <w:szCs w:val="20"/>
          <w:lang w:val="en-US"/>
        </w:rPr>
        <w:t>cope of the rights established in</w:t>
      </w:r>
      <w:r w:rsidR="00FC0D25" w:rsidRPr="00012C3F">
        <w:rPr>
          <w:sz w:val="20"/>
          <w:szCs w:val="20"/>
          <w:lang w:val="en-US"/>
        </w:rPr>
        <w:t xml:space="preserve"> </w:t>
      </w:r>
      <w:r w:rsidR="001254DE" w:rsidRPr="00012C3F">
        <w:rPr>
          <w:sz w:val="20"/>
          <w:szCs w:val="20"/>
          <w:lang w:val="en-US"/>
        </w:rPr>
        <w:t>the American Convention</w:t>
      </w:r>
      <w:r w:rsidR="00FC0D25" w:rsidRPr="00012C3F">
        <w:rPr>
          <w:sz w:val="20"/>
          <w:szCs w:val="20"/>
          <w:lang w:val="en-US"/>
        </w:rPr>
        <w:t xml:space="preserve"> </w:t>
      </w:r>
      <w:r w:rsidR="00130362" w:rsidRPr="00012C3F">
        <w:rPr>
          <w:sz w:val="20"/>
          <w:szCs w:val="20"/>
          <w:lang w:val="en-US"/>
        </w:rPr>
        <w:t xml:space="preserve">that have been alleged </w:t>
      </w:r>
      <w:r w:rsidR="006C705C" w:rsidRPr="00012C3F">
        <w:rPr>
          <w:sz w:val="20"/>
          <w:szCs w:val="20"/>
          <w:lang w:val="en-US"/>
        </w:rPr>
        <w:t>in this case</w:t>
      </w:r>
      <w:r w:rsidR="005E5012" w:rsidRPr="00012C3F">
        <w:rPr>
          <w:sz w:val="20"/>
          <w:szCs w:val="20"/>
          <w:lang w:val="en-US"/>
        </w:rPr>
        <w:t xml:space="preserve"> and </w:t>
      </w:r>
      <w:r w:rsidR="00130362" w:rsidRPr="00012C3F">
        <w:rPr>
          <w:sz w:val="20"/>
          <w:szCs w:val="20"/>
          <w:lang w:val="en-US"/>
        </w:rPr>
        <w:t xml:space="preserve">that are applicable with regard to </w:t>
      </w:r>
      <w:r w:rsidR="00A54991" w:rsidRPr="00012C3F">
        <w:rPr>
          <w:sz w:val="20"/>
          <w:szCs w:val="20"/>
          <w:lang w:val="en-US"/>
        </w:rPr>
        <w:t>sexual and reproductive health</w:t>
      </w:r>
      <w:r w:rsidR="00FC0D25" w:rsidRPr="00012C3F">
        <w:rPr>
          <w:sz w:val="20"/>
          <w:szCs w:val="20"/>
          <w:lang w:val="en-US"/>
        </w:rPr>
        <w:t>.</w:t>
      </w:r>
      <w:r w:rsidR="00910C78" w:rsidRPr="00012C3F">
        <w:rPr>
          <w:sz w:val="20"/>
          <w:szCs w:val="20"/>
          <w:lang w:val="en-US"/>
        </w:rPr>
        <w:t xml:space="preserve"> </w:t>
      </w:r>
      <w:r w:rsidR="00130362" w:rsidRPr="00012C3F">
        <w:rPr>
          <w:sz w:val="20"/>
          <w:szCs w:val="20"/>
          <w:lang w:val="en-US"/>
        </w:rPr>
        <w:t>Accordingly,</w:t>
      </w:r>
      <w:r w:rsidR="00910C78" w:rsidRPr="00012C3F">
        <w:rPr>
          <w:sz w:val="20"/>
          <w:szCs w:val="20"/>
          <w:lang w:val="en-US"/>
        </w:rPr>
        <w:t xml:space="preserve"> </w:t>
      </w:r>
      <w:r w:rsidR="001254DE" w:rsidRPr="00012C3F">
        <w:rPr>
          <w:sz w:val="20"/>
          <w:szCs w:val="20"/>
          <w:lang w:val="en-US"/>
        </w:rPr>
        <w:t>the Court</w:t>
      </w:r>
      <w:r w:rsidR="00130362" w:rsidRPr="00012C3F">
        <w:rPr>
          <w:sz w:val="20"/>
          <w:szCs w:val="20"/>
          <w:lang w:val="en-US"/>
        </w:rPr>
        <w:t xml:space="preserve"> will now interpret the scope of the rule of </w:t>
      </w:r>
      <w:r w:rsidR="00910C78" w:rsidRPr="00012C3F">
        <w:rPr>
          <w:sz w:val="20"/>
          <w:szCs w:val="20"/>
          <w:lang w:val="en-US"/>
        </w:rPr>
        <w:t xml:space="preserve"> </w:t>
      </w:r>
      <w:r w:rsidR="00AC0004" w:rsidRPr="00012C3F">
        <w:rPr>
          <w:sz w:val="20"/>
          <w:szCs w:val="20"/>
          <w:lang w:val="en-US"/>
        </w:rPr>
        <w:t>informed consent</w:t>
      </w:r>
      <w:r w:rsidR="005E5012" w:rsidRPr="00012C3F">
        <w:rPr>
          <w:sz w:val="20"/>
          <w:szCs w:val="20"/>
          <w:lang w:val="en-US"/>
        </w:rPr>
        <w:t xml:space="preserve"> and </w:t>
      </w:r>
      <w:r w:rsidR="00910C78" w:rsidRPr="00012C3F">
        <w:rPr>
          <w:sz w:val="20"/>
          <w:szCs w:val="20"/>
          <w:lang w:val="en-US"/>
        </w:rPr>
        <w:t>determin</w:t>
      </w:r>
      <w:r w:rsidR="00130362" w:rsidRPr="00012C3F">
        <w:rPr>
          <w:sz w:val="20"/>
          <w:szCs w:val="20"/>
          <w:lang w:val="en-US"/>
        </w:rPr>
        <w:t>e the parameters for the analysis of the facts of this case. The Court will then make the corresponding determinations, taking into account the factual dispute that exists concerning whether or not consent was obtained during the procedure and, if appropriate, how this was obtained. Lastly, the Court will make the corresponding determinations on the international responsibility of the State.</w:t>
      </w:r>
    </w:p>
    <w:p w14:paraId="7B80BDC7" w14:textId="77777777" w:rsidR="00FC0D25" w:rsidRPr="00012C3F" w:rsidRDefault="00FC0D25" w:rsidP="007D00D9">
      <w:pPr>
        <w:spacing w:line="240" w:lineRule="auto"/>
        <w:rPr>
          <w:sz w:val="20"/>
          <w:szCs w:val="20"/>
          <w:lang w:val="en-US"/>
        </w:rPr>
      </w:pPr>
    </w:p>
    <w:p w14:paraId="14FD7E58" w14:textId="77777777" w:rsidR="00BF32D6" w:rsidRPr="00012C3F" w:rsidRDefault="00BF32D6" w:rsidP="006A16C8">
      <w:pPr>
        <w:pStyle w:val="Ttulo2"/>
        <w:tabs>
          <w:tab w:val="left" w:pos="1701"/>
        </w:tabs>
        <w:spacing w:before="0" w:line="240" w:lineRule="auto"/>
        <w:ind w:left="1134"/>
        <w:rPr>
          <w:rFonts w:ascii="Verdana" w:hAnsi="Verdana"/>
          <w:b w:val="0"/>
          <w:i/>
          <w:color w:val="auto"/>
          <w:sz w:val="20"/>
          <w:szCs w:val="20"/>
          <w:lang w:val="en-US"/>
        </w:rPr>
      </w:pPr>
      <w:bookmarkStart w:id="130" w:name="_Toc27486862"/>
      <w:r w:rsidRPr="00012C3F">
        <w:rPr>
          <w:rFonts w:ascii="Verdana" w:hAnsi="Verdana"/>
          <w:b w:val="0"/>
          <w:i/>
          <w:color w:val="auto"/>
          <w:sz w:val="20"/>
          <w:szCs w:val="20"/>
          <w:lang w:val="en-US"/>
        </w:rPr>
        <w:t xml:space="preserve">B.1 </w:t>
      </w:r>
      <w:r w:rsidR="006A16C8"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Scope of the rights established in</w:t>
      </w:r>
      <w:r w:rsidR="001975E2"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the American Convention</w:t>
      </w:r>
      <w:r w:rsidR="001975E2" w:rsidRPr="00012C3F">
        <w:rPr>
          <w:rFonts w:ascii="Verdana" w:hAnsi="Verdana"/>
          <w:b w:val="0"/>
          <w:i/>
          <w:color w:val="auto"/>
          <w:sz w:val="20"/>
          <w:szCs w:val="20"/>
          <w:lang w:val="en-US"/>
        </w:rPr>
        <w:t xml:space="preserve"> </w:t>
      </w:r>
      <w:r w:rsidR="006C705C" w:rsidRPr="00012C3F">
        <w:rPr>
          <w:rFonts w:ascii="Verdana" w:hAnsi="Verdana"/>
          <w:b w:val="0"/>
          <w:i/>
          <w:color w:val="auto"/>
          <w:sz w:val="20"/>
          <w:szCs w:val="20"/>
          <w:lang w:val="en-US"/>
        </w:rPr>
        <w:t>in this case</w:t>
      </w:r>
      <w:bookmarkEnd w:id="130"/>
    </w:p>
    <w:p w14:paraId="5BE4C3F8" w14:textId="77777777" w:rsidR="00BF32D6" w:rsidRPr="00012C3F" w:rsidRDefault="00BF32D6" w:rsidP="007D00D9">
      <w:pPr>
        <w:spacing w:line="240" w:lineRule="auto"/>
        <w:rPr>
          <w:sz w:val="20"/>
          <w:szCs w:val="20"/>
          <w:lang w:val="en-US"/>
        </w:rPr>
      </w:pPr>
    </w:p>
    <w:p w14:paraId="723EDE4D" w14:textId="77777777" w:rsidR="00085704" w:rsidRPr="00012C3F" w:rsidRDefault="00130362" w:rsidP="00130362">
      <w:pPr>
        <w:numPr>
          <w:ilvl w:val="0"/>
          <w:numId w:val="5"/>
        </w:numPr>
        <w:tabs>
          <w:tab w:val="left" w:pos="720"/>
          <w:tab w:val="num" w:pos="1247"/>
          <w:tab w:val="num" w:pos="12305"/>
        </w:tabs>
        <w:spacing w:line="240" w:lineRule="auto"/>
        <w:ind w:left="0" w:firstLine="0"/>
        <w:rPr>
          <w:sz w:val="20"/>
          <w:szCs w:val="20"/>
          <w:lang w:val="en-US"/>
        </w:rPr>
      </w:pPr>
      <w:r w:rsidRPr="00012C3F">
        <w:rPr>
          <w:sz w:val="20"/>
          <w:szCs w:val="20"/>
          <w:lang w:val="en-US"/>
        </w:rPr>
        <w:t>In this section</w:t>
      </w:r>
      <w:r w:rsidR="00085704" w:rsidRPr="00012C3F">
        <w:rPr>
          <w:sz w:val="20"/>
          <w:szCs w:val="20"/>
          <w:lang w:val="en-US"/>
        </w:rPr>
        <w:t xml:space="preserve">, </w:t>
      </w:r>
      <w:r w:rsidR="001254DE" w:rsidRPr="00012C3F">
        <w:rPr>
          <w:sz w:val="20"/>
          <w:szCs w:val="20"/>
          <w:lang w:val="en-US"/>
        </w:rPr>
        <w:t>the Court</w:t>
      </w:r>
      <w:r w:rsidR="00085704" w:rsidRPr="00012C3F">
        <w:rPr>
          <w:sz w:val="20"/>
          <w:szCs w:val="20"/>
          <w:lang w:val="en-US"/>
        </w:rPr>
        <w:t xml:space="preserve"> </w:t>
      </w:r>
      <w:r w:rsidRPr="00012C3F">
        <w:rPr>
          <w:sz w:val="20"/>
          <w:szCs w:val="20"/>
          <w:lang w:val="en-US"/>
        </w:rPr>
        <w:t>will interpret</w:t>
      </w:r>
      <w:r w:rsidR="00085704" w:rsidRPr="00012C3F">
        <w:rPr>
          <w:sz w:val="20"/>
          <w:szCs w:val="20"/>
          <w:lang w:val="en-US"/>
        </w:rPr>
        <w:t xml:space="preserve"> </w:t>
      </w:r>
      <w:r w:rsidR="001254DE" w:rsidRPr="00012C3F">
        <w:rPr>
          <w:sz w:val="20"/>
          <w:szCs w:val="20"/>
          <w:lang w:val="en-US"/>
        </w:rPr>
        <w:t>the American Convention</w:t>
      </w:r>
      <w:r w:rsidR="00085704" w:rsidRPr="00012C3F">
        <w:rPr>
          <w:sz w:val="20"/>
          <w:szCs w:val="20"/>
          <w:lang w:val="en-US"/>
        </w:rPr>
        <w:t xml:space="preserve"> </w:t>
      </w:r>
      <w:r w:rsidRPr="00012C3F">
        <w:rPr>
          <w:sz w:val="20"/>
          <w:szCs w:val="20"/>
          <w:lang w:val="en-US"/>
        </w:rPr>
        <w:t xml:space="preserve">in order to determine the scope of the rights </w:t>
      </w:r>
      <w:r w:rsidR="006C705C" w:rsidRPr="00012C3F">
        <w:rPr>
          <w:sz w:val="20"/>
          <w:szCs w:val="20"/>
          <w:lang w:val="en-US"/>
        </w:rPr>
        <w:t>to personal integrity</w:t>
      </w:r>
      <w:r w:rsidR="00085704" w:rsidRPr="00012C3F">
        <w:rPr>
          <w:sz w:val="20"/>
          <w:szCs w:val="20"/>
          <w:lang w:val="en-US"/>
        </w:rPr>
        <w:t xml:space="preserve">, </w:t>
      </w:r>
      <w:r w:rsidR="00E445BA" w:rsidRPr="00012C3F">
        <w:rPr>
          <w:sz w:val="20"/>
          <w:szCs w:val="20"/>
          <w:lang w:val="en-US"/>
        </w:rPr>
        <w:t xml:space="preserve">to </w:t>
      </w:r>
      <w:r w:rsidRPr="00012C3F">
        <w:rPr>
          <w:sz w:val="20"/>
          <w:szCs w:val="20"/>
          <w:lang w:val="en-US"/>
        </w:rPr>
        <w:t>personal liberty</w:t>
      </w:r>
      <w:r w:rsidR="00B45E0B" w:rsidRPr="00012C3F">
        <w:rPr>
          <w:sz w:val="20"/>
          <w:szCs w:val="20"/>
          <w:lang w:val="en-US"/>
        </w:rPr>
        <w:t>,</w:t>
      </w:r>
      <w:r w:rsidR="00085704" w:rsidRPr="00012C3F">
        <w:rPr>
          <w:sz w:val="20"/>
          <w:szCs w:val="20"/>
          <w:lang w:val="en-US"/>
        </w:rPr>
        <w:t xml:space="preserve"> </w:t>
      </w:r>
      <w:r w:rsidR="00E445BA" w:rsidRPr="00012C3F">
        <w:rPr>
          <w:sz w:val="20"/>
          <w:szCs w:val="20"/>
          <w:lang w:val="en-US"/>
        </w:rPr>
        <w:t xml:space="preserve">to </w:t>
      </w:r>
      <w:r w:rsidRPr="00012C3F">
        <w:rPr>
          <w:sz w:val="20"/>
          <w:szCs w:val="20"/>
          <w:lang w:val="en-US"/>
        </w:rPr>
        <w:t>dignity</w:t>
      </w:r>
      <w:r w:rsidR="00085704" w:rsidRPr="00012C3F">
        <w:rPr>
          <w:sz w:val="20"/>
          <w:szCs w:val="20"/>
          <w:lang w:val="en-US"/>
        </w:rPr>
        <w:t xml:space="preserve">, </w:t>
      </w:r>
      <w:r w:rsidR="00E445BA" w:rsidRPr="00012C3F">
        <w:rPr>
          <w:sz w:val="20"/>
          <w:szCs w:val="20"/>
          <w:lang w:val="en-US"/>
        </w:rPr>
        <w:t xml:space="preserve">to </w:t>
      </w:r>
      <w:r w:rsidRPr="00012C3F">
        <w:rPr>
          <w:sz w:val="20"/>
          <w:szCs w:val="20"/>
          <w:lang w:val="en-US"/>
        </w:rPr>
        <w:t>private and family life</w:t>
      </w:r>
      <w:r w:rsidR="00277C1E" w:rsidRPr="00012C3F">
        <w:rPr>
          <w:sz w:val="20"/>
          <w:szCs w:val="20"/>
          <w:lang w:val="en-US"/>
        </w:rPr>
        <w:t>,</w:t>
      </w:r>
      <w:r w:rsidR="00085704" w:rsidRPr="00012C3F">
        <w:rPr>
          <w:sz w:val="20"/>
          <w:szCs w:val="20"/>
          <w:lang w:val="en-US"/>
        </w:rPr>
        <w:t xml:space="preserve"> </w:t>
      </w:r>
      <w:r w:rsidR="00EF483B" w:rsidRPr="00012C3F">
        <w:rPr>
          <w:sz w:val="20"/>
          <w:szCs w:val="20"/>
          <w:lang w:val="en-US"/>
        </w:rPr>
        <w:t xml:space="preserve">to </w:t>
      </w:r>
      <w:r w:rsidR="0081491F" w:rsidRPr="00012C3F">
        <w:rPr>
          <w:sz w:val="20"/>
          <w:szCs w:val="20"/>
          <w:lang w:val="en-US"/>
        </w:rPr>
        <w:lastRenderedPageBreak/>
        <w:t>raise a family</w:t>
      </w:r>
      <w:r w:rsidR="00E445BA" w:rsidRPr="00012C3F">
        <w:rPr>
          <w:sz w:val="20"/>
          <w:szCs w:val="20"/>
          <w:lang w:val="en-US"/>
        </w:rPr>
        <w:t>,</w:t>
      </w:r>
      <w:r w:rsidR="005E5012" w:rsidRPr="00012C3F">
        <w:rPr>
          <w:sz w:val="20"/>
          <w:szCs w:val="20"/>
          <w:lang w:val="en-US"/>
        </w:rPr>
        <w:t xml:space="preserve"> and </w:t>
      </w:r>
      <w:r w:rsidR="006C705C" w:rsidRPr="00012C3F">
        <w:rPr>
          <w:sz w:val="20"/>
          <w:szCs w:val="20"/>
          <w:lang w:val="en-US"/>
        </w:rPr>
        <w:t>of access to information</w:t>
      </w:r>
      <w:r w:rsidR="00085704" w:rsidRPr="00012C3F">
        <w:rPr>
          <w:sz w:val="20"/>
          <w:szCs w:val="20"/>
          <w:lang w:val="en-US"/>
        </w:rPr>
        <w:t xml:space="preserve">, </w:t>
      </w:r>
      <w:r w:rsidRPr="00012C3F">
        <w:rPr>
          <w:sz w:val="20"/>
          <w:szCs w:val="20"/>
          <w:lang w:val="en-US"/>
        </w:rPr>
        <w:t>as relevant to decide the dispute in this case.</w:t>
      </w:r>
    </w:p>
    <w:p w14:paraId="70E32EAC" w14:textId="77777777" w:rsidR="00085704" w:rsidRPr="00012C3F" w:rsidRDefault="00085704" w:rsidP="00085704">
      <w:pPr>
        <w:spacing w:line="240" w:lineRule="auto"/>
        <w:rPr>
          <w:sz w:val="20"/>
          <w:szCs w:val="20"/>
          <w:lang w:val="en-US"/>
        </w:rPr>
      </w:pPr>
    </w:p>
    <w:p w14:paraId="568282AE" w14:textId="77777777" w:rsidR="00761F3B" w:rsidRPr="00012C3F" w:rsidRDefault="001254DE" w:rsidP="000E11D6">
      <w:pPr>
        <w:numPr>
          <w:ilvl w:val="0"/>
          <w:numId w:val="5"/>
        </w:numPr>
        <w:tabs>
          <w:tab w:val="left" w:pos="720"/>
          <w:tab w:val="num" w:pos="1247"/>
          <w:tab w:val="num" w:pos="12305"/>
        </w:tabs>
        <w:spacing w:line="240" w:lineRule="auto"/>
        <w:ind w:left="0" w:firstLine="0"/>
        <w:rPr>
          <w:sz w:val="20"/>
          <w:szCs w:val="20"/>
          <w:lang w:val="en-US"/>
        </w:rPr>
      </w:pPr>
      <w:r w:rsidRPr="00012C3F">
        <w:rPr>
          <w:sz w:val="20"/>
          <w:szCs w:val="20"/>
          <w:lang w:val="en-US"/>
        </w:rPr>
        <w:t>The Court</w:t>
      </w:r>
      <w:r w:rsidR="00DA5CF5" w:rsidRPr="00012C3F">
        <w:rPr>
          <w:sz w:val="20"/>
          <w:szCs w:val="20"/>
          <w:lang w:val="en-US"/>
        </w:rPr>
        <w:t xml:space="preserve"> not</w:t>
      </w:r>
      <w:r w:rsidR="000E11D6" w:rsidRPr="00012C3F">
        <w:rPr>
          <w:sz w:val="20"/>
          <w:szCs w:val="20"/>
          <w:lang w:val="en-US"/>
        </w:rPr>
        <w:t>es that</w:t>
      </w:r>
      <w:r w:rsidR="00DA5CF5" w:rsidRPr="00012C3F">
        <w:rPr>
          <w:sz w:val="20"/>
          <w:szCs w:val="20"/>
          <w:lang w:val="en-US"/>
        </w:rPr>
        <w:t xml:space="preserve"> </w:t>
      </w:r>
      <w:r w:rsidRPr="00012C3F">
        <w:rPr>
          <w:sz w:val="20"/>
          <w:szCs w:val="20"/>
          <w:lang w:val="en-US"/>
        </w:rPr>
        <w:t>Article</w:t>
      </w:r>
      <w:r w:rsidR="00085704" w:rsidRPr="00012C3F">
        <w:rPr>
          <w:sz w:val="20"/>
          <w:szCs w:val="20"/>
          <w:lang w:val="en-US"/>
        </w:rPr>
        <w:t xml:space="preserve"> 11</w:t>
      </w:r>
      <w:r w:rsidRPr="00012C3F">
        <w:rPr>
          <w:sz w:val="20"/>
          <w:szCs w:val="20"/>
          <w:lang w:val="en-US"/>
        </w:rPr>
        <w:t xml:space="preserve"> of the American Convention</w:t>
      </w:r>
      <w:r w:rsidR="00085704" w:rsidRPr="00012C3F">
        <w:rPr>
          <w:sz w:val="20"/>
          <w:szCs w:val="20"/>
          <w:lang w:val="en-US"/>
        </w:rPr>
        <w:t xml:space="preserve"> prote</w:t>
      </w:r>
      <w:r w:rsidR="000E11D6" w:rsidRPr="00012C3F">
        <w:rPr>
          <w:sz w:val="20"/>
          <w:szCs w:val="20"/>
          <w:lang w:val="en-US"/>
        </w:rPr>
        <w:t xml:space="preserve">cts one of the most fundamental values of the human being, understood as a rational being; and this is recognition of his or her dignity. Indeed, the first paragraph of this article contains a universal clause of protection of dignity, which is based on both the principle of the autonomy of the individual, and the idea that </w:t>
      </w:r>
      <w:r w:rsidR="00B77C5B" w:rsidRPr="00012C3F">
        <w:rPr>
          <w:sz w:val="20"/>
          <w:szCs w:val="20"/>
          <w:lang w:val="en-US"/>
        </w:rPr>
        <w:t>all</w:t>
      </w:r>
      <w:r w:rsidR="000E11D6" w:rsidRPr="00012C3F">
        <w:rPr>
          <w:sz w:val="20"/>
          <w:szCs w:val="20"/>
          <w:lang w:val="en-US"/>
        </w:rPr>
        <w:t xml:space="preserve"> individual</w:t>
      </w:r>
      <w:r w:rsidR="00B77C5B" w:rsidRPr="00012C3F">
        <w:rPr>
          <w:sz w:val="20"/>
          <w:szCs w:val="20"/>
          <w:lang w:val="en-US"/>
        </w:rPr>
        <w:t>s</w:t>
      </w:r>
      <w:r w:rsidR="000E11D6" w:rsidRPr="00012C3F">
        <w:rPr>
          <w:sz w:val="20"/>
          <w:szCs w:val="20"/>
          <w:lang w:val="en-US"/>
        </w:rPr>
        <w:t xml:space="preserve"> should be treated equally, as ends in themselves in accordance with their intentions, will and the decision</w:t>
      </w:r>
      <w:r w:rsidR="00B77C5B" w:rsidRPr="00012C3F">
        <w:rPr>
          <w:sz w:val="20"/>
          <w:szCs w:val="20"/>
          <w:lang w:val="en-US"/>
        </w:rPr>
        <w:t>s</w:t>
      </w:r>
      <w:r w:rsidR="000E11D6" w:rsidRPr="00012C3F">
        <w:rPr>
          <w:sz w:val="20"/>
          <w:szCs w:val="20"/>
          <w:lang w:val="en-US"/>
        </w:rPr>
        <w:t xml:space="preserve"> they take about their life. Meanwhile, the second paragraph establishes the sanctity of private and family life, among other protected spheres. The Court has affirmed that this sphere of the private life of the individual is characterized by being a space of liberty exempt and immune from arbitrary and abusive interference by third parties or public authorities.</w:t>
      </w:r>
      <w:bookmarkStart w:id="131" w:name="_Ref318127168"/>
      <w:r w:rsidR="00761F3B" w:rsidRPr="00012C3F">
        <w:rPr>
          <w:sz w:val="20"/>
          <w:szCs w:val="20"/>
          <w:vertAlign w:val="superscript"/>
          <w:lang w:val="en-US"/>
        </w:rPr>
        <w:footnoteReference w:id="165"/>
      </w:r>
      <w:bookmarkEnd w:id="131"/>
    </w:p>
    <w:p w14:paraId="67DC3356" w14:textId="77777777" w:rsidR="00E56A72" w:rsidRPr="00012C3F" w:rsidRDefault="00E56A72" w:rsidP="00E56A72">
      <w:pPr>
        <w:tabs>
          <w:tab w:val="left" w:pos="567"/>
        </w:tabs>
        <w:spacing w:line="240" w:lineRule="auto"/>
        <w:rPr>
          <w:sz w:val="20"/>
          <w:szCs w:val="20"/>
          <w:lang w:val="en-US"/>
        </w:rPr>
      </w:pPr>
    </w:p>
    <w:p w14:paraId="05AA5A30" w14:textId="77777777" w:rsidR="005073A4" w:rsidRPr="00012C3F" w:rsidRDefault="000E11D6" w:rsidP="000E11D6">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ヒラギノ角ゴ Pro W3"/>
          <w:sz w:val="20"/>
          <w:szCs w:val="20"/>
          <w:lang w:val="en-US"/>
        </w:rPr>
        <w:t xml:space="preserve">That said, a crucial aspect of the recognition of dignity is every human being’s possibility </w:t>
      </w:r>
      <w:r w:rsidR="00B77C5B" w:rsidRPr="00012C3F">
        <w:rPr>
          <w:rFonts w:eastAsia="ヒラギノ角ゴ Pro W3"/>
          <w:sz w:val="20"/>
          <w:szCs w:val="20"/>
          <w:lang w:val="en-US"/>
        </w:rPr>
        <w:t>of</w:t>
      </w:r>
      <w:r w:rsidRPr="00012C3F">
        <w:rPr>
          <w:rFonts w:eastAsia="ヒラギノ角ゴ Pro W3"/>
          <w:sz w:val="20"/>
          <w:szCs w:val="20"/>
          <w:lang w:val="en-US"/>
        </w:rPr>
        <w:t xml:space="preserve"> self-determination and</w:t>
      </w:r>
      <w:r w:rsidR="00B77C5B" w:rsidRPr="00012C3F">
        <w:rPr>
          <w:rFonts w:eastAsia="ヒラギノ角ゴ Pro W3"/>
          <w:sz w:val="20"/>
          <w:szCs w:val="20"/>
          <w:lang w:val="en-US"/>
        </w:rPr>
        <w:t xml:space="preserve"> </w:t>
      </w:r>
      <w:r w:rsidRPr="00012C3F">
        <w:rPr>
          <w:rFonts w:eastAsia="ヒラギノ角ゴ Pro W3"/>
          <w:sz w:val="20"/>
          <w:szCs w:val="20"/>
          <w:lang w:val="en-US"/>
        </w:rPr>
        <w:t>free cho</w:t>
      </w:r>
      <w:r w:rsidR="00B77C5B" w:rsidRPr="00012C3F">
        <w:rPr>
          <w:rFonts w:eastAsia="ヒラギノ角ゴ Pro W3"/>
          <w:sz w:val="20"/>
          <w:szCs w:val="20"/>
          <w:lang w:val="en-US"/>
        </w:rPr>
        <w:t>ice of</w:t>
      </w:r>
      <w:r w:rsidRPr="00012C3F">
        <w:rPr>
          <w:rFonts w:eastAsia="ヒラギノ角ゴ Pro W3"/>
          <w:sz w:val="20"/>
          <w:szCs w:val="20"/>
          <w:lang w:val="en-US"/>
        </w:rPr>
        <w:t xml:space="preserve"> the options and circumstances that give a meaning to his or her existence in keeping with </w:t>
      </w:r>
      <w:r w:rsidR="00B77C5B" w:rsidRPr="00012C3F">
        <w:rPr>
          <w:rFonts w:eastAsia="ヒラギノ角ゴ Pro W3"/>
          <w:sz w:val="20"/>
          <w:szCs w:val="20"/>
          <w:lang w:val="en-US"/>
        </w:rPr>
        <w:t>their</w:t>
      </w:r>
      <w:r w:rsidRPr="00012C3F">
        <w:rPr>
          <w:rFonts w:eastAsia="ヒラギノ角ゴ Pro W3"/>
          <w:sz w:val="20"/>
          <w:szCs w:val="20"/>
          <w:lang w:val="en-US"/>
        </w:rPr>
        <w:t xml:space="preserve"> own choices and beliefs.</w:t>
      </w:r>
      <w:bookmarkStart w:id="132" w:name="_Ref318137993"/>
      <w:r w:rsidR="005073A4" w:rsidRPr="00012C3F">
        <w:rPr>
          <w:rFonts w:eastAsia="MS Mincho"/>
          <w:sz w:val="20"/>
          <w:szCs w:val="20"/>
          <w:vertAlign w:val="superscript"/>
          <w:lang w:val="en-US" w:eastAsia="en-US" w:bidi="en-US"/>
        </w:rPr>
        <w:footnoteReference w:id="166"/>
      </w:r>
      <w:bookmarkEnd w:id="132"/>
      <w:r w:rsidRPr="00012C3F">
        <w:rPr>
          <w:rFonts w:eastAsia="MS Mincho"/>
          <w:sz w:val="20"/>
          <w:szCs w:val="20"/>
          <w:lang w:val="en-US" w:eastAsia="en-US" w:bidi="en-US"/>
        </w:rPr>
        <w:t xml:space="preserve"> In this context, the principle of </w:t>
      </w:r>
      <w:r w:rsidR="00265BD9" w:rsidRPr="00012C3F">
        <w:rPr>
          <w:rFonts w:eastAsia="MS Mincho"/>
          <w:sz w:val="20"/>
          <w:szCs w:val="20"/>
          <w:lang w:val="en-US" w:eastAsia="en-US" w:bidi="en-US"/>
        </w:rPr>
        <w:t>the autonomy of the individual plays an essential role, and prohibits any State action that attempts to “instrumentalize” individual</w:t>
      </w:r>
      <w:r w:rsidR="00B77C5B" w:rsidRPr="00012C3F">
        <w:rPr>
          <w:rFonts w:eastAsia="MS Mincho"/>
          <w:sz w:val="20"/>
          <w:szCs w:val="20"/>
          <w:lang w:val="en-US" w:eastAsia="en-US" w:bidi="en-US"/>
        </w:rPr>
        <w:t>s</w:t>
      </w:r>
      <w:r w:rsidR="00265BD9" w:rsidRPr="00012C3F">
        <w:rPr>
          <w:rFonts w:eastAsia="MS Mincho"/>
          <w:sz w:val="20"/>
          <w:szCs w:val="20"/>
          <w:lang w:val="en-US" w:eastAsia="en-US" w:bidi="en-US"/>
        </w:rPr>
        <w:t xml:space="preserve">; in other words, convert </w:t>
      </w:r>
      <w:r w:rsidR="00B77C5B" w:rsidRPr="00012C3F">
        <w:rPr>
          <w:rFonts w:eastAsia="MS Mincho"/>
          <w:sz w:val="20"/>
          <w:szCs w:val="20"/>
          <w:lang w:val="en-US" w:eastAsia="en-US" w:bidi="en-US"/>
        </w:rPr>
        <w:t>them</w:t>
      </w:r>
      <w:r w:rsidR="00265BD9" w:rsidRPr="00012C3F">
        <w:rPr>
          <w:rFonts w:eastAsia="MS Mincho"/>
          <w:sz w:val="20"/>
          <w:szCs w:val="20"/>
          <w:lang w:val="en-US" w:eastAsia="en-US" w:bidi="en-US"/>
        </w:rPr>
        <w:t xml:space="preserve"> into a means for purposes unrelated to their choices about their own life, body and full development of their personality within the limits imposed by </w:t>
      </w:r>
      <w:r w:rsidR="001254DE" w:rsidRPr="00012C3F">
        <w:rPr>
          <w:rFonts w:eastAsia="MS Mincho"/>
          <w:sz w:val="20"/>
          <w:szCs w:val="20"/>
          <w:lang w:val="en-US" w:eastAsia="en-US" w:bidi="en-US"/>
        </w:rPr>
        <w:t>the Convention</w:t>
      </w:r>
      <w:r w:rsidR="00265BD9" w:rsidRPr="00012C3F">
        <w:rPr>
          <w:rFonts w:eastAsia="MS Mincho"/>
          <w:sz w:val="20"/>
          <w:szCs w:val="20"/>
          <w:lang w:val="en-US" w:eastAsia="en-US" w:bidi="en-US"/>
        </w:rPr>
        <w:t>.</w:t>
      </w:r>
      <w:r w:rsidR="005073A4" w:rsidRPr="00012C3F">
        <w:rPr>
          <w:rStyle w:val="Refdenotaalpie"/>
          <w:rFonts w:eastAsia="MS Mincho"/>
          <w:sz w:val="20"/>
          <w:szCs w:val="20"/>
          <w:lang w:val="en-US" w:eastAsia="en-US" w:bidi="en-US"/>
        </w:rPr>
        <w:footnoteReference w:id="167"/>
      </w:r>
    </w:p>
    <w:p w14:paraId="7352A526" w14:textId="77777777" w:rsidR="005073A4" w:rsidRPr="00012C3F" w:rsidRDefault="005073A4" w:rsidP="000E11D6">
      <w:pPr>
        <w:tabs>
          <w:tab w:val="left" w:pos="720"/>
        </w:tabs>
        <w:spacing w:line="240" w:lineRule="auto"/>
        <w:rPr>
          <w:sz w:val="20"/>
          <w:szCs w:val="20"/>
          <w:lang w:val="en-US"/>
        </w:rPr>
      </w:pPr>
    </w:p>
    <w:p w14:paraId="4496881C" w14:textId="77777777" w:rsidR="00A3617C" w:rsidRPr="00012C3F" w:rsidRDefault="00265BD9" w:rsidP="00265BD9">
      <w:pPr>
        <w:numPr>
          <w:ilvl w:val="0"/>
          <w:numId w:val="5"/>
        </w:numPr>
        <w:tabs>
          <w:tab w:val="left" w:pos="720"/>
          <w:tab w:val="num" w:pos="1247"/>
          <w:tab w:val="num" w:pos="12305"/>
        </w:tabs>
        <w:spacing w:line="240" w:lineRule="auto"/>
        <w:ind w:left="0" w:firstLine="0"/>
        <w:rPr>
          <w:sz w:val="20"/>
          <w:szCs w:val="20"/>
          <w:lang w:val="en-US"/>
        </w:rPr>
      </w:pPr>
      <w:r w:rsidRPr="00012C3F">
        <w:rPr>
          <w:sz w:val="20"/>
          <w:szCs w:val="20"/>
          <w:lang w:val="en-US"/>
        </w:rPr>
        <w:t xml:space="preserve">In this regard, the Court has interpreted </w:t>
      </w:r>
      <w:r w:rsidR="001254DE" w:rsidRPr="00012C3F">
        <w:rPr>
          <w:sz w:val="20"/>
          <w:szCs w:val="20"/>
          <w:lang w:val="en-US"/>
        </w:rPr>
        <w:t>Article</w:t>
      </w:r>
      <w:r w:rsidR="00A3617C" w:rsidRPr="00012C3F">
        <w:rPr>
          <w:sz w:val="20"/>
          <w:szCs w:val="20"/>
          <w:lang w:val="en-US"/>
        </w:rPr>
        <w:t xml:space="preserve"> 7</w:t>
      </w:r>
      <w:r w:rsidR="001254DE" w:rsidRPr="00012C3F">
        <w:rPr>
          <w:sz w:val="20"/>
          <w:szCs w:val="20"/>
          <w:lang w:val="en-US"/>
        </w:rPr>
        <w:t xml:space="preserve"> of the American Convention</w:t>
      </w:r>
      <w:r w:rsidR="00A3617C" w:rsidRPr="00012C3F">
        <w:rPr>
          <w:sz w:val="20"/>
          <w:szCs w:val="20"/>
          <w:lang w:val="en-US"/>
        </w:rPr>
        <w:t xml:space="preserve"> </w:t>
      </w:r>
      <w:r w:rsidRPr="00012C3F">
        <w:rPr>
          <w:sz w:val="20"/>
          <w:szCs w:val="20"/>
          <w:lang w:val="en-US"/>
        </w:rPr>
        <w:t>broadly by indicating that it includes the concept of liberty in a wide-ranging sense as the capacity to do or not to do everything that is l</w:t>
      </w:r>
      <w:r w:rsidR="00AC0815" w:rsidRPr="00012C3F">
        <w:rPr>
          <w:sz w:val="20"/>
          <w:szCs w:val="20"/>
          <w:lang w:val="en-US"/>
        </w:rPr>
        <w:t>egall</w:t>
      </w:r>
      <w:r w:rsidRPr="00012C3F">
        <w:rPr>
          <w:sz w:val="20"/>
          <w:szCs w:val="20"/>
          <w:lang w:val="en-US"/>
        </w:rPr>
        <w:t>y permitted. In other words, it constitutes the right of everyone to organize, based on the law, their individual and social life in keeping with their own choices and beliefs. Liberty, thus defined, is a basic human right</w:t>
      </w:r>
      <w:r w:rsidR="00AC0815" w:rsidRPr="00012C3F">
        <w:rPr>
          <w:sz w:val="20"/>
          <w:szCs w:val="20"/>
          <w:lang w:val="en-US"/>
        </w:rPr>
        <w:t>,</w:t>
      </w:r>
      <w:r w:rsidRPr="00012C3F">
        <w:rPr>
          <w:sz w:val="20"/>
          <w:szCs w:val="20"/>
          <w:lang w:val="en-US"/>
        </w:rPr>
        <w:t xml:space="preserve"> inherent in the attributes of the person</w:t>
      </w:r>
      <w:r w:rsidR="00AC0815" w:rsidRPr="00012C3F">
        <w:rPr>
          <w:sz w:val="20"/>
          <w:szCs w:val="20"/>
          <w:lang w:val="en-US"/>
        </w:rPr>
        <w:t>, which</w:t>
      </w:r>
      <w:r w:rsidRPr="00012C3F">
        <w:rPr>
          <w:sz w:val="20"/>
          <w:szCs w:val="20"/>
          <w:lang w:val="en-US"/>
        </w:rPr>
        <w:t xml:space="preserve"> permeates the whole </w:t>
      </w:r>
      <w:r w:rsidR="001254DE" w:rsidRPr="00012C3F">
        <w:rPr>
          <w:sz w:val="20"/>
          <w:szCs w:val="20"/>
          <w:lang w:val="en-US"/>
        </w:rPr>
        <w:t>American Convention</w:t>
      </w:r>
      <w:r w:rsidRPr="00012C3F">
        <w:rPr>
          <w:sz w:val="20"/>
          <w:szCs w:val="20"/>
          <w:lang w:val="en-US"/>
        </w:rPr>
        <w:t>.</w:t>
      </w:r>
      <w:r w:rsidR="00A3617C" w:rsidRPr="00012C3F">
        <w:rPr>
          <w:rStyle w:val="Refdenotaalpie"/>
          <w:sz w:val="20"/>
          <w:szCs w:val="20"/>
          <w:lang w:val="en-US"/>
        </w:rPr>
        <w:footnoteReference w:id="168"/>
      </w:r>
      <w:r w:rsidR="00A9444B" w:rsidRPr="00012C3F">
        <w:rPr>
          <w:sz w:val="20"/>
          <w:szCs w:val="20"/>
          <w:lang w:val="en-US"/>
        </w:rPr>
        <w:t xml:space="preserve"> </w:t>
      </w:r>
      <w:r w:rsidR="009D3EE9" w:rsidRPr="00012C3F">
        <w:rPr>
          <w:sz w:val="20"/>
          <w:szCs w:val="20"/>
          <w:lang w:val="en-US"/>
        </w:rPr>
        <w:t>Even</w:t>
      </w:r>
      <w:r w:rsidRPr="00012C3F">
        <w:rPr>
          <w:sz w:val="20"/>
          <w:szCs w:val="20"/>
          <w:lang w:val="en-US"/>
        </w:rPr>
        <w:t xml:space="preserve"> though neither</w:t>
      </w:r>
      <w:r w:rsidR="00A9444B" w:rsidRPr="00012C3F">
        <w:rPr>
          <w:sz w:val="20"/>
          <w:szCs w:val="20"/>
          <w:lang w:val="en-US"/>
        </w:rPr>
        <w:t xml:space="preserve"> </w:t>
      </w:r>
      <w:r w:rsidR="001254DE" w:rsidRPr="00012C3F">
        <w:rPr>
          <w:sz w:val="20"/>
          <w:szCs w:val="20"/>
          <w:lang w:val="en-US"/>
        </w:rPr>
        <w:t xml:space="preserve">the </w:t>
      </w:r>
      <w:r w:rsidR="00A84CA0" w:rsidRPr="00012C3F">
        <w:rPr>
          <w:sz w:val="20"/>
          <w:szCs w:val="20"/>
          <w:lang w:val="en-US"/>
        </w:rPr>
        <w:t>Commission</w:t>
      </w:r>
      <w:r w:rsidR="00A9444B" w:rsidRPr="00012C3F">
        <w:rPr>
          <w:sz w:val="20"/>
          <w:szCs w:val="20"/>
          <w:lang w:val="en-US"/>
        </w:rPr>
        <w:t xml:space="preserve"> n</w:t>
      </w:r>
      <w:r w:rsidRPr="00012C3F">
        <w:rPr>
          <w:sz w:val="20"/>
          <w:szCs w:val="20"/>
          <w:lang w:val="en-US"/>
        </w:rPr>
        <w:t>or</w:t>
      </w:r>
      <w:r w:rsidR="00A9444B" w:rsidRPr="00012C3F">
        <w:rPr>
          <w:sz w:val="20"/>
          <w:szCs w:val="20"/>
          <w:lang w:val="en-US"/>
        </w:rPr>
        <w:t xml:space="preserve"> </w:t>
      </w:r>
      <w:r w:rsidR="00972ACF" w:rsidRPr="00012C3F">
        <w:rPr>
          <w:sz w:val="20"/>
          <w:szCs w:val="20"/>
          <w:lang w:val="en-US"/>
        </w:rPr>
        <w:t>the representative</w:t>
      </w:r>
      <w:r w:rsidR="00A9444B" w:rsidRPr="00012C3F">
        <w:rPr>
          <w:sz w:val="20"/>
          <w:szCs w:val="20"/>
          <w:lang w:val="en-US"/>
        </w:rPr>
        <w:t xml:space="preserve"> </w:t>
      </w:r>
      <w:r w:rsidRPr="00012C3F">
        <w:rPr>
          <w:sz w:val="20"/>
          <w:szCs w:val="20"/>
          <w:lang w:val="en-US"/>
        </w:rPr>
        <w:t xml:space="preserve">explicitly argued the violation </w:t>
      </w:r>
      <w:r w:rsidR="008A7A0F" w:rsidRPr="00012C3F">
        <w:rPr>
          <w:sz w:val="20"/>
          <w:szCs w:val="20"/>
          <w:lang w:val="en-US"/>
        </w:rPr>
        <w:t>of Article</w:t>
      </w:r>
      <w:r w:rsidR="00A9444B" w:rsidRPr="00012C3F">
        <w:rPr>
          <w:sz w:val="20"/>
          <w:szCs w:val="20"/>
          <w:lang w:val="en-US"/>
        </w:rPr>
        <w:t xml:space="preserve"> 7</w:t>
      </w:r>
      <w:r w:rsidR="001254DE" w:rsidRPr="00012C3F">
        <w:rPr>
          <w:sz w:val="20"/>
          <w:szCs w:val="20"/>
          <w:lang w:val="en-US"/>
        </w:rPr>
        <w:t xml:space="preserve"> of the Convention</w:t>
      </w:r>
      <w:r w:rsidR="0068183F" w:rsidRPr="00012C3F">
        <w:rPr>
          <w:sz w:val="20"/>
          <w:szCs w:val="20"/>
          <w:lang w:val="en-US"/>
        </w:rPr>
        <w:t xml:space="preserve"> </w:t>
      </w:r>
      <w:r w:rsidR="006C705C" w:rsidRPr="00012C3F">
        <w:rPr>
          <w:sz w:val="20"/>
          <w:szCs w:val="20"/>
          <w:lang w:val="en-US"/>
        </w:rPr>
        <w:t>in this case</w:t>
      </w:r>
      <w:r w:rsidR="00A9444B" w:rsidRPr="00012C3F">
        <w:rPr>
          <w:sz w:val="20"/>
          <w:szCs w:val="20"/>
          <w:lang w:val="en-US"/>
        </w:rPr>
        <w:t xml:space="preserve">, </w:t>
      </w:r>
      <w:r w:rsidRPr="00012C3F">
        <w:rPr>
          <w:sz w:val="20"/>
          <w:szCs w:val="20"/>
          <w:lang w:val="en-US"/>
        </w:rPr>
        <w:t>this does not prevent the Court from applying it based on the general legal principle of</w:t>
      </w:r>
      <w:r w:rsidR="00A9444B" w:rsidRPr="00012C3F">
        <w:rPr>
          <w:sz w:val="20"/>
          <w:szCs w:val="20"/>
          <w:lang w:val="en-US"/>
        </w:rPr>
        <w:t xml:space="preserve"> </w:t>
      </w:r>
      <w:r w:rsidR="00A9444B" w:rsidRPr="00012C3F">
        <w:rPr>
          <w:i/>
          <w:sz w:val="20"/>
          <w:szCs w:val="20"/>
          <w:lang w:val="en-US"/>
        </w:rPr>
        <w:t>iura novit curia</w:t>
      </w:r>
      <w:r w:rsidR="00A9444B" w:rsidRPr="00012C3F">
        <w:rPr>
          <w:sz w:val="20"/>
          <w:szCs w:val="20"/>
          <w:lang w:val="en-US"/>
        </w:rPr>
        <w:t xml:space="preserve">, </w:t>
      </w:r>
      <w:r w:rsidRPr="00012C3F">
        <w:rPr>
          <w:sz w:val="20"/>
          <w:szCs w:val="20"/>
          <w:lang w:val="en-US"/>
        </w:rPr>
        <w:t xml:space="preserve">which international case law has used repeatedly, in the sense that the judge has the authority, and even the duty, to apply the pertinent legal provisions in a case, even when they have not been expressly </w:t>
      </w:r>
      <w:r w:rsidR="00AC0815" w:rsidRPr="00012C3F">
        <w:rPr>
          <w:sz w:val="20"/>
          <w:szCs w:val="20"/>
          <w:lang w:val="en-US"/>
        </w:rPr>
        <w:t>cit</w:t>
      </w:r>
      <w:r w:rsidRPr="00012C3F">
        <w:rPr>
          <w:sz w:val="20"/>
          <w:szCs w:val="20"/>
          <w:lang w:val="en-US"/>
        </w:rPr>
        <w:t>ed by the parties.</w:t>
      </w:r>
      <w:r w:rsidR="00A9444B" w:rsidRPr="00012C3F">
        <w:rPr>
          <w:rStyle w:val="Refdenotaalpie"/>
          <w:sz w:val="20"/>
          <w:szCs w:val="20"/>
          <w:lang w:val="en-US"/>
        </w:rPr>
        <w:footnoteReference w:id="169"/>
      </w:r>
    </w:p>
    <w:p w14:paraId="5DF063D3" w14:textId="77777777" w:rsidR="00A3617C" w:rsidRPr="00012C3F" w:rsidRDefault="00A3617C" w:rsidP="000E11D6">
      <w:pPr>
        <w:tabs>
          <w:tab w:val="left" w:pos="720"/>
          <w:tab w:val="num" w:pos="12305"/>
        </w:tabs>
        <w:spacing w:line="240" w:lineRule="auto"/>
        <w:rPr>
          <w:sz w:val="20"/>
          <w:szCs w:val="20"/>
          <w:lang w:val="en-US"/>
        </w:rPr>
      </w:pPr>
    </w:p>
    <w:p w14:paraId="6A3284B2" w14:textId="77777777" w:rsidR="00E56A72" w:rsidRPr="00012C3F" w:rsidRDefault="00265BD9" w:rsidP="00885672">
      <w:pPr>
        <w:numPr>
          <w:ilvl w:val="0"/>
          <w:numId w:val="5"/>
        </w:numPr>
        <w:tabs>
          <w:tab w:val="left" w:pos="720"/>
          <w:tab w:val="num" w:pos="12305"/>
        </w:tabs>
        <w:spacing w:line="240" w:lineRule="auto"/>
        <w:ind w:left="0" w:firstLine="0"/>
        <w:rPr>
          <w:sz w:val="20"/>
          <w:szCs w:val="20"/>
          <w:lang w:val="en-US"/>
        </w:rPr>
      </w:pPr>
      <w:r w:rsidRPr="00012C3F">
        <w:rPr>
          <w:rFonts w:eastAsia="ヒラギノ角ゴ Pro W3"/>
          <w:sz w:val="20"/>
          <w:szCs w:val="20"/>
          <w:lang w:val="en-US"/>
        </w:rPr>
        <w:t xml:space="preserve">The Court has also stipulated that the protection of the right to </w:t>
      </w:r>
      <w:r w:rsidR="00885672" w:rsidRPr="00012C3F">
        <w:rPr>
          <w:rFonts w:eastAsia="ヒラギノ角ゴ Pro W3"/>
          <w:sz w:val="20"/>
          <w:szCs w:val="20"/>
          <w:lang w:val="en-US"/>
        </w:rPr>
        <w:t>private life</w:t>
      </w:r>
      <w:r w:rsidRPr="00012C3F">
        <w:rPr>
          <w:rFonts w:eastAsia="ヒラギノ角ゴ Pro W3"/>
          <w:sz w:val="20"/>
          <w:szCs w:val="20"/>
          <w:lang w:val="en-US"/>
        </w:rPr>
        <w:t xml:space="preserve"> is not limited to the </w:t>
      </w:r>
      <w:r w:rsidR="00885672" w:rsidRPr="00012C3F">
        <w:rPr>
          <w:rFonts w:eastAsia="ヒラギノ角ゴ Pro W3"/>
          <w:sz w:val="20"/>
          <w:szCs w:val="20"/>
          <w:lang w:val="en-US"/>
        </w:rPr>
        <w:t xml:space="preserve">right to privacy, because it encompasses a series of factors related to the dignity of the individual, including, for example, the ability to develop one’s own personality and aspirations, </w:t>
      </w:r>
      <w:r w:rsidR="00885672" w:rsidRPr="00012C3F">
        <w:rPr>
          <w:sz w:val="20"/>
          <w:szCs w:val="20"/>
          <w:lang w:val="en-US"/>
        </w:rPr>
        <w:t>determine one’s own identify, and define one’s own personal relations</w:t>
      </w:r>
      <w:r w:rsidR="0072265A" w:rsidRPr="00012C3F">
        <w:rPr>
          <w:sz w:val="20"/>
          <w:szCs w:val="20"/>
          <w:lang w:val="en-US"/>
        </w:rPr>
        <w:t xml:space="preserve">. </w:t>
      </w:r>
      <w:r w:rsidR="00885672" w:rsidRPr="00012C3F">
        <w:rPr>
          <w:sz w:val="20"/>
          <w:szCs w:val="20"/>
          <w:lang w:val="en-US"/>
        </w:rPr>
        <w:t xml:space="preserve">The concept of private life </w:t>
      </w:r>
      <w:r w:rsidR="00885672" w:rsidRPr="00012C3F">
        <w:rPr>
          <w:sz w:val="20"/>
          <w:szCs w:val="20"/>
          <w:lang w:val="en-US"/>
        </w:rPr>
        <w:lastRenderedPageBreak/>
        <w:t>encompasses aspects of physical and social identity, including the right to personal autonomy, personal development, and the right to establish and develop relationships with other human beings and with the external world.</w:t>
      </w:r>
      <w:r w:rsidR="0072265A" w:rsidRPr="00012C3F">
        <w:rPr>
          <w:sz w:val="20"/>
          <w:szCs w:val="20"/>
          <w:vertAlign w:val="superscript"/>
          <w:lang w:val="en-US"/>
        </w:rPr>
        <w:footnoteReference w:id="170"/>
      </w:r>
      <w:r w:rsidR="00885672" w:rsidRPr="00012C3F">
        <w:rPr>
          <w:sz w:val="20"/>
          <w:szCs w:val="20"/>
          <w:lang w:val="en-US"/>
        </w:rPr>
        <w:t xml:space="preserve"> The effectiveness of the exercise of the right to private life is decisive for the possibility of exercising personal autonomy over the future course of events that are relevant for a person’s quality of life.</w:t>
      </w:r>
      <w:r w:rsidR="0072265A" w:rsidRPr="00012C3F">
        <w:rPr>
          <w:sz w:val="20"/>
          <w:szCs w:val="20"/>
          <w:vertAlign w:val="superscript"/>
          <w:lang w:val="en-US"/>
        </w:rPr>
        <w:footnoteReference w:id="171"/>
      </w:r>
      <w:r w:rsidR="00885672" w:rsidRPr="00012C3F">
        <w:rPr>
          <w:sz w:val="20"/>
          <w:szCs w:val="20"/>
          <w:lang w:val="en-US"/>
        </w:rPr>
        <w:t xml:space="preserve"> Private life includes the way in which individuals see themselves and how they decide to project themselves towards others,</w:t>
      </w:r>
      <w:r w:rsidR="0072265A" w:rsidRPr="00012C3F">
        <w:rPr>
          <w:sz w:val="20"/>
          <w:szCs w:val="20"/>
          <w:vertAlign w:val="superscript"/>
          <w:lang w:val="en-US"/>
        </w:rPr>
        <w:footnoteReference w:id="172"/>
      </w:r>
      <w:r w:rsidR="005E5012" w:rsidRPr="00012C3F">
        <w:rPr>
          <w:sz w:val="20"/>
          <w:szCs w:val="20"/>
          <w:lang w:val="en-US"/>
        </w:rPr>
        <w:t xml:space="preserve"> and </w:t>
      </w:r>
      <w:r w:rsidR="00885672" w:rsidRPr="00012C3F">
        <w:rPr>
          <w:sz w:val="20"/>
          <w:szCs w:val="20"/>
          <w:lang w:val="en-US"/>
        </w:rPr>
        <w:t>is an essential condition for the free development of the personality. The Court has also indicated that choices and decisions with regard to maternity form an essential part of the free development of a woman’s personality.</w:t>
      </w:r>
      <w:r w:rsidR="0072265A" w:rsidRPr="00012C3F">
        <w:rPr>
          <w:sz w:val="20"/>
          <w:szCs w:val="20"/>
          <w:vertAlign w:val="superscript"/>
          <w:lang w:val="en-US"/>
        </w:rPr>
        <w:footnoteReference w:id="173"/>
      </w:r>
      <w:r w:rsidR="00885672" w:rsidRPr="00012C3F">
        <w:rPr>
          <w:sz w:val="20"/>
          <w:szCs w:val="20"/>
          <w:lang w:val="en-US"/>
        </w:rPr>
        <w:t xml:space="preserve"> Consequently, the decision of whether or not to become a mother or father belongs to the sphere of the autonomous decisions of the individual in relation to his or her private and family life.</w:t>
      </w:r>
      <w:r w:rsidR="0072265A" w:rsidRPr="00012C3F">
        <w:rPr>
          <w:sz w:val="20"/>
          <w:szCs w:val="20"/>
          <w:vertAlign w:val="superscript"/>
          <w:lang w:val="en-US"/>
        </w:rPr>
        <w:footnoteReference w:id="174"/>
      </w:r>
    </w:p>
    <w:p w14:paraId="2F1981D9" w14:textId="77777777" w:rsidR="0072265A" w:rsidRPr="00012C3F" w:rsidRDefault="0072265A" w:rsidP="0072265A">
      <w:pPr>
        <w:tabs>
          <w:tab w:val="left" w:pos="567"/>
        </w:tabs>
        <w:spacing w:line="240" w:lineRule="auto"/>
        <w:rPr>
          <w:sz w:val="20"/>
          <w:szCs w:val="20"/>
          <w:lang w:val="en-US"/>
        </w:rPr>
      </w:pPr>
    </w:p>
    <w:p w14:paraId="00972BDE" w14:textId="77777777" w:rsidR="00744CDD" w:rsidRPr="00012C3F" w:rsidRDefault="00EF483B" w:rsidP="00885672">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On this point</w:t>
      </w:r>
      <w:r w:rsidR="00F86030" w:rsidRPr="00012C3F">
        <w:rPr>
          <w:sz w:val="20"/>
          <w:szCs w:val="20"/>
          <w:lang w:val="en-US"/>
        </w:rPr>
        <w:t xml:space="preserve">, </w:t>
      </w:r>
      <w:r w:rsidR="001254DE" w:rsidRPr="00012C3F">
        <w:rPr>
          <w:sz w:val="20"/>
          <w:szCs w:val="20"/>
          <w:lang w:val="en-US"/>
        </w:rPr>
        <w:t>the Court</w:t>
      </w:r>
      <w:r w:rsidR="00744CDD" w:rsidRPr="00012C3F">
        <w:rPr>
          <w:sz w:val="20"/>
          <w:szCs w:val="20"/>
          <w:lang w:val="en-US"/>
        </w:rPr>
        <w:t xml:space="preserve"> reiter</w:t>
      </w:r>
      <w:r w:rsidRPr="00012C3F">
        <w:rPr>
          <w:sz w:val="20"/>
          <w:szCs w:val="20"/>
          <w:lang w:val="en-US"/>
        </w:rPr>
        <w:t>ates that</w:t>
      </w:r>
      <w:r w:rsidR="00744CDD" w:rsidRPr="00012C3F">
        <w:rPr>
          <w:sz w:val="20"/>
          <w:szCs w:val="20"/>
          <w:lang w:val="en-US"/>
        </w:rPr>
        <w:t xml:space="preserve"> </w:t>
      </w:r>
      <w:r w:rsidR="001254DE" w:rsidRPr="00012C3F">
        <w:rPr>
          <w:sz w:val="20"/>
          <w:szCs w:val="20"/>
          <w:lang w:val="en-US"/>
        </w:rPr>
        <w:t>Article</w:t>
      </w:r>
      <w:r w:rsidR="00744CDD" w:rsidRPr="00012C3F">
        <w:rPr>
          <w:sz w:val="20"/>
          <w:szCs w:val="20"/>
          <w:lang w:val="en-US"/>
        </w:rPr>
        <w:t xml:space="preserve"> </w:t>
      </w:r>
      <w:r w:rsidR="005E5012" w:rsidRPr="00012C3F">
        <w:rPr>
          <w:sz w:val="20"/>
          <w:szCs w:val="20"/>
          <w:lang w:val="en-US"/>
        </w:rPr>
        <w:t>11(2)</w:t>
      </w:r>
      <w:r w:rsidR="001254DE" w:rsidRPr="00012C3F">
        <w:rPr>
          <w:sz w:val="20"/>
          <w:szCs w:val="20"/>
          <w:lang w:val="en-US"/>
        </w:rPr>
        <w:t xml:space="preserve"> of the American Convention</w:t>
      </w:r>
      <w:r w:rsidR="00744CDD" w:rsidRPr="00012C3F">
        <w:rPr>
          <w:sz w:val="20"/>
          <w:szCs w:val="20"/>
          <w:lang w:val="en-US"/>
        </w:rPr>
        <w:t xml:space="preserve"> </w:t>
      </w:r>
      <w:r w:rsidRPr="00012C3F">
        <w:rPr>
          <w:sz w:val="20"/>
          <w:szCs w:val="20"/>
          <w:lang w:val="en-US"/>
        </w:rPr>
        <w:t xml:space="preserve">is closely related to the right recognized in </w:t>
      </w:r>
      <w:r w:rsidR="001254DE" w:rsidRPr="00012C3F">
        <w:rPr>
          <w:sz w:val="20"/>
          <w:szCs w:val="20"/>
          <w:lang w:val="en-US"/>
        </w:rPr>
        <w:t>Article</w:t>
      </w:r>
      <w:r w:rsidR="00744CDD" w:rsidRPr="00012C3F">
        <w:rPr>
          <w:sz w:val="20"/>
          <w:szCs w:val="20"/>
          <w:lang w:val="en-US"/>
        </w:rPr>
        <w:t xml:space="preserve"> 17 </w:t>
      </w:r>
      <w:r w:rsidR="006C705C" w:rsidRPr="00012C3F">
        <w:rPr>
          <w:sz w:val="20"/>
          <w:szCs w:val="20"/>
          <w:lang w:val="en-US"/>
        </w:rPr>
        <w:t>of this instrument</w:t>
      </w:r>
      <w:r w:rsidRPr="00012C3F">
        <w:rPr>
          <w:sz w:val="20"/>
          <w:szCs w:val="20"/>
          <w:lang w:val="en-US"/>
        </w:rPr>
        <w:t>,</w:t>
      </w:r>
      <w:r w:rsidR="00744CDD" w:rsidRPr="00012C3F">
        <w:rPr>
          <w:sz w:val="20"/>
          <w:szCs w:val="20"/>
          <w:vertAlign w:val="superscript"/>
          <w:lang w:val="en-US"/>
        </w:rPr>
        <w:footnoteReference w:id="175"/>
      </w:r>
      <w:r w:rsidRPr="00012C3F">
        <w:rPr>
          <w:sz w:val="20"/>
          <w:szCs w:val="20"/>
          <w:lang w:val="en-US"/>
        </w:rPr>
        <w:t xml:space="preserve"> which recognizes the central role of the family and family life in the existence of the individual a</w:t>
      </w:r>
      <w:r w:rsidR="00E75AC0" w:rsidRPr="00012C3F">
        <w:rPr>
          <w:sz w:val="20"/>
          <w:szCs w:val="20"/>
          <w:lang w:val="en-US"/>
        </w:rPr>
        <w:t>nd in society in general.</w:t>
      </w:r>
      <w:r w:rsidR="00F733B6" w:rsidRPr="00012C3F">
        <w:rPr>
          <w:rStyle w:val="Refdenotaalpie"/>
          <w:sz w:val="20"/>
          <w:szCs w:val="20"/>
          <w:lang w:val="en-US"/>
        </w:rPr>
        <w:footnoteReference w:id="176"/>
      </w:r>
      <w:r w:rsidR="00744CDD" w:rsidRPr="00012C3F">
        <w:rPr>
          <w:sz w:val="20"/>
          <w:szCs w:val="20"/>
          <w:lang w:val="en-US"/>
        </w:rPr>
        <w:t xml:space="preserve"> </w:t>
      </w:r>
      <w:r w:rsidR="00E75AC0" w:rsidRPr="00012C3F">
        <w:rPr>
          <w:sz w:val="20"/>
          <w:szCs w:val="20"/>
          <w:lang w:val="en-US"/>
        </w:rPr>
        <w:t>I</w:t>
      </w:r>
      <w:r w:rsidR="00925FAA" w:rsidRPr="00012C3F">
        <w:rPr>
          <w:sz w:val="20"/>
          <w:szCs w:val="20"/>
          <w:lang w:val="en-US"/>
        </w:rPr>
        <w:t xml:space="preserve">n particular, </w:t>
      </w:r>
      <w:r w:rsidR="001254DE" w:rsidRPr="00012C3F">
        <w:rPr>
          <w:sz w:val="20"/>
          <w:szCs w:val="20"/>
          <w:lang w:val="en-US"/>
        </w:rPr>
        <w:t>Article</w:t>
      </w:r>
      <w:r w:rsidR="00744CDD" w:rsidRPr="00012C3F">
        <w:rPr>
          <w:sz w:val="20"/>
          <w:szCs w:val="20"/>
          <w:lang w:val="en-US"/>
        </w:rPr>
        <w:t xml:space="preserve"> </w:t>
      </w:r>
      <w:r w:rsidR="005E5012" w:rsidRPr="00012C3F">
        <w:rPr>
          <w:sz w:val="20"/>
          <w:szCs w:val="20"/>
          <w:lang w:val="en-US"/>
        </w:rPr>
        <w:t>17(2)</w:t>
      </w:r>
      <w:r w:rsidR="001254DE" w:rsidRPr="00012C3F">
        <w:rPr>
          <w:sz w:val="20"/>
          <w:szCs w:val="20"/>
          <w:lang w:val="en-US"/>
        </w:rPr>
        <w:t xml:space="preserve"> of the American Convention</w:t>
      </w:r>
      <w:r w:rsidR="00744CDD" w:rsidRPr="00012C3F">
        <w:rPr>
          <w:sz w:val="20"/>
          <w:szCs w:val="20"/>
          <w:lang w:val="en-US"/>
        </w:rPr>
        <w:t xml:space="preserve"> prote</w:t>
      </w:r>
      <w:r w:rsidR="00E75AC0" w:rsidRPr="00012C3F">
        <w:rPr>
          <w:sz w:val="20"/>
          <w:szCs w:val="20"/>
          <w:lang w:val="en-US"/>
        </w:rPr>
        <w:t xml:space="preserve">cts the right </w:t>
      </w:r>
      <w:r w:rsidRPr="00012C3F">
        <w:rPr>
          <w:sz w:val="20"/>
          <w:szCs w:val="20"/>
          <w:lang w:val="en-US"/>
        </w:rPr>
        <w:t xml:space="preserve">to </w:t>
      </w:r>
      <w:r w:rsidR="0081491F" w:rsidRPr="00012C3F">
        <w:rPr>
          <w:sz w:val="20"/>
          <w:szCs w:val="20"/>
          <w:lang w:val="en-US"/>
        </w:rPr>
        <w:t>raise a family</w:t>
      </w:r>
      <w:r w:rsidR="00744CDD" w:rsidRPr="00012C3F">
        <w:rPr>
          <w:sz w:val="20"/>
          <w:szCs w:val="20"/>
          <w:lang w:val="en-US"/>
        </w:rPr>
        <w:t xml:space="preserve">, </w:t>
      </w:r>
      <w:r w:rsidR="00E75AC0" w:rsidRPr="00012C3F">
        <w:rPr>
          <w:sz w:val="20"/>
          <w:szCs w:val="20"/>
          <w:lang w:val="en-US"/>
        </w:rPr>
        <w:t>which includes the possibility of procreation.</w:t>
      </w:r>
      <w:r w:rsidR="0068183F" w:rsidRPr="00012C3F">
        <w:rPr>
          <w:rStyle w:val="Refdenotaalpie"/>
          <w:sz w:val="20"/>
          <w:szCs w:val="20"/>
          <w:lang w:val="en-US"/>
        </w:rPr>
        <w:footnoteReference w:id="177"/>
      </w:r>
    </w:p>
    <w:p w14:paraId="427A8272" w14:textId="77777777" w:rsidR="00FA42D2" w:rsidRPr="00012C3F" w:rsidRDefault="00FA42D2" w:rsidP="00885672">
      <w:pPr>
        <w:tabs>
          <w:tab w:val="left" w:pos="720"/>
        </w:tabs>
        <w:spacing w:line="240" w:lineRule="auto"/>
        <w:rPr>
          <w:sz w:val="20"/>
          <w:szCs w:val="20"/>
          <w:lang w:val="en-US"/>
        </w:rPr>
      </w:pPr>
    </w:p>
    <w:p w14:paraId="70EB1BFD" w14:textId="77777777" w:rsidR="00AD41C1" w:rsidRPr="00012C3F" w:rsidRDefault="00E75AC0" w:rsidP="00E75AC0">
      <w:pPr>
        <w:numPr>
          <w:ilvl w:val="0"/>
          <w:numId w:val="5"/>
        </w:numPr>
        <w:tabs>
          <w:tab w:val="left" w:pos="720"/>
          <w:tab w:val="num" w:pos="12305"/>
        </w:tabs>
        <w:spacing w:line="240" w:lineRule="auto"/>
        <w:ind w:left="0" w:firstLine="0"/>
        <w:rPr>
          <w:sz w:val="20"/>
          <w:szCs w:val="20"/>
          <w:lang w:val="en-US"/>
        </w:rPr>
      </w:pPr>
      <w:r w:rsidRPr="00012C3F">
        <w:rPr>
          <w:bCs/>
          <w:sz w:val="20"/>
          <w:szCs w:val="20"/>
          <w:lang w:val="en-US"/>
        </w:rPr>
        <w:t>The</w:t>
      </w:r>
      <w:r w:rsidR="001254DE" w:rsidRPr="00012C3F">
        <w:rPr>
          <w:bCs/>
          <w:sz w:val="20"/>
          <w:szCs w:val="20"/>
          <w:lang w:val="en-US"/>
        </w:rPr>
        <w:t xml:space="preserve"> Court</w:t>
      </w:r>
      <w:r w:rsidR="00F733B6" w:rsidRPr="00012C3F">
        <w:rPr>
          <w:bCs/>
          <w:sz w:val="20"/>
          <w:szCs w:val="20"/>
          <w:lang w:val="en-US"/>
        </w:rPr>
        <w:t xml:space="preserve"> ha</w:t>
      </w:r>
      <w:r w:rsidRPr="00012C3F">
        <w:rPr>
          <w:bCs/>
          <w:sz w:val="20"/>
          <w:szCs w:val="20"/>
          <w:lang w:val="en-US"/>
        </w:rPr>
        <w:t xml:space="preserve">s also underlined the intrinsic connection between the rights to private life and </w:t>
      </w:r>
      <w:r w:rsidR="00F733B6" w:rsidRPr="00012C3F">
        <w:rPr>
          <w:bCs/>
          <w:sz w:val="20"/>
          <w:szCs w:val="20"/>
          <w:lang w:val="en-US"/>
        </w:rPr>
        <w:t xml:space="preserve"> </w:t>
      </w:r>
      <w:r w:rsidR="006C705C" w:rsidRPr="00012C3F">
        <w:rPr>
          <w:bCs/>
          <w:sz w:val="20"/>
          <w:szCs w:val="20"/>
          <w:lang w:val="en-US"/>
        </w:rPr>
        <w:t>to personal integrity</w:t>
      </w:r>
      <w:r w:rsidR="00F733B6" w:rsidRPr="00012C3F">
        <w:rPr>
          <w:bCs/>
          <w:sz w:val="20"/>
          <w:szCs w:val="20"/>
          <w:lang w:val="en-US"/>
        </w:rPr>
        <w:t xml:space="preserve"> </w:t>
      </w:r>
      <w:r w:rsidRPr="00012C3F">
        <w:rPr>
          <w:bCs/>
          <w:sz w:val="20"/>
          <w:szCs w:val="20"/>
          <w:lang w:val="en-US"/>
        </w:rPr>
        <w:t>and human health,</w:t>
      </w:r>
      <w:r w:rsidR="007173C5" w:rsidRPr="00012C3F">
        <w:rPr>
          <w:bCs/>
          <w:sz w:val="20"/>
          <w:szCs w:val="20"/>
          <w:vertAlign w:val="superscript"/>
          <w:lang w:val="en-US"/>
        </w:rPr>
        <w:footnoteReference w:id="178"/>
      </w:r>
      <w:r w:rsidR="005E5012" w:rsidRPr="00012C3F">
        <w:rPr>
          <w:bCs/>
          <w:sz w:val="20"/>
          <w:szCs w:val="20"/>
          <w:lang w:val="en-US"/>
        </w:rPr>
        <w:t xml:space="preserve"> and </w:t>
      </w:r>
      <w:r w:rsidRPr="00012C3F">
        <w:rPr>
          <w:bCs/>
          <w:sz w:val="20"/>
          <w:szCs w:val="20"/>
          <w:lang w:val="en-US"/>
        </w:rPr>
        <w:t xml:space="preserve">that the absence of adequate medical </w:t>
      </w:r>
      <w:r w:rsidR="00223B1E" w:rsidRPr="00012C3F">
        <w:rPr>
          <w:bCs/>
          <w:sz w:val="20"/>
          <w:szCs w:val="20"/>
          <w:lang w:val="en-US"/>
        </w:rPr>
        <w:t>care</w:t>
      </w:r>
      <w:r w:rsidRPr="00012C3F">
        <w:rPr>
          <w:bCs/>
          <w:sz w:val="20"/>
          <w:szCs w:val="20"/>
          <w:lang w:val="en-US"/>
        </w:rPr>
        <w:t xml:space="preserve"> may result in the violation </w:t>
      </w:r>
      <w:r w:rsidR="008A7A0F" w:rsidRPr="00012C3F">
        <w:rPr>
          <w:bCs/>
          <w:sz w:val="20"/>
          <w:szCs w:val="20"/>
          <w:lang w:val="en-US"/>
        </w:rPr>
        <w:t>of Article</w:t>
      </w:r>
      <w:r w:rsidR="0028036A" w:rsidRPr="00012C3F">
        <w:rPr>
          <w:bCs/>
          <w:sz w:val="20"/>
          <w:szCs w:val="20"/>
          <w:lang w:val="en-US"/>
        </w:rPr>
        <w:t xml:space="preserve"> </w:t>
      </w:r>
      <w:r w:rsidR="005E5012" w:rsidRPr="00012C3F">
        <w:rPr>
          <w:bCs/>
          <w:sz w:val="20"/>
          <w:szCs w:val="20"/>
          <w:lang w:val="en-US"/>
        </w:rPr>
        <w:t>5(1)</w:t>
      </w:r>
      <w:r w:rsidR="001254DE" w:rsidRPr="00012C3F">
        <w:rPr>
          <w:bCs/>
          <w:sz w:val="20"/>
          <w:szCs w:val="20"/>
          <w:lang w:val="en-US"/>
        </w:rPr>
        <w:t xml:space="preserve"> of the Convention</w:t>
      </w:r>
      <w:r w:rsidRPr="00012C3F">
        <w:rPr>
          <w:bCs/>
          <w:sz w:val="20"/>
          <w:szCs w:val="20"/>
          <w:lang w:val="en-US"/>
        </w:rPr>
        <w:t>.</w:t>
      </w:r>
      <w:r w:rsidR="0028036A" w:rsidRPr="00012C3F">
        <w:rPr>
          <w:bCs/>
          <w:sz w:val="20"/>
          <w:szCs w:val="20"/>
          <w:vertAlign w:val="superscript"/>
          <w:lang w:val="en-US"/>
        </w:rPr>
        <w:footnoteReference w:id="179"/>
      </w:r>
      <w:r w:rsidR="0028036A" w:rsidRPr="00012C3F">
        <w:rPr>
          <w:bCs/>
          <w:sz w:val="20"/>
          <w:szCs w:val="20"/>
          <w:lang w:val="en-US"/>
        </w:rPr>
        <w:t xml:space="preserve"> </w:t>
      </w:r>
      <w:r w:rsidR="001254DE" w:rsidRPr="00012C3F">
        <w:rPr>
          <w:bCs/>
          <w:sz w:val="20"/>
          <w:szCs w:val="20"/>
          <w:lang w:val="en-US"/>
        </w:rPr>
        <w:t>The Court</w:t>
      </w:r>
      <w:r w:rsidR="004155AB" w:rsidRPr="00012C3F">
        <w:rPr>
          <w:bCs/>
          <w:sz w:val="20"/>
          <w:szCs w:val="20"/>
          <w:lang w:val="en-US"/>
        </w:rPr>
        <w:t xml:space="preserve"> ha</w:t>
      </w:r>
      <w:r w:rsidRPr="00012C3F">
        <w:rPr>
          <w:bCs/>
          <w:sz w:val="20"/>
          <w:szCs w:val="20"/>
          <w:lang w:val="en-US"/>
        </w:rPr>
        <w:t xml:space="preserve">s established that, in order to comply with the obligation to guarantee the right to personal integrity in the area of health care, States must create an appropriate legal framework that regulates the provision of health services, establishing quality standards for public and private institutions, which prevent any risk of violating personal integrity when providing such services. In addition, the State must establish official State mechanisms to supervise and monitor health care institutions, and procedures for the administrative and </w:t>
      </w:r>
      <w:r w:rsidR="00223B1E" w:rsidRPr="00012C3F">
        <w:rPr>
          <w:bCs/>
          <w:sz w:val="20"/>
          <w:szCs w:val="20"/>
          <w:lang w:val="en-US"/>
        </w:rPr>
        <w:t>leg</w:t>
      </w:r>
      <w:r w:rsidRPr="00012C3F">
        <w:rPr>
          <w:bCs/>
          <w:sz w:val="20"/>
          <w:szCs w:val="20"/>
          <w:lang w:val="en-US"/>
        </w:rPr>
        <w:t>al protection of victims, the effectiveness of which will, ultimately, depend on how they are implemented by the corresponding administrative body.</w:t>
      </w:r>
      <w:r w:rsidR="004155AB" w:rsidRPr="00012C3F">
        <w:rPr>
          <w:bCs/>
          <w:sz w:val="20"/>
          <w:szCs w:val="20"/>
          <w:vertAlign w:val="superscript"/>
          <w:lang w:val="en-US"/>
        </w:rPr>
        <w:footnoteReference w:id="180"/>
      </w:r>
    </w:p>
    <w:p w14:paraId="069DB6A5" w14:textId="77777777" w:rsidR="00122A38" w:rsidRPr="00012C3F" w:rsidRDefault="00122A38" w:rsidP="00E75AC0">
      <w:pPr>
        <w:spacing w:line="240" w:lineRule="auto"/>
        <w:rPr>
          <w:sz w:val="20"/>
          <w:szCs w:val="20"/>
          <w:lang w:val="en-US"/>
        </w:rPr>
      </w:pPr>
    </w:p>
    <w:p w14:paraId="6B74839F" w14:textId="77777777" w:rsidR="00AD41C1" w:rsidRPr="00012C3F" w:rsidRDefault="00E2323D" w:rsidP="00E2323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Health</w:t>
      </w:r>
      <w:r w:rsidR="00A740DF" w:rsidRPr="00012C3F">
        <w:rPr>
          <w:sz w:val="20"/>
          <w:szCs w:val="20"/>
          <w:lang w:val="en-US"/>
        </w:rPr>
        <w:t xml:space="preserve">, </w:t>
      </w:r>
      <w:r w:rsidRPr="00012C3F">
        <w:rPr>
          <w:sz w:val="20"/>
          <w:szCs w:val="20"/>
          <w:lang w:val="en-US"/>
        </w:rPr>
        <w:t>as an integral part of the right</w:t>
      </w:r>
      <w:r w:rsidR="00A740DF" w:rsidRPr="00012C3F">
        <w:rPr>
          <w:sz w:val="20"/>
          <w:szCs w:val="20"/>
          <w:lang w:val="en-US"/>
        </w:rPr>
        <w:t xml:space="preserve"> </w:t>
      </w:r>
      <w:r w:rsidR="006C705C" w:rsidRPr="00012C3F">
        <w:rPr>
          <w:sz w:val="20"/>
          <w:szCs w:val="20"/>
          <w:lang w:val="en-US"/>
        </w:rPr>
        <w:t>to personal integrity</w:t>
      </w:r>
      <w:r w:rsidR="00A740DF" w:rsidRPr="00012C3F">
        <w:rPr>
          <w:sz w:val="20"/>
          <w:szCs w:val="20"/>
          <w:lang w:val="en-US"/>
        </w:rPr>
        <w:t>,</w:t>
      </w:r>
      <w:r w:rsidR="00122A38" w:rsidRPr="00012C3F">
        <w:rPr>
          <w:sz w:val="20"/>
          <w:szCs w:val="20"/>
          <w:lang w:val="en-US"/>
        </w:rPr>
        <w:t xml:space="preserve"> </w:t>
      </w:r>
      <w:r w:rsidRPr="00012C3F">
        <w:rPr>
          <w:sz w:val="20"/>
          <w:szCs w:val="20"/>
          <w:lang w:val="en-US"/>
        </w:rPr>
        <w:t xml:space="preserve">encompasses not only access to health care services under which everyone </w:t>
      </w:r>
      <w:r w:rsidR="00223B1E" w:rsidRPr="00012C3F">
        <w:rPr>
          <w:sz w:val="20"/>
          <w:szCs w:val="20"/>
          <w:lang w:val="en-US"/>
        </w:rPr>
        <w:t>has an</w:t>
      </w:r>
      <w:r w:rsidRPr="00012C3F">
        <w:rPr>
          <w:sz w:val="20"/>
          <w:szCs w:val="20"/>
          <w:lang w:val="en-US"/>
        </w:rPr>
        <w:t xml:space="preserve"> equal opportunit</w:t>
      </w:r>
      <w:r w:rsidR="00223B1E" w:rsidRPr="00012C3F">
        <w:rPr>
          <w:sz w:val="20"/>
          <w:szCs w:val="20"/>
          <w:lang w:val="en-US"/>
        </w:rPr>
        <w:t>y</w:t>
      </w:r>
      <w:r w:rsidRPr="00012C3F">
        <w:rPr>
          <w:sz w:val="20"/>
          <w:szCs w:val="20"/>
          <w:lang w:val="en-US"/>
        </w:rPr>
        <w:t xml:space="preserve"> to enjoy the highest </w:t>
      </w:r>
      <w:r w:rsidR="00150C5B" w:rsidRPr="00012C3F">
        <w:rPr>
          <w:sz w:val="20"/>
          <w:szCs w:val="20"/>
          <w:lang w:val="en-US"/>
        </w:rPr>
        <w:t xml:space="preserve">attainable </w:t>
      </w:r>
      <w:r w:rsidRPr="00012C3F">
        <w:rPr>
          <w:sz w:val="20"/>
          <w:szCs w:val="20"/>
          <w:lang w:val="en-US"/>
        </w:rPr>
        <w:t xml:space="preserve">level of health, but also the freedom of each individual to control his </w:t>
      </w:r>
      <w:r w:rsidR="00150C5B" w:rsidRPr="00012C3F">
        <w:rPr>
          <w:sz w:val="20"/>
          <w:szCs w:val="20"/>
          <w:lang w:val="en-US"/>
        </w:rPr>
        <w:t xml:space="preserve">or her </w:t>
      </w:r>
      <w:r w:rsidRPr="00012C3F">
        <w:rPr>
          <w:sz w:val="20"/>
          <w:szCs w:val="20"/>
          <w:lang w:val="en-US"/>
        </w:rPr>
        <w:t xml:space="preserve">own health and body, and the right </w:t>
      </w:r>
      <w:r w:rsidR="00150C5B" w:rsidRPr="00012C3F">
        <w:rPr>
          <w:sz w:val="20"/>
          <w:szCs w:val="20"/>
          <w:lang w:val="en-US"/>
        </w:rPr>
        <w:t>to be free from</w:t>
      </w:r>
      <w:r w:rsidRPr="00012C3F">
        <w:rPr>
          <w:sz w:val="20"/>
          <w:szCs w:val="20"/>
          <w:lang w:val="en-US"/>
        </w:rPr>
        <w:t xml:space="preserve"> interference, such as </w:t>
      </w:r>
      <w:r w:rsidR="00150C5B" w:rsidRPr="00012C3F">
        <w:rPr>
          <w:sz w:val="20"/>
          <w:szCs w:val="20"/>
          <w:lang w:val="en-US"/>
        </w:rPr>
        <w:t>the right to be free from</w:t>
      </w:r>
      <w:r w:rsidRPr="00012C3F">
        <w:rPr>
          <w:sz w:val="20"/>
          <w:szCs w:val="20"/>
          <w:lang w:val="en-US"/>
        </w:rPr>
        <w:t xml:space="preserve"> torture</w:t>
      </w:r>
      <w:r w:rsidR="00150C5B" w:rsidRPr="00012C3F">
        <w:rPr>
          <w:sz w:val="20"/>
          <w:szCs w:val="20"/>
          <w:lang w:val="en-US"/>
        </w:rPr>
        <w:t>,</w:t>
      </w:r>
      <w:r w:rsidRPr="00012C3F">
        <w:rPr>
          <w:sz w:val="20"/>
          <w:szCs w:val="20"/>
          <w:lang w:val="en-US"/>
        </w:rPr>
        <w:t xml:space="preserve"> non-consensual medical</w:t>
      </w:r>
      <w:r w:rsidR="00150C5B" w:rsidRPr="00012C3F">
        <w:rPr>
          <w:sz w:val="20"/>
          <w:szCs w:val="20"/>
          <w:lang w:val="en-US"/>
        </w:rPr>
        <w:t xml:space="preserve"> treatment and</w:t>
      </w:r>
      <w:r w:rsidRPr="00012C3F">
        <w:rPr>
          <w:sz w:val="20"/>
          <w:szCs w:val="20"/>
          <w:lang w:val="en-US"/>
        </w:rPr>
        <w:t xml:space="preserve"> experimen</w:t>
      </w:r>
      <w:r w:rsidR="00150C5B" w:rsidRPr="00012C3F">
        <w:rPr>
          <w:sz w:val="20"/>
          <w:szCs w:val="20"/>
          <w:lang w:val="en-US"/>
        </w:rPr>
        <w:t>tation</w:t>
      </w:r>
      <w:r w:rsidRPr="00012C3F">
        <w:rPr>
          <w:sz w:val="20"/>
          <w:szCs w:val="20"/>
          <w:lang w:val="en-US"/>
        </w:rPr>
        <w:t>.</w:t>
      </w:r>
      <w:r w:rsidR="00122A38" w:rsidRPr="00012C3F">
        <w:rPr>
          <w:rStyle w:val="Refdenotaalpie"/>
          <w:sz w:val="20"/>
          <w:szCs w:val="20"/>
          <w:lang w:val="en-US"/>
        </w:rPr>
        <w:footnoteReference w:id="181"/>
      </w:r>
      <w:r w:rsidRPr="00012C3F">
        <w:rPr>
          <w:sz w:val="20"/>
          <w:szCs w:val="20"/>
          <w:lang w:val="en-US"/>
        </w:rPr>
        <w:t xml:space="preserve"> Thus, the existence of a connection between physical and mental integrity and personal autonomy and the liberty to take decisions regarding one’s own body and health requires, on the one hand, that the State ensure and respect decisions and choices that have been made freely and responsibly and, on the other, that access to the relevant information is guaranteed so that individuals are in a position to take informed decisions on the course of action with regard to their body and health based on their personal life project. In the area of health, </w:t>
      </w:r>
      <w:r w:rsidR="00223B1E" w:rsidRPr="00012C3F">
        <w:rPr>
          <w:sz w:val="20"/>
          <w:szCs w:val="20"/>
          <w:lang w:val="en-US"/>
        </w:rPr>
        <w:t>opportune</w:t>
      </w:r>
      <w:r w:rsidRPr="00012C3F">
        <w:rPr>
          <w:sz w:val="20"/>
          <w:szCs w:val="20"/>
          <w:lang w:val="en-US"/>
        </w:rPr>
        <w:t xml:space="preserve">, complete, comprehensible and reliable information should be provided, </w:t>
      </w:r>
      <w:r w:rsidRPr="00012C3F">
        <w:rPr>
          <w:i/>
          <w:iCs/>
          <w:sz w:val="20"/>
          <w:szCs w:val="20"/>
          <w:lang w:val="en-US"/>
        </w:rPr>
        <w:t>ex officio</w:t>
      </w:r>
      <w:r w:rsidRPr="00012C3F">
        <w:rPr>
          <w:sz w:val="20"/>
          <w:szCs w:val="20"/>
          <w:lang w:val="en-US"/>
        </w:rPr>
        <w:t xml:space="preserve">, because this is essential for decision-making in </w:t>
      </w:r>
      <w:r w:rsidR="00223B1E" w:rsidRPr="00012C3F">
        <w:rPr>
          <w:sz w:val="20"/>
          <w:szCs w:val="20"/>
          <w:lang w:val="en-US"/>
        </w:rPr>
        <w:t>this</w:t>
      </w:r>
      <w:r w:rsidRPr="00012C3F">
        <w:rPr>
          <w:sz w:val="20"/>
          <w:szCs w:val="20"/>
          <w:lang w:val="en-US"/>
        </w:rPr>
        <w:t xml:space="preserve"> area.</w:t>
      </w:r>
      <w:r w:rsidR="00591941" w:rsidRPr="00012C3F">
        <w:rPr>
          <w:sz w:val="20"/>
          <w:szCs w:val="20"/>
          <w:vertAlign w:val="superscript"/>
          <w:lang w:val="en-US"/>
        </w:rPr>
        <w:footnoteReference w:id="182"/>
      </w:r>
    </w:p>
    <w:p w14:paraId="6FEA66FE" w14:textId="77777777" w:rsidR="005E18C4" w:rsidRPr="00012C3F" w:rsidRDefault="005E18C4" w:rsidP="00E75AC0">
      <w:pPr>
        <w:tabs>
          <w:tab w:val="left" w:pos="720"/>
        </w:tabs>
        <w:spacing w:line="240" w:lineRule="auto"/>
        <w:rPr>
          <w:sz w:val="20"/>
          <w:szCs w:val="20"/>
          <w:lang w:val="en-US"/>
        </w:rPr>
      </w:pPr>
      <w:bookmarkStart w:id="133" w:name="_Ref319669930"/>
    </w:p>
    <w:p w14:paraId="0E7DFE69" w14:textId="77777777" w:rsidR="005E18C4" w:rsidRPr="00012C3F" w:rsidRDefault="00E2323D" w:rsidP="000C7F5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In this regard, and as this Court has recognized, Article </w:t>
      </w:r>
      <w:r w:rsidR="005E18C4" w:rsidRPr="00012C3F">
        <w:rPr>
          <w:sz w:val="20"/>
          <w:szCs w:val="20"/>
          <w:lang w:val="en-US"/>
        </w:rPr>
        <w:t>13</w:t>
      </w:r>
      <w:r w:rsidR="001254DE" w:rsidRPr="00012C3F">
        <w:rPr>
          <w:sz w:val="20"/>
          <w:szCs w:val="20"/>
          <w:lang w:val="en-US"/>
        </w:rPr>
        <w:t xml:space="preserve"> of the American Convention</w:t>
      </w:r>
      <w:r w:rsidR="005E18C4" w:rsidRPr="00012C3F">
        <w:rPr>
          <w:sz w:val="20"/>
          <w:szCs w:val="20"/>
          <w:lang w:val="en-US"/>
        </w:rPr>
        <w:t xml:space="preserve"> inclu</w:t>
      </w:r>
      <w:r w:rsidRPr="00012C3F">
        <w:rPr>
          <w:sz w:val="20"/>
          <w:szCs w:val="20"/>
          <w:lang w:val="en-US"/>
        </w:rPr>
        <w:t>des the right to seek, receive and impart information and ideas of all kinds,</w:t>
      </w:r>
      <w:r w:rsidR="005E18C4" w:rsidRPr="00012C3F">
        <w:rPr>
          <w:sz w:val="20"/>
          <w:szCs w:val="20"/>
          <w:vertAlign w:val="superscript"/>
          <w:lang w:val="en-US"/>
        </w:rPr>
        <w:footnoteReference w:id="183"/>
      </w:r>
      <w:r w:rsidRPr="00012C3F">
        <w:rPr>
          <w:sz w:val="20"/>
          <w:szCs w:val="20"/>
          <w:lang w:val="en-US"/>
        </w:rPr>
        <w:t xml:space="preserve"> which protects the right </w:t>
      </w:r>
      <w:r w:rsidR="006C705C" w:rsidRPr="00012C3F">
        <w:rPr>
          <w:sz w:val="20"/>
          <w:szCs w:val="20"/>
          <w:lang w:val="en-US"/>
        </w:rPr>
        <w:t>of access to information</w:t>
      </w:r>
      <w:r w:rsidR="005E18C4" w:rsidRPr="00012C3F">
        <w:rPr>
          <w:sz w:val="20"/>
          <w:szCs w:val="20"/>
          <w:lang w:val="en-US"/>
        </w:rPr>
        <w:t>, inclu</w:t>
      </w:r>
      <w:r w:rsidRPr="00012C3F">
        <w:rPr>
          <w:sz w:val="20"/>
          <w:szCs w:val="20"/>
          <w:lang w:val="en-US"/>
        </w:rPr>
        <w:t xml:space="preserve">ding </w:t>
      </w:r>
      <w:r w:rsidR="000C7F5C" w:rsidRPr="00012C3F">
        <w:rPr>
          <w:sz w:val="20"/>
          <w:szCs w:val="20"/>
          <w:lang w:val="en-US"/>
        </w:rPr>
        <w:t xml:space="preserve">personal </w:t>
      </w:r>
      <w:r w:rsidRPr="00012C3F">
        <w:rPr>
          <w:sz w:val="20"/>
          <w:szCs w:val="20"/>
          <w:lang w:val="en-US"/>
        </w:rPr>
        <w:t>health-related information.</w:t>
      </w:r>
      <w:r w:rsidR="005E18C4" w:rsidRPr="00012C3F">
        <w:rPr>
          <w:sz w:val="20"/>
          <w:szCs w:val="20"/>
          <w:vertAlign w:val="superscript"/>
          <w:lang w:val="en-US"/>
        </w:rPr>
        <w:footnoteReference w:id="184"/>
      </w:r>
      <w:r w:rsidR="005E18C4" w:rsidRPr="00012C3F">
        <w:rPr>
          <w:sz w:val="20"/>
          <w:szCs w:val="20"/>
          <w:lang w:val="en-US"/>
        </w:rPr>
        <w:t xml:space="preserve"> </w:t>
      </w:r>
      <w:r w:rsidR="000C7F5C" w:rsidRPr="00012C3F">
        <w:rPr>
          <w:sz w:val="20"/>
          <w:szCs w:val="20"/>
          <w:lang w:val="en-US"/>
        </w:rPr>
        <w:t>The right of everyone to obtain information is supplemented by a correlative positive obligation of the State to provide this information, so that the individual may have access to receive and assess it.</w:t>
      </w:r>
      <w:r w:rsidR="005E18C4" w:rsidRPr="00012C3F">
        <w:rPr>
          <w:sz w:val="20"/>
          <w:szCs w:val="20"/>
          <w:vertAlign w:val="superscript"/>
          <w:lang w:val="en-US"/>
        </w:rPr>
        <w:footnoteReference w:id="185"/>
      </w:r>
      <w:r w:rsidR="000C7F5C" w:rsidRPr="00012C3F">
        <w:rPr>
          <w:sz w:val="20"/>
          <w:szCs w:val="20"/>
          <w:lang w:val="en-US"/>
        </w:rPr>
        <w:t xml:space="preserve"> In this regard, health personnel should not wait for </w:t>
      </w:r>
      <w:r w:rsidR="00D112BF" w:rsidRPr="00012C3F">
        <w:rPr>
          <w:sz w:val="20"/>
          <w:szCs w:val="20"/>
          <w:lang w:val="en-US"/>
        </w:rPr>
        <w:t>a</w:t>
      </w:r>
      <w:r w:rsidR="000C7F5C" w:rsidRPr="00012C3F">
        <w:rPr>
          <w:sz w:val="20"/>
          <w:szCs w:val="20"/>
          <w:lang w:val="en-US"/>
        </w:rPr>
        <w:t xml:space="preserve"> patient to request information or ask question about their health for the information to be given. The obligation of the State to provide information </w:t>
      </w:r>
      <w:r w:rsidR="000C7F5C" w:rsidRPr="00012C3F">
        <w:rPr>
          <w:i/>
          <w:iCs/>
          <w:sz w:val="20"/>
          <w:szCs w:val="20"/>
          <w:lang w:val="en-US"/>
        </w:rPr>
        <w:t>ex officio</w:t>
      </w:r>
      <w:r w:rsidR="000C7F5C" w:rsidRPr="00012C3F">
        <w:rPr>
          <w:sz w:val="20"/>
          <w:szCs w:val="20"/>
          <w:lang w:val="en-US"/>
        </w:rPr>
        <w:t xml:space="preserve">, known as “active transparency obligation,” imposes on States the duty to provide the necessary information for individuals to be able to exercise other rights, which is particularly relevant in the area of health care, because this contributes to the accessibility of the health services and to enabling individuals to take free, full, well-informed decisions. Consequently, the right of access to information has an instrumental nature to achieve the satisfaction of other rights under </w:t>
      </w:r>
      <w:r w:rsidR="001254DE" w:rsidRPr="00012C3F">
        <w:rPr>
          <w:sz w:val="20"/>
          <w:szCs w:val="20"/>
          <w:lang w:val="en-US"/>
        </w:rPr>
        <w:t>the Convention</w:t>
      </w:r>
      <w:r w:rsidR="000C7F5C" w:rsidRPr="00012C3F">
        <w:rPr>
          <w:sz w:val="20"/>
          <w:szCs w:val="20"/>
          <w:lang w:val="en-US"/>
        </w:rPr>
        <w:t>.</w:t>
      </w:r>
      <w:r w:rsidR="005E18C4" w:rsidRPr="00012C3F">
        <w:rPr>
          <w:rStyle w:val="Refdenotaalpie"/>
          <w:sz w:val="20"/>
          <w:szCs w:val="20"/>
          <w:lang w:val="en-US"/>
        </w:rPr>
        <w:footnoteReference w:id="186"/>
      </w:r>
    </w:p>
    <w:p w14:paraId="1295B76C" w14:textId="77777777" w:rsidR="009A0060" w:rsidRPr="00012C3F" w:rsidRDefault="009A0060" w:rsidP="00E75AC0">
      <w:pPr>
        <w:tabs>
          <w:tab w:val="left" w:pos="720"/>
        </w:tabs>
        <w:spacing w:line="240" w:lineRule="auto"/>
        <w:rPr>
          <w:sz w:val="20"/>
          <w:szCs w:val="20"/>
          <w:lang w:val="en-US"/>
        </w:rPr>
      </w:pPr>
    </w:p>
    <w:p w14:paraId="14AA6355" w14:textId="77777777" w:rsidR="009A0060" w:rsidRPr="00012C3F" w:rsidRDefault="00150C5B" w:rsidP="00150C5B">
      <w:pPr>
        <w:numPr>
          <w:ilvl w:val="0"/>
          <w:numId w:val="5"/>
        </w:numPr>
        <w:tabs>
          <w:tab w:val="left" w:pos="720"/>
          <w:tab w:val="num" w:pos="12305"/>
        </w:tabs>
        <w:spacing w:line="240" w:lineRule="auto"/>
        <w:ind w:left="0" w:firstLine="0"/>
        <w:rPr>
          <w:sz w:val="20"/>
          <w:szCs w:val="20"/>
          <w:lang w:val="en-US"/>
        </w:rPr>
      </w:pPr>
      <w:r w:rsidRPr="00012C3F">
        <w:rPr>
          <w:bCs/>
          <w:sz w:val="20"/>
          <w:szCs w:val="20"/>
          <w:lang w:val="en-US"/>
        </w:rPr>
        <w:t>It is evident that s</w:t>
      </w:r>
      <w:r w:rsidR="00A54991" w:rsidRPr="00012C3F">
        <w:rPr>
          <w:bCs/>
          <w:sz w:val="20"/>
          <w:szCs w:val="20"/>
          <w:lang w:val="en-US"/>
        </w:rPr>
        <w:t>exual and reproductive health</w:t>
      </w:r>
      <w:r w:rsidR="009A0060" w:rsidRPr="00012C3F">
        <w:rPr>
          <w:rStyle w:val="Refdenotaalpie"/>
          <w:bCs/>
          <w:sz w:val="20"/>
          <w:szCs w:val="20"/>
          <w:lang w:val="en-US"/>
        </w:rPr>
        <w:footnoteReference w:id="187"/>
      </w:r>
      <w:r w:rsidR="009A0060" w:rsidRPr="00012C3F">
        <w:rPr>
          <w:bCs/>
          <w:sz w:val="20"/>
          <w:szCs w:val="20"/>
          <w:lang w:val="en-US"/>
        </w:rPr>
        <w:t xml:space="preserve"> </w:t>
      </w:r>
      <w:r w:rsidRPr="00012C3F">
        <w:rPr>
          <w:bCs/>
          <w:sz w:val="20"/>
          <w:szCs w:val="20"/>
          <w:lang w:val="en-US"/>
        </w:rPr>
        <w:t xml:space="preserve">is an </w:t>
      </w:r>
      <w:r w:rsidR="009D3EE9" w:rsidRPr="00012C3F">
        <w:rPr>
          <w:bCs/>
          <w:sz w:val="20"/>
          <w:szCs w:val="20"/>
          <w:lang w:val="en-US"/>
        </w:rPr>
        <w:t>expression</w:t>
      </w:r>
      <w:r w:rsidRPr="00012C3F">
        <w:rPr>
          <w:bCs/>
          <w:sz w:val="20"/>
          <w:szCs w:val="20"/>
          <w:lang w:val="en-US"/>
        </w:rPr>
        <w:t xml:space="preserve"> of health that has </w:t>
      </w:r>
      <w:r w:rsidRPr="00012C3F">
        <w:rPr>
          <w:bCs/>
          <w:sz w:val="20"/>
          <w:szCs w:val="20"/>
          <w:lang w:val="en-US"/>
        </w:rPr>
        <w:lastRenderedPageBreak/>
        <w:t xml:space="preserve">special implications for women owing to their biological capacity to conceive and give birth. On the one hand, it is related to reproductive </w:t>
      </w:r>
      <w:r w:rsidR="00D112BF" w:rsidRPr="00012C3F">
        <w:rPr>
          <w:bCs/>
          <w:sz w:val="20"/>
          <w:szCs w:val="20"/>
          <w:lang w:val="en-US"/>
        </w:rPr>
        <w:t>freedom</w:t>
      </w:r>
      <w:r w:rsidRPr="00012C3F">
        <w:rPr>
          <w:bCs/>
          <w:sz w:val="20"/>
          <w:szCs w:val="20"/>
          <w:lang w:val="en-US"/>
        </w:rPr>
        <w:t xml:space="preserve"> and autonomy </w:t>
      </w:r>
      <w:r w:rsidR="00D112BF" w:rsidRPr="00012C3F">
        <w:rPr>
          <w:bCs/>
          <w:sz w:val="20"/>
          <w:szCs w:val="20"/>
          <w:lang w:val="en-US"/>
        </w:rPr>
        <w:t>with regard</w:t>
      </w:r>
      <w:r w:rsidRPr="00012C3F">
        <w:rPr>
          <w:bCs/>
          <w:sz w:val="20"/>
          <w:szCs w:val="20"/>
          <w:lang w:val="en-US"/>
        </w:rPr>
        <w:t xml:space="preserve"> to the right to take autonomous decisions, </w:t>
      </w:r>
      <w:r w:rsidR="00836B72" w:rsidRPr="00012C3F">
        <w:rPr>
          <w:bCs/>
          <w:sz w:val="20"/>
          <w:szCs w:val="20"/>
          <w:lang w:val="en-US"/>
        </w:rPr>
        <w:t>free from violence</w:t>
      </w:r>
      <w:r w:rsidRPr="00012C3F">
        <w:rPr>
          <w:bCs/>
          <w:sz w:val="20"/>
          <w:szCs w:val="20"/>
          <w:lang w:val="en-US"/>
        </w:rPr>
        <w:t>, coercion and discrimination</w:t>
      </w:r>
      <w:r w:rsidR="00D112BF" w:rsidRPr="00012C3F">
        <w:rPr>
          <w:bCs/>
          <w:sz w:val="20"/>
          <w:szCs w:val="20"/>
          <w:lang w:val="en-US"/>
        </w:rPr>
        <w:t>,</w:t>
      </w:r>
      <w:r w:rsidR="00B745B4" w:rsidRPr="00012C3F">
        <w:rPr>
          <w:bCs/>
          <w:sz w:val="20"/>
          <w:szCs w:val="20"/>
          <w:lang w:val="en-US"/>
        </w:rPr>
        <w:t xml:space="preserve"> </w:t>
      </w:r>
      <w:r w:rsidR="00D112BF" w:rsidRPr="00012C3F">
        <w:rPr>
          <w:bCs/>
          <w:sz w:val="20"/>
          <w:szCs w:val="20"/>
          <w:lang w:val="en-US"/>
        </w:rPr>
        <w:t>concerning</w:t>
      </w:r>
      <w:r w:rsidR="00B745B4" w:rsidRPr="00012C3F">
        <w:rPr>
          <w:bCs/>
          <w:sz w:val="20"/>
          <w:szCs w:val="20"/>
          <w:lang w:val="en-US"/>
        </w:rPr>
        <w:t xml:space="preserve"> one’s life project, body, and sexual and reproductive health</w:t>
      </w:r>
      <w:r w:rsidRPr="00012C3F">
        <w:rPr>
          <w:bCs/>
          <w:sz w:val="20"/>
          <w:szCs w:val="20"/>
          <w:lang w:val="en-US"/>
        </w:rPr>
        <w:t>.</w:t>
      </w:r>
      <w:r w:rsidR="009A0060" w:rsidRPr="00012C3F">
        <w:rPr>
          <w:rStyle w:val="Refdenotaalpie"/>
          <w:rFonts w:eastAsia="MS ????"/>
          <w:sz w:val="20"/>
          <w:szCs w:val="20"/>
          <w:lang w:val="en-US"/>
        </w:rPr>
        <w:footnoteReference w:id="188"/>
      </w:r>
      <w:r w:rsidRPr="00012C3F">
        <w:rPr>
          <w:sz w:val="20"/>
          <w:szCs w:val="20"/>
          <w:lang w:val="en-US"/>
        </w:rPr>
        <w:t xml:space="preserve"> On the other hand, it refers to both reproductive health services and information, education and the means that allow the exercise of the right to decide freely and responsibly on the number of children desired and the spacing between births.</w:t>
      </w:r>
      <w:r w:rsidR="008D6DBF" w:rsidRPr="00012C3F">
        <w:rPr>
          <w:rStyle w:val="Refdenotaalpie"/>
          <w:rFonts w:eastAsia="MS ????"/>
          <w:sz w:val="20"/>
          <w:szCs w:val="20"/>
          <w:lang w:val="en-US"/>
        </w:rPr>
        <w:footnoteReference w:id="189"/>
      </w:r>
      <w:r w:rsidR="007334E5" w:rsidRPr="00012C3F">
        <w:rPr>
          <w:sz w:val="20"/>
          <w:szCs w:val="20"/>
          <w:lang w:val="en-US"/>
        </w:rPr>
        <w:t xml:space="preserve"> </w:t>
      </w:r>
      <w:r w:rsidR="001254DE" w:rsidRPr="00012C3F">
        <w:rPr>
          <w:sz w:val="20"/>
          <w:szCs w:val="20"/>
          <w:lang w:val="en-US"/>
        </w:rPr>
        <w:t>The Court</w:t>
      </w:r>
      <w:r w:rsidR="007334E5" w:rsidRPr="00012C3F">
        <w:rPr>
          <w:bCs/>
          <w:sz w:val="20"/>
          <w:szCs w:val="20"/>
          <w:lang w:val="en-US"/>
        </w:rPr>
        <w:t xml:space="preserve"> ha</w:t>
      </w:r>
      <w:r w:rsidRPr="00012C3F">
        <w:rPr>
          <w:bCs/>
          <w:sz w:val="20"/>
          <w:szCs w:val="20"/>
          <w:lang w:val="en-US"/>
        </w:rPr>
        <w:t xml:space="preserve">s considered that “the lack of legal safeguards to take into consideration reproductive health may result in a serious impairment of reproductive </w:t>
      </w:r>
      <w:r w:rsidR="00CD065A" w:rsidRPr="00012C3F">
        <w:rPr>
          <w:bCs/>
          <w:sz w:val="20"/>
          <w:szCs w:val="20"/>
          <w:lang w:val="en-US"/>
        </w:rPr>
        <w:t xml:space="preserve">freedom </w:t>
      </w:r>
      <w:r w:rsidRPr="00012C3F">
        <w:rPr>
          <w:bCs/>
          <w:sz w:val="20"/>
          <w:szCs w:val="20"/>
          <w:lang w:val="en-US"/>
        </w:rPr>
        <w:t>and autonomy.</w:t>
      </w:r>
      <w:r w:rsidR="00B524B7" w:rsidRPr="00012C3F">
        <w:rPr>
          <w:sz w:val="20"/>
          <w:szCs w:val="20"/>
          <w:lang w:val="en-US"/>
        </w:rPr>
        <w:t>”</w:t>
      </w:r>
      <w:r w:rsidR="007334E5" w:rsidRPr="00012C3F">
        <w:rPr>
          <w:rStyle w:val="Refdenotaalpie"/>
          <w:sz w:val="20"/>
          <w:szCs w:val="20"/>
          <w:lang w:val="en-US"/>
        </w:rPr>
        <w:footnoteReference w:id="190"/>
      </w:r>
    </w:p>
    <w:p w14:paraId="67B17716" w14:textId="77777777" w:rsidR="009A0060" w:rsidRPr="00012C3F" w:rsidRDefault="009A0060" w:rsidP="009A0060">
      <w:pPr>
        <w:tabs>
          <w:tab w:val="left" w:pos="567"/>
        </w:tabs>
        <w:spacing w:line="240" w:lineRule="auto"/>
        <w:rPr>
          <w:sz w:val="20"/>
          <w:szCs w:val="20"/>
          <w:lang w:val="en-US"/>
        </w:rPr>
      </w:pPr>
    </w:p>
    <w:p w14:paraId="1E328493" w14:textId="77777777" w:rsidR="00F2382F" w:rsidRPr="00012C3F" w:rsidRDefault="00B745B4" w:rsidP="00B745B4">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w:t>
      </w:r>
      <w:r w:rsidR="005E18C4" w:rsidRPr="00012C3F">
        <w:rPr>
          <w:sz w:val="20"/>
          <w:szCs w:val="20"/>
          <w:lang w:val="en-US"/>
        </w:rPr>
        <w:t xml:space="preserve">n particular, </w:t>
      </w:r>
      <w:r w:rsidRPr="00012C3F">
        <w:rPr>
          <w:sz w:val="20"/>
          <w:szCs w:val="20"/>
          <w:lang w:val="en-US"/>
        </w:rPr>
        <w:t>it is worth emphasizing that according to the Committee on Economic, Social and Cultural Rights, “[r]eproductive health means that women and men have the freedom to decide if and when to reproduce and the right to be informed and to have access to safe, effective, affordable and acceptable methods of family planning of their choice as well as the right of access to appropriate health-care services […].</w:t>
      </w:r>
      <w:r w:rsidR="005E18C4" w:rsidRPr="00012C3F">
        <w:rPr>
          <w:sz w:val="20"/>
          <w:szCs w:val="20"/>
          <w:lang w:val="en-US"/>
        </w:rPr>
        <w:t>”</w:t>
      </w:r>
      <w:r w:rsidR="005E18C4" w:rsidRPr="00012C3F">
        <w:rPr>
          <w:rStyle w:val="Refdenotaalpie"/>
          <w:sz w:val="20"/>
          <w:szCs w:val="20"/>
          <w:lang w:val="en-US"/>
        </w:rPr>
        <w:footnoteReference w:id="191"/>
      </w:r>
      <w:r w:rsidRPr="00012C3F">
        <w:rPr>
          <w:sz w:val="20"/>
          <w:szCs w:val="20"/>
          <w:lang w:val="en-US"/>
        </w:rPr>
        <w:t xml:space="preserve"> Consequently, the Court finds that States must guarantee </w:t>
      </w:r>
      <w:r w:rsidR="006C705C" w:rsidRPr="00012C3F">
        <w:rPr>
          <w:sz w:val="20"/>
          <w:szCs w:val="20"/>
          <w:lang w:val="en-US"/>
        </w:rPr>
        <w:t>access to information</w:t>
      </w:r>
      <w:r w:rsidR="005E18C4" w:rsidRPr="00012C3F">
        <w:rPr>
          <w:sz w:val="20"/>
          <w:szCs w:val="20"/>
          <w:lang w:val="en-US"/>
        </w:rPr>
        <w:t xml:space="preserve"> </w:t>
      </w:r>
      <w:r w:rsidRPr="00012C3F">
        <w:rPr>
          <w:sz w:val="20"/>
          <w:szCs w:val="20"/>
          <w:lang w:val="en-US"/>
        </w:rPr>
        <w:t>on health matters, especial in the area of</w:t>
      </w:r>
      <w:r w:rsidR="005E18C4" w:rsidRPr="00012C3F">
        <w:rPr>
          <w:sz w:val="20"/>
          <w:szCs w:val="20"/>
          <w:lang w:val="en-US"/>
        </w:rPr>
        <w:t xml:space="preserve"> </w:t>
      </w:r>
      <w:r w:rsidR="00A54991" w:rsidRPr="00012C3F">
        <w:rPr>
          <w:sz w:val="20"/>
          <w:szCs w:val="20"/>
          <w:lang w:val="en-US"/>
        </w:rPr>
        <w:t>sexual and reproductive health</w:t>
      </w:r>
      <w:r w:rsidRPr="00012C3F">
        <w:rPr>
          <w:sz w:val="20"/>
          <w:szCs w:val="20"/>
          <w:lang w:val="en-US"/>
        </w:rPr>
        <w:t>,</w:t>
      </w:r>
      <w:r w:rsidR="005E18C4" w:rsidRPr="00012C3F">
        <w:rPr>
          <w:rStyle w:val="Refdenotaalpie"/>
          <w:sz w:val="20"/>
          <w:szCs w:val="20"/>
          <w:lang w:val="en-US"/>
        </w:rPr>
        <w:footnoteReference w:id="192"/>
      </w:r>
      <w:r w:rsidRPr="00012C3F">
        <w:rPr>
          <w:sz w:val="20"/>
          <w:szCs w:val="20"/>
          <w:lang w:val="en-US"/>
        </w:rPr>
        <w:t xml:space="preserve"> and the denial of this has often signified a barrier for the full exercise of this right and an impediment to </w:t>
      </w:r>
      <w:r w:rsidR="005E18C4" w:rsidRPr="00012C3F">
        <w:rPr>
          <w:sz w:val="20"/>
          <w:szCs w:val="20"/>
          <w:lang w:val="en-US"/>
        </w:rPr>
        <w:t xml:space="preserve"> </w:t>
      </w:r>
      <w:r w:rsidRPr="00012C3F">
        <w:rPr>
          <w:sz w:val="20"/>
          <w:szCs w:val="20"/>
          <w:lang w:val="en-US"/>
        </w:rPr>
        <w:t>free and full decision-making. Therefore, the Court considers that,</w:t>
      </w:r>
      <w:r w:rsidR="007B1A25" w:rsidRPr="00012C3F">
        <w:rPr>
          <w:sz w:val="20"/>
          <w:szCs w:val="20"/>
          <w:lang w:val="en-US"/>
        </w:rPr>
        <w:t xml:space="preserve"> with regard to sexual and reproductive health, the State obligation of active transparency includes the duty of health care personnel to provide information that helps ensure that people are able to take free and responsible decisions </w:t>
      </w:r>
      <w:r w:rsidR="00D112BF" w:rsidRPr="00012C3F">
        <w:rPr>
          <w:sz w:val="20"/>
          <w:szCs w:val="20"/>
          <w:lang w:val="en-US"/>
        </w:rPr>
        <w:t>concerning</w:t>
      </w:r>
      <w:r w:rsidR="007B1A25" w:rsidRPr="00012C3F">
        <w:rPr>
          <w:sz w:val="20"/>
          <w:szCs w:val="20"/>
          <w:lang w:val="en-US"/>
        </w:rPr>
        <w:t xml:space="preserve"> their own body and sexual and reproductive health, </w:t>
      </w:r>
      <w:r w:rsidR="00D112BF" w:rsidRPr="00012C3F">
        <w:rPr>
          <w:sz w:val="20"/>
          <w:szCs w:val="20"/>
          <w:lang w:val="en-US"/>
        </w:rPr>
        <w:t>and this</w:t>
      </w:r>
      <w:r w:rsidR="007B1A25" w:rsidRPr="00012C3F">
        <w:rPr>
          <w:sz w:val="20"/>
          <w:szCs w:val="20"/>
          <w:lang w:val="en-US"/>
        </w:rPr>
        <w:t xml:space="preserve"> relate</w:t>
      </w:r>
      <w:r w:rsidR="00D112BF" w:rsidRPr="00012C3F">
        <w:rPr>
          <w:sz w:val="20"/>
          <w:szCs w:val="20"/>
          <w:lang w:val="en-US"/>
        </w:rPr>
        <w:t>s</w:t>
      </w:r>
      <w:r w:rsidR="007B1A25" w:rsidRPr="00012C3F">
        <w:rPr>
          <w:sz w:val="20"/>
          <w:szCs w:val="20"/>
          <w:lang w:val="en-US"/>
        </w:rPr>
        <w:t xml:space="preserve"> to intimate aspects of their personality and their </w:t>
      </w:r>
      <w:r w:rsidR="00130362" w:rsidRPr="00012C3F">
        <w:rPr>
          <w:sz w:val="20"/>
          <w:szCs w:val="20"/>
          <w:lang w:val="en-US"/>
        </w:rPr>
        <w:t>private and family life</w:t>
      </w:r>
      <w:r w:rsidR="00F2382F" w:rsidRPr="00012C3F">
        <w:rPr>
          <w:sz w:val="20"/>
          <w:szCs w:val="20"/>
          <w:lang w:val="en-US"/>
        </w:rPr>
        <w:t>.</w:t>
      </w:r>
    </w:p>
    <w:p w14:paraId="1314BF5E" w14:textId="77777777" w:rsidR="008D6DBF" w:rsidRPr="00012C3F" w:rsidRDefault="008D6DBF" w:rsidP="008D6DBF">
      <w:pPr>
        <w:tabs>
          <w:tab w:val="left" w:pos="567"/>
        </w:tabs>
        <w:spacing w:line="240" w:lineRule="auto"/>
        <w:rPr>
          <w:sz w:val="20"/>
          <w:szCs w:val="20"/>
          <w:lang w:val="en-US"/>
        </w:rPr>
      </w:pPr>
    </w:p>
    <w:p w14:paraId="1DFE22F6" w14:textId="77777777" w:rsidR="002F18A4" w:rsidRPr="00012C3F" w:rsidRDefault="002F18A4" w:rsidP="00B745B4">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In this sense</w:t>
      </w:r>
      <w:r w:rsidR="004367F6"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Court</w:t>
      </w:r>
      <w:r w:rsidR="00832D31" w:rsidRPr="00012C3F">
        <w:rPr>
          <w:rFonts w:eastAsia="MS Mincho"/>
          <w:sz w:val="20"/>
          <w:szCs w:val="20"/>
          <w:lang w:val="en-US" w:eastAsia="en-US" w:bidi="en-US"/>
        </w:rPr>
        <w:t xml:space="preserve"> </w:t>
      </w:r>
      <w:r w:rsidRPr="00012C3F">
        <w:rPr>
          <w:rFonts w:eastAsia="MS Mincho"/>
          <w:sz w:val="20"/>
          <w:szCs w:val="20"/>
          <w:lang w:val="en-US" w:eastAsia="en-US" w:bidi="en-US"/>
        </w:rPr>
        <w:t>understands that the</w:t>
      </w:r>
      <w:r w:rsidR="00832D31" w:rsidRPr="00012C3F">
        <w:rPr>
          <w:rFonts w:eastAsia="MS Mincho"/>
          <w:sz w:val="20"/>
          <w:szCs w:val="20"/>
          <w:lang w:val="en-US" w:eastAsia="en-US" w:bidi="en-US"/>
        </w:rPr>
        <w:t xml:space="preserve"> </w:t>
      </w:r>
      <w:r w:rsidR="00AC0004" w:rsidRPr="00012C3F">
        <w:rPr>
          <w:rFonts w:eastAsia="MS Mincho"/>
          <w:bCs/>
          <w:sz w:val="20"/>
          <w:szCs w:val="20"/>
          <w:lang w:val="en-US" w:eastAsia="en-US" w:bidi="en-US"/>
        </w:rPr>
        <w:t>informed consent</w:t>
      </w:r>
      <w:r w:rsidRPr="00012C3F">
        <w:rPr>
          <w:rFonts w:eastAsia="MS Mincho"/>
          <w:bCs/>
          <w:sz w:val="20"/>
          <w:szCs w:val="20"/>
          <w:lang w:val="en-US" w:eastAsia="en-US" w:bidi="en-US"/>
        </w:rPr>
        <w:t xml:space="preserve"> of the patient</w:t>
      </w:r>
      <w:r w:rsidR="00616DDA" w:rsidRPr="00012C3F">
        <w:rPr>
          <w:rFonts w:eastAsia="MS Mincho"/>
          <w:bCs/>
          <w:sz w:val="20"/>
          <w:szCs w:val="20"/>
          <w:lang w:val="en-US" w:eastAsia="en-US" w:bidi="en-US"/>
        </w:rPr>
        <w:t xml:space="preserve"> </w:t>
      </w:r>
      <w:r w:rsidRPr="00012C3F">
        <w:rPr>
          <w:rFonts w:cs="Arial"/>
          <w:sz w:val="20"/>
          <w:szCs w:val="20"/>
          <w:lang w:val="en-US"/>
        </w:rPr>
        <w:t xml:space="preserve">is a condition </w:t>
      </w:r>
      <w:r w:rsidRPr="00012C3F">
        <w:rPr>
          <w:rFonts w:cs="Arial"/>
          <w:i/>
          <w:iCs/>
          <w:sz w:val="20"/>
          <w:szCs w:val="20"/>
          <w:lang w:val="en-US"/>
        </w:rPr>
        <w:t>sine qua non</w:t>
      </w:r>
      <w:r w:rsidRPr="00012C3F">
        <w:rPr>
          <w:rFonts w:cs="Arial"/>
          <w:sz w:val="20"/>
          <w:szCs w:val="20"/>
          <w:lang w:val="en-US"/>
        </w:rPr>
        <w:t xml:space="preserve"> in medical practice, and is based on respect for the patients’ autonomy and freedom to take their own decisions in keeping with their life project. In other words, informed consent ensures the practical effects of the norm that recognizes autonomy as an essential element of the dignity of the person</w:t>
      </w:r>
    </w:p>
    <w:p w14:paraId="398FF87B" w14:textId="77777777" w:rsidR="00915C06" w:rsidRPr="00012C3F" w:rsidRDefault="00915C06" w:rsidP="00915C06">
      <w:pPr>
        <w:pStyle w:val="Prrafodelista"/>
        <w:rPr>
          <w:rFonts w:eastAsia="MS Mincho"/>
          <w:sz w:val="20"/>
          <w:szCs w:val="20"/>
          <w:lang w:val="en-US" w:eastAsia="en-US" w:bidi="en-US"/>
        </w:rPr>
      </w:pPr>
    </w:p>
    <w:p w14:paraId="633C5A9A" w14:textId="77777777" w:rsidR="00CB2028" w:rsidRPr="00012C3F" w:rsidRDefault="004B5F0E" w:rsidP="00915C06">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 xml:space="preserve">In this context, the special relationship between </w:t>
      </w:r>
      <w:r w:rsidR="00D112BF" w:rsidRPr="00012C3F">
        <w:rPr>
          <w:rFonts w:cs="Arial"/>
          <w:sz w:val="20"/>
          <w:szCs w:val="20"/>
          <w:lang w:val="en-US"/>
        </w:rPr>
        <w:t>doctor</w:t>
      </w:r>
      <w:r w:rsidRPr="00012C3F">
        <w:rPr>
          <w:rFonts w:cs="Arial"/>
          <w:sz w:val="20"/>
          <w:szCs w:val="20"/>
          <w:lang w:val="en-US"/>
        </w:rPr>
        <w:t xml:space="preserve"> and patient </w:t>
      </w:r>
      <w:r w:rsidR="00D112BF" w:rsidRPr="00012C3F">
        <w:rPr>
          <w:rFonts w:cs="Arial"/>
          <w:sz w:val="20"/>
          <w:szCs w:val="20"/>
          <w:lang w:val="en-US"/>
        </w:rPr>
        <w:t>acquires</w:t>
      </w:r>
      <w:r w:rsidRPr="00012C3F">
        <w:rPr>
          <w:rFonts w:cs="Arial"/>
          <w:sz w:val="20"/>
          <w:szCs w:val="20"/>
          <w:lang w:val="en-US"/>
        </w:rPr>
        <w:t xml:space="preserve"> special relevance. However, the Court notes that this relationship is characterized by</w:t>
      </w:r>
      <w:r w:rsidR="00D112BF" w:rsidRPr="00012C3F">
        <w:rPr>
          <w:rFonts w:cs="Arial"/>
          <w:sz w:val="20"/>
          <w:szCs w:val="20"/>
          <w:lang w:val="en-US"/>
        </w:rPr>
        <w:t xml:space="preserve"> the</w:t>
      </w:r>
      <w:r w:rsidRPr="00012C3F">
        <w:rPr>
          <w:rFonts w:cs="Arial"/>
          <w:sz w:val="20"/>
          <w:szCs w:val="20"/>
          <w:lang w:val="en-US"/>
        </w:rPr>
        <w:t xml:space="preserve"> asymmetry in the exercise of power </w:t>
      </w:r>
      <w:r w:rsidR="00D112BF" w:rsidRPr="00012C3F">
        <w:rPr>
          <w:rFonts w:cs="Arial"/>
          <w:sz w:val="20"/>
          <w:szCs w:val="20"/>
          <w:lang w:val="en-US"/>
        </w:rPr>
        <w:t>by</w:t>
      </w:r>
      <w:r w:rsidRPr="00012C3F">
        <w:rPr>
          <w:rFonts w:cs="Arial"/>
          <w:sz w:val="20"/>
          <w:szCs w:val="20"/>
          <w:lang w:val="en-US"/>
        </w:rPr>
        <w:t xml:space="preserve"> the </w:t>
      </w:r>
      <w:r w:rsidR="00467311" w:rsidRPr="00012C3F">
        <w:rPr>
          <w:rFonts w:cs="Arial"/>
          <w:sz w:val="20"/>
          <w:szCs w:val="20"/>
          <w:lang w:val="en-US"/>
        </w:rPr>
        <w:t>physician</w:t>
      </w:r>
      <w:r w:rsidRPr="00012C3F">
        <w:rPr>
          <w:rFonts w:cs="Arial"/>
          <w:sz w:val="20"/>
          <w:szCs w:val="20"/>
          <w:lang w:val="en-US"/>
        </w:rPr>
        <w:t xml:space="preserve"> based on his special professional knowledge and</w:t>
      </w:r>
      <w:r w:rsidR="00D112BF" w:rsidRPr="00012C3F">
        <w:rPr>
          <w:rFonts w:cs="Arial"/>
          <w:sz w:val="20"/>
          <w:szCs w:val="20"/>
          <w:lang w:val="en-US"/>
        </w:rPr>
        <w:t xml:space="preserve"> </w:t>
      </w:r>
      <w:r w:rsidRPr="00012C3F">
        <w:rPr>
          <w:rFonts w:cs="Arial"/>
          <w:sz w:val="20"/>
          <w:szCs w:val="20"/>
          <w:lang w:val="en-US"/>
        </w:rPr>
        <w:t xml:space="preserve">control of information. This differentiated power is regulated by certain principles of medical ethics; above all, the principles of the patient’s autonomy, </w:t>
      </w:r>
      <w:r w:rsidR="009D3EE9" w:rsidRPr="00012C3F">
        <w:rPr>
          <w:rFonts w:cs="Arial"/>
          <w:sz w:val="20"/>
          <w:szCs w:val="20"/>
          <w:lang w:val="en-US"/>
        </w:rPr>
        <w:t>beneficence</w:t>
      </w:r>
      <w:r w:rsidRPr="00012C3F">
        <w:rPr>
          <w:rFonts w:cs="Arial"/>
          <w:sz w:val="20"/>
          <w:szCs w:val="20"/>
          <w:lang w:val="en-US"/>
        </w:rPr>
        <w:t xml:space="preserve"> and not maleficence, and justice. Given that the </w:t>
      </w:r>
      <w:r w:rsidR="00467311" w:rsidRPr="00012C3F">
        <w:rPr>
          <w:rFonts w:cs="Arial"/>
          <w:sz w:val="20"/>
          <w:szCs w:val="20"/>
          <w:lang w:val="en-US"/>
        </w:rPr>
        <w:t>physician</w:t>
      </w:r>
      <w:r w:rsidRPr="00012C3F">
        <w:rPr>
          <w:rFonts w:cs="Arial"/>
          <w:sz w:val="20"/>
          <w:szCs w:val="20"/>
          <w:lang w:val="en-US"/>
        </w:rPr>
        <w:t xml:space="preserve"> is a person who also acts on the basis of his own convictions and preferences, it is </w:t>
      </w:r>
      <w:r w:rsidRPr="00012C3F">
        <w:rPr>
          <w:rFonts w:cs="Arial"/>
          <w:sz w:val="20"/>
          <w:szCs w:val="20"/>
          <w:lang w:val="en-US"/>
        </w:rPr>
        <w:lastRenderedPageBreak/>
        <w:t xml:space="preserve">plausible that some of his actions may run counter to the life project of his patients. </w:t>
      </w:r>
      <w:r w:rsidRPr="00012C3F">
        <w:rPr>
          <w:rFonts w:eastAsia="MS Mincho"/>
          <w:sz w:val="20"/>
          <w:szCs w:val="20"/>
          <w:lang w:val="en-US" w:eastAsia="en-US" w:bidi="en-US"/>
        </w:rPr>
        <w:t>In this regard</w:t>
      </w:r>
      <w:r w:rsidR="008F7091"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Court</w:t>
      </w:r>
      <w:r w:rsidR="008F7091" w:rsidRPr="00012C3F">
        <w:rPr>
          <w:rFonts w:eastAsia="MS Mincho"/>
          <w:sz w:val="20"/>
          <w:szCs w:val="20"/>
          <w:lang w:val="en-US" w:eastAsia="en-US" w:bidi="en-US"/>
        </w:rPr>
        <w:t xml:space="preserve"> not</w:t>
      </w:r>
      <w:r w:rsidRPr="00012C3F">
        <w:rPr>
          <w:rFonts w:eastAsia="MS Mincho"/>
          <w:sz w:val="20"/>
          <w:szCs w:val="20"/>
          <w:lang w:val="en-US" w:eastAsia="en-US" w:bidi="en-US"/>
        </w:rPr>
        <w:t xml:space="preserve">es that the World Medical Association’s 1981 Lisbon Declaration on the Rights of the Patient, which is the first declaration that sets out general rules for </w:t>
      </w:r>
      <w:r w:rsidR="00467311" w:rsidRPr="00012C3F">
        <w:rPr>
          <w:rFonts w:eastAsia="MS Mincho"/>
          <w:sz w:val="20"/>
          <w:szCs w:val="20"/>
          <w:lang w:val="en-US" w:eastAsia="en-US" w:bidi="en-US"/>
        </w:rPr>
        <w:t>physician</w:t>
      </w:r>
      <w:r w:rsidRPr="00012C3F">
        <w:rPr>
          <w:rFonts w:eastAsia="MS Mincho"/>
          <w:sz w:val="20"/>
          <w:szCs w:val="20"/>
          <w:lang w:val="en-US" w:eastAsia="en-US" w:bidi="en-US"/>
        </w:rPr>
        <w:t xml:space="preserve">-patient relations and, specifically, the rights of patients, starts out by indicating that </w:t>
      </w:r>
      <w:r w:rsidR="00915C06" w:rsidRPr="00012C3F">
        <w:rPr>
          <w:rFonts w:eastAsia="MS Mincho"/>
          <w:sz w:val="20"/>
          <w:szCs w:val="20"/>
          <w:lang w:val="en-US" w:eastAsia="en-US" w:bidi="en-US"/>
        </w:rPr>
        <w:t>[w]hile a physician should always act according to his/her conscience, and always in the best interests of the patient,</w:t>
      </w:r>
      <w:r w:rsidR="005813EC" w:rsidRPr="00012C3F">
        <w:rPr>
          <w:rFonts w:eastAsia="MS Mincho" w:cs="Arial"/>
          <w:sz w:val="20"/>
          <w:szCs w:val="20"/>
          <w:shd w:val="clear" w:color="auto" w:fill="FFFFFF"/>
          <w:lang w:val="en-US" w:eastAsia="en-US" w:bidi="en-US"/>
        </w:rPr>
        <w:t>[</w:t>
      </w:r>
      <w:r w:rsidR="002A188F" w:rsidRPr="00012C3F">
        <w:rPr>
          <w:rFonts w:eastAsia="MS Mincho" w:cs="Arial"/>
          <w:sz w:val="20"/>
          <w:szCs w:val="20"/>
          <w:shd w:val="clear" w:color="auto" w:fill="FFFFFF"/>
          <w:vertAlign w:val="superscript"/>
          <w:lang w:val="en-US" w:eastAsia="en-US" w:bidi="en-US"/>
        </w:rPr>
        <w:footnoteReference w:id="193"/>
      </w:r>
      <w:r w:rsidR="005813EC" w:rsidRPr="00012C3F">
        <w:rPr>
          <w:rFonts w:eastAsia="MS Mincho" w:cs="Arial"/>
          <w:sz w:val="20"/>
          <w:szCs w:val="20"/>
          <w:shd w:val="clear" w:color="auto" w:fill="FFFFFF"/>
          <w:lang w:val="en-US" w:eastAsia="en-US" w:bidi="en-US"/>
        </w:rPr>
        <w:t>]</w:t>
      </w:r>
      <w:r w:rsidR="002A188F" w:rsidRPr="00012C3F">
        <w:rPr>
          <w:rFonts w:eastAsia="MS Mincho" w:cs="Arial"/>
          <w:sz w:val="20"/>
          <w:szCs w:val="20"/>
          <w:shd w:val="clear" w:color="auto" w:fill="FFFFFF"/>
          <w:lang w:val="en-US" w:eastAsia="en-US" w:bidi="en-US"/>
        </w:rPr>
        <w:t xml:space="preserve"> </w:t>
      </w:r>
      <w:r w:rsidR="00915C06" w:rsidRPr="00012C3F">
        <w:rPr>
          <w:sz w:val="20"/>
          <w:szCs w:val="20"/>
          <w:lang w:val="en-US"/>
        </w:rPr>
        <w:t>equal effort must be made to guarantee patient autonomy and justice.</w:t>
      </w:r>
      <w:r w:rsidR="00915C06" w:rsidRPr="00012C3F">
        <w:rPr>
          <w:rFonts w:eastAsia="MS Mincho" w:cs="Arial"/>
          <w:sz w:val="20"/>
          <w:szCs w:val="20"/>
          <w:shd w:val="clear" w:color="auto" w:fill="FFFFFF"/>
          <w:lang w:val="en-US" w:eastAsia="en-US" w:bidi="en-US"/>
        </w:rPr>
        <w:t xml:space="preserve"> </w:t>
      </w:r>
      <w:r w:rsidR="002A188F" w:rsidRPr="00012C3F">
        <w:rPr>
          <w:rFonts w:eastAsia="MS Mincho" w:cs="Arial"/>
          <w:sz w:val="20"/>
          <w:szCs w:val="20"/>
          <w:shd w:val="clear" w:color="auto" w:fill="FFFFFF"/>
          <w:lang w:val="en-US" w:eastAsia="en-US" w:bidi="en-US"/>
        </w:rPr>
        <w:t>[…]</w:t>
      </w:r>
      <w:r w:rsidR="00915C06" w:rsidRPr="00012C3F">
        <w:rPr>
          <w:rFonts w:eastAsia="MS Mincho" w:cs="Arial"/>
          <w:sz w:val="20"/>
          <w:szCs w:val="20"/>
          <w:shd w:val="clear" w:color="auto" w:fill="FFFFFF"/>
          <w:lang w:val="en-US" w:eastAsia="en-US" w:bidi="en-US"/>
        </w:rPr>
        <w:t>.</w:t>
      </w:r>
      <w:r w:rsidR="002A188F" w:rsidRPr="00012C3F">
        <w:rPr>
          <w:rFonts w:eastAsia="MS Mincho" w:cs="Arial"/>
          <w:sz w:val="20"/>
          <w:szCs w:val="20"/>
          <w:shd w:val="clear" w:color="auto" w:fill="FFFFFF"/>
          <w:lang w:val="en-US" w:eastAsia="en-US" w:bidi="en-US"/>
        </w:rPr>
        <w:t xml:space="preserve">” </w:t>
      </w:r>
      <w:r w:rsidR="00915C06" w:rsidRPr="00012C3F">
        <w:rPr>
          <w:rFonts w:eastAsia="MS Mincho" w:cs="Arial"/>
          <w:sz w:val="20"/>
          <w:szCs w:val="20"/>
          <w:shd w:val="clear" w:color="auto" w:fill="FFFFFF"/>
          <w:lang w:val="en-US" w:eastAsia="en-US" w:bidi="en-US"/>
        </w:rPr>
        <w:t xml:space="preserve">Therefore, </w:t>
      </w:r>
      <w:r w:rsidR="00915C06" w:rsidRPr="00012C3F">
        <w:rPr>
          <w:rFonts w:cs="Arial"/>
          <w:sz w:val="20"/>
          <w:szCs w:val="20"/>
          <w:lang w:val="en-US"/>
        </w:rPr>
        <w:t>the principle of autonomy acquires vital importance in the sphere of health, as a rule that establishes an adequate balance between the beneficial medical action and the power of decision that the patient, as an autonomous moral subject, retains in order to avoid actions of a paternalistic nature in which patients are instrumentalized to avoid harm to their health.</w:t>
      </w:r>
    </w:p>
    <w:p w14:paraId="1D6CB092" w14:textId="77777777" w:rsidR="00CB2028" w:rsidRPr="00012C3F" w:rsidRDefault="00CB2028" w:rsidP="00CB2028">
      <w:pPr>
        <w:tabs>
          <w:tab w:val="left" w:pos="567"/>
        </w:tabs>
        <w:spacing w:line="240" w:lineRule="auto"/>
        <w:rPr>
          <w:rFonts w:eastAsia="MS Mincho"/>
          <w:sz w:val="20"/>
          <w:szCs w:val="20"/>
          <w:lang w:val="en-US" w:eastAsia="en-US" w:bidi="en-US"/>
        </w:rPr>
      </w:pPr>
    </w:p>
    <w:p w14:paraId="6DBE96B8" w14:textId="77777777" w:rsidR="00A37590" w:rsidRPr="00012C3F" w:rsidRDefault="006270A9" w:rsidP="006270A9">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 xml:space="preserve">The Court notes that, in the practice of medicine, recognition of informed consent as an expression of the autonomy of the individual in the sphere of health has signified a paradigm shift in the </w:t>
      </w:r>
      <w:r w:rsidR="00467311" w:rsidRPr="00012C3F">
        <w:rPr>
          <w:rFonts w:cs="Arial"/>
          <w:sz w:val="20"/>
          <w:szCs w:val="20"/>
          <w:lang w:val="en-US"/>
        </w:rPr>
        <w:t>physician</w:t>
      </w:r>
      <w:r w:rsidRPr="00012C3F">
        <w:rPr>
          <w:rFonts w:cs="Arial"/>
          <w:sz w:val="20"/>
          <w:szCs w:val="20"/>
          <w:lang w:val="en-US"/>
        </w:rPr>
        <w:t>-patient relationship, because the model of informed and free decision-making has evolved to focus on a participatory process with the patient, rather than the former paternalistic model where the physician, as the expert in the matter, was the one who decided what was best for the person who needed a particular treatment. From this perspective,</w:t>
      </w:r>
      <w:r w:rsidR="00467311" w:rsidRPr="00012C3F">
        <w:rPr>
          <w:rFonts w:cs="Arial"/>
          <w:sz w:val="20"/>
          <w:szCs w:val="20"/>
          <w:lang w:val="en-US"/>
        </w:rPr>
        <w:t xml:space="preserve"> </w:t>
      </w:r>
      <w:r w:rsidRPr="00012C3F">
        <w:rPr>
          <w:rFonts w:cs="Arial"/>
          <w:sz w:val="20"/>
          <w:szCs w:val="20"/>
          <w:lang w:val="en-US"/>
        </w:rPr>
        <w:t>patient</w:t>
      </w:r>
      <w:r w:rsidR="00467311" w:rsidRPr="00012C3F">
        <w:rPr>
          <w:rFonts w:cs="Arial"/>
          <w:sz w:val="20"/>
          <w:szCs w:val="20"/>
          <w:lang w:val="en-US"/>
        </w:rPr>
        <w:t>s are</w:t>
      </w:r>
      <w:r w:rsidRPr="00012C3F">
        <w:rPr>
          <w:rFonts w:cs="Arial"/>
          <w:sz w:val="20"/>
          <w:szCs w:val="20"/>
          <w:lang w:val="en-US"/>
        </w:rPr>
        <w:t xml:space="preserve"> empowered and collaborate with the physician as the main actor in the decisions that must be taken with regard to their bodies and health, rather than the passive subject</w:t>
      </w:r>
      <w:r w:rsidR="00467311" w:rsidRPr="00012C3F">
        <w:rPr>
          <w:rFonts w:cs="Arial"/>
          <w:sz w:val="20"/>
          <w:szCs w:val="20"/>
          <w:lang w:val="en-US"/>
        </w:rPr>
        <w:t>s</w:t>
      </w:r>
      <w:r w:rsidRPr="00012C3F">
        <w:rPr>
          <w:rFonts w:cs="Arial"/>
          <w:sz w:val="20"/>
          <w:szCs w:val="20"/>
          <w:lang w:val="en-US"/>
        </w:rPr>
        <w:t xml:space="preserve"> of this relationship. The patient is free to choose alternatives that physicians may consider contrary to their advice, and this is the most evident expression of respect for autonomy in the sphere of medicine. This paradigm shift is reflected in various international instruments which refer to the right of the patient to freely accede to a beneficial medical act or allow it to be performed, without any type of violence, coercion or discrimination, after having received appropriate and timely information prior to taking the </w:t>
      </w:r>
      <w:r w:rsidR="009D3EE9" w:rsidRPr="00012C3F">
        <w:rPr>
          <w:rFonts w:cs="Arial"/>
          <w:sz w:val="20"/>
          <w:szCs w:val="20"/>
          <w:lang w:val="en-US"/>
        </w:rPr>
        <w:t>decision</w:t>
      </w:r>
      <w:r w:rsidR="00A52E82" w:rsidRPr="00012C3F">
        <w:rPr>
          <w:rFonts w:eastAsia="MS Mincho"/>
          <w:bCs/>
          <w:sz w:val="20"/>
          <w:szCs w:val="20"/>
          <w:lang w:val="en-US" w:eastAsia="en-US" w:bidi="en-US"/>
        </w:rPr>
        <w:t>.</w:t>
      </w:r>
    </w:p>
    <w:p w14:paraId="43A90E33" w14:textId="77777777" w:rsidR="00A37590" w:rsidRPr="00012C3F" w:rsidRDefault="00A37590" w:rsidP="00A37590">
      <w:pPr>
        <w:tabs>
          <w:tab w:val="left" w:pos="567"/>
        </w:tabs>
        <w:spacing w:line="240" w:lineRule="auto"/>
        <w:rPr>
          <w:rFonts w:eastAsia="MS Mincho"/>
          <w:sz w:val="20"/>
          <w:szCs w:val="20"/>
          <w:lang w:val="en-US" w:eastAsia="en-US" w:bidi="en-US"/>
        </w:rPr>
      </w:pPr>
    </w:p>
    <w:p w14:paraId="47929005" w14:textId="77777777" w:rsidR="00F15CDC" w:rsidRPr="00012C3F" w:rsidRDefault="006270A9" w:rsidP="00936568">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 xml:space="preserve">Based on the foregoing, the Court considers that informed consent with regard to the pertinence of a medical intervention with permanent consequences on the reproductive apparatus, such as tubal ligation, belongs to the sphere of </w:t>
      </w:r>
      <w:r w:rsidR="00467311" w:rsidRPr="00012C3F">
        <w:rPr>
          <w:rFonts w:cs="Arial"/>
          <w:sz w:val="20"/>
          <w:szCs w:val="20"/>
          <w:lang w:val="en-US"/>
        </w:rPr>
        <w:t xml:space="preserve">the </w:t>
      </w:r>
      <w:r w:rsidRPr="00012C3F">
        <w:rPr>
          <w:rFonts w:cs="Arial"/>
          <w:sz w:val="20"/>
          <w:szCs w:val="20"/>
          <w:lang w:val="en-US"/>
        </w:rPr>
        <w:t>autonomy and private life of a woman who can freely choose the life project that she considers most appropriate; in particular, whether or not she desires to retain her reproductive ability, the number of children she wishes to have, and the spacing between them</w:t>
      </w:r>
    </w:p>
    <w:p w14:paraId="5CABF352" w14:textId="77777777" w:rsidR="00F15CDC" w:rsidRPr="00012C3F" w:rsidRDefault="00F15CDC" w:rsidP="00936568">
      <w:pPr>
        <w:tabs>
          <w:tab w:val="left" w:pos="567"/>
          <w:tab w:val="left" w:pos="720"/>
        </w:tabs>
        <w:spacing w:line="240" w:lineRule="auto"/>
        <w:rPr>
          <w:sz w:val="20"/>
          <w:szCs w:val="20"/>
          <w:lang w:val="en-US"/>
        </w:rPr>
      </w:pPr>
    </w:p>
    <w:p w14:paraId="4BA27305" w14:textId="77777777" w:rsidR="006F28E9" w:rsidRPr="00012C3F" w:rsidRDefault="001254DE" w:rsidP="00936568">
      <w:pPr>
        <w:numPr>
          <w:ilvl w:val="0"/>
          <w:numId w:val="5"/>
        </w:numPr>
        <w:tabs>
          <w:tab w:val="left" w:pos="720"/>
          <w:tab w:val="num" w:pos="12305"/>
        </w:tabs>
        <w:spacing w:line="240" w:lineRule="auto"/>
        <w:ind w:left="0" w:firstLine="0"/>
        <w:rPr>
          <w:b/>
          <w:i/>
          <w:sz w:val="20"/>
          <w:szCs w:val="20"/>
          <w:lang w:val="en-US"/>
        </w:rPr>
      </w:pPr>
      <w:r w:rsidRPr="00012C3F">
        <w:rPr>
          <w:rFonts w:eastAsia="MS Mincho"/>
          <w:sz w:val="20"/>
          <w:szCs w:val="20"/>
          <w:lang w:val="en-US" w:eastAsia="en-US" w:bidi="en-US"/>
        </w:rPr>
        <w:t>The Court</w:t>
      </w:r>
      <w:r w:rsidR="00DB3AAC" w:rsidRPr="00012C3F">
        <w:rPr>
          <w:rFonts w:eastAsia="MS Mincho"/>
          <w:sz w:val="20"/>
          <w:szCs w:val="20"/>
          <w:lang w:val="en-US" w:eastAsia="en-US" w:bidi="en-US"/>
        </w:rPr>
        <w:t xml:space="preserve"> </w:t>
      </w:r>
      <w:r w:rsidR="006F28E9" w:rsidRPr="00012C3F">
        <w:rPr>
          <w:rFonts w:cs="Arial"/>
          <w:sz w:val="20"/>
          <w:szCs w:val="20"/>
          <w:lang w:val="en-US"/>
        </w:rPr>
        <w:t xml:space="preserve">considers that the obligation to obtain informed consent </w:t>
      </w:r>
      <w:r w:rsidR="00467311" w:rsidRPr="00012C3F">
        <w:rPr>
          <w:rFonts w:cs="Arial"/>
          <w:sz w:val="20"/>
          <w:szCs w:val="20"/>
          <w:lang w:val="en-US"/>
        </w:rPr>
        <w:t>signifies</w:t>
      </w:r>
      <w:r w:rsidR="006F28E9" w:rsidRPr="00012C3F">
        <w:rPr>
          <w:rFonts w:cs="Arial"/>
          <w:sz w:val="20"/>
          <w:szCs w:val="20"/>
          <w:lang w:val="en-US"/>
        </w:rPr>
        <w:t xml:space="preserve"> establishing limits to </w:t>
      </w:r>
      <w:r w:rsidR="004914D2" w:rsidRPr="00012C3F">
        <w:rPr>
          <w:rFonts w:cs="Arial"/>
          <w:sz w:val="20"/>
          <w:szCs w:val="20"/>
          <w:lang w:val="en-US"/>
        </w:rPr>
        <w:t>medical intervention</w:t>
      </w:r>
      <w:r w:rsidR="006F28E9" w:rsidRPr="00012C3F">
        <w:rPr>
          <w:rFonts w:cs="Arial"/>
          <w:sz w:val="20"/>
          <w:szCs w:val="20"/>
          <w:lang w:val="en-US"/>
        </w:rPr>
        <w:t xml:space="preserve"> and guaranteeing that those limits are adequate and effective in the practice, so that neither the State, nor third parties, especially the medical community, may arbitrarily interfere in the sphere of personal integrity or privacy of the individual, especially as regards access to health services and, in the case of women, family planning </w:t>
      </w:r>
      <w:r w:rsidR="00467311" w:rsidRPr="00012C3F">
        <w:rPr>
          <w:rFonts w:cs="Arial"/>
          <w:sz w:val="20"/>
          <w:szCs w:val="20"/>
          <w:lang w:val="en-US"/>
        </w:rPr>
        <w:t xml:space="preserve">and other </w:t>
      </w:r>
      <w:r w:rsidR="006F28E9" w:rsidRPr="00012C3F">
        <w:rPr>
          <w:rFonts w:cs="Arial"/>
          <w:sz w:val="20"/>
          <w:szCs w:val="20"/>
          <w:lang w:val="en-US"/>
        </w:rPr>
        <w:t>services related to sexual and reproductive health.</w:t>
      </w:r>
      <w:r w:rsidR="006F28E9" w:rsidRPr="00012C3F">
        <w:rPr>
          <w:b/>
          <w:i/>
          <w:sz w:val="20"/>
          <w:szCs w:val="20"/>
          <w:lang w:val="en-US"/>
        </w:rPr>
        <w:t xml:space="preserve"> </w:t>
      </w:r>
      <w:r w:rsidR="006F28E9" w:rsidRPr="00012C3F">
        <w:rPr>
          <w:rFonts w:cs="Arial"/>
          <w:sz w:val="20"/>
          <w:szCs w:val="20"/>
          <w:lang w:val="en-US"/>
        </w:rPr>
        <w:t xml:space="preserve">Similarly, the rule of informed consent relates to the right of access to information on health matters, because patients can only give their informed consent if they have received and understood sufficient information that allows them to take a considered decision. Consequently, in the area of health, the Court reiterates the instrumental nature of the right of access to information, because it </w:t>
      </w:r>
      <w:r w:rsidR="00467311" w:rsidRPr="00012C3F">
        <w:rPr>
          <w:rFonts w:cs="Arial"/>
          <w:sz w:val="20"/>
          <w:szCs w:val="20"/>
          <w:lang w:val="en-US"/>
        </w:rPr>
        <w:t>i</w:t>
      </w:r>
      <w:r w:rsidR="006F28E9" w:rsidRPr="00012C3F">
        <w:rPr>
          <w:rFonts w:cs="Arial"/>
          <w:sz w:val="20"/>
          <w:szCs w:val="20"/>
          <w:lang w:val="en-US"/>
        </w:rPr>
        <w:t xml:space="preserve">s an essential means to obtain informed consent and, thus, </w:t>
      </w:r>
      <w:r w:rsidR="00467311" w:rsidRPr="00012C3F">
        <w:rPr>
          <w:rFonts w:cs="Arial"/>
          <w:sz w:val="20"/>
          <w:szCs w:val="20"/>
          <w:lang w:val="en-US"/>
        </w:rPr>
        <w:t>to</w:t>
      </w:r>
      <w:r w:rsidR="006F28E9" w:rsidRPr="00012C3F">
        <w:rPr>
          <w:rFonts w:cs="Arial"/>
          <w:sz w:val="20"/>
          <w:szCs w:val="20"/>
          <w:lang w:val="en-US"/>
        </w:rPr>
        <w:t xml:space="preserve"> realiz</w:t>
      </w:r>
      <w:r w:rsidR="00467311" w:rsidRPr="00012C3F">
        <w:rPr>
          <w:rFonts w:cs="Arial"/>
          <w:sz w:val="20"/>
          <w:szCs w:val="20"/>
          <w:lang w:val="en-US"/>
        </w:rPr>
        <w:t>e</w:t>
      </w:r>
      <w:r w:rsidR="006F28E9" w:rsidRPr="00012C3F">
        <w:rPr>
          <w:rFonts w:cs="Arial"/>
          <w:sz w:val="20"/>
          <w:szCs w:val="20"/>
          <w:lang w:val="en-US"/>
        </w:rPr>
        <w:t xml:space="preserve"> the right to autonomy and liberty as regards reproductive health.</w:t>
      </w:r>
    </w:p>
    <w:p w14:paraId="322365AD" w14:textId="77777777" w:rsidR="000C54B0" w:rsidRPr="00012C3F" w:rsidRDefault="000C54B0" w:rsidP="00936568">
      <w:pPr>
        <w:tabs>
          <w:tab w:val="left" w:pos="567"/>
          <w:tab w:val="left" w:pos="720"/>
        </w:tabs>
        <w:spacing w:line="240" w:lineRule="auto"/>
        <w:rPr>
          <w:sz w:val="20"/>
          <w:szCs w:val="20"/>
          <w:lang w:val="en-US"/>
        </w:rPr>
      </w:pPr>
    </w:p>
    <w:p w14:paraId="1300760B" w14:textId="77777777" w:rsidR="00DB3AAC" w:rsidRPr="00012C3F" w:rsidRDefault="006F28E9" w:rsidP="00936568">
      <w:pPr>
        <w:numPr>
          <w:ilvl w:val="0"/>
          <w:numId w:val="5"/>
        </w:numPr>
        <w:tabs>
          <w:tab w:val="left" w:pos="720"/>
          <w:tab w:val="num" w:pos="12305"/>
        </w:tabs>
        <w:spacing w:line="240" w:lineRule="auto"/>
        <w:ind w:left="0" w:firstLine="0"/>
        <w:rPr>
          <w:b/>
          <w:i/>
          <w:sz w:val="20"/>
          <w:szCs w:val="20"/>
          <w:lang w:val="en-US"/>
        </w:rPr>
      </w:pPr>
      <w:r w:rsidRPr="00012C3F">
        <w:rPr>
          <w:rFonts w:cs="Arial"/>
          <w:sz w:val="20"/>
          <w:szCs w:val="20"/>
          <w:lang w:val="en-US"/>
        </w:rPr>
        <w:t xml:space="preserve">From the point of view of international law, informed consent is an obligation that has been established when developing the human rights of patients. It is both a legal and an ethical obligation of health personnel, who must consider it an element of medical expertise and good </w:t>
      </w:r>
      <w:r w:rsidRPr="00012C3F">
        <w:rPr>
          <w:rFonts w:cs="Arial"/>
          <w:sz w:val="20"/>
          <w:szCs w:val="20"/>
          <w:lang w:val="en-US"/>
        </w:rPr>
        <w:lastRenderedPageBreak/>
        <w:t>practice (</w:t>
      </w:r>
      <w:r w:rsidRPr="00012C3F">
        <w:rPr>
          <w:rFonts w:cs="Arial"/>
          <w:i/>
          <w:iCs/>
          <w:sz w:val="20"/>
          <w:szCs w:val="20"/>
          <w:lang w:val="en-US"/>
        </w:rPr>
        <w:t>lex artis</w:t>
      </w:r>
      <w:r w:rsidRPr="00012C3F">
        <w:rPr>
          <w:rFonts w:cs="Arial"/>
          <w:sz w:val="20"/>
          <w:szCs w:val="20"/>
          <w:lang w:val="en-US"/>
        </w:rPr>
        <w:t>) in order to ensure accessible and acceptable health services.</w:t>
      </w:r>
      <w:r w:rsidR="005D64A7" w:rsidRPr="00012C3F">
        <w:rPr>
          <w:rStyle w:val="Refdenotaalpie"/>
          <w:rFonts w:eastAsia="MS Mincho"/>
          <w:sz w:val="20"/>
          <w:szCs w:val="20"/>
          <w:lang w:val="en-US" w:eastAsia="en-US" w:bidi="en-US"/>
        </w:rPr>
        <w:footnoteReference w:id="194"/>
      </w:r>
      <w:r w:rsidR="005A66B7"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The Court will now establish the elements of informed consent in force at the time of the facts of this case.  </w:t>
      </w:r>
    </w:p>
    <w:p w14:paraId="13BD2F75" w14:textId="77777777" w:rsidR="00DB3AAC" w:rsidRPr="00012C3F" w:rsidRDefault="00DB3AAC" w:rsidP="00936568">
      <w:pPr>
        <w:tabs>
          <w:tab w:val="left" w:pos="567"/>
          <w:tab w:val="left" w:pos="720"/>
        </w:tabs>
        <w:spacing w:line="240" w:lineRule="auto"/>
        <w:rPr>
          <w:sz w:val="20"/>
          <w:szCs w:val="20"/>
          <w:lang w:val="en-US"/>
        </w:rPr>
      </w:pPr>
    </w:p>
    <w:p w14:paraId="5BD25C77" w14:textId="77777777" w:rsidR="00632DC0" w:rsidRPr="00012C3F" w:rsidRDefault="00632DC0" w:rsidP="00936568">
      <w:pPr>
        <w:pStyle w:val="Ttulo2"/>
        <w:tabs>
          <w:tab w:val="left" w:pos="720"/>
          <w:tab w:val="left" w:pos="1701"/>
        </w:tabs>
        <w:spacing w:before="0" w:line="240" w:lineRule="auto"/>
        <w:ind w:left="1134"/>
        <w:rPr>
          <w:rFonts w:ascii="Verdana" w:hAnsi="Verdana"/>
          <w:b w:val="0"/>
          <w:i/>
          <w:color w:val="auto"/>
          <w:sz w:val="20"/>
          <w:szCs w:val="20"/>
          <w:lang w:val="en-US"/>
        </w:rPr>
      </w:pPr>
      <w:bookmarkStart w:id="134" w:name="_Toc27486863"/>
      <w:bookmarkEnd w:id="113"/>
      <w:bookmarkEnd w:id="133"/>
      <w:r w:rsidRPr="00012C3F">
        <w:rPr>
          <w:rFonts w:ascii="Verdana" w:hAnsi="Verdana"/>
          <w:b w:val="0"/>
          <w:i/>
          <w:color w:val="auto"/>
          <w:sz w:val="20"/>
          <w:szCs w:val="20"/>
          <w:lang w:val="en-US"/>
        </w:rPr>
        <w:t xml:space="preserve">B.2 </w:t>
      </w:r>
      <w:r w:rsidRPr="00012C3F">
        <w:rPr>
          <w:rFonts w:ascii="Verdana" w:hAnsi="Verdana"/>
          <w:b w:val="0"/>
          <w:i/>
          <w:color w:val="auto"/>
          <w:sz w:val="20"/>
          <w:szCs w:val="20"/>
          <w:lang w:val="en-US"/>
        </w:rPr>
        <w:tab/>
      </w:r>
      <w:r w:rsidR="006F28E9" w:rsidRPr="00012C3F">
        <w:rPr>
          <w:rFonts w:ascii="Verdana" w:hAnsi="Verdana"/>
          <w:b w:val="0"/>
          <w:i/>
          <w:color w:val="auto"/>
          <w:sz w:val="20"/>
          <w:szCs w:val="20"/>
          <w:lang w:val="en-US"/>
        </w:rPr>
        <w:t>Consent in international law, comparative law and jurisprudence</w:t>
      </w:r>
      <w:bookmarkEnd w:id="134"/>
    </w:p>
    <w:p w14:paraId="30322D94" w14:textId="77777777" w:rsidR="00632DC0" w:rsidRPr="00012C3F" w:rsidRDefault="00632DC0" w:rsidP="00936568">
      <w:pPr>
        <w:tabs>
          <w:tab w:val="left" w:pos="720"/>
        </w:tabs>
        <w:spacing w:line="240" w:lineRule="auto"/>
        <w:rPr>
          <w:sz w:val="20"/>
          <w:szCs w:val="20"/>
          <w:lang w:val="en-US"/>
        </w:rPr>
      </w:pPr>
    </w:p>
    <w:p w14:paraId="100B5345" w14:textId="77777777" w:rsidR="00737380" w:rsidRPr="00012C3F" w:rsidRDefault="001254DE" w:rsidP="00936568">
      <w:pPr>
        <w:widowControl/>
        <w:numPr>
          <w:ilvl w:val="0"/>
          <w:numId w:val="5"/>
        </w:numPr>
        <w:tabs>
          <w:tab w:val="left" w:pos="720"/>
          <w:tab w:val="num" w:pos="12305"/>
        </w:tabs>
        <w:adjustRightInd/>
        <w:spacing w:line="240" w:lineRule="auto"/>
        <w:ind w:left="0" w:right="-90" w:firstLine="0"/>
        <w:textAlignment w:val="auto"/>
        <w:rPr>
          <w:rFonts w:eastAsia="MS Mincho"/>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w:t>
      </w:r>
      <w:r w:rsidR="006F28E9" w:rsidRPr="00012C3F">
        <w:rPr>
          <w:rFonts w:eastAsia="MS Mincho"/>
          <w:sz w:val="20"/>
          <w:szCs w:val="20"/>
          <w:lang w:val="en-US" w:eastAsia="en-US" w:bidi="en-US"/>
        </w:rPr>
        <w:t>h</w:t>
      </w:r>
      <w:r w:rsidR="00E17AF2" w:rsidRPr="00012C3F">
        <w:rPr>
          <w:rFonts w:eastAsia="MS Mincho"/>
          <w:sz w:val="20"/>
          <w:szCs w:val="20"/>
          <w:lang w:val="en-US" w:eastAsia="en-US" w:bidi="en-US"/>
        </w:rPr>
        <w:t>a</w:t>
      </w:r>
      <w:r w:rsidR="006F28E9" w:rsidRPr="00012C3F">
        <w:rPr>
          <w:rFonts w:eastAsia="MS Mincho"/>
          <w:sz w:val="20"/>
          <w:szCs w:val="20"/>
          <w:lang w:val="en-US" w:eastAsia="en-US" w:bidi="en-US"/>
        </w:rPr>
        <w:t>s established that States have the international obligation to obtain</w:t>
      </w:r>
      <w:r w:rsidR="00E17AF2"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00E17AF2" w:rsidRPr="00012C3F">
        <w:rPr>
          <w:rFonts w:eastAsia="MS Mincho"/>
          <w:sz w:val="20"/>
          <w:szCs w:val="20"/>
          <w:lang w:val="en-US" w:eastAsia="en-US" w:bidi="en-US"/>
        </w:rPr>
        <w:t xml:space="preserve"> </w:t>
      </w:r>
      <w:r w:rsidR="006F28E9" w:rsidRPr="00012C3F">
        <w:rPr>
          <w:rFonts w:eastAsia="MS Mincho"/>
          <w:sz w:val="20"/>
          <w:szCs w:val="20"/>
          <w:lang w:val="en-US" w:eastAsia="en-US" w:bidi="en-US"/>
        </w:rPr>
        <w:t xml:space="preserve">before </w:t>
      </w:r>
      <w:r w:rsidR="00724EF4" w:rsidRPr="00012C3F">
        <w:rPr>
          <w:rFonts w:eastAsia="MS Mincho"/>
          <w:sz w:val="20"/>
          <w:szCs w:val="20"/>
          <w:lang w:val="en-US" w:eastAsia="en-US" w:bidi="en-US"/>
        </w:rPr>
        <w:t>performing</w:t>
      </w:r>
      <w:r w:rsidR="006F28E9" w:rsidRPr="00012C3F">
        <w:rPr>
          <w:rFonts w:eastAsia="MS Mincho"/>
          <w:sz w:val="20"/>
          <w:szCs w:val="20"/>
          <w:lang w:val="en-US" w:eastAsia="en-US" w:bidi="en-US"/>
        </w:rPr>
        <w:t xml:space="preserve"> any medical act </w:t>
      </w:r>
      <w:r w:rsidR="00737380" w:rsidRPr="00012C3F">
        <w:rPr>
          <w:rFonts w:eastAsia="MS Mincho"/>
          <w:sz w:val="20"/>
          <w:szCs w:val="20"/>
          <w:lang w:val="en-US" w:eastAsia="en-US" w:bidi="en-US"/>
        </w:rPr>
        <w:t xml:space="preserve">based, above all, on the autonomy and self-determination of the individual, </w:t>
      </w:r>
      <w:r w:rsidR="00724EF4" w:rsidRPr="00012C3F">
        <w:rPr>
          <w:rFonts w:eastAsia="MS Mincho"/>
          <w:sz w:val="20"/>
          <w:szCs w:val="20"/>
          <w:lang w:val="en-US" w:eastAsia="en-US" w:bidi="en-US"/>
        </w:rPr>
        <w:t xml:space="preserve">and </w:t>
      </w:r>
      <w:r w:rsidR="00737380" w:rsidRPr="00012C3F">
        <w:rPr>
          <w:rFonts w:eastAsia="MS Mincho"/>
          <w:sz w:val="20"/>
          <w:szCs w:val="20"/>
          <w:lang w:val="en-US" w:eastAsia="en-US" w:bidi="en-US"/>
        </w:rPr>
        <w:t>as part of respect</w:t>
      </w:r>
      <w:r w:rsidR="00724EF4" w:rsidRPr="00012C3F">
        <w:rPr>
          <w:rFonts w:eastAsia="MS Mincho"/>
          <w:sz w:val="20"/>
          <w:szCs w:val="20"/>
          <w:lang w:val="en-US" w:eastAsia="en-US" w:bidi="en-US"/>
        </w:rPr>
        <w:t>ing</w:t>
      </w:r>
      <w:r w:rsidR="00737380" w:rsidRPr="00012C3F">
        <w:rPr>
          <w:rFonts w:eastAsia="MS Mincho"/>
          <w:sz w:val="20"/>
          <w:szCs w:val="20"/>
          <w:lang w:val="en-US" w:eastAsia="en-US" w:bidi="en-US"/>
        </w:rPr>
        <w:t xml:space="preserve"> and </w:t>
      </w:r>
      <w:r w:rsidR="00724EF4" w:rsidRPr="00012C3F">
        <w:rPr>
          <w:rFonts w:eastAsia="MS Mincho"/>
          <w:sz w:val="20"/>
          <w:szCs w:val="20"/>
          <w:lang w:val="en-US" w:eastAsia="en-US" w:bidi="en-US"/>
        </w:rPr>
        <w:t>ensuring</w:t>
      </w:r>
      <w:r w:rsidR="00737380" w:rsidRPr="00012C3F">
        <w:rPr>
          <w:rFonts w:eastAsia="MS Mincho"/>
          <w:sz w:val="20"/>
          <w:szCs w:val="20"/>
          <w:lang w:val="en-US" w:eastAsia="en-US" w:bidi="en-US"/>
        </w:rPr>
        <w:t xml:space="preserve"> the dignity of every human being, as well as </w:t>
      </w:r>
      <w:r w:rsidR="00724EF4" w:rsidRPr="00012C3F">
        <w:rPr>
          <w:rFonts w:eastAsia="MS Mincho"/>
          <w:sz w:val="20"/>
          <w:szCs w:val="20"/>
          <w:lang w:val="en-US" w:eastAsia="en-US" w:bidi="en-US"/>
        </w:rPr>
        <w:t>their</w:t>
      </w:r>
      <w:r w:rsidR="00737380" w:rsidRPr="00012C3F">
        <w:rPr>
          <w:rFonts w:eastAsia="MS Mincho"/>
          <w:sz w:val="20"/>
          <w:szCs w:val="20"/>
          <w:lang w:val="en-US" w:eastAsia="en-US" w:bidi="en-US"/>
        </w:rPr>
        <w:t xml:space="preserve"> right to</w:t>
      </w:r>
      <w:r w:rsidR="00724EF4" w:rsidRPr="00012C3F">
        <w:rPr>
          <w:rFonts w:eastAsia="MS Mincho"/>
          <w:sz w:val="20"/>
          <w:szCs w:val="20"/>
          <w:lang w:val="en-US" w:eastAsia="en-US" w:bidi="en-US"/>
        </w:rPr>
        <w:t xml:space="preserve"> personal</w:t>
      </w:r>
      <w:r w:rsidR="00737380" w:rsidRPr="00012C3F">
        <w:rPr>
          <w:rFonts w:eastAsia="MS Mincho"/>
          <w:sz w:val="20"/>
          <w:szCs w:val="20"/>
          <w:lang w:val="en-US" w:eastAsia="en-US" w:bidi="en-US"/>
        </w:rPr>
        <w:t xml:space="preserve"> liberty. This means that the individual may act according to his or her own wishes, </w:t>
      </w:r>
      <w:r w:rsidR="00724EF4" w:rsidRPr="00012C3F">
        <w:rPr>
          <w:rFonts w:eastAsia="MS Mincho"/>
          <w:sz w:val="20"/>
          <w:szCs w:val="20"/>
          <w:lang w:val="en-US" w:eastAsia="en-US" w:bidi="en-US"/>
        </w:rPr>
        <w:t xml:space="preserve">and </w:t>
      </w:r>
      <w:r w:rsidR="00737380" w:rsidRPr="00012C3F">
        <w:rPr>
          <w:rFonts w:eastAsia="MS Mincho"/>
          <w:sz w:val="20"/>
          <w:szCs w:val="20"/>
          <w:lang w:val="en-US" w:eastAsia="en-US" w:bidi="en-US"/>
        </w:rPr>
        <w:t xml:space="preserve">ability to consider choices, take decisions and act without the arbitrary interference of third parties, all of this within the limits established in the Convention. This is so, especially, in cases of female sterilization, because such procedures entail the permanent loss of reproductive capacity. The need to obtain informed consent protects not only the right of patients to decide freely whether they wish to submit to a medical act, but is also an essential mechanism to achieve the respect and guarantee of different human rights recognized by </w:t>
      </w:r>
      <w:r w:rsidRPr="00012C3F">
        <w:rPr>
          <w:rFonts w:eastAsia="MS Mincho"/>
          <w:sz w:val="20"/>
          <w:szCs w:val="20"/>
          <w:lang w:val="en-US" w:eastAsia="en-US" w:bidi="en-US"/>
        </w:rPr>
        <w:t>the American Convention</w:t>
      </w:r>
      <w:r w:rsidR="00E17AF2" w:rsidRPr="00012C3F">
        <w:rPr>
          <w:rFonts w:eastAsia="MS Mincho"/>
          <w:sz w:val="20"/>
          <w:szCs w:val="20"/>
          <w:lang w:val="en-US" w:eastAsia="en-US" w:bidi="en-US"/>
        </w:rPr>
        <w:t xml:space="preserve">, </w:t>
      </w:r>
      <w:r w:rsidR="00737380" w:rsidRPr="00012C3F">
        <w:rPr>
          <w:rFonts w:eastAsia="MS Mincho"/>
          <w:sz w:val="20"/>
          <w:szCs w:val="20"/>
          <w:lang w:val="en-US" w:eastAsia="en-US" w:bidi="en-US"/>
        </w:rPr>
        <w:t>such as to</w:t>
      </w:r>
      <w:r w:rsidR="00E17AF2" w:rsidRPr="00012C3F">
        <w:rPr>
          <w:rFonts w:eastAsia="MS Mincho"/>
          <w:sz w:val="20"/>
          <w:szCs w:val="20"/>
          <w:lang w:val="en-US" w:eastAsia="en-US" w:bidi="en-US"/>
        </w:rPr>
        <w:t xml:space="preserve"> </w:t>
      </w:r>
      <w:r w:rsidR="00130362" w:rsidRPr="00012C3F">
        <w:rPr>
          <w:rFonts w:eastAsia="MS Mincho"/>
          <w:sz w:val="20"/>
          <w:szCs w:val="20"/>
          <w:lang w:val="en-US" w:eastAsia="en-US" w:bidi="en-US"/>
        </w:rPr>
        <w:t>dignity</w:t>
      </w:r>
      <w:r w:rsidR="00E17AF2" w:rsidRPr="00012C3F">
        <w:rPr>
          <w:rFonts w:eastAsia="MS Mincho"/>
          <w:sz w:val="20"/>
          <w:szCs w:val="20"/>
          <w:lang w:val="en-US" w:eastAsia="en-US" w:bidi="en-US"/>
        </w:rPr>
        <w:t xml:space="preserve">, </w:t>
      </w:r>
      <w:r w:rsidR="00737380" w:rsidRPr="00012C3F">
        <w:rPr>
          <w:rFonts w:eastAsia="MS Mincho"/>
          <w:sz w:val="20"/>
          <w:szCs w:val="20"/>
          <w:lang w:val="en-US" w:eastAsia="en-US" w:bidi="en-US"/>
        </w:rPr>
        <w:t xml:space="preserve">to </w:t>
      </w:r>
      <w:r w:rsidR="00130362" w:rsidRPr="00012C3F">
        <w:rPr>
          <w:rFonts w:eastAsia="MS Mincho"/>
          <w:sz w:val="20"/>
          <w:szCs w:val="20"/>
          <w:lang w:val="en-US" w:eastAsia="en-US" w:bidi="en-US"/>
        </w:rPr>
        <w:t>personal liberty</w:t>
      </w:r>
      <w:r w:rsidR="00E17AF2" w:rsidRPr="00012C3F">
        <w:rPr>
          <w:rFonts w:eastAsia="MS Mincho"/>
          <w:sz w:val="20"/>
          <w:szCs w:val="20"/>
          <w:lang w:val="en-US" w:eastAsia="en-US" w:bidi="en-US"/>
        </w:rPr>
        <w:t xml:space="preserve">, </w:t>
      </w:r>
      <w:r w:rsidR="00737380" w:rsidRPr="00012C3F">
        <w:rPr>
          <w:rFonts w:eastAsia="MS Mincho"/>
          <w:sz w:val="20"/>
          <w:szCs w:val="20"/>
          <w:lang w:val="en-US" w:eastAsia="en-US" w:bidi="en-US"/>
        </w:rPr>
        <w:t xml:space="preserve">to </w:t>
      </w:r>
      <w:r w:rsidR="00E17AF2" w:rsidRPr="00012C3F">
        <w:rPr>
          <w:rFonts w:eastAsia="MS Mincho"/>
          <w:sz w:val="20"/>
          <w:szCs w:val="20"/>
          <w:lang w:val="en-US" w:eastAsia="en-US" w:bidi="en-US"/>
        </w:rPr>
        <w:t>personal</w:t>
      </w:r>
      <w:r w:rsidR="00737380" w:rsidRPr="00012C3F">
        <w:rPr>
          <w:rFonts w:eastAsia="MS Mincho"/>
          <w:sz w:val="20"/>
          <w:szCs w:val="20"/>
          <w:lang w:val="en-US" w:eastAsia="en-US" w:bidi="en-US"/>
        </w:rPr>
        <w:t xml:space="preserve"> integrity –</w:t>
      </w:r>
      <w:r w:rsidR="00E17AF2" w:rsidRPr="00012C3F">
        <w:rPr>
          <w:rFonts w:eastAsia="MS Mincho"/>
          <w:sz w:val="20"/>
          <w:szCs w:val="20"/>
          <w:lang w:val="en-US" w:eastAsia="en-US" w:bidi="en-US"/>
        </w:rPr>
        <w:t xml:space="preserve"> </w:t>
      </w:r>
      <w:r w:rsidR="00737380" w:rsidRPr="00012C3F">
        <w:rPr>
          <w:rFonts w:eastAsia="MS Mincho"/>
          <w:sz w:val="20"/>
          <w:szCs w:val="20"/>
          <w:lang w:val="en-US" w:eastAsia="en-US" w:bidi="en-US"/>
        </w:rPr>
        <w:t xml:space="preserve">including health care and, in particular, </w:t>
      </w:r>
      <w:r w:rsidR="00A54991" w:rsidRPr="00012C3F">
        <w:rPr>
          <w:rFonts w:eastAsia="MS Mincho"/>
          <w:sz w:val="20"/>
          <w:szCs w:val="20"/>
          <w:lang w:val="en-US" w:eastAsia="en-US" w:bidi="en-US"/>
        </w:rPr>
        <w:t>sexual and reproductive health</w:t>
      </w:r>
      <w:r w:rsidR="00724EF4" w:rsidRPr="00012C3F">
        <w:rPr>
          <w:rFonts w:eastAsia="MS Mincho"/>
          <w:sz w:val="20"/>
          <w:szCs w:val="20"/>
          <w:lang w:val="en-US" w:eastAsia="en-US" w:bidi="en-US"/>
        </w:rPr>
        <w:t xml:space="preserve"> care</w:t>
      </w:r>
      <w:r w:rsidR="00737380" w:rsidRPr="00012C3F">
        <w:rPr>
          <w:rFonts w:eastAsia="MS Mincho"/>
          <w:sz w:val="20"/>
          <w:szCs w:val="20"/>
          <w:lang w:val="en-US" w:eastAsia="en-US" w:bidi="en-US"/>
        </w:rPr>
        <w:t xml:space="preserve"> – to p</w:t>
      </w:r>
      <w:r w:rsidR="00130362" w:rsidRPr="00012C3F">
        <w:rPr>
          <w:rFonts w:eastAsia="MS Mincho"/>
          <w:sz w:val="20"/>
          <w:szCs w:val="20"/>
          <w:lang w:val="en-US" w:eastAsia="en-US" w:bidi="en-US"/>
        </w:rPr>
        <w:t>rivate and family life</w:t>
      </w:r>
      <w:r w:rsidR="005E5012" w:rsidRPr="00012C3F">
        <w:rPr>
          <w:rFonts w:eastAsia="MS Mincho"/>
          <w:sz w:val="20"/>
          <w:szCs w:val="20"/>
          <w:lang w:val="en-US" w:eastAsia="en-US" w:bidi="en-US"/>
        </w:rPr>
        <w:t xml:space="preserve"> and </w:t>
      </w:r>
      <w:r w:rsidR="00EF483B" w:rsidRPr="00012C3F">
        <w:rPr>
          <w:rFonts w:eastAsia="MS Mincho"/>
          <w:sz w:val="20"/>
          <w:szCs w:val="20"/>
          <w:lang w:val="en-US" w:eastAsia="en-US" w:bidi="en-US"/>
        </w:rPr>
        <w:t xml:space="preserve">to </w:t>
      </w:r>
      <w:r w:rsidR="0081491F" w:rsidRPr="00012C3F">
        <w:rPr>
          <w:rFonts w:eastAsia="MS Mincho"/>
          <w:sz w:val="20"/>
          <w:szCs w:val="20"/>
          <w:lang w:val="en-US" w:eastAsia="en-US" w:bidi="en-US"/>
        </w:rPr>
        <w:t>raise a family</w:t>
      </w:r>
      <w:r w:rsidR="00E17AF2" w:rsidRPr="00012C3F">
        <w:rPr>
          <w:rFonts w:eastAsia="MS Mincho"/>
          <w:sz w:val="20"/>
          <w:szCs w:val="20"/>
          <w:lang w:val="en-US" w:eastAsia="en-US" w:bidi="en-US"/>
        </w:rPr>
        <w:t xml:space="preserve">. </w:t>
      </w:r>
      <w:r w:rsidR="00737380" w:rsidRPr="00012C3F">
        <w:rPr>
          <w:rFonts w:eastAsia="MS Mincho"/>
          <w:sz w:val="20"/>
          <w:szCs w:val="20"/>
          <w:lang w:val="en-US" w:eastAsia="en-US" w:bidi="en-US"/>
        </w:rPr>
        <w:t xml:space="preserve">In addition, the Court finds that the guarantee of free consent and the right </w:t>
      </w:r>
      <w:r w:rsidR="00724EF4" w:rsidRPr="00012C3F">
        <w:rPr>
          <w:rFonts w:eastAsia="MS Mincho"/>
          <w:sz w:val="20"/>
          <w:szCs w:val="20"/>
          <w:lang w:val="en-US" w:eastAsia="en-US" w:bidi="en-US"/>
        </w:rPr>
        <w:t>to</w:t>
      </w:r>
      <w:r w:rsidR="00737380" w:rsidRPr="00012C3F">
        <w:rPr>
          <w:rFonts w:eastAsia="MS Mincho"/>
          <w:sz w:val="20"/>
          <w:szCs w:val="20"/>
          <w:lang w:val="en-US" w:eastAsia="en-US" w:bidi="en-US"/>
        </w:rPr>
        <w:t xml:space="preserve"> autonomy in the choice of contraception methods is an effective deterrence, especially in the case of women, of the practice of involuntary, non-consensual, coercive or forced sterilization.</w:t>
      </w:r>
    </w:p>
    <w:p w14:paraId="1D864301" w14:textId="77777777" w:rsidR="00E17AF2" w:rsidRPr="00012C3F" w:rsidRDefault="00E17AF2" w:rsidP="00936568">
      <w:pPr>
        <w:widowControl/>
        <w:tabs>
          <w:tab w:val="left" w:pos="720"/>
        </w:tabs>
        <w:adjustRightInd/>
        <w:spacing w:line="240" w:lineRule="auto"/>
        <w:ind w:right="-90"/>
        <w:textAlignment w:val="auto"/>
        <w:rPr>
          <w:rFonts w:eastAsia="MS Mincho"/>
          <w:sz w:val="20"/>
          <w:szCs w:val="20"/>
          <w:lang w:val="en-US" w:eastAsia="en-US" w:bidi="en-US"/>
        </w:rPr>
      </w:pPr>
    </w:p>
    <w:p w14:paraId="42C53509" w14:textId="77777777" w:rsidR="00E17AF2" w:rsidRPr="00012C3F" w:rsidRDefault="001254DE" w:rsidP="00936568">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sz w:val="20"/>
          <w:szCs w:val="20"/>
          <w:lang w:val="en-US"/>
        </w:rPr>
        <w:t>The Court</w:t>
      </w:r>
      <w:r w:rsidR="00E17AF2" w:rsidRPr="00012C3F">
        <w:rPr>
          <w:rFonts w:eastAsia="MS Mincho"/>
          <w:sz w:val="20"/>
          <w:szCs w:val="20"/>
          <w:lang w:val="en-US" w:eastAsia="en-US" w:bidi="en-US"/>
        </w:rPr>
        <w:t xml:space="preserve"> </w:t>
      </w:r>
      <w:r w:rsidR="00936568" w:rsidRPr="00012C3F">
        <w:rPr>
          <w:rFonts w:cs="Arial"/>
          <w:sz w:val="20"/>
          <w:szCs w:val="20"/>
          <w:lang w:val="en-US"/>
        </w:rPr>
        <w:t xml:space="preserve">considers that the concept of informed consent consists in a prior decision to accept or to submit to a medical act in the broadest sense, </w:t>
      </w:r>
      <w:r w:rsidR="00724EF4" w:rsidRPr="00012C3F">
        <w:rPr>
          <w:rFonts w:cs="Arial"/>
          <w:sz w:val="20"/>
          <w:szCs w:val="20"/>
          <w:lang w:val="en-US"/>
        </w:rPr>
        <w:t>which</w:t>
      </w:r>
      <w:r w:rsidR="00936568" w:rsidRPr="00012C3F">
        <w:rPr>
          <w:rFonts w:cs="Arial"/>
          <w:sz w:val="20"/>
          <w:szCs w:val="20"/>
          <w:lang w:val="en-US"/>
        </w:rPr>
        <w:t xml:space="preserve"> has been freely obtained – in other words, without threats or coercion, improper induction or incentives – and given after obtaining adequate, complete, reliable, comprehensible and accessible information, provided that this information ha</w:t>
      </w:r>
      <w:r w:rsidR="00724EF4" w:rsidRPr="00012C3F">
        <w:rPr>
          <w:rFonts w:cs="Arial"/>
          <w:sz w:val="20"/>
          <w:szCs w:val="20"/>
          <w:lang w:val="en-US"/>
        </w:rPr>
        <w:t>s</w:t>
      </w:r>
      <w:r w:rsidR="00936568" w:rsidRPr="00012C3F">
        <w:rPr>
          <w:rFonts w:cs="Arial"/>
          <w:sz w:val="20"/>
          <w:szCs w:val="20"/>
          <w:lang w:val="en-US"/>
        </w:rPr>
        <w:t xml:space="preserve"> really been understood, which would allow the individual to give their full consent. </w:t>
      </w:r>
      <w:r w:rsidR="00936568" w:rsidRPr="00012C3F">
        <w:rPr>
          <w:rFonts w:eastAsia="Calibri" w:cs="ClassicalGaramondBT-Roman"/>
          <w:sz w:val="20"/>
          <w:szCs w:val="20"/>
          <w:lang w:val="en-US" w:eastAsia="en-US" w:bidi="en-US"/>
        </w:rPr>
        <w:t>I</w:t>
      </w:r>
      <w:r w:rsidR="00AC0004" w:rsidRPr="00012C3F">
        <w:rPr>
          <w:rFonts w:eastAsia="Calibri" w:cs="ClassicalGaramondBT-Roman"/>
          <w:sz w:val="20"/>
          <w:szCs w:val="20"/>
          <w:lang w:val="en-US" w:eastAsia="en-US" w:bidi="en-US"/>
        </w:rPr>
        <w:t>nformed consent</w:t>
      </w:r>
      <w:r w:rsidR="00E17AF2" w:rsidRPr="00012C3F">
        <w:rPr>
          <w:rFonts w:eastAsia="Calibri" w:cs="ClassicalGaramondBT-Roman"/>
          <w:sz w:val="20"/>
          <w:szCs w:val="20"/>
          <w:lang w:val="en-US" w:eastAsia="en-US" w:bidi="en-US"/>
        </w:rPr>
        <w:t xml:space="preserve"> </w:t>
      </w:r>
      <w:r w:rsidR="00936568" w:rsidRPr="00012C3F">
        <w:rPr>
          <w:rFonts w:eastAsia="Calibri" w:cs="ClassicalGaramondBT-Roman"/>
          <w:sz w:val="20"/>
          <w:szCs w:val="20"/>
          <w:lang w:val="en-US" w:eastAsia="en-US" w:bidi="en-US"/>
        </w:rPr>
        <w:t>is the positive decision to submit to a medical act resulting from a decision process</w:t>
      </w:r>
      <w:r w:rsidR="00724EF4" w:rsidRPr="00012C3F">
        <w:rPr>
          <w:rFonts w:eastAsia="Calibri" w:cs="ClassicalGaramondBT-Roman"/>
          <w:sz w:val="20"/>
          <w:szCs w:val="20"/>
          <w:lang w:val="en-US" w:eastAsia="en-US" w:bidi="en-US"/>
        </w:rPr>
        <w:t>,</w:t>
      </w:r>
      <w:r w:rsidR="00936568" w:rsidRPr="00012C3F">
        <w:rPr>
          <w:rFonts w:eastAsia="Calibri" w:cs="ClassicalGaramondBT-Roman"/>
          <w:sz w:val="20"/>
          <w:szCs w:val="20"/>
          <w:lang w:val="en-US" w:eastAsia="en-US" w:bidi="en-US"/>
        </w:rPr>
        <w:t xml:space="preserve"> or prior, free and informed choice, which constitutes a two-way mechanism of interaction in the physician-patient relationship, through which the patient plays an active role in the decision-making, thus moving away from the paternalistic view of medicine, and focusing on the autonomy of the individual</w:t>
      </w:r>
      <w:r w:rsidR="00936568" w:rsidRPr="00012C3F">
        <w:rPr>
          <w:rFonts w:eastAsia="MS Mincho"/>
          <w:b/>
          <w:i/>
          <w:sz w:val="20"/>
          <w:szCs w:val="20"/>
          <w:lang w:val="en-US" w:eastAsia="en-US" w:bidi="en-US"/>
        </w:rPr>
        <w:t xml:space="preserve"> </w:t>
      </w:r>
      <w:r w:rsidR="00936568" w:rsidRPr="00012C3F">
        <w:rPr>
          <w:rFonts w:eastAsia="Calibri" w:cs="ClassicalGaramondBT-Roman"/>
          <w:sz w:val="20"/>
          <w:szCs w:val="20"/>
          <w:lang w:val="en-US" w:eastAsia="en-US" w:bidi="en-US"/>
        </w:rPr>
        <w:t>(</w:t>
      </w:r>
      <w:r w:rsidR="00724EF4" w:rsidRPr="00012C3F">
        <w:rPr>
          <w:rFonts w:eastAsia="Calibri" w:cs="ClassicalGaramondBT-Roman"/>
          <w:i/>
          <w:sz w:val="20"/>
          <w:szCs w:val="20"/>
          <w:lang w:val="en-US" w:eastAsia="en-US" w:bidi="en-US"/>
        </w:rPr>
        <w:t>supra</w:t>
      </w:r>
      <w:r w:rsidR="00724EF4" w:rsidRPr="00012C3F">
        <w:rPr>
          <w:rFonts w:eastAsia="Calibri" w:cs="ClassicalGaramondBT-Roman"/>
          <w:sz w:val="20"/>
          <w:szCs w:val="20"/>
          <w:lang w:val="en-US" w:eastAsia="en-US" w:bidi="en-US"/>
        </w:rPr>
        <w:t xml:space="preserve"> paras. </w:t>
      </w:r>
      <w:r w:rsidR="00936568" w:rsidRPr="00012C3F">
        <w:rPr>
          <w:rFonts w:eastAsia="Calibri" w:cs="ClassicalGaramondBT-Roman"/>
          <w:sz w:val="20"/>
          <w:szCs w:val="20"/>
          <w:lang w:val="en-US" w:eastAsia="en-US" w:bidi="en-US"/>
        </w:rPr>
        <w:t>1</w:t>
      </w:r>
      <w:r w:rsidR="00FD4F89" w:rsidRPr="00012C3F">
        <w:rPr>
          <w:rFonts w:eastAsia="Calibri" w:cs="ClassicalGaramondBT-Roman"/>
          <w:sz w:val="20"/>
          <w:szCs w:val="20"/>
          <w:lang w:val="en-US" w:eastAsia="en-US" w:bidi="en-US"/>
        </w:rPr>
        <w:t>60</w:t>
      </w:r>
      <w:r w:rsidR="005E5012" w:rsidRPr="00012C3F">
        <w:rPr>
          <w:rFonts w:eastAsia="Calibri" w:cs="ClassicalGaramondBT-Roman"/>
          <w:sz w:val="20"/>
          <w:szCs w:val="20"/>
          <w:lang w:val="en-US" w:eastAsia="en-US" w:bidi="en-US"/>
        </w:rPr>
        <w:t xml:space="preserve"> and </w:t>
      </w:r>
      <w:r w:rsidR="00FD4F89" w:rsidRPr="00012C3F">
        <w:rPr>
          <w:rFonts w:eastAsia="Calibri" w:cs="ClassicalGaramondBT-Roman"/>
          <w:sz w:val="20"/>
          <w:szCs w:val="20"/>
          <w:lang w:val="en-US" w:eastAsia="en-US" w:bidi="en-US"/>
        </w:rPr>
        <w:t>161</w:t>
      </w:r>
      <w:r w:rsidR="00C26B30" w:rsidRPr="00012C3F">
        <w:rPr>
          <w:rFonts w:eastAsia="Calibri" w:cs="ClassicalGaramondBT-Roman"/>
          <w:sz w:val="20"/>
          <w:szCs w:val="20"/>
          <w:lang w:val="en-US" w:eastAsia="en-US" w:bidi="en-US"/>
        </w:rPr>
        <w:t>)</w:t>
      </w:r>
      <w:r w:rsidR="00E17AF2" w:rsidRPr="00012C3F">
        <w:rPr>
          <w:rFonts w:eastAsia="Calibri" w:cs="ClassicalGaramondBT-Roman"/>
          <w:sz w:val="20"/>
          <w:szCs w:val="20"/>
          <w:lang w:val="en-US" w:eastAsia="en-US" w:bidi="en-US"/>
        </w:rPr>
        <w:t xml:space="preserve">. </w:t>
      </w:r>
      <w:r w:rsidR="00936568" w:rsidRPr="00012C3F">
        <w:rPr>
          <w:rFonts w:eastAsia="Calibri" w:cs="ClassicalGaramondBT-Roman"/>
          <w:sz w:val="20"/>
          <w:szCs w:val="20"/>
          <w:lang w:val="en-US" w:eastAsia="en-US" w:bidi="en-US"/>
        </w:rPr>
        <w:t xml:space="preserve">This </w:t>
      </w:r>
      <w:r w:rsidR="00936568" w:rsidRPr="00012C3F">
        <w:rPr>
          <w:rFonts w:cs="Arial"/>
          <w:sz w:val="20"/>
          <w:szCs w:val="20"/>
          <w:lang w:val="en-US"/>
        </w:rPr>
        <w:t>consists not only in an act of acceptance</w:t>
      </w:r>
      <w:r w:rsidR="00936568" w:rsidRPr="00012C3F">
        <w:rPr>
          <w:rFonts w:eastAsia="Calibri" w:cs="ClassicalGaramondBT-Roman"/>
          <w:sz w:val="20"/>
          <w:szCs w:val="20"/>
          <w:lang w:val="en-US" w:eastAsia="en-US" w:bidi="en-US"/>
        </w:rPr>
        <w:t>,</w:t>
      </w:r>
      <w:r w:rsidR="00E17AF2" w:rsidRPr="00012C3F">
        <w:rPr>
          <w:rFonts w:eastAsia="Calibri" w:cs="ClassicalGaramondBT-Roman"/>
          <w:sz w:val="20"/>
          <w:szCs w:val="20"/>
          <w:vertAlign w:val="superscript"/>
          <w:lang w:val="en-US" w:eastAsia="en-US" w:bidi="en-US"/>
        </w:rPr>
        <w:footnoteReference w:id="195"/>
      </w:r>
      <w:r w:rsidR="00E17AF2" w:rsidRPr="00012C3F">
        <w:rPr>
          <w:rFonts w:eastAsia="Calibri" w:cs="ClassicalGaramondBT-Roman"/>
          <w:sz w:val="20"/>
          <w:szCs w:val="20"/>
          <w:lang w:val="en-US" w:eastAsia="en-US" w:bidi="en-US"/>
        </w:rPr>
        <w:t xml:space="preserve"> </w:t>
      </w:r>
      <w:r w:rsidR="00936568" w:rsidRPr="00012C3F">
        <w:rPr>
          <w:rFonts w:cs="Arial"/>
          <w:sz w:val="20"/>
          <w:szCs w:val="20"/>
          <w:lang w:val="en-US"/>
        </w:rPr>
        <w:t xml:space="preserve">but also in the result of a process in which the following </w:t>
      </w:r>
      <w:r w:rsidR="001C2E6D" w:rsidRPr="00012C3F">
        <w:rPr>
          <w:rFonts w:cs="Arial"/>
          <w:sz w:val="20"/>
          <w:szCs w:val="20"/>
          <w:lang w:val="en-US"/>
        </w:rPr>
        <w:t>elements</w:t>
      </w:r>
      <w:r w:rsidR="00724EF4" w:rsidRPr="00012C3F">
        <w:rPr>
          <w:rFonts w:cs="Arial"/>
          <w:sz w:val="20"/>
          <w:szCs w:val="20"/>
          <w:lang w:val="en-US"/>
        </w:rPr>
        <w:t xml:space="preserve"> must be </w:t>
      </w:r>
      <w:r w:rsidR="001C2E6D" w:rsidRPr="00012C3F">
        <w:rPr>
          <w:rFonts w:cs="Arial"/>
          <w:sz w:val="20"/>
          <w:szCs w:val="20"/>
          <w:lang w:val="en-US"/>
        </w:rPr>
        <w:t>present</w:t>
      </w:r>
      <w:r w:rsidR="00936568" w:rsidRPr="00012C3F">
        <w:rPr>
          <w:rFonts w:cs="Arial"/>
          <w:sz w:val="20"/>
          <w:szCs w:val="20"/>
          <w:lang w:val="en-US"/>
        </w:rPr>
        <w:t xml:space="preserve"> for it to be considered valid: the consent must be prior, free, full and informed. All these elements are interrelated, because consent cannot be free and full if it has not been given after</w:t>
      </w:r>
      <w:r w:rsidR="00724EF4" w:rsidRPr="00012C3F">
        <w:rPr>
          <w:rFonts w:cs="Arial"/>
          <w:sz w:val="20"/>
          <w:szCs w:val="20"/>
          <w:lang w:val="en-US"/>
        </w:rPr>
        <w:t xml:space="preserve"> the patient has</w:t>
      </w:r>
      <w:r w:rsidR="00936568" w:rsidRPr="00012C3F">
        <w:rPr>
          <w:rFonts w:cs="Arial"/>
          <w:sz w:val="20"/>
          <w:szCs w:val="20"/>
          <w:lang w:val="en-US"/>
        </w:rPr>
        <w:t xml:space="preserve"> obtain</w:t>
      </w:r>
      <w:r w:rsidR="00724EF4" w:rsidRPr="00012C3F">
        <w:rPr>
          <w:rFonts w:cs="Arial"/>
          <w:sz w:val="20"/>
          <w:szCs w:val="20"/>
          <w:lang w:val="en-US"/>
        </w:rPr>
        <w:t>ed</w:t>
      </w:r>
      <w:r w:rsidR="00936568" w:rsidRPr="00012C3F">
        <w:rPr>
          <w:rFonts w:cs="Arial"/>
          <w:sz w:val="20"/>
          <w:szCs w:val="20"/>
          <w:lang w:val="en-US"/>
        </w:rPr>
        <w:t xml:space="preserve"> and underst</w:t>
      </w:r>
      <w:r w:rsidR="00724EF4" w:rsidRPr="00012C3F">
        <w:rPr>
          <w:rFonts w:cs="Arial"/>
          <w:sz w:val="20"/>
          <w:szCs w:val="20"/>
          <w:lang w:val="en-US"/>
        </w:rPr>
        <w:t>ood</w:t>
      </w:r>
      <w:r w:rsidR="00936568" w:rsidRPr="00012C3F">
        <w:rPr>
          <w:rFonts w:cs="Arial"/>
          <w:sz w:val="20"/>
          <w:szCs w:val="20"/>
          <w:lang w:val="en-US"/>
        </w:rPr>
        <w:t xml:space="preserve"> comprehensive information</w:t>
      </w:r>
      <w:r w:rsidR="00E17AF2" w:rsidRPr="00012C3F">
        <w:rPr>
          <w:rFonts w:eastAsia="Calibri" w:cs="ClassicalGaramondBT-Roman"/>
          <w:sz w:val="20"/>
          <w:szCs w:val="20"/>
          <w:lang w:val="en-US" w:eastAsia="en-US" w:bidi="en-US"/>
        </w:rPr>
        <w:t>.</w:t>
      </w:r>
    </w:p>
    <w:p w14:paraId="2290728A" w14:textId="77777777" w:rsidR="00E17AF2" w:rsidRPr="00012C3F" w:rsidRDefault="00E17AF2" w:rsidP="00936568">
      <w:pPr>
        <w:tabs>
          <w:tab w:val="left" w:pos="720"/>
        </w:tabs>
        <w:spacing w:line="240" w:lineRule="auto"/>
        <w:rPr>
          <w:rFonts w:eastAsia="MS Mincho"/>
          <w:b/>
          <w:i/>
          <w:sz w:val="20"/>
          <w:szCs w:val="20"/>
          <w:lang w:val="en-US" w:eastAsia="en-US" w:bidi="en-US"/>
        </w:rPr>
      </w:pPr>
    </w:p>
    <w:p w14:paraId="1A86CA90" w14:textId="77777777" w:rsidR="00E17AF2" w:rsidRPr="00012C3F" w:rsidRDefault="00936568" w:rsidP="005B6F56">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 xml:space="preserve">In this regard, </w:t>
      </w:r>
      <w:r w:rsidR="001254DE"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finds it necessary to refer, first, to the Stat</w:t>
      </w:r>
      <w:r w:rsidR="0079674D" w:rsidRPr="00012C3F">
        <w:rPr>
          <w:rFonts w:eastAsia="MS Mincho"/>
          <w:sz w:val="20"/>
          <w:szCs w:val="20"/>
          <w:lang w:val="en-US" w:eastAsia="en-US" w:bidi="en-US"/>
        </w:rPr>
        <w:t>e</w:t>
      </w:r>
      <w:r w:rsidRPr="00012C3F">
        <w:rPr>
          <w:rFonts w:eastAsia="MS Mincho"/>
          <w:sz w:val="20"/>
          <w:szCs w:val="20"/>
          <w:lang w:val="en-US" w:eastAsia="en-US" w:bidi="en-US"/>
        </w:rPr>
        <w:t>’s argument</w:t>
      </w:r>
      <w:r w:rsidR="005B6F56" w:rsidRPr="00012C3F">
        <w:rPr>
          <w:rFonts w:eastAsia="MS Mincho"/>
          <w:sz w:val="20"/>
          <w:szCs w:val="20"/>
          <w:lang w:val="en-US" w:eastAsia="en-US" w:bidi="en-US"/>
        </w:rPr>
        <w:t xml:space="preserve"> that, </w:t>
      </w:r>
      <w:r w:rsidR="00724EF4" w:rsidRPr="00012C3F">
        <w:rPr>
          <w:rFonts w:eastAsia="MS Mincho"/>
          <w:sz w:val="20"/>
          <w:szCs w:val="20"/>
          <w:lang w:val="en-US" w:eastAsia="en-US" w:bidi="en-US"/>
        </w:rPr>
        <w:t xml:space="preserve">when </w:t>
      </w:r>
      <w:r w:rsidR="005B6F56" w:rsidRPr="00012C3F">
        <w:rPr>
          <w:rFonts w:eastAsia="MS Mincho"/>
          <w:sz w:val="20"/>
          <w:szCs w:val="20"/>
          <w:lang w:val="en-US" w:eastAsia="en-US" w:bidi="en-US"/>
        </w:rPr>
        <w:t>the facts of this case occurred, July 1, 2000, several of the standards for informed consent, in particular</w:t>
      </w:r>
      <w:r w:rsidR="001C2E6D" w:rsidRPr="00012C3F">
        <w:rPr>
          <w:rFonts w:eastAsia="MS Mincho"/>
          <w:sz w:val="20"/>
          <w:szCs w:val="20"/>
          <w:lang w:val="en-US" w:eastAsia="en-US" w:bidi="en-US"/>
        </w:rPr>
        <w:t xml:space="preserve"> regarding</w:t>
      </w:r>
      <w:r w:rsidR="005B6F56" w:rsidRPr="00012C3F">
        <w:rPr>
          <w:rFonts w:eastAsia="MS Mincho"/>
          <w:sz w:val="20"/>
          <w:szCs w:val="20"/>
          <w:lang w:val="en-US" w:eastAsia="en-US" w:bidi="en-US"/>
        </w:rPr>
        <w:t xml:space="preserve"> the information that health-care personnel should provide to the patient</w:t>
      </w:r>
      <w:r w:rsidR="00724EF4" w:rsidRPr="00012C3F">
        <w:rPr>
          <w:rFonts w:eastAsia="MS Mincho"/>
          <w:sz w:val="20"/>
          <w:szCs w:val="20"/>
          <w:lang w:val="en-US" w:eastAsia="en-US" w:bidi="en-US"/>
        </w:rPr>
        <w:t>,</w:t>
      </w:r>
      <w:r w:rsidR="005B6F56" w:rsidRPr="00012C3F">
        <w:rPr>
          <w:rFonts w:eastAsia="MS Mincho"/>
          <w:sz w:val="20"/>
          <w:szCs w:val="20"/>
          <w:lang w:val="en-US" w:eastAsia="en-US" w:bidi="en-US"/>
        </w:rPr>
        <w:t xml:space="preserve"> were not in force. The Court understands that the essential elements of consent have remained untouched throughout the evolution of the concept, as will be referred to below. However, it is possible to note that, nowadays, these elements have been incorporated into both international law and the domestic law of the States including, for example, more detail and specificity </w:t>
      </w:r>
      <w:r w:rsidR="001C2E6D" w:rsidRPr="00012C3F">
        <w:rPr>
          <w:rFonts w:eastAsia="MS Mincho"/>
          <w:sz w:val="20"/>
          <w:szCs w:val="20"/>
          <w:lang w:val="en-US" w:eastAsia="en-US" w:bidi="en-US"/>
        </w:rPr>
        <w:t>concerning</w:t>
      </w:r>
      <w:r w:rsidR="005B6F56" w:rsidRPr="00012C3F">
        <w:rPr>
          <w:rFonts w:eastAsia="MS Mincho"/>
          <w:sz w:val="20"/>
          <w:szCs w:val="20"/>
          <w:lang w:val="en-US" w:eastAsia="en-US" w:bidi="en-US"/>
        </w:rPr>
        <w:t xml:space="preserve"> the </w:t>
      </w:r>
      <w:r w:rsidR="001C2E6D" w:rsidRPr="00012C3F">
        <w:rPr>
          <w:rFonts w:eastAsia="MS Mincho"/>
          <w:sz w:val="20"/>
          <w:szCs w:val="20"/>
          <w:lang w:val="en-US" w:eastAsia="en-US" w:bidi="en-US"/>
        </w:rPr>
        <w:t xml:space="preserve">type and </w:t>
      </w:r>
      <w:r w:rsidR="005B6F56" w:rsidRPr="00012C3F">
        <w:rPr>
          <w:rFonts w:eastAsia="MS Mincho"/>
          <w:sz w:val="20"/>
          <w:szCs w:val="20"/>
          <w:lang w:val="en-US" w:eastAsia="en-US" w:bidi="en-US"/>
        </w:rPr>
        <w:t xml:space="preserve">content </w:t>
      </w:r>
      <w:r w:rsidR="001C2E6D" w:rsidRPr="00012C3F">
        <w:rPr>
          <w:rFonts w:eastAsia="MS Mincho"/>
          <w:sz w:val="20"/>
          <w:szCs w:val="20"/>
          <w:lang w:val="en-US" w:eastAsia="en-US" w:bidi="en-US"/>
        </w:rPr>
        <w:t>of the</w:t>
      </w:r>
      <w:r w:rsidR="005B6F56" w:rsidRPr="00012C3F">
        <w:rPr>
          <w:rFonts w:eastAsia="MS Mincho"/>
          <w:sz w:val="20"/>
          <w:szCs w:val="20"/>
          <w:lang w:val="en-US" w:eastAsia="en-US" w:bidi="en-US"/>
        </w:rPr>
        <w:t xml:space="preserve"> information that must be provide to the patient so that the latter can </w:t>
      </w:r>
      <w:r w:rsidR="005B6F56" w:rsidRPr="00012C3F">
        <w:rPr>
          <w:rFonts w:eastAsia="MS Mincho"/>
          <w:sz w:val="20"/>
          <w:szCs w:val="20"/>
          <w:lang w:val="en-US" w:eastAsia="en-US" w:bidi="en-US"/>
        </w:rPr>
        <w:lastRenderedPageBreak/>
        <w:t xml:space="preserve">take a decision, depending on </w:t>
      </w:r>
      <w:r w:rsidR="004914D2" w:rsidRPr="00012C3F">
        <w:rPr>
          <w:rFonts w:eastAsia="MS Mincho"/>
          <w:sz w:val="20"/>
          <w:szCs w:val="20"/>
          <w:lang w:val="en-US" w:eastAsia="en-US" w:bidi="en-US"/>
        </w:rPr>
        <w:t>the medical intervention</w:t>
      </w:r>
      <w:r w:rsidR="005B6F56" w:rsidRPr="00012C3F">
        <w:rPr>
          <w:rFonts w:eastAsia="MS Mincho"/>
          <w:sz w:val="20"/>
          <w:szCs w:val="20"/>
          <w:lang w:val="en-US" w:eastAsia="en-US" w:bidi="en-US"/>
        </w:rPr>
        <w:t xml:space="preserve"> concerned. In the Court’s opinion, this means that</w:t>
      </w:r>
      <w:r w:rsidR="001C2E6D" w:rsidRPr="00012C3F">
        <w:rPr>
          <w:rFonts w:eastAsia="MS Mincho"/>
          <w:sz w:val="20"/>
          <w:szCs w:val="20"/>
          <w:lang w:val="en-US" w:eastAsia="en-US" w:bidi="en-US"/>
        </w:rPr>
        <w:t xml:space="preserve">, </w:t>
      </w:r>
      <w:r w:rsidR="005B6F56" w:rsidRPr="00012C3F">
        <w:rPr>
          <w:rFonts w:eastAsia="MS Mincho"/>
          <w:sz w:val="20"/>
          <w:szCs w:val="20"/>
          <w:lang w:val="en-US" w:eastAsia="en-US" w:bidi="en-US"/>
        </w:rPr>
        <w:t>in a case of sterilization in 2000</w:t>
      </w:r>
      <w:r w:rsidR="001C2E6D" w:rsidRPr="00012C3F">
        <w:rPr>
          <w:rFonts w:eastAsia="MS Mincho"/>
          <w:sz w:val="20"/>
          <w:szCs w:val="20"/>
          <w:lang w:val="en-US" w:eastAsia="en-US" w:bidi="en-US"/>
        </w:rPr>
        <w:t>, the basic essential information</w:t>
      </w:r>
      <w:r w:rsidR="005B6F56" w:rsidRPr="00012C3F">
        <w:rPr>
          <w:rFonts w:eastAsia="MS Mincho"/>
          <w:sz w:val="20"/>
          <w:szCs w:val="20"/>
          <w:lang w:val="en-US" w:eastAsia="en-US" w:bidi="en-US"/>
        </w:rPr>
        <w:t xml:space="preserve"> could not be </w:t>
      </w:r>
      <w:r w:rsidR="001C2E6D" w:rsidRPr="00012C3F">
        <w:rPr>
          <w:rFonts w:eastAsia="MS Mincho"/>
          <w:sz w:val="20"/>
          <w:szCs w:val="20"/>
          <w:lang w:val="en-US" w:eastAsia="en-US" w:bidi="en-US"/>
        </w:rPr>
        <w:t>omitted</w:t>
      </w:r>
      <w:r w:rsidR="005B6F56" w:rsidRPr="00012C3F">
        <w:rPr>
          <w:rFonts w:eastAsia="MS Mincho"/>
          <w:sz w:val="20"/>
          <w:szCs w:val="20"/>
          <w:lang w:val="en-US" w:eastAsia="en-US" w:bidi="en-US"/>
        </w:rPr>
        <w:t xml:space="preserve"> by the health personnel</w:t>
      </w:r>
      <w:r w:rsidR="00E17AF2" w:rsidRPr="00012C3F">
        <w:rPr>
          <w:rFonts w:eastAsia="MS Mincho" w:cs="Arial"/>
          <w:sz w:val="20"/>
          <w:szCs w:val="20"/>
          <w:lang w:val="en-US" w:eastAsia="en-US" w:bidi="en-US"/>
        </w:rPr>
        <w:t xml:space="preserve"> (</w:t>
      </w:r>
      <w:r w:rsidR="00E17AF2" w:rsidRPr="00012C3F">
        <w:rPr>
          <w:rFonts w:eastAsia="MS Mincho" w:cs="Arial"/>
          <w:i/>
          <w:sz w:val="20"/>
          <w:szCs w:val="20"/>
          <w:lang w:val="en-US" w:eastAsia="en-US" w:bidi="en-US"/>
        </w:rPr>
        <w:t>infra</w:t>
      </w:r>
      <w:r w:rsidR="00E17AF2" w:rsidRPr="00012C3F">
        <w:rPr>
          <w:rFonts w:eastAsia="MS Mincho" w:cs="Arial"/>
          <w:sz w:val="20"/>
          <w:szCs w:val="20"/>
          <w:lang w:val="en-US" w:eastAsia="en-US" w:bidi="en-US"/>
        </w:rPr>
        <w:t xml:space="preserve"> </w:t>
      </w:r>
      <w:r w:rsidR="00370DD4" w:rsidRPr="00012C3F">
        <w:rPr>
          <w:rFonts w:eastAsia="MS Mincho" w:cs="Arial"/>
          <w:sz w:val="20"/>
          <w:szCs w:val="20"/>
          <w:lang w:val="en-US" w:eastAsia="en-US" w:bidi="en-US"/>
        </w:rPr>
        <w:t>para.</w:t>
      </w:r>
      <w:r w:rsidR="00E17AF2" w:rsidRPr="00012C3F">
        <w:rPr>
          <w:rFonts w:eastAsia="MS Mincho" w:cs="Arial"/>
          <w:sz w:val="20"/>
          <w:szCs w:val="20"/>
          <w:lang w:val="en-US" w:eastAsia="en-US" w:bidi="en-US"/>
        </w:rPr>
        <w:t xml:space="preserve"> </w:t>
      </w:r>
      <w:r w:rsidR="00824008" w:rsidRPr="00012C3F">
        <w:rPr>
          <w:rFonts w:eastAsia="MS Mincho" w:cs="Arial"/>
          <w:sz w:val="20"/>
          <w:szCs w:val="20"/>
          <w:lang w:val="en-US" w:eastAsia="en-US" w:bidi="en-US"/>
        </w:rPr>
        <w:t xml:space="preserve">190). </w:t>
      </w:r>
      <w:r w:rsidR="00E17AF2" w:rsidRPr="00012C3F">
        <w:rPr>
          <w:rFonts w:eastAsia="MS Mincho" w:cs="Arial"/>
          <w:sz w:val="20"/>
          <w:szCs w:val="20"/>
          <w:lang w:val="en-US" w:eastAsia="en-US" w:bidi="en-US"/>
        </w:rPr>
        <w:t>A</w:t>
      </w:r>
      <w:r w:rsidR="005B6F56" w:rsidRPr="00012C3F">
        <w:rPr>
          <w:rFonts w:eastAsia="MS Mincho" w:cs="Arial"/>
          <w:sz w:val="20"/>
          <w:szCs w:val="20"/>
          <w:lang w:val="en-US" w:eastAsia="en-US" w:bidi="en-US"/>
        </w:rPr>
        <w:t>lso</w:t>
      </w:r>
      <w:r w:rsidR="00E17AF2" w:rsidRPr="00012C3F">
        <w:rPr>
          <w:rFonts w:eastAsia="MS Mincho" w:cs="Arial"/>
          <w:sz w:val="20"/>
          <w:szCs w:val="20"/>
          <w:lang w:val="en-US" w:eastAsia="en-US" w:bidi="en-US"/>
        </w:rPr>
        <w:t xml:space="preserve">, </w:t>
      </w:r>
      <w:r w:rsidR="001254DE"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w:t>
      </w:r>
      <w:r w:rsidR="005B6F56" w:rsidRPr="00012C3F">
        <w:rPr>
          <w:rFonts w:eastAsia="MS Mincho"/>
          <w:sz w:val="20"/>
          <w:szCs w:val="20"/>
          <w:lang w:val="en-US" w:eastAsia="en-US" w:bidi="en-US"/>
        </w:rPr>
        <w:t>finds it opportune to recall that</w:t>
      </w:r>
      <w:r w:rsidR="001C2E6D" w:rsidRPr="00012C3F">
        <w:rPr>
          <w:rFonts w:eastAsia="MS Mincho"/>
          <w:sz w:val="20"/>
          <w:szCs w:val="20"/>
          <w:lang w:val="en-US" w:eastAsia="en-US" w:bidi="en-US"/>
        </w:rPr>
        <w:t>, based on the facts of this case,</w:t>
      </w:r>
      <w:r w:rsidR="005B6F56" w:rsidRPr="00012C3F">
        <w:rPr>
          <w:rFonts w:eastAsia="MS Mincho"/>
          <w:sz w:val="20"/>
          <w:szCs w:val="20"/>
          <w:lang w:val="en-US" w:eastAsia="en-US" w:bidi="en-US"/>
        </w:rPr>
        <w:t xml:space="preserve"> the obligation to obtain informed consent </w:t>
      </w:r>
      <w:r w:rsidR="001C2E6D" w:rsidRPr="00012C3F">
        <w:rPr>
          <w:rFonts w:eastAsia="MS Mincho"/>
          <w:sz w:val="20"/>
          <w:szCs w:val="20"/>
          <w:lang w:val="en-US" w:eastAsia="en-US" w:bidi="en-US"/>
        </w:rPr>
        <w:t>was</w:t>
      </w:r>
      <w:r w:rsidR="007B0C04" w:rsidRPr="00012C3F">
        <w:rPr>
          <w:rFonts w:eastAsia="MS Mincho"/>
          <w:sz w:val="20"/>
          <w:szCs w:val="20"/>
          <w:lang w:val="en-US" w:eastAsia="en-US" w:bidi="en-US"/>
        </w:rPr>
        <w:t xml:space="preserve"> a crucial mechanism for the effective enjoyment of other rights recognized in </w:t>
      </w:r>
      <w:r w:rsidR="007B0C04" w:rsidRPr="00012C3F">
        <w:rPr>
          <w:rFonts w:eastAsia="MS Mincho" w:cs="Arial"/>
          <w:sz w:val="20"/>
          <w:szCs w:val="20"/>
          <w:lang w:val="en-US" w:eastAsia="en-US" w:bidi="en-US"/>
        </w:rPr>
        <w:t xml:space="preserve">the </w:t>
      </w:r>
      <w:r w:rsidR="007B0C04" w:rsidRPr="00012C3F">
        <w:rPr>
          <w:rFonts w:eastAsia="MS Mincho"/>
          <w:sz w:val="20"/>
          <w:szCs w:val="20"/>
          <w:lang w:val="en-US" w:eastAsia="en-US" w:bidi="en-US"/>
        </w:rPr>
        <w:t>American Convention</w:t>
      </w:r>
      <w:r w:rsidR="001C2E6D" w:rsidRPr="00012C3F">
        <w:rPr>
          <w:rFonts w:eastAsia="MS Mincho"/>
          <w:sz w:val="20"/>
          <w:szCs w:val="20"/>
          <w:lang w:val="en-US" w:eastAsia="en-US" w:bidi="en-US"/>
        </w:rPr>
        <w:t xml:space="preserve">; thus, </w:t>
      </w:r>
      <w:r w:rsidR="007B0C04" w:rsidRPr="00012C3F">
        <w:rPr>
          <w:rFonts w:eastAsia="MS Mincho"/>
          <w:sz w:val="20"/>
          <w:szCs w:val="20"/>
          <w:lang w:val="en-US" w:eastAsia="en-US" w:bidi="en-US"/>
        </w:rPr>
        <w:t>the year in which the wrongful acts took place</w:t>
      </w:r>
      <w:r w:rsidR="001C2E6D" w:rsidRPr="00012C3F">
        <w:rPr>
          <w:rFonts w:eastAsia="MS Mincho"/>
          <w:sz w:val="20"/>
          <w:szCs w:val="20"/>
          <w:lang w:val="en-US" w:eastAsia="en-US" w:bidi="en-US"/>
        </w:rPr>
        <w:t xml:space="preserve"> was irrelevant</w:t>
      </w:r>
      <w:r w:rsidR="007B0C04" w:rsidRPr="00012C3F">
        <w:rPr>
          <w:rFonts w:eastAsia="MS Mincho"/>
          <w:sz w:val="20"/>
          <w:szCs w:val="20"/>
          <w:lang w:val="en-US" w:eastAsia="en-US" w:bidi="en-US"/>
        </w:rPr>
        <w:t xml:space="preserve">. The </w:t>
      </w:r>
      <w:r w:rsidR="007B0C04" w:rsidRPr="00012C3F">
        <w:rPr>
          <w:rFonts w:eastAsia="MS Mincho" w:cs="Arial"/>
          <w:sz w:val="20"/>
          <w:szCs w:val="20"/>
          <w:lang w:val="en-US" w:eastAsia="en-US" w:bidi="en-US"/>
        </w:rPr>
        <w:t xml:space="preserve">obligation to obtain informed consent should </w:t>
      </w:r>
      <w:r w:rsidR="001C2E6D" w:rsidRPr="00012C3F">
        <w:rPr>
          <w:rFonts w:eastAsia="MS Mincho" w:cs="Arial"/>
          <w:sz w:val="20"/>
          <w:szCs w:val="20"/>
          <w:lang w:val="en-US" w:eastAsia="en-US" w:bidi="en-US"/>
        </w:rPr>
        <w:t xml:space="preserve">have </w:t>
      </w:r>
      <w:r w:rsidR="007B0C04" w:rsidRPr="00012C3F">
        <w:rPr>
          <w:rFonts w:eastAsia="MS Mincho" w:cs="Arial"/>
          <w:sz w:val="20"/>
          <w:szCs w:val="20"/>
          <w:lang w:val="en-US" w:eastAsia="en-US" w:bidi="en-US"/>
        </w:rPr>
        <w:t>be</w:t>
      </w:r>
      <w:r w:rsidR="001C2E6D" w:rsidRPr="00012C3F">
        <w:rPr>
          <w:rFonts w:eastAsia="MS Mincho" w:cs="Arial"/>
          <w:sz w:val="20"/>
          <w:szCs w:val="20"/>
          <w:lang w:val="en-US" w:eastAsia="en-US" w:bidi="en-US"/>
        </w:rPr>
        <w:t>en</w:t>
      </w:r>
      <w:r w:rsidR="007B0C04" w:rsidRPr="00012C3F">
        <w:rPr>
          <w:rFonts w:eastAsia="MS Mincho" w:cs="Arial"/>
          <w:sz w:val="20"/>
          <w:szCs w:val="20"/>
          <w:lang w:val="en-US" w:eastAsia="en-US" w:bidi="en-US"/>
        </w:rPr>
        <w:t xml:space="preserve"> respected by the States Parties from the moment they ratified </w:t>
      </w:r>
      <w:r w:rsidR="006D715F" w:rsidRPr="00012C3F">
        <w:rPr>
          <w:rFonts w:eastAsia="MS Mincho" w:cs="Arial"/>
          <w:sz w:val="20"/>
          <w:szCs w:val="20"/>
          <w:lang w:val="en-US" w:eastAsia="en-US" w:bidi="en-US"/>
        </w:rPr>
        <w:t>this treaty</w:t>
      </w:r>
      <w:r w:rsidR="007B0C04" w:rsidRPr="00012C3F">
        <w:rPr>
          <w:rFonts w:eastAsia="MS Mincho" w:cs="Arial"/>
          <w:sz w:val="20"/>
          <w:szCs w:val="20"/>
          <w:lang w:val="en-US" w:eastAsia="en-US" w:bidi="en-US"/>
        </w:rPr>
        <w:t xml:space="preserve">; </w:t>
      </w:r>
      <w:r w:rsidR="001C2E6D" w:rsidRPr="00012C3F">
        <w:rPr>
          <w:rFonts w:eastAsia="MS Mincho" w:cs="Arial"/>
          <w:sz w:val="20"/>
          <w:szCs w:val="20"/>
          <w:lang w:val="en-US" w:eastAsia="en-US" w:bidi="en-US"/>
        </w:rPr>
        <w:t>it</w:t>
      </w:r>
      <w:r w:rsidR="007B0C04" w:rsidRPr="00012C3F">
        <w:rPr>
          <w:rFonts w:eastAsia="MS Mincho" w:cs="Arial"/>
          <w:sz w:val="20"/>
          <w:szCs w:val="20"/>
          <w:lang w:val="en-US" w:eastAsia="en-US" w:bidi="en-US"/>
        </w:rPr>
        <w:t xml:space="preserve"> d</w:t>
      </w:r>
      <w:r w:rsidR="001C2E6D" w:rsidRPr="00012C3F">
        <w:rPr>
          <w:rFonts w:eastAsia="MS Mincho" w:cs="Arial"/>
          <w:sz w:val="20"/>
          <w:szCs w:val="20"/>
          <w:lang w:val="en-US" w:eastAsia="en-US" w:bidi="en-US"/>
        </w:rPr>
        <w:t>id</w:t>
      </w:r>
      <w:r w:rsidR="007B0C04" w:rsidRPr="00012C3F">
        <w:rPr>
          <w:rFonts w:eastAsia="MS Mincho" w:cs="Arial"/>
          <w:sz w:val="20"/>
          <w:szCs w:val="20"/>
          <w:lang w:val="en-US" w:eastAsia="en-US" w:bidi="en-US"/>
        </w:rPr>
        <w:t xml:space="preserve"> not arise following </w:t>
      </w:r>
      <w:r w:rsidR="006D715F" w:rsidRPr="00012C3F">
        <w:rPr>
          <w:rFonts w:eastAsia="MS Mincho" w:cs="Arial"/>
          <w:sz w:val="20"/>
          <w:szCs w:val="20"/>
          <w:lang w:val="en-US" w:eastAsia="en-US" w:bidi="en-US"/>
        </w:rPr>
        <w:t>the Court’s</w:t>
      </w:r>
      <w:r w:rsidR="007B0C04" w:rsidRPr="00012C3F">
        <w:rPr>
          <w:rFonts w:eastAsia="MS Mincho" w:cs="Arial"/>
          <w:sz w:val="20"/>
          <w:szCs w:val="20"/>
          <w:lang w:val="en-US" w:eastAsia="en-US" w:bidi="en-US"/>
        </w:rPr>
        <w:t xml:space="preserve"> application and interpretation </w:t>
      </w:r>
      <w:r w:rsidR="006D715F" w:rsidRPr="00012C3F">
        <w:rPr>
          <w:rFonts w:eastAsia="MS Mincho" w:cs="Arial"/>
          <w:sz w:val="20"/>
          <w:szCs w:val="20"/>
          <w:lang w:val="en-US" w:eastAsia="en-US" w:bidi="en-US"/>
        </w:rPr>
        <w:t>of the Convention</w:t>
      </w:r>
      <w:r w:rsidR="007B0C04" w:rsidRPr="00012C3F">
        <w:rPr>
          <w:rFonts w:eastAsia="MS Mincho" w:cs="Arial"/>
          <w:sz w:val="20"/>
          <w:szCs w:val="20"/>
          <w:lang w:val="en-US" w:eastAsia="en-US" w:bidi="en-US"/>
        </w:rPr>
        <w:t xml:space="preserve"> in the exercise of its contentious jurisdiction.</w:t>
      </w:r>
      <w:r w:rsidR="00E17AF2" w:rsidRPr="00012C3F">
        <w:rPr>
          <w:rFonts w:eastAsia="MS Mincho"/>
          <w:sz w:val="20"/>
          <w:szCs w:val="20"/>
          <w:vertAlign w:val="superscript"/>
          <w:lang w:val="en-US" w:eastAsia="en-US" w:bidi="en-US"/>
        </w:rPr>
        <w:footnoteReference w:id="196"/>
      </w:r>
    </w:p>
    <w:p w14:paraId="4015B328" w14:textId="77777777" w:rsidR="00E17AF2" w:rsidRPr="00012C3F" w:rsidRDefault="00E17AF2" w:rsidP="00936568">
      <w:pPr>
        <w:tabs>
          <w:tab w:val="left" w:pos="567"/>
          <w:tab w:val="left" w:pos="720"/>
        </w:tabs>
        <w:spacing w:line="240" w:lineRule="auto"/>
        <w:rPr>
          <w:rFonts w:eastAsia="MS Mincho"/>
          <w:sz w:val="20"/>
          <w:szCs w:val="20"/>
          <w:lang w:val="en-US" w:eastAsia="en-US" w:bidi="en-US"/>
        </w:rPr>
      </w:pPr>
    </w:p>
    <w:p w14:paraId="1B86CBE4" w14:textId="77777777" w:rsidR="00E17AF2" w:rsidRPr="00012C3F" w:rsidRDefault="007B0C04" w:rsidP="007B0C04">
      <w:pPr>
        <w:widowControl/>
        <w:numPr>
          <w:ilvl w:val="0"/>
          <w:numId w:val="5"/>
        </w:numPr>
        <w:tabs>
          <w:tab w:val="left" w:pos="720"/>
          <w:tab w:val="num" w:pos="12305"/>
        </w:tabs>
        <w:adjustRightInd/>
        <w:spacing w:line="240" w:lineRule="auto"/>
        <w:ind w:left="0" w:right="-90" w:firstLine="0"/>
        <w:textAlignment w:val="auto"/>
        <w:rPr>
          <w:rFonts w:eastAsia="MS Mincho"/>
          <w:sz w:val="20"/>
          <w:szCs w:val="20"/>
          <w:lang w:val="en-US" w:eastAsia="en-US" w:bidi="en-US"/>
        </w:rPr>
      </w:pPr>
      <w:r w:rsidRPr="00012C3F">
        <w:rPr>
          <w:rFonts w:eastAsia="MS Mincho"/>
          <w:sz w:val="20"/>
          <w:szCs w:val="20"/>
          <w:lang w:val="en-US" w:eastAsia="en-US" w:bidi="en-US"/>
        </w:rPr>
        <w:t xml:space="preserve">That said, the Court notes that the inter-American system for the protection of human rights does not </w:t>
      </w:r>
      <w:r w:rsidR="006D715F" w:rsidRPr="00012C3F">
        <w:rPr>
          <w:rFonts w:eastAsia="MS Mincho"/>
          <w:sz w:val="20"/>
          <w:szCs w:val="20"/>
          <w:lang w:val="en-US" w:eastAsia="en-US" w:bidi="en-US"/>
        </w:rPr>
        <w:t>include</w:t>
      </w:r>
      <w:r w:rsidRPr="00012C3F">
        <w:rPr>
          <w:rFonts w:eastAsia="MS Mincho"/>
          <w:sz w:val="20"/>
          <w:szCs w:val="20"/>
          <w:lang w:val="en-US" w:eastAsia="en-US" w:bidi="en-US"/>
        </w:rPr>
        <w:t xml:space="preserve"> a treaty-based norm on</w:t>
      </w:r>
      <w:r w:rsidR="006D715F" w:rsidRPr="00012C3F">
        <w:rPr>
          <w:rFonts w:eastAsia="MS Mincho"/>
          <w:sz w:val="20"/>
          <w:szCs w:val="20"/>
          <w:lang w:val="en-US" w:eastAsia="en-US" w:bidi="en-US"/>
        </w:rPr>
        <w:t xml:space="preserve"> regional</w:t>
      </w:r>
      <w:r w:rsidRPr="00012C3F">
        <w:rPr>
          <w:rFonts w:eastAsia="MS Mincho"/>
          <w:sz w:val="20"/>
          <w:szCs w:val="20"/>
          <w:lang w:val="en-US" w:eastAsia="en-US" w:bidi="en-US"/>
        </w:rPr>
        <w:t xml:space="preserve"> bioethics and human rights that develops the scope and content of the rule of </w:t>
      </w:r>
      <w:r w:rsidR="00AC0004" w:rsidRPr="00012C3F">
        <w:rPr>
          <w:rFonts w:eastAsia="MS Mincho"/>
          <w:bCs/>
          <w:sz w:val="20"/>
          <w:szCs w:val="20"/>
          <w:lang w:val="en-US" w:eastAsia="en-US" w:bidi="en-US"/>
        </w:rPr>
        <w:t>informed consent</w:t>
      </w:r>
      <w:r w:rsidRPr="00012C3F">
        <w:rPr>
          <w:rFonts w:eastAsia="MS Mincho"/>
          <w:bCs/>
          <w:sz w:val="20"/>
          <w:szCs w:val="20"/>
          <w:lang w:val="en-US" w:eastAsia="en-US" w:bidi="en-US"/>
        </w:rPr>
        <w:t>.</w:t>
      </w:r>
      <w:r w:rsidR="00E17AF2" w:rsidRPr="00012C3F">
        <w:rPr>
          <w:rStyle w:val="Refdenotaalpie"/>
          <w:rFonts w:eastAsia="MS Mincho"/>
          <w:bCs/>
          <w:sz w:val="20"/>
          <w:szCs w:val="20"/>
          <w:lang w:val="en-US" w:eastAsia="en-US" w:bidi="en-US"/>
        </w:rPr>
        <w:footnoteReference w:id="197"/>
      </w:r>
      <w:r w:rsidRPr="00012C3F">
        <w:rPr>
          <w:rFonts w:eastAsia="MS Mincho"/>
          <w:bCs/>
          <w:sz w:val="20"/>
          <w:szCs w:val="20"/>
          <w:lang w:val="en-US" w:eastAsia="en-US" w:bidi="en-US"/>
        </w:rPr>
        <w:t xml:space="preserve"> Therefore, to interpret the scope of the State obligations in relation to the facts of this case, the Court will have recourse, based on the general rules of interpretation established in </w:t>
      </w:r>
      <w:r w:rsidRPr="00012C3F">
        <w:rPr>
          <w:rFonts w:eastAsia="MS Mincho"/>
          <w:sz w:val="20"/>
          <w:szCs w:val="20"/>
          <w:lang w:val="en-US" w:eastAsia="de-DE" w:bidi="en-US"/>
        </w:rPr>
        <w:t>Article 29 of the American Convention, and in the Vienna Convention on the Law of Treaties,</w:t>
      </w:r>
      <w:r w:rsidRPr="00012C3F">
        <w:rPr>
          <w:rFonts w:eastAsia="MS Mincho"/>
          <w:sz w:val="20"/>
          <w:szCs w:val="20"/>
          <w:vertAlign w:val="superscript"/>
          <w:lang w:val="en-US" w:eastAsia="de-DE" w:bidi="en-US"/>
        </w:rPr>
        <w:footnoteReference w:id="198"/>
      </w:r>
      <w:r w:rsidRPr="00012C3F">
        <w:rPr>
          <w:rFonts w:eastAsia="MS Mincho"/>
          <w:sz w:val="20"/>
          <w:szCs w:val="20"/>
          <w:lang w:val="en-US" w:eastAsia="de-DE" w:bidi="en-US"/>
        </w:rPr>
        <w:t xml:space="preserve"> </w:t>
      </w:r>
      <w:r w:rsidRPr="00012C3F">
        <w:rPr>
          <w:rFonts w:eastAsia="MS Mincho"/>
          <w:bCs/>
          <w:sz w:val="20"/>
          <w:szCs w:val="20"/>
          <w:lang w:val="en-US" w:eastAsia="en-US" w:bidi="en-US"/>
        </w:rPr>
        <w:t xml:space="preserve">to the international </w:t>
      </w:r>
      <w:r w:rsidRPr="00012C3F">
        <w:rPr>
          <w:rFonts w:eastAsia="MS Mincho"/>
          <w:bCs/>
          <w:i/>
          <w:sz w:val="20"/>
          <w:szCs w:val="20"/>
          <w:lang w:val="en-US" w:eastAsia="en-US" w:bidi="en-US"/>
        </w:rPr>
        <w:t>corpus juris</w:t>
      </w:r>
      <w:r w:rsidRPr="00012C3F">
        <w:rPr>
          <w:rFonts w:eastAsia="MS Mincho"/>
          <w:bCs/>
          <w:iCs/>
          <w:sz w:val="20"/>
          <w:szCs w:val="20"/>
          <w:lang w:val="en-US" w:eastAsia="en-US" w:bidi="en-US"/>
        </w:rPr>
        <w:t xml:space="preserve"> on the matter, as it has on previous occasions.</w:t>
      </w:r>
      <w:r w:rsidR="00E17AF2" w:rsidRPr="00012C3F">
        <w:rPr>
          <w:rFonts w:eastAsia="MS Mincho"/>
          <w:sz w:val="20"/>
          <w:szCs w:val="20"/>
          <w:vertAlign w:val="superscript"/>
          <w:lang w:val="en-US" w:eastAsia="en-US" w:bidi="en-US"/>
        </w:rPr>
        <w:footnoteReference w:id="199"/>
      </w:r>
      <w:r w:rsidRPr="00012C3F">
        <w:rPr>
          <w:rFonts w:eastAsia="MS Mincho"/>
          <w:sz w:val="20"/>
          <w:szCs w:val="20"/>
          <w:lang w:val="en-US" w:eastAsia="en-US" w:bidi="en-US"/>
        </w:rPr>
        <w:t xml:space="preserve"> Regarding consent, the </w:t>
      </w:r>
      <w:r w:rsidR="00E17AF2" w:rsidRPr="00012C3F">
        <w:rPr>
          <w:rFonts w:eastAsia="MS Mincho"/>
          <w:i/>
          <w:sz w:val="20"/>
          <w:szCs w:val="20"/>
          <w:lang w:val="en-US" w:eastAsia="en-US" w:bidi="en-US"/>
        </w:rPr>
        <w:t>corpus juris</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is based on international declarations, guidelines, opinions of expert medical committees, directives, criteria and other authorized statements by </w:t>
      </w:r>
      <w:r w:rsidR="006D715F" w:rsidRPr="00012C3F">
        <w:rPr>
          <w:rFonts w:eastAsia="MS Mincho"/>
          <w:sz w:val="20"/>
          <w:szCs w:val="20"/>
          <w:lang w:val="en-US" w:eastAsia="en-US" w:bidi="en-US"/>
        </w:rPr>
        <w:t xml:space="preserve">specialized </w:t>
      </w:r>
      <w:r w:rsidRPr="00012C3F">
        <w:rPr>
          <w:rFonts w:eastAsia="MS Mincho"/>
          <w:sz w:val="20"/>
          <w:szCs w:val="20"/>
          <w:lang w:val="en-US" w:eastAsia="en-US" w:bidi="en-US"/>
        </w:rPr>
        <w:t>bodies, such as the World Health Organization</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hereinafter</w:t>
      </w:r>
      <w:r w:rsidR="000339A2" w:rsidRPr="00012C3F">
        <w:rPr>
          <w:rFonts w:eastAsia="MS Mincho"/>
          <w:sz w:val="20"/>
          <w:szCs w:val="20"/>
          <w:lang w:val="en-US" w:eastAsia="en-US" w:bidi="en-US"/>
        </w:rPr>
        <w:t xml:space="preserve"> “</w:t>
      </w:r>
      <w:r w:rsidRPr="00012C3F">
        <w:rPr>
          <w:rFonts w:eastAsia="MS Mincho"/>
          <w:sz w:val="20"/>
          <w:szCs w:val="20"/>
          <w:lang w:val="en-US" w:eastAsia="en-US" w:bidi="en-US"/>
        </w:rPr>
        <w:t>WHO</w:t>
      </w:r>
      <w:r w:rsidR="000339A2" w:rsidRPr="00012C3F">
        <w:rPr>
          <w:rFonts w:eastAsia="MS Mincho"/>
          <w:sz w:val="20"/>
          <w:szCs w:val="20"/>
          <w:lang w:val="en-US" w:eastAsia="en-US" w:bidi="en-US"/>
        </w:rPr>
        <w: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the International Federation of Gynecology and Obstetrics </w:t>
      </w:r>
      <w:r w:rsidR="00E17AF2" w:rsidRPr="00012C3F">
        <w:rPr>
          <w:rFonts w:eastAsia="MS Mincho"/>
          <w:sz w:val="20"/>
          <w:szCs w:val="20"/>
          <w:lang w:val="en-US" w:eastAsia="en-US" w:bidi="en-US"/>
        </w:rPr>
        <w:t>(</w:t>
      </w:r>
      <w:r w:rsidR="001254DE" w:rsidRPr="00012C3F">
        <w:rPr>
          <w:rFonts w:eastAsia="MS Mincho"/>
          <w:sz w:val="20"/>
          <w:szCs w:val="20"/>
          <w:lang w:val="en-US" w:eastAsia="en-US" w:bidi="en-US"/>
        </w:rPr>
        <w:t>hereinafter</w:t>
      </w:r>
      <w:r w:rsidR="000339A2" w:rsidRPr="00012C3F">
        <w:rPr>
          <w:rFonts w:eastAsia="MS Mincho"/>
          <w:sz w:val="20"/>
          <w:szCs w:val="20"/>
          <w:lang w:val="en-US" w:eastAsia="en-US" w:bidi="en-US"/>
        </w:rPr>
        <w:t xml:space="preserve"> “</w:t>
      </w:r>
      <w:r w:rsidR="00E17AF2" w:rsidRPr="00012C3F">
        <w:rPr>
          <w:rFonts w:eastAsia="MS Mincho"/>
          <w:sz w:val="20"/>
          <w:szCs w:val="20"/>
          <w:lang w:val="en-US" w:eastAsia="en-US" w:bidi="en-US"/>
        </w:rPr>
        <w:t>FIGO</w:t>
      </w:r>
      <w:r w:rsidR="000339A2" w:rsidRPr="00012C3F">
        <w:rPr>
          <w:rFonts w:eastAsia="MS Mincho"/>
          <w:sz w:val="20"/>
          <w:szCs w:val="20"/>
          <w:lang w:val="en-US" w:eastAsia="en-US" w:bidi="en-US"/>
        </w:rPr>
        <w: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World Medical Association</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hereinafter</w:t>
      </w:r>
      <w:r w:rsidR="000339A2" w:rsidRPr="00012C3F">
        <w:rPr>
          <w:rFonts w:eastAsia="MS Mincho"/>
          <w:sz w:val="20"/>
          <w:szCs w:val="20"/>
          <w:lang w:val="en-US" w:eastAsia="en-US" w:bidi="en-US"/>
        </w:rPr>
        <w:t xml:space="preserve"> </w:t>
      </w:r>
      <w:r w:rsidRPr="00012C3F">
        <w:rPr>
          <w:rFonts w:eastAsia="MS Mincho"/>
          <w:sz w:val="20"/>
          <w:szCs w:val="20"/>
          <w:lang w:val="en-US" w:eastAsia="en-US" w:bidi="en-US"/>
        </w:rPr>
        <w:t>also</w:t>
      </w:r>
      <w:r w:rsidR="000339A2" w:rsidRPr="00012C3F">
        <w:rPr>
          <w:rFonts w:eastAsia="MS Mincho"/>
          <w:sz w:val="20"/>
          <w:szCs w:val="20"/>
          <w:lang w:val="en-US" w:eastAsia="en-US" w:bidi="en-US"/>
        </w:rPr>
        <w:t xml:space="preserve"> “</w:t>
      </w:r>
      <w:r w:rsidRPr="00012C3F">
        <w:rPr>
          <w:rFonts w:eastAsia="MS Mincho"/>
          <w:sz w:val="20"/>
          <w:szCs w:val="20"/>
          <w:lang w:val="en-US" w:eastAsia="en-US" w:bidi="en-US"/>
        </w:rPr>
        <w:t>WMA</w:t>
      </w:r>
      <w:r w:rsidR="000339A2" w:rsidRPr="00012C3F">
        <w:rPr>
          <w:rFonts w:eastAsia="MS Mincho"/>
          <w:sz w:val="20"/>
          <w:szCs w:val="20"/>
          <w:lang w:val="en-US" w:eastAsia="en-US" w:bidi="en-US"/>
        </w:rPr>
        <w: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United N</w:t>
      </w:r>
      <w:r w:rsidR="00E060D2" w:rsidRPr="00012C3F">
        <w:rPr>
          <w:sz w:val="20"/>
          <w:szCs w:val="20"/>
          <w:lang w:val="en-US"/>
        </w:rPr>
        <w:t>ations Educational, Scientific and Cultural Organization</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hereinafter</w:t>
      </w:r>
      <w:r w:rsidR="000339A2" w:rsidRPr="00012C3F">
        <w:rPr>
          <w:rFonts w:eastAsia="MS Mincho"/>
          <w:sz w:val="20"/>
          <w:szCs w:val="20"/>
          <w:lang w:val="en-US" w:eastAsia="en-US" w:bidi="en-US"/>
        </w:rPr>
        <w:t xml:space="preserve"> “</w:t>
      </w:r>
      <w:r w:rsidR="00E17AF2" w:rsidRPr="00012C3F">
        <w:rPr>
          <w:rFonts w:eastAsia="MS Mincho"/>
          <w:sz w:val="20"/>
          <w:szCs w:val="20"/>
          <w:lang w:val="en-US" w:eastAsia="en-US" w:bidi="en-US"/>
        </w:rPr>
        <w:t>UNESCO</w:t>
      </w:r>
      <w:r w:rsidR="000339A2" w:rsidRPr="00012C3F">
        <w:rPr>
          <w:rFonts w:eastAsia="MS Mincho"/>
          <w:sz w:val="20"/>
          <w:szCs w:val="20"/>
          <w:lang w:val="en-US" w:eastAsia="en-US" w:bidi="en-US"/>
        </w:rPr>
        <w:t>”</w:t>
      </w:r>
      <w:r w:rsidR="00E17AF2"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the United Nations Treaty Bodies</w:t>
      </w:r>
      <w:r w:rsidR="00E17AF2"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the Council of Europe</w:t>
      </w:r>
      <w:r w:rsidR="00E17AF2" w:rsidRPr="00012C3F">
        <w:rPr>
          <w:rFonts w:eastAsia="MS Mincho"/>
          <w:sz w:val="20"/>
          <w:szCs w:val="20"/>
          <w:lang w:val="en-US" w:eastAsia="en-US" w:bidi="en-US"/>
        </w:rPr>
        <w:t xml:space="preserve">, </w:t>
      </w:r>
      <w:r w:rsidR="006D715F" w:rsidRPr="00012C3F">
        <w:rPr>
          <w:rFonts w:eastAsia="MS Mincho"/>
          <w:sz w:val="20"/>
          <w:szCs w:val="20"/>
          <w:lang w:val="en-US" w:eastAsia="en-US" w:bidi="en-US"/>
        </w:rPr>
        <w:t xml:space="preserve">and </w:t>
      </w:r>
      <w:r w:rsidR="00E060D2" w:rsidRPr="00012C3F">
        <w:rPr>
          <w:rFonts w:eastAsia="MS Mincho"/>
          <w:sz w:val="20"/>
          <w:szCs w:val="20"/>
          <w:lang w:val="en-US" w:eastAsia="en-US" w:bidi="en-US"/>
        </w:rPr>
        <w:t>the</w:t>
      </w:r>
      <w:r w:rsidR="00E17AF2"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European Court of Human Rights</w:t>
      </w:r>
      <w:r w:rsidR="00E17AF2"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These agencies have established common legal standards that constitute general protection for the prior, free, full and informed nature of consent.</w:t>
      </w:r>
    </w:p>
    <w:p w14:paraId="1D48B2D0" w14:textId="77777777" w:rsidR="00E17AF2" w:rsidRPr="00012C3F" w:rsidRDefault="00E17AF2" w:rsidP="007B0C04">
      <w:pPr>
        <w:widowControl/>
        <w:tabs>
          <w:tab w:val="left" w:pos="720"/>
        </w:tabs>
        <w:adjustRightInd/>
        <w:spacing w:line="240" w:lineRule="auto"/>
        <w:ind w:right="-90"/>
        <w:textAlignment w:val="auto"/>
        <w:rPr>
          <w:rFonts w:eastAsia="MS Mincho"/>
          <w:sz w:val="20"/>
          <w:szCs w:val="20"/>
          <w:lang w:val="en-US" w:eastAsia="en-US" w:bidi="en-US"/>
        </w:rPr>
      </w:pPr>
    </w:p>
    <w:p w14:paraId="090085E5" w14:textId="77777777" w:rsidR="00E17AF2" w:rsidRPr="00012C3F" w:rsidRDefault="00E17AF2" w:rsidP="007B0C04">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Re</w:t>
      </w:r>
      <w:r w:rsidR="00E060D2" w:rsidRPr="00012C3F">
        <w:rPr>
          <w:rFonts w:eastAsia="MS Mincho"/>
          <w:sz w:val="20"/>
          <w:szCs w:val="20"/>
          <w:lang w:val="en-US" w:eastAsia="en-US" w:bidi="en-US"/>
        </w:rPr>
        <w:t>garding the State's argument that the Commission had made numerous references to its thematic reports,</w:t>
      </w:r>
      <w:r w:rsidRPr="00012C3F">
        <w:rPr>
          <w:rStyle w:val="Refdenotaalpie"/>
          <w:rFonts w:eastAsia="MS Mincho"/>
          <w:sz w:val="20"/>
          <w:szCs w:val="20"/>
          <w:lang w:val="en-US" w:eastAsia="en-US" w:bidi="en-US"/>
        </w:rPr>
        <w:footnoteReference w:id="200"/>
      </w:r>
      <w:r w:rsidR="00E060D2" w:rsidRPr="00012C3F">
        <w:rPr>
          <w:rFonts w:eastAsia="MS Mincho"/>
          <w:sz w:val="20"/>
          <w:szCs w:val="20"/>
          <w:lang w:val="en-US" w:eastAsia="en-US" w:bidi="en-US"/>
        </w:rPr>
        <w:t xml:space="preserve"> seeking to use them to analyze the facts of the case, the Court notes that, among other sources, these were cited in the</w:t>
      </w:r>
      <w:r w:rsidRPr="00012C3F">
        <w:rPr>
          <w:rFonts w:eastAsia="MS Mincho"/>
          <w:sz w:val="20"/>
          <w:szCs w:val="20"/>
          <w:lang w:val="en-US" w:eastAsia="en-US" w:bidi="en-US"/>
        </w:rPr>
        <w:t xml:space="preserve"> </w:t>
      </w:r>
      <w:r w:rsidR="00E00902" w:rsidRPr="00012C3F">
        <w:rPr>
          <w:rFonts w:eastAsia="MS Mincho"/>
          <w:sz w:val="20"/>
          <w:szCs w:val="20"/>
          <w:lang w:val="en-US" w:eastAsia="en-US" w:bidi="en-US"/>
        </w:rPr>
        <w:t>Merits Report</w:t>
      </w:r>
      <w:r w:rsidR="00E060D2" w:rsidRPr="00012C3F">
        <w:rPr>
          <w:rFonts w:eastAsia="MS Mincho"/>
          <w:sz w:val="20"/>
          <w:szCs w:val="20"/>
          <w:lang w:val="en-US" w:eastAsia="en-US" w:bidi="en-US"/>
        </w:rPr>
        <w:t xml:space="preserve"> to interpret the scope and content of the obligations established in</w:t>
      </w:r>
      <w:r w:rsidR="001760C9"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American Convention</w:t>
      </w:r>
      <w:r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 xml:space="preserve">Even though the Court considers that the criteria established in these reports do not </w:t>
      </w:r>
      <w:r w:rsidR="006D715F" w:rsidRPr="00012C3F">
        <w:rPr>
          <w:rFonts w:eastAsia="MS Mincho"/>
          <w:sz w:val="20"/>
          <w:szCs w:val="20"/>
          <w:lang w:val="en-US" w:eastAsia="en-US" w:bidi="en-US"/>
        </w:rPr>
        <w:t>generate</w:t>
      </w:r>
      <w:r w:rsidR="00E060D2" w:rsidRPr="00012C3F">
        <w:rPr>
          <w:rFonts w:eastAsia="MS Mincho"/>
          <w:sz w:val="20"/>
          <w:szCs w:val="20"/>
          <w:lang w:val="en-US" w:eastAsia="en-US" w:bidi="en-US"/>
        </w:rPr>
        <w:t xml:space="preserve"> binding obligations for the State, this does not prevent the Commission from taking them into account</w:t>
      </w:r>
      <w:r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 xml:space="preserve">because, when appropriate, they </w:t>
      </w:r>
      <w:r w:rsidR="006D715F" w:rsidRPr="00012C3F">
        <w:rPr>
          <w:rFonts w:eastAsia="MS Mincho"/>
          <w:sz w:val="20"/>
          <w:szCs w:val="20"/>
          <w:lang w:val="en-US" w:eastAsia="en-US" w:bidi="en-US"/>
        </w:rPr>
        <w:t>may</w:t>
      </w:r>
      <w:r w:rsidR="00E060D2" w:rsidRPr="00012C3F">
        <w:rPr>
          <w:rFonts w:eastAsia="MS Mincho"/>
          <w:sz w:val="20"/>
          <w:szCs w:val="20"/>
          <w:lang w:val="en-US" w:eastAsia="en-US" w:bidi="en-US"/>
        </w:rPr>
        <w:t xml:space="preserve"> guide or reinforce the Court’s interpretation and application of the international </w:t>
      </w:r>
      <w:r w:rsidRPr="00012C3F">
        <w:rPr>
          <w:rFonts w:eastAsia="MS Mincho"/>
          <w:i/>
          <w:sz w:val="20"/>
          <w:szCs w:val="20"/>
          <w:lang w:val="en-US" w:eastAsia="en-US" w:bidi="en-US"/>
        </w:rPr>
        <w:t>corpus juris</w:t>
      </w:r>
      <w:r w:rsidRPr="00012C3F">
        <w:rPr>
          <w:rFonts w:eastAsia="MS Mincho"/>
          <w:sz w:val="20"/>
          <w:szCs w:val="20"/>
          <w:lang w:val="en-US" w:eastAsia="en-US" w:bidi="en-US"/>
        </w:rPr>
        <w:t xml:space="preserve"> </w:t>
      </w:r>
      <w:r w:rsidR="006C705C" w:rsidRPr="00012C3F">
        <w:rPr>
          <w:rFonts w:eastAsia="MS Mincho"/>
          <w:sz w:val="20"/>
          <w:szCs w:val="20"/>
          <w:lang w:val="en-US" w:eastAsia="en-US" w:bidi="en-US"/>
        </w:rPr>
        <w:t xml:space="preserve">in this </w:t>
      </w:r>
      <w:r w:rsidR="006C705C" w:rsidRPr="00012C3F">
        <w:rPr>
          <w:rFonts w:eastAsia="MS Mincho"/>
          <w:sz w:val="20"/>
          <w:szCs w:val="20"/>
          <w:lang w:val="en-US" w:eastAsia="en-US" w:bidi="en-US"/>
        </w:rPr>
        <w:lastRenderedPageBreak/>
        <w:t>case</w:t>
      </w:r>
      <w:r w:rsidRPr="00012C3F">
        <w:rPr>
          <w:rFonts w:eastAsia="MS Mincho"/>
          <w:sz w:val="20"/>
          <w:szCs w:val="20"/>
          <w:lang w:val="en-US" w:eastAsia="en-US" w:bidi="en-US"/>
        </w:rPr>
        <w:t xml:space="preserve"> </w:t>
      </w:r>
      <w:r w:rsidR="00E060D2" w:rsidRPr="00012C3F">
        <w:rPr>
          <w:rFonts w:eastAsia="MS Mincho"/>
          <w:sz w:val="20"/>
          <w:szCs w:val="20"/>
          <w:lang w:val="en-US" w:eastAsia="en-US" w:bidi="en-US"/>
        </w:rPr>
        <w:t>insofar as they identify, systematize and analyze the relevant regional and international legal criteria</w:t>
      </w:r>
      <w:r w:rsidRPr="00012C3F">
        <w:rPr>
          <w:rFonts w:eastAsia="MS Mincho"/>
          <w:sz w:val="20"/>
          <w:szCs w:val="20"/>
          <w:lang w:val="en-US" w:eastAsia="en-US" w:bidi="en-US"/>
        </w:rPr>
        <w:t>.</w:t>
      </w:r>
    </w:p>
    <w:p w14:paraId="741D5BBC" w14:textId="77777777" w:rsidR="00E17AF2" w:rsidRPr="00012C3F" w:rsidRDefault="00E17AF2" w:rsidP="00936568">
      <w:pPr>
        <w:widowControl/>
        <w:tabs>
          <w:tab w:val="left" w:pos="720"/>
        </w:tabs>
        <w:adjustRightInd/>
        <w:spacing w:line="240" w:lineRule="auto"/>
        <w:ind w:right="-90"/>
        <w:textAlignment w:val="auto"/>
        <w:rPr>
          <w:rFonts w:eastAsia="MS Mincho"/>
          <w:sz w:val="20"/>
          <w:szCs w:val="20"/>
          <w:lang w:val="en-US" w:eastAsia="en-US" w:bidi="en-US"/>
        </w:rPr>
      </w:pPr>
    </w:p>
    <w:p w14:paraId="25552852" w14:textId="77777777" w:rsidR="00356E5D" w:rsidRPr="00012C3F" w:rsidRDefault="00356E5D" w:rsidP="00936568">
      <w:pPr>
        <w:pStyle w:val="Ttulo3"/>
        <w:tabs>
          <w:tab w:val="left" w:pos="720"/>
          <w:tab w:val="left" w:pos="2552"/>
        </w:tabs>
        <w:ind w:left="1701"/>
        <w:rPr>
          <w:rFonts w:eastAsia="MS Mincho" w:cs="Arial"/>
          <w:b w:val="0"/>
          <w:i/>
          <w:spacing w:val="0"/>
          <w:lang w:val="en-US" w:eastAsia="en-US"/>
        </w:rPr>
      </w:pPr>
      <w:bookmarkStart w:id="135" w:name="_Toc27486864"/>
      <w:r w:rsidRPr="00012C3F">
        <w:rPr>
          <w:rFonts w:eastAsia="MS Mincho" w:cs="Arial"/>
          <w:b w:val="0"/>
          <w:i/>
          <w:spacing w:val="0"/>
          <w:lang w:val="en-US" w:eastAsia="en-US"/>
        </w:rPr>
        <w:t xml:space="preserve">B.2.a </w:t>
      </w:r>
      <w:r w:rsidRPr="00012C3F">
        <w:rPr>
          <w:rFonts w:eastAsia="MS Mincho" w:cs="Arial"/>
          <w:b w:val="0"/>
          <w:i/>
          <w:spacing w:val="0"/>
          <w:lang w:val="en-US" w:eastAsia="en-US"/>
        </w:rPr>
        <w:tab/>
      </w:r>
      <w:r w:rsidR="007F2550" w:rsidRPr="00012C3F">
        <w:rPr>
          <w:rFonts w:eastAsia="MS Mincho" w:cs="Arial"/>
          <w:b w:val="0"/>
          <w:i/>
          <w:spacing w:val="0"/>
          <w:lang w:val="en-US" w:eastAsia="en-US"/>
        </w:rPr>
        <w:t>The elements of consent in international law and jurisprudence</w:t>
      </w:r>
      <w:bookmarkEnd w:id="135"/>
    </w:p>
    <w:p w14:paraId="4EF8905B" w14:textId="77777777" w:rsidR="00356E5D" w:rsidRPr="00012C3F" w:rsidRDefault="00356E5D" w:rsidP="00936568">
      <w:pPr>
        <w:widowControl/>
        <w:tabs>
          <w:tab w:val="left" w:pos="720"/>
        </w:tabs>
        <w:adjustRightInd/>
        <w:spacing w:line="240" w:lineRule="auto"/>
        <w:ind w:right="-90"/>
        <w:textAlignment w:val="auto"/>
        <w:rPr>
          <w:rFonts w:eastAsia="MS Mincho"/>
          <w:b/>
          <w:sz w:val="20"/>
          <w:szCs w:val="20"/>
          <w:lang w:val="en-US" w:eastAsia="en-US" w:bidi="en-US"/>
        </w:rPr>
      </w:pPr>
    </w:p>
    <w:p w14:paraId="30C6C03C" w14:textId="77777777" w:rsidR="00E17AF2" w:rsidRPr="00012C3F" w:rsidRDefault="007F2550" w:rsidP="00B4529F">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The Court will now examine </w:t>
      </w:r>
      <w:r w:rsidR="00CD6FAC" w:rsidRPr="00012C3F">
        <w:rPr>
          <w:rFonts w:eastAsia="MS Mincho"/>
          <w:sz w:val="20"/>
          <w:szCs w:val="20"/>
          <w:lang w:val="en-US" w:eastAsia="en-US" w:bidi="en-US"/>
        </w:rPr>
        <w:t>how informed consent and its elements have been</w:t>
      </w:r>
      <w:r w:rsidRPr="00012C3F">
        <w:rPr>
          <w:rFonts w:eastAsia="MS Mincho"/>
          <w:sz w:val="20"/>
          <w:szCs w:val="20"/>
          <w:lang w:val="en-US" w:eastAsia="en-US" w:bidi="en-US"/>
        </w:rPr>
        <w:t xml:space="preserve"> treat</w:t>
      </w:r>
      <w:r w:rsidR="00CD6FAC" w:rsidRPr="00012C3F">
        <w:rPr>
          <w:rFonts w:eastAsia="MS Mincho"/>
          <w:sz w:val="20"/>
          <w:szCs w:val="20"/>
          <w:lang w:val="en-US" w:eastAsia="en-US" w:bidi="en-US"/>
        </w:rPr>
        <w:t>ed</w:t>
      </w:r>
      <w:r w:rsidRPr="00012C3F">
        <w:rPr>
          <w:rFonts w:eastAsia="MS Mincho"/>
          <w:sz w:val="20"/>
          <w:szCs w:val="20"/>
          <w:lang w:val="en-US" w:eastAsia="en-US" w:bidi="en-US"/>
        </w:rPr>
        <w:t xml:space="preserve"> and develop</w:t>
      </w:r>
      <w:r w:rsidR="00CD6FAC" w:rsidRPr="00012C3F">
        <w:rPr>
          <w:rFonts w:eastAsia="MS Mincho"/>
          <w:sz w:val="20"/>
          <w:szCs w:val="20"/>
          <w:lang w:val="en-US" w:eastAsia="en-US" w:bidi="en-US"/>
        </w:rPr>
        <w:t>ed at the international level, with regard to both medical interventions in general</w:t>
      </w:r>
      <w:r w:rsidR="00E17AF2" w:rsidRPr="00012C3F">
        <w:rPr>
          <w:rFonts w:eastAsia="MS Mincho"/>
          <w:sz w:val="20"/>
          <w:szCs w:val="20"/>
          <w:vertAlign w:val="superscript"/>
          <w:lang w:val="en-US" w:eastAsia="en-US" w:bidi="en-US"/>
        </w:rPr>
        <w:footnoteReference w:id="201"/>
      </w:r>
      <w:r w:rsidR="00E17AF2" w:rsidRPr="00012C3F">
        <w:rPr>
          <w:rFonts w:eastAsia="MS Mincho"/>
          <w:sz w:val="20"/>
          <w:szCs w:val="20"/>
          <w:lang w:val="en-US" w:eastAsia="en-US" w:bidi="en-US"/>
        </w:rPr>
        <w:t xml:space="preserve"> </w:t>
      </w:r>
      <w:r w:rsidR="00CD6FAC" w:rsidRPr="00012C3F">
        <w:rPr>
          <w:rFonts w:eastAsia="MS Mincho"/>
          <w:sz w:val="20"/>
          <w:szCs w:val="20"/>
          <w:lang w:val="en-US" w:eastAsia="en-US" w:bidi="en-US"/>
        </w:rPr>
        <w:t xml:space="preserve">and </w:t>
      </w:r>
      <w:r w:rsidR="006D715F" w:rsidRPr="00012C3F">
        <w:rPr>
          <w:rFonts w:eastAsia="MS Mincho"/>
          <w:sz w:val="20"/>
          <w:szCs w:val="20"/>
          <w:lang w:val="en-US" w:eastAsia="en-US" w:bidi="en-US"/>
        </w:rPr>
        <w:t>t</w:t>
      </w:r>
      <w:r w:rsidR="00CD6FAC" w:rsidRPr="00012C3F">
        <w:rPr>
          <w:rFonts w:eastAsia="MS Mincho"/>
          <w:sz w:val="20"/>
          <w:szCs w:val="20"/>
          <w:lang w:val="en-US" w:eastAsia="en-US" w:bidi="en-US"/>
        </w:rPr>
        <w:t>o the consent that should be obtained in cases of female sterilization.</w:t>
      </w:r>
    </w:p>
    <w:p w14:paraId="53C99B15" w14:textId="77777777" w:rsidR="00CD6FAC" w:rsidRPr="00012C3F" w:rsidRDefault="00CD6FAC" w:rsidP="00CD6FAC">
      <w:pPr>
        <w:tabs>
          <w:tab w:val="left" w:pos="720"/>
        </w:tabs>
        <w:spacing w:line="240" w:lineRule="auto"/>
        <w:rPr>
          <w:rFonts w:eastAsia="MS Mincho"/>
          <w:sz w:val="20"/>
          <w:szCs w:val="20"/>
          <w:lang w:val="en-US" w:eastAsia="en-US" w:bidi="en-US"/>
        </w:rPr>
      </w:pPr>
    </w:p>
    <w:p w14:paraId="784F53EF" w14:textId="77777777" w:rsidR="00E17AF2" w:rsidRPr="00012C3F" w:rsidRDefault="00EE2D33" w:rsidP="006A1060">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w:t>
      </w:r>
      <w:r w:rsidR="00AC0004" w:rsidRPr="00012C3F">
        <w:rPr>
          <w:rFonts w:eastAsia="MS Mincho"/>
          <w:sz w:val="20"/>
          <w:szCs w:val="20"/>
          <w:lang w:val="en-US" w:eastAsia="en-US" w:bidi="en-US"/>
        </w:rPr>
        <w:t>nformed consent</w:t>
      </w:r>
      <w:r w:rsidR="00E17AF2" w:rsidRPr="00012C3F">
        <w:rPr>
          <w:rFonts w:eastAsia="MS Mincho"/>
          <w:sz w:val="20"/>
          <w:szCs w:val="20"/>
          <w:lang w:val="en-US" w:eastAsia="en-US" w:bidi="en-US"/>
        </w:rPr>
        <w:t xml:space="preserve"> </w:t>
      </w:r>
      <w:r w:rsidR="006A1060" w:rsidRPr="00012C3F">
        <w:rPr>
          <w:rFonts w:eastAsia="MS Mincho"/>
          <w:sz w:val="20"/>
          <w:szCs w:val="20"/>
          <w:lang w:val="en-US" w:eastAsia="en-US" w:bidi="en-US"/>
        </w:rPr>
        <w:t>was codified in the aftermath of</w:t>
      </w:r>
      <w:r w:rsidR="006A1060" w:rsidRPr="00012C3F">
        <w:rPr>
          <w:rFonts w:eastAsia="MS Mincho"/>
          <w:sz w:val="20"/>
          <w:szCs w:val="20"/>
          <w:lang w:val="en-US" w:eastAsia="en-US" w:bidi="en-US"/>
        </w:rPr>
        <w:softHyphen/>
      </w:r>
      <w:r w:rsidR="006A1060" w:rsidRPr="00012C3F">
        <w:rPr>
          <w:rFonts w:eastAsia="MS Mincho"/>
          <w:sz w:val="20"/>
          <w:szCs w:val="20"/>
          <w:lang w:val="en-US" w:eastAsia="en-US" w:bidi="en-US"/>
        </w:rPr>
        <w:softHyphen/>
        <w:t xml:space="preserve"> the Second World War</w:t>
      </w:r>
      <w:r w:rsidR="00E17AF2" w:rsidRPr="00012C3F">
        <w:rPr>
          <w:rFonts w:eastAsia="MS Mincho"/>
          <w:sz w:val="20"/>
          <w:szCs w:val="20"/>
          <w:lang w:val="en-US" w:eastAsia="en-US" w:bidi="en-US"/>
        </w:rPr>
        <w:t xml:space="preserve"> </w:t>
      </w:r>
      <w:r w:rsidR="006A1060" w:rsidRPr="00012C3F">
        <w:rPr>
          <w:rFonts w:eastAsia="MS Mincho"/>
          <w:sz w:val="20"/>
          <w:szCs w:val="20"/>
          <w:lang w:val="en-US" w:eastAsia="en-US" w:bidi="en-US"/>
        </w:rPr>
        <w:t>and in reaction to the atrocities committed with the publication of the 1947 Nuremberg Code of medical ethics. Even though this instrument referred to medical interventions arising from scientific research,</w:t>
      </w:r>
      <w:r w:rsidR="006A1060" w:rsidRPr="00012C3F">
        <w:rPr>
          <w:rStyle w:val="Refdenotaalpie"/>
          <w:rFonts w:eastAsia="MS Mincho"/>
          <w:bCs/>
          <w:sz w:val="20"/>
          <w:szCs w:val="20"/>
          <w:lang w:val="en-US" w:eastAsia="en-US" w:bidi="en-US"/>
        </w:rPr>
        <w:footnoteReference w:id="202"/>
      </w:r>
      <w:r w:rsidR="006A1060" w:rsidRPr="00012C3F">
        <w:rPr>
          <w:rFonts w:eastAsia="MS Mincho"/>
          <w:sz w:val="20"/>
          <w:szCs w:val="20"/>
          <w:lang w:val="en-US" w:eastAsia="en-US" w:bidi="en-US"/>
        </w:rPr>
        <w:t xml:space="preserve"> as of that time it was established that the voluntary consent of the human subject was absolutely necessary, and this meant that the person involved should have legal capacity to give consent, should be able to exercise free power of choice, and should have sufficient knowledge and comprehension of the elements of the subject matter involved </w:t>
      </w:r>
      <w:r w:rsidR="004239E3" w:rsidRPr="00012C3F">
        <w:rPr>
          <w:rFonts w:eastAsia="MS Mincho"/>
          <w:sz w:val="20"/>
          <w:szCs w:val="20"/>
          <w:lang w:val="en-US" w:eastAsia="en-US" w:bidi="en-US"/>
        </w:rPr>
        <w:t>to take a decision. This latter element required that the information provided should include the nature, duration and purpose of the experiment, and the method, inconveniences and effects upon the subject’s health.</w:t>
      </w:r>
      <w:r w:rsidR="00E17AF2" w:rsidRPr="00012C3F">
        <w:rPr>
          <w:rFonts w:eastAsia="MS Mincho"/>
          <w:bCs/>
          <w:sz w:val="20"/>
          <w:szCs w:val="20"/>
          <w:vertAlign w:val="superscript"/>
          <w:lang w:val="en-US" w:eastAsia="en-US" w:bidi="en-US"/>
        </w:rPr>
        <w:footnoteReference w:id="203"/>
      </w:r>
      <w:r w:rsidR="004239E3" w:rsidRPr="00012C3F">
        <w:rPr>
          <w:rFonts w:eastAsia="MS Mincho"/>
          <w:bCs/>
          <w:sz w:val="20"/>
          <w:szCs w:val="20"/>
          <w:lang w:val="en-US" w:eastAsia="en-US" w:bidi="en-US"/>
        </w:rPr>
        <w:t xml:space="preserve"> In other words, as of that time, it was understood that consent must be prior, free and </w:t>
      </w:r>
      <w:r w:rsidR="002D5C4F" w:rsidRPr="00012C3F">
        <w:rPr>
          <w:rFonts w:eastAsia="MS Mincho"/>
          <w:bCs/>
          <w:sz w:val="20"/>
          <w:szCs w:val="20"/>
          <w:lang w:val="en-US" w:eastAsia="en-US" w:bidi="en-US"/>
        </w:rPr>
        <w:t>obtained</w:t>
      </w:r>
      <w:r w:rsidR="004239E3" w:rsidRPr="00012C3F">
        <w:rPr>
          <w:rFonts w:eastAsia="MS Mincho"/>
          <w:bCs/>
          <w:sz w:val="20"/>
          <w:szCs w:val="20"/>
          <w:lang w:val="en-US" w:eastAsia="en-US" w:bidi="en-US"/>
        </w:rPr>
        <w:t xml:space="preserve"> after having received comprehensible information.</w:t>
      </w:r>
      <w:r w:rsidR="00E17AF2" w:rsidRPr="00012C3F">
        <w:rPr>
          <w:rFonts w:eastAsia="MS Mincho"/>
          <w:bCs/>
          <w:sz w:val="20"/>
          <w:szCs w:val="20"/>
          <w:lang w:val="en-US" w:eastAsia="en-US" w:bidi="en-US"/>
        </w:rPr>
        <w:t xml:space="preserve"> </w:t>
      </w:r>
    </w:p>
    <w:p w14:paraId="1653F9D4" w14:textId="77777777" w:rsidR="00E17AF2" w:rsidRPr="00012C3F" w:rsidRDefault="00E17AF2" w:rsidP="007F2550">
      <w:pPr>
        <w:tabs>
          <w:tab w:val="left" w:pos="720"/>
        </w:tabs>
        <w:spacing w:line="240" w:lineRule="auto"/>
        <w:rPr>
          <w:rFonts w:eastAsia="MS Mincho"/>
          <w:sz w:val="20"/>
          <w:szCs w:val="20"/>
          <w:lang w:val="en-US" w:eastAsia="en-US" w:bidi="en-US"/>
        </w:rPr>
      </w:pPr>
    </w:p>
    <w:p w14:paraId="2EA3F330" w14:textId="77777777" w:rsidR="00E17AF2" w:rsidRPr="00012C3F" w:rsidRDefault="00B4529F" w:rsidP="00B4529F">
      <w:pPr>
        <w:numPr>
          <w:ilvl w:val="0"/>
          <w:numId w:val="5"/>
        </w:numPr>
        <w:tabs>
          <w:tab w:val="left" w:pos="720"/>
          <w:tab w:val="num" w:pos="12305"/>
        </w:tabs>
        <w:spacing w:line="240" w:lineRule="auto"/>
        <w:ind w:left="0" w:firstLine="0"/>
        <w:rPr>
          <w:rFonts w:eastAsia="MS Mincho"/>
          <w:bCs/>
          <w:sz w:val="20"/>
          <w:szCs w:val="20"/>
          <w:lang w:val="en-US" w:eastAsia="en-US" w:bidi="en-US"/>
        </w:rPr>
      </w:pPr>
      <w:r w:rsidRPr="00012C3F">
        <w:rPr>
          <w:rFonts w:eastAsia="MS Mincho"/>
          <w:bCs/>
          <w:sz w:val="20"/>
          <w:szCs w:val="20"/>
          <w:lang w:val="en-US" w:eastAsia="en-US" w:bidi="en-US"/>
        </w:rPr>
        <w:t xml:space="preserve">After the Nuremberg Code on medical ethics, various documents have referred more specifically to patients’ rights and to medical interventions in general and have repeated the need to obtain prior consent to any medical intervention following a process of free, full and informed choice. </w:t>
      </w:r>
      <w:r w:rsidR="007B0C04" w:rsidRPr="00012C3F">
        <w:rPr>
          <w:rFonts w:eastAsia="MS Mincho"/>
          <w:bCs/>
          <w:sz w:val="20"/>
          <w:szCs w:val="20"/>
          <w:lang w:val="en-US" w:eastAsia="en-US" w:bidi="en-US"/>
        </w:rPr>
        <w:t>The World Medical Association</w:t>
      </w:r>
      <w:r w:rsidR="00E17AF2" w:rsidRPr="00012C3F">
        <w:rPr>
          <w:rFonts w:eastAsia="MS Mincho"/>
          <w:sz w:val="20"/>
          <w:szCs w:val="20"/>
          <w:lang w:val="en-US" w:eastAsia="en-US" w:bidi="en-US"/>
        </w:rPr>
        <w:t>, UNESCO</w:t>
      </w:r>
      <w:r w:rsidR="005E5012" w:rsidRPr="00012C3F">
        <w:rPr>
          <w:rFonts w:eastAsia="MS Mincho"/>
          <w:sz w:val="20"/>
          <w:szCs w:val="20"/>
          <w:lang w:val="en-US" w:eastAsia="en-US" w:bidi="en-US"/>
        </w:rPr>
        <w:t xml:space="preserve"> and </w:t>
      </w:r>
      <w:r w:rsidRPr="00012C3F">
        <w:rPr>
          <w:rFonts w:eastAsia="MS Mincho"/>
          <w:sz w:val="20"/>
          <w:szCs w:val="20"/>
          <w:lang w:val="en-US" w:eastAsia="en-US" w:bidi="en-US"/>
        </w:rPr>
        <w:t>the</w:t>
      </w:r>
      <w:r w:rsidR="00E17AF2" w:rsidRPr="00012C3F">
        <w:rPr>
          <w:rFonts w:eastAsia="MS Mincho"/>
          <w:sz w:val="20"/>
          <w:szCs w:val="20"/>
          <w:lang w:val="en-US" w:eastAsia="en-US" w:bidi="en-US"/>
        </w:rPr>
        <w:t xml:space="preserve"> </w:t>
      </w:r>
      <w:r w:rsidR="007B0C04" w:rsidRPr="00012C3F">
        <w:rPr>
          <w:rFonts w:eastAsia="MS Mincho" w:cs="ClassicalGaramondBT-Roman"/>
          <w:sz w:val="20"/>
          <w:szCs w:val="20"/>
          <w:lang w:val="en-US" w:eastAsia="en-US" w:bidi="en-US"/>
        </w:rPr>
        <w:t>WHO</w:t>
      </w:r>
      <w:r w:rsidR="00FF504A" w:rsidRPr="00012C3F">
        <w:rPr>
          <w:rFonts w:eastAsia="MS Mincho" w:cs="ClassicalGaramondBT-Roman"/>
          <w:sz w:val="20"/>
          <w:szCs w:val="20"/>
          <w:lang w:val="en-US" w:eastAsia="en-US" w:bidi="en-US"/>
        </w:rPr>
        <w:t xml:space="preserve">, </w:t>
      </w:r>
      <w:r w:rsidRPr="00012C3F">
        <w:rPr>
          <w:rFonts w:eastAsia="MS Mincho" w:cs="ClassicalGaramondBT-Roman"/>
          <w:sz w:val="20"/>
          <w:szCs w:val="20"/>
          <w:lang w:val="en-US" w:eastAsia="en-US" w:bidi="en-US"/>
        </w:rPr>
        <w:t>among other bodies, have also referred to this</w:t>
      </w:r>
      <w:r w:rsidR="00FF504A" w:rsidRPr="00012C3F">
        <w:rPr>
          <w:rFonts w:eastAsia="MS Mincho" w:cs="ClassicalGaramondBT-Roman"/>
          <w:sz w:val="20"/>
          <w:szCs w:val="20"/>
          <w:lang w:val="en-US" w:eastAsia="en-US" w:bidi="en-US"/>
        </w:rPr>
        <w:t>.</w:t>
      </w:r>
    </w:p>
    <w:p w14:paraId="62B5429D" w14:textId="77777777" w:rsidR="00E17AF2" w:rsidRPr="00012C3F" w:rsidRDefault="00E17AF2" w:rsidP="007F2550">
      <w:pPr>
        <w:tabs>
          <w:tab w:val="left" w:pos="720"/>
        </w:tabs>
        <w:spacing w:line="240" w:lineRule="auto"/>
        <w:rPr>
          <w:rFonts w:eastAsia="MS Mincho" w:cs="ClassicalGaramondBT-Roman"/>
          <w:sz w:val="20"/>
          <w:szCs w:val="20"/>
          <w:lang w:val="en-US" w:eastAsia="en-US" w:bidi="en-US"/>
        </w:rPr>
      </w:pPr>
    </w:p>
    <w:p w14:paraId="5EC97A7E" w14:textId="77777777" w:rsidR="00E17AF2" w:rsidRPr="00012C3F" w:rsidRDefault="00B4529F" w:rsidP="007F2550">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cs="ClassicalGaramondBT-Roman"/>
          <w:sz w:val="20"/>
          <w:szCs w:val="20"/>
          <w:lang w:val="en-US" w:eastAsia="en-US" w:bidi="en-US"/>
        </w:rPr>
        <w:t>Furthermore</w:t>
      </w:r>
      <w:r w:rsidR="00E17AF2" w:rsidRPr="00012C3F">
        <w:rPr>
          <w:rFonts w:eastAsia="MS Mincho" w:cs="ClassicalGaramondBT-Roman"/>
          <w:sz w:val="20"/>
          <w:szCs w:val="20"/>
          <w:lang w:val="en-US" w:eastAsia="en-US" w:bidi="en-US"/>
        </w:rPr>
        <w:t xml:space="preserve">, </w:t>
      </w:r>
      <w:r w:rsidR="006C705C" w:rsidRPr="00012C3F">
        <w:rPr>
          <w:rFonts w:eastAsia="Calibri"/>
          <w:sz w:val="20"/>
          <w:szCs w:val="20"/>
          <w:lang w:val="en-US" w:eastAsia="en-US" w:bidi="en-US"/>
        </w:rPr>
        <w:t>in relation to</w:t>
      </w:r>
      <w:r w:rsidR="00E17AF2" w:rsidRPr="00012C3F">
        <w:rPr>
          <w:rFonts w:eastAsia="Calibri"/>
          <w:sz w:val="20"/>
          <w:szCs w:val="20"/>
          <w:lang w:val="en-US" w:eastAsia="en-US" w:bidi="en-US"/>
        </w:rPr>
        <w:t xml:space="preserve"> </w:t>
      </w:r>
      <w:r w:rsidR="00E17AF2" w:rsidRPr="00012C3F">
        <w:rPr>
          <w:rFonts w:eastAsia="MS Mincho"/>
          <w:sz w:val="20"/>
          <w:szCs w:val="20"/>
          <w:lang w:val="en-US" w:eastAsia="en-US" w:bidi="en-US"/>
        </w:rPr>
        <w:t>sexual</w:t>
      </w:r>
      <w:r w:rsidR="005E5012" w:rsidRPr="00012C3F">
        <w:rPr>
          <w:rFonts w:eastAsia="MS Mincho"/>
          <w:sz w:val="20"/>
          <w:szCs w:val="20"/>
          <w:lang w:val="en-US" w:eastAsia="en-US" w:bidi="en-US"/>
        </w:rPr>
        <w:t xml:space="preserve"> and </w:t>
      </w:r>
      <w:r w:rsidR="00E17AF2" w:rsidRPr="00012C3F">
        <w:rPr>
          <w:rFonts w:eastAsia="MS Mincho"/>
          <w:sz w:val="20"/>
          <w:szCs w:val="20"/>
          <w:lang w:val="en-US" w:eastAsia="en-US" w:bidi="en-US"/>
        </w:rPr>
        <w:t>reproductiv</w:t>
      </w:r>
      <w:r w:rsidRPr="00012C3F">
        <w:rPr>
          <w:rFonts w:eastAsia="MS Mincho"/>
          <w:sz w:val="20"/>
          <w:szCs w:val="20"/>
          <w:lang w:val="en-US" w:eastAsia="en-US" w:bidi="en-US"/>
        </w:rPr>
        <w:t>e rights</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both the Programme of Action of the International Conference on Population and Development, held in Cairo in 1994,</w:t>
      </w:r>
      <w:r w:rsidR="00E17AF2" w:rsidRPr="00012C3F">
        <w:rPr>
          <w:rStyle w:val="Refdenotaalpie"/>
          <w:rFonts w:eastAsia="Calibri"/>
          <w:sz w:val="20"/>
          <w:szCs w:val="20"/>
          <w:lang w:val="en-US" w:eastAsia="en-US" w:bidi="en-US"/>
        </w:rPr>
        <w:footnoteReference w:id="204"/>
      </w:r>
      <w:r w:rsidRPr="00012C3F">
        <w:rPr>
          <w:rFonts w:eastAsia="Calibri"/>
          <w:sz w:val="20"/>
          <w:szCs w:val="20"/>
          <w:lang w:val="en-US" w:eastAsia="en-US" w:bidi="en-US"/>
        </w:rPr>
        <w:t xml:space="preserve"> and the </w:t>
      </w:r>
      <w:r w:rsidRPr="00012C3F">
        <w:rPr>
          <w:sz w:val="20"/>
          <w:szCs w:val="20"/>
          <w:lang w:val="en-US"/>
        </w:rPr>
        <w:t>Declaration and Platform for Action of the Fourth World Conference on Women</w:t>
      </w:r>
      <w:r w:rsidRPr="00012C3F">
        <w:rPr>
          <w:rFonts w:eastAsia="Calibri"/>
          <w:sz w:val="20"/>
          <w:szCs w:val="20"/>
          <w:lang w:val="en-US" w:eastAsia="en-US" w:bidi="en-US"/>
        </w:rPr>
        <w:t xml:space="preserve"> held in </w:t>
      </w:r>
      <w:r w:rsidR="00E17AF2" w:rsidRPr="00012C3F">
        <w:rPr>
          <w:rFonts w:eastAsia="Calibri"/>
          <w:sz w:val="20"/>
          <w:szCs w:val="20"/>
          <w:lang w:val="en-US" w:eastAsia="en-US" w:bidi="en-US"/>
        </w:rPr>
        <w:t xml:space="preserve">Beijing </w:t>
      </w:r>
      <w:r w:rsidRPr="00012C3F">
        <w:rPr>
          <w:rFonts w:eastAsia="Calibri"/>
          <w:sz w:val="20"/>
          <w:szCs w:val="20"/>
          <w:lang w:val="en-US" w:eastAsia="en-US" w:bidi="en-US"/>
        </w:rPr>
        <w:t>in</w:t>
      </w:r>
      <w:r w:rsidR="00E17AF2" w:rsidRPr="00012C3F">
        <w:rPr>
          <w:rFonts w:eastAsia="Calibri"/>
          <w:sz w:val="20"/>
          <w:szCs w:val="20"/>
          <w:lang w:val="en-US" w:eastAsia="en-US" w:bidi="en-US"/>
        </w:rPr>
        <w:t xml:space="preserve"> 1995</w:t>
      </w:r>
      <w:r w:rsidR="002D5C4F" w:rsidRPr="00012C3F">
        <w:rPr>
          <w:rFonts w:eastAsia="Calibri"/>
          <w:sz w:val="20"/>
          <w:szCs w:val="20"/>
          <w:lang w:val="en-US" w:eastAsia="en-US" w:bidi="en-US"/>
        </w:rPr>
        <w:t>,</w:t>
      </w:r>
      <w:r w:rsidR="00E17AF2" w:rsidRPr="00012C3F">
        <w:rPr>
          <w:rStyle w:val="Refdenotaalpie"/>
          <w:rFonts w:eastAsia="Calibri"/>
          <w:sz w:val="20"/>
          <w:szCs w:val="20"/>
          <w:lang w:val="en-US" w:eastAsia="en-US" w:bidi="en-US"/>
        </w:rPr>
        <w:footnoteReference w:id="205"/>
      </w:r>
      <w:r w:rsidRPr="00012C3F">
        <w:rPr>
          <w:rFonts w:eastAsia="Calibri"/>
          <w:sz w:val="20"/>
          <w:szCs w:val="20"/>
          <w:lang w:val="en-US" w:eastAsia="en-US" w:bidi="en-US"/>
        </w:rPr>
        <w:t xml:space="preserve"> refer to the need to obtain responsible, voluntary and informed consent for the exercise of these rights. Additionally the FIGO Committee  for the Ethical Aspects of Human Reproduction and Women’s Health has referred to the elements of consent </w:t>
      </w:r>
      <w:r w:rsidRPr="00012C3F">
        <w:rPr>
          <w:rFonts w:eastAsia="MS Mincho"/>
          <w:sz w:val="20"/>
          <w:szCs w:val="20"/>
          <w:lang w:val="en-US" w:eastAsia="en-US" w:bidi="en-US"/>
        </w:rPr>
        <w:t xml:space="preserve">in recommendations on standards for informed consent since 1995, and on female sterilization since 1989. </w:t>
      </w:r>
      <w:r w:rsidR="00BC0785" w:rsidRPr="00012C3F">
        <w:rPr>
          <w:rFonts w:eastAsia="MS Mincho"/>
          <w:sz w:val="20"/>
          <w:szCs w:val="20"/>
          <w:lang w:val="en-US" w:eastAsia="en-US" w:bidi="en-US"/>
        </w:rPr>
        <w:t xml:space="preserve">These standards were </w:t>
      </w:r>
      <w:r w:rsidR="00BC0785" w:rsidRPr="00012C3F">
        <w:rPr>
          <w:rFonts w:eastAsia="MS Mincho"/>
          <w:sz w:val="20"/>
          <w:szCs w:val="20"/>
          <w:lang w:val="en-US" w:eastAsia="en-US" w:bidi="en-US"/>
        </w:rPr>
        <w:lastRenderedPageBreak/>
        <w:t xml:space="preserve">repeated and systematized in 2014 by several agencies of the universal system when issuing a statement on “Eliminating forced, coercive and otherwise involuntary </w:t>
      </w:r>
      <w:r w:rsidR="00570C15" w:rsidRPr="00012C3F">
        <w:rPr>
          <w:rFonts w:eastAsia="MS Mincho" w:cs="ClassicalGaramondBT-Roman"/>
          <w:sz w:val="20"/>
          <w:szCs w:val="20"/>
          <w:lang w:val="en-US" w:eastAsia="en-US" w:bidi="en-US"/>
        </w:rPr>
        <w:t>sterilization</w:t>
      </w:r>
      <w:r w:rsidR="00E17AF2" w:rsidRPr="00012C3F">
        <w:rPr>
          <w:rFonts w:eastAsia="MS Mincho" w:cs="ClassicalGaramondBT-Roman"/>
          <w:sz w:val="20"/>
          <w:szCs w:val="20"/>
          <w:lang w:val="en-US" w:eastAsia="en-US" w:bidi="en-US"/>
        </w:rPr>
        <w:t>.</w:t>
      </w:r>
      <w:r w:rsidR="00BC0785" w:rsidRPr="00012C3F">
        <w:rPr>
          <w:rFonts w:eastAsia="MS Mincho" w:cs="ClassicalGaramondBT-Roman"/>
          <w:sz w:val="20"/>
          <w:szCs w:val="20"/>
          <w:lang w:val="en-US" w:eastAsia="en-US" w:bidi="en-US"/>
        </w:rPr>
        <w:t>”</w:t>
      </w:r>
    </w:p>
    <w:p w14:paraId="726D1E78" w14:textId="77777777" w:rsidR="00E17AF2" w:rsidRPr="00012C3F" w:rsidRDefault="00E17AF2" w:rsidP="00936568">
      <w:pPr>
        <w:tabs>
          <w:tab w:val="left" w:pos="567"/>
          <w:tab w:val="left" w:pos="720"/>
        </w:tabs>
        <w:spacing w:line="240" w:lineRule="auto"/>
        <w:rPr>
          <w:rFonts w:eastAsia="MS Mincho"/>
          <w:sz w:val="20"/>
          <w:szCs w:val="20"/>
          <w:lang w:val="en-US" w:eastAsia="en-US" w:bidi="en-US"/>
        </w:rPr>
      </w:pPr>
    </w:p>
    <w:p w14:paraId="5F36D49B" w14:textId="77777777" w:rsidR="00E17AF2" w:rsidRPr="00012C3F" w:rsidRDefault="00BC0785" w:rsidP="00BC0785">
      <w:pPr>
        <w:numPr>
          <w:ilvl w:val="0"/>
          <w:numId w:val="5"/>
        </w:numPr>
        <w:tabs>
          <w:tab w:val="left" w:pos="720"/>
          <w:tab w:val="num" w:pos="12305"/>
        </w:tabs>
        <w:spacing w:line="240" w:lineRule="auto"/>
        <w:ind w:left="0" w:firstLine="0"/>
        <w:rPr>
          <w:sz w:val="20"/>
          <w:szCs w:val="20"/>
          <w:lang w:val="en-US"/>
        </w:rPr>
      </w:pPr>
      <w:r w:rsidRPr="00012C3F">
        <w:rPr>
          <w:rFonts w:eastAsia="MS Mincho" w:cs="ClassicalGaramondBT-Roman"/>
          <w:sz w:val="20"/>
          <w:szCs w:val="20"/>
          <w:lang w:val="en-US" w:eastAsia="en-US" w:bidi="en-US"/>
        </w:rPr>
        <w:t xml:space="preserve">Likewise, the Court underlines that the European Court of Human Rights has interpreted the rule of </w:t>
      </w:r>
      <w:r w:rsidR="00AC0004" w:rsidRPr="00012C3F">
        <w:rPr>
          <w:rFonts w:eastAsia="MS Mincho" w:cs="ClassicalGaramondBT-Roman"/>
          <w:sz w:val="20"/>
          <w:szCs w:val="20"/>
          <w:lang w:val="en-US" w:eastAsia="en-US" w:bidi="en-US"/>
        </w:rPr>
        <w:t>informed consent</w:t>
      </w:r>
      <w:r w:rsidR="00E17AF2" w:rsidRPr="00012C3F">
        <w:rPr>
          <w:rFonts w:eastAsia="MS Mincho" w:cs="ClassicalGaramondBT-Roman"/>
          <w:sz w:val="20"/>
          <w:szCs w:val="20"/>
          <w:lang w:val="en-US" w:eastAsia="en-US" w:bidi="en-US"/>
        </w:rPr>
        <w:t xml:space="preserve"> </w:t>
      </w:r>
      <w:r w:rsidRPr="00012C3F">
        <w:rPr>
          <w:rFonts w:eastAsia="MS Mincho" w:cs="ClassicalGaramondBT-Roman"/>
          <w:sz w:val="20"/>
          <w:szCs w:val="20"/>
          <w:lang w:val="en-US" w:eastAsia="en-US" w:bidi="en-US"/>
        </w:rPr>
        <w:t>on several occasions, both in cases relat</w:t>
      </w:r>
      <w:r w:rsidR="002D5C4F" w:rsidRPr="00012C3F">
        <w:rPr>
          <w:rFonts w:eastAsia="MS Mincho" w:cs="ClassicalGaramondBT-Roman"/>
          <w:sz w:val="20"/>
          <w:szCs w:val="20"/>
          <w:lang w:val="en-US" w:eastAsia="en-US" w:bidi="en-US"/>
        </w:rPr>
        <w:t>ing</w:t>
      </w:r>
      <w:r w:rsidRPr="00012C3F">
        <w:rPr>
          <w:rFonts w:eastAsia="MS Mincho" w:cs="ClassicalGaramondBT-Roman"/>
          <w:sz w:val="20"/>
          <w:szCs w:val="20"/>
          <w:lang w:val="en-US" w:eastAsia="en-US" w:bidi="en-US"/>
        </w:rPr>
        <w:t xml:space="preserve"> to medical interventions in general,</w:t>
      </w:r>
      <w:r w:rsidR="00E17AF2" w:rsidRPr="00012C3F">
        <w:rPr>
          <w:rFonts w:eastAsia="MS Mincho" w:cs="ClassicalGaramondBT-Roman"/>
          <w:sz w:val="20"/>
          <w:szCs w:val="20"/>
          <w:vertAlign w:val="superscript"/>
          <w:lang w:val="en-US" w:eastAsia="en-US" w:bidi="en-US"/>
        </w:rPr>
        <w:footnoteReference w:id="206"/>
      </w:r>
      <w:r w:rsidRPr="00012C3F">
        <w:rPr>
          <w:rFonts w:eastAsia="MS Mincho" w:cs="ClassicalGaramondBT-Roman"/>
          <w:sz w:val="20"/>
          <w:szCs w:val="20"/>
          <w:lang w:val="en-US" w:eastAsia="en-US" w:bidi="en-US"/>
        </w:rPr>
        <w:t xml:space="preserve"> and in specific cases of female sterilization, establishing that such consent is essential for the performance of any medical intervention. In particular, the European Court decided that prior, free, full and informed consent was a requisite for a surgical sterilization procedure in relation to facts that occurred in Slovakia in 1999.</w:t>
      </w:r>
      <w:r w:rsidR="00360E36" w:rsidRPr="00012C3F">
        <w:rPr>
          <w:rStyle w:val="Refdenotaalpie"/>
          <w:rFonts w:eastAsia="MS Mincho" w:cs="ClassicalGaramondBT-Roman"/>
          <w:sz w:val="20"/>
          <w:szCs w:val="20"/>
          <w:lang w:val="en-US" w:eastAsia="en-US" w:bidi="en-US"/>
        </w:rPr>
        <w:footnoteReference w:id="207"/>
      </w:r>
      <w:r w:rsidRPr="00012C3F">
        <w:rPr>
          <w:sz w:val="20"/>
          <w:szCs w:val="20"/>
          <w:lang w:val="en-US"/>
        </w:rPr>
        <w:t xml:space="preserve"> The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Committee for the Elimination of Discrimination against Women</w:t>
      </w:r>
      <w:r w:rsidR="00017C10"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ruled similarly in the case of </w:t>
      </w:r>
      <w:r w:rsidR="00E17AF2" w:rsidRPr="00012C3F">
        <w:rPr>
          <w:rFonts w:eastAsia="MS Mincho" w:cs="Calibri"/>
          <w:i/>
          <w:sz w:val="20"/>
          <w:szCs w:val="20"/>
          <w:lang w:val="en-US" w:eastAsia="en-US" w:bidi="en-US"/>
        </w:rPr>
        <w:t>A.S</w:t>
      </w:r>
      <w:r w:rsidR="002C78D7" w:rsidRPr="00012C3F">
        <w:rPr>
          <w:rFonts w:eastAsia="MS Mincho" w:cs="Calibri"/>
          <w:i/>
          <w:sz w:val="20"/>
          <w:szCs w:val="20"/>
          <w:lang w:val="en-US" w:eastAsia="en-US" w:bidi="en-US"/>
        </w:rPr>
        <w:t>.</w:t>
      </w:r>
      <w:r w:rsidR="00E17AF2" w:rsidRPr="00012C3F">
        <w:rPr>
          <w:rFonts w:eastAsia="MS Mincho" w:cs="Calibri"/>
          <w:i/>
          <w:sz w:val="20"/>
          <w:szCs w:val="20"/>
          <w:lang w:val="en-US" w:eastAsia="en-US" w:bidi="en-US"/>
        </w:rPr>
        <w:t xml:space="preserve"> </w:t>
      </w:r>
      <w:r w:rsidRPr="00012C3F">
        <w:rPr>
          <w:rFonts w:eastAsia="MS Mincho" w:cs="Calibri"/>
          <w:i/>
          <w:sz w:val="20"/>
          <w:szCs w:val="20"/>
          <w:lang w:val="en-US" w:eastAsia="en-US" w:bidi="en-US"/>
        </w:rPr>
        <w:t>v.</w:t>
      </w:r>
      <w:r w:rsidR="00E17AF2" w:rsidRPr="00012C3F">
        <w:rPr>
          <w:rFonts w:eastAsia="MS Mincho" w:cs="Calibri"/>
          <w:i/>
          <w:sz w:val="20"/>
          <w:szCs w:val="20"/>
          <w:lang w:val="en-US" w:eastAsia="en-US" w:bidi="en-US"/>
        </w:rPr>
        <w:t xml:space="preserve"> Hung</w:t>
      </w:r>
      <w:r w:rsidRPr="00012C3F">
        <w:rPr>
          <w:rFonts w:eastAsia="MS Mincho" w:cs="Calibri"/>
          <w:i/>
          <w:sz w:val="20"/>
          <w:szCs w:val="20"/>
          <w:lang w:val="en-US" w:eastAsia="en-US" w:bidi="en-US"/>
        </w:rPr>
        <w:t>ary</w:t>
      </w:r>
      <w:r w:rsidR="00EE75B9" w:rsidRPr="00012C3F">
        <w:rPr>
          <w:rFonts w:eastAsia="MS Mincho" w:cs="Calibri"/>
          <w:sz w:val="20"/>
          <w:szCs w:val="20"/>
          <w:lang w:val="en-US" w:eastAsia="en-US" w:bidi="en-US"/>
        </w:rPr>
        <w:t xml:space="preserve"> </w:t>
      </w:r>
      <w:r w:rsidRPr="00012C3F">
        <w:rPr>
          <w:rFonts w:eastAsia="MS Mincho" w:cs="Calibri"/>
          <w:sz w:val="20"/>
          <w:szCs w:val="20"/>
          <w:lang w:val="en-US" w:eastAsia="en-US" w:bidi="en-US"/>
        </w:rPr>
        <w:t xml:space="preserve">with regard to facts that took place in January </w:t>
      </w:r>
      <w:r w:rsidR="00EE75B9" w:rsidRPr="00012C3F">
        <w:rPr>
          <w:rFonts w:eastAsia="MS Mincho" w:cs="Calibri"/>
          <w:sz w:val="20"/>
          <w:szCs w:val="20"/>
          <w:lang w:val="en-US" w:eastAsia="en-US" w:bidi="en-US"/>
        </w:rPr>
        <w:t>2001</w:t>
      </w:r>
      <w:r w:rsidRPr="00012C3F">
        <w:rPr>
          <w:rFonts w:eastAsia="MS Mincho" w:cs="Calibri"/>
          <w:sz w:val="20"/>
          <w:szCs w:val="20"/>
          <w:lang w:val="en-US" w:eastAsia="en-US" w:bidi="en-US"/>
        </w:rPr>
        <w:t>.</w:t>
      </w:r>
      <w:r w:rsidR="00E17AF2" w:rsidRPr="00012C3F">
        <w:rPr>
          <w:rFonts w:eastAsia="MS Mincho" w:cs="Calibri"/>
          <w:sz w:val="20"/>
          <w:szCs w:val="20"/>
          <w:vertAlign w:val="superscript"/>
          <w:lang w:val="en-US" w:eastAsia="en-US" w:bidi="en-US"/>
        </w:rPr>
        <w:footnoteReference w:id="208"/>
      </w:r>
    </w:p>
    <w:p w14:paraId="5587379E" w14:textId="77777777" w:rsidR="00E17AF2" w:rsidRPr="00012C3F" w:rsidRDefault="00E17AF2" w:rsidP="00BC0785">
      <w:pPr>
        <w:tabs>
          <w:tab w:val="left" w:pos="720"/>
        </w:tabs>
        <w:spacing w:line="240" w:lineRule="auto"/>
        <w:rPr>
          <w:rFonts w:eastAsia="MS Mincho"/>
          <w:sz w:val="20"/>
          <w:szCs w:val="20"/>
          <w:lang w:val="en-US" w:eastAsia="en-US" w:bidi="en-US"/>
        </w:rPr>
      </w:pPr>
    </w:p>
    <w:p w14:paraId="3F6D8529" w14:textId="77777777" w:rsidR="00E17AF2" w:rsidRPr="00012C3F" w:rsidRDefault="007678C4" w:rsidP="007678C4">
      <w:pPr>
        <w:numPr>
          <w:ilvl w:val="0"/>
          <w:numId w:val="5"/>
        </w:numPr>
        <w:tabs>
          <w:tab w:val="left" w:pos="720"/>
          <w:tab w:val="num" w:pos="12305"/>
        </w:tabs>
        <w:spacing w:line="240" w:lineRule="auto"/>
        <w:ind w:left="0" w:firstLine="0"/>
        <w:rPr>
          <w:rFonts w:eastAsia="MS Mincho"/>
          <w:i/>
          <w:sz w:val="20"/>
          <w:szCs w:val="20"/>
          <w:lang w:val="en-US" w:eastAsia="en-US" w:bidi="en-US"/>
        </w:rPr>
      </w:pPr>
      <w:r w:rsidRPr="00012C3F">
        <w:rPr>
          <w:rFonts w:eastAsia="MS Mincho"/>
          <w:sz w:val="20"/>
          <w:szCs w:val="20"/>
          <w:lang w:val="en-US" w:eastAsia="en-US" w:bidi="en-US"/>
        </w:rPr>
        <w:t>As indicated</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not</w:t>
      </w:r>
      <w:r w:rsidRPr="00012C3F">
        <w:rPr>
          <w:rFonts w:eastAsia="MS Mincho"/>
          <w:sz w:val="20"/>
          <w:szCs w:val="20"/>
          <w:lang w:val="en-US" w:eastAsia="en-US" w:bidi="en-US"/>
        </w:rPr>
        <w:t xml:space="preserve">es that the key aspect of the legal standards aimed at protecting individuals faced with medical procedures has been prior, free, full and informed consent. </w:t>
      </w:r>
      <w:r w:rsidRPr="00012C3F">
        <w:rPr>
          <w:rFonts w:cs="Arial"/>
          <w:sz w:val="20"/>
          <w:szCs w:val="20"/>
          <w:lang w:val="en-US"/>
        </w:rPr>
        <w:t xml:space="preserve">These elements, which are characteristic of valid consent, have been present in the fields of medicine and human rights since the adoption of the 1947 Nuremberg Code of medical ethics and continue to be central to the development of bioethics and law. Furthermore, the Court considers that the standards for informed consent for medical interventions in general are applicable to female sterilization because this is a surgical procedure. However, owing to the nature and gravity of the procedure, which involves a woman losing her reproductive capacity permanently, there are special factors that must be taken into account by </w:t>
      </w:r>
      <w:r w:rsidR="002D5C4F" w:rsidRPr="00012C3F">
        <w:rPr>
          <w:rFonts w:cs="Arial"/>
          <w:sz w:val="20"/>
          <w:szCs w:val="20"/>
          <w:lang w:val="en-US"/>
        </w:rPr>
        <w:t xml:space="preserve">the </w:t>
      </w:r>
      <w:r w:rsidRPr="00012C3F">
        <w:rPr>
          <w:rFonts w:cs="Arial"/>
          <w:sz w:val="20"/>
          <w:szCs w:val="20"/>
          <w:lang w:val="en-US"/>
        </w:rPr>
        <w:t>health personnel during the process of informed choice that may result in obtaining informed consent to submit to sterilization. The Court will no</w:t>
      </w:r>
      <w:r w:rsidR="002D5C4F" w:rsidRPr="00012C3F">
        <w:rPr>
          <w:rFonts w:cs="Arial"/>
          <w:sz w:val="20"/>
          <w:szCs w:val="20"/>
          <w:lang w:val="en-US"/>
        </w:rPr>
        <w:t>w</w:t>
      </w:r>
      <w:r w:rsidRPr="00012C3F">
        <w:rPr>
          <w:rFonts w:cs="Arial"/>
          <w:sz w:val="20"/>
          <w:szCs w:val="20"/>
          <w:lang w:val="en-US"/>
        </w:rPr>
        <w:t xml:space="preserve"> define the content of the essential elements of consent derived from the international</w:t>
      </w:r>
      <w:r w:rsidRPr="00012C3F">
        <w:rPr>
          <w:rFonts w:eastAsia="MS Mincho"/>
          <w:i/>
          <w:sz w:val="20"/>
          <w:szCs w:val="20"/>
          <w:lang w:val="en-US" w:eastAsia="en-US" w:bidi="en-US"/>
        </w:rPr>
        <w:t xml:space="preserve"> </w:t>
      </w:r>
      <w:r w:rsidR="00442CC5" w:rsidRPr="00012C3F">
        <w:rPr>
          <w:rFonts w:eastAsia="MS Mincho"/>
          <w:i/>
          <w:sz w:val="20"/>
          <w:szCs w:val="20"/>
          <w:lang w:val="en-US" w:eastAsia="en-US" w:bidi="en-US"/>
        </w:rPr>
        <w:t>corpus juris.</w:t>
      </w:r>
    </w:p>
    <w:p w14:paraId="679A4AC9" w14:textId="77777777" w:rsidR="00E17AF2" w:rsidRPr="00012C3F" w:rsidRDefault="00E17AF2" w:rsidP="00BC0785">
      <w:pPr>
        <w:tabs>
          <w:tab w:val="left" w:pos="720"/>
        </w:tabs>
        <w:spacing w:line="240" w:lineRule="auto"/>
        <w:rPr>
          <w:rFonts w:eastAsia="MS Mincho"/>
          <w:i/>
          <w:sz w:val="20"/>
          <w:szCs w:val="20"/>
          <w:lang w:val="en-US" w:eastAsia="en-US" w:bidi="en-US"/>
        </w:rPr>
      </w:pPr>
    </w:p>
    <w:p w14:paraId="2533F982" w14:textId="77777777" w:rsidR="00442CC5" w:rsidRPr="00012C3F" w:rsidRDefault="00442CC5" w:rsidP="00BC0785">
      <w:pPr>
        <w:tabs>
          <w:tab w:val="left" w:pos="720"/>
        </w:tabs>
        <w:spacing w:line="240" w:lineRule="auto"/>
        <w:rPr>
          <w:rFonts w:eastAsia="MS Mincho"/>
          <w:i/>
          <w:sz w:val="20"/>
          <w:szCs w:val="20"/>
          <w:lang w:val="en-US" w:eastAsia="en-US" w:bidi="en-US"/>
        </w:rPr>
      </w:pPr>
      <w:r w:rsidRPr="00012C3F">
        <w:rPr>
          <w:rFonts w:eastAsia="MS Mincho"/>
          <w:i/>
          <w:sz w:val="20"/>
          <w:szCs w:val="20"/>
          <w:lang w:val="en-US" w:eastAsia="en-US" w:bidi="en-US"/>
        </w:rPr>
        <w:tab/>
      </w:r>
      <w:r w:rsidRPr="00012C3F">
        <w:rPr>
          <w:rFonts w:eastAsia="MS Mincho"/>
          <w:i/>
          <w:sz w:val="20"/>
          <w:szCs w:val="20"/>
          <w:lang w:val="en-US" w:eastAsia="en-US" w:bidi="en-US"/>
        </w:rPr>
        <w:tab/>
      </w:r>
      <w:r w:rsidRPr="00012C3F">
        <w:rPr>
          <w:rFonts w:eastAsia="MS Mincho"/>
          <w:i/>
          <w:sz w:val="20"/>
          <w:szCs w:val="20"/>
          <w:lang w:val="en-US" w:eastAsia="en-US" w:bidi="en-US"/>
        </w:rPr>
        <w:tab/>
        <w:t xml:space="preserve">i) </w:t>
      </w:r>
      <w:r w:rsidRPr="00012C3F">
        <w:rPr>
          <w:rFonts w:eastAsia="MS Mincho"/>
          <w:i/>
          <w:sz w:val="20"/>
          <w:szCs w:val="20"/>
          <w:lang w:val="en-US" w:eastAsia="en-US" w:bidi="en-US"/>
        </w:rPr>
        <w:tab/>
      </w:r>
      <w:r w:rsidR="007678C4" w:rsidRPr="00012C3F">
        <w:rPr>
          <w:rFonts w:eastAsia="MS Mincho"/>
          <w:i/>
          <w:sz w:val="20"/>
          <w:szCs w:val="20"/>
          <w:lang w:val="en-US" w:eastAsia="en-US" w:bidi="en-US"/>
        </w:rPr>
        <w:t>The prior nature of the consent</w:t>
      </w:r>
    </w:p>
    <w:p w14:paraId="55F7A6B3" w14:textId="77777777" w:rsidR="00442CC5" w:rsidRPr="00012C3F" w:rsidRDefault="00442CC5" w:rsidP="00BC0785">
      <w:pPr>
        <w:tabs>
          <w:tab w:val="left" w:pos="720"/>
        </w:tabs>
        <w:spacing w:line="240" w:lineRule="auto"/>
        <w:rPr>
          <w:rFonts w:eastAsia="MS Mincho"/>
          <w:b/>
          <w:i/>
          <w:sz w:val="20"/>
          <w:szCs w:val="20"/>
          <w:lang w:val="en-US" w:eastAsia="en-US" w:bidi="en-US"/>
        </w:rPr>
      </w:pPr>
    </w:p>
    <w:p w14:paraId="18C2FCE4" w14:textId="77777777" w:rsidR="00891C09" w:rsidRPr="00012C3F" w:rsidRDefault="007678C4" w:rsidP="00891C09">
      <w:pPr>
        <w:numPr>
          <w:ilvl w:val="0"/>
          <w:numId w:val="5"/>
        </w:numPr>
        <w:tabs>
          <w:tab w:val="left" w:pos="720"/>
          <w:tab w:val="num" w:pos="12305"/>
        </w:tabs>
        <w:spacing w:line="240" w:lineRule="auto"/>
        <w:ind w:left="0" w:firstLine="0"/>
        <w:rPr>
          <w:rFonts w:eastAsia="Calibri" w:cs="ClassicalGaramondBT-Roman"/>
          <w:sz w:val="20"/>
          <w:szCs w:val="20"/>
          <w:lang w:val="en-US" w:eastAsia="en-US" w:bidi="en-US"/>
        </w:rPr>
      </w:pPr>
      <w:r w:rsidRPr="00012C3F">
        <w:rPr>
          <w:rFonts w:cs="Arial"/>
          <w:sz w:val="20"/>
          <w:szCs w:val="20"/>
          <w:lang w:val="en-US"/>
        </w:rPr>
        <w:t xml:space="preserve">The first element of consent to be considered is its prior nature, which means that </w:t>
      </w:r>
      <w:r w:rsidR="002D5C4F" w:rsidRPr="00012C3F">
        <w:rPr>
          <w:rFonts w:cs="Arial"/>
          <w:sz w:val="20"/>
          <w:szCs w:val="20"/>
          <w:lang w:val="en-US"/>
        </w:rPr>
        <w:t>consent</w:t>
      </w:r>
      <w:r w:rsidRPr="00012C3F">
        <w:rPr>
          <w:rFonts w:cs="Arial"/>
          <w:sz w:val="20"/>
          <w:szCs w:val="20"/>
          <w:lang w:val="en-US"/>
        </w:rPr>
        <w:t xml:space="preserve"> must always be given before any medical intervention. The Court note</w:t>
      </w:r>
      <w:r w:rsidR="002D5C4F" w:rsidRPr="00012C3F">
        <w:rPr>
          <w:rFonts w:cs="Arial"/>
          <w:sz w:val="20"/>
          <w:szCs w:val="20"/>
          <w:lang w:val="en-US"/>
        </w:rPr>
        <w:t>s</w:t>
      </w:r>
      <w:r w:rsidRPr="00012C3F">
        <w:rPr>
          <w:rFonts w:cs="Arial"/>
          <w:sz w:val="20"/>
          <w:szCs w:val="20"/>
          <w:lang w:val="en-US"/>
        </w:rPr>
        <w:t xml:space="preserve"> that it </w:t>
      </w:r>
      <w:r w:rsidR="002D5C4F" w:rsidRPr="00012C3F">
        <w:rPr>
          <w:rFonts w:cs="Arial"/>
          <w:sz w:val="20"/>
          <w:szCs w:val="20"/>
          <w:lang w:val="en-US"/>
        </w:rPr>
        <w:t>i</w:t>
      </w:r>
      <w:r w:rsidRPr="00012C3F">
        <w:rPr>
          <w:rFonts w:cs="Arial"/>
          <w:sz w:val="20"/>
          <w:szCs w:val="20"/>
          <w:lang w:val="en-US"/>
        </w:rPr>
        <w:t>s not possible to validate consent after the medical intervention had concluded</w:t>
      </w:r>
      <w:r w:rsidR="00E17AF2" w:rsidRPr="00012C3F">
        <w:rPr>
          <w:rFonts w:eastAsia="Calibri" w:cs="ClassicalGaramondBT-Roman"/>
          <w:sz w:val="20"/>
          <w:szCs w:val="20"/>
          <w:lang w:val="en-US" w:eastAsia="en-US" w:bidi="en-US"/>
        </w:rPr>
        <w:t xml:space="preserve">. </w:t>
      </w:r>
      <w:r w:rsidRPr="00012C3F">
        <w:rPr>
          <w:rFonts w:eastAsia="Calibri" w:cs="ClassicalGaramondBT-Roman"/>
          <w:sz w:val="20"/>
          <w:szCs w:val="20"/>
          <w:lang w:val="en-US" w:eastAsia="en-US" w:bidi="en-US"/>
        </w:rPr>
        <w:t>The prior nature of the consent</w:t>
      </w:r>
      <w:r w:rsidR="00E17AF2" w:rsidRPr="00012C3F">
        <w:rPr>
          <w:rFonts w:eastAsia="Calibri" w:cs="ClassicalGaramondBT-Roman"/>
          <w:sz w:val="20"/>
          <w:szCs w:val="20"/>
          <w:lang w:val="en-US" w:eastAsia="en-US" w:bidi="en-US"/>
        </w:rPr>
        <w:t xml:space="preserve"> ha</w:t>
      </w:r>
      <w:r w:rsidRPr="00012C3F">
        <w:rPr>
          <w:rFonts w:eastAsia="Calibri" w:cs="ClassicalGaramondBT-Roman"/>
          <w:sz w:val="20"/>
          <w:szCs w:val="20"/>
          <w:lang w:val="en-US" w:eastAsia="en-US" w:bidi="en-US"/>
        </w:rPr>
        <w:t>s been referred to, or is understood imp</w:t>
      </w:r>
      <w:r w:rsidR="00891C09" w:rsidRPr="00012C3F">
        <w:rPr>
          <w:rFonts w:eastAsia="Calibri" w:cs="ClassicalGaramondBT-Roman"/>
          <w:sz w:val="20"/>
          <w:szCs w:val="20"/>
          <w:lang w:val="en-US" w:eastAsia="en-US" w:bidi="en-US"/>
        </w:rPr>
        <w:t>licitly, in all the international instruments that regulate this matter.</w:t>
      </w:r>
      <w:r w:rsidR="00E17AF2" w:rsidRPr="00012C3F">
        <w:rPr>
          <w:rFonts w:eastAsia="Calibri" w:cs="ClassicalGaramondBT-Roman"/>
          <w:sz w:val="20"/>
          <w:szCs w:val="20"/>
          <w:lang w:val="en-US" w:eastAsia="en-US" w:bidi="en-US"/>
        </w:rPr>
        <w:t xml:space="preserve"> </w:t>
      </w:r>
      <w:r w:rsidR="00891C09" w:rsidRPr="00012C3F">
        <w:rPr>
          <w:rFonts w:eastAsia="Calibri" w:cs="ClassicalGaramondBT-Roman"/>
          <w:sz w:val="20"/>
          <w:szCs w:val="20"/>
          <w:lang w:val="en-US" w:eastAsia="en-US" w:bidi="en-US"/>
        </w:rPr>
        <w:t xml:space="preserve">Indeed, the 1964 Declaration of </w:t>
      </w:r>
      <w:r w:rsidR="00E17AF2" w:rsidRPr="00012C3F">
        <w:rPr>
          <w:rFonts w:eastAsia="MS Mincho"/>
          <w:bCs/>
          <w:sz w:val="20"/>
          <w:szCs w:val="20"/>
          <w:lang w:val="en-US" w:eastAsia="en-US" w:bidi="en-US"/>
        </w:rPr>
        <w:t xml:space="preserve">Helsinki </w:t>
      </w:r>
      <w:r w:rsidR="00891C09" w:rsidRPr="00012C3F">
        <w:rPr>
          <w:rFonts w:eastAsia="MS Mincho"/>
          <w:bCs/>
          <w:sz w:val="20"/>
          <w:szCs w:val="20"/>
          <w:lang w:val="en-US" w:eastAsia="en-US" w:bidi="en-US"/>
        </w:rPr>
        <w:t xml:space="preserve">on </w:t>
      </w:r>
      <w:r w:rsidR="00891C09" w:rsidRPr="00012C3F">
        <w:rPr>
          <w:bCs/>
          <w:sz w:val="20"/>
          <w:szCs w:val="20"/>
          <w:lang w:val="en-US"/>
        </w:rPr>
        <w:t>ethical principles for medical research involving human subjects</w:t>
      </w:r>
      <w:r w:rsidR="00F15D7B" w:rsidRPr="00012C3F">
        <w:rPr>
          <w:rFonts w:eastAsia="MS Mincho"/>
          <w:bCs/>
          <w:sz w:val="20"/>
          <w:szCs w:val="20"/>
          <w:vertAlign w:val="superscript"/>
          <w:lang w:val="en-US" w:eastAsia="en-US" w:bidi="en-US"/>
        </w:rPr>
        <w:footnoteReference w:id="209"/>
      </w:r>
      <w:r w:rsidR="005E5012" w:rsidRPr="00012C3F">
        <w:rPr>
          <w:rFonts w:eastAsia="MS Mincho"/>
          <w:bCs/>
          <w:sz w:val="20"/>
          <w:szCs w:val="20"/>
          <w:lang w:val="en-US" w:eastAsia="en-US" w:bidi="en-US"/>
        </w:rPr>
        <w:t xml:space="preserve"> and </w:t>
      </w:r>
      <w:r w:rsidR="00891C09" w:rsidRPr="00012C3F">
        <w:rPr>
          <w:rFonts w:eastAsia="Calibri" w:cs="ClassicalGaramondBT-Roman"/>
          <w:sz w:val="20"/>
          <w:szCs w:val="20"/>
          <w:lang w:val="en-US" w:eastAsia="en-US" w:bidi="en-US"/>
        </w:rPr>
        <w:t xml:space="preserve">the 1981 Declaration of </w:t>
      </w:r>
      <w:r w:rsidR="00E17AF2" w:rsidRPr="00012C3F">
        <w:rPr>
          <w:rFonts w:eastAsia="MS Mincho"/>
          <w:sz w:val="20"/>
          <w:szCs w:val="20"/>
          <w:lang w:val="en-US" w:eastAsia="en-US" w:bidi="en-US"/>
        </w:rPr>
        <w:t>Lisbo</w:t>
      </w:r>
      <w:r w:rsidR="00891C09" w:rsidRPr="00012C3F">
        <w:rPr>
          <w:rFonts w:eastAsia="MS Mincho"/>
          <w:sz w:val="20"/>
          <w:szCs w:val="20"/>
          <w:lang w:val="en-US" w:eastAsia="en-US" w:bidi="en-US"/>
        </w:rPr>
        <w:t>n</w:t>
      </w:r>
      <w:r w:rsidR="00E17AF2" w:rsidRPr="00012C3F">
        <w:rPr>
          <w:rFonts w:eastAsia="MS Mincho"/>
          <w:sz w:val="20"/>
          <w:szCs w:val="20"/>
          <w:lang w:val="en-US" w:eastAsia="en-US" w:bidi="en-US"/>
        </w:rPr>
        <w:t xml:space="preserve"> </w:t>
      </w:r>
      <w:r w:rsidR="00891C09" w:rsidRPr="00012C3F">
        <w:rPr>
          <w:bCs/>
          <w:sz w:val="20"/>
          <w:szCs w:val="20"/>
          <w:lang w:val="en-US"/>
        </w:rPr>
        <w:t>on the rights of the patient,</w:t>
      </w:r>
      <w:r w:rsidR="00E17AF2" w:rsidRPr="00012C3F">
        <w:rPr>
          <w:rStyle w:val="Refdenotaalpie"/>
          <w:rFonts w:eastAsia="MS Mincho"/>
          <w:sz w:val="20"/>
          <w:szCs w:val="20"/>
          <w:lang w:val="en-US" w:eastAsia="en-US" w:bidi="en-US"/>
        </w:rPr>
        <w:footnoteReference w:id="210"/>
      </w:r>
      <w:r w:rsidR="00891C09" w:rsidRPr="00012C3F">
        <w:rPr>
          <w:rFonts w:eastAsia="MS Mincho"/>
          <w:sz w:val="20"/>
          <w:szCs w:val="20"/>
          <w:lang w:val="en-US" w:eastAsia="en-US" w:bidi="en-US"/>
        </w:rPr>
        <w:t xml:space="preserve"> both adopted by </w:t>
      </w:r>
      <w:r w:rsidR="00891C09" w:rsidRPr="00012C3F">
        <w:rPr>
          <w:rFonts w:eastAsia="MS Mincho"/>
          <w:bCs/>
          <w:sz w:val="20"/>
          <w:szCs w:val="20"/>
          <w:lang w:val="en-US" w:eastAsia="en-US" w:bidi="en-US"/>
        </w:rPr>
        <w:t>t</w:t>
      </w:r>
      <w:r w:rsidR="007B0C04" w:rsidRPr="00012C3F">
        <w:rPr>
          <w:rFonts w:eastAsia="MS Mincho"/>
          <w:bCs/>
          <w:sz w:val="20"/>
          <w:szCs w:val="20"/>
          <w:lang w:val="en-US" w:eastAsia="en-US" w:bidi="en-US"/>
        </w:rPr>
        <w:t>he World Medical Association</w:t>
      </w:r>
      <w:r w:rsidR="00E17AF2" w:rsidRPr="00012C3F">
        <w:rPr>
          <w:rFonts w:eastAsia="MS Mincho"/>
          <w:sz w:val="20"/>
          <w:szCs w:val="20"/>
          <w:lang w:val="en-US" w:eastAsia="en-US" w:bidi="en-US"/>
        </w:rPr>
        <w:t xml:space="preserve">, </w:t>
      </w:r>
      <w:r w:rsidR="00891C09" w:rsidRPr="00012C3F">
        <w:rPr>
          <w:rFonts w:eastAsia="MS Mincho"/>
          <w:sz w:val="20"/>
          <w:szCs w:val="20"/>
          <w:lang w:val="en-US" w:eastAsia="en-US" w:bidi="en-US"/>
        </w:rPr>
        <w:t xml:space="preserve">as well as the 2005 Universal Declaration on Bioethics and Human Rights of </w:t>
      </w:r>
      <w:r w:rsidR="00E17AF2" w:rsidRPr="00012C3F">
        <w:rPr>
          <w:rFonts w:eastAsia="MS Mincho"/>
          <w:bCs/>
          <w:sz w:val="20"/>
          <w:szCs w:val="20"/>
          <w:lang w:val="en-US" w:eastAsia="en-US" w:bidi="en-US"/>
        </w:rPr>
        <w:t>UNESCO</w:t>
      </w:r>
      <w:r w:rsidR="00891C09" w:rsidRPr="00012C3F">
        <w:rPr>
          <w:rFonts w:eastAsia="MS Mincho"/>
          <w:bCs/>
          <w:sz w:val="20"/>
          <w:szCs w:val="20"/>
          <w:lang w:val="en-US" w:eastAsia="en-US" w:bidi="en-US"/>
        </w:rPr>
        <w:t>,</w:t>
      </w:r>
      <w:r w:rsidR="004E5810" w:rsidRPr="00012C3F">
        <w:rPr>
          <w:rStyle w:val="Refdenotaalpie"/>
          <w:rFonts w:eastAsia="MS Mincho"/>
          <w:bCs/>
          <w:sz w:val="20"/>
          <w:szCs w:val="20"/>
          <w:lang w:val="en-US" w:eastAsia="en-US" w:bidi="en-US"/>
        </w:rPr>
        <w:footnoteReference w:id="211"/>
      </w:r>
      <w:r w:rsidR="00891C09" w:rsidRPr="00012C3F">
        <w:rPr>
          <w:rFonts w:eastAsia="MS Mincho"/>
          <w:sz w:val="20"/>
          <w:szCs w:val="20"/>
          <w:lang w:val="en-US" w:eastAsia="en-US" w:bidi="en-US"/>
        </w:rPr>
        <w:t xml:space="preserve"> emphasize that “[a]</w:t>
      </w:r>
      <w:r w:rsidR="00891C09" w:rsidRPr="00012C3F">
        <w:rPr>
          <w:rFonts w:cs="Arial"/>
          <w:sz w:val="20"/>
          <w:szCs w:val="20"/>
          <w:lang w:val="en-US"/>
        </w:rPr>
        <w:t xml:space="preserve">ny preventive, diagnostic and therapeutic medical </w:t>
      </w:r>
      <w:r w:rsidR="00891C09" w:rsidRPr="00012C3F">
        <w:rPr>
          <w:rFonts w:cs="Arial"/>
          <w:sz w:val="20"/>
          <w:szCs w:val="20"/>
          <w:lang w:val="en-US"/>
        </w:rPr>
        <w:lastRenderedPageBreak/>
        <w:t>intervention is only to be carried out with the prior, free and informed consent of the person concerned.” This has been ratified also by the</w:t>
      </w:r>
      <w:r w:rsidR="00E17AF2" w:rsidRPr="00012C3F">
        <w:rPr>
          <w:rFonts w:eastAsia="MS Mincho"/>
          <w:bCs/>
          <w:sz w:val="20"/>
          <w:szCs w:val="20"/>
          <w:lang w:val="en-US" w:eastAsia="en-US" w:bidi="en-US"/>
        </w:rPr>
        <w:t xml:space="preserve"> FIGO</w:t>
      </w:r>
      <w:r w:rsidR="00891C09" w:rsidRPr="00012C3F">
        <w:rPr>
          <w:rFonts w:eastAsia="MS Mincho"/>
          <w:bCs/>
          <w:sz w:val="20"/>
          <w:szCs w:val="20"/>
          <w:lang w:val="en-US" w:eastAsia="en-US" w:bidi="en-US"/>
        </w:rPr>
        <w:t>,</w:t>
      </w:r>
      <w:r w:rsidR="00E17AF2" w:rsidRPr="00012C3F">
        <w:rPr>
          <w:rStyle w:val="Refdenotaalpie"/>
          <w:rFonts w:eastAsia="MS Mincho"/>
          <w:bCs/>
          <w:sz w:val="20"/>
          <w:szCs w:val="20"/>
          <w:lang w:val="en-US" w:eastAsia="en-US" w:bidi="en-US"/>
        </w:rPr>
        <w:footnoteReference w:id="212"/>
      </w:r>
      <w:r w:rsidR="00E17AF2" w:rsidRPr="00012C3F">
        <w:rPr>
          <w:rFonts w:eastAsia="MS Mincho"/>
          <w:bCs/>
          <w:sz w:val="20"/>
          <w:szCs w:val="20"/>
          <w:lang w:val="en-US" w:eastAsia="en-US" w:bidi="en-US"/>
        </w:rPr>
        <w:t xml:space="preserve"> </w:t>
      </w:r>
      <w:r w:rsidR="00891C09" w:rsidRPr="00012C3F">
        <w:rPr>
          <w:rFonts w:eastAsia="MS Mincho"/>
          <w:bCs/>
          <w:sz w:val="20"/>
          <w:szCs w:val="20"/>
          <w:lang w:val="en-US" w:eastAsia="en-US" w:bidi="en-US"/>
        </w:rPr>
        <w:t>the</w:t>
      </w:r>
      <w:r w:rsidR="00E17AF2" w:rsidRPr="00012C3F">
        <w:rPr>
          <w:rFonts w:eastAsia="MS Mincho"/>
          <w:bCs/>
          <w:sz w:val="20"/>
          <w:szCs w:val="20"/>
          <w:lang w:val="en-US" w:eastAsia="en-US" w:bidi="en-US"/>
        </w:rPr>
        <w:t xml:space="preserve"> </w:t>
      </w:r>
      <w:r w:rsidR="007B0C04" w:rsidRPr="00012C3F">
        <w:rPr>
          <w:rFonts w:eastAsia="MS Mincho"/>
          <w:bCs/>
          <w:sz w:val="20"/>
          <w:szCs w:val="20"/>
          <w:lang w:val="en-US" w:eastAsia="en-US" w:bidi="en-US"/>
        </w:rPr>
        <w:t>WHO</w:t>
      </w:r>
      <w:r w:rsidR="00E17AF2" w:rsidRPr="00012C3F">
        <w:rPr>
          <w:rStyle w:val="Refdenotaalpie"/>
          <w:rFonts w:eastAsia="MS Mincho"/>
          <w:bCs/>
          <w:sz w:val="20"/>
          <w:szCs w:val="20"/>
          <w:lang w:val="en-US" w:eastAsia="en-US" w:bidi="en-US"/>
        </w:rPr>
        <w:footnoteReference w:id="213"/>
      </w:r>
      <w:r w:rsidR="005E5012" w:rsidRPr="00012C3F">
        <w:rPr>
          <w:rFonts w:eastAsia="MS Mincho"/>
          <w:bCs/>
          <w:sz w:val="20"/>
          <w:szCs w:val="20"/>
          <w:lang w:val="en-US" w:eastAsia="en-US" w:bidi="en-US"/>
        </w:rPr>
        <w:t xml:space="preserve"> and </w:t>
      </w:r>
      <w:r w:rsidR="00891C09" w:rsidRPr="00012C3F">
        <w:rPr>
          <w:rFonts w:eastAsia="MS Mincho"/>
          <w:bCs/>
          <w:sz w:val="20"/>
          <w:szCs w:val="20"/>
          <w:lang w:val="en-US" w:eastAsia="en-US" w:bidi="en-US"/>
        </w:rPr>
        <w:t>the</w:t>
      </w:r>
      <w:r w:rsidR="00E17AF2" w:rsidRPr="00012C3F">
        <w:rPr>
          <w:rFonts w:eastAsia="MS Mincho"/>
          <w:bCs/>
          <w:sz w:val="20"/>
          <w:szCs w:val="20"/>
          <w:lang w:val="en-US" w:eastAsia="en-US" w:bidi="en-US"/>
        </w:rPr>
        <w:t xml:space="preserve"> </w:t>
      </w:r>
      <w:r w:rsidR="00BC0785" w:rsidRPr="00012C3F">
        <w:rPr>
          <w:rFonts w:eastAsia="MS Mincho"/>
          <w:bCs/>
          <w:sz w:val="20"/>
          <w:szCs w:val="20"/>
          <w:lang w:val="en-US" w:eastAsia="en-US" w:bidi="en-US"/>
        </w:rPr>
        <w:t>Committee for the Elimination of Discrimination against Women</w:t>
      </w:r>
      <w:r w:rsidR="00AD1189" w:rsidRPr="00012C3F">
        <w:rPr>
          <w:rFonts w:eastAsia="MS Mincho"/>
          <w:sz w:val="20"/>
          <w:szCs w:val="20"/>
          <w:lang w:val="en-US" w:eastAsia="en-US" w:bidi="en-US"/>
        </w:rPr>
        <w:t xml:space="preserve"> </w:t>
      </w:r>
      <w:r w:rsidR="00891C09" w:rsidRPr="00012C3F">
        <w:rPr>
          <w:rFonts w:eastAsia="MS Mincho"/>
          <w:bCs/>
          <w:sz w:val="20"/>
          <w:szCs w:val="20"/>
          <w:lang w:val="en-US" w:eastAsia="en-US" w:bidi="en-US"/>
        </w:rPr>
        <w:t>in its</w:t>
      </w:r>
      <w:r w:rsidR="00E17AF2" w:rsidRPr="00012C3F">
        <w:rPr>
          <w:rFonts w:eastAsia="MS Mincho"/>
          <w:bCs/>
          <w:sz w:val="20"/>
          <w:szCs w:val="20"/>
          <w:lang w:val="en-US" w:eastAsia="en-US" w:bidi="en-US"/>
        </w:rPr>
        <w:t xml:space="preserve"> </w:t>
      </w:r>
      <w:r w:rsidR="00891C09" w:rsidRPr="00012C3F">
        <w:rPr>
          <w:rFonts w:eastAsia="MS Mincho"/>
          <w:bCs/>
          <w:sz w:val="20"/>
          <w:szCs w:val="20"/>
          <w:lang w:val="en-US" w:eastAsia="en-US" w:bidi="en-US"/>
        </w:rPr>
        <w:t>General Recommendation</w:t>
      </w:r>
      <w:r w:rsidR="00E17AF2" w:rsidRPr="00012C3F">
        <w:rPr>
          <w:rFonts w:eastAsia="MS Mincho"/>
          <w:bCs/>
          <w:sz w:val="20"/>
          <w:szCs w:val="20"/>
          <w:lang w:val="en-US" w:eastAsia="en-US" w:bidi="en-US"/>
        </w:rPr>
        <w:t xml:space="preserve"> No. 24</w:t>
      </w:r>
      <w:r w:rsidR="00891C09" w:rsidRPr="00012C3F">
        <w:rPr>
          <w:rFonts w:eastAsia="MS Mincho"/>
          <w:bCs/>
          <w:sz w:val="20"/>
          <w:szCs w:val="20"/>
          <w:lang w:val="en-US" w:eastAsia="en-US" w:bidi="en-US"/>
        </w:rPr>
        <w:t>,</w:t>
      </w:r>
      <w:r w:rsidR="00E17AF2" w:rsidRPr="00012C3F">
        <w:rPr>
          <w:rStyle w:val="Refdenotaalpie"/>
          <w:rFonts w:eastAsia="MS Mincho"/>
          <w:bCs/>
          <w:sz w:val="20"/>
          <w:szCs w:val="20"/>
          <w:lang w:val="en-US" w:eastAsia="en-US" w:bidi="en-US"/>
        </w:rPr>
        <w:footnoteReference w:id="214"/>
      </w:r>
      <w:r w:rsidR="00891C09" w:rsidRPr="00012C3F">
        <w:rPr>
          <w:rFonts w:eastAsia="MS Mincho"/>
          <w:bCs/>
          <w:sz w:val="20"/>
          <w:szCs w:val="20"/>
          <w:lang w:val="en-US" w:eastAsia="en-US" w:bidi="en-US"/>
        </w:rPr>
        <w:t xml:space="preserve"> in the sense that the health services provided to women shall be acceptable only if </w:t>
      </w:r>
      <w:r w:rsidR="002D5C4F" w:rsidRPr="00012C3F">
        <w:rPr>
          <w:rFonts w:eastAsia="MS Mincho"/>
          <w:bCs/>
          <w:sz w:val="20"/>
          <w:szCs w:val="20"/>
          <w:lang w:val="en-US" w:eastAsia="en-US" w:bidi="en-US"/>
        </w:rPr>
        <w:t>women</w:t>
      </w:r>
      <w:r w:rsidR="002F1FC5" w:rsidRPr="00012C3F">
        <w:rPr>
          <w:rFonts w:eastAsia="MS Mincho"/>
          <w:bCs/>
          <w:sz w:val="20"/>
          <w:szCs w:val="20"/>
          <w:lang w:val="en-US" w:eastAsia="en-US" w:bidi="en-US"/>
        </w:rPr>
        <w:t xml:space="preserve"> give their</w:t>
      </w:r>
      <w:r w:rsidR="00891C09" w:rsidRPr="00012C3F">
        <w:rPr>
          <w:rFonts w:eastAsia="MS Mincho"/>
          <w:bCs/>
          <w:sz w:val="20"/>
          <w:szCs w:val="20"/>
          <w:lang w:val="en-US" w:eastAsia="en-US" w:bidi="en-US"/>
        </w:rPr>
        <w:t xml:space="preserve"> prior consent with full</w:t>
      </w:r>
      <w:r w:rsidR="002F1FC5" w:rsidRPr="00012C3F">
        <w:rPr>
          <w:rFonts w:eastAsia="MS Mincho"/>
          <w:bCs/>
          <w:sz w:val="20"/>
          <w:szCs w:val="20"/>
          <w:lang w:val="en-US" w:eastAsia="en-US" w:bidi="en-US"/>
        </w:rPr>
        <w:t xml:space="preserve"> awareness of the facts; in other words, if the consent </w:t>
      </w:r>
      <w:r w:rsidR="00891C09" w:rsidRPr="00012C3F">
        <w:rPr>
          <w:rFonts w:eastAsia="MS Mincho"/>
          <w:sz w:val="20"/>
          <w:szCs w:val="20"/>
          <w:lang w:val="en-US" w:eastAsia="en-US" w:bidi="en-US"/>
        </w:rPr>
        <w:t>is prior to the medical intervention.</w:t>
      </w:r>
    </w:p>
    <w:p w14:paraId="0B6C84D5" w14:textId="77777777" w:rsidR="00E17AF2" w:rsidRPr="00012C3F" w:rsidRDefault="00E17AF2" w:rsidP="00E17AF2">
      <w:pPr>
        <w:tabs>
          <w:tab w:val="left" w:pos="567"/>
        </w:tabs>
        <w:spacing w:line="240" w:lineRule="auto"/>
        <w:rPr>
          <w:rFonts w:eastAsia="Calibri" w:cs="ClassicalGaramondBT-Roman"/>
          <w:sz w:val="20"/>
          <w:szCs w:val="20"/>
          <w:lang w:val="en-US" w:eastAsia="en-US" w:bidi="en-US"/>
        </w:rPr>
      </w:pPr>
    </w:p>
    <w:p w14:paraId="5D30963A" w14:textId="77777777" w:rsidR="00167365" w:rsidRPr="00012C3F" w:rsidRDefault="00891C09" w:rsidP="00891C09">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cs="ClassicalGaramondBT-Roman"/>
          <w:sz w:val="20"/>
          <w:szCs w:val="20"/>
          <w:lang w:val="en-US" w:eastAsia="en-US" w:bidi="en-US"/>
        </w:rPr>
        <w:t>That said</w:t>
      </w:r>
      <w:r w:rsidR="00E17AF2" w:rsidRPr="00012C3F">
        <w:rPr>
          <w:rFonts w:eastAsia="Calibri" w:cs="ClassicalGaramondBT-Roman"/>
          <w:sz w:val="20"/>
          <w:szCs w:val="20"/>
          <w:lang w:val="en-US" w:eastAsia="en-US" w:bidi="en-US"/>
        </w:rPr>
        <w:t xml:space="preserve">, </w:t>
      </w:r>
      <w:r w:rsidR="001254DE" w:rsidRPr="00012C3F">
        <w:rPr>
          <w:rFonts w:eastAsia="Calibri" w:cs="ClassicalGaramondBT-Roman"/>
          <w:sz w:val="20"/>
          <w:szCs w:val="20"/>
          <w:lang w:val="en-US" w:eastAsia="en-US" w:bidi="en-US"/>
        </w:rPr>
        <w:t>the Court</w:t>
      </w:r>
      <w:r w:rsidR="00E17AF2" w:rsidRPr="00012C3F">
        <w:rPr>
          <w:rFonts w:eastAsia="Calibri" w:cs="ClassicalGaramondBT-Roman"/>
          <w:sz w:val="20"/>
          <w:szCs w:val="20"/>
          <w:lang w:val="en-US" w:eastAsia="en-US" w:bidi="en-US"/>
        </w:rPr>
        <w:t xml:space="preserve"> </w:t>
      </w:r>
      <w:r w:rsidRPr="00012C3F">
        <w:rPr>
          <w:rFonts w:eastAsia="Calibri" w:cs="ClassicalGaramondBT-Roman"/>
          <w:sz w:val="20"/>
          <w:szCs w:val="20"/>
          <w:lang w:val="en-US" w:eastAsia="en-US" w:bidi="en-US"/>
        </w:rPr>
        <w:t xml:space="preserve">understands </w:t>
      </w:r>
      <w:r w:rsidR="00167365" w:rsidRPr="00012C3F">
        <w:rPr>
          <w:rFonts w:cs="Arial"/>
          <w:sz w:val="20"/>
          <w:szCs w:val="20"/>
          <w:lang w:val="en-US"/>
        </w:rPr>
        <w:t xml:space="preserve">that exceptions exist where health personnel </w:t>
      </w:r>
      <w:r w:rsidR="008E67B3" w:rsidRPr="00012C3F">
        <w:rPr>
          <w:rFonts w:cs="Arial"/>
          <w:sz w:val="20"/>
          <w:szCs w:val="20"/>
          <w:lang w:val="en-US"/>
        </w:rPr>
        <w:t>may</w:t>
      </w:r>
      <w:r w:rsidR="00167365" w:rsidRPr="00012C3F">
        <w:rPr>
          <w:rFonts w:cs="Arial"/>
          <w:sz w:val="20"/>
          <w:szCs w:val="20"/>
          <w:lang w:val="en-US"/>
        </w:rPr>
        <w:t xml:space="preserve"> act without requiring consent in cases in which the p</w:t>
      </w:r>
      <w:r w:rsidR="008E67B3" w:rsidRPr="00012C3F">
        <w:rPr>
          <w:rFonts w:cs="Arial"/>
          <w:sz w:val="20"/>
          <w:szCs w:val="20"/>
          <w:lang w:val="en-US"/>
        </w:rPr>
        <w:t>atient</w:t>
      </w:r>
      <w:r w:rsidR="00167365" w:rsidRPr="00012C3F">
        <w:rPr>
          <w:rFonts w:cs="Arial"/>
          <w:sz w:val="20"/>
          <w:szCs w:val="20"/>
          <w:lang w:val="en-US"/>
        </w:rPr>
        <w:t xml:space="preserve"> </w:t>
      </w:r>
      <w:r w:rsidR="008E67B3" w:rsidRPr="00012C3F">
        <w:rPr>
          <w:rFonts w:cs="Arial"/>
          <w:sz w:val="20"/>
          <w:szCs w:val="20"/>
          <w:lang w:val="en-US"/>
        </w:rPr>
        <w:t>i</w:t>
      </w:r>
      <w:r w:rsidR="00167365" w:rsidRPr="00012C3F">
        <w:rPr>
          <w:rFonts w:cs="Arial"/>
          <w:sz w:val="20"/>
          <w:szCs w:val="20"/>
          <w:lang w:val="en-US"/>
        </w:rPr>
        <w:t>s unable to give their consent and an immediate</w:t>
      </w:r>
      <w:r w:rsidR="008E67B3" w:rsidRPr="00012C3F">
        <w:rPr>
          <w:rFonts w:cs="Arial"/>
          <w:sz w:val="20"/>
          <w:szCs w:val="20"/>
          <w:lang w:val="en-US"/>
        </w:rPr>
        <w:t>,</w:t>
      </w:r>
      <w:r w:rsidR="00167365" w:rsidRPr="00012C3F">
        <w:rPr>
          <w:rFonts w:cs="Arial"/>
          <w:sz w:val="20"/>
          <w:szCs w:val="20"/>
          <w:lang w:val="en-US"/>
        </w:rPr>
        <w:t xml:space="preserve"> urgent or emergency surgical or medical procedure </w:t>
      </w:r>
      <w:r w:rsidR="008E67B3" w:rsidRPr="00012C3F">
        <w:rPr>
          <w:rFonts w:cs="Arial"/>
          <w:sz w:val="20"/>
          <w:szCs w:val="20"/>
          <w:lang w:val="en-US"/>
        </w:rPr>
        <w:t>i</w:t>
      </w:r>
      <w:r w:rsidR="00167365" w:rsidRPr="00012C3F">
        <w:rPr>
          <w:rFonts w:cs="Arial"/>
          <w:sz w:val="20"/>
          <w:szCs w:val="20"/>
          <w:lang w:val="en-US"/>
        </w:rPr>
        <w:t>s necessary given the serious risk to the patient’s health or life. This exception has been established in the laws of several States Parties to</w:t>
      </w:r>
      <w:r w:rsidR="001254DE" w:rsidRPr="00012C3F">
        <w:rPr>
          <w:rFonts w:eastAsia="Calibri" w:cs="ClassicalGaramondBT-Roman"/>
          <w:sz w:val="20"/>
          <w:szCs w:val="20"/>
          <w:lang w:val="en-US" w:eastAsia="en-US" w:bidi="en-US"/>
        </w:rPr>
        <w:t xml:space="preserve"> the American Convention</w:t>
      </w:r>
      <w:r w:rsidR="00E17AF2" w:rsidRPr="00012C3F">
        <w:rPr>
          <w:rFonts w:eastAsia="Calibri" w:cs="ClassicalGaramondBT-Roman"/>
          <w:sz w:val="20"/>
          <w:szCs w:val="20"/>
          <w:lang w:val="en-US" w:eastAsia="en-US" w:bidi="en-US"/>
        </w:rPr>
        <w:t xml:space="preserve">, </w:t>
      </w:r>
      <w:r w:rsidR="00167365" w:rsidRPr="00012C3F">
        <w:rPr>
          <w:rFonts w:eastAsia="Calibri" w:cs="ClassicalGaramondBT-Roman"/>
          <w:sz w:val="20"/>
          <w:szCs w:val="20"/>
          <w:lang w:val="en-US" w:eastAsia="en-US" w:bidi="en-US"/>
        </w:rPr>
        <w:t xml:space="preserve">as will be described below </w:t>
      </w:r>
      <w:r w:rsidR="00E17AF2" w:rsidRPr="00012C3F">
        <w:rPr>
          <w:rFonts w:eastAsia="Calibri" w:cs="ClassicalGaramondBT-Roman"/>
          <w:sz w:val="20"/>
          <w:szCs w:val="20"/>
          <w:lang w:val="en-US" w:eastAsia="en-US" w:bidi="en-US"/>
        </w:rPr>
        <w:t>(</w:t>
      </w:r>
      <w:r w:rsidR="00E17AF2" w:rsidRPr="00012C3F">
        <w:rPr>
          <w:rFonts w:eastAsia="Calibri" w:cs="ClassicalGaramondBT-Roman"/>
          <w:i/>
          <w:sz w:val="20"/>
          <w:szCs w:val="20"/>
          <w:lang w:val="en-US" w:eastAsia="en-US" w:bidi="en-US"/>
        </w:rPr>
        <w:t>infra</w:t>
      </w:r>
      <w:r w:rsidR="00E17AF2" w:rsidRPr="00012C3F">
        <w:rPr>
          <w:rFonts w:eastAsia="Calibri" w:cs="ClassicalGaramondBT-Roman"/>
          <w:sz w:val="20"/>
          <w:szCs w:val="20"/>
          <w:lang w:val="en-US" w:eastAsia="en-US" w:bidi="en-US"/>
        </w:rPr>
        <w:t xml:space="preserve"> </w:t>
      </w:r>
      <w:r w:rsidR="00370DD4" w:rsidRPr="00012C3F">
        <w:rPr>
          <w:rFonts w:eastAsia="Calibri" w:cs="ClassicalGaramondBT-Roman"/>
          <w:sz w:val="20"/>
          <w:szCs w:val="20"/>
          <w:lang w:val="en-US" w:eastAsia="en-US" w:bidi="en-US"/>
        </w:rPr>
        <w:t>para.</w:t>
      </w:r>
      <w:r w:rsidR="00E17AF2" w:rsidRPr="00012C3F">
        <w:rPr>
          <w:rFonts w:eastAsia="Calibri" w:cs="ClassicalGaramondBT-Roman"/>
          <w:sz w:val="20"/>
          <w:szCs w:val="20"/>
          <w:lang w:val="en-US" w:eastAsia="en-US" w:bidi="en-US"/>
        </w:rPr>
        <w:t xml:space="preserve"> </w:t>
      </w:r>
      <w:r w:rsidR="00824008" w:rsidRPr="00012C3F">
        <w:rPr>
          <w:rFonts w:eastAsia="Calibri" w:cs="ClassicalGaramondBT-Roman"/>
          <w:sz w:val="20"/>
          <w:szCs w:val="20"/>
          <w:lang w:val="en-US" w:eastAsia="en-US" w:bidi="en-US"/>
        </w:rPr>
        <w:t>200),</w:t>
      </w:r>
      <w:r w:rsidR="005E5012" w:rsidRPr="00012C3F">
        <w:rPr>
          <w:rFonts w:eastAsia="Calibri" w:cs="ClassicalGaramondBT-Roman"/>
          <w:sz w:val="20"/>
          <w:szCs w:val="20"/>
          <w:lang w:val="en-US" w:eastAsia="en-US" w:bidi="en-US"/>
        </w:rPr>
        <w:t xml:space="preserve"> and </w:t>
      </w:r>
      <w:r w:rsidR="00E17AF2" w:rsidRPr="00012C3F">
        <w:rPr>
          <w:rFonts w:eastAsia="Calibri" w:cs="ClassicalGaramondBT-Roman"/>
          <w:sz w:val="20"/>
          <w:szCs w:val="20"/>
          <w:lang w:val="en-US" w:eastAsia="en-US" w:bidi="en-US"/>
        </w:rPr>
        <w:t>ha</w:t>
      </w:r>
      <w:r w:rsidR="00167365" w:rsidRPr="00012C3F">
        <w:rPr>
          <w:rFonts w:eastAsia="Calibri" w:cs="ClassicalGaramondBT-Roman"/>
          <w:sz w:val="20"/>
          <w:szCs w:val="20"/>
          <w:lang w:val="en-US" w:eastAsia="en-US" w:bidi="en-US"/>
        </w:rPr>
        <w:t>s been recognized in the European sphere,</w:t>
      </w:r>
      <w:r w:rsidR="00E17AF2" w:rsidRPr="00012C3F">
        <w:rPr>
          <w:rStyle w:val="Refdenotaalpie"/>
          <w:rFonts w:eastAsia="Calibri" w:cs="ClassicalGaramondBT-Roman"/>
          <w:sz w:val="20"/>
          <w:szCs w:val="20"/>
          <w:lang w:val="en-US" w:eastAsia="en-US" w:bidi="en-US"/>
        </w:rPr>
        <w:footnoteReference w:id="215"/>
      </w:r>
      <w:r w:rsidR="00167365" w:rsidRPr="00012C3F">
        <w:rPr>
          <w:rFonts w:eastAsia="Calibri" w:cs="ClassicalGaramondBT-Roman"/>
          <w:sz w:val="20"/>
          <w:szCs w:val="20"/>
          <w:lang w:val="en-US" w:eastAsia="en-US" w:bidi="en-US"/>
        </w:rPr>
        <w:t xml:space="preserve"> as well as by the Special Rapporteur on the right of everyone to enjoy the highest attainable standard of physical and mental health.</w:t>
      </w:r>
      <w:r w:rsidR="00E17AF2" w:rsidRPr="00012C3F">
        <w:rPr>
          <w:rStyle w:val="Refdenotaalpie"/>
          <w:rFonts w:eastAsia="Calibri" w:cs="ClassicalGaramondBT-Roman"/>
          <w:sz w:val="20"/>
          <w:szCs w:val="20"/>
          <w:lang w:val="en-US" w:eastAsia="en-US" w:bidi="en-US"/>
        </w:rPr>
        <w:footnoteReference w:id="216"/>
      </w:r>
      <w:r w:rsidR="00167365" w:rsidRPr="00012C3F">
        <w:rPr>
          <w:sz w:val="20"/>
          <w:szCs w:val="20"/>
          <w:lang w:val="en-US"/>
        </w:rPr>
        <w:t xml:space="preserve"> The Court considers that urgency or emergency refers to the imminence of a risk </w:t>
      </w:r>
      <w:r w:rsidR="009D3EE9" w:rsidRPr="00012C3F">
        <w:rPr>
          <w:sz w:val="20"/>
          <w:szCs w:val="20"/>
          <w:lang w:val="en-US"/>
        </w:rPr>
        <w:t>and</w:t>
      </w:r>
      <w:r w:rsidR="00167365" w:rsidRPr="00012C3F">
        <w:rPr>
          <w:sz w:val="20"/>
          <w:szCs w:val="20"/>
          <w:lang w:val="en-US"/>
        </w:rPr>
        <w:t xml:space="preserve">, consequently, of a situation in which the intervention cannot be postponed, excluding those cases in which it is possible to wait to obtain consent. </w:t>
      </w:r>
      <w:r w:rsidR="00167365" w:rsidRPr="00012C3F">
        <w:rPr>
          <w:rFonts w:cs="Arial"/>
          <w:sz w:val="20"/>
          <w:szCs w:val="20"/>
          <w:lang w:val="en-US"/>
        </w:rPr>
        <w:t>Regarding tubal ligation, the Court stresse</w:t>
      </w:r>
      <w:r w:rsidR="008E67B3" w:rsidRPr="00012C3F">
        <w:rPr>
          <w:rFonts w:cs="Arial"/>
          <w:sz w:val="20"/>
          <w:szCs w:val="20"/>
          <w:lang w:val="en-US"/>
        </w:rPr>
        <w:t>s</w:t>
      </w:r>
      <w:r w:rsidR="00167365" w:rsidRPr="00012C3F">
        <w:rPr>
          <w:rFonts w:cs="Arial"/>
          <w:sz w:val="20"/>
          <w:szCs w:val="20"/>
          <w:lang w:val="en-US"/>
        </w:rPr>
        <w:t xml:space="preserve"> that this surgical procedure, </w:t>
      </w:r>
      <w:r w:rsidR="008E67B3" w:rsidRPr="00012C3F">
        <w:rPr>
          <w:rFonts w:cs="Arial"/>
          <w:sz w:val="20"/>
          <w:szCs w:val="20"/>
          <w:lang w:val="en-US"/>
        </w:rPr>
        <w:t>the</w:t>
      </w:r>
      <w:r w:rsidR="00167365" w:rsidRPr="00012C3F">
        <w:rPr>
          <w:rFonts w:cs="Arial"/>
          <w:sz w:val="20"/>
          <w:szCs w:val="20"/>
          <w:lang w:val="en-US"/>
        </w:rPr>
        <w:t xml:space="preserve"> purpose</w:t>
      </w:r>
      <w:r w:rsidR="008E67B3" w:rsidRPr="00012C3F">
        <w:rPr>
          <w:rFonts w:cs="Arial"/>
          <w:sz w:val="20"/>
          <w:szCs w:val="20"/>
          <w:lang w:val="en-US"/>
        </w:rPr>
        <w:t xml:space="preserve"> of which</w:t>
      </w:r>
      <w:r w:rsidR="00167365" w:rsidRPr="00012C3F">
        <w:rPr>
          <w:rFonts w:cs="Arial"/>
          <w:sz w:val="20"/>
          <w:szCs w:val="20"/>
          <w:lang w:val="en-US"/>
        </w:rPr>
        <w:t xml:space="preserve"> is to prevent a future pregnancy, c</w:t>
      </w:r>
      <w:r w:rsidR="008E67B3" w:rsidRPr="00012C3F">
        <w:rPr>
          <w:rFonts w:cs="Arial"/>
          <w:sz w:val="20"/>
          <w:szCs w:val="20"/>
          <w:lang w:val="en-US"/>
        </w:rPr>
        <w:t>an</w:t>
      </w:r>
      <w:r w:rsidR="00167365" w:rsidRPr="00012C3F">
        <w:rPr>
          <w:rFonts w:cs="Arial"/>
          <w:sz w:val="20"/>
          <w:szCs w:val="20"/>
          <w:lang w:val="en-US"/>
        </w:rPr>
        <w:t xml:space="preserve">not be characterized as an urgent or emergency procedure due to imminent </w:t>
      </w:r>
      <w:r w:rsidR="008E67B3" w:rsidRPr="00012C3F">
        <w:rPr>
          <w:rFonts w:cs="Arial"/>
          <w:sz w:val="20"/>
          <w:szCs w:val="20"/>
          <w:lang w:val="en-US"/>
        </w:rPr>
        <w:t>risk</w:t>
      </w:r>
      <w:r w:rsidR="00167365" w:rsidRPr="00012C3F">
        <w:rPr>
          <w:rFonts w:cs="Arial"/>
          <w:sz w:val="20"/>
          <w:szCs w:val="20"/>
          <w:lang w:val="en-US"/>
        </w:rPr>
        <w:t>, so that th</w:t>
      </w:r>
      <w:r w:rsidR="008E67B3" w:rsidRPr="00012C3F">
        <w:rPr>
          <w:rFonts w:cs="Arial"/>
          <w:sz w:val="20"/>
          <w:szCs w:val="20"/>
          <w:lang w:val="en-US"/>
        </w:rPr>
        <w:t>is</w:t>
      </w:r>
      <w:r w:rsidR="00167365" w:rsidRPr="00012C3F">
        <w:rPr>
          <w:rFonts w:cs="Arial"/>
          <w:sz w:val="20"/>
          <w:szCs w:val="20"/>
          <w:lang w:val="en-US"/>
        </w:rPr>
        <w:t xml:space="preserve"> exception is not applicable</w:t>
      </w:r>
      <w:r w:rsidR="008E67B3" w:rsidRPr="00012C3F">
        <w:rPr>
          <w:rFonts w:cs="Arial"/>
          <w:sz w:val="20"/>
          <w:szCs w:val="20"/>
          <w:lang w:val="en-US"/>
        </w:rPr>
        <w:t>.</w:t>
      </w:r>
    </w:p>
    <w:p w14:paraId="2C00076A" w14:textId="77777777" w:rsidR="00E17AF2" w:rsidRPr="00012C3F" w:rsidRDefault="00E17AF2" w:rsidP="00E17AF2">
      <w:pPr>
        <w:widowControl/>
        <w:tabs>
          <w:tab w:val="left" w:pos="720"/>
        </w:tabs>
        <w:adjustRightInd/>
        <w:spacing w:line="240" w:lineRule="auto"/>
        <w:ind w:right="-90"/>
        <w:textAlignment w:val="auto"/>
        <w:rPr>
          <w:rFonts w:eastAsia="MS Mincho"/>
          <w:sz w:val="20"/>
          <w:szCs w:val="20"/>
          <w:lang w:val="en-US" w:eastAsia="en-US" w:bidi="en-US"/>
        </w:rPr>
      </w:pPr>
    </w:p>
    <w:p w14:paraId="182926E8" w14:textId="77777777" w:rsidR="00E17AF2" w:rsidRPr="00012C3F" w:rsidRDefault="00167365" w:rsidP="00167365">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Indeed, it must be </w:t>
      </w:r>
      <w:r w:rsidR="008E67B3" w:rsidRPr="00012C3F">
        <w:rPr>
          <w:rFonts w:eastAsia="MS Mincho"/>
          <w:sz w:val="20"/>
          <w:szCs w:val="20"/>
          <w:lang w:val="en-US" w:eastAsia="en-US" w:bidi="en-US"/>
        </w:rPr>
        <w:t>emphasized</w:t>
      </w:r>
      <w:r w:rsidRPr="00012C3F">
        <w:rPr>
          <w:rFonts w:eastAsia="MS Mincho"/>
          <w:sz w:val="20"/>
          <w:szCs w:val="20"/>
          <w:lang w:val="en-US" w:eastAsia="en-US" w:bidi="en-US"/>
        </w:rPr>
        <w:t xml:space="preserve"> that the 2011 FIGO ethical </w:t>
      </w:r>
      <w:r w:rsidR="008E67B3" w:rsidRPr="00012C3F">
        <w:rPr>
          <w:rFonts w:eastAsia="MS Mincho"/>
          <w:sz w:val="20"/>
          <w:szCs w:val="20"/>
          <w:lang w:val="en-US" w:eastAsia="en-US" w:bidi="en-US"/>
        </w:rPr>
        <w:t>recommendations</w:t>
      </w:r>
      <w:r w:rsidRPr="00012C3F">
        <w:rPr>
          <w:rFonts w:eastAsia="MS Mincho"/>
          <w:sz w:val="20"/>
          <w:szCs w:val="20"/>
          <w:lang w:val="en-US" w:eastAsia="en-US" w:bidi="en-US"/>
        </w:rPr>
        <w:t xml:space="preserve"> on </w:t>
      </w:r>
      <w:r w:rsidR="008E67B3" w:rsidRPr="00012C3F">
        <w:rPr>
          <w:rFonts w:eastAsia="MS Mincho"/>
          <w:sz w:val="20"/>
          <w:szCs w:val="20"/>
          <w:lang w:val="en-US" w:eastAsia="en-US" w:bidi="en-US"/>
        </w:rPr>
        <w:t>s</w:t>
      </w:r>
      <w:r w:rsidRPr="00012C3F">
        <w:rPr>
          <w:rFonts w:eastAsia="MS Mincho"/>
          <w:sz w:val="20"/>
          <w:szCs w:val="20"/>
          <w:lang w:val="en-US" w:eastAsia="en-US" w:bidi="en-US"/>
        </w:rPr>
        <w:t>terilization and the United Nations Inter-</w:t>
      </w:r>
      <w:r w:rsidR="008E67B3" w:rsidRPr="00012C3F">
        <w:rPr>
          <w:rFonts w:eastAsia="MS Mincho"/>
          <w:sz w:val="20"/>
          <w:szCs w:val="20"/>
          <w:lang w:val="en-US" w:eastAsia="en-US" w:bidi="en-US"/>
        </w:rPr>
        <w:t>Agency statement</w:t>
      </w:r>
      <w:r w:rsidRPr="00012C3F">
        <w:rPr>
          <w:rFonts w:eastAsia="MS Mincho"/>
          <w:sz w:val="20"/>
          <w:szCs w:val="20"/>
          <w:lang w:val="en-US" w:eastAsia="en-US" w:bidi="en-US"/>
        </w:rPr>
        <w:t xml:space="preserve"> corroborate this understanding, when they consider that, even if a future pregnancy would endanger the life and health of the woman, she would not become pregnant immediately, so that the measure can be taken subsequently.</w:t>
      </w:r>
      <w:r w:rsidR="004707E3" w:rsidRPr="00012C3F">
        <w:rPr>
          <w:rStyle w:val="Refdenotaalpie"/>
          <w:rFonts w:eastAsia="MS Mincho"/>
          <w:sz w:val="20"/>
          <w:szCs w:val="20"/>
          <w:lang w:val="en-US" w:eastAsia="en-US" w:bidi="en-US"/>
        </w:rPr>
        <w:footnoteReference w:id="217"/>
      </w:r>
      <w:r w:rsidRPr="00012C3F">
        <w:rPr>
          <w:rFonts w:eastAsia="MS Mincho" w:cs="ClassicalGaramondBT-Roman"/>
          <w:sz w:val="20"/>
          <w:szCs w:val="20"/>
          <w:lang w:val="en-US" w:eastAsia="en-US" w:bidi="en-US"/>
        </w:rPr>
        <w:t xml:space="preserve"> Thus, </w:t>
      </w:r>
      <w:r w:rsidR="00894AC0" w:rsidRPr="00012C3F">
        <w:rPr>
          <w:rFonts w:eastAsia="MS Mincho" w:cs="ClassicalGaramondBT-Roman"/>
          <w:sz w:val="20"/>
          <w:szCs w:val="20"/>
          <w:lang w:val="en-US" w:eastAsia="en-US" w:bidi="en-US"/>
        </w:rPr>
        <w:t>sterilization</w:t>
      </w:r>
      <w:r w:rsidRPr="00012C3F">
        <w:rPr>
          <w:rFonts w:eastAsia="MS Mincho" w:cs="ClassicalGaramondBT-Roman"/>
          <w:sz w:val="20"/>
          <w:szCs w:val="20"/>
          <w:lang w:val="en-US" w:eastAsia="en-US" w:bidi="en-US"/>
        </w:rPr>
        <w:t xml:space="preserve"> is not an emergency medical procedure. This reasoning was also adopted by the </w:t>
      </w:r>
      <w:r w:rsidR="00E17AF2" w:rsidRPr="00012C3F">
        <w:rPr>
          <w:rFonts w:eastAsia="MS Mincho" w:cs="ClassicalGaramondBT-Roman"/>
          <w:sz w:val="20"/>
          <w:szCs w:val="20"/>
          <w:lang w:val="en-US" w:eastAsia="en-US" w:bidi="en-US"/>
        </w:rPr>
        <w:t xml:space="preserve"> </w:t>
      </w:r>
      <w:r w:rsidR="00E060D2" w:rsidRPr="00012C3F">
        <w:rPr>
          <w:rFonts w:eastAsia="MS Mincho"/>
          <w:sz w:val="20"/>
          <w:szCs w:val="20"/>
          <w:lang w:val="en-US" w:eastAsia="en-US" w:bidi="en-US"/>
        </w:rPr>
        <w:t>European Court of Human Rights</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in the case of</w:t>
      </w:r>
      <w:r w:rsidR="00E17AF2" w:rsidRPr="00012C3F">
        <w:rPr>
          <w:rFonts w:eastAsia="MS Mincho"/>
          <w:sz w:val="20"/>
          <w:szCs w:val="20"/>
          <w:lang w:val="en-US" w:eastAsia="en-US" w:bidi="en-US"/>
        </w:rPr>
        <w:t xml:space="preserve"> </w:t>
      </w:r>
      <w:r w:rsidRPr="00012C3F">
        <w:rPr>
          <w:rFonts w:eastAsia="MS Mincho"/>
          <w:i/>
          <w:sz w:val="20"/>
          <w:szCs w:val="20"/>
          <w:lang w:val="en-US" w:eastAsia="en-US" w:bidi="en-US"/>
        </w:rPr>
        <w:t>V</w:t>
      </w:r>
      <w:r w:rsidR="000E1C11" w:rsidRPr="00012C3F">
        <w:rPr>
          <w:rFonts w:eastAsia="MS Mincho"/>
          <w:i/>
          <w:sz w:val="20"/>
          <w:szCs w:val="20"/>
          <w:lang w:val="en-US" w:eastAsia="en-US" w:bidi="en-US"/>
        </w:rPr>
        <w:t>.</w:t>
      </w:r>
      <w:r w:rsidR="00E17AF2" w:rsidRPr="00012C3F">
        <w:rPr>
          <w:rFonts w:eastAsia="MS Mincho"/>
          <w:i/>
          <w:sz w:val="20"/>
          <w:szCs w:val="20"/>
          <w:lang w:val="en-US" w:eastAsia="en-US" w:bidi="en-US"/>
        </w:rPr>
        <w:t xml:space="preserve">C. </w:t>
      </w:r>
      <w:r w:rsidR="000E1C11" w:rsidRPr="00012C3F">
        <w:rPr>
          <w:rFonts w:eastAsia="MS Mincho"/>
          <w:i/>
          <w:sz w:val="20"/>
          <w:szCs w:val="20"/>
          <w:lang w:val="en-US" w:eastAsia="en-US" w:bidi="en-US"/>
        </w:rPr>
        <w:t>v.</w:t>
      </w:r>
      <w:r w:rsidR="00E17AF2" w:rsidRPr="00012C3F">
        <w:rPr>
          <w:rFonts w:eastAsia="MS Mincho"/>
          <w:i/>
          <w:sz w:val="20"/>
          <w:szCs w:val="20"/>
          <w:lang w:val="en-US" w:eastAsia="en-US" w:bidi="en-US"/>
        </w:rPr>
        <w:t xml:space="preserve"> </w:t>
      </w:r>
      <w:r w:rsidRPr="00012C3F">
        <w:rPr>
          <w:rFonts w:eastAsia="MS Mincho"/>
          <w:i/>
          <w:sz w:val="20"/>
          <w:szCs w:val="20"/>
          <w:lang w:val="en-US" w:eastAsia="en-US" w:bidi="en-US"/>
        </w:rPr>
        <w:t>Slovakia</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in which the facts took place on August 23, </w:t>
      </w:r>
      <w:r w:rsidR="00E17AF2" w:rsidRPr="00012C3F">
        <w:rPr>
          <w:rFonts w:eastAsia="MS Mincho"/>
          <w:sz w:val="20"/>
          <w:szCs w:val="20"/>
          <w:lang w:val="en-US" w:eastAsia="en-US" w:bidi="en-US"/>
        </w:rPr>
        <w:t>2000</w:t>
      </w:r>
      <w:r w:rsidRPr="00012C3F">
        <w:rPr>
          <w:rFonts w:eastAsia="MS Mincho"/>
          <w:sz w:val="20"/>
          <w:szCs w:val="20"/>
          <w:lang w:val="en-US" w:eastAsia="en-US" w:bidi="en-US"/>
        </w:rPr>
        <w:t>. In its judgme</w:t>
      </w:r>
      <w:r w:rsidR="00894AC0" w:rsidRPr="00012C3F">
        <w:rPr>
          <w:rFonts w:eastAsia="MS Mincho"/>
          <w:sz w:val="20"/>
          <w:szCs w:val="20"/>
          <w:lang w:val="en-US" w:eastAsia="en-US" w:bidi="en-US"/>
        </w:rPr>
        <w:t>n</w:t>
      </w:r>
      <w:r w:rsidRPr="00012C3F">
        <w:rPr>
          <w:rFonts w:eastAsia="MS Mincho"/>
          <w:sz w:val="20"/>
          <w:szCs w:val="20"/>
          <w:lang w:val="en-US" w:eastAsia="en-US" w:bidi="en-US"/>
        </w:rPr>
        <w:t>t, the European Court concluded that</w:t>
      </w:r>
      <w:r w:rsidR="008E67B3" w:rsidRPr="00012C3F">
        <w:rPr>
          <w:rFonts w:eastAsia="MS Mincho"/>
          <w:sz w:val="20"/>
          <w:szCs w:val="20"/>
          <w:lang w:val="en-US" w:eastAsia="en-US" w:bidi="en-US"/>
        </w:rPr>
        <w:t xml:space="preserve"> the</w:t>
      </w:r>
      <w:r w:rsidRPr="00012C3F">
        <w:rPr>
          <w:rFonts w:eastAsia="MS Mincho"/>
          <w:sz w:val="20"/>
          <w:szCs w:val="20"/>
          <w:lang w:val="en-US" w:eastAsia="en-US" w:bidi="en-US"/>
        </w:rPr>
        <w:t xml:space="preserve"> tubal ligation procedure </w:t>
      </w:r>
      <w:r w:rsidRPr="00012C3F">
        <w:rPr>
          <w:rFonts w:eastAsia="MS Mincho"/>
          <w:sz w:val="20"/>
          <w:szCs w:val="20"/>
          <w:lang w:val="en-US" w:eastAsia="en-US" w:bidi="en-US"/>
        </w:rPr>
        <w:lastRenderedPageBreak/>
        <w:t xml:space="preserve">performed during </w:t>
      </w:r>
      <w:r w:rsidR="00CC232E" w:rsidRPr="00012C3F">
        <w:rPr>
          <w:rFonts w:eastAsia="MS Mincho"/>
          <w:sz w:val="20"/>
          <w:szCs w:val="20"/>
          <w:lang w:val="en-US" w:eastAsia="en-US" w:bidi="en-US"/>
        </w:rPr>
        <w:t>a caesarean section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did not constitute an imminent necessity </w:t>
      </w:r>
      <w:r w:rsidR="002A0A1A" w:rsidRPr="00012C3F">
        <w:rPr>
          <w:rFonts w:eastAsia="MS Mincho"/>
          <w:sz w:val="20"/>
          <w:szCs w:val="20"/>
          <w:lang w:val="en-US" w:eastAsia="en-US" w:bidi="en-US"/>
        </w:rPr>
        <w:t xml:space="preserve">from a medical point of view </w:t>
      </w:r>
      <w:r w:rsidRPr="00012C3F">
        <w:rPr>
          <w:rFonts w:eastAsia="MS Mincho"/>
          <w:sz w:val="20"/>
          <w:szCs w:val="20"/>
          <w:lang w:val="en-US" w:eastAsia="en-US" w:bidi="en-US"/>
        </w:rPr>
        <w:t xml:space="preserve">because the threat to the patient’s life would </w:t>
      </w:r>
      <w:r w:rsidR="002A0A1A" w:rsidRPr="00012C3F">
        <w:rPr>
          <w:rFonts w:eastAsia="MS Mincho"/>
          <w:sz w:val="20"/>
          <w:szCs w:val="20"/>
          <w:lang w:val="en-US" w:eastAsia="en-US" w:bidi="en-US"/>
        </w:rPr>
        <w:t>materialize only in the event of a future pregnancy</w:t>
      </w:r>
      <w:r w:rsidRPr="00012C3F">
        <w:rPr>
          <w:rFonts w:eastAsia="MS Mincho"/>
          <w:sz w:val="20"/>
          <w:szCs w:val="20"/>
          <w:lang w:val="en-US" w:eastAsia="en-US" w:bidi="en-US"/>
        </w:rPr>
        <w:t xml:space="preserve">, so that such an intervention was not </w:t>
      </w:r>
      <w:r w:rsidR="002A0A1A" w:rsidRPr="00012C3F">
        <w:rPr>
          <w:rFonts w:eastAsia="MS Mincho"/>
          <w:sz w:val="20"/>
          <w:szCs w:val="20"/>
          <w:lang w:val="en-US" w:eastAsia="en-US" w:bidi="en-US"/>
        </w:rPr>
        <w:t xml:space="preserve">generally </w:t>
      </w:r>
      <w:r w:rsidRPr="00012C3F">
        <w:rPr>
          <w:rFonts w:eastAsia="MS Mincho"/>
          <w:sz w:val="20"/>
          <w:szCs w:val="20"/>
          <w:lang w:val="en-US" w:eastAsia="en-US" w:bidi="en-US"/>
        </w:rPr>
        <w:t>considered</w:t>
      </w:r>
      <w:r w:rsidR="002A0A1A" w:rsidRPr="00012C3F">
        <w:rPr>
          <w:rFonts w:eastAsia="MS Mincho"/>
          <w:sz w:val="20"/>
          <w:szCs w:val="20"/>
          <w:lang w:val="en-US" w:eastAsia="en-US" w:bidi="en-US"/>
        </w:rPr>
        <w:t xml:space="preserve"> as life-saving surgery</w:t>
      </w:r>
      <w:r w:rsidRPr="00012C3F">
        <w:rPr>
          <w:rFonts w:eastAsia="MS Mincho"/>
          <w:sz w:val="20"/>
          <w:szCs w:val="20"/>
          <w:lang w:val="en-US" w:eastAsia="en-US" w:bidi="en-US"/>
        </w:rPr>
        <w:t>.</w:t>
      </w:r>
      <w:r w:rsidR="00E17AF2" w:rsidRPr="00012C3F">
        <w:rPr>
          <w:rStyle w:val="Refdenotaalpie"/>
          <w:rFonts w:eastAsia="MS Mincho"/>
          <w:sz w:val="20"/>
          <w:szCs w:val="20"/>
          <w:lang w:val="en-US" w:eastAsia="en-US" w:bidi="en-US"/>
        </w:rPr>
        <w:footnoteReference w:id="218"/>
      </w:r>
    </w:p>
    <w:p w14:paraId="7DC64B00" w14:textId="77777777" w:rsidR="00E17AF2" w:rsidRPr="00012C3F" w:rsidRDefault="00E17AF2" w:rsidP="00E17AF2">
      <w:pPr>
        <w:widowControl/>
        <w:tabs>
          <w:tab w:val="left" w:pos="720"/>
        </w:tabs>
        <w:adjustRightInd/>
        <w:spacing w:line="240" w:lineRule="auto"/>
        <w:ind w:right="-90"/>
        <w:textAlignment w:val="auto"/>
        <w:rPr>
          <w:rFonts w:eastAsia="MS Mincho"/>
          <w:sz w:val="20"/>
          <w:szCs w:val="20"/>
          <w:lang w:val="en-US" w:eastAsia="en-US" w:bidi="en-US"/>
        </w:rPr>
      </w:pPr>
    </w:p>
    <w:p w14:paraId="3B382C19" w14:textId="77777777" w:rsidR="006F2C0B" w:rsidRPr="00012C3F" w:rsidRDefault="00E17AF2" w:rsidP="006F2C0B">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Ad</w:t>
      </w:r>
      <w:r w:rsidR="00167365" w:rsidRPr="00012C3F">
        <w:rPr>
          <w:rFonts w:eastAsia="MS Mincho"/>
          <w:sz w:val="20"/>
          <w:szCs w:val="20"/>
          <w:lang w:val="en-US" w:eastAsia="en-US" w:bidi="en-US"/>
        </w:rPr>
        <w:t xml:space="preserve">ditionally, the Court cannot admit the </w:t>
      </w:r>
      <w:r w:rsidR="00D127EB" w:rsidRPr="00012C3F">
        <w:rPr>
          <w:rFonts w:eastAsia="MS Mincho"/>
          <w:sz w:val="20"/>
          <w:szCs w:val="20"/>
          <w:lang w:val="en-US" w:eastAsia="en-US" w:bidi="en-US"/>
        </w:rPr>
        <w:t xml:space="preserve">argument submitted by the State during the hearing in this case, that the medical personnel acted in accordance with the parameters established in the 1993 WHO manual entitled: </w:t>
      </w:r>
      <w:r w:rsidRPr="00012C3F">
        <w:rPr>
          <w:rFonts w:eastAsia="MS Mincho" w:cs="ClassicalGaramondBT-Roman"/>
          <w:sz w:val="20"/>
          <w:szCs w:val="20"/>
          <w:lang w:val="en-US" w:eastAsia="en-US" w:bidi="en-US"/>
        </w:rPr>
        <w:t>“</w:t>
      </w:r>
      <w:r w:rsidR="00BD3B0B" w:rsidRPr="00012C3F">
        <w:rPr>
          <w:rFonts w:eastAsia="MS Mincho" w:cs="ClassicalGaramondBT-Roman"/>
          <w:sz w:val="20"/>
          <w:szCs w:val="20"/>
          <w:lang w:val="en-US" w:eastAsia="en-US" w:bidi="en-US"/>
        </w:rPr>
        <w:t>Female sterilization: a guide to provision of services</w:t>
      </w:r>
      <w:r w:rsidR="00D127EB" w:rsidRPr="00012C3F">
        <w:rPr>
          <w:rFonts w:eastAsia="MS Mincho" w:cs="ClassicalGaramondBT-Roman"/>
          <w:sz w:val="20"/>
          <w:szCs w:val="20"/>
          <w:lang w:val="en-US" w:eastAsia="en-US" w:bidi="en-US"/>
        </w:rPr>
        <w:t>.</w:t>
      </w:r>
      <w:r w:rsidRPr="00012C3F">
        <w:rPr>
          <w:rFonts w:eastAsia="MS Mincho" w:cs="ClassicalGaramondBT-Roman"/>
          <w:sz w:val="20"/>
          <w:szCs w:val="20"/>
          <w:lang w:val="en-US" w:eastAsia="en-US" w:bidi="en-US"/>
        </w:rPr>
        <w:t xml:space="preserve">” </w:t>
      </w:r>
      <w:r w:rsidR="00A84CA0" w:rsidRPr="00012C3F">
        <w:rPr>
          <w:rFonts w:eastAsia="MS Mincho" w:cs="ClassicalGaramondBT-Roman"/>
          <w:sz w:val="20"/>
          <w:szCs w:val="20"/>
          <w:lang w:val="en-US" w:eastAsia="en-US" w:bidi="en-US"/>
        </w:rPr>
        <w:t xml:space="preserve">The </w:t>
      </w:r>
      <w:r w:rsidR="006F2C0B" w:rsidRPr="00012C3F">
        <w:rPr>
          <w:rFonts w:eastAsia="MS Mincho" w:cs="ClassicalGaramondBT-Roman"/>
          <w:sz w:val="20"/>
          <w:szCs w:val="20"/>
          <w:lang w:val="en-US" w:eastAsia="en-US" w:bidi="en-US"/>
        </w:rPr>
        <w:t xml:space="preserve">State indicated that, based on this document, there </w:t>
      </w:r>
      <w:r w:rsidR="00BC4353" w:rsidRPr="00012C3F">
        <w:rPr>
          <w:rFonts w:eastAsia="MS Mincho" w:cs="ClassicalGaramondBT-Roman"/>
          <w:sz w:val="20"/>
          <w:szCs w:val="20"/>
          <w:lang w:val="en-US" w:eastAsia="en-US" w:bidi="en-US"/>
        </w:rPr>
        <w:t>was</w:t>
      </w:r>
      <w:r w:rsidR="006F2C0B" w:rsidRPr="00012C3F">
        <w:rPr>
          <w:rFonts w:eastAsia="MS Mincho" w:cs="ClassicalGaramondBT-Roman"/>
          <w:sz w:val="20"/>
          <w:szCs w:val="20"/>
          <w:lang w:val="en-US" w:eastAsia="en-US" w:bidi="en-US"/>
        </w:rPr>
        <w:t xml:space="preserve"> a difference between voluntary surgical sterilizations and sterilizations for health reasons or medically indicated,</w:t>
      </w:r>
      <w:r w:rsidRPr="00012C3F">
        <w:rPr>
          <w:rStyle w:val="Refdenotaalpie"/>
          <w:rFonts w:eastAsia="MS Mincho" w:cs="ClassicalGaramondBT-Roman"/>
          <w:sz w:val="20"/>
          <w:szCs w:val="20"/>
          <w:lang w:val="en-US" w:eastAsia="en-US" w:bidi="en-US"/>
        </w:rPr>
        <w:footnoteReference w:id="219"/>
      </w:r>
      <w:r w:rsidR="006F2C0B" w:rsidRPr="00012C3F">
        <w:rPr>
          <w:rFonts w:eastAsia="MS Mincho" w:cs="ClassicalGaramondBT-Roman"/>
          <w:sz w:val="20"/>
          <w:szCs w:val="20"/>
          <w:lang w:val="en-US" w:eastAsia="en-US" w:bidi="en-US"/>
        </w:rPr>
        <w:t xml:space="preserve"> establishing that the latter – and always according to the State – </w:t>
      </w:r>
      <w:r w:rsidR="00BC4353" w:rsidRPr="00012C3F">
        <w:rPr>
          <w:rFonts w:eastAsia="MS Mincho" w:cs="ClassicalGaramondBT-Roman"/>
          <w:sz w:val="20"/>
          <w:szCs w:val="20"/>
          <w:lang w:val="en-US" w:eastAsia="en-US" w:bidi="en-US"/>
        </w:rPr>
        <w:t xml:space="preserve">constituted </w:t>
      </w:r>
      <w:r w:rsidR="006F2C0B" w:rsidRPr="00012C3F">
        <w:rPr>
          <w:rFonts w:eastAsia="MS Mincho" w:cs="ClassicalGaramondBT-Roman"/>
          <w:sz w:val="20"/>
          <w:szCs w:val="20"/>
          <w:lang w:val="en-US" w:eastAsia="en-US" w:bidi="en-US"/>
        </w:rPr>
        <w:t>an exception to the requirement of informed consent in cases in which there was a high probability that another pregnancy would have fatal consequences. First, the Court notes that, even though the 1993 WHO manual established that sterilizations could be performed as a result of medical indication, even in that case, such surgical procedures must be voluntary. Consequently, informed consent must be obtained. Second, even though the text of this manual refers to cases of sterilization due to medical indication in which consent may be waived,</w:t>
      </w:r>
      <w:r w:rsidR="006F2C0B" w:rsidRPr="00012C3F">
        <w:rPr>
          <w:rStyle w:val="Refdenotaalpie"/>
          <w:sz w:val="20"/>
          <w:szCs w:val="20"/>
          <w:lang w:val="en-US"/>
        </w:rPr>
        <w:footnoteReference w:id="220"/>
      </w:r>
      <w:r w:rsidR="006F2C0B" w:rsidRPr="00012C3F">
        <w:rPr>
          <w:rFonts w:eastAsia="MS Mincho" w:cs="ClassicalGaramondBT-Roman"/>
          <w:sz w:val="20"/>
          <w:szCs w:val="20"/>
          <w:lang w:val="en-US" w:eastAsia="en-US" w:bidi="en-US"/>
        </w:rPr>
        <w:t xml:space="preserve"> the Court considers that the wording of this alleged exception is imprecise, and open to two possible interpretations. On the one hand, </w:t>
      </w:r>
      <w:r w:rsidR="002F4E0E" w:rsidRPr="00012C3F">
        <w:rPr>
          <w:rFonts w:eastAsia="MS Mincho" w:cs="ClassicalGaramondBT-Roman"/>
          <w:sz w:val="20"/>
          <w:szCs w:val="20"/>
          <w:lang w:val="en-US" w:eastAsia="en-US" w:bidi="en-US"/>
        </w:rPr>
        <w:t xml:space="preserve">as </w:t>
      </w:r>
      <w:r w:rsidR="00BC4353" w:rsidRPr="00012C3F">
        <w:rPr>
          <w:rFonts w:eastAsia="MS Mincho" w:cs="ClassicalGaramondBT-Roman"/>
          <w:sz w:val="20"/>
          <w:szCs w:val="20"/>
          <w:lang w:val="en-US" w:eastAsia="en-US" w:bidi="en-US"/>
        </w:rPr>
        <w:t xml:space="preserve">the wording was </w:t>
      </w:r>
      <w:r w:rsidR="002F4E0E" w:rsidRPr="00012C3F">
        <w:rPr>
          <w:rFonts w:eastAsia="MS Mincho" w:cs="ClassicalGaramondBT-Roman"/>
          <w:sz w:val="20"/>
          <w:szCs w:val="20"/>
          <w:lang w:val="en-US" w:eastAsia="en-US" w:bidi="en-US"/>
        </w:rPr>
        <w:t xml:space="preserve">understood by I.V.’s representative, the exception was only applicable to situations of extreme gravity, such as </w:t>
      </w:r>
      <w:r w:rsidR="00730CC2" w:rsidRPr="00012C3F">
        <w:rPr>
          <w:rFonts w:eastAsia="MS Mincho" w:cs="ClassicalGaramondBT-Roman"/>
          <w:sz w:val="20"/>
          <w:szCs w:val="20"/>
          <w:lang w:val="en-US" w:eastAsia="en-US" w:bidi="en-US"/>
        </w:rPr>
        <w:t>if a woman arrive</w:t>
      </w:r>
      <w:r w:rsidR="00BC4353" w:rsidRPr="00012C3F">
        <w:rPr>
          <w:rFonts w:eastAsia="MS Mincho" w:cs="ClassicalGaramondBT-Roman"/>
          <w:sz w:val="20"/>
          <w:szCs w:val="20"/>
          <w:lang w:val="en-US" w:eastAsia="en-US" w:bidi="en-US"/>
        </w:rPr>
        <w:t>d</w:t>
      </w:r>
      <w:r w:rsidR="00730CC2" w:rsidRPr="00012C3F">
        <w:rPr>
          <w:rFonts w:eastAsia="MS Mincho" w:cs="ClassicalGaramondBT-Roman"/>
          <w:sz w:val="20"/>
          <w:szCs w:val="20"/>
          <w:lang w:val="en-US" w:eastAsia="en-US" w:bidi="en-US"/>
        </w:rPr>
        <w:t xml:space="preserve"> </w:t>
      </w:r>
      <w:r w:rsidR="00BC4353" w:rsidRPr="00012C3F">
        <w:rPr>
          <w:rFonts w:eastAsia="MS Mincho" w:cs="ClassicalGaramondBT-Roman"/>
          <w:sz w:val="20"/>
          <w:szCs w:val="20"/>
          <w:lang w:val="en-US" w:eastAsia="en-US" w:bidi="en-US"/>
        </w:rPr>
        <w:t>a</w:t>
      </w:r>
      <w:r w:rsidR="00730CC2" w:rsidRPr="00012C3F">
        <w:rPr>
          <w:rFonts w:eastAsia="MS Mincho" w:cs="ClassicalGaramondBT-Roman"/>
          <w:sz w:val="20"/>
          <w:szCs w:val="20"/>
          <w:lang w:val="en-US" w:eastAsia="en-US" w:bidi="en-US"/>
        </w:rPr>
        <w:t xml:space="preserve">t the hospital in shock </w:t>
      </w:r>
      <w:r w:rsidR="002F4E0E" w:rsidRPr="00012C3F">
        <w:rPr>
          <w:rFonts w:eastAsia="MS Mincho" w:cs="ClassicalGaramondBT-Roman"/>
          <w:sz w:val="20"/>
          <w:szCs w:val="20"/>
          <w:lang w:val="en-US" w:eastAsia="en-US" w:bidi="en-US"/>
        </w:rPr>
        <w:t xml:space="preserve">due to </w:t>
      </w:r>
      <w:r w:rsidR="00730CC2" w:rsidRPr="00012C3F">
        <w:rPr>
          <w:rFonts w:eastAsia="MS Mincho" w:cs="ClassicalGaramondBT-Roman"/>
          <w:sz w:val="20"/>
          <w:szCs w:val="20"/>
          <w:lang w:val="en-US" w:eastAsia="en-US" w:bidi="en-US"/>
        </w:rPr>
        <w:t xml:space="preserve">a ruptured </w:t>
      </w:r>
      <w:r w:rsidR="002F4E0E" w:rsidRPr="00012C3F">
        <w:rPr>
          <w:rFonts w:eastAsia="MS Mincho" w:cs="ClassicalGaramondBT-Roman"/>
          <w:sz w:val="20"/>
          <w:szCs w:val="20"/>
          <w:lang w:val="en-US" w:eastAsia="en-US" w:bidi="en-US"/>
        </w:rPr>
        <w:t>uter</w:t>
      </w:r>
      <w:r w:rsidR="00730CC2" w:rsidRPr="00012C3F">
        <w:rPr>
          <w:rFonts w:eastAsia="MS Mincho" w:cs="ClassicalGaramondBT-Roman"/>
          <w:sz w:val="20"/>
          <w:szCs w:val="20"/>
          <w:lang w:val="en-US" w:eastAsia="en-US" w:bidi="en-US"/>
        </w:rPr>
        <w:t>us</w:t>
      </w:r>
      <w:r w:rsidR="002F4E0E" w:rsidRPr="00012C3F">
        <w:rPr>
          <w:rFonts w:eastAsia="MS Mincho" w:cs="ClassicalGaramondBT-Roman"/>
          <w:sz w:val="20"/>
          <w:szCs w:val="20"/>
          <w:lang w:val="en-US" w:eastAsia="en-US" w:bidi="en-US"/>
        </w:rPr>
        <w:t>. On the other hand, in the sense understood by the State, the exception to the requirement of informed consent was applicable in cases where there was a high probability that another pregnancy would have a fatal outcome.</w:t>
      </w:r>
    </w:p>
    <w:p w14:paraId="7500808A" w14:textId="77777777" w:rsidR="00E17AF2" w:rsidRPr="00012C3F" w:rsidRDefault="00E17AF2" w:rsidP="00E17AF2">
      <w:pPr>
        <w:tabs>
          <w:tab w:val="left" w:pos="567"/>
        </w:tabs>
        <w:spacing w:line="240" w:lineRule="auto"/>
        <w:rPr>
          <w:rFonts w:eastAsia="MS Mincho"/>
          <w:sz w:val="20"/>
          <w:szCs w:val="20"/>
          <w:lang w:val="en-US" w:eastAsia="en-US" w:bidi="en-US"/>
        </w:rPr>
      </w:pPr>
    </w:p>
    <w:p w14:paraId="2F501696" w14:textId="77777777" w:rsidR="00D127EB" w:rsidRPr="00012C3F" w:rsidRDefault="002F4E0E" w:rsidP="002F4E0E">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In this regard</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consider</w:t>
      </w:r>
      <w:r w:rsidRPr="00012C3F">
        <w:rPr>
          <w:rFonts w:eastAsia="MS Mincho"/>
          <w:sz w:val="20"/>
          <w:szCs w:val="20"/>
          <w:lang w:val="en-US" w:eastAsia="en-US" w:bidi="en-US"/>
        </w:rPr>
        <w:t xml:space="preserve">s that the former interpretation would make that standard inapplicable to this case, because I.V. was not admitted to the hospital with </w:t>
      </w:r>
      <w:r w:rsidR="001755D5" w:rsidRPr="00012C3F">
        <w:rPr>
          <w:rFonts w:eastAsia="MS Mincho"/>
          <w:sz w:val="20"/>
          <w:szCs w:val="20"/>
          <w:lang w:val="en-US" w:eastAsia="en-US" w:bidi="en-US"/>
        </w:rPr>
        <w:t>a ruptured uterus</w:t>
      </w:r>
      <w:r w:rsidRPr="00012C3F">
        <w:rPr>
          <w:rFonts w:eastAsia="MS Mincho"/>
          <w:sz w:val="20"/>
          <w:szCs w:val="20"/>
          <w:lang w:val="en-US" w:eastAsia="en-US" w:bidi="en-US"/>
        </w:rPr>
        <w:t xml:space="preserve"> or similar diagnosis. In addition, the Court notes that, if it accepted the interpretation made by the State, this would involve assuming an isolated standard that contradicts consistent and reiterated </w:t>
      </w:r>
      <w:r w:rsidRPr="00012C3F">
        <w:rPr>
          <w:rFonts w:eastAsia="MS Mincho"/>
          <w:sz w:val="20"/>
          <w:szCs w:val="20"/>
          <w:lang w:val="en-US" w:eastAsia="en-US" w:bidi="en-US"/>
        </w:rPr>
        <w:lastRenderedPageBreak/>
        <w:t>standards contained in numerous other international documents cited by this Court.</w:t>
      </w:r>
      <w:r w:rsidR="00A11150" w:rsidRPr="00012C3F">
        <w:rPr>
          <w:rFonts w:eastAsia="MS Mincho"/>
          <w:sz w:val="20"/>
          <w:szCs w:val="20"/>
          <w:lang w:val="en-US" w:eastAsia="en-US" w:bidi="en-US"/>
        </w:rPr>
        <w:t xml:space="preserve"> In any case and given the uncertainty about the interpretation, the Court </w:t>
      </w:r>
      <w:r w:rsidR="00E17AF2" w:rsidRPr="00012C3F">
        <w:rPr>
          <w:sz w:val="20"/>
          <w:szCs w:val="20"/>
          <w:lang w:val="en-US"/>
        </w:rPr>
        <w:t>conclu</w:t>
      </w:r>
      <w:r w:rsidR="00D127EB" w:rsidRPr="00012C3F">
        <w:rPr>
          <w:sz w:val="20"/>
          <w:szCs w:val="20"/>
          <w:lang w:val="en-US"/>
        </w:rPr>
        <w:t xml:space="preserve">ded that the 1993 </w:t>
      </w:r>
      <w:r w:rsidR="00CC232E" w:rsidRPr="00012C3F">
        <w:rPr>
          <w:sz w:val="20"/>
          <w:szCs w:val="20"/>
          <w:lang w:val="en-US"/>
        </w:rPr>
        <w:t>WHO manual</w:t>
      </w:r>
      <w:r w:rsidR="00D127EB" w:rsidRPr="00012C3F">
        <w:rPr>
          <w:sz w:val="20"/>
          <w:szCs w:val="20"/>
          <w:lang w:val="en-US"/>
        </w:rPr>
        <w:t xml:space="preserve"> </w:t>
      </w:r>
      <w:r w:rsidR="00D127EB" w:rsidRPr="00012C3F">
        <w:rPr>
          <w:rFonts w:cs="Arial"/>
          <w:sz w:val="20"/>
          <w:szCs w:val="20"/>
          <w:lang w:val="en-US"/>
        </w:rPr>
        <w:t xml:space="preserve"> should be read in </w:t>
      </w:r>
      <w:r w:rsidR="00BC4353" w:rsidRPr="00012C3F">
        <w:rPr>
          <w:rFonts w:cs="Arial"/>
          <w:sz w:val="20"/>
          <w:szCs w:val="20"/>
          <w:lang w:val="en-US"/>
        </w:rPr>
        <w:t>connection with</w:t>
      </w:r>
      <w:r w:rsidR="00D127EB" w:rsidRPr="00012C3F">
        <w:rPr>
          <w:rFonts w:cs="Arial"/>
          <w:sz w:val="20"/>
          <w:szCs w:val="20"/>
          <w:lang w:val="en-US"/>
        </w:rPr>
        <w:t xml:space="preserve"> the American Convention in light of the autonomy and rights of patients, so that the exception to obtaining consent </w:t>
      </w:r>
      <w:r w:rsidR="00BC4353" w:rsidRPr="00012C3F">
        <w:rPr>
          <w:rFonts w:cs="Arial"/>
          <w:sz w:val="20"/>
          <w:szCs w:val="20"/>
          <w:lang w:val="en-US"/>
        </w:rPr>
        <w:t>i</w:t>
      </w:r>
      <w:r w:rsidR="00D127EB" w:rsidRPr="00012C3F">
        <w:rPr>
          <w:rFonts w:cs="Arial"/>
          <w:sz w:val="20"/>
          <w:szCs w:val="20"/>
          <w:lang w:val="en-US"/>
        </w:rPr>
        <w:t xml:space="preserve">s only valid in situations where there </w:t>
      </w:r>
      <w:r w:rsidR="00BC4353" w:rsidRPr="00012C3F">
        <w:rPr>
          <w:rFonts w:cs="Arial"/>
          <w:sz w:val="20"/>
          <w:szCs w:val="20"/>
          <w:lang w:val="en-US"/>
        </w:rPr>
        <w:t>are</w:t>
      </w:r>
      <w:r w:rsidR="00D127EB" w:rsidRPr="00012C3F">
        <w:rPr>
          <w:rFonts w:cs="Arial"/>
          <w:sz w:val="20"/>
          <w:szCs w:val="20"/>
          <w:lang w:val="en-US"/>
        </w:rPr>
        <w:t xml:space="preserve"> medical indications and in circumstances that me</w:t>
      </w:r>
      <w:r w:rsidR="00BC4353" w:rsidRPr="00012C3F">
        <w:rPr>
          <w:rFonts w:cs="Arial"/>
          <w:sz w:val="20"/>
          <w:szCs w:val="20"/>
          <w:lang w:val="en-US"/>
        </w:rPr>
        <w:t>e</w:t>
      </w:r>
      <w:r w:rsidR="00D127EB" w:rsidRPr="00012C3F">
        <w:rPr>
          <w:rFonts w:cs="Arial"/>
          <w:sz w:val="20"/>
          <w:szCs w:val="20"/>
          <w:lang w:val="en-US"/>
        </w:rPr>
        <w:t>t the necessary requirements of urgency and emergency for it to be admissible.</w:t>
      </w:r>
    </w:p>
    <w:p w14:paraId="2E7F3410" w14:textId="77777777" w:rsidR="00E17AF2" w:rsidRPr="00012C3F" w:rsidRDefault="00E17AF2" w:rsidP="00E17AF2">
      <w:pPr>
        <w:tabs>
          <w:tab w:val="left" w:pos="567"/>
        </w:tabs>
        <w:spacing w:line="240" w:lineRule="auto"/>
        <w:rPr>
          <w:rFonts w:eastAsia="MS Mincho"/>
          <w:sz w:val="20"/>
          <w:szCs w:val="20"/>
          <w:lang w:val="en-US" w:eastAsia="en-US" w:bidi="en-US"/>
        </w:rPr>
      </w:pPr>
    </w:p>
    <w:p w14:paraId="60FD0CCC" w14:textId="77777777" w:rsidR="00442CC5" w:rsidRPr="00012C3F" w:rsidRDefault="00442CC5" w:rsidP="00442CC5">
      <w:pPr>
        <w:tabs>
          <w:tab w:val="left" w:pos="567"/>
        </w:tabs>
        <w:spacing w:line="240" w:lineRule="auto"/>
        <w:rPr>
          <w:rFonts w:eastAsia="MS Mincho"/>
          <w:i/>
          <w:sz w:val="20"/>
          <w:szCs w:val="20"/>
          <w:lang w:val="en-US" w:eastAsia="en-US" w:bidi="en-US"/>
        </w:rPr>
      </w:pPr>
      <w:r w:rsidRPr="00012C3F">
        <w:rPr>
          <w:rFonts w:eastAsia="MS Mincho"/>
          <w:b/>
          <w:i/>
          <w:sz w:val="20"/>
          <w:szCs w:val="20"/>
          <w:lang w:val="en-US" w:eastAsia="en-US" w:bidi="en-US"/>
        </w:rPr>
        <w:tab/>
      </w:r>
      <w:r w:rsidRPr="00012C3F">
        <w:rPr>
          <w:rFonts w:eastAsia="MS Mincho"/>
          <w:b/>
          <w:i/>
          <w:sz w:val="20"/>
          <w:szCs w:val="20"/>
          <w:lang w:val="en-US" w:eastAsia="en-US" w:bidi="en-US"/>
        </w:rPr>
        <w:tab/>
      </w:r>
      <w:r w:rsidRPr="00012C3F">
        <w:rPr>
          <w:rFonts w:eastAsia="MS Mincho"/>
          <w:b/>
          <w:i/>
          <w:sz w:val="20"/>
          <w:szCs w:val="20"/>
          <w:lang w:val="en-US" w:eastAsia="en-US" w:bidi="en-US"/>
        </w:rPr>
        <w:tab/>
      </w:r>
      <w:r w:rsidRPr="00012C3F">
        <w:rPr>
          <w:rFonts w:eastAsia="MS Mincho"/>
          <w:i/>
          <w:sz w:val="20"/>
          <w:szCs w:val="20"/>
          <w:lang w:val="en-US" w:eastAsia="en-US" w:bidi="en-US"/>
        </w:rPr>
        <w:t xml:space="preserve">ii) </w:t>
      </w:r>
      <w:r w:rsidRPr="00012C3F">
        <w:rPr>
          <w:rFonts w:eastAsia="MS Mincho"/>
          <w:i/>
          <w:sz w:val="20"/>
          <w:szCs w:val="20"/>
          <w:lang w:val="en-US" w:eastAsia="en-US" w:bidi="en-US"/>
        </w:rPr>
        <w:tab/>
      </w:r>
      <w:r w:rsidR="00A645BB" w:rsidRPr="00012C3F">
        <w:rPr>
          <w:rFonts w:eastAsia="MS Mincho"/>
          <w:i/>
          <w:sz w:val="20"/>
          <w:szCs w:val="20"/>
          <w:lang w:val="en-US" w:eastAsia="en-US" w:bidi="en-US"/>
        </w:rPr>
        <w:t>The principle of free consent</w:t>
      </w:r>
    </w:p>
    <w:p w14:paraId="66E0D6C8" w14:textId="77777777" w:rsidR="00442CC5" w:rsidRPr="00012C3F" w:rsidRDefault="00442CC5" w:rsidP="00E17AF2">
      <w:pPr>
        <w:tabs>
          <w:tab w:val="left" w:pos="567"/>
        </w:tabs>
        <w:spacing w:line="240" w:lineRule="auto"/>
        <w:rPr>
          <w:rFonts w:eastAsia="MS Mincho"/>
          <w:sz w:val="20"/>
          <w:szCs w:val="20"/>
          <w:lang w:val="en-US" w:eastAsia="en-US" w:bidi="en-US"/>
        </w:rPr>
      </w:pPr>
    </w:p>
    <w:p w14:paraId="5A9CAD57" w14:textId="77777777" w:rsidR="00E17AF2" w:rsidRPr="00012C3F" w:rsidRDefault="00E10644" w:rsidP="00D127EB">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The second element emphasizes the aspect of the freedom of the manifestation of consent. Thus, the Court considers that consent must be given in a free, voluntary and autonomous manner, without pressure of any kind, without using it as a condition for submission to other procedures or benefits, without coercion, threats or disinformation.</w:t>
      </w:r>
      <w:r w:rsidR="008C3536" w:rsidRPr="00012C3F">
        <w:rPr>
          <w:rFonts w:eastAsia="Calibri" w:cs="ClassicalGaramondBT-Roman"/>
          <w:sz w:val="20"/>
          <w:szCs w:val="20"/>
          <w:lang w:val="en-US" w:eastAsia="en-US" w:bidi="en-US"/>
        </w:rPr>
        <w:t xml:space="preserve"> </w:t>
      </w:r>
      <w:r w:rsidRPr="00012C3F">
        <w:rPr>
          <w:rFonts w:cs="Arial"/>
          <w:sz w:val="20"/>
          <w:szCs w:val="20"/>
          <w:lang w:val="en-US"/>
        </w:rPr>
        <w:t>Furthermore, consent cannot be given as a result of actions by health personnel that persuade individuals to steer their decision in a certain direction, and it cannot be the result of any type of inappropriate incentive.</w:t>
      </w:r>
      <w:r w:rsidR="00E17AF2" w:rsidRPr="00012C3F">
        <w:rPr>
          <w:rFonts w:eastAsia="Calibri" w:cs="ClassicalGaramondBT-Roman"/>
          <w:sz w:val="20"/>
          <w:szCs w:val="20"/>
          <w:lang w:val="en-US" w:eastAsia="en-US" w:bidi="en-US"/>
        </w:rPr>
        <w:t xml:space="preserve"> </w:t>
      </w:r>
      <w:r w:rsidR="00605782" w:rsidRPr="00012C3F">
        <w:rPr>
          <w:rFonts w:eastAsia="Calibri" w:cs="ClassicalGaramondBT-Roman"/>
          <w:sz w:val="20"/>
          <w:szCs w:val="20"/>
          <w:lang w:val="en-US" w:eastAsia="en-US" w:bidi="en-US"/>
        </w:rPr>
        <w:t>F</w:t>
      </w:r>
      <w:r w:rsidR="008C3536" w:rsidRPr="00012C3F">
        <w:rPr>
          <w:rFonts w:eastAsia="Calibri" w:cs="ClassicalGaramondBT-Roman"/>
          <w:sz w:val="20"/>
          <w:szCs w:val="20"/>
          <w:lang w:val="en-US" w:eastAsia="en-US" w:bidi="en-US"/>
        </w:rPr>
        <w:t xml:space="preserve">ree consent has been referred to in numerous international documents concerning consent as a mechanism that protects patients’ rights, from the Nuremberg Code of medical ethics to the </w:t>
      </w:r>
      <w:r w:rsidR="00B76CA5" w:rsidRPr="00012C3F">
        <w:rPr>
          <w:rFonts w:eastAsia="Calibri" w:cs="ClassicalGaramondBT-Roman"/>
          <w:sz w:val="20"/>
          <w:szCs w:val="20"/>
          <w:lang w:val="en-US" w:eastAsia="en-US" w:bidi="en-US"/>
        </w:rPr>
        <w:t>United Nations Interagency Statement</w:t>
      </w:r>
      <w:r w:rsidR="00E17AF2" w:rsidRPr="00012C3F">
        <w:rPr>
          <w:rStyle w:val="Refdenotaalpie"/>
          <w:rFonts w:eastAsia="Calibri" w:cs="ClassicalGaramondBT-Roman"/>
          <w:sz w:val="20"/>
          <w:szCs w:val="20"/>
          <w:lang w:val="en-US" w:eastAsia="en-US" w:bidi="en-US"/>
        </w:rPr>
        <w:footnoteReference w:id="221"/>
      </w:r>
      <w:r w:rsidR="006A1285" w:rsidRPr="00012C3F">
        <w:rPr>
          <w:rFonts w:eastAsia="Calibri" w:cs="ClassicalGaramondBT-Roman"/>
          <w:sz w:val="20"/>
          <w:szCs w:val="20"/>
          <w:lang w:val="en-US" w:eastAsia="en-US" w:bidi="en-US"/>
        </w:rPr>
        <w:t xml:space="preserve"> </w:t>
      </w:r>
      <w:r w:rsidR="00F21627" w:rsidRPr="00012C3F">
        <w:rPr>
          <w:rFonts w:eastAsia="Calibri" w:cs="ClassicalGaramondBT-Roman"/>
          <w:sz w:val="20"/>
          <w:szCs w:val="20"/>
          <w:lang w:val="en-US" w:eastAsia="en-US" w:bidi="en-US"/>
        </w:rPr>
        <w:t>(</w:t>
      </w:r>
      <w:r w:rsidR="00F21627" w:rsidRPr="00012C3F">
        <w:rPr>
          <w:rFonts w:eastAsia="Calibri" w:cs="ClassicalGaramondBT-Roman"/>
          <w:i/>
          <w:sz w:val="20"/>
          <w:szCs w:val="20"/>
          <w:lang w:val="en-US" w:eastAsia="en-US" w:bidi="en-US"/>
        </w:rPr>
        <w:t>supra</w:t>
      </w:r>
      <w:r w:rsidR="00F21627" w:rsidRPr="00012C3F">
        <w:rPr>
          <w:rFonts w:eastAsia="Calibri" w:cs="ClassicalGaramondBT-Roman"/>
          <w:sz w:val="20"/>
          <w:szCs w:val="20"/>
          <w:lang w:val="en-US" w:eastAsia="en-US" w:bidi="en-US"/>
        </w:rPr>
        <w:t xml:space="preserve"> </w:t>
      </w:r>
      <w:r w:rsidR="00370DD4" w:rsidRPr="00012C3F">
        <w:rPr>
          <w:rFonts w:eastAsia="Calibri" w:cs="ClassicalGaramondBT-Roman"/>
          <w:sz w:val="20"/>
          <w:szCs w:val="20"/>
          <w:lang w:val="en-US" w:eastAsia="en-US" w:bidi="en-US"/>
        </w:rPr>
        <w:t>paras.</w:t>
      </w:r>
      <w:r w:rsidR="00F21627" w:rsidRPr="00012C3F">
        <w:rPr>
          <w:rFonts w:eastAsia="Calibri" w:cs="ClassicalGaramondBT-Roman"/>
          <w:sz w:val="20"/>
          <w:szCs w:val="20"/>
          <w:lang w:val="en-US" w:eastAsia="en-US" w:bidi="en-US"/>
        </w:rPr>
        <w:t xml:space="preserve"> 171</w:t>
      </w:r>
      <w:r w:rsidR="005E5012" w:rsidRPr="00012C3F">
        <w:rPr>
          <w:rFonts w:eastAsia="Calibri" w:cs="ClassicalGaramondBT-Roman"/>
          <w:sz w:val="20"/>
          <w:szCs w:val="20"/>
          <w:lang w:val="en-US" w:eastAsia="en-US" w:bidi="en-US"/>
        </w:rPr>
        <w:t xml:space="preserve"> and </w:t>
      </w:r>
      <w:r w:rsidR="00F21627" w:rsidRPr="00012C3F">
        <w:rPr>
          <w:rFonts w:eastAsia="Calibri" w:cs="ClassicalGaramondBT-Roman"/>
          <w:sz w:val="20"/>
          <w:szCs w:val="20"/>
          <w:lang w:val="en-US" w:eastAsia="en-US" w:bidi="en-US"/>
        </w:rPr>
        <w:t>173)</w:t>
      </w:r>
      <w:r w:rsidR="00E17AF2" w:rsidRPr="00012C3F">
        <w:rPr>
          <w:rFonts w:eastAsia="Calibri" w:cs="ClassicalGaramondBT-Roman"/>
          <w:sz w:val="20"/>
          <w:szCs w:val="20"/>
          <w:lang w:val="en-US" w:eastAsia="en-US" w:bidi="en-US"/>
        </w:rPr>
        <w:t xml:space="preserve">. </w:t>
      </w:r>
      <w:r w:rsidR="008C3536" w:rsidRPr="00012C3F">
        <w:rPr>
          <w:rFonts w:eastAsia="Calibri" w:cs="ClassicalGaramondBT-Roman"/>
          <w:sz w:val="20"/>
          <w:szCs w:val="20"/>
          <w:lang w:val="en-US" w:eastAsia="en-US" w:bidi="en-US"/>
        </w:rPr>
        <w:t>I</w:t>
      </w:r>
      <w:r w:rsidR="00E17AF2" w:rsidRPr="00012C3F">
        <w:rPr>
          <w:rFonts w:eastAsia="Calibri" w:cs="ClassicalGaramondBT-Roman"/>
          <w:sz w:val="20"/>
          <w:szCs w:val="20"/>
          <w:lang w:val="en-US" w:eastAsia="en-US" w:bidi="en-US"/>
        </w:rPr>
        <w:t xml:space="preserve">n particular, </w:t>
      </w:r>
      <w:r w:rsidR="008C3536" w:rsidRPr="00012C3F">
        <w:rPr>
          <w:rFonts w:eastAsia="Calibri" w:cs="ClassicalGaramondBT-Roman"/>
          <w:sz w:val="20"/>
          <w:szCs w:val="20"/>
          <w:lang w:val="en-US" w:eastAsia="en-US" w:bidi="en-US"/>
        </w:rPr>
        <w:t xml:space="preserve">the </w:t>
      </w:r>
      <w:r w:rsidR="00D44167" w:rsidRPr="00012C3F">
        <w:rPr>
          <w:rFonts w:eastAsia="Calibri" w:cs="ClassicalGaramondBT-Roman"/>
          <w:sz w:val="20"/>
          <w:szCs w:val="20"/>
          <w:lang w:val="en-US" w:eastAsia="en-US" w:bidi="en-US"/>
        </w:rPr>
        <w:t>Declaration of Helsinki</w:t>
      </w:r>
      <w:r w:rsidR="008C3536" w:rsidRPr="00012C3F">
        <w:rPr>
          <w:rFonts w:eastAsia="Calibri" w:cs="ClassicalGaramondBT-Roman"/>
          <w:sz w:val="20"/>
          <w:szCs w:val="20"/>
          <w:lang w:val="en-US" w:eastAsia="en-US" w:bidi="en-US"/>
        </w:rPr>
        <w:t xml:space="preserve"> emphasizes that </w:t>
      </w:r>
      <w:r w:rsidR="00605782" w:rsidRPr="00012C3F">
        <w:rPr>
          <w:rFonts w:eastAsia="Calibri" w:cs="ClassicalGaramondBT-Roman"/>
          <w:sz w:val="20"/>
          <w:szCs w:val="20"/>
          <w:lang w:val="en-US" w:eastAsia="en-US" w:bidi="en-US"/>
        </w:rPr>
        <w:t xml:space="preserve">“[w]hen obtaining informed consent, </w:t>
      </w:r>
      <w:r w:rsidR="008C3536" w:rsidRPr="00012C3F">
        <w:rPr>
          <w:rFonts w:eastAsia="Calibri" w:cs="ClassicalGaramondBT-Roman"/>
          <w:sz w:val="20"/>
          <w:szCs w:val="20"/>
          <w:lang w:val="en-US" w:eastAsia="en-US" w:bidi="en-US"/>
        </w:rPr>
        <w:t xml:space="preserve">the </w:t>
      </w:r>
      <w:r w:rsidR="00605782" w:rsidRPr="00012C3F">
        <w:rPr>
          <w:rFonts w:eastAsia="Calibri" w:cs="ClassicalGaramondBT-Roman"/>
          <w:sz w:val="20"/>
          <w:szCs w:val="20"/>
          <w:lang w:val="en-US" w:eastAsia="en-US" w:bidi="en-US"/>
        </w:rPr>
        <w:t>physician should be particularly cautious if the subject is in a dependent relationship with the physician or may consent under duress.”</w:t>
      </w:r>
      <w:r w:rsidR="00E17AF2" w:rsidRPr="00012C3F">
        <w:rPr>
          <w:rStyle w:val="Refdenotaalpie"/>
          <w:rFonts w:eastAsia="MS Mincho" w:cs="Arial"/>
          <w:sz w:val="20"/>
          <w:szCs w:val="20"/>
          <w:lang w:val="en-US" w:eastAsia="en-US" w:bidi="en-US"/>
        </w:rPr>
        <w:footnoteReference w:id="222"/>
      </w:r>
    </w:p>
    <w:p w14:paraId="47B2D805"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316037F" w14:textId="77777777" w:rsidR="00E17AF2" w:rsidRPr="00012C3F" w:rsidRDefault="008C3536" w:rsidP="00A65E31">
      <w:pPr>
        <w:numPr>
          <w:ilvl w:val="0"/>
          <w:numId w:val="5"/>
        </w:numPr>
        <w:tabs>
          <w:tab w:val="left" w:pos="720"/>
          <w:tab w:val="num" w:pos="12305"/>
        </w:tabs>
        <w:spacing w:line="240" w:lineRule="auto"/>
        <w:ind w:left="0" w:firstLine="0"/>
        <w:rPr>
          <w:rFonts w:eastAsia="Calibri" w:cs="ClassicalGaramondBT-Roman"/>
          <w:sz w:val="20"/>
          <w:szCs w:val="20"/>
          <w:lang w:val="en-US"/>
        </w:rPr>
      </w:pPr>
      <w:r w:rsidRPr="00012C3F">
        <w:rPr>
          <w:rFonts w:eastAsia="Calibri" w:cs="ClassicalGaramondBT-Roman"/>
          <w:sz w:val="20"/>
          <w:szCs w:val="20"/>
          <w:lang w:val="en-US" w:eastAsia="en-US" w:bidi="en-US"/>
        </w:rPr>
        <w:t xml:space="preserve">Consent is personal because it must be given by the person who will undergo the procedure. Indeed, according to the Declarations of Helsinki and </w:t>
      </w:r>
      <w:r w:rsidR="00D44167" w:rsidRPr="00012C3F">
        <w:rPr>
          <w:rFonts w:eastAsia="Calibri" w:cs="ClassicalGaramondBT-Roman"/>
          <w:sz w:val="20"/>
          <w:szCs w:val="20"/>
          <w:lang w:val="en-US" w:eastAsia="en-US" w:bidi="en-US"/>
        </w:rPr>
        <w:t xml:space="preserve">of </w:t>
      </w:r>
      <w:r w:rsidRPr="00012C3F">
        <w:rPr>
          <w:rFonts w:eastAsia="Calibri" w:cs="ClassicalGaramondBT-Roman"/>
          <w:sz w:val="20"/>
          <w:szCs w:val="20"/>
          <w:lang w:val="en-US" w:eastAsia="en-US" w:bidi="en-US"/>
        </w:rPr>
        <w:t xml:space="preserve">Lisbon, as well as the Declaration on </w:t>
      </w:r>
      <w:r w:rsidR="00570C15" w:rsidRPr="00012C3F">
        <w:rPr>
          <w:rFonts w:eastAsia="Calibri" w:cs="ClassicalGaramondBT-Roman"/>
          <w:sz w:val="20"/>
          <w:szCs w:val="20"/>
          <w:lang w:val="en-US" w:eastAsia="en-US" w:bidi="en-US"/>
        </w:rPr>
        <w:t>forced sterilization</w:t>
      </w:r>
      <w:r w:rsidR="00E17AF2" w:rsidRPr="00012C3F">
        <w:rPr>
          <w:rFonts w:eastAsia="Calibri" w:cs="ClassicalGaramondBT-Roman"/>
          <w:sz w:val="20"/>
          <w:szCs w:val="20"/>
          <w:lang w:val="en-US" w:eastAsia="en-US" w:bidi="en-US"/>
        </w:rPr>
        <w:t xml:space="preserve">, </w:t>
      </w:r>
      <w:r w:rsidRPr="00012C3F">
        <w:rPr>
          <w:rFonts w:eastAsia="Calibri" w:cs="ClassicalGaramondBT-Roman"/>
          <w:sz w:val="20"/>
          <w:szCs w:val="20"/>
          <w:lang w:val="en-US" w:eastAsia="en-US" w:bidi="en-US"/>
        </w:rPr>
        <w:t xml:space="preserve">all </w:t>
      </w:r>
      <w:r w:rsidR="00D44167" w:rsidRPr="00012C3F">
        <w:rPr>
          <w:rFonts w:eastAsia="Calibri" w:cs="ClassicalGaramondBT-Roman"/>
          <w:sz w:val="20"/>
          <w:szCs w:val="20"/>
          <w:lang w:val="en-US" w:eastAsia="en-US" w:bidi="en-US"/>
        </w:rPr>
        <w:t>adopted by</w:t>
      </w:r>
      <w:r w:rsidRPr="00012C3F">
        <w:rPr>
          <w:rFonts w:eastAsia="Calibri" w:cs="ClassicalGaramondBT-Roman"/>
          <w:sz w:val="20"/>
          <w:szCs w:val="20"/>
          <w:lang w:val="en-US" w:eastAsia="en-US" w:bidi="en-US"/>
        </w:rPr>
        <w:t xml:space="preserve"> t</w:t>
      </w:r>
      <w:r w:rsidR="007B0C04" w:rsidRPr="00012C3F">
        <w:rPr>
          <w:rFonts w:eastAsia="Calibri" w:cs="ClassicalGaramondBT-Roman"/>
          <w:sz w:val="20"/>
          <w:szCs w:val="20"/>
          <w:lang w:val="en-US" w:eastAsia="en-US" w:bidi="en-US"/>
        </w:rPr>
        <w:t>he World Medical Association</w:t>
      </w:r>
      <w:r w:rsidR="00B07C9D" w:rsidRPr="00012C3F">
        <w:rPr>
          <w:rFonts w:eastAsia="Calibri" w:cs="ClassicalGaramondBT-Roman"/>
          <w:sz w:val="20"/>
          <w:szCs w:val="20"/>
          <w:lang w:val="en-US" w:eastAsia="en-US" w:bidi="en-US"/>
        </w:rPr>
        <w:t xml:space="preserve">, </w:t>
      </w:r>
      <w:r w:rsidRPr="00012C3F">
        <w:rPr>
          <w:rFonts w:eastAsia="Calibri" w:cs="ClassicalGaramondBT-Roman"/>
          <w:sz w:val="20"/>
          <w:szCs w:val="20"/>
          <w:lang w:val="en-US" w:eastAsia="en-US" w:bidi="en-US"/>
        </w:rPr>
        <w:t>only the patient may agree to undergo a medical procedure.</w:t>
      </w:r>
      <w:r w:rsidR="0095623E" w:rsidRPr="00012C3F">
        <w:rPr>
          <w:rStyle w:val="Refdenotaalpie"/>
          <w:rFonts w:eastAsia="Calibri" w:cs="ClassicalGaramondBT-Roman"/>
          <w:sz w:val="20"/>
          <w:szCs w:val="20"/>
          <w:lang w:val="en-US" w:eastAsia="en-US" w:bidi="en-US"/>
        </w:rPr>
        <w:footnoteReference w:id="223"/>
      </w:r>
      <w:r w:rsidR="00E17AF2" w:rsidRPr="00012C3F">
        <w:rPr>
          <w:rFonts w:eastAsia="Calibri" w:cs="ClassicalGaramondBT-Roman"/>
          <w:sz w:val="20"/>
          <w:szCs w:val="20"/>
          <w:lang w:val="en-US" w:eastAsia="en-US" w:bidi="en-US"/>
        </w:rPr>
        <w:t xml:space="preserve"> </w:t>
      </w:r>
      <w:r w:rsidRPr="00012C3F">
        <w:rPr>
          <w:rFonts w:eastAsia="Calibri" w:cs="ClassicalGaramondBT-Roman"/>
          <w:sz w:val="20"/>
          <w:szCs w:val="20"/>
          <w:lang w:val="en-US" w:eastAsia="en-US" w:bidi="en-US"/>
        </w:rPr>
        <w:t xml:space="preserve">In addition, the UNESCO Universal Declaration on Bioethics and Human Rights refers to </w:t>
      </w:r>
      <w:r w:rsidR="00605782" w:rsidRPr="00012C3F">
        <w:rPr>
          <w:rFonts w:eastAsia="Calibri" w:cs="ClassicalGaramondBT-Roman"/>
          <w:sz w:val="20"/>
          <w:szCs w:val="20"/>
          <w:lang w:val="en-US" w:eastAsia="en-US" w:bidi="en-US"/>
        </w:rPr>
        <w:t>“</w:t>
      </w:r>
      <w:r w:rsidRPr="00012C3F">
        <w:rPr>
          <w:rFonts w:eastAsia="Calibri" w:cs="ClassicalGaramondBT-Roman"/>
          <w:sz w:val="20"/>
          <w:szCs w:val="20"/>
          <w:lang w:val="en-US" w:eastAsia="en-US" w:bidi="en-US"/>
        </w:rPr>
        <w:t xml:space="preserve">consent by the person concerned, </w:t>
      </w:r>
      <w:r w:rsidR="00605782" w:rsidRPr="00012C3F">
        <w:rPr>
          <w:rFonts w:eastAsia="Calibri" w:cs="ClassicalGaramondBT-Roman"/>
          <w:sz w:val="20"/>
          <w:szCs w:val="20"/>
          <w:lang w:val="en-US" w:eastAsia="en-US" w:bidi="en-US"/>
        </w:rPr>
        <w:t>based on</w:t>
      </w:r>
      <w:r w:rsidRPr="00012C3F">
        <w:rPr>
          <w:rFonts w:eastAsia="Calibri" w:cs="ClassicalGaramondBT-Roman"/>
          <w:sz w:val="20"/>
          <w:szCs w:val="20"/>
          <w:lang w:val="en-US" w:eastAsia="en-US" w:bidi="en-US"/>
        </w:rPr>
        <w:t xml:space="preserve"> adequate information.</w:t>
      </w:r>
      <w:r w:rsidR="00605782" w:rsidRPr="00012C3F">
        <w:rPr>
          <w:rFonts w:eastAsia="Calibri" w:cs="ClassicalGaramondBT-Roman"/>
          <w:sz w:val="20"/>
          <w:szCs w:val="20"/>
          <w:lang w:val="en-US" w:eastAsia="en-US" w:bidi="en-US"/>
        </w:rPr>
        <w:t>”</w:t>
      </w:r>
      <w:r w:rsidR="0095623E" w:rsidRPr="00012C3F">
        <w:rPr>
          <w:rStyle w:val="Refdenotaalpie"/>
          <w:rFonts w:eastAsia="Calibri" w:cs="ClassicalGaramondBT-Roman"/>
          <w:sz w:val="20"/>
          <w:szCs w:val="20"/>
          <w:lang w:val="en-US" w:eastAsia="en-US" w:bidi="en-US"/>
        </w:rPr>
        <w:footnoteReference w:id="224"/>
      </w:r>
      <w:r w:rsidR="00E17AF2" w:rsidRPr="00012C3F">
        <w:rPr>
          <w:rFonts w:eastAsia="Calibri" w:cs="ClassicalGaramondBT-Roman"/>
          <w:sz w:val="20"/>
          <w:szCs w:val="20"/>
          <w:lang w:val="en-US"/>
        </w:rPr>
        <w:t xml:space="preserve"> </w:t>
      </w:r>
      <w:r w:rsidRPr="00012C3F">
        <w:rPr>
          <w:rFonts w:eastAsia="Calibri" w:cs="ClassicalGaramondBT-Roman"/>
          <w:sz w:val="20"/>
          <w:szCs w:val="20"/>
          <w:lang w:val="en-US" w:eastAsia="en-US" w:bidi="en-US"/>
        </w:rPr>
        <w:t>In the case of sterilization</w:t>
      </w:r>
      <w:r w:rsidR="00E17AF2" w:rsidRPr="00012C3F">
        <w:rPr>
          <w:rFonts w:eastAsia="Calibri" w:cs="ClassicalGaramondBT-Roman"/>
          <w:sz w:val="20"/>
          <w:szCs w:val="20"/>
          <w:lang w:val="en-US" w:eastAsia="en-US" w:bidi="en-US"/>
        </w:rPr>
        <w:t xml:space="preserve">, </w:t>
      </w:r>
      <w:r w:rsidR="001254DE" w:rsidRPr="00012C3F">
        <w:rPr>
          <w:rFonts w:eastAsia="Calibri" w:cs="ClassicalGaramondBT-Roman"/>
          <w:sz w:val="20"/>
          <w:szCs w:val="20"/>
          <w:lang w:val="en-US" w:eastAsia="en-US" w:bidi="en-US"/>
        </w:rPr>
        <w:t>the Court</w:t>
      </w:r>
      <w:r w:rsidR="00E17AF2" w:rsidRPr="00012C3F">
        <w:rPr>
          <w:rFonts w:eastAsia="Calibri" w:cs="ClassicalGaramondBT-Roman"/>
          <w:sz w:val="20"/>
          <w:szCs w:val="20"/>
          <w:lang w:val="en-US" w:eastAsia="en-US" w:bidi="en-US"/>
        </w:rPr>
        <w:t xml:space="preserve"> consider</w:t>
      </w:r>
      <w:r w:rsidRPr="00012C3F">
        <w:rPr>
          <w:rFonts w:eastAsia="Calibri" w:cs="ClassicalGaramondBT-Roman"/>
          <w:sz w:val="20"/>
          <w:szCs w:val="20"/>
          <w:lang w:val="en-US" w:eastAsia="en-US" w:bidi="en-US"/>
        </w:rPr>
        <w:t xml:space="preserve">s that, </w:t>
      </w:r>
      <w:r w:rsidRPr="00012C3F">
        <w:rPr>
          <w:rFonts w:cs="Arial"/>
          <w:sz w:val="20"/>
          <w:szCs w:val="20"/>
          <w:lang w:val="en-US"/>
        </w:rPr>
        <w:t>owing to its nature and the serious consequences on reproductive capacity</w:t>
      </w:r>
      <w:r w:rsidR="00B76CA5" w:rsidRPr="00012C3F">
        <w:rPr>
          <w:rFonts w:cs="Arial"/>
          <w:sz w:val="20"/>
          <w:szCs w:val="20"/>
          <w:lang w:val="en-US"/>
        </w:rPr>
        <w:t xml:space="preserve">, in relation to </w:t>
      </w:r>
      <w:r w:rsidRPr="00012C3F">
        <w:rPr>
          <w:rFonts w:cs="Arial"/>
          <w:sz w:val="20"/>
          <w:szCs w:val="20"/>
          <w:lang w:val="en-US"/>
        </w:rPr>
        <w:t xml:space="preserve">a woman’s autonomy, which entails respecting her decision on whether or not to have children and the circumstances in which she wishes to have them </w:t>
      </w:r>
      <w:r w:rsidRPr="00012C3F">
        <w:rPr>
          <w:rFonts w:eastAsia="Calibri" w:cs="ClassicalGaramondBT-Roman"/>
          <w:sz w:val="20"/>
          <w:szCs w:val="20"/>
          <w:lang w:val="en-US" w:eastAsia="en-US" w:bidi="en-US"/>
        </w:rPr>
        <w:t>(</w:t>
      </w:r>
      <w:r w:rsidRPr="00012C3F">
        <w:rPr>
          <w:rFonts w:eastAsia="Calibri" w:cs="ClassicalGaramondBT-Roman"/>
          <w:i/>
          <w:sz w:val="20"/>
          <w:szCs w:val="20"/>
          <w:lang w:val="en-US" w:eastAsia="en-US" w:bidi="en-US"/>
        </w:rPr>
        <w:t>supra</w:t>
      </w:r>
      <w:r w:rsidRPr="00012C3F">
        <w:rPr>
          <w:rFonts w:eastAsia="Calibri" w:cs="ClassicalGaramondBT-Roman"/>
          <w:sz w:val="20"/>
          <w:szCs w:val="20"/>
          <w:lang w:val="en-US" w:eastAsia="en-US" w:bidi="en-US"/>
        </w:rPr>
        <w:t xml:space="preserve"> para. 162)</w:t>
      </w:r>
      <w:r w:rsidRPr="00012C3F">
        <w:rPr>
          <w:rFonts w:cs="Arial"/>
          <w:sz w:val="20"/>
          <w:szCs w:val="20"/>
          <w:lang w:val="en-US"/>
        </w:rPr>
        <w:t xml:space="preserve">, she is the only person authorized to give consent, rather than third persons. Thus, it is </w:t>
      </w:r>
      <w:r w:rsidRPr="00012C3F">
        <w:rPr>
          <w:rFonts w:cs="Arial"/>
          <w:sz w:val="20"/>
          <w:szCs w:val="20"/>
          <w:lang w:val="en-US"/>
        </w:rPr>
        <w:lastRenderedPageBreak/>
        <w:t>not permissible to request the authorization of the partner or of any other person in order to perform sterilization</w:t>
      </w:r>
      <w:r w:rsidRPr="00012C3F">
        <w:rPr>
          <w:rFonts w:eastAsia="Calibri" w:cs="ClassicalGaramondBT-Roman"/>
          <w:sz w:val="20"/>
          <w:szCs w:val="20"/>
          <w:lang w:val="en-US"/>
        </w:rPr>
        <w:t>.</w:t>
      </w:r>
      <w:r w:rsidR="00E17AF2" w:rsidRPr="00012C3F">
        <w:rPr>
          <w:rStyle w:val="Refdenotaalpie"/>
          <w:rFonts w:eastAsia="Calibri" w:cs="ClassicalGaramondBT-Roman"/>
          <w:sz w:val="20"/>
          <w:szCs w:val="20"/>
          <w:lang w:val="en-US" w:eastAsia="en-US" w:bidi="en-US"/>
        </w:rPr>
        <w:footnoteReference w:id="225"/>
      </w:r>
      <w:r w:rsidRPr="00012C3F">
        <w:rPr>
          <w:rFonts w:eastAsia="Calibri" w:cs="ClassicalGaramondBT-Roman"/>
          <w:sz w:val="20"/>
          <w:szCs w:val="20"/>
          <w:lang w:val="en-US" w:eastAsia="en-US" w:bidi="en-US"/>
        </w:rPr>
        <w:t xml:space="preserve"> The Court also considers that, </w:t>
      </w:r>
      <w:r w:rsidR="00A65E31" w:rsidRPr="00012C3F">
        <w:rPr>
          <w:rFonts w:eastAsia="Calibri" w:cs="ClassicalGaramondBT-Roman"/>
          <w:sz w:val="20"/>
          <w:szCs w:val="20"/>
          <w:lang w:val="en-US" w:eastAsia="en-US" w:bidi="en-US"/>
        </w:rPr>
        <w:t>as it has established, sterilization is usually not an emergency procedure</w:t>
      </w:r>
      <w:r w:rsidR="00E17AF2" w:rsidRPr="00012C3F">
        <w:rPr>
          <w:rFonts w:eastAsia="Calibri" w:cs="ClassicalGaramondBT-Roman"/>
          <w:sz w:val="20"/>
          <w:szCs w:val="20"/>
          <w:lang w:val="en-US" w:eastAsia="en-US" w:bidi="en-US"/>
        </w:rPr>
        <w:t xml:space="preserve"> (</w:t>
      </w:r>
      <w:r w:rsidR="00E17AF2" w:rsidRPr="00012C3F">
        <w:rPr>
          <w:rFonts w:eastAsia="Calibri" w:cs="ClassicalGaramondBT-Roman"/>
          <w:i/>
          <w:sz w:val="20"/>
          <w:szCs w:val="20"/>
          <w:lang w:val="en-US" w:eastAsia="en-US" w:bidi="en-US"/>
        </w:rPr>
        <w:t xml:space="preserve">supra </w:t>
      </w:r>
      <w:r w:rsidR="00370DD4" w:rsidRPr="00012C3F">
        <w:rPr>
          <w:rFonts w:eastAsia="Calibri" w:cs="ClassicalGaramondBT-Roman"/>
          <w:sz w:val="20"/>
          <w:szCs w:val="20"/>
          <w:lang w:val="en-US" w:eastAsia="en-US" w:bidi="en-US"/>
        </w:rPr>
        <w:t>paras.</w:t>
      </w:r>
      <w:r w:rsidR="00E17AF2" w:rsidRPr="00012C3F">
        <w:rPr>
          <w:rFonts w:eastAsia="Calibri" w:cs="ClassicalGaramondBT-Roman"/>
          <w:sz w:val="20"/>
          <w:szCs w:val="20"/>
          <w:lang w:val="en-US" w:eastAsia="en-US" w:bidi="en-US"/>
        </w:rPr>
        <w:t xml:space="preserve"> </w:t>
      </w:r>
      <w:r w:rsidR="00BD6078" w:rsidRPr="00012C3F">
        <w:rPr>
          <w:rFonts w:eastAsia="Calibri" w:cs="ClassicalGaramondBT-Roman"/>
          <w:sz w:val="20"/>
          <w:szCs w:val="20"/>
          <w:lang w:val="en-US" w:eastAsia="en-US" w:bidi="en-US"/>
        </w:rPr>
        <w:t>177</w:t>
      </w:r>
      <w:r w:rsidR="005E5012" w:rsidRPr="00012C3F">
        <w:rPr>
          <w:rFonts w:eastAsia="Calibri" w:cs="ClassicalGaramondBT-Roman"/>
          <w:sz w:val="20"/>
          <w:szCs w:val="20"/>
          <w:lang w:val="en-US" w:eastAsia="en-US" w:bidi="en-US"/>
        </w:rPr>
        <w:t xml:space="preserve"> and </w:t>
      </w:r>
      <w:r w:rsidR="00BD6078" w:rsidRPr="00012C3F">
        <w:rPr>
          <w:rFonts w:eastAsia="Calibri" w:cs="ClassicalGaramondBT-Roman"/>
          <w:sz w:val="20"/>
          <w:szCs w:val="20"/>
          <w:lang w:val="en-US" w:eastAsia="en-US" w:bidi="en-US"/>
        </w:rPr>
        <w:t>178</w:t>
      </w:r>
      <w:r w:rsidR="00E17AF2" w:rsidRPr="00012C3F">
        <w:rPr>
          <w:rFonts w:eastAsia="Calibri" w:cs="ClassicalGaramondBT-Roman"/>
          <w:sz w:val="20"/>
          <w:szCs w:val="20"/>
          <w:lang w:val="en-US" w:eastAsia="en-US" w:bidi="en-US"/>
        </w:rPr>
        <w:t xml:space="preserve">), </w:t>
      </w:r>
      <w:r w:rsidR="00A65E31" w:rsidRPr="00012C3F">
        <w:rPr>
          <w:rFonts w:eastAsia="Calibri" w:cs="ClassicalGaramondBT-Roman"/>
          <w:sz w:val="20"/>
          <w:szCs w:val="20"/>
          <w:lang w:val="en-US" w:eastAsia="en-US" w:bidi="en-US"/>
        </w:rPr>
        <w:t xml:space="preserve">so that if the woman is unable to give her consent, it is not permissible to resort to a third person, but rather it is necessary to wait until she can give </w:t>
      </w:r>
      <w:r w:rsidR="00B76CA5" w:rsidRPr="00012C3F">
        <w:rPr>
          <w:rFonts w:eastAsia="Calibri" w:cs="ClassicalGaramondBT-Roman"/>
          <w:sz w:val="20"/>
          <w:szCs w:val="20"/>
          <w:lang w:val="en-US" w:eastAsia="en-US" w:bidi="en-US"/>
        </w:rPr>
        <w:t>this</w:t>
      </w:r>
      <w:r w:rsidR="00A65E31" w:rsidRPr="00012C3F">
        <w:rPr>
          <w:rFonts w:eastAsia="Calibri" w:cs="ClassicalGaramondBT-Roman"/>
          <w:sz w:val="20"/>
          <w:szCs w:val="20"/>
          <w:lang w:val="en-US" w:eastAsia="en-US" w:bidi="en-US"/>
        </w:rPr>
        <w:t xml:space="preserve">. </w:t>
      </w:r>
      <w:r w:rsidR="00891C09" w:rsidRPr="00012C3F">
        <w:rPr>
          <w:sz w:val="20"/>
          <w:szCs w:val="20"/>
          <w:lang w:val="en-US"/>
        </w:rPr>
        <w:t>General Recommendation</w:t>
      </w:r>
      <w:r w:rsidR="00E17AF2" w:rsidRPr="00012C3F">
        <w:rPr>
          <w:sz w:val="20"/>
          <w:szCs w:val="20"/>
          <w:lang w:val="en-US"/>
        </w:rPr>
        <w:t xml:space="preserve"> No. 21 </w:t>
      </w:r>
      <w:r w:rsidR="00A65E31" w:rsidRPr="00012C3F">
        <w:rPr>
          <w:sz w:val="20"/>
          <w:szCs w:val="20"/>
          <w:lang w:val="en-US"/>
        </w:rPr>
        <w:t>(</w:t>
      </w:r>
      <w:r w:rsidR="00E17AF2" w:rsidRPr="00012C3F">
        <w:rPr>
          <w:sz w:val="20"/>
          <w:szCs w:val="20"/>
          <w:lang w:val="en-US"/>
        </w:rPr>
        <w:t>1994</w:t>
      </w:r>
      <w:r w:rsidR="00A65E31" w:rsidRPr="00012C3F">
        <w:rPr>
          <w:sz w:val="20"/>
          <w:szCs w:val="20"/>
          <w:lang w:val="en-US"/>
        </w:rPr>
        <w:t>) of the</w:t>
      </w:r>
      <w:r w:rsidR="00E17AF2" w:rsidRPr="00012C3F">
        <w:rPr>
          <w:sz w:val="20"/>
          <w:szCs w:val="20"/>
          <w:lang w:val="en-US"/>
        </w:rPr>
        <w:t xml:space="preserve"> </w:t>
      </w:r>
      <w:r w:rsidR="00BC0785" w:rsidRPr="00012C3F">
        <w:rPr>
          <w:sz w:val="20"/>
          <w:szCs w:val="20"/>
          <w:lang w:val="en-US"/>
        </w:rPr>
        <w:t>Committee for the Elimination of Discrimination against Women</w:t>
      </w:r>
      <w:r w:rsidR="00E17AF2" w:rsidRPr="00012C3F">
        <w:rPr>
          <w:sz w:val="20"/>
          <w:szCs w:val="20"/>
          <w:lang w:val="en-US"/>
        </w:rPr>
        <w:t xml:space="preserve">, </w:t>
      </w:r>
      <w:r w:rsidR="00A65E31" w:rsidRPr="00012C3F">
        <w:rPr>
          <w:sz w:val="20"/>
          <w:szCs w:val="20"/>
          <w:lang w:val="en-US"/>
        </w:rPr>
        <w:t>General Comment</w:t>
      </w:r>
      <w:r w:rsidR="00E17AF2" w:rsidRPr="00012C3F">
        <w:rPr>
          <w:sz w:val="20"/>
          <w:szCs w:val="20"/>
          <w:lang w:val="en-US"/>
        </w:rPr>
        <w:t xml:space="preserve"> No. 28 </w:t>
      </w:r>
      <w:r w:rsidR="00A65E31" w:rsidRPr="00012C3F">
        <w:rPr>
          <w:sz w:val="20"/>
          <w:szCs w:val="20"/>
          <w:lang w:val="en-US"/>
        </w:rPr>
        <w:t>(</w:t>
      </w:r>
      <w:r w:rsidR="00E17AF2" w:rsidRPr="00012C3F">
        <w:rPr>
          <w:sz w:val="20"/>
          <w:szCs w:val="20"/>
          <w:lang w:val="en-US"/>
        </w:rPr>
        <w:t>2000</w:t>
      </w:r>
      <w:r w:rsidR="00A65E31" w:rsidRPr="00012C3F">
        <w:rPr>
          <w:sz w:val="20"/>
          <w:szCs w:val="20"/>
          <w:lang w:val="en-US"/>
        </w:rPr>
        <w:t>)</w:t>
      </w:r>
      <w:r w:rsidR="00E17AF2" w:rsidRPr="00012C3F">
        <w:rPr>
          <w:sz w:val="20"/>
          <w:szCs w:val="20"/>
          <w:lang w:val="en-US"/>
        </w:rPr>
        <w:t xml:space="preserve"> </w:t>
      </w:r>
      <w:r w:rsidR="00A65E31" w:rsidRPr="00012C3F">
        <w:rPr>
          <w:sz w:val="20"/>
          <w:szCs w:val="20"/>
          <w:lang w:val="en-US"/>
        </w:rPr>
        <w:t xml:space="preserve">of the Human Rights Committee, and also the 1993 </w:t>
      </w:r>
      <w:r w:rsidR="00CC232E" w:rsidRPr="00012C3F">
        <w:rPr>
          <w:sz w:val="20"/>
          <w:szCs w:val="20"/>
          <w:lang w:val="en-US"/>
        </w:rPr>
        <w:t>WHO manual</w:t>
      </w:r>
      <w:r w:rsidR="00A65E31" w:rsidRPr="00012C3F">
        <w:rPr>
          <w:sz w:val="20"/>
          <w:szCs w:val="20"/>
          <w:lang w:val="en-US"/>
        </w:rPr>
        <w:t xml:space="preserve">, FIGO and its recommendations from 1989 on, and the </w:t>
      </w:r>
      <w:r w:rsidR="00B76CA5" w:rsidRPr="00012C3F">
        <w:rPr>
          <w:sz w:val="20"/>
          <w:szCs w:val="20"/>
          <w:lang w:val="en-US"/>
        </w:rPr>
        <w:t>United Nations Interagency Statement</w:t>
      </w:r>
      <w:r w:rsidR="00E17AF2" w:rsidRPr="00012C3F">
        <w:rPr>
          <w:sz w:val="20"/>
          <w:szCs w:val="20"/>
          <w:lang w:val="en-US"/>
        </w:rPr>
        <w:t xml:space="preserve"> </w:t>
      </w:r>
      <w:r w:rsidR="00A65E31" w:rsidRPr="00012C3F">
        <w:rPr>
          <w:sz w:val="20"/>
          <w:szCs w:val="20"/>
          <w:lang w:val="en-US"/>
        </w:rPr>
        <w:t xml:space="preserve">all indicate that, although the decision on sterilization can be taken by the couple, this does not mean that the husband’s authorization is required for the performance of this surgical procedure, because it is a decision that only the woman may make based on her reproductive </w:t>
      </w:r>
      <w:r w:rsidR="00CD065A" w:rsidRPr="00012C3F">
        <w:rPr>
          <w:sz w:val="20"/>
          <w:szCs w:val="20"/>
          <w:lang w:val="en-US"/>
        </w:rPr>
        <w:t>freedom</w:t>
      </w:r>
      <w:r w:rsidR="00A65E31" w:rsidRPr="00012C3F">
        <w:rPr>
          <w:sz w:val="20"/>
          <w:szCs w:val="20"/>
          <w:lang w:val="en-US"/>
        </w:rPr>
        <w:t xml:space="preserve"> and autonomy.</w:t>
      </w:r>
      <w:r w:rsidR="00E17AF2" w:rsidRPr="00012C3F">
        <w:rPr>
          <w:rStyle w:val="Refdenotaalpie"/>
          <w:sz w:val="20"/>
          <w:szCs w:val="20"/>
          <w:lang w:val="en-US"/>
        </w:rPr>
        <w:footnoteReference w:id="226"/>
      </w:r>
    </w:p>
    <w:p w14:paraId="6E90E425" w14:textId="77777777" w:rsidR="00E17AF2" w:rsidRPr="00012C3F" w:rsidRDefault="00E17AF2" w:rsidP="00E17AF2">
      <w:pPr>
        <w:spacing w:line="240" w:lineRule="auto"/>
        <w:rPr>
          <w:rFonts w:eastAsia="Calibri" w:cs="ClassicalGaramondBT-Roman"/>
          <w:sz w:val="20"/>
          <w:szCs w:val="20"/>
          <w:lang w:val="en-US" w:eastAsia="en-US" w:bidi="en-US"/>
        </w:rPr>
      </w:pPr>
    </w:p>
    <w:p w14:paraId="478D4472" w14:textId="77777777" w:rsidR="00E17AF2" w:rsidRPr="00012C3F" w:rsidRDefault="00CC232E" w:rsidP="00CC232E">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cs="ClassicalGaramondBT-Roman"/>
          <w:sz w:val="20"/>
          <w:szCs w:val="20"/>
          <w:lang w:val="en-US" w:eastAsia="en-US" w:bidi="en-US"/>
        </w:rPr>
        <w:t>In the</w:t>
      </w:r>
      <w:r w:rsidR="00E17AF2" w:rsidRPr="00012C3F">
        <w:rPr>
          <w:rFonts w:eastAsia="Calibri" w:cs="ClassicalGaramondBT-Roman"/>
          <w:sz w:val="20"/>
          <w:szCs w:val="20"/>
          <w:lang w:val="en-US" w:eastAsia="en-US" w:bidi="en-US"/>
        </w:rPr>
        <w:t xml:space="preserve"> </w:t>
      </w:r>
      <w:r w:rsidR="001254DE" w:rsidRPr="00012C3F">
        <w:rPr>
          <w:rFonts w:eastAsia="Calibri" w:cs="ClassicalGaramondBT-Roman"/>
          <w:sz w:val="20"/>
          <w:szCs w:val="20"/>
          <w:lang w:val="en-US" w:eastAsia="en-US" w:bidi="en-US"/>
        </w:rPr>
        <w:t>Court</w:t>
      </w:r>
      <w:r w:rsidRPr="00012C3F">
        <w:rPr>
          <w:rFonts w:eastAsia="Calibri" w:cs="ClassicalGaramondBT-Roman"/>
          <w:sz w:val="20"/>
          <w:szCs w:val="20"/>
          <w:lang w:val="en-US" w:eastAsia="en-US" w:bidi="en-US"/>
        </w:rPr>
        <w:t xml:space="preserve">’s opinion consent cannot be considered free if a woman is asked to provide it when she is not in a condition to take a fully informed decision because she is in a situation of stress and vulnerability, </w:t>
      </w:r>
      <w:r w:rsidRPr="00012C3F">
        <w:rPr>
          <w:rFonts w:eastAsia="Calibri" w:cs="ClassicalGaramondBT-Roman"/>
          <w:i/>
          <w:sz w:val="20"/>
          <w:szCs w:val="20"/>
          <w:lang w:val="en-US" w:eastAsia="en-US" w:bidi="en-US"/>
        </w:rPr>
        <w:t>inter alia,</w:t>
      </w:r>
      <w:r w:rsidRPr="00012C3F">
        <w:rPr>
          <w:rFonts w:eastAsia="Calibri" w:cs="ClassicalGaramondBT-Roman"/>
          <w:sz w:val="20"/>
          <w:szCs w:val="20"/>
          <w:lang w:val="en-US" w:eastAsia="en-US" w:bidi="en-US"/>
        </w:rPr>
        <w:t xml:space="preserve"> such as, during or immediately after giving birth or undergoing a</w:t>
      </w:r>
      <w:r w:rsidRPr="00012C3F">
        <w:rPr>
          <w:rFonts w:eastAsia="MS Mincho"/>
          <w:sz w:val="20"/>
          <w:szCs w:val="20"/>
          <w:lang w:val="en-US" w:eastAsia="en-US" w:bidi="en-US"/>
        </w:rPr>
        <w:t xml:space="preserve"> </w:t>
      </w:r>
      <w:r w:rsidRPr="00012C3F">
        <w:rPr>
          <w:rFonts w:eastAsia="Calibri" w:cs="ClassicalGaramondBT-Roman"/>
          <w:sz w:val="20"/>
          <w:szCs w:val="20"/>
          <w:lang w:val="en-US" w:eastAsia="en-US" w:bidi="en-US"/>
        </w:rPr>
        <w:t>caesarean section</w:t>
      </w:r>
      <w:r w:rsidR="00E17AF2" w:rsidRPr="00012C3F">
        <w:rPr>
          <w:rFonts w:eastAsia="Calibri" w:cs="ClassicalGaramondBT-Roman"/>
          <w:sz w:val="20"/>
          <w:szCs w:val="20"/>
          <w:lang w:val="en-US" w:eastAsia="en-US" w:bidi="en-US"/>
        </w:rPr>
        <w: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1993 WHO manual</w:t>
      </w:r>
      <w:r w:rsidR="00E17AF2" w:rsidRPr="00012C3F">
        <w:rPr>
          <w:rFonts w:eastAsia="MS Mincho"/>
          <w:sz w:val="20"/>
          <w:szCs w:val="20"/>
          <w:lang w:val="en-US" w:eastAsia="en-US" w:bidi="en-US"/>
        </w:rPr>
        <w:t xml:space="preserve"> </w:t>
      </w:r>
      <w:r w:rsidR="00E17AF2" w:rsidRPr="00012C3F">
        <w:rPr>
          <w:rFonts w:eastAsia="MS Mincho" w:cs="ClassicalGaramondBT-Roman"/>
          <w:sz w:val="20"/>
          <w:szCs w:val="20"/>
          <w:lang w:val="en-US" w:eastAsia="en-US" w:bidi="en-US"/>
        </w:rPr>
        <w:t>establ</w:t>
      </w:r>
      <w:r w:rsidRPr="00012C3F">
        <w:rPr>
          <w:rFonts w:eastAsia="MS Mincho" w:cs="ClassicalGaramondBT-Roman"/>
          <w:sz w:val="20"/>
          <w:szCs w:val="20"/>
          <w:lang w:val="en-US" w:eastAsia="en-US" w:bidi="en-US"/>
        </w:rPr>
        <w:t>ished that it was not appropriate for a women to opt for sterilization if there were physical or emotional factors that could limit her capacity to take an informed and well-considered decision, such as, while she was in labor, receiving sedatives or going through a difficult situation before, during or after an incident or treatment related to her pregnancy.</w:t>
      </w:r>
      <w:r w:rsidR="00E17AF2" w:rsidRPr="00012C3F">
        <w:rPr>
          <w:rFonts w:eastAsia="MS Mincho"/>
          <w:sz w:val="20"/>
          <w:szCs w:val="20"/>
          <w:vertAlign w:val="superscript"/>
          <w:lang w:val="en-US" w:eastAsia="en-US" w:bidi="en-US"/>
        </w:rPr>
        <w:footnoteReference w:id="227"/>
      </w:r>
      <w:r w:rsidRPr="00012C3F">
        <w:rPr>
          <w:rFonts w:eastAsia="MS Mincho"/>
          <w:sz w:val="20"/>
          <w:szCs w:val="20"/>
          <w:lang w:val="en-US" w:eastAsia="en-US" w:bidi="en-US"/>
        </w:rPr>
        <w:t xml:space="preserve"> This was ratified in the 2011 FIGO ethics considerations on sterilization,</w:t>
      </w:r>
      <w:r w:rsidR="00DC7B28" w:rsidRPr="00012C3F">
        <w:rPr>
          <w:rStyle w:val="Refdenotaalpie"/>
          <w:rFonts w:eastAsia="MS Mincho"/>
          <w:sz w:val="20"/>
          <w:szCs w:val="20"/>
          <w:lang w:val="en-US" w:eastAsia="en-US" w:bidi="en-US"/>
        </w:rPr>
        <w:footnoteReference w:id="228"/>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in the</w:t>
      </w:r>
      <w:r w:rsidR="00E17AF2" w:rsidRPr="00012C3F">
        <w:rPr>
          <w:rFonts w:eastAsia="MS Mincho"/>
          <w:sz w:val="20"/>
          <w:szCs w:val="20"/>
          <w:lang w:val="en-US" w:eastAsia="en-US" w:bidi="en-US"/>
        </w:rPr>
        <w:t xml:space="preserve"> </w:t>
      </w:r>
      <w:r w:rsidRPr="00012C3F">
        <w:rPr>
          <w:rFonts w:eastAsia="MS Mincho" w:cs="ClassicalGaramondBT-Roman"/>
          <w:sz w:val="20"/>
          <w:szCs w:val="20"/>
          <w:lang w:val="en-US" w:eastAsia="en-US" w:bidi="en-US"/>
        </w:rPr>
        <w:t>World Medical Association Statement on Forced and Coerced Sterilisation</w:t>
      </w:r>
      <w:r w:rsidR="00E17AF2" w:rsidRPr="00012C3F">
        <w:rPr>
          <w:rFonts w:eastAsia="MS Mincho"/>
          <w:bCs/>
          <w:sz w:val="20"/>
          <w:szCs w:val="20"/>
          <w:vertAlign w:val="superscript"/>
          <w:lang w:val="en-US" w:eastAsia="en-US" w:bidi="en-US"/>
        </w:rPr>
        <w:footnoteReference w:id="229"/>
      </w:r>
      <w:r w:rsidR="005E5012" w:rsidRPr="00012C3F">
        <w:rPr>
          <w:rFonts w:eastAsia="MS Mincho"/>
          <w:bCs/>
          <w:sz w:val="20"/>
          <w:szCs w:val="20"/>
          <w:lang w:val="en-US" w:eastAsia="en-US" w:bidi="en-US"/>
        </w:rPr>
        <w:t xml:space="preserve"> and </w:t>
      </w:r>
      <w:r w:rsidRPr="00012C3F">
        <w:rPr>
          <w:rFonts w:eastAsia="MS Mincho"/>
          <w:sz w:val="20"/>
          <w:szCs w:val="20"/>
          <w:lang w:val="en-US" w:eastAsia="en-US" w:bidi="en-US"/>
        </w:rPr>
        <w:t>i</w:t>
      </w:r>
      <w:r w:rsidR="00E17AF2" w:rsidRPr="00012C3F">
        <w:rPr>
          <w:rFonts w:eastAsia="MS Mincho"/>
          <w:sz w:val="20"/>
          <w:szCs w:val="20"/>
          <w:lang w:val="en-US" w:eastAsia="en-US" w:bidi="en-US"/>
        </w:rPr>
        <w:t xml:space="preserve">n </w:t>
      </w:r>
      <w:r w:rsidR="00A65E31" w:rsidRPr="00012C3F">
        <w:rPr>
          <w:rFonts w:eastAsia="MS Mincho" w:cs="ClassicalGaramondBT-Roman"/>
          <w:sz w:val="20"/>
          <w:szCs w:val="20"/>
          <w:lang w:val="en-US" w:eastAsia="en-US" w:bidi="en-US"/>
        </w:rPr>
        <w:t>the United Nations Interagency Statement</w:t>
      </w:r>
      <w:r w:rsidRPr="00012C3F">
        <w:rPr>
          <w:rFonts w:eastAsia="MS Mincho" w:cs="ClassicalGaramondBT-Roman"/>
          <w:sz w:val="20"/>
          <w:szCs w:val="20"/>
          <w:lang w:val="en-US" w:eastAsia="en-US" w:bidi="en-US"/>
        </w:rPr>
        <w:t>.</w:t>
      </w:r>
      <w:r w:rsidR="00E17AF2" w:rsidRPr="00012C3F">
        <w:rPr>
          <w:rStyle w:val="Refdenotaalpie"/>
          <w:rFonts w:eastAsia="MS Mincho" w:cs="ClassicalGaramondBT-Roman"/>
          <w:sz w:val="20"/>
          <w:szCs w:val="20"/>
          <w:lang w:val="en-US" w:eastAsia="en-US" w:bidi="en-US"/>
        </w:rPr>
        <w:footnoteReference w:id="230"/>
      </w:r>
      <w:r w:rsidR="00E17AF2" w:rsidRPr="00012C3F">
        <w:rPr>
          <w:rFonts w:eastAsia="MS Mincho" w:cs="ClassicalGaramondBT-Roman"/>
          <w:sz w:val="20"/>
          <w:szCs w:val="20"/>
          <w:lang w:val="en-US" w:eastAsia="en-US" w:bidi="en-US"/>
        </w:rPr>
        <w:t xml:space="preserve"> </w:t>
      </w:r>
      <w:r w:rsidRPr="00012C3F">
        <w:rPr>
          <w:rFonts w:eastAsia="MS Mincho" w:cs="ClassicalGaramondBT-Roman"/>
          <w:sz w:val="20"/>
          <w:szCs w:val="20"/>
          <w:lang w:val="en-US" w:eastAsia="en-US" w:bidi="en-US"/>
        </w:rPr>
        <w:t>The</w:t>
      </w:r>
      <w:r w:rsidR="001254DE" w:rsidRPr="00012C3F">
        <w:rPr>
          <w:rFonts w:eastAsia="MS Mincho" w:cs="ClassicalGaramondBT-Roman"/>
          <w:sz w:val="20"/>
          <w:szCs w:val="20"/>
          <w:lang w:val="en-US" w:eastAsia="en-US" w:bidi="en-US"/>
        </w:rPr>
        <w:t xml:space="preserve"> Court</w:t>
      </w:r>
      <w:r w:rsidR="00E17AF2" w:rsidRPr="00012C3F">
        <w:rPr>
          <w:rFonts w:eastAsia="MS Mincho" w:cs="ClassicalGaramondBT-Roman"/>
          <w:sz w:val="20"/>
          <w:szCs w:val="20"/>
          <w:lang w:val="en-US" w:eastAsia="en-US" w:bidi="en-US"/>
        </w:rPr>
        <w:t xml:space="preserve"> not</w:t>
      </w:r>
      <w:r w:rsidRPr="00012C3F">
        <w:rPr>
          <w:rFonts w:eastAsia="MS Mincho" w:cs="ClassicalGaramondBT-Roman"/>
          <w:sz w:val="20"/>
          <w:szCs w:val="20"/>
          <w:lang w:val="en-US" w:eastAsia="en-US" w:bidi="en-US"/>
        </w:rPr>
        <w:t>es that this standard was even included in Bolivia’s domestic law in 1997</w:t>
      </w:r>
      <w:r w:rsidR="00E17AF2" w:rsidRPr="00012C3F">
        <w:rPr>
          <w:rFonts w:eastAsia="MS Mincho" w:cs="ClassicalGaramondBT-Roman"/>
          <w:sz w:val="20"/>
          <w:szCs w:val="20"/>
          <w:lang w:val="en-US" w:eastAsia="en-US" w:bidi="en-US"/>
        </w:rPr>
        <w:t xml:space="preserve"> (</w:t>
      </w:r>
      <w:r w:rsidR="00E17AF2" w:rsidRPr="00012C3F">
        <w:rPr>
          <w:rFonts w:eastAsia="MS Mincho" w:cs="ClassicalGaramondBT-Roman"/>
          <w:i/>
          <w:sz w:val="20"/>
          <w:szCs w:val="20"/>
          <w:lang w:val="en-US" w:eastAsia="en-US" w:bidi="en-US"/>
        </w:rPr>
        <w:t>infra</w:t>
      </w:r>
      <w:r w:rsidR="00E17AF2" w:rsidRPr="00012C3F">
        <w:rPr>
          <w:rFonts w:eastAsia="MS Mincho" w:cs="ClassicalGaramondBT-Roman"/>
          <w:sz w:val="20"/>
          <w:szCs w:val="20"/>
          <w:lang w:val="en-US" w:eastAsia="en-US" w:bidi="en-US"/>
        </w:rPr>
        <w:t xml:space="preserve"> </w:t>
      </w:r>
      <w:r w:rsidR="00370DD4" w:rsidRPr="00012C3F">
        <w:rPr>
          <w:rFonts w:eastAsia="MS Mincho" w:cs="ClassicalGaramondBT-Roman"/>
          <w:sz w:val="20"/>
          <w:szCs w:val="20"/>
          <w:lang w:val="en-US" w:eastAsia="en-US" w:bidi="en-US"/>
        </w:rPr>
        <w:t>para.</w:t>
      </w:r>
      <w:r w:rsidR="00E17AF2" w:rsidRPr="00012C3F">
        <w:rPr>
          <w:rFonts w:eastAsia="MS Mincho" w:cs="ClassicalGaramondBT-Roman"/>
          <w:sz w:val="20"/>
          <w:szCs w:val="20"/>
          <w:lang w:val="en-US" w:eastAsia="en-US" w:bidi="en-US"/>
        </w:rPr>
        <w:t xml:space="preserve"> </w:t>
      </w:r>
      <w:r w:rsidR="0043433B" w:rsidRPr="00012C3F">
        <w:rPr>
          <w:rFonts w:eastAsia="MS Mincho" w:cs="ClassicalGaramondBT-Roman"/>
          <w:sz w:val="20"/>
          <w:szCs w:val="20"/>
          <w:lang w:val="en-US" w:eastAsia="en-US" w:bidi="en-US"/>
        </w:rPr>
        <w:t xml:space="preserve">212). </w:t>
      </w:r>
      <w:r w:rsidR="00215038" w:rsidRPr="00012C3F">
        <w:rPr>
          <w:rFonts w:eastAsia="MS Mincho" w:cs="ClassicalGaramondBT-Roman"/>
          <w:sz w:val="20"/>
          <w:szCs w:val="20"/>
          <w:lang w:val="en-US" w:eastAsia="en-US" w:bidi="en-US"/>
        </w:rPr>
        <w:t>Also</w:t>
      </w:r>
      <w:r w:rsidR="00E17AF2" w:rsidRPr="00012C3F">
        <w:rPr>
          <w:rFonts w:eastAsia="MS Mincho" w:cs="ClassicalGaramondBT-Roman"/>
          <w:sz w:val="20"/>
          <w:szCs w:val="20"/>
          <w:lang w:val="en-US" w:eastAsia="en-US" w:bidi="en-US"/>
        </w:rPr>
        <w:t xml:space="preserve">, </w:t>
      </w:r>
      <w:r w:rsidRPr="00012C3F">
        <w:rPr>
          <w:rFonts w:eastAsia="MS Mincho" w:cs="ClassicalGaramondBT-Roman"/>
          <w:sz w:val="20"/>
          <w:szCs w:val="20"/>
          <w:lang w:val="en-US" w:eastAsia="en-US" w:bidi="en-US"/>
        </w:rPr>
        <w:t>the Special Rapporteur on the right of everyone to the highest attainable standard of physical and mental health</w:t>
      </w:r>
      <w:r w:rsidR="00215038" w:rsidRPr="00012C3F">
        <w:rPr>
          <w:rFonts w:eastAsia="MS Mincho" w:cs="ClassicalGaramondBT-Roman"/>
          <w:sz w:val="20"/>
          <w:szCs w:val="20"/>
          <w:lang w:val="en-US" w:eastAsia="en-US" w:bidi="en-US"/>
        </w:rPr>
        <w:t xml:space="preserve"> has emphasized that: </w:t>
      </w:r>
      <w:r w:rsidR="00217C59" w:rsidRPr="00012C3F">
        <w:rPr>
          <w:sz w:val="20"/>
          <w:szCs w:val="20"/>
          <w:lang w:val="en-US"/>
        </w:rPr>
        <w:t>“[</w:t>
      </w:r>
      <w:r w:rsidR="00215038" w:rsidRPr="00012C3F">
        <w:rPr>
          <w:sz w:val="20"/>
          <w:szCs w:val="20"/>
          <w:lang w:val="en-US"/>
        </w:rPr>
        <w:t>c</w:t>
      </w:r>
      <w:r w:rsidR="00217C59" w:rsidRPr="00012C3F">
        <w:rPr>
          <w:sz w:val="20"/>
          <w:szCs w:val="20"/>
          <w:lang w:val="en-US"/>
        </w:rPr>
        <w:t>]</w:t>
      </w:r>
      <w:r w:rsidR="00215038" w:rsidRPr="00012C3F">
        <w:rPr>
          <w:sz w:val="20"/>
          <w:szCs w:val="20"/>
          <w:lang w:val="en-US"/>
        </w:rPr>
        <w:t>oercion includes</w:t>
      </w:r>
      <w:r w:rsidR="00215038" w:rsidRPr="00012C3F">
        <w:rPr>
          <w:sz w:val="11"/>
          <w:szCs w:val="11"/>
          <w:lang w:val="en-US"/>
        </w:rPr>
        <w:t xml:space="preserve"> </w:t>
      </w:r>
      <w:r w:rsidR="00215038" w:rsidRPr="00012C3F">
        <w:rPr>
          <w:sz w:val="20"/>
          <w:szCs w:val="20"/>
          <w:lang w:val="en-US"/>
        </w:rPr>
        <w:t>conditions of duress such as fatigue or stress.</w:t>
      </w:r>
      <w:r w:rsidR="00217C59" w:rsidRPr="00012C3F">
        <w:rPr>
          <w:sz w:val="20"/>
          <w:szCs w:val="20"/>
          <w:lang w:val="en-US"/>
        </w:rPr>
        <w:t>”</w:t>
      </w:r>
      <w:r w:rsidR="00E17AF2" w:rsidRPr="00012C3F">
        <w:rPr>
          <w:rStyle w:val="Refdenotaalpie"/>
          <w:rFonts w:eastAsia="Calibri" w:cs="ClassicalGaramondBT-Roman"/>
          <w:sz w:val="20"/>
          <w:szCs w:val="20"/>
          <w:lang w:val="en-US" w:eastAsia="en-US" w:bidi="en-US"/>
        </w:rPr>
        <w:footnoteReference w:id="231"/>
      </w:r>
      <w:r w:rsidR="00E17AF2" w:rsidRPr="00012C3F">
        <w:rPr>
          <w:sz w:val="20"/>
          <w:szCs w:val="20"/>
          <w:lang w:val="en-US"/>
        </w:rPr>
        <w:t xml:space="preserve"> </w:t>
      </w:r>
      <w:r w:rsidR="00215038" w:rsidRPr="00012C3F">
        <w:rPr>
          <w:sz w:val="20"/>
          <w:szCs w:val="20"/>
          <w:lang w:val="en-US"/>
        </w:rPr>
        <w:t xml:space="preserve">Similarly, the </w:t>
      </w:r>
      <w:r w:rsidR="00E060D2" w:rsidRPr="00012C3F">
        <w:rPr>
          <w:rFonts w:eastAsia="MS Mincho" w:cs="ClassicalGaramondBT-Roman"/>
          <w:sz w:val="20"/>
          <w:szCs w:val="20"/>
          <w:lang w:val="en-US" w:eastAsia="en-US" w:bidi="en-US"/>
        </w:rPr>
        <w:t xml:space="preserve">European Court of Human </w:t>
      </w:r>
      <w:r w:rsidR="00E060D2" w:rsidRPr="00012C3F">
        <w:rPr>
          <w:rFonts w:eastAsia="MS Mincho" w:cs="ClassicalGaramondBT-Roman"/>
          <w:sz w:val="20"/>
          <w:szCs w:val="20"/>
          <w:lang w:val="en-US" w:eastAsia="en-US" w:bidi="en-US"/>
        </w:rPr>
        <w:lastRenderedPageBreak/>
        <w:t>Rights</w:t>
      </w:r>
      <w:r w:rsidR="00215038" w:rsidRPr="00012C3F">
        <w:rPr>
          <w:rFonts w:eastAsia="MS Mincho" w:cs="ClassicalGaramondBT-Roman"/>
          <w:sz w:val="20"/>
          <w:szCs w:val="20"/>
          <w:lang w:val="en-US" w:eastAsia="en-US" w:bidi="en-US"/>
        </w:rPr>
        <w:t xml:space="preserve"> has concluded that </w:t>
      </w:r>
      <w:r w:rsidR="00962CEB" w:rsidRPr="00012C3F">
        <w:rPr>
          <w:rFonts w:eastAsia="MS Mincho" w:cs="ClassicalGaramondBT-Roman"/>
          <w:sz w:val="20"/>
          <w:szCs w:val="20"/>
          <w:lang w:val="en-US" w:eastAsia="en-US" w:bidi="en-US"/>
        </w:rPr>
        <w:t xml:space="preserve">asking for consent while a woman is in labor or shortly before she undergoes </w:t>
      </w:r>
      <w:r w:rsidRPr="00012C3F">
        <w:rPr>
          <w:sz w:val="20"/>
          <w:szCs w:val="20"/>
          <w:lang w:val="en-US"/>
        </w:rPr>
        <w:t>a caesarean section</w:t>
      </w:r>
      <w:r w:rsidR="00962CEB" w:rsidRPr="00012C3F">
        <w:rPr>
          <w:sz w:val="20"/>
          <w:szCs w:val="20"/>
          <w:lang w:val="en-US"/>
        </w:rPr>
        <w:t xml:space="preserve"> clearly does not permit her to take a decision of her own free will.</w:t>
      </w:r>
      <w:r w:rsidR="00E17AF2" w:rsidRPr="00012C3F">
        <w:rPr>
          <w:rStyle w:val="Refdenotaalpie"/>
          <w:sz w:val="20"/>
          <w:szCs w:val="20"/>
          <w:lang w:val="en-US"/>
        </w:rPr>
        <w:footnoteReference w:id="232"/>
      </w:r>
    </w:p>
    <w:p w14:paraId="11879D90" w14:textId="77777777" w:rsidR="00E17AF2" w:rsidRPr="00012C3F" w:rsidRDefault="00E17AF2" w:rsidP="00E17AF2">
      <w:pPr>
        <w:tabs>
          <w:tab w:val="left" w:pos="567"/>
        </w:tabs>
        <w:spacing w:line="240" w:lineRule="auto"/>
        <w:rPr>
          <w:rFonts w:eastAsia="MS Mincho"/>
          <w:sz w:val="20"/>
          <w:szCs w:val="20"/>
          <w:lang w:val="en-US" w:eastAsia="en-US" w:bidi="en-US"/>
        </w:rPr>
      </w:pPr>
    </w:p>
    <w:p w14:paraId="1AB4501E" w14:textId="77777777" w:rsidR="00E17AF2" w:rsidRPr="00012C3F" w:rsidRDefault="00F1129C" w:rsidP="00F1129C">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cs="ClassicalGaramondBT-Roman"/>
          <w:sz w:val="20"/>
          <w:szCs w:val="20"/>
          <w:lang w:val="en-US" w:eastAsia="en-US" w:bidi="en-US"/>
        </w:rPr>
        <w:t>In the understanding that consent arises from the concept of autonomy and liberty, it is also understood that it can be withdrawn for any reason, without disadvantage or prejudice, even if it is only withdrawn verbally, because it is not definitive.</w:t>
      </w:r>
      <w:r w:rsidR="00E17AF2" w:rsidRPr="00012C3F">
        <w:rPr>
          <w:rStyle w:val="Refdenotaalpie"/>
          <w:rFonts w:eastAsia="Calibri" w:cs="ClassicalGaramondBT-Roman"/>
          <w:sz w:val="20"/>
          <w:szCs w:val="20"/>
          <w:lang w:val="en-US" w:eastAsia="en-US" w:bidi="en-US"/>
        </w:rPr>
        <w:footnoteReference w:id="233"/>
      </w:r>
      <w:r w:rsidRPr="00012C3F">
        <w:rPr>
          <w:rFonts w:eastAsia="Calibri" w:cs="ClassicalGaramondBT-Roman"/>
          <w:sz w:val="20"/>
          <w:szCs w:val="20"/>
          <w:lang w:val="en-US" w:eastAsia="en-US" w:bidi="en-US"/>
        </w:rPr>
        <w:t xml:space="preserve"> As previously described, obtaining consent is the </w:t>
      </w:r>
      <w:r w:rsidR="009D3EE9" w:rsidRPr="00012C3F">
        <w:rPr>
          <w:rFonts w:eastAsia="Calibri" w:cs="ClassicalGaramondBT-Roman"/>
          <w:sz w:val="20"/>
          <w:szCs w:val="20"/>
          <w:lang w:val="en-US" w:eastAsia="en-US" w:bidi="en-US"/>
        </w:rPr>
        <w:t>product</w:t>
      </w:r>
      <w:r w:rsidRPr="00012C3F">
        <w:rPr>
          <w:rFonts w:eastAsia="Calibri" w:cs="ClassicalGaramondBT-Roman"/>
          <w:sz w:val="20"/>
          <w:szCs w:val="20"/>
          <w:lang w:val="en-US" w:eastAsia="en-US" w:bidi="en-US"/>
        </w:rPr>
        <w:t xml:space="preserve"> of a two-way process between doctor and patient,</w:t>
      </w:r>
      <w:r w:rsidR="00E17AF2" w:rsidRPr="00012C3F">
        <w:rPr>
          <w:rStyle w:val="Refdenotaalpie"/>
          <w:rFonts w:eastAsia="Calibri" w:cs="ClassicalGaramondBT-Roman"/>
          <w:sz w:val="20"/>
          <w:szCs w:val="20"/>
          <w:lang w:val="en-US" w:eastAsia="en-US" w:bidi="en-US"/>
        </w:rPr>
        <w:footnoteReference w:id="234"/>
      </w:r>
      <w:r w:rsidRPr="00012C3F">
        <w:rPr>
          <w:rFonts w:eastAsia="Calibri" w:cs="ClassicalGaramondBT-Roman"/>
          <w:sz w:val="20"/>
          <w:szCs w:val="20"/>
          <w:lang w:val="en-US" w:eastAsia="en-US" w:bidi="en-US"/>
        </w:rPr>
        <w:t xml:space="preserve"> so that </w:t>
      </w:r>
      <w:r w:rsidR="00B76CA5" w:rsidRPr="00012C3F">
        <w:rPr>
          <w:rFonts w:eastAsia="Calibri" w:cs="ClassicalGaramondBT-Roman"/>
          <w:sz w:val="20"/>
          <w:szCs w:val="20"/>
          <w:lang w:val="en-US" w:eastAsia="en-US" w:bidi="en-US"/>
        </w:rPr>
        <w:t xml:space="preserve">health personnel must provide </w:t>
      </w:r>
      <w:r w:rsidRPr="00012C3F">
        <w:rPr>
          <w:rFonts w:eastAsia="Calibri" w:cs="ClassicalGaramondBT-Roman"/>
          <w:sz w:val="20"/>
          <w:szCs w:val="20"/>
          <w:lang w:val="en-US" w:eastAsia="en-US" w:bidi="en-US"/>
        </w:rPr>
        <w:t>complete</w:t>
      </w:r>
      <w:r w:rsidR="00934796" w:rsidRPr="00012C3F">
        <w:rPr>
          <w:rFonts w:eastAsia="Calibri" w:cs="ClassicalGaramondBT-Roman"/>
          <w:sz w:val="20"/>
          <w:szCs w:val="20"/>
          <w:lang w:val="en-US" w:eastAsia="en-US" w:bidi="en-US"/>
        </w:rPr>
        <w:t>, objective</w:t>
      </w:r>
      <w:r w:rsidRPr="00012C3F">
        <w:rPr>
          <w:rFonts w:eastAsia="Calibri" w:cs="ClassicalGaramondBT-Roman"/>
          <w:sz w:val="20"/>
          <w:szCs w:val="20"/>
          <w:lang w:val="en-US" w:eastAsia="en-US" w:bidi="en-US"/>
        </w:rPr>
        <w:t xml:space="preserve"> information</w:t>
      </w:r>
      <w:r w:rsidR="00934796" w:rsidRPr="00012C3F">
        <w:rPr>
          <w:rFonts w:eastAsia="Calibri" w:cs="ClassicalGaramondBT-Roman"/>
          <w:sz w:val="20"/>
          <w:szCs w:val="20"/>
          <w:lang w:val="en-US" w:eastAsia="en-US" w:bidi="en-US"/>
        </w:rPr>
        <w:t xml:space="preserve"> that is neither manipulative nor inductive, avoiding frightening the patient</w:t>
      </w:r>
      <w:r w:rsidR="00B76CA5" w:rsidRPr="00012C3F">
        <w:rPr>
          <w:rFonts w:eastAsia="Calibri" w:cs="ClassicalGaramondBT-Roman"/>
          <w:sz w:val="20"/>
          <w:szCs w:val="20"/>
          <w:lang w:val="en-US" w:eastAsia="en-US" w:bidi="en-US"/>
        </w:rPr>
        <w:t>,</w:t>
      </w:r>
      <w:r w:rsidR="00934796" w:rsidRPr="00012C3F">
        <w:rPr>
          <w:rFonts w:eastAsia="Calibri" w:cs="ClassicalGaramondBT-Roman"/>
          <w:sz w:val="20"/>
          <w:szCs w:val="20"/>
          <w:lang w:val="en-US" w:eastAsia="en-US" w:bidi="en-US"/>
        </w:rPr>
        <w:t xml:space="preserve"> because this could mean that the consent is not truly free. Uninformed consent is not a free decision.</w:t>
      </w:r>
    </w:p>
    <w:p w14:paraId="12724839" w14:textId="77777777" w:rsidR="00E17AF2" w:rsidRPr="00012C3F" w:rsidRDefault="00E17AF2" w:rsidP="00962CEB">
      <w:pPr>
        <w:tabs>
          <w:tab w:val="left" w:pos="720"/>
        </w:tabs>
        <w:spacing w:line="240" w:lineRule="auto"/>
        <w:rPr>
          <w:rFonts w:eastAsia="MS Mincho"/>
          <w:sz w:val="20"/>
          <w:szCs w:val="20"/>
          <w:lang w:val="en-US" w:eastAsia="en-US" w:bidi="en-US"/>
        </w:rPr>
      </w:pPr>
    </w:p>
    <w:p w14:paraId="45496476" w14:textId="77777777" w:rsidR="00E17AF2" w:rsidRPr="00012C3F" w:rsidRDefault="00962CEB" w:rsidP="00962CEB">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The Court underscore</w:t>
      </w:r>
      <w:r w:rsidR="00EE3C15" w:rsidRPr="00012C3F">
        <w:rPr>
          <w:rFonts w:cs="Arial"/>
          <w:sz w:val="20"/>
          <w:szCs w:val="20"/>
          <w:lang w:val="en-US"/>
        </w:rPr>
        <w:t>s</w:t>
      </w:r>
      <w:r w:rsidRPr="00012C3F">
        <w:rPr>
          <w:rFonts w:cs="Arial"/>
          <w:sz w:val="20"/>
          <w:szCs w:val="20"/>
          <w:lang w:val="en-US"/>
        </w:rPr>
        <w:t xml:space="preserve"> that a woman’s freedom to decide and to take responsible decisions with regard to her body and her reproductive health, especially in cases of sterilization, can be undermined by discrimination in access to health care; by the differences in power relationships with the husband, the family, the community and the medical personnel;</w:t>
      </w:r>
      <w:r w:rsidRPr="00012C3F">
        <w:rPr>
          <w:rStyle w:val="Refdenotaalpie"/>
          <w:rFonts w:eastAsia="Calibri" w:cs="ClassicalGaramondBT-Roman"/>
          <w:sz w:val="20"/>
          <w:szCs w:val="20"/>
          <w:lang w:val="en-US" w:eastAsia="en-US" w:bidi="en-US"/>
        </w:rPr>
        <w:footnoteReference w:id="235"/>
      </w:r>
      <w:r w:rsidRPr="00012C3F">
        <w:rPr>
          <w:rFonts w:cs="Arial"/>
          <w:sz w:val="20"/>
          <w:szCs w:val="20"/>
          <w:lang w:val="en-US"/>
        </w:rPr>
        <w:t xml:space="preserve"> by the existence of additional factors of vulnerability,</w:t>
      </w:r>
      <w:r w:rsidRPr="00012C3F">
        <w:rPr>
          <w:rStyle w:val="Refdenotaalpie"/>
          <w:rFonts w:eastAsia="Calibri" w:cs="ClassicalGaramondBT-Roman"/>
          <w:sz w:val="20"/>
          <w:szCs w:val="20"/>
          <w:lang w:val="en-US" w:eastAsia="en-US" w:bidi="en-US"/>
        </w:rPr>
        <w:footnoteReference w:id="236"/>
      </w:r>
      <w:r w:rsidRPr="00012C3F">
        <w:rPr>
          <w:rFonts w:cs="Arial"/>
          <w:sz w:val="20"/>
          <w:szCs w:val="20"/>
          <w:lang w:val="en-US"/>
        </w:rPr>
        <w:t xml:space="preserve"> and of gender and other stereotypes among health care providers</w:t>
      </w:r>
      <w:r w:rsidR="00E17AF2" w:rsidRPr="00012C3F">
        <w:rPr>
          <w:rStyle w:val="Refdenotaalpie"/>
          <w:rFonts w:eastAsia="Calibri" w:cs="ClassicalGaramondBT-Roman"/>
          <w:sz w:val="20"/>
          <w:szCs w:val="20"/>
          <w:lang w:val="en-US" w:eastAsia="en-US" w:bidi="en-US"/>
        </w:rPr>
        <w:footnoteReference w:id="237"/>
      </w:r>
      <w:r w:rsidR="00E17AF2" w:rsidRPr="00012C3F">
        <w:rPr>
          <w:rFonts w:eastAsia="Calibri" w:cs="ClassicalGaramondBT-Roman"/>
          <w:sz w:val="20"/>
          <w:szCs w:val="20"/>
          <w:lang w:val="en-US" w:eastAsia="en-US" w:bidi="en-US"/>
        </w:rPr>
        <w:t xml:space="preserve"> (</w:t>
      </w:r>
      <w:r w:rsidR="00E17AF2" w:rsidRPr="00012C3F">
        <w:rPr>
          <w:rFonts w:eastAsia="Calibri" w:cs="ClassicalGaramondBT-Roman"/>
          <w:i/>
          <w:sz w:val="20"/>
          <w:szCs w:val="20"/>
          <w:lang w:val="en-US" w:eastAsia="en-US" w:bidi="en-US"/>
        </w:rPr>
        <w:t>infra</w:t>
      </w:r>
      <w:r w:rsidR="00E17AF2" w:rsidRPr="00012C3F">
        <w:rPr>
          <w:rFonts w:eastAsia="Calibri" w:cs="ClassicalGaramondBT-Roman"/>
          <w:sz w:val="20"/>
          <w:szCs w:val="20"/>
          <w:lang w:val="en-US" w:eastAsia="en-US" w:bidi="en-US"/>
        </w:rPr>
        <w:t xml:space="preserve"> </w:t>
      </w:r>
      <w:r w:rsidR="00370DD4" w:rsidRPr="00012C3F">
        <w:rPr>
          <w:rFonts w:eastAsia="Calibri" w:cs="ClassicalGaramondBT-Roman"/>
          <w:sz w:val="20"/>
          <w:szCs w:val="20"/>
          <w:lang w:val="en-US" w:eastAsia="en-US" w:bidi="en-US"/>
        </w:rPr>
        <w:t>para.</w:t>
      </w:r>
      <w:r w:rsidR="00E17AF2" w:rsidRPr="00012C3F">
        <w:rPr>
          <w:rFonts w:eastAsia="Calibri" w:cs="ClassicalGaramondBT-Roman"/>
          <w:sz w:val="20"/>
          <w:szCs w:val="20"/>
          <w:lang w:val="en-US" w:eastAsia="en-US" w:bidi="en-US"/>
        </w:rPr>
        <w:t xml:space="preserve"> </w:t>
      </w:r>
      <w:r w:rsidR="00926D33" w:rsidRPr="00012C3F">
        <w:rPr>
          <w:rFonts w:eastAsia="Calibri" w:cs="ClassicalGaramondBT-Roman"/>
          <w:sz w:val="20"/>
          <w:szCs w:val="20"/>
          <w:lang w:val="en-US" w:eastAsia="en-US" w:bidi="en-US"/>
        </w:rPr>
        <w:t xml:space="preserve">187). </w:t>
      </w:r>
      <w:r w:rsidRPr="00012C3F">
        <w:rPr>
          <w:rFonts w:cs="Arial"/>
          <w:sz w:val="20"/>
          <w:szCs w:val="20"/>
          <w:lang w:val="en-US"/>
        </w:rPr>
        <w:t xml:space="preserve">Factors such as race, disability and socio-economic </w:t>
      </w:r>
      <w:r w:rsidR="00212DA0" w:rsidRPr="00012C3F">
        <w:rPr>
          <w:rFonts w:cs="Arial"/>
          <w:sz w:val="20"/>
          <w:szCs w:val="20"/>
          <w:lang w:val="en-US"/>
        </w:rPr>
        <w:t>status</w:t>
      </w:r>
      <w:r w:rsidRPr="00012C3F">
        <w:rPr>
          <w:rFonts w:cs="Arial"/>
          <w:sz w:val="20"/>
          <w:szCs w:val="20"/>
          <w:lang w:val="en-US"/>
        </w:rPr>
        <w:t xml:space="preserve"> c</w:t>
      </w:r>
      <w:r w:rsidR="00EE3C15" w:rsidRPr="00012C3F">
        <w:rPr>
          <w:rFonts w:cs="Arial"/>
          <w:sz w:val="20"/>
          <w:szCs w:val="20"/>
          <w:lang w:val="en-US"/>
        </w:rPr>
        <w:t>an</w:t>
      </w:r>
      <w:r w:rsidRPr="00012C3F">
        <w:rPr>
          <w:rFonts w:cs="Arial"/>
          <w:sz w:val="20"/>
          <w:szCs w:val="20"/>
          <w:lang w:val="en-US"/>
        </w:rPr>
        <w:t>not be used as grounds to limit the patient’s freedom of choice with regard to sterilization, or to circumvent obtaining her consent.</w:t>
      </w:r>
      <w:r w:rsidR="00E17AF2" w:rsidRPr="00012C3F">
        <w:rPr>
          <w:rStyle w:val="Refdenotaalpie"/>
          <w:rFonts w:eastAsia="Calibri"/>
          <w:sz w:val="20"/>
          <w:szCs w:val="20"/>
          <w:lang w:val="en-US" w:eastAsia="en-US" w:bidi="en-US"/>
        </w:rPr>
        <w:footnoteReference w:id="238"/>
      </w:r>
    </w:p>
    <w:p w14:paraId="2B9FCDB9" w14:textId="77777777" w:rsidR="00E17AF2" w:rsidRPr="00012C3F" w:rsidRDefault="00E17AF2" w:rsidP="00E17AF2">
      <w:pPr>
        <w:tabs>
          <w:tab w:val="left" w:pos="567"/>
        </w:tabs>
        <w:spacing w:line="240" w:lineRule="auto"/>
        <w:rPr>
          <w:rFonts w:eastAsia="MS Mincho"/>
          <w:sz w:val="20"/>
          <w:szCs w:val="20"/>
          <w:lang w:val="en-US" w:eastAsia="en-US" w:bidi="en-US"/>
        </w:rPr>
      </w:pPr>
    </w:p>
    <w:p w14:paraId="2CA3F74B" w14:textId="77777777" w:rsidR="00E17AF2" w:rsidRPr="00012C3F" w:rsidRDefault="001254DE" w:rsidP="00934796">
      <w:pPr>
        <w:widowControl/>
        <w:numPr>
          <w:ilvl w:val="0"/>
          <w:numId w:val="5"/>
        </w:numPr>
        <w:tabs>
          <w:tab w:val="left" w:pos="720"/>
          <w:tab w:val="num" w:pos="12305"/>
        </w:tabs>
        <w:autoSpaceDE w:val="0"/>
        <w:autoSpaceDN w:val="0"/>
        <w:spacing w:line="240" w:lineRule="auto"/>
        <w:ind w:left="0" w:firstLine="0"/>
        <w:textAlignment w:val="auto"/>
        <w:rPr>
          <w:rFonts w:eastAsia="Calibri" w:cs="Arial"/>
          <w:sz w:val="20"/>
          <w:szCs w:val="20"/>
          <w:lang w:val="en-US"/>
        </w:rPr>
      </w:pPr>
      <w:r w:rsidRPr="00012C3F">
        <w:rPr>
          <w:rFonts w:eastAsia="MS Mincho"/>
          <w:sz w:val="20"/>
          <w:szCs w:val="20"/>
          <w:lang w:val="en-US" w:eastAsia="en-US" w:bidi="en-US"/>
        </w:rPr>
        <w:t>The</w:t>
      </w:r>
      <w:r w:rsidR="00934796" w:rsidRPr="00012C3F">
        <w:rPr>
          <w:rFonts w:cs="Arial"/>
          <w:sz w:val="20"/>
          <w:szCs w:val="20"/>
          <w:lang w:val="en-US"/>
        </w:rPr>
        <w:t xml:space="preserve"> Court recognizes that the</w:t>
      </w:r>
      <w:r w:rsidR="005C5A6E" w:rsidRPr="00012C3F">
        <w:rPr>
          <w:rFonts w:cs="Arial"/>
          <w:sz w:val="20"/>
          <w:szCs w:val="20"/>
          <w:lang w:val="en-US"/>
        </w:rPr>
        <w:t xml:space="preserve"> </w:t>
      </w:r>
      <w:r w:rsidR="00EE3C15" w:rsidRPr="00012C3F">
        <w:rPr>
          <w:rFonts w:cs="Arial"/>
          <w:sz w:val="20"/>
          <w:szCs w:val="20"/>
          <w:lang w:val="en-US"/>
        </w:rPr>
        <w:t>physician</w:t>
      </w:r>
      <w:r w:rsidR="005C5A6E" w:rsidRPr="00012C3F">
        <w:rPr>
          <w:rFonts w:cs="Arial"/>
          <w:sz w:val="20"/>
          <w:szCs w:val="20"/>
          <w:lang w:val="en-US"/>
        </w:rPr>
        <w:t>-patient</w:t>
      </w:r>
      <w:r w:rsidR="00934796" w:rsidRPr="00012C3F">
        <w:rPr>
          <w:rFonts w:cs="Arial"/>
          <w:sz w:val="20"/>
          <w:szCs w:val="20"/>
          <w:lang w:val="en-US"/>
        </w:rPr>
        <w:t xml:space="preserve"> power </w:t>
      </w:r>
      <w:r w:rsidR="005C5A6E" w:rsidRPr="00012C3F">
        <w:rPr>
          <w:rFonts w:cs="Arial"/>
          <w:sz w:val="20"/>
          <w:szCs w:val="20"/>
          <w:lang w:val="en-US"/>
        </w:rPr>
        <w:t>dynamic</w:t>
      </w:r>
      <w:r w:rsidR="00934796" w:rsidRPr="00012C3F">
        <w:rPr>
          <w:rFonts w:cs="Arial"/>
          <w:sz w:val="20"/>
          <w:szCs w:val="20"/>
          <w:lang w:val="en-US"/>
        </w:rPr>
        <w:t xml:space="preserve"> may be increased by the unequal power relations that have historically characterized relationships between men and women, as well as by the socially dominant and persistent gender stereotypes that, consciously or unconsciously, constitute the basis for practices that reinforce the position of women as </w:t>
      </w:r>
      <w:r w:rsidR="00934796" w:rsidRPr="00012C3F">
        <w:rPr>
          <w:rFonts w:cs="Arial"/>
          <w:sz w:val="20"/>
          <w:szCs w:val="20"/>
          <w:lang w:val="en-US"/>
        </w:rPr>
        <w:lastRenderedPageBreak/>
        <w:t>dependents and subordinates.</w:t>
      </w:r>
      <w:r w:rsidR="00E17AF2" w:rsidRPr="00012C3F">
        <w:rPr>
          <w:rFonts w:eastAsiaTheme="minorHAnsi" w:cs="Arial"/>
          <w:sz w:val="20"/>
          <w:szCs w:val="20"/>
          <w:vertAlign w:val="superscript"/>
          <w:lang w:val="en-US" w:eastAsia="en-US"/>
        </w:rPr>
        <w:footnoteReference w:id="239"/>
      </w:r>
      <w:r w:rsidR="00934796" w:rsidRPr="00012C3F">
        <w:rPr>
          <w:rFonts w:eastAsia="Calibri" w:cs="Arial"/>
          <w:sz w:val="20"/>
          <w:szCs w:val="20"/>
          <w:lang w:val="en-US" w:eastAsia="es-MX"/>
        </w:rPr>
        <w:t xml:space="preserve"> In this regard, the Court has recognized that the obligation to eliminate all forms of discrimination against women incorporates the obligation to eliminate discrimination based on gender stereotypes.</w:t>
      </w:r>
      <w:r w:rsidR="00E17AF2" w:rsidRPr="00012C3F">
        <w:rPr>
          <w:rFonts w:eastAsia="Batang" w:cs="Arial"/>
          <w:sz w:val="20"/>
          <w:szCs w:val="20"/>
          <w:vertAlign w:val="superscript"/>
          <w:lang w:val="en-US" w:eastAsia="es-MX"/>
        </w:rPr>
        <w:footnoteReference w:id="240"/>
      </w:r>
    </w:p>
    <w:p w14:paraId="2952BDDB" w14:textId="77777777" w:rsidR="00E17AF2" w:rsidRPr="00012C3F" w:rsidRDefault="00E17AF2" w:rsidP="00E17AF2">
      <w:pPr>
        <w:widowControl/>
        <w:autoSpaceDE w:val="0"/>
        <w:autoSpaceDN w:val="0"/>
        <w:spacing w:line="240" w:lineRule="auto"/>
        <w:textAlignment w:val="auto"/>
        <w:rPr>
          <w:rFonts w:eastAsia="Batang" w:cs="Arial"/>
          <w:sz w:val="20"/>
          <w:szCs w:val="20"/>
          <w:lang w:val="en-US" w:eastAsia="es-MX"/>
        </w:rPr>
      </w:pPr>
    </w:p>
    <w:p w14:paraId="664A4A94" w14:textId="77777777" w:rsidR="00E17AF2" w:rsidRPr="00012C3F" w:rsidRDefault="005C5A6E" w:rsidP="00F55848">
      <w:pPr>
        <w:widowControl/>
        <w:numPr>
          <w:ilvl w:val="0"/>
          <w:numId w:val="5"/>
        </w:numPr>
        <w:tabs>
          <w:tab w:val="left" w:pos="720"/>
          <w:tab w:val="num" w:pos="12305"/>
        </w:tabs>
        <w:autoSpaceDE w:val="0"/>
        <w:autoSpaceDN w:val="0"/>
        <w:spacing w:line="240" w:lineRule="auto"/>
        <w:ind w:left="0" w:firstLine="0"/>
        <w:textAlignment w:val="auto"/>
        <w:rPr>
          <w:rFonts w:eastAsia="Calibri" w:cs="Arial"/>
          <w:sz w:val="20"/>
          <w:szCs w:val="20"/>
          <w:lang w:val="en-US" w:eastAsia="es-MX"/>
        </w:rPr>
      </w:pPr>
      <w:r w:rsidRPr="00012C3F">
        <w:rPr>
          <w:rFonts w:eastAsia="Batang" w:cs="Arial"/>
          <w:sz w:val="20"/>
          <w:szCs w:val="20"/>
          <w:lang w:val="en-US" w:eastAsia="es-MX"/>
        </w:rPr>
        <w:t>Gender stereotypes refer to a preconception of the attributes, conducts or characteristics of men and women and the respective roles they play or should play.</w:t>
      </w:r>
      <w:r w:rsidR="00E17AF2" w:rsidRPr="00012C3F">
        <w:rPr>
          <w:rFonts w:eastAsia="Batang" w:cs="Arial"/>
          <w:sz w:val="20"/>
          <w:szCs w:val="20"/>
          <w:vertAlign w:val="superscript"/>
          <w:lang w:val="en-US" w:eastAsia="es-MX"/>
        </w:rPr>
        <w:footnoteReference w:id="241"/>
      </w:r>
      <w:r w:rsidR="00E17AF2" w:rsidRPr="00012C3F">
        <w:rPr>
          <w:rFonts w:eastAsia="Batang" w:cs="Arial"/>
          <w:sz w:val="20"/>
          <w:szCs w:val="20"/>
          <w:lang w:val="en-US" w:eastAsia="es-MX"/>
        </w:rPr>
        <w:t xml:space="preserve"> </w:t>
      </w:r>
      <w:r w:rsidRPr="00012C3F">
        <w:rPr>
          <w:rFonts w:cs="Arial"/>
          <w:sz w:val="20"/>
          <w:szCs w:val="20"/>
          <w:lang w:val="en-US"/>
        </w:rPr>
        <w:t>In the health care sector, gender stereotypes may result in distinctions, exclusions or restrictions that impair or annul the recognition, enjoyment or exercise of human rights and, specifically, the sexual and reproductive rights of women, based on their condition</w:t>
      </w:r>
      <w:r w:rsidR="00CD686A" w:rsidRPr="00012C3F">
        <w:rPr>
          <w:rFonts w:cs="Arial"/>
          <w:sz w:val="20"/>
          <w:szCs w:val="20"/>
          <w:lang w:val="en-US"/>
        </w:rPr>
        <w:t xml:space="preserve"> as such</w:t>
      </w:r>
      <w:r w:rsidR="00E17AF2" w:rsidRPr="00012C3F">
        <w:rPr>
          <w:rFonts w:eastAsia="Calibri" w:cs="Arial"/>
          <w:sz w:val="20"/>
          <w:szCs w:val="20"/>
          <w:lang w:val="en-US" w:eastAsia="es-MX"/>
        </w:rPr>
        <w:t xml:space="preserve">. </w:t>
      </w:r>
      <w:r w:rsidRPr="00012C3F">
        <w:rPr>
          <w:rFonts w:eastAsia="Calibri" w:cs="Arial"/>
          <w:sz w:val="20"/>
          <w:szCs w:val="20"/>
          <w:lang w:val="en-US" w:eastAsia="es-MX"/>
        </w:rPr>
        <w:t>I</w:t>
      </w:r>
      <w:r w:rsidR="00E17AF2" w:rsidRPr="00012C3F">
        <w:rPr>
          <w:rFonts w:eastAsia="Calibri" w:cs="Arial"/>
          <w:sz w:val="20"/>
          <w:szCs w:val="20"/>
          <w:lang w:val="en-US" w:eastAsia="es-MX"/>
        </w:rPr>
        <w:t xml:space="preserve">n particular, </w:t>
      </w:r>
      <w:r w:rsidR="001254DE" w:rsidRPr="00012C3F">
        <w:rPr>
          <w:rFonts w:eastAsia="Calibri" w:cs="Arial"/>
          <w:sz w:val="20"/>
          <w:szCs w:val="20"/>
          <w:lang w:val="en-US" w:eastAsia="es-MX"/>
        </w:rPr>
        <w:t>the Court</w:t>
      </w:r>
      <w:r w:rsidR="00E17AF2" w:rsidRPr="00012C3F">
        <w:rPr>
          <w:rFonts w:eastAsia="Calibri" w:cs="Arial"/>
          <w:sz w:val="20"/>
          <w:szCs w:val="20"/>
          <w:lang w:val="en-US" w:eastAsia="es-MX"/>
        </w:rPr>
        <w:t xml:space="preserve"> </w:t>
      </w:r>
      <w:r w:rsidRPr="00012C3F">
        <w:rPr>
          <w:rFonts w:cs="Arial"/>
          <w:sz w:val="20"/>
          <w:szCs w:val="20"/>
          <w:lang w:val="en-US"/>
        </w:rPr>
        <w:t>notes that negative or prejudicial gender stereotypes may have an impact on and affect a woman’s access to information on sexual and reproductive health, as well as the way in which her consent is obtained</w:t>
      </w:r>
      <w:r w:rsidR="00E17AF2" w:rsidRPr="00012C3F">
        <w:rPr>
          <w:rFonts w:eastAsia="Calibri" w:cs="Arial"/>
          <w:sz w:val="20"/>
          <w:szCs w:val="20"/>
          <w:lang w:val="en-US" w:eastAsia="es-MX"/>
        </w:rPr>
        <w:t xml:space="preserve">. </w:t>
      </w:r>
      <w:r w:rsidRPr="00012C3F">
        <w:rPr>
          <w:rFonts w:cs="Arial"/>
          <w:sz w:val="20"/>
          <w:szCs w:val="20"/>
          <w:lang w:val="en-US"/>
        </w:rPr>
        <w:t xml:space="preserve">A woman who is unaware of her sexual and reproductive rights may have a less assertive attitude towards her rights. This could lead her to have greater confidence in her doctor’s criteria, or to health professionals adopting a paternalistic attitude </w:t>
      </w:r>
      <w:r w:rsidR="00CD686A" w:rsidRPr="00012C3F">
        <w:rPr>
          <w:rFonts w:cs="Arial"/>
          <w:sz w:val="20"/>
          <w:szCs w:val="20"/>
          <w:lang w:val="en-US"/>
        </w:rPr>
        <w:t>towards</w:t>
      </w:r>
      <w:r w:rsidRPr="00012C3F">
        <w:rPr>
          <w:rFonts w:cs="Arial"/>
          <w:sz w:val="20"/>
          <w:szCs w:val="20"/>
          <w:lang w:val="en-US"/>
        </w:rPr>
        <w:t xml:space="preserve"> their patient. Both situations could open the way to a situation of the exercise of power where health professionals take decisions without taking into account the autonomy and wi</w:t>
      </w:r>
      <w:r w:rsidR="00CD686A" w:rsidRPr="00012C3F">
        <w:rPr>
          <w:rFonts w:cs="Arial"/>
          <w:sz w:val="20"/>
          <w:szCs w:val="20"/>
          <w:lang w:val="en-US"/>
        </w:rPr>
        <w:t>shes</w:t>
      </w:r>
      <w:r w:rsidRPr="00012C3F">
        <w:rPr>
          <w:rFonts w:cs="Arial"/>
          <w:sz w:val="20"/>
          <w:szCs w:val="20"/>
          <w:lang w:val="en-US"/>
        </w:rPr>
        <w:t xml:space="preserve"> of their patient</w:t>
      </w:r>
      <w:r w:rsidR="00E17AF2" w:rsidRPr="00012C3F">
        <w:rPr>
          <w:rFonts w:eastAsiaTheme="minorHAnsi" w:cs="Arial"/>
          <w:sz w:val="20"/>
          <w:szCs w:val="20"/>
          <w:lang w:val="en-US" w:eastAsia="en-US"/>
        </w:rPr>
        <w:t>.</w:t>
      </w:r>
      <w:r w:rsidR="00F55848" w:rsidRPr="00012C3F">
        <w:rPr>
          <w:rFonts w:eastAsiaTheme="minorHAnsi" w:cs="Arial"/>
          <w:sz w:val="20"/>
          <w:szCs w:val="20"/>
          <w:lang w:val="en-US" w:eastAsia="en-US"/>
        </w:rPr>
        <w:t xml:space="preserve"> </w:t>
      </w:r>
      <w:r w:rsidR="00F55848" w:rsidRPr="00012C3F">
        <w:rPr>
          <w:rFonts w:cs="Arial"/>
          <w:sz w:val="20"/>
          <w:szCs w:val="20"/>
          <w:lang w:val="en-US"/>
        </w:rPr>
        <w:t>The Court identifies some</w:t>
      </w:r>
      <w:r w:rsidR="00CD686A" w:rsidRPr="00012C3F">
        <w:rPr>
          <w:rFonts w:cs="Arial"/>
          <w:sz w:val="20"/>
          <w:szCs w:val="20"/>
          <w:lang w:val="en-US"/>
        </w:rPr>
        <w:t xml:space="preserve"> of the</w:t>
      </w:r>
      <w:r w:rsidR="00F55848" w:rsidRPr="00012C3F">
        <w:rPr>
          <w:rFonts w:cs="Arial"/>
          <w:sz w:val="20"/>
          <w:szCs w:val="20"/>
          <w:lang w:val="en-US"/>
        </w:rPr>
        <w:t xml:space="preserve"> gender stereotypes frequently applied to women in the health sector that have serious effects on the autonomy of women and their decision-making power</w:t>
      </w:r>
      <w:r w:rsidR="00CA7981" w:rsidRPr="00012C3F">
        <w:rPr>
          <w:rFonts w:eastAsia="Calibri" w:cs="Arial"/>
          <w:sz w:val="20"/>
          <w:szCs w:val="20"/>
          <w:lang w:val="en-US"/>
        </w:rPr>
        <w:t xml:space="preserve">: </w:t>
      </w:r>
      <w:r w:rsidR="00F55848" w:rsidRPr="00012C3F">
        <w:rPr>
          <w:rFonts w:eastAsia="Calibri" w:cs="Arial"/>
          <w:sz w:val="20"/>
          <w:szCs w:val="20"/>
          <w:lang w:val="en-US"/>
        </w:rPr>
        <w:t>(</w:t>
      </w:r>
      <w:r w:rsidR="00E17AF2" w:rsidRPr="00012C3F">
        <w:rPr>
          <w:rFonts w:eastAsia="Calibri" w:cs="Arial"/>
          <w:sz w:val="20"/>
          <w:szCs w:val="20"/>
          <w:lang w:val="en-US"/>
        </w:rPr>
        <w:t xml:space="preserve">i) </w:t>
      </w:r>
      <w:r w:rsidR="00F55848" w:rsidRPr="00012C3F">
        <w:rPr>
          <w:rFonts w:eastAsia="Calibri" w:cs="Arial"/>
          <w:sz w:val="20"/>
          <w:szCs w:val="20"/>
          <w:lang w:val="en-US"/>
        </w:rPr>
        <w:t xml:space="preserve">women are seen as vulnerable beings, incapable of taking reliable or consistent decisions, which results in health professionals denying </w:t>
      </w:r>
      <w:r w:rsidR="00CD686A" w:rsidRPr="00012C3F">
        <w:rPr>
          <w:rFonts w:eastAsia="Calibri" w:cs="Arial"/>
          <w:sz w:val="20"/>
          <w:szCs w:val="20"/>
          <w:lang w:val="en-US"/>
        </w:rPr>
        <w:t>women</w:t>
      </w:r>
      <w:r w:rsidR="00F55848" w:rsidRPr="00012C3F">
        <w:rPr>
          <w:rFonts w:eastAsia="Calibri" w:cs="Arial"/>
          <w:sz w:val="20"/>
          <w:szCs w:val="20"/>
          <w:lang w:val="en-US"/>
        </w:rPr>
        <w:t xml:space="preserve"> the information </w:t>
      </w:r>
      <w:r w:rsidR="00CD686A" w:rsidRPr="00012C3F">
        <w:rPr>
          <w:rFonts w:eastAsia="Calibri" w:cs="Arial"/>
          <w:sz w:val="20"/>
          <w:szCs w:val="20"/>
          <w:lang w:val="en-US"/>
        </w:rPr>
        <w:t xml:space="preserve">they </w:t>
      </w:r>
      <w:r w:rsidR="00F55848" w:rsidRPr="00012C3F">
        <w:rPr>
          <w:rFonts w:eastAsia="Calibri" w:cs="Arial"/>
          <w:sz w:val="20"/>
          <w:szCs w:val="20"/>
          <w:lang w:val="en-US"/>
        </w:rPr>
        <w:t>require</w:t>
      </w:r>
      <w:r w:rsidR="00CD686A" w:rsidRPr="00012C3F">
        <w:rPr>
          <w:rFonts w:eastAsia="Calibri" w:cs="Arial"/>
          <w:sz w:val="20"/>
          <w:szCs w:val="20"/>
          <w:lang w:val="en-US"/>
        </w:rPr>
        <w:t xml:space="preserve"> in order </w:t>
      </w:r>
      <w:r w:rsidR="00F55848" w:rsidRPr="00012C3F">
        <w:rPr>
          <w:rFonts w:eastAsia="Calibri" w:cs="Arial"/>
          <w:sz w:val="20"/>
          <w:szCs w:val="20"/>
          <w:lang w:val="en-US"/>
        </w:rPr>
        <w:t>to give their informed consent; (ii) women are considered impulsive and indecisive and in need of the guidance of a more stable person with better judgment, usually a protective man, and (iii) it is the woman who should bear the responsibility for the couple’s sexual health, so that, within a relationship, it is the woman who has the task of choosing and using a method of contraception.</w:t>
      </w:r>
      <w:r w:rsidR="000A6094" w:rsidRPr="00012C3F">
        <w:rPr>
          <w:rFonts w:eastAsiaTheme="minorHAnsi" w:cs="Arial"/>
          <w:sz w:val="20"/>
          <w:szCs w:val="20"/>
          <w:vertAlign w:val="superscript"/>
          <w:lang w:val="en-US" w:eastAsia="en-US"/>
        </w:rPr>
        <w:footnoteReference w:id="242"/>
      </w:r>
      <w:r w:rsidR="00E17AF2" w:rsidRPr="00012C3F">
        <w:rPr>
          <w:rFonts w:eastAsia="Calibri" w:cs="Arial"/>
          <w:sz w:val="20"/>
          <w:szCs w:val="20"/>
          <w:lang w:val="en-US"/>
        </w:rPr>
        <w:t xml:space="preserve"> </w:t>
      </w:r>
      <w:r w:rsidR="00F55848" w:rsidRPr="00012C3F">
        <w:rPr>
          <w:rFonts w:eastAsia="Calibri" w:cs="Arial"/>
          <w:sz w:val="20"/>
          <w:szCs w:val="20"/>
          <w:lang w:val="en-US"/>
        </w:rPr>
        <w:t xml:space="preserve">Consequently, in this case, the Court will pay special attention to this aspect in order to recognize and reject the stereotypes that lead to the impairment of the rights recognized in </w:t>
      </w:r>
      <w:r w:rsidR="001254DE" w:rsidRPr="00012C3F">
        <w:rPr>
          <w:rFonts w:eastAsia="Calibri" w:cs="Arial"/>
          <w:sz w:val="20"/>
          <w:szCs w:val="20"/>
          <w:lang w:val="en-US" w:eastAsia="es-MX"/>
        </w:rPr>
        <w:t>the Convention</w:t>
      </w:r>
      <w:r w:rsidR="00E17AF2" w:rsidRPr="00012C3F">
        <w:rPr>
          <w:rFonts w:eastAsia="Calibri" w:cs="Arial"/>
          <w:sz w:val="20"/>
          <w:szCs w:val="20"/>
          <w:lang w:val="en-US" w:eastAsia="es-MX"/>
        </w:rPr>
        <w:t>.</w:t>
      </w:r>
    </w:p>
    <w:p w14:paraId="4B1C0FAB" w14:textId="77777777" w:rsidR="00E17AF2" w:rsidRPr="00012C3F" w:rsidRDefault="00E17AF2" w:rsidP="00E17AF2">
      <w:pPr>
        <w:tabs>
          <w:tab w:val="left" w:pos="567"/>
        </w:tabs>
        <w:spacing w:line="240" w:lineRule="auto"/>
        <w:rPr>
          <w:rFonts w:eastAsia="MS Mincho"/>
          <w:sz w:val="20"/>
          <w:szCs w:val="20"/>
          <w:lang w:val="en-US" w:eastAsia="en-US" w:bidi="en-US"/>
        </w:rPr>
      </w:pPr>
    </w:p>
    <w:p w14:paraId="0E91EF49" w14:textId="77777777" w:rsidR="00E17AF2" w:rsidRPr="00012C3F" w:rsidRDefault="00F55848" w:rsidP="00A645BB">
      <w:pPr>
        <w:numPr>
          <w:ilvl w:val="0"/>
          <w:numId w:val="5"/>
        </w:numPr>
        <w:tabs>
          <w:tab w:val="left" w:pos="720"/>
          <w:tab w:val="num" w:pos="12305"/>
        </w:tabs>
        <w:spacing w:line="240" w:lineRule="auto"/>
        <w:ind w:left="0" w:firstLine="0"/>
        <w:rPr>
          <w:rFonts w:eastAsia="Calibri" w:cs="ClassicalGaramondBT-Roman"/>
          <w:sz w:val="20"/>
          <w:szCs w:val="20"/>
          <w:lang w:val="en-US" w:eastAsia="en-US" w:bidi="en-US"/>
        </w:rPr>
      </w:pPr>
      <w:r w:rsidRPr="00012C3F">
        <w:rPr>
          <w:rFonts w:eastAsia="MS Mincho"/>
          <w:sz w:val="20"/>
          <w:szCs w:val="20"/>
          <w:lang w:val="en-US" w:eastAsia="en-US" w:bidi="en-US"/>
        </w:rPr>
        <w:t xml:space="preserve">In addition, the Court finds it </w:t>
      </w:r>
      <w:r w:rsidR="00A645BB" w:rsidRPr="00012C3F">
        <w:rPr>
          <w:rFonts w:eastAsia="MS Mincho"/>
          <w:sz w:val="20"/>
          <w:szCs w:val="20"/>
          <w:lang w:val="en-US" w:eastAsia="en-US" w:bidi="en-US"/>
        </w:rPr>
        <w:t xml:space="preserve">essential </w:t>
      </w:r>
      <w:r w:rsidR="00CD686A" w:rsidRPr="00012C3F">
        <w:rPr>
          <w:rFonts w:eastAsia="MS Mincho"/>
          <w:sz w:val="20"/>
          <w:szCs w:val="20"/>
          <w:lang w:val="en-US" w:eastAsia="en-US" w:bidi="en-US"/>
        </w:rPr>
        <w:t>that</w:t>
      </w:r>
      <w:r w:rsidR="00A645BB" w:rsidRPr="00012C3F">
        <w:rPr>
          <w:rFonts w:eastAsia="MS Mincho"/>
          <w:sz w:val="20"/>
          <w:szCs w:val="20"/>
          <w:lang w:val="en-US" w:eastAsia="en-US" w:bidi="en-US"/>
        </w:rPr>
        <w:t xml:space="preserve"> medical personnel</w:t>
      </w:r>
      <w:r w:rsidR="00CD686A" w:rsidRPr="00012C3F">
        <w:rPr>
          <w:rFonts w:eastAsia="MS Mincho"/>
          <w:sz w:val="20"/>
          <w:szCs w:val="20"/>
          <w:lang w:val="en-US" w:eastAsia="en-US" w:bidi="en-US"/>
        </w:rPr>
        <w:t xml:space="preserve"> avoid</w:t>
      </w:r>
      <w:r w:rsidR="00A645BB" w:rsidRPr="00012C3F">
        <w:rPr>
          <w:rFonts w:eastAsia="MS Mincho"/>
          <w:sz w:val="20"/>
          <w:szCs w:val="20"/>
          <w:lang w:val="en-US" w:eastAsia="en-US" w:bidi="en-US"/>
        </w:rPr>
        <w:t xml:space="preserve"> inducing a patient to </w:t>
      </w:r>
      <w:r w:rsidR="00CD686A" w:rsidRPr="00012C3F">
        <w:rPr>
          <w:rFonts w:eastAsia="MS Mincho"/>
          <w:sz w:val="20"/>
          <w:szCs w:val="20"/>
          <w:lang w:val="en-US" w:eastAsia="en-US" w:bidi="en-US"/>
        </w:rPr>
        <w:t xml:space="preserve">give her </w:t>
      </w:r>
      <w:r w:rsidR="00A645BB" w:rsidRPr="00012C3F">
        <w:rPr>
          <w:rFonts w:eastAsia="MS Mincho"/>
          <w:sz w:val="20"/>
          <w:szCs w:val="20"/>
          <w:lang w:val="en-US" w:eastAsia="en-US" w:bidi="en-US"/>
        </w:rPr>
        <w:t xml:space="preserve">consent </w:t>
      </w:r>
      <w:r w:rsidR="00CD686A" w:rsidRPr="00012C3F">
        <w:rPr>
          <w:rFonts w:eastAsia="MS Mincho"/>
          <w:sz w:val="20"/>
          <w:szCs w:val="20"/>
          <w:lang w:val="en-US" w:eastAsia="en-US" w:bidi="en-US"/>
        </w:rPr>
        <w:t xml:space="preserve">to sterilization </w:t>
      </w:r>
      <w:r w:rsidR="00A645BB" w:rsidRPr="00012C3F">
        <w:rPr>
          <w:rFonts w:eastAsia="MS Mincho"/>
          <w:sz w:val="20"/>
          <w:szCs w:val="20"/>
          <w:lang w:val="en-US" w:eastAsia="en-US" w:bidi="en-US"/>
        </w:rPr>
        <w:t xml:space="preserve">because </w:t>
      </w:r>
      <w:r w:rsidR="00CD686A" w:rsidRPr="00012C3F">
        <w:rPr>
          <w:rFonts w:eastAsia="MS Mincho"/>
          <w:sz w:val="20"/>
          <w:szCs w:val="20"/>
          <w:lang w:val="en-US" w:eastAsia="en-US" w:bidi="en-US"/>
        </w:rPr>
        <w:t>she</w:t>
      </w:r>
      <w:r w:rsidR="00A645BB" w:rsidRPr="00012C3F">
        <w:rPr>
          <w:rFonts w:eastAsia="MS Mincho"/>
          <w:sz w:val="20"/>
          <w:szCs w:val="20"/>
          <w:lang w:val="en-US" w:eastAsia="en-US" w:bidi="en-US"/>
        </w:rPr>
        <w:t xml:space="preserve"> fail</w:t>
      </w:r>
      <w:r w:rsidR="00CD686A" w:rsidRPr="00012C3F">
        <w:rPr>
          <w:rFonts w:eastAsia="MS Mincho"/>
          <w:sz w:val="20"/>
          <w:szCs w:val="20"/>
          <w:lang w:val="en-US" w:eastAsia="en-US" w:bidi="en-US"/>
        </w:rPr>
        <w:t>s</w:t>
      </w:r>
      <w:r w:rsidR="00A645BB" w:rsidRPr="00012C3F">
        <w:rPr>
          <w:rFonts w:eastAsia="MS Mincho"/>
          <w:sz w:val="20"/>
          <w:szCs w:val="20"/>
          <w:lang w:val="en-US" w:eastAsia="en-US" w:bidi="en-US"/>
        </w:rPr>
        <w:t xml:space="preserve"> to understand the information provided</w:t>
      </w:r>
      <w:r w:rsidR="00CD686A" w:rsidRPr="00012C3F">
        <w:rPr>
          <w:rFonts w:eastAsia="MS Mincho"/>
          <w:sz w:val="20"/>
          <w:szCs w:val="20"/>
          <w:lang w:val="en-US" w:eastAsia="en-US" w:bidi="en-US"/>
        </w:rPr>
        <w:t>. Moreover,</w:t>
      </w:r>
      <w:r w:rsidR="00A645BB" w:rsidRPr="00012C3F">
        <w:rPr>
          <w:rFonts w:eastAsia="MS Mincho"/>
          <w:sz w:val="20"/>
          <w:szCs w:val="20"/>
          <w:lang w:val="en-US" w:eastAsia="en-US" w:bidi="en-US"/>
        </w:rPr>
        <w:t xml:space="preserve"> they must refrain from </w:t>
      </w:r>
      <w:r w:rsidR="00CD686A" w:rsidRPr="00012C3F">
        <w:rPr>
          <w:rFonts w:eastAsia="MS Mincho"/>
          <w:sz w:val="20"/>
          <w:szCs w:val="20"/>
          <w:lang w:val="en-US" w:eastAsia="en-US" w:bidi="en-US"/>
        </w:rPr>
        <w:t xml:space="preserve">going ahead with the procedure without this consent – </w:t>
      </w:r>
      <w:r w:rsidR="00A645BB" w:rsidRPr="00012C3F">
        <w:rPr>
          <w:rFonts w:eastAsia="MS Mincho"/>
          <w:sz w:val="20"/>
          <w:szCs w:val="20"/>
          <w:lang w:val="en-US" w:eastAsia="en-US" w:bidi="en-US"/>
        </w:rPr>
        <w:t xml:space="preserve">particularly in cases where the woman has </w:t>
      </w:r>
      <w:r w:rsidR="00CD686A" w:rsidRPr="00012C3F">
        <w:rPr>
          <w:rFonts w:eastAsia="MS Mincho"/>
          <w:sz w:val="20"/>
          <w:szCs w:val="20"/>
          <w:lang w:val="en-US" w:eastAsia="en-US" w:bidi="en-US"/>
        </w:rPr>
        <w:t>scarce</w:t>
      </w:r>
      <w:r w:rsidR="00A645BB" w:rsidRPr="00012C3F">
        <w:rPr>
          <w:rFonts w:eastAsia="MS Mincho"/>
          <w:sz w:val="20"/>
          <w:szCs w:val="20"/>
          <w:lang w:val="en-US" w:eastAsia="en-US" w:bidi="en-US"/>
        </w:rPr>
        <w:t xml:space="preserve"> financial resources and/or low levels of education</w:t>
      </w:r>
      <w:r w:rsidR="00CD686A" w:rsidRPr="00012C3F">
        <w:rPr>
          <w:rFonts w:eastAsia="MS Mincho"/>
          <w:sz w:val="20"/>
          <w:szCs w:val="20"/>
          <w:lang w:val="en-US" w:eastAsia="en-US" w:bidi="en-US"/>
        </w:rPr>
        <w:t xml:space="preserve"> – on</w:t>
      </w:r>
      <w:r w:rsidR="00A645BB" w:rsidRPr="00012C3F">
        <w:rPr>
          <w:rFonts w:eastAsia="MS Mincho"/>
          <w:sz w:val="20"/>
          <w:szCs w:val="20"/>
          <w:lang w:val="en-US" w:eastAsia="en-US" w:bidi="en-US"/>
        </w:rPr>
        <w:t xml:space="preserve"> the pretext that the measure is necessary as a means of population and birth control. Th</w:t>
      </w:r>
      <w:r w:rsidR="00CD686A" w:rsidRPr="00012C3F">
        <w:rPr>
          <w:rFonts w:eastAsia="MS Mincho"/>
          <w:sz w:val="20"/>
          <w:szCs w:val="20"/>
          <w:lang w:val="en-US" w:eastAsia="en-US" w:bidi="en-US"/>
        </w:rPr>
        <w:t xml:space="preserve">is </w:t>
      </w:r>
      <w:r w:rsidR="00A645BB" w:rsidRPr="00012C3F">
        <w:rPr>
          <w:rFonts w:eastAsia="MS Mincho"/>
          <w:sz w:val="20"/>
          <w:szCs w:val="20"/>
          <w:lang w:val="en-US" w:eastAsia="en-US" w:bidi="en-US"/>
        </w:rPr>
        <w:t>may, in turn, lead to</w:t>
      </w:r>
      <w:r w:rsidRPr="00012C3F">
        <w:rPr>
          <w:rFonts w:cs="Arial"/>
          <w:sz w:val="20"/>
          <w:szCs w:val="20"/>
          <w:lang w:val="en-US"/>
        </w:rPr>
        <w:t xml:space="preserve"> the situation in which a decision in favor steriliz</w:t>
      </w:r>
      <w:r w:rsidR="002F4CB5" w:rsidRPr="00012C3F">
        <w:rPr>
          <w:rFonts w:cs="Arial"/>
          <w:sz w:val="20"/>
          <w:szCs w:val="20"/>
          <w:lang w:val="en-US"/>
        </w:rPr>
        <w:t>ing</w:t>
      </w:r>
      <w:r w:rsidRPr="00012C3F">
        <w:rPr>
          <w:rFonts w:cs="Arial"/>
          <w:sz w:val="20"/>
          <w:szCs w:val="20"/>
          <w:lang w:val="en-US"/>
        </w:rPr>
        <w:t xml:space="preserve"> the woman and not the man is induced, based on the stereotype that it is the woman</w:t>
      </w:r>
      <w:r w:rsidR="002F4CB5" w:rsidRPr="00012C3F">
        <w:rPr>
          <w:rFonts w:cs="Arial"/>
          <w:sz w:val="20"/>
          <w:szCs w:val="20"/>
          <w:lang w:val="en-US"/>
        </w:rPr>
        <w:t>,</w:t>
      </w:r>
      <w:r w:rsidRPr="00012C3F">
        <w:rPr>
          <w:rFonts w:cs="Arial"/>
          <w:sz w:val="20"/>
          <w:szCs w:val="20"/>
          <w:lang w:val="en-US"/>
        </w:rPr>
        <w:t xml:space="preserve"> who plays the </w:t>
      </w:r>
      <w:r w:rsidR="002F4CB5" w:rsidRPr="00012C3F">
        <w:rPr>
          <w:rFonts w:cs="Arial"/>
          <w:sz w:val="20"/>
          <w:szCs w:val="20"/>
          <w:lang w:val="en-US"/>
        </w:rPr>
        <w:t>main</w:t>
      </w:r>
      <w:r w:rsidRPr="00012C3F">
        <w:rPr>
          <w:rFonts w:cs="Arial"/>
          <w:sz w:val="20"/>
          <w:szCs w:val="20"/>
          <w:lang w:val="en-US"/>
        </w:rPr>
        <w:t xml:space="preserve"> role in procreation</w:t>
      </w:r>
      <w:r w:rsidR="002F4CB5" w:rsidRPr="00012C3F">
        <w:rPr>
          <w:rFonts w:cs="Arial"/>
          <w:sz w:val="20"/>
          <w:szCs w:val="20"/>
          <w:lang w:val="en-US"/>
        </w:rPr>
        <w:t>,</w:t>
      </w:r>
      <w:r w:rsidRPr="00012C3F">
        <w:rPr>
          <w:rFonts w:cs="Arial"/>
          <w:sz w:val="20"/>
          <w:szCs w:val="20"/>
          <w:lang w:val="en-US"/>
        </w:rPr>
        <w:t xml:space="preserve"> who should be responsible for contraception</w:t>
      </w:r>
      <w:r w:rsidR="00A645BB" w:rsidRPr="00012C3F">
        <w:rPr>
          <w:rFonts w:eastAsia="Calibri" w:cs="ClassicalGaramondBT-Roman"/>
          <w:sz w:val="20"/>
          <w:szCs w:val="20"/>
          <w:lang w:val="en-US" w:eastAsia="en-US" w:bidi="en-US"/>
        </w:rPr>
        <w:t xml:space="preserve"> </w:t>
      </w:r>
      <w:r w:rsidR="00E17AF2" w:rsidRPr="00012C3F">
        <w:rPr>
          <w:rFonts w:eastAsia="Calibri" w:cs="ClassicalGaramondBT-Roman"/>
          <w:sz w:val="20"/>
          <w:szCs w:val="20"/>
          <w:lang w:val="en-US" w:eastAsia="en-US" w:bidi="en-US"/>
        </w:rPr>
        <w:t>(</w:t>
      </w:r>
      <w:r w:rsidR="00E17AF2" w:rsidRPr="00012C3F">
        <w:rPr>
          <w:rFonts w:eastAsia="Calibri" w:cs="ClassicalGaramondBT-Roman"/>
          <w:i/>
          <w:sz w:val="20"/>
          <w:szCs w:val="20"/>
          <w:lang w:val="en-US" w:eastAsia="en-US" w:bidi="en-US"/>
        </w:rPr>
        <w:t>infra</w:t>
      </w:r>
      <w:r w:rsidR="00E17AF2" w:rsidRPr="00012C3F">
        <w:rPr>
          <w:rFonts w:eastAsia="Calibri" w:cs="ClassicalGaramondBT-Roman"/>
          <w:sz w:val="20"/>
          <w:szCs w:val="20"/>
          <w:lang w:val="en-US" w:eastAsia="en-US" w:bidi="en-US"/>
        </w:rPr>
        <w:t xml:space="preserve"> </w:t>
      </w:r>
      <w:r w:rsidR="00370DD4" w:rsidRPr="00012C3F">
        <w:rPr>
          <w:rFonts w:eastAsia="Calibri" w:cs="ClassicalGaramondBT-Roman"/>
          <w:sz w:val="20"/>
          <w:szCs w:val="20"/>
          <w:lang w:val="en-US" w:eastAsia="en-US" w:bidi="en-US"/>
        </w:rPr>
        <w:t>para.</w:t>
      </w:r>
      <w:r w:rsidR="00E17AF2" w:rsidRPr="00012C3F">
        <w:rPr>
          <w:rFonts w:eastAsia="Calibri" w:cs="ClassicalGaramondBT-Roman"/>
          <w:sz w:val="20"/>
          <w:szCs w:val="20"/>
          <w:lang w:val="en-US" w:eastAsia="en-US" w:bidi="en-US"/>
        </w:rPr>
        <w:t xml:space="preserve"> </w:t>
      </w:r>
      <w:r w:rsidR="00926D33" w:rsidRPr="00012C3F">
        <w:rPr>
          <w:rFonts w:eastAsia="Calibri" w:cs="ClassicalGaramondBT-Roman"/>
          <w:sz w:val="20"/>
          <w:szCs w:val="20"/>
          <w:lang w:val="en-US" w:eastAsia="en-US" w:bidi="en-US"/>
        </w:rPr>
        <w:t>246).</w:t>
      </w:r>
    </w:p>
    <w:p w14:paraId="0F958709" w14:textId="77777777" w:rsidR="00E17AF2" w:rsidRPr="00012C3F" w:rsidRDefault="00E17AF2" w:rsidP="00E17AF2">
      <w:pPr>
        <w:tabs>
          <w:tab w:val="left" w:pos="567"/>
        </w:tabs>
        <w:spacing w:line="240" w:lineRule="auto"/>
        <w:rPr>
          <w:rFonts w:eastAsia="MS Mincho"/>
          <w:sz w:val="20"/>
          <w:szCs w:val="20"/>
          <w:lang w:val="en-US" w:eastAsia="en-US" w:bidi="en-US"/>
        </w:rPr>
      </w:pPr>
    </w:p>
    <w:p w14:paraId="766A0AA1" w14:textId="77777777" w:rsidR="00442CC5" w:rsidRPr="00012C3F" w:rsidRDefault="00442CC5" w:rsidP="00442CC5">
      <w:pPr>
        <w:tabs>
          <w:tab w:val="left" w:pos="567"/>
        </w:tabs>
        <w:spacing w:line="240" w:lineRule="auto"/>
        <w:rPr>
          <w:rFonts w:eastAsia="MS Mincho"/>
          <w:i/>
          <w:sz w:val="20"/>
          <w:szCs w:val="20"/>
          <w:lang w:val="en-US" w:eastAsia="en-US" w:bidi="en-US"/>
        </w:rPr>
      </w:pPr>
      <w:r w:rsidRPr="00012C3F">
        <w:rPr>
          <w:rFonts w:eastAsia="MS Mincho"/>
          <w:i/>
          <w:sz w:val="20"/>
          <w:szCs w:val="20"/>
          <w:lang w:val="en-US" w:eastAsia="en-US" w:bidi="en-US"/>
        </w:rPr>
        <w:tab/>
      </w:r>
      <w:r w:rsidRPr="00012C3F">
        <w:rPr>
          <w:rFonts w:eastAsia="MS Mincho"/>
          <w:i/>
          <w:sz w:val="20"/>
          <w:szCs w:val="20"/>
          <w:lang w:val="en-US" w:eastAsia="en-US" w:bidi="en-US"/>
        </w:rPr>
        <w:tab/>
      </w:r>
      <w:r w:rsidRPr="00012C3F">
        <w:rPr>
          <w:rFonts w:eastAsia="MS Mincho"/>
          <w:i/>
          <w:sz w:val="20"/>
          <w:szCs w:val="20"/>
          <w:lang w:val="en-US" w:eastAsia="en-US" w:bidi="en-US"/>
        </w:rPr>
        <w:tab/>
        <w:t xml:space="preserve">iii) </w:t>
      </w:r>
      <w:r w:rsidRPr="00012C3F">
        <w:rPr>
          <w:rFonts w:eastAsia="MS Mincho"/>
          <w:i/>
          <w:sz w:val="20"/>
          <w:szCs w:val="20"/>
          <w:lang w:val="en-US" w:eastAsia="en-US" w:bidi="en-US"/>
        </w:rPr>
        <w:tab/>
      </w:r>
      <w:r w:rsidR="00A645BB" w:rsidRPr="00012C3F">
        <w:rPr>
          <w:rFonts w:eastAsia="MS Mincho"/>
          <w:i/>
          <w:sz w:val="20"/>
          <w:szCs w:val="20"/>
          <w:lang w:val="en-US" w:eastAsia="en-US" w:bidi="en-US"/>
        </w:rPr>
        <w:t>The principle of full and informed consent</w:t>
      </w:r>
    </w:p>
    <w:p w14:paraId="5D26C2B0" w14:textId="77777777" w:rsidR="00442CC5" w:rsidRPr="00012C3F" w:rsidRDefault="00442CC5" w:rsidP="00E17AF2">
      <w:pPr>
        <w:tabs>
          <w:tab w:val="left" w:pos="567"/>
        </w:tabs>
        <w:spacing w:line="240" w:lineRule="auto"/>
        <w:rPr>
          <w:rFonts w:eastAsia="MS Mincho"/>
          <w:sz w:val="20"/>
          <w:szCs w:val="20"/>
          <w:lang w:val="en-US" w:eastAsia="en-US" w:bidi="en-US"/>
        </w:rPr>
      </w:pPr>
    </w:p>
    <w:p w14:paraId="3307D20C" w14:textId="77777777" w:rsidR="00E17AF2" w:rsidRPr="00012C3F" w:rsidRDefault="00A645BB" w:rsidP="00EB4C39">
      <w:pPr>
        <w:numPr>
          <w:ilvl w:val="0"/>
          <w:numId w:val="5"/>
        </w:numPr>
        <w:tabs>
          <w:tab w:val="left" w:pos="720"/>
          <w:tab w:val="num" w:pos="12305"/>
        </w:tabs>
        <w:spacing w:line="240" w:lineRule="auto"/>
        <w:ind w:left="0" w:firstLine="0"/>
        <w:rPr>
          <w:rFonts w:eastAsia="Calibri" w:cs="ClassicalGaramondBT-Roman"/>
          <w:sz w:val="20"/>
          <w:szCs w:val="20"/>
          <w:lang w:val="en-US"/>
        </w:rPr>
      </w:pPr>
      <w:r w:rsidRPr="00012C3F">
        <w:rPr>
          <w:rFonts w:cs="Arial"/>
          <w:sz w:val="20"/>
          <w:szCs w:val="20"/>
          <w:lang w:val="en-US"/>
        </w:rPr>
        <w:lastRenderedPageBreak/>
        <w:t>Lastly, the Court emphasizes that consent must be full and informed. Full consent can only be obtained after adequate, complete, reliable, comprehensible and accessible information has been received and fully understood. After analyzing several sources, the Court consider</w:t>
      </w:r>
      <w:r w:rsidR="002F4CB5" w:rsidRPr="00012C3F">
        <w:rPr>
          <w:rFonts w:cs="Arial"/>
          <w:sz w:val="20"/>
          <w:szCs w:val="20"/>
          <w:lang w:val="en-US"/>
        </w:rPr>
        <w:t>s</w:t>
      </w:r>
      <w:r w:rsidRPr="00012C3F">
        <w:rPr>
          <w:rFonts w:cs="Arial"/>
          <w:sz w:val="20"/>
          <w:szCs w:val="20"/>
          <w:lang w:val="en-US"/>
        </w:rPr>
        <w:t xml:space="preserve"> that, at the very least, health care providers should offer the following information</w:t>
      </w:r>
      <w:r w:rsidR="00E17AF2" w:rsidRPr="00012C3F">
        <w:rPr>
          <w:rFonts w:eastAsia="Calibri" w:cs="ClassicalGaramondBT-Roman"/>
          <w:sz w:val="20"/>
          <w:szCs w:val="20"/>
          <w:lang w:val="en-US" w:eastAsia="en-US" w:bidi="en-US"/>
        </w:rPr>
        <w:t>:</w:t>
      </w:r>
      <w:r w:rsidR="00E17AF2" w:rsidRPr="00012C3F">
        <w:rPr>
          <w:rFonts w:eastAsia="Calibri" w:cs="ClassicalGaramondBT-Roman"/>
          <w:sz w:val="20"/>
          <w:szCs w:val="20"/>
          <w:lang w:val="en-US"/>
        </w:rPr>
        <w:t xml:space="preserve"> </w:t>
      </w:r>
      <w:r w:rsidR="00EB4C39" w:rsidRPr="00012C3F">
        <w:rPr>
          <w:rFonts w:cs="Arial"/>
          <w:sz w:val="20"/>
          <w:szCs w:val="20"/>
          <w:lang w:val="en-US"/>
        </w:rPr>
        <w:t>(i) an evaluation of the diagnosis; (ii) the purpose, method, probable duration, and expected benefits and risks of the proposed treatment; (iii) the possible adverse effects of the proposed treatment; (iv) treatment alternatives, including those that are less in</w:t>
      </w:r>
      <w:r w:rsidR="002F4CB5" w:rsidRPr="00012C3F">
        <w:rPr>
          <w:rFonts w:cs="Arial"/>
          <w:sz w:val="20"/>
          <w:szCs w:val="20"/>
          <w:lang w:val="en-US"/>
        </w:rPr>
        <w:t>va</w:t>
      </w:r>
      <w:r w:rsidR="00EB4C39" w:rsidRPr="00012C3F">
        <w:rPr>
          <w:rFonts w:cs="Arial"/>
          <w:sz w:val="20"/>
          <w:szCs w:val="20"/>
          <w:lang w:val="en-US"/>
        </w:rPr>
        <w:t xml:space="preserve">sive, </w:t>
      </w:r>
      <w:r w:rsidR="002F4CB5" w:rsidRPr="00012C3F">
        <w:rPr>
          <w:rFonts w:cs="Arial"/>
          <w:sz w:val="20"/>
          <w:szCs w:val="20"/>
          <w:lang w:val="en-US"/>
        </w:rPr>
        <w:t>together with</w:t>
      </w:r>
      <w:r w:rsidR="00EB4C39" w:rsidRPr="00012C3F">
        <w:rPr>
          <w:rFonts w:cs="Arial"/>
          <w:sz w:val="20"/>
          <w:szCs w:val="20"/>
          <w:lang w:val="en-US"/>
        </w:rPr>
        <w:t xml:space="preserve"> the possible pain or discomfort, risks, benefits and secondary effects of the alternative treatments proposed; (v) the consequences of the treatment, and (vi) what may occur before, during and after the treatment.</w:t>
      </w:r>
      <w:r w:rsidR="00E17AF2" w:rsidRPr="00012C3F">
        <w:rPr>
          <w:rStyle w:val="Refdenotaalpie"/>
          <w:rFonts w:eastAsia="Calibri" w:cs="ClassicalGaramondBT-Roman"/>
          <w:sz w:val="20"/>
          <w:szCs w:val="20"/>
          <w:lang w:val="en-US"/>
        </w:rPr>
        <w:footnoteReference w:id="243"/>
      </w:r>
    </w:p>
    <w:p w14:paraId="4E11F6B7" w14:textId="77777777" w:rsidR="00E17AF2" w:rsidRPr="00012C3F" w:rsidRDefault="00E17AF2" w:rsidP="00E17AF2">
      <w:pPr>
        <w:tabs>
          <w:tab w:val="left" w:pos="1134"/>
        </w:tabs>
        <w:spacing w:line="240" w:lineRule="auto"/>
        <w:rPr>
          <w:rFonts w:eastAsia="Calibri" w:cs="ClassicalGaramondBT-Roman"/>
          <w:sz w:val="20"/>
          <w:szCs w:val="20"/>
          <w:lang w:val="en-US"/>
        </w:rPr>
      </w:pPr>
    </w:p>
    <w:p w14:paraId="2232BAF3" w14:textId="77777777" w:rsidR="00EB4C39" w:rsidRPr="00012C3F" w:rsidRDefault="00A84CA0" w:rsidP="00EB4C3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State</w:t>
      </w:r>
      <w:r w:rsidR="00E17AF2" w:rsidRPr="00012C3F">
        <w:rPr>
          <w:sz w:val="20"/>
          <w:szCs w:val="20"/>
          <w:lang w:val="en-US"/>
        </w:rPr>
        <w:t xml:space="preserve"> </w:t>
      </w:r>
      <w:r w:rsidR="00EB4C39" w:rsidRPr="00012C3F">
        <w:rPr>
          <w:sz w:val="20"/>
          <w:szCs w:val="20"/>
          <w:lang w:val="en-US"/>
        </w:rPr>
        <w:t>indicated that, in</w:t>
      </w:r>
      <w:r w:rsidR="00E17AF2" w:rsidRPr="00012C3F">
        <w:rPr>
          <w:sz w:val="20"/>
          <w:szCs w:val="20"/>
          <w:lang w:val="en-US"/>
        </w:rPr>
        <w:t xml:space="preserve"> 2000</w:t>
      </w:r>
      <w:r w:rsidR="00EB4C39" w:rsidRPr="00012C3F">
        <w:rPr>
          <w:sz w:val="20"/>
          <w:szCs w:val="20"/>
          <w:lang w:val="en-US"/>
        </w:rPr>
        <w:t>, there was no consensus on whether a patient should be informed about alternative treatments; rather</w:t>
      </w:r>
      <w:r w:rsidR="002F4CB5" w:rsidRPr="00012C3F">
        <w:rPr>
          <w:sz w:val="20"/>
          <w:szCs w:val="20"/>
          <w:lang w:val="en-US"/>
        </w:rPr>
        <w:t>,</w:t>
      </w:r>
      <w:r w:rsidR="00EB4C39" w:rsidRPr="00012C3F">
        <w:rPr>
          <w:sz w:val="20"/>
          <w:szCs w:val="20"/>
          <w:lang w:val="en-US"/>
        </w:rPr>
        <w:t xml:space="preserve"> agreement existed that information should be provided on the nature of the procedure, the purpose and risks. The Court consider</w:t>
      </w:r>
      <w:r w:rsidR="002F4CB5" w:rsidRPr="00012C3F">
        <w:rPr>
          <w:sz w:val="20"/>
          <w:szCs w:val="20"/>
          <w:lang w:val="en-US"/>
        </w:rPr>
        <w:t>s</w:t>
      </w:r>
      <w:r w:rsidR="00EB4C39" w:rsidRPr="00012C3F">
        <w:rPr>
          <w:sz w:val="20"/>
          <w:szCs w:val="20"/>
          <w:lang w:val="en-US"/>
        </w:rPr>
        <w:t xml:space="preserve"> it relevant to underscore that several international documents, and</w:t>
      </w:r>
      <w:r w:rsidR="002F4CB5" w:rsidRPr="00012C3F">
        <w:rPr>
          <w:sz w:val="20"/>
          <w:szCs w:val="20"/>
          <w:lang w:val="en-US"/>
        </w:rPr>
        <w:t xml:space="preserve"> also</w:t>
      </w:r>
      <w:r w:rsidR="00EB4C39" w:rsidRPr="00012C3F">
        <w:rPr>
          <w:sz w:val="20"/>
          <w:szCs w:val="20"/>
          <w:lang w:val="en-US"/>
        </w:rPr>
        <w:t xml:space="preserve"> the case law of the </w:t>
      </w:r>
      <w:r w:rsidR="00E060D2" w:rsidRPr="00012C3F">
        <w:rPr>
          <w:sz w:val="20"/>
          <w:szCs w:val="20"/>
          <w:lang w:val="en-US"/>
        </w:rPr>
        <w:t>European Court of Human Rights</w:t>
      </w:r>
      <w:r w:rsidR="003F35D0" w:rsidRPr="00012C3F">
        <w:rPr>
          <w:sz w:val="20"/>
          <w:szCs w:val="20"/>
          <w:lang w:val="en-US"/>
        </w:rPr>
        <w:t>,</w:t>
      </w:r>
      <w:r w:rsidR="00E17AF2" w:rsidRPr="00012C3F">
        <w:rPr>
          <w:sz w:val="20"/>
          <w:szCs w:val="20"/>
          <w:lang w:val="en-US"/>
        </w:rPr>
        <w:t xml:space="preserve"> </w:t>
      </w:r>
      <w:r w:rsidR="002F4CB5" w:rsidRPr="00012C3F">
        <w:rPr>
          <w:sz w:val="20"/>
          <w:szCs w:val="20"/>
          <w:lang w:val="en-US"/>
        </w:rPr>
        <w:t>referred to</w:t>
      </w:r>
      <w:r w:rsidR="00EB4C39" w:rsidRPr="00012C3F">
        <w:rPr>
          <w:sz w:val="20"/>
          <w:szCs w:val="20"/>
          <w:lang w:val="en-US"/>
        </w:rPr>
        <w:t xml:space="preserve"> the need to provide information on alternative</w:t>
      </w:r>
      <w:r w:rsidR="002F4CB5" w:rsidRPr="00012C3F">
        <w:rPr>
          <w:sz w:val="20"/>
          <w:szCs w:val="20"/>
          <w:lang w:val="en-US"/>
        </w:rPr>
        <w:t>s</w:t>
      </w:r>
      <w:r w:rsidR="00EB4C39" w:rsidRPr="00012C3F">
        <w:rPr>
          <w:sz w:val="20"/>
          <w:szCs w:val="20"/>
          <w:lang w:val="en-US"/>
        </w:rPr>
        <w:t xml:space="preserve"> to the patient.</w:t>
      </w:r>
      <w:r w:rsidR="00E17AF2" w:rsidRPr="00012C3F">
        <w:rPr>
          <w:rStyle w:val="Refdenotaalpie"/>
          <w:sz w:val="20"/>
          <w:szCs w:val="20"/>
          <w:lang w:val="en-US"/>
        </w:rPr>
        <w:footnoteReference w:id="244"/>
      </w:r>
      <w:r w:rsidR="00E17AF2" w:rsidRPr="00012C3F">
        <w:rPr>
          <w:sz w:val="20"/>
          <w:szCs w:val="20"/>
          <w:lang w:val="en-US"/>
        </w:rPr>
        <w:t xml:space="preserve"> </w:t>
      </w:r>
      <w:r w:rsidR="00EB4C39" w:rsidRPr="00012C3F">
        <w:rPr>
          <w:rFonts w:cs="Arial"/>
          <w:sz w:val="20"/>
          <w:szCs w:val="20"/>
          <w:lang w:val="en-US"/>
        </w:rPr>
        <w:t>In the Court’s opinion, if alternative treatments exist, this information forms part of the concept of necessary information in order to give informed consent, and providing information on these alternatives is considered a basic element of this consent.</w:t>
      </w:r>
    </w:p>
    <w:p w14:paraId="0F3AC868" w14:textId="77777777" w:rsidR="00E17AF2" w:rsidRPr="00012C3F" w:rsidRDefault="00E17AF2" w:rsidP="00E17AF2">
      <w:pPr>
        <w:tabs>
          <w:tab w:val="left" w:pos="1134"/>
        </w:tabs>
        <w:spacing w:line="240" w:lineRule="auto"/>
        <w:rPr>
          <w:rFonts w:eastAsia="Calibri" w:cs="ClassicalGaramondBT-Roman"/>
          <w:sz w:val="20"/>
          <w:szCs w:val="20"/>
          <w:lang w:val="en-US"/>
        </w:rPr>
      </w:pPr>
    </w:p>
    <w:p w14:paraId="5D27063C" w14:textId="77777777" w:rsidR="00E17AF2" w:rsidRPr="00012C3F" w:rsidRDefault="00A72663" w:rsidP="002F4CB5">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cs="ClassicalGaramondBT-Roman"/>
          <w:sz w:val="20"/>
          <w:szCs w:val="20"/>
          <w:lang w:val="en-US" w:eastAsia="en-US" w:bidi="en-US"/>
        </w:rPr>
        <w:t>That said, as already established, obtaining consent should be the result of a communication process, in which qualified personnel pre</w:t>
      </w:r>
      <w:r w:rsidR="00EE5B68" w:rsidRPr="00012C3F">
        <w:rPr>
          <w:rFonts w:eastAsia="Calibri" w:cs="ClassicalGaramondBT-Roman"/>
          <w:sz w:val="20"/>
          <w:szCs w:val="20"/>
          <w:lang w:val="en-US" w:eastAsia="en-US" w:bidi="en-US"/>
        </w:rPr>
        <w:t>s</w:t>
      </w:r>
      <w:r w:rsidRPr="00012C3F">
        <w:rPr>
          <w:rFonts w:eastAsia="Calibri" w:cs="ClassicalGaramondBT-Roman"/>
          <w:sz w:val="20"/>
          <w:szCs w:val="20"/>
          <w:lang w:val="en-US" w:eastAsia="en-US" w:bidi="en-US"/>
        </w:rPr>
        <w:t xml:space="preserve">ent clear, non-technical, impartial, exact, true, timely, complete, adequate, </w:t>
      </w:r>
      <w:r w:rsidR="00EE5B68" w:rsidRPr="00012C3F">
        <w:rPr>
          <w:rFonts w:eastAsia="Calibri" w:cs="ClassicalGaramondBT-Roman"/>
          <w:sz w:val="20"/>
          <w:szCs w:val="20"/>
          <w:lang w:val="en-US" w:eastAsia="en-US" w:bidi="en-US"/>
        </w:rPr>
        <w:t xml:space="preserve">and </w:t>
      </w:r>
      <w:r w:rsidRPr="00012C3F">
        <w:rPr>
          <w:rFonts w:eastAsia="Calibri" w:cs="ClassicalGaramondBT-Roman"/>
          <w:sz w:val="20"/>
          <w:szCs w:val="20"/>
          <w:lang w:val="en-US" w:eastAsia="en-US" w:bidi="en-US"/>
        </w:rPr>
        <w:t xml:space="preserve">reliable information; in other words, information that provides the necessary elements for the adoption of an informed decision. </w:t>
      </w:r>
      <w:r w:rsidR="00EE5B68" w:rsidRPr="00012C3F">
        <w:rPr>
          <w:rFonts w:eastAsia="Calibri" w:cs="ClassicalGaramondBT-Roman"/>
          <w:sz w:val="20"/>
          <w:szCs w:val="20"/>
          <w:lang w:val="en-US" w:eastAsia="en-US" w:bidi="en-US"/>
        </w:rPr>
        <w:t>H</w:t>
      </w:r>
      <w:r w:rsidRPr="00012C3F">
        <w:rPr>
          <w:rFonts w:eastAsia="Calibri" w:cs="ClassicalGaramondBT-Roman"/>
          <w:sz w:val="20"/>
          <w:szCs w:val="20"/>
          <w:lang w:val="en-US" w:eastAsia="en-US" w:bidi="en-US"/>
        </w:rPr>
        <w:t xml:space="preserve">ealth personnel should not act in a coercive or inducive manner in order to </w:t>
      </w:r>
      <w:r w:rsidR="00EE5B68" w:rsidRPr="00012C3F">
        <w:rPr>
          <w:rFonts w:eastAsia="Calibri" w:cs="ClassicalGaramondBT-Roman"/>
          <w:sz w:val="20"/>
          <w:szCs w:val="20"/>
          <w:lang w:val="en-US" w:eastAsia="en-US" w:bidi="en-US"/>
        </w:rPr>
        <w:t xml:space="preserve">achieve </w:t>
      </w:r>
      <w:r w:rsidRPr="00012C3F">
        <w:rPr>
          <w:rFonts w:eastAsia="Calibri" w:cs="ClassicalGaramondBT-Roman"/>
          <w:sz w:val="20"/>
          <w:szCs w:val="20"/>
          <w:lang w:val="en-US" w:eastAsia="en-US" w:bidi="en-US"/>
        </w:rPr>
        <w:t xml:space="preserve">the acceptance of the medical procedure, based on the understanding that the </w:t>
      </w:r>
      <w:r w:rsidR="002F4CB5" w:rsidRPr="00012C3F">
        <w:rPr>
          <w:rFonts w:eastAsia="Calibri" w:cs="ClassicalGaramondBT-Roman"/>
          <w:sz w:val="20"/>
          <w:szCs w:val="20"/>
          <w:lang w:val="en-US" w:eastAsia="en-US" w:bidi="en-US"/>
        </w:rPr>
        <w:t>physician</w:t>
      </w:r>
      <w:r w:rsidR="002F4CB5" w:rsidRPr="00012C3F">
        <w:rPr>
          <w:rFonts w:eastAsia="MS Mincho"/>
          <w:sz w:val="20"/>
          <w:szCs w:val="20"/>
          <w:lang w:val="en-US" w:eastAsia="en-US" w:bidi="en-US"/>
        </w:rPr>
        <w:t>’s</w:t>
      </w:r>
      <w:r w:rsidR="002F4CB5" w:rsidRPr="00012C3F">
        <w:rPr>
          <w:rFonts w:eastAsia="Calibri" w:cs="ClassicalGaramondBT-Roman"/>
          <w:sz w:val="20"/>
          <w:szCs w:val="20"/>
          <w:lang w:val="en-US" w:eastAsia="en-US" w:bidi="en-US"/>
        </w:rPr>
        <w:t xml:space="preserve"> opinion</w:t>
      </w:r>
      <w:r w:rsidRPr="00012C3F">
        <w:rPr>
          <w:rFonts w:eastAsia="Calibri" w:cs="ClassicalGaramondBT-Roman"/>
          <w:sz w:val="20"/>
          <w:szCs w:val="20"/>
          <w:lang w:val="en-US" w:eastAsia="en-US" w:bidi="en-US"/>
        </w:rPr>
        <w:t xml:space="preserve"> should prevail over the patient’s desires and </w:t>
      </w:r>
      <w:r w:rsidRPr="00012C3F">
        <w:rPr>
          <w:rFonts w:eastAsia="Calibri" w:cs="ClassicalGaramondBT-Roman"/>
          <w:sz w:val="20"/>
          <w:szCs w:val="20"/>
          <w:lang w:val="en-US" w:eastAsia="en-US" w:bidi="en-US"/>
        </w:rPr>
        <w:lastRenderedPageBreak/>
        <w:t xml:space="preserve">autonomy. </w:t>
      </w:r>
      <w:r w:rsidR="00EE5B68" w:rsidRPr="00012C3F">
        <w:rPr>
          <w:rFonts w:eastAsia="Calibri" w:cs="ClassicalGaramondBT-Roman"/>
          <w:sz w:val="20"/>
          <w:szCs w:val="20"/>
          <w:lang w:val="en-US" w:eastAsia="en-US" w:bidi="en-US"/>
        </w:rPr>
        <w:t>Health care</w:t>
      </w:r>
      <w:r w:rsidRPr="00012C3F">
        <w:rPr>
          <w:rFonts w:eastAsia="Calibri" w:cs="ClassicalGaramondBT-Roman"/>
          <w:sz w:val="20"/>
          <w:szCs w:val="20"/>
          <w:lang w:val="en-US" w:eastAsia="en-US" w:bidi="en-US"/>
        </w:rPr>
        <w:t xml:space="preserve"> providers are essential agents to ensure that adequate information is provided, so that the way in which the information is presented is very important, because both the health care personnel and the patient herself may have preconceived ideas about the treatment, added to the fact that</w:t>
      </w:r>
      <w:r w:rsidR="002F4CB5" w:rsidRPr="00012C3F">
        <w:rPr>
          <w:rFonts w:eastAsia="Calibri" w:cs="ClassicalGaramondBT-Roman"/>
          <w:sz w:val="20"/>
          <w:szCs w:val="20"/>
          <w:lang w:val="en-US" w:eastAsia="en-US" w:bidi="en-US"/>
        </w:rPr>
        <w:t xml:space="preserve"> people</w:t>
      </w:r>
      <w:r w:rsidRPr="00012C3F">
        <w:rPr>
          <w:rFonts w:eastAsia="Calibri" w:cs="ClassicalGaramondBT-Roman"/>
          <w:sz w:val="20"/>
          <w:szCs w:val="20"/>
          <w:lang w:val="en-US" w:eastAsia="en-US" w:bidi="en-US"/>
        </w:rPr>
        <w:t xml:space="preserve"> frequently have </w:t>
      </w:r>
      <w:r w:rsidR="002F4CB5" w:rsidRPr="00012C3F">
        <w:rPr>
          <w:rFonts w:eastAsia="Calibri" w:cs="ClassicalGaramondBT-Roman"/>
          <w:sz w:val="20"/>
          <w:szCs w:val="20"/>
          <w:lang w:val="en-US" w:eastAsia="en-US" w:bidi="en-US"/>
        </w:rPr>
        <w:t>difficulty</w:t>
      </w:r>
      <w:r w:rsidRPr="00012C3F">
        <w:rPr>
          <w:rFonts w:eastAsia="Calibri" w:cs="ClassicalGaramondBT-Roman"/>
          <w:sz w:val="20"/>
          <w:szCs w:val="20"/>
          <w:lang w:val="en-US" w:eastAsia="en-US" w:bidi="en-US"/>
        </w:rPr>
        <w:t xml:space="preserve"> communicating ideas.</w:t>
      </w:r>
      <w:r w:rsidR="00E17AF2" w:rsidRPr="00012C3F">
        <w:rPr>
          <w:rStyle w:val="Refdenotaalpie"/>
          <w:rFonts w:eastAsia="MS Mincho"/>
          <w:bCs/>
          <w:sz w:val="20"/>
          <w:szCs w:val="20"/>
          <w:lang w:val="en-US" w:eastAsia="en-US" w:bidi="en-US"/>
        </w:rPr>
        <w:footnoteReference w:id="245"/>
      </w:r>
    </w:p>
    <w:p w14:paraId="3D271E70" w14:textId="77777777" w:rsidR="00E17AF2" w:rsidRPr="00012C3F" w:rsidRDefault="00E17AF2" w:rsidP="00E17AF2">
      <w:pPr>
        <w:tabs>
          <w:tab w:val="left" w:pos="567"/>
        </w:tabs>
        <w:spacing w:line="240" w:lineRule="auto"/>
        <w:rPr>
          <w:rFonts w:eastAsia="MS Mincho"/>
          <w:sz w:val="20"/>
          <w:szCs w:val="20"/>
          <w:lang w:val="en-US" w:eastAsia="en-US" w:bidi="en-US"/>
        </w:rPr>
      </w:pPr>
    </w:p>
    <w:p w14:paraId="20C78515" w14:textId="77777777" w:rsidR="00E17AF2" w:rsidRPr="00012C3F" w:rsidRDefault="00C36B12" w:rsidP="00EE5B68">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bCs/>
          <w:sz w:val="20"/>
          <w:szCs w:val="20"/>
          <w:lang w:val="en-US" w:eastAsia="en-US" w:bidi="en-US"/>
        </w:rPr>
        <w:t>In this regard</w:t>
      </w:r>
      <w:r w:rsidR="00E17AF2" w:rsidRPr="00012C3F">
        <w:rPr>
          <w:rFonts w:eastAsia="MS Mincho"/>
          <w:bCs/>
          <w:sz w:val="20"/>
          <w:szCs w:val="20"/>
          <w:lang w:val="en-US" w:eastAsia="en-US" w:bidi="en-US"/>
        </w:rPr>
        <w:t xml:space="preserve">, </w:t>
      </w:r>
      <w:r w:rsidR="00EE5B68" w:rsidRPr="00012C3F">
        <w:rPr>
          <w:rFonts w:cs="Arial"/>
          <w:sz w:val="20"/>
          <w:szCs w:val="20"/>
          <w:lang w:val="en-US"/>
        </w:rPr>
        <w:t>in order to ensure that the information is fully understood, the health care p</w:t>
      </w:r>
      <w:r w:rsidR="002F4CB5" w:rsidRPr="00012C3F">
        <w:rPr>
          <w:rFonts w:cs="Arial"/>
          <w:sz w:val="20"/>
          <w:szCs w:val="20"/>
          <w:lang w:val="en-US"/>
        </w:rPr>
        <w:t xml:space="preserve">roviders </w:t>
      </w:r>
      <w:r w:rsidR="00EE5B68" w:rsidRPr="00012C3F">
        <w:rPr>
          <w:rFonts w:cs="Arial"/>
          <w:sz w:val="20"/>
          <w:szCs w:val="20"/>
          <w:lang w:val="en-US"/>
        </w:rPr>
        <w:t xml:space="preserve">must take into account the particularities and needs of </w:t>
      </w:r>
      <w:r w:rsidR="0053644E" w:rsidRPr="00012C3F">
        <w:rPr>
          <w:rFonts w:cs="Arial"/>
          <w:sz w:val="20"/>
          <w:szCs w:val="20"/>
          <w:lang w:val="en-US"/>
        </w:rPr>
        <w:t xml:space="preserve">the </w:t>
      </w:r>
      <w:r w:rsidR="00EE5B68" w:rsidRPr="00012C3F">
        <w:rPr>
          <w:rFonts w:cs="Arial"/>
          <w:sz w:val="20"/>
          <w:szCs w:val="20"/>
          <w:lang w:val="en-US"/>
        </w:rPr>
        <w:t>patient,</w:t>
      </w:r>
      <w:r w:rsidR="0053644E" w:rsidRPr="00012C3F">
        <w:rPr>
          <w:rStyle w:val="Refdenotaalpie"/>
          <w:rFonts w:eastAsia="MS Mincho"/>
          <w:bCs/>
          <w:sz w:val="20"/>
          <w:szCs w:val="20"/>
          <w:lang w:val="en-US" w:eastAsia="en-US" w:bidi="en-US"/>
        </w:rPr>
        <w:footnoteReference w:id="246"/>
      </w:r>
      <w:r w:rsidR="00EE5B68" w:rsidRPr="00012C3F">
        <w:rPr>
          <w:rFonts w:cs="Arial"/>
          <w:sz w:val="20"/>
          <w:szCs w:val="20"/>
          <w:lang w:val="en-US"/>
        </w:rPr>
        <w:t xml:space="preserve"> such as their culture, religion, lifestyle, and level of education. This forms part of the obligation to provide culturally acceptable health care. </w:t>
      </w:r>
      <w:r w:rsidR="0053644E" w:rsidRPr="00012C3F">
        <w:rPr>
          <w:rFonts w:cs="Arial"/>
          <w:sz w:val="20"/>
          <w:szCs w:val="20"/>
          <w:lang w:val="en-US"/>
        </w:rPr>
        <w:t xml:space="preserve">The Court underlines that, since the </w:t>
      </w:r>
      <w:r w:rsidR="0053644E" w:rsidRPr="00012C3F">
        <w:rPr>
          <w:rFonts w:eastAsia="MS Mincho"/>
          <w:bCs/>
          <w:sz w:val="20"/>
          <w:szCs w:val="20"/>
          <w:lang w:val="en-US" w:eastAsia="en-US" w:bidi="en-US"/>
        </w:rPr>
        <w:t>Declaration of Helsinki the need was established</w:t>
      </w:r>
      <w:r w:rsidR="005B4D8A" w:rsidRPr="00012C3F">
        <w:rPr>
          <w:rFonts w:eastAsia="MS Mincho"/>
          <w:bCs/>
          <w:sz w:val="20"/>
          <w:szCs w:val="20"/>
          <w:lang w:val="en-US" w:eastAsia="en-US" w:bidi="en-US"/>
        </w:rPr>
        <w:t xml:space="preserve"> that</w:t>
      </w:r>
      <w:r w:rsidR="0053644E" w:rsidRPr="00012C3F">
        <w:rPr>
          <w:rFonts w:eastAsia="MS Mincho"/>
          <w:bCs/>
          <w:sz w:val="20"/>
          <w:szCs w:val="20"/>
          <w:lang w:val="en-US" w:eastAsia="en-US" w:bidi="en-US"/>
        </w:rPr>
        <w:t xml:space="preserve"> “</w:t>
      </w:r>
      <w:r w:rsidR="005B4D8A" w:rsidRPr="00012C3F">
        <w:rPr>
          <w:rFonts w:eastAsia="MS Mincho"/>
          <w:bCs/>
          <w:sz w:val="20"/>
          <w:szCs w:val="20"/>
          <w:lang w:val="en-US" w:eastAsia="en-US" w:bidi="en-US"/>
        </w:rPr>
        <w:t>[</w:t>
      </w:r>
      <w:r w:rsidR="0053644E" w:rsidRPr="00012C3F">
        <w:rPr>
          <w:rFonts w:eastAsia="MS Mincho"/>
          <w:bCs/>
          <w:sz w:val="20"/>
          <w:szCs w:val="20"/>
          <w:lang w:val="en-US" w:eastAsia="en-US" w:bidi="en-US"/>
        </w:rPr>
        <w:t>s</w:t>
      </w:r>
      <w:r w:rsidR="005B4D8A" w:rsidRPr="00012C3F">
        <w:rPr>
          <w:rFonts w:eastAsia="MS Mincho"/>
          <w:bCs/>
          <w:sz w:val="20"/>
          <w:szCs w:val="20"/>
          <w:lang w:val="en-US" w:eastAsia="en-US" w:bidi="en-US"/>
        </w:rPr>
        <w:t>]</w:t>
      </w:r>
      <w:r w:rsidR="0053644E" w:rsidRPr="00012C3F">
        <w:rPr>
          <w:rFonts w:eastAsia="MS Mincho"/>
          <w:bCs/>
          <w:sz w:val="20"/>
          <w:szCs w:val="20"/>
          <w:lang w:val="en-US" w:eastAsia="en-US" w:bidi="en-US"/>
        </w:rPr>
        <w:t>pecial attention</w:t>
      </w:r>
      <w:r w:rsidR="005B4D8A" w:rsidRPr="00012C3F">
        <w:rPr>
          <w:rFonts w:eastAsia="MS Mincho"/>
          <w:bCs/>
          <w:sz w:val="20"/>
          <w:szCs w:val="20"/>
          <w:lang w:val="en-US" w:eastAsia="en-US" w:bidi="en-US"/>
        </w:rPr>
        <w:t xml:space="preserve"> should be given</w:t>
      </w:r>
      <w:r w:rsidR="0053644E" w:rsidRPr="00012C3F">
        <w:rPr>
          <w:rFonts w:eastAsia="MS Mincho"/>
          <w:bCs/>
          <w:sz w:val="20"/>
          <w:szCs w:val="20"/>
          <w:lang w:val="en-US" w:eastAsia="en-US" w:bidi="en-US"/>
        </w:rPr>
        <w:t xml:space="preserve"> to the specific </w:t>
      </w:r>
      <w:r w:rsidR="005B4D8A" w:rsidRPr="00012C3F">
        <w:rPr>
          <w:rFonts w:eastAsia="MS Mincho"/>
          <w:bCs/>
          <w:sz w:val="20"/>
          <w:szCs w:val="20"/>
          <w:lang w:val="en-US" w:eastAsia="en-US" w:bidi="en-US"/>
        </w:rPr>
        <w:t xml:space="preserve">information </w:t>
      </w:r>
      <w:r w:rsidR="0053644E" w:rsidRPr="00012C3F">
        <w:rPr>
          <w:rFonts w:eastAsia="MS Mincho"/>
          <w:bCs/>
          <w:sz w:val="20"/>
          <w:szCs w:val="20"/>
          <w:lang w:val="en-US" w:eastAsia="en-US" w:bidi="en-US"/>
        </w:rPr>
        <w:t>needs of in</w:t>
      </w:r>
      <w:r w:rsidR="005B4D8A" w:rsidRPr="00012C3F">
        <w:rPr>
          <w:rFonts w:eastAsia="MS Mincho"/>
          <w:bCs/>
          <w:sz w:val="20"/>
          <w:szCs w:val="20"/>
          <w:lang w:val="en-US" w:eastAsia="en-US" w:bidi="en-US"/>
        </w:rPr>
        <w:t xml:space="preserve">dividual </w:t>
      </w:r>
      <w:r w:rsidR="0053644E" w:rsidRPr="00012C3F">
        <w:rPr>
          <w:rFonts w:eastAsia="MS Mincho"/>
          <w:bCs/>
          <w:sz w:val="20"/>
          <w:szCs w:val="20"/>
          <w:lang w:val="en-US" w:eastAsia="en-US" w:bidi="en-US"/>
        </w:rPr>
        <w:t xml:space="preserve">potential </w:t>
      </w:r>
      <w:r w:rsidR="005B4D8A" w:rsidRPr="00012C3F">
        <w:rPr>
          <w:rFonts w:eastAsia="MS Mincho"/>
          <w:bCs/>
          <w:sz w:val="20"/>
          <w:szCs w:val="20"/>
          <w:lang w:val="en-US" w:eastAsia="en-US" w:bidi="en-US"/>
        </w:rPr>
        <w:t xml:space="preserve">subjects as well as to </w:t>
      </w:r>
      <w:r w:rsidR="0053644E" w:rsidRPr="00012C3F">
        <w:rPr>
          <w:rFonts w:eastAsia="MS Mincho"/>
          <w:bCs/>
          <w:sz w:val="20"/>
          <w:szCs w:val="20"/>
          <w:lang w:val="en-US" w:eastAsia="en-US" w:bidi="en-US"/>
        </w:rPr>
        <w:t>the methods used to deliver the information.”</w:t>
      </w:r>
      <w:r w:rsidR="0053644E" w:rsidRPr="00012C3F">
        <w:rPr>
          <w:rStyle w:val="Refdenotaalpie"/>
          <w:rFonts w:eastAsia="MS Mincho" w:cs="Arial"/>
          <w:sz w:val="20"/>
          <w:szCs w:val="20"/>
          <w:lang w:val="en-US" w:eastAsia="en-US" w:bidi="en-US"/>
        </w:rPr>
        <w:footnoteReference w:id="247"/>
      </w:r>
      <w:r w:rsidR="0053644E" w:rsidRPr="00012C3F">
        <w:rPr>
          <w:rFonts w:eastAsia="MS Mincho"/>
          <w:bCs/>
          <w:sz w:val="20"/>
          <w:szCs w:val="20"/>
          <w:lang w:val="en-US" w:eastAsia="en-US" w:bidi="en-US"/>
        </w:rPr>
        <w:t xml:space="preserve"> Similarly, the </w:t>
      </w:r>
      <w:r w:rsidR="0053644E" w:rsidRPr="00012C3F">
        <w:rPr>
          <w:rFonts w:eastAsia="MS Mincho"/>
          <w:sz w:val="20"/>
          <w:szCs w:val="20"/>
          <w:lang w:val="en-US"/>
        </w:rPr>
        <w:t>Declaration of Lisbon</w:t>
      </w:r>
      <w:r w:rsidR="0053644E" w:rsidRPr="00012C3F">
        <w:rPr>
          <w:rFonts w:eastAsia="MS Mincho"/>
          <w:bCs/>
          <w:sz w:val="20"/>
          <w:szCs w:val="20"/>
          <w:lang w:val="en-US" w:eastAsia="en-US" w:bidi="en-US"/>
        </w:rPr>
        <w:t xml:space="preserve"> indicates that the information must be delivered “in a way appropriate to the </w:t>
      </w:r>
      <w:r w:rsidR="005B4D8A" w:rsidRPr="00012C3F">
        <w:rPr>
          <w:rFonts w:eastAsia="MS Mincho"/>
          <w:bCs/>
          <w:sz w:val="20"/>
          <w:szCs w:val="20"/>
          <w:lang w:val="en-US" w:eastAsia="en-US" w:bidi="en-US"/>
        </w:rPr>
        <w:t>patient’s</w:t>
      </w:r>
      <w:r w:rsidR="0053644E" w:rsidRPr="00012C3F">
        <w:rPr>
          <w:rFonts w:eastAsia="MS Mincho"/>
          <w:bCs/>
          <w:sz w:val="20"/>
          <w:szCs w:val="20"/>
          <w:lang w:val="en-US" w:eastAsia="en-US" w:bidi="en-US"/>
        </w:rPr>
        <w:t xml:space="preserve"> culture</w:t>
      </w:r>
      <w:r w:rsidR="0053644E" w:rsidRPr="00012C3F">
        <w:rPr>
          <w:rFonts w:eastAsia="MS Mincho"/>
          <w:bCs/>
          <w:sz w:val="22"/>
          <w:szCs w:val="22"/>
          <w:lang w:val="en-US" w:eastAsia="en-US" w:bidi="en-US"/>
        </w:rPr>
        <w:t xml:space="preserve"> </w:t>
      </w:r>
      <w:r w:rsidR="0053644E" w:rsidRPr="00012C3F">
        <w:rPr>
          <w:rFonts w:eastAsia="MS Mincho"/>
          <w:bCs/>
          <w:sz w:val="20"/>
          <w:szCs w:val="20"/>
          <w:lang w:val="en-US" w:eastAsia="en-US" w:bidi="en-US"/>
        </w:rPr>
        <w:t>and in such a way that the patient can understand.”</w:t>
      </w:r>
      <w:r w:rsidR="0053644E" w:rsidRPr="00012C3F">
        <w:rPr>
          <w:rStyle w:val="Refdenotaalpie"/>
          <w:rFonts w:eastAsia="MS Mincho" w:cs="Arial"/>
          <w:sz w:val="20"/>
          <w:szCs w:val="20"/>
          <w:shd w:val="clear" w:color="auto" w:fill="FFFFFF"/>
          <w:lang w:val="en-US" w:eastAsia="en-US" w:bidi="en-US"/>
        </w:rPr>
        <w:footnoteReference w:id="248"/>
      </w:r>
      <w:r w:rsidR="0053644E" w:rsidRPr="00012C3F">
        <w:rPr>
          <w:rFonts w:eastAsia="MS Mincho"/>
          <w:bCs/>
          <w:sz w:val="20"/>
          <w:szCs w:val="20"/>
          <w:lang w:val="en-US" w:eastAsia="en-US" w:bidi="en-US"/>
        </w:rPr>
        <w:t xml:space="preserve"> In this regard, the information </w:t>
      </w:r>
      <w:r w:rsidR="005B4D8A" w:rsidRPr="00012C3F">
        <w:rPr>
          <w:rFonts w:eastAsia="MS Mincho"/>
          <w:bCs/>
          <w:sz w:val="20"/>
          <w:szCs w:val="20"/>
          <w:lang w:val="en-US" w:eastAsia="en-US" w:bidi="en-US"/>
        </w:rPr>
        <w:t>should include</w:t>
      </w:r>
      <w:r w:rsidR="0053644E" w:rsidRPr="00012C3F">
        <w:rPr>
          <w:rFonts w:eastAsia="MS Mincho"/>
          <w:bCs/>
          <w:sz w:val="20"/>
          <w:szCs w:val="20"/>
          <w:lang w:val="en-US" w:eastAsia="en-US" w:bidi="en-US"/>
        </w:rPr>
        <w:t xml:space="preserve"> not only what the </w:t>
      </w:r>
      <w:r w:rsidR="005B4D8A" w:rsidRPr="00012C3F">
        <w:rPr>
          <w:rFonts w:eastAsia="MS Mincho"/>
          <w:bCs/>
          <w:sz w:val="20"/>
          <w:szCs w:val="20"/>
          <w:lang w:val="en-US" w:eastAsia="en-US" w:bidi="en-US"/>
        </w:rPr>
        <w:t>physician</w:t>
      </w:r>
      <w:r w:rsidR="0053644E" w:rsidRPr="00012C3F">
        <w:rPr>
          <w:rFonts w:eastAsia="MS Mincho"/>
          <w:bCs/>
          <w:sz w:val="20"/>
          <w:szCs w:val="20"/>
          <w:lang w:val="en-US" w:eastAsia="en-US" w:bidi="en-US"/>
        </w:rPr>
        <w:t xml:space="preserve"> </w:t>
      </w:r>
      <w:r w:rsidR="005B4D8A" w:rsidRPr="00012C3F">
        <w:rPr>
          <w:rFonts w:eastAsia="MS Mincho"/>
          <w:bCs/>
          <w:sz w:val="20"/>
          <w:szCs w:val="20"/>
          <w:lang w:val="en-US" w:eastAsia="en-US" w:bidi="en-US"/>
        </w:rPr>
        <w:t>may</w:t>
      </w:r>
      <w:r w:rsidR="0053644E" w:rsidRPr="00012C3F">
        <w:rPr>
          <w:rFonts w:eastAsia="MS Mincho"/>
          <w:bCs/>
          <w:sz w:val="20"/>
          <w:szCs w:val="20"/>
          <w:lang w:val="en-US" w:eastAsia="en-US" w:bidi="en-US"/>
        </w:rPr>
        <w:t xml:space="preserve"> consider reasonable and necessary to share, but should also focus on what is important for the patient. In other words, the information provided must have both an objective and a subjective element. Taking into account the particularities of the person is especially important when patients belong to vulnerable groups with specific needs for protection owing to </w:t>
      </w:r>
      <w:r w:rsidR="005B4D8A" w:rsidRPr="00012C3F">
        <w:rPr>
          <w:rFonts w:eastAsia="MS Mincho"/>
          <w:bCs/>
          <w:sz w:val="20"/>
          <w:szCs w:val="20"/>
          <w:lang w:val="en-US" w:eastAsia="en-US" w:bidi="en-US"/>
        </w:rPr>
        <w:t>factors</w:t>
      </w:r>
      <w:r w:rsidR="0053644E" w:rsidRPr="00012C3F">
        <w:rPr>
          <w:rFonts w:eastAsia="MS Mincho"/>
          <w:bCs/>
          <w:sz w:val="20"/>
          <w:szCs w:val="20"/>
          <w:lang w:val="en-US" w:eastAsia="en-US" w:bidi="en-US"/>
        </w:rPr>
        <w:t xml:space="preserve"> of exclusion, marginalization or discrimination, that are relevant for understanding the information. </w:t>
      </w:r>
      <w:r w:rsidR="00EE5B68" w:rsidRPr="00012C3F">
        <w:rPr>
          <w:rFonts w:cs="Arial"/>
          <w:sz w:val="20"/>
          <w:szCs w:val="20"/>
          <w:lang w:val="en-US"/>
        </w:rPr>
        <w:t>Furthermore, the Court consider</w:t>
      </w:r>
      <w:r w:rsidR="0053644E" w:rsidRPr="00012C3F">
        <w:rPr>
          <w:rFonts w:cs="Arial"/>
          <w:sz w:val="20"/>
          <w:szCs w:val="20"/>
          <w:lang w:val="en-US"/>
        </w:rPr>
        <w:t>s</w:t>
      </w:r>
      <w:r w:rsidR="00EE5B68" w:rsidRPr="00012C3F">
        <w:rPr>
          <w:rFonts w:cs="Arial"/>
          <w:sz w:val="20"/>
          <w:szCs w:val="20"/>
          <w:lang w:val="en-US"/>
        </w:rPr>
        <w:t xml:space="preserve"> that, to ensure that the information is fully understood and an informed decision can be taken, it is necessary to ensure a reasonable period of reflection, which could vary according to the conditions </w:t>
      </w:r>
      <w:r w:rsidR="0053644E" w:rsidRPr="00012C3F">
        <w:rPr>
          <w:rFonts w:cs="Arial"/>
          <w:sz w:val="20"/>
          <w:szCs w:val="20"/>
          <w:lang w:val="en-US"/>
        </w:rPr>
        <w:t>of</w:t>
      </w:r>
      <w:r w:rsidR="00EE5B68" w:rsidRPr="00012C3F">
        <w:rPr>
          <w:rFonts w:cs="Arial"/>
          <w:sz w:val="20"/>
          <w:szCs w:val="20"/>
          <w:lang w:val="en-US"/>
        </w:rPr>
        <w:t xml:space="preserve"> each case and the circumstances of each person. This constitutes a guarantee that is especially effective to avoid non-consensual or involuntary sterilizations</w:t>
      </w:r>
      <w:r w:rsidR="0053644E" w:rsidRPr="00012C3F">
        <w:rPr>
          <w:rFonts w:eastAsia="MS Mincho"/>
          <w:sz w:val="20"/>
          <w:szCs w:val="20"/>
          <w:lang w:val="en-US" w:eastAsia="en-US" w:bidi="en-US"/>
        </w:rPr>
        <w:t>.</w:t>
      </w:r>
      <w:r w:rsidR="00E17AF2" w:rsidRPr="00012C3F">
        <w:rPr>
          <w:rStyle w:val="Refdenotaalpie"/>
          <w:rFonts w:eastAsia="MS Mincho"/>
          <w:bCs/>
          <w:sz w:val="20"/>
          <w:szCs w:val="20"/>
          <w:lang w:val="en-US" w:eastAsia="en-US" w:bidi="en-US"/>
        </w:rPr>
        <w:footnoteReference w:id="249"/>
      </w:r>
    </w:p>
    <w:p w14:paraId="21493AAA" w14:textId="77777777" w:rsidR="00E17AF2" w:rsidRPr="00012C3F" w:rsidRDefault="00E17AF2" w:rsidP="00E17AF2">
      <w:pPr>
        <w:widowControl/>
        <w:tabs>
          <w:tab w:val="left" w:pos="720"/>
        </w:tabs>
        <w:adjustRightInd/>
        <w:spacing w:line="240" w:lineRule="auto"/>
        <w:ind w:right="-90"/>
        <w:textAlignment w:val="auto"/>
        <w:rPr>
          <w:sz w:val="20"/>
          <w:szCs w:val="20"/>
          <w:lang w:val="en-US"/>
        </w:rPr>
      </w:pPr>
    </w:p>
    <w:p w14:paraId="115C62E7" w14:textId="77777777" w:rsidR="00E17AF2" w:rsidRPr="00012C3F" w:rsidRDefault="0053644E" w:rsidP="00897847">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cs="ClassicalGaramondBT-Roman"/>
          <w:sz w:val="20"/>
          <w:szCs w:val="20"/>
          <w:lang w:val="en-US" w:eastAsia="en-US" w:bidi="en-US"/>
        </w:rPr>
        <w:t xml:space="preserve">The Court understands that the elements indicated in the preceding paragraph are relevant in the process to obtain </w:t>
      </w:r>
      <w:r w:rsidR="00AC0004" w:rsidRPr="00012C3F">
        <w:rPr>
          <w:rFonts w:eastAsia="MS Mincho"/>
          <w:bCs/>
          <w:sz w:val="20"/>
          <w:szCs w:val="20"/>
          <w:lang w:val="en-US" w:eastAsia="en-US" w:bidi="en-US"/>
        </w:rPr>
        <w:t>informed consent</w:t>
      </w:r>
      <w:r w:rsidR="00E17AF2" w:rsidRPr="00012C3F">
        <w:rPr>
          <w:rFonts w:eastAsia="MS Mincho"/>
          <w:bCs/>
          <w:sz w:val="20"/>
          <w:szCs w:val="20"/>
          <w:lang w:val="en-US" w:eastAsia="en-US" w:bidi="en-US"/>
        </w:rPr>
        <w:t xml:space="preserve"> </w:t>
      </w:r>
      <w:r w:rsidRPr="00012C3F">
        <w:rPr>
          <w:rFonts w:eastAsia="MS Mincho"/>
          <w:bCs/>
          <w:sz w:val="20"/>
          <w:szCs w:val="20"/>
          <w:lang w:val="en-US" w:eastAsia="en-US" w:bidi="en-US"/>
        </w:rPr>
        <w:t xml:space="preserve">for female sterilization, owing to the discrimination and negative or prejudicial stereotypes that women face in the area of health care </w:t>
      </w:r>
      <w:r w:rsidR="00AF6914" w:rsidRPr="00012C3F">
        <w:rPr>
          <w:rFonts w:eastAsia="MS Mincho"/>
          <w:bCs/>
          <w:sz w:val="20"/>
          <w:szCs w:val="20"/>
          <w:lang w:val="en-US" w:eastAsia="en-US" w:bidi="en-US"/>
        </w:rPr>
        <w:t>(</w:t>
      </w:r>
      <w:r w:rsidR="00AF6914" w:rsidRPr="00012C3F">
        <w:rPr>
          <w:rFonts w:eastAsia="MS Mincho"/>
          <w:bCs/>
          <w:i/>
          <w:sz w:val="20"/>
          <w:szCs w:val="20"/>
          <w:lang w:val="en-US" w:eastAsia="en-US" w:bidi="en-US"/>
        </w:rPr>
        <w:t>supra</w:t>
      </w:r>
      <w:r w:rsidR="00AF6914" w:rsidRPr="00012C3F">
        <w:rPr>
          <w:rFonts w:eastAsia="MS Mincho"/>
          <w:bCs/>
          <w:sz w:val="20"/>
          <w:szCs w:val="20"/>
          <w:lang w:val="en-US" w:eastAsia="en-US" w:bidi="en-US"/>
        </w:rPr>
        <w:t xml:space="preserve"> </w:t>
      </w:r>
      <w:r w:rsidR="00370DD4" w:rsidRPr="00012C3F">
        <w:rPr>
          <w:rFonts w:eastAsia="MS Mincho"/>
          <w:bCs/>
          <w:sz w:val="20"/>
          <w:szCs w:val="20"/>
          <w:lang w:val="en-US" w:eastAsia="en-US" w:bidi="en-US"/>
        </w:rPr>
        <w:t>para.</w:t>
      </w:r>
      <w:r w:rsidR="00AF6914" w:rsidRPr="00012C3F">
        <w:rPr>
          <w:rFonts w:eastAsia="MS Mincho"/>
          <w:bCs/>
          <w:sz w:val="20"/>
          <w:szCs w:val="20"/>
          <w:lang w:val="en-US" w:eastAsia="en-US" w:bidi="en-US"/>
        </w:rPr>
        <w:t xml:space="preserve"> 187)</w:t>
      </w:r>
      <w:r w:rsidR="00E17AF2" w:rsidRPr="00012C3F">
        <w:rPr>
          <w:rFonts w:eastAsia="MS Mincho"/>
          <w:bCs/>
          <w:sz w:val="20"/>
          <w:szCs w:val="20"/>
          <w:lang w:val="en-US" w:eastAsia="en-US" w:bidi="en-US"/>
        </w:rPr>
        <w:t xml:space="preserve">. </w:t>
      </w:r>
      <w:r w:rsidR="00897847" w:rsidRPr="00012C3F">
        <w:rPr>
          <w:rFonts w:eastAsia="MS Mincho"/>
          <w:bCs/>
          <w:sz w:val="20"/>
          <w:szCs w:val="20"/>
          <w:lang w:val="en-US" w:eastAsia="en-US" w:bidi="en-US"/>
        </w:rPr>
        <w:t>Moreover, i</w:t>
      </w:r>
      <w:r w:rsidRPr="00012C3F">
        <w:rPr>
          <w:rFonts w:eastAsia="MS Mincho"/>
          <w:bCs/>
          <w:sz w:val="20"/>
          <w:szCs w:val="20"/>
          <w:lang w:val="en-US" w:eastAsia="en-US" w:bidi="en-US"/>
        </w:rPr>
        <w:t xml:space="preserve">n </w:t>
      </w:r>
      <w:r w:rsidR="00897847" w:rsidRPr="00012C3F">
        <w:rPr>
          <w:rFonts w:eastAsia="MS Mincho"/>
          <w:bCs/>
          <w:sz w:val="20"/>
          <w:szCs w:val="20"/>
          <w:lang w:val="en-US" w:eastAsia="en-US" w:bidi="en-US"/>
        </w:rPr>
        <w:t xml:space="preserve">these cases, the obligation to provide information is increased owing to the nature and entity of the procedure. </w:t>
      </w:r>
      <w:r w:rsidR="00897847" w:rsidRPr="00012C3F">
        <w:rPr>
          <w:rFonts w:cs="Arial"/>
          <w:sz w:val="20"/>
          <w:szCs w:val="20"/>
          <w:lang w:val="en-US"/>
        </w:rPr>
        <w:t xml:space="preserve">The special considerations that health care personnel should take into account when obtaining informed consent to sterilization, and the necessary information that such personnel should provide so that the patient may take an informed decision, should include, in addition to the above, the information that sterilization constitutes a permanent method and, since the patient may subsequently regret her sterility, the provision of information on the existence of </w:t>
      </w:r>
      <w:r w:rsidR="00897847" w:rsidRPr="00012C3F">
        <w:rPr>
          <w:rFonts w:cs="Arial"/>
          <w:sz w:val="20"/>
          <w:szCs w:val="20"/>
          <w:lang w:val="en-US"/>
        </w:rPr>
        <w:lastRenderedPageBreak/>
        <w:t>alternative, less in</w:t>
      </w:r>
      <w:r w:rsidR="00535B64" w:rsidRPr="00012C3F">
        <w:rPr>
          <w:rFonts w:cs="Arial"/>
          <w:sz w:val="20"/>
          <w:szCs w:val="20"/>
          <w:lang w:val="en-US"/>
        </w:rPr>
        <w:t>va</w:t>
      </w:r>
      <w:r w:rsidR="00897847" w:rsidRPr="00012C3F">
        <w:rPr>
          <w:rFonts w:cs="Arial"/>
          <w:sz w:val="20"/>
          <w:szCs w:val="20"/>
          <w:lang w:val="en-US"/>
        </w:rPr>
        <w:t>sive, methods of con</w:t>
      </w:r>
      <w:r w:rsidR="00535B64" w:rsidRPr="00012C3F">
        <w:rPr>
          <w:rFonts w:cs="Arial"/>
          <w:sz w:val="20"/>
          <w:szCs w:val="20"/>
          <w:lang w:val="en-US"/>
        </w:rPr>
        <w:t>tra</w:t>
      </w:r>
      <w:r w:rsidR="00897847" w:rsidRPr="00012C3F">
        <w:rPr>
          <w:rFonts w:cs="Arial"/>
          <w:sz w:val="20"/>
          <w:szCs w:val="20"/>
          <w:lang w:val="en-US"/>
        </w:rPr>
        <w:t>ception, even male contraceptive methods, because these could be an appropriate alternative. Furthermore, it is desirable to take into consideration, and provide information on the fact that, since it involves a surgical procedure, sterilization could have risks or side effects</w:t>
      </w:r>
      <w:r w:rsidR="00535B64" w:rsidRPr="00012C3F">
        <w:rPr>
          <w:rFonts w:cs="Arial"/>
          <w:sz w:val="20"/>
          <w:szCs w:val="20"/>
          <w:lang w:val="en-US"/>
        </w:rPr>
        <w:t>,</w:t>
      </w:r>
      <w:r w:rsidR="00897847" w:rsidRPr="00012C3F">
        <w:rPr>
          <w:rFonts w:cs="Arial"/>
          <w:sz w:val="20"/>
          <w:szCs w:val="20"/>
          <w:lang w:val="en-US"/>
        </w:rPr>
        <w:t xml:space="preserve"> and that there is a measurable failure rate in any method of sterilization, but also that there could be consequences if the treatment is rejected.</w:t>
      </w:r>
      <w:r w:rsidR="0048005A" w:rsidRPr="00012C3F">
        <w:rPr>
          <w:rStyle w:val="Refdenotaalpie"/>
          <w:rFonts w:eastAsia="Calibri"/>
          <w:sz w:val="20"/>
          <w:szCs w:val="20"/>
          <w:lang w:val="en-US" w:eastAsia="en-US" w:bidi="en-US"/>
        </w:rPr>
        <w:footnoteReference w:id="250"/>
      </w:r>
      <w:r w:rsidR="00E17AF2" w:rsidRPr="00012C3F">
        <w:rPr>
          <w:rFonts w:eastAsia="Calibri"/>
          <w:sz w:val="20"/>
          <w:szCs w:val="20"/>
          <w:lang w:val="en-US" w:eastAsia="en-US" w:bidi="en-US"/>
        </w:rPr>
        <w:t xml:space="preserve"> </w:t>
      </w:r>
      <w:r w:rsidR="00897847" w:rsidRPr="00012C3F">
        <w:rPr>
          <w:rFonts w:cs="Arial"/>
          <w:sz w:val="20"/>
          <w:szCs w:val="20"/>
          <w:lang w:val="en-US"/>
        </w:rPr>
        <w:t xml:space="preserve">However, it should be made clear that the decision corresponds to the woman alone, although it may be discussed with her partner </w:t>
      </w:r>
      <w:r w:rsidR="00902D92" w:rsidRPr="00012C3F">
        <w:rPr>
          <w:rFonts w:eastAsia="Calibri"/>
          <w:sz w:val="20"/>
          <w:szCs w:val="20"/>
          <w:lang w:val="en-US" w:eastAsia="en-US" w:bidi="en-US"/>
        </w:rPr>
        <w:t>(</w:t>
      </w:r>
      <w:r w:rsidR="00902D92" w:rsidRPr="00012C3F">
        <w:rPr>
          <w:rFonts w:eastAsia="Calibri"/>
          <w:i/>
          <w:sz w:val="20"/>
          <w:szCs w:val="20"/>
          <w:lang w:val="en-US" w:eastAsia="en-US" w:bidi="en-US"/>
        </w:rPr>
        <w:t>supra</w:t>
      </w:r>
      <w:r w:rsidR="00902D92" w:rsidRPr="00012C3F">
        <w:rPr>
          <w:rFonts w:eastAsia="Calibri"/>
          <w:sz w:val="20"/>
          <w:szCs w:val="20"/>
          <w:lang w:val="en-US" w:eastAsia="en-US" w:bidi="en-US"/>
        </w:rPr>
        <w:t xml:space="preserve"> </w:t>
      </w:r>
      <w:r w:rsidR="00370DD4" w:rsidRPr="00012C3F">
        <w:rPr>
          <w:rFonts w:eastAsia="Calibri"/>
          <w:sz w:val="20"/>
          <w:szCs w:val="20"/>
          <w:lang w:val="en-US" w:eastAsia="en-US" w:bidi="en-US"/>
        </w:rPr>
        <w:t>para.</w:t>
      </w:r>
      <w:r w:rsidR="00902D92" w:rsidRPr="00012C3F">
        <w:rPr>
          <w:rFonts w:eastAsia="Calibri"/>
          <w:sz w:val="20"/>
          <w:szCs w:val="20"/>
          <w:lang w:val="en-US" w:eastAsia="en-US" w:bidi="en-US"/>
        </w:rPr>
        <w:t xml:space="preserve"> </w:t>
      </w:r>
      <w:r w:rsidR="002878EC" w:rsidRPr="00012C3F">
        <w:rPr>
          <w:rFonts w:eastAsia="Calibri"/>
          <w:sz w:val="20"/>
          <w:szCs w:val="20"/>
          <w:lang w:val="en-US" w:eastAsia="en-US" w:bidi="en-US"/>
        </w:rPr>
        <w:t>182</w:t>
      </w:r>
      <w:r w:rsidR="00902D92" w:rsidRPr="00012C3F">
        <w:rPr>
          <w:rFonts w:eastAsia="Calibri"/>
          <w:sz w:val="20"/>
          <w:szCs w:val="20"/>
          <w:lang w:val="en-US" w:eastAsia="en-US" w:bidi="en-US"/>
        </w:rPr>
        <w:t>)</w:t>
      </w:r>
      <w:r w:rsidR="00E17AF2" w:rsidRPr="00012C3F">
        <w:rPr>
          <w:rFonts w:eastAsia="Calibri"/>
          <w:sz w:val="20"/>
          <w:szCs w:val="20"/>
          <w:lang w:val="en-US" w:eastAsia="en-US" w:bidi="en-US"/>
        </w:rPr>
        <w:t xml:space="preserve">. </w:t>
      </w:r>
      <w:r w:rsidR="00897847" w:rsidRPr="00012C3F">
        <w:rPr>
          <w:rFonts w:cs="Arial"/>
          <w:sz w:val="20"/>
          <w:szCs w:val="20"/>
          <w:lang w:val="en-US"/>
        </w:rPr>
        <w:t xml:space="preserve">Similarly, it is necessary to mention that, even though sterilization may be medically appropriate, it is </w:t>
      </w:r>
      <w:r w:rsidR="00535B64" w:rsidRPr="00012C3F">
        <w:rPr>
          <w:rFonts w:cs="Arial"/>
          <w:sz w:val="20"/>
          <w:szCs w:val="20"/>
          <w:lang w:val="en-US"/>
        </w:rPr>
        <w:t>neither an</w:t>
      </w:r>
      <w:r w:rsidR="00897847" w:rsidRPr="00012C3F">
        <w:rPr>
          <w:rFonts w:cs="Arial"/>
          <w:sz w:val="20"/>
          <w:szCs w:val="20"/>
          <w:lang w:val="en-US"/>
        </w:rPr>
        <w:t xml:space="preserve"> urgent </w:t>
      </w:r>
      <w:r w:rsidR="00535B64" w:rsidRPr="00012C3F">
        <w:rPr>
          <w:rFonts w:cs="Arial"/>
          <w:sz w:val="20"/>
          <w:szCs w:val="20"/>
          <w:lang w:val="en-US"/>
        </w:rPr>
        <w:t>n</w:t>
      </w:r>
      <w:r w:rsidR="00897847" w:rsidRPr="00012C3F">
        <w:rPr>
          <w:rFonts w:cs="Arial"/>
          <w:sz w:val="20"/>
          <w:szCs w:val="20"/>
          <w:lang w:val="en-US"/>
        </w:rPr>
        <w:t xml:space="preserve">or emergency measure </w:t>
      </w:r>
      <w:r w:rsidR="00902D92" w:rsidRPr="00012C3F">
        <w:rPr>
          <w:rFonts w:eastAsia="Calibri"/>
          <w:sz w:val="20"/>
          <w:szCs w:val="20"/>
          <w:lang w:val="en-US" w:eastAsia="en-US" w:bidi="en-US"/>
        </w:rPr>
        <w:t>(</w:t>
      </w:r>
      <w:r w:rsidR="00902D92" w:rsidRPr="00012C3F">
        <w:rPr>
          <w:rFonts w:eastAsia="Calibri"/>
          <w:i/>
          <w:sz w:val="20"/>
          <w:szCs w:val="20"/>
          <w:lang w:val="en-US" w:eastAsia="en-US" w:bidi="en-US"/>
        </w:rPr>
        <w:t>supra</w:t>
      </w:r>
      <w:r w:rsidR="00902D92" w:rsidRPr="00012C3F">
        <w:rPr>
          <w:rFonts w:eastAsia="Calibri"/>
          <w:sz w:val="20"/>
          <w:szCs w:val="20"/>
          <w:lang w:val="en-US" w:eastAsia="en-US" w:bidi="en-US"/>
        </w:rPr>
        <w:t xml:space="preserve"> </w:t>
      </w:r>
      <w:r w:rsidR="00370DD4" w:rsidRPr="00012C3F">
        <w:rPr>
          <w:rFonts w:eastAsia="Calibri"/>
          <w:sz w:val="20"/>
          <w:szCs w:val="20"/>
          <w:lang w:val="en-US" w:eastAsia="en-US" w:bidi="en-US"/>
        </w:rPr>
        <w:t>paras.</w:t>
      </w:r>
      <w:r w:rsidR="00902D92" w:rsidRPr="00012C3F">
        <w:rPr>
          <w:rFonts w:eastAsia="Calibri"/>
          <w:sz w:val="20"/>
          <w:szCs w:val="20"/>
          <w:lang w:val="en-US" w:eastAsia="en-US" w:bidi="en-US"/>
        </w:rPr>
        <w:t xml:space="preserve"> </w:t>
      </w:r>
      <w:r w:rsidR="002878EC" w:rsidRPr="00012C3F">
        <w:rPr>
          <w:rFonts w:eastAsia="Calibri"/>
          <w:sz w:val="20"/>
          <w:szCs w:val="20"/>
          <w:lang w:val="en-US" w:eastAsia="en-US" w:bidi="en-US"/>
        </w:rPr>
        <w:t>177</w:t>
      </w:r>
      <w:r w:rsidR="005E5012" w:rsidRPr="00012C3F">
        <w:rPr>
          <w:rFonts w:eastAsia="Calibri"/>
          <w:sz w:val="20"/>
          <w:szCs w:val="20"/>
          <w:lang w:val="en-US" w:eastAsia="en-US" w:bidi="en-US"/>
        </w:rPr>
        <w:t xml:space="preserve"> and </w:t>
      </w:r>
      <w:r w:rsidR="002878EC" w:rsidRPr="00012C3F">
        <w:rPr>
          <w:rFonts w:eastAsia="Calibri"/>
          <w:sz w:val="20"/>
          <w:szCs w:val="20"/>
          <w:lang w:val="en-US" w:eastAsia="en-US" w:bidi="en-US"/>
        </w:rPr>
        <w:t>178</w:t>
      </w:r>
      <w:r w:rsidR="00902D92" w:rsidRPr="00012C3F">
        <w:rPr>
          <w:rFonts w:eastAsia="Calibri"/>
          <w:sz w:val="20"/>
          <w:szCs w:val="20"/>
          <w:lang w:val="en-US" w:eastAsia="en-US" w:bidi="en-US"/>
        </w:rPr>
        <w:t>)</w:t>
      </w:r>
      <w:r w:rsidR="00E17AF2" w:rsidRPr="00012C3F">
        <w:rPr>
          <w:rFonts w:eastAsia="Calibri"/>
          <w:sz w:val="20"/>
          <w:szCs w:val="20"/>
          <w:lang w:val="en-US" w:eastAsia="en-US" w:bidi="en-US"/>
        </w:rPr>
        <w:t>.</w:t>
      </w:r>
    </w:p>
    <w:p w14:paraId="204AF4E9" w14:textId="77777777" w:rsidR="00E17AF2" w:rsidRPr="00012C3F" w:rsidRDefault="00E17AF2" w:rsidP="00E17AF2">
      <w:pPr>
        <w:tabs>
          <w:tab w:val="left" w:pos="567"/>
        </w:tabs>
        <w:spacing w:line="240" w:lineRule="auto"/>
        <w:rPr>
          <w:rFonts w:eastAsia="MS Mincho"/>
          <w:sz w:val="20"/>
          <w:szCs w:val="20"/>
          <w:lang w:val="en-US" w:eastAsia="en-US" w:bidi="en-US"/>
        </w:rPr>
      </w:pPr>
    </w:p>
    <w:p w14:paraId="76A262F0" w14:textId="77777777" w:rsidR="00E17AF2" w:rsidRPr="00012C3F" w:rsidRDefault="001254DE" w:rsidP="00897847">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sz w:val="20"/>
          <w:szCs w:val="20"/>
          <w:lang w:val="en-US" w:eastAsia="en-US" w:bidi="en-US"/>
        </w:rPr>
        <w:t>The Court</w:t>
      </w:r>
      <w:r w:rsidR="00E17AF2" w:rsidRPr="00012C3F">
        <w:rPr>
          <w:rFonts w:eastAsia="Calibri"/>
          <w:sz w:val="20"/>
          <w:szCs w:val="20"/>
          <w:lang w:val="en-US" w:eastAsia="en-US" w:bidi="en-US"/>
        </w:rPr>
        <w:t xml:space="preserve"> consider</w:t>
      </w:r>
      <w:r w:rsidR="00897847" w:rsidRPr="00012C3F">
        <w:rPr>
          <w:rFonts w:eastAsia="Calibri"/>
          <w:sz w:val="20"/>
          <w:szCs w:val="20"/>
          <w:lang w:val="en-US" w:eastAsia="en-US" w:bidi="en-US"/>
        </w:rPr>
        <w:t xml:space="preserve">s that, in general, the special considerations inherent </w:t>
      </w:r>
      <w:r w:rsidR="00BE25EC" w:rsidRPr="00012C3F">
        <w:rPr>
          <w:rFonts w:eastAsia="Calibri"/>
          <w:sz w:val="20"/>
          <w:szCs w:val="20"/>
          <w:lang w:val="en-US" w:eastAsia="en-US" w:bidi="en-US"/>
        </w:rPr>
        <w:t>in</w:t>
      </w:r>
      <w:r w:rsidR="00E17AF2" w:rsidRPr="00012C3F">
        <w:rPr>
          <w:rFonts w:eastAsia="Calibri"/>
          <w:sz w:val="20"/>
          <w:szCs w:val="20"/>
          <w:lang w:val="en-US" w:eastAsia="en-US" w:bidi="en-US"/>
        </w:rPr>
        <w:t xml:space="preserve"> </w:t>
      </w:r>
      <w:r w:rsidR="00AC0004" w:rsidRPr="00012C3F">
        <w:rPr>
          <w:rFonts w:eastAsia="Calibri"/>
          <w:sz w:val="20"/>
          <w:szCs w:val="20"/>
          <w:lang w:val="en-US" w:eastAsia="en-US" w:bidi="en-US"/>
        </w:rPr>
        <w:t>informed consent</w:t>
      </w:r>
      <w:r w:rsidR="00E17AF2" w:rsidRPr="00012C3F">
        <w:rPr>
          <w:rFonts w:eastAsia="Calibri"/>
          <w:sz w:val="20"/>
          <w:szCs w:val="20"/>
          <w:lang w:val="en-US" w:eastAsia="en-US" w:bidi="en-US"/>
        </w:rPr>
        <w:t xml:space="preserve"> </w:t>
      </w:r>
      <w:r w:rsidR="00897847" w:rsidRPr="00012C3F">
        <w:rPr>
          <w:rFonts w:eastAsia="Calibri"/>
          <w:sz w:val="20"/>
          <w:szCs w:val="20"/>
          <w:lang w:val="en-US" w:eastAsia="en-US" w:bidi="en-US"/>
        </w:rPr>
        <w:t>for sterilization and the necessary aspects that health care perso</w:t>
      </w:r>
      <w:r w:rsidR="00374C1A" w:rsidRPr="00012C3F">
        <w:rPr>
          <w:rFonts w:eastAsia="Calibri"/>
          <w:sz w:val="20"/>
          <w:szCs w:val="20"/>
          <w:lang w:val="en-US" w:eastAsia="en-US" w:bidi="en-US"/>
        </w:rPr>
        <w:t>n</w:t>
      </w:r>
      <w:r w:rsidR="00897847" w:rsidRPr="00012C3F">
        <w:rPr>
          <w:rFonts w:eastAsia="Calibri"/>
          <w:sz w:val="20"/>
          <w:szCs w:val="20"/>
          <w:lang w:val="en-US" w:eastAsia="en-US" w:bidi="en-US"/>
        </w:rPr>
        <w:t xml:space="preserve">nel should </w:t>
      </w:r>
      <w:r w:rsidR="00374C1A" w:rsidRPr="00012C3F">
        <w:rPr>
          <w:rFonts w:eastAsia="Calibri"/>
          <w:sz w:val="20"/>
          <w:szCs w:val="20"/>
          <w:lang w:val="en-US" w:eastAsia="en-US" w:bidi="en-US"/>
        </w:rPr>
        <w:t xml:space="preserve">address to enable the woman to take a prior, free, full and informed decision accord with the standards established by </w:t>
      </w:r>
      <w:r w:rsidR="007B0C04" w:rsidRPr="00012C3F">
        <w:rPr>
          <w:rFonts w:eastAsia="Calibri"/>
          <w:sz w:val="20"/>
          <w:szCs w:val="20"/>
          <w:lang w:val="en-US" w:eastAsia="en-US" w:bidi="en-US"/>
        </w:rPr>
        <w:t>WHO</w:t>
      </w:r>
      <w:r w:rsidR="00E17AF2" w:rsidRPr="00012C3F">
        <w:rPr>
          <w:rFonts w:eastAsia="Calibri"/>
          <w:sz w:val="20"/>
          <w:szCs w:val="20"/>
          <w:lang w:val="en-US" w:eastAsia="en-US" w:bidi="en-US"/>
        </w:rPr>
        <w:t xml:space="preserve"> </w:t>
      </w:r>
      <w:r w:rsidR="00374C1A" w:rsidRPr="00012C3F">
        <w:rPr>
          <w:rFonts w:eastAsia="Calibri"/>
          <w:sz w:val="20"/>
          <w:szCs w:val="20"/>
          <w:lang w:val="en-US" w:eastAsia="en-US" w:bidi="en-US"/>
        </w:rPr>
        <w:t>since</w:t>
      </w:r>
      <w:r w:rsidR="00E17AF2" w:rsidRPr="00012C3F">
        <w:rPr>
          <w:rFonts w:eastAsia="Calibri"/>
          <w:sz w:val="20"/>
          <w:szCs w:val="20"/>
          <w:lang w:val="en-US" w:eastAsia="en-US" w:bidi="en-US"/>
        </w:rPr>
        <w:t xml:space="preserve"> 1993</w:t>
      </w:r>
      <w:r w:rsidR="005E5012" w:rsidRPr="00012C3F">
        <w:rPr>
          <w:rFonts w:eastAsia="Calibri"/>
          <w:sz w:val="20"/>
          <w:szCs w:val="20"/>
          <w:lang w:val="en-US" w:eastAsia="en-US" w:bidi="en-US"/>
        </w:rPr>
        <w:t xml:space="preserve"> and </w:t>
      </w:r>
      <w:r w:rsidR="00E17AF2" w:rsidRPr="00012C3F">
        <w:rPr>
          <w:rFonts w:eastAsia="Calibri"/>
          <w:sz w:val="20"/>
          <w:szCs w:val="20"/>
          <w:lang w:val="en-US" w:eastAsia="en-US" w:bidi="en-US"/>
        </w:rPr>
        <w:t xml:space="preserve">FIGO </w:t>
      </w:r>
      <w:r w:rsidR="00374C1A" w:rsidRPr="00012C3F">
        <w:rPr>
          <w:rFonts w:eastAsia="Calibri"/>
          <w:sz w:val="20"/>
          <w:szCs w:val="20"/>
          <w:lang w:val="en-US" w:eastAsia="en-US" w:bidi="en-US"/>
        </w:rPr>
        <w:t>since</w:t>
      </w:r>
      <w:r w:rsidR="00E17AF2" w:rsidRPr="00012C3F">
        <w:rPr>
          <w:rFonts w:eastAsia="Calibri"/>
          <w:sz w:val="20"/>
          <w:szCs w:val="20"/>
          <w:lang w:val="en-US" w:eastAsia="en-US" w:bidi="en-US"/>
        </w:rPr>
        <w:t xml:space="preserve"> 1989</w:t>
      </w:r>
      <w:r w:rsidR="00374C1A" w:rsidRPr="00012C3F">
        <w:rPr>
          <w:rFonts w:eastAsia="Calibri"/>
          <w:sz w:val="20"/>
          <w:szCs w:val="20"/>
          <w:lang w:val="en-US" w:eastAsia="en-US" w:bidi="en-US"/>
        </w:rPr>
        <w:t>.</w:t>
      </w:r>
      <w:r w:rsidR="00E17AF2" w:rsidRPr="00012C3F">
        <w:rPr>
          <w:rStyle w:val="Refdenotaalpie"/>
          <w:rFonts w:eastAsia="Calibri"/>
          <w:sz w:val="20"/>
          <w:szCs w:val="20"/>
          <w:lang w:val="en-US" w:eastAsia="en-US" w:bidi="en-US"/>
        </w:rPr>
        <w:footnoteReference w:id="251"/>
      </w:r>
      <w:r w:rsidR="00E17AF2" w:rsidRPr="00012C3F">
        <w:rPr>
          <w:rFonts w:eastAsia="Calibri"/>
          <w:sz w:val="20"/>
          <w:szCs w:val="20"/>
          <w:lang w:val="en-US" w:eastAsia="en-US" w:bidi="en-US"/>
        </w:rPr>
        <w:t xml:space="preserve"> </w:t>
      </w:r>
      <w:r w:rsidR="00374C1A" w:rsidRPr="00012C3F">
        <w:rPr>
          <w:rFonts w:eastAsia="Calibri"/>
          <w:sz w:val="20"/>
          <w:szCs w:val="20"/>
          <w:lang w:val="en-US" w:eastAsia="en-US" w:bidi="en-US"/>
        </w:rPr>
        <w:t xml:space="preserve">Additionally, </w:t>
      </w:r>
      <w:r w:rsidR="00E17AF2" w:rsidRPr="00012C3F">
        <w:rPr>
          <w:rFonts w:eastAsia="MS Mincho"/>
          <w:bCs/>
          <w:sz w:val="20"/>
          <w:szCs w:val="20"/>
          <w:lang w:val="en-US" w:eastAsia="en-US" w:bidi="en-US"/>
        </w:rPr>
        <w:t>FIGO</w:t>
      </w:r>
      <w:r w:rsidR="005E5012" w:rsidRPr="00012C3F">
        <w:rPr>
          <w:rFonts w:eastAsia="MS Mincho"/>
          <w:bCs/>
          <w:sz w:val="20"/>
          <w:szCs w:val="20"/>
          <w:lang w:val="en-US" w:eastAsia="en-US" w:bidi="en-US"/>
        </w:rPr>
        <w:t xml:space="preserve"> and </w:t>
      </w:r>
      <w:r w:rsidR="00374C1A" w:rsidRPr="00012C3F">
        <w:rPr>
          <w:rFonts w:eastAsia="MS Mincho"/>
          <w:bCs/>
          <w:sz w:val="20"/>
          <w:szCs w:val="20"/>
          <w:lang w:val="en-US" w:eastAsia="en-US" w:bidi="en-US"/>
        </w:rPr>
        <w:t xml:space="preserve">the UN Interagency </w:t>
      </w:r>
      <w:r w:rsidR="00BE25EC" w:rsidRPr="00012C3F">
        <w:rPr>
          <w:rFonts w:eastAsia="MS Mincho"/>
          <w:bCs/>
          <w:sz w:val="20"/>
          <w:szCs w:val="20"/>
          <w:lang w:val="en-US" w:eastAsia="en-US" w:bidi="en-US"/>
        </w:rPr>
        <w:t>S</w:t>
      </w:r>
      <w:r w:rsidR="00374C1A" w:rsidRPr="00012C3F">
        <w:rPr>
          <w:rFonts w:eastAsia="MS Mincho"/>
          <w:bCs/>
          <w:sz w:val="20"/>
          <w:szCs w:val="20"/>
          <w:lang w:val="en-US" w:eastAsia="en-US" w:bidi="en-US"/>
        </w:rPr>
        <w:t>tatement have given great relevance to the obligation not to intentionally censure, retain or misinterpret information on sterilization and alternative contraceptive methods, in order to obtain consent, as this could endanger both health and basic human rights.</w:t>
      </w:r>
      <w:r w:rsidR="00E17AF2" w:rsidRPr="00012C3F">
        <w:rPr>
          <w:rStyle w:val="Refdenotaalpie"/>
          <w:rFonts w:eastAsia="MS Mincho"/>
          <w:bCs/>
          <w:sz w:val="20"/>
          <w:szCs w:val="20"/>
          <w:lang w:val="en-US" w:eastAsia="en-US" w:bidi="en-US"/>
        </w:rPr>
        <w:footnoteReference w:id="252"/>
      </w:r>
    </w:p>
    <w:p w14:paraId="4EBA784A" w14:textId="77777777" w:rsidR="00E17AF2" w:rsidRPr="00012C3F" w:rsidRDefault="00E17AF2" w:rsidP="00E17AF2">
      <w:pPr>
        <w:tabs>
          <w:tab w:val="left" w:pos="567"/>
        </w:tabs>
        <w:spacing w:line="240" w:lineRule="auto"/>
        <w:rPr>
          <w:rFonts w:eastAsia="MS Mincho"/>
          <w:sz w:val="20"/>
          <w:szCs w:val="20"/>
          <w:lang w:val="en-US" w:eastAsia="en-US" w:bidi="en-US"/>
        </w:rPr>
      </w:pPr>
    </w:p>
    <w:p w14:paraId="62A58653" w14:textId="77777777" w:rsidR="00E17AF2" w:rsidRPr="00012C3F" w:rsidRDefault="002C56A5" w:rsidP="002C56A5">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cs="Arial"/>
          <w:sz w:val="20"/>
          <w:szCs w:val="20"/>
          <w:lang w:val="en-US"/>
        </w:rPr>
        <w:t>In addition, even though there is no international consensus or one resulting from the domestic law of the States with regard to whether consent should be given verbally or in writing, the Court considers that the evidence of its existence should be documented or recorded formally in some instrument.</w:t>
      </w:r>
      <w:r w:rsidR="00E17AF2" w:rsidRPr="00012C3F">
        <w:rPr>
          <w:rStyle w:val="Refdenotaalpie"/>
          <w:rFonts w:eastAsia="Calibri"/>
          <w:sz w:val="20"/>
          <w:szCs w:val="20"/>
          <w:lang w:val="en-US" w:eastAsia="en-US" w:bidi="en-US"/>
        </w:rPr>
        <w:footnoteReference w:id="253"/>
      </w:r>
      <w:r w:rsidR="00E17AF2" w:rsidRPr="00012C3F">
        <w:rPr>
          <w:rFonts w:eastAsia="Calibri"/>
          <w:sz w:val="20"/>
          <w:szCs w:val="20"/>
          <w:lang w:val="en-US" w:eastAsia="en-US" w:bidi="en-US"/>
        </w:rPr>
        <w:t xml:space="preserve"> </w:t>
      </w:r>
      <w:r w:rsidR="00435129" w:rsidRPr="00012C3F">
        <w:rPr>
          <w:rFonts w:cs="Arial"/>
          <w:sz w:val="20"/>
          <w:szCs w:val="20"/>
          <w:lang w:val="en-US"/>
        </w:rPr>
        <w:t>T</w:t>
      </w:r>
      <w:r w:rsidRPr="00012C3F">
        <w:rPr>
          <w:rFonts w:cs="Arial"/>
          <w:sz w:val="20"/>
          <w:szCs w:val="20"/>
          <w:lang w:val="en-US"/>
        </w:rPr>
        <w:t>his will</w:t>
      </w:r>
      <w:r w:rsidR="00435129" w:rsidRPr="00012C3F">
        <w:rPr>
          <w:rFonts w:cs="Arial"/>
          <w:sz w:val="20"/>
          <w:szCs w:val="20"/>
          <w:lang w:val="en-US"/>
        </w:rPr>
        <w:t xml:space="preserve"> evidently</w:t>
      </w:r>
      <w:r w:rsidRPr="00012C3F">
        <w:rPr>
          <w:rFonts w:cs="Arial"/>
          <w:sz w:val="20"/>
          <w:szCs w:val="20"/>
          <w:lang w:val="en-US"/>
        </w:rPr>
        <w:t xml:space="preserve"> depend on each case and situation. However, the Court finds it relevant to stress that, pursuant to comparative law, all the States that</w:t>
      </w:r>
      <w:r w:rsidR="00BE25EC" w:rsidRPr="00012C3F">
        <w:rPr>
          <w:rFonts w:cs="Arial"/>
          <w:sz w:val="20"/>
          <w:szCs w:val="20"/>
          <w:lang w:val="en-US"/>
        </w:rPr>
        <w:t xml:space="preserve"> regulated</w:t>
      </w:r>
      <w:r w:rsidRPr="00012C3F">
        <w:rPr>
          <w:rFonts w:cs="Arial"/>
          <w:sz w:val="20"/>
          <w:szCs w:val="20"/>
          <w:lang w:val="en-US"/>
        </w:rPr>
        <w:t xml:space="preserve"> female surgical sterilization in their domestic law up until 2000, as well as the State</w:t>
      </w:r>
      <w:r w:rsidR="00BE25EC" w:rsidRPr="00012C3F">
        <w:rPr>
          <w:rFonts w:cs="Arial"/>
          <w:sz w:val="20"/>
          <w:szCs w:val="20"/>
          <w:lang w:val="en-US"/>
        </w:rPr>
        <w:t>s</w:t>
      </w:r>
      <w:r w:rsidRPr="00012C3F">
        <w:rPr>
          <w:rFonts w:cs="Arial"/>
          <w:sz w:val="20"/>
          <w:szCs w:val="20"/>
          <w:lang w:val="en-US"/>
        </w:rPr>
        <w:t xml:space="preserve"> that required informed consent in writing, required this, above all, for medical procedures that, owing to the</w:t>
      </w:r>
      <w:r w:rsidR="00BE25EC" w:rsidRPr="00012C3F">
        <w:rPr>
          <w:rFonts w:cs="Arial"/>
          <w:sz w:val="20"/>
          <w:szCs w:val="20"/>
          <w:lang w:val="en-US"/>
        </w:rPr>
        <w:t>ir</w:t>
      </w:r>
      <w:r w:rsidRPr="00012C3F">
        <w:rPr>
          <w:rFonts w:cs="Arial"/>
          <w:sz w:val="20"/>
          <w:szCs w:val="20"/>
          <w:lang w:val="en-US"/>
        </w:rPr>
        <w:t xml:space="preserve"> in</w:t>
      </w:r>
      <w:r w:rsidR="00BE25EC" w:rsidRPr="00012C3F">
        <w:rPr>
          <w:rFonts w:cs="Arial"/>
          <w:sz w:val="20"/>
          <w:szCs w:val="20"/>
          <w:lang w:val="en-US"/>
        </w:rPr>
        <w:t>va</w:t>
      </w:r>
      <w:r w:rsidRPr="00012C3F">
        <w:rPr>
          <w:rFonts w:cs="Arial"/>
          <w:sz w:val="20"/>
          <w:szCs w:val="20"/>
          <w:lang w:val="en-US"/>
        </w:rPr>
        <w:t>sive nature or gravity, warranted greater safety and formality in the process to obtain consent</w:t>
      </w:r>
      <w:r w:rsidR="00E17AF2" w:rsidRPr="00012C3F">
        <w:rPr>
          <w:rFonts w:eastAsia="Calibri"/>
          <w:sz w:val="20"/>
          <w:szCs w:val="20"/>
          <w:lang w:val="en-US" w:eastAsia="en-US" w:bidi="en-US"/>
        </w:rPr>
        <w:t xml:space="preserve"> (</w:t>
      </w:r>
      <w:r w:rsidR="00E17AF2" w:rsidRPr="00012C3F">
        <w:rPr>
          <w:rFonts w:eastAsia="Calibri"/>
          <w:i/>
          <w:sz w:val="20"/>
          <w:szCs w:val="20"/>
          <w:lang w:val="en-US" w:eastAsia="en-US" w:bidi="en-US"/>
        </w:rPr>
        <w:t xml:space="preserve">infra </w:t>
      </w:r>
      <w:r w:rsidR="00370DD4" w:rsidRPr="00012C3F">
        <w:rPr>
          <w:rFonts w:eastAsia="Calibri"/>
          <w:sz w:val="20"/>
          <w:szCs w:val="20"/>
          <w:lang w:val="en-US" w:eastAsia="en-US" w:bidi="en-US"/>
        </w:rPr>
        <w:t>para.</w:t>
      </w:r>
      <w:r w:rsidR="00E17AF2" w:rsidRPr="00012C3F">
        <w:rPr>
          <w:rFonts w:eastAsia="Calibri"/>
          <w:sz w:val="20"/>
          <w:szCs w:val="20"/>
          <w:lang w:val="en-US" w:eastAsia="en-US" w:bidi="en-US"/>
        </w:rPr>
        <w:t xml:space="preserve"> </w:t>
      </w:r>
      <w:r w:rsidR="009209EC" w:rsidRPr="00012C3F">
        <w:rPr>
          <w:rFonts w:eastAsia="Calibri"/>
          <w:sz w:val="20"/>
          <w:szCs w:val="20"/>
          <w:lang w:val="en-US" w:eastAsia="en-US" w:bidi="en-US"/>
        </w:rPr>
        <w:t>199).</w:t>
      </w:r>
    </w:p>
    <w:p w14:paraId="031EF705" w14:textId="77777777" w:rsidR="00E17AF2" w:rsidRPr="00012C3F" w:rsidRDefault="00E17AF2" w:rsidP="00E17AF2">
      <w:pPr>
        <w:tabs>
          <w:tab w:val="left" w:pos="567"/>
        </w:tabs>
        <w:spacing w:line="240" w:lineRule="auto"/>
        <w:rPr>
          <w:rFonts w:eastAsia="MS Mincho"/>
          <w:sz w:val="20"/>
          <w:szCs w:val="20"/>
          <w:lang w:val="en-US" w:eastAsia="en-US" w:bidi="en-US"/>
        </w:rPr>
      </w:pPr>
    </w:p>
    <w:p w14:paraId="55F73EA0" w14:textId="77777777" w:rsidR="00E17AF2" w:rsidRPr="00012C3F" w:rsidRDefault="002C56A5" w:rsidP="002C56A5">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Calibri"/>
          <w:sz w:val="20"/>
          <w:szCs w:val="20"/>
          <w:lang w:val="en-US" w:eastAsia="en-US" w:bidi="en-US"/>
        </w:rPr>
        <w:t xml:space="preserve">Notwithstanding the above, the Court agrees with the Commission that, </w:t>
      </w:r>
      <w:r w:rsidRPr="00012C3F">
        <w:rPr>
          <w:rFonts w:cs="Arial"/>
          <w:sz w:val="20"/>
          <w:szCs w:val="20"/>
          <w:lang w:val="en-US"/>
        </w:rPr>
        <w:t>in cases of female sterilization, owing to the relevance and implications of the decision and for greater legal certainty, consent should be given in writing insofar as possible. The more important the consequences of the decision to be taken, the more rigorous should be the controls to ensure that valid consent is given</w:t>
      </w:r>
      <w:r w:rsidR="00832AF9" w:rsidRPr="00012C3F">
        <w:rPr>
          <w:rFonts w:eastAsia="MS Mincho" w:cs="Calibri"/>
          <w:sz w:val="20"/>
          <w:szCs w:val="20"/>
          <w:lang w:val="en-US" w:eastAsia="en-US" w:bidi="en-US"/>
        </w:rPr>
        <w:t>.</w:t>
      </w:r>
    </w:p>
    <w:p w14:paraId="092A68BB" w14:textId="77777777" w:rsidR="00E17AF2" w:rsidRPr="00012C3F" w:rsidRDefault="00E17AF2" w:rsidP="000B1E30">
      <w:pPr>
        <w:spacing w:line="240" w:lineRule="auto"/>
        <w:rPr>
          <w:rFonts w:eastAsia="MS Mincho"/>
          <w:sz w:val="20"/>
          <w:szCs w:val="20"/>
          <w:lang w:val="en-US" w:eastAsia="en-US" w:bidi="en-US"/>
        </w:rPr>
      </w:pPr>
    </w:p>
    <w:p w14:paraId="3B0087EE" w14:textId="77777777" w:rsidR="000B1E30" w:rsidRPr="00012C3F" w:rsidRDefault="000B1E30" w:rsidP="0085451F">
      <w:pPr>
        <w:pStyle w:val="Ttulo3"/>
        <w:tabs>
          <w:tab w:val="left" w:pos="2552"/>
        </w:tabs>
        <w:ind w:left="1701"/>
        <w:rPr>
          <w:rFonts w:eastAsia="MS Mincho" w:cs="Arial"/>
          <w:b w:val="0"/>
          <w:i/>
          <w:spacing w:val="0"/>
          <w:lang w:val="en-US" w:eastAsia="en-US"/>
        </w:rPr>
      </w:pPr>
      <w:bookmarkStart w:id="136" w:name="_Toc27486865"/>
      <w:r w:rsidRPr="00012C3F">
        <w:rPr>
          <w:rFonts w:eastAsia="MS Mincho" w:cs="Arial"/>
          <w:b w:val="0"/>
          <w:i/>
          <w:spacing w:val="0"/>
          <w:lang w:val="en-US" w:eastAsia="en-US"/>
        </w:rPr>
        <w:t xml:space="preserve">B.2.b </w:t>
      </w:r>
      <w:r w:rsidRPr="00012C3F">
        <w:rPr>
          <w:rFonts w:eastAsia="MS Mincho" w:cs="Arial"/>
          <w:b w:val="0"/>
          <w:i/>
          <w:spacing w:val="0"/>
          <w:lang w:val="en-US" w:eastAsia="en-US"/>
        </w:rPr>
        <w:tab/>
      </w:r>
      <w:r w:rsidR="00690E9C" w:rsidRPr="00012C3F">
        <w:rPr>
          <w:rFonts w:eastAsia="MS Mincho" w:cs="Arial"/>
          <w:b w:val="0"/>
          <w:i/>
          <w:spacing w:val="0"/>
          <w:lang w:val="en-US" w:eastAsia="en-US"/>
        </w:rPr>
        <w:t xml:space="preserve"> The elements of consent derived from domestic legal systems</w:t>
      </w:r>
      <w:bookmarkEnd w:id="136"/>
    </w:p>
    <w:p w14:paraId="1E6B7F91" w14:textId="77777777" w:rsidR="000B1E30" w:rsidRPr="00012C3F" w:rsidRDefault="000B1E30" w:rsidP="000B1E30">
      <w:pPr>
        <w:spacing w:line="240" w:lineRule="auto"/>
        <w:ind w:left="1416"/>
        <w:rPr>
          <w:rFonts w:eastAsia="MS Mincho"/>
          <w:sz w:val="20"/>
          <w:szCs w:val="20"/>
          <w:lang w:val="en-US" w:eastAsia="en-US" w:bidi="en-US"/>
        </w:rPr>
      </w:pPr>
    </w:p>
    <w:p w14:paraId="1D09A9CE" w14:textId="77777777" w:rsidR="00E17AF2" w:rsidRPr="00012C3F" w:rsidRDefault="00690E9C" w:rsidP="00510B39">
      <w:pPr>
        <w:widowControl/>
        <w:numPr>
          <w:ilvl w:val="0"/>
          <w:numId w:val="5"/>
        </w:numPr>
        <w:tabs>
          <w:tab w:val="left" w:pos="720"/>
          <w:tab w:val="num" w:pos="12305"/>
        </w:tabs>
        <w:adjustRightInd/>
        <w:spacing w:line="240" w:lineRule="auto"/>
        <w:ind w:left="0" w:right="-90" w:firstLine="0"/>
        <w:textAlignment w:val="auto"/>
        <w:rPr>
          <w:rFonts w:eastAsia="MS Mincho"/>
          <w:b/>
          <w:i/>
          <w:sz w:val="20"/>
          <w:szCs w:val="20"/>
          <w:lang w:val="en-US" w:eastAsia="en-US" w:bidi="en-US"/>
        </w:rPr>
      </w:pPr>
      <w:r w:rsidRPr="00012C3F">
        <w:rPr>
          <w:rFonts w:eastAsia="MS Mincho"/>
          <w:sz w:val="20"/>
          <w:szCs w:val="20"/>
          <w:lang w:val="en-US" w:eastAsia="en-US" w:bidi="en-US"/>
        </w:rPr>
        <w:t>The</w:t>
      </w:r>
      <w:r w:rsidR="001254DE" w:rsidRPr="00012C3F">
        <w:rPr>
          <w:rFonts w:eastAsia="MS Mincho"/>
          <w:sz w:val="20"/>
          <w:szCs w:val="20"/>
          <w:lang w:val="en-US" w:eastAsia="en-US" w:bidi="en-US"/>
        </w:rPr>
        <w:t xml:space="preserve"> Court</w:t>
      </w:r>
      <w:r w:rsidR="00E17AF2" w:rsidRPr="00012C3F">
        <w:rPr>
          <w:rFonts w:eastAsia="MS Mincho"/>
          <w:sz w:val="20"/>
          <w:szCs w:val="20"/>
          <w:lang w:val="en-US" w:eastAsia="en-US" w:bidi="en-US"/>
        </w:rPr>
        <w:t xml:space="preserve"> consider</w:t>
      </w:r>
      <w:r w:rsidRPr="00012C3F">
        <w:rPr>
          <w:rFonts w:eastAsia="MS Mincho"/>
          <w:sz w:val="20"/>
          <w:szCs w:val="20"/>
          <w:lang w:val="en-US" w:eastAsia="en-US" w:bidi="en-US"/>
        </w:rPr>
        <w:t>s it relevant</w:t>
      </w:r>
      <w:r w:rsidR="00510B39" w:rsidRPr="00012C3F">
        <w:rPr>
          <w:rFonts w:eastAsia="MS Mincho"/>
          <w:sz w:val="20"/>
          <w:szCs w:val="20"/>
          <w:lang w:val="en-US" w:eastAsia="en-US" w:bidi="en-US"/>
        </w:rPr>
        <w:t xml:space="preserve">, from a comparative law perspective of domestic laws and jurisprudence, </w:t>
      </w:r>
      <w:r w:rsidR="00F12600" w:rsidRPr="00012C3F">
        <w:rPr>
          <w:rFonts w:eastAsia="MS Mincho"/>
          <w:sz w:val="20"/>
          <w:szCs w:val="20"/>
          <w:lang w:val="en-US" w:eastAsia="en-US" w:bidi="en-US"/>
        </w:rPr>
        <w:t xml:space="preserve">to reinforce </w:t>
      </w:r>
      <w:r w:rsidR="00510B39" w:rsidRPr="00012C3F">
        <w:rPr>
          <w:rFonts w:eastAsia="MS Mincho"/>
          <w:sz w:val="20"/>
          <w:szCs w:val="20"/>
          <w:lang w:val="en-US" w:eastAsia="en-US" w:bidi="en-US"/>
        </w:rPr>
        <w:t xml:space="preserve">the interpretation given to the rule of informed consent as a requirement prior to medical procedures and </w:t>
      </w:r>
      <w:r w:rsidR="00F12600" w:rsidRPr="00012C3F">
        <w:rPr>
          <w:rFonts w:eastAsia="MS Mincho"/>
          <w:sz w:val="20"/>
          <w:szCs w:val="20"/>
          <w:lang w:val="en-US" w:eastAsia="en-US" w:bidi="en-US"/>
        </w:rPr>
        <w:t>the</w:t>
      </w:r>
      <w:r w:rsidR="00510B39" w:rsidRPr="00012C3F">
        <w:rPr>
          <w:rFonts w:eastAsia="MS Mincho"/>
          <w:sz w:val="20"/>
          <w:szCs w:val="20"/>
          <w:lang w:val="en-US" w:eastAsia="en-US" w:bidi="en-US"/>
        </w:rPr>
        <w:t xml:space="preserve"> specific guarantees, which have also been reflected in the domestic laws and practice of various Member States of the Organization of American States (OAS), in particular, most of the State that have ratified </w:t>
      </w:r>
      <w:r w:rsidR="001254DE" w:rsidRPr="00012C3F">
        <w:rPr>
          <w:rFonts w:eastAsia="MS Mincho"/>
          <w:sz w:val="20"/>
          <w:szCs w:val="20"/>
          <w:lang w:val="en-US" w:eastAsia="en-US" w:bidi="en-US"/>
        </w:rPr>
        <w:t>the American Convention</w:t>
      </w:r>
      <w:r w:rsidR="00E17AF2" w:rsidRPr="00012C3F">
        <w:rPr>
          <w:rFonts w:eastAsia="MS Mincho"/>
          <w:sz w:val="20"/>
          <w:szCs w:val="20"/>
          <w:lang w:val="en-US" w:eastAsia="en-US" w:bidi="en-US"/>
        </w:rPr>
        <w:t xml:space="preserve">. </w:t>
      </w:r>
    </w:p>
    <w:p w14:paraId="16C40C4B" w14:textId="77777777" w:rsidR="00E17AF2" w:rsidRPr="00012C3F" w:rsidRDefault="00E17AF2" w:rsidP="00E17AF2">
      <w:pPr>
        <w:pStyle w:val="Prrafodelista"/>
        <w:spacing w:line="240" w:lineRule="auto"/>
        <w:rPr>
          <w:rFonts w:eastAsia="MS Mincho"/>
          <w:sz w:val="20"/>
          <w:szCs w:val="20"/>
          <w:lang w:val="en-US" w:eastAsia="en-US" w:bidi="en-US"/>
        </w:rPr>
      </w:pPr>
    </w:p>
    <w:p w14:paraId="7A186585" w14:textId="77777777" w:rsidR="00E17AF2" w:rsidRPr="00012C3F" w:rsidRDefault="001254DE" w:rsidP="00510B39">
      <w:pPr>
        <w:widowControl/>
        <w:numPr>
          <w:ilvl w:val="0"/>
          <w:numId w:val="5"/>
        </w:numPr>
        <w:tabs>
          <w:tab w:val="left" w:pos="720"/>
          <w:tab w:val="num" w:pos="12305"/>
        </w:tabs>
        <w:adjustRightInd/>
        <w:spacing w:line="240" w:lineRule="auto"/>
        <w:ind w:left="0" w:right="-90" w:firstLine="0"/>
        <w:textAlignment w:val="auto"/>
        <w:rPr>
          <w:rFonts w:eastAsia="MS Mincho"/>
          <w:b/>
          <w:i/>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w:t>
      </w:r>
      <w:r w:rsidR="00510B39" w:rsidRPr="00012C3F">
        <w:rPr>
          <w:rFonts w:eastAsia="MS Mincho"/>
          <w:sz w:val="20"/>
          <w:szCs w:val="20"/>
          <w:lang w:val="en-US" w:eastAsia="en-US" w:bidi="en-US"/>
        </w:rPr>
        <w:t xml:space="preserve">has corroborated that, by 2000, when the facts of this case occurred, many of the States </w:t>
      </w:r>
      <w:r w:rsidR="00F12600" w:rsidRPr="00012C3F">
        <w:rPr>
          <w:rFonts w:eastAsia="MS Mincho"/>
          <w:sz w:val="20"/>
          <w:szCs w:val="20"/>
          <w:lang w:val="en-US" w:eastAsia="en-US" w:bidi="en-US"/>
        </w:rPr>
        <w:t>for</w:t>
      </w:r>
      <w:r w:rsidR="00510B39" w:rsidRPr="00012C3F">
        <w:rPr>
          <w:rFonts w:eastAsia="MS Mincho"/>
          <w:sz w:val="20"/>
          <w:szCs w:val="20"/>
          <w:lang w:val="en-US" w:eastAsia="en-US" w:bidi="en-US"/>
        </w:rPr>
        <w:t xml:space="preserve"> which information is available</w:t>
      </w:r>
      <w:r w:rsidR="00E17AF2" w:rsidRPr="00012C3F">
        <w:rPr>
          <w:rFonts w:eastAsia="MS Mincho"/>
          <w:sz w:val="20"/>
          <w:szCs w:val="20"/>
          <w:vertAlign w:val="superscript"/>
          <w:lang w:val="en-US" w:eastAsia="en-US" w:bidi="en-US"/>
        </w:rPr>
        <w:footnoteReference w:id="254"/>
      </w:r>
      <w:r w:rsidR="00E17AF2" w:rsidRPr="00012C3F">
        <w:rPr>
          <w:rFonts w:eastAsia="MS Mincho"/>
          <w:sz w:val="20"/>
          <w:szCs w:val="20"/>
          <w:lang w:val="en-US" w:eastAsia="en-US" w:bidi="en-US"/>
        </w:rPr>
        <w:t xml:space="preserve"> </w:t>
      </w:r>
      <w:r w:rsidR="00510B39" w:rsidRPr="00012C3F">
        <w:rPr>
          <w:rFonts w:eastAsia="MS Mincho"/>
          <w:sz w:val="20"/>
          <w:szCs w:val="20"/>
          <w:lang w:val="en-US" w:eastAsia="en-US" w:bidi="en-US"/>
        </w:rPr>
        <w:t xml:space="preserve">had different domestic </w:t>
      </w:r>
      <w:r w:rsidR="00F12600" w:rsidRPr="00012C3F">
        <w:rPr>
          <w:rFonts w:eastAsia="MS Mincho"/>
          <w:sz w:val="20"/>
          <w:szCs w:val="20"/>
          <w:lang w:val="en-US" w:eastAsia="en-US" w:bidi="en-US"/>
        </w:rPr>
        <w:t>norms concerning</w:t>
      </w:r>
      <w:r w:rsidR="00510B39"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00E17AF2" w:rsidRPr="00012C3F">
        <w:rPr>
          <w:rFonts w:eastAsia="MS Mincho"/>
          <w:sz w:val="20"/>
          <w:szCs w:val="20"/>
          <w:lang w:val="en-US" w:eastAsia="en-US" w:bidi="en-US"/>
        </w:rPr>
        <w:t xml:space="preserve">, </w:t>
      </w:r>
      <w:r w:rsidR="00F12600" w:rsidRPr="00012C3F">
        <w:rPr>
          <w:rFonts w:eastAsia="MS Mincho"/>
          <w:sz w:val="20"/>
          <w:szCs w:val="20"/>
          <w:lang w:val="en-US" w:eastAsia="en-US" w:bidi="en-US"/>
        </w:rPr>
        <w:t>such as</w:t>
      </w:r>
      <w:r w:rsidR="00510B39" w:rsidRPr="00012C3F">
        <w:rPr>
          <w:rFonts w:eastAsia="MS Mincho"/>
          <w:sz w:val="20"/>
          <w:szCs w:val="20"/>
          <w:lang w:val="en-US" w:eastAsia="en-US" w:bidi="en-US"/>
        </w:rPr>
        <w:t xml:space="preserve"> laws, technical guidelines or resolutions of health institutions, and even relevant jurisprudence. </w:t>
      </w:r>
      <w:r w:rsidR="00F12600" w:rsidRPr="00012C3F">
        <w:rPr>
          <w:rFonts w:eastAsia="MS Mincho"/>
          <w:sz w:val="20"/>
          <w:szCs w:val="20"/>
          <w:lang w:val="en-US" w:eastAsia="en-US" w:bidi="en-US"/>
        </w:rPr>
        <w:t>The</w:t>
      </w:r>
      <w:r w:rsidR="00510B39" w:rsidRPr="00012C3F">
        <w:rPr>
          <w:rFonts w:eastAsia="MS Mincho"/>
          <w:sz w:val="20"/>
          <w:szCs w:val="20"/>
          <w:lang w:val="en-US" w:eastAsia="en-US" w:bidi="en-US"/>
        </w:rPr>
        <w:t xml:space="preserve"> vast majority had a general norm for every type of medical procedure,</w:t>
      </w:r>
      <w:r w:rsidR="00E17AF2" w:rsidRPr="00012C3F">
        <w:rPr>
          <w:rFonts w:eastAsia="MS Mincho"/>
          <w:sz w:val="20"/>
          <w:szCs w:val="20"/>
          <w:vertAlign w:val="superscript"/>
          <w:lang w:val="en-US" w:eastAsia="en-US" w:bidi="en-US"/>
        </w:rPr>
        <w:footnoteReference w:id="255"/>
      </w:r>
      <w:r w:rsidR="00510B39" w:rsidRPr="00012C3F">
        <w:rPr>
          <w:rFonts w:eastAsia="MS Mincho"/>
          <w:sz w:val="20"/>
          <w:szCs w:val="20"/>
          <w:lang w:val="en-US" w:eastAsia="en-US" w:bidi="en-US"/>
        </w:rPr>
        <w:t xml:space="preserve"> while </w:t>
      </w:r>
      <w:r w:rsidR="00510B39" w:rsidRPr="00012C3F">
        <w:rPr>
          <w:rFonts w:eastAsia="MS Mincho"/>
          <w:sz w:val="20"/>
          <w:szCs w:val="20"/>
          <w:lang w:val="en-US" w:eastAsia="en-US" w:bidi="en-US"/>
        </w:rPr>
        <w:lastRenderedPageBreak/>
        <w:t>some of them had norms applicable to more specific cases,</w:t>
      </w:r>
      <w:r w:rsidR="00E17AF2" w:rsidRPr="00012C3F">
        <w:rPr>
          <w:rFonts w:eastAsia="MS Mincho"/>
          <w:sz w:val="20"/>
          <w:szCs w:val="20"/>
          <w:vertAlign w:val="superscript"/>
          <w:lang w:val="en-US" w:eastAsia="en-US" w:bidi="en-US"/>
        </w:rPr>
        <w:footnoteReference w:id="256"/>
      </w:r>
      <w:r w:rsidR="00510B39" w:rsidRPr="00012C3F">
        <w:rPr>
          <w:rFonts w:eastAsia="MS Mincho"/>
          <w:sz w:val="20"/>
          <w:szCs w:val="20"/>
          <w:lang w:val="en-US" w:eastAsia="en-US" w:bidi="en-US"/>
        </w:rPr>
        <w:t xml:space="preserve"> even norms that regulated consent in cases of female sterilization.</w:t>
      </w:r>
      <w:r w:rsidR="00E17AF2" w:rsidRPr="00012C3F">
        <w:rPr>
          <w:rFonts w:eastAsia="MS Mincho"/>
          <w:sz w:val="20"/>
          <w:szCs w:val="20"/>
          <w:vertAlign w:val="superscript"/>
          <w:lang w:val="en-US" w:eastAsia="en-US" w:bidi="en-US"/>
        </w:rPr>
        <w:footnoteReference w:id="257"/>
      </w:r>
    </w:p>
    <w:p w14:paraId="14FB9C13" w14:textId="77777777" w:rsidR="00085C23" w:rsidRPr="00012C3F" w:rsidRDefault="00085C23" w:rsidP="00085C23">
      <w:pPr>
        <w:tabs>
          <w:tab w:val="left" w:pos="567"/>
        </w:tabs>
        <w:spacing w:line="240" w:lineRule="auto"/>
        <w:rPr>
          <w:rFonts w:eastAsia="MS Mincho"/>
          <w:sz w:val="20"/>
          <w:szCs w:val="20"/>
          <w:lang w:val="en-US" w:eastAsia="en-US" w:bidi="en-US"/>
        </w:rPr>
      </w:pPr>
    </w:p>
    <w:p w14:paraId="139F4904" w14:textId="77777777" w:rsidR="00B47F8D" w:rsidRPr="00012C3F" w:rsidRDefault="00983591" w:rsidP="00B47F8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The Court notes that domestic laws have considered different elements of </w:t>
      </w:r>
      <w:r w:rsidR="00AC0004" w:rsidRPr="00012C3F">
        <w:rPr>
          <w:rFonts w:eastAsia="MS Mincho"/>
          <w:bCs/>
          <w:sz w:val="20"/>
          <w:szCs w:val="20"/>
          <w:lang w:val="en-US" w:eastAsia="en-US" w:bidi="en-US"/>
        </w:rPr>
        <w:t>informed consent</w:t>
      </w:r>
      <w:r w:rsidR="00E17AF2" w:rsidRPr="00012C3F">
        <w:rPr>
          <w:rFonts w:eastAsia="MS Mincho"/>
          <w:bCs/>
          <w:sz w:val="20"/>
          <w:szCs w:val="20"/>
          <w:lang w:val="en-US" w:eastAsia="en-US" w:bidi="en-US"/>
        </w:rPr>
        <w:t xml:space="preserve">, </w:t>
      </w:r>
      <w:r w:rsidRPr="00012C3F">
        <w:rPr>
          <w:rFonts w:eastAsia="MS Mincho"/>
          <w:bCs/>
          <w:sz w:val="20"/>
          <w:szCs w:val="20"/>
          <w:lang w:val="en-US" w:eastAsia="en-US" w:bidi="en-US"/>
        </w:rPr>
        <w:t xml:space="preserve">but, in 2000, they generally agreed that this must be prior, free and informed. Regarding </w:t>
      </w:r>
      <w:r w:rsidR="006C705C" w:rsidRPr="00012C3F">
        <w:rPr>
          <w:rFonts w:eastAsia="MS Mincho"/>
          <w:bCs/>
          <w:sz w:val="20"/>
          <w:szCs w:val="20"/>
          <w:lang w:val="en-US" w:eastAsia="en-US" w:bidi="en-US"/>
        </w:rPr>
        <w:t xml:space="preserve">access to </w:t>
      </w:r>
      <w:r w:rsidR="006C705C" w:rsidRPr="00012C3F">
        <w:rPr>
          <w:rFonts w:eastAsia="MS Mincho"/>
          <w:bCs/>
          <w:sz w:val="20"/>
          <w:szCs w:val="20"/>
          <w:lang w:val="en-US" w:eastAsia="en-US" w:bidi="en-US"/>
        </w:rPr>
        <w:lastRenderedPageBreak/>
        <w:t>information</w:t>
      </w:r>
      <w:r w:rsidR="00E17AF2" w:rsidRPr="00012C3F">
        <w:rPr>
          <w:rFonts w:eastAsia="MS Mincho"/>
          <w:bCs/>
          <w:sz w:val="20"/>
          <w:szCs w:val="20"/>
          <w:lang w:val="en-US" w:eastAsia="en-US" w:bidi="en-US"/>
        </w:rPr>
        <w:t xml:space="preserve">, </w:t>
      </w:r>
      <w:r w:rsidRPr="00012C3F">
        <w:rPr>
          <w:rFonts w:eastAsia="MS Mincho"/>
          <w:bCs/>
          <w:sz w:val="20"/>
          <w:szCs w:val="20"/>
          <w:lang w:val="en-US" w:eastAsia="en-US" w:bidi="en-US"/>
        </w:rPr>
        <w:t>the States have considered that there are different ways of classifying how information should be provided to the patient; namely, this should be full, clear, informed, autonomous, necessary and adequate, allowing for understanding and awareness.</w:t>
      </w:r>
      <w:r w:rsidR="00E17AF2" w:rsidRPr="00012C3F">
        <w:rPr>
          <w:rFonts w:eastAsia="MS Mincho"/>
          <w:bCs/>
          <w:sz w:val="20"/>
          <w:szCs w:val="20"/>
          <w:vertAlign w:val="superscript"/>
          <w:lang w:val="en-US" w:eastAsia="en-US" w:bidi="en-US"/>
        </w:rPr>
        <w:footnoteReference w:id="258"/>
      </w:r>
      <w:r w:rsidR="00E17AF2" w:rsidRPr="00012C3F">
        <w:rPr>
          <w:rFonts w:eastAsia="MS Mincho"/>
          <w:bCs/>
          <w:sz w:val="20"/>
          <w:szCs w:val="20"/>
          <w:lang w:val="en-US" w:eastAsia="en-US" w:bidi="en-US"/>
        </w:rPr>
        <w:t xml:space="preserve"> </w:t>
      </w:r>
      <w:r w:rsidR="001254DE" w:rsidRPr="00012C3F">
        <w:rPr>
          <w:rFonts w:eastAsia="MS Mincho"/>
          <w:bCs/>
          <w:sz w:val="20"/>
          <w:szCs w:val="20"/>
          <w:lang w:val="en-US" w:eastAsia="en-US" w:bidi="en-US"/>
        </w:rPr>
        <w:t>The Court</w:t>
      </w:r>
      <w:r w:rsidR="00E17AF2" w:rsidRPr="00012C3F">
        <w:rPr>
          <w:rFonts w:eastAsia="MS Mincho"/>
          <w:bCs/>
          <w:sz w:val="20"/>
          <w:szCs w:val="20"/>
          <w:lang w:val="en-US" w:eastAsia="en-US" w:bidi="en-US"/>
        </w:rPr>
        <w:t xml:space="preserve"> not</w:t>
      </w:r>
      <w:r w:rsidRPr="00012C3F">
        <w:rPr>
          <w:rFonts w:eastAsia="MS Mincho"/>
          <w:bCs/>
          <w:sz w:val="20"/>
          <w:szCs w:val="20"/>
          <w:lang w:val="en-US" w:eastAsia="en-US" w:bidi="en-US"/>
        </w:rPr>
        <w:t>es that, in 2000, the requirement for written consent was not included in the laws of all the States; nevertheless, it was included in those of</w:t>
      </w:r>
      <w:r w:rsidRPr="00012C3F">
        <w:rPr>
          <w:rFonts w:eastAsia="MS Mincho"/>
          <w:sz w:val="20"/>
          <w:szCs w:val="20"/>
          <w:lang w:val="en-US" w:eastAsia="en-US" w:bidi="en-US"/>
        </w:rPr>
        <w:t xml:space="preserve"> </w:t>
      </w:r>
      <w:r w:rsidR="00E17AF2" w:rsidRPr="00012C3F">
        <w:rPr>
          <w:rFonts w:eastAsia="MS Mincho"/>
          <w:bCs/>
          <w:sz w:val="20"/>
          <w:szCs w:val="20"/>
          <w:lang w:val="en-US" w:eastAsia="en-US" w:bidi="en-US"/>
        </w:rPr>
        <w:t xml:space="preserve">Argentina, Honduras, </w:t>
      </w:r>
      <w:r w:rsidR="00833C77" w:rsidRPr="00012C3F">
        <w:rPr>
          <w:rFonts w:eastAsia="MS Mincho"/>
          <w:bCs/>
          <w:sz w:val="20"/>
          <w:szCs w:val="20"/>
          <w:lang w:val="en-US" w:eastAsia="en-US" w:bidi="en-US"/>
        </w:rPr>
        <w:t>Peru</w:t>
      </w:r>
      <w:r w:rsidR="005E5012" w:rsidRPr="00012C3F">
        <w:rPr>
          <w:rFonts w:eastAsia="MS Mincho"/>
          <w:bCs/>
          <w:sz w:val="20"/>
          <w:szCs w:val="20"/>
          <w:lang w:val="en-US" w:eastAsia="en-US" w:bidi="en-US"/>
        </w:rPr>
        <w:t xml:space="preserve"> and </w:t>
      </w:r>
      <w:r w:rsidR="00E17AF2" w:rsidRPr="00012C3F">
        <w:rPr>
          <w:rFonts w:eastAsia="MS Mincho"/>
          <w:bCs/>
          <w:sz w:val="20"/>
          <w:szCs w:val="20"/>
          <w:lang w:val="en-US" w:eastAsia="en-US" w:bidi="en-US"/>
        </w:rPr>
        <w:t xml:space="preserve">Uruguay. Argentina </w:t>
      </w:r>
      <w:r w:rsidRPr="00012C3F">
        <w:rPr>
          <w:rFonts w:eastAsia="MS Mincho"/>
          <w:bCs/>
          <w:sz w:val="20"/>
          <w:szCs w:val="20"/>
          <w:lang w:val="en-US" w:eastAsia="en-US" w:bidi="en-US"/>
        </w:rPr>
        <w:t xml:space="preserve">required written consent in </w:t>
      </w:r>
      <w:r w:rsidR="00F12600" w:rsidRPr="00012C3F">
        <w:rPr>
          <w:rFonts w:eastAsia="MS Mincho"/>
          <w:bCs/>
          <w:sz w:val="20"/>
          <w:szCs w:val="20"/>
          <w:lang w:val="en-US" w:eastAsia="en-US" w:bidi="en-US"/>
        </w:rPr>
        <w:t>damaging</w:t>
      </w:r>
      <w:r w:rsidRPr="00012C3F">
        <w:rPr>
          <w:rFonts w:eastAsia="MS Mincho"/>
          <w:bCs/>
          <w:sz w:val="20"/>
          <w:szCs w:val="20"/>
          <w:lang w:val="en-US" w:eastAsia="en-US" w:bidi="en-US"/>
        </w:rPr>
        <w:t xml:space="preserve"> procedures;</w:t>
      </w:r>
      <w:r w:rsidR="00E17AF2" w:rsidRPr="00012C3F">
        <w:rPr>
          <w:rFonts w:eastAsia="MS Mincho"/>
          <w:bCs/>
          <w:sz w:val="20"/>
          <w:szCs w:val="20"/>
          <w:vertAlign w:val="superscript"/>
          <w:lang w:val="en-US" w:eastAsia="en-US" w:bidi="en-US"/>
        </w:rPr>
        <w:footnoteReference w:id="259"/>
      </w:r>
      <w:r w:rsidRPr="00012C3F">
        <w:rPr>
          <w:rFonts w:eastAsia="MS Mincho"/>
          <w:bCs/>
          <w:sz w:val="20"/>
          <w:szCs w:val="20"/>
          <w:lang w:val="en-US" w:eastAsia="en-US" w:bidi="en-US"/>
        </w:rPr>
        <w:t xml:space="preserve"> </w:t>
      </w:r>
      <w:r w:rsidR="00E17AF2" w:rsidRPr="00012C3F">
        <w:rPr>
          <w:rFonts w:eastAsia="MS Mincho"/>
          <w:bCs/>
          <w:sz w:val="20"/>
          <w:szCs w:val="20"/>
          <w:lang w:val="en-US" w:eastAsia="en-US" w:bidi="en-US"/>
        </w:rPr>
        <w:t xml:space="preserve">Honduras </w:t>
      </w:r>
      <w:r w:rsidRPr="00012C3F">
        <w:rPr>
          <w:rFonts w:eastAsia="MS Mincho"/>
          <w:bCs/>
          <w:sz w:val="20"/>
          <w:szCs w:val="20"/>
          <w:lang w:val="en-US" w:eastAsia="en-US" w:bidi="en-US"/>
        </w:rPr>
        <w:t xml:space="preserve">required this </w:t>
      </w:r>
      <w:r w:rsidR="00B47F8D" w:rsidRPr="00012C3F">
        <w:rPr>
          <w:rFonts w:eastAsia="MS Mincho"/>
          <w:bCs/>
          <w:sz w:val="20"/>
          <w:szCs w:val="20"/>
          <w:lang w:val="en-US" w:eastAsia="en-US" w:bidi="en-US"/>
        </w:rPr>
        <w:t>in order to submit to scientific research;</w:t>
      </w:r>
      <w:r w:rsidR="00E17AF2" w:rsidRPr="00012C3F">
        <w:rPr>
          <w:rFonts w:eastAsia="MS Mincho"/>
          <w:bCs/>
          <w:sz w:val="20"/>
          <w:szCs w:val="20"/>
          <w:vertAlign w:val="superscript"/>
          <w:lang w:val="en-US" w:eastAsia="en-US" w:bidi="en-US"/>
        </w:rPr>
        <w:footnoteReference w:id="260"/>
      </w:r>
      <w:r w:rsidR="00E17AF2" w:rsidRPr="00012C3F">
        <w:rPr>
          <w:rFonts w:eastAsia="MS Mincho"/>
          <w:bCs/>
          <w:sz w:val="20"/>
          <w:szCs w:val="20"/>
          <w:lang w:val="en-US" w:eastAsia="en-US" w:bidi="en-US"/>
        </w:rPr>
        <w:t xml:space="preserve"> </w:t>
      </w:r>
      <w:r w:rsidR="00833C77" w:rsidRPr="00012C3F">
        <w:rPr>
          <w:rFonts w:eastAsia="MS Mincho"/>
          <w:bCs/>
          <w:sz w:val="20"/>
          <w:szCs w:val="20"/>
          <w:lang w:val="en-US" w:eastAsia="en-US" w:bidi="en-US"/>
        </w:rPr>
        <w:t>Peru</w:t>
      </w:r>
      <w:r w:rsidR="00E17AF2" w:rsidRPr="00012C3F">
        <w:rPr>
          <w:rFonts w:eastAsia="MS Mincho"/>
          <w:bCs/>
          <w:sz w:val="20"/>
          <w:szCs w:val="20"/>
          <w:lang w:val="en-US" w:eastAsia="en-US" w:bidi="en-US"/>
        </w:rPr>
        <w:t xml:space="preserve"> </w:t>
      </w:r>
      <w:r w:rsidR="00B47F8D" w:rsidRPr="00012C3F">
        <w:rPr>
          <w:rFonts w:eastAsia="MS Mincho"/>
          <w:bCs/>
          <w:sz w:val="20"/>
          <w:szCs w:val="20"/>
          <w:lang w:val="en-US" w:eastAsia="en-US" w:bidi="en-US"/>
        </w:rPr>
        <w:t>requested it to apply special treatments, conduct unsafe tests or perform procedures that could affect the patient mentally or physically,</w:t>
      </w:r>
      <w:r w:rsidR="00B47F8D" w:rsidRPr="00012C3F">
        <w:rPr>
          <w:rFonts w:eastAsia="MS Mincho"/>
          <w:bCs/>
          <w:sz w:val="20"/>
          <w:szCs w:val="20"/>
          <w:vertAlign w:val="superscript"/>
          <w:lang w:val="en-US" w:eastAsia="en-US" w:bidi="en-US"/>
        </w:rPr>
        <w:t xml:space="preserve"> </w:t>
      </w:r>
      <w:r w:rsidR="00B47F8D" w:rsidRPr="00012C3F">
        <w:rPr>
          <w:rFonts w:eastAsia="MS Mincho"/>
          <w:bCs/>
          <w:sz w:val="20"/>
          <w:szCs w:val="20"/>
          <w:vertAlign w:val="superscript"/>
          <w:lang w:val="en-US" w:eastAsia="en-US" w:bidi="en-US"/>
        </w:rPr>
        <w:footnoteReference w:id="261"/>
      </w:r>
      <w:r w:rsidR="00F12600" w:rsidRPr="00012C3F">
        <w:rPr>
          <w:rFonts w:eastAsia="MS Mincho"/>
          <w:bCs/>
          <w:sz w:val="20"/>
          <w:szCs w:val="20"/>
          <w:lang w:val="en-US" w:eastAsia="en-US" w:bidi="en-US"/>
        </w:rPr>
        <w:t xml:space="preserve"> </w:t>
      </w:r>
      <w:r w:rsidR="00B47F8D" w:rsidRPr="00012C3F">
        <w:rPr>
          <w:rFonts w:eastAsia="MS Mincho"/>
          <w:bCs/>
          <w:sz w:val="20"/>
          <w:szCs w:val="20"/>
          <w:lang w:val="en-US" w:eastAsia="en-US" w:bidi="en-US"/>
        </w:rPr>
        <w:t>and Uruguay required it to authorize the use of a person’s corpse for scientific purposes.</w:t>
      </w:r>
      <w:r w:rsidR="00CC17C6" w:rsidRPr="00012C3F">
        <w:rPr>
          <w:rFonts w:eastAsia="MS Mincho"/>
          <w:bCs/>
          <w:sz w:val="20"/>
          <w:szCs w:val="20"/>
          <w:vertAlign w:val="superscript"/>
          <w:lang w:val="en-US" w:eastAsia="en-US" w:bidi="en-US"/>
        </w:rPr>
        <w:footnoteReference w:id="262"/>
      </w:r>
      <w:r w:rsidR="00B47F8D" w:rsidRPr="00012C3F">
        <w:rPr>
          <w:rFonts w:eastAsia="MS Mincho"/>
          <w:bCs/>
          <w:sz w:val="20"/>
          <w:szCs w:val="20"/>
          <w:lang w:val="en-US" w:eastAsia="en-US" w:bidi="en-US"/>
        </w:rPr>
        <w:t xml:space="preserve"> In addition, in the specific case of informed consent for female sterilization, the Court notes that all the States that had a law in this regard in 2000 required written consent in this case.</w:t>
      </w:r>
    </w:p>
    <w:p w14:paraId="60C0D633" w14:textId="77777777" w:rsidR="00E17AF2" w:rsidRPr="00012C3F" w:rsidRDefault="00E17AF2" w:rsidP="00E17AF2">
      <w:pPr>
        <w:spacing w:line="240" w:lineRule="auto"/>
        <w:ind w:left="708"/>
        <w:rPr>
          <w:bCs/>
          <w:sz w:val="20"/>
          <w:szCs w:val="20"/>
          <w:lang w:val="en-US"/>
        </w:rPr>
      </w:pPr>
    </w:p>
    <w:p w14:paraId="60E641C2" w14:textId="77777777" w:rsidR="00E17AF2" w:rsidRPr="00012C3F" w:rsidRDefault="00B47F8D" w:rsidP="00B47F8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bCs/>
          <w:sz w:val="20"/>
          <w:szCs w:val="20"/>
          <w:lang w:val="en-US" w:eastAsia="en-US" w:bidi="en-US"/>
        </w:rPr>
        <w:t>The Court also notes that, even though the general rule was to obtain informed consent, the laws of some States recognized the existence of exception to this rule, including cases of urgency or emergency in which consent could not be obtained. In 2000, various States regulated these exceptions.</w:t>
      </w:r>
      <w:r w:rsidR="00E17AF2" w:rsidRPr="00012C3F">
        <w:rPr>
          <w:rFonts w:eastAsia="MS Mincho"/>
          <w:sz w:val="20"/>
          <w:szCs w:val="20"/>
          <w:vertAlign w:val="superscript"/>
          <w:lang w:val="en-US" w:eastAsia="en-US" w:bidi="en-US"/>
        </w:rPr>
        <w:footnoteReference w:id="263"/>
      </w:r>
      <w:r w:rsidRPr="00012C3F">
        <w:rPr>
          <w:rFonts w:eastAsia="MS Mincho"/>
          <w:sz w:val="20"/>
          <w:szCs w:val="20"/>
          <w:lang w:val="en-US" w:eastAsia="en-US" w:bidi="en-US"/>
        </w:rPr>
        <w:t xml:space="preserve"> In the case of female sterilization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however</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Court has corroborated that none of the countries that regulated it, established specific exceptions in this regard.</w:t>
      </w:r>
      <w:r w:rsidR="00E17AF2" w:rsidRPr="00012C3F">
        <w:rPr>
          <w:rFonts w:eastAsia="MS Mincho"/>
          <w:sz w:val="20"/>
          <w:szCs w:val="20"/>
          <w:lang w:val="en-US" w:eastAsia="en-US" w:bidi="en-US"/>
        </w:rPr>
        <w:t xml:space="preserve"> </w:t>
      </w:r>
    </w:p>
    <w:p w14:paraId="7C75AA81" w14:textId="77777777" w:rsidR="00E17AF2" w:rsidRPr="00012C3F" w:rsidRDefault="00E17AF2" w:rsidP="00B47F8D">
      <w:pPr>
        <w:widowControl/>
        <w:tabs>
          <w:tab w:val="left" w:pos="720"/>
        </w:tabs>
        <w:adjustRightInd/>
        <w:spacing w:line="240" w:lineRule="auto"/>
        <w:ind w:right="-90"/>
        <w:textAlignment w:val="auto"/>
        <w:rPr>
          <w:rFonts w:eastAsia="MS Mincho"/>
          <w:sz w:val="20"/>
          <w:szCs w:val="20"/>
          <w:lang w:val="en-US" w:eastAsia="en-US" w:bidi="en-US"/>
        </w:rPr>
      </w:pPr>
    </w:p>
    <w:p w14:paraId="491B20CE" w14:textId="77777777" w:rsidR="00085C23" w:rsidRPr="00012C3F" w:rsidRDefault="00085C23" w:rsidP="00B47F8D">
      <w:pPr>
        <w:pStyle w:val="Ttulo3"/>
        <w:tabs>
          <w:tab w:val="clear" w:pos="567"/>
          <w:tab w:val="left" w:pos="720"/>
          <w:tab w:val="left" w:pos="2552"/>
        </w:tabs>
        <w:ind w:left="1701"/>
        <w:rPr>
          <w:rFonts w:eastAsia="MS Mincho" w:cs="Arial"/>
          <w:b w:val="0"/>
          <w:i/>
          <w:spacing w:val="0"/>
          <w:lang w:val="en-US" w:eastAsia="en-US"/>
        </w:rPr>
      </w:pPr>
      <w:bookmarkStart w:id="137" w:name="_Toc27486866"/>
      <w:r w:rsidRPr="00012C3F">
        <w:rPr>
          <w:rFonts w:eastAsia="MS Mincho" w:cs="Arial"/>
          <w:b w:val="0"/>
          <w:i/>
          <w:spacing w:val="0"/>
          <w:lang w:val="en-US" w:eastAsia="en-US"/>
        </w:rPr>
        <w:t xml:space="preserve">B.2.c </w:t>
      </w:r>
      <w:r w:rsidRPr="00012C3F">
        <w:rPr>
          <w:rFonts w:eastAsia="MS Mincho" w:cs="Arial"/>
          <w:b w:val="0"/>
          <w:i/>
          <w:spacing w:val="0"/>
          <w:lang w:val="en-US" w:eastAsia="en-US"/>
        </w:rPr>
        <w:tab/>
      </w:r>
      <w:r w:rsidR="00B47F8D" w:rsidRPr="00012C3F">
        <w:rPr>
          <w:rFonts w:eastAsia="MS Mincho" w:cs="Arial"/>
          <w:b w:val="0"/>
          <w:i/>
          <w:spacing w:val="0"/>
          <w:lang w:val="en-US" w:eastAsia="en-US"/>
        </w:rPr>
        <w:t>Conclusion</w:t>
      </w:r>
      <w:bookmarkEnd w:id="137"/>
    </w:p>
    <w:p w14:paraId="30C6681D" w14:textId="77777777" w:rsidR="00085C23" w:rsidRPr="00012C3F" w:rsidRDefault="00085C23" w:rsidP="00B47F8D">
      <w:pPr>
        <w:widowControl/>
        <w:tabs>
          <w:tab w:val="left" w:pos="720"/>
        </w:tabs>
        <w:adjustRightInd/>
        <w:spacing w:line="240" w:lineRule="auto"/>
        <w:ind w:right="-90"/>
        <w:textAlignment w:val="auto"/>
        <w:rPr>
          <w:rFonts w:eastAsia="MS Mincho"/>
          <w:sz w:val="20"/>
          <w:szCs w:val="20"/>
          <w:lang w:val="en-US" w:eastAsia="en-US" w:bidi="en-US"/>
        </w:rPr>
      </w:pPr>
    </w:p>
    <w:p w14:paraId="4694DBE1" w14:textId="77777777" w:rsidR="00B47F8D" w:rsidRPr="00012C3F" w:rsidRDefault="00B47F8D" w:rsidP="00B47F8D">
      <w:pPr>
        <w:numPr>
          <w:ilvl w:val="0"/>
          <w:numId w:val="5"/>
        </w:numPr>
        <w:tabs>
          <w:tab w:val="left" w:pos="720"/>
          <w:tab w:val="num" w:pos="12305"/>
        </w:tabs>
        <w:spacing w:line="240" w:lineRule="auto"/>
        <w:ind w:left="0" w:firstLine="0"/>
        <w:rPr>
          <w:sz w:val="20"/>
          <w:szCs w:val="20"/>
          <w:lang w:val="en-US"/>
        </w:rPr>
      </w:pPr>
      <w:r w:rsidRPr="00012C3F">
        <w:rPr>
          <w:rFonts w:eastAsia="MS Mincho"/>
          <w:sz w:val="20"/>
          <w:szCs w:val="20"/>
          <w:lang w:val="en-US" w:eastAsia="en-US" w:bidi="en-US"/>
        </w:rPr>
        <w:t xml:space="preserve">Based on the foregoing, the Court concludes that, at the time the facts of this case took place, the State had an international obligation to obtain, through its health personnel, the consent of patients for medical procedures and, especially, of women in the case of female sterilizations, and this should have complied with the characteristics of being prior, free, full and informed following a process of informed </w:t>
      </w:r>
      <w:r w:rsidR="00107617" w:rsidRPr="00012C3F">
        <w:rPr>
          <w:rFonts w:eastAsia="MS Mincho"/>
          <w:sz w:val="20"/>
          <w:szCs w:val="20"/>
          <w:lang w:val="en-US" w:eastAsia="en-US" w:bidi="en-US"/>
        </w:rPr>
        <w:t>decision-making</w:t>
      </w:r>
      <w:r w:rsidRPr="00012C3F">
        <w:rPr>
          <w:rFonts w:eastAsia="MS Mincho"/>
          <w:sz w:val="20"/>
          <w:szCs w:val="20"/>
          <w:lang w:val="en-US" w:eastAsia="en-US" w:bidi="en-US"/>
        </w:rPr>
        <w:t>.</w:t>
      </w:r>
    </w:p>
    <w:p w14:paraId="57C41B2E" w14:textId="77777777" w:rsidR="00E17AF2" w:rsidRPr="00012C3F" w:rsidRDefault="00E17AF2" w:rsidP="00B47F8D">
      <w:pPr>
        <w:widowControl/>
        <w:tabs>
          <w:tab w:val="left" w:pos="720"/>
        </w:tabs>
        <w:adjustRightInd/>
        <w:spacing w:line="240" w:lineRule="auto"/>
        <w:ind w:right="-90"/>
        <w:textAlignment w:val="auto"/>
        <w:rPr>
          <w:sz w:val="20"/>
          <w:szCs w:val="20"/>
          <w:lang w:val="en-US"/>
        </w:rPr>
      </w:pPr>
    </w:p>
    <w:p w14:paraId="1953A8C0" w14:textId="77777777" w:rsidR="00E17AF2" w:rsidRPr="00012C3F" w:rsidRDefault="00E17AF2" w:rsidP="00B47F8D">
      <w:pPr>
        <w:pStyle w:val="Ttulo2"/>
        <w:tabs>
          <w:tab w:val="left" w:pos="720"/>
          <w:tab w:val="left" w:pos="1701"/>
        </w:tabs>
        <w:spacing w:before="0" w:line="240" w:lineRule="auto"/>
        <w:ind w:left="1134"/>
        <w:rPr>
          <w:rFonts w:ascii="Verdana" w:hAnsi="Verdana"/>
          <w:b w:val="0"/>
          <w:i/>
          <w:color w:val="auto"/>
          <w:sz w:val="20"/>
          <w:szCs w:val="20"/>
          <w:lang w:val="en-US"/>
        </w:rPr>
      </w:pPr>
      <w:bookmarkStart w:id="138" w:name="_Toc465446862"/>
      <w:bookmarkStart w:id="139" w:name="_Toc27486867"/>
      <w:r w:rsidRPr="00012C3F">
        <w:rPr>
          <w:rFonts w:ascii="Verdana" w:hAnsi="Verdana"/>
          <w:b w:val="0"/>
          <w:i/>
          <w:color w:val="auto"/>
          <w:sz w:val="20"/>
          <w:szCs w:val="20"/>
          <w:lang w:val="en-US"/>
        </w:rPr>
        <w:t xml:space="preserve">B.3 </w:t>
      </w:r>
      <w:r w:rsidR="006A16C8" w:rsidRPr="00012C3F">
        <w:rPr>
          <w:rFonts w:ascii="Verdana" w:hAnsi="Verdana"/>
          <w:b w:val="0"/>
          <w:i/>
          <w:color w:val="auto"/>
          <w:sz w:val="20"/>
          <w:szCs w:val="20"/>
          <w:lang w:val="en-US"/>
        </w:rPr>
        <w:tab/>
      </w:r>
      <w:r w:rsidR="00B47F8D" w:rsidRPr="00012C3F">
        <w:rPr>
          <w:rFonts w:ascii="Verdana" w:hAnsi="Verdana"/>
          <w:b w:val="0"/>
          <w:i/>
          <w:color w:val="auto"/>
          <w:sz w:val="20"/>
          <w:szCs w:val="20"/>
          <w:lang w:val="en-US"/>
        </w:rPr>
        <w:t>Determination of the scope of the State’s international responsibility</w:t>
      </w:r>
      <w:bookmarkEnd w:id="138"/>
      <w:bookmarkEnd w:id="139"/>
    </w:p>
    <w:p w14:paraId="397D9CF3" w14:textId="77777777" w:rsidR="00E17AF2" w:rsidRPr="00012C3F" w:rsidRDefault="00E17AF2" w:rsidP="00B47F8D">
      <w:pPr>
        <w:widowControl/>
        <w:tabs>
          <w:tab w:val="left" w:pos="720"/>
        </w:tabs>
        <w:adjustRightInd/>
        <w:spacing w:line="240" w:lineRule="auto"/>
        <w:ind w:right="-90"/>
        <w:textAlignment w:val="auto"/>
        <w:rPr>
          <w:rFonts w:eastAsia="MS Mincho"/>
          <w:sz w:val="20"/>
          <w:szCs w:val="20"/>
          <w:lang w:val="en-US" w:eastAsia="en-US" w:bidi="en-US"/>
        </w:rPr>
      </w:pPr>
    </w:p>
    <w:p w14:paraId="22FAEFE5" w14:textId="77777777" w:rsidR="00E17AF2" w:rsidRPr="00012C3F" w:rsidRDefault="001254DE" w:rsidP="00B47F8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not</w:t>
      </w:r>
      <w:r w:rsidR="00B47F8D" w:rsidRPr="00012C3F">
        <w:rPr>
          <w:rFonts w:eastAsia="MS Mincho"/>
          <w:sz w:val="20"/>
          <w:szCs w:val="20"/>
          <w:lang w:val="en-US" w:eastAsia="en-US" w:bidi="en-US"/>
        </w:rPr>
        <w:t xml:space="preserve">es that tubal ligation, in particular using the Pomeroy technique, is a surgical contraception method that causes sterilization; that is, it permanently deprives a woman of her biological reproductive capacity. A medical procedure of this type should be performed voluntarily, requiring prior, free, full and informed consent, as developed in the preceding section. Indeed, as expert witness </w:t>
      </w:r>
      <w:r w:rsidR="00B47F8D" w:rsidRPr="00012C3F">
        <w:rPr>
          <w:sz w:val="20"/>
          <w:szCs w:val="20"/>
          <w:lang w:val="en-US"/>
        </w:rPr>
        <w:t>Luisa Cabal indicated, “[s]</w:t>
      </w:r>
      <w:r w:rsidR="009D3EE9" w:rsidRPr="00012C3F">
        <w:rPr>
          <w:sz w:val="20"/>
          <w:szCs w:val="20"/>
          <w:lang w:val="en-US"/>
        </w:rPr>
        <w:t>sterilization</w:t>
      </w:r>
      <w:r w:rsidR="00B47F8D" w:rsidRPr="00012C3F">
        <w:rPr>
          <w:sz w:val="20"/>
          <w:szCs w:val="20"/>
          <w:lang w:val="en-US"/>
        </w:rPr>
        <w:t xml:space="preserve"> is a permanent contraceptive method that should form part of a wide range of contraception methods that everyone has the right to choose or refuse autonomously, in the exercise of their sexual a</w:t>
      </w:r>
      <w:r w:rsidR="002C2B46" w:rsidRPr="00012C3F">
        <w:rPr>
          <w:sz w:val="20"/>
          <w:szCs w:val="20"/>
          <w:lang w:val="en-US"/>
        </w:rPr>
        <w:t>n</w:t>
      </w:r>
      <w:r w:rsidR="00B47F8D" w:rsidRPr="00012C3F">
        <w:rPr>
          <w:sz w:val="20"/>
          <w:szCs w:val="20"/>
          <w:lang w:val="en-US"/>
        </w:rPr>
        <w:t>d reproductive rights.</w:t>
      </w:r>
      <w:r w:rsidR="00E17AF2" w:rsidRPr="00012C3F">
        <w:rPr>
          <w:sz w:val="20"/>
          <w:szCs w:val="20"/>
          <w:lang w:val="en-US"/>
        </w:rPr>
        <w:t>”</w:t>
      </w:r>
      <w:r w:rsidR="00E17AF2" w:rsidRPr="00012C3F">
        <w:rPr>
          <w:rStyle w:val="Refdenotaalpie"/>
          <w:sz w:val="20"/>
          <w:szCs w:val="20"/>
          <w:lang w:val="en-US"/>
        </w:rPr>
        <w:footnoteReference w:id="264"/>
      </w:r>
    </w:p>
    <w:p w14:paraId="0FD1E0F6" w14:textId="77777777" w:rsidR="00E17AF2" w:rsidRPr="00012C3F" w:rsidRDefault="00E17AF2" w:rsidP="00E17AF2">
      <w:pPr>
        <w:tabs>
          <w:tab w:val="left" w:pos="567"/>
        </w:tabs>
        <w:spacing w:line="240" w:lineRule="auto"/>
        <w:rPr>
          <w:rFonts w:eastAsia="MS Mincho"/>
          <w:sz w:val="20"/>
          <w:szCs w:val="20"/>
          <w:lang w:val="en-US" w:eastAsia="en-US" w:bidi="en-US"/>
        </w:rPr>
      </w:pPr>
    </w:p>
    <w:p w14:paraId="01AFFCC3" w14:textId="77777777" w:rsidR="00455825" w:rsidRPr="00012C3F" w:rsidRDefault="002215BF" w:rsidP="002C2B46">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bCs/>
          <w:sz w:val="20"/>
          <w:szCs w:val="20"/>
          <w:lang w:val="en-US"/>
        </w:rPr>
        <w:t>In light</w:t>
      </w:r>
      <w:r w:rsidR="00E17AF2" w:rsidRPr="00012C3F">
        <w:rPr>
          <w:rFonts w:eastAsia="MS Mincho"/>
          <w:bCs/>
          <w:sz w:val="20"/>
          <w:szCs w:val="20"/>
          <w:lang w:val="en-US"/>
        </w:rPr>
        <w:t xml:space="preserve"> </w:t>
      </w:r>
      <w:r w:rsidRPr="00012C3F">
        <w:rPr>
          <w:rFonts w:eastAsia="MS Mincho"/>
          <w:bCs/>
          <w:sz w:val="20"/>
          <w:szCs w:val="20"/>
          <w:lang w:val="en-US"/>
        </w:rPr>
        <w:t xml:space="preserve">of all the above, the Court must now determine whether the State of Bolivia had a </w:t>
      </w:r>
      <w:r w:rsidR="00E17AF2" w:rsidRPr="00012C3F">
        <w:rPr>
          <w:rFonts w:eastAsia="MS Mincho"/>
          <w:bCs/>
          <w:sz w:val="20"/>
          <w:szCs w:val="20"/>
          <w:lang w:val="en-US"/>
        </w:rPr>
        <w:t xml:space="preserve"> </w:t>
      </w:r>
      <w:r w:rsidRPr="00012C3F">
        <w:rPr>
          <w:rFonts w:eastAsia="MS Mincho"/>
          <w:bCs/>
          <w:sz w:val="20"/>
          <w:szCs w:val="20"/>
          <w:lang w:val="en-US"/>
        </w:rPr>
        <w:t xml:space="preserve">clear regulation in order to prevent the performance of </w:t>
      </w:r>
      <w:r w:rsidR="00B47F8D" w:rsidRPr="00012C3F">
        <w:rPr>
          <w:rFonts w:eastAsia="MS Mincho"/>
          <w:bCs/>
          <w:sz w:val="20"/>
          <w:szCs w:val="20"/>
          <w:lang w:val="en-US"/>
        </w:rPr>
        <w:t>female sterilizations</w:t>
      </w:r>
      <w:r w:rsidR="00E17AF2" w:rsidRPr="00012C3F">
        <w:rPr>
          <w:rFonts w:eastAsia="MS Mincho"/>
          <w:bCs/>
          <w:sz w:val="20"/>
          <w:szCs w:val="20"/>
          <w:lang w:val="en-US"/>
        </w:rPr>
        <w:t xml:space="preserve"> </w:t>
      </w:r>
      <w:r w:rsidRPr="00012C3F">
        <w:rPr>
          <w:rFonts w:eastAsia="MS Mincho"/>
          <w:bCs/>
          <w:sz w:val="20"/>
          <w:szCs w:val="20"/>
          <w:lang w:val="en-US"/>
        </w:rPr>
        <w:t>without prior, free, full and informed consent, because the State has argued before this Court that the laws and regulations cited by</w:t>
      </w:r>
      <w:r w:rsidR="00E17AF2" w:rsidRPr="00012C3F">
        <w:rPr>
          <w:rFonts w:eastAsia="MS Mincho"/>
          <w:bCs/>
          <w:sz w:val="20"/>
          <w:szCs w:val="20"/>
          <w:lang w:val="en-US"/>
        </w:rPr>
        <w:t xml:space="preserve"> </w:t>
      </w:r>
      <w:r w:rsidR="001254DE" w:rsidRPr="00012C3F">
        <w:rPr>
          <w:rFonts w:eastAsia="MS Mincho"/>
          <w:bCs/>
          <w:sz w:val="20"/>
          <w:szCs w:val="20"/>
          <w:lang w:val="en-US"/>
        </w:rPr>
        <w:t xml:space="preserve">the </w:t>
      </w:r>
      <w:r w:rsidR="00A84CA0" w:rsidRPr="00012C3F">
        <w:rPr>
          <w:rFonts w:eastAsia="MS Mincho"/>
          <w:bCs/>
          <w:sz w:val="20"/>
          <w:szCs w:val="20"/>
          <w:lang w:val="en-US"/>
        </w:rPr>
        <w:t>Commission</w:t>
      </w:r>
      <w:r w:rsidR="005E5012" w:rsidRPr="00012C3F">
        <w:rPr>
          <w:rFonts w:eastAsia="MS Mincho"/>
          <w:bCs/>
          <w:sz w:val="20"/>
          <w:szCs w:val="20"/>
          <w:lang w:val="en-US"/>
        </w:rPr>
        <w:t xml:space="preserve"> and </w:t>
      </w:r>
      <w:r w:rsidR="00972ACF" w:rsidRPr="00012C3F">
        <w:rPr>
          <w:rFonts w:eastAsia="MS Mincho"/>
          <w:bCs/>
          <w:sz w:val="20"/>
          <w:szCs w:val="20"/>
          <w:lang w:val="en-US"/>
        </w:rPr>
        <w:t>the representative</w:t>
      </w:r>
      <w:r w:rsidRPr="00012C3F">
        <w:rPr>
          <w:rFonts w:eastAsia="MS Mincho"/>
          <w:bCs/>
          <w:sz w:val="20"/>
          <w:szCs w:val="20"/>
          <w:lang w:val="en-US"/>
        </w:rPr>
        <w:t xml:space="preserve"> to substantiate the alleged violations, were not applicable in the case of I.V. </w:t>
      </w:r>
      <w:r w:rsidR="00E17AF2" w:rsidRPr="00012C3F">
        <w:rPr>
          <w:rFonts w:eastAsia="MS Mincho"/>
          <w:bCs/>
          <w:sz w:val="20"/>
          <w:szCs w:val="20"/>
          <w:lang w:val="en-US"/>
        </w:rPr>
        <w:t xml:space="preserve"> </w:t>
      </w:r>
      <w:r w:rsidR="00455825" w:rsidRPr="00012C3F">
        <w:rPr>
          <w:rFonts w:eastAsia="MS Mincho"/>
          <w:bCs/>
          <w:sz w:val="20"/>
          <w:szCs w:val="20"/>
          <w:lang w:val="en-US"/>
        </w:rPr>
        <w:t>Nevertheless, t</w:t>
      </w:r>
      <w:r w:rsidR="001254DE" w:rsidRPr="00012C3F">
        <w:rPr>
          <w:rFonts w:eastAsia="MS Mincho"/>
          <w:bCs/>
          <w:sz w:val="20"/>
          <w:szCs w:val="20"/>
          <w:lang w:val="en-US"/>
        </w:rPr>
        <w:t>he Court</w:t>
      </w:r>
      <w:r w:rsidR="00E17AF2" w:rsidRPr="00012C3F">
        <w:rPr>
          <w:rFonts w:eastAsia="MS Mincho"/>
          <w:bCs/>
          <w:sz w:val="20"/>
          <w:szCs w:val="20"/>
          <w:lang w:val="en-US"/>
        </w:rPr>
        <w:t xml:space="preserve"> </w:t>
      </w:r>
      <w:r w:rsidR="00455825" w:rsidRPr="00012C3F">
        <w:rPr>
          <w:rFonts w:eastAsia="MS Mincho"/>
          <w:bCs/>
          <w:sz w:val="20"/>
          <w:szCs w:val="20"/>
          <w:lang w:val="en-US"/>
        </w:rPr>
        <w:t xml:space="preserve">will not determine the validity of </w:t>
      </w:r>
      <w:r w:rsidR="00455825" w:rsidRPr="00012C3F">
        <w:rPr>
          <w:rFonts w:eastAsia="MS Mincho"/>
          <w:bCs/>
          <w:sz w:val="20"/>
          <w:szCs w:val="20"/>
          <w:lang w:val="en-US"/>
        </w:rPr>
        <w:lastRenderedPageBreak/>
        <w:t>these norms, because it has not been alleged that Article 2 of the Convention was violated. The Court must also decide whether the tubal ligation procedure performed on I.V. constituted a case of sterilization that was contrary to Bolivia’s international obligations resulting from the parameters defined previously with regard to the obligatory nature of ensuring that patients have given their informed consent based on their autonomy and dignity, in order to verify whether the international responsibility of the State has been generated by the actions of its public officials; in this case, its health care personnel in a public hospital.</w:t>
      </w:r>
    </w:p>
    <w:p w14:paraId="57806B94" w14:textId="77777777" w:rsidR="00E17AF2" w:rsidRPr="00012C3F" w:rsidRDefault="00E17AF2" w:rsidP="00E17AF2">
      <w:pPr>
        <w:tabs>
          <w:tab w:val="left" w:pos="567"/>
        </w:tabs>
        <w:spacing w:line="240" w:lineRule="auto"/>
        <w:rPr>
          <w:rFonts w:eastAsia="MS Mincho"/>
          <w:sz w:val="20"/>
          <w:szCs w:val="20"/>
          <w:lang w:val="en-US" w:eastAsia="en-US" w:bidi="en-US"/>
        </w:rPr>
      </w:pPr>
    </w:p>
    <w:p w14:paraId="74ABE315" w14:textId="77777777" w:rsidR="00E17AF2" w:rsidRPr="00012C3F" w:rsidRDefault="001254DE" w:rsidP="00DF71A5">
      <w:pPr>
        <w:numPr>
          <w:ilvl w:val="0"/>
          <w:numId w:val="5"/>
        </w:numPr>
        <w:tabs>
          <w:tab w:val="left" w:pos="720"/>
          <w:tab w:val="num" w:pos="12305"/>
        </w:tabs>
        <w:spacing w:line="240" w:lineRule="auto"/>
        <w:ind w:left="0" w:firstLine="0"/>
        <w:rPr>
          <w:rFonts w:eastAsia="MS Mincho"/>
          <w:b/>
          <w:bCs/>
          <w:sz w:val="20"/>
          <w:szCs w:val="20"/>
          <w:lang w:val="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no</w:t>
      </w:r>
      <w:r w:rsidR="00117945" w:rsidRPr="00012C3F">
        <w:rPr>
          <w:rFonts w:eastAsia="MS Mincho"/>
          <w:sz w:val="20"/>
          <w:szCs w:val="20"/>
          <w:lang w:val="en-US" w:eastAsia="en-US" w:bidi="en-US"/>
        </w:rPr>
        <w:t>tes that, although the express prohibition of forced or involuntary sterilization has been established in international criminal law,</w:t>
      </w:r>
      <w:r w:rsidR="00E17AF2" w:rsidRPr="00012C3F">
        <w:rPr>
          <w:rStyle w:val="Refdenotaalpie"/>
          <w:rFonts w:eastAsia="MS Mincho"/>
          <w:sz w:val="20"/>
          <w:szCs w:val="20"/>
          <w:lang w:val="en-US" w:eastAsia="en-US" w:bidi="en-US"/>
        </w:rPr>
        <w:footnoteReference w:id="265"/>
      </w:r>
      <w:r w:rsidR="00E17AF2" w:rsidRPr="00012C3F">
        <w:rPr>
          <w:rFonts w:eastAsia="MS Mincho"/>
          <w:sz w:val="20"/>
          <w:szCs w:val="20"/>
          <w:lang w:val="en-US" w:eastAsia="en-US" w:bidi="en-US"/>
        </w:rPr>
        <w:t xml:space="preserve"> o</w:t>
      </w:r>
      <w:r w:rsidR="00117945" w:rsidRPr="00012C3F">
        <w:rPr>
          <w:rFonts w:eastAsia="MS Mincho"/>
          <w:sz w:val="20"/>
          <w:szCs w:val="20"/>
          <w:lang w:val="en-US" w:eastAsia="en-US" w:bidi="en-US"/>
        </w:rPr>
        <w:t>r in the definition of crimes at the domestic level,</w:t>
      </w:r>
      <w:r w:rsidR="00E17AF2" w:rsidRPr="00012C3F">
        <w:rPr>
          <w:rStyle w:val="Refdenotaalpie"/>
          <w:rFonts w:eastAsia="MS Mincho"/>
          <w:sz w:val="20"/>
          <w:szCs w:val="20"/>
          <w:lang w:val="en-US" w:eastAsia="en-US" w:bidi="en-US"/>
        </w:rPr>
        <w:footnoteReference w:id="266"/>
      </w:r>
      <w:r w:rsidR="00117945" w:rsidRPr="00012C3F">
        <w:rPr>
          <w:rFonts w:eastAsia="MS Mincho"/>
          <w:sz w:val="20"/>
          <w:szCs w:val="20"/>
          <w:lang w:val="en-US" w:eastAsia="en-US" w:bidi="en-US"/>
        </w:rPr>
        <w:t xml:space="preserve"> the absence of </w:t>
      </w:r>
      <w:r w:rsidR="00AC0004" w:rsidRPr="00012C3F">
        <w:rPr>
          <w:rFonts w:eastAsia="MS Mincho"/>
          <w:sz w:val="20"/>
          <w:szCs w:val="20"/>
          <w:lang w:val="en-US" w:eastAsia="en-US" w:bidi="en-US"/>
        </w:rPr>
        <w:t>informed consent</w:t>
      </w:r>
      <w:r w:rsidR="00E17AF2" w:rsidRPr="00012C3F">
        <w:rPr>
          <w:rFonts w:eastAsia="MS Mincho"/>
          <w:sz w:val="20"/>
          <w:szCs w:val="20"/>
          <w:lang w:val="en-US" w:eastAsia="en-US" w:bidi="en-US"/>
        </w:rPr>
        <w:t xml:space="preserve"> </w:t>
      </w:r>
      <w:r w:rsidR="00117945" w:rsidRPr="00012C3F">
        <w:rPr>
          <w:rFonts w:eastAsia="MS Mincho"/>
          <w:sz w:val="20"/>
          <w:szCs w:val="20"/>
          <w:lang w:val="en-US" w:eastAsia="en-US" w:bidi="en-US"/>
        </w:rPr>
        <w:t xml:space="preserve">in relation to the deprivation of a woman’s biological reproduction capacity may constitute a violation of </w:t>
      </w:r>
      <w:r w:rsidR="00DF5BD3" w:rsidRPr="00012C3F">
        <w:rPr>
          <w:rFonts w:eastAsia="MS Mincho"/>
          <w:sz w:val="20"/>
          <w:szCs w:val="20"/>
          <w:lang w:val="en-US" w:eastAsia="en-US" w:bidi="en-US"/>
        </w:rPr>
        <w:t>the rights</w:t>
      </w:r>
      <w:r w:rsidR="00E17AF2" w:rsidRPr="00012C3F">
        <w:rPr>
          <w:rFonts w:eastAsia="MS Mincho"/>
          <w:sz w:val="20"/>
          <w:szCs w:val="20"/>
          <w:lang w:val="en-US" w:eastAsia="en-US" w:bidi="en-US"/>
        </w:rPr>
        <w:t xml:space="preserve"> </w:t>
      </w:r>
      <w:r w:rsidR="00DF5BD3" w:rsidRPr="00012C3F">
        <w:rPr>
          <w:rFonts w:eastAsia="MS Mincho"/>
          <w:sz w:val="20"/>
          <w:szCs w:val="20"/>
          <w:lang w:val="en-US" w:eastAsia="en-US" w:bidi="en-US"/>
        </w:rPr>
        <w:t>recognized in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American Convention</w:t>
      </w:r>
      <w:r w:rsidR="00E17AF2" w:rsidRPr="00012C3F">
        <w:rPr>
          <w:rFonts w:eastAsia="MS Mincho"/>
          <w:sz w:val="20"/>
          <w:szCs w:val="20"/>
          <w:lang w:val="en-US" w:eastAsia="en-US" w:bidi="en-US"/>
        </w:rPr>
        <w:t xml:space="preserve">, </w:t>
      </w:r>
      <w:r w:rsidR="00117945" w:rsidRPr="00012C3F">
        <w:rPr>
          <w:rFonts w:eastAsia="MS Mincho"/>
          <w:sz w:val="20"/>
          <w:szCs w:val="20"/>
          <w:lang w:val="en-US" w:eastAsia="en-US" w:bidi="en-US"/>
        </w:rPr>
        <w:t>as described previously</w:t>
      </w:r>
      <w:r w:rsidR="00E17AF2" w:rsidRPr="00012C3F">
        <w:rPr>
          <w:rFonts w:eastAsia="MS Mincho"/>
          <w:sz w:val="20"/>
          <w:szCs w:val="20"/>
          <w:lang w:val="en-US" w:eastAsia="en-US" w:bidi="en-US"/>
        </w:rPr>
        <w:t xml:space="preserve">. </w:t>
      </w:r>
      <w:r w:rsidR="00117945" w:rsidRPr="00012C3F">
        <w:rPr>
          <w:rFonts w:eastAsia="MS Mincho"/>
          <w:sz w:val="20"/>
          <w:szCs w:val="20"/>
          <w:lang w:val="en-US" w:eastAsia="en-US" w:bidi="en-US"/>
        </w:rPr>
        <w:t xml:space="preserve">That said, in this case, a dispute exists about the appropriate terminology to be used. On the one hand, both </w:t>
      </w:r>
      <w:r w:rsidRPr="00012C3F">
        <w:rPr>
          <w:rFonts w:eastAsia="MS Mincho"/>
          <w:bCs/>
          <w:sz w:val="20"/>
          <w:szCs w:val="20"/>
          <w:lang w:val="en-US"/>
        </w:rPr>
        <w:t xml:space="preserve">the </w:t>
      </w:r>
      <w:r w:rsidR="00A84CA0" w:rsidRPr="00012C3F">
        <w:rPr>
          <w:rFonts w:eastAsia="MS Mincho"/>
          <w:bCs/>
          <w:sz w:val="20"/>
          <w:szCs w:val="20"/>
          <w:lang w:val="en-US"/>
        </w:rPr>
        <w:t>Commission</w:t>
      </w:r>
      <w:r w:rsidR="00E17AF2" w:rsidRPr="00012C3F">
        <w:rPr>
          <w:rFonts w:eastAsia="MS Mincho"/>
          <w:bCs/>
          <w:sz w:val="20"/>
          <w:szCs w:val="20"/>
          <w:lang w:val="en-US"/>
        </w:rPr>
        <w:t xml:space="preserve"> </w:t>
      </w:r>
      <w:r w:rsidR="00117945" w:rsidRPr="00012C3F">
        <w:rPr>
          <w:rFonts w:eastAsia="MS Mincho"/>
          <w:bCs/>
          <w:sz w:val="20"/>
          <w:szCs w:val="20"/>
          <w:lang w:val="en-US"/>
        </w:rPr>
        <w:t>and</w:t>
      </w:r>
      <w:r w:rsidR="00E17AF2" w:rsidRPr="00012C3F">
        <w:rPr>
          <w:rFonts w:eastAsia="MS Mincho"/>
          <w:bCs/>
          <w:sz w:val="20"/>
          <w:szCs w:val="20"/>
          <w:lang w:val="en-US"/>
        </w:rPr>
        <w:t xml:space="preserve"> </w:t>
      </w:r>
      <w:r w:rsidR="00972ACF" w:rsidRPr="00012C3F">
        <w:rPr>
          <w:rFonts w:eastAsia="MS Mincho"/>
          <w:bCs/>
          <w:sz w:val="20"/>
          <w:szCs w:val="20"/>
          <w:lang w:val="en-US"/>
        </w:rPr>
        <w:t>the representative</w:t>
      </w:r>
      <w:r w:rsidR="00E17AF2" w:rsidRPr="00012C3F">
        <w:rPr>
          <w:rFonts w:eastAsia="MS Mincho"/>
          <w:bCs/>
          <w:sz w:val="20"/>
          <w:szCs w:val="20"/>
          <w:lang w:val="en-US"/>
        </w:rPr>
        <w:t xml:space="preserve"> c</w:t>
      </w:r>
      <w:r w:rsidR="00117945" w:rsidRPr="00012C3F">
        <w:rPr>
          <w:rFonts w:eastAsia="MS Mincho"/>
          <w:bCs/>
          <w:sz w:val="20"/>
          <w:szCs w:val="20"/>
          <w:lang w:val="en-US"/>
        </w:rPr>
        <w:t>lassify the facts of this case as forced sterilization, while the State argued that this term belonged to international criminal law, so that, in this case, the Court should eventually refer to</w:t>
      </w:r>
      <w:r w:rsidR="00117945" w:rsidRPr="00012C3F">
        <w:rPr>
          <w:rFonts w:eastAsia="MS Mincho"/>
          <w:b/>
          <w:bCs/>
          <w:sz w:val="20"/>
          <w:szCs w:val="20"/>
          <w:lang w:val="en-US"/>
        </w:rPr>
        <w:t xml:space="preserve"> </w:t>
      </w:r>
      <w:r w:rsidR="00486D71" w:rsidRPr="00012C3F">
        <w:rPr>
          <w:rFonts w:eastAsia="MS Mincho"/>
          <w:bCs/>
          <w:sz w:val="20"/>
          <w:szCs w:val="20"/>
          <w:lang w:val="en-US"/>
        </w:rPr>
        <w:t xml:space="preserve">non-consensual </w:t>
      </w:r>
      <w:r w:rsidR="00117945" w:rsidRPr="00012C3F">
        <w:rPr>
          <w:rFonts w:eastAsia="MS Mincho"/>
          <w:bCs/>
          <w:sz w:val="20"/>
          <w:szCs w:val="20"/>
          <w:lang w:val="en-US"/>
        </w:rPr>
        <w:t xml:space="preserve">or involuntary </w:t>
      </w:r>
      <w:r w:rsidR="00486D71" w:rsidRPr="00012C3F">
        <w:rPr>
          <w:rFonts w:eastAsia="MS Mincho"/>
          <w:bCs/>
          <w:sz w:val="20"/>
          <w:szCs w:val="20"/>
          <w:lang w:val="en-US"/>
        </w:rPr>
        <w:t>sterilization</w:t>
      </w:r>
      <w:r w:rsidR="00E17AF2" w:rsidRPr="00012C3F">
        <w:rPr>
          <w:rFonts w:eastAsia="MS Mincho"/>
          <w:bCs/>
          <w:sz w:val="20"/>
          <w:szCs w:val="20"/>
          <w:lang w:val="en-US"/>
        </w:rPr>
        <w:t xml:space="preserve">. </w:t>
      </w:r>
      <w:r w:rsidRPr="00012C3F">
        <w:rPr>
          <w:rFonts w:eastAsia="MS Mincho"/>
          <w:bCs/>
          <w:sz w:val="20"/>
          <w:szCs w:val="20"/>
          <w:lang w:val="en-US"/>
        </w:rPr>
        <w:t>The Court</w:t>
      </w:r>
      <w:r w:rsidR="00E17AF2" w:rsidRPr="00012C3F">
        <w:rPr>
          <w:rFonts w:eastAsia="MS Mincho"/>
          <w:bCs/>
          <w:sz w:val="20"/>
          <w:szCs w:val="20"/>
          <w:lang w:val="en-US"/>
        </w:rPr>
        <w:t xml:space="preserve"> not</w:t>
      </w:r>
      <w:r w:rsidR="00117945" w:rsidRPr="00012C3F">
        <w:rPr>
          <w:rFonts w:eastAsia="MS Mincho"/>
          <w:bCs/>
          <w:sz w:val="20"/>
          <w:szCs w:val="20"/>
          <w:lang w:val="en-US"/>
        </w:rPr>
        <w:t>es that, in the sphere of human rights, different wording has been used by regional and international human rights agencies</w:t>
      </w:r>
      <w:r w:rsidR="00E17AF2" w:rsidRPr="00012C3F">
        <w:rPr>
          <w:rFonts w:eastAsia="MS Mincho"/>
          <w:bCs/>
          <w:sz w:val="20"/>
          <w:szCs w:val="20"/>
          <w:lang w:val="en-US"/>
        </w:rPr>
        <w:t xml:space="preserve">. </w:t>
      </w:r>
      <w:r w:rsidR="00117945" w:rsidRPr="00012C3F">
        <w:rPr>
          <w:rFonts w:eastAsia="MS Mincho"/>
          <w:bCs/>
          <w:sz w:val="20"/>
          <w:szCs w:val="20"/>
          <w:lang w:val="en-US"/>
        </w:rPr>
        <w:t>Thus, references has been made to</w:t>
      </w:r>
      <w:r w:rsidR="00E17AF2" w:rsidRPr="00012C3F">
        <w:rPr>
          <w:sz w:val="20"/>
          <w:szCs w:val="20"/>
          <w:lang w:val="en-US"/>
        </w:rPr>
        <w:t xml:space="preserve"> </w:t>
      </w:r>
      <w:r w:rsidR="00486D71" w:rsidRPr="00012C3F">
        <w:rPr>
          <w:bCs/>
          <w:sz w:val="20"/>
          <w:szCs w:val="20"/>
          <w:lang w:val="en-US"/>
        </w:rPr>
        <w:t>non-consensual sterilization</w:t>
      </w:r>
      <w:r w:rsidR="00117945" w:rsidRPr="00012C3F">
        <w:rPr>
          <w:bCs/>
          <w:sz w:val="20"/>
          <w:szCs w:val="20"/>
          <w:lang w:val="en-US"/>
        </w:rPr>
        <w:t>,</w:t>
      </w:r>
      <w:r w:rsidR="00E17AF2" w:rsidRPr="00012C3F">
        <w:rPr>
          <w:bCs/>
          <w:sz w:val="20"/>
          <w:szCs w:val="20"/>
          <w:vertAlign w:val="superscript"/>
          <w:lang w:val="en-US"/>
        </w:rPr>
        <w:footnoteReference w:id="267"/>
      </w:r>
      <w:r w:rsidR="00117945" w:rsidRPr="00012C3F">
        <w:rPr>
          <w:bCs/>
          <w:sz w:val="20"/>
          <w:szCs w:val="20"/>
          <w:lang w:val="en-US"/>
        </w:rPr>
        <w:t xml:space="preserve"> </w:t>
      </w:r>
      <w:r w:rsidR="00576689" w:rsidRPr="00012C3F">
        <w:rPr>
          <w:bCs/>
          <w:sz w:val="20"/>
          <w:szCs w:val="20"/>
          <w:lang w:val="en-US"/>
        </w:rPr>
        <w:t xml:space="preserve">forced or non-consensual </w:t>
      </w:r>
      <w:r w:rsidR="00117945" w:rsidRPr="00012C3F">
        <w:rPr>
          <w:sz w:val="20"/>
          <w:szCs w:val="20"/>
          <w:lang w:val="en-US"/>
        </w:rPr>
        <w:t>sterilization,</w:t>
      </w:r>
      <w:r w:rsidR="00E17AF2" w:rsidRPr="00012C3F">
        <w:rPr>
          <w:rStyle w:val="Refdenotaalpie"/>
          <w:rFonts w:eastAsia="Calibri"/>
          <w:sz w:val="20"/>
          <w:szCs w:val="20"/>
          <w:lang w:val="en-US"/>
        </w:rPr>
        <w:footnoteReference w:id="268"/>
      </w:r>
      <w:r w:rsidR="00E17AF2" w:rsidRPr="00012C3F">
        <w:rPr>
          <w:sz w:val="20"/>
          <w:szCs w:val="20"/>
          <w:lang w:val="en-US"/>
        </w:rPr>
        <w:t xml:space="preserve"> </w:t>
      </w:r>
      <w:r w:rsidR="00117945" w:rsidRPr="00012C3F">
        <w:rPr>
          <w:sz w:val="20"/>
          <w:szCs w:val="20"/>
          <w:lang w:val="en-US"/>
        </w:rPr>
        <w:t>involuntary sterilization,</w:t>
      </w:r>
      <w:r w:rsidR="00E17AF2" w:rsidRPr="00012C3F">
        <w:rPr>
          <w:rStyle w:val="Refdenotaalpie"/>
          <w:sz w:val="20"/>
          <w:szCs w:val="20"/>
          <w:lang w:val="en-US"/>
        </w:rPr>
        <w:footnoteReference w:id="269"/>
      </w:r>
      <w:r w:rsidR="00E17AF2" w:rsidRPr="00012C3F">
        <w:rPr>
          <w:sz w:val="20"/>
          <w:szCs w:val="20"/>
          <w:lang w:val="en-US"/>
        </w:rPr>
        <w:t xml:space="preserve"> </w:t>
      </w:r>
      <w:r w:rsidR="00576689" w:rsidRPr="00012C3F">
        <w:rPr>
          <w:sz w:val="20"/>
          <w:szCs w:val="20"/>
          <w:lang w:val="en-US"/>
        </w:rPr>
        <w:t>compulsory</w:t>
      </w:r>
      <w:r w:rsidR="00117945" w:rsidRPr="00012C3F">
        <w:rPr>
          <w:sz w:val="20"/>
          <w:szCs w:val="20"/>
          <w:lang w:val="en-US"/>
        </w:rPr>
        <w:t xml:space="preserve"> sterilization,</w:t>
      </w:r>
      <w:r w:rsidR="00E17AF2" w:rsidRPr="00012C3F">
        <w:rPr>
          <w:rStyle w:val="Refdenotaalpie"/>
          <w:rFonts w:eastAsia="Calibri"/>
          <w:sz w:val="20"/>
          <w:szCs w:val="20"/>
          <w:lang w:val="en-US"/>
        </w:rPr>
        <w:footnoteReference w:id="270"/>
      </w:r>
      <w:r w:rsidR="00E17AF2" w:rsidRPr="00012C3F">
        <w:rPr>
          <w:sz w:val="20"/>
          <w:szCs w:val="20"/>
          <w:lang w:val="en-US"/>
        </w:rPr>
        <w:t xml:space="preserve"> </w:t>
      </w:r>
      <w:r w:rsidR="00117945" w:rsidRPr="00012C3F">
        <w:rPr>
          <w:sz w:val="20"/>
          <w:szCs w:val="20"/>
          <w:lang w:val="en-US"/>
        </w:rPr>
        <w:t>forced sterilization</w:t>
      </w:r>
      <w:r w:rsidR="004A66B5" w:rsidRPr="00012C3F">
        <w:rPr>
          <w:sz w:val="20"/>
          <w:szCs w:val="20"/>
          <w:lang w:val="en-US"/>
        </w:rPr>
        <w:t>,</w:t>
      </w:r>
      <w:r w:rsidR="00E17AF2" w:rsidRPr="00012C3F">
        <w:rPr>
          <w:rStyle w:val="Refdenotaalpie"/>
          <w:rFonts w:eastAsia="Calibri"/>
          <w:sz w:val="20"/>
          <w:szCs w:val="20"/>
          <w:lang w:val="en-US"/>
        </w:rPr>
        <w:footnoteReference w:id="271"/>
      </w:r>
      <w:r w:rsidR="0012020B" w:rsidRPr="00012C3F">
        <w:rPr>
          <w:sz w:val="20"/>
          <w:szCs w:val="20"/>
          <w:lang w:val="en-US"/>
        </w:rPr>
        <w:t xml:space="preserve"> “</w:t>
      </w:r>
      <w:r w:rsidR="006841BA" w:rsidRPr="00012C3F">
        <w:rPr>
          <w:i/>
          <w:iCs/>
          <w:sz w:val="20"/>
          <w:szCs w:val="20"/>
          <w:lang w:val="en-US"/>
        </w:rPr>
        <w:t>esterilización f</w:t>
      </w:r>
      <w:r w:rsidR="009D3EE9" w:rsidRPr="00012C3F">
        <w:rPr>
          <w:i/>
          <w:iCs/>
          <w:sz w:val="20"/>
          <w:szCs w:val="20"/>
          <w:lang w:val="en-US"/>
        </w:rPr>
        <w:t>or</w:t>
      </w:r>
      <w:r w:rsidR="006841BA" w:rsidRPr="00012C3F">
        <w:rPr>
          <w:i/>
          <w:iCs/>
          <w:sz w:val="20"/>
          <w:szCs w:val="20"/>
          <w:lang w:val="en-US"/>
        </w:rPr>
        <w:t>z</w:t>
      </w:r>
      <w:r w:rsidR="009D3EE9" w:rsidRPr="00012C3F">
        <w:rPr>
          <w:i/>
          <w:iCs/>
          <w:sz w:val="20"/>
          <w:szCs w:val="20"/>
          <w:lang w:val="en-US"/>
        </w:rPr>
        <w:t>osa</w:t>
      </w:r>
      <w:r w:rsidR="0012020B" w:rsidRPr="00012C3F">
        <w:rPr>
          <w:sz w:val="20"/>
          <w:szCs w:val="20"/>
          <w:lang w:val="en-US"/>
        </w:rPr>
        <w:t>” [</w:t>
      </w:r>
      <w:r w:rsidR="00DF71A5" w:rsidRPr="00012C3F">
        <w:rPr>
          <w:sz w:val="20"/>
          <w:szCs w:val="20"/>
          <w:lang w:val="en-US"/>
        </w:rPr>
        <w:t>“</w:t>
      </w:r>
      <w:r w:rsidR="0012020B" w:rsidRPr="00012C3F">
        <w:rPr>
          <w:sz w:val="20"/>
          <w:szCs w:val="20"/>
          <w:lang w:val="en-US"/>
        </w:rPr>
        <w:t>forced</w:t>
      </w:r>
      <w:r w:rsidR="006841BA" w:rsidRPr="00012C3F">
        <w:rPr>
          <w:sz w:val="20"/>
          <w:szCs w:val="20"/>
          <w:lang w:val="en-US"/>
        </w:rPr>
        <w:t xml:space="preserve"> sterilization</w:t>
      </w:r>
      <w:r w:rsidR="00DF71A5" w:rsidRPr="00012C3F">
        <w:rPr>
          <w:sz w:val="20"/>
          <w:szCs w:val="20"/>
          <w:lang w:val="en-US"/>
        </w:rPr>
        <w:t>”</w:t>
      </w:r>
      <w:r w:rsidR="0012020B" w:rsidRPr="00012C3F">
        <w:rPr>
          <w:sz w:val="20"/>
          <w:szCs w:val="20"/>
          <w:lang w:val="en-US"/>
        </w:rPr>
        <w:t xml:space="preserve"> in English],</w:t>
      </w:r>
      <w:r w:rsidR="00E17AF2" w:rsidRPr="00012C3F">
        <w:rPr>
          <w:bCs/>
          <w:sz w:val="20"/>
          <w:szCs w:val="20"/>
          <w:vertAlign w:val="superscript"/>
          <w:lang w:val="en-US"/>
        </w:rPr>
        <w:footnoteReference w:id="272"/>
      </w:r>
      <w:r w:rsidR="005E5012" w:rsidRPr="00012C3F">
        <w:rPr>
          <w:bCs/>
          <w:sz w:val="20"/>
          <w:szCs w:val="20"/>
          <w:lang w:val="en-US"/>
        </w:rPr>
        <w:t xml:space="preserve"> and</w:t>
      </w:r>
      <w:r w:rsidR="00E17AF2" w:rsidRPr="00012C3F">
        <w:rPr>
          <w:rFonts w:eastAsia="MS Mincho"/>
          <w:bCs/>
          <w:sz w:val="20"/>
          <w:szCs w:val="20"/>
          <w:lang w:val="en-US"/>
        </w:rPr>
        <w:t xml:space="preserve"> </w:t>
      </w:r>
      <w:r w:rsidR="006F5646" w:rsidRPr="00012C3F">
        <w:rPr>
          <w:rFonts w:eastAsia="MS Mincho"/>
          <w:bCs/>
          <w:sz w:val="20"/>
          <w:szCs w:val="20"/>
          <w:lang w:val="en-US"/>
        </w:rPr>
        <w:t>coerced sterilization.</w:t>
      </w:r>
      <w:r w:rsidR="00E17AF2" w:rsidRPr="00012C3F">
        <w:rPr>
          <w:rFonts w:eastAsia="MS Mincho"/>
          <w:bCs/>
          <w:sz w:val="20"/>
          <w:szCs w:val="20"/>
          <w:vertAlign w:val="superscript"/>
          <w:lang w:val="en-US"/>
        </w:rPr>
        <w:footnoteReference w:id="273"/>
      </w:r>
      <w:r w:rsidR="00E17AF2" w:rsidRPr="00012C3F">
        <w:rPr>
          <w:rFonts w:eastAsia="MS Mincho"/>
          <w:bCs/>
          <w:sz w:val="20"/>
          <w:szCs w:val="20"/>
          <w:lang w:val="en-US"/>
        </w:rPr>
        <w:t xml:space="preserve"> </w:t>
      </w:r>
      <w:r w:rsidR="0012020B" w:rsidRPr="00012C3F">
        <w:rPr>
          <w:rFonts w:eastAsia="MS Mincho"/>
          <w:bCs/>
          <w:sz w:val="20"/>
          <w:szCs w:val="20"/>
          <w:lang w:val="en-US"/>
        </w:rPr>
        <w:t>For the purposes</w:t>
      </w:r>
      <w:r w:rsidR="00E17AF2" w:rsidRPr="00012C3F">
        <w:rPr>
          <w:rFonts w:eastAsia="MS Mincho"/>
          <w:bCs/>
          <w:sz w:val="20"/>
          <w:szCs w:val="20"/>
          <w:lang w:val="en-US"/>
        </w:rPr>
        <w:t xml:space="preserve"> </w:t>
      </w:r>
      <w:r w:rsidR="000F735E" w:rsidRPr="00012C3F">
        <w:rPr>
          <w:rFonts w:eastAsia="MS Mincho"/>
          <w:bCs/>
          <w:sz w:val="20"/>
          <w:szCs w:val="20"/>
          <w:lang w:val="en-US"/>
        </w:rPr>
        <w:t>of this judgment</w:t>
      </w:r>
      <w:r w:rsidR="00E17AF2" w:rsidRPr="00012C3F">
        <w:rPr>
          <w:rFonts w:eastAsia="MS Mincho"/>
          <w:bCs/>
          <w:sz w:val="20"/>
          <w:szCs w:val="20"/>
          <w:lang w:val="en-US"/>
        </w:rPr>
        <w:t xml:space="preserve">, </w:t>
      </w:r>
      <w:r w:rsidR="00DF71A5" w:rsidRPr="00012C3F">
        <w:rPr>
          <w:rFonts w:eastAsia="MS Mincho"/>
          <w:bCs/>
          <w:sz w:val="20"/>
          <w:szCs w:val="20"/>
          <w:lang w:val="en-US"/>
        </w:rPr>
        <w:t xml:space="preserve">the </w:t>
      </w:r>
      <w:r w:rsidR="00DF71A5" w:rsidRPr="00012C3F">
        <w:rPr>
          <w:rFonts w:eastAsia="MS Mincho"/>
          <w:bCs/>
          <w:sz w:val="20"/>
          <w:szCs w:val="20"/>
          <w:lang w:val="en-US"/>
        </w:rPr>
        <w:lastRenderedPageBreak/>
        <w:t xml:space="preserve">Court will consider </w:t>
      </w:r>
      <w:r w:rsidR="00DF3B7C" w:rsidRPr="00012C3F">
        <w:rPr>
          <w:rFonts w:eastAsia="MS Mincho"/>
          <w:bCs/>
          <w:sz w:val="20"/>
          <w:szCs w:val="20"/>
          <w:lang w:val="en-US"/>
        </w:rPr>
        <w:t>sterilization</w:t>
      </w:r>
      <w:r w:rsidR="00E17AF2" w:rsidRPr="00012C3F">
        <w:rPr>
          <w:rFonts w:eastAsia="MS Mincho"/>
          <w:bCs/>
          <w:sz w:val="20"/>
          <w:szCs w:val="20"/>
          <w:lang w:val="en-US"/>
        </w:rPr>
        <w:t xml:space="preserve"> </w:t>
      </w:r>
      <w:r w:rsidR="00DF71A5" w:rsidRPr="00012C3F">
        <w:rPr>
          <w:rFonts w:eastAsia="MS Mincho"/>
          <w:bCs/>
          <w:sz w:val="20"/>
          <w:szCs w:val="20"/>
          <w:lang w:val="en-US"/>
        </w:rPr>
        <w:t>without prior, free, full and informed consent as non-consensual or involuntary sterilization.</w:t>
      </w:r>
    </w:p>
    <w:p w14:paraId="01339711" w14:textId="77777777" w:rsidR="00E17AF2" w:rsidRPr="00012C3F" w:rsidRDefault="00E17AF2" w:rsidP="00E17AF2">
      <w:pPr>
        <w:widowControl/>
        <w:tabs>
          <w:tab w:val="left" w:pos="720"/>
        </w:tabs>
        <w:adjustRightInd/>
        <w:spacing w:line="240" w:lineRule="auto"/>
        <w:ind w:right="-90"/>
        <w:textAlignment w:val="auto"/>
        <w:rPr>
          <w:rFonts w:eastAsia="MS Mincho"/>
          <w:sz w:val="20"/>
          <w:szCs w:val="20"/>
          <w:lang w:val="en-US" w:eastAsia="en-US" w:bidi="en-US"/>
        </w:rPr>
      </w:pPr>
    </w:p>
    <w:p w14:paraId="33371329" w14:textId="77777777" w:rsidR="00E17AF2" w:rsidRPr="00012C3F" w:rsidRDefault="00DF71A5" w:rsidP="00DF71A5">
      <w:pPr>
        <w:numPr>
          <w:ilvl w:val="0"/>
          <w:numId w:val="5"/>
        </w:numPr>
        <w:tabs>
          <w:tab w:val="left" w:pos="720"/>
          <w:tab w:val="num" w:pos="12305"/>
        </w:tabs>
        <w:spacing w:line="240" w:lineRule="auto"/>
        <w:ind w:left="0" w:firstLine="0"/>
        <w:rPr>
          <w:rFonts w:eastAsia="MS Mincho"/>
          <w:bCs/>
          <w:sz w:val="20"/>
          <w:szCs w:val="20"/>
          <w:lang w:val="en-US"/>
        </w:rPr>
      </w:pPr>
      <w:r w:rsidRPr="00012C3F">
        <w:rPr>
          <w:rFonts w:eastAsia="MS Mincho"/>
          <w:sz w:val="20"/>
          <w:szCs w:val="20"/>
          <w:lang w:val="en-US" w:eastAsia="en-US" w:bidi="en-US"/>
        </w:rPr>
        <w:t xml:space="preserve">Accordingly, the Court must verify whether Bolivia complied with its obligation to respect and ensure, without discrimination, </w:t>
      </w:r>
      <w:r w:rsidR="00DF5BD3" w:rsidRPr="00012C3F">
        <w:rPr>
          <w:rFonts w:eastAsia="MS Mincho"/>
          <w:sz w:val="20"/>
          <w:szCs w:val="20"/>
          <w:lang w:val="en-US" w:eastAsia="en-US" w:bidi="en-US"/>
        </w:rPr>
        <w:t>the rights</w:t>
      </w:r>
      <w:r w:rsidR="00E17AF2" w:rsidRPr="00012C3F">
        <w:rPr>
          <w:rFonts w:eastAsia="MS Mincho"/>
          <w:sz w:val="20"/>
          <w:szCs w:val="20"/>
          <w:lang w:val="en-US" w:eastAsia="en-US" w:bidi="en-US"/>
        </w:rPr>
        <w:t xml:space="preserve"> </w:t>
      </w:r>
      <w:r w:rsidR="006C705C" w:rsidRPr="00012C3F">
        <w:rPr>
          <w:rFonts w:eastAsia="MS Mincho"/>
          <w:sz w:val="20"/>
          <w:szCs w:val="20"/>
          <w:lang w:val="en-US" w:eastAsia="en-US" w:bidi="en-US"/>
        </w:rPr>
        <w:t>to personal integrity</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to personal</w:t>
      </w:r>
      <w:r w:rsidR="00130362" w:rsidRPr="00012C3F">
        <w:rPr>
          <w:rFonts w:eastAsia="MS Mincho"/>
          <w:sz w:val="20"/>
          <w:szCs w:val="20"/>
          <w:lang w:val="en-US" w:eastAsia="en-US" w:bidi="en-US"/>
        </w:rPr>
        <w:t xml:space="preserve"> liberty</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to</w:t>
      </w:r>
      <w:r w:rsidR="00446D11" w:rsidRPr="00012C3F">
        <w:rPr>
          <w:rFonts w:eastAsia="MS Mincho"/>
          <w:sz w:val="20"/>
          <w:szCs w:val="20"/>
          <w:lang w:val="en-US" w:eastAsia="en-US" w:bidi="en-US"/>
        </w:rPr>
        <w:t xml:space="preserve"> </w:t>
      </w:r>
      <w:r w:rsidR="00130362" w:rsidRPr="00012C3F">
        <w:rPr>
          <w:rFonts w:eastAsia="MS Mincho"/>
          <w:sz w:val="20"/>
          <w:szCs w:val="20"/>
          <w:lang w:val="en-US" w:eastAsia="en-US" w:bidi="en-US"/>
        </w:rPr>
        <w:t>dignity</w:t>
      </w:r>
      <w:r w:rsidR="00446D11" w:rsidRPr="00012C3F">
        <w:rPr>
          <w:rFonts w:eastAsia="MS Mincho"/>
          <w:sz w:val="20"/>
          <w:szCs w:val="20"/>
          <w:lang w:val="en-US" w:eastAsia="en-US" w:bidi="en-US"/>
        </w:rPr>
        <w:t xml:space="preserve">, </w:t>
      </w:r>
      <w:r w:rsidRPr="00012C3F">
        <w:rPr>
          <w:rFonts w:eastAsia="MS Mincho"/>
          <w:sz w:val="20"/>
          <w:szCs w:val="20"/>
          <w:lang w:val="en-US" w:eastAsia="en-US" w:bidi="en-US"/>
        </w:rPr>
        <w:t>to</w:t>
      </w:r>
      <w:r w:rsidR="00E17AF2" w:rsidRPr="00012C3F">
        <w:rPr>
          <w:rFonts w:eastAsia="MS Mincho"/>
          <w:sz w:val="20"/>
          <w:szCs w:val="20"/>
          <w:lang w:val="en-US" w:eastAsia="en-US" w:bidi="en-US"/>
        </w:rPr>
        <w:t xml:space="preserve"> </w:t>
      </w:r>
      <w:r w:rsidR="00130362" w:rsidRPr="00012C3F">
        <w:rPr>
          <w:rFonts w:eastAsia="MS Mincho"/>
          <w:sz w:val="20"/>
          <w:szCs w:val="20"/>
          <w:lang w:val="en-US" w:eastAsia="en-US" w:bidi="en-US"/>
        </w:rPr>
        <w:t>private and family life</w:t>
      </w:r>
      <w:r w:rsidR="00E17AF2" w:rsidRPr="00012C3F">
        <w:rPr>
          <w:rFonts w:eastAsia="MS Mincho"/>
          <w:sz w:val="20"/>
          <w:szCs w:val="20"/>
          <w:lang w:val="en-US" w:eastAsia="en-US" w:bidi="en-US"/>
        </w:rPr>
        <w:t xml:space="preserve">, </w:t>
      </w:r>
      <w:r w:rsidR="00EF483B" w:rsidRPr="00012C3F">
        <w:rPr>
          <w:rFonts w:eastAsia="MS Mincho"/>
          <w:sz w:val="20"/>
          <w:szCs w:val="20"/>
          <w:lang w:val="en-US" w:eastAsia="en-US" w:bidi="en-US"/>
        </w:rPr>
        <w:t xml:space="preserve">to </w:t>
      </w:r>
      <w:r w:rsidR="0081491F" w:rsidRPr="00012C3F">
        <w:rPr>
          <w:rFonts w:eastAsia="MS Mincho"/>
          <w:sz w:val="20"/>
          <w:szCs w:val="20"/>
          <w:lang w:val="en-US" w:eastAsia="en-US" w:bidi="en-US"/>
        </w:rPr>
        <w:t>raise a family</w:t>
      </w:r>
      <w:r w:rsidR="005E5012" w:rsidRPr="00012C3F">
        <w:rPr>
          <w:rFonts w:eastAsia="MS Mincho"/>
          <w:sz w:val="20"/>
          <w:szCs w:val="20"/>
          <w:lang w:val="en-US" w:eastAsia="en-US" w:bidi="en-US"/>
        </w:rPr>
        <w:t xml:space="preserve"> and </w:t>
      </w:r>
      <w:r w:rsidR="006C705C" w:rsidRPr="00012C3F">
        <w:rPr>
          <w:rFonts w:eastAsia="MS Mincho"/>
          <w:sz w:val="20"/>
          <w:szCs w:val="20"/>
          <w:lang w:val="en-US" w:eastAsia="en-US" w:bidi="en-US"/>
        </w:rPr>
        <w:t>of access to information</w:t>
      </w:r>
      <w:r w:rsidR="00E17AF2" w:rsidRPr="00012C3F">
        <w:rPr>
          <w:rFonts w:eastAsia="MS Mincho"/>
          <w:sz w:val="20"/>
          <w:szCs w:val="20"/>
          <w:lang w:val="en-US" w:eastAsia="en-US" w:bidi="en-US"/>
        </w:rPr>
        <w:t xml:space="preserve">, </w:t>
      </w:r>
      <w:r w:rsidR="006C705C" w:rsidRPr="00012C3F">
        <w:rPr>
          <w:rFonts w:eastAsia="MS Mincho"/>
          <w:sz w:val="20"/>
          <w:szCs w:val="20"/>
          <w:lang w:val="en-US" w:eastAsia="en-US" w:bidi="en-US"/>
        </w:rPr>
        <w:t>in relation to</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personal autonomy </w:t>
      </w:r>
      <w:r w:rsidR="005E5012" w:rsidRPr="00012C3F">
        <w:rPr>
          <w:rFonts w:eastAsia="MS Mincho"/>
          <w:sz w:val="20"/>
          <w:szCs w:val="20"/>
          <w:lang w:val="en-US" w:eastAsia="en-US" w:bidi="en-US"/>
        </w:rPr>
        <w:t xml:space="preserve">and </w:t>
      </w:r>
      <w:r w:rsidR="00A54991" w:rsidRPr="00012C3F">
        <w:rPr>
          <w:rFonts w:eastAsia="MS Mincho"/>
          <w:sz w:val="20"/>
          <w:szCs w:val="20"/>
          <w:lang w:val="en-US" w:eastAsia="en-US" w:bidi="en-US"/>
        </w:rPr>
        <w:t>sexual and reproductive health</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by prior, free, full and informed consent</w:t>
      </w:r>
      <w:r w:rsidR="00E17AF2" w:rsidRPr="00012C3F">
        <w:rPr>
          <w:rFonts w:eastAsia="MS Mincho"/>
          <w:sz w:val="20"/>
          <w:szCs w:val="20"/>
          <w:lang w:val="en-US" w:eastAsia="en-US" w:bidi="en-US"/>
        </w:rPr>
        <w:t>.</w:t>
      </w:r>
      <w:r w:rsidR="00E17AF2" w:rsidRPr="00012C3F">
        <w:rPr>
          <w:sz w:val="20"/>
          <w:szCs w:val="20"/>
          <w:lang w:val="en-US"/>
        </w:rPr>
        <w:t xml:space="preserve"> </w:t>
      </w:r>
      <w:r w:rsidRPr="00012C3F">
        <w:rPr>
          <w:sz w:val="20"/>
          <w:szCs w:val="20"/>
          <w:lang w:val="en-US"/>
        </w:rPr>
        <w:t>Together with the foregoing, the Court must determine to what extent the facts of this case constitute</w:t>
      </w:r>
      <w:r w:rsidR="004A66B5" w:rsidRPr="00012C3F">
        <w:rPr>
          <w:sz w:val="20"/>
          <w:szCs w:val="20"/>
          <w:lang w:val="en-US"/>
        </w:rPr>
        <w:t>d</w:t>
      </w:r>
      <w:r w:rsidRPr="00012C3F">
        <w:rPr>
          <w:sz w:val="20"/>
          <w:szCs w:val="20"/>
          <w:lang w:val="en-US"/>
        </w:rPr>
        <w:t xml:space="preserve"> an act of violence against women</w:t>
      </w:r>
      <w:r w:rsidR="00E17AF2" w:rsidRPr="00012C3F">
        <w:rPr>
          <w:sz w:val="20"/>
          <w:szCs w:val="20"/>
          <w:lang w:val="en-US"/>
        </w:rPr>
        <w:t>.</w:t>
      </w:r>
    </w:p>
    <w:p w14:paraId="62E6D746" w14:textId="77777777" w:rsidR="00E17AF2" w:rsidRPr="00012C3F" w:rsidRDefault="00E17AF2" w:rsidP="00DF71A5">
      <w:pPr>
        <w:widowControl/>
        <w:tabs>
          <w:tab w:val="left" w:pos="720"/>
        </w:tabs>
        <w:adjustRightInd/>
        <w:spacing w:line="240" w:lineRule="auto"/>
        <w:ind w:right="-90"/>
        <w:textAlignment w:val="auto"/>
        <w:rPr>
          <w:rFonts w:eastAsia="MS Mincho"/>
          <w:sz w:val="20"/>
          <w:szCs w:val="20"/>
          <w:lang w:val="en-US" w:eastAsia="en-US" w:bidi="en-US"/>
        </w:rPr>
      </w:pPr>
    </w:p>
    <w:p w14:paraId="4CDD736E" w14:textId="77777777" w:rsidR="00E17AF2" w:rsidRPr="00012C3F" w:rsidRDefault="00E17AF2" w:rsidP="00DF71A5">
      <w:pPr>
        <w:pStyle w:val="Ttulo3"/>
        <w:tabs>
          <w:tab w:val="clear" w:pos="567"/>
          <w:tab w:val="left" w:pos="720"/>
          <w:tab w:val="left" w:pos="2552"/>
        </w:tabs>
        <w:ind w:left="1701"/>
        <w:rPr>
          <w:rFonts w:eastAsia="MS Mincho" w:cs="Arial"/>
          <w:b w:val="0"/>
          <w:i/>
          <w:spacing w:val="0"/>
          <w:lang w:val="en-US" w:eastAsia="en-US"/>
        </w:rPr>
      </w:pPr>
      <w:bookmarkStart w:id="140" w:name="_Toc465446863"/>
      <w:bookmarkStart w:id="141" w:name="_Toc27486868"/>
      <w:r w:rsidRPr="00012C3F">
        <w:rPr>
          <w:rFonts w:eastAsia="MS Mincho" w:cs="Arial"/>
          <w:b w:val="0"/>
          <w:i/>
          <w:spacing w:val="0"/>
          <w:lang w:val="en-US" w:eastAsia="en-US"/>
        </w:rPr>
        <w:t>B.3.a</w:t>
      </w:r>
      <w:r w:rsidRPr="00012C3F">
        <w:rPr>
          <w:rFonts w:eastAsia="MS Mincho" w:cs="Arial"/>
          <w:b w:val="0"/>
          <w:i/>
          <w:spacing w:val="0"/>
          <w:lang w:val="en-US" w:eastAsia="en-US"/>
        </w:rPr>
        <w:tab/>
      </w:r>
      <w:r w:rsidR="00DF71A5" w:rsidRPr="00012C3F">
        <w:rPr>
          <w:rFonts w:eastAsia="MS Mincho" w:cs="Arial"/>
          <w:b w:val="0"/>
          <w:i/>
          <w:spacing w:val="0"/>
          <w:lang w:val="en-US" w:eastAsia="en-US"/>
        </w:rPr>
        <w:t>Duty of prevention with regard to</w:t>
      </w:r>
      <w:r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the rights</w:t>
      </w:r>
      <w:r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recognized in</w:t>
      </w:r>
      <w:r w:rsidRPr="00012C3F">
        <w:rPr>
          <w:rFonts w:eastAsia="MS Mincho" w:cs="Arial"/>
          <w:b w:val="0"/>
          <w:i/>
          <w:spacing w:val="0"/>
          <w:lang w:val="en-US" w:eastAsia="en-US"/>
        </w:rPr>
        <w:t xml:space="preserve"> </w:t>
      </w:r>
      <w:r w:rsidR="001254DE" w:rsidRPr="00012C3F">
        <w:rPr>
          <w:rFonts w:eastAsia="MS Mincho" w:cs="Arial"/>
          <w:b w:val="0"/>
          <w:i/>
          <w:spacing w:val="0"/>
          <w:lang w:val="en-US" w:eastAsia="en-US"/>
        </w:rPr>
        <w:t>Articles</w:t>
      </w:r>
      <w:r w:rsidRPr="00012C3F">
        <w:rPr>
          <w:rFonts w:eastAsia="MS Mincho" w:cs="Arial"/>
          <w:b w:val="0"/>
          <w:i/>
          <w:spacing w:val="0"/>
          <w:lang w:val="en-US" w:eastAsia="en-US"/>
        </w:rPr>
        <w:t xml:space="preserve"> 5, 7, 11, 13</w:t>
      </w:r>
      <w:r w:rsidR="005E5012" w:rsidRPr="00012C3F">
        <w:rPr>
          <w:rFonts w:eastAsia="MS Mincho" w:cs="Arial"/>
          <w:b w:val="0"/>
          <w:i/>
          <w:spacing w:val="0"/>
          <w:lang w:val="en-US" w:eastAsia="en-US"/>
        </w:rPr>
        <w:t xml:space="preserve"> and </w:t>
      </w:r>
      <w:r w:rsidRPr="00012C3F">
        <w:rPr>
          <w:rFonts w:eastAsia="MS Mincho" w:cs="Arial"/>
          <w:b w:val="0"/>
          <w:i/>
          <w:spacing w:val="0"/>
          <w:lang w:val="en-US" w:eastAsia="en-US"/>
        </w:rPr>
        <w:t>17</w:t>
      </w:r>
      <w:r w:rsidR="001254DE" w:rsidRPr="00012C3F">
        <w:rPr>
          <w:rFonts w:eastAsia="MS Mincho" w:cs="Arial"/>
          <w:b w:val="0"/>
          <w:i/>
          <w:spacing w:val="0"/>
          <w:lang w:val="en-US" w:eastAsia="en-US"/>
        </w:rPr>
        <w:t xml:space="preserve"> of the American Convention</w:t>
      </w:r>
      <w:r w:rsidR="005E5012" w:rsidRPr="00012C3F">
        <w:rPr>
          <w:rFonts w:eastAsia="MS Mincho" w:cs="Arial"/>
          <w:b w:val="0"/>
          <w:i/>
          <w:spacing w:val="0"/>
          <w:lang w:val="en-US" w:eastAsia="en-US"/>
        </w:rPr>
        <w:t xml:space="preserve"> and </w:t>
      </w:r>
      <w:r w:rsidR="00DF71A5" w:rsidRPr="00012C3F">
        <w:rPr>
          <w:rFonts w:eastAsia="MS Mincho" w:cs="Arial"/>
          <w:b w:val="0"/>
          <w:i/>
          <w:spacing w:val="0"/>
          <w:lang w:val="en-US" w:eastAsia="en-US"/>
        </w:rPr>
        <w:t>7(b)</w:t>
      </w:r>
      <w:r w:rsidR="001254DE" w:rsidRPr="00012C3F">
        <w:rPr>
          <w:rFonts w:eastAsia="MS Mincho" w:cs="Arial"/>
          <w:b w:val="0"/>
          <w:i/>
          <w:spacing w:val="0"/>
          <w:lang w:val="en-US" w:eastAsia="en-US"/>
        </w:rPr>
        <w:t xml:space="preserve"> of the Convention</w:t>
      </w:r>
      <w:r w:rsidRPr="00012C3F">
        <w:rPr>
          <w:rFonts w:eastAsia="MS Mincho" w:cs="Arial"/>
          <w:b w:val="0"/>
          <w:i/>
          <w:spacing w:val="0"/>
          <w:lang w:val="en-US" w:eastAsia="en-US"/>
        </w:rPr>
        <w:t xml:space="preserve"> </w:t>
      </w:r>
      <w:r w:rsidR="005E5012" w:rsidRPr="00012C3F">
        <w:rPr>
          <w:rFonts w:eastAsia="MS Mincho" w:cs="Arial"/>
          <w:b w:val="0"/>
          <w:i/>
          <w:spacing w:val="0"/>
          <w:lang w:val="en-US" w:eastAsia="en-US"/>
        </w:rPr>
        <w:t>of Belém</w:t>
      </w:r>
      <w:r w:rsidRPr="00012C3F">
        <w:rPr>
          <w:rFonts w:eastAsia="MS Mincho" w:cs="Arial"/>
          <w:b w:val="0"/>
          <w:i/>
          <w:spacing w:val="0"/>
          <w:lang w:val="en-US" w:eastAsia="en-US"/>
        </w:rPr>
        <w:t xml:space="preserve"> do Pará</w:t>
      </w:r>
      <w:bookmarkEnd w:id="140"/>
      <w:bookmarkEnd w:id="141"/>
    </w:p>
    <w:p w14:paraId="66A220C5" w14:textId="77777777" w:rsidR="00E17AF2" w:rsidRPr="00012C3F" w:rsidRDefault="00E17AF2" w:rsidP="00DF71A5">
      <w:pPr>
        <w:widowControl/>
        <w:tabs>
          <w:tab w:val="left" w:pos="720"/>
        </w:tabs>
        <w:adjustRightInd/>
        <w:spacing w:line="240" w:lineRule="auto"/>
        <w:ind w:right="-90"/>
        <w:textAlignment w:val="auto"/>
        <w:rPr>
          <w:rFonts w:eastAsia="MS Mincho"/>
          <w:b/>
          <w:i/>
          <w:sz w:val="20"/>
          <w:szCs w:val="20"/>
          <w:lang w:val="en-US" w:eastAsia="en-US" w:bidi="en-US"/>
        </w:rPr>
      </w:pPr>
    </w:p>
    <w:p w14:paraId="74D00F4A" w14:textId="77777777" w:rsidR="00E17AF2" w:rsidRPr="00012C3F" w:rsidRDefault="001254DE" w:rsidP="001E73F2">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reitera</w:t>
      </w:r>
      <w:r w:rsidR="001E73F2" w:rsidRPr="00012C3F">
        <w:rPr>
          <w:rFonts w:eastAsia="MS Mincho"/>
          <w:sz w:val="20"/>
          <w:szCs w:val="20"/>
          <w:lang w:val="en-US" w:eastAsia="en-US" w:bidi="en-US"/>
        </w:rPr>
        <w:t>tes</w:t>
      </w:r>
      <w:r w:rsidR="00E17AF2" w:rsidRPr="00012C3F">
        <w:rPr>
          <w:rFonts w:eastAsia="MS Mincho"/>
          <w:sz w:val="20"/>
          <w:szCs w:val="20"/>
          <w:lang w:val="en-US" w:eastAsia="en-US" w:bidi="en-US"/>
        </w:rPr>
        <w:t xml:space="preserve"> </w:t>
      </w:r>
      <w:r w:rsidR="001E73F2" w:rsidRPr="00012C3F">
        <w:rPr>
          <w:rFonts w:eastAsia="MS Mincho"/>
          <w:sz w:val="20"/>
          <w:szCs w:val="20"/>
          <w:lang w:val="en-US" w:eastAsia="en-US" w:bidi="en-US"/>
        </w:rPr>
        <w:t>that it is not sufficient that States merely refrain from violating rights</w:t>
      </w:r>
      <w:r w:rsidR="004A66B5" w:rsidRPr="00012C3F">
        <w:rPr>
          <w:rFonts w:eastAsia="MS Mincho"/>
          <w:sz w:val="20"/>
          <w:szCs w:val="20"/>
          <w:lang w:val="en-US" w:eastAsia="en-US" w:bidi="en-US"/>
        </w:rPr>
        <w:t>;</w:t>
      </w:r>
      <w:r w:rsidR="001E73F2" w:rsidRPr="00012C3F">
        <w:rPr>
          <w:rFonts w:eastAsia="MS Mincho"/>
          <w:sz w:val="20"/>
          <w:szCs w:val="20"/>
          <w:lang w:val="en-US" w:eastAsia="en-US" w:bidi="en-US"/>
        </w:rPr>
        <w:t xml:space="preserve"> it is also essential that they take positive measures, determined based on the specific needs for protection of the subject of law, due either to their personal condition or </w:t>
      </w:r>
      <w:r w:rsidR="004A66B5" w:rsidRPr="00012C3F">
        <w:rPr>
          <w:rFonts w:eastAsia="MS Mincho"/>
          <w:sz w:val="20"/>
          <w:szCs w:val="20"/>
          <w:lang w:val="en-US" w:eastAsia="en-US" w:bidi="en-US"/>
        </w:rPr>
        <w:t xml:space="preserve">to </w:t>
      </w:r>
      <w:r w:rsidR="001E73F2" w:rsidRPr="00012C3F">
        <w:rPr>
          <w:rFonts w:eastAsia="MS Mincho"/>
          <w:sz w:val="20"/>
          <w:szCs w:val="20"/>
          <w:lang w:val="en-US" w:eastAsia="en-US" w:bidi="en-US"/>
        </w:rPr>
        <w:t>the specific situation in which they find themselves.</w:t>
      </w:r>
      <w:bookmarkStart w:id="142" w:name="_Ref248140230"/>
      <w:r w:rsidR="00E17AF2" w:rsidRPr="00012C3F">
        <w:rPr>
          <w:rFonts w:eastAsia="MS Mincho"/>
          <w:sz w:val="20"/>
          <w:szCs w:val="20"/>
          <w:vertAlign w:val="superscript"/>
          <w:lang w:val="en-US" w:eastAsia="en-US" w:bidi="en-US"/>
        </w:rPr>
        <w:footnoteReference w:id="274"/>
      </w:r>
      <w:bookmarkEnd w:id="142"/>
      <w:r w:rsidR="00253415" w:rsidRPr="00012C3F">
        <w:rPr>
          <w:rFonts w:eastAsia="MS Mincho"/>
          <w:sz w:val="20"/>
          <w:szCs w:val="20"/>
          <w:lang w:val="en-US" w:eastAsia="en-US" w:bidi="en-US"/>
        </w:rPr>
        <w:t xml:space="preserve"> </w:t>
      </w:r>
    </w:p>
    <w:p w14:paraId="6CE76F09" w14:textId="77777777" w:rsidR="00E17AF2" w:rsidRPr="00012C3F" w:rsidRDefault="00E17AF2" w:rsidP="00E17AF2">
      <w:pPr>
        <w:widowControl/>
        <w:tabs>
          <w:tab w:val="left" w:pos="720"/>
        </w:tabs>
        <w:adjustRightInd/>
        <w:spacing w:line="240" w:lineRule="auto"/>
        <w:ind w:right="-90"/>
        <w:textAlignment w:val="auto"/>
        <w:rPr>
          <w:rFonts w:eastAsia="MS Mincho"/>
          <w:b/>
          <w:i/>
          <w:sz w:val="20"/>
          <w:szCs w:val="20"/>
          <w:lang w:val="en-US" w:eastAsia="en-US" w:bidi="en-US"/>
        </w:rPr>
      </w:pPr>
    </w:p>
    <w:p w14:paraId="059B8E81" w14:textId="77777777" w:rsidR="00E17AF2" w:rsidRPr="00012C3F" w:rsidRDefault="001E73F2" w:rsidP="00253415">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With regard to the obligation to ensure rights, the Court has established that this may be complied with in different ways, based on the specific right that the Stat</w:t>
      </w:r>
      <w:r w:rsidR="00253415" w:rsidRPr="00012C3F">
        <w:rPr>
          <w:rFonts w:eastAsia="MS Mincho"/>
          <w:sz w:val="20"/>
          <w:szCs w:val="20"/>
          <w:lang w:val="en-US" w:eastAsia="en-US" w:bidi="en-US"/>
        </w:rPr>
        <w:t>e</w:t>
      </w:r>
      <w:r w:rsidRPr="00012C3F">
        <w:rPr>
          <w:rFonts w:eastAsia="MS Mincho"/>
          <w:sz w:val="20"/>
          <w:szCs w:val="20"/>
          <w:lang w:val="en-US" w:eastAsia="en-US" w:bidi="en-US"/>
        </w:rPr>
        <w:t xml:space="preserve"> must ensure and the particular needs for protection.</w:t>
      </w:r>
      <w:r w:rsidR="00E17AF2" w:rsidRPr="00012C3F">
        <w:rPr>
          <w:rFonts w:eastAsia="MS Mincho"/>
          <w:sz w:val="20"/>
          <w:szCs w:val="20"/>
          <w:vertAlign w:val="superscript"/>
          <w:lang w:val="en-US" w:eastAsia="en-US" w:bidi="en-US"/>
        </w:rPr>
        <w:footnoteReference w:id="275"/>
      </w:r>
      <w:r w:rsidRPr="00012C3F">
        <w:rPr>
          <w:rFonts w:eastAsia="MS Mincho"/>
          <w:sz w:val="20"/>
          <w:szCs w:val="20"/>
          <w:lang w:val="en-US" w:eastAsia="en-US" w:bidi="en-US"/>
        </w:rPr>
        <w:t xml:space="preserve"> This obligation </w:t>
      </w:r>
      <w:r w:rsidR="00253415" w:rsidRPr="00012C3F">
        <w:rPr>
          <w:rFonts w:eastAsia="MS Mincho"/>
          <w:sz w:val="20"/>
          <w:szCs w:val="20"/>
          <w:lang w:val="en-US" w:eastAsia="en-US" w:bidi="en-US"/>
        </w:rPr>
        <w:t>entails the duty</w:t>
      </w:r>
      <w:r w:rsidR="004A66B5" w:rsidRPr="00012C3F">
        <w:rPr>
          <w:rFonts w:eastAsia="MS Mincho"/>
          <w:sz w:val="20"/>
          <w:szCs w:val="20"/>
          <w:lang w:val="en-US" w:eastAsia="en-US" w:bidi="en-US"/>
        </w:rPr>
        <w:t xml:space="preserve"> of States</w:t>
      </w:r>
      <w:r w:rsidR="00253415" w:rsidRPr="00012C3F">
        <w:rPr>
          <w:rFonts w:eastAsia="MS Mincho"/>
          <w:sz w:val="20"/>
          <w:szCs w:val="20"/>
          <w:lang w:val="en-US" w:eastAsia="en-US" w:bidi="en-US"/>
        </w:rPr>
        <w:t xml:space="preserve"> to organize the whole government apparatus and, in general, all the structures through which the exercise of public authority is exercised, so that they are able to legally ensure the free and full exercise of human rights.</w:t>
      </w:r>
      <w:bookmarkStart w:id="143" w:name="_Ref248140117"/>
      <w:r w:rsidR="00E17AF2" w:rsidRPr="00012C3F">
        <w:rPr>
          <w:rFonts w:eastAsia="MS Mincho"/>
          <w:sz w:val="20"/>
          <w:szCs w:val="20"/>
          <w:vertAlign w:val="superscript"/>
          <w:lang w:val="en-US" w:eastAsia="en-US" w:bidi="en-US"/>
        </w:rPr>
        <w:footnoteReference w:id="276"/>
      </w:r>
      <w:bookmarkEnd w:id="143"/>
      <w:r w:rsidR="00253415" w:rsidRPr="00012C3F">
        <w:rPr>
          <w:rFonts w:eastAsia="MS Mincho"/>
          <w:sz w:val="20"/>
          <w:szCs w:val="20"/>
          <w:lang w:val="en-US" w:eastAsia="en-US" w:bidi="en-US"/>
        </w:rPr>
        <w:t xml:space="preserve"> As part of this obligation, </w:t>
      </w:r>
      <w:r w:rsidR="004A66B5" w:rsidRPr="00012C3F">
        <w:rPr>
          <w:rFonts w:eastAsia="MS Mincho"/>
          <w:sz w:val="20"/>
          <w:szCs w:val="20"/>
          <w:lang w:val="en-US" w:eastAsia="en-US" w:bidi="en-US"/>
        </w:rPr>
        <w:t>the State has</w:t>
      </w:r>
      <w:r w:rsidR="00253415" w:rsidRPr="00012C3F">
        <w:rPr>
          <w:rFonts w:eastAsia="MS Mincho"/>
          <w:sz w:val="20"/>
          <w:szCs w:val="20"/>
          <w:lang w:val="en-US" w:eastAsia="en-US" w:bidi="en-US"/>
        </w:rPr>
        <w:t xml:space="preserve"> the legal obligation “to prevent, within reason, the violation of human rights, to investigate seriously with the means available to it any violations committed within its jurisdiction in order to identify those responsible, to impose the pertinent punishments on them, and to ensure that the victim receives adequate redress.</w:t>
      </w:r>
      <w:r w:rsidR="00E17AF2" w:rsidRPr="00012C3F">
        <w:rPr>
          <w:rFonts w:eastAsia="MS Mincho"/>
          <w:sz w:val="20"/>
          <w:szCs w:val="20"/>
          <w:lang w:val="en-US" w:eastAsia="en-US" w:bidi="en-US"/>
        </w:rPr>
        <w:t>”</w:t>
      </w:r>
      <w:r w:rsidR="00E17AF2" w:rsidRPr="00012C3F">
        <w:rPr>
          <w:rFonts w:eastAsia="MS Mincho"/>
          <w:sz w:val="20"/>
          <w:szCs w:val="20"/>
          <w:vertAlign w:val="superscript"/>
          <w:lang w:val="en-US" w:eastAsia="en-US" w:bidi="en-US"/>
        </w:rPr>
        <w:footnoteReference w:id="277"/>
      </w:r>
      <w:bookmarkStart w:id="144" w:name="_Ref243380804"/>
    </w:p>
    <w:p w14:paraId="3BB6A36F" w14:textId="77777777" w:rsidR="00E17AF2" w:rsidRPr="00012C3F" w:rsidRDefault="00E17AF2" w:rsidP="001E73F2">
      <w:pPr>
        <w:tabs>
          <w:tab w:val="left" w:pos="720"/>
        </w:tabs>
        <w:spacing w:line="240" w:lineRule="auto"/>
        <w:rPr>
          <w:b/>
          <w:i/>
          <w:sz w:val="20"/>
          <w:szCs w:val="20"/>
          <w:lang w:val="en-US"/>
        </w:rPr>
      </w:pPr>
    </w:p>
    <w:p w14:paraId="68A8B87B" w14:textId="77777777" w:rsidR="00E17AF2" w:rsidRPr="00012C3F" w:rsidRDefault="00253415" w:rsidP="00B21DD5">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Furthermore, the Court has established that the duty of prevention, which forms part of the general obligation to ensure rights, encompasses all those measures of a legal, political, administrative and cultural nature that promote the safeguard of</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human</w:t>
      </w:r>
      <w:r w:rsidR="00DF5BD3" w:rsidRPr="00012C3F">
        <w:rPr>
          <w:rFonts w:eastAsia="MS Mincho"/>
          <w:sz w:val="20"/>
          <w:szCs w:val="20"/>
          <w:lang w:val="en-US" w:eastAsia="en-US" w:bidi="en-US"/>
        </w:rPr>
        <w:t xml:space="preserve"> rights</w:t>
      </w:r>
      <w:r w:rsidR="00E17AF2"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 xml:space="preserve">and </w:t>
      </w:r>
      <w:r w:rsidRPr="00012C3F">
        <w:rPr>
          <w:rFonts w:eastAsia="MS Mincho"/>
          <w:sz w:val="20"/>
          <w:szCs w:val="20"/>
          <w:lang w:val="en-US" w:eastAsia="en-US" w:bidi="en-US"/>
        </w:rPr>
        <w:t>that ensure that eventual violations of these rights are effectively considered and treated as a wrongful act that, as such, is liable to entail punishment for the person who commits it</w:t>
      </w:r>
      <w:r w:rsidR="00E17AF2" w:rsidRPr="00012C3F">
        <w:rPr>
          <w:rFonts w:eastAsia="MS Mincho"/>
          <w:sz w:val="20"/>
          <w:szCs w:val="20"/>
          <w:lang w:val="en-US" w:eastAsia="en-US" w:bidi="en-US"/>
        </w:rPr>
        <w:t>, as</w:t>
      </w:r>
      <w:r w:rsidRPr="00012C3F">
        <w:rPr>
          <w:rFonts w:eastAsia="MS Mincho"/>
          <w:sz w:val="20"/>
          <w:szCs w:val="20"/>
          <w:lang w:val="en-US" w:eastAsia="en-US" w:bidi="en-US"/>
        </w:rPr>
        <w:t xml:space="preserve"> well as the obligation to compensate the victims for the </w:t>
      </w:r>
      <w:r w:rsidR="004A66B5" w:rsidRPr="00012C3F">
        <w:rPr>
          <w:rFonts w:eastAsia="MS Mincho"/>
          <w:sz w:val="20"/>
          <w:szCs w:val="20"/>
          <w:lang w:val="en-US" w:eastAsia="en-US" w:bidi="en-US"/>
        </w:rPr>
        <w:t>adverse</w:t>
      </w:r>
      <w:r w:rsidRPr="00012C3F">
        <w:rPr>
          <w:rFonts w:eastAsia="MS Mincho"/>
          <w:sz w:val="20"/>
          <w:szCs w:val="20"/>
          <w:lang w:val="en-US" w:eastAsia="en-US" w:bidi="en-US"/>
        </w:rPr>
        <w:t xml:space="preserve"> consequences. It is also clear that the duty of prevention is one of means or conduct and failure to comply with it </w:t>
      </w:r>
      <w:r w:rsidR="00B21DD5" w:rsidRPr="00012C3F">
        <w:rPr>
          <w:rFonts w:eastAsia="MS Mincho"/>
          <w:sz w:val="20"/>
          <w:szCs w:val="20"/>
          <w:lang w:val="en-US" w:eastAsia="en-US" w:bidi="en-US"/>
        </w:rPr>
        <w:t xml:space="preserve">is not proved by the mere fact </w:t>
      </w:r>
      <w:r w:rsidR="00B21DD5" w:rsidRPr="00012C3F">
        <w:rPr>
          <w:rFonts w:eastAsia="MS Mincho"/>
          <w:sz w:val="20"/>
          <w:szCs w:val="20"/>
          <w:lang w:val="en-US" w:eastAsia="en-US" w:bidi="en-US"/>
        </w:rPr>
        <w:lastRenderedPageBreak/>
        <w:t>that a right has been violated.</w:t>
      </w:r>
      <w:r w:rsidR="00E17AF2" w:rsidRPr="00012C3F">
        <w:rPr>
          <w:rFonts w:eastAsia="MS Mincho"/>
          <w:sz w:val="20"/>
          <w:szCs w:val="20"/>
          <w:vertAlign w:val="superscript"/>
          <w:lang w:val="en-US" w:eastAsia="en-US" w:bidi="en-US"/>
        </w:rPr>
        <w:footnoteReference w:id="278"/>
      </w:r>
      <w:r w:rsidR="00E17AF2" w:rsidRPr="00012C3F">
        <w:rPr>
          <w:rFonts w:eastAsia="MS Mincho"/>
          <w:sz w:val="20"/>
          <w:szCs w:val="20"/>
          <w:lang w:val="en-US" w:eastAsia="en-US" w:bidi="en-US"/>
        </w:rPr>
        <w:t xml:space="preserve"> </w:t>
      </w:r>
      <w:r w:rsidR="00B21DD5" w:rsidRPr="00012C3F">
        <w:rPr>
          <w:rFonts w:eastAsia="MS Mincho"/>
          <w:bCs/>
          <w:snapToGrid w:val="0"/>
          <w:sz w:val="20"/>
          <w:szCs w:val="20"/>
          <w:lang w:val="en-US" w:eastAsia="es-ES" w:bidi="en-US"/>
        </w:rPr>
        <w:t>Similarly</w:t>
      </w:r>
      <w:r w:rsidR="00E17AF2" w:rsidRPr="00012C3F">
        <w:rPr>
          <w:rFonts w:eastAsia="MS Mincho"/>
          <w:bCs/>
          <w:snapToGrid w:val="0"/>
          <w:sz w:val="20"/>
          <w:szCs w:val="20"/>
          <w:lang w:val="en-US" w:eastAsia="es-ES" w:bidi="en-US"/>
        </w:rPr>
        <w:t xml:space="preserve">, </w:t>
      </w:r>
      <w:r w:rsidR="001254DE" w:rsidRPr="00012C3F">
        <w:rPr>
          <w:rFonts w:eastAsia="MS Mincho"/>
          <w:bCs/>
          <w:snapToGrid w:val="0"/>
          <w:sz w:val="20"/>
          <w:szCs w:val="20"/>
          <w:lang w:val="en-US" w:eastAsia="es-ES" w:bidi="en-US"/>
        </w:rPr>
        <w:t>the Court</w:t>
      </w:r>
      <w:r w:rsidR="00E17AF2" w:rsidRPr="00012C3F">
        <w:rPr>
          <w:rFonts w:eastAsia="MS Mincho"/>
          <w:bCs/>
          <w:snapToGrid w:val="0"/>
          <w:sz w:val="20"/>
          <w:szCs w:val="20"/>
          <w:lang w:val="en-US" w:eastAsia="es-ES" w:bidi="en-US"/>
        </w:rPr>
        <w:t xml:space="preserve"> ha</w:t>
      </w:r>
      <w:r w:rsidR="00B21DD5" w:rsidRPr="00012C3F">
        <w:rPr>
          <w:rFonts w:eastAsia="MS Mincho"/>
          <w:bCs/>
          <w:snapToGrid w:val="0"/>
          <w:sz w:val="20"/>
          <w:szCs w:val="20"/>
          <w:lang w:val="en-US" w:eastAsia="es-ES" w:bidi="en-US"/>
        </w:rPr>
        <w:t>s indicated that States are responsible for the regulation, supervision and monitoring of domestic health services, in both private and public centers, as well as for the implementation of a series of mechanisms addressed at ensuring that this regulation is effective.</w:t>
      </w:r>
      <w:r w:rsidR="00E17AF2" w:rsidRPr="00012C3F">
        <w:rPr>
          <w:rFonts w:eastAsia="MS Mincho"/>
          <w:sz w:val="20"/>
          <w:szCs w:val="20"/>
          <w:vertAlign w:val="superscript"/>
          <w:lang w:val="en-US" w:eastAsia="en-US" w:bidi="en-US"/>
        </w:rPr>
        <w:footnoteReference w:id="279"/>
      </w:r>
    </w:p>
    <w:p w14:paraId="2BBA3AC0" w14:textId="77777777" w:rsidR="00E17AF2" w:rsidRPr="00012C3F" w:rsidRDefault="00E17AF2" w:rsidP="008F2376">
      <w:pPr>
        <w:spacing w:line="240" w:lineRule="auto"/>
        <w:rPr>
          <w:rFonts w:eastAsia="MS Mincho"/>
          <w:b/>
          <w:i/>
          <w:sz w:val="20"/>
          <w:szCs w:val="20"/>
          <w:lang w:val="en-US" w:eastAsia="en-US" w:bidi="en-US"/>
        </w:rPr>
      </w:pPr>
    </w:p>
    <w:p w14:paraId="226C9917" w14:textId="77777777" w:rsidR="00E17AF2" w:rsidRPr="00012C3F" w:rsidRDefault="001254DE" w:rsidP="00B21DD5">
      <w:pPr>
        <w:numPr>
          <w:ilvl w:val="0"/>
          <w:numId w:val="5"/>
        </w:numPr>
        <w:tabs>
          <w:tab w:val="left" w:pos="720"/>
          <w:tab w:val="num" w:pos="12305"/>
        </w:tabs>
        <w:spacing w:line="240" w:lineRule="auto"/>
        <w:ind w:left="0" w:firstLine="0"/>
        <w:rPr>
          <w:rFonts w:eastAsia="MS Mincho"/>
          <w:b/>
          <w:i/>
          <w:sz w:val="20"/>
          <w:szCs w:val="20"/>
          <w:lang w:val="en-US"/>
        </w:rPr>
      </w:pPr>
      <w:r w:rsidRPr="00012C3F">
        <w:rPr>
          <w:rFonts w:eastAsiaTheme="minorHAnsi"/>
          <w:sz w:val="20"/>
          <w:szCs w:val="20"/>
          <w:lang w:val="en-US"/>
        </w:rPr>
        <w:t>The Court</w:t>
      </w:r>
      <w:r w:rsidR="00E17AF2" w:rsidRPr="00012C3F">
        <w:rPr>
          <w:rFonts w:eastAsiaTheme="minorHAnsi"/>
          <w:sz w:val="20"/>
          <w:szCs w:val="20"/>
          <w:lang w:val="en-US"/>
        </w:rPr>
        <w:t xml:space="preserve"> consider</w:t>
      </w:r>
      <w:r w:rsidR="00B21DD5" w:rsidRPr="00012C3F">
        <w:rPr>
          <w:rFonts w:eastAsiaTheme="minorHAnsi"/>
          <w:sz w:val="20"/>
          <w:szCs w:val="20"/>
          <w:lang w:val="en-US"/>
        </w:rPr>
        <w:t xml:space="preserve">s that the existence of a clear and coherent regulation for the provision of health care services is essential to ensure sexual and reproductive health and the corresponding responsibilities for the provision of this service. The Court finds that the existence of standards that regulate </w:t>
      </w:r>
      <w:r w:rsidR="006C705C" w:rsidRPr="00012C3F">
        <w:rPr>
          <w:rFonts w:eastAsiaTheme="minorHAnsi"/>
          <w:sz w:val="20"/>
          <w:szCs w:val="20"/>
          <w:lang w:val="en-US"/>
        </w:rPr>
        <w:t>access to information</w:t>
      </w:r>
      <w:r w:rsidR="00B21DD5" w:rsidRPr="00012C3F">
        <w:rPr>
          <w:rFonts w:eastAsiaTheme="minorHAnsi"/>
          <w:sz w:val="20"/>
          <w:szCs w:val="20"/>
          <w:lang w:val="en-US"/>
        </w:rPr>
        <w:t xml:space="preserve"> on family planning methods and every kind of information required on matters of </w:t>
      </w:r>
      <w:r w:rsidR="00E17AF2" w:rsidRPr="00012C3F">
        <w:rPr>
          <w:rFonts w:eastAsiaTheme="minorHAnsi"/>
          <w:sz w:val="20"/>
          <w:szCs w:val="20"/>
          <w:lang w:val="en-US"/>
        </w:rPr>
        <w:t>sexual</w:t>
      </w:r>
      <w:r w:rsidR="005E5012" w:rsidRPr="00012C3F">
        <w:rPr>
          <w:rFonts w:eastAsiaTheme="minorHAnsi"/>
          <w:sz w:val="20"/>
          <w:szCs w:val="20"/>
          <w:lang w:val="en-US"/>
        </w:rPr>
        <w:t xml:space="preserve"> and </w:t>
      </w:r>
      <w:r w:rsidR="00E17AF2" w:rsidRPr="00012C3F">
        <w:rPr>
          <w:rFonts w:eastAsiaTheme="minorHAnsi"/>
          <w:sz w:val="20"/>
          <w:szCs w:val="20"/>
          <w:lang w:val="en-US"/>
        </w:rPr>
        <w:t>reproductiv</w:t>
      </w:r>
      <w:r w:rsidR="00B21DD5" w:rsidRPr="00012C3F">
        <w:rPr>
          <w:rFonts w:eastAsiaTheme="minorHAnsi"/>
          <w:sz w:val="20"/>
          <w:szCs w:val="20"/>
          <w:lang w:val="en-US"/>
        </w:rPr>
        <w:t>e health, as well as the creation of laws that ensure that informed consent is obtained and establish the elements that must be respected to ensure that this is valid, contribute to the prevention of violations of the human rights of women, especially in cases such as this one.</w:t>
      </w:r>
    </w:p>
    <w:p w14:paraId="3B39C9D1" w14:textId="77777777" w:rsidR="00E17AF2" w:rsidRPr="00012C3F" w:rsidRDefault="00E17AF2" w:rsidP="00B21DD5">
      <w:pPr>
        <w:tabs>
          <w:tab w:val="left" w:pos="720"/>
        </w:tabs>
        <w:spacing w:line="240" w:lineRule="auto"/>
        <w:rPr>
          <w:rFonts w:eastAsia="MS Mincho"/>
          <w:b/>
          <w:i/>
          <w:sz w:val="20"/>
          <w:szCs w:val="20"/>
          <w:lang w:val="en-US" w:eastAsia="en-US" w:bidi="en-US"/>
        </w:rPr>
      </w:pPr>
    </w:p>
    <w:p w14:paraId="33003530" w14:textId="77777777" w:rsidR="005B071D" w:rsidRPr="00012C3F" w:rsidRDefault="007043A1" w:rsidP="005B071D">
      <w:pPr>
        <w:numPr>
          <w:ilvl w:val="0"/>
          <w:numId w:val="5"/>
        </w:numPr>
        <w:tabs>
          <w:tab w:val="left" w:pos="720"/>
          <w:tab w:val="num" w:pos="12305"/>
        </w:tabs>
        <w:spacing w:line="240" w:lineRule="auto"/>
        <w:ind w:left="0" w:firstLine="0"/>
        <w:rPr>
          <w:rFonts w:eastAsia="MS Mincho"/>
          <w:b/>
          <w:i/>
          <w:sz w:val="20"/>
          <w:szCs w:val="20"/>
          <w:lang w:val="en-US"/>
        </w:rPr>
      </w:pPr>
      <w:r w:rsidRPr="00012C3F">
        <w:rPr>
          <w:rFonts w:eastAsiaTheme="minorHAnsi"/>
          <w:sz w:val="20"/>
          <w:szCs w:val="20"/>
          <w:lang w:val="en-US"/>
        </w:rPr>
        <w:t xml:space="preserve">In this regard, </w:t>
      </w:r>
      <w:r w:rsidR="001254DE" w:rsidRPr="00012C3F">
        <w:rPr>
          <w:rFonts w:eastAsiaTheme="minorHAnsi"/>
          <w:sz w:val="20"/>
          <w:szCs w:val="20"/>
          <w:lang w:val="en-US"/>
        </w:rPr>
        <w:t>the Court</w:t>
      </w:r>
      <w:r w:rsidR="00623C22" w:rsidRPr="00012C3F">
        <w:rPr>
          <w:rFonts w:eastAsiaTheme="minorHAnsi"/>
          <w:sz w:val="20"/>
          <w:szCs w:val="20"/>
          <w:lang w:val="en-US"/>
        </w:rPr>
        <w:t xml:space="preserve"> </w:t>
      </w:r>
      <w:r w:rsidRPr="00012C3F">
        <w:rPr>
          <w:rFonts w:eastAsiaTheme="minorHAnsi"/>
          <w:sz w:val="20"/>
          <w:szCs w:val="20"/>
          <w:lang w:val="en-US"/>
        </w:rPr>
        <w:t xml:space="preserve">deems it pertinent that the laws of the States should include clear definitions of what constitutes </w:t>
      </w:r>
      <w:r w:rsidR="00AC0004" w:rsidRPr="00012C3F">
        <w:rPr>
          <w:rFonts w:eastAsiaTheme="minorHAnsi"/>
          <w:sz w:val="20"/>
          <w:szCs w:val="20"/>
          <w:lang w:val="en-US"/>
        </w:rPr>
        <w:t>informed consent</w:t>
      </w:r>
      <w:r w:rsidR="00E17AF2" w:rsidRPr="00012C3F">
        <w:rPr>
          <w:rFonts w:eastAsiaTheme="minorHAnsi"/>
          <w:sz w:val="20"/>
          <w:szCs w:val="20"/>
          <w:lang w:val="en-US"/>
        </w:rPr>
        <w:t xml:space="preserve">. </w:t>
      </w:r>
      <w:r w:rsidRPr="00012C3F">
        <w:rPr>
          <w:rFonts w:eastAsiaTheme="minorHAnsi"/>
          <w:sz w:val="20"/>
          <w:szCs w:val="20"/>
          <w:lang w:val="en-US"/>
        </w:rPr>
        <w:t>Also</w:t>
      </w:r>
      <w:r w:rsidR="00E17AF2" w:rsidRPr="00012C3F">
        <w:rPr>
          <w:rFonts w:eastAsiaTheme="minorHAnsi"/>
          <w:sz w:val="20"/>
          <w:szCs w:val="20"/>
          <w:lang w:val="en-US"/>
        </w:rPr>
        <w:t xml:space="preserve">, </w:t>
      </w:r>
      <w:r w:rsidR="007C0FB1" w:rsidRPr="00012C3F">
        <w:rPr>
          <w:rFonts w:eastAsiaTheme="minorHAnsi"/>
          <w:sz w:val="20"/>
          <w:szCs w:val="20"/>
          <w:lang w:val="en-US"/>
        </w:rPr>
        <w:t>States “should monitor public and private health centers, including hospitals and clinics, which perform sterilization procedures so as to ensure that fully informed consent is being given by the patient before any sterilization procedure is carried out</w:t>
      </w:r>
      <w:r w:rsidR="00E17AF2" w:rsidRPr="00012C3F">
        <w:rPr>
          <w:rFonts w:eastAsiaTheme="minorHAnsi"/>
          <w:sz w:val="20"/>
          <w:szCs w:val="20"/>
          <w:lang w:val="en-US"/>
        </w:rPr>
        <w:t xml:space="preserve">, </w:t>
      </w:r>
      <w:r w:rsidR="007C0FB1" w:rsidRPr="00012C3F">
        <w:rPr>
          <w:rFonts w:eastAsiaTheme="minorHAnsi"/>
          <w:sz w:val="20"/>
          <w:szCs w:val="20"/>
          <w:lang w:val="en-US"/>
        </w:rPr>
        <w:t>with the appropriate sanctions in place in the event of a breach.”</w:t>
      </w:r>
      <w:r w:rsidR="00E17AF2" w:rsidRPr="00012C3F">
        <w:rPr>
          <w:rStyle w:val="Refdenotaalpie"/>
          <w:rFonts w:eastAsiaTheme="minorHAnsi"/>
          <w:sz w:val="20"/>
          <w:szCs w:val="20"/>
          <w:lang w:val="en-US"/>
        </w:rPr>
        <w:footnoteReference w:id="280"/>
      </w:r>
      <w:r w:rsidR="00E17AF2" w:rsidRPr="00012C3F">
        <w:rPr>
          <w:rFonts w:eastAsiaTheme="minorHAnsi"/>
          <w:sz w:val="20"/>
          <w:szCs w:val="20"/>
          <w:lang w:val="en-US"/>
        </w:rPr>
        <w:t xml:space="preserve"> </w:t>
      </w:r>
      <w:r w:rsidRPr="00012C3F">
        <w:rPr>
          <w:rFonts w:eastAsiaTheme="minorHAnsi"/>
          <w:sz w:val="20"/>
          <w:szCs w:val="20"/>
          <w:lang w:val="en-US"/>
        </w:rPr>
        <w:t>In addition</w:t>
      </w:r>
      <w:r w:rsidR="00E17AF2" w:rsidRPr="00012C3F">
        <w:rPr>
          <w:rFonts w:eastAsiaTheme="minorHAnsi"/>
          <w:sz w:val="20"/>
          <w:szCs w:val="20"/>
          <w:lang w:val="en-US"/>
        </w:rPr>
        <w:t xml:space="preserve">, </w:t>
      </w:r>
      <w:r w:rsidR="001254DE" w:rsidRPr="00012C3F">
        <w:rPr>
          <w:rFonts w:eastAsiaTheme="minorHAnsi"/>
          <w:sz w:val="20"/>
          <w:szCs w:val="20"/>
          <w:lang w:val="en-US"/>
        </w:rPr>
        <w:t>Article</w:t>
      </w:r>
      <w:r w:rsidR="00E17AF2" w:rsidRPr="00012C3F">
        <w:rPr>
          <w:rFonts w:eastAsiaTheme="minorHAnsi"/>
          <w:sz w:val="20"/>
          <w:szCs w:val="20"/>
          <w:lang w:val="en-US"/>
        </w:rPr>
        <w:t xml:space="preserve"> 22 </w:t>
      </w:r>
      <w:r w:rsidRPr="00012C3F">
        <w:rPr>
          <w:rFonts w:eastAsiaTheme="minorHAnsi"/>
          <w:sz w:val="20"/>
          <w:szCs w:val="20"/>
          <w:lang w:val="en-US"/>
        </w:rPr>
        <w:t xml:space="preserve">of the UNESCO </w:t>
      </w:r>
      <w:r w:rsidRPr="00012C3F">
        <w:rPr>
          <w:rFonts w:eastAsia="MS Mincho"/>
          <w:sz w:val="20"/>
          <w:szCs w:val="20"/>
          <w:lang w:val="en-US" w:eastAsia="en-US" w:bidi="en-US"/>
        </w:rPr>
        <w:t>Universal Declaration on Bioethics and Human Rights</w:t>
      </w:r>
      <w:r w:rsidR="005A75E7" w:rsidRPr="00012C3F" w:rsidDel="005A75E7">
        <w:rPr>
          <w:rFonts w:eastAsiaTheme="minorHAnsi"/>
          <w:sz w:val="20"/>
          <w:szCs w:val="20"/>
          <w:lang w:val="en-US"/>
        </w:rPr>
        <w:t xml:space="preserve"> </w:t>
      </w:r>
      <w:r w:rsidR="00E17AF2" w:rsidRPr="00012C3F">
        <w:rPr>
          <w:rFonts w:eastAsiaTheme="minorHAnsi"/>
          <w:sz w:val="20"/>
          <w:szCs w:val="20"/>
          <w:lang w:val="en-US"/>
        </w:rPr>
        <w:t>(</w:t>
      </w:r>
      <w:r w:rsidR="00E17AF2" w:rsidRPr="00012C3F">
        <w:rPr>
          <w:rFonts w:eastAsiaTheme="minorHAnsi"/>
          <w:i/>
          <w:sz w:val="20"/>
          <w:szCs w:val="20"/>
          <w:lang w:val="en-US"/>
        </w:rPr>
        <w:t xml:space="preserve">supra </w:t>
      </w:r>
      <w:r w:rsidR="00370DD4" w:rsidRPr="00012C3F">
        <w:rPr>
          <w:rFonts w:eastAsiaTheme="minorHAnsi"/>
          <w:sz w:val="20"/>
          <w:szCs w:val="20"/>
          <w:lang w:val="en-US"/>
        </w:rPr>
        <w:t>para.</w:t>
      </w:r>
      <w:r w:rsidR="00E17AF2" w:rsidRPr="00012C3F">
        <w:rPr>
          <w:rFonts w:eastAsiaTheme="minorHAnsi"/>
          <w:sz w:val="20"/>
          <w:szCs w:val="20"/>
          <w:lang w:val="en-US"/>
        </w:rPr>
        <w:t xml:space="preserve"> </w:t>
      </w:r>
      <w:r w:rsidR="00A2783A" w:rsidRPr="00012C3F">
        <w:rPr>
          <w:rFonts w:eastAsiaTheme="minorHAnsi"/>
          <w:sz w:val="20"/>
          <w:szCs w:val="20"/>
          <w:lang w:val="en-US"/>
        </w:rPr>
        <w:t xml:space="preserve">176) </w:t>
      </w:r>
      <w:r w:rsidR="005B071D" w:rsidRPr="00012C3F">
        <w:rPr>
          <w:rFonts w:eastAsiaTheme="minorHAnsi"/>
          <w:sz w:val="20"/>
          <w:szCs w:val="20"/>
          <w:lang w:val="en-US"/>
        </w:rPr>
        <w:t>refers to the obligation of States to take all appropriate measures to give effect to the principles set out in the Declaration in accordance with international human rights law, which includes informed consent. The Court considers that, in cases of non-consensual or involuntary sterilization</w:t>
      </w:r>
      <w:r w:rsidR="00195867" w:rsidRPr="00012C3F">
        <w:rPr>
          <w:rFonts w:eastAsiaTheme="minorHAnsi"/>
          <w:sz w:val="20"/>
          <w:szCs w:val="20"/>
          <w:lang w:val="en-US"/>
        </w:rPr>
        <w:t>,</w:t>
      </w:r>
      <w:r w:rsidR="00E17AF2" w:rsidRPr="00012C3F">
        <w:rPr>
          <w:rFonts w:eastAsiaTheme="minorHAnsi"/>
          <w:sz w:val="20"/>
          <w:szCs w:val="20"/>
          <w:lang w:val="en-US"/>
        </w:rPr>
        <w:t xml:space="preserve"> </w:t>
      </w:r>
      <w:r w:rsidR="005B071D" w:rsidRPr="00012C3F">
        <w:rPr>
          <w:rFonts w:eastAsiaTheme="minorHAnsi"/>
          <w:sz w:val="20"/>
          <w:szCs w:val="20"/>
          <w:lang w:val="en-US"/>
        </w:rPr>
        <w:t xml:space="preserve">measures to prevent such procedures are of vital importance because, although the creation of mechanisms for access to justice allows rights to be guaranteed, this cannot ensure in all cases the full restoration of </w:t>
      </w:r>
      <w:r w:rsidR="004A66B5" w:rsidRPr="00012C3F">
        <w:rPr>
          <w:rFonts w:eastAsiaTheme="minorHAnsi"/>
          <w:sz w:val="20"/>
          <w:szCs w:val="20"/>
          <w:lang w:val="en-US"/>
        </w:rPr>
        <w:t xml:space="preserve">the </w:t>
      </w:r>
      <w:r w:rsidR="005B071D" w:rsidRPr="00012C3F">
        <w:rPr>
          <w:rFonts w:eastAsiaTheme="minorHAnsi"/>
          <w:sz w:val="20"/>
          <w:szCs w:val="20"/>
          <w:lang w:val="en-US"/>
        </w:rPr>
        <w:t>reproductive capacity, which has been lost owing to the surgical procedure.</w:t>
      </w:r>
    </w:p>
    <w:p w14:paraId="2A05393F" w14:textId="77777777" w:rsidR="00E17AF2" w:rsidRPr="00012C3F" w:rsidRDefault="00E17AF2" w:rsidP="00E17AF2">
      <w:pPr>
        <w:tabs>
          <w:tab w:val="left" w:pos="567"/>
        </w:tabs>
        <w:spacing w:line="240" w:lineRule="auto"/>
        <w:rPr>
          <w:rFonts w:eastAsia="MS Mincho"/>
          <w:b/>
          <w:i/>
          <w:sz w:val="20"/>
          <w:szCs w:val="20"/>
          <w:lang w:val="en-US"/>
        </w:rPr>
      </w:pPr>
    </w:p>
    <w:p w14:paraId="2571F251" w14:textId="77777777" w:rsidR="00E17AF2" w:rsidRPr="00012C3F" w:rsidRDefault="001254DE" w:rsidP="005B071D">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not</w:t>
      </w:r>
      <w:r w:rsidR="005B071D" w:rsidRPr="00012C3F">
        <w:rPr>
          <w:rFonts w:eastAsia="MS Mincho"/>
          <w:sz w:val="20"/>
          <w:szCs w:val="20"/>
          <w:lang w:val="en-US" w:eastAsia="en-US" w:bidi="en-US"/>
        </w:rPr>
        <w:t xml:space="preserve">es that, at the time of the facts, </w:t>
      </w:r>
      <w:r w:rsidR="00566357" w:rsidRPr="00012C3F">
        <w:rPr>
          <w:rFonts w:eastAsia="MS Mincho"/>
          <w:sz w:val="20"/>
          <w:szCs w:val="20"/>
          <w:lang w:val="en-US" w:eastAsia="en-US" w:bidi="en-US"/>
        </w:rPr>
        <w:t>July 1,</w:t>
      </w:r>
      <w:r w:rsidR="00E17AF2" w:rsidRPr="00012C3F">
        <w:rPr>
          <w:rFonts w:eastAsia="MS Mincho"/>
          <w:sz w:val="20"/>
          <w:szCs w:val="20"/>
          <w:lang w:val="en-US" w:eastAsia="en-US" w:bidi="en-US"/>
        </w:rPr>
        <w:t xml:space="preserve"> 2000, </w:t>
      </w:r>
      <w:r w:rsidR="005B071D" w:rsidRPr="00012C3F">
        <w:rPr>
          <w:rFonts w:eastAsia="MS Mincho"/>
          <w:sz w:val="20"/>
          <w:szCs w:val="20"/>
          <w:lang w:val="en-US" w:eastAsia="en-US" w:bidi="en-US"/>
        </w:rPr>
        <w:t>the regulations on</w:t>
      </w:r>
      <w:r w:rsidR="00E17AF2"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00E17AF2" w:rsidRPr="00012C3F">
        <w:rPr>
          <w:rFonts w:eastAsia="MS Mincho"/>
          <w:sz w:val="20"/>
          <w:szCs w:val="20"/>
          <w:lang w:val="en-US" w:eastAsia="en-US" w:bidi="en-US"/>
        </w:rPr>
        <w:t xml:space="preserve"> </w:t>
      </w:r>
      <w:r w:rsidR="006C705C" w:rsidRPr="00012C3F">
        <w:rPr>
          <w:rFonts w:eastAsia="MS Mincho"/>
          <w:sz w:val="20"/>
          <w:szCs w:val="20"/>
          <w:lang w:val="en-US" w:eastAsia="en-US" w:bidi="en-US"/>
        </w:rPr>
        <w:t>in relation to</w:t>
      </w:r>
      <w:r w:rsidR="005B071D" w:rsidRPr="00012C3F">
        <w:rPr>
          <w:rFonts w:eastAsia="MS Mincho"/>
          <w:sz w:val="20"/>
          <w:szCs w:val="20"/>
          <w:lang w:val="en-US" w:eastAsia="en-US" w:bidi="en-US"/>
        </w:rPr>
        <w:t xml:space="preserve"> surgical procedures for female sterilization in Bolivia were included in two specific norms: Bolivian Health Standard </w:t>
      </w:r>
      <w:r w:rsidR="00E17AF2" w:rsidRPr="00012C3F">
        <w:rPr>
          <w:rFonts w:eastAsia="MS Mincho"/>
          <w:sz w:val="20"/>
          <w:szCs w:val="20"/>
          <w:lang w:val="en-US" w:eastAsia="en-US" w:bidi="en-US"/>
        </w:rPr>
        <w:t>NB–SNS–04–97 (“</w:t>
      </w:r>
      <w:r w:rsidR="00435129" w:rsidRPr="00012C3F">
        <w:rPr>
          <w:rFonts w:eastAsia="MS Mincho"/>
          <w:sz w:val="20"/>
          <w:szCs w:val="20"/>
          <w:lang w:val="en-US" w:eastAsia="en-US" w:bidi="en-US"/>
        </w:rPr>
        <w:t>Voluntary surgical contraception</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for women at high reproductive risk</w:t>
      </w:r>
      <w:r w:rsidR="00021BE1" w:rsidRPr="00012C3F">
        <w:rPr>
          <w:rFonts w:eastAsia="MS Mincho"/>
          <w:sz w:val="20"/>
          <w:szCs w:val="20"/>
          <w:lang w:val="en-US" w:eastAsia="en-US" w:bidi="en-US"/>
        </w:rPr>
        <w:t>”</w:t>
      </w:r>
      <w:r w:rsidR="00E17AF2" w:rsidRPr="00012C3F">
        <w:rPr>
          <w:rFonts w:eastAsia="MS Mincho"/>
          <w:sz w:val="20"/>
          <w:szCs w:val="20"/>
          <w:lang w:val="en-US" w:eastAsia="en-US" w:bidi="en-US"/>
        </w:rPr>
        <w:t>)</w:t>
      </w:r>
      <w:r w:rsidR="005B071D" w:rsidRPr="00012C3F">
        <w:rPr>
          <w:rFonts w:eastAsia="MS Mincho"/>
          <w:sz w:val="20"/>
          <w:szCs w:val="20"/>
          <w:lang w:val="en-US" w:eastAsia="en-US" w:bidi="en-US"/>
        </w:rPr>
        <w:t>,</w:t>
      </w:r>
      <w:r w:rsidR="00E17AF2" w:rsidRPr="00012C3F">
        <w:rPr>
          <w:rStyle w:val="Refdenotaalpie"/>
          <w:rFonts w:eastAsia="MS Mincho"/>
          <w:sz w:val="20"/>
          <w:szCs w:val="20"/>
          <w:lang w:val="en-US" w:eastAsia="en-US" w:bidi="en-US"/>
        </w:rPr>
        <w:footnoteReference w:id="281"/>
      </w:r>
      <w:r w:rsidR="00E17AF2" w:rsidRPr="00012C3F">
        <w:rPr>
          <w:rFonts w:eastAsia="MS Mincho"/>
          <w:sz w:val="20"/>
          <w:szCs w:val="20"/>
          <w:lang w:val="en-US" w:eastAsia="en-US" w:bidi="en-US"/>
        </w:rPr>
        <w:t xml:space="preserve"> a</w:t>
      </w:r>
      <w:r w:rsidR="005B071D" w:rsidRPr="00012C3F">
        <w:rPr>
          <w:rFonts w:eastAsia="MS Mincho"/>
          <w:sz w:val="20"/>
          <w:szCs w:val="20"/>
          <w:lang w:val="en-US" w:eastAsia="en-US" w:bidi="en-US"/>
        </w:rPr>
        <w:t xml:space="preserve">dopted by the National Health Secretariat in August </w:t>
      </w:r>
      <w:r w:rsidR="00E17AF2" w:rsidRPr="00012C3F">
        <w:rPr>
          <w:rFonts w:eastAsia="MS Mincho"/>
          <w:sz w:val="20"/>
          <w:szCs w:val="20"/>
          <w:lang w:val="en-US" w:eastAsia="en-US" w:bidi="en-US"/>
        </w:rPr>
        <w:t>1997 (</w:t>
      </w:r>
      <w:r w:rsidRPr="00012C3F">
        <w:rPr>
          <w:rFonts w:eastAsia="MS Mincho"/>
          <w:sz w:val="20"/>
          <w:szCs w:val="20"/>
          <w:lang w:val="en-US" w:eastAsia="en-US" w:bidi="en-US"/>
        </w:rPr>
        <w:t>hereinafter</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the 1997 Bolivian standard</w:t>
      </w:r>
      <w:r w:rsidR="00E17AF2" w:rsidRPr="00012C3F">
        <w:rPr>
          <w:rFonts w:eastAsia="MS Mincho"/>
          <w:sz w:val="20"/>
          <w:szCs w:val="20"/>
          <w:lang w:val="en-US" w:eastAsia="en-US" w:bidi="en-US"/>
        </w:rPr>
        <w:t>”),</w:t>
      </w:r>
      <w:r w:rsidR="005E5012" w:rsidRPr="00012C3F">
        <w:rPr>
          <w:rFonts w:eastAsia="MS Mincho"/>
          <w:sz w:val="20"/>
          <w:szCs w:val="20"/>
          <w:lang w:val="en-US" w:eastAsia="en-US" w:bidi="en-US"/>
        </w:rPr>
        <w:t xml:space="preserve"> and </w:t>
      </w:r>
      <w:r w:rsidR="005B071D" w:rsidRPr="00012C3F">
        <w:rPr>
          <w:rFonts w:eastAsia="MS Mincho"/>
          <w:sz w:val="20"/>
          <w:szCs w:val="20"/>
          <w:lang w:val="en-US" w:eastAsia="en-US" w:bidi="en-US"/>
        </w:rPr>
        <w:t xml:space="preserve">Bolivian Health Standard </w:t>
      </w:r>
      <w:r w:rsidR="00E17AF2" w:rsidRPr="00012C3F">
        <w:rPr>
          <w:rFonts w:eastAsia="MS Mincho"/>
          <w:sz w:val="20"/>
          <w:szCs w:val="20"/>
          <w:lang w:val="en-US" w:eastAsia="en-US" w:bidi="en-US"/>
        </w:rPr>
        <w:t>MSPS-98 (“</w:t>
      </w:r>
      <w:r w:rsidR="00435129" w:rsidRPr="00012C3F">
        <w:rPr>
          <w:rFonts w:eastAsia="MS Mincho"/>
          <w:sz w:val="20"/>
          <w:szCs w:val="20"/>
          <w:lang w:val="en-US" w:eastAsia="en-US" w:bidi="en-US"/>
        </w:rPr>
        <w:t>Voluntary surgical contraception</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Bilateral tubal occlusion in reproductive risks”</w:t>
      </w:r>
      <w:r w:rsidR="00E17AF2" w:rsidRPr="00012C3F">
        <w:rPr>
          <w:rFonts w:eastAsia="MS Mincho"/>
          <w:sz w:val="20"/>
          <w:szCs w:val="20"/>
          <w:lang w:val="en-US" w:eastAsia="en-US" w:bidi="en-US"/>
        </w:rPr>
        <w:t>)</w:t>
      </w:r>
      <w:r w:rsidR="005B071D" w:rsidRPr="00012C3F">
        <w:rPr>
          <w:rFonts w:eastAsia="MS Mincho"/>
          <w:sz w:val="20"/>
          <w:szCs w:val="20"/>
          <w:lang w:val="en-US" w:eastAsia="en-US" w:bidi="en-US"/>
        </w:rPr>
        <w:t>,</w:t>
      </w:r>
      <w:r w:rsidR="00E17AF2" w:rsidRPr="00012C3F">
        <w:rPr>
          <w:rStyle w:val="Refdenotaalpie"/>
          <w:rFonts w:eastAsia="MS Mincho"/>
          <w:sz w:val="20"/>
          <w:szCs w:val="20"/>
          <w:lang w:val="en-US" w:eastAsia="en-US" w:bidi="en-US"/>
        </w:rPr>
        <w:footnoteReference w:id="282"/>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adopted by</w:t>
      </w:r>
      <w:r w:rsidR="00E17AF2" w:rsidRPr="00012C3F">
        <w:rPr>
          <w:rFonts w:eastAsia="MS Mincho"/>
          <w:sz w:val="20"/>
          <w:szCs w:val="20"/>
          <w:lang w:val="en-US" w:eastAsia="en-US" w:bidi="en-US"/>
        </w:rPr>
        <w:t xml:space="preserve"> </w:t>
      </w:r>
      <w:r w:rsidR="002A5605" w:rsidRPr="00012C3F">
        <w:rPr>
          <w:rFonts w:eastAsia="MS Mincho"/>
          <w:sz w:val="20"/>
          <w:szCs w:val="20"/>
          <w:lang w:val="en-US" w:eastAsia="en-US" w:bidi="en-US"/>
        </w:rPr>
        <w:t>the Ministry of Health and Social Services</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in November</w:t>
      </w:r>
      <w:r w:rsidR="00E17AF2" w:rsidRPr="00012C3F">
        <w:rPr>
          <w:rFonts w:eastAsia="MS Mincho"/>
          <w:sz w:val="20"/>
          <w:szCs w:val="20"/>
          <w:lang w:val="en-US" w:eastAsia="en-US" w:bidi="en-US"/>
        </w:rPr>
        <w:t xml:space="preserve"> 1998 (</w:t>
      </w:r>
      <w:r w:rsidRPr="00012C3F">
        <w:rPr>
          <w:rFonts w:eastAsia="MS Mincho"/>
          <w:sz w:val="20"/>
          <w:szCs w:val="20"/>
          <w:lang w:val="en-US" w:eastAsia="en-US" w:bidi="en-US"/>
        </w:rPr>
        <w:t>hereinafter</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the 1998 Bolivian standard</w:t>
      </w:r>
      <w:r w:rsidR="00E17AF2" w:rsidRPr="00012C3F">
        <w:rPr>
          <w:rFonts w:eastAsia="MS Mincho"/>
          <w:sz w:val="20"/>
          <w:szCs w:val="20"/>
          <w:lang w:val="en-US" w:eastAsia="en-US" w:bidi="en-US"/>
        </w:rPr>
        <w:t>”).</w:t>
      </w:r>
    </w:p>
    <w:p w14:paraId="1F69CB65"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8AC9D7C" w14:textId="77777777" w:rsidR="00E17AF2" w:rsidRPr="00012C3F" w:rsidRDefault="00F9623A" w:rsidP="00F9623A">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Under the</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 xml:space="preserve">1997 </w:t>
      </w:r>
      <w:r w:rsidR="00555720" w:rsidRPr="00012C3F">
        <w:rPr>
          <w:rFonts w:eastAsia="MS Mincho"/>
          <w:sz w:val="20"/>
          <w:szCs w:val="20"/>
          <w:lang w:val="en-US" w:eastAsia="en-US" w:bidi="en-US"/>
        </w:rPr>
        <w:t>Bolivian standard,</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 purpose of voluntary surgical contraception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for women was to reduce the cases of death due to high-risk reproductive factors,</w:t>
      </w:r>
      <w:r w:rsidR="00E17AF2" w:rsidRPr="00012C3F">
        <w:rPr>
          <w:rStyle w:val="Refdenotaalpie"/>
          <w:rFonts w:eastAsia="MS Mincho"/>
          <w:sz w:val="20"/>
          <w:szCs w:val="20"/>
          <w:lang w:val="en-US" w:eastAsia="en-US" w:bidi="en-US"/>
        </w:rPr>
        <w:footnoteReference w:id="283"/>
      </w:r>
      <w:r w:rsidR="005E5012" w:rsidRPr="00012C3F">
        <w:rPr>
          <w:rFonts w:eastAsia="MS Mincho"/>
          <w:sz w:val="20"/>
          <w:szCs w:val="20"/>
          <w:lang w:val="en-US" w:eastAsia="en-US" w:bidi="en-US"/>
        </w:rPr>
        <w:t xml:space="preserve"> and </w:t>
      </w:r>
      <w:r w:rsidRPr="00012C3F">
        <w:rPr>
          <w:rFonts w:eastAsia="MS Mincho"/>
          <w:sz w:val="20"/>
          <w:szCs w:val="20"/>
          <w:lang w:val="en-US" w:eastAsia="en-US" w:bidi="en-US"/>
        </w:rPr>
        <w:t xml:space="preserve">it was </w:t>
      </w:r>
      <w:r w:rsidRPr="00012C3F">
        <w:rPr>
          <w:rFonts w:eastAsia="MS Mincho"/>
          <w:sz w:val="20"/>
          <w:szCs w:val="20"/>
          <w:lang w:val="en-US" w:eastAsia="en-US" w:bidi="en-US"/>
        </w:rPr>
        <w:lastRenderedPageBreak/>
        <w:t>addressed a</w:t>
      </w:r>
      <w:r w:rsidR="004A66B5" w:rsidRPr="00012C3F">
        <w:rPr>
          <w:rFonts w:eastAsia="MS Mincho"/>
          <w:sz w:val="20"/>
          <w:szCs w:val="20"/>
          <w:lang w:val="en-US" w:eastAsia="en-US" w:bidi="en-US"/>
        </w:rPr>
        <w:t>t</w:t>
      </w:r>
      <w:r w:rsidRPr="00012C3F">
        <w:rPr>
          <w:rFonts w:eastAsia="MS Mincho"/>
          <w:sz w:val="20"/>
          <w:szCs w:val="20"/>
          <w:lang w:val="en-US" w:eastAsia="en-US" w:bidi="en-US"/>
        </w:rPr>
        <w:t xml:space="preserve"> women of child-bearing age, with an active sexual life, who had a high reproductive risk and desired a permanent contraceptive method. The </w:t>
      </w:r>
      <w:r w:rsidR="005B071D" w:rsidRPr="00012C3F">
        <w:rPr>
          <w:rFonts w:eastAsia="MS Mincho"/>
          <w:sz w:val="20"/>
          <w:szCs w:val="20"/>
          <w:lang w:val="en-US" w:eastAsia="en-US" w:bidi="en-US"/>
        </w:rPr>
        <w:t xml:space="preserve">1997 </w:t>
      </w:r>
      <w:r w:rsidR="00555720" w:rsidRPr="00012C3F">
        <w:rPr>
          <w:rFonts w:eastAsia="MS Mincho"/>
          <w:sz w:val="20"/>
          <w:szCs w:val="20"/>
          <w:lang w:val="en-US" w:eastAsia="en-US" w:bidi="en-US"/>
        </w:rPr>
        <w:t xml:space="preserve">Bolivian standard </w:t>
      </w:r>
      <w:r w:rsidRPr="00012C3F">
        <w:rPr>
          <w:rFonts w:eastAsia="MS Mincho"/>
          <w:sz w:val="20"/>
          <w:szCs w:val="20"/>
          <w:lang w:val="en-US" w:eastAsia="en-US" w:bidi="en-US"/>
        </w:rPr>
        <w:t xml:space="preserve">indicated that surgical contraception was a voluntary procedure that required the patient’s prior consent, after being fully informed of the sterilization procedure, its consequences, and </w:t>
      </w:r>
      <w:r w:rsidR="004A66B5" w:rsidRPr="00012C3F">
        <w:rPr>
          <w:rFonts w:eastAsia="MS Mincho"/>
          <w:sz w:val="20"/>
          <w:szCs w:val="20"/>
          <w:lang w:val="en-US" w:eastAsia="en-US" w:bidi="en-US"/>
        </w:rPr>
        <w:t>other</w:t>
      </w:r>
      <w:r w:rsidRPr="00012C3F">
        <w:rPr>
          <w:rFonts w:eastAsia="MS Mincho"/>
          <w:sz w:val="20"/>
          <w:szCs w:val="20"/>
          <w:lang w:val="en-US" w:eastAsia="en-US" w:bidi="en-US"/>
        </w:rPr>
        <w:t xml:space="preserve"> methods of contraception and their characteristics, using simple language, by trained personnel, to ensure that the information received had been understood. This standard defined informed consent in cases of sterilization as “the decision of the user to undergo a voluntary surgical sterilization after having been fully informed of the procedure and its consequences,</w:t>
      </w:r>
      <w:r w:rsidR="00E17AF2" w:rsidRPr="00012C3F">
        <w:rPr>
          <w:rFonts w:eastAsia="MS Mincho"/>
          <w:sz w:val="20"/>
          <w:szCs w:val="20"/>
          <w:lang w:val="en-US" w:eastAsia="en-US" w:bidi="en-US"/>
        </w:rPr>
        <w:t>”</w:t>
      </w:r>
      <w:r w:rsidR="00570EA8" w:rsidRPr="00012C3F">
        <w:rPr>
          <w:rStyle w:val="Refdenotaalpie"/>
          <w:rFonts w:eastAsia="MS Mincho"/>
          <w:sz w:val="20"/>
          <w:szCs w:val="20"/>
          <w:lang w:val="en-US" w:eastAsia="en-US" w:bidi="en-US"/>
        </w:rPr>
        <w:footnoteReference w:id="284"/>
      </w:r>
      <w:r w:rsidRPr="00012C3F">
        <w:rPr>
          <w:rFonts w:eastAsia="MS Mincho"/>
          <w:sz w:val="20"/>
          <w:szCs w:val="20"/>
          <w:lang w:val="en-US" w:eastAsia="en-US" w:bidi="en-US"/>
        </w:rPr>
        <w:t xml:space="preserve"> and, to this end, she had to sign </w:t>
      </w:r>
      <w:r w:rsidR="004A66B5" w:rsidRPr="00012C3F">
        <w:rPr>
          <w:rFonts w:eastAsia="MS Mincho"/>
          <w:sz w:val="20"/>
          <w:szCs w:val="20"/>
          <w:lang w:val="en-US" w:eastAsia="en-US" w:bidi="en-US"/>
        </w:rPr>
        <w:t xml:space="preserve">an </w:t>
      </w:r>
      <w:r w:rsidR="00AC0004" w:rsidRPr="00012C3F">
        <w:rPr>
          <w:rFonts w:eastAsia="MS Mincho"/>
          <w:sz w:val="20"/>
          <w:szCs w:val="20"/>
          <w:lang w:val="en-US" w:eastAsia="en-US" w:bidi="en-US"/>
        </w:rPr>
        <w:t>informed consent</w:t>
      </w:r>
      <w:r w:rsidR="004A66B5" w:rsidRPr="00012C3F">
        <w:rPr>
          <w:rFonts w:eastAsia="MS Mincho"/>
          <w:sz w:val="20"/>
          <w:szCs w:val="20"/>
          <w:lang w:val="en-US" w:eastAsia="en-US" w:bidi="en-US"/>
        </w:rPr>
        <w:t xml:space="preserve"> form</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which constituted the legal authorization for the procedure. The standard specifically established that it should be </w:t>
      </w:r>
      <w:r w:rsidR="004A66B5" w:rsidRPr="00012C3F">
        <w:rPr>
          <w:rFonts w:eastAsia="MS Mincho"/>
          <w:sz w:val="20"/>
          <w:szCs w:val="20"/>
          <w:lang w:val="en-US" w:eastAsia="en-US" w:bidi="en-US"/>
        </w:rPr>
        <w:t>ensured</w:t>
      </w:r>
      <w:r w:rsidRPr="00012C3F">
        <w:rPr>
          <w:rFonts w:eastAsia="MS Mincho"/>
          <w:sz w:val="20"/>
          <w:szCs w:val="20"/>
          <w:lang w:val="en-US" w:eastAsia="en-US" w:bidi="en-US"/>
        </w:rPr>
        <w:t xml:space="preserve"> that “when obtaining </w:t>
      </w:r>
      <w:r w:rsidR="004A66B5" w:rsidRPr="00012C3F">
        <w:rPr>
          <w:rFonts w:eastAsia="MS Mincho"/>
          <w:sz w:val="20"/>
          <w:szCs w:val="20"/>
          <w:lang w:val="en-US" w:eastAsia="en-US" w:bidi="en-US"/>
        </w:rPr>
        <w:t>the</w:t>
      </w:r>
      <w:r w:rsidRPr="00012C3F">
        <w:rPr>
          <w:rFonts w:eastAsia="MS Mincho"/>
          <w:sz w:val="20"/>
          <w:szCs w:val="20"/>
          <w:lang w:val="en-US" w:eastAsia="en-US" w:bidi="en-US"/>
        </w:rPr>
        <w:t xml:space="preserve"> informed consent, the user is not subject to </w:t>
      </w:r>
      <w:r w:rsidR="004A66B5" w:rsidRPr="00012C3F">
        <w:rPr>
          <w:rFonts w:eastAsia="MS Mincho"/>
          <w:sz w:val="20"/>
          <w:szCs w:val="20"/>
          <w:lang w:val="en-US" w:eastAsia="en-US" w:bidi="en-US"/>
        </w:rPr>
        <w:t>coercion</w:t>
      </w:r>
      <w:r w:rsidRPr="00012C3F">
        <w:rPr>
          <w:rFonts w:eastAsia="MS Mincho"/>
          <w:sz w:val="20"/>
          <w:szCs w:val="20"/>
          <w:lang w:val="en-US" w:eastAsia="en-US" w:bidi="en-US"/>
        </w:rPr>
        <w:t xml:space="preserve"> or to physical or emotional factors that could affect her ability to take a careful and well-considered decision on contraception.</w:t>
      </w:r>
      <w:r w:rsidR="00E17AF2" w:rsidRPr="00012C3F">
        <w:rPr>
          <w:rFonts w:eastAsia="MS Mincho"/>
          <w:sz w:val="20"/>
          <w:szCs w:val="20"/>
          <w:lang w:val="en-US" w:eastAsia="en-US" w:bidi="en-US"/>
        </w:rPr>
        <w:t>”</w:t>
      </w:r>
      <w:r w:rsidR="00E17AF2" w:rsidRPr="00012C3F">
        <w:rPr>
          <w:rStyle w:val="Refdenotaalpie"/>
          <w:rFonts w:eastAsia="MS Mincho"/>
          <w:sz w:val="20"/>
          <w:szCs w:val="20"/>
          <w:lang w:val="en-US" w:eastAsia="en-US" w:bidi="en-US"/>
        </w:rPr>
        <w:footnoteReference w:id="285"/>
      </w:r>
    </w:p>
    <w:p w14:paraId="512275F0"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2135480" w14:textId="77777777" w:rsidR="00E17AF2" w:rsidRPr="00012C3F" w:rsidRDefault="00555720" w:rsidP="00F9623A">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However, despite the requirement of </w:t>
      </w:r>
      <w:r w:rsidR="00AC0004" w:rsidRPr="00012C3F">
        <w:rPr>
          <w:rFonts w:eastAsia="MS Mincho"/>
          <w:sz w:val="20"/>
          <w:szCs w:val="20"/>
          <w:lang w:val="en-US" w:eastAsia="en-US" w:bidi="en-US"/>
        </w:rPr>
        <w:t>informed consent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in cases of high reproductive risk, Rule 5 indicated that </w:t>
      </w:r>
      <w:r w:rsidR="00F9623A" w:rsidRPr="00012C3F">
        <w:rPr>
          <w:rFonts w:eastAsia="MS Mincho"/>
          <w:sz w:val="20"/>
          <w:szCs w:val="20"/>
          <w:lang w:val="en-US" w:eastAsia="en-US" w:bidi="en-US"/>
        </w:rPr>
        <w:t>voluntary surgical contraception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could be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performed by medical decision by a laparotomy in serious cases, duly documented by the patient’s medical history and consulted with the family,</w:t>
      </w:r>
      <w:r w:rsidR="00E17AF2" w:rsidRPr="00012C3F">
        <w:rPr>
          <w:rFonts w:eastAsia="MS Mincho"/>
          <w:sz w:val="20"/>
          <w:szCs w:val="20"/>
          <w:lang w:val="en-US" w:eastAsia="en-US" w:bidi="en-US"/>
        </w:rPr>
        <w:t>”</w:t>
      </w:r>
      <w:r w:rsidR="002C0526" w:rsidRPr="00012C3F">
        <w:rPr>
          <w:rStyle w:val="Refdenotaalpie"/>
          <w:rFonts w:eastAsia="MS Mincho"/>
          <w:sz w:val="20"/>
          <w:szCs w:val="20"/>
          <w:lang w:val="en-US" w:eastAsia="en-US" w:bidi="en-US"/>
        </w:rPr>
        <w:footnoteReference w:id="286"/>
      </w:r>
      <w:r w:rsidRPr="00012C3F">
        <w:rPr>
          <w:rFonts w:eastAsia="MS Mincho"/>
          <w:sz w:val="20"/>
          <w:szCs w:val="20"/>
          <w:lang w:val="en-US" w:eastAsia="en-US" w:bidi="en-US"/>
        </w:rPr>
        <w:t xml:space="preserve"> without specifying what this risk involved. This rule was cited in the Administrative Resolution of March 10,</w:t>
      </w:r>
      <w:r w:rsidR="00E17AF2" w:rsidRPr="00012C3F">
        <w:rPr>
          <w:rFonts w:eastAsia="MS Mincho"/>
          <w:sz w:val="20"/>
          <w:szCs w:val="20"/>
          <w:lang w:val="en-US" w:eastAsia="en-US" w:bidi="en-US"/>
        </w:rPr>
        <w:t xml:space="preserve"> 2003</w:t>
      </w:r>
      <w:r w:rsidRPr="00012C3F">
        <w:rPr>
          <w:rFonts w:eastAsia="MS Mincho"/>
          <w:sz w:val="20"/>
          <w:szCs w:val="20"/>
          <w:lang w:val="en-US" w:eastAsia="en-US" w:bidi="en-US"/>
        </w:rPr>
        <w:t>, which annulled the decision to dismiss the physician during the administrative procedure without any reasoning or substantiation</w:t>
      </w:r>
      <w:r w:rsidR="00E17AF2" w:rsidRPr="00012C3F">
        <w:rPr>
          <w:rFonts w:eastAsia="MS Mincho"/>
          <w:sz w:val="20"/>
          <w:szCs w:val="20"/>
          <w:lang w:val="en-US" w:eastAsia="en-US" w:bidi="en-US"/>
        </w:rPr>
        <w:t xml:space="preserve"> (</w:t>
      </w:r>
      <w:r w:rsidR="00E17AF2" w:rsidRPr="00012C3F">
        <w:rPr>
          <w:rFonts w:eastAsia="MS Mincho"/>
          <w:i/>
          <w:sz w:val="20"/>
          <w:szCs w:val="20"/>
          <w:lang w:val="en-US" w:eastAsia="en-US" w:bidi="en-US"/>
        </w:rPr>
        <w:t>supra</w:t>
      </w:r>
      <w:r w:rsidR="00E17AF2" w:rsidRPr="00012C3F">
        <w:rPr>
          <w:rFonts w:eastAsia="MS Mincho"/>
          <w:sz w:val="20"/>
          <w:szCs w:val="20"/>
          <w:lang w:val="en-US" w:eastAsia="en-US" w:bidi="en-US"/>
        </w:rPr>
        <w:t xml:space="preserve"> </w:t>
      </w:r>
      <w:r w:rsidR="00370DD4" w:rsidRPr="00012C3F">
        <w:rPr>
          <w:rFonts w:eastAsia="MS Mincho"/>
          <w:sz w:val="20"/>
          <w:szCs w:val="20"/>
          <w:lang w:val="en-US" w:eastAsia="en-US" w:bidi="en-US"/>
        </w:rPr>
        <w:t>para.</w:t>
      </w:r>
      <w:r w:rsidR="003F107B" w:rsidRPr="00012C3F">
        <w:rPr>
          <w:rFonts w:eastAsia="MS Mincho"/>
          <w:sz w:val="20"/>
          <w:szCs w:val="20"/>
          <w:lang w:val="en-US" w:eastAsia="en-US" w:bidi="en-US"/>
        </w:rPr>
        <w:t xml:space="preserve"> 90</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Similarly, Rule 6 of the </w:t>
      </w:r>
      <w:r w:rsidR="005B071D" w:rsidRPr="00012C3F">
        <w:rPr>
          <w:rFonts w:eastAsia="MS Mincho"/>
          <w:sz w:val="20"/>
          <w:szCs w:val="20"/>
          <w:lang w:val="en-US" w:eastAsia="en-US" w:bidi="en-US"/>
        </w:rPr>
        <w:t xml:space="preserve">1997 </w:t>
      </w:r>
      <w:r w:rsidRPr="00012C3F">
        <w:rPr>
          <w:rFonts w:eastAsia="MS Mincho"/>
          <w:sz w:val="20"/>
          <w:szCs w:val="20"/>
          <w:lang w:val="en-US" w:eastAsia="en-US" w:bidi="en-US"/>
        </w:rPr>
        <w:t>Bolivian standard established that, for a woman to be able to undergo</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surgical sterilization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following counseling, </w:t>
      </w:r>
      <w:r w:rsidR="00411066" w:rsidRPr="00012C3F">
        <w:rPr>
          <w:rFonts w:eastAsia="MS Mincho"/>
          <w:sz w:val="20"/>
          <w:szCs w:val="20"/>
          <w:lang w:val="en-US" w:eastAsia="en-US" w:bidi="en-US"/>
        </w:rPr>
        <w:t>the</w:t>
      </w:r>
      <w:r w:rsidRPr="00012C3F">
        <w:rPr>
          <w:rFonts w:eastAsia="MS Mincho"/>
          <w:sz w:val="20"/>
          <w:szCs w:val="20"/>
          <w:lang w:val="en-US" w:eastAsia="en-US" w:bidi="en-US"/>
        </w:rPr>
        <w:t xml:space="preserve"> service authorized to perform the procedure should set up a medical committee composed of at least three professionals</w:t>
      </w:r>
      <w:r w:rsidR="00411066" w:rsidRPr="00012C3F">
        <w:rPr>
          <w:rFonts w:eastAsia="MS Mincho"/>
          <w:sz w:val="20"/>
          <w:szCs w:val="20"/>
          <w:lang w:val="en-US" w:eastAsia="en-US" w:bidi="en-US"/>
        </w:rPr>
        <w:t xml:space="preserve"> to analyze the case and,</w:t>
      </w:r>
      <w:r w:rsidRPr="00012C3F">
        <w:rPr>
          <w:rFonts w:eastAsia="MS Mincho"/>
          <w:sz w:val="20"/>
          <w:szCs w:val="20"/>
          <w:lang w:val="en-US" w:eastAsia="en-US" w:bidi="en-US"/>
        </w:rPr>
        <w:t xml:space="preserve"> when they had analyzed the case, </w:t>
      </w:r>
      <w:r w:rsidR="00411066" w:rsidRPr="00012C3F">
        <w:rPr>
          <w:rFonts w:eastAsia="MS Mincho"/>
          <w:sz w:val="20"/>
          <w:szCs w:val="20"/>
          <w:lang w:val="en-US" w:eastAsia="en-US" w:bidi="en-US"/>
        </w:rPr>
        <w:t xml:space="preserve">they </w:t>
      </w:r>
      <w:r w:rsidRPr="00012C3F">
        <w:rPr>
          <w:rFonts w:eastAsia="MS Mincho"/>
          <w:sz w:val="20"/>
          <w:szCs w:val="20"/>
          <w:lang w:val="en-US" w:eastAsia="en-US" w:bidi="en-US"/>
        </w:rPr>
        <w:t>had to prepare a decision justif</w:t>
      </w:r>
      <w:r w:rsidR="00411066" w:rsidRPr="00012C3F">
        <w:rPr>
          <w:rFonts w:eastAsia="MS Mincho"/>
          <w:sz w:val="20"/>
          <w:szCs w:val="20"/>
          <w:lang w:val="en-US" w:eastAsia="en-US" w:bidi="en-US"/>
        </w:rPr>
        <w:t>ying</w:t>
      </w:r>
      <w:r w:rsidRPr="00012C3F">
        <w:rPr>
          <w:rFonts w:eastAsia="MS Mincho"/>
          <w:sz w:val="20"/>
          <w:szCs w:val="20"/>
          <w:lang w:val="en-US" w:eastAsia="en-US" w:bidi="en-US"/>
        </w:rPr>
        <w:t xml:space="preserve"> their approval.</w:t>
      </w:r>
      <w:r w:rsidR="003F107B" w:rsidRPr="00012C3F">
        <w:rPr>
          <w:rStyle w:val="Refdenotaalpie"/>
          <w:rFonts w:eastAsia="MS Mincho"/>
          <w:sz w:val="20"/>
          <w:szCs w:val="20"/>
          <w:lang w:val="en-US" w:eastAsia="en-US" w:bidi="en-US"/>
        </w:rPr>
        <w:footnoteReference w:id="287"/>
      </w:r>
    </w:p>
    <w:p w14:paraId="2A9D83F3" w14:textId="77777777" w:rsidR="00E17AF2" w:rsidRPr="00012C3F" w:rsidRDefault="00E17AF2" w:rsidP="00F9623A">
      <w:pPr>
        <w:tabs>
          <w:tab w:val="left" w:pos="720"/>
        </w:tabs>
        <w:spacing w:line="240" w:lineRule="auto"/>
        <w:rPr>
          <w:rFonts w:eastAsia="MS Mincho"/>
          <w:sz w:val="20"/>
          <w:szCs w:val="20"/>
          <w:lang w:val="en-US" w:eastAsia="en-US" w:bidi="en-US"/>
        </w:rPr>
      </w:pPr>
    </w:p>
    <w:p w14:paraId="77DBC5C2" w14:textId="77777777" w:rsidR="00E17AF2" w:rsidRPr="00012C3F" w:rsidRDefault="00411066" w:rsidP="00F9623A">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Meanwhile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the</w:t>
      </w:r>
      <w:r w:rsidR="00E17AF2" w:rsidRPr="00012C3F">
        <w:rPr>
          <w:rFonts w:eastAsia="MS Mincho"/>
          <w:sz w:val="20"/>
          <w:szCs w:val="20"/>
          <w:lang w:val="en-US" w:eastAsia="en-US" w:bidi="en-US"/>
        </w:rPr>
        <w:t xml:space="preserve"> </w:t>
      </w:r>
      <w:r w:rsidR="005B071D" w:rsidRPr="00012C3F">
        <w:rPr>
          <w:rFonts w:eastAsia="MS Mincho"/>
          <w:sz w:val="20"/>
          <w:szCs w:val="20"/>
          <w:lang w:val="en-US" w:eastAsia="en-US" w:bidi="en-US"/>
        </w:rPr>
        <w:t xml:space="preserve">1998 </w:t>
      </w:r>
      <w:r w:rsidR="00555720" w:rsidRPr="00012C3F">
        <w:rPr>
          <w:rFonts w:eastAsia="MS Mincho"/>
          <w:sz w:val="20"/>
          <w:szCs w:val="20"/>
          <w:lang w:val="en-US" w:eastAsia="en-US" w:bidi="en-US"/>
        </w:rPr>
        <w:t>Bolivian standard</w:t>
      </w:r>
      <w:r w:rsidR="006339A7" w:rsidRPr="00012C3F">
        <w:rPr>
          <w:rFonts w:eastAsia="MS Mincho"/>
          <w:sz w:val="20"/>
          <w:szCs w:val="20"/>
          <w:lang w:val="en-US" w:eastAsia="en-US" w:bidi="en-US"/>
        </w:rPr>
        <w:t>s</w:t>
      </w:r>
      <w:r w:rsidR="00555720" w:rsidRPr="00012C3F">
        <w:rPr>
          <w:rFonts w:eastAsia="MS Mincho"/>
          <w:sz w:val="20"/>
          <w:szCs w:val="20"/>
          <w:lang w:val="en-US" w:eastAsia="en-US" w:bidi="en-US"/>
        </w:rPr>
        <w:t xml:space="preserve"> </w:t>
      </w:r>
      <w:r w:rsidRPr="00012C3F">
        <w:rPr>
          <w:rFonts w:eastAsia="MS Mincho"/>
          <w:sz w:val="20"/>
          <w:szCs w:val="20"/>
          <w:lang w:val="en-US" w:eastAsia="en-US" w:bidi="en-US"/>
        </w:rPr>
        <w:t>w</w:t>
      </w:r>
      <w:r w:rsidR="006339A7" w:rsidRPr="00012C3F">
        <w:rPr>
          <w:rFonts w:eastAsia="MS Mincho"/>
          <w:sz w:val="20"/>
          <w:szCs w:val="20"/>
          <w:lang w:val="en-US" w:eastAsia="en-US" w:bidi="en-US"/>
        </w:rPr>
        <w:t>ere</w:t>
      </w:r>
      <w:r w:rsidRPr="00012C3F">
        <w:rPr>
          <w:rFonts w:eastAsia="MS Mincho"/>
          <w:sz w:val="20"/>
          <w:szCs w:val="20"/>
          <w:lang w:val="en-US" w:eastAsia="en-US" w:bidi="en-US"/>
        </w:rPr>
        <w:t xml:space="preserve"> adopted to regulate the technique of bilateral tubal occlusion – a technique that results in permanent sterilization – in order to improve the quality of the comprehensive service for women with reproductive risks.</w:t>
      </w:r>
      <w:r w:rsidR="00E17AF2" w:rsidRPr="00012C3F">
        <w:rPr>
          <w:rStyle w:val="Refdenotaalpie"/>
          <w:rFonts w:eastAsia="MS Mincho"/>
          <w:sz w:val="20"/>
          <w:szCs w:val="20"/>
          <w:lang w:val="en-US" w:eastAsia="en-US" w:bidi="en-US"/>
        </w:rPr>
        <w:footnoteReference w:id="288"/>
      </w:r>
      <w:r w:rsidRPr="00012C3F">
        <w:rPr>
          <w:rFonts w:eastAsia="MS Mincho"/>
          <w:sz w:val="20"/>
          <w:szCs w:val="20"/>
          <w:lang w:val="en-US" w:eastAsia="en-US" w:bidi="en-US"/>
        </w:rPr>
        <w:t xml:space="preserve"> These standards expressly recognized</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reproductive</w:t>
      </w:r>
      <w:r w:rsidR="00DF5BD3" w:rsidRPr="00012C3F">
        <w:rPr>
          <w:rFonts w:eastAsia="MS Mincho"/>
          <w:sz w:val="20"/>
          <w:szCs w:val="20"/>
          <w:lang w:val="en-US" w:eastAsia="en-US" w:bidi="en-US"/>
        </w:rPr>
        <w:t xml:space="preserve"> rights</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including the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right of couples and individuals to decide freely and responsibly on the number and spacing of their children</w:t>
      </w:r>
      <w:r w:rsidR="005E5012" w:rsidRPr="00012C3F">
        <w:rPr>
          <w:rFonts w:eastAsia="MS Mincho"/>
          <w:sz w:val="20"/>
          <w:szCs w:val="20"/>
          <w:lang w:val="en-US" w:eastAsia="en-US" w:bidi="en-US"/>
        </w:rPr>
        <w:t xml:space="preserve"> and </w:t>
      </w:r>
      <w:r w:rsidRPr="00012C3F">
        <w:rPr>
          <w:rFonts w:eastAsia="MS Mincho"/>
          <w:sz w:val="20"/>
          <w:szCs w:val="20"/>
          <w:lang w:val="en-US" w:eastAsia="en-US" w:bidi="en-US"/>
        </w:rPr>
        <w:t>to receive the necessary information, education and means to do this.</w:t>
      </w:r>
      <w:r w:rsidR="00E17AF2" w:rsidRPr="00012C3F">
        <w:rPr>
          <w:rFonts w:eastAsia="MS Mincho"/>
          <w:sz w:val="20"/>
          <w:szCs w:val="20"/>
          <w:lang w:val="en-US" w:eastAsia="en-US" w:bidi="en-US"/>
        </w:rPr>
        <w:t>”</w:t>
      </w:r>
      <w:r w:rsidR="005E01C8" w:rsidRPr="00012C3F">
        <w:rPr>
          <w:rStyle w:val="Refdenotaalpie"/>
          <w:rFonts w:eastAsia="MS Mincho"/>
          <w:sz w:val="20"/>
          <w:szCs w:val="20"/>
          <w:lang w:val="en-US" w:eastAsia="en-US" w:bidi="en-US"/>
        </w:rPr>
        <w:footnoteReference w:id="289"/>
      </w:r>
      <w:r w:rsidRPr="00012C3F">
        <w:rPr>
          <w:rFonts w:eastAsia="MS Mincho"/>
          <w:sz w:val="20"/>
          <w:szCs w:val="20"/>
          <w:lang w:val="en-US" w:eastAsia="en-US" w:bidi="en-US"/>
        </w:rPr>
        <w:t xml:space="preserve"> They also established that bilateral tubal occlusion would be performed, provided that the user had received adequate guidance and had confirmed her decision by signing or placing her fingerp</w:t>
      </w:r>
      <w:r w:rsidR="00A65ECD" w:rsidRPr="00012C3F">
        <w:rPr>
          <w:rFonts w:eastAsia="MS Mincho"/>
          <w:sz w:val="20"/>
          <w:szCs w:val="20"/>
          <w:lang w:val="en-US" w:eastAsia="en-US" w:bidi="en-US"/>
        </w:rPr>
        <w:t>r</w:t>
      </w:r>
      <w:r w:rsidRPr="00012C3F">
        <w:rPr>
          <w:rFonts w:eastAsia="MS Mincho"/>
          <w:sz w:val="20"/>
          <w:szCs w:val="20"/>
          <w:lang w:val="en-US" w:eastAsia="en-US" w:bidi="en-US"/>
        </w:rPr>
        <w:t>int on the</w:t>
      </w:r>
      <w:r w:rsidR="00E17AF2"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Pr="00012C3F">
        <w:rPr>
          <w:rFonts w:eastAsia="MS Mincho"/>
          <w:sz w:val="20"/>
          <w:szCs w:val="20"/>
          <w:lang w:val="en-US" w:eastAsia="en-US" w:bidi="en-US"/>
        </w:rPr>
        <w:t xml:space="preserve"> document.</w:t>
      </w:r>
      <w:r w:rsidR="00E17AF2" w:rsidRPr="00012C3F">
        <w:rPr>
          <w:rStyle w:val="Refdenotaalpie"/>
          <w:rFonts w:eastAsia="MS Mincho"/>
          <w:sz w:val="20"/>
          <w:szCs w:val="20"/>
          <w:lang w:val="en-US" w:eastAsia="en-US" w:bidi="en-US"/>
        </w:rPr>
        <w:footnoteReference w:id="290"/>
      </w:r>
    </w:p>
    <w:p w14:paraId="453EA46E" w14:textId="77777777" w:rsidR="00E17AF2" w:rsidRPr="00012C3F" w:rsidRDefault="00E17AF2" w:rsidP="00E17AF2">
      <w:pPr>
        <w:tabs>
          <w:tab w:val="left" w:pos="567"/>
        </w:tabs>
        <w:spacing w:line="240" w:lineRule="auto"/>
        <w:rPr>
          <w:rFonts w:eastAsia="MS Mincho"/>
          <w:sz w:val="20"/>
          <w:szCs w:val="20"/>
          <w:lang w:val="en-US" w:eastAsia="en-US" w:bidi="en-US"/>
        </w:rPr>
      </w:pPr>
    </w:p>
    <w:p w14:paraId="0F36DAAB" w14:textId="77777777" w:rsidR="00E17AF2" w:rsidRPr="00012C3F" w:rsidRDefault="00A65ECD" w:rsidP="00A65ECD">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Despite the existence of these standards that required informed consent in writing, </w:t>
      </w:r>
      <w:r w:rsidR="009D3EE9" w:rsidRPr="00012C3F">
        <w:rPr>
          <w:rFonts w:eastAsia="MS Mincho"/>
          <w:sz w:val="20"/>
          <w:szCs w:val="20"/>
          <w:lang w:val="en-US" w:eastAsia="en-US" w:bidi="en-US"/>
        </w:rPr>
        <w:t>signed</w:t>
      </w:r>
      <w:r w:rsidRPr="00012C3F">
        <w:rPr>
          <w:rFonts w:eastAsia="MS Mincho"/>
          <w:sz w:val="20"/>
          <w:szCs w:val="20"/>
          <w:lang w:val="en-US" w:eastAsia="en-US" w:bidi="en-US"/>
        </w:rPr>
        <w:t xml:space="preserve"> by the patient, the State argued that this was not applicable to the case of I.V., because the 1997 and 1998 Bolivian standards had been adopted for cases in which patients voluntarily, regardless of pregnancy, went to a medical center to request tubal ligation. The State argued that this was not the case of I.V., because her sterilization occurred following a medical incident on the occasion of the </w:t>
      </w:r>
      <w:r w:rsidR="00CC232E" w:rsidRPr="00012C3F">
        <w:rPr>
          <w:rFonts w:eastAsia="MS Mincho"/>
          <w:sz w:val="20"/>
          <w:szCs w:val="20"/>
          <w:lang w:val="en-US" w:eastAsia="en-US" w:bidi="en-US"/>
        </w:rPr>
        <w:t>caesarean section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This was ratified by statements </w:t>
      </w:r>
      <w:r w:rsidR="006339A7" w:rsidRPr="00012C3F">
        <w:rPr>
          <w:rFonts w:eastAsia="MS Mincho"/>
          <w:sz w:val="20"/>
          <w:szCs w:val="20"/>
          <w:lang w:val="en-US" w:eastAsia="en-US" w:bidi="en-US"/>
        </w:rPr>
        <w:t>made by</w:t>
      </w:r>
      <w:r w:rsidRPr="00012C3F">
        <w:rPr>
          <w:rFonts w:eastAsia="MS Mincho"/>
          <w:sz w:val="20"/>
          <w:szCs w:val="20"/>
          <w:lang w:val="en-US" w:eastAsia="en-US" w:bidi="en-US"/>
        </w:rPr>
        <w:t xml:space="preserve"> the doctors during the proceedings before this Court. In this regard, one of the doctors who intervened stated that, since the 1998 Bolivian standards were not applicable and the case of I.V. was a special case, verbal consent was permitted, stressing that, even in this situation, sterilization should be voluntary.</w:t>
      </w:r>
      <w:r w:rsidR="00E17AF2" w:rsidRPr="00012C3F">
        <w:rPr>
          <w:rStyle w:val="Refdenotaalpie"/>
          <w:rFonts w:eastAsia="MS Mincho"/>
          <w:sz w:val="20"/>
          <w:szCs w:val="20"/>
          <w:lang w:val="en-US" w:eastAsia="en-US" w:bidi="en-US"/>
        </w:rPr>
        <w:footnoteReference w:id="291"/>
      </w:r>
      <w:r w:rsidRPr="00012C3F">
        <w:rPr>
          <w:rFonts w:eastAsia="MS Mincho"/>
          <w:sz w:val="20"/>
          <w:szCs w:val="20"/>
          <w:lang w:val="en-US" w:eastAsia="en-US" w:bidi="en-US"/>
        </w:rPr>
        <w:t xml:space="preserve"> However, the other doctor indicated during the domestic administrative procedure that, although it was necessary to perform a tubal ligation from a medical perspective, it was incorrect from a legal perspective, because they should have waited until I.V., following the c-section, took the decision to undergo the said procedure.</w:t>
      </w:r>
      <w:r w:rsidR="00E17AF2" w:rsidRPr="00012C3F">
        <w:rPr>
          <w:rStyle w:val="Refdenotaalpie"/>
          <w:rFonts w:eastAsia="MS Mincho"/>
          <w:sz w:val="20"/>
          <w:szCs w:val="20"/>
          <w:lang w:val="en-US" w:eastAsia="en-US" w:bidi="en-US"/>
        </w:rPr>
        <w:footnoteReference w:id="292"/>
      </w:r>
      <w:r w:rsidRPr="00012C3F">
        <w:rPr>
          <w:rFonts w:eastAsia="MS Mincho"/>
          <w:sz w:val="20"/>
          <w:szCs w:val="20"/>
          <w:lang w:val="en-US" w:eastAsia="en-US" w:bidi="en-US"/>
        </w:rPr>
        <w:t xml:space="preserve"> Subsequently, in the statement he submitted to the Court, he asserted that what he had stated previously had been taken out of context and what he had meant to state was that, although the tubal ligation was absolutely advisable, “neither domestic law nor international protocols</w:t>
      </w:r>
      <w:r w:rsidR="00C3678E" w:rsidRPr="00012C3F">
        <w:rPr>
          <w:rFonts w:eastAsia="MS Mincho"/>
          <w:sz w:val="20"/>
          <w:szCs w:val="20"/>
          <w:lang w:val="en-US" w:eastAsia="en-US" w:bidi="en-US"/>
        </w:rPr>
        <w:t xml:space="preserve"> on the matter established a regulated and legal procedure for complex, difficult or exceptional cases,</w:t>
      </w:r>
      <w:r w:rsidR="00E17AF2" w:rsidRPr="00012C3F">
        <w:rPr>
          <w:rFonts w:eastAsia="MS Mincho"/>
          <w:sz w:val="20"/>
          <w:szCs w:val="20"/>
          <w:lang w:val="en-US" w:eastAsia="en-US" w:bidi="en-US"/>
        </w:rPr>
        <w:t>”</w:t>
      </w:r>
      <w:r w:rsidR="00E17AF2" w:rsidRPr="00012C3F">
        <w:rPr>
          <w:rStyle w:val="Refdenotaalpie"/>
          <w:rFonts w:eastAsia="MS Mincho"/>
          <w:sz w:val="20"/>
          <w:szCs w:val="20"/>
          <w:lang w:val="en-US" w:eastAsia="en-US" w:bidi="en-US"/>
        </w:rPr>
        <w:footnoteReference w:id="293"/>
      </w:r>
      <w:r w:rsidR="00C3678E" w:rsidRPr="00012C3F">
        <w:rPr>
          <w:rFonts w:eastAsia="MS Mincho"/>
          <w:sz w:val="20"/>
          <w:szCs w:val="20"/>
          <w:lang w:val="en-US" w:eastAsia="en-US" w:bidi="en-US"/>
        </w:rPr>
        <w:t xml:space="preserve"> such as that of </w:t>
      </w:r>
      <w:r w:rsidR="000E1C11" w:rsidRPr="00012C3F">
        <w:rPr>
          <w:rFonts w:eastAsia="MS Mincho"/>
          <w:sz w:val="20"/>
          <w:szCs w:val="20"/>
          <w:lang w:val="en-US" w:eastAsia="en-US" w:bidi="en-US"/>
        </w:rPr>
        <w:t>I.V.</w:t>
      </w:r>
    </w:p>
    <w:p w14:paraId="466F8945"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FF1E9EB" w14:textId="77777777" w:rsidR="00E17AF2" w:rsidRPr="00012C3F" w:rsidRDefault="00C3678E" w:rsidP="00C3678E">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T</w:t>
      </w:r>
      <w:r w:rsidR="001254DE" w:rsidRPr="00012C3F">
        <w:rPr>
          <w:rFonts w:eastAsia="MS Mincho"/>
          <w:sz w:val="20"/>
          <w:szCs w:val="20"/>
          <w:lang w:val="en-US" w:eastAsia="en-US" w:bidi="en-US"/>
        </w:rPr>
        <w:t>he Court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has corroborated that the </w:t>
      </w:r>
      <w:r w:rsidR="007F2E2D" w:rsidRPr="00012C3F">
        <w:rPr>
          <w:rFonts w:eastAsia="MS Mincho"/>
          <w:sz w:val="20"/>
          <w:szCs w:val="20"/>
          <w:lang w:val="en-US" w:eastAsia="en-US" w:bidi="en-US"/>
        </w:rPr>
        <w:t>Code of Medical Ethics</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in force at the time of the facts, indicated that it was an obligation of doctors to obtain a patient’s written informed consent in order to perform any medical or surgical procedure, especially in situations that entailed a risk or resulted in </w:t>
      </w:r>
      <w:r w:rsidR="006339A7" w:rsidRPr="00012C3F">
        <w:rPr>
          <w:rFonts w:eastAsia="MS Mincho"/>
          <w:sz w:val="20"/>
          <w:szCs w:val="20"/>
          <w:lang w:val="en-US" w:eastAsia="en-US" w:bidi="en-US"/>
        </w:rPr>
        <w:t>damage (</w:t>
      </w:r>
      <w:r w:rsidR="006339A7" w:rsidRPr="00012C3F">
        <w:rPr>
          <w:rFonts w:eastAsia="MS Mincho"/>
          <w:i/>
          <w:iCs/>
          <w:sz w:val="20"/>
          <w:szCs w:val="20"/>
          <w:lang w:val="en-US" w:eastAsia="en-US" w:bidi="en-US"/>
        </w:rPr>
        <w:t>mutilación</w:t>
      </w:r>
      <w:r w:rsidR="006339A7" w:rsidRPr="00012C3F">
        <w:rPr>
          <w:rFonts w:eastAsia="MS Mincho"/>
          <w:sz w:val="20"/>
          <w:szCs w:val="20"/>
          <w:lang w:val="en-US" w:eastAsia="en-US" w:bidi="en-US"/>
        </w:rPr>
        <w:t>)</w:t>
      </w:r>
      <w:r w:rsidRPr="00012C3F">
        <w:rPr>
          <w:rFonts w:eastAsia="MS Mincho"/>
          <w:sz w:val="20"/>
          <w:szCs w:val="20"/>
          <w:lang w:val="en-US" w:eastAsia="en-US" w:bidi="en-US"/>
        </w:rPr>
        <w:t>. The Code established that only in cases of emergency and when the consent could not be given, because clinical criteria recommended immediate treatment, was it possible to proceed without authorization. In the specific case of sterilization, this could only be performed at the express, voluntary and documented request of the patient, or in cases of therapeutic indication strictly determined by a medical board.</w:t>
      </w:r>
      <w:r w:rsidR="00E17AF2" w:rsidRPr="00012C3F">
        <w:rPr>
          <w:rStyle w:val="Refdenotaalpie"/>
          <w:rFonts w:eastAsia="MS Mincho"/>
          <w:sz w:val="20"/>
          <w:szCs w:val="20"/>
          <w:lang w:val="en-US" w:eastAsia="en-US" w:bidi="en-US"/>
        </w:rPr>
        <w:footnoteReference w:id="294"/>
      </w:r>
    </w:p>
    <w:p w14:paraId="3EA7ABA5" w14:textId="77777777" w:rsidR="00E17AF2" w:rsidRPr="00012C3F" w:rsidRDefault="00E17AF2" w:rsidP="00E17AF2">
      <w:pPr>
        <w:tabs>
          <w:tab w:val="left" w:pos="567"/>
        </w:tabs>
        <w:spacing w:line="240" w:lineRule="auto"/>
        <w:rPr>
          <w:rFonts w:eastAsia="MS Mincho"/>
          <w:sz w:val="20"/>
          <w:szCs w:val="20"/>
          <w:lang w:val="en-US" w:eastAsia="en-US" w:bidi="en-US"/>
        </w:rPr>
      </w:pPr>
    </w:p>
    <w:p w14:paraId="4170B986" w14:textId="77777777" w:rsidR="002B1A6F" w:rsidRPr="00012C3F" w:rsidRDefault="006339A7" w:rsidP="002B1A6F">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The </w:t>
      </w:r>
      <w:r w:rsidR="00A84CA0" w:rsidRPr="00012C3F">
        <w:rPr>
          <w:rFonts w:eastAsia="MS Mincho"/>
          <w:sz w:val="20"/>
          <w:szCs w:val="20"/>
          <w:lang w:val="en-US" w:eastAsia="en-US" w:bidi="en-US"/>
        </w:rPr>
        <w:t>State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also </w:t>
      </w:r>
      <w:r w:rsidR="00E17AF2" w:rsidRPr="00012C3F">
        <w:rPr>
          <w:rFonts w:eastAsia="MS Mincho"/>
          <w:sz w:val="20"/>
          <w:szCs w:val="20"/>
          <w:lang w:val="en-US" w:eastAsia="en-US" w:bidi="en-US"/>
        </w:rPr>
        <w:t>present</w:t>
      </w:r>
      <w:r w:rsidR="002B1A6F" w:rsidRPr="00012C3F">
        <w:rPr>
          <w:rFonts w:eastAsia="MS Mincho"/>
          <w:sz w:val="20"/>
          <w:szCs w:val="20"/>
          <w:lang w:val="en-US" w:eastAsia="en-US" w:bidi="en-US"/>
        </w:rPr>
        <w:t xml:space="preserve">ed as evidence a </w:t>
      </w:r>
      <w:r w:rsidRPr="00012C3F">
        <w:rPr>
          <w:rFonts w:eastAsia="MS Mincho"/>
          <w:sz w:val="20"/>
          <w:szCs w:val="20"/>
          <w:lang w:val="en-US" w:eastAsia="en-US" w:bidi="en-US"/>
        </w:rPr>
        <w:t>letter from</w:t>
      </w:r>
      <w:r w:rsidR="002B1A6F" w:rsidRPr="00012C3F">
        <w:rPr>
          <w:rFonts w:eastAsia="MS Mincho"/>
          <w:sz w:val="20"/>
          <w:szCs w:val="20"/>
          <w:lang w:val="en-US" w:eastAsia="en-US" w:bidi="en-US"/>
        </w:rPr>
        <w:t xml:space="preserve"> the Head of Obstetrics </w:t>
      </w:r>
      <w:r w:rsidR="00FF19ED" w:rsidRPr="00012C3F">
        <w:rPr>
          <w:rFonts w:eastAsia="MS Mincho"/>
          <w:sz w:val="20"/>
          <w:szCs w:val="20"/>
          <w:lang w:val="en-US" w:eastAsia="en-US" w:bidi="en-US"/>
        </w:rPr>
        <w:t xml:space="preserve">of the </w:t>
      </w:r>
      <w:r w:rsidR="00583403" w:rsidRPr="00012C3F">
        <w:rPr>
          <w:rFonts w:eastAsia="MS Mincho"/>
          <w:sz w:val="20"/>
          <w:szCs w:val="20"/>
          <w:lang w:val="en-US" w:eastAsia="en-US" w:bidi="en-US"/>
        </w:rPr>
        <w:t>Women’s Hospital</w:t>
      </w:r>
      <w:r w:rsidR="00E17AF2" w:rsidRPr="00012C3F">
        <w:rPr>
          <w:rFonts w:eastAsia="MS Mincho"/>
          <w:sz w:val="20"/>
          <w:szCs w:val="20"/>
          <w:lang w:val="en-US" w:eastAsia="en-US" w:bidi="en-US"/>
        </w:rPr>
        <w:t xml:space="preserve"> </w:t>
      </w:r>
      <w:r w:rsidR="002B1A6F" w:rsidRPr="00012C3F">
        <w:rPr>
          <w:rFonts w:eastAsia="MS Mincho"/>
          <w:sz w:val="20"/>
          <w:szCs w:val="20"/>
          <w:lang w:val="en-US" w:eastAsia="en-US" w:bidi="en-US"/>
        </w:rPr>
        <w:t>dated October 26,</w:t>
      </w:r>
      <w:r w:rsidR="00E17AF2" w:rsidRPr="00012C3F">
        <w:rPr>
          <w:rFonts w:eastAsia="MS Mincho"/>
          <w:sz w:val="20"/>
          <w:szCs w:val="20"/>
          <w:lang w:val="en-US" w:eastAsia="en-US" w:bidi="en-US"/>
        </w:rPr>
        <w:t xml:space="preserve"> 2015, </w:t>
      </w:r>
      <w:r w:rsidR="002B1A6F" w:rsidRPr="00012C3F">
        <w:rPr>
          <w:rFonts w:eastAsia="MS Mincho"/>
          <w:sz w:val="20"/>
          <w:szCs w:val="20"/>
          <w:lang w:val="en-US" w:eastAsia="en-US" w:bidi="en-US"/>
        </w:rPr>
        <w:t xml:space="preserve">in which he indicated that </w:t>
      </w:r>
      <w:r w:rsidR="00E17AF2" w:rsidRPr="00012C3F">
        <w:rPr>
          <w:rFonts w:eastAsiaTheme="minorHAnsi" w:cs="Arial"/>
          <w:sz w:val="20"/>
          <w:szCs w:val="20"/>
          <w:lang w:val="en-US" w:eastAsia="en-US"/>
        </w:rPr>
        <w:t>“[</w:t>
      </w:r>
      <w:r w:rsidR="002B1A6F" w:rsidRPr="00012C3F">
        <w:rPr>
          <w:rFonts w:eastAsiaTheme="minorHAnsi" w:cs="Arial"/>
          <w:sz w:val="20"/>
          <w:szCs w:val="20"/>
          <w:lang w:val="en-US" w:eastAsia="en-US"/>
        </w:rPr>
        <w:t>o</w:t>
      </w:r>
      <w:r w:rsidR="00E17AF2" w:rsidRPr="00012C3F">
        <w:rPr>
          <w:rFonts w:eastAsiaTheme="minorHAnsi" w:cs="Arial"/>
          <w:sz w:val="20"/>
          <w:szCs w:val="20"/>
          <w:lang w:val="en-US" w:eastAsia="en-US"/>
        </w:rPr>
        <w:t>]</w:t>
      </w:r>
      <w:r w:rsidR="002B1A6F" w:rsidRPr="00012C3F">
        <w:rPr>
          <w:rFonts w:eastAsiaTheme="minorHAnsi" w:cs="Arial"/>
          <w:sz w:val="20"/>
          <w:szCs w:val="20"/>
          <w:lang w:val="en-US" w:eastAsia="en-US"/>
        </w:rPr>
        <w:t xml:space="preserve">bstetrics ha[d] no specific protocols for performing tubal ligations due to medical indication, because it [was] a non-protocolized alternative procedure, and constitute[d] a special obstetric situation where, based on his experience and the obstetric evidence and in order to prevent future obstetric complications </w:t>
      </w:r>
      <w:r w:rsidR="002B1A6F" w:rsidRPr="00012C3F">
        <w:rPr>
          <w:rFonts w:eastAsiaTheme="minorHAnsi" w:cs="Arial"/>
          <w:sz w:val="20"/>
          <w:szCs w:val="20"/>
          <w:lang w:val="en-US" w:eastAsia="en-US"/>
        </w:rPr>
        <w:lastRenderedPageBreak/>
        <w:t xml:space="preserve">resulting in maternal and/or fetal death, </w:t>
      </w:r>
      <w:r w:rsidRPr="00012C3F">
        <w:rPr>
          <w:rFonts w:eastAsiaTheme="minorHAnsi" w:cs="Arial"/>
          <w:sz w:val="20"/>
          <w:szCs w:val="20"/>
          <w:lang w:val="en-US" w:eastAsia="en-US"/>
        </w:rPr>
        <w:t xml:space="preserve">the specialist decided </w:t>
      </w:r>
      <w:r w:rsidR="002B1A6F" w:rsidRPr="00012C3F">
        <w:rPr>
          <w:rFonts w:eastAsiaTheme="minorHAnsi" w:cs="Arial"/>
          <w:sz w:val="20"/>
          <w:szCs w:val="20"/>
          <w:lang w:val="en-US" w:eastAsia="en-US"/>
        </w:rPr>
        <w:t>to perform the corresponding surg</w:t>
      </w:r>
      <w:r w:rsidRPr="00012C3F">
        <w:rPr>
          <w:rFonts w:eastAsiaTheme="minorHAnsi" w:cs="Arial"/>
          <w:sz w:val="20"/>
          <w:szCs w:val="20"/>
          <w:lang w:val="en-US" w:eastAsia="en-US"/>
        </w:rPr>
        <w:t>ical procedure</w:t>
      </w:r>
      <w:r w:rsidR="002B1A6F" w:rsidRPr="00012C3F">
        <w:rPr>
          <w:rFonts w:eastAsiaTheme="minorHAnsi" w:cs="Arial"/>
          <w:sz w:val="20"/>
          <w:szCs w:val="20"/>
          <w:lang w:val="en-US" w:eastAsia="en-US"/>
        </w:rPr>
        <w:t>.</w:t>
      </w:r>
      <w:r w:rsidR="00E17AF2" w:rsidRPr="00012C3F">
        <w:rPr>
          <w:rFonts w:eastAsiaTheme="minorHAnsi" w:cs="Arial"/>
          <w:sz w:val="20"/>
          <w:szCs w:val="20"/>
          <w:lang w:val="en-US" w:eastAsia="en-US"/>
        </w:rPr>
        <w:t>”</w:t>
      </w:r>
      <w:r w:rsidR="00E17AF2" w:rsidRPr="00012C3F">
        <w:rPr>
          <w:rStyle w:val="Refdenotaalpie"/>
          <w:rFonts w:eastAsiaTheme="minorHAnsi" w:cs="Arial"/>
          <w:sz w:val="20"/>
          <w:szCs w:val="20"/>
          <w:lang w:val="en-US" w:eastAsia="en-US"/>
        </w:rPr>
        <w:footnoteReference w:id="295"/>
      </w:r>
      <w:r w:rsidR="00E17AF2" w:rsidRPr="00012C3F">
        <w:rPr>
          <w:sz w:val="20"/>
          <w:szCs w:val="20"/>
          <w:lang w:val="en-US"/>
        </w:rPr>
        <w:t xml:space="preserve"> </w:t>
      </w:r>
      <w:r w:rsidR="001254DE" w:rsidRPr="00012C3F">
        <w:rPr>
          <w:sz w:val="20"/>
          <w:szCs w:val="20"/>
          <w:lang w:val="en-US"/>
        </w:rPr>
        <w:t>The Court</w:t>
      </w:r>
      <w:r w:rsidR="00E17AF2" w:rsidRPr="00012C3F">
        <w:rPr>
          <w:sz w:val="20"/>
          <w:szCs w:val="20"/>
          <w:lang w:val="en-US"/>
        </w:rPr>
        <w:t xml:space="preserve"> not</w:t>
      </w:r>
      <w:r w:rsidR="002B1A6F" w:rsidRPr="00012C3F">
        <w:rPr>
          <w:sz w:val="20"/>
          <w:szCs w:val="20"/>
          <w:lang w:val="en-US"/>
        </w:rPr>
        <w:t xml:space="preserve">es that, according to the corresponding standards, the </w:t>
      </w:r>
      <w:r w:rsidR="00E17AF2" w:rsidRPr="00012C3F">
        <w:rPr>
          <w:sz w:val="20"/>
          <w:szCs w:val="20"/>
          <w:lang w:val="en-US"/>
        </w:rPr>
        <w:t xml:space="preserve"> </w:t>
      </w:r>
      <w:r w:rsidR="007F2E2D" w:rsidRPr="00012C3F">
        <w:rPr>
          <w:rFonts w:eastAsiaTheme="minorHAnsi" w:cs="Arial"/>
          <w:sz w:val="20"/>
          <w:szCs w:val="20"/>
          <w:lang w:val="en-US" w:eastAsia="en-US"/>
        </w:rPr>
        <w:t>Code of Medical Ethics</w:t>
      </w:r>
      <w:r w:rsidR="00E17AF2" w:rsidRPr="00012C3F">
        <w:rPr>
          <w:rFonts w:eastAsiaTheme="minorHAnsi" w:cs="Arial"/>
          <w:sz w:val="20"/>
          <w:szCs w:val="20"/>
          <w:lang w:val="en-US" w:eastAsia="en-US"/>
        </w:rPr>
        <w:t xml:space="preserve"> </w:t>
      </w:r>
      <w:r w:rsidR="002B1A6F" w:rsidRPr="00012C3F">
        <w:rPr>
          <w:rFonts w:eastAsiaTheme="minorHAnsi" w:cs="Arial"/>
          <w:sz w:val="20"/>
          <w:szCs w:val="20"/>
          <w:lang w:val="en-US" w:eastAsia="en-US"/>
        </w:rPr>
        <w:t>in force at the time required informed consent, signed by the patient to be obtained, or else a decision by a medical board.</w:t>
      </w:r>
    </w:p>
    <w:p w14:paraId="1C8A28B1" w14:textId="77777777" w:rsidR="00E17AF2" w:rsidRPr="00012C3F" w:rsidRDefault="00E17AF2" w:rsidP="00E17AF2">
      <w:pPr>
        <w:tabs>
          <w:tab w:val="left" w:pos="567"/>
        </w:tabs>
        <w:spacing w:line="240" w:lineRule="auto"/>
        <w:rPr>
          <w:rFonts w:eastAsia="MS Mincho"/>
          <w:sz w:val="20"/>
          <w:szCs w:val="20"/>
          <w:lang w:val="en-US" w:eastAsia="en-US" w:bidi="en-US"/>
        </w:rPr>
      </w:pPr>
    </w:p>
    <w:p w14:paraId="7B47CE10" w14:textId="77777777" w:rsidR="00871BF3" w:rsidRPr="00012C3F" w:rsidRDefault="001254DE" w:rsidP="00871BF3">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conclu</w:t>
      </w:r>
      <w:r w:rsidR="00871BF3" w:rsidRPr="00012C3F">
        <w:rPr>
          <w:rFonts w:eastAsia="MS Mincho"/>
          <w:sz w:val="20"/>
          <w:szCs w:val="20"/>
          <w:lang w:val="en-US" w:eastAsia="en-US" w:bidi="en-US"/>
        </w:rPr>
        <w:t xml:space="preserve">des that </w:t>
      </w:r>
      <w:r w:rsidR="006339A7" w:rsidRPr="00012C3F">
        <w:rPr>
          <w:rFonts w:eastAsia="MS Mincho"/>
          <w:sz w:val="20"/>
          <w:szCs w:val="20"/>
          <w:lang w:val="en-US" w:eastAsia="en-US" w:bidi="en-US"/>
        </w:rPr>
        <w:t xml:space="preserve">the </w:t>
      </w:r>
      <w:r w:rsidR="00871BF3" w:rsidRPr="00012C3F">
        <w:rPr>
          <w:rFonts w:eastAsia="MS Mincho"/>
          <w:sz w:val="20"/>
          <w:szCs w:val="20"/>
          <w:lang w:val="en-US" w:eastAsia="en-US" w:bidi="en-US"/>
        </w:rPr>
        <w:t xml:space="preserve">standards </w:t>
      </w:r>
      <w:r w:rsidR="006339A7" w:rsidRPr="00012C3F">
        <w:rPr>
          <w:rFonts w:eastAsia="MS Mincho"/>
          <w:sz w:val="20"/>
          <w:szCs w:val="20"/>
          <w:lang w:val="en-US" w:eastAsia="en-US" w:bidi="en-US"/>
        </w:rPr>
        <w:t>concerning</w:t>
      </w:r>
      <w:r w:rsidR="00871BF3" w:rsidRPr="00012C3F">
        <w:rPr>
          <w:rFonts w:eastAsia="MS Mincho"/>
          <w:sz w:val="20"/>
          <w:szCs w:val="20"/>
          <w:lang w:val="en-US" w:eastAsia="en-US" w:bidi="en-US"/>
        </w:rPr>
        <w:t xml:space="preserve"> </w:t>
      </w:r>
      <w:r w:rsidR="00AC0004" w:rsidRPr="00012C3F">
        <w:rPr>
          <w:rFonts w:eastAsia="MS Mincho"/>
          <w:sz w:val="20"/>
          <w:szCs w:val="20"/>
          <w:lang w:val="en-US" w:eastAsia="en-US" w:bidi="en-US"/>
        </w:rPr>
        <w:t>informed consent</w:t>
      </w:r>
      <w:r w:rsidR="005E5012" w:rsidRPr="00012C3F">
        <w:rPr>
          <w:rFonts w:eastAsia="MS Mincho"/>
          <w:sz w:val="20"/>
          <w:szCs w:val="20"/>
          <w:lang w:val="en-US" w:eastAsia="en-US" w:bidi="en-US"/>
        </w:rPr>
        <w:t xml:space="preserve"> and </w:t>
      </w:r>
      <w:r w:rsidR="00871BF3" w:rsidRPr="00012C3F">
        <w:rPr>
          <w:rFonts w:eastAsia="MS Mincho"/>
          <w:sz w:val="20"/>
          <w:szCs w:val="20"/>
          <w:lang w:val="en-US" w:eastAsia="en-US" w:bidi="en-US"/>
        </w:rPr>
        <w:t>its regulation with regard to surgical procedures for female sterilization in force in Bolivia at the time of the facts were ambiguous, imprecise and even contradictory. On the one hand, written informed consent was required and, on the other, situations were established in which “by medical decision and in grave cases,” sterilization could be performed without the conditions being clearly established in this case.</w:t>
      </w:r>
      <w:r w:rsidR="00871BF3" w:rsidRPr="00012C3F">
        <w:rPr>
          <w:rFonts w:eastAsia="MS Mincho"/>
          <w:b/>
          <w:i/>
          <w:sz w:val="20"/>
          <w:szCs w:val="20"/>
          <w:lang w:val="en-US" w:eastAsia="en-US" w:bidi="en-US"/>
        </w:rPr>
        <w:t xml:space="preserve"> </w:t>
      </w: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not</w:t>
      </w:r>
      <w:r w:rsidR="00871BF3" w:rsidRPr="00012C3F">
        <w:rPr>
          <w:rFonts w:eastAsia="MS Mincho"/>
          <w:sz w:val="20"/>
          <w:szCs w:val="20"/>
          <w:lang w:val="en-US" w:eastAsia="en-US" w:bidi="en-US"/>
        </w:rPr>
        <w:t>es that, according to the statements referred to above, not even the health personnel themselves were clear about which standard should be applied in the case of I.V.</w:t>
      </w:r>
    </w:p>
    <w:p w14:paraId="0CB92BC2" w14:textId="77777777" w:rsidR="00E17AF2" w:rsidRPr="00012C3F" w:rsidRDefault="00E17AF2" w:rsidP="002B1A6F">
      <w:pPr>
        <w:tabs>
          <w:tab w:val="left" w:pos="720"/>
        </w:tabs>
        <w:spacing w:line="240" w:lineRule="auto"/>
        <w:rPr>
          <w:rFonts w:eastAsia="MS Mincho"/>
          <w:b/>
          <w:i/>
          <w:sz w:val="20"/>
          <w:szCs w:val="20"/>
          <w:lang w:val="en-US" w:eastAsia="en-US" w:bidi="en-US"/>
        </w:rPr>
      </w:pPr>
    </w:p>
    <w:p w14:paraId="36D07357" w14:textId="77777777" w:rsidR="00E17AF2" w:rsidRPr="00012C3F" w:rsidRDefault="001254DE" w:rsidP="00871BF3">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consider</w:t>
      </w:r>
      <w:r w:rsidR="00871BF3" w:rsidRPr="00012C3F">
        <w:rPr>
          <w:rFonts w:eastAsia="MS Mincho"/>
          <w:sz w:val="20"/>
          <w:szCs w:val="20"/>
          <w:lang w:val="en-US" w:eastAsia="en-US" w:bidi="en-US"/>
        </w:rPr>
        <w:t xml:space="preserve">s that it could have been understood that the situation based on which I.V. was subjected to sterilization was regulated under the 1997 and the 1998 Bolivian standards which required a written and signed consent. The evidence before this Court reveals </w:t>
      </w:r>
      <w:r w:rsidR="00D871E8" w:rsidRPr="00012C3F">
        <w:rPr>
          <w:rFonts w:eastAsia="MS Mincho"/>
          <w:sz w:val="20"/>
          <w:szCs w:val="20"/>
          <w:lang w:val="en-US" w:eastAsia="en-US" w:bidi="en-US"/>
        </w:rPr>
        <w:t>that the decision to perform the tubal ligation on I.V. was taken during the peri-operative period, and there is no record that she gave her consent in any written form.</w:t>
      </w:r>
      <w:r w:rsidR="00E17AF2" w:rsidRPr="00012C3F">
        <w:rPr>
          <w:rStyle w:val="Refdenotaalpie"/>
          <w:rFonts w:eastAsia="MS Mincho"/>
          <w:sz w:val="20"/>
          <w:szCs w:val="20"/>
          <w:lang w:val="en-US" w:eastAsia="en-US" w:bidi="en-US"/>
        </w:rPr>
        <w:footnoteReference w:id="296"/>
      </w:r>
      <w:r w:rsidR="00D871E8" w:rsidRPr="00012C3F">
        <w:rPr>
          <w:rFonts w:eastAsia="MS Mincho"/>
          <w:sz w:val="20"/>
          <w:szCs w:val="20"/>
          <w:lang w:val="en-US" w:eastAsia="en-US" w:bidi="en-US"/>
        </w:rPr>
        <w:t xml:space="preserve"> However, the </w:t>
      </w:r>
      <w:r w:rsidR="009D3EE9" w:rsidRPr="00012C3F">
        <w:rPr>
          <w:rFonts w:eastAsia="MS Mincho"/>
          <w:sz w:val="20"/>
          <w:szCs w:val="20"/>
          <w:lang w:val="en-US" w:eastAsia="en-US" w:bidi="en-US"/>
        </w:rPr>
        <w:t>State</w:t>
      </w:r>
      <w:r w:rsidR="00D871E8" w:rsidRPr="00012C3F">
        <w:rPr>
          <w:rFonts w:eastAsia="MS Mincho"/>
          <w:sz w:val="20"/>
          <w:szCs w:val="20"/>
          <w:lang w:val="en-US" w:eastAsia="en-US" w:bidi="en-US"/>
        </w:rPr>
        <w:t xml:space="preserve"> itself has argued that the</w:t>
      </w:r>
      <w:r w:rsidR="00C149D9" w:rsidRPr="00012C3F">
        <w:rPr>
          <w:rFonts w:eastAsia="MS Mincho"/>
          <w:sz w:val="20"/>
          <w:szCs w:val="20"/>
          <w:lang w:val="en-US" w:eastAsia="en-US" w:bidi="en-US"/>
        </w:rPr>
        <w:t xml:space="preserve"> said</w:t>
      </w:r>
      <w:r w:rsidR="00D871E8" w:rsidRPr="00012C3F">
        <w:rPr>
          <w:rFonts w:eastAsia="MS Mincho"/>
          <w:sz w:val="20"/>
          <w:szCs w:val="20"/>
          <w:lang w:val="en-US" w:eastAsia="en-US" w:bidi="en-US"/>
        </w:rPr>
        <w:t xml:space="preserve"> standards were not applicable to the instant case, because the sterilization was not requested voluntarily, but responded to medical criteria.</w:t>
      </w:r>
    </w:p>
    <w:p w14:paraId="75E59D7B" w14:textId="77777777" w:rsidR="00E17AF2" w:rsidRPr="00012C3F" w:rsidRDefault="00E17AF2" w:rsidP="00E17AF2">
      <w:pPr>
        <w:tabs>
          <w:tab w:val="left" w:pos="567"/>
        </w:tabs>
        <w:spacing w:line="240" w:lineRule="auto"/>
        <w:rPr>
          <w:rFonts w:eastAsia="MS Mincho"/>
          <w:b/>
          <w:i/>
          <w:sz w:val="20"/>
          <w:szCs w:val="20"/>
          <w:lang w:val="en-US" w:eastAsia="en-US" w:bidi="en-US"/>
        </w:rPr>
      </w:pPr>
    </w:p>
    <w:p w14:paraId="04D75F77" w14:textId="77777777" w:rsidR="00D871E8" w:rsidRPr="00012C3F" w:rsidRDefault="00D871E8" w:rsidP="00D871E8">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 xml:space="preserve">Consequently, the Court concludes that, despite the existence of general standards on informed consent, the State of Bolivia had not adopted sufficient measure of prevention for health personnel to guarantee I.V. her right to take her own decisions on her reproductive health and the contraception methods that were most appropriate to her life project, so that she would not be subjected to sterilization without her </w:t>
      </w:r>
      <w:r w:rsidR="00DF71A5" w:rsidRPr="00012C3F">
        <w:rPr>
          <w:rFonts w:eastAsia="MS Mincho"/>
          <w:sz w:val="20"/>
          <w:szCs w:val="20"/>
          <w:lang w:val="en-US" w:eastAsia="en-US" w:bidi="en-US"/>
        </w:rPr>
        <w:t>prior, free, full and informed consent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Accordingly, the Court considers that the State failed to take the necessary regulatory preventive measures that would have established clearly the medical obligation to obtain consent in cases such as that of I.V. and, therefore, failed to comply with its obligation to act with due diligence to prevent a non-consensual or involuntary sterilization. </w:t>
      </w:r>
    </w:p>
    <w:bookmarkEnd w:id="144"/>
    <w:p w14:paraId="5575FB5F" w14:textId="77777777" w:rsidR="00E17AF2" w:rsidRPr="00012C3F" w:rsidRDefault="00E17AF2" w:rsidP="00E17AF2">
      <w:pPr>
        <w:widowControl/>
        <w:autoSpaceDE w:val="0"/>
        <w:autoSpaceDN w:val="0"/>
        <w:spacing w:line="240" w:lineRule="auto"/>
        <w:textAlignment w:val="auto"/>
        <w:rPr>
          <w:rFonts w:eastAsiaTheme="minorHAnsi" w:cs="Arial"/>
          <w:sz w:val="20"/>
          <w:szCs w:val="20"/>
          <w:lang w:val="en-US" w:eastAsia="en-US"/>
        </w:rPr>
      </w:pPr>
    </w:p>
    <w:p w14:paraId="2A394C9F" w14:textId="77777777" w:rsidR="00E17AF2" w:rsidRPr="00012C3F" w:rsidRDefault="00E17AF2" w:rsidP="0085451F">
      <w:pPr>
        <w:pStyle w:val="Ttulo3"/>
        <w:tabs>
          <w:tab w:val="left" w:pos="2552"/>
        </w:tabs>
        <w:ind w:left="1701"/>
        <w:rPr>
          <w:rFonts w:eastAsia="MS Mincho" w:cs="Arial"/>
          <w:b w:val="0"/>
          <w:i/>
          <w:spacing w:val="0"/>
          <w:lang w:val="en-US" w:eastAsia="en-US"/>
        </w:rPr>
      </w:pPr>
      <w:bookmarkStart w:id="145" w:name="_Toc465446864"/>
      <w:bookmarkStart w:id="146" w:name="_Toc27486869"/>
      <w:r w:rsidRPr="00012C3F">
        <w:rPr>
          <w:rFonts w:eastAsia="MS Mincho" w:cs="Arial"/>
          <w:b w:val="0"/>
          <w:i/>
          <w:spacing w:val="0"/>
          <w:lang w:val="en-US" w:eastAsia="en-US"/>
        </w:rPr>
        <w:t>B.3.b</w:t>
      </w:r>
      <w:r w:rsidRPr="00012C3F">
        <w:rPr>
          <w:rFonts w:eastAsia="MS Mincho" w:cs="Arial"/>
          <w:b w:val="0"/>
          <w:i/>
          <w:spacing w:val="0"/>
          <w:lang w:val="en-US" w:eastAsia="en-US"/>
        </w:rPr>
        <w:tab/>
      </w:r>
      <w:r w:rsidR="00D871E8" w:rsidRPr="00012C3F">
        <w:rPr>
          <w:rFonts w:eastAsia="MS Mincho" w:cs="Arial"/>
          <w:b w:val="0"/>
          <w:i/>
          <w:spacing w:val="0"/>
          <w:lang w:val="en-US" w:eastAsia="en-US"/>
        </w:rPr>
        <w:t>Obligation to respect</w:t>
      </w:r>
      <w:r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the rights</w:t>
      </w:r>
      <w:r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recognized in</w:t>
      </w:r>
      <w:r w:rsidRPr="00012C3F">
        <w:rPr>
          <w:rFonts w:eastAsia="MS Mincho" w:cs="Arial"/>
          <w:b w:val="0"/>
          <w:i/>
          <w:spacing w:val="0"/>
          <w:lang w:val="en-US" w:eastAsia="en-US"/>
        </w:rPr>
        <w:t xml:space="preserve"> </w:t>
      </w:r>
      <w:r w:rsidR="001254DE" w:rsidRPr="00012C3F">
        <w:rPr>
          <w:rFonts w:eastAsia="MS Mincho" w:cs="Arial"/>
          <w:b w:val="0"/>
          <w:i/>
          <w:spacing w:val="0"/>
          <w:lang w:val="en-US" w:eastAsia="en-US"/>
        </w:rPr>
        <w:t>Articles</w:t>
      </w:r>
      <w:r w:rsidRPr="00012C3F">
        <w:rPr>
          <w:rFonts w:eastAsia="MS Mincho" w:cs="Arial"/>
          <w:b w:val="0"/>
          <w:i/>
          <w:spacing w:val="0"/>
          <w:lang w:val="en-US" w:eastAsia="en-US"/>
        </w:rPr>
        <w:t xml:space="preserve"> 5, 7, 11, 13</w:t>
      </w:r>
      <w:r w:rsidR="005E5012" w:rsidRPr="00012C3F">
        <w:rPr>
          <w:rFonts w:eastAsia="MS Mincho" w:cs="Arial"/>
          <w:b w:val="0"/>
          <w:i/>
          <w:spacing w:val="0"/>
          <w:lang w:val="en-US" w:eastAsia="en-US"/>
        </w:rPr>
        <w:t xml:space="preserve"> and </w:t>
      </w:r>
      <w:r w:rsidRPr="00012C3F">
        <w:rPr>
          <w:rFonts w:eastAsia="MS Mincho" w:cs="Arial"/>
          <w:b w:val="0"/>
          <w:i/>
          <w:spacing w:val="0"/>
          <w:lang w:val="en-US" w:eastAsia="en-US"/>
        </w:rPr>
        <w:t>17</w:t>
      </w:r>
      <w:r w:rsidR="001254DE" w:rsidRPr="00012C3F">
        <w:rPr>
          <w:rFonts w:eastAsia="MS Mincho" w:cs="Arial"/>
          <w:b w:val="0"/>
          <w:i/>
          <w:spacing w:val="0"/>
          <w:lang w:val="en-US" w:eastAsia="en-US"/>
        </w:rPr>
        <w:t xml:space="preserve"> of the American Convention</w:t>
      </w:r>
      <w:r w:rsidR="005E5012" w:rsidRPr="00012C3F">
        <w:rPr>
          <w:rFonts w:eastAsia="MS Mincho" w:cs="Arial"/>
          <w:b w:val="0"/>
          <w:i/>
          <w:spacing w:val="0"/>
          <w:lang w:val="en-US" w:eastAsia="en-US"/>
        </w:rPr>
        <w:t xml:space="preserve"> and </w:t>
      </w:r>
      <w:r w:rsidR="00D871E8" w:rsidRPr="00012C3F">
        <w:rPr>
          <w:rFonts w:eastAsia="MS Mincho" w:cs="Arial"/>
          <w:b w:val="0"/>
          <w:i/>
          <w:spacing w:val="0"/>
          <w:lang w:val="en-US" w:eastAsia="en-US"/>
        </w:rPr>
        <w:t>7(a)</w:t>
      </w:r>
      <w:r w:rsidR="001254DE" w:rsidRPr="00012C3F">
        <w:rPr>
          <w:rFonts w:eastAsia="MS Mincho" w:cs="Arial"/>
          <w:b w:val="0"/>
          <w:i/>
          <w:spacing w:val="0"/>
          <w:lang w:val="en-US" w:eastAsia="en-US"/>
        </w:rPr>
        <w:t xml:space="preserve"> of the Convention</w:t>
      </w:r>
      <w:r w:rsidRPr="00012C3F">
        <w:rPr>
          <w:rFonts w:eastAsia="MS Mincho" w:cs="Arial"/>
          <w:b w:val="0"/>
          <w:i/>
          <w:spacing w:val="0"/>
          <w:lang w:val="en-US" w:eastAsia="en-US"/>
        </w:rPr>
        <w:t xml:space="preserve"> </w:t>
      </w:r>
      <w:r w:rsidR="005E5012" w:rsidRPr="00012C3F">
        <w:rPr>
          <w:rFonts w:eastAsia="MS Mincho" w:cs="Arial"/>
          <w:b w:val="0"/>
          <w:i/>
          <w:spacing w:val="0"/>
          <w:lang w:val="en-US" w:eastAsia="en-US"/>
        </w:rPr>
        <w:t>of Belém</w:t>
      </w:r>
      <w:r w:rsidRPr="00012C3F">
        <w:rPr>
          <w:rFonts w:eastAsia="MS Mincho" w:cs="Arial"/>
          <w:b w:val="0"/>
          <w:i/>
          <w:spacing w:val="0"/>
          <w:lang w:val="en-US" w:eastAsia="en-US"/>
        </w:rPr>
        <w:t xml:space="preserve"> do Pará</w:t>
      </w:r>
      <w:bookmarkEnd w:id="145"/>
      <w:bookmarkEnd w:id="146"/>
    </w:p>
    <w:p w14:paraId="733D32D2" w14:textId="77777777" w:rsidR="00E17AF2" w:rsidRPr="00012C3F" w:rsidRDefault="00E17AF2" w:rsidP="00E17AF2">
      <w:pPr>
        <w:widowControl/>
        <w:tabs>
          <w:tab w:val="left" w:pos="720"/>
        </w:tabs>
        <w:adjustRightInd/>
        <w:spacing w:line="240" w:lineRule="auto"/>
        <w:ind w:right="-90"/>
        <w:textAlignment w:val="auto"/>
        <w:rPr>
          <w:rFonts w:eastAsia="MS Mincho"/>
          <w:sz w:val="20"/>
          <w:szCs w:val="20"/>
          <w:lang w:val="en-US" w:eastAsia="en-US" w:bidi="en-US"/>
        </w:rPr>
      </w:pPr>
    </w:p>
    <w:p w14:paraId="0DD391F0" w14:textId="77777777" w:rsidR="00E17AF2" w:rsidRPr="00012C3F" w:rsidRDefault="00D871E8" w:rsidP="00D871E8">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The Court has established that, pursuant to</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Article</w:t>
      </w:r>
      <w:r w:rsidR="00E17AF2"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1(1)</w:t>
      </w:r>
      <w:r w:rsidR="001254DE" w:rsidRPr="00012C3F">
        <w:rPr>
          <w:rFonts w:eastAsia="MS Mincho"/>
          <w:sz w:val="20"/>
          <w:szCs w:val="20"/>
          <w:lang w:val="en-US" w:eastAsia="en-US" w:bidi="en-US"/>
        </w:rPr>
        <w:t xml:space="preserve"> of the Convention</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States are obliged to respect and ensure </w:t>
      </w:r>
      <w:r w:rsidR="00DF5BD3" w:rsidRPr="00012C3F">
        <w:rPr>
          <w:rFonts w:eastAsia="MS Mincho"/>
          <w:sz w:val="20"/>
          <w:szCs w:val="20"/>
          <w:lang w:val="en-US" w:eastAsia="en-US" w:bidi="en-US"/>
        </w:rPr>
        <w:t>the</w:t>
      </w:r>
      <w:r w:rsidRPr="00012C3F">
        <w:rPr>
          <w:rFonts w:eastAsia="MS Mincho"/>
          <w:sz w:val="20"/>
          <w:szCs w:val="20"/>
          <w:lang w:val="en-US" w:eastAsia="en-US" w:bidi="en-US"/>
        </w:rPr>
        <w:t xml:space="preserve"> human</w:t>
      </w:r>
      <w:r w:rsidR="00DF5BD3" w:rsidRPr="00012C3F">
        <w:rPr>
          <w:rFonts w:eastAsia="MS Mincho"/>
          <w:sz w:val="20"/>
          <w:szCs w:val="20"/>
          <w:lang w:val="en-US" w:eastAsia="en-US" w:bidi="en-US"/>
        </w:rPr>
        <w:t xml:space="preserve"> rights</w:t>
      </w:r>
      <w:r w:rsidR="00E17AF2" w:rsidRPr="00012C3F">
        <w:rPr>
          <w:rFonts w:eastAsia="MS Mincho"/>
          <w:sz w:val="20"/>
          <w:szCs w:val="20"/>
          <w:lang w:val="en-US" w:eastAsia="en-US" w:bidi="en-US"/>
        </w:rPr>
        <w:t xml:space="preserve"> </w:t>
      </w:r>
      <w:r w:rsidR="00DF5BD3" w:rsidRPr="00012C3F">
        <w:rPr>
          <w:rFonts w:eastAsia="MS Mincho"/>
          <w:sz w:val="20"/>
          <w:szCs w:val="20"/>
          <w:lang w:val="en-US" w:eastAsia="en-US" w:bidi="en-US"/>
        </w:rPr>
        <w:t xml:space="preserve">recognized </w:t>
      </w:r>
      <w:r w:rsidRPr="00012C3F">
        <w:rPr>
          <w:rFonts w:eastAsia="MS Mincho"/>
          <w:sz w:val="20"/>
          <w:szCs w:val="20"/>
          <w:lang w:val="en-US" w:eastAsia="en-US" w:bidi="en-US"/>
        </w:rPr>
        <w:t>therein</w:t>
      </w:r>
      <w:r w:rsidR="00E17AF2" w:rsidRPr="00012C3F">
        <w:rPr>
          <w:rFonts w:eastAsia="MS Mincho"/>
          <w:sz w:val="20"/>
          <w:szCs w:val="20"/>
          <w:lang w:val="en-US" w:eastAsia="en-US" w:bidi="en-US"/>
        </w:rPr>
        <w:t>.</w:t>
      </w:r>
      <w:r w:rsidRPr="00012C3F">
        <w:rPr>
          <w:rFonts w:eastAsia="MS Mincho"/>
          <w:sz w:val="20"/>
          <w:szCs w:val="20"/>
          <w:lang w:val="en-US" w:eastAsia="en-US" w:bidi="en-US"/>
        </w:rPr>
        <w:t xml:space="preserve"> The international responsibility </w:t>
      </w:r>
      <w:r w:rsidR="004C6FCC" w:rsidRPr="00012C3F">
        <w:rPr>
          <w:rFonts w:eastAsia="MS Mincho"/>
          <w:sz w:val="20"/>
          <w:szCs w:val="20"/>
          <w:lang w:val="en-US" w:eastAsia="en-US" w:bidi="en-US"/>
        </w:rPr>
        <w:t xml:space="preserve">of the </w:t>
      </w:r>
      <w:r w:rsidR="00A84CA0" w:rsidRPr="00012C3F">
        <w:rPr>
          <w:rFonts w:eastAsia="MS Mincho"/>
          <w:sz w:val="20"/>
          <w:szCs w:val="20"/>
          <w:lang w:val="en-US" w:eastAsia="en-US" w:bidi="en-US"/>
        </w:rPr>
        <w:t>State</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 xml:space="preserve">is based on acts or omissions of any of its powers or organs, regardless of their rank, that violate </w:t>
      </w:r>
      <w:r w:rsidR="001254DE" w:rsidRPr="00012C3F">
        <w:rPr>
          <w:rFonts w:eastAsia="MS Mincho"/>
          <w:sz w:val="20"/>
          <w:szCs w:val="20"/>
          <w:lang w:val="en-US" w:eastAsia="en-US" w:bidi="en-US"/>
        </w:rPr>
        <w:t>the American Convention</w:t>
      </w:r>
      <w:r w:rsidRPr="00012C3F">
        <w:rPr>
          <w:rFonts w:eastAsia="MS Mincho"/>
          <w:sz w:val="20"/>
          <w:szCs w:val="20"/>
          <w:lang w:val="en-US" w:eastAsia="en-US" w:bidi="en-US"/>
        </w:rPr>
        <w:t>.</w:t>
      </w:r>
      <w:r w:rsidR="00E17AF2" w:rsidRPr="00012C3F">
        <w:rPr>
          <w:rFonts w:eastAsia="MS Mincho"/>
          <w:sz w:val="20"/>
          <w:szCs w:val="20"/>
          <w:vertAlign w:val="superscript"/>
          <w:lang w:val="en-US" w:eastAsia="en-US" w:bidi="en-US"/>
        </w:rPr>
        <w:footnoteReference w:id="297"/>
      </w:r>
      <w:bookmarkStart w:id="147" w:name="_Ref117392527"/>
    </w:p>
    <w:p w14:paraId="08924A2E" w14:textId="77777777" w:rsidR="00E17AF2" w:rsidRPr="00012C3F" w:rsidRDefault="00E17AF2" w:rsidP="00D871E8">
      <w:pPr>
        <w:tabs>
          <w:tab w:val="left" w:pos="720"/>
        </w:tabs>
        <w:spacing w:line="240" w:lineRule="auto"/>
        <w:rPr>
          <w:rFonts w:eastAsia="MS Mincho"/>
          <w:b/>
          <w:i/>
          <w:sz w:val="20"/>
          <w:szCs w:val="20"/>
          <w:lang w:val="en-US" w:eastAsia="en-US" w:bidi="en-US"/>
        </w:rPr>
      </w:pPr>
    </w:p>
    <w:p w14:paraId="6F347DB5" w14:textId="77777777" w:rsidR="00E17AF2" w:rsidRPr="00012C3F" w:rsidRDefault="00E17AF2" w:rsidP="00C754CF">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rFonts w:eastAsia="MS Mincho"/>
          <w:sz w:val="20"/>
          <w:szCs w:val="20"/>
          <w:lang w:val="en-US" w:eastAsia="en-US" w:bidi="en-US"/>
        </w:rPr>
        <w:t xml:space="preserve"> </w:t>
      </w:r>
      <w:r w:rsidR="00C754CF" w:rsidRPr="00012C3F">
        <w:rPr>
          <w:rFonts w:eastAsia="MS Mincho"/>
          <w:sz w:val="20"/>
          <w:szCs w:val="20"/>
          <w:lang w:val="en-US" w:eastAsia="en-US" w:bidi="en-US"/>
        </w:rPr>
        <w:t xml:space="preserve">Regarding the obligation of respect, the Court has maintained that the foremost obligation assumed by the State under the said article is “to respect </w:t>
      </w:r>
      <w:bookmarkEnd w:id="147"/>
      <w:r w:rsidR="00DF5BD3" w:rsidRPr="00012C3F">
        <w:rPr>
          <w:rFonts w:eastAsia="MS Mincho"/>
          <w:sz w:val="20"/>
          <w:szCs w:val="20"/>
          <w:lang w:val="en-US" w:eastAsia="en-US" w:bidi="en-US"/>
        </w:rPr>
        <w:t>the rights</w:t>
      </w:r>
      <w:r w:rsidR="005E5012" w:rsidRPr="00012C3F">
        <w:rPr>
          <w:rFonts w:eastAsia="MS Mincho"/>
          <w:sz w:val="20"/>
          <w:szCs w:val="20"/>
          <w:lang w:val="en-US" w:eastAsia="en-US" w:bidi="en-US"/>
        </w:rPr>
        <w:t xml:space="preserve"> and </w:t>
      </w:r>
      <w:r w:rsidR="00C754CF" w:rsidRPr="00012C3F">
        <w:rPr>
          <w:rFonts w:eastAsia="MS Mincho"/>
          <w:sz w:val="20"/>
          <w:szCs w:val="20"/>
          <w:lang w:val="en-US" w:eastAsia="en-US" w:bidi="en-US"/>
        </w:rPr>
        <w:t>freedoms</w:t>
      </w:r>
      <w:r w:rsidRPr="00012C3F">
        <w:rPr>
          <w:rFonts w:eastAsia="MS Mincho"/>
          <w:sz w:val="20"/>
          <w:szCs w:val="20"/>
          <w:lang w:val="en-US" w:eastAsia="en-US" w:bidi="en-US"/>
        </w:rPr>
        <w:t xml:space="preserve">” </w:t>
      </w:r>
      <w:r w:rsidR="00DF5BD3" w:rsidRPr="00012C3F">
        <w:rPr>
          <w:rFonts w:eastAsia="MS Mincho"/>
          <w:sz w:val="20"/>
          <w:szCs w:val="20"/>
          <w:lang w:val="en-US" w:eastAsia="en-US" w:bidi="en-US"/>
        </w:rPr>
        <w:t>recognized in</w:t>
      </w:r>
      <w:r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Convention</w:t>
      </w:r>
      <w:r w:rsidRPr="00012C3F">
        <w:rPr>
          <w:rFonts w:eastAsia="MS Mincho"/>
          <w:sz w:val="20"/>
          <w:szCs w:val="20"/>
          <w:lang w:val="en-US" w:eastAsia="en-US" w:bidi="en-US"/>
        </w:rPr>
        <w:t xml:space="preserve">. </w:t>
      </w:r>
      <w:r w:rsidR="00C754CF" w:rsidRPr="00012C3F">
        <w:rPr>
          <w:rFonts w:eastAsia="MS Mincho"/>
          <w:sz w:val="20"/>
          <w:szCs w:val="20"/>
          <w:lang w:val="en-US" w:eastAsia="en-US" w:bidi="en-US"/>
        </w:rPr>
        <w:t>Thus, t</w:t>
      </w:r>
      <w:r w:rsidR="0016313E" w:rsidRPr="00012C3F">
        <w:rPr>
          <w:rFonts w:eastAsia="MS Mincho"/>
          <w:sz w:val="20"/>
          <w:szCs w:val="20"/>
          <w:lang w:val="en-US" w:eastAsia="en-US" w:bidi="en-US"/>
        </w:rPr>
        <w:t>he</w:t>
      </w:r>
      <w:r w:rsidR="00C754CF" w:rsidRPr="00012C3F">
        <w:rPr>
          <w:rFonts w:eastAsia="MS Mincho"/>
          <w:sz w:val="20"/>
          <w:szCs w:val="20"/>
          <w:lang w:val="en-US" w:eastAsia="en-US" w:bidi="en-US"/>
        </w:rPr>
        <w:t xml:space="preserve"> restriction of the exercise of the power of the State is necessarily </w:t>
      </w:r>
      <w:r w:rsidR="00C754CF" w:rsidRPr="00012C3F">
        <w:rPr>
          <w:rFonts w:eastAsia="MS Mincho"/>
          <w:sz w:val="20"/>
          <w:szCs w:val="20"/>
          <w:lang w:val="en-US" w:eastAsia="en-US" w:bidi="en-US"/>
        </w:rPr>
        <w:lastRenderedPageBreak/>
        <w:t>included in the protection of human rights</w:t>
      </w:r>
      <w:r w:rsidR="00C754CF" w:rsidRPr="00012C3F">
        <w:rPr>
          <w:rFonts w:eastAsia="MS Mincho"/>
          <w:bCs/>
          <w:iCs/>
          <w:sz w:val="20"/>
          <w:szCs w:val="20"/>
          <w:lang w:val="en-US" w:eastAsia="en-US" w:bidi="en-US"/>
        </w:rPr>
        <w:t>.</w:t>
      </w:r>
      <w:r w:rsidRPr="00012C3F">
        <w:rPr>
          <w:rFonts w:eastAsia="MS Mincho"/>
          <w:sz w:val="20"/>
          <w:szCs w:val="20"/>
          <w:vertAlign w:val="superscript"/>
          <w:lang w:val="en-US" w:eastAsia="en-US" w:bidi="en-US"/>
        </w:rPr>
        <w:footnoteReference w:id="298"/>
      </w:r>
      <w:r w:rsidRPr="00012C3F">
        <w:rPr>
          <w:rFonts w:eastAsia="MS Mincho"/>
          <w:sz w:val="20"/>
          <w:szCs w:val="20"/>
          <w:lang w:val="en-US" w:eastAsia="en-US" w:bidi="en-US"/>
        </w:rPr>
        <w:t xml:space="preserve"> </w:t>
      </w:r>
      <w:r w:rsidR="00C754CF" w:rsidRPr="00012C3F">
        <w:rPr>
          <w:rFonts w:eastAsia="MS Mincho"/>
          <w:sz w:val="20"/>
          <w:szCs w:val="20"/>
          <w:lang w:val="en-US" w:eastAsia="en-US" w:bidi="en-US"/>
        </w:rPr>
        <w:t xml:space="preserve">Similarly, it is a principle of international law that the State responds for actions </w:t>
      </w:r>
      <w:r w:rsidR="0016313E" w:rsidRPr="00012C3F">
        <w:rPr>
          <w:rFonts w:eastAsia="MS Mincho"/>
          <w:sz w:val="20"/>
          <w:szCs w:val="20"/>
          <w:lang w:val="en-US" w:eastAsia="en-US" w:bidi="en-US"/>
        </w:rPr>
        <w:t xml:space="preserve">executed by </w:t>
      </w:r>
      <w:r w:rsidR="00C754CF" w:rsidRPr="00012C3F">
        <w:rPr>
          <w:rFonts w:eastAsia="MS Mincho"/>
          <w:sz w:val="20"/>
          <w:szCs w:val="20"/>
          <w:lang w:val="en-US" w:eastAsia="en-US" w:bidi="en-US"/>
        </w:rPr>
        <w:t>its agents in their official capacity</w:t>
      </w:r>
      <w:r w:rsidR="0016313E" w:rsidRPr="00012C3F">
        <w:rPr>
          <w:rFonts w:eastAsia="MS Mincho"/>
          <w:sz w:val="20"/>
          <w:szCs w:val="20"/>
          <w:lang w:val="en-US" w:eastAsia="en-US" w:bidi="en-US"/>
        </w:rPr>
        <w:t>,</w:t>
      </w:r>
      <w:r w:rsidR="00C754CF" w:rsidRPr="00012C3F">
        <w:rPr>
          <w:rFonts w:eastAsia="MS Mincho"/>
          <w:sz w:val="20"/>
          <w:szCs w:val="20"/>
          <w:lang w:val="en-US" w:eastAsia="en-US" w:bidi="en-US"/>
        </w:rPr>
        <w:t xml:space="preserve"> </w:t>
      </w:r>
      <w:r w:rsidR="0016313E" w:rsidRPr="00012C3F">
        <w:rPr>
          <w:rFonts w:eastAsia="MS Mincho"/>
          <w:sz w:val="20"/>
          <w:szCs w:val="20"/>
          <w:lang w:val="en-US" w:eastAsia="en-US" w:bidi="en-US"/>
        </w:rPr>
        <w:t>and also</w:t>
      </w:r>
      <w:r w:rsidR="00C754CF" w:rsidRPr="00012C3F">
        <w:rPr>
          <w:rFonts w:eastAsia="MS Mincho"/>
          <w:sz w:val="20"/>
          <w:szCs w:val="20"/>
          <w:lang w:val="en-US" w:eastAsia="en-US" w:bidi="en-US"/>
        </w:rPr>
        <w:t xml:space="preserve"> for their omissions</w:t>
      </w:r>
      <w:r w:rsidR="0016313E" w:rsidRPr="00012C3F">
        <w:rPr>
          <w:rFonts w:eastAsia="MS Mincho"/>
          <w:sz w:val="20"/>
          <w:szCs w:val="20"/>
          <w:lang w:val="en-US" w:eastAsia="en-US" w:bidi="en-US"/>
        </w:rPr>
        <w:t>,</w:t>
      </w:r>
      <w:r w:rsidR="00C754CF" w:rsidRPr="00012C3F">
        <w:rPr>
          <w:rFonts w:eastAsia="MS Mincho"/>
          <w:sz w:val="20"/>
          <w:szCs w:val="20"/>
          <w:lang w:val="en-US" w:eastAsia="en-US" w:bidi="en-US"/>
        </w:rPr>
        <w:t xml:space="preserve"> even if they</w:t>
      </w:r>
      <w:r w:rsidR="0016313E" w:rsidRPr="00012C3F">
        <w:rPr>
          <w:rFonts w:eastAsia="MS Mincho"/>
          <w:sz w:val="20"/>
          <w:szCs w:val="20"/>
          <w:lang w:val="en-US" w:eastAsia="en-US" w:bidi="en-US"/>
        </w:rPr>
        <w:t xml:space="preserve"> are</w:t>
      </w:r>
      <w:r w:rsidR="00C754CF" w:rsidRPr="00012C3F">
        <w:rPr>
          <w:rFonts w:eastAsia="MS Mincho"/>
          <w:sz w:val="20"/>
          <w:szCs w:val="20"/>
          <w:lang w:val="en-US" w:eastAsia="en-US" w:bidi="en-US"/>
        </w:rPr>
        <w:t xml:space="preserve"> act</w:t>
      </w:r>
      <w:r w:rsidR="0016313E" w:rsidRPr="00012C3F">
        <w:rPr>
          <w:rFonts w:eastAsia="MS Mincho"/>
          <w:sz w:val="20"/>
          <w:szCs w:val="20"/>
          <w:lang w:val="en-US" w:eastAsia="en-US" w:bidi="en-US"/>
        </w:rPr>
        <w:t>ing</w:t>
      </w:r>
      <w:r w:rsidR="00C754CF" w:rsidRPr="00012C3F">
        <w:rPr>
          <w:rFonts w:eastAsia="MS Mincho"/>
          <w:sz w:val="20"/>
          <w:szCs w:val="20"/>
          <w:lang w:val="en-US" w:eastAsia="en-US" w:bidi="en-US"/>
        </w:rPr>
        <w:t xml:space="preserve"> </w:t>
      </w:r>
      <w:r w:rsidR="0016313E" w:rsidRPr="00012C3F">
        <w:rPr>
          <w:rFonts w:eastAsia="MS Mincho"/>
          <w:sz w:val="20"/>
          <w:szCs w:val="20"/>
          <w:lang w:val="en-US" w:eastAsia="en-US" w:bidi="en-US"/>
        </w:rPr>
        <w:t>outside</w:t>
      </w:r>
      <w:r w:rsidR="00C754CF" w:rsidRPr="00012C3F">
        <w:rPr>
          <w:rFonts w:eastAsia="MS Mincho"/>
          <w:sz w:val="20"/>
          <w:szCs w:val="20"/>
          <w:lang w:val="en-US" w:eastAsia="en-US" w:bidi="en-US"/>
        </w:rPr>
        <w:t xml:space="preserve"> the limits of their competence or in violation of domestic law.</w:t>
      </w:r>
      <w:r w:rsidRPr="00012C3F">
        <w:rPr>
          <w:rFonts w:eastAsia="MS Mincho"/>
          <w:sz w:val="20"/>
          <w:szCs w:val="20"/>
          <w:vertAlign w:val="superscript"/>
          <w:lang w:val="en-US" w:eastAsia="en-US" w:bidi="en-US"/>
        </w:rPr>
        <w:footnoteReference w:id="299"/>
      </w:r>
    </w:p>
    <w:p w14:paraId="4BC76F08"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CFB5D7F" w14:textId="77777777" w:rsidR="00E17AF2" w:rsidRPr="00012C3F" w:rsidRDefault="006B77D7" w:rsidP="006B77D7">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In this regard, contrary to previous decisions of the Court,</w:t>
      </w:r>
      <w:r w:rsidR="00E17AF2" w:rsidRPr="00012C3F">
        <w:rPr>
          <w:rFonts w:eastAsia="MS Mincho"/>
          <w:sz w:val="20"/>
          <w:szCs w:val="20"/>
          <w:vertAlign w:val="superscript"/>
          <w:lang w:val="en-US" w:eastAsia="en-US" w:bidi="en-US"/>
        </w:rPr>
        <w:footnoteReference w:id="300"/>
      </w:r>
      <w:r w:rsidRPr="00012C3F">
        <w:rPr>
          <w:rFonts w:eastAsia="MS Mincho"/>
          <w:sz w:val="20"/>
          <w:szCs w:val="20"/>
          <w:lang w:val="en-US" w:eastAsia="en-US" w:bidi="en-US"/>
        </w:rPr>
        <w:t xml:space="preserve"> in which it declared the international responsibility of the State owing to </w:t>
      </w:r>
      <w:r w:rsidR="0016313E" w:rsidRPr="00012C3F">
        <w:rPr>
          <w:rFonts w:eastAsia="MS Mincho"/>
          <w:sz w:val="20"/>
          <w:szCs w:val="20"/>
          <w:lang w:val="en-US" w:eastAsia="en-US" w:bidi="en-US"/>
        </w:rPr>
        <w:t>the failure to</w:t>
      </w:r>
      <w:r w:rsidRPr="00012C3F">
        <w:rPr>
          <w:rFonts w:eastAsia="MS Mincho"/>
          <w:sz w:val="20"/>
          <w:szCs w:val="20"/>
          <w:lang w:val="en-US" w:eastAsia="en-US" w:bidi="en-US"/>
        </w:rPr>
        <w:t xml:space="preserve"> regulat</w:t>
      </w:r>
      <w:r w:rsidR="0016313E" w:rsidRPr="00012C3F">
        <w:rPr>
          <w:rFonts w:eastAsia="MS Mincho"/>
          <w:sz w:val="20"/>
          <w:szCs w:val="20"/>
          <w:lang w:val="en-US" w:eastAsia="en-US" w:bidi="en-US"/>
        </w:rPr>
        <w:t>e</w:t>
      </w:r>
      <w:r w:rsidRPr="00012C3F">
        <w:rPr>
          <w:rFonts w:eastAsia="MS Mincho"/>
          <w:sz w:val="20"/>
          <w:szCs w:val="20"/>
          <w:lang w:val="en-US" w:eastAsia="en-US" w:bidi="en-US"/>
        </w:rPr>
        <w:t xml:space="preserve"> and monitor health care provided by third parties to individuals </w:t>
      </w:r>
      <w:r w:rsidR="0016313E" w:rsidRPr="00012C3F">
        <w:rPr>
          <w:rFonts w:eastAsia="MS Mincho"/>
          <w:sz w:val="20"/>
          <w:szCs w:val="20"/>
          <w:lang w:val="en-US" w:eastAsia="en-US" w:bidi="en-US"/>
        </w:rPr>
        <w:t>subject to</w:t>
      </w:r>
      <w:r w:rsidRPr="00012C3F">
        <w:rPr>
          <w:rFonts w:eastAsia="MS Mincho"/>
          <w:sz w:val="20"/>
          <w:szCs w:val="20"/>
          <w:lang w:val="en-US" w:eastAsia="en-US" w:bidi="en-US"/>
        </w:rPr>
        <w:t xml:space="preserve"> its jurisdiction, this case refers to actions carried out by a State agent, because the sterilization of I.V. was performed in a public hospital by health care p</w:t>
      </w:r>
      <w:r w:rsidR="0016313E" w:rsidRPr="00012C3F">
        <w:rPr>
          <w:rFonts w:eastAsia="MS Mincho"/>
          <w:sz w:val="20"/>
          <w:szCs w:val="20"/>
          <w:lang w:val="en-US" w:eastAsia="en-US" w:bidi="en-US"/>
        </w:rPr>
        <w:t>roviders</w:t>
      </w:r>
      <w:r w:rsidRPr="00012C3F">
        <w:rPr>
          <w:rFonts w:eastAsia="MS Mincho"/>
          <w:sz w:val="20"/>
          <w:szCs w:val="20"/>
          <w:lang w:val="en-US" w:eastAsia="en-US" w:bidi="en-US"/>
        </w:rPr>
        <w:t xml:space="preserve"> considered public servants.</w:t>
      </w:r>
      <w:r w:rsidR="00E17AF2" w:rsidRPr="00012C3F">
        <w:rPr>
          <w:rFonts w:eastAsia="MS Mincho"/>
          <w:sz w:val="20"/>
          <w:szCs w:val="20"/>
          <w:vertAlign w:val="superscript"/>
          <w:lang w:val="en-US" w:eastAsia="en-US" w:bidi="en-US"/>
        </w:rPr>
        <w:footnoteReference w:id="301"/>
      </w:r>
      <w:r w:rsidRPr="00012C3F">
        <w:rPr>
          <w:rFonts w:eastAsia="MS Mincho"/>
          <w:sz w:val="20"/>
          <w:szCs w:val="20"/>
          <w:lang w:val="en-US" w:eastAsia="en-US" w:bidi="en-US"/>
        </w:rPr>
        <w:t xml:space="preserve"> Specifically, in the instant case, the Court notes that </w:t>
      </w:r>
      <w:r w:rsidR="0016313E" w:rsidRPr="00012C3F">
        <w:rPr>
          <w:rFonts w:eastAsia="MS Mincho"/>
          <w:sz w:val="20"/>
          <w:szCs w:val="20"/>
          <w:lang w:val="en-US" w:eastAsia="en-US" w:bidi="en-US"/>
        </w:rPr>
        <w:t xml:space="preserve">the </w:t>
      </w:r>
      <w:r w:rsidRPr="00012C3F">
        <w:rPr>
          <w:rFonts w:eastAsia="MS Mincho"/>
          <w:sz w:val="20"/>
          <w:szCs w:val="20"/>
          <w:lang w:val="en-US" w:eastAsia="en-US" w:bidi="en-US"/>
        </w:rPr>
        <w:t xml:space="preserve">health care personnel had the obligation to provide I.V. with adequate, comprehensible and accessible information on her health situation, ensure her autonomous decision on the choice of </w:t>
      </w:r>
      <w:r w:rsidR="0016313E" w:rsidRPr="00012C3F">
        <w:rPr>
          <w:rFonts w:eastAsia="MS Mincho"/>
          <w:sz w:val="20"/>
          <w:szCs w:val="20"/>
          <w:lang w:val="en-US" w:eastAsia="en-US" w:bidi="en-US"/>
        </w:rPr>
        <w:t xml:space="preserve">the </w:t>
      </w:r>
      <w:r w:rsidRPr="00012C3F">
        <w:rPr>
          <w:rFonts w:eastAsia="MS Mincho"/>
          <w:sz w:val="20"/>
          <w:szCs w:val="20"/>
          <w:lang w:val="en-US" w:eastAsia="en-US" w:bidi="en-US"/>
        </w:rPr>
        <w:t>contraceptive methods that were most appropriate for her life project, and ensure that they obtained her informed consent if she had opted for a permanent surgical procedure, such as tubal ligation using the Pomeroy technique, in order to avoid a sterilization contrary to the State’s international obligations.</w:t>
      </w:r>
    </w:p>
    <w:p w14:paraId="123EB7F1" w14:textId="77777777" w:rsidR="006B77D7" w:rsidRPr="00012C3F" w:rsidRDefault="006B77D7" w:rsidP="006B77D7">
      <w:pPr>
        <w:tabs>
          <w:tab w:val="left" w:pos="720"/>
        </w:tabs>
        <w:spacing w:line="240" w:lineRule="auto"/>
        <w:rPr>
          <w:rFonts w:eastAsia="MS Mincho"/>
          <w:sz w:val="20"/>
          <w:szCs w:val="20"/>
          <w:lang w:val="en-US" w:eastAsia="en-US" w:bidi="en-US"/>
        </w:rPr>
      </w:pPr>
    </w:p>
    <w:p w14:paraId="0B23541F" w14:textId="77777777" w:rsidR="00E17AF2" w:rsidRPr="00012C3F" w:rsidRDefault="006B77D7" w:rsidP="006B77D7">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sz w:val="20"/>
          <w:szCs w:val="20"/>
          <w:lang w:val="en-US"/>
        </w:rPr>
        <w:t>The</w:t>
      </w:r>
      <w:r w:rsidR="001254DE" w:rsidRPr="00012C3F">
        <w:rPr>
          <w:sz w:val="20"/>
          <w:szCs w:val="20"/>
          <w:lang w:val="en-US"/>
        </w:rPr>
        <w:t xml:space="preserve"> Court</w:t>
      </w:r>
      <w:r w:rsidR="00E17AF2" w:rsidRPr="00012C3F">
        <w:rPr>
          <w:sz w:val="20"/>
          <w:szCs w:val="20"/>
          <w:lang w:val="en-US"/>
        </w:rPr>
        <w:t xml:space="preserve"> </w:t>
      </w:r>
      <w:r w:rsidRPr="00012C3F">
        <w:rPr>
          <w:sz w:val="20"/>
          <w:szCs w:val="20"/>
          <w:lang w:val="en-US"/>
        </w:rPr>
        <w:t xml:space="preserve">will now make the corresponding determinations taking into account the dispute </w:t>
      </w:r>
      <w:r w:rsidR="0016313E" w:rsidRPr="00012C3F">
        <w:rPr>
          <w:sz w:val="20"/>
          <w:szCs w:val="20"/>
          <w:lang w:val="en-US"/>
        </w:rPr>
        <w:t>over</w:t>
      </w:r>
      <w:r w:rsidRPr="00012C3F">
        <w:rPr>
          <w:sz w:val="20"/>
          <w:szCs w:val="20"/>
          <w:lang w:val="en-US"/>
        </w:rPr>
        <w:t xml:space="preserve"> the supposed verbal consent</w:t>
      </w:r>
      <w:r w:rsidR="0016313E" w:rsidRPr="00012C3F">
        <w:rPr>
          <w:sz w:val="20"/>
          <w:szCs w:val="20"/>
          <w:lang w:val="en-US"/>
        </w:rPr>
        <w:t xml:space="preserve"> obtained</w:t>
      </w:r>
      <w:r w:rsidRPr="00012C3F">
        <w:rPr>
          <w:sz w:val="20"/>
          <w:szCs w:val="20"/>
          <w:lang w:val="en-US"/>
        </w:rPr>
        <w:t xml:space="preserve"> </w:t>
      </w:r>
      <w:r w:rsidR="0016313E" w:rsidRPr="00012C3F">
        <w:rPr>
          <w:sz w:val="20"/>
          <w:szCs w:val="20"/>
          <w:lang w:val="en-US"/>
        </w:rPr>
        <w:t>during the peri-operative period for the performance of the tubal ligation</w:t>
      </w:r>
      <w:r w:rsidRPr="00012C3F">
        <w:rPr>
          <w:sz w:val="20"/>
          <w:szCs w:val="20"/>
          <w:lang w:val="en-US"/>
        </w:rPr>
        <w:t>.</w:t>
      </w:r>
    </w:p>
    <w:p w14:paraId="655EEC3F" w14:textId="77777777" w:rsidR="00E17AF2" w:rsidRPr="00012C3F" w:rsidRDefault="00E17AF2" w:rsidP="00E17AF2">
      <w:pPr>
        <w:tabs>
          <w:tab w:val="left" w:pos="567"/>
        </w:tabs>
        <w:spacing w:line="240" w:lineRule="auto"/>
        <w:rPr>
          <w:rFonts w:eastAsia="MS Mincho"/>
          <w:b/>
          <w:i/>
          <w:sz w:val="20"/>
          <w:szCs w:val="20"/>
          <w:lang w:val="en-US" w:eastAsia="en-US" w:bidi="en-US"/>
        </w:rPr>
      </w:pPr>
    </w:p>
    <w:p w14:paraId="059A1591" w14:textId="77777777" w:rsidR="00263F88" w:rsidRPr="00012C3F" w:rsidRDefault="00972ACF" w:rsidP="006B77D7">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sz w:val="20"/>
          <w:szCs w:val="20"/>
          <w:lang w:val="en-US"/>
        </w:rPr>
        <w:t>The representative</w:t>
      </w:r>
      <w:r w:rsidR="00E17AF2" w:rsidRPr="00012C3F">
        <w:rPr>
          <w:sz w:val="20"/>
          <w:szCs w:val="20"/>
          <w:lang w:val="en-US"/>
        </w:rPr>
        <w:t xml:space="preserve"> </w:t>
      </w:r>
      <w:r w:rsidR="006B77D7" w:rsidRPr="00012C3F">
        <w:rPr>
          <w:sz w:val="20"/>
          <w:szCs w:val="20"/>
          <w:lang w:val="en-US"/>
        </w:rPr>
        <w:t xml:space="preserve">affirmed that </w:t>
      </w:r>
      <w:r w:rsidR="000E1C11" w:rsidRPr="00012C3F">
        <w:rPr>
          <w:sz w:val="20"/>
          <w:szCs w:val="20"/>
          <w:lang w:val="en-US"/>
        </w:rPr>
        <w:t>I.V.</w:t>
      </w:r>
      <w:r w:rsidR="00E17AF2" w:rsidRPr="00012C3F">
        <w:rPr>
          <w:sz w:val="20"/>
          <w:szCs w:val="20"/>
          <w:lang w:val="en-US"/>
        </w:rPr>
        <w:t xml:space="preserve"> </w:t>
      </w:r>
      <w:r w:rsidR="006B77D7" w:rsidRPr="00012C3F">
        <w:rPr>
          <w:sz w:val="20"/>
          <w:szCs w:val="20"/>
          <w:lang w:val="en-US"/>
        </w:rPr>
        <w:t>was never consulted in a prior, free and informed manner with regard to the sterilization; rather</w:t>
      </w:r>
      <w:r w:rsidR="0016313E" w:rsidRPr="00012C3F">
        <w:rPr>
          <w:sz w:val="20"/>
          <w:szCs w:val="20"/>
          <w:lang w:val="en-US"/>
        </w:rPr>
        <w:t>,</w:t>
      </w:r>
      <w:r w:rsidR="006B77D7" w:rsidRPr="00012C3F">
        <w:rPr>
          <w:sz w:val="20"/>
          <w:szCs w:val="20"/>
          <w:lang w:val="en-US"/>
        </w:rPr>
        <w:t xml:space="preserve"> she found out that she had lost her reproductive capacity permanently the day after the procedure had been performed, when the resident doctor </w:t>
      </w:r>
      <w:r w:rsidR="0016313E" w:rsidRPr="00012C3F">
        <w:rPr>
          <w:sz w:val="20"/>
          <w:szCs w:val="20"/>
          <w:lang w:val="en-US"/>
        </w:rPr>
        <w:t>informed</w:t>
      </w:r>
      <w:r w:rsidR="006B77D7" w:rsidRPr="00012C3F">
        <w:rPr>
          <w:sz w:val="20"/>
          <w:szCs w:val="20"/>
          <w:lang w:val="en-US"/>
        </w:rPr>
        <w:t xml:space="preserve"> her</w:t>
      </w:r>
      <w:r w:rsidR="00E17AF2" w:rsidRPr="00012C3F">
        <w:rPr>
          <w:rStyle w:val="Refdenotaalpie"/>
          <w:sz w:val="20"/>
          <w:szCs w:val="20"/>
          <w:lang w:val="en-US"/>
        </w:rPr>
        <w:footnoteReference w:id="302"/>
      </w:r>
      <w:r w:rsidR="00E17AF2" w:rsidRPr="00012C3F">
        <w:rPr>
          <w:sz w:val="20"/>
          <w:szCs w:val="20"/>
          <w:lang w:val="en-US"/>
        </w:rPr>
        <w:t xml:space="preserve"> (</w:t>
      </w:r>
      <w:r w:rsidR="00E17AF2" w:rsidRPr="00012C3F">
        <w:rPr>
          <w:i/>
          <w:sz w:val="20"/>
          <w:szCs w:val="20"/>
          <w:lang w:val="en-US"/>
        </w:rPr>
        <w:t>supra</w:t>
      </w:r>
      <w:r w:rsidR="00E17AF2" w:rsidRPr="00012C3F">
        <w:rPr>
          <w:sz w:val="20"/>
          <w:szCs w:val="20"/>
          <w:lang w:val="en-US"/>
        </w:rPr>
        <w:t xml:space="preserve"> </w:t>
      </w:r>
      <w:r w:rsidR="00370DD4" w:rsidRPr="00012C3F">
        <w:rPr>
          <w:sz w:val="20"/>
          <w:szCs w:val="20"/>
          <w:lang w:val="en-US"/>
        </w:rPr>
        <w:t>para.</w:t>
      </w:r>
      <w:r w:rsidR="00E17AF2" w:rsidRPr="00012C3F">
        <w:rPr>
          <w:sz w:val="20"/>
          <w:szCs w:val="20"/>
          <w:lang w:val="en-US"/>
        </w:rPr>
        <w:t xml:space="preserve"> </w:t>
      </w:r>
      <w:r w:rsidR="00A2783A" w:rsidRPr="00012C3F">
        <w:rPr>
          <w:sz w:val="20"/>
          <w:szCs w:val="20"/>
          <w:lang w:val="en-US"/>
        </w:rPr>
        <w:t>68</w:t>
      </w:r>
      <w:r w:rsidR="00E17AF2" w:rsidRPr="00012C3F">
        <w:rPr>
          <w:sz w:val="20"/>
          <w:szCs w:val="20"/>
          <w:lang w:val="en-US"/>
        </w:rPr>
        <w:t xml:space="preserve">). </w:t>
      </w:r>
      <w:r w:rsidR="006B77D7" w:rsidRPr="00012C3F">
        <w:rPr>
          <w:sz w:val="20"/>
          <w:szCs w:val="20"/>
          <w:lang w:val="en-US"/>
        </w:rPr>
        <w:t>Meanwhile</w:t>
      </w:r>
      <w:r w:rsidR="00E17AF2" w:rsidRPr="00012C3F">
        <w:rPr>
          <w:sz w:val="20"/>
          <w:szCs w:val="20"/>
          <w:lang w:val="en-US"/>
        </w:rPr>
        <w:t xml:space="preserve">, </w:t>
      </w:r>
      <w:r w:rsidR="00A84CA0" w:rsidRPr="00012C3F">
        <w:rPr>
          <w:sz w:val="20"/>
          <w:szCs w:val="20"/>
          <w:lang w:val="en-US"/>
        </w:rPr>
        <w:t>the State</w:t>
      </w:r>
      <w:r w:rsidR="00E17AF2" w:rsidRPr="00012C3F">
        <w:rPr>
          <w:sz w:val="20"/>
          <w:szCs w:val="20"/>
          <w:lang w:val="en-US"/>
        </w:rPr>
        <w:t xml:space="preserve"> re</w:t>
      </w:r>
      <w:r w:rsidR="006B77D7" w:rsidRPr="00012C3F">
        <w:rPr>
          <w:sz w:val="20"/>
          <w:szCs w:val="20"/>
          <w:lang w:val="en-US"/>
        </w:rPr>
        <w:t xml:space="preserve">jected this argument and indicated that </w:t>
      </w:r>
      <w:r w:rsidR="006B77D7" w:rsidRPr="00012C3F">
        <w:rPr>
          <w:sz w:val="20"/>
          <w:szCs w:val="20"/>
          <w:lang w:val="en-US"/>
        </w:rPr>
        <w:lastRenderedPageBreak/>
        <w:t xml:space="preserve">I.V. had </w:t>
      </w:r>
      <w:r w:rsidR="00263F88" w:rsidRPr="00012C3F">
        <w:rPr>
          <w:sz w:val="20"/>
          <w:szCs w:val="20"/>
          <w:lang w:val="en-US"/>
        </w:rPr>
        <w:t>given her verbal consent during the peri-operative period.</w:t>
      </w:r>
      <w:r w:rsidR="00E17AF2" w:rsidRPr="00012C3F">
        <w:rPr>
          <w:rStyle w:val="Refdenotaalpie"/>
          <w:sz w:val="20"/>
          <w:szCs w:val="20"/>
          <w:lang w:val="en-US"/>
        </w:rPr>
        <w:footnoteReference w:id="303"/>
      </w:r>
      <w:r w:rsidR="00263F88" w:rsidRPr="00012C3F">
        <w:rPr>
          <w:sz w:val="20"/>
          <w:szCs w:val="20"/>
          <w:lang w:val="en-US"/>
        </w:rPr>
        <w:t xml:space="preserve"> Consequently, there are contrary versions of the same fact, because while the State affirms that it had obtained the informed consent of I.V., she indicates the contrary and denies having provided this.</w:t>
      </w:r>
    </w:p>
    <w:p w14:paraId="033A05A4" w14:textId="77777777" w:rsidR="00E17AF2" w:rsidRPr="00012C3F" w:rsidRDefault="00E17AF2" w:rsidP="00E17AF2">
      <w:pPr>
        <w:tabs>
          <w:tab w:val="left" w:pos="567"/>
        </w:tabs>
        <w:spacing w:line="240" w:lineRule="auto"/>
        <w:rPr>
          <w:rFonts w:eastAsia="MS Mincho"/>
          <w:b/>
          <w:i/>
          <w:sz w:val="20"/>
          <w:szCs w:val="20"/>
          <w:lang w:val="en-US" w:eastAsia="en-US" w:bidi="en-US"/>
        </w:rPr>
      </w:pPr>
    </w:p>
    <w:p w14:paraId="63F70D43" w14:textId="77777777" w:rsidR="00E17AF2" w:rsidRPr="00012C3F" w:rsidRDefault="006C705C" w:rsidP="00263F88">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sz w:val="20"/>
          <w:szCs w:val="20"/>
          <w:lang w:val="en-US"/>
        </w:rPr>
        <w:t>In this case</w:t>
      </w:r>
      <w:r w:rsidR="00E17AF2" w:rsidRPr="00012C3F">
        <w:rPr>
          <w:sz w:val="20"/>
          <w:szCs w:val="20"/>
          <w:lang w:val="en-US"/>
        </w:rPr>
        <w:t xml:space="preserve">, </w:t>
      </w:r>
      <w:r w:rsidR="00E00902" w:rsidRPr="00012C3F">
        <w:rPr>
          <w:sz w:val="20"/>
          <w:szCs w:val="20"/>
          <w:lang w:val="en-US"/>
        </w:rPr>
        <w:t>the presumed victim</w:t>
      </w:r>
      <w:r w:rsidR="00E17AF2" w:rsidRPr="00012C3F">
        <w:rPr>
          <w:sz w:val="20"/>
          <w:szCs w:val="20"/>
          <w:lang w:val="en-US"/>
        </w:rPr>
        <w:t xml:space="preserve"> </w:t>
      </w:r>
      <w:r w:rsidR="00263F88" w:rsidRPr="00012C3F">
        <w:rPr>
          <w:sz w:val="20"/>
          <w:szCs w:val="20"/>
          <w:lang w:val="en-US"/>
        </w:rPr>
        <w:t xml:space="preserve">had few means available to prove this fact. Her allegation is of a negative nature, indicating the inexistence of a fact that presumably occurred while she was in the absolute care of the health care personnel </w:t>
      </w:r>
      <w:r w:rsidR="0021414B" w:rsidRPr="00012C3F">
        <w:rPr>
          <w:sz w:val="20"/>
          <w:szCs w:val="20"/>
          <w:lang w:val="en-US"/>
        </w:rPr>
        <w:t xml:space="preserve">who </w:t>
      </w:r>
      <w:r w:rsidR="00263F88" w:rsidRPr="00012C3F">
        <w:rPr>
          <w:sz w:val="20"/>
          <w:szCs w:val="20"/>
          <w:lang w:val="en-US"/>
        </w:rPr>
        <w:t>were performing the caesarean section in a public health institution. The State’s allegation is of a positive nature and, therefore, possible to prove, especially if medical personnel</w:t>
      </w:r>
      <w:r w:rsidR="0021414B" w:rsidRPr="00012C3F">
        <w:rPr>
          <w:sz w:val="20"/>
          <w:szCs w:val="20"/>
          <w:lang w:val="en-US"/>
        </w:rPr>
        <w:t xml:space="preserve"> are obliged</w:t>
      </w:r>
      <w:r w:rsidR="00263F88" w:rsidRPr="00012C3F">
        <w:rPr>
          <w:sz w:val="20"/>
          <w:szCs w:val="20"/>
          <w:lang w:val="en-US"/>
        </w:rPr>
        <w:t xml:space="preserve"> to record the existence of </w:t>
      </w:r>
      <w:r w:rsidR="00AC0004" w:rsidRPr="00012C3F">
        <w:rPr>
          <w:sz w:val="20"/>
          <w:szCs w:val="20"/>
          <w:lang w:val="en-US"/>
        </w:rPr>
        <w:t>informed consent</w:t>
      </w:r>
      <w:r w:rsidR="00E17AF2" w:rsidRPr="00012C3F">
        <w:rPr>
          <w:sz w:val="20"/>
          <w:szCs w:val="20"/>
          <w:lang w:val="en-US"/>
        </w:rPr>
        <w:t xml:space="preserve"> (</w:t>
      </w:r>
      <w:r w:rsidR="00E17AF2" w:rsidRPr="00012C3F">
        <w:rPr>
          <w:i/>
          <w:sz w:val="20"/>
          <w:szCs w:val="20"/>
          <w:lang w:val="en-US"/>
        </w:rPr>
        <w:t>supra</w:t>
      </w:r>
      <w:r w:rsidR="00E17AF2" w:rsidRPr="00012C3F">
        <w:rPr>
          <w:sz w:val="20"/>
          <w:szCs w:val="20"/>
          <w:lang w:val="en-US"/>
        </w:rPr>
        <w:t xml:space="preserve"> </w:t>
      </w:r>
      <w:r w:rsidR="00370DD4" w:rsidRPr="00012C3F">
        <w:rPr>
          <w:sz w:val="20"/>
          <w:szCs w:val="20"/>
          <w:lang w:val="en-US"/>
        </w:rPr>
        <w:t>para.</w:t>
      </w:r>
      <w:r w:rsidR="00E17AF2" w:rsidRPr="00012C3F">
        <w:rPr>
          <w:sz w:val="20"/>
          <w:szCs w:val="20"/>
          <w:lang w:val="en-US"/>
        </w:rPr>
        <w:t xml:space="preserve"> </w:t>
      </w:r>
      <w:r w:rsidR="00A2783A" w:rsidRPr="00012C3F">
        <w:rPr>
          <w:sz w:val="20"/>
          <w:szCs w:val="20"/>
          <w:lang w:val="en-US"/>
        </w:rPr>
        <w:t>195</w:t>
      </w:r>
      <w:r w:rsidR="00E17AF2" w:rsidRPr="00012C3F">
        <w:rPr>
          <w:sz w:val="20"/>
          <w:szCs w:val="20"/>
          <w:lang w:val="en-US"/>
        </w:rPr>
        <w:t>).</w:t>
      </w:r>
    </w:p>
    <w:p w14:paraId="17C4B563" w14:textId="77777777" w:rsidR="00E17AF2" w:rsidRPr="00012C3F" w:rsidRDefault="00E17AF2" w:rsidP="00263F88">
      <w:pPr>
        <w:tabs>
          <w:tab w:val="left" w:pos="720"/>
        </w:tabs>
        <w:spacing w:line="240" w:lineRule="auto"/>
        <w:rPr>
          <w:rFonts w:eastAsia="MS Mincho"/>
          <w:b/>
          <w:i/>
          <w:sz w:val="20"/>
          <w:szCs w:val="20"/>
          <w:lang w:val="en-US" w:eastAsia="en-US" w:bidi="en-US"/>
        </w:rPr>
      </w:pPr>
    </w:p>
    <w:p w14:paraId="706F4C9C" w14:textId="77777777" w:rsidR="00DC01BC" w:rsidRPr="00012C3F" w:rsidRDefault="00263F88" w:rsidP="00263F88">
      <w:pPr>
        <w:numPr>
          <w:ilvl w:val="0"/>
          <w:numId w:val="5"/>
        </w:numPr>
        <w:tabs>
          <w:tab w:val="left" w:pos="720"/>
          <w:tab w:val="num" w:pos="12305"/>
        </w:tabs>
        <w:spacing w:line="240" w:lineRule="auto"/>
        <w:ind w:left="0" w:firstLine="0"/>
        <w:rPr>
          <w:rFonts w:eastAsia="MS Mincho"/>
          <w:b/>
          <w:i/>
          <w:sz w:val="20"/>
          <w:szCs w:val="20"/>
          <w:lang w:val="en-US" w:eastAsia="en-US" w:bidi="en-US"/>
        </w:rPr>
      </w:pPr>
      <w:r w:rsidRPr="00012C3F">
        <w:rPr>
          <w:sz w:val="20"/>
          <w:szCs w:val="20"/>
          <w:lang w:val="en-US"/>
        </w:rPr>
        <w:t xml:space="preserve">Nevertheless, </w:t>
      </w:r>
      <w:r w:rsidR="0040300B" w:rsidRPr="00012C3F">
        <w:rPr>
          <w:sz w:val="20"/>
          <w:szCs w:val="20"/>
          <w:lang w:val="en-US"/>
        </w:rPr>
        <w:t>leaving to one side</w:t>
      </w:r>
      <w:r w:rsidRPr="00012C3F">
        <w:rPr>
          <w:sz w:val="20"/>
          <w:szCs w:val="20"/>
          <w:lang w:val="en-US"/>
        </w:rPr>
        <w:t xml:space="preserve"> the </w:t>
      </w:r>
      <w:r w:rsidR="008C1E33" w:rsidRPr="00012C3F">
        <w:rPr>
          <w:sz w:val="20"/>
          <w:szCs w:val="20"/>
          <w:lang w:val="en-US"/>
        </w:rPr>
        <w:t>evidentiary</w:t>
      </w:r>
      <w:r w:rsidRPr="00012C3F">
        <w:rPr>
          <w:sz w:val="20"/>
          <w:szCs w:val="20"/>
          <w:lang w:val="en-US"/>
        </w:rPr>
        <w:t xml:space="preserve"> dispute on the factual circumstances, based on what it has previously indicated, the Court finds that the legal consequence of both factual versions is the same; in other words, that both in the hypothesis of the inexistence of consent, and in the hypothesis that verbal consent was obtained from I.V. during the peri-operative period, the physician failed to comply with his obligation to obtain a </w:t>
      </w:r>
      <w:r w:rsidR="00DF71A5" w:rsidRPr="00012C3F">
        <w:rPr>
          <w:sz w:val="20"/>
          <w:szCs w:val="20"/>
          <w:lang w:val="en-US"/>
        </w:rPr>
        <w:t>prior, free, full and informed consent</w:t>
      </w:r>
      <w:r w:rsidR="00DC01BC" w:rsidRPr="00012C3F">
        <w:rPr>
          <w:sz w:val="20"/>
          <w:szCs w:val="20"/>
          <w:lang w:val="en-US"/>
        </w:rPr>
        <w:t xml:space="preserve"> </w:t>
      </w:r>
      <w:r w:rsidRPr="00012C3F">
        <w:rPr>
          <w:sz w:val="20"/>
          <w:szCs w:val="20"/>
          <w:lang w:val="en-US"/>
        </w:rPr>
        <w:t xml:space="preserve">as required by </w:t>
      </w:r>
      <w:r w:rsidR="001254DE" w:rsidRPr="00012C3F">
        <w:rPr>
          <w:sz w:val="20"/>
          <w:szCs w:val="20"/>
          <w:lang w:val="en-US"/>
        </w:rPr>
        <w:t>the American Convention</w:t>
      </w:r>
      <w:r w:rsidR="00DC01BC" w:rsidRPr="00012C3F">
        <w:rPr>
          <w:sz w:val="20"/>
          <w:szCs w:val="20"/>
          <w:lang w:val="en-US"/>
        </w:rPr>
        <w:t>.</w:t>
      </w:r>
    </w:p>
    <w:p w14:paraId="78DAFEF8" w14:textId="77777777" w:rsidR="00E17AF2" w:rsidRPr="00012C3F" w:rsidRDefault="00E17AF2" w:rsidP="00E17AF2">
      <w:pPr>
        <w:tabs>
          <w:tab w:val="left" w:pos="567"/>
        </w:tabs>
        <w:spacing w:line="240" w:lineRule="auto"/>
        <w:rPr>
          <w:rFonts w:eastAsia="MS Mincho"/>
          <w:b/>
          <w:i/>
          <w:sz w:val="20"/>
          <w:szCs w:val="20"/>
          <w:lang w:val="en-US" w:eastAsia="en-US" w:bidi="en-US"/>
        </w:rPr>
      </w:pPr>
    </w:p>
    <w:p w14:paraId="04746B81" w14:textId="77777777" w:rsidR="00E17AF2" w:rsidRPr="00012C3F" w:rsidRDefault="008C1E33" w:rsidP="008C1E33">
      <w:pPr>
        <w:numPr>
          <w:ilvl w:val="0"/>
          <w:numId w:val="5"/>
        </w:numPr>
        <w:tabs>
          <w:tab w:val="left" w:pos="720"/>
          <w:tab w:val="num" w:pos="12305"/>
        </w:tabs>
        <w:spacing w:line="240" w:lineRule="auto"/>
        <w:ind w:left="0" w:firstLine="0"/>
        <w:rPr>
          <w:b/>
          <w:i/>
          <w:sz w:val="20"/>
          <w:szCs w:val="20"/>
          <w:lang w:val="en-US"/>
        </w:rPr>
      </w:pPr>
      <w:r w:rsidRPr="00012C3F">
        <w:rPr>
          <w:rFonts w:eastAsia="MS Mincho"/>
          <w:sz w:val="20"/>
          <w:szCs w:val="20"/>
          <w:lang w:val="en-US" w:eastAsia="en-US" w:bidi="en-US"/>
        </w:rPr>
        <w:t>Indeed, with regard to the version of the facts proposed by</w:t>
      </w:r>
      <w:r w:rsidR="00E17AF2" w:rsidRPr="00012C3F">
        <w:rPr>
          <w:rFonts w:eastAsia="MS Mincho"/>
          <w:sz w:val="20"/>
          <w:szCs w:val="20"/>
          <w:lang w:val="en-US" w:eastAsia="en-US" w:bidi="en-US"/>
        </w:rPr>
        <w:t xml:space="preserve"> </w:t>
      </w:r>
      <w:r w:rsidR="00972ACF" w:rsidRPr="00012C3F">
        <w:rPr>
          <w:rFonts w:eastAsia="MS Mincho"/>
          <w:sz w:val="20"/>
          <w:szCs w:val="20"/>
          <w:lang w:val="en-US" w:eastAsia="en-US" w:bidi="en-US"/>
        </w:rPr>
        <w:t>the representative</w:t>
      </w:r>
      <w:r w:rsidR="00E17AF2"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the Court</w:t>
      </w:r>
      <w:r w:rsidR="00E17AF2" w:rsidRPr="00012C3F">
        <w:rPr>
          <w:rFonts w:eastAsia="MS Mincho"/>
          <w:sz w:val="20"/>
          <w:szCs w:val="20"/>
          <w:lang w:val="en-US" w:eastAsia="en-US" w:bidi="en-US"/>
        </w:rPr>
        <w:t xml:space="preserve"> consider</w:t>
      </w:r>
      <w:r w:rsidRPr="00012C3F">
        <w:rPr>
          <w:rFonts w:eastAsia="MS Mincho"/>
          <w:sz w:val="20"/>
          <w:szCs w:val="20"/>
          <w:lang w:val="en-US" w:eastAsia="en-US" w:bidi="en-US"/>
        </w:rPr>
        <w:t xml:space="preserve">s that the physician’s actions were not in keeping with the treaty-based requirements, </w:t>
      </w:r>
      <w:r w:rsidRPr="00012C3F">
        <w:rPr>
          <w:rFonts w:eastAsia="MS Mincho"/>
          <w:sz w:val="20"/>
          <w:szCs w:val="20"/>
          <w:lang w:val="en-US" w:eastAsia="en-US" w:bidi="en-US"/>
        </w:rPr>
        <w:lastRenderedPageBreak/>
        <w:t xml:space="preserve">because he did not obtain I.V.’s consent before performing the said medical procedure. This is so, because sterilization is a medical procedure with serious consequences, as it results in the permanent loss of a woman’s reproductive capacity. Consequently, a female surgical sterilization should only be performed after having obtained the patient’s </w:t>
      </w:r>
      <w:r w:rsidR="00DF71A5" w:rsidRPr="00012C3F">
        <w:rPr>
          <w:rFonts w:eastAsia="MS Mincho"/>
          <w:sz w:val="20"/>
          <w:szCs w:val="20"/>
          <w:lang w:val="en-US" w:eastAsia="en-US" w:bidi="en-US"/>
        </w:rPr>
        <w:t>prior, free, full and informed consent</w:t>
      </w:r>
      <w:r w:rsidR="00E17AF2" w:rsidRPr="00012C3F">
        <w:rPr>
          <w:rFonts w:eastAsia="MS Mincho"/>
          <w:sz w:val="20"/>
          <w:szCs w:val="20"/>
          <w:lang w:val="en-US" w:eastAsia="en-US" w:bidi="en-US"/>
        </w:rPr>
        <w:t xml:space="preserve">, </w:t>
      </w:r>
      <w:r w:rsidRPr="00012C3F">
        <w:rPr>
          <w:rFonts w:eastAsia="MS Mincho"/>
          <w:sz w:val="20"/>
          <w:szCs w:val="20"/>
          <w:lang w:val="en-US" w:eastAsia="en-US" w:bidi="en-US"/>
        </w:rPr>
        <w:t>above all because the procedure consists in a significant medical procedure, which entails an important interference in a woman’s reproductive health, and also involves various aspects of her personal integrity and private life.</w:t>
      </w:r>
    </w:p>
    <w:p w14:paraId="014CEDA3" w14:textId="77777777" w:rsidR="00E17AF2" w:rsidRPr="00012C3F" w:rsidRDefault="00E17AF2" w:rsidP="00263F88">
      <w:pPr>
        <w:tabs>
          <w:tab w:val="left" w:pos="720"/>
        </w:tabs>
        <w:spacing w:line="240" w:lineRule="auto"/>
        <w:rPr>
          <w:b/>
          <w:i/>
          <w:sz w:val="20"/>
          <w:szCs w:val="20"/>
          <w:lang w:val="en-US"/>
        </w:rPr>
      </w:pPr>
    </w:p>
    <w:p w14:paraId="7F453B69" w14:textId="77777777" w:rsidR="00812DC7" w:rsidRPr="00012C3F" w:rsidRDefault="008C1E33" w:rsidP="008C1E33">
      <w:pPr>
        <w:numPr>
          <w:ilvl w:val="0"/>
          <w:numId w:val="5"/>
        </w:numPr>
        <w:tabs>
          <w:tab w:val="left" w:pos="720"/>
          <w:tab w:val="num" w:pos="12305"/>
        </w:tabs>
        <w:spacing w:line="240" w:lineRule="auto"/>
        <w:ind w:left="0" w:firstLine="0"/>
        <w:rPr>
          <w:sz w:val="20"/>
          <w:szCs w:val="20"/>
          <w:lang w:val="en-US"/>
        </w:rPr>
      </w:pPr>
      <w:r w:rsidRPr="00012C3F">
        <w:rPr>
          <w:rFonts w:eastAsia="MS Mincho"/>
          <w:sz w:val="20"/>
          <w:szCs w:val="20"/>
          <w:lang w:val="en-US" w:eastAsia="en-US" w:bidi="en-US"/>
        </w:rPr>
        <w:t>In this regard, the Court finds it relevant to point out that I.V.’s case was not of an urgent or emergenc</w:t>
      </w:r>
      <w:r w:rsidR="004540C3" w:rsidRPr="00012C3F">
        <w:rPr>
          <w:rFonts w:eastAsia="MS Mincho"/>
          <w:sz w:val="20"/>
          <w:szCs w:val="20"/>
          <w:lang w:val="en-US" w:eastAsia="en-US" w:bidi="en-US"/>
        </w:rPr>
        <w:t>y</w:t>
      </w:r>
      <w:r w:rsidRPr="00012C3F">
        <w:rPr>
          <w:rFonts w:eastAsia="MS Mincho"/>
          <w:sz w:val="20"/>
          <w:szCs w:val="20"/>
          <w:lang w:val="en-US" w:eastAsia="en-US" w:bidi="en-US"/>
        </w:rPr>
        <w:t xml:space="preserve"> medical nature because she was not in a situation of imminent risk to her life. As the Court has established, there are exceptions to the obligation to obtain</w:t>
      </w:r>
      <w:r w:rsidRPr="00012C3F">
        <w:rPr>
          <w:sz w:val="20"/>
          <w:szCs w:val="20"/>
          <w:lang w:val="en-US"/>
        </w:rPr>
        <w:t xml:space="preserve"> </w:t>
      </w:r>
      <w:r w:rsidR="00AC0004" w:rsidRPr="00012C3F">
        <w:rPr>
          <w:sz w:val="20"/>
          <w:szCs w:val="20"/>
          <w:lang w:val="en-US"/>
        </w:rPr>
        <w:t>informed consent</w:t>
      </w:r>
      <w:r w:rsidR="00DC01BC" w:rsidRPr="00012C3F">
        <w:rPr>
          <w:sz w:val="20"/>
          <w:szCs w:val="20"/>
          <w:lang w:val="en-US"/>
        </w:rPr>
        <w:t xml:space="preserve"> (</w:t>
      </w:r>
      <w:r w:rsidR="00DC01BC" w:rsidRPr="00012C3F">
        <w:rPr>
          <w:i/>
          <w:sz w:val="20"/>
          <w:szCs w:val="20"/>
          <w:lang w:val="en-US"/>
        </w:rPr>
        <w:t>supra</w:t>
      </w:r>
      <w:r w:rsidR="00DC01BC" w:rsidRPr="00012C3F">
        <w:rPr>
          <w:sz w:val="20"/>
          <w:szCs w:val="20"/>
          <w:lang w:val="en-US"/>
        </w:rPr>
        <w:t xml:space="preserve"> </w:t>
      </w:r>
      <w:r w:rsidR="00370DD4" w:rsidRPr="00012C3F">
        <w:rPr>
          <w:sz w:val="20"/>
          <w:szCs w:val="20"/>
          <w:lang w:val="en-US"/>
        </w:rPr>
        <w:t>paras.</w:t>
      </w:r>
      <w:r w:rsidR="00DC01BC" w:rsidRPr="00012C3F">
        <w:rPr>
          <w:sz w:val="20"/>
          <w:szCs w:val="20"/>
          <w:lang w:val="en-US"/>
        </w:rPr>
        <w:t xml:space="preserve"> </w:t>
      </w:r>
      <w:r w:rsidR="006D3F9E" w:rsidRPr="00012C3F">
        <w:rPr>
          <w:sz w:val="20"/>
          <w:szCs w:val="20"/>
          <w:lang w:val="en-US"/>
        </w:rPr>
        <w:t>177</w:t>
      </w:r>
      <w:r w:rsidR="005E5012" w:rsidRPr="00012C3F">
        <w:rPr>
          <w:sz w:val="20"/>
          <w:szCs w:val="20"/>
          <w:lang w:val="en-US"/>
        </w:rPr>
        <w:t xml:space="preserve"> and </w:t>
      </w:r>
      <w:r w:rsidR="006D3F9E" w:rsidRPr="00012C3F">
        <w:rPr>
          <w:sz w:val="20"/>
          <w:szCs w:val="20"/>
          <w:lang w:val="en-US"/>
        </w:rPr>
        <w:t>178</w:t>
      </w:r>
      <w:r w:rsidR="00DC01BC" w:rsidRPr="00012C3F">
        <w:rPr>
          <w:sz w:val="20"/>
          <w:szCs w:val="20"/>
          <w:lang w:val="en-US"/>
        </w:rPr>
        <w:t xml:space="preserve">). </w:t>
      </w:r>
      <w:r w:rsidRPr="00012C3F">
        <w:rPr>
          <w:sz w:val="20"/>
          <w:szCs w:val="20"/>
          <w:lang w:val="en-US"/>
        </w:rPr>
        <w:t xml:space="preserve">However, </w:t>
      </w:r>
      <w:r w:rsidR="00B47F8D" w:rsidRPr="00012C3F">
        <w:rPr>
          <w:sz w:val="20"/>
          <w:szCs w:val="20"/>
          <w:lang w:val="en-US"/>
        </w:rPr>
        <w:t>female sterilization</w:t>
      </w:r>
      <w:r w:rsidR="00DC01BC" w:rsidRPr="00012C3F">
        <w:rPr>
          <w:sz w:val="20"/>
          <w:szCs w:val="20"/>
          <w:lang w:val="en-US"/>
        </w:rPr>
        <w:t xml:space="preserve"> </w:t>
      </w:r>
      <w:r w:rsidRPr="00012C3F">
        <w:rPr>
          <w:sz w:val="20"/>
          <w:szCs w:val="20"/>
          <w:lang w:val="en-US"/>
        </w:rPr>
        <w:t>cannot be considered to fall within these exceptions. Moreover, this has been verified in the instant case because, different statements</w:t>
      </w:r>
      <w:r w:rsidR="00DC01BC" w:rsidRPr="00012C3F">
        <w:rPr>
          <w:rStyle w:val="Refdenotaalpie"/>
          <w:sz w:val="20"/>
          <w:szCs w:val="20"/>
          <w:lang w:val="en-US"/>
        </w:rPr>
        <w:footnoteReference w:id="304"/>
      </w:r>
      <w:r w:rsidR="00DC01BC" w:rsidRPr="00012C3F">
        <w:rPr>
          <w:sz w:val="20"/>
          <w:szCs w:val="20"/>
          <w:lang w:val="en-US"/>
        </w:rPr>
        <w:t xml:space="preserve"> </w:t>
      </w:r>
      <w:r w:rsidRPr="00012C3F">
        <w:rPr>
          <w:sz w:val="20"/>
          <w:szCs w:val="20"/>
          <w:lang w:val="en-US"/>
        </w:rPr>
        <w:t xml:space="preserve">have indicated that the tubal ligation was performed to protect I.V.’s life in the hypothesis of a future pregnancy owing to the danger of a possible rupture of the uterus. </w:t>
      </w:r>
      <w:r w:rsidR="00812DC7" w:rsidRPr="00012C3F">
        <w:rPr>
          <w:sz w:val="20"/>
          <w:szCs w:val="20"/>
          <w:lang w:val="en-US"/>
        </w:rPr>
        <w:t>The physician even stated during the hearing that performing the tubal ligation after the caesarean section could have been one alternative and ratified that, at the time of the caesarean section, I.V. was not in imminent risk of losing her life, but rather the risk would occur if she became pregnant again.</w:t>
      </w:r>
      <w:r w:rsidR="00DC01BC" w:rsidRPr="00012C3F">
        <w:rPr>
          <w:rStyle w:val="Refdenotaalpie"/>
          <w:sz w:val="20"/>
          <w:szCs w:val="20"/>
          <w:lang w:val="en-US"/>
        </w:rPr>
        <w:footnoteReference w:id="305"/>
      </w:r>
      <w:r w:rsidR="00812DC7" w:rsidRPr="00012C3F">
        <w:rPr>
          <w:sz w:val="20"/>
          <w:szCs w:val="20"/>
          <w:lang w:val="en-US"/>
        </w:rPr>
        <w:t xml:space="preserve"> In this regard, the Court considers that protection from a </w:t>
      </w:r>
      <w:r w:rsidR="004540C3" w:rsidRPr="00012C3F">
        <w:rPr>
          <w:sz w:val="20"/>
          <w:szCs w:val="20"/>
          <w:lang w:val="en-US"/>
        </w:rPr>
        <w:t>presumed</w:t>
      </w:r>
      <w:r w:rsidR="00812DC7" w:rsidRPr="00012C3F">
        <w:rPr>
          <w:sz w:val="20"/>
          <w:szCs w:val="20"/>
          <w:lang w:val="en-US"/>
        </w:rPr>
        <w:t xml:space="preserve"> risk that might or might not </w:t>
      </w:r>
      <w:r w:rsidR="004540C3" w:rsidRPr="00012C3F">
        <w:rPr>
          <w:sz w:val="20"/>
          <w:szCs w:val="20"/>
          <w:lang w:val="en-US"/>
        </w:rPr>
        <w:t xml:space="preserve">occur </w:t>
      </w:r>
      <w:r w:rsidR="00812DC7" w:rsidRPr="00012C3F">
        <w:rPr>
          <w:sz w:val="20"/>
          <w:szCs w:val="20"/>
          <w:lang w:val="en-US"/>
        </w:rPr>
        <w:t xml:space="preserve">in the future, could never be considered urgent or a medical emergency in which there </w:t>
      </w:r>
      <w:r w:rsidR="004540C3" w:rsidRPr="00012C3F">
        <w:rPr>
          <w:sz w:val="20"/>
          <w:szCs w:val="20"/>
          <w:lang w:val="en-US"/>
        </w:rPr>
        <w:t>was</w:t>
      </w:r>
      <w:r w:rsidR="00812DC7" w:rsidRPr="00012C3F">
        <w:rPr>
          <w:sz w:val="20"/>
          <w:szCs w:val="20"/>
          <w:lang w:val="en-US"/>
        </w:rPr>
        <w:t xml:space="preserve"> an immediate possibility of risk. Thus, the Court finds that the medical recommendation of a procedure of this nature could have been postponed in order to obtain I.V.’s informed consent.</w:t>
      </w:r>
    </w:p>
    <w:p w14:paraId="1E052A00" w14:textId="77777777" w:rsidR="00DC01BC" w:rsidRPr="00012C3F" w:rsidRDefault="00DC01BC" w:rsidP="00E17AF2">
      <w:pPr>
        <w:tabs>
          <w:tab w:val="left" w:pos="567"/>
        </w:tabs>
        <w:spacing w:line="240" w:lineRule="auto"/>
        <w:rPr>
          <w:b/>
          <w:i/>
          <w:sz w:val="20"/>
          <w:szCs w:val="20"/>
          <w:lang w:val="en-US"/>
        </w:rPr>
      </w:pPr>
    </w:p>
    <w:p w14:paraId="472914F2" w14:textId="77777777" w:rsidR="00E17AF2" w:rsidRPr="00012C3F" w:rsidRDefault="00812DC7" w:rsidP="00812DC7">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That said, if the Court accept</w:t>
      </w:r>
      <w:r w:rsidR="00136EDE" w:rsidRPr="00012C3F">
        <w:rPr>
          <w:rFonts w:eastAsia="MS Mincho"/>
          <w:sz w:val="20"/>
          <w:szCs w:val="20"/>
          <w:lang w:val="en-US" w:eastAsia="en-US" w:bidi="en-US"/>
        </w:rPr>
        <w:t>s</w:t>
      </w:r>
      <w:r w:rsidRPr="00012C3F">
        <w:rPr>
          <w:rFonts w:eastAsia="MS Mincho"/>
          <w:sz w:val="20"/>
          <w:szCs w:val="20"/>
          <w:lang w:val="en-US" w:eastAsia="en-US" w:bidi="en-US"/>
        </w:rPr>
        <w:t xml:space="preserve"> the version of the facts proposed by the State; that is, that I.V. gave her consent verbally in the operating theater prior to the procedure,</w:t>
      </w:r>
      <w:r w:rsidR="00136EDE" w:rsidRPr="00012C3F">
        <w:rPr>
          <w:rFonts w:eastAsia="MS Mincho"/>
          <w:sz w:val="20"/>
          <w:szCs w:val="20"/>
          <w:lang w:val="en-US" w:eastAsia="en-US" w:bidi="en-US"/>
        </w:rPr>
        <w:t xml:space="preserve"> it must determine whether this was given in a free, full and informed manner, because as explained above, the mere acceptance of a procedure does not equate affirming that consent was given</w:t>
      </w:r>
      <w:r w:rsidR="00E17AF2" w:rsidRPr="00012C3F">
        <w:rPr>
          <w:rFonts w:eastAsia="MS Mincho"/>
          <w:sz w:val="20"/>
          <w:szCs w:val="20"/>
          <w:lang w:val="en-US" w:eastAsia="en-US" w:bidi="en-US"/>
        </w:rPr>
        <w:t xml:space="preserve"> (</w:t>
      </w:r>
      <w:r w:rsidR="00E17AF2" w:rsidRPr="00012C3F">
        <w:rPr>
          <w:rFonts w:eastAsia="MS Mincho"/>
          <w:i/>
          <w:sz w:val="20"/>
          <w:szCs w:val="20"/>
          <w:lang w:val="en-US" w:eastAsia="en-US" w:bidi="en-US"/>
        </w:rPr>
        <w:t xml:space="preserve">supra </w:t>
      </w:r>
      <w:r w:rsidR="00370DD4" w:rsidRPr="00012C3F">
        <w:rPr>
          <w:rFonts w:eastAsia="MS Mincho"/>
          <w:sz w:val="20"/>
          <w:szCs w:val="20"/>
          <w:lang w:val="en-US" w:eastAsia="en-US" w:bidi="en-US"/>
        </w:rPr>
        <w:t>para.</w:t>
      </w:r>
      <w:r w:rsidR="00E17AF2" w:rsidRPr="00012C3F">
        <w:rPr>
          <w:rFonts w:eastAsia="MS Mincho"/>
          <w:sz w:val="20"/>
          <w:szCs w:val="20"/>
          <w:lang w:val="en-US" w:eastAsia="en-US" w:bidi="en-US"/>
        </w:rPr>
        <w:t xml:space="preserve"> </w:t>
      </w:r>
      <w:r w:rsidR="006D3F9E" w:rsidRPr="00012C3F">
        <w:rPr>
          <w:rFonts w:eastAsia="MS Mincho"/>
          <w:sz w:val="20"/>
          <w:szCs w:val="20"/>
          <w:lang w:val="en-US" w:eastAsia="en-US" w:bidi="en-US"/>
        </w:rPr>
        <w:t>166</w:t>
      </w:r>
      <w:r w:rsidR="00E17AF2" w:rsidRPr="00012C3F">
        <w:rPr>
          <w:rFonts w:eastAsia="MS Mincho"/>
          <w:sz w:val="20"/>
          <w:szCs w:val="20"/>
          <w:lang w:val="en-US" w:eastAsia="en-US" w:bidi="en-US"/>
        </w:rPr>
        <w:t>).</w:t>
      </w:r>
    </w:p>
    <w:p w14:paraId="0E1564AE" w14:textId="77777777" w:rsidR="00E17AF2" w:rsidRPr="00012C3F" w:rsidRDefault="00E17AF2" w:rsidP="00812DC7">
      <w:pPr>
        <w:tabs>
          <w:tab w:val="left" w:pos="720"/>
        </w:tabs>
        <w:spacing w:line="240" w:lineRule="auto"/>
        <w:rPr>
          <w:rFonts w:eastAsia="MS Mincho"/>
          <w:sz w:val="20"/>
          <w:szCs w:val="20"/>
          <w:lang w:val="en-US" w:eastAsia="en-US" w:bidi="en-US"/>
        </w:rPr>
      </w:pPr>
    </w:p>
    <w:p w14:paraId="65C415BD" w14:textId="77777777" w:rsidR="00136EDE" w:rsidRPr="00012C3F" w:rsidRDefault="00136EDE" w:rsidP="00136EDE">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On this point, the Court underscores that I.V. was in an operating theater, with her abdomen open owing to the caesarean section, in a situation of pressure, stress and vulnerability evident in a patient undergoing a surgical procedure. Also, I.V. was very tired, not only because of the duration of the caesarean section that was complicated by the adhesions found (</w:t>
      </w:r>
      <w:r w:rsidRPr="00012C3F">
        <w:rPr>
          <w:rFonts w:eastAsia="MS Mincho"/>
          <w:i/>
          <w:sz w:val="20"/>
          <w:szCs w:val="20"/>
          <w:lang w:val="en-US" w:eastAsia="en-US" w:bidi="en-US"/>
        </w:rPr>
        <w:t xml:space="preserve">supra </w:t>
      </w:r>
      <w:r w:rsidRPr="00012C3F">
        <w:rPr>
          <w:rFonts w:eastAsia="MS Mincho"/>
          <w:sz w:val="20"/>
          <w:szCs w:val="20"/>
          <w:lang w:val="en-US" w:eastAsia="en-US" w:bidi="en-US"/>
        </w:rPr>
        <w:t xml:space="preserve">para. 64), but also because, before entering the operating theater, several hours had passed between the moment she was admitted to the hospital and when she entered the operating theater. In these circumstances, the Court considers that she was in a situation that would not ensure that her consent was free and full, </w:t>
      </w:r>
      <w:r w:rsidR="004540C3" w:rsidRPr="00012C3F">
        <w:rPr>
          <w:rFonts w:eastAsia="MS Mincho"/>
          <w:sz w:val="20"/>
          <w:szCs w:val="20"/>
          <w:lang w:val="en-US" w:eastAsia="en-US" w:bidi="en-US"/>
        </w:rPr>
        <w:t>and this</w:t>
      </w:r>
      <w:r w:rsidRPr="00012C3F">
        <w:rPr>
          <w:rFonts w:eastAsia="MS Mincho"/>
          <w:sz w:val="20"/>
          <w:szCs w:val="20"/>
          <w:lang w:val="en-US" w:eastAsia="en-US" w:bidi="en-US"/>
        </w:rPr>
        <w:t xml:space="preserve"> prevented her from giving a valid consent.</w:t>
      </w:r>
    </w:p>
    <w:p w14:paraId="2E82EC25" w14:textId="77777777" w:rsidR="00933E5E" w:rsidRPr="00012C3F" w:rsidRDefault="00933E5E" w:rsidP="00933E5E">
      <w:pPr>
        <w:tabs>
          <w:tab w:val="left" w:pos="567"/>
        </w:tabs>
        <w:spacing w:line="240" w:lineRule="auto"/>
        <w:rPr>
          <w:rFonts w:eastAsia="MS Mincho"/>
          <w:sz w:val="20"/>
          <w:szCs w:val="20"/>
          <w:lang w:val="en-US" w:eastAsia="en-US" w:bidi="en-US"/>
        </w:rPr>
      </w:pPr>
    </w:p>
    <w:p w14:paraId="6FAA2446" w14:textId="77777777" w:rsidR="00E17AF2" w:rsidRPr="00012C3F" w:rsidRDefault="00933E5E" w:rsidP="00A95BE9">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sz w:val="20"/>
          <w:szCs w:val="20"/>
          <w:lang w:val="en-US"/>
        </w:rPr>
        <w:t>Ad</w:t>
      </w:r>
      <w:r w:rsidR="00136EDE" w:rsidRPr="00012C3F">
        <w:rPr>
          <w:sz w:val="20"/>
          <w:szCs w:val="20"/>
          <w:lang w:val="en-US"/>
        </w:rPr>
        <w:t>ditionally</w:t>
      </w:r>
      <w:r w:rsidRPr="00012C3F">
        <w:rPr>
          <w:sz w:val="20"/>
          <w:szCs w:val="20"/>
          <w:lang w:val="en-US"/>
        </w:rPr>
        <w:t xml:space="preserve">, </w:t>
      </w:r>
      <w:r w:rsidR="001254DE" w:rsidRPr="00012C3F">
        <w:rPr>
          <w:rFonts w:eastAsia="MS Mincho"/>
          <w:sz w:val="20"/>
          <w:szCs w:val="20"/>
          <w:lang w:val="en-US" w:eastAsia="en-US" w:bidi="en-US"/>
        </w:rPr>
        <w:t>the Court</w:t>
      </w:r>
      <w:r w:rsidRPr="00012C3F">
        <w:rPr>
          <w:rFonts w:eastAsia="MS Mincho"/>
          <w:sz w:val="20"/>
          <w:szCs w:val="20"/>
          <w:lang w:val="en-US" w:eastAsia="en-US" w:bidi="en-US"/>
        </w:rPr>
        <w:t xml:space="preserve"> consider</w:t>
      </w:r>
      <w:r w:rsidR="00136EDE" w:rsidRPr="00012C3F">
        <w:rPr>
          <w:rFonts w:eastAsia="MS Mincho"/>
          <w:sz w:val="20"/>
          <w:szCs w:val="20"/>
          <w:lang w:val="en-US" w:eastAsia="en-US" w:bidi="en-US"/>
        </w:rPr>
        <w:t xml:space="preserve">s that the information provided to I.V. was presented </w:t>
      </w:r>
      <w:r w:rsidR="00A95BE9" w:rsidRPr="00012C3F">
        <w:rPr>
          <w:rFonts w:eastAsia="MS Mincho"/>
          <w:sz w:val="20"/>
          <w:szCs w:val="20"/>
          <w:lang w:val="en-US" w:eastAsia="en-US" w:bidi="en-US"/>
        </w:rPr>
        <w:t>inopportunely at an inappropriate moment, because she was on the operating table after having undergone a</w:t>
      </w:r>
      <w:r w:rsidRPr="00012C3F">
        <w:rPr>
          <w:rFonts w:eastAsia="MS Mincho"/>
          <w:sz w:val="20"/>
          <w:szCs w:val="20"/>
          <w:lang w:val="en-US" w:eastAsia="en-US" w:bidi="en-US"/>
        </w:rPr>
        <w:t xml:space="preserve"> </w:t>
      </w:r>
      <w:r w:rsidR="00CC232E" w:rsidRPr="00012C3F">
        <w:rPr>
          <w:rFonts w:eastAsia="MS Mincho"/>
          <w:sz w:val="20"/>
          <w:szCs w:val="20"/>
          <w:lang w:val="en-US" w:eastAsia="en-US" w:bidi="en-US"/>
        </w:rPr>
        <w:t>caesarean section</w:t>
      </w:r>
      <w:r w:rsidRPr="00012C3F">
        <w:rPr>
          <w:rFonts w:eastAsia="MS Mincho"/>
          <w:sz w:val="20"/>
          <w:szCs w:val="20"/>
          <w:lang w:val="en-US" w:eastAsia="en-US" w:bidi="en-US"/>
        </w:rPr>
        <w:t>.</w:t>
      </w:r>
      <w:r w:rsidR="00A95BE9" w:rsidRPr="00012C3F">
        <w:rPr>
          <w:rFonts w:eastAsia="MS Mincho"/>
          <w:sz w:val="20"/>
          <w:szCs w:val="20"/>
          <w:lang w:val="en-US" w:eastAsia="en-US" w:bidi="en-US"/>
        </w:rPr>
        <w:t xml:space="preserve"> The Court finds that</w:t>
      </w:r>
      <w:r w:rsidR="004540C3" w:rsidRPr="00012C3F">
        <w:rPr>
          <w:rFonts w:eastAsia="MS Mincho"/>
          <w:sz w:val="20"/>
          <w:szCs w:val="20"/>
          <w:lang w:val="en-US" w:eastAsia="en-US" w:bidi="en-US"/>
        </w:rPr>
        <w:t>,</w:t>
      </w:r>
      <w:r w:rsidR="00A95BE9" w:rsidRPr="00012C3F">
        <w:rPr>
          <w:rFonts w:eastAsia="MS Mincho"/>
          <w:sz w:val="20"/>
          <w:szCs w:val="20"/>
          <w:lang w:val="en-US" w:eastAsia="en-US" w:bidi="en-US"/>
        </w:rPr>
        <w:t xml:space="preserve"> even though the medical personnel provided I.V. with basic information on the Pomeroy-type tubal ligation procedure, the circumstances did not </w:t>
      </w:r>
      <w:r w:rsidR="00A95BE9" w:rsidRPr="00012C3F">
        <w:rPr>
          <w:rFonts w:eastAsia="MS Mincho"/>
          <w:sz w:val="20"/>
          <w:szCs w:val="20"/>
          <w:lang w:val="en-US" w:eastAsia="en-US" w:bidi="en-US"/>
        </w:rPr>
        <w:lastRenderedPageBreak/>
        <w:t>allow this to be complete and adequate, or to cover essential and necessary issues such as the clear explanation of alternative and less invasive contraceptive methods to achieve the objective of preventing a unsafe future pregnancy.</w:t>
      </w:r>
      <w:r w:rsidRPr="00012C3F">
        <w:rPr>
          <w:rStyle w:val="Refdenotaalpie"/>
          <w:rFonts w:eastAsia="MS Mincho"/>
          <w:sz w:val="20"/>
          <w:szCs w:val="20"/>
          <w:lang w:val="en-US" w:eastAsia="en-US" w:bidi="en-US"/>
        </w:rPr>
        <w:footnoteReference w:id="306"/>
      </w:r>
      <w:r w:rsidR="00A95BE9" w:rsidRPr="00012C3F">
        <w:rPr>
          <w:rFonts w:eastAsia="MS Mincho"/>
          <w:sz w:val="20"/>
          <w:szCs w:val="20"/>
          <w:lang w:val="en-US" w:eastAsia="en-US" w:bidi="en-US"/>
        </w:rPr>
        <w:t xml:space="preserve"> Consequently, since I.V.’s sterilization constituted a surgical procedure that could have been postponed, the Court considers that the physician should have waited until she had been able to take a fully informed decision in this regard, in different circumstances, after having provided her with more information, particularly about alternative contraceptive methods, and after giving her more time to </w:t>
      </w:r>
      <w:r w:rsidR="00EA7244" w:rsidRPr="00012C3F">
        <w:rPr>
          <w:rFonts w:eastAsia="MS Mincho"/>
          <w:sz w:val="20"/>
          <w:szCs w:val="20"/>
          <w:lang w:val="en-US" w:eastAsia="en-US" w:bidi="en-US"/>
        </w:rPr>
        <w:t xml:space="preserve">consider her options. In addition, the Court understands that in cases of </w:t>
      </w:r>
      <w:r w:rsidR="00EA7244" w:rsidRPr="00012C3F">
        <w:rPr>
          <w:sz w:val="20"/>
          <w:szCs w:val="20"/>
          <w:lang w:val="en-US"/>
        </w:rPr>
        <w:t xml:space="preserve">female sterilization access to information on </w:t>
      </w:r>
      <w:r w:rsidR="00EA7244" w:rsidRPr="00012C3F">
        <w:rPr>
          <w:rFonts w:eastAsia="MS Mincho"/>
          <w:sz w:val="20"/>
          <w:szCs w:val="20"/>
          <w:lang w:val="en-US" w:eastAsia="en-US" w:bidi="en-US"/>
        </w:rPr>
        <w:t>alternative contraceptive methods</w:t>
      </w:r>
      <w:r w:rsidR="00EA7244" w:rsidRPr="00012C3F">
        <w:rPr>
          <w:sz w:val="20"/>
          <w:szCs w:val="20"/>
          <w:lang w:val="en-US"/>
        </w:rPr>
        <w:t xml:space="preserve"> is essential, because tubal ligation is only one method among many that could have been evaluated to achieve the same end; that is, prevent a future pregnancy. The Court has already established in other cases that access to full and comprehensible information is a component of the accessibility of health services and, consequently, it is essential in order to ensure this right</w:t>
      </w:r>
      <w:r w:rsidRPr="00012C3F">
        <w:rPr>
          <w:sz w:val="20"/>
          <w:szCs w:val="20"/>
          <w:lang w:val="en-US"/>
        </w:rPr>
        <w:t xml:space="preserve"> (</w:t>
      </w:r>
      <w:r w:rsidRPr="00012C3F">
        <w:rPr>
          <w:i/>
          <w:sz w:val="20"/>
          <w:szCs w:val="20"/>
          <w:lang w:val="en-US"/>
        </w:rPr>
        <w:t>supra</w:t>
      </w:r>
      <w:r w:rsidRPr="00012C3F">
        <w:rPr>
          <w:sz w:val="20"/>
          <w:szCs w:val="20"/>
          <w:lang w:val="en-US"/>
        </w:rPr>
        <w:t xml:space="preserve"> </w:t>
      </w:r>
      <w:r w:rsidR="00370DD4" w:rsidRPr="00012C3F">
        <w:rPr>
          <w:sz w:val="20"/>
          <w:szCs w:val="20"/>
          <w:lang w:val="en-US"/>
        </w:rPr>
        <w:t>para.</w:t>
      </w:r>
      <w:r w:rsidRPr="00012C3F">
        <w:rPr>
          <w:sz w:val="20"/>
          <w:szCs w:val="20"/>
          <w:lang w:val="en-US"/>
        </w:rPr>
        <w:t xml:space="preserve"> </w:t>
      </w:r>
      <w:r w:rsidR="00FD41A9" w:rsidRPr="00012C3F">
        <w:rPr>
          <w:sz w:val="20"/>
          <w:szCs w:val="20"/>
          <w:lang w:val="en-US"/>
        </w:rPr>
        <w:t xml:space="preserve">156). </w:t>
      </w:r>
      <w:r w:rsidR="000E1C11" w:rsidRPr="00012C3F">
        <w:rPr>
          <w:sz w:val="20"/>
          <w:szCs w:val="20"/>
          <w:lang w:val="en-US"/>
        </w:rPr>
        <w:t>I.V.</w:t>
      </w:r>
      <w:r w:rsidRPr="00012C3F">
        <w:rPr>
          <w:sz w:val="20"/>
          <w:szCs w:val="20"/>
          <w:lang w:val="en-US"/>
        </w:rPr>
        <w:t xml:space="preserve"> </w:t>
      </w:r>
      <w:r w:rsidR="00EA7244" w:rsidRPr="00012C3F">
        <w:rPr>
          <w:sz w:val="20"/>
          <w:szCs w:val="20"/>
          <w:lang w:val="en-US"/>
        </w:rPr>
        <w:t xml:space="preserve">should have been informed not only of the success rate of other contraceptive methods, but also of whether they were appropriate in her specific case. Only then would she have had the necessary information to take a free and informed decision.  </w:t>
      </w:r>
    </w:p>
    <w:p w14:paraId="6D3E93A7" w14:textId="77777777" w:rsidR="00E17AF2" w:rsidRPr="00012C3F" w:rsidRDefault="00E17AF2" w:rsidP="00E17AF2">
      <w:pPr>
        <w:tabs>
          <w:tab w:val="left" w:pos="567"/>
        </w:tabs>
        <w:spacing w:line="240" w:lineRule="auto"/>
        <w:rPr>
          <w:sz w:val="20"/>
          <w:szCs w:val="20"/>
          <w:lang w:val="en-US"/>
        </w:rPr>
      </w:pPr>
    </w:p>
    <w:p w14:paraId="14B3622F" w14:textId="77777777" w:rsidR="00E17AF2" w:rsidRPr="00012C3F" w:rsidRDefault="006C705C" w:rsidP="00EA7244">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sz w:val="20"/>
          <w:szCs w:val="20"/>
          <w:lang w:val="en-US"/>
        </w:rPr>
        <w:t xml:space="preserve">In </w:t>
      </w:r>
      <w:r w:rsidR="00EA7244" w:rsidRPr="00012C3F">
        <w:rPr>
          <w:sz w:val="20"/>
          <w:szCs w:val="20"/>
          <w:lang w:val="en-US"/>
        </w:rPr>
        <w:t>this regard, the Court considers that I.V. did not have the opportunity to think about and completely understand the consequences of her decision in the context of her situation and based on what she was told by the doctors because the Court finds that it was not reasonable to suppose that she had been able to reflect and take a decision in only 10 minutes, or even in two hours,</w:t>
      </w:r>
      <w:r w:rsidR="00E17AF2" w:rsidRPr="00012C3F">
        <w:rPr>
          <w:rStyle w:val="Refdenotaalpie"/>
          <w:sz w:val="20"/>
          <w:szCs w:val="20"/>
          <w:lang w:val="en-US"/>
        </w:rPr>
        <w:footnoteReference w:id="307"/>
      </w:r>
      <w:r w:rsidR="00AA7EA3" w:rsidRPr="00012C3F">
        <w:rPr>
          <w:sz w:val="20"/>
          <w:szCs w:val="20"/>
          <w:lang w:val="en-US"/>
        </w:rPr>
        <w:t xml:space="preserve"> </w:t>
      </w:r>
      <w:r w:rsidR="00EA7244" w:rsidRPr="00012C3F">
        <w:rPr>
          <w:sz w:val="20"/>
          <w:szCs w:val="20"/>
          <w:lang w:val="en-US"/>
        </w:rPr>
        <w:t xml:space="preserve">based on the scant information provided and in the circumstances in which she found herself. Furthermore, the information that she could possibly die if she did not undergo sterilization and became pregnant again was presented at a moment of extreme stress and vulnerability, which could have contributed to the </w:t>
      </w:r>
      <w:r w:rsidR="00E52B4F" w:rsidRPr="00012C3F">
        <w:rPr>
          <w:sz w:val="20"/>
          <w:szCs w:val="20"/>
          <w:lang w:val="en-US"/>
        </w:rPr>
        <w:t>eventual acceptance of sterilization in a situation of coercion, intimidation and profound fear for her life</w:t>
      </w:r>
      <w:r w:rsidR="00E17AF2" w:rsidRPr="00012C3F">
        <w:rPr>
          <w:rStyle w:val="Refdenotaalpie"/>
          <w:sz w:val="20"/>
          <w:szCs w:val="20"/>
          <w:lang w:val="en-US"/>
        </w:rPr>
        <w:footnoteReference w:id="308"/>
      </w:r>
      <w:r w:rsidR="00E17AF2" w:rsidRPr="00012C3F">
        <w:rPr>
          <w:sz w:val="20"/>
          <w:szCs w:val="20"/>
          <w:lang w:val="en-US"/>
        </w:rPr>
        <w:t xml:space="preserve"> (</w:t>
      </w:r>
      <w:r w:rsidR="00E17AF2" w:rsidRPr="00012C3F">
        <w:rPr>
          <w:i/>
          <w:sz w:val="20"/>
          <w:szCs w:val="20"/>
          <w:lang w:val="en-US"/>
        </w:rPr>
        <w:t>supra</w:t>
      </w:r>
      <w:r w:rsidR="00E17AF2" w:rsidRPr="00012C3F">
        <w:rPr>
          <w:sz w:val="20"/>
          <w:szCs w:val="20"/>
          <w:lang w:val="en-US"/>
        </w:rPr>
        <w:t xml:space="preserve"> </w:t>
      </w:r>
      <w:r w:rsidR="00370DD4" w:rsidRPr="00012C3F">
        <w:rPr>
          <w:sz w:val="20"/>
          <w:szCs w:val="20"/>
          <w:lang w:val="en-US"/>
        </w:rPr>
        <w:t>paras.</w:t>
      </w:r>
      <w:r w:rsidR="00E17AF2" w:rsidRPr="00012C3F">
        <w:rPr>
          <w:sz w:val="20"/>
          <w:szCs w:val="20"/>
          <w:lang w:val="en-US"/>
        </w:rPr>
        <w:t xml:space="preserve"> </w:t>
      </w:r>
      <w:r w:rsidR="007113F5" w:rsidRPr="00012C3F">
        <w:rPr>
          <w:sz w:val="20"/>
          <w:szCs w:val="20"/>
          <w:lang w:val="en-US"/>
        </w:rPr>
        <w:t>183</w:t>
      </w:r>
      <w:r w:rsidR="005E5012" w:rsidRPr="00012C3F">
        <w:rPr>
          <w:sz w:val="20"/>
          <w:szCs w:val="20"/>
          <w:lang w:val="en-US"/>
        </w:rPr>
        <w:t xml:space="preserve"> and </w:t>
      </w:r>
      <w:r w:rsidR="007113F5" w:rsidRPr="00012C3F">
        <w:rPr>
          <w:sz w:val="20"/>
          <w:szCs w:val="20"/>
          <w:lang w:val="en-US"/>
        </w:rPr>
        <w:t>231</w:t>
      </w:r>
      <w:r w:rsidR="00E17AF2" w:rsidRPr="00012C3F">
        <w:rPr>
          <w:sz w:val="20"/>
          <w:szCs w:val="20"/>
          <w:lang w:val="en-US"/>
        </w:rPr>
        <w:t>).</w:t>
      </w:r>
      <w:r w:rsidR="00E17AF2" w:rsidRPr="00012C3F">
        <w:rPr>
          <w:rFonts w:eastAsia="MS Mincho"/>
          <w:sz w:val="20"/>
          <w:szCs w:val="20"/>
          <w:lang w:val="en-US" w:eastAsia="en-US" w:bidi="en-US"/>
        </w:rPr>
        <w:t xml:space="preserve"> </w:t>
      </w:r>
      <w:r w:rsidR="00E52B4F" w:rsidRPr="00012C3F">
        <w:rPr>
          <w:rFonts w:eastAsia="MS Mincho"/>
          <w:sz w:val="20"/>
          <w:szCs w:val="20"/>
          <w:lang w:val="en-US" w:eastAsia="en-US" w:bidi="en-US"/>
        </w:rPr>
        <w:t xml:space="preserve">I.V.’s failure to understand fully the magnitude and consequences of the medical procedure </w:t>
      </w:r>
      <w:r w:rsidR="004540C3" w:rsidRPr="00012C3F">
        <w:rPr>
          <w:rFonts w:eastAsia="MS Mincho"/>
          <w:sz w:val="20"/>
          <w:szCs w:val="20"/>
          <w:lang w:val="en-US" w:eastAsia="en-US" w:bidi="en-US"/>
        </w:rPr>
        <w:t>that</w:t>
      </w:r>
      <w:r w:rsidR="00E52B4F" w:rsidRPr="00012C3F">
        <w:rPr>
          <w:rFonts w:eastAsia="MS Mincho"/>
          <w:sz w:val="20"/>
          <w:szCs w:val="20"/>
          <w:lang w:val="en-US" w:eastAsia="en-US" w:bidi="en-US"/>
        </w:rPr>
        <w:t xml:space="preserve"> she underwent is clear from the evidence in this case, because on July </w:t>
      </w:r>
      <w:r w:rsidR="00E17AF2" w:rsidRPr="00012C3F">
        <w:rPr>
          <w:rFonts w:eastAsia="MS Mincho"/>
          <w:sz w:val="20"/>
          <w:szCs w:val="20"/>
          <w:lang w:val="en-US" w:eastAsia="en-US" w:bidi="en-US"/>
        </w:rPr>
        <w:t>2</w:t>
      </w:r>
      <w:r w:rsidR="005E5012" w:rsidRPr="00012C3F">
        <w:rPr>
          <w:rFonts w:eastAsia="MS Mincho"/>
          <w:sz w:val="20"/>
          <w:szCs w:val="20"/>
          <w:lang w:val="en-US" w:eastAsia="en-US" w:bidi="en-US"/>
        </w:rPr>
        <w:t xml:space="preserve"> and </w:t>
      </w:r>
      <w:r w:rsidR="00E17AF2" w:rsidRPr="00012C3F">
        <w:rPr>
          <w:rFonts w:eastAsia="MS Mincho"/>
          <w:sz w:val="20"/>
          <w:szCs w:val="20"/>
          <w:lang w:val="en-US" w:eastAsia="en-US" w:bidi="en-US"/>
        </w:rPr>
        <w:t>3</w:t>
      </w:r>
      <w:r w:rsidR="00E52B4F" w:rsidRPr="00012C3F">
        <w:rPr>
          <w:rFonts w:eastAsia="MS Mincho"/>
          <w:sz w:val="20"/>
          <w:szCs w:val="20"/>
          <w:lang w:val="en-US" w:eastAsia="en-US" w:bidi="en-US"/>
        </w:rPr>
        <w:t xml:space="preserve">, </w:t>
      </w:r>
      <w:r w:rsidR="00C063ED" w:rsidRPr="00012C3F">
        <w:rPr>
          <w:rFonts w:eastAsia="MS Mincho"/>
          <w:sz w:val="20"/>
          <w:szCs w:val="20"/>
          <w:lang w:val="en-US" w:eastAsia="en-US" w:bidi="en-US"/>
        </w:rPr>
        <w:t>2000</w:t>
      </w:r>
      <w:r w:rsidR="00E52B4F" w:rsidRPr="00012C3F">
        <w:rPr>
          <w:rFonts w:eastAsia="MS Mincho"/>
          <w:sz w:val="20"/>
          <w:szCs w:val="20"/>
          <w:lang w:val="en-US" w:eastAsia="en-US" w:bidi="en-US"/>
        </w:rPr>
        <w:t>, she asked the doctors to explain to her again what had happened</w:t>
      </w:r>
      <w:r w:rsidR="00E17AF2"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 xml:space="preserve">and </w:t>
      </w:r>
      <w:r w:rsidR="00E52B4F" w:rsidRPr="00012C3F">
        <w:rPr>
          <w:rFonts w:eastAsia="MS Mincho"/>
          <w:sz w:val="20"/>
          <w:szCs w:val="20"/>
          <w:lang w:val="en-US" w:eastAsia="en-US" w:bidi="en-US"/>
        </w:rPr>
        <w:t>why they had sterilized her without her consent.</w:t>
      </w:r>
      <w:r w:rsidR="00E17AF2" w:rsidRPr="00012C3F">
        <w:rPr>
          <w:rFonts w:eastAsia="MS Mincho"/>
          <w:sz w:val="20"/>
          <w:szCs w:val="20"/>
          <w:vertAlign w:val="superscript"/>
          <w:lang w:val="en-US" w:eastAsia="en-US" w:bidi="en-US"/>
        </w:rPr>
        <w:footnoteReference w:id="309"/>
      </w:r>
      <w:r w:rsidR="00E17AF2" w:rsidRPr="00012C3F" w:rsidDel="00C50AF3">
        <w:rPr>
          <w:rFonts w:eastAsia="MS Mincho"/>
          <w:sz w:val="20"/>
          <w:szCs w:val="20"/>
          <w:lang w:val="en-US" w:eastAsia="en-US" w:bidi="en-US"/>
        </w:rPr>
        <w:t xml:space="preserve"> </w:t>
      </w:r>
    </w:p>
    <w:p w14:paraId="40CA69EF" w14:textId="77777777" w:rsidR="00E17AF2" w:rsidRPr="00012C3F" w:rsidRDefault="00E17AF2" w:rsidP="00E17AF2">
      <w:pPr>
        <w:tabs>
          <w:tab w:val="left" w:pos="567"/>
        </w:tabs>
        <w:spacing w:line="240" w:lineRule="auto"/>
        <w:rPr>
          <w:rFonts w:eastAsia="MS Mincho"/>
          <w:sz w:val="20"/>
          <w:szCs w:val="20"/>
          <w:lang w:val="en-US" w:eastAsia="en-US" w:bidi="en-US"/>
        </w:rPr>
      </w:pPr>
    </w:p>
    <w:p w14:paraId="304ECCE4" w14:textId="77777777" w:rsidR="00286F68" w:rsidRPr="00012C3F" w:rsidRDefault="00286F68" w:rsidP="00A44CEA">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sz w:val="20"/>
          <w:szCs w:val="20"/>
          <w:lang w:val="en-US"/>
        </w:rPr>
        <w:t xml:space="preserve">Lastly, the Court emphasizes that the decision to perform the tubal ligation was a decision that related to I.V.’s most intimate sphere. Therefore, </w:t>
      </w:r>
      <w:r w:rsidR="004540C3" w:rsidRPr="00012C3F">
        <w:rPr>
          <w:sz w:val="20"/>
          <w:szCs w:val="20"/>
          <w:lang w:val="en-US"/>
        </w:rPr>
        <w:t xml:space="preserve">based on her right to reproductive </w:t>
      </w:r>
      <w:r w:rsidR="00CD065A" w:rsidRPr="00012C3F">
        <w:rPr>
          <w:sz w:val="20"/>
          <w:szCs w:val="20"/>
          <w:lang w:val="en-US"/>
        </w:rPr>
        <w:t xml:space="preserve">freedom </w:t>
      </w:r>
      <w:r w:rsidR="004540C3" w:rsidRPr="00012C3F">
        <w:rPr>
          <w:sz w:val="20"/>
          <w:szCs w:val="20"/>
          <w:lang w:val="en-US"/>
        </w:rPr>
        <w:t xml:space="preserve">and autonomy, </w:t>
      </w:r>
      <w:r w:rsidRPr="00012C3F">
        <w:rPr>
          <w:sz w:val="20"/>
          <w:szCs w:val="20"/>
          <w:lang w:val="en-US"/>
        </w:rPr>
        <w:t xml:space="preserve">it was for </w:t>
      </w:r>
      <w:r w:rsidR="004540C3" w:rsidRPr="00012C3F">
        <w:rPr>
          <w:sz w:val="20"/>
          <w:szCs w:val="20"/>
          <w:lang w:val="en-US"/>
        </w:rPr>
        <w:t>I.V.</w:t>
      </w:r>
      <w:r w:rsidRPr="00012C3F">
        <w:rPr>
          <w:sz w:val="20"/>
          <w:szCs w:val="20"/>
          <w:lang w:val="en-US"/>
        </w:rPr>
        <w:t xml:space="preserve"> to take the decision to undergo this surgical contraceptive method, rather than choose other less in</w:t>
      </w:r>
      <w:r w:rsidR="00BE25EC" w:rsidRPr="00012C3F">
        <w:rPr>
          <w:sz w:val="20"/>
          <w:szCs w:val="20"/>
          <w:lang w:val="en-US"/>
        </w:rPr>
        <w:t>va</w:t>
      </w:r>
      <w:r w:rsidRPr="00012C3F">
        <w:rPr>
          <w:sz w:val="20"/>
          <w:szCs w:val="20"/>
          <w:lang w:val="en-US"/>
        </w:rPr>
        <w:t xml:space="preserve">sive methods, and not </w:t>
      </w:r>
      <w:r w:rsidR="004540C3" w:rsidRPr="00012C3F">
        <w:rPr>
          <w:sz w:val="20"/>
          <w:szCs w:val="20"/>
          <w:lang w:val="en-US"/>
        </w:rPr>
        <w:t>for</w:t>
      </w:r>
      <w:r w:rsidRPr="00012C3F">
        <w:rPr>
          <w:sz w:val="20"/>
          <w:szCs w:val="20"/>
          <w:lang w:val="en-US"/>
        </w:rPr>
        <w:t xml:space="preserve"> the physician or her husband. In this regard, even though the Court considers it positive to allow I.V.’s partner to take part in this decision, if she had so wished, this does not mean that he could have either given or </w:t>
      </w:r>
      <w:r w:rsidR="00280F09" w:rsidRPr="00012C3F">
        <w:rPr>
          <w:sz w:val="20"/>
          <w:szCs w:val="20"/>
          <w:lang w:val="en-US"/>
        </w:rPr>
        <w:t>confirmed</w:t>
      </w:r>
      <w:r w:rsidRPr="00012C3F">
        <w:rPr>
          <w:sz w:val="20"/>
          <w:szCs w:val="20"/>
          <w:lang w:val="en-US"/>
        </w:rPr>
        <w:t xml:space="preserve"> the consent when they tried to find him so that he could ratify a presumed verbal consent supposedly given previously by I.V. in the operating theater. Added to this, the Court finds that the form signed by J.E., I.V.’s husband</w:t>
      </w:r>
      <w:r w:rsidR="00280F09" w:rsidRPr="00012C3F">
        <w:rPr>
          <w:sz w:val="20"/>
          <w:szCs w:val="20"/>
          <w:lang w:val="en-US"/>
        </w:rPr>
        <w:t>,</w:t>
      </w:r>
      <w:r w:rsidR="002934F2" w:rsidRPr="00012C3F">
        <w:rPr>
          <w:sz w:val="20"/>
          <w:szCs w:val="20"/>
          <w:lang w:val="en-US"/>
        </w:rPr>
        <w:t xml:space="preserve"> authorizing the caesarean section (</w:t>
      </w:r>
      <w:r w:rsidR="002934F2" w:rsidRPr="00012C3F">
        <w:rPr>
          <w:i/>
          <w:sz w:val="20"/>
          <w:szCs w:val="20"/>
          <w:lang w:val="en-US"/>
        </w:rPr>
        <w:t xml:space="preserve">supra </w:t>
      </w:r>
      <w:r w:rsidR="002934F2" w:rsidRPr="00012C3F">
        <w:rPr>
          <w:sz w:val="20"/>
          <w:szCs w:val="20"/>
          <w:lang w:val="en-US"/>
        </w:rPr>
        <w:t>para. 65), in no way involved authorization or consent for the tubal ligation procedure. Consequently, the Court considers that, taking into account the State’s version of the facts, the verbal consent given by I.V. was contrary to the criteria of the Convention.</w:t>
      </w:r>
    </w:p>
    <w:p w14:paraId="5A172337" w14:textId="77777777" w:rsidR="00E17AF2" w:rsidRPr="00012C3F" w:rsidRDefault="00E17AF2" w:rsidP="00E17AF2">
      <w:pPr>
        <w:tabs>
          <w:tab w:val="left" w:pos="567"/>
        </w:tabs>
        <w:spacing w:line="240" w:lineRule="auto"/>
        <w:rPr>
          <w:rFonts w:eastAsia="MS Mincho"/>
          <w:sz w:val="20"/>
          <w:szCs w:val="20"/>
          <w:lang w:val="en-US" w:eastAsia="en-US" w:bidi="en-US"/>
        </w:rPr>
      </w:pPr>
    </w:p>
    <w:p w14:paraId="44AECD65" w14:textId="77777777" w:rsidR="00E17AF2" w:rsidRPr="00012C3F" w:rsidRDefault="002934F2" w:rsidP="002934F2">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sz w:val="20"/>
          <w:szCs w:val="20"/>
          <w:lang w:val="en-US"/>
        </w:rPr>
        <w:t xml:space="preserve">Based on all the above, the </w:t>
      </w:r>
      <w:r w:rsidR="009D3EE9" w:rsidRPr="00012C3F">
        <w:rPr>
          <w:sz w:val="20"/>
          <w:szCs w:val="20"/>
          <w:lang w:val="en-US"/>
        </w:rPr>
        <w:t>Court</w:t>
      </w:r>
      <w:r w:rsidRPr="00012C3F">
        <w:rPr>
          <w:sz w:val="20"/>
          <w:szCs w:val="20"/>
          <w:lang w:val="en-US"/>
        </w:rPr>
        <w:t xml:space="preserve"> concludes that I.V. did not express her prior, free, full and informed consent to undergo the surgical procedure of Pomeroy-type tubal ligation and, consequently, she underwent a non-consensual or involuntary sterilization. The Court considers that the fact that I.V. was subjected to a tubal ligation procedure without providing her with complete, adequate and comprehensible information in order to obtain her free consent resulted in interference and intrusion in her body, the permanent loss of her reproductive capacity</w:t>
      </w:r>
      <w:r w:rsidR="00280F09" w:rsidRPr="00012C3F">
        <w:rPr>
          <w:sz w:val="20"/>
          <w:szCs w:val="20"/>
          <w:lang w:val="en-US"/>
        </w:rPr>
        <w:t>,</w:t>
      </w:r>
      <w:r w:rsidRPr="00012C3F">
        <w:rPr>
          <w:sz w:val="20"/>
          <w:szCs w:val="20"/>
          <w:lang w:val="en-US"/>
        </w:rPr>
        <w:t xml:space="preserve"> and the violation of her autonomy in decisions related to her sexual and reproductive health. Furthermore, the non-consensual sterilization resulted in </w:t>
      </w:r>
      <w:r w:rsidR="00280F09" w:rsidRPr="00012C3F">
        <w:rPr>
          <w:sz w:val="20"/>
          <w:szCs w:val="20"/>
          <w:lang w:val="en-US"/>
        </w:rPr>
        <w:t xml:space="preserve">the </w:t>
      </w:r>
      <w:r w:rsidRPr="00012C3F">
        <w:rPr>
          <w:sz w:val="20"/>
          <w:szCs w:val="20"/>
          <w:lang w:val="en-US"/>
        </w:rPr>
        <w:t>annulment of her right to freely take decisions concerning her body and reproductive capacity, completely losing control over her most personal and intimate decisions. It also violated essential values and aspects of the dignity and private life of I.V.</w:t>
      </w:r>
      <w:r w:rsidR="00364371" w:rsidRPr="00012C3F">
        <w:rPr>
          <w:sz w:val="20"/>
          <w:szCs w:val="20"/>
          <w:lang w:val="en-US"/>
        </w:rPr>
        <w:t xml:space="preserve">, because this sterilization was an intrusion into her autonomy and reproductive freedom and an arbitrary and abusive interference in her private life, violating her right of decision regarding the number of children she wished to have and the spacing between them, and her right to raise a family through her right to procreate. Consequently, the State violated </w:t>
      </w:r>
      <w:r w:rsidR="00DF5BD3" w:rsidRPr="00012C3F">
        <w:rPr>
          <w:sz w:val="20"/>
          <w:szCs w:val="20"/>
          <w:lang w:val="en-US"/>
        </w:rPr>
        <w:t>the</w:t>
      </w:r>
      <w:r w:rsidR="00364371" w:rsidRPr="00012C3F">
        <w:rPr>
          <w:sz w:val="20"/>
          <w:szCs w:val="20"/>
          <w:lang w:val="en-US"/>
        </w:rPr>
        <w:t xml:space="preserve"> I.V.’s</w:t>
      </w:r>
      <w:r w:rsidR="00DF5BD3" w:rsidRPr="00012C3F">
        <w:rPr>
          <w:sz w:val="20"/>
          <w:szCs w:val="20"/>
          <w:lang w:val="en-US"/>
        </w:rPr>
        <w:t xml:space="preserve"> rights</w:t>
      </w:r>
      <w:r w:rsidR="00E17AF2" w:rsidRPr="00012C3F">
        <w:rPr>
          <w:sz w:val="20"/>
          <w:szCs w:val="20"/>
          <w:lang w:val="en-US"/>
        </w:rPr>
        <w:t xml:space="preserve"> </w:t>
      </w:r>
      <w:r w:rsidR="006C705C" w:rsidRPr="00012C3F">
        <w:rPr>
          <w:sz w:val="20"/>
          <w:szCs w:val="20"/>
          <w:lang w:val="en-US"/>
        </w:rPr>
        <w:t>to personal integrity</w:t>
      </w:r>
      <w:r w:rsidR="00E17AF2" w:rsidRPr="00012C3F">
        <w:rPr>
          <w:sz w:val="20"/>
          <w:szCs w:val="20"/>
          <w:lang w:val="en-US"/>
        </w:rPr>
        <w:t>,</w:t>
      </w:r>
      <w:r w:rsidR="00364371" w:rsidRPr="00012C3F">
        <w:rPr>
          <w:sz w:val="20"/>
          <w:szCs w:val="20"/>
          <w:lang w:val="en-US"/>
        </w:rPr>
        <w:t xml:space="preserve"> to</w:t>
      </w:r>
      <w:r w:rsidR="00E17AF2" w:rsidRPr="00012C3F">
        <w:rPr>
          <w:sz w:val="20"/>
          <w:szCs w:val="20"/>
          <w:lang w:val="en-US"/>
        </w:rPr>
        <w:t xml:space="preserve"> </w:t>
      </w:r>
      <w:r w:rsidR="00130362" w:rsidRPr="00012C3F">
        <w:rPr>
          <w:sz w:val="20"/>
          <w:szCs w:val="20"/>
          <w:lang w:val="en-US"/>
        </w:rPr>
        <w:t>personal liberty</w:t>
      </w:r>
      <w:r w:rsidR="00E17AF2" w:rsidRPr="00012C3F">
        <w:rPr>
          <w:sz w:val="20"/>
          <w:szCs w:val="20"/>
          <w:lang w:val="en-US"/>
        </w:rPr>
        <w:t xml:space="preserve">, </w:t>
      </w:r>
      <w:r w:rsidR="00364371" w:rsidRPr="00012C3F">
        <w:rPr>
          <w:sz w:val="20"/>
          <w:szCs w:val="20"/>
          <w:lang w:val="en-US"/>
        </w:rPr>
        <w:t>to</w:t>
      </w:r>
      <w:r w:rsidR="00E17AF2" w:rsidRPr="00012C3F">
        <w:rPr>
          <w:sz w:val="20"/>
          <w:szCs w:val="20"/>
          <w:lang w:val="en-US"/>
        </w:rPr>
        <w:t xml:space="preserve"> </w:t>
      </w:r>
      <w:r w:rsidR="00130362" w:rsidRPr="00012C3F">
        <w:rPr>
          <w:sz w:val="20"/>
          <w:szCs w:val="20"/>
          <w:lang w:val="en-US"/>
        </w:rPr>
        <w:t>dignity</w:t>
      </w:r>
      <w:r w:rsidR="00F75425" w:rsidRPr="00012C3F">
        <w:rPr>
          <w:sz w:val="20"/>
          <w:szCs w:val="20"/>
          <w:lang w:val="en-US"/>
        </w:rPr>
        <w:t xml:space="preserve">, </w:t>
      </w:r>
      <w:r w:rsidR="00364371" w:rsidRPr="00012C3F">
        <w:rPr>
          <w:sz w:val="20"/>
          <w:szCs w:val="20"/>
          <w:lang w:val="en-US"/>
        </w:rPr>
        <w:t>to</w:t>
      </w:r>
      <w:r w:rsidR="00F75425" w:rsidRPr="00012C3F">
        <w:rPr>
          <w:sz w:val="20"/>
          <w:szCs w:val="20"/>
          <w:lang w:val="en-US"/>
        </w:rPr>
        <w:t xml:space="preserve"> </w:t>
      </w:r>
      <w:r w:rsidR="00130362" w:rsidRPr="00012C3F">
        <w:rPr>
          <w:sz w:val="20"/>
          <w:szCs w:val="20"/>
          <w:lang w:val="en-US"/>
        </w:rPr>
        <w:t>private and family life</w:t>
      </w:r>
      <w:r w:rsidR="00E17AF2" w:rsidRPr="00012C3F">
        <w:rPr>
          <w:sz w:val="20"/>
          <w:szCs w:val="20"/>
          <w:lang w:val="en-US"/>
        </w:rPr>
        <w:t xml:space="preserve">, </w:t>
      </w:r>
      <w:r w:rsidR="006C705C" w:rsidRPr="00012C3F">
        <w:rPr>
          <w:sz w:val="20"/>
          <w:szCs w:val="20"/>
          <w:lang w:val="en-US"/>
        </w:rPr>
        <w:t>of access to information</w:t>
      </w:r>
      <w:r w:rsidR="00364371" w:rsidRPr="00012C3F">
        <w:rPr>
          <w:sz w:val="20"/>
          <w:szCs w:val="20"/>
          <w:lang w:val="en-US"/>
        </w:rPr>
        <w:t>,</w:t>
      </w:r>
      <w:r w:rsidR="005E5012" w:rsidRPr="00012C3F">
        <w:rPr>
          <w:sz w:val="20"/>
          <w:szCs w:val="20"/>
          <w:lang w:val="en-US"/>
        </w:rPr>
        <w:t xml:space="preserve"> and </w:t>
      </w:r>
      <w:r w:rsidR="00EF483B" w:rsidRPr="00012C3F">
        <w:rPr>
          <w:sz w:val="20"/>
          <w:szCs w:val="20"/>
          <w:lang w:val="en-US"/>
        </w:rPr>
        <w:t xml:space="preserve">to </w:t>
      </w:r>
      <w:r w:rsidR="00364371" w:rsidRPr="00012C3F">
        <w:rPr>
          <w:sz w:val="20"/>
          <w:szCs w:val="20"/>
          <w:lang w:val="en-US"/>
        </w:rPr>
        <w:t>raise</w:t>
      </w:r>
      <w:r w:rsidR="00EF483B" w:rsidRPr="00012C3F">
        <w:rPr>
          <w:sz w:val="20"/>
          <w:szCs w:val="20"/>
          <w:lang w:val="en-US"/>
        </w:rPr>
        <w:t xml:space="preserve"> a family</w:t>
      </w:r>
      <w:r w:rsidR="00364371" w:rsidRPr="00012C3F">
        <w:rPr>
          <w:sz w:val="20"/>
          <w:szCs w:val="20"/>
          <w:lang w:val="en-US"/>
        </w:rPr>
        <w:t>.</w:t>
      </w:r>
    </w:p>
    <w:p w14:paraId="010A826C" w14:textId="77777777" w:rsidR="00E17AF2" w:rsidRPr="00012C3F" w:rsidRDefault="00E17AF2" w:rsidP="00E17AF2">
      <w:pPr>
        <w:spacing w:line="240" w:lineRule="auto"/>
        <w:rPr>
          <w:sz w:val="20"/>
          <w:szCs w:val="20"/>
          <w:lang w:val="en-US"/>
        </w:rPr>
      </w:pPr>
    </w:p>
    <w:p w14:paraId="0B3A1DD6" w14:textId="77777777" w:rsidR="007C5375" w:rsidRPr="00012C3F" w:rsidRDefault="001254DE" w:rsidP="0004488C">
      <w:pPr>
        <w:numPr>
          <w:ilvl w:val="0"/>
          <w:numId w:val="5"/>
        </w:numPr>
        <w:tabs>
          <w:tab w:val="left" w:pos="720"/>
          <w:tab w:val="num" w:pos="12305"/>
        </w:tabs>
        <w:spacing w:line="240" w:lineRule="auto"/>
        <w:ind w:left="0" w:firstLine="0"/>
        <w:rPr>
          <w:sz w:val="20"/>
          <w:szCs w:val="20"/>
          <w:lang w:val="en-US"/>
        </w:rPr>
      </w:pPr>
      <w:r w:rsidRPr="00012C3F">
        <w:rPr>
          <w:rFonts w:eastAsia="MS Mincho"/>
          <w:sz w:val="20"/>
          <w:szCs w:val="20"/>
          <w:lang w:val="en-US"/>
        </w:rPr>
        <w:t>The Court</w:t>
      </w:r>
      <w:r w:rsidR="00E17AF2" w:rsidRPr="00012C3F">
        <w:rPr>
          <w:rFonts w:eastAsia="MS Mincho"/>
          <w:sz w:val="20"/>
          <w:szCs w:val="20"/>
          <w:lang w:val="en-US"/>
        </w:rPr>
        <w:t xml:space="preserve"> </w:t>
      </w:r>
      <w:r w:rsidR="00364371" w:rsidRPr="00012C3F">
        <w:rPr>
          <w:rFonts w:eastAsia="MS Mincho"/>
          <w:sz w:val="20"/>
          <w:szCs w:val="20"/>
          <w:lang w:val="en-US"/>
        </w:rPr>
        <w:t>stresses the gravity of this violation of women’s rights,</w:t>
      </w:r>
      <w:r w:rsidR="00E17AF2" w:rsidRPr="00012C3F">
        <w:rPr>
          <w:rFonts w:eastAsia="MS Mincho"/>
          <w:bCs/>
          <w:sz w:val="20"/>
          <w:szCs w:val="20"/>
          <w:vertAlign w:val="superscript"/>
          <w:lang w:val="en-US"/>
        </w:rPr>
        <w:footnoteReference w:id="310"/>
      </w:r>
      <w:r w:rsidR="00364371" w:rsidRPr="00012C3F">
        <w:rPr>
          <w:rFonts w:eastAsia="MS Mincho"/>
          <w:sz w:val="20"/>
          <w:szCs w:val="20"/>
          <w:lang w:val="en-US"/>
        </w:rPr>
        <w:t xml:space="preserve"> because it is necessary to highlight practices such as those verified in this case that may hide negative or prejudicial gender stereotypes associated with health care services and result in legitimizing, normalizing or perpetuating non-consensual sterilizations that disproportionately affect women.</w:t>
      </w:r>
      <w:r w:rsidR="00E17AF2" w:rsidRPr="00012C3F">
        <w:rPr>
          <w:rStyle w:val="Refdenotaalpie"/>
          <w:rFonts w:eastAsia="MS Mincho"/>
          <w:sz w:val="20"/>
          <w:szCs w:val="20"/>
          <w:lang w:val="en-US"/>
        </w:rPr>
        <w:footnoteReference w:id="311"/>
      </w:r>
      <w:r w:rsidR="00364371" w:rsidRPr="00012C3F">
        <w:rPr>
          <w:rFonts w:eastAsia="MS Mincho"/>
          <w:sz w:val="20"/>
          <w:szCs w:val="20"/>
          <w:lang w:val="en-US"/>
        </w:rPr>
        <w:t xml:space="preserve"> In this case, the Court considers that the medical decision to perform the sterilization procedure on I.V. without her </w:t>
      </w:r>
      <w:r w:rsidR="00DF71A5" w:rsidRPr="00012C3F">
        <w:rPr>
          <w:rFonts w:eastAsia="MS Mincho"/>
          <w:sz w:val="20"/>
          <w:szCs w:val="20"/>
          <w:lang w:val="en-US"/>
        </w:rPr>
        <w:t>prior, free, full and informed consent</w:t>
      </w:r>
      <w:r w:rsidR="00364371" w:rsidRPr="00012C3F">
        <w:rPr>
          <w:rFonts w:eastAsia="MS Mincho"/>
          <w:sz w:val="20"/>
          <w:szCs w:val="20"/>
          <w:lang w:val="en-US"/>
        </w:rPr>
        <w:t xml:space="preserve"> was prompted by a logic of paternalist care and under the preconception that the sterilization had to be performed while I.V. was in the peri-operative period following </w:t>
      </w:r>
      <w:r w:rsidR="00CC232E" w:rsidRPr="00012C3F">
        <w:rPr>
          <w:rFonts w:eastAsia="MS Mincho"/>
          <w:sz w:val="20"/>
          <w:szCs w:val="20"/>
          <w:lang w:val="en-US"/>
        </w:rPr>
        <w:t>a caesarean section</w:t>
      </w:r>
      <w:r w:rsidR="00280F09" w:rsidRPr="00012C3F">
        <w:rPr>
          <w:rFonts w:eastAsia="MS Mincho"/>
          <w:sz w:val="20"/>
          <w:szCs w:val="20"/>
          <w:lang w:val="en-US"/>
        </w:rPr>
        <w:t xml:space="preserve"> – e</w:t>
      </w:r>
      <w:r w:rsidR="00364371" w:rsidRPr="00012C3F">
        <w:rPr>
          <w:rFonts w:eastAsia="MS Mincho"/>
          <w:sz w:val="20"/>
          <w:szCs w:val="20"/>
          <w:lang w:val="en-US"/>
        </w:rPr>
        <w:t>ven though her case was not urgent or a medical emergency</w:t>
      </w:r>
      <w:r w:rsidR="00280F09" w:rsidRPr="00012C3F">
        <w:rPr>
          <w:rFonts w:eastAsia="MS Mincho"/>
          <w:sz w:val="20"/>
          <w:szCs w:val="20"/>
          <w:lang w:val="en-US"/>
        </w:rPr>
        <w:t xml:space="preserve"> –</w:t>
      </w:r>
      <w:r w:rsidR="00364371" w:rsidRPr="00012C3F">
        <w:rPr>
          <w:rFonts w:eastAsia="MS Mincho"/>
          <w:sz w:val="20"/>
          <w:szCs w:val="20"/>
          <w:lang w:val="en-US"/>
        </w:rPr>
        <w:t xml:space="preserve">based on the idea that she would not take </w:t>
      </w:r>
      <w:r w:rsidR="00280F09" w:rsidRPr="00012C3F">
        <w:rPr>
          <w:rFonts w:eastAsia="MS Mincho"/>
          <w:sz w:val="20"/>
          <w:szCs w:val="20"/>
          <w:lang w:val="en-US"/>
        </w:rPr>
        <w:t>proper</w:t>
      </w:r>
      <w:r w:rsidR="00364371" w:rsidRPr="00012C3F">
        <w:rPr>
          <w:rFonts w:eastAsia="MS Mincho"/>
          <w:sz w:val="20"/>
          <w:szCs w:val="20"/>
          <w:lang w:val="en-US"/>
        </w:rPr>
        <w:t xml:space="preserve"> decisions in the future to avoid a</w:t>
      </w:r>
      <w:r w:rsidR="007C5375" w:rsidRPr="00012C3F">
        <w:rPr>
          <w:rFonts w:eastAsia="MS Mincho"/>
          <w:sz w:val="20"/>
          <w:szCs w:val="20"/>
          <w:lang w:val="en-US"/>
        </w:rPr>
        <w:t xml:space="preserve">nother </w:t>
      </w:r>
      <w:r w:rsidR="00364371" w:rsidRPr="00012C3F">
        <w:rPr>
          <w:rFonts w:eastAsia="MS Mincho"/>
          <w:sz w:val="20"/>
          <w:szCs w:val="20"/>
          <w:lang w:val="en-US"/>
        </w:rPr>
        <w:t xml:space="preserve">pregnancy. </w:t>
      </w:r>
      <w:r w:rsidR="007C5375" w:rsidRPr="00012C3F">
        <w:rPr>
          <w:rFonts w:eastAsia="MS Mincho"/>
          <w:sz w:val="20"/>
          <w:szCs w:val="20"/>
          <w:lang w:val="en-US"/>
        </w:rPr>
        <w:t xml:space="preserve">The physician acted in this way in an unjustified paternalistic manner, by failing to acknowledge her as a moral </w:t>
      </w:r>
      <w:r w:rsidR="009D3EE9" w:rsidRPr="00012C3F">
        <w:rPr>
          <w:rFonts w:eastAsia="MS Mincho"/>
          <w:sz w:val="20"/>
          <w:szCs w:val="20"/>
          <w:lang w:val="en-US"/>
        </w:rPr>
        <w:t>decision</w:t>
      </w:r>
      <w:r w:rsidR="007C5375" w:rsidRPr="00012C3F">
        <w:rPr>
          <w:rFonts w:eastAsia="MS Mincho"/>
          <w:sz w:val="20"/>
          <w:szCs w:val="20"/>
          <w:lang w:val="en-US"/>
        </w:rPr>
        <w:t xml:space="preserve">-making agent </w:t>
      </w:r>
      <w:r w:rsidR="005E5012" w:rsidRPr="00012C3F">
        <w:rPr>
          <w:sz w:val="20"/>
          <w:szCs w:val="20"/>
          <w:lang w:val="en-US"/>
        </w:rPr>
        <w:t xml:space="preserve">and </w:t>
      </w:r>
      <w:r w:rsidR="00E17AF2" w:rsidRPr="00012C3F">
        <w:rPr>
          <w:sz w:val="20"/>
          <w:szCs w:val="20"/>
          <w:lang w:val="en-US"/>
        </w:rPr>
        <w:t>consider</w:t>
      </w:r>
      <w:r w:rsidR="007C5375" w:rsidRPr="00012C3F">
        <w:rPr>
          <w:sz w:val="20"/>
          <w:szCs w:val="20"/>
          <w:lang w:val="en-US"/>
        </w:rPr>
        <w:t xml:space="preserve">ing that, </w:t>
      </w:r>
      <w:r w:rsidR="00280F09" w:rsidRPr="00012C3F">
        <w:rPr>
          <w:sz w:val="20"/>
          <w:szCs w:val="20"/>
          <w:lang w:val="en-US"/>
        </w:rPr>
        <w:t>based on</w:t>
      </w:r>
      <w:r w:rsidR="007C5375" w:rsidRPr="00012C3F">
        <w:rPr>
          <w:sz w:val="20"/>
          <w:szCs w:val="20"/>
          <w:lang w:val="en-US"/>
        </w:rPr>
        <w:t xml:space="preserve"> his medical opinion, he had to protect I.V., by taking the decision that he considered pertinent, without giving her the opportunity to weigh the options available to her</w:t>
      </w:r>
      <w:r w:rsidR="00280F09" w:rsidRPr="00012C3F">
        <w:rPr>
          <w:sz w:val="20"/>
          <w:szCs w:val="20"/>
          <w:lang w:val="en-US"/>
        </w:rPr>
        <w:t>; thus,</w:t>
      </w:r>
      <w:r w:rsidR="007C5375" w:rsidRPr="00012C3F">
        <w:rPr>
          <w:sz w:val="20"/>
          <w:szCs w:val="20"/>
          <w:lang w:val="en-US"/>
        </w:rPr>
        <w:t xml:space="preserve"> annulling her ability to decide based on her autonomy. In addition, the physician acted with a stereotype rationale according to </w:t>
      </w:r>
      <w:r w:rsidR="007C5375" w:rsidRPr="00012C3F">
        <w:rPr>
          <w:sz w:val="20"/>
          <w:szCs w:val="20"/>
          <w:lang w:val="en-US"/>
        </w:rPr>
        <w:lastRenderedPageBreak/>
        <w:t>which only I.V. was responsible for the couple’s contracepti</w:t>
      </w:r>
      <w:r w:rsidR="00280F09" w:rsidRPr="00012C3F">
        <w:rPr>
          <w:sz w:val="20"/>
          <w:szCs w:val="20"/>
          <w:lang w:val="en-US"/>
        </w:rPr>
        <w:t>ve</w:t>
      </w:r>
      <w:r w:rsidR="007C5375" w:rsidRPr="00012C3F">
        <w:rPr>
          <w:sz w:val="20"/>
          <w:szCs w:val="20"/>
          <w:lang w:val="en-US"/>
        </w:rPr>
        <w:t xml:space="preserve"> actions. The fact that, for example, they had not mentioned the option that her husband could undergo a vasectomy, </w:t>
      </w:r>
      <w:r w:rsidR="0004488C" w:rsidRPr="00012C3F">
        <w:rPr>
          <w:sz w:val="20"/>
          <w:szCs w:val="20"/>
          <w:lang w:val="en-US"/>
        </w:rPr>
        <w:t>reveals that the physician considered that I.V. was the partner who played the main role in reproduction. Accordingly, the Court understands that the physician acted based on</w:t>
      </w:r>
      <w:r w:rsidR="00280F09" w:rsidRPr="00012C3F">
        <w:rPr>
          <w:sz w:val="20"/>
          <w:szCs w:val="20"/>
          <w:lang w:val="en-US"/>
        </w:rPr>
        <w:t xml:space="preserve"> the</w:t>
      </w:r>
      <w:r w:rsidR="0004488C" w:rsidRPr="00012C3F">
        <w:rPr>
          <w:sz w:val="20"/>
          <w:szCs w:val="20"/>
          <w:lang w:val="en-US"/>
        </w:rPr>
        <w:t xml:space="preserve"> gender stereotypes frequently applied to women in the health sector, </w:t>
      </w:r>
      <w:r w:rsidR="00280F09" w:rsidRPr="00012C3F">
        <w:rPr>
          <w:sz w:val="20"/>
          <w:szCs w:val="20"/>
          <w:lang w:val="en-US"/>
        </w:rPr>
        <w:t>distrusting</w:t>
      </w:r>
      <w:r w:rsidR="0004488C" w:rsidRPr="00012C3F">
        <w:rPr>
          <w:sz w:val="20"/>
          <w:szCs w:val="20"/>
          <w:lang w:val="en-US"/>
        </w:rPr>
        <w:t xml:space="preserve"> their decision</w:t>
      </w:r>
      <w:r w:rsidR="00280F09" w:rsidRPr="00012C3F">
        <w:rPr>
          <w:sz w:val="20"/>
          <w:szCs w:val="20"/>
          <w:lang w:val="en-US"/>
        </w:rPr>
        <w:t>-making powers</w:t>
      </w:r>
      <w:r w:rsidR="0004488C" w:rsidRPr="00012C3F">
        <w:rPr>
          <w:sz w:val="20"/>
          <w:szCs w:val="20"/>
          <w:lang w:val="en-US"/>
        </w:rPr>
        <w:t>.</w:t>
      </w:r>
    </w:p>
    <w:p w14:paraId="4F9761DA" w14:textId="77777777" w:rsidR="00E17AF2" w:rsidRPr="00012C3F" w:rsidRDefault="00E17AF2" w:rsidP="0004488C">
      <w:pPr>
        <w:tabs>
          <w:tab w:val="left" w:pos="720"/>
        </w:tabs>
        <w:spacing w:line="240" w:lineRule="auto"/>
        <w:rPr>
          <w:sz w:val="20"/>
          <w:szCs w:val="20"/>
          <w:lang w:val="en-US"/>
        </w:rPr>
      </w:pPr>
    </w:p>
    <w:p w14:paraId="7D91B5A1" w14:textId="77777777" w:rsidR="00E17AF2" w:rsidRPr="00012C3F" w:rsidRDefault="0004488C" w:rsidP="0004488C">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Batang"/>
          <w:sz w:val="20"/>
          <w:lang w:val="en-US"/>
        </w:rPr>
        <w:t xml:space="preserve">In ending this section, the Court considers that the facts that substantiate the alleged violation </w:t>
      </w:r>
      <w:r w:rsidR="008A7A0F" w:rsidRPr="00012C3F">
        <w:rPr>
          <w:rFonts w:eastAsia="Batang"/>
          <w:sz w:val="20"/>
          <w:lang w:val="en-US"/>
        </w:rPr>
        <w:t>of Article</w:t>
      </w:r>
      <w:r w:rsidR="0054061E" w:rsidRPr="00012C3F">
        <w:rPr>
          <w:rFonts w:eastAsia="Batang"/>
          <w:sz w:val="20"/>
          <w:lang w:val="en-US"/>
        </w:rPr>
        <w:t xml:space="preserve"> 3</w:t>
      </w:r>
      <w:r w:rsidR="001254DE" w:rsidRPr="00012C3F">
        <w:rPr>
          <w:rFonts w:eastAsia="Batang"/>
          <w:sz w:val="20"/>
          <w:lang w:val="en-US"/>
        </w:rPr>
        <w:t xml:space="preserve"> of the Convention</w:t>
      </w:r>
      <w:r w:rsidR="0054061E" w:rsidRPr="00012C3F">
        <w:rPr>
          <w:rFonts w:eastAsia="Batang"/>
          <w:sz w:val="20"/>
          <w:lang w:val="en-US"/>
        </w:rPr>
        <w:t xml:space="preserve"> </w:t>
      </w:r>
      <w:r w:rsidRPr="00012C3F">
        <w:rPr>
          <w:rFonts w:eastAsia="Batang"/>
          <w:sz w:val="20"/>
          <w:lang w:val="en-US"/>
        </w:rPr>
        <w:t xml:space="preserve">have already been duly considered in the </w:t>
      </w:r>
      <w:r w:rsidR="00280F09" w:rsidRPr="00012C3F">
        <w:rPr>
          <w:rFonts w:eastAsia="Batang"/>
          <w:sz w:val="20"/>
          <w:lang w:val="en-US"/>
        </w:rPr>
        <w:t>findings in</w:t>
      </w:r>
      <w:r w:rsidRPr="00012C3F">
        <w:rPr>
          <w:rFonts w:eastAsia="Batang"/>
          <w:sz w:val="20"/>
          <w:lang w:val="en-US"/>
        </w:rPr>
        <w:t xml:space="preserve"> this chapter, without it being necessary to issue a specific ruling on the right</w:t>
      </w:r>
      <w:r w:rsidRPr="00012C3F">
        <w:rPr>
          <w:rFonts w:eastAsia="MS Mincho"/>
          <w:sz w:val="20"/>
          <w:szCs w:val="20"/>
          <w:lang w:val="en-US"/>
        </w:rPr>
        <w:t xml:space="preserve"> </w:t>
      </w:r>
      <w:r w:rsidR="006C705C" w:rsidRPr="00012C3F">
        <w:rPr>
          <w:rFonts w:eastAsia="Batang"/>
          <w:sz w:val="20"/>
          <w:lang w:val="en-US"/>
        </w:rPr>
        <w:t>to recognition of juridical personality</w:t>
      </w:r>
      <w:r w:rsidR="0054061E" w:rsidRPr="00012C3F">
        <w:rPr>
          <w:rFonts w:eastAsia="Batang"/>
          <w:sz w:val="20"/>
          <w:lang w:val="en-US"/>
        </w:rPr>
        <w:t xml:space="preserve">. </w:t>
      </w:r>
      <w:r w:rsidRPr="00012C3F">
        <w:rPr>
          <w:rFonts w:eastAsia="Batang"/>
          <w:sz w:val="20"/>
          <w:lang w:val="en-US"/>
        </w:rPr>
        <w:t xml:space="preserve">Regarding the allegation of the violation </w:t>
      </w:r>
      <w:r w:rsidR="008A7A0F" w:rsidRPr="00012C3F">
        <w:rPr>
          <w:rFonts w:eastAsia="Batang"/>
          <w:sz w:val="20"/>
          <w:lang w:val="en-US"/>
        </w:rPr>
        <w:t xml:space="preserve">of </w:t>
      </w:r>
      <w:r w:rsidR="009D3EE9" w:rsidRPr="00012C3F">
        <w:rPr>
          <w:rFonts w:eastAsia="Batang"/>
          <w:sz w:val="20"/>
          <w:lang w:val="en-US"/>
        </w:rPr>
        <w:t>Article</w:t>
      </w:r>
      <w:r w:rsidR="0054061E" w:rsidRPr="00012C3F">
        <w:rPr>
          <w:rFonts w:eastAsia="Batang"/>
          <w:sz w:val="20"/>
          <w:lang w:val="en-US"/>
        </w:rPr>
        <w:t xml:space="preserve"> 13</w:t>
      </w:r>
      <w:r w:rsidR="001254DE" w:rsidRPr="00012C3F">
        <w:rPr>
          <w:rFonts w:eastAsia="Batang"/>
          <w:sz w:val="20"/>
          <w:lang w:val="en-US"/>
        </w:rPr>
        <w:t xml:space="preserve"> of the Convention</w:t>
      </w:r>
      <w:r w:rsidR="0054061E" w:rsidRPr="00012C3F">
        <w:rPr>
          <w:rFonts w:eastAsia="Batang"/>
          <w:sz w:val="20"/>
          <w:lang w:val="en-US"/>
        </w:rPr>
        <w:t xml:space="preserve"> </w:t>
      </w:r>
      <w:r w:rsidRPr="00012C3F">
        <w:rPr>
          <w:rFonts w:eastAsia="Batang"/>
          <w:sz w:val="20"/>
          <w:lang w:val="en-US"/>
        </w:rPr>
        <w:t>related to</w:t>
      </w:r>
      <w:r w:rsidR="0054061E" w:rsidRPr="00012C3F">
        <w:rPr>
          <w:rFonts w:eastAsia="Batang"/>
          <w:sz w:val="20"/>
          <w:lang w:val="en-US"/>
        </w:rPr>
        <w:t xml:space="preserve"> </w:t>
      </w:r>
      <w:r w:rsidRPr="00012C3F">
        <w:rPr>
          <w:rFonts w:eastAsia="Batang"/>
          <w:sz w:val="20"/>
          <w:lang w:val="en-US"/>
        </w:rPr>
        <w:t>t</w:t>
      </w:r>
      <w:r w:rsidR="006C705C" w:rsidRPr="00012C3F">
        <w:rPr>
          <w:rFonts w:eastAsia="Batang"/>
          <w:sz w:val="20"/>
          <w:lang w:val="en-US"/>
        </w:rPr>
        <w:t>he right to know the truth</w:t>
      </w:r>
      <w:r w:rsidR="0054061E" w:rsidRPr="00012C3F">
        <w:rPr>
          <w:rFonts w:eastAsia="Batang"/>
          <w:sz w:val="20"/>
          <w:lang w:val="en-US"/>
        </w:rPr>
        <w:t xml:space="preserve">, </w:t>
      </w:r>
      <w:r w:rsidR="001254DE" w:rsidRPr="00012C3F">
        <w:rPr>
          <w:rFonts w:eastAsia="Batang"/>
          <w:sz w:val="20"/>
          <w:lang w:val="en-US"/>
        </w:rPr>
        <w:t>the Court</w:t>
      </w:r>
      <w:r w:rsidR="0054061E" w:rsidRPr="00012C3F">
        <w:rPr>
          <w:rFonts w:eastAsia="Batang"/>
          <w:sz w:val="20"/>
          <w:lang w:val="en-US"/>
        </w:rPr>
        <w:t xml:space="preserve"> </w:t>
      </w:r>
      <w:r w:rsidRPr="00012C3F">
        <w:rPr>
          <w:rFonts w:eastAsia="Batang"/>
          <w:sz w:val="20"/>
          <w:lang w:val="en-US"/>
        </w:rPr>
        <w:t xml:space="preserve">finds that the factual basis for this </w:t>
      </w:r>
      <w:r w:rsidR="009D3EE9" w:rsidRPr="00012C3F">
        <w:rPr>
          <w:rFonts w:eastAsia="Batang"/>
          <w:sz w:val="20"/>
          <w:lang w:val="en-US"/>
        </w:rPr>
        <w:t>decision</w:t>
      </w:r>
      <w:r w:rsidRPr="00012C3F">
        <w:rPr>
          <w:rFonts w:eastAsia="Batang"/>
          <w:sz w:val="20"/>
          <w:lang w:val="en-US"/>
        </w:rPr>
        <w:t xml:space="preserve"> does not comply with conditions that would make it applicable. In particular, the Court notes that the only case in which it </w:t>
      </w:r>
      <w:r w:rsidR="00417E1B" w:rsidRPr="00012C3F">
        <w:rPr>
          <w:rFonts w:eastAsia="Batang"/>
          <w:sz w:val="20"/>
          <w:lang w:val="en-US"/>
        </w:rPr>
        <w:t xml:space="preserve">has </w:t>
      </w:r>
      <w:r w:rsidRPr="00012C3F">
        <w:rPr>
          <w:rFonts w:eastAsia="Batang"/>
          <w:sz w:val="20"/>
          <w:lang w:val="en-US"/>
        </w:rPr>
        <w:t xml:space="preserve">analyzed this right under the said article related to a specific action filed by the next of kin </w:t>
      </w:r>
      <w:r w:rsidR="00417E1B" w:rsidRPr="00012C3F">
        <w:rPr>
          <w:rFonts w:eastAsia="Batang"/>
          <w:sz w:val="20"/>
          <w:lang w:val="en-US"/>
        </w:rPr>
        <w:t>concerning</w:t>
      </w:r>
      <w:r w:rsidRPr="00012C3F">
        <w:rPr>
          <w:rFonts w:eastAsia="Batang"/>
          <w:sz w:val="20"/>
          <w:lang w:val="en-US"/>
        </w:rPr>
        <w:t xml:space="preserve"> egregious human rights violations, in order to access specific information related to access to justice.</w:t>
      </w:r>
      <w:r w:rsidR="0054061E" w:rsidRPr="00012C3F">
        <w:rPr>
          <w:rStyle w:val="Refdenotaalpie"/>
          <w:rFonts w:eastAsia="Batang"/>
          <w:sz w:val="20"/>
          <w:lang w:val="en-US"/>
        </w:rPr>
        <w:footnoteReference w:id="312"/>
      </w:r>
      <w:r w:rsidRPr="00012C3F">
        <w:rPr>
          <w:rFonts w:eastAsia="Batang"/>
          <w:sz w:val="20"/>
          <w:lang w:val="en-US"/>
        </w:rPr>
        <w:t xml:space="preserve"> Therefore, the Court concludes that it is not appropriate to issue a ruling in that respect.</w:t>
      </w:r>
    </w:p>
    <w:p w14:paraId="59F1EA4E" w14:textId="77777777" w:rsidR="00F035DC" w:rsidRPr="00012C3F" w:rsidRDefault="00F035DC" w:rsidP="003258E8">
      <w:pPr>
        <w:spacing w:line="240" w:lineRule="auto"/>
        <w:rPr>
          <w:sz w:val="20"/>
          <w:szCs w:val="20"/>
          <w:lang w:val="en-US"/>
        </w:rPr>
      </w:pPr>
    </w:p>
    <w:p w14:paraId="30B6A640" w14:textId="77777777" w:rsidR="00B863E2" w:rsidRPr="00012C3F" w:rsidRDefault="00B863E2" w:rsidP="0085451F">
      <w:pPr>
        <w:pStyle w:val="Ttulo3"/>
        <w:tabs>
          <w:tab w:val="left" w:pos="2552"/>
        </w:tabs>
        <w:ind w:left="1701"/>
        <w:rPr>
          <w:rFonts w:eastAsia="MS Mincho" w:cs="Arial"/>
          <w:b w:val="0"/>
          <w:i/>
          <w:spacing w:val="0"/>
          <w:lang w:val="en-US" w:eastAsia="en-US"/>
        </w:rPr>
      </w:pPr>
      <w:bookmarkStart w:id="148" w:name="_Toc27486870"/>
      <w:r w:rsidRPr="00012C3F">
        <w:rPr>
          <w:rFonts w:eastAsia="MS Mincho" w:cs="Arial"/>
          <w:b w:val="0"/>
          <w:i/>
          <w:spacing w:val="0"/>
          <w:lang w:val="en-US" w:eastAsia="en-US"/>
        </w:rPr>
        <w:t>B.</w:t>
      </w:r>
      <w:r w:rsidR="006D5C94" w:rsidRPr="00012C3F">
        <w:rPr>
          <w:rFonts w:eastAsia="MS Mincho" w:cs="Arial"/>
          <w:b w:val="0"/>
          <w:i/>
          <w:spacing w:val="0"/>
          <w:lang w:val="en-US" w:eastAsia="en-US"/>
        </w:rPr>
        <w:t>3</w:t>
      </w:r>
      <w:r w:rsidRPr="00012C3F">
        <w:rPr>
          <w:rFonts w:eastAsia="MS Mincho" w:cs="Arial"/>
          <w:b w:val="0"/>
          <w:i/>
          <w:spacing w:val="0"/>
          <w:lang w:val="en-US" w:eastAsia="en-US"/>
        </w:rPr>
        <w:t>.c</w:t>
      </w:r>
      <w:r w:rsidRPr="00012C3F">
        <w:rPr>
          <w:rFonts w:eastAsia="MS Mincho" w:cs="Arial"/>
          <w:b w:val="0"/>
          <w:i/>
          <w:spacing w:val="0"/>
          <w:lang w:val="en-US" w:eastAsia="en-US"/>
        </w:rPr>
        <w:tab/>
      </w:r>
      <w:r w:rsidR="00A710F6" w:rsidRPr="00012C3F">
        <w:rPr>
          <w:rFonts w:eastAsia="MS Mincho" w:cs="Arial"/>
          <w:b w:val="0"/>
          <w:i/>
          <w:spacing w:val="0"/>
          <w:lang w:val="en-US" w:eastAsia="en-US"/>
        </w:rPr>
        <w:t>Duty not to discriminate when respecting and ensuring</w:t>
      </w:r>
      <w:r w:rsidR="00C10979"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the rights</w:t>
      </w:r>
      <w:r w:rsidRPr="00012C3F">
        <w:rPr>
          <w:rFonts w:eastAsia="MS Mincho" w:cs="Arial"/>
          <w:b w:val="0"/>
          <w:i/>
          <w:spacing w:val="0"/>
          <w:lang w:val="en-US" w:eastAsia="en-US"/>
        </w:rPr>
        <w:t xml:space="preserve"> </w:t>
      </w:r>
      <w:r w:rsidR="00DF5BD3" w:rsidRPr="00012C3F">
        <w:rPr>
          <w:rFonts w:eastAsia="MS Mincho" w:cs="Arial"/>
          <w:b w:val="0"/>
          <w:i/>
          <w:spacing w:val="0"/>
          <w:lang w:val="en-US" w:eastAsia="en-US"/>
        </w:rPr>
        <w:t>recognized in</w:t>
      </w:r>
      <w:r w:rsidRPr="00012C3F">
        <w:rPr>
          <w:rFonts w:eastAsia="MS Mincho" w:cs="Arial"/>
          <w:b w:val="0"/>
          <w:i/>
          <w:spacing w:val="0"/>
          <w:lang w:val="en-US" w:eastAsia="en-US"/>
        </w:rPr>
        <w:t xml:space="preserve"> </w:t>
      </w:r>
      <w:r w:rsidR="001254DE" w:rsidRPr="00012C3F">
        <w:rPr>
          <w:rFonts w:eastAsia="MS Mincho" w:cs="Arial"/>
          <w:b w:val="0"/>
          <w:i/>
          <w:spacing w:val="0"/>
          <w:lang w:val="en-US" w:eastAsia="en-US"/>
        </w:rPr>
        <w:t>Articles</w:t>
      </w:r>
      <w:r w:rsidRPr="00012C3F">
        <w:rPr>
          <w:rFonts w:eastAsia="MS Mincho" w:cs="Arial"/>
          <w:b w:val="0"/>
          <w:i/>
          <w:spacing w:val="0"/>
          <w:lang w:val="en-US" w:eastAsia="en-US"/>
        </w:rPr>
        <w:t xml:space="preserve"> 5, </w:t>
      </w:r>
      <w:r w:rsidR="00227F83" w:rsidRPr="00012C3F">
        <w:rPr>
          <w:rFonts w:eastAsia="MS Mincho" w:cs="Arial"/>
          <w:b w:val="0"/>
          <w:i/>
          <w:spacing w:val="0"/>
          <w:lang w:val="en-US" w:eastAsia="en-US"/>
        </w:rPr>
        <w:t xml:space="preserve">7, </w:t>
      </w:r>
      <w:r w:rsidRPr="00012C3F">
        <w:rPr>
          <w:rFonts w:eastAsia="MS Mincho" w:cs="Arial"/>
          <w:b w:val="0"/>
          <w:i/>
          <w:spacing w:val="0"/>
          <w:lang w:val="en-US" w:eastAsia="en-US"/>
        </w:rPr>
        <w:t>11, 13</w:t>
      </w:r>
      <w:r w:rsidR="005E5012" w:rsidRPr="00012C3F">
        <w:rPr>
          <w:rFonts w:eastAsia="MS Mincho" w:cs="Arial"/>
          <w:b w:val="0"/>
          <w:i/>
          <w:spacing w:val="0"/>
          <w:lang w:val="en-US" w:eastAsia="en-US"/>
        </w:rPr>
        <w:t xml:space="preserve"> and </w:t>
      </w:r>
      <w:r w:rsidRPr="00012C3F">
        <w:rPr>
          <w:rFonts w:eastAsia="MS Mincho" w:cs="Arial"/>
          <w:b w:val="0"/>
          <w:i/>
          <w:spacing w:val="0"/>
          <w:lang w:val="en-US" w:eastAsia="en-US"/>
        </w:rPr>
        <w:t>17</w:t>
      </w:r>
      <w:r w:rsidR="001254DE" w:rsidRPr="00012C3F">
        <w:rPr>
          <w:rFonts w:eastAsia="MS Mincho" w:cs="Arial"/>
          <w:b w:val="0"/>
          <w:i/>
          <w:spacing w:val="0"/>
          <w:lang w:val="en-US" w:eastAsia="en-US"/>
        </w:rPr>
        <w:t xml:space="preserve"> of the American Convention</w:t>
      </w:r>
      <w:bookmarkEnd w:id="148"/>
    </w:p>
    <w:p w14:paraId="6A14BF03" w14:textId="77777777" w:rsidR="003258E8" w:rsidRPr="00012C3F" w:rsidRDefault="003258E8" w:rsidP="003258E8">
      <w:pPr>
        <w:widowControl/>
        <w:autoSpaceDE w:val="0"/>
        <w:autoSpaceDN w:val="0"/>
        <w:spacing w:line="240" w:lineRule="auto"/>
        <w:textAlignment w:val="auto"/>
        <w:rPr>
          <w:rFonts w:eastAsiaTheme="minorHAnsi" w:cs="Arial"/>
          <w:sz w:val="20"/>
          <w:szCs w:val="20"/>
          <w:lang w:val="en-US" w:eastAsia="en-US"/>
        </w:rPr>
      </w:pPr>
    </w:p>
    <w:p w14:paraId="38F0C728" w14:textId="77777777" w:rsidR="00C10979" w:rsidRPr="00012C3F" w:rsidRDefault="001254DE" w:rsidP="00B340E2">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Times" w:cs="Arial"/>
          <w:sz w:val="20"/>
          <w:szCs w:val="20"/>
          <w:lang w:val="en-US" w:eastAsia="es-ES"/>
        </w:rPr>
        <w:t>The Court</w:t>
      </w:r>
      <w:r w:rsidR="00C10979" w:rsidRPr="00012C3F">
        <w:rPr>
          <w:rFonts w:eastAsia="Times" w:cs="Arial"/>
          <w:sz w:val="20"/>
          <w:szCs w:val="20"/>
          <w:lang w:val="en-US" w:eastAsia="es-ES"/>
        </w:rPr>
        <w:t xml:space="preserve"> ha</w:t>
      </w:r>
      <w:r w:rsidR="00B340E2" w:rsidRPr="00012C3F">
        <w:rPr>
          <w:rFonts w:eastAsia="Times" w:cs="Arial"/>
          <w:sz w:val="20"/>
          <w:szCs w:val="20"/>
          <w:lang w:val="en-US" w:eastAsia="es-ES"/>
        </w:rPr>
        <w:t xml:space="preserve">s indicated that “the notion of equality </w:t>
      </w:r>
      <w:r w:rsidR="00B340E2" w:rsidRPr="00012C3F">
        <w:rPr>
          <w:rFonts w:cs="Arial"/>
          <w:sz w:val="20"/>
          <w:szCs w:val="20"/>
          <w:lang w:val="en-US"/>
        </w:rPr>
        <w:t>springs directly from the oneness of the human family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w:t>
      </w:r>
      <w:r w:rsidR="00B340E2" w:rsidRPr="00012C3F">
        <w:rPr>
          <w:rFonts w:eastAsia="Times" w:cs="Arial"/>
          <w:sz w:val="20"/>
          <w:szCs w:val="20"/>
          <w:vertAlign w:val="superscript"/>
          <w:lang w:val="en-US" w:eastAsia="es-ES"/>
        </w:rPr>
        <w:footnoteReference w:id="313"/>
      </w:r>
      <w:r w:rsidR="00B340E2" w:rsidRPr="00012C3F">
        <w:rPr>
          <w:rFonts w:cs="Arial"/>
          <w:sz w:val="20"/>
          <w:szCs w:val="20"/>
          <w:lang w:val="en-US"/>
        </w:rPr>
        <w:t xml:space="preserve"> At the actual stage of evolution of international law, the fundamental principle of equality and non-discrimination has entered the domain of </w:t>
      </w:r>
      <w:r w:rsidR="00B340E2" w:rsidRPr="00012C3F">
        <w:rPr>
          <w:rFonts w:eastAsia="Calibri" w:cs="Arial"/>
          <w:i/>
          <w:sz w:val="20"/>
          <w:szCs w:val="20"/>
          <w:lang w:val="en-US" w:eastAsia="es-MX"/>
        </w:rPr>
        <w:t>jus cogens</w:t>
      </w:r>
      <w:r w:rsidR="00B340E2" w:rsidRPr="00012C3F">
        <w:rPr>
          <w:rFonts w:eastAsia="Calibri" w:cs="Arial"/>
          <w:sz w:val="20"/>
          <w:szCs w:val="20"/>
          <w:lang w:val="en-US" w:eastAsia="es-MX"/>
        </w:rPr>
        <w:t>. The legal structure of national and international public order is based on this, and it permeates the whole legal system. States must refrain from executing actions that, in any way, are addressed, directly or indirectly, at creating situations of discrimination</w:t>
      </w:r>
      <w:r w:rsidR="00B340E2" w:rsidRPr="00012C3F">
        <w:rPr>
          <w:rFonts w:cs="Arial"/>
          <w:sz w:val="20"/>
          <w:szCs w:val="20"/>
          <w:lang w:val="en-US"/>
        </w:rPr>
        <w:t xml:space="preserve"> </w:t>
      </w:r>
      <w:r w:rsidR="00C10979" w:rsidRPr="00012C3F">
        <w:rPr>
          <w:rFonts w:eastAsia="Calibri" w:cs="Arial"/>
          <w:i/>
          <w:sz w:val="20"/>
          <w:szCs w:val="20"/>
          <w:lang w:val="en-US" w:eastAsia="es-MX"/>
        </w:rPr>
        <w:t xml:space="preserve">de </w:t>
      </w:r>
      <w:r w:rsidR="00586752" w:rsidRPr="00012C3F">
        <w:rPr>
          <w:rFonts w:eastAsia="Calibri" w:cs="Arial"/>
          <w:i/>
          <w:sz w:val="20"/>
          <w:szCs w:val="20"/>
          <w:lang w:val="en-US" w:eastAsia="es-MX"/>
        </w:rPr>
        <w:t>i</w:t>
      </w:r>
      <w:r w:rsidR="00C10979" w:rsidRPr="00012C3F">
        <w:rPr>
          <w:rFonts w:eastAsia="Calibri" w:cs="Arial"/>
          <w:i/>
          <w:sz w:val="20"/>
          <w:szCs w:val="20"/>
          <w:lang w:val="en-US" w:eastAsia="es-MX"/>
        </w:rPr>
        <w:t>ure</w:t>
      </w:r>
      <w:r w:rsidR="00C10979" w:rsidRPr="00012C3F">
        <w:rPr>
          <w:rFonts w:eastAsia="Calibri" w:cs="Arial"/>
          <w:sz w:val="20"/>
          <w:szCs w:val="20"/>
          <w:lang w:val="en-US" w:eastAsia="es-MX"/>
        </w:rPr>
        <w:t xml:space="preserve"> o</w:t>
      </w:r>
      <w:r w:rsidR="00B340E2" w:rsidRPr="00012C3F">
        <w:rPr>
          <w:rFonts w:eastAsia="Calibri" w:cs="Arial"/>
          <w:sz w:val="20"/>
          <w:szCs w:val="20"/>
          <w:lang w:val="en-US" w:eastAsia="es-MX"/>
        </w:rPr>
        <w:t>r</w:t>
      </w:r>
      <w:r w:rsidR="00C10979" w:rsidRPr="00012C3F">
        <w:rPr>
          <w:rFonts w:eastAsia="Calibri" w:cs="Arial"/>
          <w:sz w:val="20"/>
          <w:szCs w:val="20"/>
          <w:lang w:val="en-US" w:eastAsia="es-MX"/>
        </w:rPr>
        <w:t xml:space="preserve"> </w:t>
      </w:r>
      <w:r w:rsidR="00C10979" w:rsidRPr="00012C3F">
        <w:rPr>
          <w:rFonts w:eastAsia="Calibri" w:cs="Arial"/>
          <w:i/>
          <w:sz w:val="20"/>
          <w:szCs w:val="20"/>
          <w:lang w:val="en-US" w:eastAsia="es-MX"/>
        </w:rPr>
        <w:t>de facto</w:t>
      </w:r>
      <w:r w:rsidR="00B340E2" w:rsidRPr="00012C3F">
        <w:rPr>
          <w:rFonts w:eastAsia="Calibri" w:cs="Arial"/>
          <w:i/>
          <w:sz w:val="20"/>
          <w:szCs w:val="20"/>
          <w:lang w:val="en-US" w:eastAsia="es-MX"/>
        </w:rPr>
        <w:t>.</w:t>
      </w:r>
      <w:r w:rsidR="00C10979" w:rsidRPr="00012C3F">
        <w:rPr>
          <w:rFonts w:eastAsia="Calibri" w:cs="Arial"/>
          <w:sz w:val="20"/>
          <w:szCs w:val="20"/>
          <w:vertAlign w:val="superscript"/>
          <w:lang w:val="en-US" w:eastAsia="es-MX"/>
        </w:rPr>
        <w:footnoteReference w:id="314"/>
      </w:r>
    </w:p>
    <w:p w14:paraId="0815270C" w14:textId="77777777" w:rsidR="00BD0211" w:rsidRPr="00012C3F" w:rsidRDefault="00BD0211" w:rsidP="00BD0211">
      <w:pPr>
        <w:tabs>
          <w:tab w:val="left" w:pos="720"/>
        </w:tabs>
        <w:spacing w:line="240" w:lineRule="auto"/>
        <w:rPr>
          <w:rFonts w:eastAsia="MS Mincho"/>
          <w:sz w:val="20"/>
          <w:szCs w:val="20"/>
          <w:lang w:val="en-US" w:eastAsia="en-US" w:bidi="en-US"/>
        </w:rPr>
      </w:pPr>
    </w:p>
    <w:p w14:paraId="2E879ED9" w14:textId="77777777" w:rsidR="00C10979" w:rsidRPr="00012C3F" w:rsidRDefault="00BD0211" w:rsidP="00BD0211">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Theme="minorHAnsi" w:cs="Arial"/>
          <w:sz w:val="20"/>
          <w:szCs w:val="20"/>
          <w:lang w:val="en-US" w:eastAsia="en-US"/>
        </w:rPr>
        <w:t>W</w:t>
      </w:r>
      <w:r w:rsidR="00B340E2" w:rsidRPr="00012C3F">
        <w:rPr>
          <w:rFonts w:eastAsiaTheme="minorHAnsi" w:cs="Arial"/>
          <w:sz w:val="20"/>
          <w:szCs w:val="20"/>
          <w:lang w:val="en-US" w:eastAsia="en-US"/>
        </w:rPr>
        <w:t>hen interpreting</w:t>
      </w:r>
      <w:r w:rsidR="00C10979"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w:t>
      </w:r>
      <w:r w:rsidR="00C10979" w:rsidRPr="00012C3F">
        <w:rPr>
          <w:rFonts w:eastAsiaTheme="minorHAnsi" w:cs="Tahoma"/>
          <w:sz w:val="20"/>
          <w:szCs w:val="20"/>
          <w:lang w:val="en-US" w:eastAsia="en-US"/>
        </w:rPr>
        <w:t xml:space="preserve"> </w:t>
      </w:r>
      <w:r w:rsidR="005E5012" w:rsidRPr="00012C3F">
        <w:rPr>
          <w:rFonts w:eastAsiaTheme="minorHAnsi" w:cs="Tahoma"/>
          <w:sz w:val="20"/>
          <w:szCs w:val="20"/>
          <w:lang w:val="en-US" w:eastAsia="en-US"/>
        </w:rPr>
        <w:t>1(1)</w:t>
      </w:r>
      <w:r w:rsidR="001254DE" w:rsidRPr="00012C3F">
        <w:rPr>
          <w:rFonts w:eastAsiaTheme="minorHAnsi" w:cs="Tahoma"/>
          <w:sz w:val="20"/>
          <w:szCs w:val="20"/>
          <w:lang w:val="en-US" w:eastAsia="en-US"/>
        </w:rPr>
        <w:t xml:space="preserve"> of the Convention</w:t>
      </w:r>
      <w:r w:rsidR="00C10979" w:rsidRPr="00012C3F">
        <w:rPr>
          <w:rFonts w:eastAsiaTheme="minorHAnsi" w:cs="Tahoma"/>
          <w:sz w:val="20"/>
          <w:szCs w:val="20"/>
          <w:lang w:val="en-US" w:eastAsia="en-US"/>
        </w:rPr>
        <w:t>,</w:t>
      </w:r>
      <w:r w:rsidRPr="00012C3F">
        <w:rPr>
          <w:rFonts w:eastAsiaTheme="minorHAnsi" w:cs="Tahoma"/>
          <w:sz w:val="20"/>
          <w:szCs w:val="20"/>
          <w:lang w:val="en-US" w:eastAsia="en-US"/>
        </w:rPr>
        <w:t xml:space="preserve"> the Court</w:t>
      </w:r>
      <w:r w:rsidR="00C10979" w:rsidRPr="00012C3F">
        <w:rPr>
          <w:rFonts w:eastAsiaTheme="minorHAnsi" w:cs="Tahoma"/>
          <w:sz w:val="20"/>
          <w:szCs w:val="20"/>
          <w:lang w:val="en-US" w:eastAsia="en-US"/>
        </w:rPr>
        <w:t xml:space="preserve"> ha</w:t>
      </w:r>
      <w:r w:rsidR="00B340E2" w:rsidRPr="00012C3F">
        <w:rPr>
          <w:rFonts w:eastAsiaTheme="minorHAnsi" w:cs="Tahoma"/>
          <w:sz w:val="20"/>
          <w:szCs w:val="20"/>
          <w:lang w:val="en-US" w:eastAsia="en-US"/>
        </w:rPr>
        <w:t xml:space="preserve">s stipulated that </w:t>
      </w:r>
      <w:r w:rsidRPr="00012C3F">
        <w:rPr>
          <w:rFonts w:cs="Arial"/>
          <w:sz w:val="20"/>
          <w:lang w:val="en-US"/>
        </w:rPr>
        <w:t xml:space="preserve">it is </w:t>
      </w:r>
      <w:r w:rsidRPr="00012C3F">
        <w:rPr>
          <w:rFonts w:cs="Arial"/>
          <w:sz w:val="20"/>
          <w:szCs w:val="20"/>
          <w:lang w:val="en-US"/>
        </w:rPr>
        <w:t xml:space="preserve">a rule </w:t>
      </w:r>
      <w:r w:rsidRPr="00012C3F">
        <w:rPr>
          <w:rFonts w:cs="Arial"/>
          <w:sz w:val="20"/>
          <w:lang w:val="en-US"/>
        </w:rPr>
        <w:t xml:space="preserve">that is </w:t>
      </w:r>
      <w:r w:rsidRPr="00012C3F">
        <w:rPr>
          <w:rFonts w:cs="Arial"/>
          <w:sz w:val="20"/>
          <w:szCs w:val="20"/>
          <w:lang w:val="en-US"/>
        </w:rPr>
        <w:t xml:space="preserve">general in scope </w:t>
      </w:r>
      <w:r w:rsidRPr="00012C3F">
        <w:rPr>
          <w:rFonts w:cs="Arial"/>
          <w:sz w:val="20"/>
          <w:lang w:val="en-US"/>
        </w:rPr>
        <w:t>“</w:t>
      </w:r>
      <w:r w:rsidRPr="00012C3F">
        <w:rPr>
          <w:rFonts w:cs="Arial"/>
          <w:sz w:val="20"/>
          <w:szCs w:val="20"/>
          <w:lang w:val="en-US"/>
        </w:rPr>
        <w:t xml:space="preserve">which applies to all the provisions of the treaty, </w:t>
      </w:r>
      <w:r w:rsidRPr="00012C3F">
        <w:rPr>
          <w:rFonts w:cs="Arial"/>
          <w:sz w:val="20"/>
          <w:lang w:val="en-US"/>
        </w:rPr>
        <w:t xml:space="preserve">and </w:t>
      </w:r>
      <w:r w:rsidRPr="00012C3F">
        <w:rPr>
          <w:rFonts w:cs="Arial"/>
          <w:sz w:val="20"/>
          <w:szCs w:val="20"/>
          <w:lang w:val="en-US"/>
        </w:rPr>
        <w:t xml:space="preserve">imposes on the States Parties the obligation to respect and guarantee the free and full exercise of the rights and freedoms recognized therein "without any discrimination." In other words, regardless of its origin or the form it may assume, any treatment that can be considered to be discriminatory with regard to the exercise of any of the rights guaranteed under the Convention is </w:t>
      </w:r>
      <w:r w:rsidRPr="00012C3F">
        <w:rPr>
          <w:rFonts w:cs="Arial"/>
          <w:i/>
          <w:iCs/>
          <w:sz w:val="20"/>
          <w:szCs w:val="20"/>
          <w:lang w:val="en-US"/>
        </w:rPr>
        <w:t>per se</w:t>
      </w:r>
      <w:r w:rsidRPr="00012C3F">
        <w:rPr>
          <w:rFonts w:cs="Arial"/>
          <w:sz w:val="20"/>
          <w:lang w:val="en-US"/>
        </w:rPr>
        <w:t xml:space="preserve"> </w:t>
      </w:r>
      <w:r w:rsidRPr="00012C3F">
        <w:rPr>
          <w:rFonts w:cs="Arial"/>
          <w:sz w:val="20"/>
          <w:szCs w:val="20"/>
          <w:lang w:val="en-US"/>
        </w:rPr>
        <w:t>incompatible with that instrument.</w:t>
      </w:r>
      <w:r w:rsidR="00C10979" w:rsidRPr="00012C3F">
        <w:rPr>
          <w:rFonts w:eastAsiaTheme="minorHAnsi" w:cs="Tahoma"/>
          <w:sz w:val="20"/>
          <w:szCs w:val="20"/>
          <w:lang w:val="en-US" w:eastAsia="en-US"/>
        </w:rPr>
        <w:t>”</w:t>
      </w:r>
      <w:r w:rsidR="00C10979" w:rsidRPr="00012C3F">
        <w:rPr>
          <w:rFonts w:eastAsiaTheme="minorHAnsi" w:cs="Tahoma"/>
          <w:sz w:val="20"/>
          <w:szCs w:val="20"/>
          <w:vertAlign w:val="superscript"/>
          <w:lang w:val="en-US" w:eastAsia="en-US"/>
        </w:rPr>
        <w:footnoteReference w:id="315"/>
      </w:r>
    </w:p>
    <w:p w14:paraId="23E5BA1C" w14:textId="77777777" w:rsidR="00875D6F" w:rsidRPr="00012C3F" w:rsidRDefault="00875D6F" w:rsidP="00C10979">
      <w:pPr>
        <w:widowControl/>
        <w:autoSpaceDE w:val="0"/>
        <w:autoSpaceDN w:val="0"/>
        <w:spacing w:line="240" w:lineRule="auto"/>
        <w:textAlignment w:val="auto"/>
        <w:rPr>
          <w:rFonts w:eastAsiaTheme="minorHAnsi" w:cs="Arial"/>
          <w:sz w:val="20"/>
          <w:szCs w:val="20"/>
          <w:lang w:val="en-US" w:eastAsia="en-US"/>
        </w:rPr>
      </w:pPr>
    </w:p>
    <w:p w14:paraId="3F217E64" w14:textId="77777777" w:rsidR="0076525E" w:rsidRPr="00012C3F" w:rsidRDefault="00BD0211" w:rsidP="00A15704">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That said, the Court recalls that not every difference in treatment will be considered discriminatory, but only those that are based on criteria that cannot rationally be considered objective and reasonable.</w:t>
      </w:r>
      <w:r w:rsidR="000542BC" w:rsidRPr="00012C3F">
        <w:rPr>
          <w:rStyle w:val="Refdenotaalpie"/>
          <w:rFonts w:eastAsiaTheme="minorHAnsi" w:cs="Arial"/>
          <w:sz w:val="20"/>
          <w:szCs w:val="20"/>
          <w:lang w:val="en-US" w:eastAsia="en-US"/>
        </w:rPr>
        <w:footnoteReference w:id="316"/>
      </w:r>
      <w:r w:rsidRPr="00012C3F">
        <w:rPr>
          <w:rFonts w:eastAsiaTheme="minorHAnsi" w:cs="Arial"/>
          <w:sz w:val="20"/>
          <w:szCs w:val="20"/>
          <w:lang w:val="en-US" w:eastAsia="en-US"/>
        </w:rPr>
        <w:t xml:space="preserve"> When the differentiating </w:t>
      </w:r>
      <w:r w:rsidR="00417E1B" w:rsidRPr="00012C3F">
        <w:rPr>
          <w:rFonts w:eastAsiaTheme="minorHAnsi" w:cs="Arial"/>
          <w:sz w:val="20"/>
          <w:szCs w:val="20"/>
          <w:lang w:val="en-US" w:eastAsia="en-US"/>
        </w:rPr>
        <w:t>factor</w:t>
      </w:r>
      <w:r w:rsidRPr="00012C3F">
        <w:rPr>
          <w:rFonts w:eastAsiaTheme="minorHAnsi" w:cs="Arial"/>
          <w:sz w:val="20"/>
          <w:szCs w:val="20"/>
          <w:lang w:val="en-US" w:eastAsia="en-US"/>
        </w:rPr>
        <w:t xml:space="preserve"> corresponds to one of those</w:t>
      </w:r>
      <w:r w:rsidR="00417E1B" w:rsidRPr="00012C3F">
        <w:rPr>
          <w:rFonts w:eastAsiaTheme="minorHAnsi" w:cs="Arial"/>
          <w:sz w:val="20"/>
          <w:szCs w:val="20"/>
          <w:lang w:val="en-US" w:eastAsia="en-US"/>
        </w:rPr>
        <w:t xml:space="preserve"> elements</w:t>
      </w:r>
      <w:r w:rsidRPr="00012C3F">
        <w:rPr>
          <w:rFonts w:eastAsiaTheme="minorHAnsi" w:cs="Arial"/>
          <w:sz w:val="20"/>
          <w:szCs w:val="20"/>
          <w:lang w:val="en-US" w:eastAsia="en-US"/>
        </w:rPr>
        <w:t xml:space="preserve"> </w:t>
      </w:r>
      <w:r w:rsidRPr="00012C3F">
        <w:rPr>
          <w:rFonts w:eastAsiaTheme="minorHAnsi" w:cs="Arial"/>
          <w:sz w:val="20"/>
          <w:szCs w:val="20"/>
          <w:lang w:val="en-US" w:eastAsia="en-US"/>
        </w:rPr>
        <w:lastRenderedPageBreak/>
        <w:t>protected by</w:t>
      </w:r>
      <w:r w:rsidR="000542BC"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Article</w:t>
      </w:r>
      <w:r w:rsidR="000542BC" w:rsidRPr="00012C3F">
        <w:rPr>
          <w:rFonts w:eastAsiaTheme="minorHAnsi" w:cs="Arial"/>
          <w:sz w:val="20"/>
          <w:szCs w:val="20"/>
          <w:lang w:val="en-US" w:eastAsia="en-US"/>
        </w:rPr>
        <w:t xml:space="preserve"> </w:t>
      </w:r>
      <w:r w:rsidR="005E5012" w:rsidRPr="00012C3F">
        <w:rPr>
          <w:rFonts w:eastAsiaTheme="minorHAnsi" w:cs="Arial"/>
          <w:sz w:val="20"/>
          <w:szCs w:val="20"/>
          <w:lang w:val="en-US" w:eastAsia="en-US"/>
        </w:rPr>
        <w:t>1(1)</w:t>
      </w:r>
      <w:r w:rsidR="001254DE" w:rsidRPr="00012C3F">
        <w:rPr>
          <w:rFonts w:eastAsiaTheme="minorHAnsi" w:cs="Arial"/>
          <w:sz w:val="20"/>
          <w:szCs w:val="20"/>
          <w:lang w:val="en-US" w:eastAsia="en-US"/>
        </w:rPr>
        <w:t xml:space="preserve"> of the Convention</w:t>
      </w:r>
      <w:r w:rsidRPr="00012C3F">
        <w:rPr>
          <w:rFonts w:eastAsiaTheme="minorHAnsi" w:cs="Arial"/>
          <w:sz w:val="20"/>
          <w:szCs w:val="20"/>
          <w:lang w:val="en-US" w:eastAsia="en-US"/>
        </w:rPr>
        <w:t>, which refer to</w:t>
      </w:r>
      <w:r w:rsidR="0076525E" w:rsidRPr="00012C3F">
        <w:rPr>
          <w:rFonts w:eastAsiaTheme="minorHAnsi" w:cs="Arial"/>
          <w:sz w:val="20"/>
          <w:szCs w:val="20"/>
          <w:lang w:val="en-US" w:eastAsia="en-US"/>
        </w:rPr>
        <w:t xml:space="preserve">: </w:t>
      </w:r>
      <w:r w:rsidRPr="00012C3F">
        <w:rPr>
          <w:rFonts w:eastAsiaTheme="minorHAnsi" w:cs="Arial"/>
          <w:sz w:val="20"/>
          <w:szCs w:val="20"/>
          <w:lang w:val="en-US" w:eastAsia="en-US"/>
        </w:rPr>
        <w:t>(</w:t>
      </w:r>
      <w:r w:rsidR="00DA4B2F" w:rsidRPr="00012C3F">
        <w:rPr>
          <w:rFonts w:eastAsiaTheme="minorHAnsi" w:cs="Arial"/>
          <w:sz w:val="20"/>
          <w:szCs w:val="20"/>
          <w:lang w:val="en-US" w:eastAsia="en-US"/>
        </w:rPr>
        <w:t>i</w:t>
      </w:r>
      <w:r w:rsidR="0076525E" w:rsidRPr="00012C3F">
        <w:rPr>
          <w:rFonts w:eastAsiaTheme="minorHAnsi" w:cs="Arial"/>
          <w:sz w:val="20"/>
          <w:szCs w:val="20"/>
          <w:lang w:val="en-US" w:eastAsia="en-US"/>
        </w:rPr>
        <w:t xml:space="preserve">) </w:t>
      </w:r>
      <w:r w:rsidRPr="00012C3F">
        <w:rPr>
          <w:rFonts w:eastAsiaTheme="minorHAnsi" w:cs="Arial"/>
          <w:sz w:val="20"/>
          <w:szCs w:val="20"/>
          <w:lang w:val="en-US" w:eastAsia="en-US"/>
        </w:rPr>
        <w:t xml:space="preserve">permanent characteristics of the individual that he or she cannot renounce without losing their identity; (ii) groups that are traditionally marginalized, excluded or subordinated, and (iii) criteria that are irrelevant for an equitable distribution of </w:t>
      </w:r>
      <w:r w:rsidR="00417E1B" w:rsidRPr="00012C3F">
        <w:rPr>
          <w:rFonts w:eastAsiaTheme="minorHAnsi" w:cs="Arial"/>
          <w:sz w:val="20"/>
          <w:szCs w:val="20"/>
          <w:lang w:val="en-US" w:eastAsia="en-US"/>
        </w:rPr>
        <w:t xml:space="preserve">social benefits, </w:t>
      </w:r>
      <w:r w:rsidRPr="00012C3F">
        <w:rPr>
          <w:rFonts w:eastAsiaTheme="minorHAnsi" w:cs="Arial"/>
          <w:sz w:val="20"/>
          <w:szCs w:val="20"/>
          <w:lang w:val="en-US" w:eastAsia="en-US"/>
        </w:rPr>
        <w:t xml:space="preserve">rights and </w:t>
      </w:r>
      <w:r w:rsidR="00417E1B" w:rsidRPr="00012C3F">
        <w:rPr>
          <w:rFonts w:eastAsiaTheme="minorHAnsi" w:cs="Arial"/>
          <w:sz w:val="20"/>
          <w:szCs w:val="20"/>
          <w:lang w:val="en-US" w:eastAsia="en-US"/>
        </w:rPr>
        <w:t>charges,</w:t>
      </w:r>
      <w:r w:rsidRPr="00012C3F">
        <w:rPr>
          <w:rFonts w:eastAsiaTheme="minorHAnsi" w:cs="Arial"/>
          <w:sz w:val="20"/>
          <w:szCs w:val="20"/>
          <w:lang w:val="en-US" w:eastAsia="en-US"/>
        </w:rPr>
        <w:t xml:space="preserve"> the Court is </w:t>
      </w:r>
      <w:r w:rsidR="00417E1B" w:rsidRPr="00012C3F">
        <w:rPr>
          <w:rFonts w:eastAsiaTheme="minorHAnsi" w:cs="Arial"/>
          <w:sz w:val="20"/>
          <w:szCs w:val="20"/>
          <w:lang w:val="en-US" w:eastAsia="en-US"/>
        </w:rPr>
        <w:t>confronted</w:t>
      </w:r>
      <w:r w:rsidRPr="00012C3F">
        <w:rPr>
          <w:rFonts w:eastAsiaTheme="minorHAnsi" w:cs="Arial"/>
          <w:sz w:val="20"/>
          <w:szCs w:val="20"/>
          <w:lang w:val="en-US" w:eastAsia="en-US"/>
        </w:rPr>
        <w:t xml:space="preserve"> with an indication that the State has acted arbitrarily. The Court has established, also, that the specific criteria </w:t>
      </w:r>
      <w:r w:rsidR="00A15704" w:rsidRPr="00012C3F">
        <w:rPr>
          <w:rFonts w:eastAsiaTheme="minorHAnsi" w:cs="Arial"/>
          <w:sz w:val="20"/>
          <w:szCs w:val="20"/>
          <w:lang w:val="en-US" w:eastAsia="en-US"/>
        </w:rPr>
        <w:t xml:space="preserve">based on which discrimination is prohibited according to </w:t>
      </w:r>
      <w:r w:rsidR="00A15704" w:rsidRPr="00012C3F">
        <w:rPr>
          <w:rFonts w:eastAsiaTheme="minorHAnsi" w:cs="Arial"/>
          <w:iCs/>
          <w:sz w:val="20"/>
          <w:szCs w:val="20"/>
          <w:lang w:val="en-US" w:eastAsia="en-US"/>
        </w:rPr>
        <w:t xml:space="preserve">Article 1(1) of the American Convention, do </w:t>
      </w:r>
      <w:r w:rsidR="009D3EE9" w:rsidRPr="00012C3F">
        <w:rPr>
          <w:rFonts w:eastAsiaTheme="minorHAnsi" w:cs="Arial"/>
          <w:iCs/>
          <w:sz w:val="20"/>
          <w:szCs w:val="20"/>
          <w:lang w:val="en-US" w:eastAsia="en-US"/>
        </w:rPr>
        <w:t>not</w:t>
      </w:r>
      <w:r w:rsidR="00A15704" w:rsidRPr="00012C3F">
        <w:rPr>
          <w:rFonts w:eastAsiaTheme="minorHAnsi" w:cs="Arial"/>
          <w:iCs/>
          <w:sz w:val="20"/>
          <w:szCs w:val="20"/>
          <w:lang w:val="en-US" w:eastAsia="en-US"/>
        </w:rPr>
        <w:t xml:space="preserve"> constitute an exhaustive or limitative list</w:t>
      </w:r>
      <w:r w:rsidR="00417E1B" w:rsidRPr="00012C3F">
        <w:rPr>
          <w:rFonts w:eastAsiaTheme="minorHAnsi" w:cs="Arial"/>
          <w:iCs/>
          <w:sz w:val="20"/>
          <w:szCs w:val="20"/>
          <w:lang w:val="en-US" w:eastAsia="en-US"/>
        </w:rPr>
        <w:t>; rather,</w:t>
      </w:r>
      <w:r w:rsidR="00A15704" w:rsidRPr="00012C3F">
        <w:rPr>
          <w:rFonts w:eastAsiaTheme="minorHAnsi" w:cs="Arial"/>
          <w:iCs/>
          <w:sz w:val="20"/>
          <w:szCs w:val="20"/>
          <w:lang w:val="en-US" w:eastAsia="en-US"/>
        </w:rPr>
        <w:t xml:space="preserve"> this is merely illustrative.</w:t>
      </w:r>
      <w:r w:rsidR="00C24A33" w:rsidRPr="00012C3F">
        <w:rPr>
          <w:rStyle w:val="Refdenotaalpie"/>
          <w:rFonts w:eastAsiaTheme="minorHAnsi" w:cs="Arial"/>
          <w:bCs/>
          <w:iCs/>
          <w:sz w:val="20"/>
          <w:szCs w:val="20"/>
          <w:lang w:val="en-US" w:eastAsia="en-US"/>
        </w:rPr>
        <w:footnoteReference w:id="317"/>
      </w:r>
      <w:r w:rsidR="00A15704" w:rsidRPr="00012C3F">
        <w:rPr>
          <w:rFonts w:eastAsiaTheme="minorHAnsi" w:cs="Arial"/>
          <w:bCs/>
          <w:iCs/>
          <w:sz w:val="20"/>
          <w:szCs w:val="20"/>
          <w:lang w:val="en-US" w:eastAsia="en-US"/>
        </w:rPr>
        <w:t xml:space="preserve"> Thus, the Court finds that the wording of this article leaves the criteria open with the inclusion of the expression “any other social condition,” so that other categories may be included that were not explicitly indicated,</w:t>
      </w:r>
      <w:r w:rsidR="008A610E" w:rsidRPr="00012C3F">
        <w:rPr>
          <w:rStyle w:val="Refdenotaalpie"/>
          <w:rFonts w:eastAsiaTheme="minorHAnsi" w:cs="Arial"/>
          <w:bCs/>
          <w:iCs/>
          <w:sz w:val="20"/>
          <w:szCs w:val="20"/>
          <w:lang w:val="en-US" w:eastAsia="en-US"/>
        </w:rPr>
        <w:footnoteReference w:id="318"/>
      </w:r>
      <w:r w:rsidR="00A15704" w:rsidRPr="00012C3F">
        <w:rPr>
          <w:rFonts w:eastAsiaTheme="minorHAnsi" w:cs="Arial"/>
          <w:bCs/>
          <w:iCs/>
          <w:sz w:val="20"/>
          <w:szCs w:val="20"/>
          <w:lang w:val="en-US" w:eastAsia="en-US"/>
        </w:rPr>
        <w:t xml:space="preserve"> but which have a similar</w:t>
      </w:r>
      <w:r w:rsidR="005C5213" w:rsidRPr="00012C3F">
        <w:rPr>
          <w:rFonts w:eastAsiaTheme="minorHAnsi" w:cs="Arial"/>
          <w:bCs/>
          <w:iCs/>
          <w:sz w:val="20"/>
          <w:szCs w:val="20"/>
          <w:lang w:val="en-US" w:eastAsia="en-US"/>
        </w:rPr>
        <w:t xml:space="preserve"> </w:t>
      </w:r>
      <w:r w:rsidR="00A15704" w:rsidRPr="00012C3F">
        <w:rPr>
          <w:rFonts w:eastAsiaTheme="minorHAnsi" w:cs="Arial"/>
          <w:bCs/>
          <w:iCs/>
          <w:sz w:val="20"/>
          <w:szCs w:val="20"/>
          <w:lang w:val="en-US" w:eastAsia="en-US"/>
        </w:rPr>
        <w:t>entity, such as refugees.</w:t>
      </w:r>
      <w:r w:rsidR="005C5213" w:rsidRPr="00012C3F">
        <w:rPr>
          <w:rStyle w:val="Refdenotaalpie"/>
          <w:rFonts w:eastAsiaTheme="minorHAnsi" w:cs="Arial"/>
          <w:bCs/>
          <w:iCs/>
          <w:sz w:val="20"/>
          <w:szCs w:val="20"/>
          <w:lang w:val="en-US" w:eastAsia="en-US"/>
        </w:rPr>
        <w:footnoteReference w:id="319"/>
      </w:r>
    </w:p>
    <w:p w14:paraId="02FAA157" w14:textId="77777777" w:rsidR="0076525E" w:rsidRPr="00012C3F" w:rsidRDefault="0076525E" w:rsidP="0076525E">
      <w:pPr>
        <w:widowControl/>
        <w:autoSpaceDE w:val="0"/>
        <w:autoSpaceDN w:val="0"/>
        <w:spacing w:line="240" w:lineRule="auto"/>
        <w:textAlignment w:val="auto"/>
        <w:rPr>
          <w:rFonts w:eastAsiaTheme="minorHAnsi" w:cs="Arial"/>
          <w:sz w:val="20"/>
          <w:szCs w:val="20"/>
          <w:lang w:val="en-US" w:eastAsia="en-US"/>
        </w:rPr>
      </w:pPr>
    </w:p>
    <w:p w14:paraId="640C465E" w14:textId="77777777" w:rsidR="00FE2AF8" w:rsidRPr="00012C3F" w:rsidRDefault="00FE2AF8" w:rsidP="00A15704">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 xml:space="preserve">On this basis, the Court consider that the criteria for determining whether the principle of equality and non-discrimination has been violated in a specific case may have a different weight depending on the reasons why there was a difference in treatment. The Court finds that, in the case of a measure that establishes a differentiated treatment and that involves one of these categories, </w:t>
      </w:r>
      <w:r w:rsidR="00417E1B" w:rsidRPr="00012C3F">
        <w:rPr>
          <w:rFonts w:eastAsiaTheme="minorHAnsi" w:cs="Arial"/>
          <w:sz w:val="20"/>
          <w:szCs w:val="20"/>
          <w:lang w:val="en-US" w:eastAsia="en-US"/>
        </w:rPr>
        <w:t>it</w:t>
      </w:r>
      <w:r w:rsidRPr="00012C3F">
        <w:rPr>
          <w:rFonts w:eastAsiaTheme="minorHAnsi" w:cs="Arial"/>
          <w:sz w:val="20"/>
          <w:szCs w:val="20"/>
          <w:lang w:val="en-US" w:eastAsia="en-US"/>
        </w:rPr>
        <w:t xml:space="preserve"> must examine </w:t>
      </w:r>
      <w:r w:rsidR="00417E1B" w:rsidRPr="00012C3F">
        <w:rPr>
          <w:rFonts w:eastAsiaTheme="minorHAnsi" w:cs="Arial"/>
          <w:sz w:val="20"/>
          <w:szCs w:val="20"/>
          <w:lang w:val="en-US" w:eastAsia="en-US"/>
        </w:rPr>
        <w:t>this</w:t>
      </w:r>
      <w:r w:rsidRPr="00012C3F">
        <w:rPr>
          <w:rFonts w:eastAsiaTheme="minorHAnsi" w:cs="Arial"/>
          <w:sz w:val="20"/>
          <w:szCs w:val="20"/>
          <w:lang w:val="en-US" w:eastAsia="en-US"/>
        </w:rPr>
        <w:t xml:space="preserve"> strictly</w:t>
      </w:r>
      <w:r w:rsidR="00417E1B" w:rsidRPr="00012C3F">
        <w:rPr>
          <w:rFonts w:eastAsiaTheme="minorHAnsi" w:cs="Arial"/>
          <w:sz w:val="20"/>
          <w:szCs w:val="20"/>
          <w:lang w:val="en-US" w:eastAsia="en-US"/>
        </w:rPr>
        <w:t>,</w:t>
      </w:r>
      <w:r w:rsidRPr="00012C3F">
        <w:rPr>
          <w:rFonts w:eastAsiaTheme="minorHAnsi" w:cs="Arial"/>
          <w:sz w:val="20"/>
          <w:szCs w:val="20"/>
          <w:lang w:val="en-US" w:eastAsia="en-US"/>
        </w:rPr>
        <w:t xml:space="preserve"> incorporating particularly demanding elements in its analysis; </w:t>
      </w:r>
      <w:r w:rsidR="00D933F5" w:rsidRPr="00012C3F">
        <w:rPr>
          <w:rFonts w:eastAsiaTheme="minorHAnsi" w:cs="Arial"/>
          <w:sz w:val="20"/>
          <w:szCs w:val="20"/>
          <w:lang w:val="en-US" w:eastAsia="en-US"/>
        </w:rPr>
        <w:t xml:space="preserve">in other words, </w:t>
      </w:r>
      <w:r w:rsidRPr="00012C3F">
        <w:rPr>
          <w:rFonts w:eastAsiaTheme="minorHAnsi" w:cs="Arial"/>
          <w:sz w:val="20"/>
          <w:szCs w:val="20"/>
          <w:lang w:val="en-US" w:eastAsia="en-US"/>
        </w:rPr>
        <w:t xml:space="preserve">the different treatment </w:t>
      </w:r>
      <w:r w:rsidR="00D933F5" w:rsidRPr="00012C3F">
        <w:rPr>
          <w:rFonts w:eastAsiaTheme="minorHAnsi" w:cs="Arial"/>
          <w:sz w:val="20"/>
          <w:szCs w:val="20"/>
          <w:lang w:val="en-US" w:eastAsia="en-US"/>
        </w:rPr>
        <w:t>must</w:t>
      </w:r>
      <w:r w:rsidRPr="00012C3F">
        <w:rPr>
          <w:rFonts w:eastAsiaTheme="minorHAnsi" w:cs="Arial"/>
          <w:sz w:val="20"/>
          <w:szCs w:val="20"/>
          <w:lang w:val="en-US" w:eastAsia="en-US"/>
        </w:rPr>
        <w:t xml:space="preserve"> constitute a necessary measure to achieve an imperative purpose pursuant to the Convention. Thus, </w:t>
      </w:r>
      <w:r w:rsidR="00D933F5" w:rsidRPr="00012C3F">
        <w:rPr>
          <w:rFonts w:eastAsiaTheme="minorHAnsi" w:cs="Arial"/>
          <w:sz w:val="20"/>
          <w:szCs w:val="20"/>
          <w:lang w:val="en-US" w:eastAsia="en-US"/>
        </w:rPr>
        <w:t>when</w:t>
      </w:r>
      <w:r w:rsidRPr="00012C3F">
        <w:rPr>
          <w:rFonts w:eastAsiaTheme="minorHAnsi" w:cs="Arial"/>
          <w:sz w:val="20"/>
          <w:szCs w:val="20"/>
          <w:lang w:val="en-US" w:eastAsia="en-US"/>
        </w:rPr>
        <w:t xml:space="preserve"> analyz</w:t>
      </w:r>
      <w:r w:rsidR="00D933F5" w:rsidRPr="00012C3F">
        <w:rPr>
          <w:rFonts w:eastAsiaTheme="minorHAnsi" w:cs="Arial"/>
          <w:sz w:val="20"/>
          <w:szCs w:val="20"/>
          <w:lang w:val="en-US" w:eastAsia="en-US"/>
        </w:rPr>
        <w:t>ing</w:t>
      </w:r>
      <w:r w:rsidRPr="00012C3F">
        <w:rPr>
          <w:rFonts w:eastAsiaTheme="minorHAnsi" w:cs="Arial"/>
          <w:sz w:val="20"/>
          <w:szCs w:val="20"/>
          <w:lang w:val="en-US" w:eastAsia="en-US"/>
        </w:rPr>
        <w:t xml:space="preserve"> the appropriateness of the differentiating measure, the objective pursued must be not only legitimate within the framework of the Convention, but also imperative. The measure chosen must not only be appropriate and effective, but also necessary; that is, it cannot be replaced by a less harmful alternative. Additionally, this includes the application of a consideration of proportionality </w:t>
      </w:r>
      <w:r w:rsidR="00337427" w:rsidRPr="00012C3F">
        <w:rPr>
          <w:rFonts w:eastAsiaTheme="minorHAnsi" w:cs="Arial"/>
          <w:i/>
          <w:iCs/>
          <w:sz w:val="20"/>
          <w:szCs w:val="20"/>
          <w:lang w:val="en-US" w:eastAsia="en-US"/>
        </w:rPr>
        <w:t xml:space="preserve">stricto sensu, </w:t>
      </w:r>
      <w:r w:rsidR="00337427" w:rsidRPr="00012C3F">
        <w:rPr>
          <w:rFonts w:eastAsiaTheme="minorHAnsi" w:cs="Arial"/>
          <w:sz w:val="20"/>
          <w:szCs w:val="20"/>
          <w:lang w:val="en-US" w:eastAsia="en-US"/>
        </w:rPr>
        <w:t>according to which the benefits of taking the measure in question must clearly outweigh the restrictions that it imposes on the treaty-based principles that it infringes.</w:t>
      </w:r>
    </w:p>
    <w:p w14:paraId="45F47418" w14:textId="77777777" w:rsidR="0076525E" w:rsidRPr="00012C3F" w:rsidRDefault="0076525E" w:rsidP="00A15704">
      <w:pPr>
        <w:widowControl/>
        <w:tabs>
          <w:tab w:val="left" w:pos="720"/>
        </w:tabs>
        <w:autoSpaceDE w:val="0"/>
        <w:autoSpaceDN w:val="0"/>
        <w:spacing w:line="240" w:lineRule="auto"/>
        <w:textAlignment w:val="auto"/>
        <w:rPr>
          <w:rFonts w:eastAsiaTheme="minorHAnsi" w:cs="Arial"/>
          <w:sz w:val="20"/>
          <w:szCs w:val="20"/>
          <w:lang w:val="en-US" w:eastAsia="en-US"/>
        </w:rPr>
      </w:pPr>
    </w:p>
    <w:p w14:paraId="4E16956F" w14:textId="77777777" w:rsidR="00337427" w:rsidRPr="00012C3F" w:rsidRDefault="00BD056C" w:rsidP="00337427">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The Commission</w:t>
      </w:r>
      <w:r w:rsidR="003730AC" w:rsidRPr="00012C3F">
        <w:rPr>
          <w:rFonts w:eastAsiaTheme="minorHAnsi" w:cs="Arial"/>
          <w:sz w:val="20"/>
          <w:szCs w:val="20"/>
          <w:lang w:val="en-US" w:eastAsia="en-US"/>
        </w:rPr>
        <w:t xml:space="preserve"> </w:t>
      </w:r>
      <w:r w:rsidR="00D933F5" w:rsidRPr="00012C3F">
        <w:rPr>
          <w:rFonts w:eastAsiaTheme="minorHAnsi" w:cs="Arial"/>
          <w:sz w:val="20"/>
          <w:szCs w:val="20"/>
          <w:lang w:val="en-US" w:eastAsia="en-US"/>
        </w:rPr>
        <w:t xml:space="preserve">has </w:t>
      </w:r>
      <w:r w:rsidR="00337427" w:rsidRPr="00012C3F">
        <w:rPr>
          <w:rFonts w:eastAsiaTheme="minorHAnsi" w:cs="Arial"/>
          <w:sz w:val="20"/>
          <w:szCs w:val="20"/>
          <w:lang w:val="en-US" w:eastAsia="en-US"/>
        </w:rPr>
        <w:t xml:space="preserve">asserted that, “this case provides an example of the multiples forms of discrimination that affect the enjoyment and exercise of human rights of some groups of women, such as I.V., based on the intersection of various factors such as their sex, </w:t>
      </w:r>
      <w:r w:rsidR="00F46A6E" w:rsidRPr="00012C3F">
        <w:rPr>
          <w:rFonts w:eastAsiaTheme="minorHAnsi" w:cs="Arial"/>
          <w:sz w:val="20"/>
          <w:szCs w:val="20"/>
          <w:lang w:val="en-US" w:eastAsia="en-US"/>
        </w:rPr>
        <w:t>im</w:t>
      </w:r>
      <w:r w:rsidR="00337427" w:rsidRPr="00012C3F">
        <w:rPr>
          <w:rFonts w:eastAsiaTheme="minorHAnsi" w:cs="Arial"/>
          <w:sz w:val="20"/>
          <w:szCs w:val="20"/>
          <w:lang w:val="en-US" w:eastAsia="en-US"/>
        </w:rPr>
        <w:t xml:space="preserve">migrant status, and economic situation.” And, I.V.’s </w:t>
      </w:r>
      <w:r w:rsidR="00972ACF" w:rsidRPr="00012C3F">
        <w:rPr>
          <w:rFonts w:eastAsiaTheme="minorHAnsi" w:cs="Arial"/>
          <w:sz w:val="20"/>
          <w:szCs w:val="20"/>
          <w:lang w:val="en-US" w:eastAsia="en-US"/>
        </w:rPr>
        <w:t>representative</w:t>
      </w:r>
      <w:r w:rsidR="008A610E" w:rsidRPr="00012C3F">
        <w:rPr>
          <w:rFonts w:eastAsiaTheme="minorHAnsi" w:cs="Arial"/>
          <w:sz w:val="20"/>
          <w:szCs w:val="20"/>
          <w:lang w:val="en-US" w:eastAsia="en-US"/>
        </w:rPr>
        <w:t xml:space="preserve"> </w:t>
      </w:r>
      <w:r w:rsidR="00337427" w:rsidRPr="00012C3F">
        <w:rPr>
          <w:rFonts w:eastAsiaTheme="minorHAnsi" w:cs="Arial"/>
          <w:sz w:val="20"/>
          <w:szCs w:val="20"/>
          <w:lang w:val="en-US" w:eastAsia="en-US"/>
        </w:rPr>
        <w:t>argued before this Court that, subjecting her to sterilization without her consent was discriminatory based on her condition as (i) a woman; (ii) poor; (iii) Peruvian, and (iv) a refugee.</w:t>
      </w:r>
    </w:p>
    <w:p w14:paraId="536F9F8F" w14:textId="77777777" w:rsidR="00A71482" w:rsidRPr="00012C3F" w:rsidRDefault="00A71482" w:rsidP="00A15704">
      <w:pPr>
        <w:widowControl/>
        <w:tabs>
          <w:tab w:val="left" w:pos="720"/>
        </w:tabs>
        <w:autoSpaceDE w:val="0"/>
        <w:autoSpaceDN w:val="0"/>
        <w:spacing w:line="240" w:lineRule="auto"/>
        <w:textAlignment w:val="auto"/>
        <w:rPr>
          <w:rFonts w:eastAsiaTheme="minorHAnsi" w:cs="Arial"/>
          <w:sz w:val="20"/>
          <w:szCs w:val="20"/>
          <w:lang w:val="en-US" w:eastAsia="en-US"/>
        </w:rPr>
      </w:pPr>
    </w:p>
    <w:p w14:paraId="7C4921CA" w14:textId="77777777" w:rsidR="009F0E23" w:rsidRPr="00012C3F" w:rsidRDefault="001254DE" w:rsidP="0030317F">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The Court</w:t>
      </w:r>
      <w:r w:rsidR="00337427" w:rsidRPr="00012C3F">
        <w:rPr>
          <w:rFonts w:cs="Arial"/>
          <w:sz w:val="20"/>
          <w:szCs w:val="20"/>
          <w:lang w:val="en-US"/>
        </w:rPr>
        <w:t xml:space="preserve"> recognizes that, historically, a woman’s liberty and autonomy as regards her sexual and reproductive health</w:t>
      </w:r>
      <w:r w:rsidR="00672DA2" w:rsidRPr="00012C3F">
        <w:rPr>
          <w:rFonts w:cs="Arial"/>
          <w:sz w:val="20"/>
          <w:szCs w:val="20"/>
          <w:lang w:val="en-US"/>
        </w:rPr>
        <w:t>,</w:t>
      </w:r>
      <w:r w:rsidR="00337427" w:rsidRPr="00012C3F">
        <w:rPr>
          <w:rFonts w:cs="Arial"/>
          <w:sz w:val="20"/>
          <w:szCs w:val="20"/>
          <w:lang w:val="en-US"/>
        </w:rPr>
        <w:t xml:space="preserve"> ha</w:t>
      </w:r>
      <w:r w:rsidR="00672DA2" w:rsidRPr="00012C3F">
        <w:rPr>
          <w:rFonts w:cs="Arial"/>
          <w:sz w:val="20"/>
          <w:szCs w:val="20"/>
          <w:lang w:val="en-US"/>
        </w:rPr>
        <w:t>s</w:t>
      </w:r>
      <w:r w:rsidR="00337427" w:rsidRPr="00012C3F">
        <w:rPr>
          <w:rFonts w:cs="Arial"/>
          <w:sz w:val="20"/>
          <w:szCs w:val="20"/>
          <w:lang w:val="en-US"/>
        </w:rPr>
        <w:t xml:space="preserve"> been limited, restricted or annulled</w:t>
      </w:r>
      <w:r w:rsidR="00337427" w:rsidRPr="00012C3F">
        <w:rPr>
          <w:rStyle w:val="Refdenotaalpie"/>
          <w:rFonts w:eastAsiaTheme="minorHAnsi" w:cs="Arial"/>
          <w:sz w:val="20"/>
          <w:szCs w:val="20"/>
          <w:lang w:val="en-US" w:eastAsia="en-US"/>
        </w:rPr>
        <w:footnoteReference w:id="320"/>
      </w:r>
      <w:r w:rsidR="00337427" w:rsidRPr="00012C3F">
        <w:rPr>
          <w:rFonts w:cs="Arial"/>
          <w:sz w:val="20"/>
          <w:szCs w:val="20"/>
          <w:lang w:val="en-US"/>
        </w:rPr>
        <w:t xml:space="preserve"> based on negative and prejudicial gender stereotypes, as described by the physician himself during the public hearing.</w:t>
      </w:r>
      <w:r w:rsidR="00B74197" w:rsidRPr="00012C3F">
        <w:rPr>
          <w:rFonts w:eastAsiaTheme="minorHAnsi" w:cs="Arial"/>
          <w:sz w:val="20"/>
          <w:szCs w:val="20"/>
          <w:vertAlign w:val="superscript"/>
          <w:lang w:val="en-US" w:eastAsia="en-US"/>
        </w:rPr>
        <w:footnoteReference w:id="321"/>
      </w:r>
      <w:r w:rsidR="00B74197" w:rsidRPr="00012C3F">
        <w:rPr>
          <w:rFonts w:eastAsiaTheme="minorHAnsi" w:cs="Arial"/>
          <w:sz w:val="20"/>
          <w:szCs w:val="20"/>
          <w:lang w:val="en-US" w:eastAsia="en-US"/>
        </w:rPr>
        <w:t xml:space="preserve"> </w:t>
      </w:r>
      <w:r w:rsidR="0030317F" w:rsidRPr="00012C3F">
        <w:rPr>
          <w:rFonts w:cs="Arial"/>
          <w:sz w:val="20"/>
          <w:szCs w:val="20"/>
          <w:lang w:val="en-US"/>
        </w:rPr>
        <w:t>This is because, socially and culturally, men have been assigned a preponderant role in decision-making with regard to a woman’s body, and women have been seen, above all, as a reproductive entity. In particular, the Court note</w:t>
      </w:r>
      <w:r w:rsidR="0030317F" w:rsidRPr="00012C3F">
        <w:rPr>
          <w:rFonts w:cs="Arial"/>
          <w:sz w:val="20"/>
          <w:lang w:val="en-US"/>
        </w:rPr>
        <w:t>s</w:t>
      </w:r>
      <w:r w:rsidR="0030317F" w:rsidRPr="00012C3F">
        <w:rPr>
          <w:rFonts w:cs="Arial"/>
          <w:sz w:val="20"/>
          <w:szCs w:val="20"/>
          <w:lang w:val="en-US"/>
        </w:rPr>
        <w:t xml:space="preserve"> that non-consensual sterilization was influenced by the </w:t>
      </w:r>
      <w:r w:rsidR="0030317F" w:rsidRPr="00012C3F">
        <w:rPr>
          <w:rFonts w:cs="Arial"/>
          <w:sz w:val="20"/>
          <w:szCs w:val="20"/>
          <w:lang w:val="en-US"/>
        </w:rPr>
        <w:lastRenderedPageBreak/>
        <w:t>historically unequal relationship between women and men. Even though sterilization was a</w:t>
      </w:r>
      <w:r w:rsidR="0030317F" w:rsidRPr="00012C3F">
        <w:rPr>
          <w:rFonts w:cs="Arial"/>
          <w:sz w:val="20"/>
          <w:lang w:val="en-US"/>
        </w:rPr>
        <w:t xml:space="preserve"> contra</w:t>
      </w:r>
      <w:r w:rsidR="0030317F" w:rsidRPr="00012C3F">
        <w:rPr>
          <w:rFonts w:cs="Arial"/>
          <w:sz w:val="20"/>
          <w:szCs w:val="20"/>
          <w:lang w:val="en-US"/>
        </w:rPr>
        <w:t>ceptive method used by both women and men, non-consensual sterilization affected women disproportionately, because they were women, and because society assigned the reproductive function and family planning to women.</w:t>
      </w:r>
      <w:r w:rsidR="009213AE" w:rsidRPr="00012C3F">
        <w:rPr>
          <w:rFonts w:eastAsia="MS Mincho"/>
          <w:sz w:val="20"/>
          <w:szCs w:val="20"/>
          <w:vertAlign w:val="superscript"/>
          <w:lang w:val="en-US"/>
        </w:rPr>
        <w:footnoteReference w:id="322"/>
      </w:r>
      <w:r w:rsidR="0030317F" w:rsidRPr="00012C3F">
        <w:rPr>
          <w:rFonts w:cs="Arial"/>
          <w:sz w:val="20"/>
          <w:szCs w:val="20"/>
          <w:lang w:val="en-US"/>
        </w:rPr>
        <w:t xml:space="preserve"> Furthermore, the fact that women </w:t>
      </w:r>
      <w:r w:rsidR="0030317F" w:rsidRPr="00012C3F">
        <w:rPr>
          <w:rFonts w:cs="Arial"/>
          <w:sz w:val="20"/>
          <w:lang w:val="en-US"/>
        </w:rPr>
        <w:t>ar</w:t>
      </w:r>
      <w:r w:rsidR="0030317F" w:rsidRPr="00012C3F">
        <w:rPr>
          <w:rFonts w:cs="Arial"/>
          <w:sz w:val="20"/>
          <w:szCs w:val="20"/>
          <w:lang w:val="en-US"/>
        </w:rPr>
        <w:t>e the sex with the biological capacity to become pregnant and give birth mean</w:t>
      </w:r>
      <w:r w:rsidR="00672DA2" w:rsidRPr="00012C3F">
        <w:rPr>
          <w:rFonts w:cs="Arial"/>
          <w:sz w:val="20"/>
          <w:szCs w:val="20"/>
          <w:lang w:val="en-US"/>
        </w:rPr>
        <w:t>s</w:t>
      </w:r>
      <w:r w:rsidR="0030317F" w:rsidRPr="00012C3F">
        <w:rPr>
          <w:rFonts w:cs="Arial"/>
          <w:sz w:val="20"/>
          <w:szCs w:val="20"/>
          <w:lang w:val="en-US"/>
        </w:rPr>
        <w:t xml:space="preserve"> that, during a </w:t>
      </w:r>
      <w:r w:rsidR="00672DA2" w:rsidRPr="00012C3F">
        <w:rPr>
          <w:rFonts w:cs="Arial"/>
          <w:sz w:val="20"/>
          <w:szCs w:val="20"/>
          <w:lang w:val="en-US"/>
        </w:rPr>
        <w:t>c</w:t>
      </w:r>
      <w:r w:rsidR="0030317F" w:rsidRPr="00012C3F">
        <w:rPr>
          <w:rFonts w:cs="Arial"/>
          <w:sz w:val="20"/>
          <w:szCs w:val="20"/>
          <w:lang w:val="en-US"/>
        </w:rPr>
        <w:t>aesarean section, they were frequently subject</w:t>
      </w:r>
      <w:r w:rsidR="00672DA2" w:rsidRPr="00012C3F">
        <w:rPr>
          <w:rFonts w:cs="Arial"/>
          <w:sz w:val="20"/>
          <w:szCs w:val="20"/>
          <w:lang w:val="en-US"/>
        </w:rPr>
        <w:t>ed</w:t>
      </w:r>
      <w:r w:rsidR="0030317F" w:rsidRPr="00012C3F">
        <w:rPr>
          <w:rFonts w:cs="Arial"/>
          <w:sz w:val="20"/>
          <w:szCs w:val="20"/>
          <w:lang w:val="en-US"/>
        </w:rPr>
        <w:t xml:space="preserve"> to non-consensual sterilization, because they were excluded from the process of taking informed decisions with regard to their body and reproductive health on the basis of the prejudicial stereotype that they were unable to take such decisions responsibly.</w:t>
      </w:r>
      <w:r w:rsidR="009213AE" w:rsidRPr="00012C3F">
        <w:rPr>
          <w:rFonts w:eastAsia="MS Mincho"/>
          <w:sz w:val="20"/>
          <w:szCs w:val="20"/>
          <w:vertAlign w:val="superscript"/>
          <w:lang w:val="en-US"/>
        </w:rPr>
        <w:footnoteReference w:id="323"/>
      </w:r>
      <w:r w:rsidR="009213AE" w:rsidRPr="00012C3F">
        <w:rPr>
          <w:rFonts w:eastAsia="MS Mincho"/>
          <w:sz w:val="20"/>
          <w:szCs w:val="20"/>
          <w:lang w:val="en-US"/>
        </w:rPr>
        <w:t xml:space="preserve"> </w:t>
      </w:r>
      <w:r w:rsidR="0030317F" w:rsidRPr="00012C3F">
        <w:rPr>
          <w:rFonts w:cs="Arial"/>
          <w:sz w:val="20"/>
          <w:szCs w:val="20"/>
          <w:lang w:val="en-US"/>
        </w:rPr>
        <w:t>Consequently, the Court consider</w:t>
      </w:r>
      <w:r w:rsidR="00672DA2" w:rsidRPr="00012C3F">
        <w:rPr>
          <w:rFonts w:cs="Arial"/>
          <w:sz w:val="20"/>
          <w:szCs w:val="20"/>
          <w:lang w:val="en-US"/>
        </w:rPr>
        <w:t>s</w:t>
      </w:r>
      <w:r w:rsidR="0030317F" w:rsidRPr="00012C3F">
        <w:rPr>
          <w:rFonts w:cs="Arial"/>
          <w:sz w:val="20"/>
          <w:szCs w:val="20"/>
          <w:lang w:val="en-US"/>
        </w:rPr>
        <w:t xml:space="preserve"> that the strict protection provided by Article 1(1) of the Convention </w:t>
      </w:r>
      <w:r w:rsidR="00672DA2" w:rsidRPr="00012C3F">
        <w:rPr>
          <w:rFonts w:cs="Arial"/>
          <w:sz w:val="20"/>
          <w:szCs w:val="20"/>
          <w:lang w:val="en-US"/>
        </w:rPr>
        <w:t>i</w:t>
      </w:r>
      <w:r w:rsidR="0030317F" w:rsidRPr="00012C3F">
        <w:rPr>
          <w:rFonts w:cs="Arial"/>
          <w:sz w:val="20"/>
          <w:szCs w:val="20"/>
          <w:lang w:val="en-US"/>
        </w:rPr>
        <w:t xml:space="preserve">s </w:t>
      </w:r>
      <w:r w:rsidR="00672DA2" w:rsidRPr="00012C3F">
        <w:rPr>
          <w:rFonts w:cs="Arial"/>
          <w:sz w:val="20"/>
          <w:szCs w:val="20"/>
          <w:lang w:val="en-US"/>
        </w:rPr>
        <w:t>applicable</w:t>
      </w:r>
      <w:r w:rsidR="0030317F" w:rsidRPr="00012C3F">
        <w:rPr>
          <w:rFonts w:cs="Arial"/>
          <w:sz w:val="20"/>
          <w:szCs w:val="20"/>
          <w:lang w:val="en-US"/>
        </w:rPr>
        <w:t xml:space="preserve"> </w:t>
      </w:r>
      <w:r w:rsidR="00672DA2" w:rsidRPr="00012C3F">
        <w:rPr>
          <w:rFonts w:cs="Arial"/>
          <w:sz w:val="20"/>
          <w:szCs w:val="20"/>
          <w:lang w:val="en-US"/>
        </w:rPr>
        <w:t>based on</w:t>
      </w:r>
      <w:r w:rsidR="0030317F" w:rsidRPr="00012C3F">
        <w:rPr>
          <w:rFonts w:cs="Arial"/>
          <w:sz w:val="20"/>
          <w:szCs w:val="20"/>
          <w:lang w:val="en-US"/>
        </w:rPr>
        <w:t xml:space="preserve"> sex and gender</w:t>
      </w:r>
      <w:r w:rsidR="00452BE4" w:rsidRPr="00012C3F">
        <w:rPr>
          <w:rStyle w:val="Refdenotaalpie"/>
          <w:rFonts w:eastAsiaTheme="minorHAnsi" w:cs="Arial"/>
          <w:sz w:val="20"/>
          <w:szCs w:val="20"/>
          <w:lang w:val="en-US" w:eastAsia="en-US"/>
        </w:rPr>
        <w:footnoteReference w:id="324"/>
      </w:r>
      <w:r w:rsidR="0030317F" w:rsidRPr="00012C3F">
        <w:rPr>
          <w:rFonts w:cs="Arial"/>
          <w:sz w:val="20"/>
          <w:szCs w:val="20"/>
          <w:lang w:val="en-US"/>
        </w:rPr>
        <w:t xml:space="preserve"> because, traditionally, </w:t>
      </w:r>
      <w:r w:rsidR="00672DA2" w:rsidRPr="00012C3F">
        <w:rPr>
          <w:rFonts w:cs="Arial"/>
          <w:sz w:val="20"/>
          <w:szCs w:val="20"/>
          <w:lang w:val="en-US"/>
        </w:rPr>
        <w:t>w</w:t>
      </w:r>
      <w:r w:rsidR="0030317F" w:rsidRPr="00012C3F">
        <w:rPr>
          <w:rFonts w:cs="Arial"/>
          <w:sz w:val="20"/>
          <w:szCs w:val="20"/>
          <w:lang w:val="en-US"/>
        </w:rPr>
        <w:t>omen ha</w:t>
      </w:r>
      <w:r w:rsidR="00672DA2" w:rsidRPr="00012C3F">
        <w:rPr>
          <w:rFonts w:cs="Arial"/>
          <w:sz w:val="20"/>
          <w:szCs w:val="20"/>
          <w:lang w:val="en-US"/>
        </w:rPr>
        <w:t>ve</w:t>
      </w:r>
      <w:r w:rsidR="0030317F" w:rsidRPr="00012C3F">
        <w:rPr>
          <w:rFonts w:cs="Arial"/>
          <w:sz w:val="20"/>
          <w:szCs w:val="20"/>
          <w:lang w:val="en-US"/>
        </w:rPr>
        <w:t xml:space="preserve"> been marginalized and discriminated against in this regard. Therefore, the Court will examine this aspect of the case rigorously</w:t>
      </w:r>
      <w:r w:rsidR="0030317F" w:rsidRPr="00012C3F">
        <w:rPr>
          <w:rFonts w:eastAsiaTheme="minorHAnsi" w:cs="Arial"/>
          <w:sz w:val="20"/>
          <w:szCs w:val="20"/>
          <w:lang w:val="en-US" w:eastAsia="en-US"/>
        </w:rPr>
        <w:t>.</w:t>
      </w:r>
    </w:p>
    <w:p w14:paraId="1CA2315B" w14:textId="77777777" w:rsidR="0030317F" w:rsidRPr="00012C3F" w:rsidRDefault="0030317F" w:rsidP="0030317F">
      <w:pPr>
        <w:tabs>
          <w:tab w:val="left" w:pos="720"/>
        </w:tabs>
        <w:spacing w:line="240" w:lineRule="auto"/>
        <w:rPr>
          <w:rFonts w:eastAsiaTheme="minorHAnsi" w:cs="Arial"/>
          <w:sz w:val="20"/>
          <w:szCs w:val="20"/>
          <w:lang w:val="en-US" w:eastAsia="en-US"/>
        </w:rPr>
      </w:pPr>
    </w:p>
    <w:p w14:paraId="154C23FD" w14:textId="77777777" w:rsidR="00483E0B" w:rsidRPr="00012C3F" w:rsidRDefault="00C1462B" w:rsidP="00E336E5">
      <w:pPr>
        <w:numPr>
          <w:ilvl w:val="0"/>
          <w:numId w:val="5"/>
        </w:numPr>
        <w:tabs>
          <w:tab w:val="left" w:pos="720"/>
          <w:tab w:val="num" w:pos="12305"/>
        </w:tabs>
        <w:spacing w:line="240" w:lineRule="auto"/>
        <w:ind w:left="0" w:firstLine="0"/>
        <w:rPr>
          <w:rFonts w:eastAsiaTheme="minorHAnsi" w:cs="Arial"/>
          <w:iCs/>
          <w:sz w:val="20"/>
          <w:szCs w:val="20"/>
          <w:lang w:val="en-US" w:eastAsia="en-US"/>
        </w:rPr>
      </w:pPr>
      <w:r w:rsidRPr="00012C3F">
        <w:rPr>
          <w:rFonts w:eastAsiaTheme="minorHAnsi" w:cs="Arial"/>
          <w:sz w:val="20"/>
          <w:szCs w:val="20"/>
          <w:lang w:val="en-US" w:eastAsia="en-US"/>
        </w:rPr>
        <w:t xml:space="preserve">In this context, </w:t>
      </w:r>
      <w:r w:rsidR="001254DE" w:rsidRPr="00012C3F">
        <w:rPr>
          <w:rFonts w:eastAsiaTheme="minorHAnsi" w:cs="Arial"/>
          <w:iCs/>
          <w:sz w:val="20"/>
          <w:szCs w:val="20"/>
          <w:lang w:val="en-US" w:eastAsia="en-US"/>
        </w:rPr>
        <w:t>the Court</w:t>
      </w:r>
      <w:r w:rsidR="00483E0B" w:rsidRPr="00012C3F">
        <w:rPr>
          <w:rFonts w:eastAsiaTheme="minorHAnsi" w:cs="Arial"/>
          <w:iCs/>
          <w:sz w:val="20"/>
          <w:szCs w:val="20"/>
          <w:lang w:val="en-US" w:eastAsia="en-US"/>
        </w:rPr>
        <w:t xml:space="preserve"> </w:t>
      </w:r>
      <w:r w:rsidR="00E336E5" w:rsidRPr="00012C3F">
        <w:rPr>
          <w:rFonts w:eastAsiaTheme="minorHAnsi" w:cs="Arial"/>
          <w:iCs/>
          <w:sz w:val="20"/>
          <w:szCs w:val="20"/>
          <w:lang w:val="en-US" w:eastAsia="en-US"/>
        </w:rPr>
        <w:t>emphasizes that “in the case of the prohibition of discrimination based on one of the protected categories contained in Article 1(1) of the Convention, the possible restriction of a right requires a weighty and rigorous justification, which means that the reasons used by the State to differentiate treatment must be particularly s</w:t>
      </w:r>
      <w:r w:rsidR="00672DA2" w:rsidRPr="00012C3F">
        <w:rPr>
          <w:rFonts w:eastAsiaTheme="minorHAnsi" w:cs="Arial"/>
          <w:iCs/>
          <w:sz w:val="20"/>
          <w:szCs w:val="20"/>
          <w:lang w:val="en-US" w:eastAsia="en-US"/>
        </w:rPr>
        <w:t>ignificant</w:t>
      </w:r>
      <w:r w:rsidR="00E336E5" w:rsidRPr="00012C3F">
        <w:rPr>
          <w:rFonts w:eastAsiaTheme="minorHAnsi" w:cs="Arial"/>
          <w:iCs/>
          <w:sz w:val="20"/>
          <w:szCs w:val="20"/>
          <w:lang w:val="en-US" w:eastAsia="en-US"/>
        </w:rPr>
        <w:t xml:space="preserve"> and based on a thorough </w:t>
      </w:r>
      <w:r w:rsidR="00672DA2" w:rsidRPr="00012C3F">
        <w:rPr>
          <w:rFonts w:eastAsiaTheme="minorHAnsi" w:cs="Arial"/>
          <w:iCs/>
          <w:sz w:val="20"/>
          <w:szCs w:val="20"/>
          <w:lang w:val="en-US" w:eastAsia="en-US"/>
        </w:rPr>
        <w:t>substantiation</w:t>
      </w:r>
      <w:r w:rsidR="00E336E5" w:rsidRPr="00012C3F">
        <w:rPr>
          <w:rFonts w:eastAsiaTheme="minorHAnsi" w:cs="Arial"/>
          <w:iCs/>
          <w:sz w:val="20"/>
          <w:szCs w:val="20"/>
          <w:lang w:val="en-US" w:eastAsia="en-US"/>
        </w:rPr>
        <w:t>. In addition, the burden of proof is inversed, which means that it is for the authority to prove that neither the purpose nor the effects of the decision were discriminatory.</w:t>
      </w:r>
      <w:r w:rsidR="00483E0B" w:rsidRPr="00012C3F">
        <w:rPr>
          <w:rFonts w:eastAsiaTheme="minorHAnsi" w:cs="Arial"/>
          <w:iCs/>
          <w:sz w:val="20"/>
          <w:szCs w:val="20"/>
          <w:lang w:val="en-US" w:eastAsia="en-US"/>
        </w:rPr>
        <w:t>”</w:t>
      </w:r>
      <w:r w:rsidR="00483E0B" w:rsidRPr="00012C3F">
        <w:rPr>
          <w:rFonts w:eastAsiaTheme="minorHAnsi" w:cs="Arial"/>
          <w:iCs/>
          <w:sz w:val="20"/>
          <w:szCs w:val="20"/>
          <w:vertAlign w:val="superscript"/>
          <w:lang w:val="en-US" w:eastAsia="en-US"/>
        </w:rPr>
        <w:footnoteReference w:id="325"/>
      </w:r>
    </w:p>
    <w:p w14:paraId="250D4FAB" w14:textId="77777777" w:rsidR="00483E0B" w:rsidRPr="00012C3F" w:rsidRDefault="00483E0B" w:rsidP="00306849">
      <w:pPr>
        <w:widowControl/>
        <w:tabs>
          <w:tab w:val="left" w:pos="720"/>
        </w:tabs>
        <w:autoSpaceDE w:val="0"/>
        <w:autoSpaceDN w:val="0"/>
        <w:spacing w:line="240" w:lineRule="auto"/>
        <w:textAlignment w:val="auto"/>
        <w:rPr>
          <w:rFonts w:eastAsiaTheme="minorHAnsi" w:cs="Arial"/>
          <w:sz w:val="20"/>
          <w:szCs w:val="20"/>
          <w:lang w:val="en-US" w:eastAsia="en-US"/>
        </w:rPr>
      </w:pPr>
    </w:p>
    <w:p w14:paraId="0AB613CA" w14:textId="77777777" w:rsidR="00E336E5" w:rsidRPr="00012C3F" w:rsidRDefault="00E336E5" w:rsidP="00306849">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When examining the facts of this case and the State’s arguments that the purpose of the sterilization procedure was to safeguard I.V.’s life in view of the danger that a future pregnancy could involve for the patient’s life, the Court notes that the differentiating measure</w:t>
      </w:r>
      <w:r w:rsidR="00672DA2" w:rsidRPr="00012C3F">
        <w:rPr>
          <w:rFonts w:eastAsiaTheme="minorHAnsi" w:cs="Arial"/>
          <w:sz w:val="20"/>
          <w:szCs w:val="20"/>
          <w:lang w:val="en-US" w:eastAsia="en-US"/>
        </w:rPr>
        <w:t xml:space="preserve"> – that</w:t>
      </w:r>
      <w:r w:rsidRPr="00012C3F">
        <w:rPr>
          <w:rFonts w:eastAsiaTheme="minorHAnsi" w:cs="Arial"/>
          <w:sz w:val="20"/>
          <w:szCs w:val="20"/>
          <w:lang w:val="en-US" w:eastAsia="en-US"/>
        </w:rPr>
        <w:t xml:space="preserve"> is the tubal ligation performed on I.V. as a method of contraception</w:t>
      </w:r>
      <w:r w:rsidR="00672DA2" w:rsidRPr="00012C3F">
        <w:rPr>
          <w:rFonts w:eastAsiaTheme="minorHAnsi" w:cs="Arial"/>
          <w:sz w:val="20"/>
          <w:szCs w:val="20"/>
          <w:lang w:val="en-US" w:eastAsia="en-US"/>
        </w:rPr>
        <w:t xml:space="preserve"> – could, </w:t>
      </w:r>
      <w:r w:rsidRPr="00012C3F">
        <w:rPr>
          <w:rFonts w:eastAsiaTheme="minorHAnsi" w:cs="Arial"/>
          <w:sz w:val="20"/>
          <w:szCs w:val="20"/>
          <w:lang w:val="en-US" w:eastAsia="en-US"/>
        </w:rPr>
        <w:t>in principle</w:t>
      </w:r>
      <w:r w:rsidR="00672DA2" w:rsidRPr="00012C3F">
        <w:rPr>
          <w:rFonts w:eastAsiaTheme="minorHAnsi" w:cs="Arial"/>
          <w:sz w:val="20"/>
          <w:szCs w:val="20"/>
          <w:lang w:val="en-US" w:eastAsia="en-US"/>
        </w:rPr>
        <w:t>,</w:t>
      </w:r>
      <w:r w:rsidRPr="00012C3F">
        <w:rPr>
          <w:rFonts w:eastAsiaTheme="minorHAnsi" w:cs="Arial"/>
          <w:sz w:val="20"/>
          <w:szCs w:val="20"/>
          <w:lang w:val="en-US" w:eastAsia="en-US"/>
        </w:rPr>
        <w:t xml:space="preserve"> have had an objective that was </w:t>
      </w:r>
      <w:r w:rsidR="009D3EE9" w:rsidRPr="00012C3F">
        <w:rPr>
          <w:rFonts w:eastAsiaTheme="minorHAnsi" w:cs="Arial"/>
          <w:sz w:val="20"/>
          <w:szCs w:val="20"/>
          <w:lang w:val="en-US" w:eastAsia="en-US"/>
        </w:rPr>
        <w:t>not</w:t>
      </w:r>
      <w:r w:rsidRPr="00012C3F">
        <w:rPr>
          <w:rFonts w:eastAsiaTheme="minorHAnsi" w:cs="Arial"/>
          <w:sz w:val="20"/>
          <w:szCs w:val="20"/>
          <w:lang w:val="en-US" w:eastAsia="en-US"/>
        </w:rPr>
        <w:t xml:space="preserve"> only legitimate, but even imperative, insofar as it was appropriate to protect her health and possibly her life in view of the risk of another pregnancy, because she was permanently deprived of her reproductive capacity. However, it was not strictly necessary, because the same objective could have been achieved with measures that were less harmful for her autonomy and reproductive freedom and less invasive of her private and family life.</w:t>
      </w:r>
    </w:p>
    <w:p w14:paraId="0621D67F" w14:textId="77777777" w:rsidR="00871EF3" w:rsidRPr="00012C3F" w:rsidRDefault="00871EF3" w:rsidP="00306849">
      <w:pPr>
        <w:widowControl/>
        <w:tabs>
          <w:tab w:val="left" w:pos="720"/>
        </w:tabs>
        <w:autoSpaceDE w:val="0"/>
        <w:autoSpaceDN w:val="0"/>
        <w:spacing w:line="240" w:lineRule="auto"/>
        <w:textAlignment w:val="auto"/>
        <w:rPr>
          <w:rFonts w:eastAsiaTheme="minorHAnsi" w:cs="Arial"/>
          <w:sz w:val="20"/>
          <w:szCs w:val="20"/>
          <w:lang w:val="en-US" w:eastAsia="en-US"/>
        </w:rPr>
      </w:pPr>
    </w:p>
    <w:p w14:paraId="5B2E7CC2" w14:textId="77777777" w:rsidR="00D02881" w:rsidRPr="00012C3F" w:rsidRDefault="00E336E5" w:rsidP="00F07712">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Thus, the sterilization procedure denied I.V. the possibility of knowing and weighing up alternative contracepti</w:t>
      </w:r>
      <w:r w:rsidR="00D312A7" w:rsidRPr="00012C3F">
        <w:rPr>
          <w:rFonts w:eastAsiaTheme="minorHAnsi" w:cs="Arial"/>
          <w:sz w:val="20"/>
          <w:szCs w:val="20"/>
          <w:lang w:val="en-US" w:eastAsia="en-US"/>
        </w:rPr>
        <w:t>ve</w:t>
      </w:r>
      <w:r w:rsidRPr="00012C3F">
        <w:rPr>
          <w:rFonts w:eastAsiaTheme="minorHAnsi" w:cs="Arial"/>
          <w:sz w:val="20"/>
          <w:szCs w:val="20"/>
          <w:lang w:val="en-US" w:eastAsia="en-US"/>
        </w:rPr>
        <w:t xml:space="preserve"> methods</w:t>
      </w:r>
      <w:r w:rsidR="00D312A7" w:rsidRPr="00012C3F">
        <w:rPr>
          <w:rFonts w:eastAsiaTheme="minorHAnsi" w:cs="Arial"/>
          <w:sz w:val="20"/>
          <w:szCs w:val="20"/>
          <w:lang w:val="en-US" w:eastAsia="en-US"/>
        </w:rPr>
        <w:t xml:space="preserve"> and the possibility of choosing a non-permanent and less invasive method. Moreover, she did not receive information on alternative contraceptive methods that could have been taken by her husband to avoid a future pregnancy, so that I.V. was assigned the burden of family planning and reproduction. The Court considers that the sterilization procedure annulled I.V.’s decision-making power and also her autonomy in a discriminatory manner because the physician only took into account his criteria and failed to take into consideration the specific wishes and needs of his patient. Also, the fact that the physician tried to locate the husband to obtain his authorization or, in the best-case scenario, </w:t>
      </w:r>
      <w:r w:rsidR="00672DA2" w:rsidRPr="00012C3F">
        <w:rPr>
          <w:rFonts w:eastAsiaTheme="minorHAnsi" w:cs="Arial"/>
          <w:sz w:val="20"/>
          <w:szCs w:val="20"/>
          <w:lang w:val="en-US" w:eastAsia="en-US"/>
        </w:rPr>
        <w:t>ratify</w:t>
      </w:r>
      <w:r w:rsidR="00D312A7" w:rsidRPr="00012C3F">
        <w:rPr>
          <w:rFonts w:eastAsiaTheme="minorHAnsi" w:cs="Arial"/>
          <w:sz w:val="20"/>
          <w:szCs w:val="20"/>
          <w:lang w:val="en-US" w:eastAsia="en-US"/>
        </w:rPr>
        <w:t xml:space="preserve"> the consent supposedly obtained from I.V. during the peri-operative period</w:t>
      </w:r>
      <w:r w:rsidR="008063D2" w:rsidRPr="00012C3F">
        <w:rPr>
          <w:rFonts w:eastAsiaTheme="minorHAnsi" w:cs="Arial"/>
          <w:sz w:val="20"/>
          <w:szCs w:val="20"/>
          <w:lang w:val="en-US" w:eastAsia="en-US"/>
        </w:rPr>
        <w:t xml:space="preserve"> (</w:t>
      </w:r>
      <w:r w:rsidR="008063D2" w:rsidRPr="00012C3F">
        <w:rPr>
          <w:rFonts w:eastAsiaTheme="minorHAnsi" w:cs="Arial"/>
          <w:i/>
          <w:sz w:val="20"/>
          <w:szCs w:val="20"/>
          <w:lang w:val="en-US" w:eastAsia="en-US"/>
        </w:rPr>
        <w:t xml:space="preserve">supra </w:t>
      </w:r>
      <w:r w:rsidR="00370DD4" w:rsidRPr="00012C3F">
        <w:rPr>
          <w:rFonts w:eastAsiaTheme="minorHAnsi" w:cs="Arial"/>
          <w:sz w:val="20"/>
          <w:szCs w:val="20"/>
          <w:lang w:val="en-US" w:eastAsia="en-US"/>
        </w:rPr>
        <w:t>para.</w:t>
      </w:r>
      <w:r w:rsidR="00307E6C" w:rsidRPr="00012C3F">
        <w:rPr>
          <w:rFonts w:eastAsiaTheme="minorHAnsi" w:cs="Arial"/>
          <w:sz w:val="20"/>
          <w:szCs w:val="20"/>
          <w:lang w:val="en-US" w:eastAsia="en-US"/>
        </w:rPr>
        <w:t xml:space="preserve"> 65</w:t>
      </w:r>
      <w:r w:rsidR="008063D2" w:rsidRPr="00012C3F">
        <w:rPr>
          <w:rFonts w:eastAsiaTheme="minorHAnsi" w:cs="Arial"/>
          <w:sz w:val="20"/>
          <w:szCs w:val="20"/>
          <w:lang w:val="en-US" w:eastAsia="en-US"/>
        </w:rPr>
        <w:t>)</w:t>
      </w:r>
      <w:r w:rsidR="006F10C3" w:rsidRPr="00012C3F">
        <w:rPr>
          <w:rFonts w:eastAsiaTheme="minorHAnsi" w:cs="Arial"/>
          <w:sz w:val="20"/>
          <w:szCs w:val="20"/>
          <w:lang w:val="en-US" w:eastAsia="en-US"/>
        </w:rPr>
        <w:t xml:space="preserve">, </w:t>
      </w:r>
      <w:r w:rsidR="00D312A7" w:rsidRPr="00012C3F">
        <w:rPr>
          <w:rFonts w:eastAsiaTheme="minorHAnsi" w:cs="Arial"/>
          <w:sz w:val="20"/>
          <w:szCs w:val="20"/>
          <w:lang w:val="en-US" w:eastAsia="en-US"/>
        </w:rPr>
        <w:t>reveals that he acted based on the stereotype that she was not capable of taking an autonomous decision about her body. The circumstances in which the State alleges that I.V.’s consent was obtained, denied her the opportunity to take a free and informed decision in keeping with her life project. Thus, the phys</w:t>
      </w:r>
      <w:r w:rsidR="00F07712" w:rsidRPr="00012C3F">
        <w:rPr>
          <w:rFonts w:eastAsiaTheme="minorHAnsi" w:cs="Arial"/>
          <w:sz w:val="20"/>
          <w:szCs w:val="20"/>
          <w:lang w:val="en-US" w:eastAsia="en-US"/>
        </w:rPr>
        <w:t>i</w:t>
      </w:r>
      <w:r w:rsidR="00D312A7" w:rsidRPr="00012C3F">
        <w:rPr>
          <w:rFonts w:eastAsiaTheme="minorHAnsi" w:cs="Arial"/>
          <w:sz w:val="20"/>
          <w:szCs w:val="20"/>
          <w:lang w:val="en-US" w:eastAsia="en-US"/>
        </w:rPr>
        <w:t>cian performed an unjustified paternalistic medical procedure</w:t>
      </w:r>
      <w:r w:rsidR="00672DA2" w:rsidRPr="00012C3F">
        <w:rPr>
          <w:rFonts w:eastAsiaTheme="minorHAnsi" w:cs="Arial"/>
          <w:sz w:val="20"/>
          <w:szCs w:val="20"/>
          <w:lang w:val="en-US" w:eastAsia="en-US"/>
        </w:rPr>
        <w:t>,</w:t>
      </w:r>
      <w:r w:rsidR="00D312A7" w:rsidRPr="00012C3F">
        <w:rPr>
          <w:rFonts w:eastAsiaTheme="minorHAnsi" w:cs="Arial"/>
          <w:sz w:val="20"/>
          <w:szCs w:val="20"/>
          <w:lang w:val="en-US" w:eastAsia="en-US"/>
        </w:rPr>
        <w:t xml:space="preserve"> because curtailing her reproductive capacity without her </w:t>
      </w:r>
      <w:r w:rsidR="00DF71A5" w:rsidRPr="00012C3F">
        <w:rPr>
          <w:rFonts w:eastAsiaTheme="minorHAnsi" w:cs="Arial"/>
          <w:sz w:val="20"/>
          <w:szCs w:val="20"/>
          <w:lang w:val="en-US" w:eastAsia="en-US"/>
        </w:rPr>
        <w:t>prior, free, full and informed consent</w:t>
      </w:r>
      <w:r w:rsidR="005847E3" w:rsidRPr="00012C3F">
        <w:rPr>
          <w:rFonts w:eastAsiaTheme="minorHAnsi" w:cs="Arial"/>
          <w:sz w:val="20"/>
          <w:szCs w:val="20"/>
          <w:lang w:val="en-US" w:eastAsia="en-US"/>
        </w:rPr>
        <w:t xml:space="preserve"> </w:t>
      </w:r>
      <w:r w:rsidR="00D312A7" w:rsidRPr="00012C3F">
        <w:rPr>
          <w:rFonts w:eastAsiaTheme="minorHAnsi" w:cs="Arial"/>
          <w:sz w:val="20"/>
          <w:szCs w:val="20"/>
          <w:lang w:val="en-US" w:eastAsia="en-US"/>
        </w:rPr>
        <w:t xml:space="preserve">severely </w:t>
      </w:r>
      <w:r w:rsidR="005847E3" w:rsidRPr="00012C3F">
        <w:rPr>
          <w:rFonts w:eastAsiaTheme="minorHAnsi" w:cs="Arial"/>
          <w:sz w:val="20"/>
          <w:szCs w:val="20"/>
          <w:lang w:val="en-US" w:eastAsia="en-US"/>
        </w:rPr>
        <w:t>restri</w:t>
      </w:r>
      <w:r w:rsidR="00D312A7" w:rsidRPr="00012C3F">
        <w:rPr>
          <w:rFonts w:eastAsiaTheme="minorHAnsi" w:cs="Arial"/>
          <w:sz w:val="20"/>
          <w:szCs w:val="20"/>
          <w:lang w:val="en-US" w:eastAsia="en-US"/>
        </w:rPr>
        <w:t xml:space="preserve">cted I.V.’s </w:t>
      </w:r>
      <w:r w:rsidR="00D312A7" w:rsidRPr="00012C3F">
        <w:rPr>
          <w:rFonts w:eastAsiaTheme="minorHAnsi" w:cs="Arial"/>
          <w:sz w:val="20"/>
          <w:szCs w:val="20"/>
          <w:lang w:val="en-US" w:eastAsia="en-US"/>
        </w:rPr>
        <w:lastRenderedPageBreak/>
        <w:t xml:space="preserve">autonomy and freedom to take a decision regarding her body and her reproductive health, and </w:t>
      </w:r>
      <w:r w:rsidR="00F07712" w:rsidRPr="00012C3F">
        <w:rPr>
          <w:rFonts w:eastAsiaTheme="minorHAnsi" w:cs="Arial"/>
          <w:sz w:val="20"/>
          <w:szCs w:val="20"/>
          <w:lang w:val="en-US" w:eastAsia="en-US"/>
        </w:rPr>
        <w:t xml:space="preserve">interfered abusively with her private and family life, motivated by the desire to avoid harm to her future health, but without taking into consideration her </w:t>
      </w:r>
      <w:r w:rsidR="004225C5" w:rsidRPr="00012C3F">
        <w:rPr>
          <w:rFonts w:eastAsiaTheme="minorHAnsi" w:cs="Arial"/>
          <w:sz w:val="20"/>
          <w:szCs w:val="20"/>
          <w:lang w:val="en-US" w:eastAsia="en-US"/>
        </w:rPr>
        <w:t>wishes</w:t>
      </w:r>
      <w:r w:rsidR="00F07712" w:rsidRPr="00012C3F">
        <w:rPr>
          <w:rFonts w:eastAsiaTheme="minorHAnsi" w:cs="Arial"/>
          <w:sz w:val="20"/>
          <w:szCs w:val="20"/>
          <w:lang w:val="en-US" w:eastAsia="en-US"/>
        </w:rPr>
        <w:t xml:space="preserve"> and with grave consequences for her personal integrity</w:t>
      </w:r>
      <w:r w:rsidR="0061771F" w:rsidRPr="00012C3F">
        <w:rPr>
          <w:rFonts w:eastAsiaTheme="minorHAnsi" w:cs="Arial"/>
          <w:sz w:val="20"/>
          <w:szCs w:val="20"/>
          <w:lang w:val="en-US" w:eastAsia="en-US"/>
        </w:rPr>
        <w:t xml:space="preserve"> (</w:t>
      </w:r>
      <w:r w:rsidR="0061771F" w:rsidRPr="00012C3F">
        <w:rPr>
          <w:rFonts w:eastAsiaTheme="minorHAnsi" w:cs="Arial"/>
          <w:i/>
          <w:sz w:val="20"/>
          <w:szCs w:val="20"/>
          <w:lang w:val="en-US" w:eastAsia="en-US"/>
        </w:rPr>
        <w:t>infra</w:t>
      </w:r>
      <w:r w:rsidR="0061771F" w:rsidRPr="00012C3F">
        <w:rPr>
          <w:rFonts w:eastAsiaTheme="minorHAnsi" w:cs="Arial"/>
          <w:sz w:val="20"/>
          <w:szCs w:val="20"/>
          <w:lang w:val="en-US" w:eastAsia="en-US"/>
        </w:rPr>
        <w:t xml:space="preserve"> </w:t>
      </w:r>
      <w:r w:rsidR="00F07712" w:rsidRPr="00012C3F">
        <w:rPr>
          <w:rFonts w:eastAsiaTheme="minorHAnsi" w:cs="Arial"/>
          <w:sz w:val="20"/>
          <w:szCs w:val="20"/>
          <w:lang w:val="en-US" w:eastAsia="en-US"/>
        </w:rPr>
        <w:t>Chapter</w:t>
      </w:r>
      <w:r w:rsidR="0061771F" w:rsidRPr="00012C3F">
        <w:rPr>
          <w:rFonts w:eastAsiaTheme="minorHAnsi" w:cs="Arial"/>
          <w:sz w:val="20"/>
          <w:szCs w:val="20"/>
          <w:lang w:val="en-US" w:eastAsia="en-US"/>
        </w:rPr>
        <w:t xml:space="preserve"> VIII-2)</w:t>
      </w:r>
      <w:r w:rsidR="00CB79E4" w:rsidRPr="00012C3F">
        <w:rPr>
          <w:rFonts w:eastAsiaTheme="minorHAnsi" w:cs="Arial"/>
          <w:sz w:val="20"/>
          <w:szCs w:val="20"/>
          <w:lang w:val="en-US" w:eastAsia="en-US"/>
        </w:rPr>
        <w:t xml:space="preserve"> </w:t>
      </w:r>
      <w:r w:rsidR="00F07712" w:rsidRPr="00012C3F">
        <w:rPr>
          <w:rFonts w:eastAsiaTheme="minorHAnsi" w:cs="Arial"/>
          <w:sz w:val="20"/>
          <w:szCs w:val="20"/>
          <w:lang w:val="en-US" w:eastAsia="en-US"/>
        </w:rPr>
        <w:t>based on the fact that she was a woman</w:t>
      </w:r>
      <w:r w:rsidR="00D02881" w:rsidRPr="00012C3F">
        <w:rPr>
          <w:rFonts w:eastAsiaTheme="minorHAnsi" w:cs="Arial"/>
          <w:sz w:val="20"/>
          <w:szCs w:val="20"/>
          <w:lang w:val="en-US" w:eastAsia="en-US"/>
        </w:rPr>
        <w:t>.</w:t>
      </w:r>
    </w:p>
    <w:p w14:paraId="21750847" w14:textId="77777777" w:rsidR="00486AF7" w:rsidRPr="00012C3F" w:rsidRDefault="00486AF7" w:rsidP="00162DF3">
      <w:pPr>
        <w:tabs>
          <w:tab w:val="left" w:pos="567"/>
        </w:tabs>
        <w:spacing w:line="240" w:lineRule="auto"/>
        <w:rPr>
          <w:rFonts w:eastAsiaTheme="minorHAnsi" w:cs="Arial"/>
          <w:sz w:val="20"/>
          <w:szCs w:val="20"/>
          <w:lang w:val="en-US" w:eastAsia="en-US"/>
        </w:rPr>
      </w:pPr>
    </w:p>
    <w:p w14:paraId="21CB518E" w14:textId="77777777" w:rsidR="0011473D" w:rsidRPr="00012C3F" w:rsidRDefault="00F07712" w:rsidP="00F07712">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That said, the Court has also been asked to determine whether, in the case of I.V., multiple</w:t>
      </w:r>
      <w:r w:rsidR="00591C57" w:rsidRPr="00012C3F">
        <w:rPr>
          <w:rFonts w:eastAsiaTheme="minorHAnsi" w:cs="Arial"/>
          <w:sz w:val="20"/>
          <w:szCs w:val="20"/>
          <w:lang w:val="en-US" w:eastAsia="en-US"/>
        </w:rPr>
        <w:t xml:space="preserve"> forms of</w:t>
      </w:r>
      <w:r w:rsidRPr="00012C3F">
        <w:rPr>
          <w:rFonts w:eastAsiaTheme="minorHAnsi" w:cs="Arial"/>
          <w:sz w:val="20"/>
          <w:szCs w:val="20"/>
          <w:lang w:val="en-US" w:eastAsia="en-US"/>
        </w:rPr>
        <w:t xml:space="preserve"> discrimination</w:t>
      </w:r>
      <w:r w:rsidR="00591C57" w:rsidRPr="00012C3F">
        <w:rPr>
          <w:rFonts w:eastAsiaTheme="minorHAnsi" w:cs="Arial"/>
          <w:sz w:val="20"/>
          <w:szCs w:val="20"/>
          <w:lang w:val="en-US" w:eastAsia="en-US"/>
        </w:rPr>
        <w:t>s</w:t>
      </w:r>
      <w:r w:rsidRPr="00012C3F">
        <w:rPr>
          <w:rFonts w:eastAsiaTheme="minorHAnsi" w:cs="Arial"/>
          <w:sz w:val="20"/>
          <w:szCs w:val="20"/>
          <w:lang w:val="en-US" w:eastAsia="en-US"/>
        </w:rPr>
        <w:t xml:space="preserve"> occurred, and whether the different criteria alleged (</w:t>
      </w:r>
      <w:r w:rsidRPr="00012C3F">
        <w:rPr>
          <w:rFonts w:eastAsiaTheme="minorHAnsi" w:cs="Arial"/>
          <w:i/>
          <w:sz w:val="20"/>
          <w:szCs w:val="20"/>
          <w:lang w:val="en-US" w:eastAsia="en-US"/>
        </w:rPr>
        <w:t>supra</w:t>
      </w:r>
      <w:r w:rsidRPr="00012C3F">
        <w:rPr>
          <w:rFonts w:eastAsiaTheme="minorHAnsi" w:cs="Arial"/>
          <w:sz w:val="20"/>
          <w:szCs w:val="20"/>
          <w:lang w:val="en-US" w:eastAsia="en-US"/>
        </w:rPr>
        <w:t xml:space="preserve"> para. 242) converged </w:t>
      </w:r>
      <w:r w:rsidR="00591C57" w:rsidRPr="00012C3F">
        <w:rPr>
          <w:rFonts w:eastAsiaTheme="minorHAnsi" w:cs="Arial"/>
          <w:sz w:val="20"/>
          <w:szCs w:val="20"/>
          <w:lang w:val="en-US" w:eastAsia="en-US"/>
        </w:rPr>
        <w:t>and intersected</w:t>
      </w:r>
      <w:r w:rsidRPr="00012C3F">
        <w:rPr>
          <w:rFonts w:eastAsiaTheme="minorHAnsi" w:cs="Arial"/>
          <w:sz w:val="20"/>
          <w:szCs w:val="20"/>
          <w:lang w:val="en-US" w:eastAsia="en-US"/>
        </w:rPr>
        <w:t xml:space="preserve"> to configure a particular and specific situation of discrimination.</w:t>
      </w:r>
      <w:r w:rsidR="00486AF7" w:rsidRPr="00012C3F">
        <w:rPr>
          <w:rFonts w:eastAsiaTheme="minorHAnsi" w:cs="Arial"/>
          <w:iCs/>
          <w:sz w:val="20"/>
          <w:szCs w:val="20"/>
          <w:vertAlign w:val="superscript"/>
          <w:lang w:val="en-US" w:eastAsia="en-US"/>
        </w:rPr>
        <w:footnoteReference w:id="326"/>
      </w:r>
      <w:r w:rsidR="0039254B" w:rsidRPr="00012C3F">
        <w:rPr>
          <w:rFonts w:eastAsiaTheme="minorHAnsi" w:cs="Arial"/>
          <w:sz w:val="20"/>
          <w:szCs w:val="20"/>
          <w:lang w:val="en-US" w:eastAsia="en-US"/>
        </w:rPr>
        <w:t xml:space="preserve"> </w:t>
      </w:r>
      <w:r w:rsidR="001254DE" w:rsidRPr="00012C3F">
        <w:rPr>
          <w:rFonts w:eastAsia="Batang" w:cs="Times"/>
          <w:sz w:val="20"/>
          <w:lang w:val="en-US"/>
        </w:rPr>
        <w:t>The Court</w:t>
      </w:r>
      <w:r w:rsidR="00A70429" w:rsidRPr="00012C3F">
        <w:rPr>
          <w:rFonts w:eastAsia="Batang" w:cs="Times"/>
          <w:sz w:val="20"/>
          <w:lang w:val="en-US"/>
        </w:rPr>
        <w:t xml:space="preserve"> ha</w:t>
      </w:r>
      <w:r w:rsidRPr="00012C3F">
        <w:rPr>
          <w:rFonts w:eastAsia="Batang" w:cs="Times"/>
          <w:sz w:val="20"/>
          <w:lang w:val="en-US"/>
        </w:rPr>
        <w:t xml:space="preserve">s recognized that </w:t>
      </w:r>
      <w:r w:rsidR="00591C57" w:rsidRPr="00012C3F">
        <w:rPr>
          <w:rFonts w:eastAsia="Batang" w:cs="Times"/>
          <w:sz w:val="20"/>
          <w:lang w:val="en-US"/>
        </w:rPr>
        <w:t>identifiable sub</w:t>
      </w:r>
      <w:r w:rsidRPr="00012C3F">
        <w:rPr>
          <w:rFonts w:eastAsia="Batang" w:cs="Times"/>
          <w:sz w:val="20"/>
          <w:lang w:val="en-US"/>
        </w:rPr>
        <w:t>groups of women suffer from discrimination throughout their lives based on more than one factor combined with their sex, which increases their risk of suffering acts of violence and other human rights violations.</w:t>
      </w:r>
      <w:r w:rsidR="00A70429" w:rsidRPr="00012C3F">
        <w:rPr>
          <w:rFonts w:eastAsia="Batang" w:cs="Arial"/>
          <w:sz w:val="20"/>
          <w:szCs w:val="20"/>
          <w:vertAlign w:val="superscript"/>
          <w:lang w:val="en-US"/>
        </w:rPr>
        <w:footnoteReference w:id="327"/>
      </w:r>
      <w:r w:rsidRPr="00012C3F">
        <w:rPr>
          <w:rFonts w:eastAsia="Batang" w:cs="Times"/>
          <w:sz w:val="20"/>
          <w:lang w:val="en-US"/>
        </w:rPr>
        <w:t xml:space="preserve"> On this point, the Court underlines that</w:t>
      </w:r>
      <w:r w:rsidR="005C5516" w:rsidRPr="00012C3F">
        <w:rPr>
          <w:rFonts w:eastAsiaTheme="minorHAnsi" w:cs="Arial"/>
          <w:sz w:val="20"/>
          <w:szCs w:val="20"/>
          <w:lang w:val="en-US" w:eastAsia="en-US"/>
        </w:rPr>
        <w:t xml:space="preserve"> </w:t>
      </w:r>
      <w:r w:rsidR="00DF3B7C" w:rsidRPr="00012C3F">
        <w:rPr>
          <w:sz w:val="20"/>
          <w:szCs w:val="20"/>
          <w:lang w:val="en-US"/>
        </w:rPr>
        <w:t>non-consensual sterilization</w:t>
      </w:r>
      <w:r w:rsidR="005C5516" w:rsidRPr="00012C3F">
        <w:rPr>
          <w:sz w:val="20"/>
          <w:szCs w:val="20"/>
          <w:lang w:val="en-US"/>
        </w:rPr>
        <w:t xml:space="preserve"> </w:t>
      </w:r>
      <w:r w:rsidRPr="00012C3F">
        <w:rPr>
          <w:sz w:val="20"/>
          <w:szCs w:val="20"/>
          <w:lang w:val="en-US"/>
        </w:rPr>
        <w:t xml:space="preserve">is a phenomenon that, in different contexts and parts of the world has had a greater impact on women who form part of </w:t>
      </w:r>
      <w:r w:rsidR="00591C57" w:rsidRPr="00012C3F">
        <w:rPr>
          <w:sz w:val="20"/>
          <w:szCs w:val="20"/>
          <w:lang w:val="en-US"/>
        </w:rPr>
        <w:t>sub</w:t>
      </w:r>
      <w:r w:rsidRPr="00012C3F">
        <w:rPr>
          <w:sz w:val="20"/>
          <w:szCs w:val="20"/>
          <w:lang w:val="en-US"/>
        </w:rPr>
        <w:t xml:space="preserve">groups with greater vulnerability to suffer this human rights violation, due </w:t>
      </w:r>
      <w:r w:rsidR="00591C57" w:rsidRPr="00012C3F">
        <w:rPr>
          <w:sz w:val="20"/>
          <w:szCs w:val="20"/>
          <w:lang w:val="en-US"/>
        </w:rPr>
        <w:t xml:space="preserve">either </w:t>
      </w:r>
      <w:r w:rsidRPr="00012C3F">
        <w:rPr>
          <w:sz w:val="20"/>
          <w:szCs w:val="20"/>
          <w:lang w:val="en-US"/>
        </w:rPr>
        <w:t>to the</w:t>
      </w:r>
      <w:r w:rsidR="00591C57" w:rsidRPr="00012C3F">
        <w:rPr>
          <w:sz w:val="20"/>
          <w:szCs w:val="20"/>
          <w:lang w:val="en-US"/>
        </w:rPr>
        <w:t>ir</w:t>
      </w:r>
      <w:r w:rsidRPr="00012C3F">
        <w:rPr>
          <w:sz w:val="20"/>
          <w:szCs w:val="20"/>
          <w:lang w:val="en-US"/>
        </w:rPr>
        <w:t xml:space="preserve"> socio-economic </w:t>
      </w:r>
      <w:r w:rsidR="00212DA0" w:rsidRPr="00012C3F">
        <w:rPr>
          <w:sz w:val="20"/>
          <w:szCs w:val="20"/>
          <w:lang w:val="en-US"/>
        </w:rPr>
        <w:t>status</w:t>
      </w:r>
      <w:r w:rsidRPr="00012C3F">
        <w:rPr>
          <w:sz w:val="20"/>
          <w:szCs w:val="20"/>
          <w:lang w:val="en-US"/>
        </w:rPr>
        <w:t xml:space="preserve">, </w:t>
      </w:r>
      <w:r w:rsidR="00591C57" w:rsidRPr="00012C3F">
        <w:rPr>
          <w:sz w:val="20"/>
          <w:szCs w:val="20"/>
          <w:lang w:val="en-US"/>
        </w:rPr>
        <w:t xml:space="preserve">their </w:t>
      </w:r>
      <w:r w:rsidRPr="00012C3F">
        <w:rPr>
          <w:sz w:val="20"/>
          <w:szCs w:val="20"/>
          <w:lang w:val="en-US"/>
        </w:rPr>
        <w:t>race</w:t>
      </w:r>
      <w:r w:rsidR="00591C57" w:rsidRPr="00012C3F">
        <w:rPr>
          <w:sz w:val="20"/>
          <w:szCs w:val="20"/>
          <w:lang w:val="en-US"/>
        </w:rPr>
        <w:t>, their disabilities, or to the fact that they are living with HIV.</w:t>
      </w:r>
      <w:r w:rsidR="00804282" w:rsidRPr="00012C3F">
        <w:rPr>
          <w:rStyle w:val="Refdenotaalpie"/>
          <w:sz w:val="20"/>
          <w:szCs w:val="20"/>
          <w:lang w:val="en-US"/>
        </w:rPr>
        <w:footnoteReference w:id="328"/>
      </w:r>
    </w:p>
    <w:p w14:paraId="10046C30" w14:textId="77777777" w:rsidR="0011473D" w:rsidRPr="00012C3F" w:rsidRDefault="0011473D" w:rsidP="00F07712">
      <w:pPr>
        <w:tabs>
          <w:tab w:val="left" w:pos="720"/>
        </w:tabs>
        <w:spacing w:line="240" w:lineRule="auto"/>
        <w:rPr>
          <w:rFonts w:eastAsiaTheme="minorHAnsi" w:cs="Arial"/>
          <w:sz w:val="20"/>
          <w:szCs w:val="20"/>
          <w:lang w:val="en-US" w:eastAsia="en-US"/>
        </w:rPr>
      </w:pPr>
    </w:p>
    <w:p w14:paraId="14B71860" w14:textId="77777777" w:rsidR="00486AF7" w:rsidRPr="00012C3F" w:rsidRDefault="006C705C" w:rsidP="00591C57">
      <w:pPr>
        <w:numPr>
          <w:ilvl w:val="0"/>
          <w:numId w:val="5"/>
        </w:numPr>
        <w:tabs>
          <w:tab w:val="left" w:pos="720"/>
          <w:tab w:val="num" w:pos="12305"/>
        </w:tabs>
        <w:spacing w:line="240" w:lineRule="auto"/>
        <w:ind w:left="0" w:firstLine="0"/>
        <w:rPr>
          <w:rFonts w:eastAsiaTheme="minorHAnsi" w:cs="Arial"/>
          <w:sz w:val="20"/>
          <w:szCs w:val="20"/>
          <w:lang w:val="en-US" w:eastAsia="en-US"/>
        </w:rPr>
      </w:pPr>
      <w:r w:rsidRPr="00012C3F">
        <w:rPr>
          <w:rFonts w:eastAsiaTheme="minorHAnsi" w:cs="Arial"/>
          <w:sz w:val="20"/>
          <w:szCs w:val="20"/>
          <w:lang w:val="en-US" w:eastAsia="en-US"/>
        </w:rPr>
        <w:t>In this case</w:t>
      </w:r>
      <w:r w:rsidR="0011473D" w:rsidRPr="00012C3F">
        <w:rPr>
          <w:rFonts w:eastAsiaTheme="minorHAnsi" w:cs="Arial"/>
          <w:sz w:val="20"/>
          <w:szCs w:val="20"/>
          <w:lang w:val="en-US" w:eastAsia="en-US"/>
        </w:rPr>
        <w:t xml:space="preserve">, </w:t>
      </w:r>
      <w:r w:rsidR="001254DE" w:rsidRPr="00012C3F">
        <w:rPr>
          <w:rFonts w:eastAsiaTheme="minorHAnsi" w:cs="Arial"/>
          <w:sz w:val="20"/>
          <w:szCs w:val="20"/>
          <w:lang w:val="en-US" w:eastAsia="en-US"/>
        </w:rPr>
        <w:t>the Court</w:t>
      </w:r>
      <w:r w:rsidR="0011473D" w:rsidRPr="00012C3F">
        <w:rPr>
          <w:rFonts w:eastAsiaTheme="minorHAnsi" w:cs="Arial"/>
          <w:sz w:val="20"/>
          <w:szCs w:val="20"/>
          <w:lang w:val="en-US" w:eastAsia="en-US"/>
        </w:rPr>
        <w:t xml:space="preserve"> not</w:t>
      </w:r>
      <w:r w:rsidR="00591C57" w:rsidRPr="00012C3F">
        <w:rPr>
          <w:rFonts w:eastAsiaTheme="minorHAnsi" w:cs="Arial"/>
          <w:sz w:val="20"/>
          <w:szCs w:val="20"/>
          <w:lang w:val="en-US" w:eastAsia="en-US"/>
        </w:rPr>
        <w:t>es that</w:t>
      </w:r>
      <w:r w:rsidR="0011473D" w:rsidRPr="00012C3F">
        <w:rPr>
          <w:rFonts w:eastAsiaTheme="minorHAnsi" w:cs="Arial"/>
          <w:sz w:val="20"/>
          <w:szCs w:val="20"/>
          <w:lang w:val="en-US" w:eastAsia="en-US"/>
        </w:rPr>
        <w:t xml:space="preserve"> </w:t>
      </w:r>
      <w:r w:rsidR="000E1C11" w:rsidRPr="00012C3F">
        <w:rPr>
          <w:rFonts w:eastAsiaTheme="minorHAnsi" w:cs="Arial"/>
          <w:sz w:val="20"/>
          <w:szCs w:val="20"/>
          <w:lang w:val="en-US" w:eastAsia="en-US"/>
        </w:rPr>
        <w:t>I.V.</w:t>
      </w:r>
      <w:r w:rsidR="0011473D" w:rsidRPr="00012C3F">
        <w:rPr>
          <w:rFonts w:eastAsiaTheme="minorHAnsi" w:cs="Arial"/>
          <w:sz w:val="20"/>
          <w:szCs w:val="20"/>
          <w:lang w:val="en-US" w:eastAsia="en-US"/>
        </w:rPr>
        <w:t xml:space="preserve"> </w:t>
      </w:r>
      <w:r w:rsidR="00591C57" w:rsidRPr="00012C3F">
        <w:rPr>
          <w:rFonts w:eastAsiaTheme="minorHAnsi" w:cs="Arial"/>
          <w:sz w:val="20"/>
          <w:szCs w:val="20"/>
          <w:lang w:val="en-US" w:eastAsia="en-US"/>
        </w:rPr>
        <w:t xml:space="preserve">had access to the Bolivian State’s public health care services </w:t>
      </w:r>
      <w:r w:rsidR="0011473D" w:rsidRPr="00012C3F">
        <w:rPr>
          <w:rFonts w:eastAsiaTheme="minorHAnsi" w:cs="Arial"/>
          <w:sz w:val="20"/>
          <w:szCs w:val="20"/>
          <w:lang w:val="en-US" w:eastAsia="en-US"/>
        </w:rPr>
        <w:t>(</w:t>
      </w:r>
      <w:r w:rsidR="0011473D" w:rsidRPr="00012C3F">
        <w:rPr>
          <w:rFonts w:eastAsiaTheme="minorHAnsi" w:cs="Arial"/>
          <w:i/>
          <w:sz w:val="20"/>
          <w:szCs w:val="20"/>
          <w:lang w:val="en-US" w:eastAsia="en-US"/>
        </w:rPr>
        <w:t xml:space="preserve">supra </w:t>
      </w:r>
      <w:r w:rsidR="00370DD4" w:rsidRPr="00012C3F">
        <w:rPr>
          <w:rFonts w:eastAsiaTheme="minorHAnsi" w:cs="Arial"/>
          <w:sz w:val="20"/>
          <w:szCs w:val="20"/>
          <w:lang w:val="en-US" w:eastAsia="en-US"/>
        </w:rPr>
        <w:t>paras.</w:t>
      </w:r>
      <w:r w:rsidR="0011473D" w:rsidRPr="00012C3F">
        <w:rPr>
          <w:rFonts w:eastAsiaTheme="minorHAnsi" w:cs="Arial"/>
          <w:sz w:val="20"/>
          <w:szCs w:val="20"/>
          <w:lang w:val="en-US" w:eastAsia="en-US"/>
        </w:rPr>
        <w:t xml:space="preserve"> </w:t>
      </w:r>
      <w:r w:rsidR="00FD41A9" w:rsidRPr="00012C3F">
        <w:rPr>
          <w:rFonts w:eastAsiaTheme="minorHAnsi" w:cs="Arial"/>
          <w:sz w:val="20"/>
          <w:szCs w:val="20"/>
          <w:lang w:val="en-US" w:eastAsia="en-US"/>
        </w:rPr>
        <w:t>62</w:t>
      </w:r>
      <w:r w:rsidR="005E5012" w:rsidRPr="00012C3F">
        <w:rPr>
          <w:rFonts w:eastAsiaTheme="minorHAnsi" w:cs="Arial"/>
          <w:sz w:val="20"/>
          <w:szCs w:val="20"/>
          <w:lang w:val="en-US" w:eastAsia="en-US"/>
        </w:rPr>
        <w:t xml:space="preserve"> and </w:t>
      </w:r>
      <w:r w:rsidR="00FD41A9" w:rsidRPr="00012C3F">
        <w:rPr>
          <w:rFonts w:eastAsiaTheme="minorHAnsi" w:cs="Arial"/>
          <w:sz w:val="20"/>
          <w:szCs w:val="20"/>
          <w:lang w:val="en-US" w:eastAsia="en-US"/>
        </w:rPr>
        <w:t>63</w:t>
      </w:r>
      <w:r w:rsidR="0011473D" w:rsidRPr="00012C3F">
        <w:rPr>
          <w:rFonts w:eastAsiaTheme="minorHAnsi" w:cs="Arial"/>
          <w:sz w:val="20"/>
          <w:szCs w:val="20"/>
          <w:lang w:val="en-US" w:eastAsia="en-US"/>
        </w:rPr>
        <w:t>)</w:t>
      </w:r>
      <w:r w:rsidR="00727880" w:rsidRPr="00012C3F">
        <w:rPr>
          <w:rFonts w:eastAsiaTheme="minorHAnsi" w:cs="Arial"/>
          <w:sz w:val="20"/>
          <w:szCs w:val="20"/>
          <w:lang w:val="en-US" w:eastAsia="en-US"/>
        </w:rPr>
        <w:t xml:space="preserve">, </w:t>
      </w:r>
      <w:r w:rsidR="00591C57" w:rsidRPr="00012C3F">
        <w:rPr>
          <w:rFonts w:eastAsiaTheme="minorHAnsi" w:cs="Arial"/>
          <w:sz w:val="20"/>
          <w:szCs w:val="20"/>
          <w:lang w:val="en-US" w:eastAsia="en-US"/>
        </w:rPr>
        <w:t>even though the health care provided disregarded the elements of accessibility and acceptability (</w:t>
      </w:r>
      <w:r w:rsidR="00591C57" w:rsidRPr="00012C3F">
        <w:rPr>
          <w:rFonts w:eastAsiaTheme="minorHAnsi" w:cs="Arial"/>
          <w:i/>
          <w:sz w:val="20"/>
          <w:szCs w:val="20"/>
          <w:lang w:val="en-US" w:eastAsia="en-US"/>
        </w:rPr>
        <w:t xml:space="preserve">supra </w:t>
      </w:r>
      <w:r w:rsidR="00591C57" w:rsidRPr="00012C3F">
        <w:rPr>
          <w:rFonts w:eastAsiaTheme="minorHAnsi" w:cs="Arial"/>
          <w:sz w:val="20"/>
          <w:szCs w:val="20"/>
          <w:lang w:val="en-US" w:eastAsia="en-US"/>
        </w:rPr>
        <w:t xml:space="preserve">paras. 156 and 164). Despite this, </w:t>
      </w:r>
      <w:r w:rsidR="00F925D5" w:rsidRPr="00012C3F">
        <w:rPr>
          <w:rFonts w:eastAsiaTheme="minorHAnsi" w:cs="Arial"/>
          <w:sz w:val="20"/>
          <w:szCs w:val="20"/>
          <w:lang w:val="en-US" w:eastAsia="en-US"/>
        </w:rPr>
        <w:t xml:space="preserve">the facts of this case do not reveal that the decision to perform the tubal ligation on I.V. was based on her nationality of origin, her situation as a refugee, or her socio-economic </w:t>
      </w:r>
      <w:r w:rsidR="00212DA0" w:rsidRPr="00012C3F">
        <w:rPr>
          <w:rFonts w:eastAsiaTheme="minorHAnsi" w:cs="Arial"/>
          <w:sz w:val="20"/>
          <w:szCs w:val="20"/>
          <w:lang w:val="en-US" w:eastAsia="en-US"/>
        </w:rPr>
        <w:t>status</w:t>
      </w:r>
      <w:r w:rsidR="00F925D5" w:rsidRPr="00012C3F">
        <w:rPr>
          <w:rFonts w:eastAsiaTheme="minorHAnsi" w:cs="Arial"/>
          <w:sz w:val="20"/>
          <w:szCs w:val="20"/>
          <w:lang w:val="en-US" w:eastAsia="en-US"/>
        </w:rPr>
        <w:t>. Nevertheless, the Court considers that these aspects had an impact on the magnitude of the harm suffered by I.V. in the sphere of her personal integrity. And this is notwithstanding what the Court establishes below in relation to the search to obtain justice</w:t>
      </w:r>
      <w:r w:rsidR="002B7BEC" w:rsidRPr="00012C3F">
        <w:rPr>
          <w:rFonts w:eastAsia="Calibri" w:cs="Consolas"/>
          <w:sz w:val="20"/>
          <w:szCs w:val="20"/>
          <w:lang w:val="en-US"/>
        </w:rPr>
        <w:t xml:space="preserve"> (</w:t>
      </w:r>
      <w:r w:rsidR="002B7BEC" w:rsidRPr="00012C3F">
        <w:rPr>
          <w:rFonts w:eastAsia="Calibri" w:cs="Consolas"/>
          <w:i/>
          <w:sz w:val="20"/>
          <w:szCs w:val="20"/>
          <w:lang w:val="en-US"/>
        </w:rPr>
        <w:t>infra</w:t>
      </w:r>
      <w:r w:rsidR="002B7BEC" w:rsidRPr="00012C3F">
        <w:rPr>
          <w:rFonts w:eastAsia="Calibri" w:cs="Consolas"/>
          <w:sz w:val="20"/>
          <w:szCs w:val="20"/>
          <w:lang w:val="en-US"/>
        </w:rPr>
        <w:t xml:space="preserve"> </w:t>
      </w:r>
      <w:r w:rsidR="00370DD4" w:rsidRPr="00012C3F">
        <w:rPr>
          <w:rFonts w:eastAsia="Calibri" w:cs="Consolas"/>
          <w:sz w:val="20"/>
          <w:szCs w:val="20"/>
          <w:lang w:val="en-US"/>
        </w:rPr>
        <w:t>paras.</w:t>
      </w:r>
      <w:r w:rsidR="002B7BEC" w:rsidRPr="00012C3F">
        <w:rPr>
          <w:rFonts w:eastAsia="Calibri" w:cs="Consolas"/>
          <w:sz w:val="20"/>
          <w:szCs w:val="20"/>
          <w:lang w:val="en-US"/>
        </w:rPr>
        <w:t xml:space="preserve"> </w:t>
      </w:r>
      <w:r w:rsidR="00FD41A9" w:rsidRPr="00012C3F">
        <w:rPr>
          <w:rFonts w:eastAsia="Calibri" w:cs="Consolas"/>
          <w:sz w:val="20"/>
          <w:szCs w:val="20"/>
          <w:lang w:val="en-US"/>
        </w:rPr>
        <w:t xml:space="preserve">318 </w:t>
      </w:r>
      <w:r w:rsidR="00F925D5" w:rsidRPr="00012C3F">
        <w:rPr>
          <w:rFonts w:eastAsia="Calibri" w:cs="Consolas"/>
          <w:sz w:val="20"/>
          <w:szCs w:val="20"/>
          <w:lang w:val="en-US"/>
        </w:rPr>
        <w:t>to</w:t>
      </w:r>
      <w:r w:rsidR="00FD41A9" w:rsidRPr="00012C3F">
        <w:rPr>
          <w:rFonts w:eastAsia="Calibri" w:cs="Consolas"/>
          <w:sz w:val="20"/>
          <w:szCs w:val="20"/>
          <w:lang w:val="en-US"/>
        </w:rPr>
        <w:t xml:space="preserve"> 321</w:t>
      </w:r>
      <w:r w:rsidR="002B7BEC" w:rsidRPr="00012C3F">
        <w:rPr>
          <w:rFonts w:eastAsia="Calibri" w:cs="Consolas"/>
          <w:sz w:val="20"/>
          <w:szCs w:val="20"/>
          <w:lang w:val="en-US"/>
        </w:rPr>
        <w:t>)</w:t>
      </w:r>
      <w:r w:rsidR="0011473D" w:rsidRPr="00012C3F">
        <w:rPr>
          <w:rFonts w:eastAsia="Calibri" w:cs="Consolas"/>
          <w:sz w:val="20"/>
          <w:szCs w:val="20"/>
          <w:lang w:val="en-US"/>
        </w:rPr>
        <w:t>.</w:t>
      </w:r>
    </w:p>
    <w:p w14:paraId="4F2ED16C" w14:textId="77777777" w:rsidR="00162DF3" w:rsidRPr="00012C3F" w:rsidRDefault="00162DF3" w:rsidP="00F07712">
      <w:pPr>
        <w:widowControl/>
        <w:tabs>
          <w:tab w:val="left" w:pos="720"/>
        </w:tabs>
        <w:autoSpaceDE w:val="0"/>
        <w:autoSpaceDN w:val="0"/>
        <w:spacing w:line="240" w:lineRule="auto"/>
        <w:textAlignment w:val="auto"/>
        <w:rPr>
          <w:rFonts w:eastAsiaTheme="minorHAnsi" w:cs="Arial"/>
          <w:sz w:val="20"/>
          <w:szCs w:val="20"/>
          <w:lang w:val="en-US" w:eastAsia="en-US"/>
        </w:rPr>
      </w:pPr>
    </w:p>
    <w:p w14:paraId="5224FF10" w14:textId="77777777" w:rsidR="00871EF3" w:rsidRPr="00012C3F" w:rsidRDefault="00F925D5" w:rsidP="00F07712">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Theme="minorHAnsi" w:cs="Arial"/>
          <w:sz w:val="20"/>
          <w:szCs w:val="20"/>
          <w:lang w:val="en-US" w:eastAsia="en-US"/>
        </w:rPr>
        <w:t xml:space="preserve">Based on the above, the Court concludes that the State incurred international responsibility </w:t>
      </w:r>
      <w:r w:rsidR="004225C5" w:rsidRPr="00012C3F">
        <w:rPr>
          <w:rFonts w:eastAsiaTheme="minorHAnsi" w:cs="Arial"/>
          <w:sz w:val="20"/>
          <w:szCs w:val="20"/>
          <w:lang w:val="en-US" w:eastAsia="en-US"/>
        </w:rPr>
        <w:t>owing to</w:t>
      </w:r>
      <w:r w:rsidRPr="00012C3F">
        <w:rPr>
          <w:rFonts w:eastAsiaTheme="minorHAnsi" w:cs="Arial"/>
          <w:sz w:val="20"/>
          <w:szCs w:val="20"/>
          <w:lang w:val="en-US" w:eastAsia="en-US"/>
        </w:rPr>
        <w:t xml:space="preserve"> the discrimination experienced by I.V., </w:t>
      </w:r>
      <w:r w:rsidR="004225C5" w:rsidRPr="00012C3F">
        <w:rPr>
          <w:rFonts w:eastAsiaTheme="minorHAnsi" w:cs="Arial"/>
          <w:sz w:val="20"/>
          <w:szCs w:val="20"/>
          <w:lang w:val="en-US" w:eastAsia="en-US"/>
        </w:rPr>
        <w:t>on the basis of</w:t>
      </w:r>
      <w:r w:rsidRPr="00012C3F">
        <w:rPr>
          <w:rFonts w:eastAsiaTheme="minorHAnsi" w:cs="Arial"/>
          <w:sz w:val="20"/>
          <w:szCs w:val="20"/>
          <w:lang w:val="en-US" w:eastAsia="en-US"/>
        </w:rPr>
        <w:t xml:space="preserve"> her condition as a woman, with regard to the enjoyment and exercise of </w:t>
      </w:r>
      <w:r w:rsidR="00DF5BD3" w:rsidRPr="00012C3F">
        <w:rPr>
          <w:rFonts w:eastAsiaTheme="minorHAnsi" w:cs="Arial"/>
          <w:sz w:val="20"/>
          <w:szCs w:val="20"/>
          <w:lang w:val="en-US" w:eastAsia="en-US"/>
        </w:rPr>
        <w:t>the rights</w:t>
      </w:r>
      <w:r w:rsidR="00890389" w:rsidRPr="00012C3F">
        <w:rPr>
          <w:rFonts w:eastAsiaTheme="minorHAnsi" w:cs="Arial"/>
          <w:sz w:val="20"/>
          <w:szCs w:val="20"/>
          <w:lang w:val="en-US" w:eastAsia="en-US"/>
        </w:rPr>
        <w:t xml:space="preserve"> </w:t>
      </w:r>
      <w:r w:rsidRPr="00012C3F">
        <w:rPr>
          <w:rFonts w:eastAsiaTheme="minorHAnsi" w:cs="Arial"/>
          <w:sz w:val="20"/>
          <w:szCs w:val="20"/>
          <w:lang w:val="en-US" w:eastAsia="en-US"/>
        </w:rPr>
        <w:t>established in</w:t>
      </w:r>
      <w:r w:rsidR="00890389"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Articles</w:t>
      </w:r>
      <w:r w:rsidR="00890389"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5(1)</w:t>
      </w:r>
      <w:r w:rsidR="00890389" w:rsidRPr="00012C3F">
        <w:rPr>
          <w:rFonts w:eastAsia="MS Mincho"/>
          <w:sz w:val="20"/>
          <w:szCs w:val="20"/>
          <w:lang w:val="en-US" w:eastAsia="en-US" w:bidi="en-US"/>
        </w:rPr>
        <w:t>,</w:t>
      </w:r>
      <w:r w:rsidR="00F634C9" w:rsidRPr="00012C3F">
        <w:rPr>
          <w:rFonts w:eastAsia="MS Mincho"/>
          <w:sz w:val="20"/>
          <w:szCs w:val="20"/>
          <w:lang w:val="en-US" w:eastAsia="en-US" w:bidi="en-US"/>
        </w:rPr>
        <w:t xml:space="preserve"> </w:t>
      </w:r>
      <w:r w:rsidR="00F63FF1" w:rsidRPr="00012C3F">
        <w:rPr>
          <w:rFonts w:eastAsia="MS Mincho"/>
          <w:sz w:val="20"/>
          <w:szCs w:val="20"/>
          <w:lang w:val="en-US" w:eastAsia="en-US" w:bidi="en-US"/>
        </w:rPr>
        <w:t>7(1)</w:t>
      </w:r>
      <w:r w:rsidR="00F634C9" w:rsidRPr="00012C3F">
        <w:rPr>
          <w:rFonts w:eastAsia="MS Mincho"/>
          <w:sz w:val="20"/>
          <w:szCs w:val="20"/>
          <w:lang w:val="en-US" w:eastAsia="en-US" w:bidi="en-US"/>
        </w:rPr>
        <w:t>,</w:t>
      </w:r>
      <w:r w:rsidR="00890389" w:rsidRPr="00012C3F">
        <w:rPr>
          <w:rFonts w:eastAsia="MS Mincho"/>
          <w:sz w:val="20"/>
          <w:szCs w:val="20"/>
          <w:lang w:val="en-US" w:eastAsia="en-US" w:bidi="en-US"/>
        </w:rPr>
        <w:t xml:space="preserve"> 1</w:t>
      </w:r>
      <w:r w:rsidR="005E5012" w:rsidRPr="00012C3F">
        <w:rPr>
          <w:rFonts w:eastAsia="MS Mincho"/>
          <w:sz w:val="20"/>
          <w:szCs w:val="20"/>
          <w:lang w:val="en-US" w:eastAsia="en-US" w:bidi="en-US"/>
        </w:rPr>
        <w:t>1(1)</w:t>
      </w:r>
      <w:r w:rsidR="00890389"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11(2)</w:t>
      </w:r>
      <w:r w:rsidR="00890389"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13(1) and 17(2)</w:t>
      </w:r>
      <w:r w:rsidR="001254DE" w:rsidRPr="00012C3F">
        <w:rPr>
          <w:rFonts w:eastAsia="MS Mincho"/>
          <w:sz w:val="20"/>
          <w:szCs w:val="20"/>
          <w:lang w:val="en-US" w:eastAsia="en-US" w:bidi="en-US"/>
        </w:rPr>
        <w:t xml:space="preserve"> of the Convention</w:t>
      </w:r>
      <w:r w:rsidR="00890389" w:rsidRPr="00012C3F">
        <w:rPr>
          <w:rFonts w:eastAsia="MS Mincho"/>
          <w:sz w:val="20"/>
          <w:szCs w:val="20"/>
          <w:lang w:val="en-US" w:eastAsia="en-US" w:bidi="en-US"/>
        </w:rPr>
        <w:t>.</w:t>
      </w:r>
    </w:p>
    <w:p w14:paraId="7059F90D" w14:textId="77777777" w:rsidR="00871EF3" w:rsidRPr="00012C3F" w:rsidRDefault="00871EF3" w:rsidP="003258E8">
      <w:pPr>
        <w:widowControl/>
        <w:autoSpaceDE w:val="0"/>
        <w:autoSpaceDN w:val="0"/>
        <w:spacing w:line="240" w:lineRule="auto"/>
        <w:textAlignment w:val="auto"/>
        <w:rPr>
          <w:rFonts w:eastAsiaTheme="minorHAnsi" w:cs="Arial"/>
          <w:sz w:val="20"/>
          <w:szCs w:val="20"/>
          <w:lang w:val="en-US" w:eastAsia="en-US"/>
        </w:rPr>
      </w:pPr>
    </w:p>
    <w:p w14:paraId="46B46BAC" w14:textId="77777777" w:rsidR="006D5C94" w:rsidRPr="00012C3F" w:rsidRDefault="006D5C94" w:rsidP="0085451F">
      <w:pPr>
        <w:pStyle w:val="Ttulo3"/>
        <w:tabs>
          <w:tab w:val="left" w:pos="2552"/>
        </w:tabs>
        <w:ind w:left="1701"/>
        <w:rPr>
          <w:rFonts w:eastAsia="MS Mincho" w:cs="Arial"/>
          <w:b w:val="0"/>
          <w:i/>
          <w:spacing w:val="0"/>
          <w:lang w:val="en-US" w:eastAsia="en-US"/>
        </w:rPr>
      </w:pPr>
      <w:bookmarkStart w:id="149" w:name="_Toc27486871"/>
      <w:r w:rsidRPr="00012C3F">
        <w:rPr>
          <w:rFonts w:eastAsia="MS Mincho" w:cs="Arial"/>
          <w:b w:val="0"/>
          <w:i/>
          <w:spacing w:val="0"/>
          <w:lang w:val="en-US" w:eastAsia="en-US"/>
        </w:rPr>
        <w:t xml:space="preserve">B.3.d </w:t>
      </w:r>
      <w:r w:rsidR="004822DA" w:rsidRPr="00012C3F">
        <w:rPr>
          <w:rFonts w:eastAsia="MS Mincho" w:cs="Arial"/>
          <w:b w:val="0"/>
          <w:i/>
          <w:spacing w:val="0"/>
          <w:lang w:val="en-US" w:eastAsia="en-US"/>
        </w:rPr>
        <w:tab/>
      </w:r>
      <w:r w:rsidR="00A710F6" w:rsidRPr="00012C3F">
        <w:rPr>
          <w:rFonts w:eastAsia="MS Mincho" w:cs="Arial"/>
          <w:b w:val="0"/>
          <w:i/>
          <w:spacing w:val="0"/>
          <w:lang w:val="en-US" w:eastAsia="en-US"/>
        </w:rPr>
        <w:t>The right of</w:t>
      </w:r>
      <w:r w:rsidR="006C705C" w:rsidRPr="00012C3F">
        <w:rPr>
          <w:rFonts w:eastAsia="MS Mincho" w:cs="Arial"/>
          <w:b w:val="0"/>
          <w:i/>
          <w:spacing w:val="0"/>
          <w:lang w:val="en-US" w:eastAsia="en-US"/>
        </w:rPr>
        <w:t xml:space="preserve"> women to a life </w:t>
      </w:r>
      <w:r w:rsidR="00836B72" w:rsidRPr="00012C3F">
        <w:rPr>
          <w:rFonts w:eastAsia="MS Mincho" w:cs="Arial"/>
          <w:b w:val="0"/>
          <w:i/>
          <w:spacing w:val="0"/>
          <w:lang w:val="en-US" w:eastAsia="en-US"/>
        </w:rPr>
        <w:t>free from violence</w:t>
      </w:r>
      <w:r w:rsidRPr="00012C3F">
        <w:rPr>
          <w:rFonts w:eastAsia="MS Mincho" w:cs="Arial"/>
          <w:b w:val="0"/>
          <w:i/>
          <w:spacing w:val="0"/>
          <w:lang w:val="en-US" w:eastAsia="en-US"/>
        </w:rPr>
        <w:t xml:space="preserve"> </w:t>
      </w:r>
      <w:r w:rsidR="000977B9" w:rsidRPr="00012C3F">
        <w:rPr>
          <w:rFonts w:eastAsia="MS Mincho" w:cs="Arial"/>
          <w:b w:val="0"/>
          <w:i/>
          <w:spacing w:val="0"/>
          <w:lang w:val="en-US" w:eastAsia="en-US"/>
        </w:rPr>
        <w:t>(</w:t>
      </w:r>
      <w:r w:rsidR="001254DE" w:rsidRPr="00012C3F">
        <w:rPr>
          <w:rFonts w:eastAsia="MS Mincho" w:cs="Arial"/>
          <w:b w:val="0"/>
          <w:i/>
          <w:spacing w:val="0"/>
          <w:lang w:val="en-US" w:eastAsia="en-US"/>
        </w:rPr>
        <w:t>Article</w:t>
      </w:r>
      <w:r w:rsidR="000977B9" w:rsidRPr="00012C3F">
        <w:rPr>
          <w:rFonts w:eastAsia="MS Mincho" w:cs="Arial"/>
          <w:b w:val="0"/>
          <w:i/>
          <w:spacing w:val="0"/>
          <w:lang w:val="en-US" w:eastAsia="en-US"/>
        </w:rPr>
        <w:t xml:space="preserve"> </w:t>
      </w:r>
      <w:r w:rsidR="00D871E8" w:rsidRPr="00012C3F">
        <w:rPr>
          <w:rFonts w:eastAsia="MS Mincho" w:cs="Arial"/>
          <w:b w:val="0"/>
          <w:i/>
          <w:spacing w:val="0"/>
          <w:lang w:val="en-US" w:eastAsia="en-US"/>
        </w:rPr>
        <w:t>7(a)</w:t>
      </w:r>
      <w:r w:rsidR="001254DE" w:rsidRPr="00012C3F">
        <w:rPr>
          <w:rFonts w:eastAsia="MS Mincho" w:cs="Arial"/>
          <w:b w:val="0"/>
          <w:i/>
          <w:spacing w:val="0"/>
          <w:lang w:val="en-US" w:eastAsia="en-US"/>
        </w:rPr>
        <w:t xml:space="preserve"> of the Convention</w:t>
      </w:r>
      <w:r w:rsidR="00F634C9" w:rsidRPr="00012C3F">
        <w:rPr>
          <w:rFonts w:eastAsia="MS Mincho" w:cs="Arial"/>
          <w:b w:val="0"/>
          <w:i/>
          <w:spacing w:val="0"/>
          <w:lang w:val="en-US" w:eastAsia="en-US"/>
        </w:rPr>
        <w:t xml:space="preserve"> </w:t>
      </w:r>
      <w:r w:rsidR="005E5012" w:rsidRPr="00012C3F">
        <w:rPr>
          <w:rFonts w:eastAsia="MS Mincho" w:cs="Arial"/>
          <w:b w:val="0"/>
          <w:i/>
          <w:spacing w:val="0"/>
          <w:lang w:val="en-US" w:eastAsia="en-US"/>
        </w:rPr>
        <w:t>of Belém</w:t>
      </w:r>
      <w:r w:rsidR="00F634C9" w:rsidRPr="00012C3F">
        <w:rPr>
          <w:rFonts w:eastAsia="MS Mincho" w:cs="Arial"/>
          <w:b w:val="0"/>
          <w:i/>
          <w:spacing w:val="0"/>
          <w:lang w:val="en-US" w:eastAsia="en-US"/>
        </w:rPr>
        <w:t xml:space="preserve"> do Pará)</w:t>
      </w:r>
      <w:bookmarkEnd w:id="149"/>
    </w:p>
    <w:p w14:paraId="12937A62" w14:textId="77777777" w:rsidR="006D5C94" w:rsidRPr="00012C3F" w:rsidRDefault="006D5C94" w:rsidP="005C3110">
      <w:pPr>
        <w:widowControl/>
        <w:tabs>
          <w:tab w:val="left" w:pos="720"/>
        </w:tabs>
        <w:adjustRightInd/>
        <w:spacing w:line="240" w:lineRule="auto"/>
        <w:ind w:right="-90"/>
        <w:textAlignment w:val="auto"/>
        <w:rPr>
          <w:rFonts w:eastAsia="MS Mincho"/>
          <w:i/>
          <w:sz w:val="20"/>
          <w:szCs w:val="20"/>
          <w:lang w:val="en-US" w:eastAsia="en-US" w:bidi="en-US"/>
        </w:rPr>
      </w:pPr>
    </w:p>
    <w:p w14:paraId="3ECAAD5C" w14:textId="77777777" w:rsidR="00836B72" w:rsidRPr="00012C3F" w:rsidRDefault="00F925D5" w:rsidP="00836B72">
      <w:pPr>
        <w:numPr>
          <w:ilvl w:val="0"/>
          <w:numId w:val="5"/>
        </w:numPr>
        <w:tabs>
          <w:tab w:val="left" w:pos="720"/>
          <w:tab w:val="num" w:pos="12305"/>
        </w:tabs>
        <w:spacing w:line="240" w:lineRule="auto"/>
        <w:ind w:left="0" w:firstLine="0"/>
        <w:rPr>
          <w:rFonts w:eastAsia="Batang" w:cs="Arial"/>
          <w:bCs/>
          <w:sz w:val="20"/>
          <w:szCs w:val="20"/>
          <w:lang w:val="en-US" w:eastAsia="es-MX"/>
        </w:rPr>
      </w:pPr>
      <w:r w:rsidRPr="00012C3F">
        <w:rPr>
          <w:rFonts w:eastAsia="Batang" w:cs="Arial"/>
          <w:sz w:val="20"/>
          <w:szCs w:val="20"/>
          <w:lang w:val="en-US" w:eastAsia="es-MX"/>
        </w:rPr>
        <w:t xml:space="preserve">In the inter-American sphere, </w:t>
      </w:r>
      <w:r w:rsidR="001254DE" w:rsidRPr="00012C3F">
        <w:rPr>
          <w:rFonts w:eastAsia="MS Mincho"/>
          <w:sz w:val="20"/>
          <w:szCs w:val="20"/>
          <w:lang w:val="en-US" w:eastAsia="en-US" w:bidi="en-US"/>
        </w:rPr>
        <w:t xml:space="preserve">the </w:t>
      </w:r>
      <w:r w:rsidRPr="00012C3F">
        <w:rPr>
          <w:rFonts w:eastAsia="MS Mincho"/>
          <w:sz w:val="20"/>
          <w:szCs w:val="20"/>
          <w:lang w:val="en-US" w:eastAsia="en-US" w:bidi="en-US"/>
        </w:rPr>
        <w:t>Inter-American Convention for the Prevention, Punishment and Eradication of Violence against Women</w:t>
      </w:r>
      <w:r w:rsidR="00D44F80" w:rsidRPr="00012C3F">
        <w:rPr>
          <w:rStyle w:val="Textoennegrita"/>
          <w:rFonts w:cs="Tahoma"/>
          <w:b w:val="0"/>
          <w:sz w:val="20"/>
          <w:szCs w:val="20"/>
          <w:shd w:val="clear" w:color="auto" w:fill="FFFFFF"/>
          <w:lang w:val="en-US"/>
        </w:rPr>
        <w:t xml:space="preserve"> “Conven</w:t>
      </w:r>
      <w:r w:rsidRPr="00012C3F">
        <w:rPr>
          <w:rStyle w:val="Textoennegrita"/>
          <w:rFonts w:cs="Tahoma"/>
          <w:b w:val="0"/>
          <w:sz w:val="20"/>
          <w:szCs w:val="20"/>
          <w:shd w:val="clear" w:color="auto" w:fill="FFFFFF"/>
          <w:lang w:val="en-US"/>
        </w:rPr>
        <w:t>tion</w:t>
      </w:r>
      <w:r w:rsidR="00D44F80" w:rsidRPr="00012C3F">
        <w:rPr>
          <w:rStyle w:val="Textoennegrita"/>
          <w:rFonts w:cs="Tahoma"/>
          <w:b w:val="0"/>
          <w:sz w:val="20"/>
          <w:szCs w:val="20"/>
          <w:shd w:val="clear" w:color="auto" w:fill="FFFFFF"/>
          <w:lang w:val="en-US"/>
        </w:rPr>
        <w:t xml:space="preserve"> </w:t>
      </w:r>
      <w:r w:rsidR="005E5012" w:rsidRPr="00012C3F">
        <w:rPr>
          <w:rStyle w:val="Textoennegrita"/>
          <w:rFonts w:cs="Tahoma"/>
          <w:b w:val="0"/>
          <w:sz w:val="20"/>
          <w:szCs w:val="20"/>
          <w:shd w:val="clear" w:color="auto" w:fill="FFFFFF"/>
          <w:lang w:val="en-US"/>
        </w:rPr>
        <w:t>of Belém</w:t>
      </w:r>
      <w:r w:rsidR="00D44F80" w:rsidRPr="00012C3F">
        <w:rPr>
          <w:rStyle w:val="Textoennegrita"/>
          <w:rFonts w:cs="Tahoma"/>
          <w:b w:val="0"/>
          <w:sz w:val="20"/>
          <w:szCs w:val="20"/>
          <w:shd w:val="clear" w:color="auto" w:fill="FFFFFF"/>
          <w:lang w:val="en-US"/>
        </w:rPr>
        <w:t xml:space="preserve"> do Par</w:t>
      </w:r>
      <w:r w:rsidR="00E00BA5" w:rsidRPr="00012C3F">
        <w:rPr>
          <w:rStyle w:val="Textoennegrita"/>
          <w:rFonts w:cs="Tahoma"/>
          <w:b w:val="0"/>
          <w:sz w:val="20"/>
          <w:szCs w:val="20"/>
          <w:shd w:val="clear" w:color="auto" w:fill="FFFFFF"/>
          <w:lang w:val="en-US"/>
        </w:rPr>
        <w:t>á</w:t>
      </w:r>
      <w:r w:rsidR="00D44F80" w:rsidRPr="00012C3F">
        <w:rPr>
          <w:rStyle w:val="Textoennegrita"/>
          <w:rFonts w:cs="Tahoma"/>
          <w:b w:val="0"/>
          <w:sz w:val="20"/>
          <w:szCs w:val="20"/>
          <w:shd w:val="clear" w:color="auto" w:fill="FFFFFF"/>
          <w:lang w:val="en-US"/>
        </w:rPr>
        <w:t xml:space="preserve">” </w:t>
      </w:r>
      <w:r w:rsidR="00D44F80" w:rsidRPr="00012C3F">
        <w:rPr>
          <w:rFonts w:eastAsia="Batang" w:cs="Arial"/>
          <w:bCs/>
          <w:sz w:val="20"/>
          <w:szCs w:val="20"/>
          <w:lang w:val="en-US" w:eastAsia="es-MX"/>
        </w:rPr>
        <w:t>establ</w:t>
      </w:r>
      <w:r w:rsidRPr="00012C3F">
        <w:rPr>
          <w:rFonts w:eastAsia="Batang" w:cs="Arial"/>
          <w:bCs/>
          <w:sz w:val="20"/>
          <w:szCs w:val="20"/>
          <w:lang w:val="en-US" w:eastAsia="es-MX"/>
        </w:rPr>
        <w:t xml:space="preserve">ishes the right of every woman to be free from violence, and that </w:t>
      </w:r>
      <w:r w:rsidR="00836B72" w:rsidRPr="00012C3F">
        <w:rPr>
          <w:rFonts w:eastAsia="Batang" w:cs="Arial"/>
          <w:bCs/>
          <w:sz w:val="20"/>
          <w:szCs w:val="20"/>
          <w:lang w:val="en-US" w:eastAsia="es-MX"/>
        </w:rPr>
        <w:t>t</w:t>
      </w:r>
      <w:r w:rsidRPr="00012C3F">
        <w:rPr>
          <w:rFonts w:eastAsia="Batang" w:cs="Arial"/>
          <w:bCs/>
          <w:sz w:val="20"/>
          <w:szCs w:val="20"/>
          <w:lang w:val="en-US" w:eastAsia="es-MX"/>
        </w:rPr>
        <w:t xml:space="preserve">his right includes the right to be free of </w:t>
      </w:r>
      <w:r w:rsidR="00836B72" w:rsidRPr="00012C3F">
        <w:rPr>
          <w:rFonts w:eastAsia="Batang" w:cs="Arial"/>
          <w:bCs/>
          <w:sz w:val="20"/>
          <w:szCs w:val="20"/>
          <w:lang w:val="en-US" w:eastAsia="es-MX"/>
        </w:rPr>
        <w:t>all forms of discrimination.</w:t>
      </w:r>
      <w:r w:rsidR="00D44F80" w:rsidRPr="00012C3F">
        <w:rPr>
          <w:rFonts w:eastAsia="Batang" w:cs="Arial"/>
          <w:sz w:val="20"/>
          <w:szCs w:val="20"/>
          <w:vertAlign w:val="superscript"/>
          <w:lang w:val="en-US" w:eastAsia="es-MX"/>
        </w:rPr>
        <w:footnoteReference w:id="329"/>
      </w:r>
      <w:r w:rsidR="00836B72" w:rsidRPr="00012C3F">
        <w:rPr>
          <w:rFonts w:eastAsia="Batang" w:cs="Arial"/>
          <w:sz w:val="20"/>
          <w:szCs w:val="20"/>
          <w:lang w:val="en-US" w:eastAsia="es-MX"/>
        </w:rPr>
        <w:t xml:space="preserve"> In addition, it indicates that States must “</w:t>
      </w:r>
      <w:r w:rsidR="00836B72" w:rsidRPr="00012C3F">
        <w:rPr>
          <w:rFonts w:eastAsiaTheme="minorHAnsi" w:cs="Calibri"/>
          <w:color w:val="000000"/>
          <w:sz w:val="20"/>
          <w:szCs w:val="20"/>
          <w:lang w:val="en-US" w:eastAsia="en-US"/>
        </w:rPr>
        <w:t>refrain from engaging in any act or practice of violence against women and […] ensure that their authorities, officials, personnel, agents, and institutions act in conformity with this obligation.</w:t>
      </w:r>
      <w:r w:rsidR="00D44F80" w:rsidRPr="00012C3F">
        <w:rPr>
          <w:rFonts w:eastAsia="Batang" w:cs="Arial"/>
          <w:sz w:val="20"/>
          <w:szCs w:val="20"/>
          <w:lang w:val="en-US" w:eastAsia="es-MX"/>
        </w:rPr>
        <w:t>”</w:t>
      </w:r>
      <w:r w:rsidR="00D44F80" w:rsidRPr="00012C3F">
        <w:rPr>
          <w:rFonts w:eastAsia="Batang" w:cs="Arial"/>
          <w:sz w:val="20"/>
          <w:szCs w:val="20"/>
          <w:vertAlign w:val="superscript"/>
          <w:lang w:val="en-US" w:eastAsia="es-MX"/>
        </w:rPr>
        <w:footnoteReference w:id="330"/>
      </w:r>
      <w:r w:rsidR="00D44F80" w:rsidRPr="00012C3F">
        <w:rPr>
          <w:rFonts w:eastAsia="Batang" w:cs="Arial"/>
          <w:sz w:val="20"/>
          <w:szCs w:val="20"/>
          <w:lang w:val="en-US" w:eastAsia="es-MX"/>
        </w:rPr>
        <w:t xml:space="preserve"> </w:t>
      </w:r>
      <w:r w:rsidR="00836B72" w:rsidRPr="00012C3F">
        <w:rPr>
          <w:rFonts w:eastAsia="Batang" w:cs="Arial"/>
          <w:sz w:val="20"/>
          <w:szCs w:val="20"/>
          <w:lang w:val="en-US" w:eastAsia="es-MX"/>
        </w:rPr>
        <w:t xml:space="preserve">In this regard, the Court recalls that the protection of human rights is based on affirming the existence of certain sacrosanct attributes of the human being that cannot be legitimately impaired by the exercise of </w:t>
      </w:r>
      <w:r w:rsidR="00836B72" w:rsidRPr="00012C3F">
        <w:rPr>
          <w:rFonts w:eastAsia="Batang" w:cs="Arial"/>
          <w:sz w:val="20"/>
          <w:szCs w:val="20"/>
          <w:lang w:val="en-US" w:eastAsia="es-MX"/>
        </w:rPr>
        <w:lastRenderedPageBreak/>
        <w:t>public powers. These are individual spheres that the State may not violate.</w:t>
      </w:r>
      <w:r w:rsidR="00D44F80" w:rsidRPr="00012C3F">
        <w:rPr>
          <w:rFonts w:eastAsia="Batang" w:cs="Arial"/>
          <w:sz w:val="20"/>
          <w:szCs w:val="20"/>
          <w:vertAlign w:val="superscript"/>
          <w:lang w:val="en-US" w:eastAsia="es-MX"/>
        </w:rPr>
        <w:footnoteReference w:id="331"/>
      </w:r>
      <w:r w:rsidR="00D44F80" w:rsidRPr="00012C3F">
        <w:rPr>
          <w:rFonts w:eastAsia="Batang" w:cs="Arial"/>
          <w:sz w:val="20"/>
          <w:szCs w:val="20"/>
          <w:lang w:val="en-US" w:eastAsia="es-MX"/>
        </w:rPr>
        <w:t xml:space="preserve"> </w:t>
      </w:r>
      <w:r w:rsidR="00836B72" w:rsidRPr="00012C3F">
        <w:rPr>
          <w:rFonts w:eastAsia="Batang" w:cs="Arial"/>
          <w:sz w:val="20"/>
          <w:szCs w:val="20"/>
          <w:lang w:val="en-US" w:eastAsia="es-MX"/>
        </w:rPr>
        <w:t>In order to ensure this protection, the Court has considered that it is not sufficient for States to refrain from violating right</w:t>
      </w:r>
      <w:r w:rsidR="004225C5" w:rsidRPr="00012C3F">
        <w:rPr>
          <w:rFonts w:eastAsia="Batang" w:cs="Arial"/>
          <w:sz w:val="20"/>
          <w:szCs w:val="20"/>
          <w:lang w:val="en-US" w:eastAsia="es-MX"/>
        </w:rPr>
        <w:t xml:space="preserve">s; rather, </w:t>
      </w:r>
      <w:r w:rsidR="00836B72" w:rsidRPr="00012C3F">
        <w:rPr>
          <w:rFonts w:eastAsia="Batang" w:cs="Arial"/>
          <w:sz w:val="20"/>
          <w:szCs w:val="20"/>
          <w:lang w:val="en-US" w:eastAsia="es-MX"/>
        </w:rPr>
        <w:t>it is imperative that they adopt positive measures, determined in function of the specific needs for protection of the subject</w:t>
      </w:r>
      <w:r w:rsidR="004225C5" w:rsidRPr="00012C3F">
        <w:rPr>
          <w:rFonts w:eastAsia="Batang" w:cs="Arial"/>
          <w:sz w:val="20"/>
          <w:szCs w:val="20"/>
          <w:lang w:val="en-US" w:eastAsia="es-MX"/>
        </w:rPr>
        <w:t>s</w:t>
      </w:r>
      <w:r w:rsidR="00836B72" w:rsidRPr="00012C3F">
        <w:rPr>
          <w:rFonts w:eastAsia="Batang" w:cs="Arial"/>
          <w:sz w:val="20"/>
          <w:szCs w:val="20"/>
          <w:lang w:val="en-US" w:eastAsia="es-MX"/>
        </w:rPr>
        <w:t xml:space="preserve"> of law, due either to </w:t>
      </w:r>
      <w:r w:rsidR="004225C5" w:rsidRPr="00012C3F">
        <w:rPr>
          <w:rFonts w:eastAsia="Batang" w:cs="Arial"/>
          <w:sz w:val="20"/>
          <w:szCs w:val="20"/>
          <w:lang w:val="en-US" w:eastAsia="es-MX"/>
        </w:rPr>
        <w:t>their</w:t>
      </w:r>
      <w:r w:rsidR="00836B72" w:rsidRPr="00012C3F">
        <w:rPr>
          <w:rFonts w:eastAsia="Batang" w:cs="Arial"/>
          <w:sz w:val="20"/>
          <w:szCs w:val="20"/>
          <w:lang w:val="en-US" w:eastAsia="es-MX"/>
        </w:rPr>
        <w:t xml:space="preserve"> personal condition or to the specific situation in which </w:t>
      </w:r>
      <w:r w:rsidR="004225C5" w:rsidRPr="00012C3F">
        <w:rPr>
          <w:rFonts w:eastAsia="Batang" w:cs="Arial"/>
          <w:sz w:val="20"/>
          <w:szCs w:val="20"/>
          <w:lang w:val="en-US" w:eastAsia="es-MX"/>
        </w:rPr>
        <w:t>they</w:t>
      </w:r>
      <w:r w:rsidR="00836B72" w:rsidRPr="00012C3F">
        <w:rPr>
          <w:rFonts w:eastAsia="Batang" w:cs="Arial"/>
          <w:sz w:val="20"/>
          <w:szCs w:val="20"/>
          <w:lang w:val="en-US" w:eastAsia="es-MX"/>
        </w:rPr>
        <w:t xml:space="preserve"> finds </w:t>
      </w:r>
      <w:r w:rsidR="004225C5" w:rsidRPr="00012C3F">
        <w:rPr>
          <w:rFonts w:eastAsia="Batang" w:cs="Arial"/>
          <w:sz w:val="20"/>
          <w:szCs w:val="20"/>
          <w:lang w:val="en-US" w:eastAsia="es-MX"/>
        </w:rPr>
        <w:t>themselves</w:t>
      </w:r>
      <w:r w:rsidR="00836B72" w:rsidRPr="00012C3F">
        <w:rPr>
          <w:rFonts w:eastAsia="Batang" w:cs="Arial"/>
          <w:sz w:val="20"/>
          <w:szCs w:val="20"/>
          <w:lang w:val="en-US" w:eastAsia="es-MX"/>
        </w:rPr>
        <w:t>.</w:t>
      </w:r>
      <w:r w:rsidR="00D44F80" w:rsidRPr="00012C3F">
        <w:rPr>
          <w:rFonts w:eastAsia="Batang" w:cs="Arial"/>
          <w:sz w:val="20"/>
          <w:szCs w:val="20"/>
          <w:vertAlign w:val="superscript"/>
          <w:lang w:val="en-US" w:eastAsia="es-MX"/>
        </w:rPr>
        <w:footnoteReference w:id="332"/>
      </w:r>
      <w:r w:rsidR="00D44F80" w:rsidRPr="00012C3F">
        <w:rPr>
          <w:rFonts w:eastAsia="Batang" w:cs="Arial"/>
          <w:sz w:val="20"/>
          <w:szCs w:val="20"/>
          <w:lang w:val="en-US" w:eastAsia="es-MX"/>
        </w:rPr>
        <w:t xml:space="preserve"> </w:t>
      </w:r>
      <w:r w:rsidR="001254DE" w:rsidRPr="00012C3F">
        <w:rPr>
          <w:rFonts w:eastAsia="Batang" w:cs="Arial"/>
          <w:sz w:val="20"/>
          <w:szCs w:val="20"/>
          <w:lang w:val="en-US" w:eastAsia="es-MX"/>
        </w:rPr>
        <w:t>The Court</w:t>
      </w:r>
      <w:r w:rsidR="00D44F80" w:rsidRPr="00012C3F">
        <w:rPr>
          <w:rFonts w:eastAsia="Batang" w:cs="Arial"/>
          <w:sz w:val="20"/>
          <w:szCs w:val="20"/>
          <w:lang w:val="en-US" w:eastAsia="es-MX"/>
        </w:rPr>
        <w:t xml:space="preserve"> consider</w:t>
      </w:r>
      <w:r w:rsidR="00836B72" w:rsidRPr="00012C3F">
        <w:rPr>
          <w:rFonts w:eastAsia="Batang" w:cs="Arial"/>
          <w:sz w:val="20"/>
          <w:szCs w:val="20"/>
          <w:lang w:val="en-US" w:eastAsia="es-MX"/>
        </w:rPr>
        <w:t>s that this State obligation acquires special relevance when violations of the sexual and reproductive rights of women are involved, as in the case of non-consensual sterilizations performed in public hospitals.</w:t>
      </w:r>
    </w:p>
    <w:p w14:paraId="00697F43" w14:textId="77777777" w:rsidR="00D44F80" w:rsidRPr="00012C3F" w:rsidRDefault="00D44F80" w:rsidP="00D44F80">
      <w:pPr>
        <w:tabs>
          <w:tab w:val="left" w:pos="567"/>
        </w:tabs>
        <w:spacing w:line="240" w:lineRule="auto"/>
        <w:rPr>
          <w:rFonts w:eastAsia="Batang" w:cs="Arial"/>
          <w:bCs/>
          <w:sz w:val="20"/>
          <w:szCs w:val="20"/>
          <w:lang w:val="en-US" w:eastAsia="es-MX"/>
        </w:rPr>
      </w:pPr>
    </w:p>
    <w:p w14:paraId="6A43E2D6" w14:textId="77777777" w:rsidR="00D44F80" w:rsidRPr="00012C3F" w:rsidRDefault="001254DE" w:rsidP="00C6414C">
      <w:pPr>
        <w:numPr>
          <w:ilvl w:val="0"/>
          <w:numId w:val="5"/>
        </w:numPr>
        <w:tabs>
          <w:tab w:val="left" w:pos="720"/>
          <w:tab w:val="num" w:pos="12305"/>
        </w:tabs>
        <w:spacing w:line="240" w:lineRule="auto"/>
        <w:ind w:left="0" w:firstLine="0"/>
        <w:rPr>
          <w:rFonts w:eastAsia="Calibri"/>
          <w:sz w:val="20"/>
          <w:szCs w:val="20"/>
          <w:lang w:val="en-US" w:eastAsia="en-US" w:bidi="en-US"/>
        </w:rPr>
      </w:pPr>
      <w:r w:rsidRPr="00012C3F">
        <w:rPr>
          <w:rFonts w:eastAsia="MS Mincho"/>
          <w:sz w:val="20"/>
          <w:szCs w:val="20"/>
          <w:lang w:val="en-US" w:eastAsia="en-US" w:bidi="en-US"/>
        </w:rPr>
        <w:t>The Convention</w:t>
      </w:r>
      <w:r w:rsidR="00D44F80" w:rsidRPr="00012C3F">
        <w:rPr>
          <w:rStyle w:val="Textoennegrita"/>
          <w:rFonts w:cs="Tahoma"/>
          <w:b w:val="0"/>
          <w:sz w:val="20"/>
          <w:szCs w:val="20"/>
          <w:shd w:val="clear" w:color="auto" w:fill="FFFFFF"/>
          <w:lang w:val="en-US"/>
        </w:rPr>
        <w:t xml:space="preserve"> </w:t>
      </w:r>
      <w:r w:rsidR="005E5012" w:rsidRPr="00012C3F">
        <w:rPr>
          <w:rStyle w:val="Textoennegrita"/>
          <w:rFonts w:cs="Tahoma"/>
          <w:b w:val="0"/>
          <w:sz w:val="20"/>
          <w:szCs w:val="20"/>
          <w:shd w:val="clear" w:color="auto" w:fill="FFFFFF"/>
          <w:lang w:val="en-US"/>
        </w:rPr>
        <w:t>of Belém</w:t>
      </w:r>
      <w:r w:rsidR="00D44F80" w:rsidRPr="00012C3F">
        <w:rPr>
          <w:rStyle w:val="Textoennegrita"/>
          <w:rFonts w:cs="Tahoma"/>
          <w:b w:val="0"/>
          <w:sz w:val="20"/>
          <w:szCs w:val="20"/>
          <w:shd w:val="clear" w:color="auto" w:fill="FFFFFF"/>
          <w:lang w:val="en-US"/>
        </w:rPr>
        <w:t xml:space="preserve"> do Pará ha</w:t>
      </w:r>
      <w:r w:rsidR="00836B72" w:rsidRPr="00012C3F">
        <w:rPr>
          <w:rStyle w:val="Textoennegrita"/>
          <w:rFonts w:cs="Tahoma"/>
          <w:b w:val="0"/>
          <w:sz w:val="20"/>
          <w:szCs w:val="20"/>
          <w:shd w:val="clear" w:color="auto" w:fill="FFFFFF"/>
          <w:lang w:val="en-US"/>
        </w:rPr>
        <w:t>s established pa</w:t>
      </w:r>
      <w:r w:rsidR="00452BE4" w:rsidRPr="00012C3F">
        <w:rPr>
          <w:rStyle w:val="Textoennegrita"/>
          <w:rFonts w:cs="Tahoma"/>
          <w:b w:val="0"/>
          <w:sz w:val="20"/>
          <w:szCs w:val="20"/>
          <w:shd w:val="clear" w:color="auto" w:fill="FFFFFF"/>
          <w:lang w:val="en-US"/>
        </w:rPr>
        <w:t>r</w:t>
      </w:r>
      <w:r w:rsidR="00836B72" w:rsidRPr="00012C3F">
        <w:rPr>
          <w:rStyle w:val="Textoennegrita"/>
          <w:rFonts w:cs="Tahoma"/>
          <w:b w:val="0"/>
          <w:sz w:val="20"/>
          <w:szCs w:val="20"/>
          <w:shd w:val="clear" w:color="auto" w:fill="FFFFFF"/>
          <w:lang w:val="en-US"/>
        </w:rPr>
        <w:t>ameters to identify when an act constitutes violence and</w:t>
      </w:r>
      <w:r w:rsidR="00C6414C" w:rsidRPr="00012C3F">
        <w:rPr>
          <w:rStyle w:val="Textoennegrita"/>
          <w:rFonts w:cs="Tahoma"/>
          <w:b w:val="0"/>
          <w:sz w:val="20"/>
          <w:szCs w:val="20"/>
          <w:shd w:val="clear" w:color="auto" w:fill="FFFFFF"/>
          <w:lang w:val="en-US"/>
        </w:rPr>
        <w:t xml:space="preserve"> its </w:t>
      </w:r>
      <w:r w:rsidRPr="00012C3F">
        <w:rPr>
          <w:rFonts w:cs="Tahoma"/>
          <w:sz w:val="20"/>
          <w:szCs w:val="20"/>
          <w:lang w:val="en-US"/>
        </w:rPr>
        <w:t>Article</w:t>
      </w:r>
      <w:r w:rsidR="00D44F80" w:rsidRPr="00012C3F">
        <w:rPr>
          <w:rFonts w:cs="Tahoma"/>
          <w:sz w:val="20"/>
          <w:szCs w:val="20"/>
          <w:lang w:val="en-US"/>
        </w:rPr>
        <w:t xml:space="preserve"> 1</w:t>
      </w:r>
      <w:r w:rsidR="00C6414C" w:rsidRPr="00012C3F">
        <w:rPr>
          <w:rFonts w:cs="Tahoma"/>
          <w:sz w:val="20"/>
          <w:szCs w:val="20"/>
          <w:lang w:val="en-US"/>
        </w:rPr>
        <w:t xml:space="preserve"> defines this as follows: ”</w:t>
      </w:r>
      <w:r w:rsidR="00C6414C" w:rsidRPr="00012C3F">
        <w:rPr>
          <w:rFonts w:eastAsiaTheme="minorHAnsi" w:cs="Calibri"/>
          <w:color w:val="000000"/>
          <w:sz w:val="20"/>
          <w:szCs w:val="20"/>
          <w:lang w:val="en-US" w:eastAsia="en-US"/>
        </w:rPr>
        <w:t>violence against women shall be understood as any act or conduct, based on gender, which causes death or physical, sexual or psychological harm or suffering to women, whether in the public or the private sphere.</w:t>
      </w:r>
      <w:r w:rsidR="00D44F80" w:rsidRPr="00012C3F">
        <w:rPr>
          <w:rFonts w:cs="Tahoma"/>
          <w:sz w:val="20"/>
          <w:szCs w:val="20"/>
          <w:lang w:val="en-US"/>
        </w:rPr>
        <w:t>”</w:t>
      </w:r>
      <w:r w:rsidR="00D44F80" w:rsidRPr="00012C3F">
        <w:rPr>
          <w:rStyle w:val="Refdenotaalpie"/>
          <w:rFonts w:eastAsiaTheme="minorHAnsi"/>
          <w:sz w:val="20"/>
          <w:szCs w:val="20"/>
          <w:lang w:val="en-US"/>
        </w:rPr>
        <w:footnoteReference w:id="333"/>
      </w:r>
      <w:r w:rsidR="00D44F80" w:rsidRPr="00012C3F">
        <w:rPr>
          <w:rFonts w:cs="Tahoma"/>
          <w:sz w:val="20"/>
          <w:szCs w:val="20"/>
          <w:lang w:val="en-US"/>
        </w:rPr>
        <w:t xml:space="preserve"> </w:t>
      </w:r>
      <w:r w:rsidR="00C6414C" w:rsidRPr="00012C3F">
        <w:rPr>
          <w:rFonts w:cs="Tahoma"/>
          <w:sz w:val="20"/>
          <w:szCs w:val="20"/>
          <w:lang w:val="en-US"/>
        </w:rPr>
        <w:t>In addition, the Court has indicated that gender-based violence “includes acts that inflict physical, mental or sexual harm or suffering, threats of such acts, coercion, and other deprivations of liberty.</w:t>
      </w:r>
      <w:r w:rsidR="00D44F80" w:rsidRPr="00012C3F">
        <w:rPr>
          <w:sz w:val="20"/>
          <w:szCs w:val="20"/>
          <w:lang w:val="en-US"/>
        </w:rPr>
        <w:t>”</w:t>
      </w:r>
      <w:r w:rsidR="00D44F80" w:rsidRPr="00012C3F">
        <w:rPr>
          <w:rStyle w:val="Refdenotaalpie"/>
          <w:rFonts w:eastAsiaTheme="minorHAnsi"/>
          <w:sz w:val="20"/>
          <w:szCs w:val="20"/>
          <w:lang w:val="en-US"/>
        </w:rPr>
        <w:footnoteReference w:id="334"/>
      </w:r>
    </w:p>
    <w:p w14:paraId="4962201B" w14:textId="77777777" w:rsidR="00D44F80" w:rsidRPr="00012C3F" w:rsidRDefault="00D44F80" w:rsidP="00C6414C">
      <w:pPr>
        <w:widowControl/>
        <w:tabs>
          <w:tab w:val="left" w:pos="720"/>
        </w:tabs>
        <w:autoSpaceDE w:val="0"/>
        <w:autoSpaceDN w:val="0"/>
        <w:spacing w:line="240" w:lineRule="auto"/>
        <w:textAlignment w:val="auto"/>
        <w:rPr>
          <w:rFonts w:eastAsiaTheme="minorHAnsi" w:cs="Arial"/>
          <w:sz w:val="20"/>
          <w:szCs w:val="20"/>
          <w:lang w:val="en-US" w:eastAsia="en-US"/>
        </w:rPr>
      </w:pPr>
    </w:p>
    <w:p w14:paraId="54769768" w14:textId="77777777" w:rsidR="00933FD4" w:rsidRPr="00012C3F" w:rsidRDefault="00E26C77" w:rsidP="00E26C77">
      <w:pPr>
        <w:numPr>
          <w:ilvl w:val="0"/>
          <w:numId w:val="5"/>
        </w:numPr>
        <w:tabs>
          <w:tab w:val="left" w:pos="720"/>
          <w:tab w:val="num" w:pos="12305"/>
        </w:tabs>
        <w:spacing w:line="240" w:lineRule="auto"/>
        <w:ind w:left="0" w:firstLine="0"/>
        <w:rPr>
          <w:rFonts w:eastAsia="Batang" w:cs="Arial"/>
          <w:sz w:val="20"/>
          <w:szCs w:val="20"/>
          <w:lang w:val="en-US" w:eastAsia="es-MX"/>
        </w:rPr>
      </w:pPr>
      <w:r w:rsidRPr="00012C3F">
        <w:rPr>
          <w:rFonts w:cs="Tahoma"/>
          <w:sz w:val="20"/>
          <w:szCs w:val="20"/>
          <w:lang w:val="en-US"/>
        </w:rPr>
        <w:t>Bearing</w:t>
      </w:r>
      <w:r w:rsidR="00D44F80" w:rsidRPr="00012C3F">
        <w:rPr>
          <w:rFonts w:cs="Tahoma"/>
          <w:sz w:val="20"/>
          <w:szCs w:val="20"/>
          <w:lang w:val="en-US"/>
        </w:rPr>
        <w:t xml:space="preserve"> </w:t>
      </w:r>
      <w:r w:rsidRPr="00012C3F">
        <w:rPr>
          <w:rFonts w:cs="Tahoma"/>
          <w:sz w:val="20"/>
          <w:szCs w:val="20"/>
          <w:lang w:val="en-US"/>
        </w:rPr>
        <w:t>i</w:t>
      </w:r>
      <w:r w:rsidR="00D44F80" w:rsidRPr="00012C3F">
        <w:rPr>
          <w:rFonts w:cs="Tahoma"/>
          <w:sz w:val="20"/>
          <w:szCs w:val="20"/>
          <w:lang w:val="en-US"/>
        </w:rPr>
        <w:t>n</w:t>
      </w:r>
      <w:r w:rsidRPr="00012C3F">
        <w:rPr>
          <w:rFonts w:cs="Tahoma"/>
          <w:sz w:val="20"/>
          <w:szCs w:val="20"/>
          <w:lang w:val="en-US"/>
        </w:rPr>
        <w:t xml:space="preserve"> mind the definition of violence against women adopted in </w:t>
      </w:r>
      <w:r w:rsidR="001254DE" w:rsidRPr="00012C3F">
        <w:rPr>
          <w:rFonts w:cs="Tahoma"/>
          <w:sz w:val="20"/>
          <w:szCs w:val="20"/>
          <w:lang w:val="en-US"/>
        </w:rPr>
        <w:t>the Convention</w:t>
      </w:r>
      <w:r w:rsidR="00D44F80" w:rsidRPr="00012C3F">
        <w:rPr>
          <w:rFonts w:cs="Tahoma"/>
          <w:sz w:val="20"/>
          <w:szCs w:val="20"/>
          <w:lang w:val="en-US"/>
        </w:rPr>
        <w:t xml:space="preserve"> </w:t>
      </w:r>
      <w:r w:rsidR="005E5012" w:rsidRPr="00012C3F">
        <w:rPr>
          <w:rFonts w:cs="Tahoma"/>
          <w:sz w:val="20"/>
          <w:szCs w:val="20"/>
          <w:lang w:val="en-US"/>
        </w:rPr>
        <w:t>of Belém</w:t>
      </w:r>
      <w:r w:rsidR="00D44F80" w:rsidRPr="00012C3F">
        <w:rPr>
          <w:rFonts w:cs="Tahoma"/>
          <w:sz w:val="20"/>
          <w:szCs w:val="20"/>
          <w:lang w:val="en-US"/>
        </w:rPr>
        <w:t xml:space="preserve"> do Pará, </w:t>
      </w:r>
      <w:r w:rsidR="001254DE" w:rsidRPr="00012C3F">
        <w:rPr>
          <w:rFonts w:cs="Tahoma"/>
          <w:sz w:val="20"/>
          <w:szCs w:val="20"/>
          <w:lang w:val="en-US"/>
        </w:rPr>
        <w:t>the Court</w:t>
      </w:r>
      <w:r w:rsidR="00D44F80" w:rsidRPr="00012C3F">
        <w:rPr>
          <w:rFonts w:cs="Tahoma"/>
          <w:sz w:val="20"/>
          <w:szCs w:val="20"/>
          <w:lang w:val="en-US"/>
        </w:rPr>
        <w:t xml:space="preserve"> consider</w:t>
      </w:r>
      <w:r w:rsidRPr="00012C3F">
        <w:rPr>
          <w:rFonts w:cs="Tahoma"/>
          <w:sz w:val="20"/>
          <w:szCs w:val="20"/>
          <w:lang w:val="en-US"/>
        </w:rPr>
        <w:t>s that the physician should have foreseen that the intentional alteration of I.V.’s physical capacity for biological reproduction, with total disregard for her autonomy and reproductive freedom would cause her intense emotional suffering and, despite this, he did not modify his conduct in the belief that it was he who was in the best position to take the decision that he considered most beneficial for I.V. The Court finds that an intrusion of this magnitude in</w:t>
      </w:r>
      <w:r w:rsidR="004225C5" w:rsidRPr="00012C3F">
        <w:rPr>
          <w:rFonts w:cs="Tahoma"/>
          <w:sz w:val="20"/>
          <w:szCs w:val="20"/>
          <w:lang w:val="en-US"/>
        </w:rPr>
        <w:t>to</w:t>
      </w:r>
      <w:r w:rsidRPr="00012C3F">
        <w:rPr>
          <w:rFonts w:cs="Tahoma"/>
          <w:sz w:val="20"/>
          <w:szCs w:val="20"/>
          <w:lang w:val="en-US"/>
        </w:rPr>
        <w:t xml:space="preserve"> the body and the personal integrity of I.V., without her consent, foreseeably caused a significant suffering for the victim, especially given that the physician assumed for himself an extremely person decision that belonged to I.V. – which was not a life or death decision. In addition, the Court has underlined that sterilization affect</w:t>
      </w:r>
      <w:r w:rsidR="004225C5" w:rsidRPr="00012C3F">
        <w:rPr>
          <w:rFonts w:cs="Tahoma"/>
          <w:sz w:val="20"/>
          <w:szCs w:val="20"/>
          <w:lang w:val="en-US"/>
        </w:rPr>
        <w:t>s</w:t>
      </w:r>
      <w:r w:rsidRPr="00012C3F">
        <w:rPr>
          <w:rFonts w:cs="Tahoma"/>
          <w:sz w:val="20"/>
          <w:szCs w:val="20"/>
          <w:lang w:val="en-US"/>
        </w:rPr>
        <w:t xml:space="preserve"> women disproportionately because they are women and</w:t>
      </w:r>
      <w:r w:rsidR="004225C5" w:rsidRPr="00012C3F">
        <w:rPr>
          <w:rFonts w:cs="Tahoma"/>
          <w:sz w:val="20"/>
          <w:szCs w:val="20"/>
          <w:lang w:val="en-US"/>
        </w:rPr>
        <w:t>, also,</w:t>
      </w:r>
      <w:r w:rsidRPr="00012C3F">
        <w:rPr>
          <w:rFonts w:cs="Tahoma"/>
          <w:sz w:val="20"/>
          <w:szCs w:val="20"/>
          <w:lang w:val="en-US"/>
        </w:rPr>
        <w:t xml:space="preserve"> based on the perception of their primarily reproductive role and that they are not capable of taking responsible decisions on their reproductive health and family planning</w:t>
      </w:r>
      <w:r w:rsidR="00933FD4" w:rsidRPr="00012C3F">
        <w:rPr>
          <w:rFonts w:cs="Tahoma"/>
          <w:sz w:val="20"/>
          <w:szCs w:val="20"/>
          <w:lang w:val="en-US"/>
        </w:rPr>
        <w:t xml:space="preserve"> (</w:t>
      </w:r>
      <w:r w:rsidR="00DD2D75" w:rsidRPr="00012C3F">
        <w:rPr>
          <w:rFonts w:cs="Tahoma"/>
          <w:i/>
          <w:sz w:val="20"/>
          <w:szCs w:val="20"/>
          <w:lang w:val="en-US"/>
        </w:rPr>
        <w:t>supra</w:t>
      </w:r>
      <w:r w:rsidR="00DD2D75" w:rsidRPr="00012C3F">
        <w:rPr>
          <w:rFonts w:cs="Tahoma"/>
          <w:sz w:val="20"/>
          <w:szCs w:val="20"/>
          <w:lang w:val="en-US"/>
        </w:rPr>
        <w:t xml:space="preserve"> </w:t>
      </w:r>
      <w:r w:rsidR="00370DD4" w:rsidRPr="00012C3F">
        <w:rPr>
          <w:rFonts w:cs="Tahoma"/>
          <w:sz w:val="20"/>
          <w:szCs w:val="20"/>
          <w:lang w:val="en-US"/>
        </w:rPr>
        <w:t>paras.</w:t>
      </w:r>
      <w:r w:rsidR="00933FD4" w:rsidRPr="00012C3F">
        <w:rPr>
          <w:rFonts w:cs="Tahoma"/>
          <w:sz w:val="20"/>
          <w:szCs w:val="20"/>
          <w:lang w:val="en-US"/>
        </w:rPr>
        <w:t xml:space="preserve"> </w:t>
      </w:r>
      <w:r w:rsidR="00DD2D75" w:rsidRPr="00012C3F">
        <w:rPr>
          <w:rFonts w:cs="Tahoma"/>
          <w:sz w:val="20"/>
          <w:szCs w:val="20"/>
          <w:lang w:val="en-US"/>
        </w:rPr>
        <w:t>187</w:t>
      </w:r>
      <w:r w:rsidR="005E5012" w:rsidRPr="00012C3F">
        <w:rPr>
          <w:rFonts w:cs="Tahoma"/>
          <w:sz w:val="20"/>
          <w:szCs w:val="20"/>
          <w:lang w:val="en-US"/>
        </w:rPr>
        <w:t xml:space="preserve"> and </w:t>
      </w:r>
      <w:r w:rsidR="00301C6B" w:rsidRPr="00012C3F">
        <w:rPr>
          <w:rFonts w:cs="Tahoma"/>
          <w:sz w:val="20"/>
          <w:szCs w:val="20"/>
          <w:lang w:val="en-US"/>
        </w:rPr>
        <w:t>243</w:t>
      </w:r>
      <w:r w:rsidR="00933FD4" w:rsidRPr="00012C3F">
        <w:rPr>
          <w:rFonts w:cs="Tahoma"/>
          <w:sz w:val="20"/>
          <w:szCs w:val="20"/>
          <w:lang w:val="en-US"/>
        </w:rPr>
        <w:t>).</w:t>
      </w:r>
    </w:p>
    <w:p w14:paraId="649B4453" w14:textId="77777777" w:rsidR="00147909" w:rsidRPr="00012C3F" w:rsidRDefault="00147909" w:rsidP="00C6414C">
      <w:pPr>
        <w:tabs>
          <w:tab w:val="left" w:pos="720"/>
        </w:tabs>
        <w:spacing w:line="240" w:lineRule="auto"/>
        <w:rPr>
          <w:rFonts w:eastAsia="Batang" w:cs="Arial"/>
          <w:sz w:val="20"/>
          <w:szCs w:val="20"/>
          <w:lang w:val="en-US" w:eastAsia="es-MX"/>
        </w:rPr>
      </w:pPr>
    </w:p>
    <w:p w14:paraId="3399124C" w14:textId="77777777" w:rsidR="00147909" w:rsidRPr="00012C3F" w:rsidRDefault="00E26C77" w:rsidP="00C6414C">
      <w:pPr>
        <w:numPr>
          <w:ilvl w:val="0"/>
          <w:numId w:val="5"/>
        </w:numPr>
        <w:tabs>
          <w:tab w:val="left" w:pos="720"/>
          <w:tab w:val="num" w:pos="12305"/>
        </w:tabs>
        <w:spacing w:line="240" w:lineRule="auto"/>
        <w:ind w:left="0" w:firstLine="0"/>
        <w:rPr>
          <w:rFonts w:eastAsia="Batang" w:cs="Arial"/>
          <w:bCs/>
          <w:sz w:val="20"/>
          <w:szCs w:val="20"/>
          <w:lang w:val="en-US" w:eastAsia="es-MX"/>
        </w:rPr>
      </w:pPr>
      <w:r w:rsidRPr="00012C3F">
        <w:rPr>
          <w:bCs/>
          <w:sz w:val="20"/>
          <w:szCs w:val="20"/>
          <w:lang w:val="en-US"/>
        </w:rPr>
        <w:t>The right of women to live free of violence is closely related to the right to non-discrimination. The</w:t>
      </w:r>
      <w:r w:rsidR="00147909" w:rsidRPr="00012C3F">
        <w:rPr>
          <w:bCs/>
          <w:sz w:val="20"/>
          <w:szCs w:val="20"/>
          <w:lang w:val="en-US"/>
        </w:rPr>
        <w:t xml:space="preserve"> </w:t>
      </w:r>
      <w:r w:rsidR="00BC0785" w:rsidRPr="00012C3F">
        <w:rPr>
          <w:bCs/>
          <w:sz w:val="20"/>
          <w:szCs w:val="20"/>
          <w:lang w:val="en-US"/>
        </w:rPr>
        <w:t>Committee for the Elimination of Discrimination against Women</w:t>
      </w:r>
      <w:r w:rsidR="00147909" w:rsidRPr="00012C3F">
        <w:rPr>
          <w:bCs/>
          <w:sz w:val="20"/>
          <w:szCs w:val="20"/>
          <w:lang w:val="en-US"/>
        </w:rPr>
        <w:t xml:space="preserve"> </w:t>
      </w:r>
      <w:r w:rsidR="00147909" w:rsidRPr="00012C3F">
        <w:rPr>
          <w:rFonts w:eastAsia="Batang" w:cs="Arial"/>
          <w:sz w:val="20"/>
          <w:szCs w:val="20"/>
          <w:lang w:val="en-US" w:eastAsia="es-MX"/>
        </w:rPr>
        <w:t>ha</w:t>
      </w:r>
      <w:r w:rsidRPr="00012C3F">
        <w:rPr>
          <w:rFonts w:eastAsia="Batang" w:cs="Arial"/>
          <w:sz w:val="20"/>
          <w:szCs w:val="20"/>
          <w:lang w:val="en-US" w:eastAsia="es-MX"/>
        </w:rPr>
        <w:t>s indicated that “gender-based violence is a form of discrimination that seriously inhibits women’s ability to enjoy rights and freedoms on a basis of equality with men.</w:t>
      </w:r>
      <w:r w:rsidR="00147909" w:rsidRPr="00012C3F">
        <w:rPr>
          <w:rFonts w:eastAsia="Batang" w:cs="Arial"/>
          <w:sz w:val="20"/>
          <w:szCs w:val="20"/>
          <w:lang w:val="en-US" w:eastAsia="es-MX"/>
        </w:rPr>
        <w:t>”</w:t>
      </w:r>
      <w:r w:rsidR="00147909" w:rsidRPr="00012C3F">
        <w:rPr>
          <w:rFonts w:eastAsia="Batang" w:cs="Arial"/>
          <w:sz w:val="20"/>
          <w:szCs w:val="20"/>
          <w:vertAlign w:val="superscript"/>
          <w:lang w:val="en-US" w:eastAsia="es-MX"/>
        </w:rPr>
        <w:footnoteReference w:id="335"/>
      </w:r>
      <w:r w:rsidR="00147909" w:rsidRPr="00012C3F">
        <w:rPr>
          <w:rFonts w:eastAsia="Batang" w:cs="Arial"/>
          <w:sz w:val="20"/>
          <w:szCs w:val="20"/>
          <w:lang w:val="en-US" w:eastAsia="es-MX"/>
        </w:rPr>
        <w:t xml:space="preserve"> </w:t>
      </w:r>
      <w:r w:rsidR="00B0478F" w:rsidRPr="00012C3F">
        <w:rPr>
          <w:rFonts w:eastAsia="Batang" w:cs="Arial"/>
          <w:sz w:val="20"/>
          <w:szCs w:val="20"/>
          <w:lang w:val="en-US" w:eastAsia="es-MX"/>
        </w:rPr>
        <w:t>This</w:t>
      </w:r>
      <w:r w:rsidR="00147909" w:rsidRPr="00012C3F">
        <w:rPr>
          <w:rFonts w:eastAsia="Batang" w:cs="Arial"/>
          <w:sz w:val="20"/>
          <w:szCs w:val="20"/>
          <w:lang w:val="en-US" w:eastAsia="es-MX"/>
        </w:rPr>
        <w:t xml:space="preserve"> “</w:t>
      </w:r>
      <w:r w:rsidR="00B0478F" w:rsidRPr="00012C3F">
        <w:rPr>
          <w:rFonts w:eastAsia="Batang" w:cs="Arial"/>
          <w:sz w:val="20"/>
          <w:szCs w:val="20"/>
          <w:lang w:val="en-US" w:eastAsia="es-MX"/>
        </w:rPr>
        <w:t>[g]</w:t>
      </w:r>
      <w:r w:rsidR="00B0478F" w:rsidRPr="00012C3F">
        <w:rPr>
          <w:sz w:val="20"/>
          <w:szCs w:val="20"/>
          <w:lang w:val="en-US"/>
        </w:rPr>
        <w:t>ender-based violence […] inhibits the ability to enjoy rights and freedoms, including</w:t>
      </w:r>
      <w:r w:rsidR="00B0478F" w:rsidRPr="00012C3F">
        <w:rPr>
          <w:sz w:val="38"/>
          <w:szCs w:val="38"/>
          <w:lang w:val="en-US"/>
        </w:rPr>
        <w:t xml:space="preserve"> </w:t>
      </w:r>
      <w:r w:rsidR="00B0478F" w:rsidRPr="00012C3F">
        <w:rPr>
          <w:sz w:val="20"/>
          <w:szCs w:val="20"/>
          <w:lang w:val="en-US"/>
        </w:rPr>
        <w:t>economic, social and cultural rights, on a basis of equality.</w:t>
      </w:r>
      <w:r w:rsidR="00147909" w:rsidRPr="00012C3F">
        <w:rPr>
          <w:rFonts w:eastAsia="Batang" w:cs="Arial"/>
          <w:sz w:val="20"/>
          <w:szCs w:val="20"/>
          <w:lang w:val="en-US" w:eastAsia="es-MX"/>
        </w:rPr>
        <w:t>”</w:t>
      </w:r>
      <w:r w:rsidR="00147909" w:rsidRPr="00012C3F">
        <w:rPr>
          <w:rFonts w:eastAsia="Batang" w:cs="Arial"/>
          <w:sz w:val="20"/>
          <w:szCs w:val="20"/>
          <w:vertAlign w:val="superscript"/>
          <w:lang w:val="en-US" w:eastAsia="es-MX"/>
        </w:rPr>
        <w:footnoteReference w:id="336"/>
      </w:r>
      <w:r w:rsidR="00147909" w:rsidRPr="00012C3F">
        <w:rPr>
          <w:rFonts w:eastAsia="Batang" w:cs="Arial"/>
          <w:sz w:val="20"/>
          <w:szCs w:val="20"/>
          <w:lang w:val="en-US" w:eastAsia="es-MX"/>
        </w:rPr>
        <w:t>.</w:t>
      </w:r>
    </w:p>
    <w:p w14:paraId="125FC7E7" w14:textId="77777777" w:rsidR="00147909" w:rsidRPr="00012C3F" w:rsidRDefault="00147909" w:rsidP="00147909">
      <w:pPr>
        <w:tabs>
          <w:tab w:val="left" w:pos="567"/>
        </w:tabs>
        <w:spacing w:line="240" w:lineRule="auto"/>
        <w:rPr>
          <w:sz w:val="20"/>
          <w:szCs w:val="20"/>
          <w:lang w:val="en-US"/>
        </w:rPr>
      </w:pPr>
    </w:p>
    <w:p w14:paraId="7F8497AB" w14:textId="77777777" w:rsidR="00147909" w:rsidRPr="00012C3F" w:rsidRDefault="00B0478F" w:rsidP="00B0478F">
      <w:pPr>
        <w:numPr>
          <w:ilvl w:val="0"/>
          <w:numId w:val="5"/>
        </w:numPr>
        <w:tabs>
          <w:tab w:val="left" w:pos="720"/>
          <w:tab w:val="num" w:pos="12305"/>
        </w:tabs>
        <w:spacing w:line="240" w:lineRule="auto"/>
        <w:ind w:left="0" w:firstLine="0"/>
        <w:rPr>
          <w:rFonts w:eastAsia="Calibri"/>
          <w:sz w:val="20"/>
          <w:szCs w:val="20"/>
          <w:lang w:val="en-US" w:eastAsia="en-US" w:bidi="en-US"/>
        </w:rPr>
      </w:pPr>
      <w:r w:rsidRPr="00012C3F">
        <w:rPr>
          <w:rFonts w:eastAsia="Calibri"/>
          <w:sz w:val="20"/>
          <w:szCs w:val="20"/>
          <w:lang w:val="en-US" w:eastAsia="en-US" w:bidi="en-US"/>
        </w:rPr>
        <w:t xml:space="preserve">The Declaration and Platform for Action of the Fourth World Conference on Women, held in </w:t>
      </w:r>
      <w:r w:rsidRPr="00012C3F">
        <w:rPr>
          <w:rFonts w:eastAsia="Calibri"/>
          <w:sz w:val="20"/>
          <w:szCs w:val="20"/>
          <w:lang w:val="en-US" w:eastAsia="en-US" w:bidi="en-US"/>
        </w:rPr>
        <w:lastRenderedPageBreak/>
        <w:t xml:space="preserve">Beijing in 1995, recognized that </w:t>
      </w:r>
      <w:r w:rsidR="00570C15" w:rsidRPr="00012C3F">
        <w:rPr>
          <w:rFonts w:eastAsia="MS Mincho"/>
          <w:bCs/>
          <w:sz w:val="20"/>
          <w:szCs w:val="20"/>
          <w:lang w:val="en-US" w:eastAsia="en-US" w:bidi="en-US"/>
        </w:rPr>
        <w:t>forced sterilization</w:t>
      </w:r>
      <w:r w:rsidR="00147909" w:rsidRPr="00012C3F">
        <w:rPr>
          <w:rFonts w:eastAsia="MS Mincho"/>
          <w:bCs/>
          <w:sz w:val="20"/>
          <w:szCs w:val="20"/>
          <w:lang w:val="en-US" w:eastAsia="en-US" w:bidi="en-US"/>
        </w:rPr>
        <w:t xml:space="preserve"> </w:t>
      </w:r>
      <w:r w:rsidRPr="00012C3F">
        <w:rPr>
          <w:rFonts w:eastAsia="MS Mincho"/>
          <w:bCs/>
          <w:sz w:val="20"/>
          <w:szCs w:val="20"/>
          <w:lang w:val="en-US" w:eastAsia="en-US" w:bidi="en-US"/>
        </w:rPr>
        <w:t>is an act of violence against women.</w:t>
      </w:r>
      <w:r w:rsidR="00147909" w:rsidRPr="00012C3F">
        <w:rPr>
          <w:rFonts w:eastAsia="MS Mincho"/>
          <w:bCs/>
          <w:sz w:val="20"/>
          <w:szCs w:val="20"/>
          <w:vertAlign w:val="superscript"/>
          <w:lang w:val="en-US" w:eastAsia="en-US" w:bidi="en-US"/>
        </w:rPr>
        <w:footnoteReference w:id="337"/>
      </w:r>
      <w:r w:rsidR="00147909" w:rsidRPr="00012C3F">
        <w:rPr>
          <w:rFonts w:eastAsia="MS Mincho"/>
          <w:bCs/>
          <w:sz w:val="20"/>
          <w:szCs w:val="20"/>
          <w:lang w:val="en-US" w:eastAsia="en-US" w:bidi="en-US"/>
        </w:rPr>
        <w:t xml:space="preserve"> </w:t>
      </w:r>
      <w:r w:rsidRPr="00012C3F">
        <w:rPr>
          <w:rFonts w:eastAsia="MS Mincho"/>
          <w:bCs/>
          <w:sz w:val="20"/>
          <w:szCs w:val="20"/>
          <w:lang w:val="en-US" w:eastAsia="en-US" w:bidi="en-US"/>
        </w:rPr>
        <w:t xml:space="preserve">This has been reaffirmed by several of the United Nations Special Rapporteurs, the </w:t>
      </w:r>
      <w:r w:rsidR="00BC0785" w:rsidRPr="00012C3F">
        <w:rPr>
          <w:rFonts w:eastAsia="MS Mincho"/>
          <w:bCs/>
          <w:sz w:val="20"/>
          <w:szCs w:val="20"/>
          <w:lang w:val="en-US" w:eastAsia="en-US" w:bidi="en-US"/>
        </w:rPr>
        <w:t>Committee for the Elimination of Discrimination against Women</w:t>
      </w:r>
      <w:r w:rsidR="004225C5" w:rsidRPr="00012C3F">
        <w:rPr>
          <w:rFonts w:eastAsia="MS Mincho"/>
          <w:bCs/>
          <w:sz w:val="20"/>
          <w:szCs w:val="20"/>
          <w:lang w:val="en-US" w:eastAsia="en-US" w:bidi="en-US"/>
        </w:rPr>
        <w:t>,</w:t>
      </w:r>
      <w:r w:rsidR="005E5012" w:rsidRPr="00012C3F">
        <w:rPr>
          <w:rFonts w:eastAsia="MS Mincho"/>
          <w:bCs/>
          <w:sz w:val="20"/>
          <w:szCs w:val="20"/>
          <w:lang w:val="en-US" w:eastAsia="en-US" w:bidi="en-US"/>
        </w:rPr>
        <w:t xml:space="preserve"> and </w:t>
      </w:r>
      <w:r w:rsidRPr="00012C3F">
        <w:rPr>
          <w:rFonts w:eastAsia="MS Mincho"/>
          <w:bCs/>
          <w:sz w:val="20"/>
          <w:szCs w:val="20"/>
          <w:lang w:val="en-US" w:eastAsia="en-US" w:bidi="en-US"/>
        </w:rPr>
        <w:t>the</w:t>
      </w:r>
      <w:r w:rsidR="00301C6B" w:rsidRPr="00012C3F">
        <w:rPr>
          <w:rFonts w:eastAsia="MS Mincho"/>
          <w:bCs/>
          <w:sz w:val="20"/>
          <w:szCs w:val="20"/>
          <w:lang w:val="en-US" w:eastAsia="en-US" w:bidi="en-US"/>
        </w:rPr>
        <w:t xml:space="preserve"> </w:t>
      </w:r>
      <w:r w:rsidR="00A65E31" w:rsidRPr="00012C3F">
        <w:rPr>
          <w:rFonts w:eastAsia="MS Mincho"/>
          <w:bCs/>
          <w:sz w:val="20"/>
          <w:szCs w:val="20"/>
          <w:lang w:val="en-US" w:eastAsia="en-US" w:bidi="en-US"/>
        </w:rPr>
        <w:t>Human Rights Committee</w:t>
      </w:r>
      <w:r w:rsidR="00301C6B" w:rsidRPr="00012C3F">
        <w:rPr>
          <w:rFonts w:eastAsia="MS Mincho"/>
          <w:bCs/>
          <w:sz w:val="20"/>
          <w:szCs w:val="20"/>
          <w:lang w:val="en-US" w:eastAsia="en-US" w:bidi="en-US"/>
        </w:rPr>
        <w:t>,</w:t>
      </w:r>
      <w:r w:rsidRPr="00012C3F">
        <w:rPr>
          <w:rFonts w:eastAsia="MS Mincho"/>
          <w:bCs/>
          <w:sz w:val="20"/>
          <w:szCs w:val="20"/>
          <w:lang w:val="en-US" w:eastAsia="en-US" w:bidi="en-US"/>
        </w:rPr>
        <w:t xml:space="preserve"> indicating that</w:t>
      </w:r>
      <w:r w:rsidR="00147909" w:rsidRPr="00012C3F">
        <w:rPr>
          <w:rFonts w:eastAsia="MS Mincho"/>
          <w:bCs/>
          <w:sz w:val="20"/>
          <w:szCs w:val="20"/>
          <w:lang w:val="en-US" w:eastAsia="en-US" w:bidi="en-US"/>
        </w:rPr>
        <w:t xml:space="preserve"> </w:t>
      </w:r>
      <w:r w:rsidRPr="00012C3F">
        <w:rPr>
          <w:rFonts w:eastAsia="MS Mincho"/>
          <w:bCs/>
          <w:sz w:val="20"/>
          <w:szCs w:val="20"/>
          <w:lang w:val="en-US" w:eastAsia="en-US" w:bidi="en-US"/>
        </w:rPr>
        <w:t xml:space="preserve">forced, obligatory, coercive, non-consensual or involuntary </w:t>
      </w:r>
      <w:r w:rsidR="00B47F8D" w:rsidRPr="00012C3F">
        <w:rPr>
          <w:rFonts w:eastAsia="MS Mincho"/>
          <w:sz w:val="20"/>
          <w:szCs w:val="20"/>
          <w:lang w:val="en-US" w:eastAsia="en-US" w:bidi="en-US"/>
        </w:rPr>
        <w:t>female sterilization</w:t>
      </w:r>
      <w:r w:rsidRPr="00012C3F">
        <w:rPr>
          <w:rFonts w:eastAsia="MS Mincho"/>
          <w:sz w:val="20"/>
          <w:szCs w:val="20"/>
          <w:lang w:val="en-US" w:eastAsia="en-US" w:bidi="en-US"/>
        </w:rPr>
        <w:t xml:space="preserve"> constitutes an act of violence against women.</w:t>
      </w:r>
      <w:r w:rsidR="00147909" w:rsidRPr="00012C3F">
        <w:rPr>
          <w:rFonts w:eastAsia="MS Mincho"/>
          <w:sz w:val="20"/>
          <w:szCs w:val="20"/>
          <w:vertAlign w:val="superscript"/>
          <w:lang w:val="en-US" w:eastAsia="en-US" w:bidi="en-US"/>
        </w:rPr>
        <w:footnoteReference w:id="338"/>
      </w:r>
    </w:p>
    <w:p w14:paraId="1CBB8883" w14:textId="77777777" w:rsidR="00933FD4" w:rsidRPr="00012C3F" w:rsidRDefault="00933FD4" w:rsidP="00B0478F">
      <w:pPr>
        <w:tabs>
          <w:tab w:val="left" w:pos="720"/>
        </w:tabs>
        <w:spacing w:line="240" w:lineRule="auto"/>
        <w:rPr>
          <w:rFonts w:eastAsia="Batang" w:cs="Arial"/>
          <w:sz w:val="20"/>
          <w:szCs w:val="20"/>
          <w:lang w:val="en-US" w:eastAsia="es-MX"/>
        </w:rPr>
      </w:pPr>
    </w:p>
    <w:p w14:paraId="6170DA23" w14:textId="77777777" w:rsidR="00D44F80" w:rsidRPr="00012C3F" w:rsidRDefault="00E2370F" w:rsidP="00E2370F">
      <w:pPr>
        <w:numPr>
          <w:ilvl w:val="0"/>
          <w:numId w:val="5"/>
        </w:numPr>
        <w:tabs>
          <w:tab w:val="left" w:pos="720"/>
          <w:tab w:val="num" w:pos="12305"/>
        </w:tabs>
        <w:spacing w:line="240" w:lineRule="auto"/>
        <w:ind w:left="0" w:firstLine="0"/>
        <w:rPr>
          <w:rFonts w:eastAsia="Batang" w:cs="Arial"/>
          <w:sz w:val="20"/>
          <w:szCs w:val="20"/>
          <w:lang w:val="en-US" w:eastAsia="es-MX"/>
        </w:rPr>
      </w:pPr>
      <w:r w:rsidRPr="00012C3F">
        <w:rPr>
          <w:rFonts w:cs="Tahoma"/>
          <w:sz w:val="20"/>
          <w:szCs w:val="20"/>
          <w:lang w:val="en-US"/>
        </w:rPr>
        <w:t>Based on the above, the Court determines that the non</w:t>
      </w:r>
      <w:r w:rsidR="00271E24" w:rsidRPr="00012C3F">
        <w:rPr>
          <w:rFonts w:cs="Tahoma"/>
          <w:sz w:val="20"/>
          <w:szCs w:val="20"/>
          <w:lang w:val="en-US"/>
        </w:rPr>
        <w:t>-consensual</w:t>
      </w:r>
      <w:r w:rsidRPr="00012C3F">
        <w:rPr>
          <w:rFonts w:cs="Tahoma"/>
          <w:sz w:val="20"/>
          <w:szCs w:val="20"/>
          <w:lang w:val="en-US"/>
        </w:rPr>
        <w:t xml:space="preserve"> or involuntary</w:t>
      </w:r>
      <w:r w:rsidR="00271E24" w:rsidRPr="00012C3F">
        <w:rPr>
          <w:rFonts w:cs="Tahoma"/>
          <w:sz w:val="20"/>
          <w:szCs w:val="20"/>
          <w:lang w:val="en-US"/>
        </w:rPr>
        <w:t xml:space="preserve"> sterilization</w:t>
      </w:r>
      <w:r w:rsidR="003F1E3C" w:rsidRPr="00012C3F">
        <w:rPr>
          <w:rFonts w:cs="Tahoma"/>
          <w:sz w:val="20"/>
          <w:szCs w:val="20"/>
          <w:lang w:val="en-US"/>
        </w:rPr>
        <w:t xml:space="preserve"> </w:t>
      </w:r>
      <w:r w:rsidRPr="00012C3F">
        <w:rPr>
          <w:rFonts w:cs="Tahoma"/>
          <w:sz w:val="20"/>
          <w:szCs w:val="20"/>
          <w:lang w:val="en-US"/>
        </w:rPr>
        <w:t xml:space="preserve">that I.V. underwent in a public hospital, while under stress and without her informed consent, caused her serious physical and psychological harm and entailed the permanent loss of her reproductive capacity, thus constituting an act of violence and discrimination against her. Consequently, the Court concludes that the State failed to comply with its obligation to refrain from any action or practice involving violence against women and </w:t>
      </w:r>
      <w:r w:rsidR="004225C5" w:rsidRPr="00012C3F">
        <w:rPr>
          <w:rFonts w:cs="Tahoma"/>
          <w:sz w:val="20"/>
          <w:szCs w:val="20"/>
          <w:lang w:val="en-US"/>
        </w:rPr>
        <w:t xml:space="preserve">to </w:t>
      </w:r>
      <w:r w:rsidRPr="00012C3F">
        <w:rPr>
          <w:rFonts w:cs="Tahoma"/>
          <w:sz w:val="20"/>
          <w:szCs w:val="20"/>
          <w:lang w:val="en-US"/>
        </w:rPr>
        <w:t xml:space="preserve">ensure that </w:t>
      </w:r>
      <w:r w:rsidR="004225C5" w:rsidRPr="00012C3F">
        <w:rPr>
          <w:rFonts w:cs="Tahoma"/>
          <w:sz w:val="20"/>
          <w:szCs w:val="20"/>
          <w:lang w:val="en-US"/>
        </w:rPr>
        <w:t xml:space="preserve">the </w:t>
      </w:r>
      <w:r w:rsidRPr="00012C3F">
        <w:rPr>
          <w:rFonts w:cs="Tahoma"/>
          <w:sz w:val="20"/>
          <w:szCs w:val="20"/>
          <w:lang w:val="en-US"/>
        </w:rPr>
        <w:t>State</w:t>
      </w:r>
      <w:r w:rsidR="004225C5" w:rsidRPr="00012C3F">
        <w:rPr>
          <w:rFonts w:cs="Tahoma"/>
          <w:sz w:val="20"/>
          <w:szCs w:val="20"/>
          <w:lang w:val="en-US"/>
        </w:rPr>
        <w:t>’s</w:t>
      </w:r>
      <w:r w:rsidRPr="00012C3F">
        <w:rPr>
          <w:rFonts w:cs="Tahoma"/>
          <w:sz w:val="20"/>
          <w:szCs w:val="20"/>
          <w:lang w:val="en-US"/>
        </w:rPr>
        <w:t xml:space="preserve"> authorities, officials, personnel</w:t>
      </w:r>
      <w:r w:rsidR="004225C5" w:rsidRPr="00012C3F">
        <w:rPr>
          <w:rFonts w:cs="Tahoma"/>
          <w:sz w:val="20"/>
          <w:szCs w:val="20"/>
          <w:lang w:val="en-US"/>
        </w:rPr>
        <w:t>,</w:t>
      </w:r>
      <w:r w:rsidRPr="00012C3F">
        <w:rPr>
          <w:rFonts w:cs="Tahoma"/>
          <w:sz w:val="20"/>
          <w:szCs w:val="20"/>
          <w:lang w:val="en-US"/>
        </w:rPr>
        <w:t xml:space="preserve"> agents and institutions conduct themselves in conformity with this obligation, in violation of</w:t>
      </w:r>
      <w:r w:rsidRPr="00012C3F">
        <w:rPr>
          <w:rFonts w:eastAsia="Batang" w:cs="Arial"/>
          <w:sz w:val="20"/>
          <w:szCs w:val="20"/>
          <w:lang w:val="en-US" w:eastAsia="es-MX"/>
        </w:rPr>
        <w:t xml:space="preserve"> </w:t>
      </w:r>
      <w:r w:rsidR="001254DE" w:rsidRPr="00012C3F">
        <w:rPr>
          <w:rFonts w:cs="Tahoma"/>
          <w:sz w:val="20"/>
          <w:szCs w:val="20"/>
          <w:lang w:val="en-US"/>
        </w:rPr>
        <w:t>Article</w:t>
      </w:r>
      <w:r w:rsidR="00EF5C5A" w:rsidRPr="00012C3F">
        <w:rPr>
          <w:rFonts w:cs="Tahoma"/>
          <w:sz w:val="20"/>
          <w:szCs w:val="20"/>
          <w:lang w:val="en-US"/>
        </w:rPr>
        <w:t xml:space="preserve"> </w:t>
      </w:r>
      <w:r w:rsidR="00D871E8" w:rsidRPr="00012C3F">
        <w:rPr>
          <w:rFonts w:cs="Tahoma"/>
          <w:sz w:val="20"/>
          <w:szCs w:val="20"/>
          <w:lang w:val="en-US"/>
        </w:rPr>
        <w:t>7(a)</w:t>
      </w:r>
      <w:r w:rsidR="001254DE" w:rsidRPr="00012C3F">
        <w:rPr>
          <w:rFonts w:cs="Tahoma"/>
          <w:sz w:val="20"/>
          <w:szCs w:val="20"/>
          <w:lang w:val="en-US"/>
        </w:rPr>
        <w:t xml:space="preserve"> of the Convention</w:t>
      </w:r>
      <w:r w:rsidR="00EF5C5A" w:rsidRPr="00012C3F">
        <w:rPr>
          <w:rFonts w:cs="Tahoma"/>
          <w:sz w:val="20"/>
          <w:szCs w:val="20"/>
          <w:lang w:val="en-US"/>
        </w:rPr>
        <w:t xml:space="preserve"> </w:t>
      </w:r>
      <w:r w:rsidR="005E5012" w:rsidRPr="00012C3F">
        <w:rPr>
          <w:rFonts w:cs="Tahoma"/>
          <w:sz w:val="20"/>
          <w:szCs w:val="20"/>
          <w:lang w:val="en-US"/>
        </w:rPr>
        <w:t>of Belém</w:t>
      </w:r>
      <w:r w:rsidR="00EF5C5A" w:rsidRPr="00012C3F">
        <w:rPr>
          <w:rFonts w:cs="Tahoma"/>
          <w:sz w:val="20"/>
          <w:szCs w:val="20"/>
          <w:lang w:val="en-US"/>
        </w:rPr>
        <w:t xml:space="preserve"> do Pará.</w:t>
      </w:r>
    </w:p>
    <w:p w14:paraId="416D54AB" w14:textId="77777777" w:rsidR="006D5C94" w:rsidRPr="00012C3F" w:rsidRDefault="006D5C94" w:rsidP="003258E8">
      <w:pPr>
        <w:widowControl/>
        <w:autoSpaceDE w:val="0"/>
        <w:autoSpaceDN w:val="0"/>
        <w:spacing w:line="240" w:lineRule="auto"/>
        <w:textAlignment w:val="auto"/>
        <w:rPr>
          <w:rFonts w:eastAsiaTheme="minorHAnsi" w:cs="Arial"/>
          <w:sz w:val="20"/>
          <w:szCs w:val="20"/>
          <w:lang w:val="en-US" w:eastAsia="en-US"/>
        </w:rPr>
      </w:pPr>
    </w:p>
    <w:p w14:paraId="1A5609CD" w14:textId="77777777" w:rsidR="00B863E2" w:rsidRPr="00012C3F" w:rsidRDefault="00B863E2" w:rsidP="009867D6">
      <w:pPr>
        <w:keepNext/>
        <w:keepLines/>
        <w:tabs>
          <w:tab w:val="left" w:pos="1134"/>
        </w:tabs>
        <w:spacing w:line="240" w:lineRule="auto"/>
        <w:ind w:left="567" w:firstLine="1"/>
        <w:outlineLvl w:val="1"/>
        <w:rPr>
          <w:rFonts w:eastAsia="MS Mincho"/>
          <w:b/>
          <w:bCs/>
          <w:i/>
          <w:sz w:val="20"/>
          <w:szCs w:val="20"/>
          <w:lang w:val="en-US"/>
        </w:rPr>
      </w:pPr>
      <w:bookmarkStart w:id="150" w:name="_Toc461637423"/>
      <w:bookmarkStart w:id="151" w:name="_Toc27486872"/>
      <w:r w:rsidRPr="00012C3F">
        <w:rPr>
          <w:rFonts w:eastAsia="MS Mincho"/>
          <w:b/>
          <w:bCs/>
          <w:i/>
          <w:sz w:val="20"/>
          <w:szCs w:val="20"/>
          <w:lang w:val="en-US"/>
        </w:rPr>
        <w:t xml:space="preserve">C. </w:t>
      </w:r>
      <w:r w:rsidRPr="00012C3F">
        <w:rPr>
          <w:rFonts w:eastAsia="MS Mincho"/>
          <w:b/>
          <w:bCs/>
          <w:i/>
          <w:sz w:val="20"/>
          <w:szCs w:val="20"/>
          <w:lang w:val="en-US"/>
        </w:rPr>
        <w:tab/>
      </w:r>
      <w:r w:rsidR="00B47F8D" w:rsidRPr="00012C3F">
        <w:rPr>
          <w:rFonts w:eastAsia="MS Mincho"/>
          <w:b/>
          <w:bCs/>
          <w:i/>
          <w:sz w:val="20"/>
          <w:szCs w:val="20"/>
          <w:lang w:val="en-US"/>
        </w:rPr>
        <w:t>Conclusion</w:t>
      </w:r>
      <w:bookmarkEnd w:id="150"/>
      <w:bookmarkEnd w:id="151"/>
    </w:p>
    <w:p w14:paraId="71C2C39A" w14:textId="77777777" w:rsidR="008920BF" w:rsidRPr="00012C3F" w:rsidRDefault="008920BF" w:rsidP="008920BF">
      <w:pPr>
        <w:spacing w:line="240" w:lineRule="auto"/>
        <w:ind w:left="708"/>
        <w:rPr>
          <w:b/>
          <w:i/>
          <w:sz w:val="20"/>
          <w:szCs w:val="20"/>
          <w:lang w:val="en-US"/>
        </w:rPr>
      </w:pPr>
    </w:p>
    <w:p w14:paraId="57D6EBBF" w14:textId="77777777" w:rsidR="008920BF" w:rsidRPr="00012C3F" w:rsidRDefault="00306849" w:rsidP="00306849">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Based on the above</w:t>
      </w:r>
      <w:r w:rsidR="008920BF" w:rsidRPr="00012C3F">
        <w:rPr>
          <w:rFonts w:eastAsia="MS Mincho"/>
          <w:sz w:val="20"/>
          <w:szCs w:val="20"/>
          <w:lang w:val="en-US" w:eastAsia="en-US" w:bidi="en-US"/>
        </w:rPr>
        <w:t xml:space="preserve">, </w:t>
      </w:r>
      <w:r w:rsidR="00A84CA0" w:rsidRPr="00012C3F">
        <w:rPr>
          <w:rFonts w:eastAsia="MS Mincho"/>
          <w:sz w:val="20"/>
          <w:szCs w:val="20"/>
          <w:lang w:val="en-US" w:eastAsia="en-US" w:bidi="en-US"/>
        </w:rPr>
        <w:t>the State of Bolivia</w:t>
      </w:r>
      <w:r w:rsidR="008920BF" w:rsidRPr="00012C3F">
        <w:rPr>
          <w:rFonts w:eastAsia="MS Mincho"/>
          <w:sz w:val="20"/>
          <w:szCs w:val="20"/>
          <w:lang w:val="en-US" w:eastAsia="en-US" w:bidi="en-US"/>
        </w:rPr>
        <w:t xml:space="preserve"> </w:t>
      </w:r>
      <w:r w:rsidR="00DF5BD3" w:rsidRPr="00012C3F">
        <w:rPr>
          <w:rFonts w:eastAsia="MS Mincho"/>
          <w:sz w:val="20"/>
          <w:szCs w:val="20"/>
          <w:lang w:val="en-US" w:eastAsia="en-US" w:bidi="en-US"/>
        </w:rPr>
        <w:t>is responsible for violat</w:t>
      </w:r>
      <w:r w:rsidR="004225C5" w:rsidRPr="00012C3F">
        <w:rPr>
          <w:rFonts w:eastAsia="MS Mincho"/>
          <w:sz w:val="20"/>
          <w:szCs w:val="20"/>
          <w:lang w:val="en-US" w:eastAsia="en-US" w:bidi="en-US"/>
        </w:rPr>
        <w:t>ing</w:t>
      </w:r>
      <w:r w:rsidRPr="00012C3F">
        <w:rPr>
          <w:rFonts w:eastAsia="MS Mincho"/>
          <w:sz w:val="20"/>
          <w:szCs w:val="20"/>
          <w:lang w:val="en-US" w:eastAsia="en-US" w:bidi="en-US"/>
        </w:rPr>
        <w:t xml:space="preserve"> the obligations to respect and to ensure </w:t>
      </w:r>
      <w:r w:rsidR="004225C5" w:rsidRPr="00012C3F">
        <w:rPr>
          <w:rFonts w:eastAsia="MS Mincho"/>
          <w:sz w:val="20"/>
          <w:szCs w:val="20"/>
          <w:lang w:val="en-US" w:eastAsia="en-US" w:bidi="en-US"/>
        </w:rPr>
        <w:t xml:space="preserve"> rights </w:t>
      </w:r>
      <w:r w:rsidRPr="00012C3F">
        <w:rPr>
          <w:rFonts w:eastAsia="MS Mincho"/>
          <w:sz w:val="20"/>
          <w:szCs w:val="20"/>
          <w:lang w:val="en-US" w:eastAsia="en-US" w:bidi="en-US"/>
        </w:rPr>
        <w:t xml:space="preserve">and not to discriminate with regard to the </w:t>
      </w:r>
      <w:r w:rsidR="00DF5BD3" w:rsidRPr="00012C3F">
        <w:rPr>
          <w:rFonts w:eastAsia="MS Mincho"/>
          <w:sz w:val="20"/>
          <w:szCs w:val="20"/>
          <w:lang w:val="en-US" w:eastAsia="en-US" w:bidi="en-US"/>
        </w:rPr>
        <w:t>rights</w:t>
      </w:r>
      <w:r w:rsidR="008920BF" w:rsidRPr="00012C3F">
        <w:rPr>
          <w:rFonts w:eastAsia="MS Mincho"/>
          <w:sz w:val="20"/>
          <w:szCs w:val="20"/>
          <w:lang w:val="en-US" w:eastAsia="en-US" w:bidi="en-US"/>
        </w:rPr>
        <w:t xml:space="preserve"> </w:t>
      </w:r>
      <w:r w:rsidR="00DF5BD3" w:rsidRPr="00012C3F">
        <w:rPr>
          <w:rFonts w:eastAsia="MS Mincho"/>
          <w:sz w:val="20"/>
          <w:szCs w:val="20"/>
          <w:lang w:val="en-US" w:eastAsia="en-US" w:bidi="en-US"/>
        </w:rPr>
        <w:t>recognized in</w:t>
      </w:r>
      <w:r w:rsidR="008920BF"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Articles</w:t>
      </w:r>
      <w:r w:rsidR="008920BF"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5(1)</w:t>
      </w:r>
      <w:r w:rsidR="008920BF" w:rsidRPr="00012C3F">
        <w:rPr>
          <w:rFonts w:eastAsia="MS Mincho"/>
          <w:sz w:val="20"/>
          <w:szCs w:val="20"/>
          <w:lang w:val="en-US" w:eastAsia="en-US" w:bidi="en-US"/>
        </w:rPr>
        <w:t xml:space="preserve">, </w:t>
      </w:r>
      <w:r w:rsidR="00F63FF1" w:rsidRPr="00012C3F">
        <w:rPr>
          <w:rFonts w:eastAsia="MS Mincho"/>
          <w:sz w:val="20"/>
          <w:szCs w:val="20"/>
          <w:lang w:val="en-US" w:eastAsia="en-US" w:bidi="en-US"/>
        </w:rPr>
        <w:t>7(1)</w:t>
      </w:r>
      <w:r w:rsidR="00195333" w:rsidRPr="00012C3F">
        <w:rPr>
          <w:rFonts w:eastAsia="MS Mincho"/>
          <w:sz w:val="20"/>
          <w:szCs w:val="20"/>
          <w:lang w:val="en-US" w:eastAsia="en-US" w:bidi="en-US"/>
        </w:rPr>
        <w:t xml:space="preserve">, </w:t>
      </w:r>
      <w:r w:rsidR="008920BF" w:rsidRPr="00012C3F">
        <w:rPr>
          <w:rFonts w:eastAsia="MS Mincho"/>
          <w:sz w:val="20"/>
          <w:szCs w:val="20"/>
          <w:lang w:val="en-US" w:eastAsia="en-US" w:bidi="en-US"/>
        </w:rPr>
        <w:t>1</w:t>
      </w:r>
      <w:r w:rsidR="005E5012" w:rsidRPr="00012C3F">
        <w:rPr>
          <w:rFonts w:eastAsia="MS Mincho"/>
          <w:sz w:val="20"/>
          <w:szCs w:val="20"/>
          <w:lang w:val="en-US" w:eastAsia="en-US" w:bidi="en-US"/>
        </w:rPr>
        <w:t>1(1)</w:t>
      </w:r>
      <w:r w:rsidR="008920BF"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11(2)</w:t>
      </w:r>
      <w:r w:rsidR="008920BF"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13(1) and 17(2)</w:t>
      </w:r>
      <w:r w:rsidR="008920BF" w:rsidRPr="00012C3F">
        <w:rPr>
          <w:rFonts w:eastAsia="MS Mincho"/>
          <w:sz w:val="20"/>
          <w:szCs w:val="20"/>
          <w:lang w:val="en-US" w:eastAsia="en-US" w:bidi="en-US"/>
        </w:rPr>
        <w:t xml:space="preserve">, </w:t>
      </w:r>
      <w:r w:rsidR="006C705C" w:rsidRPr="00012C3F">
        <w:rPr>
          <w:rFonts w:eastAsia="MS Mincho"/>
          <w:sz w:val="20"/>
          <w:szCs w:val="20"/>
          <w:lang w:val="en-US" w:eastAsia="en-US" w:bidi="en-US"/>
        </w:rPr>
        <w:t>in relation to</w:t>
      </w:r>
      <w:r w:rsidR="008920BF" w:rsidRPr="00012C3F">
        <w:rPr>
          <w:rFonts w:eastAsia="MS Mincho"/>
          <w:sz w:val="20"/>
          <w:szCs w:val="20"/>
          <w:lang w:val="en-US" w:eastAsia="en-US" w:bidi="en-US"/>
        </w:rPr>
        <w:t xml:space="preserve"> </w:t>
      </w:r>
      <w:r w:rsidR="001254DE" w:rsidRPr="00012C3F">
        <w:rPr>
          <w:rFonts w:eastAsia="MS Mincho"/>
          <w:sz w:val="20"/>
          <w:szCs w:val="20"/>
          <w:lang w:val="en-US" w:eastAsia="en-US" w:bidi="en-US"/>
        </w:rPr>
        <w:t>Article</w:t>
      </w:r>
      <w:r w:rsidR="008920BF"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1(1)</w:t>
      </w:r>
      <w:r w:rsidR="001254DE" w:rsidRPr="00012C3F">
        <w:rPr>
          <w:rFonts w:eastAsia="MS Mincho"/>
          <w:sz w:val="20"/>
          <w:szCs w:val="20"/>
          <w:lang w:val="en-US" w:eastAsia="en-US" w:bidi="en-US"/>
        </w:rPr>
        <w:t xml:space="preserve"> of the American Convention</w:t>
      </w:r>
      <w:r w:rsidR="008920BF"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to the detriment of</w:t>
      </w:r>
      <w:r w:rsidR="008920BF" w:rsidRPr="00012C3F">
        <w:rPr>
          <w:rFonts w:eastAsia="MS Mincho"/>
          <w:sz w:val="20"/>
          <w:szCs w:val="20"/>
          <w:lang w:val="en-US" w:eastAsia="en-US" w:bidi="en-US"/>
        </w:rPr>
        <w:t xml:space="preserve"> </w:t>
      </w:r>
      <w:r w:rsidR="000E1C11" w:rsidRPr="00012C3F">
        <w:rPr>
          <w:rFonts w:eastAsia="MS Mincho"/>
          <w:sz w:val="20"/>
          <w:szCs w:val="20"/>
          <w:lang w:val="en-US" w:eastAsia="en-US" w:bidi="en-US"/>
        </w:rPr>
        <w:t>I.V.</w:t>
      </w:r>
      <w:r w:rsidR="00AF6616" w:rsidRPr="00012C3F">
        <w:rPr>
          <w:rFonts w:eastAsia="MS Mincho"/>
          <w:sz w:val="20"/>
          <w:szCs w:val="20"/>
          <w:lang w:val="en-US" w:eastAsia="en-US" w:bidi="en-US"/>
        </w:rPr>
        <w:t xml:space="preserve"> </w:t>
      </w:r>
      <w:r w:rsidR="00C1462B" w:rsidRPr="00012C3F">
        <w:rPr>
          <w:rFonts w:eastAsia="MS Mincho"/>
          <w:sz w:val="20"/>
          <w:szCs w:val="20"/>
          <w:lang w:val="en-US" w:eastAsia="en-US" w:bidi="en-US"/>
        </w:rPr>
        <w:t>T</w:t>
      </w:r>
      <w:r w:rsidR="00A84CA0" w:rsidRPr="00012C3F">
        <w:rPr>
          <w:rFonts w:eastAsia="MS Mincho"/>
          <w:sz w:val="20"/>
          <w:szCs w:val="20"/>
          <w:lang w:val="en-US" w:eastAsia="en-US" w:bidi="en-US"/>
        </w:rPr>
        <w:t>he State</w:t>
      </w:r>
      <w:r w:rsidR="00AF6616" w:rsidRPr="00012C3F">
        <w:rPr>
          <w:rFonts w:eastAsia="MS Mincho"/>
          <w:sz w:val="20"/>
          <w:szCs w:val="20"/>
          <w:lang w:val="en-US" w:eastAsia="en-US" w:bidi="en-US"/>
        </w:rPr>
        <w:t xml:space="preserve"> </w:t>
      </w:r>
      <w:r w:rsidR="00C1462B" w:rsidRPr="00012C3F">
        <w:rPr>
          <w:rFonts w:eastAsia="MS Mincho"/>
          <w:sz w:val="20"/>
          <w:szCs w:val="20"/>
          <w:lang w:val="en-US" w:eastAsia="en-US" w:bidi="en-US"/>
        </w:rPr>
        <w:t>i</w:t>
      </w:r>
      <w:r w:rsidR="00AF6616" w:rsidRPr="00012C3F">
        <w:rPr>
          <w:rFonts w:eastAsia="MS Mincho"/>
          <w:sz w:val="20"/>
          <w:szCs w:val="20"/>
          <w:lang w:val="en-US" w:eastAsia="en-US" w:bidi="en-US"/>
        </w:rPr>
        <w:t>s</w:t>
      </w:r>
      <w:r w:rsidR="00C1462B" w:rsidRPr="00012C3F">
        <w:rPr>
          <w:rFonts w:eastAsia="MS Mincho"/>
          <w:sz w:val="20"/>
          <w:szCs w:val="20"/>
          <w:lang w:val="en-US" w:eastAsia="en-US" w:bidi="en-US"/>
        </w:rPr>
        <w:t xml:space="preserve"> also</w:t>
      </w:r>
      <w:r w:rsidR="00AF6616" w:rsidRPr="00012C3F">
        <w:rPr>
          <w:rFonts w:eastAsia="MS Mincho"/>
          <w:sz w:val="20"/>
          <w:szCs w:val="20"/>
          <w:lang w:val="en-US" w:eastAsia="en-US" w:bidi="en-US"/>
        </w:rPr>
        <w:t xml:space="preserve"> respons</w:t>
      </w:r>
      <w:r w:rsidR="00C1462B" w:rsidRPr="00012C3F">
        <w:rPr>
          <w:rFonts w:eastAsia="MS Mincho"/>
          <w:sz w:val="20"/>
          <w:szCs w:val="20"/>
          <w:lang w:val="en-US" w:eastAsia="en-US" w:bidi="en-US"/>
        </w:rPr>
        <w:t>i</w:t>
      </w:r>
      <w:r w:rsidR="00AF6616" w:rsidRPr="00012C3F">
        <w:rPr>
          <w:rFonts w:eastAsia="MS Mincho"/>
          <w:sz w:val="20"/>
          <w:szCs w:val="20"/>
          <w:lang w:val="en-US" w:eastAsia="en-US" w:bidi="en-US"/>
        </w:rPr>
        <w:t xml:space="preserve">ble </w:t>
      </w:r>
      <w:r w:rsidR="00C1462B" w:rsidRPr="00012C3F">
        <w:rPr>
          <w:rFonts w:eastAsia="MS Mincho"/>
          <w:sz w:val="20"/>
          <w:szCs w:val="20"/>
          <w:lang w:val="en-US" w:eastAsia="en-US" w:bidi="en-US"/>
        </w:rPr>
        <w:t xml:space="preserve">for failing to comply with its obligations under </w:t>
      </w:r>
      <w:r w:rsidR="001254DE" w:rsidRPr="00012C3F">
        <w:rPr>
          <w:rFonts w:eastAsia="MS Mincho"/>
          <w:sz w:val="20"/>
          <w:szCs w:val="20"/>
          <w:lang w:val="en-US" w:eastAsia="en-US" w:bidi="en-US"/>
        </w:rPr>
        <w:t>Article</w:t>
      </w:r>
      <w:r w:rsidR="00AF6616" w:rsidRPr="00012C3F">
        <w:rPr>
          <w:rFonts w:eastAsia="MS Mincho"/>
          <w:sz w:val="20"/>
          <w:szCs w:val="20"/>
          <w:lang w:val="en-US" w:eastAsia="en-US" w:bidi="en-US"/>
        </w:rPr>
        <w:t xml:space="preserve"> </w:t>
      </w:r>
      <w:r w:rsidR="00D871E8" w:rsidRPr="00012C3F">
        <w:rPr>
          <w:rFonts w:eastAsia="MS Mincho"/>
          <w:sz w:val="20"/>
          <w:szCs w:val="20"/>
          <w:lang w:val="en-US" w:eastAsia="en-US" w:bidi="en-US"/>
        </w:rPr>
        <w:t>7(a)</w:t>
      </w:r>
      <w:r w:rsidR="005E5012" w:rsidRPr="00012C3F">
        <w:rPr>
          <w:rFonts w:eastAsia="MS Mincho"/>
          <w:sz w:val="20"/>
          <w:szCs w:val="20"/>
          <w:lang w:val="en-US" w:eastAsia="en-US" w:bidi="en-US"/>
        </w:rPr>
        <w:t xml:space="preserve"> and </w:t>
      </w:r>
      <w:r w:rsidR="001B53DF" w:rsidRPr="00012C3F">
        <w:rPr>
          <w:rFonts w:eastAsia="MS Mincho"/>
          <w:sz w:val="20"/>
          <w:szCs w:val="20"/>
          <w:lang w:val="en-US" w:eastAsia="en-US" w:bidi="en-US"/>
        </w:rPr>
        <w:t>b)</w:t>
      </w:r>
      <w:r w:rsidR="001254DE" w:rsidRPr="00012C3F">
        <w:rPr>
          <w:rFonts w:eastAsia="MS Mincho"/>
          <w:sz w:val="20"/>
          <w:szCs w:val="20"/>
          <w:lang w:val="en-US" w:eastAsia="en-US" w:bidi="en-US"/>
        </w:rPr>
        <w:t xml:space="preserve"> of the Convention</w:t>
      </w:r>
      <w:r w:rsidR="00AF6616"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of Belém</w:t>
      </w:r>
      <w:r w:rsidR="00AF6616" w:rsidRPr="00012C3F">
        <w:rPr>
          <w:rFonts w:eastAsia="MS Mincho"/>
          <w:sz w:val="20"/>
          <w:szCs w:val="20"/>
          <w:lang w:val="en-US" w:eastAsia="en-US" w:bidi="en-US"/>
        </w:rPr>
        <w:t xml:space="preserve"> do Pará.</w:t>
      </w:r>
    </w:p>
    <w:p w14:paraId="6B1EE184" w14:textId="77777777" w:rsidR="00E71553" w:rsidRPr="00012C3F" w:rsidRDefault="00E71553" w:rsidP="006655E4">
      <w:pPr>
        <w:widowControl/>
        <w:autoSpaceDE w:val="0"/>
        <w:autoSpaceDN w:val="0"/>
        <w:spacing w:line="240" w:lineRule="auto"/>
        <w:textAlignment w:val="auto"/>
        <w:rPr>
          <w:rFonts w:eastAsiaTheme="minorHAnsi" w:cs="Arial"/>
          <w:sz w:val="20"/>
          <w:szCs w:val="20"/>
          <w:lang w:val="en-US" w:eastAsia="en-US"/>
        </w:rPr>
      </w:pPr>
    </w:p>
    <w:p w14:paraId="1ABE6AB5" w14:textId="77777777" w:rsidR="00502B43" w:rsidRPr="00012C3F" w:rsidRDefault="00502B43" w:rsidP="00502B43">
      <w:pPr>
        <w:keepNext/>
        <w:keepLines/>
        <w:tabs>
          <w:tab w:val="left" w:pos="851"/>
        </w:tabs>
        <w:spacing w:line="240" w:lineRule="auto"/>
        <w:jc w:val="center"/>
        <w:outlineLvl w:val="0"/>
        <w:rPr>
          <w:rFonts w:cs="Verdana"/>
          <w:b/>
          <w:bCs/>
          <w:caps/>
          <w:snapToGrid w:val="0"/>
          <w:sz w:val="20"/>
          <w:szCs w:val="20"/>
          <w:lang w:val="en-US"/>
        </w:rPr>
      </w:pPr>
      <w:bookmarkStart w:id="152" w:name="_Toc412482976"/>
      <w:bookmarkStart w:id="153" w:name="_Toc417045765"/>
      <w:bookmarkStart w:id="154" w:name="_Toc459158123"/>
      <w:bookmarkStart w:id="155" w:name="_Toc461208888"/>
      <w:bookmarkStart w:id="156" w:name="_Toc27486873"/>
      <w:r w:rsidRPr="00012C3F">
        <w:rPr>
          <w:rFonts w:cs="Verdana"/>
          <w:b/>
          <w:bCs/>
          <w:caps/>
          <w:snapToGrid w:val="0"/>
          <w:sz w:val="20"/>
          <w:szCs w:val="20"/>
          <w:lang w:val="en-US"/>
        </w:rPr>
        <w:t>VII</w:t>
      </w:r>
      <w:r w:rsidR="00A72628" w:rsidRPr="00012C3F">
        <w:rPr>
          <w:rFonts w:cs="Verdana"/>
          <w:b/>
          <w:bCs/>
          <w:caps/>
          <w:snapToGrid w:val="0"/>
          <w:sz w:val="20"/>
          <w:szCs w:val="20"/>
          <w:lang w:val="en-US"/>
        </w:rPr>
        <w:t>I</w:t>
      </w:r>
      <w:r w:rsidRPr="00012C3F">
        <w:rPr>
          <w:rFonts w:cs="Verdana"/>
          <w:b/>
          <w:bCs/>
          <w:caps/>
          <w:snapToGrid w:val="0"/>
          <w:sz w:val="20"/>
          <w:szCs w:val="20"/>
          <w:lang w:val="en-US"/>
        </w:rPr>
        <w:t>-</w:t>
      </w:r>
      <w:r w:rsidR="00A72628" w:rsidRPr="00012C3F">
        <w:rPr>
          <w:rFonts w:cs="Verdana"/>
          <w:b/>
          <w:bCs/>
          <w:caps/>
          <w:snapToGrid w:val="0"/>
          <w:sz w:val="20"/>
          <w:szCs w:val="20"/>
          <w:lang w:val="en-US"/>
        </w:rPr>
        <w:t>2</w:t>
      </w:r>
      <w:r w:rsidRPr="00012C3F">
        <w:rPr>
          <w:rFonts w:cs="Verdana"/>
          <w:b/>
          <w:bCs/>
          <w:caps/>
          <w:snapToGrid w:val="0"/>
          <w:sz w:val="20"/>
          <w:szCs w:val="20"/>
          <w:lang w:val="en-US"/>
        </w:rPr>
        <w:br/>
      </w:r>
      <w:bookmarkEnd w:id="152"/>
      <w:bookmarkEnd w:id="153"/>
      <w:r w:rsidR="005E1B9D" w:rsidRPr="00012C3F">
        <w:rPr>
          <w:rFonts w:cs="Verdana"/>
          <w:b/>
          <w:bCs/>
          <w:caps/>
          <w:snapToGrid w:val="0"/>
          <w:sz w:val="20"/>
          <w:szCs w:val="20"/>
          <w:lang w:val="en-US"/>
        </w:rPr>
        <w:t>RIGHT</w:t>
      </w:r>
      <w:r w:rsidRPr="00012C3F">
        <w:rPr>
          <w:rFonts w:cs="Verdana"/>
          <w:b/>
          <w:bCs/>
          <w:caps/>
          <w:snapToGrid w:val="0"/>
          <w:sz w:val="20"/>
          <w:szCs w:val="20"/>
          <w:lang w:val="en-US"/>
        </w:rPr>
        <w:t xml:space="preserve"> </w:t>
      </w:r>
      <w:r w:rsidR="006C705C" w:rsidRPr="00012C3F">
        <w:rPr>
          <w:rFonts w:cs="Verdana"/>
          <w:b/>
          <w:bCs/>
          <w:caps/>
          <w:snapToGrid w:val="0"/>
          <w:sz w:val="20"/>
          <w:szCs w:val="20"/>
          <w:lang w:val="en-US"/>
        </w:rPr>
        <w:t>TO PERSONAL INTEGRITY</w:t>
      </w:r>
      <w:r w:rsidR="005E5012" w:rsidRPr="00012C3F">
        <w:rPr>
          <w:rFonts w:cs="Verdana"/>
          <w:b/>
          <w:bCs/>
          <w:caps/>
          <w:snapToGrid w:val="0"/>
          <w:sz w:val="20"/>
          <w:szCs w:val="20"/>
          <w:lang w:val="en-US"/>
        </w:rPr>
        <w:t xml:space="preserve"> and</w:t>
      </w:r>
      <w:r w:rsidR="005E1B9D" w:rsidRPr="00012C3F">
        <w:rPr>
          <w:rFonts w:cs="Verdana"/>
          <w:b/>
          <w:bCs/>
          <w:caps/>
          <w:snapToGrid w:val="0"/>
          <w:sz w:val="20"/>
          <w:szCs w:val="20"/>
          <w:lang w:val="en-US"/>
        </w:rPr>
        <w:t xml:space="preserve"> THE PROHIBITION OF TORTURE AND OTHER CRUEL, INHUMAN OR DEGRADING TREATMENT,</w:t>
      </w:r>
      <w:r w:rsidR="00A94D8D" w:rsidRPr="00012C3F">
        <w:rPr>
          <w:rStyle w:val="Refdenotaalpie"/>
          <w:rFonts w:cs="Verdana"/>
          <w:b/>
          <w:bCs/>
          <w:caps/>
          <w:snapToGrid w:val="0"/>
          <w:sz w:val="20"/>
          <w:szCs w:val="20"/>
          <w:lang w:val="en-US"/>
        </w:rPr>
        <w:footnoteReference w:id="339"/>
      </w:r>
      <w:r w:rsidRPr="00012C3F">
        <w:rPr>
          <w:rFonts w:cs="Verdana"/>
          <w:b/>
          <w:bCs/>
          <w:caps/>
          <w:snapToGrid w:val="0"/>
          <w:sz w:val="20"/>
          <w:szCs w:val="20"/>
          <w:lang w:val="en-US"/>
        </w:rPr>
        <w:t xml:space="preserve"> </w:t>
      </w:r>
      <w:r w:rsidR="006C705C" w:rsidRPr="00012C3F">
        <w:rPr>
          <w:rFonts w:cs="Verdana"/>
          <w:b/>
          <w:bCs/>
          <w:caps/>
          <w:snapToGrid w:val="0"/>
          <w:sz w:val="20"/>
          <w:szCs w:val="20"/>
          <w:lang w:val="en-US"/>
        </w:rPr>
        <w:t xml:space="preserve">IN </w:t>
      </w:r>
      <w:r w:rsidR="005E1B9D" w:rsidRPr="00012C3F">
        <w:rPr>
          <w:rFonts w:cs="Verdana"/>
          <w:b/>
          <w:bCs/>
          <w:caps/>
          <w:snapToGrid w:val="0"/>
          <w:sz w:val="20"/>
          <w:szCs w:val="20"/>
          <w:lang w:val="en-US"/>
        </w:rPr>
        <w:t>RELATION TO THE OBLIGATIONS</w:t>
      </w:r>
      <w:r w:rsidRPr="00012C3F">
        <w:rPr>
          <w:rFonts w:cs="Verdana"/>
          <w:b/>
          <w:bCs/>
          <w:caps/>
          <w:snapToGrid w:val="0"/>
          <w:sz w:val="20"/>
          <w:szCs w:val="20"/>
          <w:lang w:val="en-US"/>
        </w:rPr>
        <w:t xml:space="preserve"> </w:t>
      </w:r>
      <w:bookmarkEnd w:id="154"/>
      <w:r w:rsidR="005E1B9D" w:rsidRPr="00012C3F">
        <w:rPr>
          <w:rFonts w:cs="Verdana"/>
          <w:b/>
          <w:bCs/>
          <w:caps/>
          <w:snapToGrid w:val="0"/>
          <w:sz w:val="20"/>
          <w:szCs w:val="20"/>
          <w:lang w:val="en-US"/>
        </w:rPr>
        <w:t xml:space="preserve">TO RESPECT AND </w:t>
      </w:r>
      <w:r w:rsidR="00E46719" w:rsidRPr="00012C3F">
        <w:rPr>
          <w:rFonts w:cs="Verdana"/>
          <w:b/>
          <w:bCs/>
          <w:caps/>
          <w:snapToGrid w:val="0"/>
          <w:sz w:val="20"/>
          <w:szCs w:val="20"/>
          <w:lang w:val="en-US"/>
        </w:rPr>
        <w:t xml:space="preserve">TO </w:t>
      </w:r>
      <w:r w:rsidR="005E1B9D" w:rsidRPr="00012C3F">
        <w:rPr>
          <w:rFonts w:cs="Verdana"/>
          <w:b/>
          <w:bCs/>
          <w:caps/>
          <w:snapToGrid w:val="0"/>
          <w:sz w:val="20"/>
          <w:szCs w:val="20"/>
          <w:lang w:val="en-US"/>
        </w:rPr>
        <w:t>ENSURE RIGHTS</w:t>
      </w:r>
      <w:bookmarkEnd w:id="155"/>
      <w:bookmarkEnd w:id="156"/>
    </w:p>
    <w:p w14:paraId="16106F02" w14:textId="77777777" w:rsidR="00502B43" w:rsidRPr="00012C3F" w:rsidRDefault="00502B43" w:rsidP="00502B43">
      <w:pPr>
        <w:tabs>
          <w:tab w:val="left" w:pos="720"/>
        </w:tabs>
        <w:spacing w:line="240" w:lineRule="auto"/>
        <w:rPr>
          <w:rFonts w:eastAsia="MS Mincho"/>
          <w:sz w:val="20"/>
          <w:szCs w:val="20"/>
          <w:lang w:val="en-US"/>
        </w:rPr>
      </w:pPr>
    </w:p>
    <w:p w14:paraId="0F7F5D9F" w14:textId="77777777" w:rsidR="00502B43" w:rsidRPr="00012C3F" w:rsidRDefault="00502B43" w:rsidP="009867D6">
      <w:pPr>
        <w:keepNext/>
        <w:keepLines/>
        <w:tabs>
          <w:tab w:val="left" w:pos="1134"/>
        </w:tabs>
        <w:spacing w:line="240" w:lineRule="auto"/>
        <w:ind w:left="567" w:firstLine="1"/>
        <w:outlineLvl w:val="1"/>
        <w:rPr>
          <w:rFonts w:eastAsia="MS Mincho"/>
          <w:b/>
          <w:bCs/>
          <w:i/>
          <w:sz w:val="20"/>
          <w:szCs w:val="20"/>
          <w:lang w:val="en-US"/>
        </w:rPr>
      </w:pPr>
      <w:bookmarkStart w:id="157" w:name="_Toc445290350"/>
      <w:bookmarkStart w:id="158" w:name="_Toc461208889"/>
      <w:bookmarkStart w:id="159" w:name="_Toc27486874"/>
      <w:r w:rsidRPr="00012C3F">
        <w:rPr>
          <w:rFonts w:eastAsia="MS Mincho"/>
          <w:b/>
          <w:bCs/>
          <w:i/>
          <w:sz w:val="20"/>
          <w:szCs w:val="20"/>
          <w:lang w:val="en-US"/>
        </w:rPr>
        <w:t xml:space="preserve">A. </w:t>
      </w:r>
      <w:r w:rsidR="009867D6" w:rsidRPr="00012C3F">
        <w:rPr>
          <w:rFonts w:eastAsia="MS Mincho"/>
          <w:b/>
          <w:bCs/>
          <w:i/>
          <w:sz w:val="20"/>
          <w:szCs w:val="20"/>
          <w:lang w:val="en-US"/>
        </w:rPr>
        <w:tab/>
      </w:r>
      <w:r w:rsidR="006C705C" w:rsidRPr="00012C3F">
        <w:rPr>
          <w:rFonts w:eastAsia="MS Mincho"/>
          <w:b/>
          <w:bCs/>
          <w:i/>
          <w:sz w:val="20"/>
          <w:szCs w:val="20"/>
          <w:lang w:val="en-US"/>
        </w:rPr>
        <w:t>Arguments of the parties</w:t>
      </w:r>
      <w:bookmarkEnd w:id="157"/>
      <w:bookmarkEnd w:id="158"/>
      <w:bookmarkEnd w:id="159"/>
    </w:p>
    <w:p w14:paraId="24375197" w14:textId="77777777" w:rsidR="00502B43" w:rsidRPr="00012C3F" w:rsidRDefault="00502B43" w:rsidP="00502B43">
      <w:pPr>
        <w:spacing w:line="240" w:lineRule="auto"/>
        <w:rPr>
          <w:lang w:val="en-US"/>
        </w:rPr>
      </w:pPr>
    </w:p>
    <w:p w14:paraId="7941C380" w14:textId="77777777" w:rsidR="008264B6" w:rsidRPr="00012C3F" w:rsidRDefault="00972ACF" w:rsidP="0042314F">
      <w:pPr>
        <w:numPr>
          <w:ilvl w:val="0"/>
          <w:numId w:val="5"/>
        </w:numPr>
        <w:tabs>
          <w:tab w:val="left" w:pos="720"/>
          <w:tab w:val="num" w:pos="12305"/>
        </w:tabs>
        <w:spacing w:line="240" w:lineRule="auto"/>
        <w:ind w:left="0" w:firstLine="0"/>
        <w:rPr>
          <w:rFonts w:eastAsia="MS Mincho" w:cs="Arial"/>
          <w:b/>
          <w:sz w:val="16"/>
          <w:szCs w:val="20"/>
          <w:lang w:val="en-US" w:eastAsia="en-US" w:bidi="en-US"/>
        </w:rPr>
      </w:pPr>
      <w:r w:rsidRPr="00012C3F">
        <w:rPr>
          <w:rFonts w:eastAsiaTheme="minorHAnsi" w:cs="Arial"/>
          <w:sz w:val="20"/>
          <w:szCs w:val="20"/>
          <w:lang w:val="en-US" w:eastAsia="en-US"/>
        </w:rPr>
        <w:t xml:space="preserve">The </w:t>
      </w:r>
      <w:r w:rsidRPr="00012C3F">
        <w:rPr>
          <w:rFonts w:eastAsiaTheme="minorHAnsi" w:cs="Arial"/>
          <w:b/>
          <w:bCs/>
          <w:i/>
          <w:iCs/>
          <w:sz w:val="20"/>
          <w:szCs w:val="20"/>
          <w:lang w:val="en-US" w:eastAsia="en-US"/>
        </w:rPr>
        <w:t>representative</w:t>
      </w:r>
      <w:r w:rsidR="008264B6" w:rsidRPr="00012C3F">
        <w:rPr>
          <w:rFonts w:eastAsia="MS Mincho" w:cs="Arial"/>
          <w:sz w:val="20"/>
          <w:szCs w:val="20"/>
          <w:lang w:val="en-US" w:eastAsia="en-US" w:bidi="en-US"/>
        </w:rPr>
        <w:t xml:space="preserve"> </w:t>
      </w:r>
      <w:r w:rsidR="0070744E" w:rsidRPr="00012C3F">
        <w:rPr>
          <w:rFonts w:eastAsia="MS Mincho" w:cs="Arial"/>
          <w:sz w:val="20"/>
          <w:szCs w:val="20"/>
          <w:lang w:val="en-US" w:eastAsia="en-US" w:bidi="en-US"/>
        </w:rPr>
        <w:t>indicated that</w:t>
      </w:r>
      <w:r w:rsidR="008264B6" w:rsidRPr="00012C3F">
        <w:rPr>
          <w:rFonts w:eastAsia="MS Mincho" w:cs="Arial"/>
          <w:sz w:val="20"/>
          <w:szCs w:val="20"/>
          <w:lang w:val="en-US" w:eastAsia="en-US" w:bidi="en-US"/>
        </w:rPr>
        <w:t xml:space="preserve"> </w:t>
      </w:r>
      <w:r w:rsidR="00A84CA0" w:rsidRPr="00012C3F">
        <w:rPr>
          <w:rFonts w:eastAsia="MS Mincho" w:cs="Arial"/>
          <w:sz w:val="20"/>
          <w:szCs w:val="20"/>
          <w:lang w:val="en-US" w:eastAsia="en-US" w:bidi="en-US"/>
        </w:rPr>
        <w:t>the State</w:t>
      </w:r>
      <w:r w:rsidR="008264B6" w:rsidRPr="00012C3F">
        <w:rPr>
          <w:rFonts w:eastAsia="MS Mincho" w:cs="Arial"/>
          <w:sz w:val="20"/>
          <w:szCs w:val="20"/>
          <w:lang w:val="en-US" w:eastAsia="en-US" w:bidi="en-US"/>
        </w:rPr>
        <w:t xml:space="preserve"> </w:t>
      </w:r>
      <w:r w:rsidR="0070744E" w:rsidRPr="00012C3F">
        <w:rPr>
          <w:rFonts w:eastAsia="MS Mincho" w:cs="Arial"/>
          <w:sz w:val="20"/>
          <w:szCs w:val="20"/>
          <w:lang w:val="en-US" w:eastAsia="en-US" w:bidi="en-US"/>
        </w:rPr>
        <w:t xml:space="preserve">had violated the three dimensions of </w:t>
      </w:r>
      <w:r w:rsidR="00BD30A1" w:rsidRPr="00012C3F">
        <w:rPr>
          <w:rFonts w:eastAsia="MS Mincho" w:cs="Arial"/>
          <w:sz w:val="20"/>
          <w:szCs w:val="20"/>
          <w:lang w:val="en-US" w:eastAsia="en-US" w:bidi="en-US"/>
        </w:rPr>
        <w:t>I.V.’s</w:t>
      </w:r>
      <w:r w:rsidR="0070744E" w:rsidRPr="00012C3F">
        <w:rPr>
          <w:rFonts w:eastAsia="MS Mincho" w:cs="Arial"/>
          <w:sz w:val="20"/>
          <w:szCs w:val="20"/>
          <w:lang w:val="en-US" w:eastAsia="en-US" w:bidi="en-US"/>
        </w:rPr>
        <w:t xml:space="preserve"> personal integrity</w:t>
      </w:r>
      <w:r w:rsidR="00BD30A1" w:rsidRPr="00012C3F">
        <w:rPr>
          <w:rFonts w:eastAsia="MS Mincho" w:cs="Arial"/>
          <w:sz w:val="20"/>
          <w:szCs w:val="20"/>
          <w:lang w:val="en-US" w:eastAsia="en-US" w:bidi="en-US"/>
        </w:rPr>
        <w:t xml:space="preserve">. </w:t>
      </w:r>
      <w:r w:rsidR="0070744E" w:rsidRPr="00012C3F">
        <w:rPr>
          <w:rFonts w:eastAsia="MS Mincho" w:cs="Arial"/>
          <w:sz w:val="20"/>
          <w:szCs w:val="20"/>
          <w:lang w:val="en-US" w:eastAsia="en-US" w:bidi="en-US"/>
        </w:rPr>
        <w:t xml:space="preserve">With regard to her physical integrity, she indicated that, as a result of the </w:t>
      </w:r>
      <w:r w:rsidR="00DF3B7C" w:rsidRPr="00012C3F">
        <w:rPr>
          <w:rFonts w:eastAsia="MS Mincho" w:cs="Arial"/>
          <w:sz w:val="20"/>
          <w:szCs w:val="20"/>
          <w:lang w:val="en-US" w:eastAsia="en-US" w:bidi="en-US"/>
        </w:rPr>
        <w:t>non-consensual sterilization</w:t>
      </w:r>
      <w:r w:rsidR="008264B6" w:rsidRPr="00012C3F">
        <w:rPr>
          <w:rFonts w:eastAsia="MS Mincho" w:cs="Arial"/>
          <w:sz w:val="20"/>
          <w:szCs w:val="20"/>
          <w:lang w:val="en-US" w:eastAsia="en-US" w:bidi="en-US"/>
        </w:rPr>
        <w:t xml:space="preserve">, </w:t>
      </w:r>
      <w:r w:rsidR="000E1C11" w:rsidRPr="00012C3F">
        <w:rPr>
          <w:rFonts w:eastAsia="MS Mincho" w:cs="Arial"/>
          <w:sz w:val="20"/>
          <w:szCs w:val="20"/>
          <w:lang w:val="en-US" w:eastAsia="en-US" w:bidi="en-US"/>
        </w:rPr>
        <w:t>I.V.</w:t>
      </w:r>
      <w:r w:rsidR="008264B6" w:rsidRPr="00012C3F">
        <w:rPr>
          <w:rFonts w:eastAsia="MS Mincho" w:cs="Arial"/>
          <w:sz w:val="20"/>
          <w:szCs w:val="20"/>
          <w:lang w:val="en-US" w:eastAsia="en-US" w:bidi="en-US"/>
        </w:rPr>
        <w:t xml:space="preserve"> </w:t>
      </w:r>
      <w:r w:rsidR="0070744E" w:rsidRPr="00012C3F">
        <w:rPr>
          <w:rFonts w:eastAsia="MS Mincho" w:cs="Arial"/>
          <w:sz w:val="20"/>
          <w:szCs w:val="20"/>
          <w:lang w:val="en-US" w:eastAsia="en-US" w:bidi="en-US"/>
        </w:rPr>
        <w:t xml:space="preserve">permanently lost her reproductive function, </w:t>
      </w:r>
      <w:r w:rsidR="00BD30A1" w:rsidRPr="00012C3F">
        <w:rPr>
          <w:rFonts w:eastAsia="MS Mincho" w:cs="Arial"/>
          <w:sz w:val="20"/>
          <w:szCs w:val="20"/>
          <w:lang w:val="en-US" w:eastAsia="en-US" w:bidi="en-US"/>
        </w:rPr>
        <w:t>and this</w:t>
      </w:r>
      <w:r w:rsidR="0070744E" w:rsidRPr="00012C3F">
        <w:rPr>
          <w:rFonts w:eastAsia="MS Mincho" w:cs="Arial"/>
          <w:sz w:val="20"/>
          <w:szCs w:val="20"/>
          <w:lang w:val="en-US" w:eastAsia="en-US" w:bidi="en-US"/>
        </w:rPr>
        <w:t xml:space="preserve"> led to the mental and moral dimensions, because I.V. felt damaged, mistreated and traumatized </w:t>
      </w:r>
      <w:r w:rsidR="00BD30A1" w:rsidRPr="00012C3F">
        <w:rPr>
          <w:rFonts w:eastAsia="MS Mincho" w:cs="Arial"/>
          <w:sz w:val="20"/>
          <w:szCs w:val="20"/>
          <w:lang w:val="en-US" w:eastAsia="en-US" w:bidi="en-US"/>
        </w:rPr>
        <w:t>since</w:t>
      </w:r>
      <w:r w:rsidR="0070744E" w:rsidRPr="00012C3F">
        <w:rPr>
          <w:rFonts w:eastAsia="MS Mincho" w:cs="Arial"/>
          <w:sz w:val="20"/>
          <w:szCs w:val="20"/>
          <w:lang w:val="en-US" w:eastAsia="en-US" w:bidi="en-US"/>
        </w:rPr>
        <w:t xml:space="preserve"> she considered that she was no longer a “whole woman.”  The arbitrary deprivation of her reproductive function destroyed her hope of conceiving a male child and produced a series of physical</w:t>
      </w:r>
      <w:r w:rsidR="00452BE4" w:rsidRPr="00012C3F">
        <w:rPr>
          <w:rFonts w:eastAsia="MS Mincho" w:cs="Arial"/>
          <w:sz w:val="20"/>
          <w:szCs w:val="20"/>
          <w:lang w:val="en-US" w:eastAsia="en-US" w:bidi="en-US"/>
        </w:rPr>
        <w:t xml:space="preserve">, sexual, psychological and psycho-social </w:t>
      </w:r>
      <w:r w:rsidR="0070744E" w:rsidRPr="00012C3F">
        <w:rPr>
          <w:rFonts w:eastAsia="MS Mincho" w:cs="Arial"/>
          <w:sz w:val="20"/>
          <w:szCs w:val="20"/>
          <w:lang w:val="en-US" w:eastAsia="en-US" w:bidi="en-US"/>
        </w:rPr>
        <w:t>effects</w:t>
      </w:r>
      <w:r w:rsidR="00452BE4" w:rsidRPr="00012C3F">
        <w:rPr>
          <w:rFonts w:eastAsia="MS Mincho" w:cs="Arial"/>
          <w:sz w:val="20"/>
          <w:szCs w:val="20"/>
          <w:lang w:val="en-US" w:eastAsia="en-US" w:bidi="en-US"/>
        </w:rPr>
        <w:t>, as well as feelings of profound anguish and suffering</w:t>
      </w:r>
      <w:r w:rsidR="0042314F" w:rsidRPr="00012C3F">
        <w:rPr>
          <w:rFonts w:eastAsia="MS Mincho" w:cs="Arial"/>
          <w:sz w:val="20"/>
          <w:szCs w:val="20"/>
          <w:lang w:val="en-US" w:eastAsia="en-US" w:bidi="en-US"/>
        </w:rPr>
        <w:t xml:space="preserve"> because an essential part of her desired life project had been taken from her.</w:t>
      </w:r>
      <w:r w:rsidR="0042314F" w:rsidRPr="00012C3F">
        <w:rPr>
          <w:rFonts w:eastAsia="MS Mincho" w:cs="Arial"/>
          <w:b/>
          <w:sz w:val="16"/>
          <w:szCs w:val="20"/>
          <w:lang w:val="en-US" w:eastAsia="en-US" w:bidi="en-US"/>
        </w:rPr>
        <w:t xml:space="preserve"> </w:t>
      </w:r>
      <w:r w:rsidRPr="00012C3F">
        <w:rPr>
          <w:rFonts w:eastAsia="MS Mincho" w:cs="Arial"/>
          <w:sz w:val="20"/>
          <w:szCs w:val="20"/>
          <w:lang w:val="en-US" w:eastAsia="en-US" w:bidi="en-US"/>
        </w:rPr>
        <w:t>The representative</w:t>
      </w:r>
      <w:r w:rsidR="008264B6" w:rsidRPr="00012C3F">
        <w:rPr>
          <w:rFonts w:eastAsia="MS Mincho" w:cs="Arial"/>
          <w:sz w:val="20"/>
          <w:szCs w:val="20"/>
          <w:lang w:val="en-US" w:eastAsia="en-US" w:bidi="en-US"/>
        </w:rPr>
        <w:t xml:space="preserve"> </w:t>
      </w:r>
      <w:r w:rsidR="0042314F" w:rsidRPr="00012C3F">
        <w:rPr>
          <w:rFonts w:eastAsia="MS Mincho" w:cs="Arial"/>
          <w:sz w:val="20"/>
          <w:szCs w:val="20"/>
          <w:lang w:val="en-US" w:eastAsia="en-US" w:bidi="en-US"/>
        </w:rPr>
        <w:lastRenderedPageBreak/>
        <w:t>indicated that</w:t>
      </w:r>
      <w:r w:rsidR="00BD30A1" w:rsidRPr="00012C3F">
        <w:rPr>
          <w:rFonts w:eastAsia="MS Mincho" w:cs="Arial"/>
          <w:sz w:val="20"/>
          <w:szCs w:val="20"/>
          <w:lang w:val="en-US" w:eastAsia="en-US" w:bidi="en-US"/>
        </w:rPr>
        <w:t xml:space="preserve"> </w:t>
      </w:r>
      <w:r w:rsidR="0042314F" w:rsidRPr="00012C3F">
        <w:rPr>
          <w:rFonts w:eastAsia="MS Mincho" w:cs="Arial"/>
          <w:sz w:val="20"/>
          <w:szCs w:val="20"/>
          <w:lang w:val="en-US" w:eastAsia="en-US" w:bidi="en-US"/>
        </w:rPr>
        <w:t>to this was added a feeling of guilt with regard to her daughters, because as a result of the sterilization and her search for justice, they had to endure her irritability and absence during their childhood and in later years.</w:t>
      </w:r>
      <w:r w:rsidR="0042314F" w:rsidRPr="00012C3F">
        <w:rPr>
          <w:rFonts w:eastAsia="MS Mincho" w:cs="Arial"/>
          <w:b/>
          <w:sz w:val="16"/>
          <w:szCs w:val="20"/>
          <w:lang w:val="en-US" w:eastAsia="en-US" w:bidi="en-US"/>
        </w:rPr>
        <w:t xml:space="preserve"> </w:t>
      </w:r>
      <w:r w:rsidRPr="00012C3F">
        <w:rPr>
          <w:rFonts w:eastAsia="MS Mincho" w:cs="Arial"/>
          <w:sz w:val="20"/>
          <w:szCs w:val="20"/>
          <w:lang w:val="en-US" w:eastAsia="en-US" w:bidi="en-US"/>
        </w:rPr>
        <w:t>The representative</w:t>
      </w:r>
      <w:r w:rsidR="008264B6" w:rsidRPr="00012C3F">
        <w:rPr>
          <w:rFonts w:eastAsia="MS Mincho" w:cs="Arial"/>
          <w:sz w:val="20"/>
          <w:szCs w:val="20"/>
          <w:lang w:val="en-US" w:eastAsia="en-US" w:bidi="en-US"/>
        </w:rPr>
        <w:t xml:space="preserve"> consider</w:t>
      </w:r>
      <w:r w:rsidR="0042314F" w:rsidRPr="00012C3F">
        <w:rPr>
          <w:rFonts w:eastAsia="MS Mincho" w:cs="Arial"/>
          <w:sz w:val="20"/>
          <w:szCs w:val="20"/>
          <w:lang w:val="en-US" w:eastAsia="en-US" w:bidi="en-US"/>
        </w:rPr>
        <w:t xml:space="preserve">ed that these aftereffects </w:t>
      </w:r>
      <w:r w:rsidR="00BD30A1" w:rsidRPr="00012C3F">
        <w:rPr>
          <w:rFonts w:eastAsia="MS Mincho" w:cs="Arial"/>
          <w:sz w:val="20"/>
          <w:szCs w:val="20"/>
          <w:lang w:val="en-US" w:eastAsia="en-US" w:bidi="en-US"/>
        </w:rPr>
        <w:t>resulted in</w:t>
      </w:r>
      <w:r w:rsidR="0042314F" w:rsidRPr="00012C3F">
        <w:rPr>
          <w:rFonts w:eastAsia="MS Mincho" w:cs="Arial"/>
          <w:sz w:val="20"/>
          <w:szCs w:val="20"/>
          <w:lang w:val="en-US" w:eastAsia="en-US" w:bidi="en-US"/>
        </w:rPr>
        <w:t xml:space="preserve"> I.V. being diagnosed with an organic </w:t>
      </w:r>
      <w:r w:rsidR="0042314F" w:rsidRPr="00012C3F">
        <w:rPr>
          <w:sz w:val="20"/>
          <w:szCs w:val="20"/>
          <w:lang w:val="en-US"/>
        </w:rPr>
        <w:t>schizophreniform disorder</w:t>
      </w:r>
      <w:r w:rsidR="008264B6" w:rsidRPr="00012C3F">
        <w:rPr>
          <w:rFonts w:eastAsia="MS Mincho" w:cs="Arial"/>
          <w:sz w:val="20"/>
          <w:szCs w:val="20"/>
          <w:lang w:val="en-US" w:eastAsia="en-US" w:bidi="en-US"/>
        </w:rPr>
        <w:t xml:space="preserve"> </w:t>
      </w:r>
      <w:r w:rsidR="0042314F" w:rsidRPr="00012C3F">
        <w:rPr>
          <w:rFonts w:eastAsia="MS Mincho" w:cs="Arial"/>
          <w:sz w:val="20"/>
          <w:szCs w:val="20"/>
          <w:lang w:val="en-US" w:eastAsia="en-US" w:bidi="en-US"/>
        </w:rPr>
        <w:t>in 2013</w:t>
      </w:r>
      <w:r w:rsidR="008264B6" w:rsidRPr="00012C3F">
        <w:rPr>
          <w:rFonts w:eastAsia="MS Mincho" w:cs="Arial"/>
          <w:sz w:val="20"/>
          <w:szCs w:val="20"/>
          <w:lang w:val="en-US" w:eastAsia="en-US" w:bidi="en-US"/>
        </w:rPr>
        <w:t>.</w:t>
      </w:r>
    </w:p>
    <w:p w14:paraId="6AF607CC" w14:textId="77777777" w:rsidR="008264B6" w:rsidRPr="00012C3F" w:rsidRDefault="008264B6" w:rsidP="00502B43">
      <w:pPr>
        <w:spacing w:line="240" w:lineRule="auto"/>
        <w:rPr>
          <w:lang w:val="en-US"/>
        </w:rPr>
      </w:pPr>
    </w:p>
    <w:p w14:paraId="7B961883" w14:textId="77777777" w:rsidR="0042314F" w:rsidRPr="00012C3F" w:rsidRDefault="00972ACF" w:rsidP="0042314F">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Theme="minorHAnsi" w:cs="Arial"/>
          <w:sz w:val="20"/>
          <w:szCs w:val="20"/>
          <w:lang w:val="en-US" w:eastAsia="en-US"/>
        </w:rPr>
        <w:t>The representative</w:t>
      </w:r>
      <w:r w:rsidR="00502B43" w:rsidRPr="00012C3F">
        <w:rPr>
          <w:rFonts w:eastAsia="Calibri" w:cs="Arial"/>
          <w:sz w:val="20"/>
          <w:szCs w:val="20"/>
          <w:lang w:val="en-US" w:eastAsia="en-US"/>
        </w:rPr>
        <w:t xml:space="preserve">, </w:t>
      </w:r>
      <w:r w:rsidR="0042314F" w:rsidRPr="00012C3F">
        <w:rPr>
          <w:rFonts w:eastAsia="Calibri" w:cs="Arial"/>
          <w:sz w:val="20"/>
          <w:szCs w:val="20"/>
          <w:lang w:val="en-US" w:eastAsia="en-US"/>
        </w:rPr>
        <w:t xml:space="preserve">based on the factual framework set out in the </w:t>
      </w:r>
      <w:r w:rsidR="00E00902" w:rsidRPr="00012C3F">
        <w:rPr>
          <w:rFonts w:eastAsia="Calibri" w:cs="Arial"/>
          <w:sz w:val="20"/>
          <w:szCs w:val="20"/>
          <w:lang w:val="en-US" w:eastAsia="en-US"/>
        </w:rPr>
        <w:t>Merits Report</w:t>
      </w:r>
      <w:r w:rsidR="00502B43" w:rsidRPr="00012C3F">
        <w:rPr>
          <w:rFonts w:eastAsia="Calibri" w:cs="Arial"/>
          <w:sz w:val="20"/>
          <w:szCs w:val="20"/>
          <w:lang w:val="en-US" w:eastAsia="en-US"/>
        </w:rPr>
        <w:t xml:space="preserve">, </w:t>
      </w:r>
      <w:r w:rsidR="0042314F" w:rsidRPr="00012C3F">
        <w:rPr>
          <w:rFonts w:eastAsia="Calibri" w:cs="Arial"/>
          <w:sz w:val="20"/>
          <w:szCs w:val="20"/>
          <w:lang w:val="en-US" w:eastAsia="en-US"/>
        </w:rPr>
        <w:t xml:space="preserve">argued that </w:t>
      </w:r>
      <w:r w:rsidR="008A7A0F"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w:t>
      </w:r>
      <w:r w:rsidR="00B257AF" w:rsidRPr="00012C3F">
        <w:rPr>
          <w:rFonts w:eastAsia="Calibri" w:cs="Arial"/>
          <w:sz w:val="20"/>
          <w:szCs w:val="20"/>
          <w:lang w:val="en-US" w:eastAsia="en-US"/>
        </w:rPr>
        <w:t>5(2)</w:t>
      </w:r>
      <w:r w:rsidR="001254DE" w:rsidRPr="00012C3F">
        <w:rPr>
          <w:rFonts w:eastAsia="Calibri" w:cs="Arial"/>
          <w:sz w:val="20"/>
          <w:szCs w:val="20"/>
          <w:lang w:val="en-US" w:eastAsia="en-US"/>
        </w:rPr>
        <w:t xml:space="preserve"> of the American Convention</w:t>
      </w:r>
      <w:r w:rsidR="0042314F" w:rsidRPr="00012C3F">
        <w:rPr>
          <w:rFonts w:eastAsia="Calibri" w:cs="Arial"/>
          <w:sz w:val="20"/>
          <w:szCs w:val="20"/>
          <w:lang w:val="en-US" w:eastAsia="en-US"/>
        </w:rPr>
        <w:t xml:space="preserve"> had been violated</w:t>
      </w:r>
      <w:r w:rsidR="002B7B3B" w:rsidRPr="00012C3F">
        <w:rPr>
          <w:rFonts w:eastAsia="Calibri" w:cs="Arial"/>
          <w:sz w:val="20"/>
          <w:szCs w:val="20"/>
          <w:lang w:val="en-US" w:eastAsia="en-US"/>
        </w:rPr>
        <w:t xml:space="preserve"> </w:t>
      </w:r>
      <w:r w:rsidR="005E5012" w:rsidRPr="00012C3F">
        <w:rPr>
          <w:rFonts w:eastAsia="Calibri" w:cs="Arial"/>
          <w:sz w:val="20"/>
          <w:szCs w:val="20"/>
          <w:lang w:val="en-US" w:eastAsia="en-US"/>
        </w:rPr>
        <w:t>to the detriment of</w:t>
      </w:r>
      <w:r w:rsidR="002B7B3B" w:rsidRPr="00012C3F">
        <w:rPr>
          <w:rFonts w:eastAsia="Calibri" w:cs="Arial"/>
          <w:sz w:val="20"/>
          <w:szCs w:val="20"/>
          <w:lang w:val="en-US" w:eastAsia="en-US"/>
        </w:rPr>
        <w:t xml:space="preserve"> </w:t>
      </w:r>
      <w:r w:rsidR="000E1C11" w:rsidRPr="00012C3F">
        <w:rPr>
          <w:rFonts w:eastAsia="Calibri" w:cs="Arial"/>
          <w:sz w:val="20"/>
          <w:szCs w:val="20"/>
          <w:lang w:val="en-US" w:eastAsia="en-US"/>
        </w:rPr>
        <w:t>I.V.</w:t>
      </w:r>
      <w:r w:rsidR="0042314F" w:rsidRPr="00012C3F">
        <w:rPr>
          <w:rFonts w:eastAsia="Calibri" w:cs="Arial"/>
          <w:sz w:val="20"/>
          <w:szCs w:val="20"/>
          <w:lang w:val="en-US" w:eastAsia="en-US"/>
        </w:rPr>
        <w:t xml:space="preserve"> The first part of this paragraph establishes that</w:t>
      </w:r>
      <w:r w:rsidR="00502B43" w:rsidRPr="00012C3F">
        <w:rPr>
          <w:rFonts w:eastAsia="Calibri" w:cs="Arial"/>
          <w:sz w:val="20"/>
          <w:szCs w:val="20"/>
          <w:lang w:val="en-US" w:eastAsia="en-US"/>
        </w:rPr>
        <w:t>: “[n]</w:t>
      </w:r>
      <w:r w:rsidR="0042314F" w:rsidRPr="00012C3F">
        <w:rPr>
          <w:rFonts w:eastAsia="Calibri" w:cs="Arial"/>
          <w:sz w:val="20"/>
          <w:szCs w:val="20"/>
          <w:lang w:val="en-US" w:eastAsia="en-US"/>
        </w:rPr>
        <w:t xml:space="preserve">o one shall be subjected to </w:t>
      </w:r>
      <w:r w:rsidR="00502B43" w:rsidRPr="00012C3F">
        <w:rPr>
          <w:rFonts w:eastAsia="Calibri" w:cs="Arial"/>
          <w:sz w:val="20"/>
          <w:szCs w:val="20"/>
          <w:lang w:val="en-US" w:eastAsia="en-US"/>
        </w:rPr>
        <w:t>tortur</w:t>
      </w:r>
      <w:r w:rsidR="0042314F" w:rsidRPr="00012C3F">
        <w:rPr>
          <w:rFonts w:eastAsia="Calibri" w:cs="Arial"/>
          <w:sz w:val="20"/>
          <w:szCs w:val="20"/>
          <w:lang w:val="en-US" w:eastAsia="en-US"/>
        </w:rPr>
        <w:t>e or</w:t>
      </w:r>
      <w:r w:rsidR="00502B43" w:rsidRPr="00012C3F">
        <w:rPr>
          <w:rFonts w:eastAsia="Calibri" w:cs="Arial"/>
          <w:sz w:val="20"/>
          <w:szCs w:val="20"/>
          <w:lang w:val="en-US" w:eastAsia="en-US"/>
        </w:rPr>
        <w:t xml:space="preserve"> </w:t>
      </w:r>
      <w:r w:rsidR="007733E6" w:rsidRPr="00012C3F">
        <w:rPr>
          <w:rFonts w:eastAsia="Calibri" w:cs="Arial"/>
          <w:sz w:val="20"/>
          <w:szCs w:val="20"/>
          <w:lang w:val="en-US" w:eastAsia="en-US"/>
        </w:rPr>
        <w:t>cruel, inhuman or degrading treatment or punishment</w:t>
      </w:r>
      <w:r w:rsidR="0042314F" w:rsidRPr="00012C3F">
        <w:rPr>
          <w:rFonts w:eastAsia="Calibri" w:cs="Arial"/>
          <w:sz w:val="20"/>
          <w:szCs w:val="20"/>
          <w:lang w:val="en-US" w:eastAsia="en-US"/>
        </w:rPr>
        <w:t>.</w:t>
      </w:r>
      <w:r w:rsidR="00502B43" w:rsidRPr="00012C3F">
        <w:rPr>
          <w:rFonts w:eastAsia="Calibri" w:cs="Arial"/>
          <w:sz w:val="20"/>
          <w:szCs w:val="20"/>
          <w:lang w:val="en-US" w:eastAsia="en-US"/>
        </w:rPr>
        <w:t>”</w:t>
      </w:r>
      <w:r w:rsidR="0042314F" w:rsidRPr="00012C3F">
        <w:rPr>
          <w:rFonts w:eastAsia="Calibri" w:cs="Arial"/>
          <w:sz w:val="20"/>
          <w:szCs w:val="20"/>
          <w:lang w:val="en-US" w:eastAsia="en-US"/>
        </w:rPr>
        <w:t xml:space="preserve"> Following the reasoning of the Special Rapporteur on torture or cruel, inhuman or degrading treatment or punishment,</w:t>
      </w:r>
      <w:r w:rsidR="00502B43" w:rsidRPr="00012C3F">
        <w:rPr>
          <w:rFonts w:eastAsia="Calibri"/>
          <w:sz w:val="20"/>
          <w:szCs w:val="20"/>
          <w:vertAlign w:val="superscript"/>
          <w:lang w:val="en-US" w:eastAsia="en-US"/>
        </w:rPr>
        <w:footnoteReference w:id="340"/>
      </w:r>
      <w:r w:rsidR="0042314F" w:rsidRPr="00012C3F">
        <w:rPr>
          <w:rFonts w:eastAsia="Calibri" w:cs="Arial"/>
          <w:sz w:val="20"/>
          <w:szCs w:val="20"/>
          <w:lang w:val="en-US" w:eastAsia="en-US"/>
        </w:rPr>
        <w:t xml:space="preserve"> she indicated that it was important to</w:t>
      </w:r>
      <w:r w:rsidR="00877DF8" w:rsidRPr="00012C3F">
        <w:rPr>
          <w:rFonts w:eastAsia="Calibri" w:cs="Arial"/>
          <w:sz w:val="20"/>
          <w:szCs w:val="20"/>
          <w:lang w:val="en-US" w:eastAsia="en-US"/>
        </w:rPr>
        <w:t xml:space="preserve"> identify certain abuses in medical and hospital care not as mere violations of the right to health, but also as forms of torture and ill-treatment</w:t>
      </w:r>
      <w:r w:rsidR="00BD30A1" w:rsidRPr="00012C3F">
        <w:rPr>
          <w:rFonts w:eastAsia="Calibri" w:cs="Arial"/>
          <w:sz w:val="20"/>
          <w:szCs w:val="20"/>
          <w:lang w:val="en-US" w:eastAsia="en-US"/>
        </w:rPr>
        <w:t>, while</w:t>
      </w:r>
      <w:r w:rsidR="00877DF8" w:rsidRPr="00012C3F">
        <w:rPr>
          <w:rFonts w:eastAsia="Calibri" w:cs="Arial"/>
          <w:sz w:val="20"/>
          <w:szCs w:val="20"/>
          <w:lang w:val="en-US" w:eastAsia="en-US"/>
        </w:rPr>
        <w:t xml:space="preserve"> recogniz</w:t>
      </w:r>
      <w:r w:rsidR="00BD30A1" w:rsidRPr="00012C3F">
        <w:rPr>
          <w:rFonts w:eastAsia="Calibri" w:cs="Arial"/>
          <w:sz w:val="20"/>
          <w:szCs w:val="20"/>
          <w:lang w:val="en-US" w:eastAsia="en-US"/>
        </w:rPr>
        <w:t>ing</w:t>
      </w:r>
      <w:r w:rsidR="00877DF8" w:rsidRPr="00012C3F">
        <w:rPr>
          <w:rFonts w:eastAsia="Calibri" w:cs="Arial"/>
          <w:sz w:val="20"/>
          <w:szCs w:val="20"/>
          <w:lang w:val="en-US" w:eastAsia="en-US"/>
        </w:rPr>
        <w:t xml:space="preserve"> that “[t]he conceptualization of the abuses committed in health-care settings as torture or ill-treatment </w:t>
      </w:r>
      <w:r w:rsidR="00BD30A1" w:rsidRPr="00012C3F">
        <w:rPr>
          <w:rFonts w:eastAsia="Calibri" w:cs="Arial"/>
          <w:sz w:val="20"/>
          <w:szCs w:val="20"/>
          <w:lang w:val="en-US" w:eastAsia="en-US"/>
        </w:rPr>
        <w:t>is</w:t>
      </w:r>
      <w:r w:rsidR="00877DF8" w:rsidRPr="00012C3F">
        <w:rPr>
          <w:rFonts w:eastAsia="Calibri" w:cs="Arial"/>
          <w:sz w:val="20"/>
          <w:szCs w:val="20"/>
          <w:lang w:val="en-US" w:eastAsia="en-US"/>
        </w:rPr>
        <w:t xml:space="preserve"> a relatively recent phenomenon.”</w:t>
      </w:r>
    </w:p>
    <w:p w14:paraId="48376016" w14:textId="77777777" w:rsidR="00502B43" w:rsidRPr="00012C3F" w:rsidRDefault="00502B43" w:rsidP="0042314F">
      <w:pPr>
        <w:widowControl/>
        <w:tabs>
          <w:tab w:val="left" w:pos="720"/>
        </w:tabs>
        <w:autoSpaceDE w:val="0"/>
        <w:autoSpaceDN w:val="0"/>
        <w:spacing w:line="240" w:lineRule="auto"/>
        <w:textAlignment w:val="auto"/>
        <w:rPr>
          <w:rFonts w:eastAsia="Calibri" w:cs="Arial"/>
          <w:sz w:val="20"/>
          <w:szCs w:val="20"/>
          <w:lang w:val="en-US" w:eastAsia="en-US"/>
        </w:rPr>
      </w:pPr>
    </w:p>
    <w:p w14:paraId="0F6E07A2" w14:textId="77777777" w:rsidR="00502B43" w:rsidRPr="00012C3F" w:rsidRDefault="00877DF8" w:rsidP="00877DF8">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Arial"/>
          <w:sz w:val="20"/>
          <w:szCs w:val="20"/>
          <w:lang w:val="en-US" w:eastAsia="en-US"/>
        </w:rPr>
        <w:t>I</w:t>
      </w:r>
      <w:r w:rsidR="00502B43" w:rsidRPr="00012C3F">
        <w:rPr>
          <w:rFonts w:eastAsia="Calibri" w:cs="Arial"/>
          <w:sz w:val="20"/>
          <w:szCs w:val="20"/>
          <w:lang w:val="en-US" w:eastAsia="en-US"/>
        </w:rPr>
        <w:t xml:space="preserve">n </w:t>
      </w:r>
      <w:r w:rsidR="00502B43" w:rsidRPr="00012C3F">
        <w:rPr>
          <w:rFonts w:eastAsiaTheme="minorHAnsi" w:cs="Arial"/>
          <w:sz w:val="20"/>
          <w:szCs w:val="20"/>
          <w:lang w:val="en-US" w:eastAsia="en-US"/>
        </w:rPr>
        <w:t>particular</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she argued that, on</w:t>
      </w:r>
      <w:r w:rsidR="00502B43" w:rsidRPr="00012C3F">
        <w:rPr>
          <w:rFonts w:eastAsia="Calibri" w:cs="Arial"/>
          <w:sz w:val="20"/>
          <w:szCs w:val="20"/>
          <w:lang w:val="en-US" w:eastAsia="en-US"/>
        </w:rPr>
        <w:t xml:space="preserve"> </w:t>
      </w:r>
      <w:r w:rsidR="00566357" w:rsidRPr="00012C3F">
        <w:rPr>
          <w:rFonts w:eastAsia="Calibri" w:cs="Arial"/>
          <w:sz w:val="20"/>
          <w:szCs w:val="20"/>
          <w:lang w:val="en-US" w:eastAsia="en-US"/>
        </w:rPr>
        <w:t>July 1,</w:t>
      </w:r>
      <w:r w:rsidR="00502B43" w:rsidRPr="00012C3F">
        <w:rPr>
          <w:rFonts w:eastAsia="Calibri" w:cs="Arial"/>
          <w:sz w:val="20"/>
          <w:szCs w:val="20"/>
          <w:lang w:val="en-US" w:eastAsia="en-US"/>
        </w:rPr>
        <w:t xml:space="preserve"> 2000</w:t>
      </w:r>
      <w:r w:rsidRPr="00012C3F">
        <w:rPr>
          <w:rFonts w:eastAsia="Calibri" w:cs="Arial"/>
          <w:sz w:val="20"/>
          <w:szCs w:val="20"/>
          <w:lang w:val="en-US" w:eastAsia="en-US"/>
        </w:rPr>
        <w:t>,</w:t>
      </w:r>
      <w:r w:rsidR="00502B43" w:rsidRPr="00012C3F">
        <w:rPr>
          <w:rFonts w:eastAsia="Calibri" w:cs="Arial"/>
          <w:sz w:val="20"/>
          <w:szCs w:val="20"/>
          <w:lang w:val="en-US" w:eastAsia="en-US"/>
        </w:rPr>
        <w:t xml:space="preserve"> </w:t>
      </w:r>
      <w:r w:rsidR="000E1C11" w:rsidRPr="00012C3F">
        <w:rPr>
          <w:rFonts w:eastAsia="Calibri" w:cs="Arial"/>
          <w:sz w:val="20"/>
          <w:szCs w:val="20"/>
          <w:lang w:val="en-US" w:eastAsia="en-US"/>
        </w:rPr>
        <w:t>I.V.</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 xml:space="preserve">was in a situation of […] total defenselessness, on an operating table, under the absolute control of a medical team who took the decision on her behalf, without prior, full, free and informed consent, to subject her to a tubal ligation.” She indicated that the procedure performed on I.V. was </w:t>
      </w:r>
      <w:r w:rsidR="007A5FA4" w:rsidRPr="00012C3F">
        <w:rPr>
          <w:rFonts w:eastAsia="Calibri" w:cs="Arial"/>
          <w:sz w:val="20"/>
          <w:szCs w:val="20"/>
          <w:lang w:val="en-US" w:eastAsia="en-US"/>
        </w:rPr>
        <w:t xml:space="preserve">totally invasive and irreversible, because in I.V.’s case, “there was no need, urgency or vital reason related to the patient’s survival for the doctors to proceed as they did.” Therefore, she </w:t>
      </w:r>
      <w:r w:rsidR="00BD30A1" w:rsidRPr="00012C3F">
        <w:rPr>
          <w:rFonts w:eastAsia="Calibri" w:cs="Arial"/>
          <w:sz w:val="20"/>
          <w:szCs w:val="20"/>
          <w:lang w:val="en-US" w:eastAsia="en-US"/>
        </w:rPr>
        <w:t>argued</w:t>
      </w:r>
      <w:r w:rsidR="007A5FA4" w:rsidRPr="00012C3F">
        <w:rPr>
          <w:rFonts w:eastAsia="Calibri" w:cs="Arial"/>
          <w:sz w:val="20"/>
          <w:szCs w:val="20"/>
          <w:lang w:val="en-US" w:eastAsia="en-US"/>
        </w:rPr>
        <w:t xml:space="preserve"> that I.V. “was a victim of cruel, inhuman and degrading treatment, if it was not torture.” She supported her argument and petition on “the consistent case law” of the European Court of Human Rights which, in cases relating to sterilizations performed on women who had not given their prior, full, free and informed consent, ha</w:t>
      </w:r>
      <w:r w:rsidR="00BD30A1" w:rsidRPr="00012C3F">
        <w:rPr>
          <w:rFonts w:eastAsia="Calibri" w:cs="Arial"/>
          <w:sz w:val="20"/>
          <w:szCs w:val="20"/>
          <w:lang w:val="en-US" w:eastAsia="en-US"/>
        </w:rPr>
        <w:t>s</w:t>
      </w:r>
      <w:r w:rsidR="007A5FA4" w:rsidRPr="00012C3F">
        <w:rPr>
          <w:rFonts w:eastAsia="Calibri" w:cs="Arial"/>
          <w:sz w:val="20"/>
          <w:szCs w:val="20"/>
          <w:lang w:val="en-US" w:eastAsia="en-US"/>
        </w:rPr>
        <w:t xml:space="preserve"> established the perpetration of inhuman and degrading treatment prohibited by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3 </w:t>
      </w:r>
      <w:r w:rsidR="007A5FA4" w:rsidRPr="00012C3F">
        <w:rPr>
          <w:rFonts w:eastAsia="Calibri" w:cs="Arial"/>
          <w:sz w:val="20"/>
          <w:szCs w:val="20"/>
          <w:lang w:val="en-US" w:eastAsia="en-US"/>
        </w:rPr>
        <w:t>of the European Convention</w:t>
      </w:r>
      <w:r w:rsidR="00502B43" w:rsidRPr="00012C3F">
        <w:rPr>
          <w:rFonts w:eastAsia="Calibri" w:cs="Arial"/>
          <w:sz w:val="20"/>
          <w:szCs w:val="20"/>
          <w:lang w:val="en-US" w:eastAsia="en-US"/>
        </w:rPr>
        <w:t>.</w:t>
      </w:r>
    </w:p>
    <w:p w14:paraId="0B278AF3" w14:textId="77777777" w:rsidR="00502B43" w:rsidRPr="00012C3F" w:rsidRDefault="00502B43" w:rsidP="0042314F">
      <w:pPr>
        <w:widowControl/>
        <w:tabs>
          <w:tab w:val="left" w:pos="720"/>
        </w:tabs>
        <w:autoSpaceDE w:val="0"/>
        <w:autoSpaceDN w:val="0"/>
        <w:spacing w:line="240" w:lineRule="auto"/>
        <w:textAlignment w:val="auto"/>
        <w:rPr>
          <w:rFonts w:eastAsia="Calibri" w:cs="Arial"/>
          <w:sz w:val="20"/>
          <w:szCs w:val="20"/>
          <w:lang w:val="en-US" w:eastAsia="en-US"/>
        </w:rPr>
      </w:pPr>
    </w:p>
    <w:p w14:paraId="070A4F7E" w14:textId="77777777" w:rsidR="008F606A" w:rsidRPr="00012C3F" w:rsidRDefault="007A5FA4" w:rsidP="007A5FA4">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Theme="minorHAnsi" w:cs="Arial"/>
          <w:sz w:val="20"/>
          <w:szCs w:val="20"/>
          <w:lang w:val="en-US" w:eastAsia="en-US"/>
        </w:rPr>
        <w:t xml:space="preserve">She added that, “as the doctrine and case law of international human rights law establishes, for an act to be considered one of the conducts prohibited by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w:t>
      </w:r>
      <w:r w:rsidR="00B257AF" w:rsidRPr="00012C3F">
        <w:rPr>
          <w:rFonts w:eastAsia="Calibri" w:cs="Arial"/>
          <w:sz w:val="20"/>
          <w:szCs w:val="20"/>
          <w:lang w:val="en-US" w:eastAsia="en-US"/>
        </w:rPr>
        <w:t>5(2)</w:t>
      </w:r>
      <w:r w:rsidRPr="00012C3F">
        <w:rPr>
          <w:rFonts w:eastAsia="Calibri" w:cs="Arial"/>
          <w:sz w:val="20"/>
          <w:szCs w:val="20"/>
          <w:lang w:val="en-US" w:eastAsia="en-US"/>
        </w:rPr>
        <w:t xml:space="preserve"> of the </w:t>
      </w:r>
      <w:r w:rsidR="00E87DE3" w:rsidRPr="00012C3F">
        <w:rPr>
          <w:rFonts w:eastAsia="Calibri" w:cs="Arial"/>
          <w:sz w:val="20"/>
          <w:szCs w:val="20"/>
          <w:lang w:val="en-US" w:eastAsia="en-US"/>
        </w:rPr>
        <w:t>[</w:t>
      </w:r>
      <w:r w:rsidRPr="00012C3F">
        <w:rPr>
          <w:rFonts w:eastAsia="Calibri" w:cs="Arial"/>
          <w:sz w:val="20"/>
          <w:szCs w:val="20"/>
          <w:lang w:val="en-US" w:eastAsia="en-US"/>
        </w:rPr>
        <w:t xml:space="preserve">American </w:t>
      </w:r>
      <w:r w:rsidR="00502B43" w:rsidRPr="00012C3F">
        <w:rPr>
          <w:rFonts w:eastAsia="Calibri" w:cs="Arial"/>
          <w:sz w:val="20"/>
          <w:szCs w:val="20"/>
          <w:lang w:val="en-US" w:eastAsia="en-US"/>
        </w:rPr>
        <w:t>Conven</w:t>
      </w:r>
      <w:r w:rsidRPr="00012C3F">
        <w:rPr>
          <w:rFonts w:eastAsia="Calibri" w:cs="Arial"/>
          <w:sz w:val="20"/>
          <w:szCs w:val="20"/>
          <w:lang w:val="en-US" w:eastAsia="en-US"/>
        </w:rPr>
        <w:t>tion</w:t>
      </w:r>
      <w:r w:rsidR="00E87DE3" w:rsidRPr="00012C3F">
        <w:rPr>
          <w:rFonts w:eastAsia="Calibri" w:cs="Arial"/>
          <w:sz w:val="20"/>
          <w:szCs w:val="20"/>
          <w:lang w:val="en-US" w:eastAsia="en-US"/>
        </w:rPr>
        <w:t>]</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special attention</w:t>
      </w:r>
      <w:r w:rsidR="00BD30A1" w:rsidRPr="00012C3F">
        <w:rPr>
          <w:rFonts w:eastAsia="Calibri" w:cs="Arial"/>
          <w:sz w:val="20"/>
          <w:szCs w:val="20"/>
          <w:lang w:val="en-US" w:eastAsia="en-US"/>
        </w:rPr>
        <w:t xml:space="preserve"> must be paid</w:t>
      </w:r>
      <w:r w:rsidRPr="00012C3F">
        <w:rPr>
          <w:rFonts w:eastAsia="Calibri" w:cs="Arial"/>
          <w:sz w:val="20"/>
          <w:szCs w:val="20"/>
          <w:lang w:val="en-US" w:eastAsia="en-US"/>
        </w:rPr>
        <w:t xml:space="preserve"> to the situation and particular circumstances of the victim.”  In this case, reviewing</w:t>
      </w:r>
      <w:r w:rsidR="008F606A" w:rsidRPr="00012C3F">
        <w:rPr>
          <w:rFonts w:eastAsia="Calibri" w:cs="Arial"/>
          <w:sz w:val="20"/>
          <w:szCs w:val="20"/>
          <w:lang w:val="en-US" w:eastAsia="en-US"/>
        </w:rPr>
        <w:t xml:space="preserve"> I.V.’s life history, she affirmed that “[a] woman with a history of torture in Peru; arbitrary imprisonment because of her ideas; persecution that obliged her to take refuge in a foreign country; losses of people close to her in violent circumstances […], this is someone with regard to whom the threshold to consider her a victim of torture and cruel, inhuman or degrading treatment is much lower than that of most people […], in addition to the severity of the harm caused to I.V., her intense suffering for more than 15 years as an aftereffect of the </w:t>
      </w:r>
      <w:r w:rsidR="00570C15" w:rsidRPr="00012C3F">
        <w:rPr>
          <w:rFonts w:eastAsia="Calibri" w:cs="Arial"/>
          <w:sz w:val="20"/>
          <w:szCs w:val="20"/>
          <w:lang w:val="en-US" w:eastAsia="en-US"/>
        </w:rPr>
        <w:t>forced sterilization</w:t>
      </w:r>
      <w:r w:rsidR="00502B43" w:rsidRPr="00012C3F">
        <w:rPr>
          <w:rFonts w:eastAsia="Calibri" w:cs="Arial"/>
          <w:sz w:val="20"/>
          <w:szCs w:val="20"/>
          <w:lang w:val="en-US" w:eastAsia="en-US"/>
        </w:rPr>
        <w:t xml:space="preserve"> </w:t>
      </w:r>
      <w:r w:rsidR="008F606A" w:rsidRPr="00012C3F">
        <w:rPr>
          <w:rFonts w:eastAsia="Calibri" w:cs="Arial"/>
          <w:sz w:val="20"/>
          <w:szCs w:val="20"/>
          <w:lang w:val="en-US" w:eastAsia="en-US"/>
        </w:rPr>
        <w:t>to which she was subjected without being consulted and without obtaining her prior, full, free and informed consent, and in light of the preceding considerations, especially those formulated by the European Court’s Rapporteurs on Torture, it is clear that the right of I.V. contained in Article 5(2) of the [American Convention] was also violated.”</w:t>
      </w:r>
    </w:p>
    <w:p w14:paraId="319845A1" w14:textId="77777777" w:rsidR="00502B43" w:rsidRPr="00012C3F" w:rsidRDefault="00502B43" w:rsidP="00502B43">
      <w:pPr>
        <w:widowControl/>
        <w:autoSpaceDE w:val="0"/>
        <w:autoSpaceDN w:val="0"/>
        <w:spacing w:line="240" w:lineRule="auto"/>
        <w:textAlignment w:val="auto"/>
        <w:rPr>
          <w:rFonts w:eastAsia="Calibri" w:cs="Arial"/>
          <w:sz w:val="20"/>
          <w:szCs w:val="20"/>
          <w:lang w:val="en-US" w:eastAsia="en-US"/>
        </w:rPr>
      </w:pPr>
    </w:p>
    <w:p w14:paraId="39B3F573" w14:textId="77777777" w:rsidR="00502B43" w:rsidRPr="00012C3F" w:rsidRDefault="00A84CA0" w:rsidP="00FF3FCB">
      <w:pPr>
        <w:numPr>
          <w:ilvl w:val="0"/>
          <w:numId w:val="5"/>
        </w:numPr>
        <w:tabs>
          <w:tab w:val="left" w:pos="720"/>
          <w:tab w:val="num" w:pos="12305"/>
        </w:tabs>
        <w:spacing w:line="240" w:lineRule="auto"/>
        <w:ind w:left="0" w:firstLine="0"/>
        <w:rPr>
          <w:rFonts w:eastAsia="Calibri" w:cs="Arial"/>
          <w:sz w:val="16"/>
          <w:szCs w:val="16"/>
          <w:lang w:val="en-US" w:eastAsia="en-US"/>
        </w:rPr>
      </w:pPr>
      <w:r w:rsidRPr="00012C3F">
        <w:rPr>
          <w:rFonts w:eastAsia="Calibri" w:cs="Arial"/>
          <w:sz w:val="20"/>
          <w:szCs w:val="20"/>
          <w:lang w:val="en-US" w:eastAsia="en-US"/>
        </w:rPr>
        <w:t xml:space="preserve">The </w:t>
      </w:r>
      <w:r w:rsidRPr="00012C3F">
        <w:rPr>
          <w:rFonts w:eastAsia="Calibri" w:cs="Arial"/>
          <w:b/>
          <w:bCs/>
          <w:i/>
          <w:iCs/>
          <w:sz w:val="20"/>
          <w:szCs w:val="20"/>
          <w:lang w:val="en-US" w:eastAsia="en-US"/>
        </w:rPr>
        <w:t>State</w:t>
      </w:r>
      <w:r w:rsidR="00502B43" w:rsidRPr="00012C3F">
        <w:rPr>
          <w:rFonts w:eastAsia="Calibri" w:cs="Arial"/>
          <w:sz w:val="20"/>
          <w:szCs w:val="20"/>
          <w:lang w:val="en-US" w:eastAsia="en-US"/>
        </w:rPr>
        <w:t xml:space="preserve"> </w:t>
      </w:r>
      <w:r w:rsidR="008F606A" w:rsidRPr="00012C3F">
        <w:rPr>
          <w:rFonts w:eastAsia="Calibri" w:cs="Arial"/>
          <w:sz w:val="20"/>
          <w:szCs w:val="20"/>
          <w:lang w:val="en-US" w:eastAsia="en-US"/>
        </w:rPr>
        <w:t>indicated that</w:t>
      </w:r>
      <w:r w:rsidR="00502B43" w:rsidRPr="00012C3F">
        <w:rPr>
          <w:rFonts w:eastAsia="Calibri" w:cs="Arial"/>
          <w:sz w:val="20"/>
          <w:szCs w:val="20"/>
          <w:lang w:val="en-US" w:eastAsia="en-US"/>
        </w:rPr>
        <w:t xml:space="preserve"> “[</w:t>
      </w:r>
      <w:r w:rsidR="008F606A" w:rsidRPr="00012C3F">
        <w:rPr>
          <w:rFonts w:eastAsia="Calibri" w:cs="Arial"/>
          <w:sz w:val="20"/>
          <w:szCs w:val="20"/>
          <w:lang w:val="en-US" w:eastAsia="en-US"/>
        </w:rPr>
        <w:t>t</w:t>
      </w:r>
      <w:r w:rsidR="00502B43" w:rsidRPr="00012C3F">
        <w:rPr>
          <w:rFonts w:eastAsia="Calibri" w:cs="Arial"/>
          <w:sz w:val="20"/>
          <w:szCs w:val="20"/>
          <w:lang w:val="en-US" w:eastAsia="en-US"/>
        </w:rPr>
        <w:t>]</w:t>
      </w:r>
      <w:r w:rsidR="008F606A" w:rsidRPr="00012C3F">
        <w:rPr>
          <w:rFonts w:eastAsia="Calibri" w:cs="Arial"/>
          <w:sz w:val="20"/>
          <w:szCs w:val="20"/>
          <w:lang w:val="en-US" w:eastAsia="en-US"/>
        </w:rPr>
        <w:t xml:space="preserve">he arguments presented by </w:t>
      </w:r>
      <w:r w:rsidR="00972ACF" w:rsidRPr="00012C3F">
        <w:rPr>
          <w:rFonts w:eastAsia="Calibri" w:cs="Arial"/>
          <w:sz w:val="20"/>
          <w:szCs w:val="20"/>
          <w:lang w:val="en-US" w:eastAsia="en-US"/>
        </w:rPr>
        <w:t>the representative</w:t>
      </w:r>
      <w:r w:rsidR="008F606A" w:rsidRPr="00012C3F">
        <w:rPr>
          <w:rFonts w:eastAsia="Calibri" w:cs="Arial"/>
          <w:sz w:val="20"/>
          <w:szCs w:val="20"/>
          <w:lang w:val="en-US" w:eastAsia="en-US"/>
        </w:rPr>
        <w:t>, attributing</w:t>
      </w:r>
      <w:r w:rsidR="00FF3FCB" w:rsidRPr="00012C3F">
        <w:rPr>
          <w:rFonts w:eastAsia="Calibri" w:cs="Arial"/>
          <w:sz w:val="20"/>
          <w:szCs w:val="20"/>
          <w:lang w:val="en-US" w:eastAsia="en-US"/>
        </w:rPr>
        <w:t xml:space="preserve"> presumed facts</w:t>
      </w:r>
      <w:r w:rsidR="008F606A" w:rsidRPr="00012C3F">
        <w:rPr>
          <w:rFonts w:eastAsia="Calibri" w:cs="Arial"/>
          <w:sz w:val="20"/>
          <w:szCs w:val="20"/>
          <w:lang w:val="en-US" w:eastAsia="en-US"/>
        </w:rPr>
        <w:t xml:space="preserve"> to the Stat</w:t>
      </w:r>
      <w:r w:rsidR="00FF3FCB" w:rsidRPr="00012C3F">
        <w:rPr>
          <w:rFonts w:eastAsia="Calibri" w:cs="Arial"/>
          <w:sz w:val="20"/>
          <w:szCs w:val="20"/>
          <w:lang w:val="en-US" w:eastAsia="en-US"/>
        </w:rPr>
        <w:t xml:space="preserve">e combine two contexts: the first, regarding the psycho-social situation of I.V.  as a result of the actions carried out by the </w:t>
      </w:r>
      <w:r w:rsidR="00502B43" w:rsidRPr="00012C3F">
        <w:rPr>
          <w:rFonts w:eastAsia="Calibri" w:cs="Arial"/>
          <w:sz w:val="20"/>
          <w:szCs w:val="20"/>
          <w:lang w:val="en-US" w:eastAsia="en-US"/>
        </w:rPr>
        <w:t xml:space="preserve">DINCOTE </w:t>
      </w:r>
      <w:r w:rsidR="00FF3FCB" w:rsidRPr="00012C3F">
        <w:rPr>
          <w:rFonts w:eastAsia="Calibri" w:cs="Arial"/>
          <w:sz w:val="20"/>
          <w:szCs w:val="20"/>
          <w:lang w:val="en-US" w:eastAsia="en-US"/>
        </w:rPr>
        <w:t>in Peru, and the second, the catharsis undergone by I.V. presumably as a result of the tubal ligation.</w:t>
      </w:r>
      <w:r w:rsidR="00502B43" w:rsidRPr="00012C3F">
        <w:rPr>
          <w:rFonts w:eastAsia="Calibri" w:cs="Arial"/>
          <w:sz w:val="20"/>
          <w:szCs w:val="20"/>
          <w:lang w:val="en-US" w:eastAsia="en-US"/>
        </w:rPr>
        <w:t>”</w:t>
      </w:r>
      <w:r w:rsidR="00FF3FCB" w:rsidRPr="00012C3F">
        <w:rPr>
          <w:rFonts w:eastAsia="Calibri" w:cs="Arial"/>
          <w:sz w:val="20"/>
          <w:szCs w:val="20"/>
          <w:lang w:val="en-US" w:eastAsia="en-US"/>
        </w:rPr>
        <w:t xml:space="preserve"> In this regard, it indicated that: (i) the alleged acts of torture were committed in Peru; (ii) the surgical procedure of tubal ligation was a voluntary decision by I.V., and not an act of torture; (iii) the presumed acts of torture that took place in Peru cannot be compared to the said surgical procedure, and (iv) </w:t>
      </w:r>
      <w:r w:rsidRPr="00012C3F">
        <w:rPr>
          <w:rFonts w:eastAsia="Calibri" w:cs="Arial"/>
          <w:sz w:val="20"/>
          <w:szCs w:val="20"/>
          <w:lang w:val="en-US" w:eastAsia="en-US"/>
        </w:rPr>
        <w:t>the Bolivian State</w:t>
      </w:r>
      <w:r w:rsidR="00502B43" w:rsidRPr="00012C3F">
        <w:rPr>
          <w:rFonts w:eastAsia="Calibri" w:cs="Arial"/>
          <w:sz w:val="20"/>
          <w:szCs w:val="20"/>
          <w:lang w:val="en-US" w:eastAsia="en-US"/>
        </w:rPr>
        <w:t xml:space="preserve"> </w:t>
      </w:r>
      <w:r w:rsidR="00FF3FCB" w:rsidRPr="00012C3F">
        <w:rPr>
          <w:rFonts w:eastAsia="Calibri" w:cs="Arial"/>
          <w:sz w:val="20"/>
          <w:szCs w:val="20"/>
          <w:lang w:val="en-US" w:eastAsia="en-US"/>
        </w:rPr>
        <w:t xml:space="preserve">should not </w:t>
      </w:r>
      <w:r w:rsidR="00BD30A1" w:rsidRPr="00012C3F">
        <w:rPr>
          <w:rFonts w:eastAsia="Calibri" w:cs="Arial"/>
          <w:sz w:val="20"/>
          <w:szCs w:val="20"/>
          <w:lang w:val="en-US" w:eastAsia="en-US"/>
        </w:rPr>
        <w:t xml:space="preserve">have to </w:t>
      </w:r>
      <w:r w:rsidR="00FF3FCB" w:rsidRPr="00012C3F">
        <w:rPr>
          <w:rFonts w:eastAsia="Calibri" w:cs="Arial"/>
          <w:sz w:val="20"/>
          <w:szCs w:val="20"/>
          <w:lang w:val="en-US" w:eastAsia="en-US"/>
        </w:rPr>
        <w:t xml:space="preserve">repair the </w:t>
      </w:r>
      <w:r w:rsidR="00BD30A1" w:rsidRPr="00012C3F">
        <w:rPr>
          <w:rFonts w:eastAsia="Calibri" w:cs="Arial"/>
          <w:sz w:val="20"/>
          <w:szCs w:val="20"/>
          <w:lang w:val="en-US" w:eastAsia="en-US"/>
        </w:rPr>
        <w:t>consequences</w:t>
      </w:r>
      <w:r w:rsidR="00FF3FCB" w:rsidRPr="00012C3F">
        <w:rPr>
          <w:rFonts w:eastAsia="Calibri" w:cs="Arial"/>
          <w:sz w:val="20"/>
          <w:szCs w:val="20"/>
          <w:lang w:val="en-US" w:eastAsia="en-US"/>
        </w:rPr>
        <w:t xml:space="preserve"> of the alleged acts of  torture. Consequently, the State </w:t>
      </w:r>
      <w:r w:rsidR="00FF3FCB" w:rsidRPr="00012C3F">
        <w:rPr>
          <w:rFonts w:eastAsia="Calibri" w:cs="Arial"/>
          <w:sz w:val="20"/>
          <w:szCs w:val="20"/>
          <w:lang w:val="en-US" w:eastAsia="en-US"/>
        </w:rPr>
        <w:lastRenderedPageBreak/>
        <w:t xml:space="preserve">repudiated the claim “to attribute international responsibility </w:t>
      </w:r>
      <w:r w:rsidR="00A72600" w:rsidRPr="00012C3F">
        <w:rPr>
          <w:rFonts w:eastAsia="Calibri" w:cs="Arial"/>
          <w:sz w:val="20"/>
          <w:szCs w:val="20"/>
          <w:lang w:val="en-US" w:eastAsia="en-US"/>
        </w:rPr>
        <w:t xml:space="preserve">[to the Bolivian State] </w:t>
      </w:r>
      <w:r w:rsidR="00FF3FCB" w:rsidRPr="00012C3F">
        <w:rPr>
          <w:rFonts w:eastAsia="Calibri" w:cs="Arial"/>
          <w:sz w:val="20"/>
          <w:szCs w:val="20"/>
          <w:lang w:val="en-US" w:eastAsia="en-US"/>
        </w:rPr>
        <w:t>for the facts narrated by the representative</w:t>
      </w:r>
      <w:r w:rsidR="00A72600" w:rsidRPr="00012C3F">
        <w:rPr>
          <w:rFonts w:eastAsia="Calibri" w:cs="Arial"/>
          <w:sz w:val="20"/>
          <w:szCs w:val="20"/>
          <w:lang w:val="en-US" w:eastAsia="en-US"/>
        </w:rPr>
        <w:t xml:space="preserve">, which all respond to actions allegedly suffered in Peru, which reveals that they occurred outside the jurisdiction </w:t>
      </w:r>
      <w:r w:rsidR="004C6FCC" w:rsidRPr="00012C3F">
        <w:rPr>
          <w:rFonts w:eastAsia="Calibri" w:cs="Arial"/>
          <w:sz w:val="20"/>
          <w:szCs w:val="20"/>
          <w:lang w:val="en-US" w:eastAsia="en-US"/>
        </w:rPr>
        <w:t xml:space="preserve">of the </w:t>
      </w:r>
      <w:r w:rsidRPr="00012C3F">
        <w:rPr>
          <w:rFonts w:eastAsia="Calibri" w:cs="Arial"/>
          <w:sz w:val="20"/>
          <w:szCs w:val="20"/>
          <w:lang w:val="en-US" w:eastAsia="en-US"/>
        </w:rPr>
        <w:t>Bolivian State</w:t>
      </w:r>
      <w:r w:rsidR="00502B43" w:rsidRPr="00012C3F">
        <w:rPr>
          <w:rFonts w:eastAsia="Calibri" w:cs="Arial"/>
          <w:sz w:val="20"/>
          <w:szCs w:val="20"/>
          <w:lang w:val="en-US" w:eastAsia="en-US"/>
        </w:rPr>
        <w:t xml:space="preserve"> […]</w:t>
      </w:r>
      <w:r w:rsidR="00A72600" w:rsidRPr="00012C3F">
        <w:rPr>
          <w:rFonts w:eastAsia="Calibri" w:cs="Arial"/>
          <w:sz w:val="20"/>
          <w:szCs w:val="20"/>
          <w:lang w:val="en-US" w:eastAsia="en-US"/>
        </w:rPr>
        <w:t>.</w:t>
      </w:r>
      <w:r w:rsidR="00502B43" w:rsidRPr="00012C3F">
        <w:rPr>
          <w:rFonts w:eastAsia="Calibri" w:cs="Arial"/>
          <w:sz w:val="20"/>
          <w:szCs w:val="20"/>
          <w:lang w:val="en-US" w:eastAsia="en-US"/>
        </w:rPr>
        <w:t>”</w:t>
      </w:r>
      <w:r w:rsidR="00502B43" w:rsidRPr="00012C3F">
        <w:rPr>
          <w:rFonts w:eastAsia="Calibri" w:cs="Arial"/>
          <w:sz w:val="16"/>
          <w:szCs w:val="16"/>
          <w:lang w:val="en-US" w:eastAsia="en-US"/>
        </w:rPr>
        <w:t xml:space="preserve"> </w:t>
      </w:r>
    </w:p>
    <w:p w14:paraId="47DC0CF3" w14:textId="77777777" w:rsidR="00502B43" w:rsidRPr="00012C3F" w:rsidRDefault="00502B43" w:rsidP="00502B43">
      <w:pPr>
        <w:spacing w:line="240" w:lineRule="auto"/>
        <w:rPr>
          <w:lang w:val="en-US"/>
        </w:rPr>
      </w:pPr>
    </w:p>
    <w:p w14:paraId="5FE9ADC0" w14:textId="77777777" w:rsidR="00502B43" w:rsidRPr="00012C3F" w:rsidRDefault="00502B43" w:rsidP="009867D6">
      <w:pPr>
        <w:keepNext/>
        <w:keepLines/>
        <w:tabs>
          <w:tab w:val="left" w:pos="1134"/>
        </w:tabs>
        <w:spacing w:line="240" w:lineRule="auto"/>
        <w:ind w:left="567" w:firstLine="1"/>
        <w:outlineLvl w:val="1"/>
        <w:rPr>
          <w:rFonts w:eastAsia="MS Mincho"/>
          <w:b/>
          <w:bCs/>
          <w:i/>
          <w:sz w:val="20"/>
          <w:szCs w:val="20"/>
          <w:lang w:val="en-US"/>
        </w:rPr>
      </w:pPr>
      <w:bookmarkStart w:id="160" w:name="_Toc27486875"/>
      <w:r w:rsidRPr="00012C3F">
        <w:rPr>
          <w:rFonts w:eastAsia="MS Mincho"/>
          <w:b/>
          <w:bCs/>
          <w:i/>
          <w:sz w:val="20"/>
          <w:szCs w:val="20"/>
          <w:lang w:val="en-US"/>
        </w:rPr>
        <w:t xml:space="preserve">B. </w:t>
      </w:r>
      <w:r w:rsidRPr="00012C3F">
        <w:rPr>
          <w:rFonts w:eastAsia="MS Mincho"/>
          <w:b/>
          <w:bCs/>
          <w:i/>
          <w:sz w:val="20"/>
          <w:szCs w:val="20"/>
          <w:lang w:val="en-US"/>
        </w:rPr>
        <w:tab/>
      </w:r>
      <w:r w:rsidR="006C705C" w:rsidRPr="00012C3F">
        <w:rPr>
          <w:rFonts w:eastAsia="MS Mincho"/>
          <w:b/>
          <w:bCs/>
          <w:i/>
          <w:sz w:val="20"/>
          <w:szCs w:val="20"/>
          <w:lang w:val="en-US"/>
        </w:rPr>
        <w:t>Considerations</w:t>
      </w:r>
      <w:r w:rsidR="001254DE" w:rsidRPr="00012C3F">
        <w:rPr>
          <w:rFonts w:eastAsia="MS Mincho"/>
          <w:b/>
          <w:bCs/>
          <w:i/>
          <w:sz w:val="20"/>
          <w:szCs w:val="20"/>
          <w:lang w:val="en-US"/>
        </w:rPr>
        <w:t xml:space="preserve"> of the Court</w:t>
      </w:r>
      <w:bookmarkEnd w:id="160"/>
    </w:p>
    <w:p w14:paraId="22BB9909" w14:textId="77777777" w:rsidR="009E6D8D" w:rsidRPr="00012C3F" w:rsidRDefault="009E6D8D" w:rsidP="009E6D8D">
      <w:pPr>
        <w:tabs>
          <w:tab w:val="left" w:pos="567"/>
        </w:tabs>
        <w:spacing w:line="240" w:lineRule="auto"/>
        <w:rPr>
          <w:rFonts w:eastAsia="MS Mincho"/>
          <w:sz w:val="20"/>
          <w:szCs w:val="20"/>
          <w:lang w:val="en-US"/>
        </w:rPr>
      </w:pPr>
    </w:p>
    <w:p w14:paraId="11EAB288" w14:textId="77777777" w:rsidR="00502B43" w:rsidRPr="00012C3F" w:rsidRDefault="001254DE" w:rsidP="00AF76D1">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The Court</w:t>
      </w:r>
      <w:r w:rsidR="00502B43" w:rsidRPr="00012C3F">
        <w:rPr>
          <w:rFonts w:eastAsia="MS Mincho"/>
          <w:sz w:val="20"/>
          <w:szCs w:val="20"/>
          <w:lang w:val="en-US"/>
        </w:rPr>
        <w:t xml:space="preserve"> rec</w:t>
      </w:r>
      <w:r w:rsidR="00AF76D1" w:rsidRPr="00012C3F">
        <w:rPr>
          <w:rFonts w:eastAsia="MS Mincho"/>
          <w:sz w:val="20"/>
          <w:szCs w:val="20"/>
          <w:lang w:val="en-US"/>
        </w:rPr>
        <w:t>alls that</w:t>
      </w:r>
      <w:r w:rsidR="00502B43" w:rsidRPr="00012C3F">
        <w:rPr>
          <w:rFonts w:eastAsia="MS Mincho"/>
          <w:sz w:val="20"/>
          <w:szCs w:val="20"/>
          <w:lang w:val="en-US"/>
        </w:rPr>
        <w:t xml:space="preserve"> </w:t>
      </w:r>
      <w:r w:rsidR="00972ACF" w:rsidRPr="00012C3F">
        <w:rPr>
          <w:rFonts w:eastAsia="MS Mincho"/>
          <w:sz w:val="20"/>
          <w:szCs w:val="20"/>
          <w:lang w:val="en-US"/>
        </w:rPr>
        <w:t>the representative</w:t>
      </w:r>
      <w:r w:rsidR="00502B43" w:rsidRPr="00012C3F">
        <w:rPr>
          <w:rFonts w:eastAsia="MS Mincho"/>
          <w:sz w:val="20"/>
          <w:szCs w:val="20"/>
          <w:lang w:val="en-US"/>
        </w:rPr>
        <w:t xml:space="preserve"> </w:t>
      </w:r>
      <w:r w:rsidR="00AF76D1" w:rsidRPr="00012C3F">
        <w:rPr>
          <w:rFonts w:eastAsia="MS Mincho"/>
          <w:sz w:val="20"/>
          <w:szCs w:val="20"/>
          <w:lang w:val="en-US"/>
        </w:rPr>
        <w:t xml:space="preserve">may allege the violation of rights other than those submitted to the Court’s consideration by </w:t>
      </w:r>
      <w:r w:rsidRPr="00012C3F">
        <w:rPr>
          <w:rFonts w:eastAsia="MS Mincho"/>
          <w:sz w:val="20"/>
          <w:szCs w:val="20"/>
          <w:lang w:val="en-US"/>
        </w:rPr>
        <w:t xml:space="preserve">the </w:t>
      </w:r>
      <w:r w:rsidR="00A84CA0" w:rsidRPr="00012C3F">
        <w:rPr>
          <w:rFonts w:eastAsia="MS Mincho"/>
          <w:sz w:val="20"/>
          <w:szCs w:val="20"/>
          <w:lang w:val="en-US"/>
        </w:rPr>
        <w:t>Commission</w:t>
      </w:r>
      <w:r w:rsidR="00502B43" w:rsidRPr="00012C3F">
        <w:rPr>
          <w:rFonts w:eastAsia="MS Mincho"/>
          <w:sz w:val="20"/>
          <w:szCs w:val="20"/>
          <w:lang w:val="en-US"/>
        </w:rPr>
        <w:t xml:space="preserve">, </w:t>
      </w:r>
      <w:r w:rsidR="00AF76D1" w:rsidRPr="00012C3F">
        <w:rPr>
          <w:rFonts w:eastAsia="MS Mincho"/>
          <w:sz w:val="20"/>
          <w:szCs w:val="20"/>
          <w:lang w:val="en-US"/>
        </w:rPr>
        <w:t xml:space="preserve">provided they are based on the factual framework established by the latter </w:t>
      </w:r>
      <w:r w:rsidR="00502B43" w:rsidRPr="00012C3F">
        <w:rPr>
          <w:rFonts w:eastAsia="MS Mincho"/>
          <w:sz w:val="20"/>
          <w:szCs w:val="20"/>
          <w:lang w:val="en-US"/>
        </w:rPr>
        <w:t>(</w:t>
      </w:r>
      <w:r w:rsidR="00502B43" w:rsidRPr="00012C3F">
        <w:rPr>
          <w:rFonts w:eastAsia="MS Mincho"/>
          <w:i/>
          <w:sz w:val="20"/>
          <w:szCs w:val="20"/>
          <w:lang w:val="en-US"/>
        </w:rPr>
        <w:t xml:space="preserve">supra </w:t>
      </w:r>
      <w:r w:rsidR="00370DD4" w:rsidRPr="00012C3F">
        <w:rPr>
          <w:rFonts w:eastAsia="MS Mincho"/>
          <w:sz w:val="20"/>
          <w:szCs w:val="20"/>
          <w:lang w:val="en-US"/>
        </w:rPr>
        <w:t>para.</w:t>
      </w:r>
      <w:r w:rsidR="00502B43" w:rsidRPr="00012C3F">
        <w:rPr>
          <w:rFonts w:eastAsia="MS Mincho"/>
          <w:sz w:val="20"/>
          <w:szCs w:val="20"/>
          <w:lang w:val="en-US"/>
        </w:rPr>
        <w:t xml:space="preserve"> </w:t>
      </w:r>
      <w:r w:rsidR="00111B66" w:rsidRPr="00012C3F">
        <w:rPr>
          <w:rFonts w:eastAsia="MS Mincho"/>
          <w:sz w:val="20"/>
          <w:szCs w:val="20"/>
          <w:lang w:val="en-US"/>
        </w:rPr>
        <w:t>48).</w:t>
      </w:r>
    </w:p>
    <w:p w14:paraId="73CFD116" w14:textId="77777777" w:rsidR="00502B43" w:rsidRPr="00012C3F" w:rsidRDefault="00502B43" w:rsidP="00AF76D1">
      <w:pPr>
        <w:tabs>
          <w:tab w:val="left" w:pos="720"/>
        </w:tabs>
        <w:spacing w:line="240" w:lineRule="auto"/>
        <w:rPr>
          <w:rFonts w:eastAsia="MS Mincho"/>
          <w:sz w:val="20"/>
          <w:szCs w:val="20"/>
          <w:lang w:val="en-US"/>
        </w:rPr>
      </w:pPr>
    </w:p>
    <w:p w14:paraId="0695365A" w14:textId="77777777" w:rsidR="009278B1" w:rsidRPr="00012C3F" w:rsidRDefault="009278B1" w:rsidP="00CB695F">
      <w:pPr>
        <w:numPr>
          <w:ilvl w:val="0"/>
          <w:numId w:val="5"/>
        </w:numPr>
        <w:tabs>
          <w:tab w:val="left" w:pos="720"/>
          <w:tab w:val="num" w:pos="12305"/>
        </w:tabs>
        <w:spacing w:line="240" w:lineRule="auto"/>
        <w:ind w:left="0" w:firstLine="0"/>
        <w:rPr>
          <w:sz w:val="20"/>
          <w:szCs w:val="20"/>
          <w:lang w:val="en-US"/>
        </w:rPr>
      </w:pPr>
      <w:r w:rsidRPr="00012C3F">
        <w:rPr>
          <w:rFonts w:eastAsia="Batang"/>
          <w:sz w:val="20"/>
          <w:szCs w:val="20"/>
          <w:lang w:val="en-US"/>
        </w:rPr>
        <w:t>His</w:t>
      </w:r>
      <w:r w:rsidR="00AF76D1" w:rsidRPr="00012C3F">
        <w:rPr>
          <w:rFonts w:eastAsia="Batang"/>
          <w:sz w:val="20"/>
          <w:szCs w:val="20"/>
          <w:lang w:val="en-US"/>
        </w:rPr>
        <w:t>torically, the framework of protection against torture and ill-treatment has been developed in response to acts and practices that were verified, above all, during interrogations in the course of an inquiry or procedure in relation to the perpetration of a crime, as well as in the context of deprivation of liberty, as an instrument of punishment or intimidation. However, the international community has gradually come to recognize that torture and other inhuman treatment can also occur in other contexts of custody, domination or control in which the victim is defenseless, such as in the sphere of health care</w:t>
      </w:r>
      <w:r w:rsidR="00BD30A1" w:rsidRPr="00012C3F">
        <w:rPr>
          <w:rFonts w:eastAsia="Batang"/>
          <w:sz w:val="20"/>
          <w:szCs w:val="20"/>
          <w:lang w:val="en-US"/>
        </w:rPr>
        <w:t xml:space="preserve"> </w:t>
      </w:r>
      <w:r w:rsidR="00AF76D1" w:rsidRPr="00012C3F">
        <w:rPr>
          <w:rFonts w:eastAsia="Batang"/>
          <w:sz w:val="20"/>
          <w:szCs w:val="20"/>
          <w:lang w:val="en-US"/>
        </w:rPr>
        <w:t>and, specifically, reproductive health</w:t>
      </w:r>
      <w:r w:rsidR="00BD30A1" w:rsidRPr="00012C3F">
        <w:rPr>
          <w:rFonts w:eastAsia="Batang"/>
          <w:sz w:val="20"/>
          <w:szCs w:val="20"/>
          <w:lang w:val="en-US"/>
        </w:rPr>
        <w:t xml:space="preserve"> care services</w:t>
      </w:r>
      <w:r w:rsidR="00AF76D1" w:rsidRPr="00012C3F">
        <w:rPr>
          <w:rFonts w:eastAsia="Batang"/>
          <w:sz w:val="20"/>
          <w:szCs w:val="20"/>
          <w:lang w:val="en-US"/>
        </w:rPr>
        <w:t>.</w:t>
      </w:r>
      <w:r w:rsidRPr="00012C3F">
        <w:rPr>
          <w:rStyle w:val="Refdenotaalpie"/>
          <w:rFonts w:eastAsia="Calibri"/>
          <w:sz w:val="20"/>
          <w:szCs w:val="20"/>
          <w:lang w:val="en-US"/>
        </w:rPr>
        <w:footnoteReference w:id="341"/>
      </w:r>
      <w:r w:rsidR="00CB695F" w:rsidRPr="00012C3F">
        <w:rPr>
          <w:rFonts w:eastAsia="Batang"/>
          <w:sz w:val="20"/>
          <w:szCs w:val="20"/>
          <w:lang w:val="en-US"/>
        </w:rPr>
        <w:t xml:space="preserve"> In this regard, the Court underscor</w:t>
      </w:r>
      <w:r w:rsidR="002063D5" w:rsidRPr="00012C3F">
        <w:rPr>
          <w:rFonts w:eastAsia="Batang"/>
          <w:sz w:val="20"/>
          <w:szCs w:val="20"/>
          <w:lang w:val="en-US"/>
        </w:rPr>
        <w:t>e</w:t>
      </w:r>
      <w:r w:rsidR="00CB695F" w:rsidRPr="00012C3F">
        <w:rPr>
          <w:rFonts w:eastAsia="Batang"/>
          <w:sz w:val="20"/>
          <w:szCs w:val="20"/>
          <w:lang w:val="en-US"/>
        </w:rPr>
        <w:t xml:space="preserve">s the significant role played by discrimination when analyzing </w:t>
      </w:r>
      <w:r w:rsidR="00E010DD" w:rsidRPr="00012C3F">
        <w:rPr>
          <w:rFonts w:eastAsia="Batang"/>
          <w:sz w:val="20"/>
          <w:szCs w:val="20"/>
          <w:lang w:val="en-US"/>
        </w:rPr>
        <w:t>whether</w:t>
      </w:r>
      <w:r w:rsidR="002063D5" w:rsidRPr="00012C3F">
        <w:rPr>
          <w:rFonts w:eastAsia="Batang"/>
          <w:sz w:val="20"/>
          <w:szCs w:val="20"/>
          <w:lang w:val="en-US"/>
        </w:rPr>
        <w:t xml:space="preserve"> violations of women’s human rights </w:t>
      </w:r>
      <w:r w:rsidR="00E010DD" w:rsidRPr="00012C3F">
        <w:rPr>
          <w:rFonts w:eastAsia="Batang"/>
          <w:sz w:val="20"/>
          <w:szCs w:val="20"/>
          <w:lang w:val="en-US"/>
        </w:rPr>
        <w:t>equate</w:t>
      </w:r>
      <w:r w:rsidR="002063D5" w:rsidRPr="00012C3F">
        <w:rPr>
          <w:rFonts w:eastAsia="Batang"/>
          <w:sz w:val="20"/>
          <w:szCs w:val="20"/>
          <w:lang w:val="en-US"/>
        </w:rPr>
        <w:t xml:space="preserve"> gender-based torture and ill-treatment</w:t>
      </w:r>
      <w:r w:rsidR="002063D5" w:rsidRPr="00012C3F">
        <w:rPr>
          <w:sz w:val="20"/>
          <w:szCs w:val="20"/>
          <w:lang w:val="en-US"/>
        </w:rPr>
        <w:t>.</w:t>
      </w:r>
      <w:r w:rsidRPr="00012C3F">
        <w:rPr>
          <w:rStyle w:val="Refdenotaalpie"/>
          <w:sz w:val="20"/>
          <w:szCs w:val="20"/>
          <w:lang w:val="en-US"/>
        </w:rPr>
        <w:footnoteReference w:id="342"/>
      </w:r>
    </w:p>
    <w:p w14:paraId="2552C9D4" w14:textId="77777777" w:rsidR="009278B1" w:rsidRPr="00012C3F" w:rsidRDefault="009278B1" w:rsidP="00AF76D1">
      <w:pPr>
        <w:tabs>
          <w:tab w:val="left" w:pos="720"/>
        </w:tabs>
        <w:spacing w:line="240" w:lineRule="auto"/>
        <w:rPr>
          <w:sz w:val="20"/>
          <w:szCs w:val="20"/>
          <w:lang w:val="en-US"/>
        </w:rPr>
      </w:pPr>
    </w:p>
    <w:p w14:paraId="74158727" w14:textId="77777777" w:rsidR="009278B1" w:rsidRPr="00012C3F" w:rsidRDefault="001254DE" w:rsidP="002063D5">
      <w:pPr>
        <w:numPr>
          <w:ilvl w:val="0"/>
          <w:numId w:val="5"/>
        </w:numPr>
        <w:tabs>
          <w:tab w:val="left" w:pos="720"/>
          <w:tab w:val="num" w:pos="12305"/>
        </w:tabs>
        <w:spacing w:line="240" w:lineRule="auto"/>
        <w:ind w:left="0" w:firstLine="0"/>
        <w:rPr>
          <w:bCs/>
          <w:sz w:val="20"/>
          <w:szCs w:val="20"/>
          <w:lang w:val="en-US"/>
        </w:rPr>
      </w:pPr>
      <w:r w:rsidRPr="00012C3F">
        <w:rPr>
          <w:sz w:val="20"/>
          <w:szCs w:val="20"/>
          <w:lang w:val="en-US"/>
        </w:rPr>
        <w:t>The Court</w:t>
      </w:r>
      <w:r w:rsidR="009278B1" w:rsidRPr="00012C3F">
        <w:rPr>
          <w:sz w:val="20"/>
          <w:szCs w:val="20"/>
          <w:lang w:val="en-US"/>
        </w:rPr>
        <w:t xml:space="preserve"> </w:t>
      </w:r>
      <w:r w:rsidR="002063D5" w:rsidRPr="00012C3F">
        <w:rPr>
          <w:rFonts w:eastAsia="Batang"/>
          <w:sz w:val="20"/>
          <w:szCs w:val="20"/>
          <w:lang w:val="en-US"/>
        </w:rPr>
        <w:t>has already emphasized the vulnerability to torture and other forms of cruel, inhuman or degrading treatment of individuals in institutional setting such as public and private hospitals, because the medical personnel in charge of patient care exercise strong control or power over those in their care.</w:t>
      </w:r>
      <w:r w:rsidR="009278B1" w:rsidRPr="00012C3F">
        <w:rPr>
          <w:rStyle w:val="Refdenotaalpie"/>
          <w:rFonts w:eastAsia="Calibri"/>
          <w:sz w:val="20"/>
          <w:szCs w:val="20"/>
          <w:lang w:val="en-US"/>
        </w:rPr>
        <w:footnoteReference w:id="343"/>
      </w:r>
      <w:r w:rsidR="009278B1" w:rsidRPr="00012C3F">
        <w:rPr>
          <w:sz w:val="20"/>
          <w:szCs w:val="20"/>
          <w:lang w:val="en-US"/>
        </w:rPr>
        <w:t xml:space="preserve"> </w:t>
      </w:r>
      <w:r w:rsidR="002063D5" w:rsidRPr="00012C3F">
        <w:rPr>
          <w:sz w:val="20"/>
          <w:szCs w:val="20"/>
          <w:lang w:val="en-US"/>
        </w:rPr>
        <w:t xml:space="preserve">When torture and other forms of cruel, inhuman or degrading treatment are inflicted on </w:t>
      </w:r>
      <w:r w:rsidR="00E010DD" w:rsidRPr="00012C3F">
        <w:rPr>
          <w:sz w:val="20"/>
          <w:szCs w:val="20"/>
          <w:lang w:val="en-US"/>
        </w:rPr>
        <w:t>those</w:t>
      </w:r>
      <w:r w:rsidR="002063D5" w:rsidRPr="00012C3F">
        <w:rPr>
          <w:sz w:val="20"/>
          <w:szCs w:val="20"/>
          <w:lang w:val="en-US"/>
        </w:rPr>
        <w:t xml:space="preserve"> individuals, it affects their mental, physical and moral integrity and is an affront to their dignity, as well as a serious constraint to their autonomy.</w:t>
      </w:r>
      <w:r w:rsidR="009278B1" w:rsidRPr="00012C3F">
        <w:rPr>
          <w:rStyle w:val="Refdenotaalpie"/>
          <w:rFonts w:eastAsia="Calibri"/>
          <w:sz w:val="20"/>
          <w:szCs w:val="20"/>
          <w:lang w:val="en-US"/>
        </w:rPr>
        <w:footnoteReference w:id="344"/>
      </w:r>
      <w:r w:rsidR="002063D5" w:rsidRPr="00012C3F">
        <w:rPr>
          <w:sz w:val="20"/>
          <w:szCs w:val="20"/>
          <w:lang w:val="en-US"/>
        </w:rPr>
        <w:t xml:space="preserve"> Similarly, the Court has stressed the important role of </w:t>
      </w:r>
      <w:r w:rsidR="00E010DD" w:rsidRPr="00012C3F">
        <w:rPr>
          <w:sz w:val="20"/>
          <w:szCs w:val="20"/>
          <w:lang w:val="en-US"/>
        </w:rPr>
        <w:t>physicians</w:t>
      </w:r>
      <w:r w:rsidR="002063D5" w:rsidRPr="00012C3F">
        <w:rPr>
          <w:sz w:val="20"/>
          <w:szCs w:val="20"/>
          <w:lang w:val="en-US"/>
        </w:rPr>
        <w:t xml:space="preserve"> and other health-care professionals in safeguarding personal integrity and preventing torture and ill-treatment.</w:t>
      </w:r>
      <w:r w:rsidR="009278B1" w:rsidRPr="00012C3F">
        <w:rPr>
          <w:rStyle w:val="Refdenotaalpie"/>
          <w:rFonts w:eastAsia="Calibri"/>
          <w:sz w:val="20"/>
          <w:szCs w:val="20"/>
          <w:lang w:val="en-US"/>
        </w:rPr>
        <w:footnoteReference w:id="345"/>
      </w:r>
    </w:p>
    <w:p w14:paraId="78EEEBC2" w14:textId="77777777" w:rsidR="009278B1" w:rsidRPr="00012C3F" w:rsidRDefault="009278B1" w:rsidP="009278B1">
      <w:pPr>
        <w:spacing w:line="240" w:lineRule="auto"/>
        <w:rPr>
          <w:sz w:val="20"/>
          <w:szCs w:val="20"/>
          <w:lang w:val="en-US"/>
        </w:rPr>
      </w:pPr>
    </w:p>
    <w:p w14:paraId="00D776C7" w14:textId="77777777" w:rsidR="009278B1" w:rsidRPr="00012C3F" w:rsidRDefault="002063D5" w:rsidP="002063D5">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Evidently, the context of health-care services may signify a greater risk of women being subjected to acts contrary to </w:t>
      </w:r>
      <w:r w:rsidR="001254DE" w:rsidRPr="00012C3F">
        <w:rPr>
          <w:sz w:val="20"/>
          <w:szCs w:val="20"/>
          <w:lang w:val="en-US"/>
        </w:rPr>
        <w:t>Article</w:t>
      </w:r>
      <w:r w:rsidR="009278B1" w:rsidRPr="00012C3F">
        <w:rPr>
          <w:sz w:val="20"/>
          <w:szCs w:val="20"/>
          <w:lang w:val="en-US"/>
        </w:rPr>
        <w:t xml:space="preserve"> </w:t>
      </w:r>
      <w:r w:rsidR="00B257AF" w:rsidRPr="00012C3F">
        <w:rPr>
          <w:sz w:val="20"/>
          <w:szCs w:val="20"/>
          <w:lang w:val="en-US"/>
        </w:rPr>
        <w:t>5(2)</w:t>
      </w:r>
      <w:r w:rsidR="001254DE" w:rsidRPr="00012C3F">
        <w:rPr>
          <w:sz w:val="20"/>
          <w:szCs w:val="20"/>
          <w:lang w:val="en-US"/>
        </w:rPr>
        <w:t xml:space="preserve"> of the American Convention</w:t>
      </w:r>
      <w:r w:rsidR="009278B1" w:rsidRPr="00012C3F">
        <w:rPr>
          <w:sz w:val="20"/>
          <w:szCs w:val="20"/>
          <w:lang w:val="en-US"/>
        </w:rPr>
        <w:t>, especial</w:t>
      </w:r>
      <w:r w:rsidRPr="00012C3F">
        <w:rPr>
          <w:sz w:val="20"/>
          <w:szCs w:val="20"/>
          <w:lang w:val="en-US"/>
        </w:rPr>
        <w:t xml:space="preserve">ly in relation to those practices or policies addressed primarily </w:t>
      </w:r>
      <w:r w:rsidR="00E010DD" w:rsidRPr="00012C3F">
        <w:rPr>
          <w:sz w:val="20"/>
          <w:szCs w:val="20"/>
          <w:lang w:val="en-US"/>
        </w:rPr>
        <w:t>against</w:t>
      </w:r>
      <w:r w:rsidRPr="00012C3F">
        <w:rPr>
          <w:sz w:val="20"/>
          <w:szCs w:val="20"/>
          <w:lang w:val="en-US"/>
        </w:rPr>
        <w:t xml:space="preserve"> women, which affect them disproportionately, or those that women are particularly vulnerable</w:t>
      </w:r>
      <w:r w:rsidR="00E010DD" w:rsidRPr="00012C3F">
        <w:rPr>
          <w:sz w:val="20"/>
          <w:szCs w:val="20"/>
          <w:lang w:val="en-US"/>
        </w:rPr>
        <w:t xml:space="preserve"> to,</w:t>
      </w:r>
      <w:r w:rsidRPr="00012C3F">
        <w:rPr>
          <w:sz w:val="20"/>
          <w:szCs w:val="20"/>
          <w:lang w:val="en-US"/>
        </w:rPr>
        <w:t xml:space="preserve"> owing to negative or prejudicial gender-based stereotypes</w:t>
      </w:r>
      <w:r w:rsidR="009278B1" w:rsidRPr="00012C3F">
        <w:rPr>
          <w:sz w:val="20"/>
          <w:szCs w:val="20"/>
          <w:lang w:val="en-US"/>
        </w:rPr>
        <w:t>, inclu</w:t>
      </w:r>
      <w:r w:rsidRPr="00012C3F">
        <w:rPr>
          <w:sz w:val="20"/>
          <w:szCs w:val="20"/>
          <w:lang w:val="en-US"/>
        </w:rPr>
        <w:t>ding the social and cultural assignation to women of responsibility for reproductive functions and for contraception</w:t>
      </w:r>
      <w:r w:rsidR="009278B1" w:rsidRPr="00012C3F">
        <w:rPr>
          <w:sz w:val="20"/>
          <w:szCs w:val="20"/>
          <w:lang w:val="en-US"/>
        </w:rPr>
        <w:t xml:space="preserve">. </w:t>
      </w:r>
      <w:r w:rsidRPr="00012C3F">
        <w:rPr>
          <w:sz w:val="20"/>
          <w:szCs w:val="20"/>
          <w:lang w:val="en-US"/>
        </w:rPr>
        <w:t>In this regard</w:t>
      </w:r>
      <w:r w:rsidR="009278B1" w:rsidRPr="00012C3F">
        <w:rPr>
          <w:sz w:val="20"/>
          <w:szCs w:val="20"/>
          <w:lang w:val="en-US"/>
        </w:rPr>
        <w:t xml:space="preserve">, </w:t>
      </w:r>
      <w:r w:rsidR="00BF4942" w:rsidRPr="00012C3F">
        <w:rPr>
          <w:sz w:val="20"/>
          <w:szCs w:val="20"/>
          <w:lang w:val="en-US"/>
        </w:rPr>
        <w:t>the Committee against Torture</w:t>
      </w:r>
      <w:r w:rsidR="009278B1" w:rsidRPr="00012C3F">
        <w:rPr>
          <w:sz w:val="20"/>
          <w:szCs w:val="20"/>
          <w:lang w:val="en-US"/>
        </w:rPr>
        <w:t xml:space="preserve"> ha</w:t>
      </w:r>
      <w:r w:rsidRPr="00012C3F">
        <w:rPr>
          <w:sz w:val="20"/>
          <w:szCs w:val="20"/>
          <w:lang w:val="en-US"/>
        </w:rPr>
        <w:t>s recognized that the situations in which women run the risk of being subjected to</w:t>
      </w:r>
      <w:r w:rsidR="009278B1" w:rsidRPr="00012C3F">
        <w:rPr>
          <w:sz w:val="20"/>
          <w:szCs w:val="20"/>
          <w:lang w:val="en-US"/>
        </w:rPr>
        <w:t xml:space="preserve"> </w:t>
      </w:r>
      <w:r w:rsidRPr="00012C3F">
        <w:rPr>
          <w:sz w:val="20"/>
          <w:szCs w:val="20"/>
          <w:lang w:val="en-US"/>
        </w:rPr>
        <w:t>torture or cruel, inhuman or degrading treatment</w:t>
      </w:r>
      <w:r w:rsidR="002A4CAB" w:rsidRPr="00012C3F">
        <w:rPr>
          <w:sz w:val="20"/>
          <w:szCs w:val="20"/>
          <w:lang w:val="en-US"/>
        </w:rPr>
        <w:t>,</w:t>
      </w:r>
      <w:r w:rsidR="009278B1" w:rsidRPr="00012C3F">
        <w:rPr>
          <w:sz w:val="20"/>
          <w:szCs w:val="20"/>
          <w:lang w:val="en-US"/>
        </w:rPr>
        <w:t xml:space="preserve"> </w:t>
      </w:r>
      <w:r w:rsidRPr="00012C3F">
        <w:rPr>
          <w:sz w:val="20"/>
          <w:szCs w:val="20"/>
          <w:lang w:val="en-US"/>
        </w:rPr>
        <w:t xml:space="preserve">include medical </w:t>
      </w:r>
      <w:r w:rsidR="00324DB0" w:rsidRPr="00012C3F">
        <w:rPr>
          <w:sz w:val="20"/>
          <w:szCs w:val="20"/>
          <w:lang w:val="en-US"/>
        </w:rPr>
        <w:t>treatment</w:t>
      </w:r>
      <w:r w:rsidRPr="00012C3F">
        <w:rPr>
          <w:sz w:val="20"/>
          <w:szCs w:val="20"/>
          <w:lang w:val="en-US"/>
        </w:rPr>
        <w:t xml:space="preserve">, particularly </w:t>
      </w:r>
      <w:r w:rsidR="00324DB0" w:rsidRPr="00012C3F">
        <w:rPr>
          <w:sz w:val="20"/>
          <w:szCs w:val="20"/>
          <w:lang w:val="en-US"/>
        </w:rPr>
        <w:t>involving reproductive</w:t>
      </w:r>
      <w:r w:rsidRPr="00012C3F">
        <w:rPr>
          <w:sz w:val="20"/>
          <w:szCs w:val="20"/>
          <w:lang w:val="en-US"/>
        </w:rPr>
        <w:t xml:space="preserve"> </w:t>
      </w:r>
      <w:r w:rsidRPr="00012C3F">
        <w:rPr>
          <w:sz w:val="20"/>
          <w:szCs w:val="20"/>
          <w:lang w:val="en-US"/>
        </w:rPr>
        <w:lastRenderedPageBreak/>
        <w:t>decisions.</w:t>
      </w:r>
      <w:r w:rsidR="009278B1" w:rsidRPr="00012C3F">
        <w:rPr>
          <w:sz w:val="20"/>
          <w:szCs w:val="20"/>
          <w:vertAlign w:val="superscript"/>
          <w:lang w:val="en-US"/>
        </w:rPr>
        <w:footnoteReference w:id="346"/>
      </w:r>
    </w:p>
    <w:p w14:paraId="64F46929" w14:textId="77777777" w:rsidR="009278B1" w:rsidRPr="00012C3F" w:rsidRDefault="009278B1" w:rsidP="00502B43">
      <w:pPr>
        <w:tabs>
          <w:tab w:val="left" w:pos="720"/>
        </w:tabs>
        <w:spacing w:line="240" w:lineRule="auto"/>
        <w:rPr>
          <w:rFonts w:eastAsia="MS Mincho"/>
          <w:sz w:val="20"/>
          <w:szCs w:val="20"/>
          <w:lang w:val="en-US"/>
        </w:rPr>
      </w:pPr>
    </w:p>
    <w:p w14:paraId="0F7344EE" w14:textId="77777777" w:rsidR="002C45F0" w:rsidRPr="00012C3F" w:rsidRDefault="00324DB0" w:rsidP="00324DB0">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w:t>
      </w:r>
      <w:r w:rsidR="00D12002" w:rsidRPr="00012C3F">
        <w:rPr>
          <w:sz w:val="20"/>
          <w:szCs w:val="20"/>
          <w:lang w:val="en-US"/>
        </w:rPr>
        <w:t xml:space="preserve"> </w:t>
      </w:r>
      <w:r w:rsidR="00BC0785" w:rsidRPr="00012C3F">
        <w:rPr>
          <w:sz w:val="20"/>
          <w:szCs w:val="20"/>
          <w:lang w:val="en-US"/>
        </w:rPr>
        <w:t>Committee for the Elimination of Discrimination against Women</w:t>
      </w:r>
      <w:r w:rsidR="00D12002" w:rsidRPr="00012C3F">
        <w:rPr>
          <w:sz w:val="20"/>
          <w:szCs w:val="20"/>
          <w:lang w:val="en-US"/>
        </w:rPr>
        <w:t xml:space="preserve"> ha</w:t>
      </w:r>
      <w:r w:rsidRPr="00012C3F">
        <w:rPr>
          <w:sz w:val="20"/>
          <w:szCs w:val="20"/>
          <w:lang w:val="en-US"/>
        </w:rPr>
        <w:t xml:space="preserve">s stated that </w:t>
      </w:r>
      <w:r w:rsidRPr="00012C3F">
        <w:rPr>
          <w:rFonts w:cs="Arial"/>
          <w:sz w:val="20"/>
          <w:szCs w:val="20"/>
          <w:lang w:val="en-US"/>
        </w:rPr>
        <w:t>compulsory sterilization adversely affects women's physical and mental health.</w:t>
      </w:r>
      <w:r w:rsidR="00D12002" w:rsidRPr="00012C3F">
        <w:rPr>
          <w:sz w:val="20"/>
          <w:szCs w:val="20"/>
          <w:vertAlign w:val="superscript"/>
          <w:lang w:val="en-US"/>
        </w:rPr>
        <w:footnoteReference w:id="347"/>
      </w:r>
      <w:r w:rsidRPr="00012C3F">
        <w:rPr>
          <w:sz w:val="20"/>
          <w:szCs w:val="20"/>
          <w:lang w:val="en-US"/>
        </w:rPr>
        <w:t xml:space="preserve"> In the case of an </w:t>
      </w:r>
      <w:r w:rsidR="00117945" w:rsidRPr="00012C3F">
        <w:rPr>
          <w:sz w:val="20"/>
          <w:szCs w:val="20"/>
          <w:lang w:val="en-US"/>
        </w:rPr>
        <w:t>involuntary sterilization</w:t>
      </w:r>
      <w:r w:rsidR="00D12002" w:rsidRPr="00012C3F">
        <w:rPr>
          <w:sz w:val="20"/>
          <w:szCs w:val="20"/>
          <w:lang w:val="en-US"/>
        </w:rPr>
        <w:t xml:space="preserve">, </w:t>
      </w:r>
      <w:r w:rsidRPr="00012C3F">
        <w:rPr>
          <w:sz w:val="20"/>
          <w:szCs w:val="20"/>
          <w:lang w:val="en-US"/>
        </w:rPr>
        <w:t xml:space="preserve">the European Court has also recognized that this </w:t>
      </w:r>
      <w:r w:rsidR="002C45F0" w:rsidRPr="00012C3F">
        <w:rPr>
          <w:sz w:val="20"/>
          <w:szCs w:val="20"/>
          <w:lang w:val="en-US"/>
        </w:rPr>
        <w:t>was liable to</w:t>
      </w:r>
      <w:r w:rsidRPr="00012C3F">
        <w:rPr>
          <w:sz w:val="20"/>
          <w:szCs w:val="20"/>
          <w:lang w:val="en-US"/>
        </w:rPr>
        <w:t xml:space="preserve"> arouse feelings of fear, anguish and inferiority and entail lasting suffering</w:t>
      </w:r>
      <w:r w:rsidR="002C45F0" w:rsidRPr="00012C3F">
        <w:rPr>
          <w:sz w:val="20"/>
          <w:szCs w:val="20"/>
          <w:lang w:val="en-US"/>
        </w:rPr>
        <w:t>, and that the victim may feel degraded and humiliated on finding this out, as well as suffering depression and feelings of isolation and humiliation.</w:t>
      </w:r>
      <w:r w:rsidR="00D12002" w:rsidRPr="00012C3F">
        <w:rPr>
          <w:sz w:val="20"/>
          <w:szCs w:val="20"/>
          <w:vertAlign w:val="superscript"/>
          <w:lang w:val="en-US"/>
        </w:rPr>
        <w:footnoteReference w:id="348"/>
      </w:r>
      <w:r w:rsidR="00D12002" w:rsidRPr="00012C3F">
        <w:rPr>
          <w:sz w:val="20"/>
          <w:szCs w:val="20"/>
          <w:lang w:val="en-US"/>
        </w:rPr>
        <w:t xml:space="preserve"> </w:t>
      </w:r>
      <w:r w:rsidR="001254DE" w:rsidRPr="00012C3F">
        <w:rPr>
          <w:sz w:val="20"/>
          <w:szCs w:val="20"/>
          <w:lang w:val="en-US"/>
        </w:rPr>
        <w:t>The Inter-American Court</w:t>
      </w:r>
      <w:r w:rsidR="00D12002" w:rsidRPr="00012C3F">
        <w:rPr>
          <w:sz w:val="20"/>
          <w:szCs w:val="20"/>
          <w:lang w:val="en-US"/>
        </w:rPr>
        <w:t xml:space="preserve"> consider</w:t>
      </w:r>
      <w:r w:rsidR="002C45F0" w:rsidRPr="00012C3F">
        <w:rPr>
          <w:sz w:val="20"/>
          <w:szCs w:val="20"/>
          <w:lang w:val="en-US"/>
        </w:rPr>
        <w:t xml:space="preserve">s that non-consensual or involuntary sterilization may cause severe mental and physical suffering </w:t>
      </w:r>
      <w:r w:rsidR="00CF77B3" w:rsidRPr="00012C3F">
        <w:rPr>
          <w:sz w:val="20"/>
          <w:szCs w:val="20"/>
          <w:lang w:val="en-US"/>
        </w:rPr>
        <w:t>by permanently ending a woman’s reproductive capacity, causing infertility</w:t>
      </w:r>
      <w:r w:rsidR="00E010DD" w:rsidRPr="00012C3F">
        <w:rPr>
          <w:sz w:val="20"/>
          <w:szCs w:val="20"/>
          <w:lang w:val="en-US"/>
        </w:rPr>
        <w:t>,</w:t>
      </w:r>
      <w:r w:rsidR="00CF77B3" w:rsidRPr="00012C3F">
        <w:rPr>
          <w:sz w:val="20"/>
          <w:szCs w:val="20"/>
          <w:lang w:val="en-US"/>
        </w:rPr>
        <w:t xml:space="preserve"> and imposing serious and lasting physical changes without her consent.</w:t>
      </w:r>
    </w:p>
    <w:p w14:paraId="54282724" w14:textId="77777777" w:rsidR="00D12002" w:rsidRPr="00012C3F" w:rsidRDefault="00D12002" w:rsidP="00324DB0">
      <w:pPr>
        <w:tabs>
          <w:tab w:val="left" w:pos="720"/>
        </w:tabs>
        <w:spacing w:line="240" w:lineRule="auto"/>
        <w:rPr>
          <w:rFonts w:eastAsia="MS Mincho"/>
          <w:sz w:val="20"/>
          <w:szCs w:val="20"/>
          <w:lang w:val="en-US"/>
        </w:rPr>
      </w:pPr>
    </w:p>
    <w:p w14:paraId="23727143" w14:textId="77777777" w:rsidR="00502B43" w:rsidRPr="00012C3F" w:rsidRDefault="00CF77B3" w:rsidP="00CF77B3">
      <w:pPr>
        <w:numPr>
          <w:ilvl w:val="0"/>
          <w:numId w:val="5"/>
        </w:numPr>
        <w:tabs>
          <w:tab w:val="left" w:pos="720"/>
          <w:tab w:val="num" w:pos="12305"/>
        </w:tabs>
        <w:spacing w:line="240" w:lineRule="auto"/>
        <w:ind w:left="0" w:firstLine="0"/>
        <w:rPr>
          <w:rFonts w:eastAsia="Batang"/>
          <w:b/>
          <w:sz w:val="20"/>
          <w:szCs w:val="20"/>
          <w:lang w:val="en-US"/>
        </w:rPr>
      </w:pPr>
      <w:r w:rsidRPr="00012C3F">
        <w:rPr>
          <w:rFonts w:eastAsia="Batang"/>
          <w:sz w:val="20"/>
          <w:szCs w:val="20"/>
          <w:lang w:val="en-US"/>
        </w:rPr>
        <w:t>This Court has indicated that the violation of a person’s right to physical and mental integrity has diverse connotations of degree, which range from torture to other types of abuse or cruel, inhuman or degrading treatment, the physical and mental effects of which vary in intensity based on endogenous and exogenous factors</w:t>
      </w:r>
      <w:r w:rsidR="00502B43" w:rsidRPr="00012C3F">
        <w:rPr>
          <w:rFonts w:eastAsia="Batang"/>
          <w:sz w:val="20"/>
          <w:szCs w:val="20"/>
          <w:lang w:val="en-US"/>
        </w:rPr>
        <w:t xml:space="preserve"> (</w:t>
      </w:r>
      <w:r w:rsidRPr="00012C3F">
        <w:rPr>
          <w:rFonts w:eastAsia="Batang"/>
          <w:sz w:val="20"/>
          <w:szCs w:val="20"/>
          <w:lang w:val="en-US"/>
        </w:rPr>
        <w:t xml:space="preserve">including </w:t>
      </w:r>
      <w:r w:rsidR="00502B43" w:rsidRPr="00012C3F">
        <w:rPr>
          <w:rFonts w:eastAsia="Batang"/>
          <w:sz w:val="20"/>
          <w:szCs w:val="20"/>
          <w:lang w:val="en-US"/>
        </w:rPr>
        <w:t>dura</w:t>
      </w:r>
      <w:r w:rsidRPr="00012C3F">
        <w:rPr>
          <w:rFonts w:eastAsia="Batang"/>
          <w:sz w:val="20"/>
          <w:szCs w:val="20"/>
          <w:lang w:val="en-US"/>
        </w:rPr>
        <w:t>tion of the treatment, age, sex, health situation, context, and vulnerability), which must be analyzed in each specific situation.</w:t>
      </w:r>
      <w:r w:rsidRPr="00012C3F">
        <w:rPr>
          <w:rFonts w:eastAsia="Batang"/>
          <w:sz w:val="20"/>
          <w:szCs w:val="20"/>
          <w:vertAlign w:val="superscript"/>
          <w:lang w:val="en-US" w:bidi="en-US"/>
        </w:rPr>
        <w:footnoteReference w:id="349"/>
      </w:r>
      <w:r w:rsidRPr="00012C3F">
        <w:rPr>
          <w:rFonts w:eastAsia="Batang"/>
          <w:sz w:val="20"/>
          <w:szCs w:val="20"/>
          <w:lang w:val="en-US"/>
        </w:rPr>
        <w:t xml:space="preserve"> In other words, the personal characteristics of a supposed victim of torture or cruel, inhuman or degrading treatment must be taken into account when determining whether his or her personal integrity has been violated, because these characteristics may change the individual perception of the reality and, consequently, increase the suffering and feelings of humiliation when subjected to certain treatment</w:t>
      </w:r>
      <w:r w:rsidRPr="00012C3F">
        <w:rPr>
          <w:rFonts w:eastAsia="Batang"/>
          <w:bCs/>
          <w:sz w:val="20"/>
          <w:szCs w:val="20"/>
          <w:lang w:val="en-US"/>
        </w:rPr>
        <w:t>.</w:t>
      </w:r>
      <w:r w:rsidR="00502B43" w:rsidRPr="00012C3F">
        <w:rPr>
          <w:rFonts w:eastAsia="Batang"/>
          <w:sz w:val="20"/>
          <w:szCs w:val="20"/>
          <w:vertAlign w:val="superscript"/>
          <w:lang w:val="en-US"/>
        </w:rPr>
        <w:footnoteReference w:id="350"/>
      </w:r>
      <w:r w:rsidR="0018429A" w:rsidRPr="00012C3F">
        <w:rPr>
          <w:rFonts w:eastAsia="Batang"/>
          <w:sz w:val="20"/>
          <w:szCs w:val="20"/>
          <w:lang w:val="en-US"/>
        </w:rPr>
        <w:t xml:space="preserve"> </w:t>
      </w:r>
      <w:r w:rsidRPr="00012C3F">
        <w:rPr>
          <w:sz w:val="20"/>
          <w:szCs w:val="20"/>
          <w:lang w:val="en-US"/>
        </w:rPr>
        <w:t xml:space="preserve">In this regard, the Court stresses that every individual experiences suffering in a different way and, thus, it will depend on the multiple factors that make each person unique. Thus, it would be unreasonable to </w:t>
      </w:r>
      <w:r w:rsidR="00B33B07" w:rsidRPr="00012C3F">
        <w:rPr>
          <w:sz w:val="20"/>
          <w:szCs w:val="20"/>
          <w:lang w:val="en-US"/>
        </w:rPr>
        <w:t>excise</w:t>
      </w:r>
      <w:r w:rsidRPr="00012C3F">
        <w:rPr>
          <w:sz w:val="20"/>
          <w:szCs w:val="20"/>
          <w:lang w:val="en-US"/>
        </w:rPr>
        <w:t xml:space="preserve"> past experiences from the way an individual feels suffering</w:t>
      </w:r>
      <w:r w:rsidR="00B33B07" w:rsidRPr="00012C3F">
        <w:rPr>
          <w:sz w:val="20"/>
          <w:szCs w:val="20"/>
          <w:lang w:val="en-US"/>
        </w:rPr>
        <w:t>. On this basis, the Court will take into account the endogenous and exogenous factors when evaluating the intensity of the suffering.</w:t>
      </w:r>
      <w:r w:rsidR="0018429A" w:rsidRPr="00012C3F">
        <w:rPr>
          <w:rFonts w:eastAsia="Calibri"/>
          <w:sz w:val="20"/>
          <w:vertAlign w:val="superscript"/>
          <w:lang w:val="en-US"/>
        </w:rPr>
        <w:footnoteReference w:id="351"/>
      </w:r>
    </w:p>
    <w:p w14:paraId="786FE15E" w14:textId="77777777" w:rsidR="004E179E" w:rsidRPr="00012C3F" w:rsidRDefault="004E179E" w:rsidP="00324DB0">
      <w:pPr>
        <w:widowControl/>
        <w:tabs>
          <w:tab w:val="left" w:pos="720"/>
        </w:tabs>
        <w:autoSpaceDE w:val="0"/>
        <w:autoSpaceDN w:val="0"/>
        <w:spacing w:line="240" w:lineRule="auto"/>
        <w:textAlignment w:val="auto"/>
        <w:rPr>
          <w:rFonts w:eastAsia="Batang"/>
          <w:sz w:val="20"/>
          <w:szCs w:val="20"/>
          <w:lang w:val="en-US"/>
        </w:rPr>
      </w:pPr>
    </w:p>
    <w:p w14:paraId="7725BEAB" w14:textId="77777777" w:rsidR="00704856" w:rsidRPr="00012C3F" w:rsidRDefault="00B33B07" w:rsidP="00D02595">
      <w:pPr>
        <w:numPr>
          <w:ilvl w:val="0"/>
          <w:numId w:val="5"/>
        </w:numPr>
        <w:tabs>
          <w:tab w:val="left" w:pos="720"/>
          <w:tab w:val="num" w:pos="12305"/>
        </w:tabs>
        <w:spacing w:line="240" w:lineRule="auto"/>
        <w:ind w:left="0" w:firstLine="0"/>
        <w:rPr>
          <w:rFonts w:eastAsia="Batang"/>
          <w:sz w:val="20"/>
          <w:szCs w:val="20"/>
          <w:lang w:val="en-US"/>
        </w:rPr>
      </w:pPr>
      <w:r w:rsidRPr="00012C3F">
        <w:rPr>
          <w:sz w:val="20"/>
          <w:szCs w:val="20"/>
          <w:lang w:val="en-US"/>
        </w:rPr>
        <w:t xml:space="preserve">On analyzing the intensity of the suffering experienced by I.V., </w:t>
      </w:r>
      <w:r w:rsidR="001254DE" w:rsidRPr="00012C3F">
        <w:rPr>
          <w:sz w:val="20"/>
          <w:szCs w:val="20"/>
          <w:lang w:val="en-US"/>
        </w:rPr>
        <w:t>the Court</w:t>
      </w:r>
      <w:r w:rsidR="00CF63E8" w:rsidRPr="00012C3F">
        <w:rPr>
          <w:sz w:val="20"/>
          <w:szCs w:val="20"/>
          <w:lang w:val="en-US"/>
        </w:rPr>
        <w:t xml:space="preserve"> </w:t>
      </w:r>
      <w:r w:rsidR="008834E4" w:rsidRPr="00012C3F">
        <w:rPr>
          <w:sz w:val="20"/>
          <w:szCs w:val="20"/>
          <w:lang w:val="en-US"/>
        </w:rPr>
        <w:t>conclu</w:t>
      </w:r>
      <w:r w:rsidRPr="00012C3F">
        <w:rPr>
          <w:sz w:val="20"/>
          <w:szCs w:val="20"/>
          <w:lang w:val="en-US"/>
        </w:rPr>
        <w:t>des that</w:t>
      </w:r>
      <w:r w:rsidR="00704856" w:rsidRPr="00012C3F">
        <w:rPr>
          <w:rFonts w:eastAsia="Batang"/>
          <w:sz w:val="20"/>
          <w:szCs w:val="20"/>
          <w:lang w:val="en-US"/>
        </w:rPr>
        <w:t xml:space="preserve">: </w:t>
      </w:r>
      <w:r w:rsidRPr="00012C3F">
        <w:rPr>
          <w:rFonts w:eastAsia="Batang"/>
          <w:sz w:val="20"/>
          <w:szCs w:val="20"/>
          <w:lang w:val="en-US"/>
        </w:rPr>
        <w:t>(</w:t>
      </w:r>
      <w:r w:rsidR="00704856" w:rsidRPr="00012C3F">
        <w:rPr>
          <w:rFonts w:eastAsia="Batang"/>
          <w:sz w:val="20"/>
          <w:szCs w:val="20"/>
          <w:lang w:val="en-US"/>
        </w:rPr>
        <w:t xml:space="preserve">i) </w:t>
      </w:r>
      <w:r w:rsidR="000E1C11" w:rsidRPr="00012C3F">
        <w:rPr>
          <w:rFonts w:eastAsia="Batang"/>
          <w:sz w:val="20"/>
          <w:szCs w:val="20"/>
          <w:lang w:val="en-US"/>
        </w:rPr>
        <w:t>I.V.</w:t>
      </w:r>
      <w:r w:rsidR="00704856" w:rsidRPr="00012C3F">
        <w:rPr>
          <w:rFonts w:eastAsia="Batang"/>
          <w:sz w:val="20"/>
          <w:szCs w:val="20"/>
          <w:lang w:val="en-US"/>
        </w:rPr>
        <w:t xml:space="preserve"> </w:t>
      </w:r>
      <w:r w:rsidRPr="00012C3F">
        <w:rPr>
          <w:rFonts w:eastAsia="Batang"/>
          <w:sz w:val="20"/>
          <w:szCs w:val="20"/>
          <w:lang w:val="en-US"/>
        </w:rPr>
        <w:t>lost her reproductive capacity permanently, and the functioning of her reproductive organs was modified</w:t>
      </w:r>
      <w:r w:rsidR="00704856" w:rsidRPr="00012C3F">
        <w:rPr>
          <w:rFonts w:eastAsia="Batang"/>
          <w:sz w:val="20"/>
          <w:szCs w:val="20"/>
          <w:lang w:val="en-US"/>
        </w:rPr>
        <w:t xml:space="preserve">; </w:t>
      </w:r>
      <w:r w:rsidRPr="00012C3F">
        <w:rPr>
          <w:rFonts w:eastAsia="Batang"/>
          <w:sz w:val="20"/>
          <w:szCs w:val="20"/>
          <w:lang w:val="en-US"/>
        </w:rPr>
        <w:t>(</w:t>
      </w:r>
      <w:r w:rsidR="00704856" w:rsidRPr="00012C3F">
        <w:rPr>
          <w:rFonts w:eastAsia="Batang"/>
          <w:sz w:val="20"/>
          <w:szCs w:val="20"/>
          <w:lang w:val="en-US"/>
        </w:rPr>
        <w:t xml:space="preserve">ii) </w:t>
      </w:r>
      <w:r w:rsidR="000E1C11" w:rsidRPr="00012C3F">
        <w:rPr>
          <w:rFonts w:eastAsia="Batang"/>
          <w:sz w:val="20"/>
          <w:szCs w:val="20"/>
          <w:lang w:val="en-US"/>
        </w:rPr>
        <w:t>I.V.</w:t>
      </w:r>
      <w:r w:rsidR="00704856" w:rsidRPr="00012C3F">
        <w:rPr>
          <w:rFonts w:eastAsia="Batang"/>
          <w:sz w:val="20"/>
          <w:szCs w:val="20"/>
          <w:lang w:val="en-US"/>
        </w:rPr>
        <w:t xml:space="preserve"> </w:t>
      </w:r>
      <w:r w:rsidRPr="00012C3F">
        <w:rPr>
          <w:rFonts w:eastAsia="Batang"/>
          <w:sz w:val="20"/>
          <w:szCs w:val="20"/>
          <w:lang w:val="en-US"/>
        </w:rPr>
        <w:t>also experienced physical consequences that involved a subsequent surgical procedure because she was diagnosed with placental remains</w:t>
      </w:r>
      <w:r w:rsidR="00704856" w:rsidRPr="00012C3F">
        <w:rPr>
          <w:rFonts w:eastAsia="Batang"/>
          <w:sz w:val="20"/>
          <w:szCs w:val="20"/>
          <w:lang w:val="en-US"/>
        </w:rPr>
        <w:t xml:space="preserve"> </w:t>
      </w:r>
      <w:r w:rsidRPr="00012C3F">
        <w:rPr>
          <w:sz w:val="20"/>
          <w:szCs w:val="20"/>
          <w:lang w:val="en-US"/>
        </w:rPr>
        <w:t>in the endometrial cavity</w:t>
      </w:r>
      <w:r w:rsidR="00704856" w:rsidRPr="00012C3F">
        <w:rPr>
          <w:rStyle w:val="Refdenotaalpie"/>
          <w:rFonts w:eastAsia="Batang"/>
          <w:sz w:val="20"/>
          <w:szCs w:val="20"/>
          <w:lang w:val="en-US"/>
        </w:rPr>
        <w:footnoteReference w:id="352"/>
      </w:r>
      <w:r w:rsidR="00704856" w:rsidRPr="00012C3F">
        <w:rPr>
          <w:rFonts w:eastAsia="Batang"/>
          <w:sz w:val="20"/>
          <w:szCs w:val="20"/>
          <w:lang w:val="en-US"/>
        </w:rPr>
        <w:t xml:space="preserve"> </w:t>
      </w:r>
      <w:r w:rsidR="00704856" w:rsidRPr="00012C3F">
        <w:rPr>
          <w:sz w:val="20"/>
          <w:szCs w:val="20"/>
          <w:lang w:val="en-US"/>
        </w:rPr>
        <w:t>(</w:t>
      </w:r>
      <w:r w:rsidR="00704856" w:rsidRPr="00012C3F">
        <w:rPr>
          <w:i/>
          <w:sz w:val="20"/>
          <w:szCs w:val="20"/>
          <w:lang w:val="en-US"/>
        </w:rPr>
        <w:t>supra</w:t>
      </w:r>
      <w:r w:rsidR="00704856" w:rsidRPr="00012C3F">
        <w:rPr>
          <w:sz w:val="20"/>
          <w:szCs w:val="20"/>
          <w:lang w:val="en-US"/>
        </w:rPr>
        <w:t xml:space="preserve"> </w:t>
      </w:r>
      <w:r w:rsidR="00370DD4" w:rsidRPr="00012C3F">
        <w:rPr>
          <w:sz w:val="20"/>
          <w:szCs w:val="20"/>
          <w:lang w:val="en-US"/>
        </w:rPr>
        <w:lastRenderedPageBreak/>
        <w:t>para.</w:t>
      </w:r>
      <w:r w:rsidR="00704856" w:rsidRPr="00012C3F">
        <w:rPr>
          <w:sz w:val="20"/>
          <w:szCs w:val="20"/>
          <w:lang w:val="en-US"/>
        </w:rPr>
        <w:t xml:space="preserve"> </w:t>
      </w:r>
      <w:r w:rsidR="00111B66" w:rsidRPr="00012C3F">
        <w:rPr>
          <w:sz w:val="20"/>
          <w:szCs w:val="20"/>
          <w:lang w:val="en-US"/>
        </w:rPr>
        <w:t>114</w:t>
      </w:r>
      <w:r w:rsidR="00704856" w:rsidRPr="00012C3F">
        <w:rPr>
          <w:sz w:val="20"/>
          <w:szCs w:val="20"/>
          <w:lang w:val="en-US"/>
        </w:rPr>
        <w:t xml:space="preserve">); </w:t>
      </w:r>
      <w:r w:rsidR="00D02595" w:rsidRPr="00012C3F">
        <w:rPr>
          <w:sz w:val="20"/>
          <w:szCs w:val="20"/>
          <w:lang w:val="en-US"/>
        </w:rPr>
        <w:t>(</w:t>
      </w:r>
      <w:r w:rsidR="00704856" w:rsidRPr="00012C3F">
        <w:rPr>
          <w:sz w:val="20"/>
          <w:szCs w:val="20"/>
          <w:lang w:val="en-US"/>
        </w:rPr>
        <w:t xml:space="preserve">iii) </w:t>
      </w:r>
      <w:r w:rsidR="000E1C11" w:rsidRPr="00012C3F">
        <w:rPr>
          <w:sz w:val="20"/>
          <w:szCs w:val="20"/>
          <w:lang w:val="en-US"/>
        </w:rPr>
        <w:t>I.V.</w:t>
      </w:r>
      <w:r w:rsidR="00D02595" w:rsidRPr="00012C3F">
        <w:rPr>
          <w:sz w:val="20"/>
          <w:szCs w:val="20"/>
          <w:lang w:val="en-US"/>
        </w:rPr>
        <w:t xml:space="preserve"> suffered severe psychological effects that required psychiatric treatment </w:t>
      </w:r>
      <w:r w:rsidR="00704856" w:rsidRPr="00012C3F">
        <w:rPr>
          <w:sz w:val="20"/>
          <w:szCs w:val="20"/>
          <w:lang w:val="en-US"/>
        </w:rPr>
        <w:t>(</w:t>
      </w:r>
      <w:r w:rsidR="00704856" w:rsidRPr="00012C3F">
        <w:rPr>
          <w:i/>
          <w:sz w:val="20"/>
          <w:szCs w:val="20"/>
          <w:lang w:val="en-US"/>
        </w:rPr>
        <w:t>supra</w:t>
      </w:r>
      <w:r w:rsidR="00704856" w:rsidRPr="00012C3F">
        <w:rPr>
          <w:sz w:val="20"/>
          <w:szCs w:val="20"/>
          <w:lang w:val="en-US"/>
        </w:rPr>
        <w:t xml:space="preserve"> </w:t>
      </w:r>
      <w:r w:rsidR="00370DD4" w:rsidRPr="00012C3F">
        <w:rPr>
          <w:sz w:val="20"/>
          <w:szCs w:val="20"/>
          <w:lang w:val="en-US"/>
        </w:rPr>
        <w:t>para.</w:t>
      </w:r>
      <w:r w:rsidR="00704856" w:rsidRPr="00012C3F">
        <w:rPr>
          <w:sz w:val="20"/>
          <w:szCs w:val="20"/>
          <w:lang w:val="en-US"/>
        </w:rPr>
        <w:t xml:space="preserve"> </w:t>
      </w:r>
      <w:r w:rsidR="00111B66" w:rsidRPr="00012C3F">
        <w:rPr>
          <w:sz w:val="20"/>
          <w:szCs w:val="20"/>
          <w:lang w:val="en-US"/>
        </w:rPr>
        <w:t>115</w:t>
      </w:r>
      <w:r w:rsidR="00704856" w:rsidRPr="00012C3F">
        <w:rPr>
          <w:sz w:val="20"/>
          <w:szCs w:val="20"/>
          <w:lang w:val="en-US"/>
        </w:rPr>
        <w:t>)</w:t>
      </w:r>
      <w:r w:rsidR="00704856" w:rsidRPr="00012C3F">
        <w:rPr>
          <w:rFonts w:eastAsia="Batang"/>
          <w:sz w:val="20"/>
          <w:szCs w:val="20"/>
          <w:lang w:val="en-US"/>
        </w:rPr>
        <w:t>, inclu</w:t>
      </w:r>
      <w:r w:rsidR="00D02595" w:rsidRPr="00012C3F">
        <w:rPr>
          <w:rFonts w:eastAsia="Batang"/>
          <w:sz w:val="20"/>
          <w:szCs w:val="20"/>
          <w:lang w:val="en-US"/>
        </w:rPr>
        <w:t>ding feelings of anguish, frustration and guilt, as well as of devaluation as a woman that have aroused feelings of shame;</w:t>
      </w:r>
      <w:r w:rsidR="00704856" w:rsidRPr="00012C3F">
        <w:rPr>
          <w:rStyle w:val="Refdenotaalpie"/>
          <w:rFonts w:eastAsia="Batang"/>
          <w:sz w:val="20"/>
          <w:szCs w:val="20"/>
          <w:lang w:val="en-US"/>
        </w:rPr>
        <w:footnoteReference w:id="353"/>
      </w:r>
      <w:r w:rsidR="00704856" w:rsidRPr="00012C3F">
        <w:rPr>
          <w:rFonts w:eastAsia="Batang"/>
          <w:sz w:val="20"/>
          <w:szCs w:val="20"/>
          <w:lang w:val="en-US"/>
        </w:rPr>
        <w:t xml:space="preserve"> </w:t>
      </w:r>
      <w:r w:rsidR="00D02595" w:rsidRPr="00012C3F">
        <w:rPr>
          <w:rFonts w:eastAsia="Batang"/>
          <w:sz w:val="20"/>
          <w:szCs w:val="20"/>
          <w:lang w:val="en-US"/>
        </w:rPr>
        <w:t>(</w:t>
      </w:r>
      <w:r w:rsidR="00704856" w:rsidRPr="00012C3F">
        <w:rPr>
          <w:rFonts w:eastAsia="Batang"/>
          <w:sz w:val="20"/>
          <w:szCs w:val="20"/>
          <w:lang w:val="en-US"/>
        </w:rPr>
        <w:t xml:space="preserve">iv) </w:t>
      </w:r>
      <w:r w:rsidR="00271E24" w:rsidRPr="00012C3F">
        <w:rPr>
          <w:rFonts w:eastAsia="Batang"/>
          <w:sz w:val="20"/>
          <w:szCs w:val="20"/>
          <w:lang w:val="en-US"/>
        </w:rPr>
        <w:t>non-consensual sterilization</w:t>
      </w:r>
      <w:r w:rsidR="00413F6D" w:rsidRPr="00012C3F">
        <w:rPr>
          <w:rFonts w:eastAsia="Batang"/>
          <w:sz w:val="20"/>
          <w:szCs w:val="20"/>
          <w:lang w:val="en-US"/>
        </w:rPr>
        <w:t xml:space="preserve"> </w:t>
      </w:r>
      <w:r w:rsidR="00D02595" w:rsidRPr="00012C3F">
        <w:rPr>
          <w:rFonts w:eastAsia="Batang"/>
          <w:sz w:val="20"/>
          <w:szCs w:val="20"/>
          <w:lang w:val="en-US"/>
        </w:rPr>
        <w:t>prejudiced her private life, and led to the temporary separation from her husband, a situation which caused emotional suffering;</w:t>
      </w:r>
      <w:r w:rsidR="00D02595" w:rsidRPr="00012C3F">
        <w:rPr>
          <w:rStyle w:val="Refdenotaalpie"/>
          <w:rFonts w:eastAsia="Batang"/>
          <w:sz w:val="20"/>
          <w:szCs w:val="20"/>
          <w:lang w:val="en-US"/>
        </w:rPr>
        <w:footnoteReference w:id="354"/>
      </w:r>
      <w:r w:rsidR="00D02595" w:rsidRPr="00012C3F">
        <w:rPr>
          <w:rFonts w:eastAsia="Batang"/>
          <w:sz w:val="20"/>
          <w:szCs w:val="20"/>
          <w:lang w:val="en-US"/>
        </w:rPr>
        <w:t xml:space="preserve"> (v) non-consensual sterilization had different kinds of effects on her family and, in particular, on her daughters,</w:t>
      </w:r>
      <w:r w:rsidR="00704856" w:rsidRPr="00012C3F">
        <w:rPr>
          <w:rStyle w:val="Refdenotaalpie"/>
          <w:rFonts w:eastAsia="Batang"/>
          <w:sz w:val="20"/>
          <w:szCs w:val="20"/>
          <w:lang w:val="en-US"/>
        </w:rPr>
        <w:footnoteReference w:id="355"/>
      </w:r>
      <w:r w:rsidR="00704856" w:rsidRPr="00012C3F">
        <w:rPr>
          <w:rFonts w:eastAsia="Batang"/>
          <w:sz w:val="20"/>
          <w:szCs w:val="20"/>
          <w:lang w:val="en-US"/>
        </w:rPr>
        <w:t xml:space="preserve"> </w:t>
      </w:r>
      <w:r w:rsidR="00D02595" w:rsidRPr="00012C3F">
        <w:rPr>
          <w:rFonts w:eastAsia="Batang"/>
          <w:sz w:val="20"/>
          <w:szCs w:val="20"/>
          <w:lang w:val="en-US"/>
        </w:rPr>
        <w:t>which led to feelings of guilt</w:t>
      </w:r>
      <w:r w:rsidR="00704856" w:rsidRPr="00012C3F">
        <w:rPr>
          <w:rStyle w:val="Refdenotaalpie"/>
          <w:rFonts w:eastAsia="Batang"/>
          <w:sz w:val="20"/>
          <w:szCs w:val="20"/>
          <w:lang w:val="en-US"/>
        </w:rPr>
        <w:footnoteReference w:id="356"/>
      </w:r>
      <w:r w:rsidR="00704856" w:rsidRPr="00012C3F">
        <w:rPr>
          <w:rFonts w:eastAsia="Batang"/>
          <w:sz w:val="20"/>
          <w:szCs w:val="20"/>
          <w:lang w:val="en-US"/>
        </w:rPr>
        <w:t xml:space="preserve"> </w:t>
      </w:r>
      <w:r w:rsidR="00704856" w:rsidRPr="00012C3F">
        <w:rPr>
          <w:sz w:val="20"/>
          <w:szCs w:val="20"/>
          <w:lang w:val="en-US"/>
        </w:rPr>
        <w:t>(</w:t>
      </w:r>
      <w:r w:rsidR="00704856" w:rsidRPr="00012C3F">
        <w:rPr>
          <w:i/>
          <w:sz w:val="20"/>
          <w:szCs w:val="20"/>
          <w:lang w:val="en-US"/>
        </w:rPr>
        <w:t>supra</w:t>
      </w:r>
      <w:r w:rsidR="00704856" w:rsidRPr="00012C3F">
        <w:rPr>
          <w:sz w:val="20"/>
          <w:szCs w:val="20"/>
          <w:lang w:val="en-US"/>
        </w:rPr>
        <w:t xml:space="preserve"> </w:t>
      </w:r>
      <w:r w:rsidR="00370DD4" w:rsidRPr="00012C3F">
        <w:rPr>
          <w:sz w:val="20"/>
          <w:szCs w:val="20"/>
          <w:lang w:val="en-US"/>
        </w:rPr>
        <w:t>para.</w:t>
      </w:r>
      <w:r w:rsidR="00704856" w:rsidRPr="00012C3F">
        <w:rPr>
          <w:sz w:val="20"/>
          <w:szCs w:val="20"/>
          <w:lang w:val="en-US"/>
        </w:rPr>
        <w:t xml:space="preserve"> </w:t>
      </w:r>
      <w:r w:rsidR="00111B66" w:rsidRPr="00012C3F">
        <w:rPr>
          <w:sz w:val="20"/>
          <w:szCs w:val="20"/>
          <w:lang w:val="en-US"/>
        </w:rPr>
        <w:t>115</w:t>
      </w:r>
      <w:r w:rsidR="00704856" w:rsidRPr="00012C3F">
        <w:rPr>
          <w:sz w:val="20"/>
          <w:szCs w:val="20"/>
          <w:lang w:val="en-US"/>
        </w:rPr>
        <w:t>)</w:t>
      </w:r>
      <w:r w:rsidR="00704856" w:rsidRPr="00012C3F">
        <w:rPr>
          <w:rFonts w:eastAsia="Batang"/>
          <w:sz w:val="20"/>
          <w:szCs w:val="20"/>
          <w:lang w:val="en-US"/>
        </w:rPr>
        <w:t xml:space="preserve">; </w:t>
      </w:r>
      <w:r w:rsidR="00D02595" w:rsidRPr="00012C3F">
        <w:rPr>
          <w:rFonts w:eastAsia="Batang"/>
          <w:sz w:val="20"/>
          <w:szCs w:val="20"/>
          <w:lang w:val="en-US"/>
        </w:rPr>
        <w:t>(</w:t>
      </w:r>
      <w:r w:rsidR="00704856" w:rsidRPr="00012C3F">
        <w:rPr>
          <w:rFonts w:eastAsia="Batang"/>
          <w:sz w:val="20"/>
          <w:szCs w:val="20"/>
          <w:lang w:val="en-US"/>
        </w:rPr>
        <w:t xml:space="preserve">vi) </w:t>
      </w:r>
      <w:r w:rsidR="00271E24" w:rsidRPr="00012C3F">
        <w:rPr>
          <w:rFonts w:eastAsia="Batang"/>
          <w:sz w:val="20"/>
          <w:szCs w:val="20"/>
          <w:lang w:val="en-US"/>
        </w:rPr>
        <w:t>non-consensual sterilization</w:t>
      </w:r>
      <w:r w:rsidR="00413F6D" w:rsidRPr="00012C3F">
        <w:rPr>
          <w:rFonts w:eastAsia="Batang"/>
          <w:sz w:val="20"/>
          <w:szCs w:val="20"/>
          <w:lang w:val="en-US"/>
        </w:rPr>
        <w:t xml:space="preserve"> </w:t>
      </w:r>
      <w:r w:rsidR="00D02595" w:rsidRPr="00012C3F">
        <w:rPr>
          <w:rFonts w:eastAsia="Batang"/>
          <w:sz w:val="20"/>
          <w:szCs w:val="20"/>
          <w:lang w:val="en-US"/>
        </w:rPr>
        <w:t>resulted in a financial burden for</w:t>
      </w:r>
      <w:r w:rsidR="00704856" w:rsidRPr="00012C3F">
        <w:rPr>
          <w:rFonts w:eastAsia="Batang"/>
          <w:sz w:val="20"/>
          <w:szCs w:val="20"/>
          <w:lang w:val="en-US"/>
        </w:rPr>
        <w:t xml:space="preserve"> </w:t>
      </w:r>
      <w:r w:rsidR="000E1C11" w:rsidRPr="00012C3F">
        <w:rPr>
          <w:rFonts w:eastAsia="Batang"/>
          <w:sz w:val="20"/>
          <w:szCs w:val="20"/>
          <w:lang w:val="en-US"/>
        </w:rPr>
        <w:t>I.V.</w:t>
      </w:r>
      <w:r w:rsidR="00704856" w:rsidRPr="00012C3F">
        <w:rPr>
          <w:rFonts w:eastAsia="Batang"/>
          <w:sz w:val="20"/>
          <w:szCs w:val="20"/>
          <w:lang w:val="en-US"/>
        </w:rPr>
        <w:t xml:space="preserve"> </w:t>
      </w:r>
      <w:r w:rsidR="00E010DD" w:rsidRPr="00012C3F">
        <w:rPr>
          <w:rFonts w:eastAsia="Batang"/>
          <w:sz w:val="20"/>
          <w:szCs w:val="20"/>
          <w:lang w:val="en-US"/>
        </w:rPr>
        <w:t>arising from</w:t>
      </w:r>
      <w:r w:rsidR="00D02595" w:rsidRPr="00012C3F">
        <w:rPr>
          <w:rFonts w:eastAsia="Batang"/>
          <w:sz w:val="20"/>
          <w:szCs w:val="20"/>
          <w:lang w:val="en-US"/>
        </w:rPr>
        <w:t xml:space="preserve"> the subsequent medical care in a setting that inspired her confidence</w:t>
      </w:r>
      <w:r w:rsidR="00E010DD" w:rsidRPr="00012C3F">
        <w:rPr>
          <w:rFonts w:eastAsia="Batang"/>
          <w:sz w:val="20"/>
          <w:szCs w:val="20"/>
          <w:lang w:val="en-US"/>
        </w:rPr>
        <w:t>,</w:t>
      </w:r>
      <w:r w:rsidR="00D02595" w:rsidRPr="00012C3F">
        <w:rPr>
          <w:rFonts w:eastAsia="Batang"/>
          <w:sz w:val="20"/>
          <w:szCs w:val="20"/>
          <w:lang w:val="en-US"/>
        </w:rPr>
        <w:t xml:space="preserve"> and </w:t>
      </w:r>
      <w:r w:rsidR="00E010DD" w:rsidRPr="00012C3F">
        <w:rPr>
          <w:rFonts w:eastAsia="Batang"/>
          <w:sz w:val="20"/>
          <w:szCs w:val="20"/>
          <w:lang w:val="en-US"/>
        </w:rPr>
        <w:t>from</w:t>
      </w:r>
      <w:r w:rsidR="00D02595" w:rsidRPr="00012C3F">
        <w:rPr>
          <w:rFonts w:eastAsia="Batang"/>
          <w:sz w:val="20"/>
          <w:szCs w:val="20"/>
          <w:lang w:val="en-US"/>
        </w:rPr>
        <w:t xml:space="preserve"> the search for justice,</w:t>
      </w:r>
      <w:r w:rsidR="00704856" w:rsidRPr="00012C3F">
        <w:rPr>
          <w:rStyle w:val="Refdenotaalpie"/>
          <w:rFonts w:eastAsia="Batang"/>
          <w:sz w:val="20"/>
          <w:szCs w:val="20"/>
          <w:lang w:val="en-US"/>
        </w:rPr>
        <w:footnoteReference w:id="357"/>
      </w:r>
      <w:r w:rsidR="005E5012" w:rsidRPr="00012C3F">
        <w:rPr>
          <w:rFonts w:eastAsia="Batang"/>
          <w:sz w:val="20"/>
          <w:szCs w:val="20"/>
          <w:lang w:val="en-US"/>
        </w:rPr>
        <w:t xml:space="preserve"> and </w:t>
      </w:r>
      <w:r w:rsidR="00D02595" w:rsidRPr="00012C3F">
        <w:rPr>
          <w:rFonts w:eastAsia="Batang"/>
          <w:sz w:val="20"/>
          <w:szCs w:val="20"/>
          <w:lang w:val="en-US"/>
        </w:rPr>
        <w:t>(</w:t>
      </w:r>
      <w:r w:rsidR="00704856" w:rsidRPr="00012C3F">
        <w:rPr>
          <w:rFonts w:eastAsia="Batang"/>
          <w:sz w:val="20"/>
          <w:szCs w:val="20"/>
          <w:lang w:val="en-US"/>
        </w:rPr>
        <w:t xml:space="preserve">vii) </w:t>
      </w:r>
      <w:r w:rsidR="00D02595" w:rsidRPr="00012C3F">
        <w:rPr>
          <w:rFonts w:eastAsia="Batang"/>
          <w:sz w:val="20"/>
          <w:szCs w:val="20"/>
          <w:lang w:val="en-US"/>
        </w:rPr>
        <w:t xml:space="preserve">the lack of response from the judicial system </w:t>
      </w:r>
      <w:r w:rsidR="00704856" w:rsidRPr="00012C3F">
        <w:rPr>
          <w:sz w:val="20"/>
          <w:szCs w:val="20"/>
          <w:lang w:val="en-US"/>
        </w:rPr>
        <w:t>(</w:t>
      </w:r>
      <w:r w:rsidR="00704856" w:rsidRPr="00012C3F">
        <w:rPr>
          <w:i/>
          <w:sz w:val="20"/>
          <w:szCs w:val="20"/>
          <w:lang w:val="en-US"/>
        </w:rPr>
        <w:t>supra</w:t>
      </w:r>
      <w:r w:rsidR="00704856" w:rsidRPr="00012C3F">
        <w:rPr>
          <w:sz w:val="20"/>
          <w:szCs w:val="20"/>
          <w:lang w:val="en-US"/>
        </w:rPr>
        <w:t xml:space="preserve"> </w:t>
      </w:r>
      <w:r w:rsidR="00370DD4" w:rsidRPr="00012C3F">
        <w:rPr>
          <w:sz w:val="20"/>
          <w:szCs w:val="20"/>
          <w:lang w:val="en-US"/>
        </w:rPr>
        <w:t>paras.</w:t>
      </w:r>
      <w:r w:rsidR="00704856" w:rsidRPr="00012C3F">
        <w:rPr>
          <w:sz w:val="20"/>
          <w:szCs w:val="20"/>
          <w:lang w:val="en-US"/>
        </w:rPr>
        <w:t xml:space="preserve"> </w:t>
      </w:r>
      <w:r w:rsidR="00111B66" w:rsidRPr="00012C3F">
        <w:rPr>
          <w:sz w:val="20"/>
          <w:szCs w:val="20"/>
          <w:lang w:val="en-US"/>
        </w:rPr>
        <w:t xml:space="preserve">111 </w:t>
      </w:r>
      <w:r w:rsidR="00D02595" w:rsidRPr="00012C3F">
        <w:rPr>
          <w:sz w:val="20"/>
          <w:szCs w:val="20"/>
          <w:lang w:val="en-US"/>
        </w:rPr>
        <w:t>to</w:t>
      </w:r>
      <w:r w:rsidR="00111B66" w:rsidRPr="00012C3F">
        <w:rPr>
          <w:sz w:val="20"/>
          <w:szCs w:val="20"/>
          <w:lang w:val="en-US"/>
        </w:rPr>
        <w:t xml:space="preserve"> 113</w:t>
      </w:r>
      <w:r w:rsidR="00704856" w:rsidRPr="00012C3F">
        <w:rPr>
          <w:sz w:val="20"/>
          <w:szCs w:val="20"/>
          <w:lang w:val="en-US"/>
        </w:rPr>
        <w:t xml:space="preserve"> </w:t>
      </w:r>
      <w:r w:rsidR="00D02595" w:rsidRPr="00012C3F">
        <w:rPr>
          <w:sz w:val="20"/>
          <w:szCs w:val="20"/>
          <w:lang w:val="en-US"/>
        </w:rPr>
        <w:t>and</w:t>
      </w:r>
      <w:r w:rsidR="00704856" w:rsidRPr="00012C3F">
        <w:rPr>
          <w:sz w:val="20"/>
          <w:szCs w:val="20"/>
          <w:lang w:val="en-US"/>
        </w:rPr>
        <w:t xml:space="preserve"> </w:t>
      </w:r>
      <w:r w:rsidR="00704856" w:rsidRPr="00012C3F">
        <w:rPr>
          <w:i/>
          <w:sz w:val="20"/>
          <w:szCs w:val="20"/>
          <w:lang w:val="en-US"/>
        </w:rPr>
        <w:t>infra</w:t>
      </w:r>
      <w:r w:rsidR="00704856" w:rsidRPr="00012C3F">
        <w:rPr>
          <w:sz w:val="20"/>
          <w:szCs w:val="20"/>
          <w:lang w:val="en-US"/>
        </w:rPr>
        <w:t xml:space="preserve"> </w:t>
      </w:r>
      <w:r w:rsidR="00370DD4" w:rsidRPr="00012C3F">
        <w:rPr>
          <w:sz w:val="20"/>
          <w:szCs w:val="20"/>
          <w:lang w:val="en-US"/>
        </w:rPr>
        <w:t>para.</w:t>
      </w:r>
      <w:r w:rsidR="00704856" w:rsidRPr="00012C3F">
        <w:rPr>
          <w:sz w:val="20"/>
          <w:szCs w:val="20"/>
          <w:lang w:val="en-US"/>
        </w:rPr>
        <w:t xml:space="preserve"> </w:t>
      </w:r>
      <w:r w:rsidR="00111B66" w:rsidRPr="00012C3F">
        <w:rPr>
          <w:sz w:val="20"/>
          <w:szCs w:val="20"/>
          <w:lang w:val="en-US"/>
        </w:rPr>
        <w:t>314</w:t>
      </w:r>
      <w:r w:rsidR="00704856" w:rsidRPr="00012C3F">
        <w:rPr>
          <w:sz w:val="20"/>
          <w:szCs w:val="20"/>
          <w:lang w:val="en-US"/>
        </w:rPr>
        <w:t xml:space="preserve">), </w:t>
      </w:r>
      <w:r w:rsidR="00D02595" w:rsidRPr="00012C3F">
        <w:rPr>
          <w:sz w:val="20"/>
          <w:szCs w:val="20"/>
          <w:lang w:val="en-US"/>
        </w:rPr>
        <w:t>led to her feeling powerless and frustrated.</w:t>
      </w:r>
      <w:r w:rsidR="00704856" w:rsidRPr="00012C3F">
        <w:rPr>
          <w:rStyle w:val="Refdenotaalpie"/>
          <w:rFonts w:eastAsia="Calibri"/>
          <w:sz w:val="20"/>
          <w:szCs w:val="20"/>
          <w:lang w:val="en-US"/>
        </w:rPr>
        <w:footnoteReference w:id="358"/>
      </w:r>
      <w:r w:rsidR="00D02595" w:rsidRPr="00012C3F">
        <w:rPr>
          <w:sz w:val="20"/>
          <w:szCs w:val="20"/>
          <w:lang w:val="en-US"/>
        </w:rPr>
        <w:t xml:space="preserve"> In sum, it is clear that </w:t>
      </w:r>
      <w:r w:rsidR="00271E24" w:rsidRPr="00012C3F">
        <w:rPr>
          <w:rFonts w:eastAsia="Batang"/>
          <w:sz w:val="20"/>
          <w:szCs w:val="20"/>
          <w:lang w:val="en-US"/>
        </w:rPr>
        <w:t>non-consensual</w:t>
      </w:r>
      <w:r w:rsidR="00D02595" w:rsidRPr="00012C3F">
        <w:rPr>
          <w:rFonts w:eastAsia="Batang"/>
          <w:sz w:val="20"/>
          <w:szCs w:val="20"/>
          <w:lang w:val="en-US"/>
        </w:rPr>
        <w:t xml:space="preserve"> or involuntary</w:t>
      </w:r>
      <w:r w:rsidR="00271E24" w:rsidRPr="00012C3F">
        <w:rPr>
          <w:rFonts w:eastAsia="Batang"/>
          <w:sz w:val="20"/>
          <w:szCs w:val="20"/>
          <w:lang w:val="en-US"/>
        </w:rPr>
        <w:t xml:space="preserve"> sterilization</w:t>
      </w:r>
      <w:r w:rsidR="00D02595" w:rsidRPr="00012C3F">
        <w:rPr>
          <w:rFonts w:eastAsia="Batang"/>
          <w:sz w:val="20"/>
          <w:szCs w:val="20"/>
          <w:lang w:val="en-US"/>
        </w:rPr>
        <w:t>, with the consequent impossibility to conceive, caused I.V. lasting physical and mental suffering, as well as considera</w:t>
      </w:r>
      <w:r w:rsidR="00FA018A" w:rsidRPr="00012C3F">
        <w:rPr>
          <w:rFonts w:eastAsia="Batang"/>
          <w:sz w:val="20"/>
          <w:szCs w:val="20"/>
          <w:lang w:val="en-US"/>
        </w:rPr>
        <w:t>ble</w:t>
      </w:r>
      <w:r w:rsidR="00D02595" w:rsidRPr="00012C3F">
        <w:rPr>
          <w:rFonts w:eastAsia="Batang"/>
          <w:sz w:val="20"/>
          <w:szCs w:val="20"/>
          <w:lang w:val="en-US"/>
        </w:rPr>
        <w:t xml:space="preserve"> emotional</w:t>
      </w:r>
      <w:r w:rsidR="00FA018A" w:rsidRPr="00012C3F">
        <w:rPr>
          <w:rFonts w:eastAsia="Batang"/>
          <w:sz w:val="20"/>
          <w:szCs w:val="20"/>
          <w:lang w:val="en-US"/>
        </w:rPr>
        <w:t xml:space="preserve"> pain, on a personal, family and social level.</w:t>
      </w:r>
    </w:p>
    <w:p w14:paraId="7E109922" w14:textId="77777777" w:rsidR="00502B43" w:rsidRPr="00012C3F" w:rsidRDefault="00502B43" w:rsidP="00502B43">
      <w:pPr>
        <w:spacing w:line="240" w:lineRule="auto"/>
        <w:rPr>
          <w:sz w:val="20"/>
          <w:szCs w:val="20"/>
          <w:lang w:val="en-US"/>
        </w:rPr>
      </w:pPr>
    </w:p>
    <w:p w14:paraId="5DCFA6A9" w14:textId="77777777" w:rsidR="00502B43" w:rsidRPr="00012C3F" w:rsidRDefault="00FA018A" w:rsidP="00FA018A">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In this regard, the Court notes that the sterilization had a radical effect on I.V.’s life. Thus, I.V. stated before the Court:</w:t>
      </w:r>
      <w:r w:rsidR="00502B43" w:rsidRPr="00012C3F">
        <w:rPr>
          <w:rStyle w:val="Refdenotaalpie"/>
          <w:rFonts w:eastAsia="Calibri"/>
          <w:sz w:val="20"/>
          <w:szCs w:val="20"/>
          <w:lang w:val="en-US"/>
        </w:rPr>
        <w:footnoteReference w:id="359"/>
      </w:r>
    </w:p>
    <w:p w14:paraId="02397E3C" w14:textId="77777777" w:rsidR="00502B43" w:rsidRPr="00012C3F" w:rsidRDefault="00502B43" w:rsidP="00502B43">
      <w:pPr>
        <w:spacing w:line="240" w:lineRule="auto"/>
        <w:rPr>
          <w:sz w:val="20"/>
          <w:szCs w:val="20"/>
          <w:lang w:val="en-US"/>
        </w:rPr>
      </w:pPr>
    </w:p>
    <w:p w14:paraId="72AC794B" w14:textId="77777777" w:rsidR="00502B43" w:rsidRPr="00012C3F" w:rsidRDefault="00502B43" w:rsidP="00712C2D">
      <w:pPr>
        <w:spacing w:line="240" w:lineRule="auto"/>
        <w:ind w:left="567" w:right="616"/>
        <w:rPr>
          <w:sz w:val="16"/>
          <w:szCs w:val="16"/>
          <w:lang w:val="en-US"/>
        </w:rPr>
      </w:pPr>
      <w:r w:rsidRPr="00012C3F">
        <w:rPr>
          <w:sz w:val="16"/>
          <w:szCs w:val="16"/>
          <w:lang w:val="en-US"/>
        </w:rPr>
        <w:t xml:space="preserve">[…] </w:t>
      </w:r>
      <w:r w:rsidR="00242684" w:rsidRPr="00012C3F">
        <w:rPr>
          <w:sz w:val="16"/>
          <w:szCs w:val="16"/>
          <w:lang w:val="en-US"/>
        </w:rPr>
        <w:t>this tubal ligation</w:t>
      </w:r>
      <w:r w:rsidR="00712C2D" w:rsidRPr="00012C3F">
        <w:rPr>
          <w:sz w:val="16"/>
          <w:szCs w:val="16"/>
          <w:lang w:val="en-US"/>
        </w:rPr>
        <w:t xml:space="preserve">, which was arbitrary, non-consensual, inhuman and </w:t>
      </w:r>
      <w:r w:rsidR="00242684" w:rsidRPr="00012C3F">
        <w:rPr>
          <w:sz w:val="16"/>
          <w:szCs w:val="16"/>
          <w:lang w:val="en-US"/>
        </w:rPr>
        <w:t>without my consent exhausted me profoundly, and also my family</w:t>
      </w:r>
      <w:r w:rsidR="00712C2D" w:rsidRPr="00012C3F">
        <w:rPr>
          <w:sz w:val="16"/>
          <w:szCs w:val="16"/>
          <w:lang w:val="en-US"/>
        </w:rPr>
        <w:t>.</w:t>
      </w:r>
      <w:r w:rsidR="00242684" w:rsidRPr="00012C3F">
        <w:rPr>
          <w:sz w:val="16"/>
          <w:szCs w:val="16"/>
          <w:lang w:val="en-US"/>
        </w:rPr>
        <w:t xml:space="preserve"> </w:t>
      </w:r>
      <w:r w:rsidR="00712C2D" w:rsidRPr="00012C3F">
        <w:rPr>
          <w:sz w:val="16"/>
          <w:szCs w:val="16"/>
          <w:lang w:val="en-US"/>
        </w:rPr>
        <w:t>I</w:t>
      </w:r>
      <w:r w:rsidR="00242684" w:rsidRPr="00012C3F">
        <w:rPr>
          <w:sz w:val="16"/>
          <w:szCs w:val="16"/>
          <w:lang w:val="en-US"/>
        </w:rPr>
        <w:t xml:space="preserve">t also </w:t>
      </w:r>
      <w:r w:rsidR="00712C2D" w:rsidRPr="00012C3F">
        <w:rPr>
          <w:sz w:val="16"/>
          <w:szCs w:val="16"/>
          <w:lang w:val="en-US"/>
        </w:rPr>
        <w:t>resulted in</w:t>
      </w:r>
      <w:r w:rsidR="00242684" w:rsidRPr="00012C3F">
        <w:rPr>
          <w:sz w:val="16"/>
          <w:szCs w:val="16"/>
          <w:lang w:val="en-US"/>
        </w:rPr>
        <w:t xml:space="preserve"> the break-up of the family, my separation from my husband</w:t>
      </w:r>
      <w:r w:rsidR="00712C2D" w:rsidRPr="00012C3F">
        <w:rPr>
          <w:sz w:val="16"/>
          <w:szCs w:val="16"/>
          <w:lang w:val="en-US"/>
        </w:rPr>
        <w:t>.</w:t>
      </w:r>
      <w:r w:rsidR="00242684" w:rsidRPr="00012C3F">
        <w:rPr>
          <w:sz w:val="16"/>
          <w:szCs w:val="16"/>
          <w:lang w:val="en-US"/>
        </w:rPr>
        <w:t xml:space="preserve"> </w:t>
      </w:r>
      <w:r w:rsidR="00712C2D" w:rsidRPr="00012C3F">
        <w:rPr>
          <w:sz w:val="16"/>
          <w:szCs w:val="16"/>
          <w:lang w:val="en-US"/>
        </w:rPr>
        <w:t>In addition, i</w:t>
      </w:r>
      <w:r w:rsidR="00242684" w:rsidRPr="00012C3F">
        <w:rPr>
          <w:sz w:val="16"/>
          <w:szCs w:val="16"/>
          <w:lang w:val="en-US"/>
        </w:rPr>
        <w:t>t led to my young daughter N.V. cutting her veins due to all the problems result</w:t>
      </w:r>
      <w:r w:rsidR="00173D28" w:rsidRPr="00012C3F">
        <w:rPr>
          <w:sz w:val="16"/>
          <w:szCs w:val="16"/>
          <w:lang w:val="en-US"/>
        </w:rPr>
        <w:t>ing</w:t>
      </w:r>
      <w:r w:rsidR="00242684" w:rsidRPr="00012C3F">
        <w:rPr>
          <w:sz w:val="16"/>
          <w:szCs w:val="16"/>
          <w:lang w:val="en-US"/>
        </w:rPr>
        <w:t xml:space="preserve"> from this sterilization that they did to me and, even today, I feel profound anguish that I was unable to take proper care of my girls, who were so young, because I was concentrating on this fight, in my trust in justice, that these things should not remain unpunished</w:t>
      </w:r>
      <w:r w:rsidR="00173D28" w:rsidRPr="00012C3F">
        <w:rPr>
          <w:sz w:val="16"/>
          <w:szCs w:val="16"/>
          <w:lang w:val="en-US"/>
        </w:rPr>
        <w:t>.</w:t>
      </w:r>
      <w:r w:rsidR="00242684" w:rsidRPr="00012C3F">
        <w:rPr>
          <w:sz w:val="16"/>
          <w:szCs w:val="16"/>
          <w:lang w:val="en-US"/>
        </w:rPr>
        <w:t xml:space="preserve"> I was involved in the administrative procedure and in the judicial proceedings and this has even caused my little girl to feel guilty, because even when she was very little, she though that it was owing to her birth that she was to blame for what happened to me. The State doesn’t know all the suffering, all the pain, all the sacrifice we have been through. The State doesn’t know the difficulties we have faced, owing to </w:t>
      </w:r>
      <w:r w:rsidR="00173D28" w:rsidRPr="00012C3F">
        <w:rPr>
          <w:sz w:val="16"/>
          <w:szCs w:val="16"/>
          <w:lang w:val="en-US"/>
        </w:rPr>
        <w:t>all the</w:t>
      </w:r>
      <w:r w:rsidR="00242684" w:rsidRPr="00012C3F">
        <w:rPr>
          <w:sz w:val="16"/>
          <w:szCs w:val="16"/>
          <w:lang w:val="en-US"/>
        </w:rPr>
        <w:t xml:space="preserve"> effort, </w:t>
      </w:r>
      <w:r w:rsidR="00173D28" w:rsidRPr="00012C3F">
        <w:rPr>
          <w:sz w:val="16"/>
          <w:szCs w:val="16"/>
          <w:lang w:val="en-US"/>
        </w:rPr>
        <w:t>all the struggle</w:t>
      </w:r>
      <w:r w:rsidR="00242684" w:rsidRPr="00012C3F">
        <w:rPr>
          <w:sz w:val="16"/>
          <w:szCs w:val="16"/>
          <w:lang w:val="en-US"/>
        </w:rPr>
        <w:t>, so much pain. My body couldn</w:t>
      </w:r>
      <w:r w:rsidR="00173D28" w:rsidRPr="00012C3F">
        <w:rPr>
          <w:sz w:val="16"/>
          <w:szCs w:val="16"/>
          <w:lang w:val="en-US"/>
        </w:rPr>
        <w:t>’</w:t>
      </w:r>
      <w:r w:rsidR="00242684" w:rsidRPr="00012C3F">
        <w:rPr>
          <w:sz w:val="16"/>
          <w:szCs w:val="16"/>
          <w:lang w:val="en-US"/>
        </w:rPr>
        <w:t xml:space="preserve">t resist this; my mind could bear it no longer and I had a mental health crisis in November 2013 and this is why they had to </w:t>
      </w:r>
      <w:r w:rsidR="00712C2D" w:rsidRPr="00012C3F">
        <w:rPr>
          <w:sz w:val="16"/>
          <w:szCs w:val="16"/>
          <w:lang w:val="en-US"/>
        </w:rPr>
        <w:t>put me in a mental health hospital. I was interned there for three weeks and my children have seen all this pain, all this suffering, seeing how their mother escaped from the house, fleeing from the house barefoot and in p</w:t>
      </w:r>
      <w:r w:rsidR="00173D28" w:rsidRPr="00012C3F">
        <w:rPr>
          <w:sz w:val="16"/>
          <w:szCs w:val="16"/>
          <w:lang w:val="en-US"/>
        </w:rPr>
        <w:t>a</w:t>
      </w:r>
      <w:r w:rsidR="00712C2D" w:rsidRPr="00012C3F">
        <w:rPr>
          <w:sz w:val="16"/>
          <w:szCs w:val="16"/>
          <w:lang w:val="en-US"/>
        </w:rPr>
        <w:t>jamas, and now the doctor</w:t>
      </w:r>
      <w:r w:rsidR="00E010DD" w:rsidRPr="00012C3F">
        <w:rPr>
          <w:sz w:val="16"/>
          <w:szCs w:val="16"/>
          <w:lang w:val="en-US"/>
        </w:rPr>
        <w:t>s</w:t>
      </w:r>
      <w:r w:rsidR="00712C2D" w:rsidRPr="00012C3F">
        <w:rPr>
          <w:sz w:val="16"/>
          <w:szCs w:val="16"/>
          <w:lang w:val="en-US"/>
        </w:rPr>
        <w:t xml:space="preserve"> who have seen me have told me that I must take </w:t>
      </w:r>
      <w:r w:rsidRPr="00012C3F">
        <w:rPr>
          <w:sz w:val="16"/>
          <w:szCs w:val="16"/>
          <w:lang w:val="en-US"/>
        </w:rPr>
        <w:t>carbamazepin</w:t>
      </w:r>
      <w:r w:rsidR="00712C2D" w:rsidRPr="00012C3F">
        <w:rPr>
          <w:sz w:val="16"/>
          <w:szCs w:val="16"/>
          <w:lang w:val="en-US"/>
        </w:rPr>
        <w:t>e</w:t>
      </w:r>
      <w:r w:rsidR="005E5012" w:rsidRPr="00012C3F">
        <w:rPr>
          <w:sz w:val="16"/>
          <w:szCs w:val="16"/>
          <w:lang w:val="en-US"/>
        </w:rPr>
        <w:t xml:space="preserve"> and </w:t>
      </w:r>
      <w:r w:rsidRPr="00012C3F">
        <w:rPr>
          <w:sz w:val="16"/>
          <w:szCs w:val="16"/>
          <w:lang w:val="en-US"/>
        </w:rPr>
        <w:t>alopurinol</w:t>
      </w:r>
      <w:r w:rsidR="00712C2D" w:rsidRPr="00012C3F">
        <w:rPr>
          <w:sz w:val="16"/>
          <w:szCs w:val="16"/>
          <w:lang w:val="en-US"/>
        </w:rPr>
        <w:t xml:space="preserve"> for</w:t>
      </w:r>
      <w:r w:rsidR="00173D28" w:rsidRPr="00012C3F">
        <w:rPr>
          <w:sz w:val="16"/>
          <w:szCs w:val="16"/>
          <w:lang w:val="en-US"/>
        </w:rPr>
        <w:t xml:space="preserve"> </w:t>
      </w:r>
      <w:r w:rsidR="00712C2D" w:rsidRPr="00012C3F">
        <w:rPr>
          <w:sz w:val="16"/>
          <w:szCs w:val="16"/>
          <w:lang w:val="en-US"/>
        </w:rPr>
        <w:t xml:space="preserve">as long as I live, owing to all the suffering I have experienced, for the non-consensual sterilization that they did to me. They destroyed my reproductive system; they curtailed my right to be a mother again, they prevented me from having a male child; they caused pain and suffering to two children; they harmed me in a number of ways, I could even have died, because they left placental remains which resulted in </w:t>
      </w:r>
      <w:r w:rsidRPr="00012C3F">
        <w:rPr>
          <w:sz w:val="16"/>
          <w:szCs w:val="16"/>
          <w:lang w:val="en-US"/>
        </w:rPr>
        <w:t>endometritis</w:t>
      </w:r>
      <w:r w:rsidR="00712C2D" w:rsidRPr="00012C3F">
        <w:rPr>
          <w:sz w:val="16"/>
          <w:szCs w:val="16"/>
          <w:lang w:val="en-US"/>
        </w:rPr>
        <w:t>, and if this had not been treated promptly it could have led to my death.</w:t>
      </w:r>
      <w:r w:rsidRPr="00012C3F">
        <w:rPr>
          <w:sz w:val="16"/>
          <w:szCs w:val="16"/>
          <w:lang w:val="en-US"/>
        </w:rPr>
        <w:t xml:space="preserve"> </w:t>
      </w:r>
    </w:p>
    <w:p w14:paraId="5DB6269C" w14:textId="77777777" w:rsidR="00FC2379" w:rsidRPr="00012C3F" w:rsidRDefault="00FC2379" w:rsidP="00FC2379">
      <w:pPr>
        <w:tabs>
          <w:tab w:val="left" w:pos="567"/>
        </w:tabs>
        <w:spacing w:line="240" w:lineRule="auto"/>
        <w:rPr>
          <w:sz w:val="20"/>
          <w:szCs w:val="20"/>
          <w:lang w:val="en-US"/>
        </w:rPr>
      </w:pPr>
    </w:p>
    <w:p w14:paraId="2FF422E3" w14:textId="77777777" w:rsidR="00F00053" w:rsidRPr="00012C3F" w:rsidRDefault="00173D28" w:rsidP="00173D2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lastRenderedPageBreak/>
        <w:t>Based on all the above, the Court concludes that the</w:t>
      </w:r>
      <w:r w:rsidR="00362CC1" w:rsidRPr="00012C3F">
        <w:rPr>
          <w:sz w:val="20"/>
          <w:szCs w:val="20"/>
          <w:lang w:val="en-US"/>
        </w:rPr>
        <w:t xml:space="preserve"> </w:t>
      </w:r>
      <w:r w:rsidR="00271E24" w:rsidRPr="00012C3F">
        <w:rPr>
          <w:sz w:val="20"/>
          <w:szCs w:val="20"/>
          <w:lang w:val="en-US"/>
        </w:rPr>
        <w:t>non-consensual</w:t>
      </w:r>
      <w:r w:rsidRPr="00012C3F">
        <w:rPr>
          <w:sz w:val="20"/>
          <w:szCs w:val="20"/>
          <w:lang w:val="en-US"/>
        </w:rPr>
        <w:t xml:space="preserve"> or involuntary</w:t>
      </w:r>
      <w:r w:rsidR="00271E24" w:rsidRPr="00012C3F">
        <w:rPr>
          <w:sz w:val="20"/>
          <w:szCs w:val="20"/>
          <w:lang w:val="en-US"/>
        </w:rPr>
        <w:t xml:space="preserve"> sterilization</w:t>
      </w:r>
      <w:r w:rsidR="00246782" w:rsidRPr="00012C3F">
        <w:rPr>
          <w:sz w:val="20"/>
          <w:szCs w:val="20"/>
          <w:lang w:val="en-US"/>
        </w:rPr>
        <w:t xml:space="preserve"> </w:t>
      </w:r>
      <w:r w:rsidRPr="00012C3F">
        <w:rPr>
          <w:sz w:val="20"/>
          <w:szCs w:val="20"/>
          <w:lang w:val="en-US"/>
        </w:rPr>
        <w:t>to which I.V. was subjected, in the particular circumstances of this case that have been described, constituted cruel, inhuman and degrading treatment, contrary to human dignity and, therefore, constituted a violation</w:t>
      </w:r>
      <w:r w:rsidR="00EA2F5A" w:rsidRPr="00012C3F">
        <w:rPr>
          <w:sz w:val="20"/>
          <w:szCs w:val="20"/>
          <w:lang w:val="en-US"/>
        </w:rPr>
        <w:t xml:space="preserve"> </w:t>
      </w:r>
      <w:r w:rsidR="008A7A0F" w:rsidRPr="00012C3F">
        <w:rPr>
          <w:sz w:val="20"/>
          <w:lang w:val="en-US"/>
        </w:rPr>
        <w:t>of Article</w:t>
      </w:r>
      <w:r w:rsidR="000723CB" w:rsidRPr="00012C3F">
        <w:rPr>
          <w:sz w:val="20"/>
          <w:lang w:val="en-US"/>
        </w:rPr>
        <w:t xml:space="preserve"> </w:t>
      </w:r>
      <w:r w:rsidR="005E5012" w:rsidRPr="00012C3F">
        <w:rPr>
          <w:sz w:val="20"/>
          <w:lang w:val="en-US"/>
        </w:rPr>
        <w:t xml:space="preserve">5(1) and </w:t>
      </w:r>
      <w:r w:rsidR="00B257AF" w:rsidRPr="00012C3F">
        <w:rPr>
          <w:sz w:val="20"/>
          <w:lang w:val="en-US"/>
        </w:rPr>
        <w:t>5(2)</w:t>
      </w:r>
      <w:r w:rsidR="001254DE" w:rsidRPr="00012C3F">
        <w:rPr>
          <w:sz w:val="20"/>
          <w:lang w:val="en-US"/>
        </w:rPr>
        <w:t xml:space="preserve"> of the American Convention</w:t>
      </w:r>
      <w:r w:rsidR="000723CB" w:rsidRPr="00012C3F">
        <w:rPr>
          <w:sz w:val="20"/>
          <w:lang w:val="en-US"/>
        </w:rPr>
        <w:t xml:space="preserve">, </w:t>
      </w:r>
      <w:r w:rsidR="006C705C" w:rsidRPr="00012C3F">
        <w:rPr>
          <w:sz w:val="20"/>
          <w:lang w:val="en-US"/>
        </w:rPr>
        <w:t>in relation to</w:t>
      </w:r>
      <w:r w:rsidR="000723CB" w:rsidRPr="00012C3F">
        <w:rPr>
          <w:sz w:val="20"/>
          <w:lang w:val="en-US"/>
        </w:rPr>
        <w:t xml:space="preserve"> </w:t>
      </w:r>
      <w:r w:rsidR="001254DE" w:rsidRPr="00012C3F">
        <w:rPr>
          <w:sz w:val="20"/>
          <w:lang w:val="en-US"/>
        </w:rPr>
        <w:t>Article</w:t>
      </w:r>
      <w:r w:rsidR="000723CB" w:rsidRPr="00012C3F">
        <w:rPr>
          <w:sz w:val="20"/>
          <w:lang w:val="en-US"/>
        </w:rPr>
        <w:t xml:space="preserve"> </w:t>
      </w:r>
      <w:r w:rsidR="005E5012" w:rsidRPr="00012C3F">
        <w:rPr>
          <w:sz w:val="20"/>
          <w:lang w:val="en-US"/>
        </w:rPr>
        <w:t>1(1)</w:t>
      </w:r>
      <w:r w:rsidR="000723CB" w:rsidRPr="00012C3F">
        <w:rPr>
          <w:sz w:val="20"/>
          <w:lang w:val="en-US"/>
        </w:rPr>
        <w:t xml:space="preserve"> </w:t>
      </w:r>
      <w:r w:rsidR="00EA2F5A" w:rsidRPr="00012C3F">
        <w:rPr>
          <w:sz w:val="20"/>
          <w:lang w:val="en-US"/>
        </w:rPr>
        <w:t>of this instrument</w:t>
      </w:r>
      <w:r w:rsidR="000723CB" w:rsidRPr="00012C3F">
        <w:rPr>
          <w:sz w:val="20"/>
          <w:lang w:val="en-US"/>
        </w:rPr>
        <w:t xml:space="preserve">, </w:t>
      </w:r>
      <w:r w:rsidR="005E5012" w:rsidRPr="00012C3F">
        <w:rPr>
          <w:sz w:val="20"/>
          <w:szCs w:val="20"/>
          <w:lang w:val="en-US"/>
        </w:rPr>
        <w:t>to the detriment of</w:t>
      </w:r>
      <w:r w:rsidR="00362CC1" w:rsidRPr="00012C3F">
        <w:rPr>
          <w:sz w:val="20"/>
          <w:szCs w:val="20"/>
          <w:lang w:val="en-US"/>
        </w:rPr>
        <w:t xml:space="preserve"> </w:t>
      </w:r>
      <w:r w:rsidR="000E1C11" w:rsidRPr="00012C3F">
        <w:rPr>
          <w:sz w:val="20"/>
          <w:szCs w:val="20"/>
          <w:lang w:val="en-US"/>
        </w:rPr>
        <w:t>I.V.</w:t>
      </w:r>
    </w:p>
    <w:p w14:paraId="43EB2DBD" w14:textId="77777777" w:rsidR="00502B43" w:rsidRPr="00012C3F" w:rsidRDefault="00502B43" w:rsidP="00502B43">
      <w:pPr>
        <w:spacing w:line="240" w:lineRule="auto"/>
        <w:rPr>
          <w:sz w:val="20"/>
          <w:szCs w:val="20"/>
          <w:lang w:val="en-US"/>
        </w:rPr>
      </w:pPr>
    </w:p>
    <w:p w14:paraId="30468C3E" w14:textId="77777777" w:rsidR="00502B43" w:rsidRPr="00012C3F" w:rsidRDefault="00502B43" w:rsidP="00502B43">
      <w:pPr>
        <w:keepNext/>
        <w:keepLines/>
        <w:tabs>
          <w:tab w:val="left" w:pos="851"/>
        </w:tabs>
        <w:spacing w:line="240" w:lineRule="auto"/>
        <w:jc w:val="center"/>
        <w:outlineLvl w:val="0"/>
        <w:rPr>
          <w:rFonts w:cs="Verdana"/>
          <w:b/>
          <w:bCs/>
          <w:caps/>
          <w:snapToGrid w:val="0"/>
          <w:sz w:val="20"/>
          <w:szCs w:val="20"/>
          <w:lang w:val="en-US"/>
        </w:rPr>
      </w:pPr>
      <w:bookmarkStart w:id="161" w:name="_Toc461305142"/>
      <w:bookmarkStart w:id="162" w:name="_Toc27486876"/>
      <w:r w:rsidRPr="00012C3F">
        <w:rPr>
          <w:rFonts w:cs="Verdana"/>
          <w:b/>
          <w:bCs/>
          <w:caps/>
          <w:snapToGrid w:val="0"/>
          <w:sz w:val="20"/>
          <w:szCs w:val="20"/>
          <w:lang w:val="en-US"/>
        </w:rPr>
        <w:t>VI</w:t>
      </w:r>
      <w:r w:rsidR="00A72628" w:rsidRPr="00012C3F">
        <w:rPr>
          <w:rFonts w:cs="Verdana"/>
          <w:b/>
          <w:bCs/>
          <w:caps/>
          <w:snapToGrid w:val="0"/>
          <w:sz w:val="20"/>
          <w:szCs w:val="20"/>
          <w:lang w:val="en-US"/>
        </w:rPr>
        <w:t>I</w:t>
      </w:r>
      <w:r w:rsidRPr="00012C3F">
        <w:rPr>
          <w:rFonts w:cs="Verdana"/>
          <w:b/>
          <w:bCs/>
          <w:caps/>
          <w:snapToGrid w:val="0"/>
          <w:sz w:val="20"/>
          <w:szCs w:val="20"/>
          <w:lang w:val="en-US"/>
        </w:rPr>
        <w:t>I-</w:t>
      </w:r>
      <w:r w:rsidR="00A72628" w:rsidRPr="00012C3F">
        <w:rPr>
          <w:rFonts w:cs="Verdana"/>
          <w:b/>
          <w:bCs/>
          <w:caps/>
          <w:snapToGrid w:val="0"/>
          <w:sz w:val="20"/>
          <w:szCs w:val="20"/>
          <w:lang w:val="en-US"/>
        </w:rPr>
        <w:t>3</w:t>
      </w:r>
      <w:r w:rsidRPr="00012C3F">
        <w:rPr>
          <w:rFonts w:cs="Verdana"/>
          <w:b/>
          <w:bCs/>
          <w:caps/>
          <w:snapToGrid w:val="0"/>
          <w:sz w:val="20"/>
          <w:szCs w:val="20"/>
          <w:lang w:val="en-US"/>
        </w:rPr>
        <w:br/>
      </w:r>
      <w:r w:rsidR="00E46719" w:rsidRPr="00012C3F">
        <w:rPr>
          <w:rFonts w:cs="Verdana"/>
          <w:b/>
          <w:bCs/>
          <w:caps/>
          <w:snapToGrid w:val="0"/>
          <w:sz w:val="20"/>
          <w:szCs w:val="20"/>
          <w:lang w:val="en-US"/>
        </w:rPr>
        <w:t>RIGHTS TO JUDICIAL GUARANTEES</w:t>
      </w:r>
      <w:r w:rsidR="006801CD" w:rsidRPr="00012C3F">
        <w:rPr>
          <w:rStyle w:val="Refdenotaalpie"/>
          <w:rFonts w:cs="Verdana"/>
          <w:b/>
          <w:bCs/>
          <w:caps/>
          <w:snapToGrid w:val="0"/>
          <w:sz w:val="20"/>
          <w:szCs w:val="20"/>
          <w:lang w:val="en-US"/>
        </w:rPr>
        <w:footnoteReference w:id="360"/>
      </w:r>
      <w:r w:rsidR="005E5012" w:rsidRPr="00012C3F">
        <w:rPr>
          <w:rFonts w:cs="Verdana"/>
          <w:b/>
          <w:bCs/>
          <w:caps/>
          <w:snapToGrid w:val="0"/>
          <w:sz w:val="20"/>
          <w:szCs w:val="20"/>
          <w:lang w:val="en-US"/>
        </w:rPr>
        <w:t xml:space="preserve"> and </w:t>
      </w:r>
      <w:r w:rsidR="00E46719" w:rsidRPr="00012C3F">
        <w:rPr>
          <w:rFonts w:cs="Verdana"/>
          <w:b/>
          <w:bCs/>
          <w:caps/>
          <w:snapToGrid w:val="0"/>
          <w:sz w:val="20"/>
          <w:szCs w:val="20"/>
          <w:lang w:val="en-US"/>
        </w:rPr>
        <w:t>TO JUDICIAL PROTECTION,</w:t>
      </w:r>
      <w:r w:rsidR="006801CD" w:rsidRPr="00012C3F">
        <w:rPr>
          <w:rStyle w:val="Refdenotaalpie"/>
          <w:rFonts w:cs="Verdana"/>
          <w:b/>
          <w:bCs/>
          <w:caps/>
          <w:snapToGrid w:val="0"/>
          <w:sz w:val="20"/>
          <w:szCs w:val="20"/>
          <w:lang w:val="en-US"/>
        </w:rPr>
        <w:footnoteReference w:id="361"/>
      </w:r>
      <w:r w:rsidRPr="00012C3F">
        <w:rPr>
          <w:rFonts w:cs="Verdana"/>
          <w:b/>
          <w:bCs/>
          <w:caps/>
          <w:snapToGrid w:val="0"/>
          <w:sz w:val="20"/>
          <w:szCs w:val="20"/>
          <w:lang w:val="en-US"/>
        </w:rPr>
        <w:t xml:space="preserve"> </w:t>
      </w:r>
      <w:r w:rsidR="006C705C" w:rsidRPr="00012C3F">
        <w:rPr>
          <w:rFonts w:cs="Verdana"/>
          <w:b/>
          <w:bCs/>
          <w:caps/>
          <w:snapToGrid w:val="0"/>
          <w:sz w:val="20"/>
          <w:szCs w:val="20"/>
          <w:lang w:val="en-US"/>
        </w:rPr>
        <w:t xml:space="preserve">IN </w:t>
      </w:r>
      <w:r w:rsidR="005E1B9D" w:rsidRPr="00012C3F">
        <w:rPr>
          <w:rFonts w:cs="Verdana"/>
          <w:b/>
          <w:bCs/>
          <w:caps/>
          <w:snapToGrid w:val="0"/>
          <w:sz w:val="20"/>
          <w:szCs w:val="20"/>
          <w:lang w:val="en-US"/>
        </w:rPr>
        <w:t>RELATION TO THE OBLIGATIONS</w:t>
      </w:r>
      <w:r w:rsidRPr="00012C3F">
        <w:rPr>
          <w:rFonts w:cs="Verdana"/>
          <w:b/>
          <w:bCs/>
          <w:caps/>
          <w:snapToGrid w:val="0"/>
          <w:sz w:val="20"/>
          <w:szCs w:val="20"/>
          <w:lang w:val="en-US"/>
        </w:rPr>
        <w:t xml:space="preserve"> </w:t>
      </w:r>
      <w:r w:rsidR="005E1B9D" w:rsidRPr="00012C3F">
        <w:rPr>
          <w:rFonts w:cs="Verdana"/>
          <w:b/>
          <w:bCs/>
          <w:caps/>
          <w:snapToGrid w:val="0"/>
          <w:sz w:val="20"/>
          <w:szCs w:val="20"/>
          <w:lang w:val="en-US"/>
        </w:rPr>
        <w:t xml:space="preserve">TO RESPECT </w:t>
      </w:r>
      <w:r w:rsidR="00E46719" w:rsidRPr="00012C3F">
        <w:rPr>
          <w:rFonts w:cs="Verdana"/>
          <w:b/>
          <w:bCs/>
          <w:caps/>
          <w:snapToGrid w:val="0"/>
          <w:sz w:val="20"/>
          <w:szCs w:val="20"/>
          <w:lang w:val="en-US"/>
        </w:rPr>
        <w:t>AND TO ENSURE RIGHTS</w:t>
      </w:r>
      <w:r w:rsidR="005E5012" w:rsidRPr="00012C3F">
        <w:rPr>
          <w:rFonts w:cs="Verdana"/>
          <w:b/>
          <w:bCs/>
          <w:caps/>
          <w:snapToGrid w:val="0"/>
          <w:sz w:val="20"/>
          <w:szCs w:val="20"/>
          <w:lang w:val="en-US"/>
        </w:rPr>
        <w:t xml:space="preserve"> </w:t>
      </w:r>
      <w:r w:rsidR="00E46719" w:rsidRPr="00012C3F">
        <w:rPr>
          <w:rFonts w:cs="Verdana"/>
          <w:b/>
          <w:bCs/>
          <w:caps/>
          <w:snapToGrid w:val="0"/>
          <w:sz w:val="20"/>
          <w:szCs w:val="20"/>
          <w:lang w:val="en-US"/>
        </w:rPr>
        <w:t>WITHOUT DISCRIMINATION</w:t>
      </w:r>
      <w:r w:rsidR="005E5012" w:rsidRPr="00012C3F">
        <w:rPr>
          <w:rFonts w:cs="Verdana"/>
          <w:b/>
          <w:bCs/>
          <w:caps/>
          <w:snapToGrid w:val="0"/>
          <w:sz w:val="20"/>
          <w:szCs w:val="20"/>
          <w:lang w:val="en-US"/>
        </w:rPr>
        <w:t xml:space="preserve"> and </w:t>
      </w:r>
      <w:r w:rsidR="00F63FF1" w:rsidRPr="00012C3F">
        <w:rPr>
          <w:rFonts w:cs="Verdana"/>
          <w:b/>
          <w:bCs/>
          <w:caps/>
          <w:snapToGrid w:val="0"/>
          <w:sz w:val="20"/>
          <w:szCs w:val="20"/>
          <w:lang w:val="en-US"/>
        </w:rPr>
        <w:t>Article</w:t>
      </w:r>
      <w:r w:rsidRPr="00012C3F">
        <w:rPr>
          <w:rFonts w:cs="Verdana"/>
          <w:b/>
          <w:bCs/>
          <w:caps/>
          <w:snapToGrid w:val="0"/>
          <w:sz w:val="20"/>
          <w:szCs w:val="20"/>
          <w:lang w:val="en-US"/>
        </w:rPr>
        <w:t xml:space="preserve"> </w:t>
      </w:r>
      <w:r w:rsidRPr="00012C3F">
        <w:rPr>
          <w:rFonts w:eastAsia="MS Mincho"/>
          <w:b/>
          <w:bCs/>
          <w:sz w:val="20"/>
          <w:szCs w:val="20"/>
          <w:lang w:val="en-US"/>
        </w:rPr>
        <w:t>7</w:t>
      </w:r>
      <w:r w:rsidR="001254DE" w:rsidRPr="00012C3F">
        <w:rPr>
          <w:rFonts w:eastAsia="MS Mincho"/>
          <w:b/>
          <w:bCs/>
          <w:sz w:val="20"/>
          <w:szCs w:val="20"/>
          <w:lang w:val="en-US"/>
        </w:rPr>
        <w:t xml:space="preserve"> </w:t>
      </w:r>
      <w:r w:rsidR="00E46719" w:rsidRPr="00012C3F">
        <w:rPr>
          <w:rFonts w:eastAsia="MS Mincho"/>
          <w:b/>
          <w:bCs/>
          <w:sz w:val="20"/>
          <w:szCs w:val="20"/>
          <w:lang w:val="en-US"/>
        </w:rPr>
        <w:t>OF THE</w:t>
      </w:r>
      <w:r w:rsidR="001254DE" w:rsidRPr="00012C3F">
        <w:rPr>
          <w:rFonts w:eastAsia="MS Mincho"/>
          <w:b/>
          <w:bCs/>
          <w:sz w:val="20"/>
          <w:szCs w:val="20"/>
          <w:lang w:val="en-US"/>
        </w:rPr>
        <w:t xml:space="preserve"> CONVENTION</w:t>
      </w:r>
      <w:r w:rsidRPr="00012C3F">
        <w:rPr>
          <w:rFonts w:eastAsia="MS Mincho"/>
          <w:b/>
          <w:bCs/>
          <w:sz w:val="20"/>
          <w:szCs w:val="20"/>
          <w:lang w:val="en-US"/>
        </w:rPr>
        <w:t xml:space="preserve"> </w:t>
      </w:r>
      <w:r w:rsidR="005E5012" w:rsidRPr="00012C3F">
        <w:rPr>
          <w:rFonts w:eastAsia="MS Mincho"/>
          <w:b/>
          <w:bCs/>
          <w:sz w:val="20"/>
          <w:szCs w:val="20"/>
          <w:lang w:val="en-US"/>
        </w:rPr>
        <w:t>OF BELÉM</w:t>
      </w:r>
      <w:r w:rsidRPr="00012C3F">
        <w:rPr>
          <w:rFonts w:eastAsia="MS Mincho"/>
          <w:b/>
          <w:bCs/>
          <w:sz w:val="20"/>
          <w:szCs w:val="20"/>
          <w:lang w:val="en-US"/>
        </w:rPr>
        <w:t xml:space="preserve"> DO PARÁ</w:t>
      </w:r>
      <w:bookmarkEnd w:id="161"/>
      <w:r w:rsidR="003D34BB" w:rsidRPr="00012C3F">
        <w:rPr>
          <w:rStyle w:val="Refdenotaalpie"/>
          <w:rFonts w:eastAsia="MS Mincho"/>
          <w:b/>
          <w:bCs/>
          <w:sz w:val="20"/>
          <w:szCs w:val="20"/>
          <w:lang w:val="en-US"/>
        </w:rPr>
        <w:footnoteReference w:id="362"/>
      </w:r>
      <w:bookmarkEnd w:id="162"/>
    </w:p>
    <w:p w14:paraId="1D7F0589" w14:textId="77777777" w:rsidR="00502B43" w:rsidRPr="00012C3F" w:rsidRDefault="00502B43" w:rsidP="00502B43">
      <w:pPr>
        <w:tabs>
          <w:tab w:val="left" w:pos="720"/>
        </w:tabs>
        <w:spacing w:line="240" w:lineRule="auto"/>
        <w:rPr>
          <w:rFonts w:eastAsia="MS Mincho"/>
          <w:sz w:val="20"/>
          <w:szCs w:val="20"/>
          <w:lang w:val="en-US"/>
        </w:rPr>
      </w:pPr>
    </w:p>
    <w:p w14:paraId="2D041889" w14:textId="77777777" w:rsidR="00502B43" w:rsidRPr="00012C3F" w:rsidRDefault="00EA2F5A" w:rsidP="005629BB">
      <w:pPr>
        <w:numPr>
          <w:ilvl w:val="0"/>
          <w:numId w:val="5"/>
        </w:numPr>
        <w:tabs>
          <w:tab w:val="left" w:pos="720"/>
          <w:tab w:val="num" w:pos="12305"/>
        </w:tabs>
        <w:spacing w:line="240" w:lineRule="auto"/>
        <w:ind w:left="0" w:firstLine="0"/>
        <w:rPr>
          <w:rFonts w:eastAsia="MS Mincho"/>
          <w:sz w:val="20"/>
          <w:szCs w:val="20"/>
          <w:lang w:val="en-US"/>
        </w:rPr>
      </w:pPr>
      <w:r w:rsidRPr="00012C3F">
        <w:rPr>
          <w:sz w:val="20"/>
          <w:szCs w:val="20"/>
          <w:lang w:val="en-US"/>
        </w:rPr>
        <w:t>In this chapter, the Court will analyze</w:t>
      </w:r>
      <w:r w:rsidR="005629BB" w:rsidRPr="00012C3F">
        <w:rPr>
          <w:sz w:val="20"/>
          <w:szCs w:val="20"/>
          <w:lang w:val="en-US"/>
        </w:rPr>
        <w:t xml:space="preserve"> the alleged violations of</w:t>
      </w:r>
      <w:r w:rsidR="005629BB" w:rsidRPr="00012C3F">
        <w:rPr>
          <w:rFonts w:eastAsia="MS Mincho"/>
          <w:sz w:val="20"/>
          <w:szCs w:val="20"/>
          <w:lang w:val="en-US"/>
        </w:rPr>
        <w:t xml:space="preserve"> </w:t>
      </w:r>
      <w:r w:rsidR="001254DE" w:rsidRPr="00012C3F">
        <w:rPr>
          <w:sz w:val="20"/>
          <w:szCs w:val="20"/>
          <w:lang w:val="en-US"/>
        </w:rPr>
        <w:t>Articles</w:t>
      </w:r>
      <w:r w:rsidR="00502B43" w:rsidRPr="00012C3F">
        <w:rPr>
          <w:sz w:val="20"/>
          <w:szCs w:val="20"/>
          <w:lang w:val="en-US"/>
        </w:rPr>
        <w:t xml:space="preserve"> </w:t>
      </w:r>
      <w:r w:rsidR="005E5012" w:rsidRPr="00012C3F">
        <w:rPr>
          <w:sz w:val="20"/>
          <w:szCs w:val="20"/>
          <w:lang w:val="en-US"/>
        </w:rPr>
        <w:t xml:space="preserve">8(1) and </w:t>
      </w:r>
      <w:r w:rsidR="00502B43" w:rsidRPr="00012C3F">
        <w:rPr>
          <w:sz w:val="20"/>
          <w:szCs w:val="20"/>
          <w:lang w:val="en-US"/>
        </w:rPr>
        <w:t>2</w:t>
      </w:r>
      <w:r w:rsidR="005E5012" w:rsidRPr="00012C3F">
        <w:rPr>
          <w:sz w:val="20"/>
          <w:szCs w:val="20"/>
          <w:lang w:val="en-US"/>
        </w:rPr>
        <w:t>5(1)</w:t>
      </w:r>
      <w:r w:rsidR="001254DE" w:rsidRPr="00012C3F">
        <w:rPr>
          <w:sz w:val="20"/>
          <w:szCs w:val="20"/>
          <w:lang w:val="en-US"/>
        </w:rPr>
        <w:t xml:space="preserve"> of the American Convention</w:t>
      </w:r>
      <w:r w:rsidR="005E5012" w:rsidRPr="00012C3F">
        <w:rPr>
          <w:sz w:val="20"/>
          <w:szCs w:val="20"/>
          <w:lang w:val="en-US"/>
        </w:rPr>
        <w:t xml:space="preserve"> and </w:t>
      </w:r>
      <w:r w:rsidR="005629BB" w:rsidRPr="00012C3F">
        <w:rPr>
          <w:sz w:val="20"/>
          <w:szCs w:val="20"/>
          <w:lang w:val="en-US"/>
        </w:rPr>
        <w:t>the supposed failure to comply with the obligations established in</w:t>
      </w:r>
      <w:r w:rsidR="00502B43" w:rsidRPr="00012C3F">
        <w:rPr>
          <w:sz w:val="20"/>
          <w:szCs w:val="20"/>
          <w:lang w:val="en-US"/>
        </w:rPr>
        <w:t xml:space="preserve"> </w:t>
      </w:r>
      <w:r w:rsidR="005629BB" w:rsidRPr="00012C3F">
        <w:rPr>
          <w:rFonts w:eastAsia="MS Mincho"/>
          <w:sz w:val="20"/>
          <w:szCs w:val="20"/>
          <w:lang w:val="en-US"/>
        </w:rPr>
        <w:t>paragraphs</w:t>
      </w:r>
      <w:r w:rsidR="00502B43" w:rsidRPr="00012C3F">
        <w:rPr>
          <w:rFonts w:eastAsia="MS Mincho"/>
          <w:sz w:val="20"/>
          <w:szCs w:val="20"/>
          <w:lang w:val="en-US"/>
        </w:rPr>
        <w:t xml:space="preserve"> </w:t>
      </w:r>
      <w:r w:rsidR="005629BB" w:rsidRPr="00012C3F">
        <w:rPr>
          <w:rFonts w:eastAsia="MS Mincho"/>
          <w:sz w:val="20"/>
          <w:szCs w:val="20"/>
          <w:lang w:val="en-US"/>
        </w:rPr>
        <w:t>(</w:t>
      </w:r>
      <w:r w:rsidR="00502B43" w:rsidRPr="00012C3F">
        <w:rPr>
          <w:rFonts w:eastAsia="MS Mincho"/>
          <w:sz w:val="20"/>
          <w:szCs w:val="20"/>
          <w:lang w:val="en-US"/>
        </w:rPr>
        <w:t>b),</w:t>
      </w:r>
      <w:r w:rsidR="002E1325" w:rsidRPr="00012C3F">
        <w:rPr>
          <w:rFonts w:eastAsia="MS Mincho"/>
          <w:sz w:val="20"/>
          <w:szCs w:val="20"/>
          <w:lang w:val="en-US"/>
        </w:rPr>
        <w:t xml:space="preserve"> </w:t>
      </w:r>
      <w:r w:rsidR="005629BB" w:rsidRPr="00012C3F">
        <w:rPr>
          <w:rFonts w:eastAsia="MS Mincho"/>
          <w:sz w:val="20"/>
          <w:szCs w:val="20"/>
          <w:lang w:val="en-US"/>
        </w:rPr>
        <w:t>(</w:t>
      </w:r>
      <w:r w:rsidR="002E1325" w:rsidRPr="00012C3F">
        <w:rPr>
          <w:rFonts w:eastAsia="MS Mincho"/>
          <w:sz w:val="20"/>
          <w:szCs w:val="20"/>
          <w:lang w:val="en-US"/>
        </w:rPr>
        <w:t>c),</w:t>
      </w:r>
      <w:r w:rsidR="00502B43" w:rsidRPr="00012C3F">
        <w:rPr>
          <w:rFonts w:eastAsia="MS Mincho"/>
          <w:sz w:val="20"/>
          <w:szCs w:val="20"/>
          <w:lang w:val="en-US"/>
        </w:rPr>
        <w:t xml:space="preserve"> </w:t>
      </w:r>
      <w:r w:rsidR="005629BB" w:rsidRPr="00012C3F">
        <w:rPr>
          <w:rFonts w:eastAsia="MS Mincho"/>
          <w:sz w:val="20"/>
          <w:szCs w:val="20"/>
          <w:lang w:val="en-US"/>
        </w:rPr>
        <w:t>(</w:t>
      </w:r>
      <w:r w:rsidR="00502B43" w:rsidRPr="00012C3F">
        <w:rPr>
          <w:rFonts w:eastAsia="MS Mincho"/>
          <w:sz w:val="20"/>
          <w:szCs w:val="20"/>
          <w:lang w:val="en-US"/>
        </w:rPr>
        <w:t>f)</w:t>
      </w:r>
      <w:r w:rsidR="005E5012" w:rsidRPr="00012C3F">
        <w:rPr>
          <w:rFonts w:eastAsia="MS Mincho"/>
          <w:sz w:val="20"/>
          <w:szCs w:val="20"/>
          <w:lang w:val="en-US"/>
        </w:rPr>
        <w:t xml:space="preserve"> and </w:t>
      </w:r>
      <w:r w:rsidR="005629BB" w:rsidRPr="00012C3F">
        <w:rPr>
          <w:rFonts w:eastAsia="MS Mincho"/>
          <w:sz w:val="20"/>
          <w:szCs w:val="20"/>
          <w:lang w:val="en-US"/>
        </w:rPr>
        <w:t>(</w:t>
      </w:r>
      <w:r w:rsidR="00502B43" w:rsidRPr="00012C3F">
        <w:rPr>
          <w:rFonts w:eastAsia="MS Mincho"/>
          <w:sz w:val="20"/>
          <w:szCs w:val="20"/>
          <w:lang w:val="en-US"/>
        </w:rPr>
        <w:t>g)</w:t>
      </w:r>
      <w:r w:rsidR="005629BB" w:rsidRPr="00012C3F">
        <w:rPr>
          <w:rFonts w:eastAsia="MS Mincho"/>
          <w:sz w:val="20"/>
          <w:szCs w:val="20"/>
          <w:lang w:val="en-US"/>
        </w:rPr>
        <w:t xml:space="preserve"> of </w:t>
      </w:r>
      <w:r w:rsidR="005629BB" w:rsidRPr="00012C3F">
        <w:rPr>
          <w:sz w:val="20"/>
          <w:szCs w:val="20"/>
          <w:lang w:val="en-US"/>
        </w:rPr>
        <w:t xml:space="preserve">Article 7 </w:t>
      </w:r>
      <w:r w:rsidR="001254DE" w:rsidRPr="00012C3F">
        <w:rPr>
          <w:rFonts w:eastAsia="MS Mincho"/>
          <w:sz w:val="20"/>
          <w:szCs w:val="20"/>
          <w:lang w:val="en-US"/>
        </w:rPr>
        <w:t xml:space="preserve">of the </w:t>
      </w:r>
      <w:r w:rsidR="001254DE" w:rsidRPr="00012C3F">
        <w:rPr>
          <w:sz w:val="20"/>
          <w:szCs w:val="20"/>
          <w:lang w:val="en-US"/>
        </w:rPr>
        <w:t>Convention</w:t>
      </w:r>
      <w:r w:rsidR="00502B43" w:rsidRPr="00012C3F">
        <w:rPr>
          <w:sz w:val="20"/>
          <w:szCs w:val="20"/>
          <w:lang w:val="en-US"/>
        </w:rPr>
        <w:t xml:space="preserve"> </w:t>
      </w:r>
      <w:r w:rsidR="005E5012" w:rsidRPr="00012C3F">
        <w:rPr>
          <w:sz w:val="20"/>
          <w:szCs w:val="20"/>
          <w:lang w:val="en-US"/>
        </w:rPr>
        <w:t>of Belém</w:t>
      </w:r>
      <w:r w:rsidR="00502B43" w:rsidRPr="00012C3F">
        <w:rPr>
          <w:sz w:val="20"/>
          <w:szCs w:val="20"/>
          <w:lang w:val="en-US"/>
        </w:rPr>
        <w:t xml:space="preserve"> do Pará. </w:t>
      </w:r>
      <w:r w:rsidR="005629BB" w:rsidRPr="00012C3F">
        <w:rPr>
          <w:sz w:val="20"/>
          <w:szCs w:val="20"/>
          <w:lang w:val="en-US"/>
        </w:rPr>
        <w:t xml:space="preserve">It will also address the arguments relating to the supposed discrimination in access to justice based on gender and economic </w:t>
      </w:r>
      <w:r w:rsidR="00212DA0" w:rsidRPr="00012C3F">
        <w:rPr>
          <w:sz w:val="20"/>
          <w:szCs w:val="20"/>
          <w:lang w:val="en-US"/>
        </w:rPr>
        <w:t>status</w:t>
      </w:r>
      <w:r w:rsidR="005629BB" w:rsidRPr="00012C3F">
        <w:rPr>
          <w:sz w:val="20"/>
          <w:szCs w:val="20"/>
          <w:lang w:val="en-US"/>
        </w:rPr>
        <w:t>, in the terms</w:t>
      </w:r>
      <w:r w:rsidR="005629BB" w:rsidRPr="00012C3F">
        <w:rPr>
          <w:rFonts w:eastAsia="MS Mincho"/>
          <w:sz w:val="20"/>
          <w:szCs w:val="20"/>
          <w:lang w:val="en-US"/>
        </w:rPr>
        <w:t xml:space="preserve"> </w:t>
      </w:r>
      <w:r w:rsidR="008A7A0F" w:rsidRPr="00012C3F">
        <w:rPr>
          <w:sz w:val="20"/>
          <w:szCs w:val="20"/>
          <w:lang w:val="en-US"/>
        </w:rPr>
        <w:t>of Article</w:t>
      </w:r>
      <w:r w:rsidR="00502B43" w:rsidRPr="00012C3F">
        <w:rPr>
          <w:sz w:val="20"/>
          <w:szCs w:val="20"/>
          <w:lang w:val="en-US"/>
        </w:rPr>
        <w:t xml:space="preserve"> </w:t>
      </w:r>
      <w:r w:rsidR="005E5012" w:rsidRPr="00012C3F">
        <w:rPr>
          <w:sz w:val="20"/>
          <w:szCs w:val="20"/>
          <w:lang w:val="en-US"/>
        </w:rPr>
        <w:t>1(1)</w:t>
      </w:r>
      <w:r w:rsidR="001254DE" w:rsidRPr="00012C3F">
        <w:rPr>
          <w:sz w:val="20"/>
          <w:szCs w:val="20"/>
          <w:lang w:val="en-US"/>
        </w:rPr>
        <w:t xml:space="preserve"> of the American Convention</w:t>
      </w:r>
      <w:r w:rsidR="00502B43" w:rsidRPr="00012C3F">
        <w:rPr>
          <w:sz w:val="20"/>
          <w:szCs w:val="20"/>
          <w:lang w:val="en-US"/>
        </w:rPr>
        <w:t xml:space="preserve">. </w:t>
      </w:r>
      <w:r w:rsidR="005629BB" w:rsidRPr="00012C3F">
        <w:rPr>
          <w:sz w:val="20"/>
          <w:szCs w:val="20"/>
          <w:lang w:val="en-US"/>
        </w:rPr>
        <w:t xml:space="preserve">In addition, it will </w:t>
      </w:r>
      <w:r w:rsidR="00BF673B" w:rsidRPr="00012C3F">
        <w:rPr>
          <w:sz w:val="20"/>
          <w:szCs w:val="20"/>
          <w:lang w:val="en-US"/>
        </w:rPr>
        <w:t>consider</w:t>
      </w:r>
      <w:r w:rsidR="005629BB" w:rsidRPr="00012C3F">
        <w:rPr>
          <w:sz w:val="20"/>
          <w:szCs w:val="20"/>
          <w:lang w:val="en-US"/>
        </w:rPr>
        <w:t xml:space="preserve"> the arguments </w:t>
      </w:r>
      <w:r w:rsidR="00972ACF" w:rsidRPr="00012C3F">
        <w:rPr>
          <w:sz w:val="20"/>
          <w:szCs w:val="20"/>
          <w:lang w:val="en-US"/>
        </w:rPr>
        <w:t>of the representative</w:t>
      </w:r>
      <w:r w:rsidR="00502B43" w:rsidRPr="00012C3F">
        <w:rPr>
          <w:sz w:val="20"/>
          <w:szCs w:val="20"/>
          <w:lang w:val="en-US"/>
        </w:rPr>
        <w:t xml:space="preserve"> </w:t>
      </w:r>
      <w:r w:rsidR="005629BB" w:rsidRPr="00012C3F">
        <w:rPr>
          <w:sz w:val="20"/>
          <w:szCs w:val="20"/>
          <w:lang w:val="en-US"/>
        </w:rPr>
        <w:t>in relation to</w:t>
      </w:r>
      <w:r w:rsidR="008A7A0F" w:rsidRPr="00012C3F">
        <w:rPr>
          <w:sz w:val="20"/>
          <w:szCs w:val="20"/>
          <w:lang w:val="en-US"/>
        </w:rPr>
        <w:t xml:space="preserve"> Article</w:t>
      </w:r>
      <w:r w:rsidR="00502B43" w:rsidRPr="00012C3F">
        <w:rPr>
          <w:sz w:val="20"/>
          <w:szCs w:val="20"/>
          <w:lang w:val="en-US"/>
        </w:rPr>
        <w:t xml:space="preserve"> 2</w:t>
      </w:r>
      <w:r w:rsidR="00B257AF" w:rsidRPr="00012C3F">
        <w:rPr>
          <w:sz w:val="20"/>
          <w:szCs w:val="20"/>
          <w:lang w:val="en-US"/>
        </w:rPr>
        <w:t>5(2)</w:t>
      </w:r>
      <w:r w:rsidR="005629BB" w:rsidRPr="00012C3F">
        <w:rPr>
          <w:sz w:val="20"/>
          <w:szCs w:val="20"/>
          <w:lang w:val="en-US"/>
        </w:rPr>
        <w:t>(</w:t>
      </w:r>
      <w:r w:rsidR="00502B43" w:rsidRPr="00012C3F">
        <w:rPr>
          <w:sz w:val="20"/>
          <w:szCs w:val="20"/>
          <w:lang w:val="en-US"/>
        </w:rPr>
        <w:t>a)</w:t>
      </w:r>
      <w:r w:rsidR="001254DE" w:rsidRPr="00012C3F">
        <w:rPr>
          <w:sz w:val="20"/>
          <w:szCs w:val="20"/>
          <w:lang w:val="en-US"/>
        </w:rPr>
        <w:t xml:space="preserve"> of the American Convention</w:t>
      </w:r>
      <w:r w:rsidR="00502B43" w:rsidRPr="00012C3F">
        <w:rPr>
          <w:sz w:val="20"/>
          <w:szCs w:val="20"/>
          <w:lang w:val="en-US"/>
        </w:rPr>
        <w:t xml:space="preserve">, </w:t>
      </w:r>
      <w:r w:rsidR="005629BB" w:rsidRPr="00012C3F">
        <w:rPr>
          <w:sz w:val="20"/>
          <w:szCs w:val="20"/>
          <w:lang w:val="en-US"/>
        </w:rPr>
        <w:t xml:space="preserve">regarding the obligation </w:t>
      </w:r>
      <w:r w:rsidR="00A710F6" w:rsidRPr="00012C3F">
        <w:rPr>
          <w:sz w:val="20"/>
          <w:szCs w:val="20"/>
          <w:lang w:val="en-US"/>
        </w:rPr>
        <w:t>to ensure that the competent authority established by the laws of the State</w:t>
      </w:r>
      <w:r w:rsidR="00502B43" w:rsidRPr="00012C3F">
        <w:rPr>
          <w:sz w:val="20"/>
          <w:szCs w:val="20"/>
          <w:lang w:val="en-US"/>
        </w:rPr>
        <w:t xml:space="preserve"> </w:t>
      </w:r>
      <w:r w:rsidR="00A710F6" w:rsidRPr="00012C3F">
        <w:rPr>
          <w:sz w:val="20"/>
          <w:szCs w:val="20"/>
          <w:lang w:val="en-US"/>
        </w:rPr>
        <w:t>will determine the rights of everyone who files a remedy</w:t>
      </w:r>
      <w:r w:rsidR="00502B43" w:rsidRPr="00012C3F">
        <w:rPr>
          <w:rFonts w:eastAsia="MS Mincho"/>
          <w:sz w:val="20"/>
          <w:szCs w:val="20"/>
          <w:lang w:val="en-US"/>
        </w:rPr>
        <w:t xml:space="preserve"> (</w:t>
      </w:r>
      <w:r w:rsidR="00502B43" w:rsidRPr="00012C3F">
        <w:rPr>
          <w:rFonts w:eastAsia="MS Mincho"/>
          <w:i/>
          <w:sz w:val="20"/>
          <w:szCs w:val="20"/>
          <w:lang w:val="en-US"/>
        </w:rPr>
        <w:t xml:space="preserve">supra </w:t>
      </w:r>
      <w:r w:rsidR="00370DD4" w:rsidRPr="00012C3F">
        <w:rPr>
          <w:rFonts w:eastAsia="MS Mincho"/>
          <w:sz w:val="20"/>
          <w:szCs w:val="20"/>
          <w:lang w:val="en-US"/>
        </w:rPr>
        <w:t>para.</w:t>
      </w:r>
      <w:r w:rsidR="00502B43" w:rsidRPr="00012C3F">
        <w:rPr>
          <w:rFonts w:eastAsia="MS Mincho"/>
          <w:sz w:val="20"/>
          <w:szCs w:val="20"/>
          <w:lang w:val="en-US"/>
        </w:rPr>
        <w:t xml:space="preserve"> </w:t>
      </w:r>
      <w:r w:rsidR="00D06231" w:rsidRPr="00012C3F">
        <w:rPr>
          <w:rFonts w:eastAsia="MS Mincho"/>
          <w:sz w:val="20"/>
          <w:szCs w:val="20"/>
          <w:lang w:val="en-US"/>
        </w:rPr>
        <w:t>49</w:t>
      </w:r>
      <w:r w:rsidR="00502B43" w:rsidRPr="00012C3F">
        <w:rPr>
          <w:rFonts w:eastAsia="MS Mincho"/>
          <w:sz w:val="20"/>
          <w:szCs w:val="20"/>
          <w:lang w:val="en-US"/>
        </w:rPr>
        <w:t>).</w:t>
      </w:r>
    </w:p>
    <w:p w14:paraId="112E095A" w14:textId="77777777" w:rsidR="00502B43" w:rsidRPr="00012C3F" w:rsidRDefault="00502B43" w:rsidP="00EA2F5A">
      <w:pPr>
        <w:tabs>
          <w:tab w:val="left" w:pos="720"/>
        </w:tabs>
        <w:spacing w:line="240" w:lineRule="auto"/>
        <w:rPr>
          <w:rFonts w:eastAsia="MS Mincho"/>
          <w:sz w:val="20"/>
          <w:szCs w:val="20"/>
          <w:lang w:val="en-US"/>
        </w:rPr>
      </w:pPr>
    </w:p>
    <w:p w14:paraId="2E298369" w14:textId="77777777" w:rsidR="00502B43" w:rsidRPr="00012C3F" w:rsidRDefault="009867D6" w:rsidP="00EA2F5A">
      <w:pPr>
        <w:keepNext/>
        <w:keepLines/>
        <w:tabs>
          <w:tab w:val="left" w:pos="720"/>
          <w:tab w:val="left" w:pos="1134"/>
        </w:tabs>
        <w:spacing w:line="240" w:lineRule="auto"/>
        <w:ind w:left="567" w:firstLine="1"/>
        <w:outlineLvl w:val="1"/>
        <w:rPr>
          <w:rFonts w:eastAsia="MS Mincho"/>
          <w:b/>
          <w:bCs/>
          <w:i/>
          <w:sz w:val="20"/>
          <w:szCs w:val="20"/>
          <w:lang w:val="en-US"/>
        </w:rPr>
      </w:pPr>
      <w:bookmarkStart w:id="164" w:name="_Toc461305143"/>
      <w:bookmarkStart w:id="165" w:name="_Toc27486877"/>
      <w:r w:rsidRPr="00012C3F">
        <w:rPr>
          <w:rFonts w:eastAsia="MS Mincho"/>
          <w:b/>
          <w:bCs/>
          <w:i/>
          <w:sz w:val="20"/>
          <w:szCs w:val="20"/>
          <w:lang w:val="en-US"/>
        </w:rPr>
        <w:t xml:space="preserve">A. </w:t>
      </w:r>
      <w:r w:rsidRPr="00012C3F">
        <w:rPr>
          <w:rFonts w:eastAsia="MS Mincho"/>
          <w:b/>
          <w:bCs/>
          <w:i/>
          <w:sz w:val="20"/>
          <w:szCs w:val="20"/>
          <w:lang w:val="en-US"/>
        </w:rPr>
        <w:tab/>
      </w:r>
      <w:r w:rsidR="006C705C" w:rsidRPr="00012C3F">
        <w:rPr>
          <w:rFonts w:eastAsia="MS Mincho"/>
          <w:b/>
          <w:bCs/>
          <w:i/>
          <w:sz w:val="20"/>
          <w:szCs w:val="20"/>
          <w:lang w:val="en-US"/>
        </w:rPr>
        <w:t>Arguments of the parties</w:t>
      </w:r>
      <w:r w:rsidR="005E5012" w:rsidRPr="00012C3F">
        <w:rPr>
          <w:rFonts w:eastAsia="MS Mincho"/>
          <w:b/>
          <w:bCs/>
          <w:i/>
          <w:sz w:val="20"/>
          <w:szCs w:val="20"/>
          <w:lang w:val="en-US"/>
        </w:rPr>
        <w:t xml:space="preserve"> and </w:t>
      </w:r>
      <w:r w:rsidR="001254DE" w:rsidRPr="00012C3F">
        <w:rPr>
          <w:rFonts w:eastAsia="MS Mincho"/>
          <w:b/>
          <w:bCs/>
          <w:i/>
          <w:sz w:val="20"/>
          <w:szCs w:val="20"/>
          <w:lang w:val="en-US"/>
        </w:rPr>
        <w:t xml:space="preserve">of the </w:t>
      </w:r>
      <w:r w:rsidR="00A84CA0" w:rsidRPr="00012C3F">
        <w:rPr>
          <w:rFonts w:eastAsia="MS Mincho"/>
          <w:b/>
          <w:bCs/>
          <w:i/>
          <w:sz w:val="20"/>
          <w:szCs w:val="20"/>
          <w:lang w:val="en-US"/>
        </w:rPr>
        <w:t>Commission</w:t>
      </w:r>
      <w:bookmarkEnd w:id="164"/>
      <w:bookmarkEnd w:id="165"/>
    </w:p>
    <w:p w14:paraId="09A31217" w14:textId="77777777" w:rsidR="00502B43" w:rsidRPr="00012C3F" w:rsidRDefault="00502B43" w:rsidP="00EA2F5A">
      <w:pPr>
        <w:tabs>
          <w:tab w:val="left" w:pos="720"/>
        </w:tabs>
        <w:spacing w:line="240" w:lineRule="auto"/>
        <w:rPr>
          <w:rFonts w:eastAsia="MS Mincho"/>
          <w:sz w:val="20"/>
          <w:szCs w:val="20"/>
          <w:lang w:val="en-US"/>
        </w:rPr>
      </w:pPr>
    </w:p>
    <w:p w14:paraId="4FF99FA5" w14:textId="77777777" w:rsidR="00502B43" w:rsidRPr="00012C3F" w:rsidRDefault="00502B43" w:rsidP="00EA2F5A">
      <w:pPr>
        <w:pStyle w:val="Ttulo2"/>
        <w:tabs>
          <w:tab w:val="left" w:pos="720"/>
          <w:tab w:val="left" w:pos="1701"/>
        </w:tabs>
        <w:spacing w:before="0" w:line="240" w:lineRule="auto"/>
        <w:ind w:left="1134"/>
        <w:rPr>
          <w:rFonts w:ascii="Verdana" w:hAnsi="Verdana"/>
          <w:b w:val="0"/>
          <w:i/>
          <w:color w:val="auto"/>
          <w:sz w:val="20"/>
          <w:szCs w:val="20"/>
          <w:lang w:val="en-US"/>
        </w:rPr>
      </w:pPr>
      <w:bookmarkStart w:id="166" w:name="_Toc459158126"/>
      <w:bookmarkStart w:id="167" w:name="_Toc461305144"/>
      <w:bookmarkStart w:id="168" w:name="_Toc27486878"/>
      <w:r w:rsidRPr="00012C3F">
        <w:rPr>
          <w:rFonts w:ascii="Verdana" w:hAnsi="Verdana"/>
          <w:b w:val="0"/>
          <w:i/>
          <w:color w:val="auto"/>
          <w:sz w:val="20"/>
          <w:szCs w:val="20"/>
          <w:lang w:val="en-US"/>
        </w:rPr>
        <w:t xml:space="preserve">A.1 </w:t>
      </w:r>
      <w:bookmarkEnd w:id="166"/>
      <w:r w:rsidR="006A16C8"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Arguments on</w:t>
      </w:r>
      <w:r w:rsidRPr="00012C3F">
        <w:rPr>
          <w:rFonts w:ascii="Verdana" w:hAnsi="Verdana"/>
          <w:b w:val="0"/>
          <w:i/>
          <w:color w:val="auto"/>
          <w:sz w:val="20"/>
          <w:szCs w:val="20"/>
          <w:lang w:val="en-US"/>
        </w:rPr>
        <w:t xml:space="preserve"> </w:t>
      </w:r>
      <w:r w:rsidR="00A710F6" w:rsidRPr="00012C3F">
        <w:rPr>
          <w:rFonts w:ascii="Verdana" w:hAnsi="Verdana"/>
          <w:b w:val="0"/>
          <w:i/>
          <w:color w:val="auto"/>
          <w:sz w:val="20"/>
          <w:szCs w:val="20"/>
          <w:lang w:val="en-US"/>
        </w:rPr>
        <w:t>access to justice</w:t>
      </w:r>
      <w:bookmarkEnd w:id="167"/>
      <w:bookmarkEnd w:id="168"/>
    </w:p>
    <w:p w14:paraId="366E6BFC" w14:textId="77777777" w:rsidR="00502B43" w:rsidRPr="00012C3F" w:rsidRDefault="00502B43" w:rsidP="00EA2F5A">
      <w:pPr>
        <w:tabs>
          <w:tab w:val="left" w:pos="720"/>
        </w:tabs>
        <w:spacing w:line="240" w:lineRule="auto"/>
        <w:rPr>
          <w:rFonts w:eastAsia="MS Mincho"/>
          <w:sz w:val="20"/>
          <w:szCs w:val="20"/>
          <w:lang w:val="en-US"/>
        </w:rPr>
      </w:pPr>
    </w:p>
    <w:p w14:paraId="453183BB" w14:textId="77777777" w:rsidR="00502B43" w:rsidRPr="00012C3F" w:rsidRDefault="00BD056C" w:rsidP="000A4DC1">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MS Mincho"/>
          <w:sz w:val="20"/>
          <w:szCs w:val="20"/>
          <w:lang w:val="en-US"/>
        </w:rPr>
        <w:t xml:space="preserve">The </w:t>
      </w:r>
      <w:r w:rsidRPr="00012C3F">
        <w:rPr>
          <w:rFonts w:eastAsia="MS Mincho"/>
          <w:b/>
          <w:bCs/>
          <w:i/>
          <w:iCs/>
          <w:sz w:val="20"/>
          <w:szCs w:val="20"/>
          <w:lang w:val="en-US"/>
        </w:rPr>
        <w:t>Commission</w:t>
      </w:r>
      <w:r w:rsidR="00502B43" w:rsidRPr="00012C3F">
        <w:rPr>
          <w:rFonts w:eastAsia="MS Mincho"/>
          <w:sz w:val="20"/>
          <w:szCs w:val="20"/>
          <w:lang w:val="en-US"/>
        </w:rPr>
        <w:t xml:space="preserve"> </w:t>
      </w:r>
      <w:r w:rsidR="00BF673B" w:rsidRPr="00012C3F">
        <w:rPr>
          <w:rFonts w:eastAsia="MS Mincho"/>
          <w:sz w:val="20"/>
          <w:szCs w:val="20"/>
          <w:lang w:val="en-US"/>
        </w:rPr>
        <w:t>recalled that the</w:t>
      </w:r>
      <w:r w:rsidR="00502B43" w:rsidRPr="00012C3F">
        <w:rPr>
          <w:rFonts w:eastAsia="MS Mincho"/>
          <w:sz w:val="20"/>
          <w:szCs w:val="20"/>
          <w:lang w:val="en-US"/>
        </w:rPr>
        <w:t xml:space="preserve"> </w:t>
      </w:r>
      <w:r w:rsidR="00BF673B" w:rsidRPr="00012C3F">
        <w:rPr>
          <w:rFonts w:eastAsia="MS Mincho"/>
          <w:sz w:val="20"/>
          <w:szCs w:val="20"/>
          <w:lang w:val="en-US"/>
        </w:rPr>
        <w:t>c</w:t>
      </w:r>
      <w:r w:rsidR="006C705C" w:rsidRPr="00012C3F">
        <w:rPr>
          <w:rFonts w:eastAsia="MS Mincho"/>
          <w:sz w:val="20"/>
          <w:szCs w:val="20"/>
          <w:lang w:val="en-US"/>
        </w:rPr>
        <w:t>riminal proceedings</w:t>
      </w:r>
      <w:r w:rsidR="00502B43" w:rsidRPr="00012C3F">
        <w:rPr>
          <w:rFonts w:eastAsia="MS Mincho"/>
          <w:sz w:val="20"/>
          <w:szCs w:val="20"/>
          <w:lang w:val="en-US"/>
        </w:rPr>
        <w:t xml:space="preserve"> “</w:t>
      </w:r>
      <w:r w:rsidR="000A4DC1" w:rsidRPr="00012C3F">
        <w:rPr>
          <w:rFonts w:eastAsia="MS Mincho"/>
          <w:sz w:val="20"/>
          <w:szCs w:val="20"/>
          <w:lang w:val="en-US"/>
        </w:rPr>
        <w:t>went on for four years without a final judgment being handed down on the merits of the case.”</w:t>
      </w:r>
      <w:r w:rsidR="00502B43" w:rsidRPr="00012C3F">
        <w:rPr>
          <w:rFonts w:eastAsia="MS Mincho"/>
          <w:sz w:val="20"/>
          <w:szCs w:val="20"/>
          <w:lang w:val="en-US"/>
        </w:rPr>
        <w:t xml:space="preserve"> </w:t>
      </w:r>
      <w:r w:rsidR="000A4DC1" w:rsidRPr="00012C3F">
        <w:rPr>
          <w:rFonts w:eastAsia="MS Mincho"/>
          <w:sz w:val="20"/>
          <w:szCs w:val="20"/>
          <w:lang w:val="en-US"/>
        </w:rPr>
        <w:t>The</w:t>
      </w:r>
      <w:r w:rsidR="001254DE" w:rsidRPr="00012C3F">
        <w:rPr>
          <w:rFonts w:eastAsia="MS Mincho"/>
          <w:sz w:val="20"/>
          <w:szCs w:val="20"/>
          <w:lang w:val="en-US"/>
        </w:rPr>
        <w:t xml:space="preserve"> </w:t>
      </w:r>
      <w:r w:rsidR="00A84CA0" w:rsidRPr="00012C3F">
        <w:rPr>
          <w:rFonts w:eastAsia="MS Mincho"/>
          <w:sz w:val="20"/>
          <w:szCs w:val="20"/>
          <w:lang w:val="en-US"/>
        </w:rPr>
        <w:t>Commission</w:t>
      </w:r>
      <w:r w:rsidR="000A4DC1" w:rsidRPr="00012C3F">
        <w:rPr>
          <w:rFonts w:eastAsia="MS Mincho"/>
          <w:sz w:val="20"/>
          <w:szCs w:val="20"/>
          <w:lang w:val="en-US"/>
        </w:rPr>
        <w:t xml:space="preserve"> also underlined that, during the proceedings two judgments were handed down that explicitly recognized that </w:t>
      </w:r>
      <w:r w:rsidR="000A4DC1" w:rsidRPr="00012C3F">
        <w:rPr>
          <w:rFonts w:eastAsia="MS Mincho"/>
          <w:sz w:val="20"/>
          <w:szCs w:val="20"/>
          <w:lang w:val="en-US"/>
        </w:rPr>
        <w:lastRenderedPageBreak/>
        <w:t>during the trial process various procedural errors and delays had taken place that can be attributed to the organs responsible administering justice, as a result of which the criminal proceedings were declared to have extinguished and the case was archived</w:t>
      </w:r>
      <w:r w:rsidR="00502B43" w:rsidRPr="00012C3F">
        <w:rPr>
          <w:rFonts w:eastAsia="MS Mincho"/>
          <w:sz w:val="20"/>
          <w:szCs w:val="20"/>
          <w:lang w:val="en-US"/>
        </w:rPr>
        <w:t xml:space="preserve">. </w:t>
      </w:r>
      <w:r w:rsidRPr="00012C3F">
        <w:rPr>
          <w:rFonts w:eastAsia="MS Mincho"/>
          <w:sz w:val="20"/>
          <w:szCs w:val="20"/>
          <w:lang w:val="en-US"/>
        </w:rPr>
        <w:t>The Commission</w:t>
      </w:r>
      <w:r w:rsidR="00502B43" w:rsidRPr="00012C3F">
        <w:rPr>
          <w:rFonts w:eastAsia="MS Mincho"/>
          <w:sz w:val="20"/>
          <w:szCs w:val="20"/>
          <w:lang w:val="en-US"/>
        </w:rPr>
        <w:t xml:space="preserve"> consider</w:t>
      </w:r>
      <w:r w:rsidR="000A4DC1" w:rsidRPr="00012C3F">
        <w:rPr>
          <w:rFonts w:eastAsia="MS Mincho"/>
          <w:sz w:val="20"/>
          <w:szCs w:val="20"/>
          <w:lang w:val="en-US"/>
        </w:rPr>
        <w:t xml:space="preserve">ed that “the way the Judiciary acted was ineffective, because the procedural defects and unwarranted delays verified during the criminal proceedings, as a result of which the criminal action was declared to have extinguished, resulted in a denial of justice for I.V., depriving her of her right to judicial determination of responsibilities derived from the human rights violation to which she had been subjected and to reparation for the harm done.” Consequently, the Commission concluded that “the State, through the actions of the Judiciary and its health care system, violated I.V.’s right of access to justice and her right to judicial guarantees and judicial protection in violation of </w:t>
      </w:r>
      <w:r w:rsidR="001254DE" w:rsidRPr="00012C3F">
        <w:rPr>
          <w:rFonts w:eastAsia="MS Mincho"/>
          <w:sz w:val="20"/>
          <w:szCs w:val="20"/>
          <w:lang w:val="en-US"/>
        </w:rPr>
        <w:t>Articles</w:t>
      </w:r>
      <w:r w:rsidR="00502B43" w:rsidRPr="00012C3F">
        <w:rPr>
          <w:rFonts w:eastAsia="MS Mincho"/>
          <w:sz w:val="20"/>
          <w:szCs w:val="20"/>
          <w:lang w:val="en-US"/>
        </w:rPr>
        <w:t xml:space="preserve"> </w:t>
      </w:r>
      <w:r w:rsidR="005E5012" w:rsidRPr="00012C3F">
        <w:rPr>
          <w:rFonts w:eastAsia="MS Mincho"/>
          <w:sz w:val="20"/>
          <w:szCs w:val="20"/>
          <w:lang w:val="en-US"/>
        </w:rPr>
        <w:t xml:space="preserve">8(1) and </w:t>
      </w:r>
      <w:r w:rsidR="00502B43" w:rsidRPr="00012C3F">
        <w:rPr>
          <w:rFonts w:eastAsia="MS Mincho"/>
          <w:sz w:val="20"/>
          <w:szCs w:val="20"/>
          <w:lang w:val="en-US"/>
        </w:rPr>
        <w:t>2</w:t>
      </w:r>
      <w:r w:rsidR="005E5012" w:rsidRPr="00012C3F">
        <w:rPr>
          <w:rFonts w:eastAsia="MS Mincho"/>
          <w:sz w:val="20"/>
          <w:szCs w:val="20"/>
          <w:lang w:val="en-US"/>
        </w:rPr>
        <w:t>5(1)</w:t>
      </w:r>
      <w:r w:rsidR="001254DE" w:rsidRPr="00012C3F">
        <w:rPr>
          <w:rFonts w:eastAsia="MS Mincho"/>
          <w:sz w:val="20"/>
          <w:szCs w:val="20"/>
          <w:lang w:val="en-US"/>
        </w:rPr>
        <w:t xml:space="preserve"> of the American Convention</w:t>
      </w:r>
      <w:r w:rsidR="00502B43" w:rsidRPr="00012C3F">
        <w:rPr>
          <w:rFonts w:eastAsia="MS Mincho"/>
          <w:sz w:val="20"/>
          <w:szCs w:val="20"/>
          <w:lang w:val="en-US"/>
        </w:rPr>
        <w:t xml:space="preserve">, </w:t>
      </w:r>
      <w:r w:rsidR="006C705C" w:rsidRPr="00012C3F">
        <w:rPr>
          <w:rFonts w:eastAsia="MS Mincho"/>
          <w:sz w:val="20"/>
          <w:szCs w:val="20"/>
          <w:lang w:val="en-US"/>
        </w:rPr>
        <w:t xml:space="preserve">in </w:t>
      </w:r>
      <w:r w:rsidR="000A4DC1" w:rsidRPr="00012C3F">
        <w:rPr>
          <w:rFonts w:eastAsia="MS Mincho"/>
          <w:sz w:val="20"/>
          <w:szCs w:val="20"/>
          <w:lang w:val="en-US"/>
        </w:rPr>
        <w:t>conjunction with</w:t>
      </w:r>
      <w:r w:rsidR="00502B43" w:rsidRPr="00012C3F">
        <w:rPr>
          <w:rFonts w:eastAsia="MS Mincho"/>
          <w:sz w:val="20"/>
          <w:szCs w:val="20"/>
          <w:lang w:val="en-US"/>
        </w:rPr>
        <w:t xml:space="preserve"> </w:t>
      </w:r>
      <w:r w:rsidR="000A4DC1" w:rsidRPr="00012C3F">
        <w:rPr>
          <w:rFonts w:eastAsia="MS Mincho"/>
          <w:sz w:val="20"/>
          <w:szCs w:val="20"/>
          <w:lang w:val="en-US"/>
        </w:rPr>
        <w:t xml:space="preserve">the obligation not to discriminate established in </w:t>
      </w:r>
      <w:r w:rsidR="001254DE" w:rsidRPr="00012C3F">
        <w:rPr>
          <w:rFonts w:eastAsia="MS Mincho"/>
          <w:sz w:val="20"/>
          <w:szCs w:val="20"/>
          <w:lang w:val="en-US"/>
        </w:rPr>
        <w:t>Article</w:t>
      </w:r>
      <w:r w:rsidR="00502B43" w:rsidRPr="00012C3F">
        <w:rPr>
          <w:rFonts w:eastAsia="MS Mincho"/>
          <w:sz w:val="20"/>
          <w:szCs w:val="20"/>
          <w:lang w:val="en-US"/>
        </w:rPr>
        <w:t xml:space="preserve"> </w:t>
      </w:r>
      <w:r w:rsidR="005E5012" w:rsidRPr="00012C3F">
        <w:rPr>
          <w:rFonts w:eastAsia="MS Mincho"/>
          <w:sz w:val="20"/>
          <w:szCs w:val="20"/>
          <w:lang w:val="en-US"/>
        </w:rPr>
        <w:t>1(1)</w:t>
      </w:r>
      <w:r w:rsidR="00502B43" w:rsidRPr="00012C3F">
        <w:rPr>
          <w:rFonts w:eastAsia="MS Mincho"/>
          <w:sz w:val="20"/>
          <w:szCs w:val="20"/>
          <w:lang w:val="en-US"/>
        </w:rPr>
        <w:t xml:space="preserve"> </w:t>
      </w:r>
      <w:r w:rsidR="005E5012" w:rsidRPr="00012C3F">
        <w:rPr>
          <w:rFonts w:eastAsia="MS Mincho"/>
          <w:sz w:val="20"/>
          <w:szCs w:val="20"/>
          <w:lang w:val="en-US"/>
        </w:rPr>
        <w:t>of this instrument</w:t>
      </w:r>
      <w:r w:rsidR="00502B43" w:rsidRPr="00012C3F">
        <w:rPr>
          <w:rFonts w:eastAsia="MS Mincho"/>
          <w:sz w:val="20"/>
          <w:szCs w:val="20"/>
          <w:lang w:val="en-US"/>
        </w:rPr>
        <w:t>”.</w:t>
      </w:r>
    </w:p>
    <w:p w14:paraId="179766F7" w14:textId="77777777" w:rsidR="00502B43" w:rsidRPr="00012C3F" w:rsidRDefault="00502B43" w:rsidP="00502B43">
      <w:pPr>
        <w:tabs>
          <w:tab w:val="left" w:pos="720"/>
        </w:tabs>
        <w:spacing w:line="240" w:lineRule="auto"/>
        <w:rPr>
          <w:rFonts w:eastAsia="MS Mincho"/>
          <w:sz w:val="20"/>
          <w:szCs w:val="20"/>
          <w:lang w:val="en-US"/>
        </w:rPr>
      </w:pPr>
    </w:p>
    <w:p w14:paraId="2655D6E4" w14:textId="77777777" w:rsidR="00502B43" w:rsidRPr="00012C3F" w:rsidRDefault="000A4DC1" w:rsidP="00D677EF">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In its final observations</w:t>
      </w:r>
      <w:r w:rsidR="00502B43" w:rsidRPr="00012C3F">
        <w:rPr>
          <w:rFonts w:eastAsia="MS Mincho"/>
          <w:sz w:val="20"/>
          <w:szCs w:val="20"/>
          <w:lang w:val="en-US"/>
        </w:rPr>
        <w:t xml:space="preserve">, </w:t>
      </w:r>
      <w:r w:rsidR="001254DE" w:rsidRPr="00012C3F">
        <w:rPr>
          <w:rFonts w:eastAsia="MS Mincho"/>
          <w:sz w:val="20"/>
          <w:szCs w:val="20"/>
          <w:lang w:val="en-US"/>
        </w:rPr>
        <w:t xml:space="preserve">the </w:t>
      </w:r>
      <w:r w:rsidR="00A84CA0" w:rsidRPr="00012C3F">
        <w:rPr>
          <w:rFonts w:eastAsia="MS Mincho"/>
          <w:sz w:val="20"/>
          <w:szCs w:val="20"/>
          <w:lang w:val="en-US"/>
        </w:rPr>
        <w:t>Commission</w:t>
      </w:r>
      <w:r w:rsidR="00502B43" w:rsidRPr="00012C3F">
        <w:rPr>
          <w:rFonts w:eastAsia="MS Mincho"/>
          <w:sz w:val="20"/>
          <w:szCs w:val="20"/>
          <w:lang w:val="en-US"/>
        </w:rPr>
        <w:t xml:space="preserve"> </w:t>
      </w:r>
      <w:r w:rsidRPr="00012C3F">
        <w:rPr>
          <w:rFonts w:eastAsia="MS Mincho"/>
          <w:sz w:val="20"/>
          <w:szCs w:val="20"/>
          <w:lang w:val="en-US"/>
        </w:rPr>
        <w:t>a</w:t>
      </w:r>
      <w:r w:rsidR="00D677EF" w:rsidRPr="00012C3F">
        <w:rPr>
          <w:rFonts w:eastAsia="MS Mincho"/>
          <w:sz w:val="20"/>
          <w:szCs w:val="20"/>
          <w:lang w:val="en-US"/>
        </w:rPr>
        <w:t>rgued</w:t>
      </w:r>
      <w:r w:rsidRPr="00012C3F">
        <w:rPr>
          <w:rFonts w:eastAsia="MS Mincho"/>
          <w:sz w:val="20"/>
          <w:szCs w:val="20"/>
          <w:lang w:val="en-US"/>
        </w:rPr>
        <w:t xml:space="preserve"> that, in cases related to human rights violations as a result of a medical procedure, </w:t>
      </w:r>
      <w:r w:rsidR="00D677EF" w:rsidRPr="00012C3F">
        <w:rPr>
          <w:rFonts w:eastAsia="MS Mincho"/>
          <w:sz w:val="20"/>
          <w:szCs w:val="20"/>
          <w:lang w:val="en-US"/>
        </w:rPr>
        <w:t xml:space="preserve">an investigation should be conducted with due diligence, with the proper guarantees and within a reasonable time. Regarding due diligence in the conduct of </w:t>
      </w:r>
      <w:r w:rsidR="00A710F6" w:rsidRPr="00012C3F">
        <w:rPr>
          <w:rFonts w:eastAsia="MS Mincho"/>
          <w:sz w:val="20"/>
          <w:szCs w:val="20"/>
          <w:lang w:val="en-US"/>
        </w:rPr>
        <w:t>the criminal</w:t>
      </w:r>
      <w:r w:rsidR="006C705C" w:rsidRPr="00012C3F">
        <w:rPr>
          <w:rFonts w:eastAsia="MS Mincho"/>
          <w:sz w:val="20"/>
          <w:szCs w:val="20"/>
          <w:lang w:val="en-US"/>
        </w:rPr>
        <w:t xml:space="preserve"> proceedings</w:t>
      </w:r>
      <w:r w:rsidR="00502B43" w:rsidRPr="00012C3F">
        <w:rPr>
          <w:rFonts w:eastAsia="MS Mincho"/>
          <w:sz w:val="20"/>
          <w:szCs w:val="20"/>
          <w:lang w:val="en-US"/>
        </w:rPr>
        <w:t xml:space="preserve">, </w:t>
      </w:r>
      <w:r w:rsidR="001254DE" w:rsidRPr="00012C3F">
        <w:rPr>
          <w:rFonts w:eastAsia="MS Mincho"/>
          <w:sz w:val="20"/>
          <w:szCs w:val="20"/>
          <w:lang w:val="en-US"/>
        </w:rPr>
        <w:t xml:space="preserve">the </w:t>
      </w:r>
      <w:r w:rsidR="00A84CA0" w:rsidRPr="00012C3F">
        <w:rPr>
          <w:rFonts w:eastAsia="MS Mincho"/>
          <w:sz w:val="20"/>
          <w:szCs w:val="20"/>
          <w:lang w:val="en-US"/>
        </w:rPr>
        <w:t>Commission</w:t>
      </w:r>
      <w:r w:rsidR="00502B43" w:rsidRPr="00012C3F">
        <w:rPr>
          <w:rFonts w:eastAsia="MS Mincho"/>
          <w:sz w:val="20"/>
          <w:szCs w:val="20"/>
          <w:lang w:val="en-US"/>
        </w:rPr>
        <w:t xml:space="preserve"> </w:t>
      </w:r>
      <w:r w:rsidR="00D677EF" w:rsidRPr="00012C3F">
        <w:rPr>
          <w:rFonts w:eastAsia="MS Mincho"/>
          <w:sz w:val="20"/>
          <w:szCs w:val="20"/>
          <w:lang w:val="en-US"/>
        </w:rPr>
        <w:t xml:space="preserve">indicated that, during the years it lasted, numerous procedural defects and errors occurred, and also additional delays to establish a court with lay judges and </w:t>
      </w:r>
      <w:r w:rsidR="00606749" w:rsidRPr="00012C3F">
        <w:rPr>
          <w:rFonts w:eastAsia="MS Mincho"/>
          <w:sz w:val="20"/>
          <w:szCs w:val="20"/>
          <w:lang w:val="en-US"/>
        </w:rPr>
        <w:t xml:space="preserve">due to </w:t>
      </w:r>
      <w:r w:rsidR="00D677EF" w:rsidRPr="00012C3F">
        <w:rPr>
          <w:rFonts w:eastAsia="MS Mincho"/>
          <w:sz w:val="20"/>
          <w:szCs w:val="20"/>
          <w:lang w:val="en-US"/>
        </w:rPr>
        <w:t xml:space="preserve">the filing of the case far from where the facts had occurred and from I.V.’s places of residence, hampering the participation of victim, expert witnesses and witnesses. According to the Commission, these flaws and delays not only resulted in the ineffectiveness of the investigation, but also the extinction of </w:t>
      </w:r>
      <w:r w:rsidR="00A710F6" w:rsidRPr="00012C3F">
        <w:rPr>
          <w:rFonts w:eastAsia="MS Mincho"/>
          <w:sz w:val="20"/>
          <w:szCs w:val="20"/>
          <w:lang w:val="en-US"/>
        </w:rPr>
        <w:t>the criminal</w:t>
      </w:r>
      <w:r w:rsidR="006C705C" w:rsidRPr="00012C3F">
        <w:rPr>
          <w:rFonts w:eastAsia="MS Mincho"/>
          <w:sz w:val="20"/>
          <w:szCs w:val="20"/>
          <w:lang w:val="en-US"/>
        </w:rPr>
        <w:t xml:space="preserve"> proceedings</w:t>
      </w:r>
      <w:r w:rsidR="00502B43" w:rsidRPr="00012C3F">
        <w:rPr>
          <w:rFonts w:eastAsia="MS Mincho"/>
          <w:sz w:val="20"/>
          <w:szCs w:val="20"/>
          <w:lang w:val="en-US"/>
        </w:rPr>
        <w:t xml:space="preserve">, </w:t>
      </w:r>
      <w:r w:rsidR="00D677EF" w:rsidRPr="00012C3F">
        <w:rPr>
          <w:rFonts w:eastAsia="MS Mincho"/>
          <w:sz w:val="20"/>
          <w:szCs w:val="20"/>
          <w:lang w:val="en-US"/>
        </w:rPr>
        <w:t xml:space="preserve">preventing I.V. from being able to have recourse to civil proceedings to obtain reparation because, according to the information available, domestic law subordinated this possibility to the existence of a guilty verdict. This situation engaged the international responsibility </w:t>
      </w:r>
      <w:r w:rsidR="004C6FCC" w:rsidRPr="00012C3F">
        <w:rPr>
          <w:rFonts w:eastAsia="MS Mincho"/>
          <w:sz w:val="20"/>
          <w:szCs w:val="20"/>
          <w:lang w:val="en-US"/>
        </w:rPr>
        <w:t xml:space="preserve">of the </w:t>
      </w:r>
      <w:r w:rsidR="00A84CA0" w:rsidRPr="00012C3F">
        <w:rPr>
          <w:rFonts w:eastAsia="MS Mincho"/>
          <w:sz w:val="20"/>
          <w:szCs w:val="20"/>
          <w:lang w:val="en-US"/>
        </w:rPr>
        <w:t>State of Bolivia</w:t>
      </w:r>
      <w:r w:rsidR="00502B43" w:rsidRPr="00012C3F">
        <w:rPr>
          <w:rFonts w:eastAsia="MS Mincho"/>
          <w:sz w:val="20"/>
          <w:szCs w:val="20"/>
          <w:lang w:val="en-US"/>
        </w:rPr>
        <w:t xml:space="preserve"> </w:t>
      </w:r>
      <w:r w:rsidR="00D677EF" w:rsidRPr="00012C3F">
        <w:rPr>
          <w:rFonts w:eastAsia="MS Mincho"/>
          <w:sz w:val="20"/>
          <w:szCs w:val="20"/>
          <w:lang w:val="en-US"/>
        </w:rPr>
        <w:t>under</w:t>
      </w:r>
      <w:r w:rsidR="00502B43" w:rsidRPr="00012C3F">
        <w:rPr>
          <w:rFonts w:eastAsia="MS Mincho"/>
          <w:sz w:val="20"/>
          <w:szCs w:val="20"/>
          <w:lang w:val="en-US"/>
        </w:rPr>
        <w:t xml:space="preserve"> </w:t>
      </w:r>
      <w:r w:rsidR="001254DE" w:rsidRPr="00012C3F">
        <w:rPr>
          <w:rFonts w:eastAsia="MS Mincho"/>
          <w:sz w:val="20"/>
          <w:szCs w:val="20"/>
          <w:lang w:val="en-US"/>
        </w:rPr>
        <w:t>Articles</w:t>
      </w:r>
      <w:r w:rsidR="00502B43" w:rsidRPr="00012C3F">
        <w:rPr>
          <w:rFonts w:eastAsia="MS Mincho"/>
          <w:sz w:val="20"/>
          <w:szCs w:val="20"/>
          <w:lang w:val="en-US"/>
        </w:rPr>
        <w:t xml:space="preserve"> 8</w:t>
      </w:r>
      <w:r w:rsidR="005E5012" w:rsidRPr="00012C3F">
        <w:rPr>
          <w:rFonts w:eastAsia="MS Mincho"/>
          <w:sz w:val="20"/>
          <w:szCs w:val="20"/>
          <w:lang w:val="en-US"/>
        </w:rPr>
        <w:t xml:space="preserve"> and </w:t>
      </w:r>
      <w:r w:rsidR="00502B43" w:rsidRPr="00012C3F">
        <w:rPr>
          <w:rFonts w:eastAsia="MS Mincho"/>
          <w:sz w:val="20"/>
          <w:szCs w:val="20"/>
          <w:lang w:val="en-US"/>
        </w:rPr>
        <w:t>25</w:t>
      </w:r>
      <w:r w:rsidR="001254DE" w:rsidRPr="00012C3F">
        <w:rPr>
          <w:rFonts w:eastAsia="MS Mincho"/>
          <w:sz w:val="20"/>
          <w:szCs w:val="20"/>
          <w:lang w:val="en-US"/>
        </w:rPr>
        <w:t xml:space="preserve"> of the Convention</w:t>
      </w:r>
      <w:r w:rsidR="005E5012" w:rsidRPr="00012C3F">
        <w:rPr>
          <w:rFonts w:eastAsia="MS Mincho"/>
          <w:sz w:val="20"/>
          <w:szCs w:val="20"/>
          <w:lang w:val="en-US"/>
        </w:rPr>
        <w:t xml:space="preserve"> and </w:t>
      </w:r>
      <w:r w:rsidR="00502B43" w:rsidRPr="00012C3F">
        <w:rPr>
          <w:rFonts w:eastAsia="MS Mincho"/>
          <w:sz w:val="20"/>
          <w:szCs w:val="20"/>
          <w:lang w:val="en-US"/>
        </w:rPr>
        <w:t>7</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5E5012" w:rsidRPr="00012C3F">
        <w:rPr>
          <w:rFonts w:eastAsia="MS Mincho"/>
          <w:sz w:val="20"/>
          <w:szCs w:val="20"/>
          <w:lang w:val="en-US"/>
        </w:rPr>
        <w:t>of Belém</w:t>
      </w:r>
      <w:r w:rsidR="00502B43" w:rsidRPr="00012C3F">
        <w:rPr>
          <w:rFonts w:eastAsia="MS Mincho"/>
          <w:sz w:val="20"/>
          <w:szCs w:val="20"/>
          <w:lang w:val="en-US"/>
        </w:rPr>
        <w:t xml:space="preserve"> do Pará.</w:t>
      </w:r>
    </w:p>
    <w:p w14:paraId="4621B568" w14:textId="77777777" w:rsidR="00502B43" w:rsidRPr="00012C3F" w:rsidRDefault="00502B43" w:rsidP="000A4DC1">
      <w:pPr>
        <w:widowControl/>
        <w:tabs>
          <w:tab w:val="left" w:pos="720"/>
        </w:tabs>
        <w:autoSpaceDE w:val="0"/>
        <w:autoSpaceDN w:val="0"/>
        <w:spacing w:line="240" w:lineRule="auto"/>
        <w:jc w:val="left"/>
        <w:textAlignment w:val="auto"/>
        <w:rPr>
          <w:rFonts w:eastAsia="MS Mincho"/>
          <w:sz w:val="20"/>
          <w:szCs w:val="20"/>
          <w:lang w:val="en-US"/>
        </w:rPr>
      </w:pPr>
    </w:p>
    <w:p w14:paraId="163922B0" w14:textId="77777777" w:rsidR="00AC7D4F" w:rsidRPr="00012C3F" w:rsidRDefault="00972ACF" w:rsidP="00AC7D4F">
      <w:pPr>
        <w:numPr>
          <w:ilvl w:val="0"/>
          <w:numId w:val="5"/>
        </w:numPr>
        <w:tabs>
          <w:tab w:val="left" w:pos="720"/>
          <w:tab w:val="num" w:pos="12305"/>
        </w:tabs>
        <w:spacing w:line="240" w:lineRule="auto"/>
        <w:ind w:left="0" w:firstLine="0"/>
        <w:rPr>
          <w:rFonts w:eastAsia="MS Mincho"/>
          <w:b/>
          <w:sz w:val="20"/>
          <w:szCs w:val="20"/>
          <w:lang w:val="en-US"/>
        </w:rPr>
      </w:pPr>
      <w:r w:rsidRPr="00012C3F">
        <w:rPr>
          <w:rFonts w:eastAsia="MS Mincho"/>
          <w:sz w:val="20"/>
          <w:szCs w:val="20"/>
          <w:lang w:val="en-US"/>
        </w:rPr>
        <w:t xml:space="preserve">The </w:t>
      </w:r>
      <w:r w:rsidRPr="00012C3F">
        <w:rPr>
          <w:rFonts w:eastAsia="MS Mincho"/>
          <w:b/>
          <w:bCs/>
          <w:i/>
          <w:iCs/>
          <w:sz w:val="20"/>
          <w:szCs w:val="20"/>
          <w:lang w:val="en-US"/>
        </w:rPr>
        <w:t>representative</w:t>
      </w:r>
      <w:r w:rsidR="00502B43" w:rsidRPr="00012C3F">
        <w:rPr>
          <w:rFonts w:eastAsia="MS Mincho"/>
          <w:b/>
          <w:sz w:val="20"/>
          <w:szCs w:val="20"/>
          <w:lang w:val="en-US"/>
        </w:rPr>
        <w:t xml:space="preserve"> </w:t>
      </w:r>
      <w:r w:rsidR="00606749" w:rsidRPr="00012C3F">
        <w:rPr>
          <w:rFonts w:eastAsia="MS Mincho"/>
          <w:sz w:val="20"/>
          <w:szCs w:val="20"/>
          <w:lang w:val="en-US"/>
        </w:rPr>
        <w:t>agreed with</w:t>
      </w:r>
      <w:r w:rsidR="0042562B" w:rsidRPr="00012C3F">
        <w:rPr>
          <w:rFonts w:eastAsia="MS Mincho"/>
          <w:sz w:val="20"/>
          <w:szCs w:val="20"/>
          <w:lang w:val="en-US"/>
        </w:rPr>
        <w:t xml:space="preserve"> the legal grounds and conclusions </w:t>
      </w:r>
      <w:r w:rsidR="00606749" w:rsidRPr="00012C3F">
        <w:rPr>
          <w:rFonts w:eastAsia="MS Mincho"/>
          <w:sz w:val="20"/>
          <w:szCs w:val="20"/>
          <w:lang w:val="en-US"/>
        </w:rPr>
        <w:t xml:space="preserve">relating </w:t>
      </w:r>
      <w:r w:rsidR="0042562B" w:rsidRPr="00012C3F">
        <w:rPr>
          <w:rFonts w:eastAsia="MS Mincho"/>
          <w:sz w:val="20"/>
          <w:szCs w:val="20"/>
          <w:lang w:val="en-US"/>
        </w:rPr>
        <w:t>to the violation of</w:t>
      </w:r>
      <w:r w:rsidR="0042562B" w:rsidRPr="00012C3F">
        <w:rPr>
          <w:rFonts w:eastAsia="MS Mincho"/>
          <w:b/>
          <w:sz w:val="20"/>
          <w:szCs w:val="20"/>
          <w:lang w:val="en-US"/>
        </w:rPr>
        <w:t xml:space="preserve"> </w:t>
      </w:r>
      <w:r w:rsidR="001254DE" w:rsidRPr="00012C3F">
        <w:rPr>
          <w:rFonts w:eastAsia="MS Mincho"/>
          <w:sz w:val="20"/>
          <w:szCs w:val="20"/>
          <w:lang w:val="en-US"/>
        </w:rPr>
        <w:t>Articles</w:t>
      </w:r>
      <w:r w:rsidR="00502B43" w:rsidRPr="00012C3F">
        <w:rPr>
          <w:rFonts w:eastAsia="MS Mincho"/>
          <w:sz w:val="20"/>
          <w:szCs w:val="20"/>
          <w:lang w:val="en-US"/>
        </w:rPr>
        <w:t xml:space="preserve"> </w:t>
      </w:r>
      <w:r w:rsidR="005E5012" w:rsidRPr="00012C3F">
        <w:rPr>
          <w:rFonts w:eastAsia="MS Mincho"/>
          <w:sz w:val="20"/>
          <w:szCs w:val="20"/>
          <w:lang w:val="en-US"/>
        </w:rPr>
        <w:t xml:space="preserve">8(1) and </w:t>
      </w:r>
      <w:r w:rsidR="00502B43" w:rsidRPr="00012C3F">
        <w:rPr>
          <w:rFonts w:eastAsia="MS Mincho"/>
          <w:sz w:val="20"/>
          <w:szCs w:val="20"/>
          <w:lang w:val="en-US"/>
        </w:rPr>
        <w:t>2</w:t>
      </w:r>
      <w:r w:rsidR="005E5012" w:rsidRPr="00012C3F">
        <w:rPr>
          <w:rFonts w:eastAsia="MS Mincho"/>
          <w:sz w:val="20"/>
          <w:szCs w:val="20"/>
          <w:lang w:val="en-US"/>
        </w:rPr>
        <w:t>5(1)</w:t>
      </w:r>
      <w:r w:rsidR="00502B43" w:rsidRPr="00012C3F">
        <w:rPr>
          <w:rFonts w:eastAsia="MS Mincho"/>
          <w:sz w:val="20"/>
          <w:szCs w:val="20"/>
          <w:lang w:val="en-US"/>
        </w:rPr>
        <w:t xml:space="preserve"> </w:t>
      </w:r>
      <w:r w:rsidR="001254DE" w:rsidRPr="00012C3F">
        <w:rPr>
          <w:rFonts w:eastAsia="MS Mincho"/>
          <w:sz w:val="20"/>
          <w:szCs w:val="20"/>
          <w:lang w:val="en-US"/>
        </w:rPr>
        <w:t xml:space="preserve">the American </w:t>
      </w:r>
      <w:r w:rsidR="00AC7D4F" w:rsidRPr="00012C3F">
        <w:rPr>
          <w:rFonts w:eastAsia="MS Mincho"/>
          <w:sz w:val="20"/>
          <w:szCs w:val="20"/>
          <w:lang w:val="en-US"/>
        </w:rPr>
        <w:t xml:space="preserve">Convention developed in the Commission’s </w:t>
      </w:r>
      <w:r w:rsidR="00E00902" w:rsidRPr="00012C3F">
        <w:rPr>
          <w:rFonts w:eastAsia="MS Mincho"/>
          <w:sz w:val="20"/>
          <w:szCs w:val="20"/>
          <w:lang w:val="en-US"/>
        </w:rPr>
        <w:t>Merits Report</w:t>
      </w:r>
      <w:r w:rsidR="00502B43" w:rsidRPr="00012C3F">
        <w:rPr>
          <w:rFonts w:eastAsia="MS Mincho"/>
          <w:sz w:val="20"/>
          <w:szCs w:val="20"/>
          <w:lang w:val="en-US"/>
        </w:rPr>
        <w:t xml:space="preserve">. </w:t>
      </w:r>
      <w:r w:rsidR="00AC7D4F" w:rsidRPr="00012C3F">
        <w:rPr>
          <w:rFonts w:eastAsia="MS Mincho"/>
          <w:sz w:val="20"/>
          <w:szCs w:val="20"/>
          <w:lang w:val="en-US"/>
        </w:rPr>
        <w:t xml:space="preserve">In addition, she </w:t>
      </w:r>
      <w:r w:rsidR="00606749" w:rsidRPr="00012C3F">
        <w:rPr>
          <w:rFonts w:eastAsia="MS Mincho"/>
          <w:sz w:val="20"/>
          <w:szCs w:val="20"/>
          <w:lang w:val="en-US"/>
        </w:rPr>
        <w:t>argued</w:t>
      </w:r>
      <w:r w:rsidR="00AC7D4F" w:rsidRPr="00012C3F">
        <w:rPr>
          <w:rFonts w:eastAsia="MS Mincho"/>
          <w:sz w:val="20"/>
          <w:szCs w:val="20"/>
          <w:lang w:val="en-US"/>
        </w:rPr>
        <w:t xml:space="preserve"> “that the denial of justice and violations of due process suffered by I.V. during the said criminal case, not only involve the judicial officials and, therefore, the Judiciary of the Bolivian State, they also involved the Public Prosecution Service and its prosecutors.” She indicated that the complaints and requests that I.V. filed before the La Paz District Prosecutor ask</w:t>
      </w:r>
      <w:r w:rsidR="00606749" w:rsidRPr="00012C3F">
        <w:rPr>
          <w:rFonts w:eastAsia="MS Mincho"/>
          <w:sz w:val="20"/>
          <w:szCs w:val="20"/>
          <w:lang w:val="en-US"/>
        </w:rPr>
        <w:t>ing</w:t>
      </w:r>
      <w:r w:rsidR="00AC7D4F" w:rsidRPr="00012C3F">
        <w:rPr>
          <w:rFonts w:eastAsia="MS Mincho"/>
          <w:sz w:val="20"/>
          <w:szCs w:val="20"/>
          <w:lang w:val="en-US"/>
        </w:rPr>
        <w:t xml:space="preserve"> him to change the prosecutor assigned to the case because </w:t>
      </w:r>
      <w:r w:rsidR="00606749" w:rsidRPr="00012C3F">
        <w:rPr>
          <w:rFonts w:eastAsia="MS Mincho"/>
          <w:sz w:val="20"/>
          <w:szCs w:val="20"/>
          <w:lang w:val="en-US"/>
        </w:rPr>
        <w:t>she</w:t>
      </w:r>
      <w:r w:rsidR="00AC7D4F" w:rsidRPr="00012C3F">
        <w:rPr>
          <w:rFonts w:eastAsia="MS Mincho"/>
          <w:sz w:val="20"/>
          <w:szCs w:val="20"/>
          <w:lang w:val="en-US"/>
        </w:rPr>
        <w:t xml:space="preserve"> had abandoned it</w:t>
      </w:r>
      <w:r w:rsidR="00606749" w:rsidRPr="00012C3F">
        <w:rPr>
          <w:rFonts w:eastAsia="MS Mincho"/>
          <w:sz w:val="20"/>
          <w:szCs w:val="20"/>
          <w:lang w:val="en-US"/>
        </w:rPr>
        <w:t>,</w:t>
      </w:r>
      <w:r w:rsidR="00AC7D4F" w:rsidRPr="00012C3F">
        <w:rPr>
          <w:rFonts w:eastAsia="MS Mincho"/>
          <w:sz w:val="20"/>
          <w:szCs w:val="20"/>
          <w:lang w:val="en-US"/>
        </w:rPr>
        <w:t xml:space="preserve"> was evidence that not only the judges who intervened in the proceedings had violated I.V.’s human rights with their delaying actions, but also the prosecutors</w:t>
      </w:r>
      <w:r w:rsidR="00AC7D4F" w:rsidRPr="00012C3F">
        <w:rPr>
          <w:rFonts w:eastAsia="MS Mincho"/>
          <w:b/>
          <w:sz w:val="20"/>
          <w:szCs w:val="20"/>
          <w:lang w:val="en-US"/>
        </w:rPr>
        <w:t xml:space="preserve"> </w:t>
      </w:r>
      <w:r w:rsidR="00660869" w:rsidRPr="00012C3F">
        <w:rPr>
          <w:rFonts w:eastAsia="MS Mincho"/>
          <w:sz w:val="20"/>
          <w:szCs w:val="20"/>
          <w:lang w:val="en-US"/>
        </w:rPr>
        <w:t xml:space="preserve">of the </w:t>
      </w:r>
      <w:r w:rsidR="00716C7D" w:rsidRPr="00012C3F">
        <w:rPr>
          <w:rFonts w:eastAsia="MS Mincho"/>
          <w:sz w:val="20"/>
          <w:szCs w:val="20"/>
          <w:lang w:val="en-US"/>
        </w:rPr>
        <w:t>Public Prosecution Service</w:t>
      </w:r>
      <w:r w:rsidR="00502B43" w:rsidRPr="00012C3F">
        <w:rPr>
          <w:rFonts w:eastAsia="MS Mincho"/>
          <w:sz w:val="20"/>
          <w:szCs w:val="20"/>
          <w:lang w:val="en-US"/>
        </w:rPr>
        <w:t xml:space="preserve"> </w:t>
      </w:r>
      <w:r w:rsidR="00AC7D4F" w:rsidRPr="00012C3F">
        <w:rPr>
          <w:rFonts w:eastAsia="MS Mincho"/>
          <w:sz w:val="20"/>
          <w:szCs w:val="20"/>
          <w:lang w:val="en-US"/>
        </w:rPr>
        <w:t xml:space="preserve">were responsible for that outcome. In </w:t>
      </w:r>
      <w:r w:rsidRPr="00012C3F">
        <w:rPr>
          <w:rFonts w:eastAsia="MS Mincho"/>
          <w:sz w:val="20"/>
          <w:szCs w:val="20"/>
          <w:lang w:val="en-US"/>
        </w:rPr>
        <w:t>the representative</w:t>
      </w:r>
      <w:r w:rsidR="00AC7D4F" w:rsidRPr="00012C3F">
        <w:rPr>
          <w:rFonts w:eastAsia="MS Mincho"/>
          <w:sz w:val="20"/>
          <w:szCs w:val="20"/>
          <w:lang w:val="en-US"/>
        </w:rPr>
        <w:t xml:space="preserve">’s opinion, both the Judiciary and the Public Prosecution Service were responsible </w:t>
      </w:r>
      <w:r w:rsidR="00BA477E" w:rsidRPr="00012C3F">
        <w:rPr>
          <w:rFonts w:eastAsia="MS Mincho"/>
          <w:sz w:val="20"/>
          <w:szCs w:val="20"/>
          <w:lang w:val="en-US"/>
        </w:rPr>
        <w:t>for the fact that the proceedings were archived without a decision on the merits, ensuring the impunity of the State agents who violated the rights of I.V. and, at the same time, the presumed victim was not provide</w:t>
      </w:r>
      <w:r w:rsidR="00606749" w:rsidRPr="00012C3F">
        <w:rPr>
          <w:rFonts w:eastAsia="MS Mincho"/>
          <w:sz w:val="20"/>
          <w:szCs w:val="20"/>
          <w:lang w:val="en-US"/>
        </w:rPr>
        <w:t>d</w:t>
      </w:r>
      <w:r w:rsidR="00BA477E" w:rsidRPr="00012C3F">
        <w:rPr>
          <w:rFonts w:eastAsia="MS Mincho"/>
          <w:sz w:val="20"/>
          <w:szCs w:val="20"/>
          <w:lang w:val="en-US"/>
        </w:rPr>
        <w:t xml:space="preserve"> with effective judicial protection.</w:t>
      </w:r>
    </w:p>
    <w:p w14:paraId="28F46D7D" w14:textId="77777777" w:rsidR="00502B43" w:rsidRPr="00012C3F" w:rsidRDefault="00502B43" w:rsidP="00502B43">
      <w:pPr>
        <w:tabs>
          <w:tab w:val="left" w:pos="720"/>
        </w:tabs>
        <w:spacing w:line="240" w:lineRule="auto"/>
        <w:rPr>
          <w:rFonts w:eastAsia="MS Mincho"/>
          <w:b/>
          <w:sz w:val="20"/>
          <w:szCs w:val="20"/>
          <w:lang w:val="en-US"/>
        </w:rPr>
      </w:pPr>
    </w:p>
    <w:p w14:paraId="44192D0D" w14:textId="77777777" w:rsidR="00502B43" w:rsidRPr="00012C3F" w:rsidRDefault="00A84CA0" w:rsidP="00BA477E">
      <w:pPr>
        <w:numPr>
          <w:ilvl w:val="0"/>
          <w:numId w:val="5"/>
        </w:numPr>
        <w:tabs>
          <w:tab w:val="left" w:pos="720"/>
          <w:tab w:val="num" w:pos="12305"/>
        </w:tabs>
        <w:spacing w:line="240" w:lineRule="auto"/>
        <w:ind w:left="0" w:firstLine="0"/>
        <w:rPr>
          <w:rFonts w:eastAsia="MS Mincho"/>
          <w:b/>
          <w:sz w:val="20"/>
          <w:szCs w:val="20"/>
          <w:lang w:val="en-US"/>
        </w:rPr>
      </w:pPr>
      <w:r w:rsidRPr="00012C3F">
        <w:rPr>
          <w:rFonts w:eastAsia="MS Mincho"/>
          <w:sz w:val="20"/>
          <w:szCs w:val="20"/>
          <w:lang w:val="en-US"/>
        </w:rPr>
        <w:t xml:space="preserve">The </w:t>
      </w:r>
      <w:r w:rsidRPr="00012C3F">
        <w:rPr>
          <w:rFonts w:eastAsia="MS Mincho"/>
          <w:b/>
          <w:bCs/>
          <w:i/>
          <w:iCs/>
          <w:sz w:val="20"/>
          <w:szCs w:val="20"/>
          <w:lang w:val="en-US"/>
        </w:rPr>
        <w:t>State</w:t>
      </w:r>
      <w:r w:rsidR="00502B43" w:rsidRPr="00012C3F">
        <w:rPr>
          <w:rFonts w:eastAsia="MS Mincho"/>
          <w:sz w:val="20"/>
          <w:szCs w:val="20"/>
          <w:lang w:val="en-US"/>
        </w:rPr>
        <w:t xml:space="preserve"> argu</w:t>
      </w:r>
      <w:r w:rsidR="00BA477E" w:rsidRPr="00012C3F">
        <w:rPr>
          <w:rFonts w:eastAsia="MS Mincho"/>
          <w:sz w:val="20"/>
          <w:szCs w:val="20"/>
          <w:lang w:val="en-US"/>
        </w:rPr>
        <w:t>ed that the c</w:t>
      </w:r>
      <w:r w:rsidR="006C705C" w:rsidRPr="00012C3F">
        <w:rPr>
          <w:rFonts w:eastAsia="MS Mincho"/>
          <w:sz w:val="20"/>
          <w:szCs w:val="20"/>
          <w:lang w:val="en-US"/>
        </w:rPr>
        <w:t xml:space="preserve">riminal </w:t>
      </w:r>
      <w:r w:rsidR="00606749" w:rsidRPr="00012C3F">
        <w:rPr>
          <w:rFonts w:eastAsia="MS Mincho"/>
          <w:sz w:val="20"/>
          <w:szCs w:val="20"/>
          <w:lang w:val="en-US"/>
        </w:rPr>
        <w:t>proceedings</w:t>
      </w:r>
      <w:r w:rsidR="00517E1A" w:rsidRPr="00012C3F">
        <w:rPr>
          <w:rFonts w:eastAsia="MS Mincho"/>
          <w:sz w:val="20"/>
          <w:szCs w:val="20"/>
          <w:lang w:val="en-US"/>
        </w:rPr>
        <w:t xml:space="preserve"> </w:t>
      </w:r>
      <w:r w:rsidR="00606749" w:rsidRPr="00012C3F">
        <w:rPr>
          <w:rFonts w:eastAsia="MS Mincho"/>
          <w:sz w:val="20"/>
          <w:szCs w:val="20"/>
          <w:lang w:val="en-US"/>
        </w:rPr>
        <w:t>were undertaken</w:t>
      </w:r>
      <w:r w:rsidR="00BA477E" w:rsidRPr="00012C3F">
        <w:rPr>
          <w:rFonts w:eastAsia="MS Mincho"/>
          <w:sz w:val="20"/>
          <w:szCs w:val="20"/>
          <w:lang w:val="en-US"/>
        </w:rPr>
        <w:t xml:space="preserve"> diligently and decisions were taken within a reasonable time until it culminated with a decision that extinguished the criminal action. Regarding the evaluation of the reasonable time in criminal proceedings, the State affirmed that, “taking into account the complexity of the matter, the lack of interest of I.V., the activation of the</w:t>
      </w:r>
      <w:r w:rsidR="00606749" w:rsidRPr="00012C3F">
        <w:rPr>
          <w:rFonts w:eastAsia="MS Mincho"/>
          <w:sz w:val="20"/>
          <w:szCs w:val="20"/>
          <w:lang w:val="en-US"/>
        </w:rPr>
        <w:t xml:space="preserve"> parties’</w:t>
      </w:r>
      <w:r w:rsidR="00BA477E" w:rsidRPr="00012C3F">
        <w:rPr>
          <w:rFonts w:eastAsia="MS Mincho"/>
          <w:sz w:val="20"/>
          <w:szCs w:val="20"/>
          <w:lang w:val="en-US"/>
        </w:rPr>
        <w:t xml:space="preserve"> procedural guarantees, and that the overall duration of the proceedings was in keeping with the standards of a reasonable time, there are no objective elements that would determine any violation of Article</w:t>
      </w:r>
      <w:r w:rsidR="00BA477E" w:rsidRPr="00012C3F">
        <w:rPr>
          <w:rFonts w:eastAsia="MS Mincho"/>
          <w:b/>
          <w:sz w:val="20"/>
          <w:szCs w:val="20"/>
          <w:lang w:val="en-US"/>
        </w:rPr>
        <w:t xml:space="preserve"> </w:t>
      </w:r>
      <w:r w:rsidR="005E5012" w:rsidRPr="00012C3F">
        <w:rPr>
          <w:rFonts w:eastAsia="MS Mincho"/>
          <w:sz w:val="20"/>
          <w:szCs w:val="20"/>
          <w:lang w:val="en-US"/>
        </w:rPr>
        <w:t>8(1)</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5E5012" w:rsidRPr="00012C3F">
        <w:rPr>
          <w:rFonts w:eastAsia="MS Mincho"/>
          <w:sz w:val="20"/>
          <w:szCs w:val="20"/>
          <w:lang w:val="en-US"/>
        </w:rPr>
        <w:t>to the detriment of</w:t>
      </w:r>
      <w:r w:rsidR="00502B43" w:rsidRPr="00012C3F">
        <w:rPr>
          <w:rFonts w:eastAsia="MS Mincho"/>
          <w:sz w:val="20"/>
          <w:szCs w:val="20"/>
          <w:lang w:val="en-US"/>
        </w:rPr>
        <w:t xml:space="preserve"> </w:t>
      </w:r>
      <w:r w:rsidR="000E1C11" w:rsidRPr="00012C3F">
        <w:rPr>
          <w:rFonts w:eastAsia="MS Mincho"/>
          <w:sz w:val="20"/>
          <w:szCs w:val="20"/>
          <w:lang w:val="en-US"/>
        </w:rPr>
        <w:t>I.V.</w:t>
      </w:r>
      <w:r w:rsidR="00502B43" w:rsidRPr="00012C3F">
        <w:rPr>
          <w:rFonts w:eastAsia="MS Mincho"/>
          <w:sz w:val="20"/>
          <w:szCs w:val="20"/>
          <w:lang w:val="en-US"/>
        </w:rPr>
        <w:t>”</w:t>
      </w:r>
    </w:p>
    <w:p w14:paraId="14E220FE" w14:textId="77777777" w:rsidR="00502B43" w:rsidRPr="00012C3F" w:rsidRDefault="00502B43" w:rsidP="00BA477E">
      <w:pPr>
        <w:tabs>
          <w:tab w:val="left" w:pos="720"/>
        </w:tabs>
        <w:spacing w:line="240" w:lineRule="auto"/>
        <w:rPr>
          <w:rFonts w:eastAsia="MS Mincho"/>
          <w:sz w:val="20"/>
          <w:szCs w:val="20"/>
          <w:lang w:val="en-US"/>
        </w:rPr>
      </w:pPr>
    </w:p>
    <w:p w14:paraId="42187EE0" w14:textId="77777777" w:rsidR="00502B43" w:rsidRPr="00012C3F" w:rsidRDefault="00BA477E" w:rsidP="00C20A64">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In its final arguments</w:t>
      </w:r>
      <w:r w:rsidR="00502B43" w:rsidRPr="00012C3F">
        <w:rPr>
          <w:rFonts w:eastAsia="MS Mincho"/>
          <w:sz w:val="20"/>
          <w:szCs w:val="20"/>
          <w:lang w:val="en-US"/>
        </w:rPr>
        <w:t xml:space="preserve">, </w:t>
      </w:r>
      <w:r w:rsidR="00A84CA0" w:rsidRPr="00012C3F">
        <w:rPr>
          <w:rFonts w:eastAsia="MS Mincho"/>
          <w:sz w:val="20"/>
          <w:szCs w:val="20"/>
          <w:lang w:val="en-US"/>
        </w:rPr>
        <w:t>the State</w:t>
      </w:r>
      <w:r w:rsidR="00502B43" w:rsidRPr="00012C3F">
        <w:rPr>
          <w:rFonts w:eastAsia="MS Mincho"/>
          <w:sz w:val="20"/>
          <w:szCs w:val="20"/>
          <w:lang w:val="en-US"/>
        </w:rPr>
        <w:t xml:space="preserve"> </w:t>
      </w:r>
      <w:r w:rsidR="00606749" w:rsidRPr="00012C3F">
        <w:rPr>
          <w:rFonts w:eastAsia="MS Mincho"/>
          <w:sz w:val="20"/>
          <w:szCs w:val="20"/>
          <w:lang w:val="en-US"/>
        </w:rPr>
        <w:t>indicate</w:t>
      </w:r>
      <w:r w:rsidRPr="00012C3F">
        <w:rPr>
          <w:rFonts w:eastAsia="MS Mincho"/>
          <w:sz w:val="20"/>
          <w:szCs w:val="20"/>
          <w:lang w:val="en-US"/>
        </w:rPr>
        <w:t xml:space="preserve">d, citing case law of the </w:t>
      </w:r>
      <w:r w:rsidR="00E060D2" w:rsidRPr="00012C3F">
        <w:rPr>
          <w:rFonts w:eastAsia="MS Mincho"/>
          <w:sz w:val="20"/>
          <w:szCs w:val="20"/>
          <w:lang w:val="en-US"/>
        </w:rPr>
        <w:t>European Court of Human Rights</w:t>
      </w:r>
      <w:r w:rsidR="00502B43" w:rsidRPr="00012C3F">
        <w:rPr>
          <w:rFonts w:eastAsia="MS Mincho"/>
          <w:sz w:val="20"/>
          <w:szCs w:val="20"/>
          <w:lang w:val="en-US"/>
        </w:rPr>
        <w:t xml:space="preserve">, </w:t>
      </w:r>
      <w:r w:rsidRPr="00012C3F">
        <w:rPr>
          <w:rFonts w:eastAsia="MS Mincho"/>
          <w:sz w:val="20"/>
          <w:szCs w:val="20"/>
          <w:lang w:val="en-US"/>
        </w:rPr>
        <w:t xml:space="preserve">that this case “did not warrant criminal </w:t>
      </w:r>
      <w:r w:rsidR="006C705C" w:rsidRPr="00012C3F">
        <w:rPr>
          <w:rFonts w:eastAsia="MS Mincho"/>
          <w:sz w:val="20"/>
          <w:szCs w:val="20"/>
          <w:lang w:val="en-US"/>
        </w:rPr>
        <w:t>proceedings</w:t>
      </w:r>
      <w:r w:rsidR="00502B43" w:rsidRPr="00012C3F">
        <w:rPr>
          <w:rFonts w:eastAsia="MS Mincho"/>
          <w:sz w:val="20"/>
          <w:szCs w:val="20"/>
          <w:lang w:val="en-US"/>
        </w:rPr>
        <w:t xml:space="preserve"> </w:t>
      </w:r>
      <w:r w:rsidRPr="00012C3F">
        <w:rPr>
          <w:rFonts w:eastAsia="MS Mincho"/>
          <w:sz w:val="20"/>
          <w:szCs w:val="20"/>
          <w:lang w:val="en-US"/>
        </w:rPr>
        <w:t>to decide it</w:t>
      </w:r>
      <w:r w:rsidR="00606749" w:rsidRPr="00012C3F">
        <w:rPr>
          <w:rFonts w:eastAsia="MS Mincho"/>
          <w:sz w:val="20"/>
          <w:szCs w:val="20"/>
          <w:lang w:val="en-US"/>
        </w:rPr>
        <w:t>,</w:t>
      </w:r>
      <w:r w:rsidR="00502B43" w:rsidRPr="00012C3F">
        <w:rPr>
          <w:rFonts w:eastAsia="MS Mincho"/>
          <w:sz w:val="20"/>
          <w:szCs w:val="20"/>
          <w:lang w:val="en-US"/>
        </w:rPr>
        <w:t>”</w:t>
      </w:r>
      <w:r w:rsidRPr="00012C3F">
        <w:rPr>
          <w:rFonts w:eastAsia="MS Mincho"/>
          <w:sz w:val="20"/>
          <w:szCs w:val="20"/>
          <w:lang w:val="en-US"/>
        </w:rPr>
        <w:t xml:space="preserve"> </w:t>
      </w:r>
      <w:r w:rsidR="00606749" w:rsidRPr="00012C3F">
        <w:rPr>
          <w:rFonts w:eastAsia="MS Mincho"/>
          <w:sz w:val="20"/>
          <w:szCs w:val="20"/>
          <w:lang w:val="en-US"/>
        </w:rPr>
        <w:t>and that</w:t>
      </w:r>
      <w:r w:rsidRPr="00012C3F">
        <w:rPr>
          <w:rFonts w:eastAsia="MS Mincho"/>
          <w:sz w:val="20"/>
          <w:szCs w:val="20"/>
          <w:lang w:val="en-US"/>
        </w:rPr>
        <w:t xml:space="preserve"> the disciplinary administrative procedure was sufficient to ensure I.V.’s access to justice</w:t>
      </w:r>
      <w:r w:rsidR="00465A3E" w:rsidRPr="00012C3F">
        <w:rPr>
          <w:rFonts w:eastAsia="MS Mincho"/>
          <w:sz w:val="20"/>
          <w:szCs w:val="20"/>
          <w:lang w:val="en-US"/>
        </w:rPr>
        <w:t xml:space="preserve">. According to the State, during the said procedure, which had all the characteristics of a judicial proceeding, “”all the </w:t>
      </w:r>
      <w:r w:rsidR="00465A3E" w:rsidRPr="00012C3F">
        <w:rPr>
          <w:rFonts w:eastAsia="MS Mincho"/>
          <w:sz w:val="20"/>
          <w:szCs w:val="20"/>
          <w:lang w:val="en-US"/>
        </w:rPr>
        <w:lastRenderedPageBreak/>
        <w:t>judicial guarantees were realized.” The State also indicated that, since it had a disciplinary vocation, this procedure could have ended in the definitive dismissal of the physician</w:t>
      </w:r>
      <w:r w:rsidR="00606749" w:rsidRPr="00012C3F">
        <w:rPr>
          <w:rFonts w:eastAsia="MS Mincho"/>
          <w:sz w:val="20"/>
          <w:szCs w:val="20"/>
          <w:lang w:val="en-US"/>
        </w:rPr>
        <w:t>. However,</w:t>
      </w:r>
      <w:r w:rsidR="00465A3E" w:rsidRPr="00012C3F">
        <w:rPr>
          <w:rFonts w:eastAsia="MS Mincho"/>
          <w:sz w:val="20"/>
          <w:szCs w:val="20"/>
          <w:lang w:val="en-US"/>
        </w:rPr>
        <w:t xml:space="preserve"> did not happen because, in a </w:t>
      </w:r>
      <w:r w:rsidR="00606749" w:rsidRPr="00012C3F">
        <w:rPr>
          <w:rFonts w:eastAsia="MS Mincho"/>
          <w:sz w:val="20"/>
          <w:szCs w:val="20"/>
          <w:lang w:val="en-US"/>
        </w:rPr>
        <w:t>substantiated</w:t>
      </w:r>
      <w:r w:rsidR="00465A3E" w:rsidRPr="00012C3F">
        <w:rPr>
          <w:rFonts w:eastAsia="MS Mincho"/>
          <w:sz w:val="20"/>
          <w:szCs w:val="20"/>
          <w:lang w:val="en-US"/>
        </w:rPr>
        <w:t xml:space="preserve"> decision to acquit him that is now final, it was determined that the physician “acted pursuant to Bolivian health laws and to preserve I.V.’s future and maternal well-being. In sum, the State considered that it would be contradictory to criminally convict a </w:t>
      </w:r>
      <w:r w:rsidR="00606749" w:rsidRPr="00012C3F">
        <w:rPr>
          <w:rFonts w:eastAsia="MS Mincho"/>
          <w:sz w:val="20"/>
          <w:szCs w:val="20"/>
          <w:lang w:val="en-US"/>
        </w:rPr>
        <w:t>physician</w:t>
      </w:r>
      <w:r w:rsidR="00465A3E" w:rsidRPr="00012C3F">
        <w:rPr>
          <w:rFonts w:eastAsia="MS Mincho"/>
          <w:sz w:val="20"/>
          <w:szCs w:val="20"/>
          <w:lang w:val="en-US"/>
        </w:rPr>
        <w:t xml:space="preserve"> for a medical act carried out in the absence of </w:t>
      </w:r>
      <w:r w:rsidR="00801F6D" w:rsidRPr="00012C3F">
        <w:rPr>
          <w:rFonts w:eastAsia="MS Mincho"/>
          <w:sz w:val="20"/>
          <w:szCs w:val="20"/>
          <w:lang w:val="en-US"/>
        </w:rPr>
        <w:t>malice</w:t>
      </w:r>
      <w:r w:rsidR="00465A3E" w:rsidRPr="00012C3F">
        <w:rPr>
          <w:rFonts w:eastAsia="MS Mincho"/>
          <w:sz w:val="20"/>
          <w:szCs w:val="20"/>
          <w:lang w:val="en-US"/>
        </w:rPr>
        <w:t xml:space="preserve">. Therefore, it concluded that it had complied with its obligation to </w:t>
      </w:r>
      <w:r w:rsidR="00324A17" w:rsidRPr="00012C3F">
        <w:rPr>
          <w:rFonts w:eastAsia="MS Mincho"/>
          <w:sz w:val="20"/>
          <w:szCs w:val="20"/>
          <w:lang w:val="en-US"/>
        </w:rPr>
        <w:t>provide</w:t>
      </w:r>
      <w:r w:rsidR="00465A3E" w:rsidRPr="00012C3F">
        <w:rPr>
          <w:rFonts w:eastAsia="MS Mincho"/>
          <w:sz w:val="20"/>
          <w:szCs w:val="20"/>
          <w:lang w:val="en-US"/>
        </w:rPr>
        <w:t xml:space="preserve"> proper judicial guarantees and judicial protection to I.V. through the a</w:t>
      </w:r>
      <w:r w:rsidR="0099356C" w:rsidRPr="00012C3F">
        <w:rPr>
          <w:rFonts w:eastAsia="MS Mincho"/>
          <w:sz w:val="20"/>
          <w:szCs w:val="20"/>
          <w:lang w:val="en-US"/>
        </w:rPr>
        <w:t>dministrative proce</w:t>
      </w:r>
      <w:r w:rsidR="00465A3E" w:rsidRPr="00012C3F">
        <w:rPr>
          <w:rFonts w:eastAsia="MS Mincho"/>
          <w:sz w:val="20"/>
          <w:szCs w:val="20"/>
          <w:lang w:val="en-US"/>
        </w:rPr>
        <w:t>dure that was implemented.</w:t>
      </w:r>
    </w:p>
    <w:p w14:paraId="40C81F9B" w14:textId="77777777" w:rsidR="00465A3E" w:rsidRPr="00012C3F" w:rsidRDefault="00465A3E" w:rsidP="00465A3E">
      <w:pPr>
        <w:tabs>
          <w:tab w:val="left" w:pos="720"/>
        </w:tabs>
        <w:spacing w:line="240" w:lineRule="auto"/>
        <w:rPr>
          <w:rFonts w:eastAsia="MS Mincho"/>
          <w:sz w:val="20"/>
          <w:szCs w:val="20"/>
          <w:lang w:val="en-US"/>
        </w:rPr>
      </w:pPr>
    </w:p>
    <w:p w14:paraId="58715B0B" w14:textId="77777777" w:rsidR="00465A3E" w:rsidRPr="00012C3F" w:rsidRDefault="00502B43" w:rsidP="00465A3E">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Ad</w:t>
      </w:r>
      <w:r w:rsidR="00465A3E" w:rsidRPr="00012C3F">
        <w:rPr>
          <w:rFonts w:eastAsia="MS Mincho"/>
          <w:sz w:val="20"/>
          <w:szCs w:val="20"/>
          <w:lang w:val="en-US"/>
        </w:rPr>
        <w:t xml:space="preserve">ditionally, the State indicated that it was not the function </w:t>
      </w:r>
      <w:r w:rsidR="001254DE" w:rsidRPr="00012C3F">
        <w:rPr>
          <w:rFonts w:eastAsia="MS Mincho"/>
          <w:sz w:val="20"/>
          <w:szCs w:val="20"/>
          <w:lang w:val="en-US"/>
        </w:rPr>
        <w:t>of the Inter-American Court</w:t>
      </w:r>
      <w:r w:rsidRPr="00012C3F">
        <w:rPr>
          <w:rFonts w:eastAsia="MS Mincho"/>
          <w:sz w:val="20"/>
          <w:szCs w:val="20"/>
          <w:lang w:val="en-US"/>
        </w:rPr>
        <w:t xml:space="preserve"> </w:t>
      </w:r>
      <w:r w:rsidR="00465A3E" w:rsidRPr="00012C3F">
        <w:rPr>
          <w:rFonts w:eastAsia="MS Mincho"/>
          <w:sz w:val="20"/>
          <w:szCs w:val="20"/>
          <w:lang w:val="en-US"/>
        </w:rPr>
        <w:t>to</w:t>
      </w:r>
      <w:r w:rsidR="00BC4CA3" w:rsidRPr="00012C3F">
        <w:rPr>
          <w:rFonts w:eastAsia="MS Mincho"/>
          <w:sz w:val="20"/>
          <w:szCs w:val="20"/>
          <w:lang w:val="en-US"/>
        </w:rPr>
        <w:t xml:space="preserve"> </w:t>
      </w:r>
      <w:r w:rsidR="00465A3E" w:rsidRPr="00012C3F">
        <w:rPr>
          <w:rFonts w:eastAsia="MS Mincho"/>
          <w:sz w:val="20"/>
          <w:szCs w:val="20"/>
          <w:lang w:val="en-US"/>
        </w:rPr>
        <w:t>act as a “fourth instance,” in the sense that it was not for it to act as a high court</w:t>
      </w:r>
      <w:r w:rsidR="00BC4CA3" w:rsidRPr="00012C3F">
        <w:rPr>
          <w:rFonts w:eastAsia="MS Mincho"/>
          <w:sz w:val="20"/>
          <w:szCs w:val="20"/>
          <w:lang w:val="en-US"/>
        </w:rPr>
        <w:t xml:space="preserve"> with regard to domestic proceedings, and it could only review a decision handed down by domestic courts if there had been a flagrant violation of the Convention, which had not occurred in this case. In this regard, it argued that the domestic proceedings not only corresponded to a serious, just and impartial trial, but that the hypothesis finally accepted was the result of all the evidence collected during the proceedings. Consequently, the State argued that “the Court should respect the decisions made in the domestic sphere, since there was no evidence of a </w:t>
      </w:r>
      <w:r w:rsidR="00324A17" w:rsidRPr="00012C3F">
        <w:rPr>
          <w:rFonts w:eastAsia="MS Mincho"/>
          <w:sz w:val="20"/>
          <w:szCs w:val="20"/>
          <w:lang w:val="en-US"/>
        </w:rPr>
        <w:t>defect</w:t>
      </w:r>
      <w:r w:rsidR="00BC4CA3" w:rsidRPr="00012C3F">
        <w:rPr>
          <w:rFonts w:eastAsia="MS Mincho"/>
          <w:sz w:val="20"/>
          <w:szCs w:val="20"/>
          <w:lang w:val="en-US"/>
        </w:rPr>
        <w:t xml:space="preserve"> related to the treaty-based guarantees.” The State also argued that I.V. had not become a complainant in the case, which revealed a lack of diligence on her part in the processing of the case. Furthermore, it indicated that I.V. had not filed </w:t>
      </w:r>
      <w:r w:rsidR="00324A17" w:rsidRPr="00012C3F">
        <w:rPr>
          <w:rFonts w:eastAsia="MS Mincho"/>
          <w:sz w:val="20"/>
          <w:szCs w:val="20"/>
          <w:lang w:val="en-US"/>
        </w:rPr>
        <w:t xml:space="preserve">a </w:t>
      </w:r>
      <w:r w:rsidR="00BC4CA3" w:rsidRPr="00012C3F">
        <w:rPr>
          <w:rFonts w:eastAsia="MS Mincho"/>
          <w:sz w:val="20"/>
          <w:szCs w:val="20"/>
          <w:lang w:val="en-US"/>
        </w:rPr>
        <w:t xml:space="preserve">disciplinary complaint against the domestic judges because she considered that </w:t>
      </w:r>
      <w:r w:rsidR="00324A17" w:rsidRPr="00012C3F">
        <w:rPr>
          <w:rFonts w:eastAsia="MS Mincho"/>
          <w:sz w:val="20"/>
          <w:szCs w:val="20"/>
          <w:lang w:val="en-US"/>
        </w:rPr>
        <w:t>they had</w:t>
      </w:r>
      <w:r w:rsidR="00BC4CA3" w:rsidRPr="00012C3F">
        <w:rPr>
          <w:rFonts w:eastAsia="MS Mincho"/>
          <w:sz w:val="20"/>
          <w:szCs w:val="20"/>
          <w:lang w:val="en-US"/>
        </w:rPr>
        <w:t xml:space="preserve"> unjustifiably delaying her criminal </w:t>
      </w:r>
      <w:r w:rsidR="00324A17" w:rsidRPr="00012C3F">
        <w:rPr>
          <w:rFonts w:eastAsia="MS Mincho"/>
          <w:sz w:val="20"/>
          <w:szCs w:val="20"/>
          <w:lang w:val="en-US"/>
        </w:rPr>
        <w:t>action</w:t>
      </w:r>
      <w:r w:rsidR="00BC4CA3" w:rsidRPr="00012C3F">
        <w:rPr>
          <w:rFonts w:eastAsia="MS Mincho"/>
          <w:sz w:val="20"/>
          <w:szCs w:val="20"/>
          <w:lang w:val="en-US"/>
        </w:rPr>
        <w:t>, and this should be taken into account in the analysis of the reasonable time.</w:t>
      </w:r>
    </w:p>
    <w:p w14:paraId="0FBE97C1" w14:textId="77777777" w:rsidR="00502B43" w:rsidRPr="00012C3F" w:rsidRDefault="00502B43" w:rsidP="00502B43">
      <w:pPr>
        <w:tabs>
          <w:tab w:val="left" w:pos="720"/>
        </w:tabs>
        <w:spacing w:line="240" w:lineRule="auto"/>
        <w:rPr>
          <w:rFonts w:eastAsia="MS Mincho"/>
          <w:b/>
          <w:sz w:val="20"/>
          <w:szCs w:val="20"/>
          <w:lang w:val="en-US"/>
        </w:rPr>
      </w:pPr>
    </w:p>
    <w:p w14:paraId="1DD08A07" w14:textId="77777777" w:rsidR="00502B43" w:rsidRPr="00012C3F" w:rsidRDefault="00502B43" w:rsidP="006A16C8">
      <w:pPr>
        <w:pStyle w:val="Ttulo2"/>
        <w:tabs>
          <w:tab w:val="left" w:pos="1701"/>
        </w:tabs>
        <w:spacing w:before="0" w:line="240" w:lineRule="auto"/>
        <w:ind w:left="1134"/>
        <w:rPr>
          <w:rFonts w:ascii="Verdana" w:hAnsi="Verdana"/>
          <w:b w:val="0"/>
          <w:i/>
          <w:color w:val="auto"/>
          <w:sz w:val="20"/>
          <w:szCs w:val="20"/>
          <w:lang w:val="en-US"/>
        </w:rPr>
      </w:pPr>
      <w:bookmarkStart w:id="169" w:name="_Toc461305145"/>
      <w:bookmarkStart w:id="170" w:name="_Toc27486879"/>
      <w:r w:rsidRPr="00012C3F">
        <w:rPr>
          <w:rFonts w:ascii="Verdana" w:hAnsi="Verdana"/>
          <w:b w:val="0"/>
          <w:i/>
          <w:color w:val="auto"/>
          <w:sz w:val="20"/>
          <w:szCs w:val="20"/>
          <w:lang w:val="en-US"/>
        </w:rPr>
        <w:t xml:space="preserve">A.2 </w:t>
      </w:r>
      <w:r w:rsidR="006A16C8"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Arguments on</w:t>
      </w:r>
      <w:r w:rsidRPr="00012C3F">
        <w:rPr>
          <w:rFonts w:ascii="Verdana" w:hAnsi="Verdana"/>
          <w:b w:val="0"/>
          <w:i/>
          <w:color w:val="auto"/>
          <w:sz w:val="20"/>
          <w:szCs w:val="20"/>
          <w:lang w:val="en-US"/>
        </w:rPr>
        <w:t xml:space="preserve"> </w:t>
      </w:r>
      <w:r w:rsidR="001254DE" w:rsidRPr="00012C3F">
        <w:rPr>
          <w:rFonts w:ascii="Verdana" w:hAnsi="Verdana"/>
          <w:b w:val="0"/>
          <w:i/>
          <w:color w:val="auto"/>
          <w:sz w:val="20"/>
          <w:szCs w:val="20"/>
          <w:lang w:val="en-US"/>
        </w:rPr>
        <w:t>the Convention</w:t>
      </w:r>
      <w:r w:rsidRPr="00012C3F">
        <w:rPr>
          <w:rFonts w:ascii="Verdana" w:hAnsi="Verdana"/>
          <w:b w:val="0"/>
          <w:i/>
          <w:color w:val="auto"/>
          <w:sz w:val="20"/>
          <w:szCs w:val="20"/>
          <w:lang w:val="en-US"/>
        </w:rPr>
        <w:t xml:space="preserve"> </w:t>
      </w:r>
      <w:r w:rsidR="005E5012" w:rsidRPr="00012C3F">
        <w:rPr>
          <w:rFonts w:ascii="Verdana" w:hAnsi="Verdana"/>
          <w:b w:val="0"/>
          <w:i/>
          <w:color w:val="auto"/>
          <w:sz w:val="20"/>
          <w:szCs w:val="20"/>
          <w:lang w:val="en-US"/>
        </w:rPr>
        <w:t>of Belém</w:t>
      </w:r>
      <w:r w:rsidRPr="00012C3F">
        <w:rPr>
          <w:rFonts w:ascii="Verdana" w:hAnsi="Verdana"/>
          <w:b w:val="0"/>
          <w:i/>
          <w:color w:val="auto"/>
          <w:sz w:val="20"/>
          <w:szCs w:val="20"/>
          <w:lang w:val="en-US"/>
        </w:rPr>
        <w:t xml:space="preserve"> do Pará</w:t>
      </w:r>
      <w:bookmarkEnd w:id="169"/>
      <w:bookmarkEnd w:id="170"/>
    </w:p>
    <w:p w14:paraId="644BE9E2" w14:textId="77777777" w:rsidR="00502B43" w:rsidRPr="00012C3F" w:rsidRDefault="00502B43" w:rsidP="00502B43">
      <w:pPr>
        <w:tabs>
          <w:tab w:val="left" w:pos="720"/>
        </w:tabs>
        <w:spacing w:line="240" w:lineRule="auto"/>
        <w:rPr>
          <w:rFonts w:eastAsia="MS Mincho"/>
          <w:b/>
          <w:sz w:val="20"/>
          <w:szCs w:val="20"/>
          <w:lang w:val="en-US"/>
        </w:rPr>
      </w:pPr>
    </w:p>
    <w:p w14:paraId="4F587DE9" w14:textId="77777777" w:rsidR="00502B43" w:rsidRPr="00012C3F" w:rsidRDefault="00764B38" w:rsidP="00764B38">
      <w:pPr>
        <w:widowControl/>
        <w:numPr>
          <w:ilvl w:val="0"/>
          <w:numId w:val="5"/>
        </w:numPr>
        <w:tabs>
          <w:tab w:val="left" w:pos="720"/>
          <w:tab w:val="num" w:pos="12305"/>
        </w:tabs>
        <w:autoSpaceDE w:val="0"/>
        <w:autoSpaceDN w:val="0"/>
        <w:spacing w:line="240" w:lineRule="auto"/>
        <w:ind w:left="0" w:firstLine="0"/>
        <w:textAlignment w:val="auto"/>
        <w:rPr>
          <w:rFonts w:eastAsia="Calibri" w:cs="Arial"/>
          <w:sz w:val="20"/>
          <w:szCs w:val="20"/>
          <w:lang w:val="en-US" w:eastAsia="en-US"/>
        </w:rPr>
      </w:pPr>
      <w:r w:rsidRPr="00012C3F">
        <w:rPr>
          <w:rFonts w:eastAsia="Calibri" w:cs="Arial"/>
          <w:sz w:val="20"/>
          <w:szCs w:val="20"/>
          <w:lang w:val="en-US" w:eastAsia="en-US"/>
        </w:rPr>
        <w:t xml:space="preserve">In light of the relationship between violence and discrimination, </w:t>
      </w:r>
      <w:r w:rsidR="001254DE" w:rsidRPr="00012C3F">
        <w:rPr>
          <w:rFonts w:eastAsia="Calibri" w:cs="Arial"/>
          <w:sz w:val="20"/>
          <w:szCs w:val="20"/>
          <w:lang w:val="en-US" w:eastAsia="en-US"/>
        </w:rPr>
        <w:t xml:space="preserve">the </w:t>
      </w:r>
      <w:r w:rsidR="00A84CA0" w:rsidRPr="00012C3F">
        <w:rPr>
          <w:rFonts w:eastAsia="Calibri" w:cs="Arial"/>
          <w:b/>
          <w:bCs/>
          <w:i/>
          <w:iCs/>
          <w:sz w:val="20"/>
          <w:szCs w:val="20"/>
          <w:lang w:val="en-US" w:eastAsia="en-US"/>
        </w:rPr>
        <w:t>Commission</w:t>
      </w:r>
      <w:r w:rsidR="00502B43" w:rsidRPr="00012C3F">
        <w:rPr>
          <w:rFonts w:eastAsia="Calibri" w:cs="Arial"/>
          <w:sz w:val="20"/>
          <w:szCs w:val="20"/>
          <w:lang w:val="en-US" w:eastAsia="en-US"/>
        </w:rPr>
        <w:t xml:space="preserve"> not</w:t>
      </w:r>
      <w:r w:rsidRPr="00012C3F">
        <w:rPr>
          <w:rFonts w:eastAsia="Calibri" w:cs="Arial"/>
          <w:sz w:val="20"/>
          <w:szCs w:val="20"/>
          <w:lang w:val="en-US" w:eastAsia="en-US"/>
        </w:rPr>
        <w:t xml:space="preserve">ed that “the failure to punish an act of violence against women may also constitute a form of discrimination.” Accordingly, </w:t>
      </w:r>
      <w:r w:rsidR="001254DE" w:rsidRPr="00012C3F">
        <w:rPr>
          <w:rFonts w:eastAsia="Calibri" w:cs="Arial"/>
          <w:sz w:val="20"/>
          <w:szCs w:val="20"/>
          <w:lang w:val="en-US" w:eastAsia="en-US"/>
        </w:rPr>
        <w:t xml:space="preserve">the </w:t>
      </w:r>
      <w:r w:rsidR="00A84CA0" w:rsidRPr="00012C3F">
        <w:rPr>
          <w:rFonts w:eastAsia="Calibri" w:cs="Arial"/>
          <w:sz w:val="20"/>
          <w:szCs w:val="20"/>
          <w:lang w:val="en-US" w:eastAsia="en-US"/>
        </w:rPr>
        <w:t>Commission</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argued that</w:t>
      </w:r>
      <w:r w:rsidR="00502B43" w:rsidRPr="00012C3F">
        <w:rPr>
          <w:rFonts w:eastAsia="Calibri" w:cs="Arial"/>
          <w:sz w:val="20"/>
          <w:szCs w:val="20"/>
          <w:lang w:val="en-US" w:eastAsia="en-US"/>
        </w:rPr>
        <w:t>, “</w:t>
      </w:r>
      <w:r w:rsidRPr="00012C3F">
        <w:rPr>
          <w:rFonts w:eastAsia="Calibri" w:cs="Arial"/>
          <w:sz w:val="20"/>
          <w:szCs w:val="20"/>
          <w:lang w:val="en-US" w:eastAsia="en-US"/>
        </w:rPr>
        <w:t>given that</w:t>
      </w:r>
      <w:r w:rsidR="00502B43" w:rsidRPr="00012C3F">
        <w:rPr>
          <w:rFonts w:eastAsia="Calibri" w:cs="Arial"/>
          <w:sz w:val="20"/>
          <w:szCs w:val="20"/>
          <w:lang w:val="en-US" w:eastAsia="en-US"/>
        </w:rPr>
        <w:t xml:space="preserve"> </w:t>
      </w:r>
      <w:r w:rsidR="00271E24" w:rsidRPr="00012C3F">
        <w:rPr>
          <w:rFonts w:eastAsia="Calibri" w:cs="Arial"/>
          <w:sz w:val="20"/>
          <w:szCs w:val="20"/>
          <w:lang w:val="en-US" w:eastAsia="en-US"/>
        </w:rPr>
        <w:t>non-consensual sterilization</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 xml:space="preserve">is a form of violence against women, </w:t>
      </w:r>
      <w:r w:rsidR="00A84CA0" w:rsidRPr="00012C3F">
        <w:rPr>
          <w:rFonts w:eastAsia="Calibri" w:cs="Arial"/>
          <w:sz w:val="20"/>
          <w:szCs w:val="20"/>
          <w:lang w:val="en-US" w:eastAsia="en-US"/>
        </w:rPr>
        <w:t>the State</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 xml:space="preserve">should have acted with due diligence to investigate and punish those responsible for it.” However, in this case, “no punishment was ordered against those responsible for the non-consensual sterilization performed on I.V.” Consequently, the Commission considered that “the lack of punishment in this case constitutes a violation of the obligations established in </w:t>
      </w:r>
      <w:r w:rsidR="001254DE" w:rsidRPr="00012C3F">
        <w:rPr>
          <w:rFonts w:eastAsia="Calibri" w:cs="Arial"/>
          <w:sz w:val="20"/>
          <w:szCs w:val="20"/>
          <w:lang w:val="en-US" w:eastAsia="en-US"/>
        </w:rPr>
        <w:t>Article</w:t>
      </w:r>
      <w:r w:rsidR="006A16C8" w:rsidRPr="00012C3F">
        <w:rPr>
          <w:rFonts w:eastAsia="Calibri" w:cs="Arial"/>
          <w:sz w:val="20"/>
          <w:szCs w:val="20"/>
          <w:lang w:val="en-US" w:eastAsia="en-US"/>
        </w:rPr>
        <w:t xml:space="preserve"> </w:t>
      </w:r>
      <w:r w:rsidR="00DF71A5" w:rsidRPr="00012C3F">
        <w:rPr>
          <w:rFonts w:eastAsia="Calibri" w:cs="Arial"/>
          <w:sz w:val="20"/>
          <w:szCs w:val="20"/>
          <w:lang w:val="en-US" w:eastAsia="en-US"/>
        </w:rPr>
        <w:t>7(b)</w:t>
      </w:r>
      <w:r w:rsidR="001254DE" w:rsidRPr="00012C3F">
        <w:rPr>
          <w:rFonts w:eastAsia="Calibri" w:cs="Arial"/>
          <w:sz w:val="20"/>
          <w:szCs w:val="20"/>
          <w:lang w:val="en-US" w:eastAsia="en-US"/>
        </w:rPr>
        <w:t xml:space="preserve"> of the Convention</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of Belém</w:t>
      </w:r>
      <w:r w:rsidR="00502B43" w:rsidRPr="00012C3F">
        <w:rPr>
          <w:rFonts w:eastAsia="Calibri" w:cs="Arial"/>
          <w:sz w:val="20"/>
          <w:szCs w:val="20"/>
          <w:lang w:val="en-US" w:eastAsia="en-US"/>
        </w:rPr>
        <w:t xml:space="preserve"> do Pará </w:t>
      </w:r>
      <w:r w:rsidRPr="00012C3F">
        <w:rPr>
          <w:rFonts w:eastAsia="Calibri" w:cs="Arial"/>
          <w:sz w:val="20"/>
          <w:szCs w:val="20"/>
          <w:lang w:val="en-US" w:eastAsia="en-US"/>
        </w:rPr>
        <w:t xml:space="preserve">and, at the same time, a form of discrimination against </w:t>
      </w:r>
      <w:r w:rsidR="000E1C11" w:rsidRPr="00012C3F">
        <w:rPr>
          <w:rFonts w:eastAsia="Calibri" w:cs="Arial"/>
          <w:sz w:val="20"/>
          <w:szCs w:val="20"/>
          <w:lang w:val="en-US" w:eastAsia="en-US"/>
        </w:rPr>
        <w:t>I.V.</w:t>
      </w:r>
      <w:r w:rsidR="00502B43" w:rsidRPr="00012C3F">
        <w:rPr>
          <w:rFonts w:eastAsia="Calibri" w:cs="Arial"/>
          <w:sz w:val="20"/>
          <w:szCs w:val="20"/>
          <w:lang w:val="en-US" w:eastAsia="en-US"/>
        </w:rPr>
        <w:t>”</w:t>
      </w:r>
      <w:r w:rsidRPr="00012C3F">
        <w:rPr>
          <w:rFonts w:eastAsia="Calibri" w:cs="Arial"/>
          <w:sz w:val="20"/>
          <w:szCs w:val="20"/>
          <w:lang w:val="en-US" w:eastAsia="en-US"/>
        </w:rPr>
        <w:t xml:space="preserve"> It also considered “that the numerous delays and instances of negligence attributable to the Judiciary during the criminal proceedings regarding the sterilization performed on I.V., which resulted in the extinction of the criminal </w:t>
      </w:r>
      <w:r w:rsidR="00D2362D" w:rsidRPr="00012C3F">
        <w:rPr>
          <w:rFonts w:eastAsia="Calibri" w:cs="Arial"/>
          <w:sz w:val="20"/>
          <w:szCs w:val="20"/>
          <w:lang w:val="en-US" w:eastAsia="en-US"/>
        </w:rPr>
        <w:t>action</w:t>
      </w:r>
      <w:r w:rsidRPr="00012C3F">
        <w:rPr>
          <w:rFonts w:eastAsia="Calibri" w:cs="Arial"/>
          <w:sz w:val="20"/>
          <w:szCs w:val="20"/>
          <w:lang w:val="en-US" w:eastAsia="en-US"/>
        </w:rPr>
        <w:t xml:space="preserve">, violated the obligations established in paragraphs (f) and (g) of the said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7</w:t>
      </w:r>
      <w:r w:rsidR="001254DE" w:rsidRPr="00012C3F">
        <w:rPr>
          <w:rFonts w:eastAsia="Calibri" w:cs="Arial"/>
          <w:sz w:val="20"/>
          <w:szCs w:val="20"/>
          <w:lang w:val="en-US" w:eastAsia="en-US"/>
        </w:rPr>
        <w:t xml:space="preserve"> of the Convention</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of Belém</w:t>
      </w:r>
      <w:r w:rsidR="00502B43" w:rsidRPr="00012C3F">
        <w:rPr>
          <w:rFonts w:eastAsia="Calibri" w:cs="Arial"/>
          <w:sz w:val="20"/>
          <w:szCs w:val="20"/>
          <w:lang w:val="en-US" w:eastAsia="en-US"/>
        </w:rPr>
        <w:t xml:space="preserve"> do Pará</w:t>
      </w:r>
      <w:r w:rsidRPr="00012C3F">
        <w:rPr>
          <w:rFonts w:eastAsia="Calibri" w:cs="Arial"/>
          <w:sz w:val="20"/>
          <w:szCs w:val="20"/>
          <w:lang w:val="en-US" w:eastAsia="en-US"/>
        </w:rPr>
        <w:t>.</w:t>
      </w:r>
      <w:r w:rsidR="00502B43" w:rsidRPr="00012C3F">
        <w:rPr>
          <w:rFonts w:eastAsia="Calibri" w:cs="Arial"/>
          <w:sz w:val="20"/>
          <w:szCs w:val="20"/>
          <w:lang w:val="en-US" w:eastAsia="en-US"/>
        </w:rPr>
        <w:t>”</w:t>
      </w:r>
      <w:r w:rsidRPr="00012C3F">
        <w:rPr>
          <w:rFonts w:eastAsia="Calibri" w:cs="Arial"/>
          <w:sz w:val="20"/>
          <w:szCs w:val="20"/>
          <w:lang w:val="en-US" w:eastAsia="en-US"/>
        </w:rPr>
        <w:t xml:space="preserve"> On this basis, </w:t>
      </w:r>
      <w:r w:rsidR="001254DE" w:rsidRPr="00012C3F">
        <w:rPr>
          <w:rFonts w:eastAsia="Calibri" w:cs="Arial"/>
          <w:sz w:val="20"/>
          <w:szCs w:val="20"/>
          <w:lang w:val="en-US" w:eastAsia="en-US"/>
        </w:rPr>
        <w:t xml:space="preserve">the </w:t>
      </w:r>
      <w:r w:rsidR="00A84CA0" w:rsidRPr="00012C3F">
        <w:rPr>
          <w:rFonts w:eastAsia="Calibri" w:cs="Arial"/>
          <w:sz w:val="20"/>
          <w:szCs w:val="20"/>
          <w:lang w:val="en-US" w:eastAsia="en-US"/>
        </w:rPr>
        <w:t>Commission</w:t>
      </w:r>
      <w:r w:rsidR="00502B43" w:rsidRPr="00012C3F">
        <w:rPr>
          <w:rFonts w:eastAsia="Calibri" w:cs="Arial"/>
          <w:sz w:val="20"/>
          <w:szCs w:val="20"/>
          <w:lang w:val="en-US" w:eastAsia="en-US"/>
        </w:rPr>
        <w:t xml:space="preserve"> conclu</w:t>
      </w:r>
      <w:r w:rsidRPr="00012C3F">
        <w:rPr>
          <w:rFonts w:eastAsia="Calibri" w:cs="Arial"/>
          <w:sz w:val="20"/>
          <w:szCs w:val="20"/>
          <w:lang w:val="en-US" w:eastAsia="en-US"/>
        </w:rPr>
        <w:t>ded</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 xml:space="preserve">that, in this matter, the State violated the duty to refrain from any practice or act of violence against women, thereby contravening the obligations established in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7</w:t>
      </w:r>
      <w:r w:rsidR="001254DE" w:rsidRPr="00012C3F">
        <w:rPr>
          <w:rFonts w:eastAsia="Calibri" w:cs="Arial"/>
          <w:sz w:val="20"/>
          <w:szCs w:val="20"/>
          <w:lang w:val="en-US" w:eastAsia="en-US"/>
        </w:rPr>
        <w:t xml:space="preserve"> of the Convention</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of Belém</w:t>
      </w:r>
      <w:r w:rsidR="00502B43" w:rsidRPr="00012C3F">
        <w:rPr>
          <w:rFonts w:eastAsia="Calibri" w:cs="Arial"/>
          <w:sz w:val="20"/>
          <w:szCs w:val="20"/>
          <w:lang w:val="en-US" w:eastAsia="en-US"/>
        </w:rPr>
        <w:t xml:space="preserve"> do Pará,</w:t>
      </w:r>
      <w:r w:rsidR="005E5012" w:rsidRPr="00012C3F">
        <w:rPr>
          <w:rFonts w:eastAsia="Calibri" w:cs="Arial"/>
          <w:sz w:val="20"/>
          <w:szCs w:val="20"/>
          <w:lang w:val="en-US" w:eastAsia="en-US"/>
        </w:rPr>
        <w:t xml:space="preserve"> and</w:t>
      </w:r>
      <w:r w:rsidRPr="00012C3F">
        <w:rPr>
          <w:rFonts w:eastAsia="Calibri" w:cs="Arial"/>
          <w:sz w:val="20"/>
          <w:szCs w:val="20"/>
          <w:lang w:val="en-US" w:eastAsia="en-US"/>
        </w:rPr>
        <w:t xml:space="preserve"> failed to abide by its duty to act with the necessary due diligence to punish </w:t>
      </w:r>
      <w:r w:rsidR="00C06F01" w:rsidRPr="00012C3F">
        <w:rPr>
          <w:rFonts w:eastAsia="Calibri" w:cs="Arial"/>
          <w:sz w:val="20"/>
          <w:szCs w:val="20"/>
          <w:lang w:val="en-US" w:eastAsia="en-US"/>
        </w:rPr>
        <w:t xml:space="preserve">these </w:t>
      </w:r>
      <w:r w:rsidR="00D2362D" w:rsidRPr="00012C3F">
        <w:rPr>
          <w:rFonts w:eastAsia="Calibri" w:cs="Arial"/>
          <w:sz w:val="20"/>
          <w:szCs w:val="20"/>
          <w:lang w:val="en-US" w:eastAsia="en-US"/>
        </w:rPr>
        <w:t>kinds</w:t>
      </w:r>
      <w:r w:rsidRPr="00012C3F">
        <w:rPr>
          <w:rFonts w:eastAsia="Calibri" w:cs="Arial"/>
          <w:sz w:val="20"/>
          <w:szCs w:val="20"/>
          <w:lang w:val="en-US" w:eastAsia="en-US"/>
        </w:rPr>
        <w:t xml:space="preserve"> of act</w:t>
      </w:r>
      <w:r w:rsidR="00C06F01" w:rsidRPr="00012C3F">
        <w:rPr>
          <w:rFonts w:eastAsia="Calibri" w:cs="Arial"/>
          <w:sz w:val="20"/>
          <w:szCs w:val="20"/>
          <w:lang w:val="en-US" w:eastAsia="en-US"/>
        </w:rPr>
        <w:t>s</w:t>
      </w:r>
      <w:r w:rsidRPr="00012C3F">
        <w:rPr>
          <w:rFonts w:eastAsia="Calibri" w:cs="Arial"/>
          <w:sz w:val="20"/>
          <w:szCs w:val="20"/>
          <w:lang w:val="en-US" w:eastAsia="en-US"/>
        </w:rPr>
        <w:t>.”</w:t>
      </w:r>
      <w:r w:rsidR="005E5012" w:rsidRPr="00012C3F">
        <w:rPr>
          <w:rFonts w:eastAsia="Calibri" w:cs="Arial"/>
          <w:sz w:val="20"/>
          <w:szCs w:val="20"/>
          <w:lang w:val="en-US" w:eastAsia="en-US"/>
        </w:rPr>
        <w:t xml:space="preserve"> </w:t>
      </w:r>
    </w:p>
    <w:p w14:paraId="10E32253" w14:textId="77777777" w:rsidR="00502B43" w:rsidRPr="00012C3F" w:rsidRDefault="00502B43" w:rsidP="00B65FE0">
      <w:pPr>
        <w:widowControl/>
        <w:tabs>
          <w:tab w:val="left" w:pos="720"/>
        </w:tabs>
        <w:autoSpaceDE w:val="0"/>
        <w:autoSpaceDN w:val="0"/>
        <w:spacing w:line="240" w:lineRule="auto"/>
        <w:textAlignment w:val="auto"/>
        <w:rPr>
          <w:rFonts w:eastAsia="Calibri" w:cs="Arial"/>
          <w:sz w:val="20"/>
          <w:szCs w:val="20"/>
          <w:lang w:val="en-US" w:eastAsia="en-US"/>
        </w:rPr>
      </w:pPr>
    </w:p>
    <w:p w14:paraId="74A872FC" w14:textId="77777777" w:rsidR="00502B43" w:rsidRPr="00012C3F" w:rsidRDefault="00972ACF" w:rsidP="00B65FE0">
      <w:pPr>
        <w:numPr>
          <w:ilvl w:val="0"/>
          <w:numId w:val="5"/>
        </w:numPr>
        <w:tabs>
          <w:tab w:val="left" w:pos="720"/>
          <w:tab w:val="num" w:pos="12305"/>
        </w:tabs>
        <w:spacing w:line="240" w:lineRule="auto"/>
        <w:ind w:left="0" w:firstLine="0"/>
        <w:rPr>
          <w:rFonts w:eastAsia="Calibri" w:cs="Arial"/>
          <w:b/>
          <w:sz w:val="16"/>
          <w:szCs w:val="20"/>
          <w:lang w:val="en-US" w:eastAsia="en-US"/>
        </w:rPr>
      </w:pPr>
      <w:r w:rsidRPr="00012C3F">
        <w:rPr>
          <w:rFonts w:eastAsia="Calibri" w:cs="Arial"/>
          <w:sz w:val="20"/>
          <w:szCs w:val="20"/>
          <w:lang w:val="en-US" w:eastAsia="en-US"/>
        </w:rPr>
        <w:t>The</w:t>
      </w:r>
      <w:r w:rsidRPr="00012C3F">
        <w:rPr>
          <w:rFonts w:eastAsia="Calibri" w:cs="Arial"/>
          <w:b/>
          <w:bCs/>
          <w:i/>
          <w:iCs/>
          <w:sz w:val="20"/>
          <w:szCs w:val="20"/>
          <w:lang w:val="en-US" w:eastAsia="en-US"/>
        </w:rPr>
        <w:t xml:space="preserve"> representative</w:t>
      </w:r>
      <w:r w:rsidR="00502B43" w:rsidRPr="00012C3F">
        <w:rPr>
          <w:rFonts w:eastAsia="Calibri" w:cs="Arial"/>
          <w:sz w:val="20"/>
          <w:szCs w:val="20"/>
          <w:lang w:val="en-US" w:eastAsia="en-US"/>
        </w:rPr>
        <w:t xml:space="preserve"> </w:t>
      </w:r>
      <w:r w:rsidR="00D2362D" w:rsidRPr="00012C3F">
        <w:rPr>
          <w:rFonts w:eastAsia="MS Mincho"/>
          <w:sz w:val="20"/>
          <w:szCs w:val="20"/>
          <w:lang w:val="en-US"/>
        </w:rPr>
        <w:t>agreed with</w:t>
      </w:r>
      <w:r w:rsidR="00B65FE0" w:rsidRPr="00012C3F">
        <w:rPr>
          <w:rFonts w:eastAsia="MS Mincho"/>
          <w:sz w:val="20"/>
          <w:szCs w:val="20"/>
          <w:lang w:val="en-US"/>
        </w:rPr>
        <w:t xml:space="preserve"> the legal grounds and conclusions set forth by </w:t>
      </w:r>
      <w:r w:rsidR="001254DE" w:rsidRPr="00012C3F">
        <w:rPr>
          <w:rFonts w:eastAsia="Calibri" w:cs="Arial"/>
          <w:sz w:val="20"/>
          <w:szCs w:val="20"/>
          <w:lang w:val="en-US" w:eastAsia="en-US"/>
        </w:rPr>
        <w:t xml:space="preserve">the </w:t>
      </w:r>
      <w:r w:rsidR="00A84CA0" w:rsidRPr="00012C3F">
        <w:rPr>
          <w:rFonts w:eastAsia="Calibri" w:cs="Arial"/>
          <w:sz w:val="20"/>
          <w:szCs w:val="20"/>
          <w:lang w:val="en-US" w:eastAsia="en-US"/>
        </w:rPr>
        <w:t>Commission</w:t>
      </w:r>
      <w:r w:rsidR="00CC3CAA" w:rsidRPr="00012C3F">
        <w:rPr>
          <w:rFonts w:eastAsia="Calibri" w:cs="Arial"/>
          <w:sz w:val="20"/>
          <w:szCs w:val="20"/>
          <w:lang w:val="en-US" w:eastAsia="en-US"/>
        </w:rPr>
        <w:t xml:space="preserve"> </w:t>
      </w:r>
      <w:r w:rsidR="00B65FE0" w:rsidRPr="00012C3F">
        <w:rPr>
          <w:rFonts w:eastAsia="Calibri" w:cs="Arial"/>
          <w:sz w:val="20"/>
          <w:szCs w:val="20"/>
          <w:lang w:val="en-US" w:eastAsia="en-US"/>
        </w:rPr>
        <w:t xml:space="preserve">in </w:t>
      </w:r>
      <w:r w:rsidR="009D3EE9" w:rsidRPr="00012C3F">
        <w:rPr>
          <w:rFonts w:eastAsia="Calibri" w:cs="Arial"/>
          <w:sz w:val="20"/>
          <w:szCs w:val="20"/>
          <w:lang w:val="en-US" w:eastAsia="en-US"/>
        </w:rPr>
        <w:t>its</w:t>
      </w:r>
      <w:r w:rsidR="00CC3CAA" w:rsidRPr="00012C3F">
        <w:rPr>
          <w:rFonts w:eastAsia="Calibri" w:cs="Arial"/>
          <w:sz w:val="20"/>
          <w:szCs w:val="20"/>
          <w:lang w:val="en-US" w:eastAsia="en-US"/>
        </w:rPr>
        <w:t xml:space="preserve"> </w:t>
      </w:r>
      <w:r w:rsidR="00E00902" w:rsidRPr="00012C3F">
        <w:rPr>
          <w:rFonts w:eastAsia="Calibri" w:cs="Arial"/>
          <w:sz w:val="20"/>
          <w:szCs w:val="20"/>
          <w:lang w:val="en-US" w:eastAsia="en-US"/>
        </w:rPr>
        <w:t>Merits Report</w:t>
      </w:r>
      <w:r w:rsidR="00B65FE0" w:rsidRPr="00012C3F">
        <w:rPr>
          <w:rFonts w:eastAsia="Calibri" w:cs="Arial"/>
          <w:sz w:val="20"/>
          <w:szCs w:val="20"/>
          <w:lang w:val="en-US" w:eastAsia="en-US"/>
        </w:rPr>
        <w:t xml:space="preserve"> in relation to the violation </w:t>
      </w:r>
      <w:r w:rsidR="008A7A0F" w:rsidRPr="00012C3F">
        <w:rPr>
          <w:rFonts w:eastAsia="Calibri" w:cs="Arial"/>
          <w:sz w:val="20"/>
          <w:szCs w:val="20"/>
          <w:lang w:val="en-US" w:eastAsia="en-US"/>
        </w:rPr>
        <w:t>of Article</w:t>
      </w:r>
      <w:r w:rsidR="00502B43" w:rsidRPr="00012C3F">
        <w:rPr>
          <w:rFonts w:eastAsia="Calibri" w:cs="Arial"/>
          <w:sz w:val="20"/>
          <w:szCs w:val="20"/>
          <w:lang w:val="en-US" w:eastAsia="en-US"/>
        </w:rPr>
        <w:t xml:space="preserve"> 7 (a, b, c, f</w:t>
      </w:r>
      <w:r w:rsidR="005E5012" w:rsidRPr="00012C3F">
        <w:rPr>
          <w:rFonts w:eastAsia="Calibri" w:cs="Arial"/>
          <w:sz w:val="20"/>
          <w:szCs w:val="20"/>
          <w:lang w:val="en-US" w:eastAsia="en-US"/>
        </w:rPr>
        <w:t xml:space="preserve"> and </w:t>
      </w:r>
      <w:r w:rsidR="00502B43" w:rsidRPr="00012C3F">
        <w:rPr>
          <w:rFonts w:eastAsia="Calibri" w:cs="Arial"/>
          <w:sz w:val="20"/>
          <w:szCs w:val="20"/>
          <w:lang w:val="en-US" w:eastAsia="en-US"/>
        </w:rPr>
        <w:t>g)</w:t>
      </w:r>
      <w:r w:rsidR="001254DE" w:rsidRPr="00012C3F">
        <w:rPr>
          <w:rFonts w:eastAsia="Calibri" w:cs="Arial"/>
          <w:sz w:val="20"/>
          <w:szCs w:val="20"/>
          <w:lang w:val="en-US" w:eastAsia="en-US"/>
        </w:rPr>
        <w:t xml:space="preserve"> of the Convention</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of Belém</w:t>
      </w:r>
      <w:r w:rsidR="00502B43" w:rsidRPr="00012C3F">
        <w:rPr>
          <w:rFonts w:eastAsia="Calibri" w:cs="Arial"/>
          <w:sz w:val="20"/>
          <w:szCs w:val="20"/>
          <w:lang w:val="en-US" w:eastAsia="en-US"/>
        </w:rPr>
        <w:t xml:space="preserve"> do Pará.</w:t>
      </w:r>
      <w:r w:rsidR="00502B43" w:rsidRPr="00012C3F">
        <w:rPr>
          <w:rFonts w:eastAsia="Calibri" w:cs="Arial"/>
          <w:b/>
          <w:sz w:val="16"/>
          <w:szCs w:val="20"/>
          <w:lang w:val="en-US" w:eastAsia="en-US"/>
        </w:rPr>
        <w:t xml:space="preserve"> </w:t>
      </w:r>
    </w:p>
    <w:p w14:paraId="7D502D85" w14:textId="77777777" w:rsidR="00502B43" w:rsidRPr="00012C3F" w:rsidRDefault="00502B43" w:rsidP="00B65FE0">
      <w:pPr>
        <w:widowControl/>
        <w:tabs>
          <w:tab w:val="left" w:pos="720"/>
        </w:tabs>
        <w:autoSpaceDE w:val="0"/>
        <w:autoSpaceDN w:val="0"/>
        <w:spacing w:line="240" w:lineRule="auto"/>
        <w:textAlignment w:val="auto"/>
        <w:rPr>
          <w:rFonts w:eastAsia="Calibri" w:cs="Arial"/>
          <w:b/>
          <w:sz w:val="16"/>
          <w:szCs w:val="20"/>
          <w:lang w:val="en-US" w:eastAsia="en-US"/>
        </w:rPr>
      </w:pPr>
    </w:p>
    <w:p w14:paraId="07EF50D0" w14:textId="77777777" w:rsidR="00502B43" w:rsidRPr="00012C3F" w:rsidRDefault="009D3EE9" w:rsidP="00B65FE0">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Arial"/>
          <w:sz w:val="20"/>
          <w:szCs w:val="20"/>
          <w:lang w:val="en-US" w:eastAsia="en-US"/>
        </w:rPr>
        <w:t>With regard</w:t>
      </w:r>
      <w:r w:rsidR="00C06F01" w:rsidRPr="00012C3F">
        <w:rPr>
          <w:rFonts w:eastAsia="Calibri" w:cs="Arial"/>
          <w:sz w:val="20"/>
          <w:szCs w:val="20"/>
          <w:lang w:val="en-US" w:eastAsia="en-US"/>
        </w:rPr>
        <w:t xml:space="preserve"> to the obligation to act with due diligence to prevent, investigate and punish violence against women</w:t>
      </w:r>
      <w:r w:rsidR="00502B43" w:rsidRPr="00012C3F">
        <w:rPr>
          <w:rFonts w:eastAsia="Calibri" w:cs="Arial"/>
          <w:sz w:val="20"/>
          <w:szCs w:val="20"/>
          <w:lang w:val="en-US" w:eastAsia="en-US"/>
        </w:rPr>
        <w:t xml:space="preserve">, </w:t>
      </w:r>
      <w:r w:rsidR="00A84CA0" w:rsidRPr="00012C3F">
        <w:rPr>
          <w:rFonts w:eastAsia="Calibri" w:cs="Arial"/>
          <w:sz w:val="20"/>
          <w:szCs w:val="20"/>
          <w:lang w:val="en-US" w:eastAsia="en-US"/>
        </w:rPr>
        <w:t xml:space="preserve">the </w:t>
      </w:r>
      <w:r w:rsidR="00A84CA0" w:rsidRPr="00012C3F">
        <w:rPr>
          <w:rFonts w:eastAsia="Calibri" w:cs="Arial"/>
          <w:b/>
          <w:bCs/>
          <w:i/>
          <w:iCs/>
          <w:sz w:val="20"/>
          <w:szCs w:val="20"/>
          <w:lang w:val="en-US" w:eastAsia="en-US"/>
        </w:rPr>
        <w:t>State</w:t>
      </w:r>
      <w:r w:rsidR="00502B43" w:rsidRPr="00012C3F">
        <w:rPr>
          <w:rFonts w:eastAsia="Calibri" w:cs="Arial"/>
          <w:sz w:val="20"/>
          <w:szCs w:val="20"/>
          <w:lang w:val="en-US" w:eastAsia="en-US"/>
        </w:rPr>
        <w:t xml:space="preserve"> </w:t>
      </w:r>
      <w:r w:rsidR="00C06F01" w:rsidRPr="00012C3F">
        <w:rPr>
          <w:rFonts w:eastAsia="Calibri" w:cs="Arial"/>
          <w:sz w:val="20"/>
          <w:szCs w:val="20"/>
          <w:lang w:val="en-US" w:eastAsia="en-US"/>
        </w:rPr>
        <w:t>indicated that it</w:t>
      </w:r>
      <w:r w:rsidR="00502B43" w:rsidRPr="00012C3F">
        <w:rPr>
          <w:rFonts w:eastAsia="Calibri" w:cs="Arial"/>
          <w:sz w:val="20"/>
          <w:szCs w:val="20"/>
          <w:lang w:val="en-US" w:eastAsia="en-US"/>
        </w:rPr>
        <w:t xml:space="preserve"> </w:t>
      </w:r>
      <w:r w:rsidR="00C06F01" w:rsidRPr="00012C3F">
        <w:rPr>
          <w:rFonts w:eastAsia="Calibri" w:cs="Arial"/>
          <w:sz w:val="20"/>
          <w:szCs w:val="20"/>
          <w:lang w:val="en-US" w:eastAsia="en-US"/>
        </w:rPr>
        <w:t xml:space="preserve">had </w:t>
      </w:r>
      <w:r w:rsidR="00502B43" w:rsidRPr="00012C3F">
        <w:rPr>
          <w:rFonts w:eastAsia="Calibri" w:cs="Arial"/>
          <w:sz w:val="20"/>
          <w:szCs w:val="20"/>
          <w:lang w:val="en-US" w:eastAsia="en-US"/>
        </w:rPr>
        <w:t>“act</w:t>
      </w:r>
      <w:r w:rsidR="00C06F01" w:rsidRPr="00012C3F">
        <w:rPr>
          <w:rFonts w:eastAsia="Calibri" w:cs="Arial"/>
          <w:sz w:val="20"/>
          <w:szCs w:val="20"/>
          <w:lang w:val="en-US" w:eastAsia="en-US"/>
        </w:rPr>
        <w:t xml:space="preserve">ed with due diligence to prevent, investigate and punish the presumed violence against I.V., because she had been able to have recourse to the corresponding instances to assert her right” and it had “complied with its obligations established in Article 7(b) of the Convention, because in light of treaty-based law, the State had not promoted or consented to any type of violence against </w:t>
      </w:r>
      <w:r w:rsidR="000E1C11" w:rsidRPr="00012C3F">
        <w:rPr>
          <w:rFonts w:eastAsia="Calibri" w:cs="Arial"/>
          <w:sz w:val="20"/>
          <w:szCs w:val="20"/>
          <w:lang w:val="en-US" w:eastAsia="en-US"/>
        </w:rPr>
        <w:t>I.V.</w:t>
      </w:r>
      <w:r w:rsidR="00502B43" w:rsidRPr="00012C3F">
        <w:rPr>
          <w:rFonts w:eastAsia="Calibri" w:cs="Arial"/>
          <w:sz w:val="20"/>
          <w:szCs w:val="20"/>
          <w:lang w:val="en-US" w:eastAsia="en-US"/>
        </w:rPr>
        <w:t>”</w:t>
      </w:r>
    </w:p>
    <w:p w14:paraId="02FBFB08" w14:textId="77777777" w:rsidR="00502B43" w:rsidRPr="00012C3F" w:rsidRDefault="00502B43" w:rsidP="00502B43">
      <w:pPr>
        <w:widowControl/>
        <w:autoSpaceDE w:val="0"/>
        <w:autoSpaceDN w:val="0"/>
        <w:spacing w:line="240" w:lineRule="auto"/>
        <w:textAlignment w:val="auto"/>
        <w:rPr>
          <w:rFonts w:eastAsia="Calibri" w:cs="Arial"/>
          <w:sz w:val="20"/>
          <w:szCs w:val="20"/>
          <w:lang w:val="en-US" w:eastAsia="en-US"/>
        </w:rPr>
      </w:pPr>
    </w:p>
    <w:p w14:paraId="17DA0F9E" w14:textId="77777777" w:rsidR="00502B43" w:rsidRPr="00012C3F" w:rsidRDefault="00C06F01" w:rsidP="00C06F01">
      <w:pPr>
        <w:numPr>
          <w:ilvl w:val="0"/>
          <w:numId w:val="5"/>
        </w:numPr>
        <w:tabs>
          <w:tab w:val="left" w:pos="720"/>
          <w:tab w:val="num" w:pos="12305"/>
        </w:tabs>
        <w:spacing w:line="240" w:lineRule="auto"/>
        <w:ind w:left="0" w:firstLine="0"/>
        <w:rPr>
          <w:rFonts w:eastAsia="Calibri" w:cs="Arial"/>
          <w:b/>
          <w:sz w:val="16"/>
          <w:szCs w:val="16"/>
          <w:lang w:val="en-US" w:eastAsia="en-US"/>
        </w:rPr>
      </w:pPr>
      <w:r w:rsidRPr="00012C3F">
        <w:rPr>
          <w:rFonts w:eastAsia="Calibri" w:cs="Arial"/>
          <w:sz w:val="20"/>
          <w:szCs w:val="20"/>
          <w:lang w:val="en-US" w:eastAsia="en-US"/>
        </w:rPr>
        <w:lastRenderedPageBreak/>
        <w:t>Regarding the obligation to establish fair and effective legal procedures for women who have been subjected to violence, which include measures of protection, a prompt trial, and effective access to such proceedings and</w:t>
      </w:r>
      <w:r w:rsidR="00D2362D" w:rsidRPr="00012C3F">
        <w:rPr>
          <w:rFonts w:eastAsia="Calibri" w:cs="Arial"/>
          <w:sz w:val="20"/>
          <w:szCs w:val="20"/>
          <w:lang w:val="en-US" w:eastAsia="en-US"/>
        </w:rPr>
        <w:t xml:space="preserve"> also</w:t>
      </w:r>
      <w:r w:rsidRPr="00012C3F">
        <w:rPr>
          <w:rFonts w:eastAsia="Calibri" w:cs="Arial"/>
          <w:sz w:val="20"/>
          <w:szCs w:val="20"/>
          <w:lang w:val="en-US" w:eastAsia="en-US"/>
        </w:rPr>
        <w:t xml:space="preserve"> to establish the necessary administrative and judicial mechanisms to ensure that a woman who has been the subject of violence has effective access to redress, reparation of the harm, or other just and effective measures of compensation, the State observed that “using the appropriate remedies, at both the administrative and the judicial level, I.V. was able to assert her claims in accordance with the legal framework in force and, although the result was not favorable to her, this does not mean that the State had not provided adequate and effective remedies for her protection</w:t>
      </w:r>
      <w:r w:rsidR="00B13829" w:rsidRPr="00012C3F">
        <w:rPr>
          <w:rFonts w:eastAsia="Calibri" w:cs="Arial"/>
          <w:sz w:val="20"/>
          <w:szCs w:val="20"/>
          <w:lang w:val="en-US" w:eastAsia="en-US"/>
        </w:rPr>
        <w:t>; to the contrary, I.V. was provided with both ordinary and special remedies that she failed to file or exhaust.” Based on these considerations, the State concluded that it was not responsible for the alleged violation</w:t>
      </w:r>
      <w:r w:rsidR="00B13829" w:rsidRPr="00012C3F">
        <w:rPr>
          <w:rFonts w:eastAsia="Calibri" w:cs="Arial"/>
          <w:b/>
          <w:sz w:val="16"/>
          <w:szCs w:val="16"/>
          <w:lang w:val="en-US" w:eastAsia="en-US"/>
        </w:rPr>
        <w:t xml:space="preserve"> </w:t>
      </w:r>
      <w:r w:rsidR="008A7A0F" w:rsidRPr="00012C3F">
        <w:rPr>
          <w:rFonts w:eastAsia="Calibri" w:cs="Arial"/>
          <w:sz w:val="20"/>
          <w:szCs w:val="20"/>
          <w:lang w:val="en-US" w:eastAsia="en-US"/>
        </w:rPr>
        <w:t>of Article</w:t>
      </w:r>
      <w:r w:rsidR="00502B43" w:rsidRPr="00012C3F">
        <w:rPr>
          <w:rFonts w:eastAsia="Calibri" w:cs="Arial"/>
          <w:sz w:val="20"/>
          <w:szCs w:val="20"/>
          <w:lang w:val="en-US" w:eastAsia="en-US"/>
        </w:rPr>
        <w:t xml:space="preserve"> 7</w:t>
      </w:r>
      <w:r w:rsidR="001254DE" w:rsidRPr="00012C3F">
        <w:rPr>
          <w:rFonts w:eastAsia="Calibri" w:cs="Arial"/>
          <w:sz w:val="20"/>
          <w:szCs w:val="20"/>
          <w:lang w:val="en-US" w:eastAsia="en-US"/>
        </w:rPr>
        <w:t xml:space="preserve"> of the Convention</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of Belém</w:t>
      </w:r>
      <w:r w:rsidR="00502B43" w:rsidRPr="00012C3F">
        <w:rPr>
          <w:rFonts w:eastAsia="Calibri" w:cs="Arial"/>
          <w:sz w:val="20"/>
          <w:szCs w:val="20"/>
          <w:lang w:val="en-US" w:eastAsia="en-US"/>
        </w:rPr>
        <w:t xml:space="preserve"> do Pará, </w:t>
      </w:r>
      <w:r w:rsidR="00B13829" w:rsidRPr="00012C3F">
        <w:rPr>
          <w:rFonts w:eastAsia="Calibri" w:cs="Arial"/>
          <w:sz w:val="20"/>
          <w:szCs w:val="20"/>
          <w:lang w:val="en-US" w:eastAsia="en-US"/>
        </w:rPr>
        <w:t xml:space="preserve">because it had complied with its treaty-based obligations to protect women and, in particular, to ensure that I.V. had full </w:t>
      </w:r>
      <w:r w:rsidR="00A710F6" w:rsidRPr="00012C3F">
        <w:rPr>
          <w:rFonts w:eastAsia="Calibri" w:cs="Arial"/>
          <w:sz w:val="20"/>
          <w:szCs w:val="20"/>
          <w:lang w:val="en-US" w:eastAsia="en-US"/>
        </w:rPr>
        <w:t>access to justice</w:t>
      </w:r>
      <w:r w:rsidR="00502B43" w:rsidRPr="00012C3F">
        <w:rPr>
          <w:rFonts w:eastAsia="Calibri" w:cs="Arial"/>
          <w:sz w:val="20"/>
          <w:szCs w:val="20"/>
          <w:lang w:val="en-US" w:eastAsia="en-US"/>
        </w:rPr>
        <w:t>.</w:t>
      </w:r>
    </w:p>
    <w:p w14:paraId="2395CC3C" w14:textId="77777777" w:rsidR="00502B43" w:rsidRPr="00012C3F" w:rsidRDefault="00502B43" w:rsidP="00C06F01">
      <w:pPr>
        <w:tabs>
          <w:tab w:val="left" w:pos="720"/>
        </w:tabs>
        <w:spacing w:line="240" w:lineRule="auto"/>
        <w:rPr>
          <w:rFonts w:eastAsia="MS Mincho"/>
          <w:sz w:val="20"/>
          <w:szCs w:val="20"/>
          <w:lang w:val="en-US"/>
        </w:rPr>
      </w:pPr>
    </w:p>
    <w:p w14:paraId="44C8EE3E" w14:textId="77777777" w:rsidR="00502B43" w:rsidRPr="00012C3F" w:rsidRDefault="00502B43" w:rsidP="00C06F01">
      <w:pPr>
        <w:pStyle w:val="Ttulo2"/>
        <w:tabs>
          <w:tab w:val="left" w:pos="720"/>
          <w:tab w:val="left" w:pos="1701"/>
        </w:tabs>
        <w:spacing w:before="0" w:line="240" w:lineRule="auto"/>
        <w:ind w:left="1134"/>
        <w:rPr>
          <w:rFonts w:ascii="Verdana" w:hAnsi="Verdana"/>
          <w:b w:val="0"/>
          <w:i/>
          <w:color w:val="auto"/>
          <w:sz w:val="20"/>
          <w:szCs w:val="20"/>
          <w:lang w:val="en-US"/>
        </w:rPr>
      </w:pPr>
      <w:bookmarkStart w:id="171" w:name="_Toc461305146"/>
      <w:bookmarkStart w:id="172" w:name="_Toc27486880"/>
      <w:r w:rsidRPr="00012C3F">
        <w:rPr>
          <w:rFonts w:ascii="Verdana" w:hAnsi="Verdana"/>
          <w:b w:val="0"/>
          <w:i/>
          <w:color w:val="auto"/>
          <w:sz w:val="20"/>
          <w:szCs w:val="20"/>
          <w:lang w:val="en-US"/>
        </w:rPr>
        <w:t xml:space="preserve">A.3 </w:t>
      </w:r>
      <w:r w:rsidR="006A16C8"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Arguments on</w:t>
      </w:r>
      <w:r w:rsidRPr="00012C3F">
        <w:rPr>
          <w:rFonts w:ascii="Verdana" w:hAnsi="Verdana"/>
          <w:b w:val="0"/>
          <w:i/>
          <w:color w:val="auto"/>
          <w:sz w:val="20"/>
          <w:szCs w:val="20"/>
          <w:lang w:val="en-US"/>
        </w:rPr>
        <w:t xml:space="preserve"> </w:t>
      </w:r>
      <w:r w:rsidR="00A710F6" w:rsidRPr="00012C3F">
        <w:rPr>
          <w:rFonts w:ascii="Verdana" w:hAnsi="Verdana"/>
          <w:b w:val="0"/>
          <w:i/>
          <w:color w:val="auto"/>
          <w:sz w:val="20"/>
          <w:szCs w:val="20"/>
          <w:lang w:val="en-US"/>
        </w:rPr>
        <w:t>discrimination in access to justice</w:t>
      </w:r>
      <w:bookmarkEnd w:id="171"/>
      <w:bookmarkEnd w:id="172"/>
    </w:p>
    <w:p w14:paraId="6B688F32" w14:textId="77777777" w:rsidR="00502B43" w:rsidRPr="00012C3F" w:rsidRDefault="00502B43" w:rsidP="00C06F01">
      <w:pPr>
        <w:tabs>
          <w:tab w:val="left" w:pos="720"/>
        </w:tabs>
        <w:spacing w:line="240" w:lineRule="auto"/>
        <w:rPr>
          <w:rFonts w:eastAsia="MS Mincho"/>
          <w:sz w:val="20"/>
          <w:szCs w:val="20"/>
          <w:lang w:val="en-US"/>
        </w:rPr>
      </w:pPr>
    </w:p>
    <w:p w14:paraId="254A66BA" w14:textId="77777777" w:rsidR="00502B43" w:rsidRPr="00012C3F" w:rsidRDefault="00BD056C" w:rsidP="00C20A64">
      <w:pPr>
        <w:numPr>
          <w:ilvl w:val="0"/>
          <w:numId w:val="5"/>
        </w:numPr>
        <w:tabs>
          <w:tab w:val="left" w:pos="720"/>
          <w:tab w:val="num" w:pos="12305"/>
        </w:tabs>
        <w:spacing w:line="240" w:lineRule="auto"/>
        <w:ind w:left="0" w:firstLine="0"/>
        <w:rPr>
          <w:rFonts w:eastAsia="Calibri" w:cs="Arial"/>
          <w:b/>
          <w:sz w:val="16"/>
          <w:szCs w:val="20"/>
          <w:lang w:val="en-US" w:eastAsia="en-US"/>
        </w:rPr>
      </w:pPr>
      <w:r w:rsidRPr="00012C3F">
        <w:rPr>
          <w:rFonts w:eastAsia="Calibri" w:cs="Arial"/>
          <w:sz w:val="20"/>
          <w:szCs w:val="20"/>
          <w:lang w:val="en-US" w:eastAsia="en-US"/>
        </w:rPr>
        <w:t xml:space="preserve">The </w:t>
      </w:r>
      <w:r w:rsidRPr="00012C3F">
        <w:rPr>
          <w:rFonts w:eastAsia="Calibri" w:cs="Arial"/>
          <w:b/>
          <w:bCs/>
          <w:i/>
          <w:iCs/>
          <w:sz w:val="20"/>
          <w:szCs w:val="20"/>
          <w:lang w:val="en-US" w:eastAsia="en-US"/>
        </w:rPr>
        <w:t>Commission</w:t>
      </w:r>
      <w:r w:rsidR="00502B43" w:rsidRPr="00012C3F">
        <w:rPr>
          <w:rFonts w:eastAsia="Calibri" w:cs="Arial"/>
          <w:sz w:val="20"/>
          <w:szCs w:val="20"/>
          <w:lang w:val="en-US" w:eastAsia="en-US"/>
        </w:rPr>
        <w:t xml:space="preserve"> reiter</w:t>
      </w:r>
      <w:r w:rsidR="00C20A64" w:rsidRPr="00012C3F">
        <w:rPr>
          <w:rFonts w:eastAsia="Calibri" w:cs="Arial"/>
          <w:sz w:val="20"/>
          <w:szCs w:val="20"/>
          <w:lang w:val="en-US" w:eastAsia="en-US"/>
        </w:rPr>
        <w:t>ated that</w:t>
      </w:r>
      <w:r w:rsidR="00502B43" w:rsidRPr="00012C3F">
        <w:rPr>
          <w:rFonts w:eastAsia="Calibri" w:cs="Arial"/>
          <w:sz w:val="20"/>
          <w:szCs w:val="20"/>
          <w:lang w:val="en-US" w:eastAsia="en-US"/>
        </w:rPr>
        <w:t xml:space="preserve"> “</w:t>
      </w:r>
      <w:r w:rsidR="00C20A64" w:rsidRPr="00012C3F">
        <w:rPr>
          <w:rFonts w:eastAsia="Calibri" w:cs="Arial"/>
          <w:sz w:val="20"/>
          <w:szCs w:val="20"/>
          <w:lang w:val="en-US" w:eastAsia="en-US"/>
        </w:rPr>
        <w:t xml:space="preserve">States have a duty to guarantee appropriate </w:t>
      </w:r>
      <w:r w:rsidR="00D2362D" w:rsidRPr="00012C3F">
        <w:rPr>
          <w:rFonts w:eastAsia="Calibri" w:cs="Arial"/>
          <w:sz w:val="20"/>
          <w:szCs w:val="20"/>
          <w:lang w:val="en-US" w:eastAsia="en-US"/>
        </w:rPr>
        <w:t>a</w:t>
      </w:r>
      <w:r w:rsidR="00C20A64" w:rsidRPr="00012C3F">
        <w:rPr>
          <w:rFonts w:eastAsia="Calibri" w:cs="Arial"/>
          <w:sz w:val="20"/>
          <w:szCs w:val="20"/>
          <w:lang w:val="en-US" w:eastAsia="en-US"/>
        </w:rPr>
        <w:t>ccess to justice for women when any of their human rights are violated, including those relating to their sexual and reproductive health. There are two dimensions associated with this duty. The first is</w:t>
      </w:r>
      <w:r w:rsidR="00C20A64" w:rsidRPr="00012C3F">
        <w:rPr>
          <w:rFonts w:eastAsia="Calibri" w:cs="Arial"/>
          <w:b/>
          <w:sz w:val="16"/>
          <w:szCs w:val="20"/>
          <w:lang w:val="en-US" w:eastAsia="en-US"/>
        </w:rPr>
        <w:t xml:space="preserve"> </w:t>
      </w:r>
      <w:r w:rsidR="00C20A64" w:rsidRPr="00012C3F">
        <w:rPr>
          <w:rStyle w:val="Ttulo1Car"/>
          <w:b w:val="0"/>
          <w:caps w:val="0"/>
          <w:lang w:val="en-US"/>
        </w:rPr>
        <w:t>criminal sanctions when acts occur that may constitute a form of violence against women. […] A second dimension has to do with the need to address the causes and systemic flaws that gave rise to the human rights violation under review. The impunity of violations of women's rights – including their sexual and reproductive rights – constitutes a form of discrimination against them and undermines the obligation not to discriminate included in Article 1(1) of the American Convention.”</w:t>
      </w:r>
      <w:r w:rsidR="00C20A64" w:rsidRPr="00012C3F">
        <w:rPr>
          <w:rFonts w:eastAsia="Calibri" w:cs="Arial"/>
          <w:b/>
          <w:sz w:val="16"/>
          <w:szCs w:val="20"/>
          <w:lang w:val="en-US" w:eastAsia="en-US"/>
        </w:rPr>
        <w:t xml:space="preserve"> </w:t>
      </w:r>
      <w:r w:rsidR="00C20A64" w:rsidRPr="00012C3F">
        <w:rPr>
          <w:rFonts w:eastAsia="Calibri" w:cs="Arial"/>
          <w:sz w:val="20"/>
          <w:szCs w:val="20"/>
          <w:lang w:val="en-US" w:eastAsia="en-US"/>
        </w:rPr>
        <w:t>Consequently, i</w:t>
      </w:r>
      <w:r w:rsidR="006C705C" w:rsidRPr="00012C3F">
        <w:rPr>
          <w:rFonts w:eastAsia="Calibri" w:cs="Arial"/>
          <w:sz w:val="20"/>
          <w:szCs w:val="20"/>
          <w:lang w:val="en-US" w:eastAsia="en-US"/>
        </w:rPr>
        <w:t>n this case</w:t>
      </w:r>
      <w:r w:rsidR="00502B43" w:rsidRPr="00012C3F">
        <w:rPr>
          <w:rFonts w:eastAsia="Calibri" w:cs="Arial"/>
          <w:sz w:val="20"/>
          <w:szCs w:val="20"/>
          <w:lang w:val="en-US" w:eastAsia="en-US"/>
        </w:rPr>
        <w:t xml:space="preserve">, </w:t>
      </w:r>
      <w:r w:rsidR="001254DE" w:rsidRPr="00012C3F">
        <w:rPr>
          <w:rFonts w:eastAsia="Calibri" w:cs="Arial"/>
          <w:sz w:val="20"/>
          <w:szCs w:val="20"/>
          <w:lang w:val="en-US" w:eastAsia="en-US"/>
        </w:rPr>
        <w:t xml:space="preserve">the </w:t>
      </w:r>
      <w:r w:rsidR="00A84CA0" w:rsidRPr="00012C3F">
        <w:rPr>
          <w:rFonts w:eastAsia="Calibri" w:cs="Arial"/>
          <w:sz w:val="20"/>
          <w:szCs w:val="20"/>
          <w:lang w:val="en-US" w:eastAsia="en-US"/>
        </w:rPr>
        <w:t>Commission</w:t>
      </w:r>
      <w:r w:rsidR="00502B43" w:rsidRPr="00012C3F">
        <w:rPr>
          <w:rFonts w:eastAsia="Calibri" w:cs="Arial"/>
          <w:sz w:val="20"/>
          <w:szCs w:val="20"/>
          <w:lang w:val="en-US" w:eastAsia="en-US"/>
        </w:rPr>
        <w:t xml:space="preserve"> </w:t>
      </w:r>
      <w:r w:rsidR="00C20A64" w:rsidRPr="00012C3F">
        <w:rPr>
          <w:rFonts w:eastAsia="Calibri" w:cs="Arial"/>
          <w:sz w:val="20"/>
          <w:szCs w:val="20"/>
          <w:lang w:val="en-US" w:eastAsia="en-US"/>
        </w:rPr>
        <w:t>argued that</w:t>
      </w:r>
      <w:r w:rsidR="00502B43" w:rsidRPr="00012C3F">
        <w:rPr>
          <w:rFonts w:eastAsia="Calibri" w:cs="Arial"/>
          <w:sz w:val="20"/>
          <w:szCs w:val="20"/>
          <w:lang w:val="en-US" w:eastAsia="en-US"/>
        </w:rPr>
        <w:t xml:space="preserve"> “</w:t>
      </w:r>
      <w:r w:rsidR="00C20A64" w:rsidRPr="00012C3F">
        <w:rPr>
          <w:rStyle w:val="Ttulo1Car"/>
          <w:b w:val="0"/>
          <w:caps w:val="0"/>
          <w:lang w:val="en-US"/>
        </w:rPr>
        <w:t>the denial of justice for I.V. derived from procedural deficiencies during the criminal proceedings, and the fact that the violations of her human rights, including her reproductive rights, went unpunished, constituted a form of discrimination in the exercise of her rights to judicial guarantees and judicial protection</w:t>
      </w:r>
      <w:r w:rsidR="00502B43" w:rsidRPr="00012C3F">
        <w:rPr>
          <w:rFonts w:eastAsia="Calibri" w:cs="Arial"/>
          <w:sz w:val="20"/>
          <w:szCs w:val="20"/>
          <w:lang w:val="en-US" w:eastAsia="en-US"/>
        </w:rPr>
        <w:t>.</w:t>
      </w:r>
      <w:r w:rsidR="00C20A64" w:rsidRPr="00012C3F">
        <w:rPr>
          <w:rFonts w:eastAsia="Calibri" w:cs="Arial"/>
          <w:sz w:val="20"/>
          <w:szCs w:val="20"/>
          <w:lang w:val="en-US" w:eastAsia="en-US"/>
        </w:rPr>
        <w:t>”</w:t>
      </w:r>
    </w:p>
    <w:p w14:paraId="3253C743" w14:textId="77777777" w:rsidR="00502B43" w:rsidRPr="00012C3F" w:rsidRDefault="00502B43" w:rsidP="00502B43">
      <w:pPr>
        <w:widowControl/>
        <w:autoSpaceDE w:val="0"/>
        <w:autoSpaceDN w:val="0"/>
        <w:spacing w:line="240" w:lineRule="auto"/>
        <w:textAlignment w:val="auto"/>
        <w:rPr>
          <w:rFonts w:eastAsia="Calibri" w:cs="Arial"/>
          <w:sz w:val="20"/>
          <w:szCs w:val="20"/>
          <w:lang w:val="en-US" w:eastAsia="en-US"/>
        </w:rPr>
      </w:pPr>
    </w:p>
    <w:p w14:paraId="53101913" w14:textId="77777777" w:rsidR="00A30508" w:rsidRPr="00012C3F" w:rsidRDefault="00972ACF" w:rsidP="003848FD">
      <w:pPr>
        <w:numPr>
          <w:ilvl w:val="0"/>
          <w:numId w:val="5"/>
        </w:numPr>
        <w:tabs>
          <w:tab w:val="left" w:pos="720"/>
          <w:tab w:val="num" w:pos="12305"/>
        </w:tabs>
        <w:spacing w:line="240" w:lineRule="auto"/>
        <w:ind w:left="0" w:firstLine="0"/>
        <w:rPr>
          <w:rFonts w:eastAsia="Calibri" w:cs="Arial"/>
          <w:sz w:val="20"/>
          <w:szCs w:val="20"/>
          <w:lang w:val="en-US" w:eastAsia="en-US"/>
        </w:rPr>
      </w:pPr>
      <w:r w:rsidRPr="00012C3F">
        <w:rPr>
          <w:rFonts w:eastAsia="Calibri" w:cs="Arial"/>
          <w:sz w:val="20"/>
          <w:szCs w:val="20"/>
          <w:lang w:val="en-US" w:eastAsia="en-US"/>
        </w:rPr>
        <w:t xml:space="preserve">The </w:t>
      </w:r>
      <w:r w:rsidRPr="00012C3F">
        <w:rPr>
          <w:rFonts w:eastAsia="Calibri" w:cs="Arial"/>
          <w:b/>
          <w:bCs/>
          <w:i/>
          <w:iCs/>
          <w:sz w:val="20"/>
          <w:szCs w:val="20"/>
          <w:lang w:val="en-US" w:eastAsia="en-US"/>
        </w:rPr>
        <w:t>representative</w:t>
      </w:r>
      <w:r w:rsidR="00502B43" w:rsidRPr="00012C3F">
        <w:rPr>
          <w:rFonts w:eastAsia="Calibri" w:cs="Arial"/>
          <w:sz w:val="20"/>
          <w:szCs w:val="20"/>
          <w:lang w:val="en-US" w:eastAsia="en-US"/>
        </w:rPr>
        <w:t xml:space="preserve"> indic</w:t>
      </w:r>
      <w:r w:rsidR="00C20A64" w:rsidRPr="00012C3F">
        <w:rPr>
          <w:rFonts w:eastAsia="Calibri" w:cs="Arial"/>
          <w:sz w:val="20"/>
          <w:szCs w:val="20"/>
          <w:lang w:val="en-US" w:eastAsia="en-US"/>
        </w:rPr>
        <w:t>ated that the element</w:t>
      </w:r>
      <w:r w:rsidR="003A3EF8" w:rsidRPr="00012C3F">
        <w:rPr>
          <w:rFonts w:eastAsia="Calibri" w:cs="Arial"/>
          <w:sz w:val="20"/>
          <w:szCs w:val="20"/>
          <w:lang w:val="en-US" w:eastAsia="en-US"/>
        </w:rPr>
        <w:t>s</w:t>
      </w:r>
      <w:r w:rsidR="00C20A64" w:rsidRPr="00012C3F">
        <w:rPr>
          <w:rFonts w:eastAsia="Calibri" w:cs="Arial"/>
          <w:sz w:val="20"/>
          <w:szCs w:val="20"/>
          <w:lang w:val="en-US" w:eastAsia="en-US"/>
        </w:rPr>
        <w:t xml:space="preserve"> described in </w:t>
      </w:r>
      <w:r w:rsidR="001254DE" w:rsidRPr="00012C3F">
        <w:rPr>
          <w:rFonts w:eastAsia="Calibri" w:cs="Arial"/>
          <w:sz w:val="20"/>
          <w:szCs w:val="20"/>
          <w:lang w:val="en-US" w:eastAsia="en-US"/>
        </w:rPr>
        <w:t xml:space="preserve">the Inter-American </w:t>
      </w:r>
      <w:r w:rsidR="00A84CA0" w:rsidRPr="00012C3F">
        <w:rPr>
          <w:rFonts w:eastAsia="Calibri" w:cs="Arial"/>
          <w:sz w:val="20"/>
          <w:szCs w:val="20"/>
          <w:lang w:val="en-US" w:eastAsia="en-US"/>
        </w:rPr>
        <w:t>Commission</w:t>
      </w:r>
      <w:r w:rsidR="00C20A64" w:rsidRPr="00012C3F">
        <w:rPr>
          <w:rFonts w:eastAsia="Calibri" w:cs="Arial"/>
          <w:sz w:val="20"/>
          <w:szCs w:val="20"/>
          <w:lang w:val="en-US" w:eastAsia="en-US"/>
        </w:rPr>
        <w:t>’s report on</w:t>
      </w:r>
      <w:r w:rsidR="00502B43" w:rsidRPr="00012C3F">
        <w:rPr>
          <w:rFonts w:eastAsia="Calibri" w:cs="Arial"/>
          <w:sz w:val="20"/>
          <w:szCs w:val="20"/>
          <w:lang w:val="en-US" w:eastAsia="en-US"/>
        </w:rPr>
        <w:t xml:space="preserve"> “</w:t>
      </w:r>
      <w:r w:rsidR="00A710F6" w:rsidRPr="00012C3F">
        <w:rPr>
          <w:rFonts w:eastAsia="Calibri" w:cs="Arial"/>
          <w:sz w:val="20"/>
          <w:szCs w:val="20"/>
          <w:lang w:val="en-US" w:eastAsia="en-US"/>
        </w:rPr>
        <w:t xml:space="preserve">Access to </w:t>
      </w:r>
      <w:r w:rsidR="00C20A64" w:rsidRPr="00012C3F">
        <w:rPr>
          <w:rFonts w:eastAsia="Calibri" w:cs="Arial"/>
          <w:sz w:val="20"/>
          <w:szCs w:val="20"/>
          <w:lang w:val="en-US" w:eastAsia="en-US"/>
        </w:rPr>
        <w:t>J</w:t>
      </w:r>
      <w:r w:rsidR="00A710F6" w:rsidRPr="00012C3F">
        <w:rPr>
          <w:rFonts w:eastAsia="Calibri" w:cs="Arial"/>
          <w:sz w:val="20"/>
          <w:szCs w:val="20"/>
          <w:lang w:val="en-US" w:eastAsia="en-US"/>
        </w:rPr>
        <w:t>ustice</w:t>
      </w:r>
      <w:r w:rsidR="00502B43" w:rsidRPr="00012C3F">
        <w:rPr>
          <w:rFonts w:eastAsia="Calibri" w:cs="Arial"/>
          <w:sz w:val="20"/>
          <w:szCs w:val="20"/>
          <w:lang w:val="en-US" w:eastAsia="en-US"/>
        </w:rPr>
        <w:t xml:space="preserve"> </w:t>
      </w:r>
      <w:r w:rsidR="00C20A64" w:rsidRPr="00012C3F">
        <w:rPr>
          <w:rFonts w:eastAsia="Calibri" w:cs="Arial"/>
          <w:sz w:val="20"/>
          <w:szCs w:val="20"/>
          <w:lang w:val="en-US" w:eastAsia="en-US"/>
        </w:rPr>
        <w:t xml:space="preserve">for Women Victims of </w:t>
      </w:r>
      <w:r w:rsidR="00502B43" w:rsidRPr="00012C3F">
        <w:rPr>
          <w:rFonts w:eastAsia="Calibri" w:cs="Arial"/>
          <w:sz w:val="20"/>
          <w:szCs w:val="20"/>
          <w:lang w:val="en-US" w:eastAsia="en-US"/>
        </w:rPr>
        <w:t>Violenc</w:t>
      </w:r>
      <w:r w:rsidR="00C20A64" w:rsidRPr="00012C3F">
        <w:rPr>
          <w:rFonts w:eastAsia="Calibri" w:cs="Arial"/>
          <w:sz w:val="20"/>
          <w:szCs w:val="20"/>
          <w:lang w:val="en-US" w:eastAsia="en-US"/>
        </w:rPr>
        <w:t>e in the Americas</w:t>
      </w:r>
      <w:r w:rsidR="003A3EF8" w:rsidRPr="00012C3F">
        <w:rPr>
          <w:rFonts w:eastAsia="Calibri" w:cs="Arial"/>
          <w:sz w:val="20"/>
          <w:szCs w:val="20"/>
          <w:lang w:val="en-US" w:eastAsia="en-US"/>
        </w:rPr>
        <w:t>,</w:t>
      </w:r>
      <w:r w:rsidR="00C20A64" w:rsidRPr="00012C3F">
        <w:rPr>
          <w:rFonts w:eastAsia="Calibri" w:cs="Arial"/>
          <w:sz w:val="20"/>
          <w:szCs w:val="20"/>
          <w:lang w:val="en-US" w:eastAsia="en-US"/>
        </w:rPr>
        <w:t xml:space="preserve">” </w:t>
      </w:r>
      <w:r w:rsidR="003A3EF8" w:rsidRPr="00012C3F">
        <w:rPr>
          <w:rFonts w:eastAsia="Calibri" w:cs="Arial"/>
          <w:sz w:val="20"/>
          <w:szCs w:val="20"/>
          <w:lang w:val="en-US" w:eastAsia="en-US"/>
        </w:rPr>
        <w:t>which “reflect […] open gender-based discrimination against women, characterized the investigations and the criminal proceedings against those who wronged I.V., and resulted in promoting total impunity.” She argued that “[t]he violations of</w:t>
      </w:r>
      <w:r w:rsidR="00502B43" w:rsidRPr="00012C3F">
        <w:rPr>
          <w:rFonts w:eastAsia="Calibri" w:cs="Arial"/>
          <w:sz w:val="20"/>
          <w:szCs w:val="20"/>
          <w:lang w:val="en-US" w:eastAsia="en-US"/>
        </w:rPr>
        <w:t xml:space="preserve">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s] 8</w:t>
      </w:r>
      <w:r w:rsidR="005E5012" w:rsidRPr="00012C3F">
        <w:rPr>
          <w:rFonts w:eastAsia="Calibri" w:cs="Arial"/>
          <w:sz w:val="20"/>
          <w:szCs w:val="20"/>
          <w:lang w:val="en-US" w:eastAsia="en-US"/>
        </w:rPr>
        <w:t xml:space="preserve"> and </w:t>
      </w:r>
      <w:r w:rsidR="00502B43" w:rsidRPr="00012C3F">
        <w:rPr>
          <w:rFonts w:eastAsia="Calibri" w:cs="Arial"/>
          <w:sz w:val="20"/>
          <w:szCs w:val="20"/>
          <w:lang w:val="en-US" w:eastAsia="en-US"/>
        </w:rPr>
        <w:t>25</w:t>
      </w:r>
      <w:r w:rsidR="001254DE" w:rsidRPr="00012C3F">
        <w:rPr>
          <w:rFonts w:eastAsia="Calibri" w:cs="Arial"/>
          <w:sz w:val="20"/>
          <w:szCs w:val="20"/>
          <w:lang w:val="en-US" w:eastAsia="en-US"/>
        </w:rPr>
        <w:t xml:space="preserve"> of the American Convention</w:t>
      </w:r>
      <w:r w:rsidR="00502B43" w:rsidRPr="00012C3F">
        <w:rPr>
          <w:rFonts w:eastAsia="Calibri" w:cs="Arial"/>
          <w:sz w:val="20"/>
          <w:szCs w:val="20"/>
          <w:lang w:val="en-US" w:eastAsia="en-US"/>
        </w:rPr>
        <w:t xml:space="preserve"> </w:t>
      </w:r>
      <w:r w:rsidR="003A3EF8" w:rsidRPr="00012C3F">
        <w:rPr>
          <w:rFonts w:eastAsia="Calibri" w:cs="Arial"/>
          <w:sz w:val="20"/>
          <w:szCs w:val="20"/>
          <w:lang w:val="en-US" w:eastAsia="en-US"/>
        </w:rPr>
        <w:t>established by</w:t>
      </w:r>
      <w:r w:rsidR="00502B43" w:rsidRPr="00012C3F">
        <w:rPr>
          <w:rFonts w:eastAsia="Calibri" w:cs="Arial"/>
          <w:sz w:val="20"/>
          <w:szCs w:val="20"/>
          <w:lang w:val="en-US" w:eastAsia="en-US"/>
        </w:rPr>
        <w:t xml:space="preserve"> </w:t>
      </w:r>
      <w:r w:rsidR="001254DE" w:rsidRPr="00012C3F">
        <w:rPr>
          <w:rFonts w:eastAsia="Calibri" w:cs="Arial"/>
          <w:sz w:val="20"/>
          <w:szCs w:val="20"/>
          <w:lang w:val="en-US" w:eastAsia="en-US"/>
        </w:rPr>
        <w:t xml:space="preserve">the </w:t>
      </w:r>
      <w:r w:rsidR="00A84CA0" w:rsidRPr="00012C3F">
        <w:rPr>
          <w:rFonts w:eastAsia="Calibri" w:cs="Arial"/>
          <w:sz w:val="20"/>
          <w:szCs w:val="20"/>
          <w:lang w:val="en-US" w:eastAsia="en-US"/>
        </w:rPr>
        <w:t>Commission</w:t>
      </w:r>
      <w:r w:rsidR="00502B43" w:rsidRPr="00012C3F">
        <w:rPr>
          <w:rFonts w:eastAsia="Calibri" w:cs="Arial"/>
          <w:sz w:val="20"/>
          <w:szCs w:val="20"/>
          <w:lang w:val="en-US" w:eastAsia="en-US"/>
        </w:rPr>
        <w:t xml:space="preserve"> </w:t>
      </w:r>
      <w:r w:rsidR="003A3EF8" w:rsidRPr="00012C3F">
        <w:rPr>
          <w:rFonts w:eastAsia="Calibri" w:cs="Arial"/>
          <w:sz w:val="20"/>
          <w:szCs w:val="20"/>
          <w:lang w:val="en-US" w:eastAsia="en-US"/>
        </w:rPr>
        <w:t>in</w:t>
      </w:r>
      <w:r w:rsidR="00502B43" w:rsidRPr="00012C3F">
        <w:rPr>
          <w:rFonts w:eastAsia="Calibri" w:cs="Arial"/>
          <w:sz w:val="20"/>
          <w:szCs w:val="20"/>
          <w:lang w:val="en-US" w:eastAsia="en-US"/>
        </w:rPr>
        <w:t xml:space="preserve"> </w:t>
      </w:r>
      <w:r w:rsidR="00E00902" w:rsidRPr="00012C3F">
        <w:rPr>
          <w:rFonts w:eastAsia="Calibri" w:cs="Arial"/>
          <w:sz w:val="20"/>
          <w:szCs w:val="20"/>
          <w:lang w:val="en-US" w:eastAsia="en-US"/>
        </w:rPr>
        <w:t>Merits Report</w:t>
      </w:r>
      <w:r w:rsidR="00502B43" w:rsidRPr="00012C3F">
        <w:rPr>
          <w:rFonts w:eastAsia="Calibri" w:cs="Arial"/>
          <w:sz w:val="20"/>
          <w:szCs w:val="20"/>
          <w:lang w:val="en-US" w:eastAsia="en-US"/>
        </w:rPr>
        <w:t xml:space="preserve"> 72/14 </w:t>
      </w:r>
      <w:r w:rsidR="003A3EF8" w:rsidRPr="00012C3F">
        <w:rPr>
          <w:rFonts w:eastAsia="Calibri" w:cs="Arial"/>
          <w:sz w:val="20"/>
          <w:szCs w:val="20"/>
          <w:lang w:val="en-US" w:eastAsia="en-US"/>
        </w:rPr>
        <w:t>are</w:t>
      </w:r>
      <w:r w:rsidR="00502B43" w:rsidRPr="00012C3F">
        <w:rPr>
          <w:rFonts w:eastAsia="Calibri" w:cs="Arial"/>
          <w:sz w:val="20"/>
          <w:szCs w:val="20"/>
          <w:lang w:val="en-US" w:eastAsia="en-US"/>
        </w:rPr>
        <w:t xml:space="preserve"> ‘</w:t>
      </w:r>
      <w:r w:rsidR="003A3EF8" w:rsidRPr="00012C3F">
        <w:rPr>
          <w:rFonts w:eastAsia="Calibri" w:cs="Arial"/>
          <w:sz w:val="20"/>
          <w:szCs w:val="20"/>
          <w:lang w:val="en-US" w:eastAsia="en-US"/>
        </w:rPr>
        <w:t>the result’</w:t>
      </w:r>
      <w:r w:rsidR="00502B43" w:rsidRPr="00012C3F">
        <w:rPr>
          <w:rFonts w:eastAsia="Calibri" w:cs="Arial"/>
          <w:sz w:val="20"/>
          <w:szCs w:val="20"/>
          <w:lang w:val="en-US" w:eastAsia="en-US"/>
        </w:rPr>
        <w:t xml:space="preserve"> </w:t>
      </w:r>
      <w:r w:rsidR="003A3EF8" w:rsidRPr="00012C3F">
        <w:rPr>
          <w:rFonts w:eastAsia="Calibri" w:cs="Arial"/>
          <w:sz w:val="20"/>
          <w:szCs w:val="20"/>
          <w:lang w:val="en-US" w:eastAsia="en-US"/>
        </w:rPr>
        <w:t>of the perverse c</w:t>
      </w:r>
      <w:r w:rsidR="006C705C" w:rsidRPr="00012C3F">
        <w:rPr>
          <w:rFonts w:eastAsia="Calibri" w:cs="Arial"/>
          <w:sz w:val="20"/>
          <w:szCs w:val="20"/>
          <w:lang w:val="en-US" w:eastAsia="en-US"/>
        </w:rPr>
        <w:t>riminal proceedings</w:t>
      </w:r>
      <w:r w:rsidR="00502B43" w:rsidRPr="00012C3F">
        <w:rPr>
          <w:rFonts w:eastAsia="Calibri" w:cs="Arial"/>
          <w:sz w:val="20"/>
          <w:szCs w:val="20"/>
          <w:lang w:val="en-US" w:eastAsia="en-US"/>
        </w:rPr>
        <w:t xml:space="preserve"> </w:t>
      </w:r>
      <w:r w:rsidR="003A3EF8" w:rsidRPr="00012C3F">
        <w:rPr>
          <w:rFonts w:eastAsia="Calibri" w:cs="Arial"/>
          <w:sz w:val="20"/>
          <w:szCs w:val="20"/>
          <w:lang w:val="en-US" w:eastAsia="en-US"/>
        </w:rPr>
        <w:t xml:space="preserve">by which I.V. tried to obtain justice, but ‘the reason’ for that result […] was […] the gender-based discrimination against her and her modest financial </w:t>
      </w:r>
      <w:r w:rsidR="00D2362D" w:rsidRPr="00012C3F">
        <w:rPr>
          <w:rFonts w:eastAsia="Calibri" w:cs="Arial"/>
          <w:sz w:val="20"/>
          <w:szCs w:val="20"/>
          <w:lang w:val="en-US" w:eastAsia="en-US"/>
        </w:rPr>
        <w:t>situation</w:t>
      </w:r>
      <w:r w:rsidR="003A3EF8" w:rsidRPr="00012C3F">
        <w:rPr>
          <w:rFonts w:eastAsia="Calibri" w:cs="Arial"/>
          <w:sz w:val="20"/>
          <w:szCs w:val="20"/>
          <w:lang w:val="en-US" w:eastAsia="en-US"/>
        </w:rPr>
        <w:t>.” She noted that “neither at the domestic level, nor before the [Commission], had the State contested th</w:t>
      </w:r>
      <w:r w:rsidR="00D2362D" w:rsidRPr="00012C3F">
        <w:rPr>
          <w:rFonts w:eastAsia="Calibri" w:cs="Arial"/>
          <w:sz w:val="20"/>
          <w:szCs w:val="20"/>
          <w:lang w:val="en-US" w:eastAsia="en-US"/>
        </w:rPr>
        <w:t>e</w:t>
      </w:r>
      <w:r w:rsidR="003A3EF8" w:rsidRPr="00012C3F">
        <w:rPr>
          <w:rFonts w:eastAsia="Calibri" w:cs="Arial"/>
          <w:sz w:val="20"/>
          <w:szCs w:val="20"/>
          <w:lang w:val="en-US" w:eastAsia="en-US"/>
        </w:rPr>
        <w:t xml:space="preserve"> fact that the judicial guarantee</w:t>
      </w:r>
      <w:r w:rsidR="00D2362D" w:rsidRPr="00012C3F">
        <w:rPr>
          <w:rFonts w:eastAsia="Calibri" w:cs="Arial"/>
          <w:sz w:val="20"/>
          <w:szCs w:val="20"/>
          <w:lang w:val="en-US" w:eastAsia="en-US"/>
        </w:rPr>
        <w:t>s</w:t>
      </w:r>
      <w:r w:rsidR="003A3EF8" w:rsidRPr="00012C3F">
        <w:rPr>
          <w:rFonts w:eastAsia="Calibri" w:cs="Arial"/>
          <w:sz w:val="20"/>
          <w:szCs w:val="20"/>
          <w:lang w:val="en-US" w:eastAsia="en-US"/>
        </w:rPr>
        <w:t xml:space="preserve"> of a reasonable time </w:t>
      </w:r>
      <w:r w:rsidR="00D2362D" w:rsidRPr="00012C3F">
        <w:rPr>
          <w:rFonts w:eastAsia="Calibri" w:cs="Arial"/>
          <w:sz w:val="20"/>
          <w:szCs w:val="20"/>
          <w:lang w:val="en-US" w:eastAsia="en-US"/>
        </w:rPr>
        <w:t>and</w:t>
      </w:r>
      <w:r w:rsidR="003A3EF8" w:rsidRPr="00012C3F">
        <w:rPr>
          <w:rFonts w:eastAsia="Calibri" w:cs="Arial"/>
          <w:sz w:val="20"/>
          <w:szCs w:val="20"/>
          <w:lang w:val="en-US" w:eastAsia="en-US"/>
        </w:rPr>
        <w:t xml:space="preserve"> the celerity that judicial proceedings should respect had been violated </w:t>
      </w:r>
      <w:r w:rsidR="005E5012" w:rsidRPr="00012C3F">
        <w:rPr>
          <w:rFonts w:eastAsia="Calibri" w:cs="Arial"/>
          <w:sz w:val="20"/>
          <w:szCs w:val="20"/>
          <w:lang w:val="en-US" w:eastAsia="en-US"/>
        </w:rPr>
        <w:t>to the detriment of</w:t>
      </w:r>
      <w:r w:rsidR="00502B43" w:rsidRPr="00012C3F">
        <w:rPr>
          <w:rFonts w:eastAsia="Calibri" w:cs="Arial"/>
          <w:sz w:val="20"/>
          <w:szCs w:val="20"/>
          <w:lang w:val="en-US" w:eastAsia="en-US"/>
        </w:rPr>
        <w:t xml:space="preserve"> </w:t>
      </w:r>
      <w:r w:rsidR="000E1C11" w:rsidRPr="00012C3F">
        <w:rPr>
          <w:rFonts w:eastAsia="Calibri" w:cs="Arial"/>
          <w:sz w:val="20"/>
          <w:szCs w:val="20"/>
          <w:lang w:val="en-US" w:eastAsia="en-US"/>
        </w:rPr>
        <w:t>I.V.</w:t>
      </w:r>
      <w:r w:rsidR="00502B43" w:rsidRPr="00012C3F">
        <w:rPr>
          <w:rFonts w:eastAsia="Calibri" w:cs="Arial"/>
          <w:sz w:val="20"/>
          <w:szCs w:val="20"/>
          <w:lang w:val="en-US" w:eastAsia="en-US"/>
        </w:rPr>
        <w:t>”</w:t>
      </w:r>
      <w:r w:rsidR="003A3EF8" w:rsidRPr="00012C3F">
        <w:rPr>
          <w:rFonts w:eastAsia="Calibri" w:cs="Arial"/>
          <w:sz w:val="20"/>
          <w:szCs w:val="20"/>
          <w:lang w:val="en-US" w:eastAsia="en-US"/>
        </w:rPr>
        <w:t xml:space="preserve"> In this regard, she argued that the mere fact that the criminal proceedings had been archived in the domestic sphere because it had lasted more than the three years established by the </w:t>
      </w:r>
      <w:r w:rsidR="003848FD" w:rsidRPr="00012C3F">
        <w:rPr>
          <w:rFonts w:eastAsia="Calibri" w:cs="Arial"/>
          <w:sz w:val="20"/>
          <w:szCs w:val="20"/>
          <w:lang w:val="en-US" w:eastAsia="en-US"/>
        </w:rPr>
        <w:t xml:space="preserve">code of criminal procedure, and that responsibility for this extinction of the criminal action and termination of the proceedings had been attributed by the </w:t>
      </w:r>
      <w:r w:rsidR="00493EFF" w:rsidRPr="00012C3F">
        <w:rPr>
          <w:rFonts w:eastAsia="Calibri" w:cs="Arial"/>
          <w:sz w:val="20"/>
          <w:szCs w:val="20"/>
          <w:lang w:val="en-US" w:eastAsia="en-US"/>
        </w:rPr>
        <w:t>Judiciary</w:t>
      </w:r>
      <w:r w:rsidR="003848FD" w:rsidRPr="00012C3F">
        <w:rPr>
          <w:rFonts w:eastAsia="Calibri" w:cs="Arial"/>
          <w:sz w:val="20"/>
          <w:szCs w:val="20"/>
          <w:lang w:val="en-US" w:eastAsia="en-US"/>
        </w:rPr>
        <w:t xml:space="preserve"> itself to the organs of the Bolivian criminal justice system, “exempts the victim and her representatives from having to provide further evidence to prove a fact that has been amply proved (and confessed).” She indicated that “[t]he indifference towards I.V.‘s case is reflected perfectly in the two judicial decisions mentioned previously </w:t>
      </w:r>
      <w:r w:rsidR="00502B43" w:rsidRPr="00012C3F">
        <w:rPr>
          <w:rFonts w:eastAsia="Calibri" w:cs="Arial"/>
          <w:sz w:val="20"/>
          <w:szCs w:val="20"/>
          <w:lang w:val="en-US" w:eastAsia="en-US"/>
        </w:rPr>
        <w:t>(</w:t>
      </w:r>
      <w:r w:rsidR="003848FD" w:rsidRPr="00012C3F">
        <w:rPr>
          <w:rFonts w:eastAsia="Calibri" w:cs="Arial"/>
          <w:sz w:val="20"/>
          <w:szCs w:val="20"/>
          <w:lang w:val="en-US" w:eastAsia="en-US"/>
        </w:rPr>
        <w:t>Ruling No. 13/06</w:t>
      </w:r>
      <w:r w:rsidR="00502B43" w:rsidRPr="00012C3F">
        <w:rPr>
          <w:rFonts w:eastAsia="Calibri" w:cs="Arial"/>
          <w:sz w:val="20"/>
          <w:szCs w:val="20"/>
          <w:lang w:val="en-US" w:eastAsia="en-US"/>
        </w:rPr>
        <w:t xml:space="preserve"> </w:t>
      </w:r>
      <w:r w:rsidR="003848FD" w:rsidRPr="00012C3F">
        <w:rPr>
          <w:rFonts w:eastAsia="Calibri" w:cs="Arial"/>
          <w:sz w:val="20"/>
          <w:szCs w:val="20"/>
          <w:lang w:val="en-US" w:eastAsia="en-US"/>
        </w:rPr>
        <w:t xml:space="preserve">of the Fourth Criminal Trial Court </w:t>
      </w:r>
      <w:r w:rsidR="005E5012" w:rsidRPr="00012C3F">
        <w:rPr>
          <w:rFonts w:eastAsia="Calibri" w:cs="Arial"/>
          <w:sz w:val="20"/>
          <w:szCs w:val="20"/>
          <w:lang w:val="en-US" w:eastAsia="en-US"/>
        </w:rPr>
        <w:t xml:space="preserve">and </w:t>
      </w:r>
      <w:r w:rsidR="003848FD" w:rsidRPr="00012C3F">
        <w:rPr>
          <w:rFonts w:eastAsia="Calibri" w:cs="Arial"/>
          <w:sz w:val="20"/>
          <w:szCs w:val="20"/>
          <w:lang w:val="en-US" w:eastAsia="en-US"/>
        </w:rPr>
        <w:t>Ruling No. 514/06</w:t>
      </w:r>
      <w:r w:rsidR="00502B43" w:rsidRPr="00012C3F">
        <w:rPr>
          <w:rFonts w:eastAsia="Calibri" w:cs="Arial"/>
          <w:sz w:val="20"/>
          <w:szCs w:val="20"/>
          <w:lang w:val="en-US" w:eastAsia="en-US"/>
        </w:rPr>
        <w:t xml:space="preserve"> </w:t>
      </w:r>
      <w:r w:rsidR="003848FD" w:rsidRPr="00012C3F">
        <w:rPr>
          <w:rFonts w:eastAsia="Calibri" w:cs="Arial"/>
          <w:sz w:val="20"/>
          <w:szCs w:val="20"/>
          <w:lang w:val="en-US" w:eastAsia="en-US"/>
        </w:rPr>
        <w:t>of</w:t>
      </w:r>
      <w:r w:rsidR="00502B43" w:rsidRPr="00012C3F">
        <w:rPr>
          <w:rFonts w:eastAsia="Calibri" w:cs="Arial"/>
          <w:sz w:val="20"/>
          <w:szCs w:val="20"/>
          <w:lang w:val="en-US" w:eastAsia="en-US"/>
        </w:rPr>
        <w:t xml:space="preserve"> </w:t>
      </w:r>
      <w:r w:rsidR="002D178D" w:rsidRPr="00012C3F">
        <w:rPr>
          <w:rFonts w:eastAsia="Calibri" w:cs="Arial"/>
          <w:sz w:val="20"/>
          <w:szCs w:val="20"/>
          <w:lang w:val="en-US" w:eastAsia="en-US"/>
        </w:rPr>
        <w:t>the First Criminal Chamber</w:t>
      </w:r>
      <w:r w:rsidR="001254DE" w:rsidRPr="00012C3F">
        <w:rPr>
          <w:rFonts w:eastAsia="Calibri" w:cs="Arial"/>
          <w:sz w:val="20"/>
          <w:szCs w:val="20"/>
          <w:lang w:val="en-US" w:eastAsia="en-US"/>
        </w:rPr>
        <w:t xml:space="preserve"> of the </w:t>
      </w:r>
      <w:r w:rsidR="00280806" w:rsidRPr="00012C3F">
        <w:rPr>
          <w:rFonts w:eastAsia="Calibri" w:cs="Arial"/>
          <w:sz w:val="20"/>
          <w:szCs w:val="20"/>
          <w:lang w:val="en-US" w:eastAsia="en-US"/>
        </w:rPr>
        <w:t>La Paz Superior Court of Justice</w:t>
      </w:r>
      <w:r w:rsidR="00502B43" w:rsidRPr="00012C3F">
        <w:rPr>
          <w:rFonts w:eastAsia="Calibri" w:cs="Arial"/>
          <w:sz w:val="20"/>
          <w:szCs w:val="20"/>
          <w:lang w:val="en-US" w:eastAsia="en-US"/>
        </w:rPr>
        <w:t xml:space="preserve">), </w:t>
      </w:r>
      <w:r w:rsidR="00A30508" w:rsidRPr="00012C3F">
        <w:rPr>
          <w:rFonts w:eastAsia="Calibri" w:cs="Arial"/>
          <w:sz w:val="20"/>
          <w:szCs w:val="20"/>
          <w:lang w:val="en-US" w:eastAsia="en-US"/>
        </w:rPr>
        <w:t xml:space="preserve">which refer to the </w:t>
      </w:r>
      <w:r w:rsidR="00502B43" w:rsidRPr="00012C3F">
        <w:rPr>
          <w:rFonts w:eastAsia="Calibri" w:cs="Arial"/>
          <w:sz w:val="20"/>
          <w:szCs w:val="20"/>
          <w:lang w:val="en-US" w:eastAsia="en-US"/>
        </w:rPr>
        <w:t>‘</w:t>
      </w:r>
      <w:r w:rsidR="00A30508" w:rsidRPr="00012C3F">
        <w:rPr>
          <w:rFonts w:eastAsia="Calibri" w:cs="Arial"/>
          <w:sz w:val="20"/>
          <w:szCs w:val="20"/>
          <w:lang w:val="en-US" w:eastAsia="en-US"/>
        </w:rPr>
        <w:t>lack of action’ of the agents of justice who failed to give priority to the case for ‘trivial reasons</w:t>
      </w:r>
      <w:r w:rsidR="00502B43" w:rsidRPr="00012C3F">
        <w:rPr>
          <w:rFonts w:eastAsia="Calibri" w:cs="Arial"/>
          <w:sz w:val="20"/>
          <w:szCs w:val="20"/>
          <w:lang w:val="en-US" w:eastAsia="en-US"/>
        </w:rPr>
        <w:t>,</w:t>
      </w:r>
      <w:r w:rsidR="00A30508" w:rsidRPr="00012C3F">
        <w:rPr>
          <w:rFonts w:eastAsia="Calibri" w:cs="Arial"/>
          <w:sz w:val="20"/>
          <w:szCs w:val="20"/>
          <w:lang w:val="en-US" w:eastAsia="en-US"/>
        </w:rPr>
        <w:t>’</w:t>
      </w:r>
      <w:r w:rsidR="00502B43" w:rsidRPr="00012C3F">
        <w:rPr>
          <w:rFonts w:eastAsia="Calibri" w:cs="Arial"/>
          <w:sz w:val="20"/>
          <w:szCs w:val="20"/>
          <w:lang w:val="en-US" w:eastAsia="en-US"/>
        </w:rPr>
        <w:t xml:space="preserve"> </w:t>
      </w:r>
      <w:r w:rsidR="00A30508" w:rsidRPr="00012C3F">
        <w:rPr>
          <w:rFonts w:eastAsia="Calibri" w:cs="Arial"/>
          <w:sz w:val="20"/>
          <w:szCs w:val="20"/>
          <w:lang w:val="en-US" w:eastAsia="en-US"/>
        </w:rPr>
        <w:t>that were</w:t>
      </w:r>
      <w:r w:rsidR="00502B43" w:rsidRPr="00012C3F">
        <w:rPr>
          <w:rFonts w:eastAsia="Calibri" w:cs="Arial"/>
          <w:sz w:val="20"/>
          <w:szCs w:val="20"/>
          <w:lang w:val="en-US" w:eastAsia="en-US"/>
        </w:rPr>
        <w:t xml:space="preserve"> ‘deficient’</w:t>
      </w:r>
      <w:r w:rsidR="005E5012" w:rsidRPr="00012C3F">
        <w:rPr>
          <w:rFonts w:eastAsia="Calibri" w:cs="Arial"/>
          <w:sz w:val="20"/>
          <w:szCs w:val="20"/>
          <w:lang w:val="en-US" w:eastAsia="en-US"/>
        </w:rPr>
        <w:t xml:space="preserve"> and </w:t>
      </w:r>
      <w:r w:rsidR="00A30508" w:rsidRPr="00012C3F">
        <w:rPr>
          <w:rFonts w:eastAsia="Calibri" w:cs="Arial"/>
          <w:sz w:val="20"/>
          <w:szCs w:val="20"/>
          <w:lang w:val="en-US" w:eastAsia="en-US"/>
        </w:rPr>
        <w:t>that</w:t>
      </w:r>
      <w:r w:rsidR="00502B43" w:rsidRPr="00012C3F">
        <w:rPr>
          <w:rFonts w:eastAsia="Calibri" w:cs="Arial"/>
          <w:sz w:val="20"/>
          <w:szCs w:val="20"/>
          <w:lang w:val="en-US" w:eastAsia="en-US"/>
        </w:rPr>
        <w:t xml:space="preserve"> ‘</w:t>
      </w:r>
      <w:r w:rsidR="00750097" w:rsidRPr="00012C3F">
        <w:rPr>
          <w:rFonts w:eastAsia="Calibri" w:cs="Arial"/>
          <w:sz w:val="20"/>
          <w:szCs w:val="20"/>
          <w:lang w:val="en-US" w:eastAsia="en-US"/>
        </w:rPr>
        <w:t>played around</w:t>
      </w:r>
      <w:r w:rsidR="00A30508" w:rsidRPr="00012C3F">
        <w:rPr>
          <w:rFonts w:eastAsia="Calibri" w:cs="Arial"/>
          <w:sz w:val="20"/>
          <w:szCs w:val="20"/>
          <w:lang w:val="en-US" w:eastAsia="en-US"/>
        </w:rPr>
        <w:t xml:space="preserve"> with the law.</w:t>
      </w:r>
      <w:r w:rsidR="00502B43" w:rsidRPr="00012C3F">
        <w:rPr>
          <w:rFonts w:eastAsia="Calibri" w:cs="Arial"/>
          <w:sz w:val="20"/>
          <w:szCs w:val="20"/>
          <w:lang w:val="en-US" w:eastAsia="en-US"/>
        </w:rPr>
        <w:t xml:space="preserve">” </w:t>
      </w:r>
      <w:r w:rsidR="00A30508" w:rsidRPr="00012C3F">
        <w:rPr>
          <w:rFonts w:eastAsia="Calibri" w:cs="Arial"/>
          <w:sz w:val="20"/>
          <w:szCs w:val="20"/>
          <w:lang w:val="en-US" w:eastAsia="en-US"/>
        </w:rPr>
        <w:t xml:space="preserve">She added that “[a]nother inconceivable </w:t>
      </w:r>
      <w:r w:rsidR="00493EFF" w:rsidRPr="00012C3F">
        <w:rPr>
          <w:rFonts w:eastAsia="Calibri" w:cs="Arial"/>
          <w:sz w:val="20"/>
          <w:szCs w:val="20"/>
          <w:lang w:val="en-US" w:eastAsia="en-US"/>
        </w:rPr>
        <w:t>f</w:t>
      </w:r>
      <w:r w:rsidR="00A30508" w:rsidRPr="00012C3F">
        <w:rPr>
          <w:rFonts w:eastAsia="Calibri" w:cs="Arial"/>
          <w:sz w:val="20"/>
          <w:szCs w:val="20"/>
          <w:lang w:val="en-US" w:eastAsia="en-US"/>
        </w:rPr>
        <w:t xml:space="preserve">act” was that, given that the offense of forced sterilization had not been criminalized at the time, the criminal charges were filed for the offense of “severe injuries”; however, in the second criminal trial, the Copacabana Trial Court convicted the </w:t>
      </w:r>
      <w:r w:rsidR="00A30508" w:rsidRPr="00012C3F">
        <w:rPr>
          <w:rFonts w:eastAsia="Calibri" w:cs="Arial"/>
          <w:sz w:val="20"/>
          <w:szCs w:val="20"/>
          <w:lang w:val="en-US" w:eastAsia="en-US"/>
        </w:rPr>
        <w:lastRenderedPageBreak/>
        <w:t>physician of the offense of culpable injury, sentencing him to a fine,</w:t>
      </w:r>
      <w:r w:rsidR="00750097" w:rsidRPr="00012C3F">
        <w:rPr>
          <w:rFonts w:eastAsia="Calibri" w:cs="Arial"/>
          <w:sz w:val="20"/>
          <w:szCs w:val="20"/>
          <w:lang w:val="en-US" w:eastAsia="en-US"/>
        </w:rPr>
        <w:t xml:space="preserve"> rather than to imprisonment, which in the representative’s opinion revealed “I.V., discredited victim, woman without credibility, and offense reduced to the very minimum.” </w:t>
      </w:r>
    </w:p>
    <w:p w14:paraId="2B9ECF89" w14:textId="77777777" w:rsidR="00502B43" w:rsidRPr="00012C3F" w:rsidRDefault="00502B43" w:rsidP="00502B43">
      <w:pPr>
        <w:widowControl/>
        <w:autoSpaceDE w:val="0"/>
        <w:autoSpaceDN w:val="0"/>
        <w:spacing w:line="240" w:lineRule="auto"/>
        <w:textAlignment w:val="auto"/>
        <w:rPr>
          <w:rFonts w:eastAsia="Calibri" w:cs="Arial"/>
          <w:sz w:val="20"/>
          <w:szCs w:val="20"/>
          <w:lang w:val="en-US" w:eastAsia="en-US"/>
        </w:rPr>
      </w:pPr>
    </w:p>
    <w:p w14:paraId="068C8840" w14:textId="77777777" w:rsidR="00F46A6E" w:rsidRPr="00012C3F" w:rsidRDefault="00750097" w:rsidP="00750097">
      <w:pPr>
        <w:numPr>
          <w:ilvl w:val="0"/>
          <w:numId w:val="5"/>
        </w:numPr>
        <w:tabs>
          <w:tab w:val="left" w:pos="720"/>
          <w:tab w:val="num" w:pos="12305"/>
        </w:tabs>
        <w:spacing w:line="240" w:lineRule="auto"/>
        <w:ind w:left="0" w:firstLine="0"/>
        <w:rPr>
          <w:rFonts w:eastAsia="Calibri" w:cs="Arial"/>
          <w:b/>
          <w:sz w:val="18"/>
          <w:szCs w:val="20"/>
          <w:lang w:val="en-US" w:eastAsia="en-US"/>
        </w:rPr>
      </w:pPr>
      <w:r w:rsidRPr="00012C3F">
        <w:rPr>
          <w:rFonts w:eastAsia="Calibri" w:cs="Arial"/>
          <w:sz w:val="20"/>
          <w:szCs w:val="20"/>
          <w:lang w:val="en-US" w:eastAsia="en-US"/>
        </w:rPr>
        <w:t xml:space="preserve">She indicated that, in addition to the gender-based discrimination, “the agents of justice who took part in I.V.’s proceedings were deficient, ineffective and played around with the law, because they considered the victim to be woman with few financial resources and, therefore, doubly vulnerable, doubly discriminable, and doubly victim.” Accordingly, she concluded that the relationship between the provisions </w:t>
      </w:r>
      <w:r w:rsidR="001254DE" w:rsidRPr="00012C3F">
        <w:rPr>
          <w:rFonts w:eastAsia="Calibri" w:cs="Arial"/>
          <w:sz w:val="20"/>
          <w:szCs w:val="20"/>
          <w:lang w:val="en-US" w:eastAsia="en-US"/>
        </w:rPr>
        <w:t>of the American Convention</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violat</w:t>
      </w:r>
      <w:r w:rsidR="00493EFF" w:rsidRPr="00012C3F">
        <w:rPr>
          <w:rFonts w:eastAsia="Calibri" w:cs="Arial"/>
          <w:sz w:val="20"/>
          <w:szCs w:val="20"/>
          <w:lang w:val="en-US" w:eastAsia="en-US"/>
        </w:rPr>
        <w:t>ed</w:t>
      </w:r>
      <w:r w:rsidRPr="00012C3F">
        <w:rPr>
          <w:rFonts w:eastAsia="Calibri" w:cs="Arial"/>
          <w:sz w:val="20"/>
          <w:szCs w:val="20"/>
          <w:lang w:val="en-US" w:eastAsia="en-US"/>
        </w:rPr>
        <w:t xml:space="preserve"> in this case and</w:t>
      </w:r>
      <w:r w:rsidR="00502B43" w:rsidRPr="00012C3F">
        <w:rPr>
          <w:rFonts w:eastAsia="Calibri" w:cs="Arial"/>
          <w:sz w:val="20"/>
          <w:szCs w:val="20"/>
          <w:lang w:val="en-US" w:eastAsia="en-US"/>
        </w:rPr>
        <w:t xml:space="preserve"> </w:t>
      </w:r>
      <w:r w:rsidR="001254DE" w:rsidRPr="00012C3F">
        <w:rPr>
          <w:rFonts w:eastAsia="Calibri" w:cs="Arial"/>
          <w:sz w:val="20"/>
          <w:szCs w:val="20"/>
          <w:lang w:val="en-US" w:eastAsia="en-US"/>
        </w:rPr>
        <w:t>Article</w:t>
      </w:r>
      <w:r w:rsidR="00502B43" w:rsidRPr="00012C3F">
        <w:rPr>
          <w:rFonts w:eastAsia="Calibri" w:cs="Arial"/>
          <w:sz w:val="20"/>
          <w:szCs w:val="20"/>
          <w:lang w:val="en-US" w:eastAsia="en-US"/>
        </w:rPr>
        <w:t xml:space="preserve"> </w:t>
      </w:r>
      <w:r w:rsidR="005E5012" w:rsidRPr="00012C3F">
        <w:rPr>
          <w:rFonts w:eastAsia="Calibri" w:cs="Arial"/>
          <w:sz w:val="20"/>
          <w:szCs w:val="20"/>
          <w:lang w:val="en-US" w:eastAsia="en-US"/>
        </w:rPr>
        <w:t>1(1)</w:t>
      </w:r>
      <w:r w:rsidR="0093185C" w:rsidRPr="00012C3F">
        <w:rPr>
          <w:rFonts w:eastAsia="Calibri" w:cs="Arial"/>
          <w:sz w:val="20"/>
          <w:szCs w:val="20"/>
          <w:lang w:val="en-US" w:eastAsia="en-US"/>
        </w:rPr>
        <w:t xml:space="preserve"> </w:t>
      </w:r>
      <w:r w:rsidR="006C705C" w:rsidRPr="00012C3F">
        <w:rPr>
          <w:rFonts w:eastAsia="Calibri" w:cs="Arial"/>
          <w:sz w:val="20"/>
          <w:szCs w:val="20"/>
          <w:lang w:val="en-US" w:eastAsia="en-US"/>
        </w:rPr>
        <w:t>of this instrument</w:t>
      </w:r>
      <w:r w:rsidR="00502B43" w:rsidRPr="00012C3F">
        <w:rPr>
          <w:rFonts w:eastAsia="Calibri" w:cs="Arial"/>
          <w:sz w:val="20"/>
          <w:szCs w:val="20"/>
          <w:lang w:val="en-US" w:eastAsia="en-US"/>
        </w:rPr>
        <w:t xml:space="preserve"> </w:t>
      </w:r>
      <w:r w:rsidRPr="00012C3F">
        <w:rPr>
          <w:rFonts w:eastAsia="Calibri" w:cs="Arial"/>
          <w:sz w:val="20"/>
          <w:szCs w:val="20"/>
          <w:lang w:val="en-US" w:eastAsia="en-US"/>
        </w:rPr>
        <w:t>should necessarily take into account the reasons that led the different Stat</w:t>
      </w:r>
      <w:r w:rsidR="00F46A6E" w:rsidRPr="00012C3F">
        <w:rPr>
          <w:rFonts w:eastAsia="Calibri" w:cs="Arial"/>
          <w:sz w:val="20"/>
          <w:szCs w:val="20"/>
          <w:lang w:val="en-US" w:eastAsia="en-US"/>
        </w:rPr>
        <w:t>e</w:t>
      </w:r>
      <w:r w:rsidRPr="00012C3F">
        <w:rPr>
          <w:rFonts w:eastAsia="Calibri" w:cs="Arial"/>
          <w:sz w:val="20"/>
          <w:szCs w:val="20"/>
          <w:lang w:val="en-US" w:eastAsia="en-US"/>
        </w:rPr>
        <w:t xml:space="preserve"> agents to violate each of the rights that were </w:t>
      </w:r>
      <w:r w:rsidR="00493EFF" w:rsidRPr="00012C3F">
        <w:rPr>
          <w:rFonts w:eastAsia="Calibri" w:cs="Arial"/>
          <w:sz w:val="20"/>
          <w:szCs w:val="20"/>
          <w:lang w:val="en-US" w:eastAsia="en-US"/>
        </w:rPr>
        <w:t>infringed</w:t>
      </w:r>
      <w:r w:rsidR="00F46A6E" w:rsidRPr="00012C3F">
        <w:rPr>
          <w:rFonts w:eastAsia="Calibri" w:cs="Arial"/>
          <w:sz w:val="20"/>
          <w:szCs w:val="20"/>
          <w:lang w:val="en-US" w:eastAsia="en-US"/>
        </w:rPr>
        <w:t xml:space="preserve"> in the case of I.V. On this basis, she asked that the Court, in its judgment, for each article of the Convention that Bolivia had violated, note its connection to Article 1(1) of the American Convention comprehensively; in other words, also stressing the discriminatory nature of each violation, discrimination based on sex, gender, economic </w:t>
      </w:r>
      <w:r w:rsidR="00212DA0" w:rsidRPr="00012C3F">
        <w:rPr>
          <w:rFonts w:eastAsia="Calibri" w:cs="Arial"/>
          <w:sz w:val="20"/>
          <w:szCs w:val="20"/>
          <w:lang w:val="en-US" w:eastAsia="en-US"/>
        </w:rPr>
        <w:t>status</w:t>
      </w:r>
      <w:r w:rsidR="00F46A6E" w:rsidRPr="00012C3F">
        <w:rPr>
          <w:rFonts w:eastAsia="Calibri" w:cs="Arial"/>
          <w:sz w:val="20"/>
          <w:szCs w:val="20"/>
          <w:lang w:val="en-US" w:eastAsia="en-US"/>
        </w:rPr>
        <w:t xml:space="preserve">, national origin and refugee status (as </w:t>
      </w:r>
      <w:r w:rsidR="00493EFF" w:rsidRPr="00012C3F">
        <w:rPr>
          <w:rFonts w:eastAsia="Calibri" w:cs="Arial"/>
          <w:sz w:val="20"/>
          <w:szCs w:val="20"/>
          <w:lang w:val="en-US" w:eastAsia="en-US"/>
        </w:rPr>
        <w:t>“</w:t>
      </w:r>
      <w:r w:rsidR="00F46A6E" w:rsidRPr="00012C3F">
        <w:rPr>
          <w:rFonts w:eastAsia="Calibri" w:cs="Arial"/>
          <w:sz w:val="20"/>
          <w:szCs w:val="20"/>
          <w:lang w:val="en-US" w:eastAsia="en-US"/>
        </w:rPr>
        <w:t>any other social condition</w:t>
      </w:r>
      <w:r w:rsidR="00493EFF" w:rsidRPr="00012C3F">
        <w:rPr>
          <w:rFonts w:eastAsia="Calibri" w:cs="Arial"/>
          <w:sz w:val="20"/>
          <w:szCs w:val="20"/>
          <w:lang w:val="en-US" w:eastAsia="en-US"/>
        </w:rPr>
        <w:t>”</w:t>
      </w:r>
      <w:r w:rsidR="00F46A6E" w:rsidRPr="00012C3F">
        <w:rPr>
          <w:rFonts w:eastAsia="Calibri" w:cs="Arial"/>
          <w:sz w:val="20"/>
          <w:szCs w:val="20"/>
          <w:lang w:val="en-US" w:eastAsia="en-US"/>
        </w:rPr>
        <w:t>)</w:t>
      </w:r>
      <w:r w:rsidR="00493EFF" w:rsidRPr="00012C3F">
        <w:rPr>
          <w:rFonts w:eastAsia="Calibri" w:cs="Arial"/>
          <w:sz w:val="20"/>
          <w:szCs w:val="20"/>
          <w:lang w:val="en-US" w:eastAsia="en-US"/>
        </w:rPr>
        <w:t>.</w:t>
      </w:r>
    </w:p>
    <w:p w14:paraId="5853ABAE" w14:textId="77777777" w:rsidR="00502B43" w:rsidRPr="00012C3F" w:rsidRDefault="00502B43" w:rsidP="00750097">
      <w:pPr>
        <w:widowControl/>
        <w:tabs>
          <w:tab w:val="left" w:pos="720"/>
        </w:tabs>
        <w:autoSpaceDE w:val="0"/>
        <w:autoSpaceDN w:val="0"/>
        <w:spacing w:line="240" w:lineRule="auto"/>
        <w:textAlignment w:val="auto"/>
        <w:rPr>
          <w:rFonts w:eastAsia="Calibri" w:cs="Arial"/>
          <w:b/>
          <w:sz w:val="18"/>
          <w:szCs w:val="20"/>
          <w:lang w:val="en-US" w:eastAsia="en-US"/>
        </w:rPr>
      </w:pPr>
    </w:p>
    <w:p w14:paraId="1CEE2767" w14:textId="77777777" w:rsidR="00F46A6E" w:rsidRPr="00012C3F" w:rsidRDefault="00A84CA0" w:rsidP="00750097">
      <w:pPr>
        <w:numPr>
          <w:ilvl w:val="0"/>
          <w:numId w:val="5"/>
        </w:numPr>
        <w:tabs>
          <w:tab w:val="left" w:pos="720"/>
          <w:tab w:val="num" w:pos="12305"/>
        </w:tabs>
        <w:spacing w:line="240" w:lineRule="auto"/>
        <w:ind w:left="0" w:firstLine="0"/>
        <w:rPr>
          <w:rFonts w:eastAsia="MS Mincho"/>
          <w:b/>
          <w:sz w:val="20"/>
          <w:szCs w:val="20"/>
          <w:lang w:val="en-US"/>
        </w:rPr>
      </w:pPr>
      <w:r w:rsidRPr="00012C3F">
        <w:rPr>
          <w:rFonts w:eastAsia="Calibri" w:cs="Arial"/>
          <w:sz w:val="20"/>
          <w:szCs w:val="20"/>
          <w:lang w:val="en-US" w:eastAsia="en-US"/>
        </w:rPr>
        <w:t xml:space="preserve">The </w:t>
      </w:r>
      <w:r w:rsidRPr="00012C3F">
        <w:rPr>
          <w:rFonts w:eastAsia="Calibri" w:cs="Arial"/>
          <w:b/>
          <w:bCs/>
          <w:i/>
          <w:iCs/>
          <w:sz w:val="20"/>
          <w:szCs w:val="20"/>
          <w:lang w:val="en-US" w:eastAsia="en-US"/>
        </w:rPr>
        <w:t>State</w:t>
      </w:r>
      <w:r w:rsidR="00502B43" w:rsidRPr="00012C3F">
        <w:rPr>
          <w:rFonts w:eastAsia="Calibri" w:cs="Arial"/>
          <w:sz w:val="20"/>
          <w:szCs w:val="20"/>
          <w:lang w:val="en-US" w:eastAsia="en-US"/>
        </w:rPr>
        <w:t xml:space="preserve"> </w:t>
      </w:r>
      <w:r w:rsidR="00F46A6E" w:rsidRPr="00012C3F">
        <w:rPr>
          <w:rFonts w:eastAsia="Calibri" w:cs="Arial"/>
          <w:sz w:val="20"/>
          <w:szCs w:val="20"/>
          <w:lang w:val="en-US" w:eastAsia="en-US"/>
        </w:rPr>
        <w:t xml:space="preserve">indicated, in its final arguments, that there was no evidence of any discriminatory intention on the part of the State. In this regard, it asserted that both the judicial and the administrative proceedings </w:t>
      </w:r>
      <w:r w:rsidR="00493EFF" w:rsidRPr="00012C3F">
        <w:rPr>
          <w:rFonts w:eastAsia="Calibri" w:cs="Arial"/>
          <w:sz w:val="20"/>
          <w:szCs w:val="20"/>
          <w:lang w:val="en-US" w:eastAsia="en-US"/>
        </w:rPr>
        <w:t xml:space="preserve">had </w:t>
      </w:r>
      <w:r w:rsidR="00F46A6E" w:rsidRPr="00012C3F">
        <w:rPr>
          <w:rFonts w:eastAsia="Calibri" w:cs="Arial"/>
          <w:sz w:val="20"/>
          <w:szCs w:val="20"/>
          <w:lang w:val="en-US" w:eastAsia="en-US"/>
        </w:rPr>
        <w:t>agreed on the physician’s absence of malice. Therefore, Bolivia had complied fully with its obligations relate</w:t>
      </w:r>
      <w:r w:rsidR="00493EFF" w:rsidRPr="00012C3F">
        <w:rPr>
          <w:rFonts w:eastAsia="Calibri" w:cs="Arial"/>
          <w:sz w:val="20"/>
          <w:szCs w:val="20"/>
          <w:lang w:val="en-US" w:eastAsia="en-US"/>
        </w:rPr>
        <w:t>d</w:t>
      </w:r>
      <w:r w:rsidR="00F46A6E" w:rsidRPr="00012C3F">
        <w:rPr>
          <w:rFonts w:eastAsia="Calibri" w:cs="Arial"/>
          <w:sz w:val="20"/>
          <w:szCs w:val="20"/>
          <w:lang w:val="en-US" w:eastAsia="en-US"/>
        </w:rPr>
        <w:t xml:space="preserve"> to the </w:t>
      </w:r>
      <w:r w:rsidR="00BA177B" w:rsidRPr="00012C3F">
        <w:rPr>
          <w:rFonts w:eastAsia="Calibri" w:cs="Arial"/>
          <w:sz w:val="20"/>
          <w:szCs w:val="20"/>
          <w:lang w:val="en-US" w:eastAsia="en-US"/>
        </w:rPr>
        <w:t>principle and right of non-discrimination.</w:t>
      </w:r>
    </w:p>
    <w:p w14:paraId="776A5130" w14:textId="77777777" w:rsidR="00FD7A2F" w:rsidRPr="00012C3F" w:rsidRDefault="00FD7A2F" w:rsidP="00750097">
      <w:pPr>
        <w:tabs>
          <w:tab w:val="left" w:pos="720"/>
        </w:tabs>
        <w:spacing w:line="240" w:lineRule="auto"/>
        <w:rPr>
          <w:rFonts w:eastAsia="MS Mincho"/>
          <w:sz w:val="20"/>
          <w:szCs w:val="20"/>
          <w:lang w:val="en-US"/>
        </w:rPr>
      </w:pPr>
    </w:p>
    <w:p w14:paraId="44B9962C" w14:textId="77777777" w:rsidR="00FD7A2F" w:rsidRPr="00012C3F" w:rsidRDefault="00FD7A2F" w:rsidP="00750097">
      <w:pPr>
        <w:pStyle w:val="Ttulo2"/>
        <w:tabs>
          <w:tab w:val="left" w:pos="720"/>
          <w:tab w:val="left" w:pos="1701"/>
        </w:tabs>
        <w:spacing w:before="0" w:line="240" w:lineRule="auto"/>
        <w:ind w:left="1134"/>
        <w:rPr>
          <w:rFonts w:ascii="Verdana" w:hAnsi="Verdana"/>
          <w:b w:val="0"/>
          <w:i/>
          <w:color w:val="auto"/>
          <w:sz w:val="20"/>
          <w:szCs w:val="20"/>
          <w:lang w:val="en-US"/>
        </w:rPr>
      </w:pPr>
      <w:bookmarkStart w:id="173" w:name="_Toc445290351"/>
      <w:bookmarkStart w:id="174" w:name="_Toc461305149"/>
      <w:bookmarkStart w:id="175" w:name="_Toc27486881"/>
      <w:r w:rsidRPr="00012C3F">
        <w:rPr>
          <w:rFonts w:ascii="Verdana" w:hAnsi="Verdana"/>
          <w:b w:val="0"/>
          <w:i/>
          <w:color w:val="auto"/>
          <w:sz w:val="20"/>
          <w:szCs w:val="20"/>
          <w:lang w:val="en-US"/>
        </w:rPr>
        <w:t xml:space="preserve">A.4 </w:t>
      </w:r>
      <w:r w:rsidR="006A16C8" w:rsidRPr="00012C3F">
        <w:rPr>
          <w:rFonts w:ascii="Verdana" w:hAnsi="Verdana"/>
          <w:b w:val="0"/>
          <w:i/>
          <w:color w:val="auto"/>
          <w:sz w:val="20"/>
          <w:szCs w:val="20"/>
          <w:lang w:val="en-US"/>
        </w:rPr>
        <w:tab/>
      </w:r>
      <w:r w:rsidR="006C705C" w:rsidRPr="00012C3F">
        <w:rPr>
          <w:rFonts w:ascii="Verdana" w:hAnsi="Verdana"/>
          <w:b w:val="0"/>
          <w:i/>
          <w:color w:val="auto"/>
          <w:sz w:val="20"/>
          <w:szCs w:val="20"/>
          <w:lang w:val="en-US"/>
        </w:rPr>
        <w:t>Arguments on the</w:t>
      </w:r>
      <w:r w:rsidR="00A464D8" w:rsidRPr="00012C3F">
        <w:rPr>
          <w:rFonts w:ascii="Verdana" w:hAnsi="Verdana"/>
          <w:b w:val="0"/>
          <w:i/>
          <w:color w:val="auto"/>
          <w:sz w:val="20"/>
          <w:szCs w:val="20"/>
          <w:lang w:val="en-US"/>
        </w:rPr>
        <w:t xml:space="preserve"> </w:t>
      </w:r>
      <w:r w:rsidR="00A710F6" w:rsidRPr="00012C3F">
        <w:rPr>
          <w:rFonts w:ascii="Verdana" w:hAnsi="Verdana"/>
          <w:b w:val="0"/>
          <w:i/>
          <w:color w:val="auto"/>
          <w:sz w:val="20"/>
          <w:szCs w:val="20"/>
          <w:lang w:val="en-US"/>
        </w:rPr>
        <w:t>obligation to ensure that the competent authority established by the laws of the State</w:t>
      </w:r>
      <w:r w:rsidRPr="00012C3F">
        <w:rPr>
          <w:rFonts w:ascii="Verdana" w:hAnsi="Verdana"/>
          <w:b w:val="0"/>
          <w:i/>
          <w:color w:val="auto"/>
          <w:sz w:val="20"/>
          <w:szCs w:val="20"/>
          <w:lang w:val="en-US"/>
        </w:rPr>
        <w:t xml:space="preserve"> </w:t>
      </w:r>
      <w:r w:rsidR="00A710F6" w:rsidRPr="00012C3F">
        <w:rPr>
          <w:rFonts w:ascii="Verdana" w:hAnsi="Verdana"/>
          <w:b w:val="0"/>
          <w:i/>
          <w:color w:val="auto"/>
          <w:sz w:val="20"/>
          <w:szCs w:val="20"/>
          <w:lang w:val="en-US"/>
        </w:rPr>
        <w:t>will determine the rights of everyone who files a remedy</w:t>
      </w:r>
      <w:bookmarkEnd w:id="173"/>
      <w:bookmarkEnd w:id="174"/>
      <w:bookmarkEnd w:id="175"/>
    </w:p>
    <w:p w14:paraId="1EC2FA04" w14:textId="77777777" w:rsidR="00FD7A2F" w:rsidRPr="00012C3F" w:rsidRDefault="00FD7A2F" w:rsidP="00750097">
      <w:pPr>
        <w:tabs>
          <w:tab w:val="left" w:pos="720"/>
        </w:tabs>
        <w:spacing w:line="240" w:lineRule="auto"/>
        <w:rPr>
          <w:rFonts w:eastAsia="MS Mincho"/>
          <w:sz w:val="20"/>
          <w:szCs w:val="20"/>
          <w:lang w:val="en-US"/>
        </w:rPr>
      </w:pPr>
    </w:p>
    <w:p w14:paraId="38FE31BD" w14:textId="77777777" w:rsidR="00FD7A2F" w:rsidRPr="00012C3F" w:rsidRDefault="00972ACF" w:rsidP="00F778D8">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Batang"/>
          <w:sz w:val="20"/>
          <w:szCs w:val="20"/>
          <w:lang w:val="en-US" w:eastAsia="es-MX"/>
        </w:rPr>
        <w:t xml:space="preserve">The </w:t>
      </w:r>
      <w:r w:rsidRPr="00012C3F">
        <w:rPr>
          <w:rFonts w:eastAsia="Batang"/>
          <w:b/>
          <w:bCs/>
          <w:i/>
          <w:iCs/>
          <w:sz w:val="20"/>
          <w:szCs w:val="20"/>
          <w:lang w:val="en-US" w:eastAsia="es-MX"/>
        </w:rPr>
        <w:t>representative</w:t>
      </w:r>
      <w:r w:rsidR="00FD7A2F" w:rsidRPr="00012C3F">
        <w:rPr>
          <w:rFonts w:eastAsia="MS Mincho"/>
          <w:b/>
          <w:i/>
          <w:sz w:val="20"/>
          <w:szCs w:val="20"/>
          <w:lang w:val="en-US"/>
        </w:rPr>
        <w:t xml:space="preserve"> </w:t>
      </w:r>
      <w:r w:rsidR="00F778D8" w:rsidRPr="00012C3F">
        <w:rPr>
          <w:rFonts w:eastAsia="MS Mincho"/>
          <w:sz w:val="20"/>
          <w:szCs w:val="20"/>
          <w:lang w:val="en-US"/>
        </w:rPr>
        <w:t xml:space="preserve">submitted additional arguments concerning the violation </w:t>
      </w:r>
      <w:r w:rsidR="008A7A0F" w:rsidRPr="00012C3F">
        <w:rPr>
          <w:rFonts w:eastAsia="MS Mincho"/>
          <w:sz w:val="20"/>
          <w:szCs w:val="20"/>
          <w:lang w:val="en-US"/>
        </w:rPr>
        <w:t>of Article</w:t>
      </w:r>
      <w:r w:rsidR="00AC11E1" w:rsidRPr="00012C3F">
        <w:rPr>
          <w:rFonts w:eastAsia="MS Mincho"/>
          <w:sz w:val="20"/>
          <w:szCs w:val="20"/>
          <w:lang w:val="en-US"/>
        </w:rPr>
        <w:t xml:space="preserve"> 2</w:t>
      </w:r>
      <w:r w:rsidR="00B257AF" w:rsidRPr="00012C3F">
        <w:rPr>
          <w:rFonts w:eastAsia="MS Mincho"/>
          <w:sz w:val="20"/>
          <w:szCs w:val="20"/>
          <w:lang w:val="en-US"/>
        </w:rPr>
        <w:t>5(2)</w:t>
      </w:r>
      <w:r w:rsidR="00F778D8" w:rsidRPr="00012C3F">
        <w:rPr>
          <w:rFonts w:eastAsia="MS Mincho"/>
          <w:sz w:val="20"/>
          <w:szCs w:val="20"/>
          <w:lang w:val="en-US"/>
        </w:rPr>
        <w:t>(</w:t>
      </w:r>
      <w:r w:rsidR="00FD7A2F" w:rsidRPr="00012C3F">
        <w:rPr>
          <w:rFonts w:eastAsia="MS Mincho"/>
          <w:sz w:val="20"/>
          <w:szCs w:val="20"/>
          <w:lang w:val="en-US"/>
        </w:rPr>
        <w:t>a)</w:t>
      </w:r>
      <w:r w:rsidR="001254DE" w:rsidRPr="00012C3F">
        <w:rPr>
          <w:rFonts w:eastAsia="MS Mincho"/>
          <w:sz w:val="20"/>
          <w:szCs w:val="20"/>
          <w:lang w:val="en-US"/>
        </w:rPr>
        <w:t xml:space="preserve"> of the Convention</w:t>
      </w:r>
      <w:r w:rsidR="00FD7A2F" w:rsidRPr="00012C3F">
        <w:rPr>
          <w:rFonts w:eastAsia="MS Mincho"/>
          <w:sz w:val="20"/>
          <w:szCs w:val="20"/>
          <w:lang w:val="en-US"/>
        </w:rPr>
        <w:t>.</w:t>
      </w:r>
      <w:r w:rsidR="00FD7A2F" w:rsidRPr="00012C3F">
        <w:rPr>
          <w:rFonts w:eastAsia="MS Mincho"/>
          <w:b/>
          <w:sz w:val="20"/>
          <w:szCs w:val="20"/>
          <w:lang w:val="en-US"/>
        </w:rPr>
        <w:t xml:space="preserve"> </w:t>
      </w:r>
      <w:r w:rsidR="00F778D8" w:rsidRPr="00012C3F">
        <w:rPr>
          <w:rFonts w:eastAsia="MS Mincho"/>
          <w:bCs/>
          <w:sz w:val="20"/>
          <w:szCs w:val="20"/>
          <w:lang w:val="en-US"/>
        </w:rPr>
        <w:t>In this regard, she asked that “the Court declare this […] additional violation when it hands down judgment, in the understanding that the Bolivian jurisdictional authority did not take a decision on I.V.’s rights; [rather] instead of this, it archived the criminal case on the grounds that the proceedings had gone beyond the temporal limit of three years that proceedings on a matter such as this should take.” Therefore, the representative argued that the Bolivian court had not taken a decision as it was supposed to do under</w:t>
      </w:r>
      <w:r w:rsidR="00F778D8" w:rsidRPr="00012C3F">
        <w:rPr>
          <w:rFonts w:eastAsia="MS Mincho"/>
          <w:sz w:val="20"/>
          <w:szCs w:val="20"/>
          <w:lang w:val="en-US"/>
        </w:rPr>
        <w:t xml:space="preserve"> </w:t>
      </w:r>
      <w:r w:rsidR="008A7A0F" w:rsidRPr="00012C3F">
        <w:rPr>
          <w:rFonts w:eastAsia="MS Mincho"/>
          <w:sz w:val="20"/>
          <w:szCs w:val="20"/>
          <w:lang w:val="en-US"/>
        </w:rPr>
        <w:t>Article</w:t>
      </w:r>
      <w:r w:rsidR="00AC11E1" w:rsidRPr="00012C3F">
        <w:rPr>
          <w:rFonts w:eastAsia="MS Mincho"/>
          <w:sz w:val="20"/>
          <w:szCs w:val="20"/>
          <w:lang w:val="en-US"/>
        </w:rPr>
        <w:t xml:space="preserve"> 2</w:t>
      </w:r>
      <w:r w:rsidR="00B257AF" w:rsidRPr="00012C3F">
        <w:rPr>
          <w:rFonts w:eastAsia="MS Mincho"/>
          <w:sz w:val="20"/>
          <w:szCs w:val="20"/>
          <w:lang w:val="en-US"/>
        </w:rPr>
        <w:t>5(2)</w:t>
      </w:r>
      <w:r w:rsidR="00F778D8" w:rsidRPr="00012C3F">
        <w:rPr>
          <w:rFonts w:eastAsia="MS Mincho"/>
          <w:sz w:val="20"/>
          <w:szCs w:val="20"/>
          <w:lang w:val="en-US"/>
        </w:rPr>
        <w:t>(</w:t>
      </w:r>
      <w:r w:rsidR="00FD7A2F" w:rsidRPr="00012C3F">
        <w:rPr>
          <w:rFonts w:eastAsia="MS Mincho"/>
          <w:sz w:val="20"/>
          <w:szCs w:val="20"/>
          <w:lang w:val="en-US"/>
        </w:rPr>
        <w:t>a)</w:t>
      </w:r>
      <w:r w:rsidR="004345DD" w:rsidRPr="00012C3F">
        <w:rPr>
          <w:rFonts w:eastAsia="MS Mincho"/>
          <w:sz w:val="20"/>
          <w:szCs w:val="20"/>
          <w:lang w:val="en-US"/>
        </w:rPr>
        <w:t xml:space="preserve"> </w:t>
      </w:r>
      <w:r w:rsidR="00F778D8" w:rsidRPr="00012C3F">
        <w:rPr>
          <w:rFonts w:eastAsia="MS Mincho"/>
          <w:sz w:val="20"/>
          <w:szCs w:val="20"/>
          <w:lang w:val="en-US"/>
        </w:rPr>
        <w:t>because, on procedural grounds caused by the court itself, it  granted impunity to those who had violated I.V.’s rights.</w:t>
      </w:r>
    </w:p>
    <w:p w14:paraId="0AC6E1AD" w14:textId="77777777" w:rsidR="00FD7A2F" w:rsidRPr="00012C3F" w:rsidRDefault="00FD7A2F" w:rsidP="00750097">
      <w:pPr>
        <w:tabs>
          <w:tab w:val="left" w:pos="720"/>
        </w:tabs>
        <w:spacing w:line="240" w:lineRule="auto"/>
        <w:rPr>
          <w:rFonts w:eastAsia="MS Mincho"/>
          <w:sz w:val="20"/>
          <w:szCs w:val="20"/>
          <w:lang w:val="en-US"/>
        </w:rPr>
      </w:pPr>
    </w:p>
    <w:p w14:paraId="0ACC5E4D" w14:textId="77777777" w:rsidR="00F778D8" w:rsidRPr="00012C3F" w:rsidRDefault="00A84CA0" w:rsidP="00750097">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Batang"/>
          <w:sz w:val="20"/>
          <w:szCs w:val="20"/>
          <w:lang w:val="en-US" w:eastAsia="es-MX"/>
        </w:rPr>
        <w:t xml:space="preserve">The </w:t>
      </w:r>
      <w:r w:rsidRPr="00012C3F">
        <w:rPr>
          <w:rFonts w:eastAsia="Batang"/>
          <w:b/>
          <w:bCs/>
          <w:i/>
          <w:iCs/>
          <w:sz w:val="20"/>
          <w:szCs w:val="20"/>
          <w:lang w:val="en-US" w:eastAsia="es-MX"/>
        </w:rPr>
        <w:t>State</w:t>
      </w:r>
      <w:r w:rsidR="00FD7A2F" w:rsidRPr="00012C3F">
        <w:rPr>
          <w:rFonts w:eastAsia="MS Mincho"/>
          <w:sz w:val="20"/>
          <w:szCs w:val="20"/>
          <w:lang w:val="en-US"/>
        </w:rPr>
        <w:t xml:space="preserve"> a</w:t>
      </w:r>
      <w:r w:rsidR="003D618E" w:rsidRPr="00012C3F">
        <w:rPr>
          <w:rFonts w:eastAsia="MS Mincho"/>
          <w:sz w:val="20"/>
          <w:szCs w:val="20"/>
          <w:lang w:val="en-US"/>
        </w:rPr>
        <w:t>sserte</w:t>
      </w:r>
      <w:r w:rsidR="00F778D8" w:rsidRPr="00012C3F">
        <w:rPr>
          <w:rFonts w:eastAsia="MS Mincho"/>
          <w:sz w:val="20"/>
          <w:szCs w:val="20"/>
          <w:lang w:val="en-US"/>
        </w:rPr>
        <w:t>d that the arguments presented by</w:t>
      </w:r>
      <w:r w:rsidR="00FD7A2F" w:rsidRPr="00012C3F">
        <w:rPr>
          <w:rFonts w:eastAsia="MS Mincho"/>
          <w:sz w:val="20"/>
          <w:szCs w:val="20"/>
          <w:lang w:val="en-US"/>
        </w:rPr>
        <w:t xml:space="preserve"> </w:t>
      </w:r>
      <w:r w:rsidR="00972ACF" w:rsidRPr="00012C3F">
        <w:rPr>
          <w:rFonts w:eastAsia="MS Mincho"/>
          <w:sz w:val="20"/>
          <w:szCs w:val="20"/>
          <w:lang w:val="en-US"/>
        </w:rPr>
        <w:t>the representative</w:t>
      </w:r>
      <w:r w:rsidR="00FD7A2F" w:rsidRPr="00012C3F">
        <w:rPr>
          <w:rFonts w:eastAsia="MS Mincho"/>
          <w:sz w:val="20"/>
          <w:szCs w:val="20"/>
          <w:lang w:val="en-US"/>
        </w:rPr>
        <w:t xml:space="preserve"> </w:t>
      </w:r>
      <w:r w:rsidR="00F778D8" w:rsidRPr="00012C3F">
        <w:rPr>
          <w:rFonts w:eastAsia="MS Mincho"/>
          <w:sz w:val="20"/>
          <w:szCs w:val="20"/>
          <w:lang w:val="en-US"/>
        </w:rPr>
        <w:t xml:space="preserve">regarding the presumed violation </w:t>
      </w:r>
      <w:r w:rsidR="008A7A0F" w:rsidRPr="00012C3F">
        <w:rPr>
          <w:rFonts w:eastAsia="MS Mincho"/>
          <w:sz w:val="20"/>
          <w:szCs w:val="20"/>
          <w:lang w:val="en-US"/>
        </w:rPr>
        <w:t>of Article</w:t>
      </w:r>
      <w:r w:rsidR="00FD7A2F" w:rsidRPr="00012C3F">
        <w:rPr>
          <w:rFonts w:eastAsia="MS Mincho"/>
          <w:sz w:val="20"/>
          <w:szCs w:val="20"/>
          <w:lang w:val="en-US"/>
        </w:rPr>
        <w:t xml:space="preserve"> 2</w:t>
      </w:r>
      <w:r w:rsidR="00B257AF" w:rsidRPr="00012C3F">
        <w:rPr>
          <w:rFonts w:eastAsia="MS Mincho"/>
          <w:sz w:val="20"/>
          <w:szCs w:val="20"/>
          <w:lang w:val="en-US"/>
        </w:rPr>
        <w:t>5(2)</w:t>
      </w:r>
      <w:r w:rsidR="00F778D8" w:rsidRPr="00012C3F">
        <w:rPr>
          <w:rFonts w:eastAsia="MS Mincho"/>
          <w:sz w:val="20"/>
          <w:szCs w:val="20"/>
          <w:lang w:val="en-US"/>
        </w:rPr>
        <w:t>(</w:t>
      </w:r>
      <w:r w:rsidR="00FD7A2F" w:rsidRPr="00012C3F">
        <w:rPr>
          <w:rFonts w:eastAsia="MS Mincho"/>
          <w:sz w:val="20"/>
          <w:szCs w:val="20"/>
          <w:lang w:val="en-US"/>
        </w:rPr>
        <w:t>a)</w:t>
      </w:r>
      <w:r w:rsidR="001254DE" w:rsidRPr="00012C3F">
        <w:rPr>
          <w:rFonts w:eastAsia="MS Mincho"/>
          <w:sz w:val="20"/>
          <w:szCs w:val="20"/>
          <w:lang w:val="en-US"/>
        </w:rPr>
        <w:t xml:space="preserve"> of the Convention</w:t>
      </w:r>
      <w:r w:rsidR="00FD7A2F" w:rsidRPr="00012C3F">
        <w:rPr>
          <w:rFonts w:eastAsia="MS Mincho"/>
          <w:sz w:val="20"/>
          <w:szCs w:val="20"/>
          <w:lang w:val="en-US"/>
        </w:rPr>
        <w:t>, corresponde</w:t>
      </w:r>
      <w:r w:rsidR="00F778D8" w:rsidRPr="00012C3F">
        <w:rPr>
          <w:rFonts w:eastAsia="MS Mincho"/>
          <w:sz w:val="20"/>
          <w:szCs w:val="20"/>
          <w:lang w:val="en-US"/>
        </w:rPr>
        <w:t>d to “citations from reports and documents that were not pertinent and that did not provide appropriate grounds for violations of the said article or reveal</w:t>
      </w:r>
      <w:r w:rsidR="00493EFF" w:rsidRPr="00012C3F">
        <w:rPr>
          <w:rFonts w:eastAsia="MS Mincho"/>
          <w:sz w:val="20"/>
          <w:szCs w:val="20"/>
          <w:lang w:val="en-US"/>
        </w:rPr>
        <w:t>,</w:t>
      </w:r>
      <w:r w:rsidR="00F778D8" w:rsidRPr="00012C3F">
        <w:rPr>
          <w:rFonts w:eastAsia="MS Mincho"/>
          <w:sz w:val="20"/>
          <w:szCs w:val="20"/>
          <w:lang w:val="en-US"/>
        </w:rPr>
        <w:t xml:space="preserve"> </w:t>
      </w:r>
      <w:r w:rsidR="00493EFF" w:rsidRPr="00012C3F">
        <w:rPr>
          <w:rFonts w:eastAsia="MS Mincho"/>
          <w:sz w:val="20"/>
          <w:szCs w:val="20"/>
          <w:lang w:val="en-US"/>
        </w:rPr>
        <w:t>by</w:t>
      </w:r>
      <w:r w:rsidR="00F778D8" w:rsidRPr="00012C3F">
        <w:rPr>
          <w:rFonts w:eastAsia="MS Mincho"/>
          <w:sz w:val="20"/>
          <w:szCs w:val="20"/>
          <w:lang w:val="en-US"/>
        </w:rPr>
        <w:t xml:space="preserve"> specific acts</w:t>
      </w:r>
      <w:r w:rsidR="00493EFF" w:rsidRPr="00012C3F">
        <w:rPr>
          <w:rFonts w:eastAsia="MS Mincho"/>
          <w:sz w:val="20"/>
          <w:szCs w:val="20"/>
          <w:lang w:val="en-US"/>
        </w:rPr>
        <w:t>,</w:t>
      </w:r>
      <w:r w:rsidR="00F778D8" w:rsidRPr="00012C3F">
        <w:rPr>
          <w:rFonts w:eastAsia="MS Mincho"/>
          <w:sz w:val="20"/>
          <w:szCs w:val="20"/>
          <w:lang w:val="en-US"/>
        </w:rPr>
        <w:t xml:space="preserve"> the presumed failure to comply with the obligation to decide on a right when a remedy is filed.” Accordingly, </w:t>
      </w:r>
      <w:r w:rsidR="003D618E" w:rsidRPr="00012C3F">
        <w:rPr>
          <w:rFonts w:eastAsia="MS Mincho"/>
          <w:sz w:val="20"/>
          <w:szCs w:val="20"/>
          <w:lang w:val="en-US"/>
        </w:rPr>
        <w:t xml:space="preserve">“the Court should not take this allegation into account.” Regarding the right to judicial protection, it argued that the laws of Bolivia guaranteed I.V. access to simple, effective and prompt remedies, specifically, cassation and the constitutional amparo, “which were neither filed nor exhausted.” Regarding the remedies used by I.V., the incidental appeal, the </w:t>
      </w:r>
      <w:r w:rsidR="00C16DEA" w:rsidRPr="00012C3F">
        <w:rPr>
          <w:rFonts w:eastAsia="MS Mincho"/>
          <w:sz w:val="20"/>
          <w:szCs w:val="20"/>
          <w:lang w:val="en-US"/>
        </w:rPr>
        <w:t>cassation procedure</w:t>
      </w:r>
      <w:r w:rsidR="003D618E" w:rsidRPr="00012C3F">
        <w:rPr>
          <w:rFonts w:eastAsia="MS Mincho"/>
          <w:sz w:val="20"/>
          <w:szCs w:val="20"/>
          <w:lang w:val="en-US"/>
        </w:rPr>
        <w:t>, and the appeal against the extinction, the State argued that they were processed in accordance with the established legal procedure, ensuring her right to due process, so that the State had not violated the guarantees and the right to judicial protection of I.V.</w:t>
      </w:r>
    </w:p>
    <w:p w14:paraId="5D4A6924" w14:textId="77777777" w:rsidR="00FD7A2F" w:rsidRPr="00012C3F" w:rsidRDefault="00FD7A2F" w:rsidP="00502B43">
      <w:pPr>
        <w:tabs>
          <w:tab w:val="left" w:pos="720"/>
        </w:tabs>
        <w:spacing w:line="240" w:lineRule="auto"/>
        <w:rPr>
          <w:rFonts w:eastAsia="MS Mincho"/>
          <w:b/>
          <w:sz w:val="20"/>
          <w:szCs w:val="20"/>
          <w:lang w:val="en-US"/>
        </w:rPr>
      </w:pPr>
    </w:p>
    <w:p w14:paraId="0AB07AA0" w14:textId="77777777" w:rsidR="00502B43" w:rsidRPr="00012C3F" w:rsidRDefault="00502B43" w:rsidP="009867D6">
      <w:pPr>
        <w:keepNext/>
        <w:keepLines/>
        <w:tabs>
          <w:tab w:val="left" w:pos="1134"/>
        </w:tabs>
        <w:spacing w:line="240" w:lineRule="auto"/>
        <w:ind w:left="567" w:firstLine="1"/>
        <w:outlineLvl w:val="1"/>
        <w:rPr>
          <w:rFonts w:eastAsia="MS Mincho"/>
          <w:b/>
          <w:bCs/>
          <w:i/>
          <w:sz w:val="20"/>
          <w:szCs w:val="20"/>
          <w:lang w:val="en-US"/>
        </w:rPr>
      </w:pPr>
      <w:bookmarkStart w:id="176" w:name="_Toc27486882"/>
      <w:r w:rsidRPr="00012C3F">
        <w:rPr>
          <w:rFonts w:eastAsia="MS Mincho"/>
          <w:b/>
          <w:bCs/>
          <w:i/>
          <w:sz w:val="20"/>
          <w:szCs w:val="20"/>
          <w:lang w:val="en-US"/>
        </w:rPr>
        <w:t>B.</w:t>
      </w:r>
      <w:r w:rsidRPr="00012C3F">
        <w:rPr>
          <w:rFonts w:eastAsia="MS Mincho"/>
          <w:b/>
          <w:bCs/>
          <w:i/>
          <w:sz w:val="20"/>
          <w:szCs w:val="20"/>
          <w:lang w:val="en-US"/>
        </w:rPr>
        <w:tab/>
      </w:r>
      <w:r w:rsidR="006C705C" w:rsidRPr="00012C3F">
        <w:rPr>
          <w:rFonts w:eastAsia="MS Mincho"/>
          <w:b/>
          <w:bCs/>
          <w:i/>
          <w:sz w:val="20"/>
          <w:szCs w:val="20"/>
          <w:lang w:val="en-US"/>
        </w:rPr>
        <w:t>Considerations</w:t>
      </w:r>
      <w:r w:rsidR="001254DE" w:rsidRPr="00012C3F">
        <w:rPr>
          <w:rFonts w:eastAsia="MS Mincho"/>
          <w:b/>
          <w:bCs/>
          <w:i/>
          <w:sz w:val="20"/>
          <w:szCs w:val="20"/>
          <w:lang w:val="en-US"/>
        </w:rPr>
        <w:t xml:space="preserve"> of the Court</w:t>
      </w:r>
      <w:bookmarkEnd w:id="176"/>
    </w:p>
    <w:p w14:paraId="2F5CF8DC" w14:textId="77777777" w:rsidR="00502B43" w:rsidRPr="00012C3F" w:rsidRDefault="00502B43" w:rsidP="00502B43">
      <w:pPr>
        <w:tabs>
          <w:tab w:val="left" w:pos="720"/>
        </w:tabs>
        <w:spacing w:line="240" w:lineRule="auto"/>
        <w:rPr>
          <w:rFonts w:eastAsia="MS Mincho"/>
          <w:b/>
          <w:sz w:val="20"/>
          <w:szCs w:val="20"/>
          <w:lang w:val="en-US"/>
        </w:rPr>
      </w:pPr>
    </w:p>
    <w:p w14:paraId="1CC3D442" w14:textId="77777777" w:rsidR="00657616" w:rsidRPr="00012C3F" w:rsidRDefault="003D618E" w:rsidP="003D618E">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Calibri" w:cs="Arial"/>
          <w:sz w:val="20"/>
          <w:szCs w:val="20"/>
          <w:lang w:val="en-US" w:eastAsia="en-US"/>
        </w:rPr>
        <w:t xml:space="preserve">Before proceeding to analyze the merits in relation to </w:t>
      </w:r>
      <w:r w:rsidR="001254DE" w:rsidRPr="00012C3F">
        <w:rPr>
          <w:rFonts w:eastAsia="MS Mincho"/>
          <w:sz w:val="20"/>
          <w:szCs w:val="20"/>
          <w:lang w:val="en-US"/>
        </w:rPr>
        <w:t>Articles</w:t>
      </w:r>
      <w:r w:rsidR="00502B43" w:rsidRPr="00012C3F">
        <w:rPr>
          <w:rFonts w:eastAsia="MS Mincho"/>
          <w:sz w:val="20"/>
          <w:szCs w:val="20"/>
          <w:lang w:val="en-US"/>
        </w:rPr>
        <w:t xml:space="preserve"> 8</w:t>
      </w:r>
      <w:r w:rsidR="005E5012" w:rsidRPr="00012C3F">
        <w:rPr>
          <w:rFonts w:eastAsia="MS Mincho"/>
          <w:sz w:val="20"/>
          <w:szCs w:val="20"/>
          <w:lang w:val="en-US"/>
        </w:rPr>
        <w:t xml:space="preserve"> and </w:t>
      </w:r>
      <w:r w:rsidR="00502B43" w:rsidRPr="00012C3F">
        <w:rPr>
          <w:rFonts w:eastAsia="MS Mincho"/>
          <w:sz w:val="20"/>
          <w:szCs w:val="20"/>
          <w:lang w:val="en-US"/>
        </w:rPr>
        <w:t>25</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1254DE" w:rsidRPr="00012C3F">
        <w:rPr>
          <w:rFonts w:eastAsia="MS Mincho"/>
          <w:sz w:val="20"/>
          <w:szCs w:val="20"/>
          <w:lang w:val="en-US"/>
        </w:rPr>
        <w:t>the Court</w:t>
      </w:r>
      <w:r w:rsidR="00502B43" w:rsidRPr="00012C3F">
        <w:rPr>
          <w:rFonts w:eastAsia="MS Mincho"/>
          <w:sz w:val="20"/>
          <w:szCs w:val="20"/>
          <w:lang w:val="en-US"/>
        </w:rPr>
        <w:t xml:space="preserve"> </w:t>
      </w:r>
      <w:r w:rsidRPr="00012C3F">
        <w:rPr>
          <w:rFonts w:eastAsia="MS Mincho"/>
          <w:sz w:val="20"/>
          <w:szCs w:val="20"/>
          <w:lang w:val="en-US"/>
        </w:rPr>
        <w:t xml:space="preserve">finds it pertinent to provide some clarifications </w:t>
      </w:r>
      <w:r w:rsidR="006C705C" w:rsidRPr="00012C3F">
        <w:rPr>
          <w:rFonts w:eastAsia="MS Mincho"/>
          <w:sz w:val="20"/>
          <w:szCs w:val="20"/>
          <w:lang w:val="en-US"/>
        </w:rPr>
        <w:t>in relation to</w:t>
      </w:r>
      <w:r w:rsidR="00502B43" w:rsidRPr="00012C3F">
        <w:rPr>
          <w:rFonts w:eastAsia="MS Mincho"/>
          <w:sz w:val="20"/>
          <w:szCs w:val="20"/>
          <w:lang w:val="en-US"/>
        </w:rPr>
        <w:t xml:space="preserve"> </w:t>
      </w:r>
      <w:r w:rsidRPr="00012C3F">
        <w:rPr>
          <w:rFonts w:eastAsia="MS Mincho"/>
          <w:sz w:val="20"/>
          <w:szCs w:val="20"/>
          <w:lang w:val="en-US"/>
        </w:rPr>
        <w:t>the different arguments presented. First, the Court notes that the State changed its legal arguments</w:t>
      </w:r>
      <w:r w:rsidR="00493EFF" w:rsidRPr="00012C3F">
        <w:rPr>
          <w:rFonts w:eastAsia="MS Mincho"/>
          <w:sz w:val="20"/>
          <w:szCs w:val="20"/>
          <w:lang w:val="en-US"/>
        </w:rPr>
        <w:t>, starting</w:t>
      </w:r>
      <w:r w:rsidRPr="00012C3F">
        <w:rPr>
          <w:rFonts w:eastAsia="MS Mincho"/>
          <w:sz w:val="20"/>
          <w:szCs w:val="20"/>
          <w:lang w:val="en-US"/>
        </w:rPr>
        <w:t xml:space="preserve"> </w:t>
      </w:r>
      <w:r w:rsidR="00493EFF" w:rsidRPr="00012C3F">
        <w:rPr>
          <w:rFonts w:eastAsia="MS Mincho"/>
          <w:sz w:val="20"/>
          <w:szCs w:val="20"/>
          <w:lang w:val="en-US"/>
        </w:rPr>
        <w:t>during</w:t>
      </w:r>
      <w:r w:rsidRPr="00012C3F">
        <w:rPr>
          <w:rFonts w:eastAsia="MS Mincho"/>
          <w:sz w:val="20"/>
          <w:szCs w:val="20"/>
          <w:lang w:val="en-US"/>
        </w:rPr>
        <w:t xml:space="preserve"> the </w:t>
      </w:r>
      <w:r w:rsidR="00B257AF" w:rsidRPr="00012C3F">
        <w:rPr>
          <w:rFonts w:eastAsia="MS Mincho"/>
          <w:sz w:val="20"/>
          <w:szCs w:val="20"/>
          <w:lang w:val="en-US"/>
        </w:rPr>
        <w:t>public hearing</w:t>
      </w:r>
      <w:r w:rsidR="00493EFF" w:rsidRPr="00012C3F">
        <w:rPr>
          <w:rFonts w:eastAsia="MS Mincho"/>
          <w:sz w:val="20"/>
          <w:szCs w:val="20"/>
          <w:lang w:val="en-US"/>
        </w:rPr>
        <w:t>,</w:t>
      </w:r>
      <w:r w:rsidR="00502B43" w:rsidRPr="00012C3F">
        <w:rPr>
          <w:rFonts w:eastAsia="MS Mincho"/>
          <w:sz w:val="20"/>
          <w:szCs w:val="20"/>
          <w:lang w:val="en-US"/>
        </w:rPr>
        <w:t xml:space="preserve"> </w:t>
      </w:r>
      <w:r w:rsidRPr="00012C3F">
        <w:rPr>
          <w:rFonts w:eastAsia="MS Mincho"/>
          <w:sz w:val="20"/>
          <w:szCs w:val="20"/>
          <w:lang w:val="en-US"/>
        </w:rPr>
        <w:t>in relation to its a</w:t>
      </w:r>
      <w:r w:rsidR="00B257AF" w:rsidRPr="00012C3F">
        <w:rPr>
          <w:rFonts w:eastAsia="MS Mincho"/>
          <w:sz w:val="20"/>
          <w:szCs w:val="20"/>
          <w:lang w:val="en-US"/>
        </w:rPr>
        <w:t>nswering brief</w:t>
      </w:r>
      <w:r w:rsidR="00502B43" w:rsidRPr="00012C3F">
        <w:rPr>
          <w:rFonts w:eastAsia="MS Mincho"/>
          <w:sz w:val="20"/>
          <w:szCs w:val="20"/>
          <w:lang w:val="en-US"/>
        </w:rPr>
        <w:t xml:space="preserve">. </w:t>
      </w:r>
      <w:r w:rsidR="00657616" w:rsidRPr="00012C3F">
        <w:rPr>
          <w:rFonts w:eastAsia="MS Mincho"/>
          <w:sz w:val="20"/>
          <w:szCs w:val="20"/>
          <w:lang w:val="en-US"/>
        </w:rPr>
        <w:t>I</w:t>
      </w:r>
      <w:r w:rsidR="00502B43" w:rsidRPr="00012C3F">
        <w:rPr>
          <w:rFonts w:eastAsia="MS Mincho"/>
          <w:sz w:val="20"/>
          <w:szCs w:val="20"/>
          <w:lang w:val="en-US"/>
        </w:rPr>
        <w:t xml:space="preserve">n particular, </w:t>
      </w:r>
      <w:r w:rsidRPr="00012C3F">
        <w:rPr>
          <w:rFonts w:eastAsia="MS Mincho"/>
          <w:sz w:val="20"/>
          <w:szCs w:val="20"/>
          <w:lang w:val="en-US"/>
        </w:rPr>
        <w:t>the</w:t>
      </w:r>
      <w:r w:rsidR="00657616" w:rsidRPr="00012C3F">
        <w:rPr>
          <w:rFonts w:eastAsia="MS Mincho"/>
          <w:sz w:val="20"/>
          <w:szCs w:val="20"/>
          <w:lang w:val="en-US"/>
        </w:rPr>
        <w:t xml:space="preserve"> arguments</w:t>
      </w:r>
      <w:r w:rsidRPr="00012C3F">
        <w:rPr>
          <w:rFonts w:eastAsia="MS Mincho"/>
          <w:sz w:val="20"/>
          <w:szCs w:val="20"/>
          <w:lang w:val="en-US"/>
        </w:rPr>
        <w:t xml:space="preserve"> described above </w:t>
      </w:r>
      <w:r w:rsidRPr="00012C3F">
        <w:rPr>
          <w:rFonts w:eastAsia="MS Mincho"/>
          <w:sz w:val="20"/>
          <w:szCs w:val="20"/>
          <w:lang w:val="en-US"/>
        </w:rPr>
        <w:lastRenderedPageBreak/>
        <w:t xml:space="preserve">concerning the inappropriateness of criminal proceedings in this case, the alleged failure </w:t>
      </w:r>
      <w:r w:rsidR="00493EFF" w:rsidRPr="00012C3F">
        <w:rPr>
          <w:rFonts w:eastAsia="MS Mincho"/>
          <w:sz w:val="20"/>
          <w:szCs w:val="20"/>
          <w:lang w:val="en-US"/>
        </w:rPr>
        <w:t>of</w:t>
      </w:r>
      <w:r w:rsidRPr="00012C3F">
        <w:rPr>
          <w:rFonts w:eastAsia="MS Mincho"/>
          <w:sz w:val="20"/>
          <w:szCs w:val="20"/>
          <w:lang w:val="en-US"/>
        </w:rPr>
        <w:t xml:space="preserve"> I.V. to </w:t>
      </w:r>
      <w:r w:rsidR="00657616" w:rsidRPr="00012C3F">
        <w:rPr>
          <w:rFonts w:eastAsia="MS Mincho"/>
          <w:sz w:val="20"/>
          <w:szCs w:val="20"/>
          <w:lang w:val="en-US"/>
        </w:rPr>
        <w:t>become a complainant in the proceedings, and the fact that she did not denounce the domestic judges, were submitted for the first time in its final oral and written arguments before this Court. The Court recalls that</w:t>
      </w:r>
      <w:r w:rsidR="00493EFF" w:rsidRPr="00012C3F">
        <w:rPr>
          <w:rFonts w:eastAsia="MS Mincho"/>
          <w:sz w:val="20"/>
          <w:szCs w:val="20"/>
          <w:lang w:val="en-US"/>
        </w:rPr>
        <w:t xml:space="preserve"> the</w:t>
      </w:r>
      <w:r w:rsidR="00657616" w:rsidRPr="00012C3F">
        <w:rPr>
          <w:rFonts w:eastAsia="MS Mincho"/>
          <w:sz w:val="20"/>
          <w:szCs w:val="20"/>
          <w:lang w:val="en-US"/>
        </w:rPr>
        <w:t xml:space="preserve"> final arguments are essentially an opportunity to systematize the legal and factual arguments that have already been presented at the proper opportunity.</w:t>
      </w:r>
      <w:r w:rsidR="00502B43" w:rsidRPr="00012C3F">
        <w:rPr>
          <w:rStyle w:val="Refdenotaalpie"/>
          <w:rFonts w:eastAsia="MS Mincho"/>
          <w:sz w:val="20"/>
          <w:lang w:val="en-US"/>
        </w:rPr>
        <w:footnoteReference w:id="363"/>
      </w:r>
      <w:r w:rsidR="00BE5A0C" w:rsidRPr="00012C3F">
        <w:rPr>
          <w:rFonts w:eastAsia="MS Mincho"/>
          <w:sz w:val="20"/>
          <w:szCs w:val="20"/>
          <w:lang w:val="en-US"/>
        </w:rPr>
        <w:t xml:space="preserve"> </w:t>
      </w:r>
      <w:r w:rsidR="006C705C" w:rsidRPr="00012C3F">
        <w:rPr>
          <w:rFonts w:eastAsia="MS Mincho"/>
          <w:sz w:val="20"/>
          <w:szCs w:val="20"/>
          <w:lang w:val="en-US"/>
        </w:rPr>
        <w:t>In this case</w:t>
      </w:r>
      <w:r w:rsidR="00BE5A0C" w:rsidRPr="00012C3F">
        <w:rPr>
          <w:rFonts w:eastAsia="MS Mincho"/>
          <w:sz w:val="20"/>
          <w:szCs w:val="20"/>
          <w:lang w:val="en-US"/>
        </w:rPr>
        <w:t xml:space="preserve">, </w:t>
      </w:r>
      <w:r w:rsidR="001254DE" w:rsidRPr="00012C3F">
        <w:rPr>
          <w:rFonts w:eastAsia="MS Mincho"/>
          <w:sz w:val="20"/>
          <w:szCs w:val="20"/>
          <w:lang w:val="en-US"/>
        </w:rPr>
        <w:t>the Court</w:t>
      </w:r>
      <w:r w:rsidR="00BE5A0C" w:rsidRPr="00012C3F">
        <w:rPr>
          <w:rFonts w:eastAsia="MS Mincho"/>
          <w:sz w:val="20"/>
          <w:szCs w:val="20"/>
          <w:lang w:val="en-US"/>
        </w:rPr>
        <w:t xml:space="preserve"> </w:t>
      </w:r>
      <w:r w:rsidR="00657616" w:rsidRPr="00012C3F">
        <w:rPr>
          <w:rFonts w:eastAsia="MS Mincho"/>
          <w:sz w:val="20"/>
          <w:szCs w:val="20"/>
          <w:lang w:val="en-US"/>
        </w:rPr>
        <w:t xml:space="preserve">considers that these arguments, even though they were submitted in relation to the merits of the matters, refer to questions of admissibility and could be considered </w:t>
      </w:r>
      <w:r w:rsidR="008B4719" w:rsidRPr="00012C3F">
        <w:rPr>
          <w:rFonts w:eastAsia="MS Mincho"/>
          <w:sz w:val="20"/>
          <w:szCs w:val="20"/>
          <w:lang w:val="en-US"/>
        </w:rPr>
        <w:t>partially</w:t>
      </w:r>
      <w:r w:rsidR="00657616" w:rsidRPr="00012C3F">
        <w:rPr>
          <w:rFonts w:eastAsia="MS Mincho"/>
          <w:sz w:val="20"/>
          <w:szCs w:val="20"/>
          <w:lang w:val="en-US"/>
        </w:rPr>
        <w:t xml:space="preserve"> contradict</w:t>
      </w:r>
      <w:r w:rsidR="008B4719" w:rsidRPr="00012C3F">
        <w:rPr>
          <w:rFonts w:eastAsia="MS Mincho"/>
          <w:sz w:val="20"/>
          <w:szCs w:val="20"/>
          <w:lang w:val="en-US"/>
        </w:rPr>
        <w:t>ory</w:t>
      </w:r>
      <w:r w:rsidR="00657616" w:rsidRPr="00012C3F">
        <w:rPr>
          <w:rFonts w:eastAsia="MS Mincho"/>
          <w:sz w:val="20"/>
          <w:szCs w:val="20"/>
          <w:lang w:val="en-US"/>
        </w:rPr>
        <w:t xml:space="preserve"> to the objection of failure to exhaust domestic remedies filed by the State. Hence, they will not be taken into account, because their presentation was time-barred.</w:t>
      </w:r>
    </w:p>
    <w:p w14:paraId="1FB2B4A1" w14:textId="77777777" w:rsidR="00BE5A0C" w:rsidRPr="00012C3F" w:rsidRDefault="00BE5A0C" w:rsidP="00BE5A0C">
      <w:pPr>
        <w:tabs>
          <w:tab w:val="left" w:pos="567"/>
        </w:tabs>
        <w:spacing w:line="240" w:lineRule="auto"/>
        <w:rPr>
          <w:rFonts w:eastAsia="MS Mincho"/>
          <w:sz w:val="20"/>
          <w:szCs w:val="20"/>
          <w:lang w:val="en-US"/>
        </w:rPr>
      </w:pPr>
    </w:p>
    <w:p w14:paraId="25C8575C" w14:textId="77777777" w:rsidR="00502B43" w:rsidRPr="00012C3F" w:rsidRDefault="00657616" w:rsidP="00375A37">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In addition, </w:t>
      </w:r>
      <w:r w:rsidR="008B4719" w:rsidRPr="00012C3F">
        <w:rPr>
          <w:rFonts w:eastAsia="MS Mincho"/>
          <w:sz w:val="20"/>
          <w:szCs w:val="20"/>
          <w:lang w:val="en-US"/>
        </w:rPr>
        <w:t>regarding</w:t>
      </w:r>
      <w:r w:rsidRPr="00012C3F">
        <w:rPr>
          <w:rFonts w:eastAsia="MS Mincho"/>
          <w:sz w:val="20"/>
          <w:szCs w:val="20"/>
          <w:lang w:val="en-US"/>
        </w:rPr>
        <w:t xml:space="preserve"> the State’s arguments concerning the fourth instance, the Court finds it pertinent to recall that the international jurisdiction does not exercise the functions of a court of “fourth instance,” nor is it a higher court or a court of appeal to resolve disagreements </w:t>
      </w:r>
      <w:r w:rsidR="008B4719" w:rsidRPr="00012C3F">
        <w:rPr>
          <w:rFonts w:eastAsia="MS Mincho"/>
          <w:sz w:val="20"/>
          <w:szCs w:val="20"/>
          <w:lang w:val="en-US"/>
        </w:rPr>
        <w:t>between</w:t>
      </w:r>
      <w:r w:rsidRPr="00012C3F">
        <w:rPr>
          <w:rFonts w:eastAsia="MS Mincho"/>
          <w:sz w:val="20"/>
          <w:szCs w:val="20"/>
          <w:lang w:val="en-US"/>
        </w:rPr>
        <w:t xml:space="preserve"> the parties regarding </w:t>
      </w:r>
      <w:r w:rsidR="008B4719" w:rsidRPr="00012C3F">
        <w:rPr>
          <w:rFonts w:eastAsia="MS Mincho"/>
          <w:sz w:val="20"/>
          <w:szCs w:val="20"/>
          <w:lang w:val="en-US"/>
        </w:rPr>
        <w:t>aspects</w:t>
      </w:r>
      <w:r w:rsidRPr="00012C3F">
        <w:rPr>
          <w:rFonts w:eastAsia="MS Mincho"/>
          <w:sz w:val="20"/>
          <w:szCs w:val="20"/>
          <w:lang w:val="en-US"/>
        </w:rPr>
        <w:t xml:space="preserve"> of a</w:t>
      </w:r>
      <w:r w:rsidR="006C705C" w:rsidRPr="00012C3F">
        <w:rPr>
          <w:rFonts w:eastAsia="MS Mincho"/>
          <w:sz w:val="20"/>
          <w:szCs w:val="20"/>
          <w:lang w:val="en-US"/>
        </w:rPr>
        <w:t>ssessment of the evidence</w:t>
      </w:r>
      <w:r w:rsidR="00502B43" w:rsidRPr="00012C3F">
        <w:rPr>
          <w:rFonts w:eastAsia="MS Mincho"/>
          <w:sz w:val="20"/>
          <w:szCs w:val="20"/>
          <w:lang w:val="en-US"/>
        </w:rPr>
        <w:t xml:space="preserve"> o</w:t>
      </w:r>
      <w:r w:rsidRPr="00012C3F">
        <w:rPr>
          <w:rFonts w:eastAsia="MS Mincho"/>
          <w:sz w:val="20"/>
          <w:szCs w:val="20"/>
          <w:lang w:val="en-US"/>
        </w:rPr>
        <w:t xml:space="preserve">r application of domestic law on </w:t>
      </w:r>
      <w:r w:rsidR="008B4719" w:rsidRPr="00012C3F">
        <w:rPr>
          <w:rFonts w:eastAsia="MS Mincho"/>
          <w:sz w:val="20"/>
          <w:szCs w:val="20"/>
          <w:lang w:val="en-US"/>
        </w:rPr>
        <w:t xml:space="preserve">matters </w:t>
      </w:r>
      <w:r w:rsidRPr="00012C3F">
        <w:rPr>
          <w:rFonts w:eastAsia="MS Mincho"/>
          <w:sz w:val="20"/>
          <w:szCs w:val="20"/>
          <w:lang w:val="en-US"/>
        </w:rPr>
        <w:t>that are not directly related to compliance with international human rights obligations.</w:t>
      </w:r>
      <w:r w:rsidRPr="00012C3F">
        <w:rPr>
          <w:rFonts w:eastAsia="MS Mincho"/>
          <w:sz w:val="20"/>
          <w:szCs w:val="20"/>
          <w:vertAlign w:val="superscript"/>
          <w:lang w:val="en-US"/>
        </w:rPr>
        <w:footnoteReference w:id="364"/>
      </w:r>
      <w:r w:rsidRPr="00012C3F">
        <w:rPr>
          <w:rFonts w:eastAsia="MS Mincho"/>
          <w:sz w:val="20"/>
          <w:szCs w:val="20"/>
          <w:lang w:val="en-US"/>
        </w:rPr>
        <w:t xml:space="preserve"> On this point, it is pertinent to recall that the Court has stated that, </w:t>
      </w:r>
      <w:r w:rsidR="00E748EB" w:rsidRPr="00012C3F">
        <w:rPr>
          <w:rFonts w:eastAsia="MS Mincho"/>
          <w:sz w:val="20"/>
          <w:szCs w:val="20"/>
          <w:lang w:val="en-US"/>
        </w:rPr>
        <w:t xml:space="preserve">if </w:t>
      </w:r>
      <w:r w:rsidR="008B4719" w:rsidRPr="00012C3F">
        <w:rPr>
          <w:rFonts w:eastAsia="MS Mincho"/>
          <w:sz w:val="20"/>
          <w:szCs w:val="20"/>
          <w:lang w:val="en-US"/>
        </w:rPr>
        <w:t>the intention is for</w:t>
      </w:r>
      <w:r w:rsidR="00E748EB" w:rsidRPr="00012C3F">
        <w:rPr>
          <w:rFonts w:eastAsia="MS Mincho"/>
          <w:sz w:val="20"/>
          <w:szCs w:val="20"/>
          <w:lang w:val="en-US"/>
        </w:rPr>
        <w:t xml:space="preserve"> the Court to act as a higher court in relation to the scope of the evidence and of domestic law, this would </w:t>
      </w:r>
      <w:r w:rsidR="008B4719" w:rsidRPr="00012C3F">
        <w:rPr>
          <w:rFonts w:eastAsia="MS Mincho"/>
          <w:sz w:val="20"/>
          <w:szCs w:val="20"/>
          <w:lang w:val="en-US"/>
        </w:rPr>
        <w:t>involve</w:t>
      </w:r>
      <w:r w:rsidR="00E748EB" w:rsidRPr="00012C3F">
        <w:rPr>
          <w:rFonts w:eastAsia="MS Mincho"/>
          <w:sz w:val="20"/>
          <w:szCs w:val="20"/>
          <w:lang w:val="en-US"/>
        </w:rPr>
        <w:t xml:space="preserve"> submitting</w:t>
      </w:r>
      <w:r w:rsidR="008B4719" w:rsidRPr="00012C3F">
        <w:rPr>
          <w:rFonts w:eastAsia="MS Mincho"/>
          <w:sz w:val="20"/>
          <w:szCs w:val="20"/>
          <w:lang w:val="en-US"/>
        </w:rPr>
        <w:t xml:space="preserve"> to the Court</w:t>
      </w:r>
      <w:r w:rsidR="00E748EB" w:rsidRPr="00012C3F">
        <w:rPr>
          <w:rFonts w:eastAsia="MS Mincho"/>
          <w:sz w:val="20"/>
          <w:szCs w:val="20"/>
          <w:lang w:val="en-US"/>
        </w:rPr>
        <w:t xml:space="preserve"> a matter </w:t>
      </w:r>
      <w:r w:rsidR="008B4719" w:rsidRPr="00012C3F">
        <w:rPr>
          <w:rFonts w:eastAsia="MS Mincho"/>
          <w:sz w:val="20"/>
          <w:szCs w:val="20"/>
          <w:lang w:val="en-US"/>
        </w:rPr>
        <w:t>regarding</w:t>
      </w:r>
      <w:r w:rsidR="00E748EB" w:rsidRPr="00012C3F">
        <w:rPr>
          <w:rFonts w:eastAsia="MS Mincho"/>
          <w:sz w:val="20"/>
          <w:szCs w:val="20"/>
          <w:lang w:val="en-US"/>
        </w:rPr>
        <w:t xml:space="preserve"> which </w:t>
      </w:r>
      <w:r w:rsidR="008B4719" w:rsidRPr="00012C3F">
        <w:rPr>
          <w:rFonts w:eastAsia="MS Mincho"/>
          <w:sz w:val="20"/>
          <w:szCs w:val="20"/>
          <w:lang w:val="en-US"/>
        </w:rPr>
        <w:t xml:space="preserve">it </w:t>
      </w:r>
      <w:r w:rsidR="00E748EB" w:rsidRPr="00012C3F">
        <w:rPr>
          <w:rFonts w:eastAsia="MS Mincho"/>
          <w:sz w:val="20"/>
          <w:szCs w:val="20"/>
          <w:lang w:val="en-US"/>
        </w:rPr>
        <w:t>could not rule and does not have jurisdiction owing to the subsidiary competence of an international court. In this regard, the scope for the Inter-American Court to review a ruling of a domestic court relates to whether that decision  violated international treaties for which the Court has jurisdiction.</w:t>
      </w:r>
      <w:r w:rsidR="00502B43" w:rsidRPr="00012C3F">
        <w:rPr>
          <w:rFonts w:eastAsia="MS Mincho"/>
          <w:sz w:val="20"/>
          <w:szCs w:val="20"/>
          <w:vertAlign w:val="superscript"/>
          <w:lang w:val="en-US"/>
        </w:rPr>
        <w:footnoteReference w:id="365"/>
      </w:r>
      <w:r w:rsidR="00502B43" w:rsidRPr="00012C3F">
        <w:rPr>
          <w:rFonts w:eastAsia="MS Mincho"/>
          <w:sz w:val="20"/>
          <w:szCs w:val="20"/>
          <w:lang w:val="en-US"/>
        </w:rPr>
        <w:t xml:space="preserve"> </w:t>
      </w:r>
      <w:r w:rsidR="008B4719" w:rsidRPr="00012C3F">
        <w:rPr>
          <w:rFonts w:eastAsia="MS Mincho"/>
          <w:sz w:val="20"/>
          <w:szCs w:val="20"/>
          <w:lang w:val="en-US"/>
        </w:rPr>
        <w:t>If this is the case</w:t>
      </w:r>
      <w:r w:rsidR="00E748EB" w:rsidRPr="00012C3F">
        <w:rPr>
          <w:rFonts w:eastAsia="MS Mincho"/>
          <w:sz w:val="20"/>
          <w:szCs w:val="20"/>
          <w:lang w:val="en-US"/>
        </w:rPr>
        <w:t>, the determination of whether or not the actions of administrative or judicial organs constitute</w:t>
      </w:r>
      <w:r w:rsidR="008B4719" w:rsidRPr="00012C3F">
        <w:rPr>
          <w:rFonts w:eastAsia="MS Mincho"/>
          <w:sz w:val="20"/>
          <w:szCs w:val="20"/>
          <w:lang w:val="en-US"/>
        </w:rPr>
        <w:t>d</w:t>
      </w:r>
      <w:r w:rsidR="00E748EB" w:rsidRPr="00012C3F">
        <w:rPr>
          <w:rFonts w:eastAsia="MS Mincho"/>
          <w:sz w:val="20"/>
          <w:szCs w:val="20"/>
          <w:lang w:val="en-US"/>
        </w:rPr>
        <w:t xml:space="preserve"> a violation of the State’s international obligations may result in the Court having to examine the respective domestic proceedings to establish whether they were compatible with </w:t>
      </w:r>
      <w:r w:rsidR="001254DE" w:rsidRPr="00012C3F">
        <w:rPr>
          <w:rFonts w:eastAsia="MS Mincho"/>
          <w:sz w:val="20"/>
          <w:szCs w:val="20"/>
          <w:lang w:val="en-US"/>
        </w:rPr>
        <w:t>the American Convention</w:t>
      </w:r>
      <w:r w:rsidR="00E748EB" w:rsidRPr="00012C3F">
        <w:rPr>
          <w:rFonts w:eastAsia="MS Mincho"/>
          <w:sz w:val="20"/>
          <w:szCs w:val="20"/>
          <w:lang w:val="en-US"/>
        </w:rPr>
        <w:t>.</w:t>
      </w:r>
      <w:r w:rsidR="00502B43" w:rsidRPr="00012C3F">
        <w:rPr>
          <w:rFonts w:eastAsia="MS Mincho"/>
          <w:sz w:val="20"/>
          <w:szCs w:val="20"/>
          <w:vertAlign w:val="superscript"/>
          <w:lang w:val="en-US"/>
        </w:rPr>
        <w:footnoteReference w:id="366"/>
      </w:r>
    </w:p>
    <w:p w14:paraId="11CC3A38" w14:textId="77777777" w:rsidR="00E748EB" w:rsidRPr="00012C3F" w:rsidRDefault="00E748EB" w:rsidP="00E748EB">
      <w:pPr>
        <w:tabs>
          <w:tab w:val="left" w:pos="720"/>
        </w:tabs>
        <w:spacing w:line="240" w:lineRule="auto"/>
        <w:rPr>
          <w:rFonts w:eastAsia="MS Mincho"/>
          <w:sz w:val="20"/>
          <w:szCs w:val="20"/>
          <w:lang w:val="en-US"/>
        </w:rPr>
      </w:pPr>
    </w:p>
    <w:p w14:paraId="62E228FE" w14:textId="77777777" w:rsidR="00107455" w:rsidRPr="00012C3F" w:rsidRDefault="001254DE" w:rsidP="00DF3CCC">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The Court</w:t>
      </w:r>
      <w:r w:rsidR="00AA380D" w:rsidRPr="00012C3F">
        <w:rPr>
          <w:rFonts w:eastAsia="MS Mincho"/>
          <w:sz w:val="20"/>
          <w:szCs w:val="20"/>
          <w:lang w:val="en-US"/>
        </w:rPr>
        <w:t xml:space="preserve"> rec</w:t>
      </w:r>
      <w:r w:rsidR="00E748EB" w:rsidRPr="00012C3F">
        <w:rPr>
          <w:rFonts w:eastAsia="MS Mincho"/>
          <w:sz w:val="20"/>
          <w:szCs w:val="20"/>
          <w:lang w:val="en-US"/>
        </w:rPr>
        <w:t>alls that, regarding the</w:t>
      </w:r>
      <w:r w:rsidR="00DF3CCC" w:rsidRPr="00012C3F">
        <w:rPr>
          <w:rFonts w:eastAsia="MS Mincho"/>
          <w:sz w:val="20"/>
          <w:szCs w:val="20"/>
          <w:lang w:val="en-US"/>
        </w:rPr>
        <w:t xml:space="preserve"> </w:t>
      </w:r>
      <w:r w:rsidR="00E748EB" w:rsidRPr="00012C3F">
        <w:rPr>
          <w:rFonts w:eastAsia="MS Mincho"/>
          <w:sz w:val="20"/>
          <w:szCs w:val="20"/>
          <w:lang w:val="en-US"/>
        </w:rPr>
        <w:t>facts of this case, three audits were conducted</w:t>
      </w:r>
      <w:r w:rsidR="00DF3CCC" w:rsidRPr="00012C3F">
        <w:rPr>
          <w:rFonts w:eastAsia="MS Mincho"/>
          <w:sz w:val="20"/>
          <w:szCs w:val="20"/>
          <w:lang w:val="en-US"/>
        </w:rPr>
        <w:t>;</w:t>
      </w:r>
      <w:r w:rsidR="00E748EB" w:rsidRPr="00012C3F">
        <w:rPr>
          <w:rFonts w:eastAsia="MS Mincho"/>
          <w:sz w:val="20"/>
          <w:szCs w:val="20"/>
          <w:lang w:val="en-US"/>
        </w:rPr>
        <w:t xml:space="preserve"> </w:t>
      </w:r>
      <w:r w:rsidR="008379AC" w:rsidRPr="00012C3F">
        <w:rPr>
          <w:rFonts w:eastAsia="MS Mincho"/>
          <w:sz w:val="20"/>
          <w:szCs w:val="20"/>
          <w:lang w:val="en-US"/>
        </w:rPr>
        <w:t xml:space="preserve">the Ethics </w:t>
      </w:r>
      <w:r w:rsidR="00F36FE0" w:rsidRPr="00012C3F">
        <w:rPr>
          <w:rFonts w:eastAsia="MS Mincho"/>
          <w:sz w:val="20"/>
          <w:szCs w:val="20"/>
          <w:lang w:val="en-US"/>
        </w:rPr>
        <w:t>Tribunal of the La</w:t>
      </w:r>
      <w:r w:rsidR="008379AC" w:rsidRPr="00012C3F">
        <w:rPr>
          <w:rFonts w:eastAsia="MS Mincho"/>
          <w:sz w:val="20"/>
          <w:szCs w:val="20"/>
          <w:lang w:val="en-US"/>
        </w:rPr>
        <w:t xml:space="preserve"> Paz Departmental </w:t>
      </w:r>
      <w:r w:rsidR="00164743" w:rsidRPr="00012C3F">
        <w:rPr>
          <w:rFonts w:eastAsia="MS Mincho"/>
          <w:sz w:val="20"/>
          <w:szCs w:val="20"/>
          <w:lang w:val="en-US"/>
        </w:rPr>
        <w:t>Medical Association</w:t>
      </w:r>
      <w:r w:rsidR="00DF3CCC" w:rsidRPr="00012C3F">
        <w:rPr>
          <w:rFonts w:eastAsia="MS Mincho"/>
          <w:sz w:val="20"/>
          <w:szCs w:val="20"/>
          <w:lang w:val="en-US"/>
        </w:rPr>
        <w:t xml:space="preserve"> issued a ruling;</w:t>
      </w:r>
      <w:r w:rsidR="00AA380D" w:rsidRPr="00012C3F">
        <w:rPr>
          <w:rFonts w:eastAsia="MS Mincho"/>
          <w:sz w:val="20"/>
          <w:szCs w:val="20"/>
          <w:lang w:val="en-US"/>
        </w:rPr>
        <w:t xml:space="preserve"> </w:t>
      </w:r>
      <w:r w:rsidR="00DF3CCC" w:rsidRPr="00012C3F">
        <w:rPr>
          <w:rFonts w:eastAsia="MS Mincho"/>
          <w:sz w:val="20"/>
          <w:szCs w:val="20"/>
          <w:lang w:val="en-US"/>
        </w:rPr>
        <w:t xml:space="preserve">an administrative proceeding was conducted before </w:t>
      </w:r>
      <w:r w:rsidR="00833C77" w:rsidRPr="00012C3F">
        <w:rPr>
          <w:rFonts w:eastAsia="MS Mincho"/>
          <w:sz w:val="20"/>
          <w:szCs w:val="20"/>
          <w:lang w:val="en-US"/>
        </w:rPr>
        <w:t>the Legal Advisory Services Unit</w:t>
      </w:r>
      <w:r w:rsidR="00AA380D" w:rsidRPr="00012C3F">
        <w:rPr>
          <w:sz w:val="20"/>
          <w:szCs w:val="20"/>
          <w:lang w:val="en-US"/>
        </w:rPr>
        <w:t xml:space="preserve"> </w:t>
      </w:r>
      <w:r w:rsidR="00833C77" w:rsidRPr="00012C3F">
        <w:rPr>
          <w:sz w:val="20"/>
          <w:szCs w:val="20"/>
          <w:lang w:val="en-US"/>
        </w:rPr>
        <w:t>of the La Paz Departmental Health Service</w:t>
      </w:r>
      <w:r w:rsidR="005E5012" w:rsidRPr="00012C3F">
        <w:rPr>
          <w:rFonts w:eastAsia="MS Mincho"/>
          <w:sz w:val="20"/>
          <w:szCs w:val="20"/>
          <w:lang w:val="en-US"/>
        </w:rPr>
        <w:t xml:space="preserve"> and </w:t>
      </w:r>
      <w:r w:rsidR="00DF3CCC" w:rsidRPr="00012C3F">
        <w:rPr>
          <w:rFonts w:eastAsia="MS Mincho"/>
          <w:sz w:val="20"/>
          <w:szCs w:val="20"/>
          <w:lang w:val="en-US"/>
        </w:rPr>
        <w:t>also</w:t>
      </w:r>
      <w:r w:rsidR="00AA380D" w:rsidRPr="00012C3F">
        <w:rPr>
          <w:rFonts w:eastAsia="MS Mincho"/>
          <w:sz w:val="20"/>
          <w:szCs w:val="20"/>
          <w:lang w:val="en-US"/>
        </w:rPr>
        <w:t xml:space="preserve"> </w:t>
      </w:r>
      <w:r w:rsidR="00DF3CCC" w:rsidRPr="00012C3F">
        <w:rPr>
          <w:rFonts w:eastAsia="MS Mincho"/>
          <w:sz w:val="20"/>
          <w:szCs w:val="20"/>
          <w:lang w:val="en-US"/>
        </w:rPr>
        <w:t>c</w:t>
      </w:r>
      <w:r w:rsidR="006C705C" w:rsidRPr="00012C3F">
        <w:rPr>
          <w:rFonts w:eastAsia="MS Mincho"/>
          <w:sz w:val="20"/>
          <w:szCs w:val="20"/>
          <w:lang w:val="en-US"/>
        </w:rPr>
        <w:t>riminal proceedings</w:t>
      </w:r>
      <w:r w:rsidR="00AA380D" w:rsidRPr="00012C3F">
        <w:rPr>
          <w:rFonts w:eastAsia="MS Mincho"/>
          <w:sz w:val="20"/>
          <w:szCs w:val="20"/>
          <w:lang w:val="en-US"/>
        </w:rPr>
        <w:t xml:space="preserve"> </w:t>
      </w:r>
      <w:r w:rsidR="00DF3CCC" w:rsidRPr="00012C3F">
        <w:rPr>
          <w:rFonts w:eastAsia="MS Mincho"/>
          <w:sz w:val="20"/>
          <w:szCs w:val="20"/>
          <w:lang w:val="en-US"/>
        </w:rPr>
        <w:t>for the offense of injuries that ended with the extinction of the criminal action</w:t>
      </w:r>
      <w:r w:rsidR="00F57C5C" w:rsidRPr="00012C3F">
        <w:rPr>
          <w:rFonts w:eastAsia="MS Mincho"/>
          <w:sz w:val="20"/>
          <w:szCs w:val="20"/>
          <w:lang w:val="en-US"/>
        </w:rPr>
        <w:t xml:space="preserve"> (</w:t>
      </w:r>
      <w:r w:rsidR="00F57C5C" w:rsidRPr="00012C3F">
        <w:rPr>
          <w:rFonts w:eastAsia="MS Mincho"/>
          <w:i/>
          <w:sz w:val="20"/>
          <w:szCs w:val="20"/>
          <w:lang w:val="en-US"/>
        </w:rPr>
        <w:t>supra</w:t>
      </w:r>
      <w:r w:rsidR="00F57C5C" w:rsidRPr="00012C3F">
        <w:rPr>
          <w:rFonts w:eastAsia="MS Mincho"/>
          <w:sz w:val="20"/>
          <w:szCs w:val="20"/>
          <w:lang w:val="en-US"/>
        </w:rPr>
        <w:t xml:space="preserve"> </w:t>
      </w:r>
      <w:r w:rsidR="00370DD4" w:rsidRPr="00012C3F">
        <w:rPr>
          <w:rFonts w:eastAsia="MS Mincho"/>
          <w:sz w:val="20"/>
          <w:szCs w:val="20"/>
          <w:lang w:val="en-US"/>
        </w:rPr>
        <w:t>paras.</w:t>
      </w:r>
      <w:r w:rsidR="00F57C5C" w:rsidRPr="00012C3F">
        <w:rPr>
          <w:rFonts w:eastAsia="MS Mincho"/>
          <w:sz w:val="20"/>
          <w:szCs w:val="20"/>
          <w:lang w:val="en-US"/>
        </w:rPr>
        <w:t xml:space="preserve"> </w:t>
      </w:r>
      <w:r w:rsidR="00CD5C6F" w:rsidRPr="00012C3F">
        <w:rPr>
          <w:rFonts w:eastAsia="MS Mincho"/>
          <w:sz w:val="20"/>
          <w:szCs w:val="20"/>
          <w:lang w:val="en-US"/>
        </w:rPr>
        <w:t>72</w:t>
      </w:r>
      <w:r w:rsidR="00D06231" w:rsidRPr="00012C3F">
        <w:rPr>
          <w:rFonts w:eastAsia="MS Mincho"/>
          <w:sz w:val="20"/>
          <w:szCs w:val="20"/>
          <w:lang w:val="en-US"/>
        </w:rPr>
        <w:t xml:space="preserve"> </w:t>
      </w:r>
      <w:r w:rsidR="00DF3CCC" w:rsidRPr="00012C3F">
        <w:rPr>
          <w:rFonts w:eastAsia="MS Mincho"/>
          <w:sz w:val="20"/>
          <w:szCs w:val="20"/>
          <w:lang w:val="en-US"/>
        </w:rPr>
        <w:t>to</w:t>
      </w:r>
      <w:r w:rsidR="00D06231" w:rsidRPr="00012C3F">
        <w:rPr>
          <w:rFonts w:eastAsia="MS Mincho"/>
          <w:sz w:val="20"/>
          <w:szCs w:val="20"/>
          <w:lang w:val="en-US"/>
        </w:rPr>
        <w:t xml:space="preserve"> 113</w:t>
      </w:r>
      <w:r w:rsidR="00F57C5C" w:rsidRPr="00012C3F">
        <w:rPr>
          <w:rFonts w:eastAsia="MS Mincho"/>
          <w:sz w:val="20"/>
          <w:szCs w:val="20"/>
          <w:lang w:val="en-US"/>
        </w:rPr>
        <w:t>)</w:t>
      </w:r>
      <w:r w:rsidR="00AA380D" w:rsidRPr="00012C3F">
        <w:rPr>
          <w:rFonts w:eastAsia="MS Mincho"/>
          <w:sz w:val="20"/>
          <w:szCs w:val="20"/>
          <w:lang w:val="en-US"/>
        </w:rPr>
        <w:t xml:space="preserve">. </w:t>
      </w:r>
      <w:r w:rsidR="00DF3CCC" w:rsidRPr="00012C3F">
        <w:rPr>
          <w:rFonts w:eastAsia="MS Mincho"/>
          <w:sz w:val="20"/>
          <w:szCs w:val="20"/>
          <w:lang w:val="en-US"/>
        </w:rPr>
        <w:t xml:space="preserve">Despite the different </w:t>
      </w:r>
      <w:r w:rsidR="008B4719" w:rsidRPr="00012C3F">
        <w:rPr>
          <w:rFonts w:eastAsia="MS Mincho"/>
          <w:sz w:val="20"/>
          <w:szCs w:val="20"/>
          <w:lang w:val="en-US"/>
        </w:rPr>
        <w:t>measures</w:t>
      </w:r>
      <w:r w:rsidR="00DF3CCC" w:rsidRPr="00012C3F">
        <w:rPr>
          <w:rFonts w:eastAsia="MS Mincho"/>
          <w:sz w:val="20"/>
          <w:szCs w:val="20"/>
          <w:lang w:val="en-US"/>
        </w:rPr>
        <w:t xml:space="preserve"> taken by the State as a result of I.V.’s complaints, no one has been declared responsible, in either the disciplinary, administrative or criminal processes, for the non-</w:t>
      </w:r>
      <w:r w:rsidR="00271E24" w:rsidRPr="00012C3F">
        <w:rPr>
          <w:rFonts w:eastAsia="MS Mincho"/>
          <w:sz w:val="20"/>
          <w:szCs w:val="20"/>
          <w:lang w:val="en-US"/>
        </w:rPr>
        <w:t>consensual sterilization</w:t>
      </w:r>
      <w:r w:rsidR="00107455" w:rsidRPr="00012C3F">
        <w:rPr>
          <w:rFonts w:eastAsia="MS Mincho"/>
          <w:sz w:val="20"/>
          <w:szCs w:val="20"/>
          <w:lang w:val="en-US"/>
        </w:rPr>
        <w:t xml:space="preserve"> </w:t>
      </w:r>
      <w:r w:rsidR="00DF3CCC" w:rsidRPr="00012C3F">
        <w:rPr>
          <w:rFonts w:eastAsia="MS Mincho"/>
          <w:sz w:val="20"/>
          <w:szCs w:val="20"/>
          <w:lang w:val="en-US"/>
        </w:rPr>
        <w:t xml:space="preserve">to </w:t>
      </w:r>
      <w:r w:rsidR="009D3EE9" w:rsidRPr="00012C3F">
        <w:rPr>
          <w:rFonts w:eastAsia="MS Mincho"/>
          <w:sz w:val="20"/>
          <w:szCs w:val="20"/>
          <w:lang w:val="en-US"/>
        </w:rPr>
        <w:t>which</w:t>
      </w:r>
      <w:r w:rsidR="00DF3CCC" w:rsidRPr="00012C3F">
        <w:rPr>
          <w:rFonts w:eastAsia="MS Mincho"/>
          <w:sz w:val="20"/>
          <w:szCs w:val="20"/>
          <w:lang w:val="en-US"/>
        </w:rPr>
        <w:t xml:space="preserve"> I.V. was subjected, and she has not received civil reparation owing to the decision that extinguished the criminal action</w:t>
      </w:r>
      <w:r w:rsidR="00107455" w:rsidRPr="00012C3F">
        <w:rPr>
          <w:rFonts w:eastAsia="MS Mincho"/>
          <w:sz w:val="20"/>
          <w:szCs w:val="20"/>
          <w:lang w:val="en-US"/>
        </w:rPr>
        <w:t>.</w:t>
      </w:r>
    </w:p>
    <w:p w14:paraId="194B9063" w14:textId="77777777" w:rsidR="00107455" w:rsidRPr="00012C3F" w:rsidRDefault="00107455" w:rsidP="00107455">
      <w:pPr>
        <w:tabs>
          <w:tab w:val="left" w:pos="720"/>
        </w:tabs>
        <w:spacing w:line="240" w:lineRule="auto"/>
        <w:rPr>
          <w:rFonts w:eastAsia="MS Mincho"/>
          <w:sz w:val="20"/>
          <w:szCs w:val="20"/>
          <w:lang w:val="en-US"/>
        </w:rPr>
      </w:pPr>
    </w:p>
    <w:p w14:paraId="02EEDFF7" w14:textId="77777777" w:rsidR="00921596" w:rsidRPr="00012C3F" w:rsidRDefault="001254DE" w:rsidP="00B357BB">
      <w:pPr>
        <w:numPr>
          <w:ilvl w:val="0"/>
          <w:numId w:val="5"/>
        </w:numPr>
        <w:tabs>
          <w:tab w:val="left" w:pos="567"/>
          <w:tab w:val="num" w:pos="12305"/>
        </w:tabs>
        <w:spacing w:line="240" w:lineRule="auto"/>
        <w:ind w:left="0" w:firstLine="0"/>
        <w:rPr>
          <w:rFonts w:eastAsia="MS Mincho"/>
          <w:sz w:val="20"/>
          <w:szCs w:val="20"/>
          <w:lang w:val="en-US"/>
        </w:rPr>
      </w:pPr>
      <w:r w:rsidRPr="00012C3F">
        <w:rPr>
          <w:rFonts w:eastAsia="MS Mincho"/>
          <w:sz w:val="20"/>
          <w:szCs w:val="20"/>
          <w:lang w:val="en-US"/>
        </w:rPr>
        <w:t>The Court</w:t>
      </w:r>
      <w:r w:rsidR="00640E30" w:rsidRPr="00012C3F">
        <w:rPr>
          <w:rFonts w:eastAsia="MS Mincho"/>
          <w:sz w:val="20"/>
          <w:szCs w:val="20"/>
          <w:lang w:val="en-US"/>
        </w:rPr>
        <w:t xml:space="preserve"> not</w:t>
      </w:r>
      <w:r w:rsidR="00DF3CCC" w:rsidRPr="00012C3F">
        <w:rPr>
          <w:rFonts w:eastAsia="MS Mincho"/>
          <w:sz w:val="20"/>
          <w:szCs w:val="20"/>
          <w:lang w:val="en-US"/>
        </w:rPr>
        <w:t>es that, based on this factual framework, the arguments concerning</w:t>
      </w:r>
      <w:r w:rsidR="00640E30" w:rsidRPr="00012C3F">
        <w:rPr>
          <w:rFonts w:eastAsia="MS Mincho"/>
          <w:sz w:val="20"/>
          <w:szCs w:val="20"/>
          <w:lang w:val="en-US"/>
        </w:rPr>
        <w:t xml:space="preserve"> </w:t>
      </w:r>
      <w:r w:rsidRPr="00012C3F">
        <w:rPr>
          <w:rFonts w:eastAsia="MS Mincho"/>
          <w:sz w:val="20"/>
          <w:szCs w:val="20"/>
          <w:lang w:val="en-US"/>
        </w:rPr>
        <w:t>Articles</w:t>
      </w:r>
      <w:r w:rsidR="00640E30" w:rsidRPr="00012C3F">
        <w:rPr>
          <w:rFonts w:eastAsia="MS Mincho"/>
          <w:sz w:val="20"/>
          <w:szCs w:val="20"/>
          <w:lang w:val="en-US"/>
        </w:rPr>
        <w:t xml:space="preserve"> </w:t>
      </w:r>
      <w:r w:rsidR="005E5012" w:rsidRPr="00012C3F">
        <w:rPr>
          <w:rFonts w:eastAsia="MS Mincho"/>
          <w:sz w:val="20"/>
          <w:szCs w:val="20"/>
          <w:lang w:val="en-US"/>
        </w:rPr>
        <w:t xml:space="preserve">8(1) and </w:t>
      </w:r>
      <w:r w:rsidR="00640E30" w:rsidRPr="00012C3F">
        <w:rPr>
          <w:rFonts w:eastAsia="MS Mincho"/>
          <w:sz w:val="20"/>
          <w:szCs w:val="20"/>
          <w:lang w:val="en-US"/>
        </w:rPr>
        <w:t>2</w:t>
      </w:r>
      <w:r w:rsidR="005E5012" w:rsidRPr="00012C3F">
        <w:rPr>
          <w:rFonts w:eastAsia="MS Mincho"/>
          <w:sz w:val="20"/>
          <w:szCs w:val="20"/>
          <w:lang w:val="en-US"/>
        </w:rPr>
        <w:t>5(1)</w:t>
      </w:r>
      <w:r w:rsidR="00640E30" w:rsidRPr="00012C3F">
        <w:rPr>
          <w:rFonts w:eastAsia="MS Mincho"/>
          <w:sz w:val="20"/>
          <w:szCs w:val="20"/>
          <w:lang w:val="en-US"/>
        </w:rPr>
        <w:t xml:space="preserve"> </w:t>
      </w:r>
      <w:r w:rsidR="00DF3CCC" w:rsidRPr="00012C3F">
        <w:rPr>
          <w:rFonts w:eastAsia="MS Mincho"/>
          <w:sz w:val="20"/>
          <w:szCs w:val="20"/>
          <w:lang w:val="en-US"/>
        </w:rPr>
        <w:t>were centered on the c</w:t>
      </w:r>
      <w:r w:rsidR="006C705C" w:rsidRPr="00012C3F">
        <w:rPr>
          <w:rFonts w:eastAsia="MS Mincho"/>
          <w:sz w:val="20"/>
          <w:szCs w:val="20"/>
          <w:lang w:val="en-US"/>
        </w:rPr>
        <w:t>riminal proceedings</w:t>
      </w:r>
      <w:r w:rsidR="00640E30" w:rsidRPr="00012C3F">
        <w:rPr>
          <w:rFonts w:eastAsia="MS Mincho"/>
          <w:sz w:val="20"/>
          <w:szCs w:val="20"/>
          <w:lang w:val="en-US"/>
        </w:rPr>
        <w:t xml:space="preserve">. </w:t>
      </w:r>
      <w:r w:rsidR="00DF3CCC" w:rsidRPr="00012C3F">
        <w:rPr>
          <w:rFonts w:eastAsia="MS Mincho"/>
          <w:sz w:val="20"/>
          <w:szCs w:val="20"/>
          <w:lang w:val="en-US"/>
        </w:rPr>
        <w:t>In their main briefs, t</w:t>
      </w:r>
      <w:r w:rsidR="00BD056C" w:rsidRPr="00012C3F">
        <w:rPr>
          <w:rFonts w:eastAsia="MS Mincho"/>
          <w:sz w:val="20"/>
          <w:szCs w:val="20"/>
          <w:lang w:val="en-US"/>
        </w:rPr>
        <w:t>he Commission</w:t>
      </w:r>
      <w:r w:rsidR="005E5012" w:rsidRPr="00012C3F">
        <w:rPr>
          <w:rFonts w:eastAsia="MS Mincho"/>
          <w:sz w:val="20"/>
          <w:szCs w:val="20"/>
          <w:lang w:val="en-US"/>
        </w:rPr>
        <w:t xml:space="preserve"> and </w:t>
      </w:r>
      <w:r w:rsidR="00972ACF" w:rsidRPr="00012C3F">
        <w:rPr>
          <w:rFonts w:eastAsia="MS Mincho"/>
          <w:sz w:val="20"/>
          <w:szCs w:val="20"/>
          <w:lang w:val="en-US"/>
        </w:rPr>
        <w:t>the representative</w:t>
      </w:r>
      <w:r w:rsidR="00502B43" w:rsidRPr="00012C3F">
        <w:rPr>
          <w:rFonts w:eastAsia="MS Mincho"/>
          <w:sz w:val="20"/>
          <w:szCs w:val="20"/>
          <w:lang w:val="en-US"/>
        </w:rPr>
        <w:t xml:space="preserve"> argu</w:t>
      </w:r>
      <w:r w:rsidR="00DF3CCC" w:rsidRPr="00012C3F">
        <w:rPr>
          <w:rFonts w:eastAsia="MS Mincho"/>
          <w:sz w:val="20"/>
          <w:szCs w:val="20"/>
          <w:lang w:val="en-US"/>
        </w:rPr>
        <w:t>ed that the c</w:t>
      </w:r>
      <w:r w:rsidR="006C705C" w:rsidRPr="00012C3F">
        <w:rPr>
          <w:rFonts w:eastAsia="MS Mincho"/>
          <w:sz w:val="20"/>
          <w:szCs w:val="20"/>
          <w:lang w:val="en-US"/>
        </w:rPr>
        <w:t>riminal proceedings</w:t>
      </w:r>
      <w:r w:rsidR="00A34109" w:rsidRPr="00012C3F">
        <w:rPr>
          <w:rFonts w:eastAsia="MS Mincho"/>
          <w:sz w:val="20"/>
          <w:szCs w:val="20"/>
          <w:lang w:val="en-US"/>
        </w:rPr>
        <w:t xml:space="preserve"> </w:t>
      </w:r>
      <w:r w:rsidR="00DF3CCC" w:rsidRPr="00012C3F">
        <w:rPr>
          <w:rFonts w:eastAsia="MS Mincho"/>
          <w:sz w:val="20"/>
          <w:szCs w:val="20"/>
          <w:lang w:val="en-US"/>
        </w:rPr>
        <w:t>filed owing to the complaints made by I.V. constituted a denial of justice pursuant to</w:t>
      </w:r>
      <w:r w:rsidRPr="00012C3F">
        <w:rPr>
          <w:rFonts w:eastAsia="MS Mincho"/>
          <w:sz w:val="20"/>
          <w:szCs w:val="20"/>
          <w:lang w:val="en-US"/>
        </w:rPr>
        <w:t xml:space="preserve"> the American Convention</w:t>
      </w:r>
      <w:r w:rsidR="00502B43" w:rsidRPr="00012C3F">
        <w:rPr>
          <w:rFonts w:eastAsia="MS Mincho"/>
          <w:sz w:val="20"/>
          <w:szCs w:val="20"/>
          <w:lang w:val="en-US"/>
        </w:rPr>
        <w:t xml:space="preserve">, </w:t>
      </w:r>
      <w:r w:rsidR="00DF3CCC" w:rsidRPr="00012C3F">
        <w:rPr>
          <w:rFonts w:eastAsia="MS Mincho"/>
          <w:sz w:val="20"/>
          <w:szCs w:val="20"/>
          <w:lang w:val="en-US"/>
        </w:rPr>
        <w:t xml:space="preserve">because they were not conducted with due diligence and because a series of irregularities existed that </w:t>
      </w:r>
      <w:r w:rsidR="00B357BB" w:rsidRPr="00012C3F">
        <w:rPr>
          <w:rFonts w:eastAsia="MS Mincho"/>
          <w:sz w:val="20"/>
          <w:szCs w:val="20"/>
          <w:lang w:val="en-US"/>
        </w:rPr>
        <w:t xml:space="preserve">resulted in their culmination without a decision on the merits in application of the extinction of the criminal action, </w:t>
      </w:r>
      <w:r w:rsidR="00B357BB" w:rsidRPr="00012C3F">
        <w:rPr>
          <w:rFonts w:eastAsia="MS Mincho"/>
          <w:sz w:val="20"/>
          <w:szCs w:val="20"/>
          <w:lang w:val="en-US"/>
        </w:rPr>
        <w:lastRenderedPageBreak/>
        <w:t>four years after the proceedings had been initiated.</w:t>
      </w:r>
      <w:r w:rsidR="00E91CF7" w:rsidRPr="00012C3F">
        <w:rPr>
          <w:rFonts w:eastAsia="MS Mincho"/>
          <w:sz w:val="20"/>
          <w:szCs w:val="20"/>
          <w:lang w:val="en-US"/>
        </w:rPr>
        <w:t xml:space="preserve"> However, at a later stage, the State included arguments aimed at proving the effectiveness of the administrative proceeding conducted in this case. Accordingly, the Commission, in its final observations, also referred to the effectiveness of the administrative proceeding. Consequently, the Court finds it opportune, before examining the State’s actions in the context of the criminal proceedings in light of the arguments of the parties concerning the alleged violations of the Convention, to begin by including some brief general considerations on </w:t>
      </w:r>
      <w:r w:rsidR="00A710F6" w:rsidRPr="00012C3F">
        <w:rPr>
          <w:rFonts w:eastAsia="MS Mincho"/>
          <w:sz w:val="20"/>
          <w:szCs w:val="20"/>
          <w:lang w:val="en-US"/>
        </w:rPr>
        <w:t xml:space="preserve">access to </w:t>
      </w:r>
      <w:r w:rsidR="008B4719" w:rsidRPr="00012C3F">
        <w:rPr>
          <w:rFonts w:eastAsia="MS Mincho"/>
          <w:sz w:val="20"/>
          <w:szCs w:val="20"/>
          <w:lang w:val="en-US"/>
        </w:rPr>
        <w:t>justice in cases of violation of</w:t>
      </w:r>
      <w:r w:rsidR="00DF5BD3" w:rsidRPr="00012C3F">
        <w:rPr>
          <w:rFonts w:eastAsia="MS Mincho"/>
          <w:sz w:val="20"/>
          <w:szCs w:val="20"/>
          <w:lang w:val="en-US"/>
        </w:rPr>
        <w:t xml:space="preserve"> </w:t>
      </w:r>
      <w:r w:rsidR="00A710F6" w:rsidRPr="00012C3F">
        <w:rPr>
          <w:rFonts w:eastAsia="MS Mincho"/>
          <w:sz w:val="20"/>
          <w:szCs w:val="20"/>
          <w:lang w:val="en-US"/>
        </w:rPr>
        <w:t>sexual and reproductive rights</w:t>
      </w:r>
      <w:r w:rsidR="00A809A6" w:rsidRPr="00012C3F">
        <w:rPr>
          <w:rFonts w:eastAsia="MS Mincho"/>
          <w:sz w:val="20"/>
          <w:szCs w:val="20"/>
          <w:lang w:val="en-US"/>
        </w:rPr>
        <w:t>.</w:t>
      </w:r>
      <w:r w:rsidR="00523226" w:rsidRPr="00012C3F">
        <w:rPr>
          <w:rFonts w:eastAsia="MS Mincho"/>
          <w:sz w:val="20"/>
          <w:szCs w:val="20"/>
          <w:lang w:val="en-US"/>
        </w:rPr>
        <w:t xml:space="preserve"> </w:t>
      </w:r>
      <w:r w:rsidR="00E91CF7" w:rsidRPr="00012C3F">
        <w:rPr>
          <w:rFonts w:eastAsia="MS Mincho"/>
          <w:sz w:val="20"/>
          <w:szCs w:val="20"/>
          <w:lang w:val="en-US"/>
        </w:rPr>
        <w:t>However,</w:t>
      </w:r>
      <w:r w:rsidR="00523226" w:rsidRPr="00012C3F">
        <w:rPr>
          <w:rFonts w:eastAsia="MS Mincho"/>
          <w:sz w:val="20"/>
          <w:szCs w:val="20"/>
          <w:lang w:val="en-US"/>
        </w:rPr>
        <w:t xml:space="preserve"> </w:t>
      </w:r>
      <w:r w:rsidRPr="00012C3F">
        <w:rPr>
          <w:rFonts w:eastAsia="MS Mincho"/>
          <w:sz w:val="20"/>
          <w:szCs w:val="20"/>
          <w:lang w:val="en-US"/>
        </w:rPr>
        <w:t>the Court</w:t>
      </w:r>
      <w:r w:rsidR="00523226" w:rsidRPr="00012C3F">
        <w:rPr>
          <w:rFonts w:eastAsia="MS Mincho"/>
          <w:sz w:val="20"/>
          <w:szCs w:val="20"/>
          <w:lang w:val="en-US"/>
        </w:rPr>
        <w:t xml:space="preserve"> </w:t>
      </w:r>
      <w:r w:rsidR="00E91CF7" w:rsidRPr="00012C3F">
        <w:rPr>
          <w:rFonts w:eastAsia="MS Mincho"/>
          <w:sz w:val="20"/>
          <w:szCs w:val="20"/>
          <w:lang w:val="en-US"/>
        </w:rPr>
        <w:t>will not rule on possible violations in the context of the a</w:t>
      </w:r>
      <w:r w:rsidR="0099356C" w:rsidRPr="00012C3F">
        <w:rPr>
          <w:rFonts w:eastAsia="MS Mincho"/>
          <w:sz w:val="20"/>
          <w:szCs w:val="20"/>
          <w:lang w:val="en-US"/>
        </w:rPr>
        <w:t>dministrative proceeding</w:t>
      </w:r>
      <w:r w:rsidR="00E91CF7" w:rsidRPr="00012C3F">
        <w:rPr>
          <w:rFonts w:eastAsia="MS Mincho"/>
          <w:sz w:val="20"/>
          <w:szCs w:val="20"/>
          <w:lang w:val="en-US"/>
        </w:rPr>
        <w:t xml:space="preserve">, because no specific arguments have been presented relating to a violation of </w:t>
      </w:r>
      <w:r w:rsidRPr="00012C3F">
        <w:rPr>
          <w:rFonts w:eastAsia="MS Mincho"/>
          <w:sz w:val="20"/>
          <w:szCs w:val="20"/>
          <w:lang w:val="en-US"/>
        </w:rPr>
        <w:t>Articles</w:t>
      </w:r>
      <w:r w:rsidR="00523226" w:rsidRPr="00012C3F">
        <w:rPr>
          <w:rFonts w:eastAsia="MS Mincho"/>
          <w:sz w:val="20"/>
          <w:szCs w:val="20"/>
          <w:lang w:val="en-US"/>
        </w:rPr>
        <w:t xml:space="preserve"> 8</w:t>
      </w:r>
      <w:r w:rsidR="005E5012" w:rsidRPr="00012C3F">
        <w:rPr>
          <w:rFonts w:eastAsia="MS Mincho"/>
          <w:sz w:val="20"/>
          <w:szCs w:val="20"/>
          <w:lang w:val="en-US"/>
        </w:rPr>
        <w:t xml:space="preserve"> and </w:t>
      </w:r>
      <w:r w:rsidR="00523226" w:rsidRPr="00012C3F">
        <w:rPr>
          <w:rFonts w:eastAsia="MS Mincho"/>
          <w:sz w:val="20"/>
          <w:szCs w:val="20"/>
          <w:lang w:val="en-US"/>
        </w:rPr>
        <w:t>25</w:t>
      </w:r>
      <w:r w:rsidRPr="00012C3F">
        <w:rPr>
          <w:rFonts w:eastAsia="MS Mincho"/>
          <w:sz w:val="20"/>
          <w:szCs w:val="20"/>
          <w:lang w:val="en-US"/>
        </w:rPr>
        <w:t xml:space="preserve"> of the Convention</w:t>
      </w:r>
      <w:r w:rsidR="00523226" w:rsidRPr="00012C3F">
        <w:rPr>
          <w:rFonts w:eastAsia="MS Mincho"/>
          <w:sz w:val="20"/>
          <w:szCs w:val="20"/>
          <w:lang w:val="en-US"/>
        </w:rPr>
        <w:t xml:space="preserve"> </w:t>
      </w:r>
      <w:r w:rsidR="00E91CF7" w:rsidRPr="00012C3F">
        <w:rPr>
          <w:rFonts w:eastAsia="MS Mincho"/>
          <w:sz w:val="20"/>
          <w:szCs w:val="20"/>
          <w:lang w:val="en-US"/>
        </w:rPr>
        <w:t>in that sphere</w:t>
      </w:r>
      <w:r w:rsidR="00523226" w:rsidRPr="00012C3F">
        <w:rPr>
          <w:rFonts w:eastAsia="MS Mincho"/>
          <w:sz w:val="20"/>
          <w:szCs w:val="20"/>
          <w:lang w:val="en-US"/>
        </w:rPr>
        <w:t>.</w:t>
      </w:r>
    </w:p>
    <w:p w14:paraId="2112AA79" w14:textId="77777777" w:rsidR="00921596" w:rsidRPr="00012C3F" w:rsidRDefault="00921596" w:rsidP="00B14DC5">
      <w:pPr>
        <w:tabs>
          <w:tab w:val="left" w:pos="720"/>
        </w:tabs>
        <w:spacing w:line="240" w:lineRule="auto"/>
        <w:rPr>
          <w:rFonts w:eastAsia="MS Mincho"/>
          <w:sz w:val="20"/>
          <w:szCs w:val="20"/>
          <w:lang w:val="en-US"/>
        </w:rPr>
      </w:pPr>
    </w:p>
    <w:p w14:paraId="6422B016" w14:textId="77777777" w:rsidR="00502B43" w:rsidRPr="00012C3F" w:rsidRDefault="002F2869" w:rsidP="006A16C8">
      <w:pPr>
        <w:pStyle w:val="Ttulo2"/>
        <w:tabs>
          <w:tab w:val="left" w:pos="1701"/>
        </w:tabs>
        <w:spacing w:before="0" w:line="240" w:lineRule="auto"/>
        <w:ind w:left="1134"/>
        <w:rPr>
          <w:rFonts w:ascii="Verdana" w:hAnsi="Verdana"/>
          <w:b w:val="0"/>
          <w:i/>
          <w:color w:val="auto"/>
          <w:sz w:val="20"/>
          <w:szCs w:val="20"/>
          <w:lang w:val="en-US"/>
        </w:rPr>
      </w:pPr>
      <w:bookmarkStart w:id="177" w:name="_Toc461305147"/>
      <w:bookmarkStart w:id="178" w:name="_Toc27486883"/>
      <w:r w:rsidRPr="00012C3F">
        <w:rPr>
          <w:rFonts w:ascii="Verdana" w:hAnsi="Verdana"/>
          <w:b w:val="0"/>
          <w:i/>
          <w:color w:val="auto"/>
          <w:sz w:val="20"/>
          <w:szCs w:val="20"/>
          <w:lang w:val="en-US"/>
        </w:rPr>
        <w:t>B.</w:t>
      </w:r>
      <w:r w:rsidR="00B14DC5" w:rsidRPr="00012C3F">
        <w:rPr>
          <w:rFonts w:ascii="Verdana" w:hAnsi="Verdana"/>
          <w:b w:val="0"/>
          <w:i/>
          <w:color w:val="auto"/>
          <w:sz w:val="20"/>
          <w:szCs w:val="20"/>
          <w:lang w:val="en-US"/>
        </w:rPr>
        <w:t xml:space="preserve">1 </w:t>
      </w:r>
      <w:r w:rsidR="00B14DC5"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 xml:space="preserve">Access to </w:t>
      </w:r>
      <w:r w:rsidR="008B4719" w:rsidRPr="00012C3F">
        <w:rPr>
          <w:rFonts w:ascii="Verdana" w:hAnsi="Verdana"/>
          <w:b w:val="0"/>
          <w:i/>
          <w:color w:val="auto"/>
          <w:sz w:val="20"/>
          <w:szCs w:val="20"/>
          <w:lang w:val="en-US"/>
        </w:rPr>
        <w:t xml:space="preserve">justice in cases of violation of sexual </w:t>
      </w:r>
      <w:r w:rsidR="00A710F6" w:rsidRPr="00012C3F">
        <w:rPr>
          <w:rFonts w:ascii="Verdana" w:hAnsi="Verdana"/>
          <w:b w:val="0"/>
          <w:i/>
          <w:color w:val="auto"/>
          <w:sz w:val="20"/>
          <w:szCs w:val="20"/>
          <w:lang w:val="en-US"/>
        </w:rPr>
        <w:t>and reproductive rights</w:t>
      </w:r>
      <w:bookmarkEnd w:id="177"/>
      <w:bookmarkEnd w:id="178"/>
    </w:p>
    <w:p w14:paraId="21CA1B74" w14:textId="77777777" w:rsidR="00502B43" w:rsidRPr="00012C3F" w:rsidRDefault="00502B43" w:rsidP="00B14DC5">
      <w:pPr>
        <w:tabs>
          <w:tab w:val="left" w:pos="720"/>
        </w:tabs>
        <w:spacing w:line="240" w:lineRule="auto"/>
        <w:rPr>
          <w:rFonts w:eastAsia="MS Mincho"/>
          <w:sz w:val="20"/>
          <w:szCs w:val="20"/>
          <w:lang w:val="en-US"/>
        </w:rPr>
      </w:pPr>
    </w:p>
    <w:p w14:paraId="618BF459" w14:textId="77777777" w:rsidR="00502B43" w:rsidRPr="00012C3F" w:rsidRDefault="00E91CF7" w:rsidP="00E91CF7">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This Court has repeatedly indicated that the right of </w:t>
      </w:r>
      <w:r w:rsidR="00A710F6" w:rsidRPr="00012C3F">
        <w:rPr>
          <w:rFonts w:eastAsia="MS Mincho"/>
          <w:sz w:val="20"/>
          <w:szCs w:val="20"/>
          <w:lang w:val="en-US"/>
        </w:rPr>
        <w:t>access to justice</w:t>
      </w:r>
      <w:r w:rsidR="00502B43" w:rsidRPr="00012C3F">
        <w:rPr>
          <w:rFonts w:eastAsia="MS Mincho"/>
          <w:sz w:val="20"/>
          <w:szCs w:val="20"/>
          <w:lang w:val="en-US"/>
        </w:rPr>
        <w:t xml:space="preserve"> </w:t>
      </w:r>
      <w:r w:rsidRPr="00012C3F">
        <w:rPr>
          <w:rFonts w:eastAsia="MS Mincho"/>
          <w:sz w:val="20"/>
          <w:szCs w:val="20"/>
          <w:lang w:val="en-US"/>
        </w:rPr>
        <w:t>must ensure, within a reasonable time, the right of the presumed victims or their next of kin that everything necessary is done to know the truth of what happened, establish the respective responsibilities, and punish those responsible.</w:t>
      </w:r>
      <w:r w:rsidR="00502B43" w:rsidRPr="00012C3F">
        <w:rPr>
          <w:rFonts w:eastAsia="MS Mincho"/>
          <w:sz w:val="20"/>
          <w:szCs w:val="20"/>
          <w:vertAlign w:val="superscript"/>
          <w:lang w:val="en-US"/>
        </w:rPr>
        <w:footnoteReference w:id="367"/>
      </w:r>
      <w:r w:rsidRPr="00012C3F">
        <w:rPr>
          <w:rFonts w:eastAsia="MS Mincho"/>
          <w:sz w:val="20"/>
          <w:szCs w:val="20"/>
          <w:lang w:val="en-US"/>
        </w:rPr>
        <w:t xml:space="preserve"> To this end, and pursuant to </w:t>
      </w:r>
      <w:r w:rsidR="001254DE" w:rsidRPr="00012C3F">
        <w:rPr>
          <w:rFonts w:eastAsia="Calibri"/>
          <w:sz w:val="20"/>
          <w:szCs w:val="20"/>
          <w:lang w:val="en-US"/>
        </w:rPr>
        <w:t>the American Convention</w:t>
      </w:r>
      <w:r w:rsidR="00502B43" w:rsidRPr="00012C3F">
        <w:rPr>
          <w:rFonts w:eastAsia="Calibri"/>
          <w:sz w:val="20"/>
          <w:szCs w:val="20"/>
          <w:lang w:val="en-US"/>
        </w:rPr>
        <w:t xml:space="preserve">, </w:t>
      </w:r>
      <w:r w:rsidRPr="00012C3F">
        <w:rPr>
          <w:rFonts w:eastAsia="Calibri"/>
          <w:sz w:val="20"/>
          <w:szCs w:val="20"/>
          <w:lang w:val="en-US"/>
        </w:rPr>
        <w:t xml:space="preserve">the States Parties are obliged to provide effective judicial remedies to the victims of human rights violations </w:t>
      </w:r>
      <w:r w:rsidR="00502B43" w:rsidRPr="00012C3F">
        <w:rPr>
          <w:rFonts w:eastAsia="Calibri"/>
          <w:sz w:val="20"/>
          <w:szCs w:val="20"/>
          <w:lang w:val="en-US"/>
        </w:rPr>
        <w:t>(</w:t>
      </w:r>
      <w:r w:rsidR="001254DE" w:rsidRPr="00012C3F">
        <w:rPr>
          <w:rFonts w:eastAsia="Calibri"/>
          <w:sz w:val="20"/>
          <w:szCs w:val="20"/>
          <w:lang w:val="en-US"/>
        </w:rPr>
        <w:t>Article</w:t>
      </w:r>
      <w:r w:rsidR="00502B43" w:rsidRPr="00012C3F">
        <w:rPr>
          <w:rFonts w:eastAsia="Calibri"/>
          <w:sz w:val="20"/>
          <w:szCs w:val="20"/>
          <w:lang w:val="en-US"/>
        </w:rPr>
        <w:t xml:space="preserve"> 25), re</w:t>
      </w:r>
      <w:r w:rsidRPr="00012C3F">
        <w:rPr>
          <w:rFonts w:eastAsia="Calibri"/>
          <w:sz w:val="20"/>
          <w:szCs w:val="20"/>
          <w:lang w:val="en-US"/>
        </w:rPr>
        <w:t xml:space="preserve">medies that must be executed in accordance with the rules of due process of law </w:t>
      </w:r>
      <w:r w:rsidR="00502B43" w:rsidRPr="00012C3F">
        <w:rPr>
          <w:rFonts w:eastAsia="Calibri"/>
          <w:sz w:val="20"/>
          <w:szCs w:val="20"/>
          <w:lang w:val="en-US"/>
        </w:rPr>
        <w:t>(</w:t>
      </w:r>
      <w:r w:rsidR="001254DE" w:rsidRPr="00012C3F">
        <w:rPr>
          <w:rFonts w:eastAsia="Calibri"/>
          <w:sz w:val="20"/>
          <w:szCs w:val="20"/>
          <w:lang w:val="en-US"/>
        </w:rPr>
        <w:t>Article</w:t>
      </w:r>
      <w:r w:rsidR="00502B43" w:rsidRPr="00012C3F">
        <w:rPr>
          <w:rFonts w:eastAsia="Calibri"/>
          <w:sz w:val="20"/>
          <w:szCs w:val="20"/>
          <w:lang w:val="en-US"/>
        </w:rPr>
        <w:t xml:space="preserve"> </w:t>
      </w:r>
      <w:r w:rsidR="005E5012" w:rsidRPr="00012C3F">
        <w:rPr>
          <w:rFonts w:eastAsia="Calibri"/>
          <w:sz w:val="20"/>
          <w:szCs w:val="20"/>
          <w:lang w:val="en-US"/>
        </w:rPr>
        <w:t>8(1)</w:t>
      </w:r>
      <w:r w:rsidR="00502B43" w:rsidRPr="00012C3F">
        <w:rPr>
          <w:rFonts w:eastAsia="Calibri"/>
          <w:sz w:val="20"/>
          <w:szCs w:val="20"/>
          <w:lang w:val="en-US"/>
        </w:rPr>
        <w:t>)</w:t>
      </w:r>
      <w:r w:rsidRPr="00012C3F">
        <w:rPr>
          <w:rFonts w:eastAsia="Calibri"/>
          <w:sz w:val="20"/>
          <w:szCs w:val="20"/>
          <w:lang w:val="en-US"/>
        </w:rPr>
        <w:t>,</w:t>
      </w:r>
      <w:r w:rsidR="00502B43" w:rsidRPr="00012C3F">
        <w:rPr>
          <w:rFonts w:eastAsia="Calibri"/>
          <w:sz w:val="20"/>
          <w:szCs w:val="20"/>
          <w:vertAlign w:val="superscript"/>
          <w:lang w:val="en-US"/>
        </w:rPr>
        <w:footnoteReference w:id="368"/>
      </w:r>
      <w:r w:rsidR="00502B43" w:rsidRPr="00012C3F">
        <w:rPr>
          <w:rFonts w:eastAsia="Calibri"/>
          <w:sz w:val="20"/>
          <w:szCs w:val="20"/>
          <w:lang w:val="en-US"/>
        </w:rPr>
        <w:t xml:space="preserve"> </w:t>
      </w:r>
      <w:r w:rsidRPr="00012C3F">
        <w:rPr>
          <w:rFonts w:eastAsia="Calibri"/>
          <w:sz w:val="20"/>
          <w:szCs w:val="20"/>
          <w:lang w:val="en-US"/>
        </w:rPr>
        <w:t xml:space="preserve">all of this within the general obligation of the States to ensure the free and full exercise of the rights recognized by the Convention to all persons subject to their jurisdiction </w:t>
      </w:r>
      <w:r w:rsidR="00502B43" w:rsidRPr="00012C3F">
        <w:rPr>
          <w:rFonts w:eastAsia="Calibri"/>
          <w:sz w:val="20"/>
          <w:szCs w:val="20"/>
          <w:lang w:val="en-US"/>
        </w:rPr>
        <w:t>(</w:t>
      </w:r>
      <w:r w:rsidR="001254DE" w:rsidRPr="00012C3F">
        <w:rPr>
          <w:rFonts w:eastAsia="Calibri"/>
          <w:sz w:val="20"/>
          <w:szCs w:val="20"/>
          <w:lang w:val="en-US"/>
        </w:rPr>
        <w:t>Article</w:t>
      </w:r>
      <w:r w:rsidR="00502B43" w:rsidRPr="00012C3F">
        <w:rPr>
          <w:rFonts w:eastAsia="Calibri"/>
          <w:sz w:val="20"/>
          <w:szCs w:val="20"/>
          <w:lang w:val="en-US"/>
        </w:rPr>
        <w:t xml:space="preserve"> </w:t>
      </w:r>
      <w:r w:rsidR="005E5012" w:rsidRPr="00012C3F">
        <w:rPr>
          <w:rFonts w:eastAsia="Calibri"/>
          <w:sz w:val="20"/>
          <w:szCs w:val="20"/>
          <w:lang w:val="en-US"/>
        </w:rPr>
        <w:t>1(1)</w:t>
      </w:r>
      <w:r w:rsidR="00502B43" w:rsidRPr="00012C3F">
        <w:rPr>
          <w:rFonts w:eastAsia="Calibri"/>
          <w:sz w:val="20"/>
          <w:szCs w:val="20"/>
          <w:lang w:val="en-US"/>
        </w:rPr>
        <w:t>)</w:t>
      </w:r>
      <w:r w:rsidRPr="00012C3F">
        <w:rPr>
          <w:rFonts w:eastAsia="Calibri"/>
          <w:sz w:val="20"/>
          <w:szCs w:val="20"/>
          <w:lang w:val="en-US"/>
        </w:rPr>
        <w:t>.</w:t>
      </w:r>
      <w:r w:rsidR="00502B43" w:rsidRPr="00012C3F">
        <w:rPr>
          <w:rFonts w:eastAsia="Calibri"/>
          <w:sz w:val="20"/>
          <w:szCs w:val="20"/>
          <w:vertAlign w:val="superscript"/>
          <w:lang w:val="en-US"/>
        </w:rPr>
        <w:footnoteReference w:id="369"/>
      </w:r>
    </w:p>
    <w:p w14:paraId="5129F7E9" w14:textId="77777777" w:rsidR="00502B43" w:rsidRPr="00012C3F" w:rsidRDefault="00502B43" w:rsidP="00502B43">
      <w:pPr>
        <w:tabs>
          <w:tab w:val="left" w:pos="720"/>
        </w:tabs>
        <w:spacing w:line="240" w:lineRule="auto"/>
        <w:rPr>
          <w:rFonts w:eastAsia="MS Mincho"/>
          <w:sz w:val="20"/>
          <w:szCs w:val="20"/>
          <w:lang w:val="en-US"/>
        </w:rPr>
      </w:pPr>
    </w:p>
    <w:p w14:paraId="52188FF8" w14:textId="77777777" w:rsidR="00502B43" w:rsidRPr="00012C3F" w:rsidRDefault="00E91CF7" w:rsidP="00E91CF7">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Consequently</w:t>
      </w:r>
      <w:r w:rsidR="00502B43" w:rsidRPr="00012C3F">
        <w:rPr>
          <w:rFonts w:eastAsia="MS Mincho"/>
          <w:sz w:val="20"/>
          <w:szCs w:val="20"/>
          <w:lang w:val="en-US"/>
        </w:rPr>
        <w:t xml:space="preserve">, </w:t>
      </w:r>
      <w:r w:rsidR="001254DE" w:rsidRPr="00012C3F">
        <w:rPr>
          <w:rFonts w:eastAsia="MS Mincho"/>
          <w:sz w:val="20"/>
          <w:szCs w:val="20"/>
          <w:lang w:val="en-US"/>
        </w:rPr>
        <w:t>Articles</w:t>
      </w:r>
      <w:r w:rsidR="00502B43" w:rsidRPr="00012C3F">
        <w:rPr>
          <w:rFonts w:eastAsia="MS Mincho"/>
          <w:sz w:val="20"/>
          <w:szCs w:val="20"/>
          <w:lang w:val="en-US"/>
        </w:rPr>
        <w:t xml:space="preserve"> 8</w:t>
      </w:r>
      <w:r w:rsidR="005E5012" w:rsidRPr="00012C3F">
        <w:rPr>
          <w:rFonts w:eastAsia="MS Mincho"/>
          <w:sz w:val="20"/>
          <w:szCs w:val="20"/>
          <w:lang w:val="en-US"/>
        </w:rPr>
        <w:t xml:space="preserve"> and </w:t>
      </w:r>
      <w:r w:rsidR="00502B43" w:rsidRPr="00012C3F">
        <w:rPr>
          <w:rFonts w:eastAsia="MS Mincho"/>
          <w:sz w:val="20"/>
          <w:szCs w:val="20"/>
          <w:lang w:val="en-US"/>
        </w:rPr>
        <w:t>25</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Pr="00012C3F">
        <w:rPr>
          <w:rFonts w:eastAsia="MS Mincho"/>
          <w:sz w:val="20"/>
          <w:szCs w:val="20"/>
          <w:lang w:val="en-US"/>
        </w:rPr>
        <w:t xml:space="preserve">signify that the victims of human rights violations </w:t>
      </w:r>
      <w:r w:rsidR="00BB427E" w:rsidRPr="00012C3F">
        <w:rPr>
          <w:rFonts w:eastAsia="MS Mincho"/>
          <w:sz w:val="20"/>
          <w:szCs w:val="20"/>
          <w:lang w:val="en-US"/>
        </w:rPr>
        <w:t xml:space="preserve">should have appropriate judicial remedies to establish whether a human rights violation has been committed and to provide appropriate means to rectify this. Such remedies must also be effective pursuant to </w:t>
      </w:r>
      <w:r w:rsidR="008A7A0F" w:rsidRPr="00012C3F">
        <w:rPr>
          <w:rFonts w:eastAsia="MS Mincho"/>
          <w:sz w:val="20"/>
          <w:szCs w:val="20"/>
          <w:lang w:val="en-US"/>
        </w:rPr>
        <w:t>Article</w:t>
      </w:r>
      <w:r w:rsidR="00502B43" w:rsidRPr="00012C3F">
        <w:rPr>
          <w:rFonts w:eastAsia="MS Mincho"/>
          <w:sz w:val="20"/>
          <w:szCs w:val="20"/>
          <w:lang w:val="en-US"/>
        </w:rPr>
        <w:t xml:space="preserve"> 2</w:t>
      </w:r>
      <w:r w:rsidR="005E5012" w:rsidRPr="00012C3F">
        <w:rPr>
          <w:rFonts w:eastAsia="MS Mincho"/>
          <w:sz w:val="20"/>
          <w:szCs w:val="20"/>
          <w:lang w:val="en-US"/>
        </w:rPr>
        <w:t>5(1)</w:t>
      </w:r>
      <w:r w:rsidR="001254DE" w:rsidRPr="00012C3F">
        <w:rPr>
          <w:rFonts w:eastAsia="MS Mincho"/>
          <w:sz w:val="20"/>
          <w:szCs w:val="20"/>
          <w:lang w:val="en-US"/>
        </w:rPr>
        <w:t xml:space="preserve"> of the Convention</w:t>
      </w:r>
      <w:r w:rsidR="00BB427E" w:rsidRPr="00012C3F">
        <w:rPr>
          <w:rFonts w:eastAsia="MS Mincho"/>
          <w:sz w:val="20"/>
          <w:szCs w:val="20"/>
          <w:lang w:val="en-US"/>
        </w:rPr>
        <w:t>; that is, “able to produce the result for which they were conceived.</w:t>
      </w:r>
      <w:r w:rsidR="00502B43" w:rsidRPr="00012C3F">
        <w:rPr>
          <w:rFonts w:eastAsia="MS Mincho"/>
          <w:sz w:val="20"/>
          <w:szCs w:val="20"/>
          <w:lang w:val="en-US"/>
        </w:rPr>
        <w:t>”</w:t>
      </w:r>
      <w:r w:rsidR="00502B43" w:rsidRPr="00012C3F">
        <w:rPr>
          <w:rFonts w:eastAsia="MS Mincho"/>
          <w:sz w:val="20"/>
          <w:szCs w:val="20"/>
          <w:vertAlign w:val="superscript"/>
          <w:lang w:val="en-US"/>
        </w:rPr>
        <w:footnoteReference w:id="370"/>
      </w:r>
    </w:p>
    <w:p w14:paraId="1357ED45" w14:textId="77777777" w:rsidR="00502B43" w:rsidRPr="00012C3F" w:rsidRDefault="00502B43" w:rsidP="00E91CF7">
      <w:pPr>
        <w:tabs>
          <w:tab w:val="left" w:pos="720"/>
        </w:tabs>
        <w:spacing w:line="240" w:lineRule="auto"/>
        <w:rPr>
          <w:rFonts w:eastAsia="MS Mincho"/>
          <w:sz w:val="20"/>
          <w:szCs w:val="20"/>
          <w:lang w:val="en-US"/>
        </w:rPr>
      </w:pPr>
    </w:p>
    <w:p w14:paraId="2F36312E" w14:textId="77777777" w:rsidR="00502B43" w:rsidRPr="00012C3F" w:rsidRDefault="00BB427E" w:rsidP="00BB427E">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When interpreting the text </w:t>
      </w:r>
      <w:r w:rsidR="008A7A0F" w:rsidRPr="00012C3F">
        <w:rPr>
          <w:rFonts w:eastAsia="MS Mincho"/>
          <w:sz w:val="20"/>
          <w:szCs w:val="20"/>
          <w:lang w:val="en-US"/>
        </w:rPr>
        <w:t>of Article</w:t>
      </w:r>
      <w:r w:rsidR="00502B43" w:rsidRPr="00012C3F">
        <w:rPr>
          <w:rFonts w:eastAsia="MS Mincho"/>
          <w:sz w:val="20"/>
          <w:szCs w:val="20"/>
          <w:lang w:val="en-US"/>
        </w:rPr>
        <w:t xml:space="preserve"> 2</w:t>
      </w:r>
      <w:r w:rsidR="005E5012" w:rsidRPr="00012C3F">
        <w:rPr>
          <w:rFonts w:eastAsia="MS Mincho"/>
          <w:sz w:val="20"/>
          <w:szCs w:val="20"/>
          <w:lang w:val="en-US"/>
        </w:rPr>
        <w:t>5(1)</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1254DE" w:rsidRPr="00012C3F">
        <w:rPr>
          <w:rFonts w:eastAsia="MS Mincho"/>
          <w:sz w:val="20"/>
          <w:szCs w:val="20"/>
          <w:lang w:val="en-US"/>
        </w:rPr>
        <w:t>the Court</w:t>
      </w:r>
      <w:r w:rsidR="00502B43" w:rsidRPr="00012C3F">
        <w:rPr>
          <w:rFonts w:eastAsia="MS Mincho"/>
          <w:sz w:val="20"/>
          <w:szCs w:val="20"/>
          <w:lang w:val="en-US"/>
        </w:rPr>
        <w:t xml:space="preserve"> ha</w:t>
      </w:r>
      <w:r w:rsidRPr="00012C3F">
        <w:rPr>
          <w:rFonts w:eastAsia="MS Mincho"/>
          <w:sz w:val="20"/>
          <w:szCs w:val="20"/>
          <w:lang w:val="en-US"/>
        </w:rPr>
        <w:t>s affirmed</w:t>
      </w:r>
      <w:r w:rsidR="00502B43" w:rsidRPr="00012C3F">
        <w:rPr>
          <w:rFonts w:eastAsia="MS Mincho"/>
          <w:sz w:val="20"/>
          <w:szCs w:val="20"/>
          <w:lang w:val="en-US"/>
        </w:rPr>
        <w:t xml:space="preserve"> </w:t>
      </w:r>
      <w:r w:rsidRPr="00012C3F">
        <w:rPr>
          <w:rFonts w:eastAsia="MS Mincho"/>
          <w:sz w:val="20"/>
          <w:szCs w:val="20"/>
          <w:lang w:val="en-US"/>
        </w:rPr>
        <w:t xml:space="preserve"> on other occasions, that the obligation of the State to provide a judicial remedy is not limited to the mere existence of the courts or the formal proceedings or even to the possibility of having recourse to the courts. Rather, the State is obliged to take positive measures to ensure that the remedies it provides through it judicial system are “truly effective to establish whether or not a violation of human rights has occurred and to provide reparation.</w:t>
      </w:r>
      <w:r w:rsidR="00502B43" w:rsidRPr="00012C3F">
        <w:rPr>
          <w:rFonts w:eastAsia="MS Mincho"/>
          <w:sz w:val="20"/>
          <w:szCs w:val="20"/>
          <w:lang w:val="en-US"/>
        </w:rPr>
        <w:t>”</w:t>
      </w:r>
      <w:r w:rsidR="00502B43" w:rsidRPr="00012C3F">
        <w:rPr>
          <w:rFonts w:eastAsia="MS Mincho"/>
          <w:sz w:val="20"/>
          <w:szCs w:val="20"/>
          <w:vertAlign w:val="superscript"/>
          <w:lang w:val="en-US"/>
        </w:rPr>
        <w:footnoteReference w:id="371"/>
      </w:r>
      <w:r w:rsidRPr="00012C3F">
        <w:rPr>
          <w:rFonts w:eastAsia="MS Mincho"/>
          <w:sz w:val="20"/>
          <w:szCs w:val="20"/>
          <w:lang w:val="en-US"/>
        </w:rPr>
        <w:t xml:space="preserve"> This means that the mere formal existence of the remedies is not sufficient; rather, in order for them to be considered effective, they must recognize and resolve the factors of real inequality of the </w:t>
      </w:r>
      <w:r w:rsidR="00502B43" w:rsidRPr="00012C3F">
        <w:rPr>
          <w:rFonts w:eastAsia="MS Mincho"/>
          <w:sz w:val="20"/>
          <w:szCs w:val="20"/>
          <w:lang w:val="en-US"/>
        </w:rPr>
        <w:t xml:space="preserve">justiciables, </w:t>
      </w:r>
      <w:r w:rsidRPr="00012C3F">
        <w:rPr>
          <w:rFonts w:eastAsia="MS Mincho"/>
          <w:sz w:val="20"/>
          <w:szCs w:val="20"/>
          <w:lang w:val="en-US"/>
        </w:rPr>
        <w:t xml:space="preserve">providing results or responses to the violations of the human rights recognized in </w:t>
      </w:r>
      <w:r w:rsidR="001254DE" w:rsidRPr="00012C3F">
        <w:rPr>
          <w:rFonts w:eastAsia="MS Mincho"/>
          <w:sz w:val="20"/>
          <w:szCs w:val="20"/>
          <w:lang w:val="en-US"/>
        </w:rPr>
        <w:t>the Convention</w:t>
      </w:r>
      <w:r w:rsidR="00502B43" w:rsidRPr="00012C3F">
        <w:rPr>
          <w:rFonts w:eastAsia="MS Mincho"/>
          <w:sz w:val="20"/>
          <w:szCs w:val="20"/>
          <w:lang w:val="en-US"/>
        </w:rPr>
        <w:t xml:space="preserve">. </w:t>
      </w:r>
      <w:r w:rsidRPr="00012C3F">
        <w:rPr>
          <w:rFonts w:eastAsia="MS Mincho"/>
          <w:sz w:val="20"/>
          <w:szCs w:val="20"/>
          <w:lang w:val="en-US"/>
        </w:rPr>
        <w:t xml:space="preserve">Thus, the Court has declared that “the inexistence of an effective remedy against violations of the rights recognized in </w:t>
      </w:r>
      <w:r w:rsidR="001254DE" w:rsidRPr="00012C3F">
        <w:rPr>
          <w:rFonts w:eastAsia="MS Mincho"/>
          <w:sz w:val="20"/>
          <w:szCs w:val="20"/>
          <w:lang w:val="en-US"/>
        </w:rPr>
        <w:t>the Convention</w:t>
      </w:r>
      <w:r w:rsidR="00502B43" w:rsidRPr="00012C3F">
        <w:rPr>
          <w:rFonts w:eastAsia="MS Mincho"/>
          <w:sz w:val="20"/>
          <w:szCs w:val="20"/>
          <w:lang w:val="en-US"/>
        </w:rPr>
        <w:t xml:space="preserve"> constitu</w:t>
      </w:r>
      <w:r w:rsidRPr="00012C3F">
        <w:rPr>
          <w:rFonts w:eastAsia="MS Mincho"/>
          <w:sz w:val="20"/>
          <w:szCs w:val="20"/>
          <w:lang w:val="en-US"/>
        </w:rPr>
        <w:t xml:space="preserve">tes a violation </w:t>
      </w:r>
      <w:r w:rsidR="006C705C" w:rsidRPr="00012C3F">
        <w:rPr>
          <w:rFonts w:eastAsia="MS Mincho"/>
          <w:sz w:val="20"/>
          <w:szCs w:val="20"/>
          <w:lang w:val="en-US"/>
        </w:rPr>
        <w:t>of this instrument</w:t>
      </w:r>
      <w:r w:rsidR="00502B43" w:rsidRPr="00012C3F">
        <w:rPr>
          <w:rFonts w:eastAsia="MS Mincho"/>
          <w:sz w:val="20"/>
          <w:szCs w:val="20"/>
          <w:lang w:val="en-US"/>
        </w:rPr>
        <w:t xml:space="preserve"> </w:t>
      </w:r>
      <w:r w:rsidRPr="00012C3F">
        <w:rPr>
          <w:rFonts w:eastAsia="MS Mincho"/>
          <w:sz w:val="20"/>
          <w:szCs w:val="20"/>
          <w:lang w:val="en-US"/>
        </w:rPr>
        <w:t>by the</w:t>
      </w:r>
      <w:r w:rsidR="00A84CA0" w:rsidRPr="00012C3F">
        <w:rPr>
          <w:rFonts w:eastAsia="MS Mincho"/>
          <w:sz w:val="20"/>
          <w:szCs w:val="20"/>
          <w:lang w:val="en-US"/>
        </w:rPr>
        <w:t xml:space="preserve"> State</w:t>
      </w:r>
      <w:r w:rsidR="00502B43" w:rsidRPr="00012C3F">
        <w:rPr>
          <w:rFonts w:eastAsia="MS Mincho"/>
          <w:sz w:val="20"/>
          <w:szCs w:val="20"/>
          <w:lang w:val="en-US"/>
        </w:rPr>
        <w:t xml:space="preserve"> Part</w:t>
      </w:r>
      <w:r w:rsidRPr="00012C3F">
        <w:rPr>
          <w:rFonts w:eastAsia="MS Mincho"/>
          <w:sz w:val="20"/>
          <w:szCs w:val="20"/>
          <w:lang w:val="en-US"/>
        </w:rPr>
        <w:t xml:space="preserve">y in which this </w:t>
      </w:r>
      <w:r w:rsidRPr="00012C3F">
        <w:rPr>
          <w:rFonts w:eastAsia="MS Mincho"/>
          <w:sz w:val="20"/>
          <w:szCs w:val="20"/>
          <w:lang w:val="en-US"/>
        </w:rPr>
        <w:lastRenderedPageBreak/>
        <w:t>situation exists.</w:t>
      </w:r>
      <w:r w:rsidR="00502B43" w:rsidRPr="00012C3F">
        <w:rPr>
          <w:rFonts w:eastAsia="MS Mincho"/>
          <w:sz w:val="20"/>
          <w:szCs w:val="20"/>
          <w:lang w:val="en-US"/>
        </w:rPr>
        <w:t>”</w:t>
      </w:r>
      <w:r w:rsidR="00502B43" w:rsidRPr="00012C3F">
        <w:rPr>
          <w:rFonts w:eastAsia="MS Mincho"/>
          <w:sz w:val="20"/>
          <w:szCs w:val="20"/>
          <w:vertAlign w:val="superscript"/>
          <w:lang w:val="en-US"/>
        </w:rPr>
        <w:footnoteReference w:id="372"/>
      </w:r>
    </w:p>
    <w:p w14:paraId="4D0985A1" w14:textId="77777777" w:rsidR="00502B43" w:rsidRPr="00012C3F" w:rsidRDefault="00502B43" w:rsidP="00502B43">
      <w:pPr>
        <w:tabs>
          <w:tab w:val="left" w:pos="720"/>
        </w:tabs>
        <w:spacing w:line="240" w:lineRule="auto"/>
        <w:rPr>
          <w:rFonts w:eastAsia="MS Mincho"/>
          <w:sz w:val="20"/>
          <w:szCs w:val="20"/>
          <w:lang w:val="en-US"/>
        </w:rPr>
      </w:pPr>
    </w:p>
    <w:p w14:paraId="01585C1E" w14:textId="77777777" w:rsidR="00502B43" w:rsidRPr="00012C3F" w:rsidRDefault="00BB427E" w:rsidP="00BB427E">
      <w:pPr>
        <w:numPr>
          <w:ilvl w:val="0"/>
          <w:numId w:val="5"/>
        </w:numPr>
        <w:tabs>
          <w:tab w:val="left" w:pos="720"/>
          <w:tab w:val="num" w:pos="12305"/>
        </w:tabs>
        <w:spacing w:line="240" w:lineRule="auto"/>
        <w:ind w:left="0" w:firstLine="0"/>
        <w:rPr>
          <w:rFonts w:eastAsia="MS Mincho"/>
          <w:sz w:val="20"/>
          <w:szCs w:val="20"/>
          <w:lang w:val="en-US"/>
        </w:rPr>
      </w:pPr>
      <w:r w:rsidRPr="00012C3F">
        <w:rPr>
          <w:sz w:val="20"/>
          <w:szCs w:val="20"/>
          <w:lang w:val="en-US"/>
        </w:rPr>
        <w:t>In cases of violence against women, the general obligations established in</w:t>
      </w:r>
      <w:r w:rsidR="00502B43" w:rsidRPr="00012C3F">
        <w:rPr>
          <w:sz w:val="20"/>
          <w:szCs w:val="20"/>
          <w:lang w:val="en-US"/>
        </w:rPr>
        <w:t xml:space="preserve"> </w:t>
      </w:r>
      <w:r w:rsidR="001254DE" w:rsidRPr="00012C3F">
        <w:rPr>
          <w:sz w:val="20"/>
          <w:szCs w:val="20"/>
          <w:lang w:val="en-US"/>
        </w:rPr>
        <w:t>Articles</w:t>
      </w:r>
      <w:r w:rsidR="00502B43" w:rsidRPr="00012C3F">
        <w:rPr>
          <w:sz w:val="20"/>
          <w:szCs w:val="20"/>
          <w:lang w:val="en-US"/>
        </w:rPr>
        <w:t xml:space="preserve"> 8</w:t>
      </w:r>
      <w:r w:rsidR="005E5012" w:rsidRPr="00012C3F">
        <w:rPr>
          <w:sz w:val="20"/>
          <w:szCs w:val="20"/>
          <w:lang w:val="en-US"/>
        </w:rPr>
        <w:t xml:space="preserve"> and </w:t>
      </w:r>
      <w:r w:rsidR="00502B43" w:rsidRPr="00012C3F">
        <w:rPr>
          <w:sz w:val="20"/>
          <w:szCs w:val="20"/>
          <w:lang w:val="en-US"/>
        </w:rPr>
        <w:t>25</w:t>
      </w:r>
      <w:r w:rsidR="001254DE" w:rsidRPr="00012C3F">
        <w:rPr>
          <w:sz w:val="20"/>
          <w:szCs w:val="20"/>
          <w:lang w:val="en-US"/>
        </w:rPr>
        <w:t xml:space="preserve"> of the American Convention</w:t>
      </w:r>
      <w:r w:rsidR="00502B43" w:rsidRPr="00012C3F">
        <w:rPr>
          <w:sz w:val="20"/>
          <w:szCs w:val="20"/>
          <w:lang w:val="en-US"/>
        </w:rPr>
        <w:t xml:space="preserve"> </w:t>
      </w:r>
      <w:r w:rsidRPr="00012C3F">
        <w:rPr>
          <w:sz w:val="20"/>
          <w:szCs w:val="20"/>
          <w:lang w:val="en-US"/>
        </w:rPr>
        <w:t xml:space="preserve">are supplemented and reinforced for those States that are parties, by the obligations arising from the specific inter-American treaty, </w:t>
      </w:r>
      <w:r w:rsidR="001254DE" w:rsidRPr="00012C3F">
        <w:rPr>
          <w:sz w:val="20"/>
          <w:szCs w:val="20"/>
          <w:lang w:val="en-US"/>
        </w:rPr>
        <w:t>the Convention</w:t>
      </w:r>
      <w:r w:rsidR="00502B43" w:rsidRPr="00012C3F">
        <w:rPr>
          <w:sz w:val="20"/>
          <w:szCs w:val="20"/>
          <w:lang w:val="en-US"/>
        </w:rPr>
        <w:t xml:space="preserve"> </w:t>
      </w:r>
      <w:r w:rsidR="005E5012" w:rsidRPr="00012C3F">
        <w:rPr>
          <w:sz w:val="20"/>
          <w:szCs w:val="20"/>
          <w:lang w:val="en-US"/>
        </w:rPr>
        <w:t>of Belém</w:t>
      </w:r>
      <w:r w:rsidR="00502B43" w:rsidRPr="00012C3F">
        <w:rPr>
          <w:sz w:val="20"/>
          <w:szCs w:val="20"/>
          <w:lang w:val="en-US"/>
        </w:rPr>
        <w:t xml:space="preserve"> do Pará</w:t>
      </w:r>
      <w:r w:rsidRPr="00012C3F">
        <w:rPr>
          <w:sz w:val="20"/>
          <w:szCs w:val="20"/>
          <w:lang w:val="en-US"/>
        </w:rPr>
        <w:t>.</w:t>
      </w:r>
      <w:r w:rsidR="00502B43" w:rsidRPr="00012C3F">
        <w:rPr>
          <w:rFonts w:eastAsia="MS Mincho"/>
          <w:sz w:val="20"/>
          <w:szCs w:val="20"/>
          <w:vertAlign w:val="superscript"/>
          <w:lang w:val="en-US"/>
        </w:rPr>
        <w:footnoteReference w:id="373"/>
      </w:r>
      <w:r w:rsidR="00502B43" w:rsidRPr="00012C3F">
        <w:rPr>
          <w:sz w:val="20"/>
          <w:szCs w:val="20"/>
          <w:lang w:val="en-US"/>
        </w:rPr>
        <w:t xml:space="preserve"> </w:t>
      </w:r>
      <w:r w:rsidR="00F63FF1" w:rsidRPr="00012C3F">
        <w:rPr>
          <w:rFonts w:eastAsia="MS Mincho"/>
          <w:sz w:val="20"/>
          <w:szCs w:val="20"/>
          <w:lang w:val="en-US"/>
        </w:rPr>
        <w:t>Article</w:t>
      </w:r>
      <w:r w:rsidR="00502B43" w:rsidRPr="00012C3F">
        <w:rPr>
          <w:rFonts w:eastAsia="MS Mincho"/>
          <w:sz w:val="20"/>
          <w:szCs w:val="20"/>
          <w:lang w:val="en-US"/>
        </w:rPr>
        <w:t xml:space="preserve"> 7</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5E5012" w:rsidRPr="00012C3F">
        <w:rPr>
          <w:rFonts w:eastAsia="MS Mincho"/>
          <w:sz w:val="20"/>
          <w:szCs w:val="20"/>
          <w:lang w:val="en-US"/>
        </w:rPr>
        <w:t>of Belém</w:t>
      </w:r>
      <w:r w:rsidR="00502B43" w:rsidRPr="00012C3F">
        <w:rPr>
          <w:rFonts w:eastAsia="MS Mincho"/>
          <w:sz w:val="20"/>
          <w:szCs w:val="20"/>
          <w:lang w:val="en-US"/>
        </w:rPr>
        <w:t xml:space="preserve"> do Pará</w:t>
      </w:r>
      <w:r w:rsidRPr="00012C3F">
        <w:rPr>
          <w:rFonts w:eastAsia="MS Mincho"/>
          <w:sz w:val="20"/>
          <w:szCs w:val="20"/>
          <w:lang w:val="en-US"/>
        </w:rPr>
        <w:t xml:space="preserve"> requires </w:t>
      </w:r>
      <w:r w:rsidR="00544148" w:rsidRPr="00012C3F">
        <w:rPr>
          <w:rFonts w:eastAsia="MS Mincho"/>
          <w:sz w:val="20"/>
          <w:szCs w:val="20"/>
          <w:lang w:val="en-US"/>
        </w:rPr>
        <w:t>that States take action to prevent, punish and eradicate violence against women by the adoption of a series of measures and public policies that include:</w:t>
      </w:r>
    </w:p>
    <w:p w14:paraId="35D28A38" w14:textId="77777777" w:rsidR="00502B43" w:rsidRPr="00012C3F" w:rsidRDefault="00502B43" w:rsidP="00502B43">
      <w:pPr>
        <w:tabs>
          <w:tab w:val="left" w:pos="720"/>
        </w:tabs>
        <w:spacing w:line="240" w:lineRule="auto"/>
        <w:rPr>
          <w:rFonts w:eastAsia="MS Mincho"/>
          <w:sz w:val="20"/>
          <w:szCs w:val="20"/>
          <w:lang w:val="en-US"/>
        </w:rPr>
      </w:pPr>
    </w:p>
    <w:p w14:paraId="690D5D56" w14:textId="77777777" w:rsidR="00544148" w:rsidRPr="00012C3F" w:rsidRDefault="00544148" w:rsidP="008376E9">
      <w:pPr>
        <w:pStyle w:val="Default"/>
        <w:spacing w:after="120"/>
        <w:ind w:left="720" w:right="810"/>
        <w:rPr>
          <w:rFonts w:ascii="Verdana" w:hAnsi="Verdana"/>
          <w:sz w:val="16"/>
          <w:szCs w:val="16"/>
          <w:lang w:val="en-US"/>
        </w:rPr>
      </w:pPr>
      <w:r w:rsidRPr="00012C3F">
        <w:rPr>
          <w:rFonts w:ascii="Verdana" w:hAnsi="Verdana"/>
          <w:sz w:val="16"/>
          <w:szCs w:val="16"/>
          <w:lang w:val="en-US"/>
        </w:rPr>
        <w:t xml:space="preserve">b. apply due diligence to prevent, investigate and impose penalties for violence against women; </w:t>
      </w:r>
    </w:p>
    <w:p w14:paraId="40C28D20" w14:textId="77777777" w:rsidR="00544148" w:rsidRPr="00012C3F" w:rsidRDefault="00544148" w:rsidP="008376E9">
      <w:pPr>
        <w:pStyle w:val="Default"/>
        <w:tabs>
          <w:tab w:val="left" w:pos="567"/>
        </w:tabs>
        <w:spacing w:after="120"/>
        <w:ind w:left="720" w:right="810"/>
        <w:jc w:val="both"/>
        <w:rPr>
          <w:rFonts w:ascii="Verdana" w:hAnsi="Verdana"/>
          <w:sz w:val="16"/>
          <w:szCs w:val="16"/>
          <w:lang w:val="en-US"/>
        </w:rPr>
      </w:pPr>
      <w:r w:rsidRPr="00012C3F">
        <w:rPr>
          <w:rFonts w:ascii="Verdana" w:hAnsi="Verdana"/>
          <w:sz w:val="16"/>
          <w:szCs w:val="16"/>
          <w:lang w:val="en-US"/>
        </w:rPr>
        <w:t xml:space="preserve">c. include in their domestic legislation penal, civil, administrative and any other type of provisions that may be needed to prevent, punish and eradicate violence against women and to adopt appropriate administrative measures where necessary; </w:t>
      </w:r>
    </w:p>
    <w:p w14:paraId="02ACD926" w14:textId="77777777" w:rsidR="00544148" w:rsidRPr="00012C3F" w:rsidRDefault="00544148" w:rsidP="008376E9">
      <w:pPr>
        <w:pStyle w:val="Default"/>
        <w:tabs>
          <w:tab w:val="left" w:pos="567"/>
        </w:tabs>
        <w:spacing w:after="120"/>
        <w:ind w:left="720" w:right="810"/>
        <w:jc w:val="both"/>
        <w:rPr>
          <w:rFonts w:ascii="Verdana" w:hAnsi="Verdana"/>
          <w:sz w:val="16"/>
          <w:szCs w:val="16"/>
          <w:lang w:val="en-US"/>
        </w:rPr>
      </w:pPr>
      <w:r w:rsidRPr="00012C3F">
        <w:rPr>
          <w:rFonts w:ascii="Verdana" w:hAnsi="Verdana"/>
          <w:sz w:val="16"/>
          <w:szCs w:val="16"/>
          <w:lang w:val="en-US"/>
        </w:rPr>
        <w:t>[…]</w:t>
      </w:r>
    </w:p>
    <w:p w14:paraId="3C133616" w14:textId="77777777" w:rsidR="00544148" w:rsidRPr="00012C3F" w:rsidRDefault="00544148" w:rsidP="008376E9">
      <w:pPr>
        <w:pStyle w:val="Default"/>
        <w:tabs>
          <w:tab w:val="left" w:pos="567"/>
        </w:tabs>
        <w:spacing w:after="120"/>
        <w:ind w:left="720" w:right="810"/>
        <w:jc w:val="both"/>
        <w:rPr>
          <w:rFonts w:ascii="Verdana" w:hAnsi="Verdana"/>
          <w:sz w:val="16"/>
          <w:szCs w:val="16"/>
          <w:lang w:val="en-US"/>
        </w:rPr>
      </w:pPr>
      <w:r w:rsidRPr="00012C3F">
        <w:rPr>
          <w:rFonts w:ascii="Verdana" w:hAnsi="Verdana"/>
          <w:sz w:val="16"/>
          <w:szCs w:val="16"/>
          <w:lang w:val="en-US"/>
        </w:rPr>
        <w:t xml:space="preserve">f. establish fair and effective legal procedures for women who have been subjected to violence which include, among others, protective measures, a timely hearing and effective access to such procedures; </w:t>
      </w:r>
    </w:p>
    <w:p w14:paraId="480EB513" w14:textId="77777777" w:rsidR="00502B43" w:rsidRPr="00012C3F" w:rsidRDefault="00544148" w:rsidP="00274D37">
      <w:pPr>
        <w:pStyle w:val="Default"/>
        <w:tabs>
          <w:tab w:val="left" w:pos="567"/>
        </w:tabs>
        <w:spacing w:after="200"/>
        <w:ind w:left="720" w:right="810"/>
        <w:jc w:val="both"/>
        <w:rPr>
          <w:rFonts w:ascii="Verdana" w:hAnsi="Verdana"/>
          <w:sz w:val="16"/>
          <w:szCs w:val="16"/>
          <w:lang w:val="en-US"/>
        </w:rPr>
      </w:pPr>
      <w:r w:rsidRPr="00012C3F">
        <w:rPr>
          <w:rFonts w:ascii="Verdana" w:hAnsi="Verdana"/>
          <w:sz w:val="16"/>
          <w:szCs w:val="16"/>
          <w:lang w:val="en-US"/>
        </w:rPr>
        <w:t>g. establish the necessary legal and administrative mechanisms to ensure that women subjected to violence have effective access to restitution, reparations or other just and effective remedies[.]</w:t>
      </w:r>
    </w:p>
    <w:p w14:paraId="77456487" w14:textId="77777777" w:rsidR="00502B43" w:rsidRPr="00012C3F" w:rsidRDefault="001254DE" w:rsidP="008376E9">
      <w:pPr>
        <w:numPr>
          <w:ilvl w:val="0"/>
          <w:numId w:val="5"/>
        </w:numPr>
        <w:tabs>
          <w:tab w:val="left" w:pos="720"/>
          <w:tab w:val="num" w:pos="12305"/>
        </w:tabs>
        <w:spacing w:line="240" w:lineRule="auto"/>
        <w:ind w:left="0" w:firstLine="0"/>
        <w:rPr>
          <w:rFonts w:eastAsia="MS Mincho"/>
          <w:bCs/>
          <w:sz w:val="20"/>
          <w:szCs w:val="20"/>
          <w:lang w:val="en-US"/>
        </w:rPr>
      </w:pPr>
      <w:r w:rsidRPr="00012C3F">
        <w:rPr>
          <w:rFonts w:eastAsia="MS Mincho"/>
          <w:bCs/>
          <w:sz w:val="20"/>
          <w:szCs w:val="20"/>
          <w:lang w:val="en-US"/>
        </w:rPr>
        <w:t>The Court</w:t>
      </w:r>
      <w:r w:rsidR="00502B43" w:rsidRPr="00012C3F">
        <w:rPr>
          <w:rFonts w:eastAsia="MS Mincho"/>
          <w:bCs/>
          <w:sz w:val="20"/>
          <w:szCs w:val="20"/>
          <w:lang w:val="en-US"/>
        </w:rPr>
        <w:t xml:space="preserve"> </w:t>
      </w:r>
      <w:r w:rsidR="00502B43" w:rsidRPr="00012C3F">
        <w:rPr>
          <w:rFonts w:eastAsia="MS Mincho"/>
          <w:sz w:val="20"/>
          <w:szCs w:val="20"/>
          <w:lang w:val="en-US"/>
        </w:rPr>
        <w:t>ha</w:t>
      </w:r>
      <w:r w:rsidR="008376E9" w:rsidRPr="00012C3F">
        <w:rPr>
          <w:rFonts w:eastAsia="MS Mincho"/>
          <w:sz w:val="20"/>
          <w:szCs w:val="20"/>
          <w:lang w:val="en-US"/>
        </w:rPr>
        <w:t>s indicated that, when an act of violence is committed against a woman</w:t>
      </w:r>
      <w:r w:rsidR="00274D37" w:rsidRPr="00012C3F">
        <w:rPr>
          <w:rFonts w:eastAsia="MS Mincho"/>
          <w:sz w:val="20"/>
          <w:szCs w:val="20"/>
          <w:lang w:val="en-US"/>
        </w:rPr>
        <w:t>,</w:t>
      </w:r>
      <w:r w:rsidR="008376E9" w:rsidRPr="00012C3F">
        <w:rPr>
          <w:rFonts w:eastAsia="MS Mincho"/>
          <w:sz w:val="20"/>
          <w:szCs w:val="20"/>
          <w:lang w:val="en-US"/>
        </w:rPr>
        <w:t xml:space="preserve"> it is particularly important that the authorities in charge of the investigation conduct it effectively and with determination, taking into account the duty of society to reject violence against women and the obligations of the State to eradicate it and to ensure that </w:t>
      </w:r>
      <w:r w:rsidR="00274D37" w:rsidRPr="00012C3F">
        <w:rPr>
          <w:rFonts w:eastAsia="MS Mincho"/>
          <w:sz w:val="20"/>
          <w:szCs w:val="20"/>
          <w:lang w:val="en-US"/>
        </w:rPr>
        <w:t xml:space="preserve">the </w:t>
      </w:r>
      <w:r w:rsidR="008376E9" w:rsidRPr="00012C3F">
        <w:rPr>
          <w:rFonts w:eastAsia="MS Mincho"/>
          <w:sz w:val="20"/>
          <w:szCs w:val="20"/>
          <w:lang w:val="en-US"/>
        </w:rPr>
        <w:t>victims have confidence in the State institutions for their protection.</w:t>
      </w:r>
      <w:r w:rsidR="00502B43" w:rsidRPr="00012C3F">
        <w:rPr>
          <w:rFonts w:eastAsia="MS Mincho"/>
          <w:sz w:val="20"/>
          <w:szCs w:val="20"/>
          <w:vertAlign w:val="superscript"/>
          <w:lang w:val="en-US"/>
        </w:rPr>
        <w:footnoteReference w:id="374"/>
      </w:r>
      <w:r w:rsidR="00502B43" w:rsidRPr="00012C3F">
        <w:rPr>
          <w:rFonts w:eastAsia="MS Mincho"/>
          <w:bCs/>
          <w:sz w:val="20"/>
          <w:szCs w:val="20"/>
          <w:lang w:val="en-US"/>
        </w:rPr>
        <w:t>.</w:t>
      </w:r>
    </w:p>
    <w:p w14:paraId="3C2E8BF3" w14:textId="77777777" w:rsidR="00502B43" w:rsidRPr="00012C3F" w:rsidRDefault="00502B43" w:rsidP="00502B43">
      <w:pPr>
        <w:tabs>
          <w:tab w:val="left" w:pos="720"/>
        </w:tabs>
        <w:spacing w:line="240" w:lineRule="auto"/>
        <w:rPr>
          <w:rFonts w:eastAsia="MS Mincho"/>
          <w:bCs/>
          <w:sz w:val="20"/>
          <w:szCs w:val="20"/>
          <w:lang w:val="en-US"/>
        </w:rPr>
      </w:pPr>
    </w:p>
    <w:p w14:paraId="60BBBB52" w14:textId="77777777" w:rsidR="00502B43" w:rsidRPr="00012C3F" w:rsidRDefault="00271E24" w:rsidP="009C5B29">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Non-consensual</w:t>
      </w:r>
      <w:r w:rsidR="009C5B29" w:rsidRPr="00012C3F">
        <w:rPr>
          <w:rFonts w:eastAsia="MS Mincho"/>
          <w:sz w:val="20"/>
          <w:szCs w:val="20"/>
          <w:lang w:val="en-US"/>
        </w:rPr>
        <w:t xml:space="preserve"> </w:t>
      </w:r>
      <w:r w:rsidR="008376E9" w:rsidRPr="00012C3F">
        <w:rPr>
          <w:rFonts w:eastAsia="MS Mincho"/>
          <w:sz w:val="20"/>
          <w:szCs w:val="20"/>
          <w:lang w:val="en-US"/>
        </w:rPr>
        <w:t>or involuntary</w:t>
      </w:r>
      <w:r w:rsidRPr="00012C3F">
        <w:rPr>
          <w:rFonts w:eastAsia="MS Mincho"/>
          <w:sz w:val="20"/>
          <w:szCs w:val="20"/>
          <w:lang w:val="en-US"/>
        </w:rPr>
        <w:t xml:space="preserve"> sterilization</w:t>
      </w:r>
      <w:r w:rsidR="008376E9" w:rsidRPr="00012C3F">
        <w:rPr>
          <w:rFonts w:eastAsia="MS Mincho"/>
          <w:sz w:val="20"/>
          <w:szCs w:val="20"/>
          <w:lang w:val="en-US"/>
        </w:rPr>
        <w:t xml:space="preserve"> </w:t>
      </w:r>
      <w:r w:rsidR="009C5B29" w:rsidRPr="00012C3F">
        <w:rPr>
          <w:rFonts w:eastAsia="MS Mincho"/>
          <w:sz w:val="20"/>
          <w:szCs w:val="20"/>
          <w:lang w:val="en-US"/>
        </w:rPr>
        <w:t>is</w:t>
      </w:r>
      <w:r w:rsidR="008376E9" w:rsidRPr="00012C3F">
        <w:rPr>
          <w:rFonts w:eastAsia="MS Mincho"/>
          <w:sz w:val="20"/>
          <w:szCs w:val="20"/>
          <w:lang w:val="en-US"/>
        </w:rPr>
        <w:t xml:space="preserve"> one of the many practices encompasse</w:t>
      </w:r>
      <w:r w:rsidR="009C5B29" w:rsidRPr="00012C3F">
        <w:rPr>
          <w:rFonts w:eastAsia="MS Mincho"/>
          <w:sz w:val="20"/>
          <w:szCs w:val="20"/>
          <w:lang w:val="en-US"/>
        </w:rPr>
        <w:t>d by</w:t>
      </w:r>
      <w:r w:rsidR="008376E9" w:rsidRPr="00012C3F">
        <w:rPr>
          <w:rFonts w:eastAsia="MS Mincho"/>
          <w:sz w:val="20"/>
          <w:szCs w:val="20"/>
          <w:lang w:val="en-US"/>
        </w:rPr>
        <w:t xml:space="preserve"> the concept of violence against women</w:t>
      </w:r>
      <w:r w:rsidR="007E5683" w:rsidRPr="00012C3F">
        <w:rPr>
          <w:rFonts w:eastAsia="MS Mincho"/>
          <w:sz w:val="20"/>
          <w:szCs w:val="20"/>
          <w:lang w:val="en-US"/>
        </w:rPr>
        <w:t xml:space="preserve"> </w:t>
      </w:r>
      <w:r w:rsidR="00502B43" w:rsidRPr="00012C3F">
        <w:rPr>
          <w:rFonts w:eastAsia="MS Mincho"/>
          <w:sz w:val="20"/>
          <w:szCs w:val="20"/>
          <w:lang w:val="en-US"/>
        </w:rPr>
        <w:t>(</w:t>
      </w:r>
      <w:r w:rsidR="00502B43" w:rsidRPr="00012C3F">
        <w:rPr>
          <w:rFonts w:eastAsia="MS Mincho"/>
          <w:i/>
          <w:sz w:val="20"/>
          <w:szCs w:val="20"/>
          <w:lang w:val="en-US"/>
        </w:rPr>
        <w:t xml:space="preserve">supra </w:t>
      </w:r>
      <w:r w:rsidR="00370DD4" w:rsidRPr="00012C3F">
        <w:rPr>
          <w:rFonts w:eastAsia="MS Mincho"/>
          <w:sz w:val="20"/>
          <w:szCs w:val="20"/>
          <w:lang w:val="en-US"/>
        </w:rPr>
        <w:t>para.</w:t>
      </w:r>
      <w:r w:rsidR="00502B43" w:rsidRPr="00012C3F">
        <w:rPr>
          <w:rFonts w:eastAsia="MS Mincho"/>
          <w:sz w:val="20"/>
          <w:szCs w:val="20"/>
          <w:lang w:val="en-US"/>
        </w:rPr>
        <w:t xml:space="preserve"> </w:t>
      </w:r>
      <w:r w:rsidR="00D97344" w:rsidRPr="00012C3F">
        <w:rPr>
          <w:rFonts w:eastAsia="MS Mincho"/>
          <w:sz w:val="20"/>
          <w:szCs w:val="20"/>
          <w:lang w:val="en-US"/>
        </w:rPr>
        <w:t>254</w:t>
      </w:r>
      <w:r w:rsidR="00502B43" w:rsidRPr="00012C3F">
        <w:rPr>
          <w:rFonts w:eastAsia="MS Mincho"/>
          <w:sz w:val="20"/>
          <w:szCs w:val="20"/>
          <w:lang w:val="en-US"/>
        </w:rPr>
        <w:t xml:space="preserve">) </w:t>
      </w:r>
      <w:r w:rsidR="009C5B29" w:rsidRPr="00012C3F">
        <w:rPr>
          <w:rFonts w:eastAsia="MS Mincho"/>
          <w:sz w:val="20"/>
          <w:szCs w:val="20"/>
          <w:lang w:val="en-US"/>
        </w:rPr>
        <w:t>and, to this extent, the standards development in this Court’s case law regarding the obligation to investigate in cases of violence against women become applicable. However, contrary to previous cases which related to rape, death, ill-treatment and violations of personal liberty committed in a general context of violence against women,</w:t>
      </w:r>
      <w:r w:rsidR="00502B43" w:rsidRPr="00012C3F">
        <w:rPr>
          <w:rStyle w:val="Refdenotaalpie"/>
          <w:bCs/>
          <w:sz w:val="20"/>
          <w:lang w:val="en-US"/>
        </w:rPr>
        <w:footnoteReference w:id="375"/>
      </w:r>
      <w:r w:rsidR="00502B43" w:rsidRPr="00012C3F">
        <w:rPr>
          <w:rFonts w:eastAsia="MS Mincho"/>
          <w:sz w:val="20"/>
          <w:szCs w:val="20"/>
          <w:lang w:val="en-US"/>
        </w:rPr>
        <w:t xml:space="preserve"> </w:t>
      </w:r>
      <w:r w:rsidR="001254DE" w:rsidRPr="00012C3F">
        <w:rPr>
          <w:rFonts w:eastAsia="MS Mincho"/>
          <w:sz w:val="20"/>
          <w:szCs w:val="20"/>
          <w:lang w:val="en-US"/>
        </w:rPr>
        <w:t>the Court</w:t>
      </w:r>
      <w:r w:rsidR="00502B43" w:rsidRPr="00012C3F">
        <w:rPr>
          <w:rFonts w:eastAsia="MS Mincho"/>
          <w:sz w:val="20"/>
          <w:szCs w:val="20"/>
          <w:lang w:val="en-US"/>
        </w:rPr>
        <w:t xml:space="preserve"> not</w:t>
      </w:r>
      <w:r w:rsidR="009C5B29" w:rsidRPr="00012C3F">
        <w:rPr>
          <w:rFonts w:eastAsia="MS Mincho"/>
          <w:sz w:val="20"/>
          <w:szCs w:val="20"/>
          <w:lang w:val="en-US"/>
        </w:rPr>
        <w:t>es that this cases refers to a violation of</w:t>
      </w:r>
      <w:r w:rsidR="00DF5BD3" w:rsidRPr="00012C3F">
        <w:rPr>
          <w:rFonts w:eastAsia="MS Mincho"/>
          <w:sz w:val="20"/>
          <w:szCs w:val="20"/>
          <w:lang w:val="en-US"/>
        </w:rPr>
        <w:t xml:space="preserve"> </w:t>
      </w:r>
      <w:r w:rsidR="00A710F6" w:rsidRPr="00012C3F">
        <w:rPr>
          <w:rFonts w:eastAsia="MS Mincho"/>
          <w:sz w:val="20"/>
          <w:szCs w:val="20"/>
          <w:lang w:val="en-US"/>
        </w:rPr>
        <w:t>sexual and reproductive rights</w:t>
      </w:r>
      <w:r w:rsidR="00502B43" w:rsidRPr="00012C3F">
        <w:rPr>
          <w:rFonts w:eastAsia="MS Mincho"/>
          <w:sz w:val="20"/>
          <w:szCs w:val="20"/>
          <w:lang w:val="en-US"/>
        </w:rPr>
        <w:t xml:space="preserve">, </w:t>
      </w:r>
      <w:r w:rsidR="009C5B29" w:rsidRPr="00012C3F">
        <w:rPr>
          <w:rFonts w:eastAsia="MS Mincho"/>
          <w:sz w:val="20"/>
          <w:szCs w:val="20"/>
          <w:lang w:val="en-US"/>
        </w:rPr>
        <w:t xml:space="preserve">in which the physician deprived I.V. of her reproductive function without her </w:t>
      </w:r>
      <w:r w:rsidR="00AC0004" w:rsidRPr="00012C3F">
        <w:rPr>
          <w:rFonts w:eastAsia="MS Mincho"/>
          <w:sz w:val="20"/>
          <w:szCs w:val="20"/>
          <w:lang w:val="en-US"/>
        </w:rPr>
        <w:t>informed consent</w:t>
      </w:r>
      <w:r w:rsidR="00502B43" w:rsidRPr="00012C3F">
        <w:rPr>
          <w:rFonts w:eastAsia="MS Mincho"/>
          <w:sz w:val="20"/>
          <w:szCs w:val="20"/>
          <w:lang w:val="en-US"/>
        </w:rPr>
        <w:t xml:space="preserve"> </w:t>
      </w:r>
      <w:r w:rsidR="009C5B29" w:rsidRPr="00012C3F">
        <w:rPr>
          <w:rFonts w:eastAsia="MS Mincho"/>
          <w:sz w:val="20"/>
          <w:szCs w:val="20"/>
          <w:lang w:val="en-US"/>
        </w:rPr>
        <w:t>in a public hospital during a c</w:t>
      </w:r>
      <w:r w:rsidR="00D22661" w:rsidRPr="00012C3F">
        <w:rPr>
          <w:rFonts w:eastAsia="MS Mincho"/>
          <w:sz w:val="20"/>
          <w:szCs w:val="20"/>
          <w:lang w:val="en-US"/>
        </w:rPr>
        <w:t>aesarean section</w:t>
      </w:r>
      <w:r w:rsidR="009C5B29" w:rsidRPr="00012C3F">
        <w:rPr>
          <w:rFonts w:eastAsia="MS Mincho"/>
          <w:sz w:val="20"/>
          <w:szCs w:val="20"/>
          <w:lang w:val="en-US"/>
        </w:rPr>
        <w:t>. According to the evidence that has been presented, this non-consensual sterilization did not form part of a State policy and did not take place during an armed conflict or as part of a general and systematic attack on the civilian population. However, in this Court’s opinion, this does not mean that the said act should be classified merely as the ineptitude of the physician</w:t>
      </w:r>
      <w:r w:rsidR="00502B43" w:rsidRPr="00012C3F">
        <w:rPr>
          <w:rFonts w:eastAsia="MS Mincho"/>
          <w:sz w:val="20"/>
          <w:szCs w:val="20"/>
          <w:lang w:val="en-US"/>
        </w:rPr>
        <w:t xml:space="preserve">, </w:t>
      </w:r>
      <w:r w:rsidR="009C5B29" w:rsidRPr="00012C3F">
        <w:rPr>
          <w:rFonts w:eastAsia="MS Mincho"/>
          <w:sz w:val="20"/>
          <w:szCs w:val="20"/>
          <w:lang w:val="en-US"/>
        </w:rPr>
        <w:t>but rather it constitutes a significant violation of human rights and, i</w:t>
      </w:r>
      <w:r w:rsidR="00502B43" w:rsidRPr="00012C3F">
        <w:rPr>
          <w:rFonts w:eastAsia="MS Mincho"/>
          <w:sz w:val="20"/>
          <w:szCs w:val="20"/>
          <w:lang w:val="en-US"/>
        </w:rPr>
        <w:t xml:space="preserve">n particular, </w:t>
      </w:r>
      <w:r w:rsidR="009C5B29" w:rsidRPr="00012C3F">
        <w:rPr>
          <w:rFonts w:eastAsia="MS Mincho"/>
          <w:sz w:val="20"/>
          <w:szCs w:val="20"/>
          <w:lang w:val="en-US"/>
        </w:rPr>
        <w:t xml:space="preserve">a crass disregard for </w:t>
      </w:r>
      <w:r w:rsidR="00DF5BD3" w:rsidRPr="00012C3F">
        <w:rPr>
          <w:rFonts w:eastAsia="MS Mincho"/>
          <w:sz w:val="20"/>
          <w:szCs w:val="20"/>
          <w:lang w:val="en-US"/>
        </w:rPr>
        <w:t xml:space="preserve">the </w:t>
      </w:r>
      <w:r w:rsidR="00A710F6" w:rsidRPr="00012C3F">
        <w:rPr>
          <w:rFonts w:eastAsia="MS Mincho"/>
          <w:sz w:val="20"/>
          <w:szCs w:val="20"/>
          <w:lang w:val="en-US"/>
        </w:rPr>
        <w:t>sexual and reproductive rights</w:t>
      </w:r>
      <w:r w:rsidR="005E5012" w:rsidRPr="00012C3F">
        <w:rPr>
          <w:rFonts w:eastAsia="MS Mincho"/>
          <w:sz w:val="20"/>
          <w:szCs w:val="20"/>
          <w:lang w:val="en-US"/>
        </w:rPr>
        <w:t xml:space="preserve"> and </w:t>
      </w:r>
      <w:r w:rsidR="009C5B29" w:rsidRPr="00012C3F">
        <w:rPr>
          <w:rFonts w:eastAsia="MS Mincho"/>
          <w:sz w:val="20"/>
          <w:szCs w:val="20"/>
          <w:lang w:val="en-US"/>
        </w:rPr>
        <w:t>the autonomy of women.</w:t>
      </w:r>
    </w:p>
    <w:p w14:paraId="1D0E3506" w14:textId="77777777" w:rsidR="00502B43" w:rsidRPr="00012C3F" w:rsidRDefault="00502B43" w:rsidP="00502B43">
      <w:pPr>
        <w:tabs>
          <w:tab w:val="left" w:pos="720"/>
        </w:tabs>
        <w:spacing w:line="240" w:lineRule="auto"/>
        <w:rPr>
          <w:rFonts w:eastAsia="MS Mincho"/>
          <w:sz w:val="20"/>
          <w:szCs w:val="20"/>
          <w:lang w:val="en-US"/>
        </w:rPr>
      </w:pPr>
    </w:p>
    <w:p w14:paraId="4514E0CD" w14:textId="77777777" w:rsidR="00502B43" w:rsidRPr="00012C3F" w:rsidRDefault="009F52EA" w:rsidP="009F52EA">
      <w:pPr>
        <w:numPr>
          <w:ilvl w:val="0"/>
          <w:numId w:val="5"/>
        </w:numPr>
        <w:tabs>
          <w:tab w:val="left" w:pos="720"/>
          <w:tab w:val="num" w:pos="12305"/>
        </w:tabs>
        <w:spacing w:line="240" w:lineRule="auto"/>
        <w:ind w:left="0" w:firstLine="0"/>
        <w:rPr>
          <w:rFonts w:eastAsia="MS Mincho"/>
          <w:sz w:val="20"/>
          <w:szCs w:val="20"/>
          <w:lang w:val="en-US"/>
        </w:rPr>
      </w:pPr>
      <w:r w:rsidRPr="00012C3F">
        <w:rPr>
          <w:sz w:val="20"/>
          <w:szCs w:val="20"/>
          <w:lang w:val="en-US"/>
        </w:rPr>
        <w:lastRenderedPageBreak/>
        <w:t xml:space="preserve">Indeed, as stressed by the </w:t>
      </w:r>
      <w:r w:rsidRPr="00012C3F">
        <w:rPr>
          <w:color w:val="000000" w:themeColor="text1"/>
          <w:sz w:val="20"/>
          <w:szCs w:val="20"/>
          <w:lang w:val="en-US"/>
        </w:rPr>
        <w:t>Special Rapporteur on violence against women, its causes and consequences</w:t>
      </w:r>
      <w:r w:rsidR="00502B43" w:rsidRPr="00012C3F">
        <w:rPr>
          <w:sz w:val="20"/>
          <w:szCs w:val="20"/>
          <w:lang w:val="en-US"/>
        </w:rPr>
        <w:t>, “</w:t>
      </w:r>
      <w:r w:rsidRPr="00012C3F">
        <w:rPr>
          <w:sz w:val="20"/>
          <w:szCs w:val="20"/>
          <w:lang w:val="en-US"/>
        </w:rPr>
        <w:t>[v]iolence and violations of women’s reproductive health may result either from direct State action, via harmful reproductive policies, or from State failure to meet its core obligations to promote the empowerment of women[, and this implies] the State’s obligation to act with due diligence to prevent, investigate, and punish violation.</w:t>
      </w:r>
      <w:r w:rsidR="00502B43" w:rsidRPr="00012C3F">
        <w:rPr>
          <w:rFonts w:eastAsia="MS Mincho"/>
          <w:sz w:val="20"/>
          <w:szCs w:val="20"/>
          <w:lang w:val="en-US"/>
        </w:rPr>
        <w:t>”</w:t>
      </w:r>
      <w:r w:rsidR="00502B43" w:rsidRPr="00012C3F">
        <w:rPr>
          <w:rStyle w:val="Refdenotaalpie"/>
          <w:rFonts w:eastAsia="MS Mincho"/>
          <w:sz w:val="20"/>
          <w:lang w:val="en-US"/>
        </w:rPr>
        <w:footnoteReference w:id="376"/>
      </w:r>
    </w:p>
    <w:p w14:paraId="4D00E619" w14:textId="77777777" w:rsidR="00AC7939" w:rsidRPr="00012C3F" w:rsidRDefault="00AC7939" w:rsidP="009F52EA">
      <w:pPr>
        <w:tabs>
          <w:tab w:val="left" w:pos="720"/>
        </w:tabs>
        <w:spacing w:line="240" w:lineRule="auto"/>
        <w:rPr>
          <w:rFonts w:eastAsia="MS Mincho"/>
          <w:sz w:val="20"/>
          <w:szCs w:val="20"/>
          <w:lang w:val="en-US"/>
        </w:rPr>
      </w:pPr>
    </w:p>
    <w:p w14:paraId="36882DD1" w14:textId="77777777" w:rsidR="00B81E4D" w:rsidRPr="00012C3F" w:rsidRDefault="009F52EA" w:rsidP="009F52EA">
      <w:pPr>
        <w:numPr>
          <w:ilvl w:val="0"/>
          <w:numId w:val="5"/>
        </w:numPr>
        <w:tabs>
          <w:tab w:val="left" w:pos="720"/>
          <w:tab w:val="num" w:pos="12305"/>
        </w:tabs>
        <w:spacing w:line="240" w:lineRule="auto"/>
        <w:ind w:left="0" w:firstLine="0"/>
        <w:rPr>
          <w:rFonts w:eastAsia="MS Mincho"/>
          <w:sz w:val="20"/>
          <w:szCs w:val="20"/>
          <w:lang w:val="en-US"/>
        </w:rPr>
      </w:pPr>
      <w:r w:rsidRPr="00012C3F">
        <w:rPr>
          <w:sz w:val="20"/>
          <w:szCs w:val="20"/>
          <w:lang w:val="en-US"/>
        </w:rPr>
        <w:t xml:space="preserve">Therefore, the protection of </w:t>
      </w:r>
      <w:r w:rsidR="00DF5BD3" w:rsidRPr="00012C3F">
        <w:rPr>
          <w:sz w:val="20"/>
          <w:szCs w:val="20"/>
          <w:lang w:val="en-US"/>
        </w:rPr>
        <w:t>the rights</w:t>
      </w:r>
      <w:r w:rsidR="00375A37" w:rsidRPr="00012C3F">
        <w:rPr>
          <w:sz w:val="20"/>
          <w:szCs w:val="20"/>
          <w:lang w:val="en-US"/>
        </w:rPr>
        <w:t xml:space="preserve"> of women by </w:t>
      </w:r>
      <w:r w:rsidR="00B81E4D" w:rsidRPr="00012C3F">
        <w:rPr>
          <w:sz w:val="20"/>
          <w:szCs w:val="20"/>
          <w:lang w:val="en-US"/>
        </w:rPr>
        <w:t>a</w:t>
      </w:r>
      <w:r w:rsidR="00375A37" w:rsidRPr="00012C3F">
        <w:rPr>
          <w:sz w:val="20"/>
          <w:szCs w:val="20"/>
          <w:lang w:val="en-US"/>
        </w:rPr>
        <w:t>ccess to opportune, adequate and effective remedies</w:t>
      </w:r>
      <w:r w:rsidR="00B81E4D" w:rsidRPr="00012C3F">
        <w:rPr>
          <w:sz w:val="20"/>
          <w:szCs w:val="20"/>
          <w:lang w:val="en-US"/>
        </w:rPr>
        <w:t xml:space="preserve"> to redress such violations comprehensively and to avoid a recurrence of such facts in future is extremely relevant if it is considered that, nowadays, in the context of medical care and access to health care services, women continue to be vulnerable to violations of their sexual and reproductive rights, in most cases through discriminatory practices that are the result of the application of prejudicial stereotypes.</w:t>
      </w:r>
    </w:p>
    <w:p w14:paraId="21527183" w14:textId="77777777" w:rsidR="00502B43" w:rsidRPr="00012C3F" w:rsidRDefault="00502B43" w:rsidP="00502B43">
      <w:pPr>
        <w:tabs>
          <w:tab w:val="left" w:pos="720"/>
        </w:tabs>
        <w:spacing w:line="240" w:lineRule="auto"/>
        <w:rPr>
          <w:rFonts w:eastAsia="MS Mincho"/>
          <w:sz w:val="20"/>
          <w:szCs w:val="20"/>
          <w:lang w:val="en-US"/>
        </w:rPr>
      </w:pPr>
    </w:p>
    <w:p w14:paraId="72D9661C" w14:textId="77777777" w:rsidR="00AC7939" w:rsidRPr="00012C3F" w:rsidRDefault="008C36B0" w:rsidP="008C36B0">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That said, </w:t>
      </w:r>
      <w:r w:rsidR="001254DE" w:rsidRPr="00012C3F">
        <w:rPr>
          <w:rFonts w:eastAsia="MS Mincho"/>
          <w:sz w:val="20"/>
          <w:szCs w:val="20"/>
          <w:lang w:val="en-US"/>
        </w:rPr>
        <w:t>the Court</w:t>
      </w:r>
      <w:r w:rsidR="00502B43" w:rsidRPr="00012C3F">
        <w:rPr>
          <w:rFonts w:eastAsia="MS Mincho"/>
          <w:sz w:val="20"/>
          <w:szCs w:val="20"/>
          <w:lang w:val="en-US"/>
        </w:rPr>
        <w:t xml:space="preserve"> consider</w:t>
      </w:r>
      <w:r w:rsidRPr="00012C3F">
        <w:rPr>
          <w:rFonts w:eastAsia="MS Mincho"/>
          <w:sz w:val="20"/>
          <w:szCs w:val="20"/>
          <w:lang w:val="en-US"/>
        </w:rPr>
        <w:t xml:space="preserve">s that the need </w:t>
      </w:r>
      <w:r w:rsidR="00B1199F" w:rsidRPr="00012C3F">
        <w:rPr>
          <w:rFonts w:eastAsia="MS Mincho"/>
          <w:sz w:val="20"/>
          <w:szCs w:val="20"/>
          <w:lang w:val="en-US"/>
        </w:rPr>
        <w:t>to</w:t>
      </w:r>
      <w:r w:rsidRPr="00012C3F">
        <w:rPr>
          <w:rFonts w:eastAsia="MS Mincho"/>
          <w:sz w:val="20"/>
          <w:szCs w:val="20"/>
          <w:lang w:val="en-US"/>
        </w:rPr>
        <w:t xml:space="preserve"> criminalize certain violations of </w:t>
      </w:r>
      <w:r w:rsidR="00274D37" w:rsidRPr="00012C3F">
        <w:rPr>
          <w:rFonts w:eastAsia="MS Mincho"/>
          <w:sz w:val="20"/>
          <w:szCs w:val="20"/>
          <w:lang w:val="en-US"/>
        </w:rPr>
        <w:t>sexual and reproductive rights</w:t>
      </w:r>
      <w:r w:rsidRPr="00012C3F">
        <w:rPr>
          <w:rFonts w:eastAsia="MS Mincho"/>
          <w:sz w:val="20"/>
          <w:szCs w:val="20"/>
          <w:lang w:val="en-US"/>
        </w:rPr>
        <w:t xml:space="preserve">, as well as the evaluation of cases in which a criminal investigation is appropriate, should respond to a careful and balanced examination of the circumstances of the case, since some criminal offenses may be openly incompatible with human rights obligations because they limit or deny access to </w:t>
      </w:r>
      <w:r w:rsidR="00502B43" w:rsidRPr="00012C3F">
        <w:rPr>
          <w:rFonts w:eastAsia="MS Mincho"/>
          <w:sz w:val="20"/>
          <w:szCs w:val="20"/>
          <w:lang w:val="en-US"/>
        </w:rPr>
        <w:t>sexual</w:t>
      </w:r>
      <w:r w:rsidR="005E5012" w:rsidRPr="00012C3F">
        <w:rPr>
          <w:rFonts w:eastAsia="MS Mincho"/>
          <w:sz w:val="20"/>
          <w:szCs w:val="20"/>
          <w:lang w:val="en-US"/>
        </w:rPr>
        <w:t xml:space="preserve"> and </w:t>
      </w:r>
      <w:r w:rsidR="00502B43" w:rsidRPr="00012C3F">
        <w:rPr>
          <w:rFonts w:eastAsia="MS Mincho"/>
          <w:sz w:val="20"/>
          <w:szCs w:val="20"/>
          <w:lang w:val="en-US"/>
        </w:rPr>
        <w:t>reproductiv</w:t>
      </w:r>
      <w:r w:rsidRPr="00012C3F">
        <w:rPr>
          <w:rFonts w:eastAsia="MS Mincho"/>
          <w:sz w:val="20"/>
          <w:szCs w:val="20"/>
          <w:lang w:val="en-US"/>
        </w:rPr>
        <w:t>e health.</w:t>
      </w:r>
      <w:r w:rsidR="00502B43" w:rsidRPr="00012C3F">
        <w:rPr>
          <w:rStyle w:val="Refdenotaalpie"/>
          <w:rFonts w:eastAsia="MS Mincho"/>
          <w:sz w:val="20"/>
          <w:lang w:val="en-US"/>
        </w:rPr>
        <w:footnoteReference w:id="377"/>
      </w:r>
    </w:p>
    <w:p w14:paraId="192F30DE" w14:textId="77777777" w:rsidR="00AC7939" w:rsidRPr="00012C3F" w:rsidRDefault="00AC7939" w:rsidP="009F52EA">
      <w:pPr>
        <w:tabs>
          <w:tab w:val="left" w:pos="720"/>
        </w:tabs>
        <w:spacing w:line="240" w:lineRule="auto"/>
        <w:rPr>
          <w:rFonts w:eastAsia="MS Mincho"/>
          <w:sz w:val="20"/>
          <w:szCs w:val="20"/>
          <w:lang w:val="en-US"/>
        </w:rPr>
      </w:pPr>
    </w:p>
    <w:p w14:paraId="42726F51" w14:textId="77777777" w:rsidR="00502B43" w:rsidRPr="00012C3F" w:rsidRDefault="008C36B0" w:rsidP="008C36B0">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It is clear that international criminal law establishes an obligatio</w:t>
      </w:r>
      <w:r w:rsidR="00274D37" w:rsidRPr="00012C3F">
        <w:rPr>
          <w:rFonts w:eastAsia="MS Mincho"/>
          <w:sz w:val="20"/>
          <w:szCs w:val="20"/>
          <w:lang w:val="en-US"/>
        </w:rPr>
        <w:t>n,</w:t>
      </w:r>
      <w:r w:rsidRPr="00012C3F">
        <w:rPr>
          <w:rFonts w:eastAsia="MS Mincho"/>
          <w:sz w:val="20"/>
          <w:szCs w:val="20"/>
          <w:lang w:val="en-US"/>
        </w:rPr>
        <w:t xml:space="preserve"> as a domestic legal reflection of the Rome Statute</w:t>
      </w:r>
      <w:r w:rsidR="00274D37" w:rsidRPr="00012C3F">
        <w:rPr>
          <w:rFonts w:eastAsia="MS Mincho"/>
          <w:sz w:val="20"/>
          <w:szCs w:val="20"/>
          <w:lang w:val="en-US"/>
        </w:rPr>
        <w:t>,</w:t>
      </w:r>
      <w:r w:rsidRPr="00012C3F">
        <w:rPr>
          <w:rFonts w:eastAsia="MS Mincho"/>
          <w:sz w:val="20"/>
          <w:szCs w:val="20"/>
          <w:lang w:val="en-US"/>
        </w:rPr>
        <w:t xml:space="preserve"> to define forced sterilization as a crime against humanity and a war crime </w:t>
      </w:r>
      <w:r w:rsidR="004A27D9" w:rsidRPr="00012C3F">
        <w:rPr>
          <w:rFonts w:eastAsia="MS Mincho"/>
          <w:sz w:val="20"/>
          <w:szCs w:val="20"/>
          <w:lang w:val="en-US"/>
        </w:rPr>
        <w:t>(</w:t>
      </w:r>
      <w:r w:rsidR="004A27D9" w:rsidRPr="00012C3F">
        <w:rPr>
          <w:rFonts w:eastAsia="MS Mincho"/>
          <w:i/>
          <w:sz w:val="20"/>
          <w:szCs w:val="20"/>
          <w:lang w:val="en-US"/>
        </w:rPr>
        <w:t>supra</w:t>
      </w:r>
      <w:r w:rsidR="004A27D9" w:rsidRPr="00012C3F">
        <w:rPr>
          <w:rFonts w:eastAsia="MS Mincho"/>
          <w:sz w:val="20"/>
          <w:szCs w:val="20"/>
          <w:lang w:val="en-US"/>
        </w:rPr>
        <w:t xml:space="preserve"> </w:t>
      </w:r>
      <w:r w:rsidR="00370DD4" w:rsidRPr="00012C3F">
        <w:rPr>
          <w:rFonts w:eastAsia="MS Mincho"/>
          <w:sz w:val="20"/>
          <w:szCs w:val="20"/>
          <w:lang w:val="en-US"/>
        </w:rPr>
        <w:t>para.</w:t>
      </w:r>
      <w:r w:rsidR="004A27D9" w:rsidRPr="00012C3F">
        <w:rPr>
          <w:rFonts w:eastAsia="MS Mincho"/>
          <w:sz w:val="20"/>
          <w:szCs w:val="20"/>
          <w:lang w:val="en-US"/>
        </w:rPr>
        <w:t xml:space="preserve"> 204)</w:t>
      </w:r>
      <w:r w:rsidR="00502B43" w:rsidRPr="00012C3F">
        <w:rPr>
          <w:sz w:val="20"/>
          <w:szCs w:val="20"/>
          <w:lang w:val="en-US"/>
        </w:rPr>
        <w:t xml:space="preserve">, </w:t>
      </w:r>
      <w:r w:rsidRPr="00012C3F">
        <w:rPr>
          <w:sz w:val="20"/>
          <w:szCs w:val="20"/>
          <w:lang w:val="en-US"/>
        </w:rPr>
        <w:t>and this practice may even constitute an act of genocide.</w:t>
      </w:r>
      <w:r w:rsidR="00502B43" w:rsidRPr="00012C3F">
        <w:rPr>
          <w:rStyle w:val="Refdenotaalpie"/>
          <w:sz w:val="20"/>
          <w:lang w:val="en-US"/>
        </w:rPr>
        <w:footnoteReference w:id="378"/>
      </w:r>
      <w:r w:rsidRPr="00012C3F">
        <w:rPr>
          <w:rFonts w:eastAsia="MS Mincho"/>
          <w:sz w:val="20"/>
          <w:szCs w:val="20"/>
          <w:lang w:val="en-US"/>
        </w:rPr>
        <w:t xml:space="preserve"> That obligation evidently</w:t>
      </w:r>
      <w:r w:rsidR="00502B43" w:rsidRPr="00012C3F">
        <w:rPr>
          <w:rFonts w:eastAsia="MS Mincho"/>
          <w:sz w:val="20"/>
          <w:szCs w:val="20"/>
          <w:lang w:val="en-US"/>
        </w:rPr>
        <w:t xml:space="preserve"> </w:t>
      </w:r>
      <w:r w:rsidRPr="00012C3F">
        <w:rPr>
          <w:rFonts w:eastAsia="MS Mincho"/>
          <w:sz w:val="20"/>
          <w:szCs w:val="20"/>
          <w:lang w:val="en-US"/>
        </w:rPr>
        <w:t xml:space="preserve">involves an obligation to investigate </w:t>
      </w:r>
      <w:r w:rsidR="00502B43" w:rsidRPr="00012C3F">
        <w:rPr>
          <w:rFonts w:eastAsia="MS Mincho"/>
          <w:i/>
          <w:sz w:val="20"/>
          <w:szCs w:val="20"/>
          <w:lang w:val="en-US"/>
        </w:rPr>
        <w:t xml:space="preserve">ex officio </w:t>
      </w:r>
      <w:r w:rsidRPr="00012C3F">
        <w:rPr>
          <w:rFonts w:eastAsia="MS Mincho"/>
          <w:sz w:val="20"/>
          <w:szCs w:val="20"/>
          <w:lang w:val="en-US"/>
        </w:rPr>
        <w:t>such conduct</w:t>
      </w:r>
      <w:r w:rsidR="00502B43" w:rsidRPr="00012C3F">
        <w:rPr>
          <w:rFonts w:eastAsia="MS Mincho"/>
          <w:sz w:val="20"/>
          <w:szCs w:val="20"/>
          <w:lang w:val="en-US"/>
        </w:rPr>
        <w:t xml:space="preserve">. </w:t>
      </w:r>
    </w:p>
    <w:p w14:paraId="3B2558E2" w14:textId="77777777" w:rsidR="00502B43" w:rsidRPr="00012C3F" w:rsidRDefault="00502B43" w:rsidP="009F52EA">
      <w:pPr>
        <w:tabs>
          <w:tab w:val="left" w:pos="720"/>
        </w:tabs>
        <w:spacing w:line="240" w:lineRule="auto"/>
        <w:rPr>
          <w:rFonts w:eastAsia="MS Mincho"/>
          <w:sz w:val="20"/>
          <w:szCs w:val="20"/>
          <w:lang w:val="en-US"/>
        </w:rPr>
      </w:pPr>
    </w:p>
    <w:p w14:paraId="22CFA381" w14:textId="77777777" w:rsidR="00502B43" w:rsidRPr="00012C3F" w:rsidRDefault="00377495" w:rsidP="006F75F3">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Regarding i</w:t>
      </w:r>
      <w:r w:rsidR="008C36B0" w:rsidRPr="00012C3F">
        <w:rPr>
          <w:rFonts w:eastAsia="MS Mincho"/>
          <w:sz w:val="20"/>
          <w:szCs w:val="20"/>
          <w:lang w:val="en-US"/>
        </w:rPr>
        <w:t>nternational practice</w:t>
      </w:r>
      <w:r w:rsidRPr="00012C3F">
        <w:rPr>
          <w:rFonts w:eastAsia="MS Mincho"/>
          <w:sz w:val="20"/>
          <w:szCs w:val="20"/>
          <w:lang w:val="en-US"/>
        </w:rPr>
        <w:t>,</w:t>
      </w:r>
      <w:r w:rsidR="008C36B0" w:rsidRPr="00012C3F">
        <w:rPr>
          <w:rFonts w:eastAsia="MS Mincho"/>
          <w:sz w:val="20"/>
          <w:szCs w:val="20"/>
          <w:lang w:val="en-US"/>
        </w:rPr>
        <w:t xml:space="preserve"> the </w:t>
      </w:r>
      <w:r w:rsidR="00BC0785" w:rsidRPr="00012C3F">
        <w:rPr>
          <w:rFonts w:eastAsia="MS Mincho"/>
          <w:sz w:val="20"/>
          <w:szCs w:val="20"/>
          <w:lang w:val="en-US"/>
        </w:rPr>
        <w:t>Committee for the Elimination of Discrimination against Women</w:t>
      </w:r>
      <w:r w:rsidR="000B5D06" w:rsidRPr="00012C3F" w:rsidDel="000B5D06">
        <w:rPr>
          <w:rFonts w:eastAsia="MS Mincho"/>
          <w:sz w:val="20"/>
          <w:szCs w:val="20"/>
          <w:lang w:val="en-US"/>
        </w:rPr>
        <w:t xml:space="preserve"> </w:t>
      </w:r>
      <w:r w:rsidR="008C36B0" w:rsidRPr="00012C3F">
        <w:rPr>
          <w:rFonts w:eastAsia="MS Mincho"/>
          <w:sz w:val="20"/>
          <w:szCs w:val="20"/>
          <w:lang w:val="en-US"/>
        </w:rPr>
        <w:t>has ruled</w:t>
      </w:r>
      <w:r w:rsidRPr="00012C3F">
        <w:rPr>
          <w:rFonts w:eastAsia="MS Mincho"/>
          <w:sz w:val="20"/>
          <w:szCs w:val="20"/>
          <w:lang w:val="en-US"/>
        </w:rPr>
        <w:t xml:space="preserve"> </w:t>
      </w:r>
      <w:r w:rsidR="008C36B0" w:rsidRPr="00012C3F">
        <w:rPr>
          <w:rFonts w:eastAsia="MS Mincho"/>
          <w:sz w:val="20"/>
          <w:szCs w:val="20"/>
          <w:lang w:val="en-US"/>
        </w:rPr>
        <w:t xml:space="preserve">on the obligation of States to adopt effective measures to prevent and </w:t>
      </w:r>
      <w:r w:rsidR="006F75F3" w:rsidRPr="00012C3F">
        <w:rPr>
          <w:rFonts w:eastAsia="MS Mincho"/>
          <w:sz w:val="20"/>
          <w:szCs w:val="20"/>
          <w:lang w:val="en-US"/>
        </w:rPr>
        <w:t>remedy non-consensual, involuntary, coerced or forced sterilizations, including establishing appropriate sanctions and measures of compensation.</w:t>
      </w:r>
      <w:r w:rsidR="00A053F1" w:rsidRPr="00012C3F">
        <w:rPr>
          <w:rStyle w:val="Refdenotaalpie"/>
          <w:sz w:val="20"/>
          <w:lang w:val="en-US"/>
        </w:rPr>
        <w:footnoteReference w:id="379"/>
      </w:r>
      <w:r w:rsidR="006F75F3" w:rsidRPr="00012C3F">
        <w:rPr>
          <w:rFonts w:eastAsia="MS Mincho"/>
          <w:sz w:val="20"/>
          <w:szCs w:val="20"/>
          <w:lang w:val="en-US"/>
        </w:rPr>
        <w:t xml:space="preserve"> Thus, in its </w:t>
      </w:r>
      <w:r w:rsidR="00891C09" w:rsidRPr="00012C3F">
        <w:rPr>
          <w:rFonts w:eastAsia="MS Mincho"/>
          <w:sz w:val="20"/>
          <w:szCs w:val="20"/>
          <w:lang w:val="en-US"/>
        </w:rPr>
        <w:t>General Recommendation</w:t>
      </w:r>
      <w:r w:rsidR="00502B43" w:rsidRPr="00012C3F">
        <w:rPr>
          <w:rFonts w:eastAsia="MS Mincho"/>
          <w:sz w:val="20"/>
          <w:szCs w:val="20"/>
          <w:lang w:val="en-US"/>
        </w:rPr>
        <w:t xml:space="preserve"> N</w:t>
      </w:r>
      <w:r w:rsidR="000B5D06" w:rsidRPr="00012C3F">
        <w:rPr>
          <w:rFonts w:eastAsia="MS Mincho"/>
          <w:sz w:val="20"/>
          <w:szCs w:val="20"/>
          <w:lang w:val="en-US"/>
        </w:rPr>
        <w:t>o.</w:t>
      </w:r>
      <w:r w:rsidR="00502B43" w:rsidRPr="00012C3F">
        <w:rPr>
          <w:rFonts w:eastAsia="MS Mincho"/>
          <w:sz w:val="20"/>
          <w:szCs w:val="20"/>
          <w:lang w:val="en-US"/>
        </w:rPr>
        <w:t xml:space="preserve"> 24 </w:t>
      </w:r>
      <w:r w:rsidR="006F75F3" w:rsidRPr="00012C3F">
        <w:rPr>
          <w:rFonts w:eastAsia="MS Mincho"/>
          <w:sz w:val="20"/>
          <w:szCs w:val="20"/>
          <w:lang w:val="en-US"/>
        </w:rPr>
        <w:t>of</w:t>
      </w:r>
      <w:r w:rsidR="000B5D06" w:rsidRPr="00012C3F">
        <w:rPr>
          <w:rFonts w:eastAsia="MS Mincho"/>
          <w:sz w:val="20"/>
          <w:szCs w:val="20"/>
          <w:lang w:val="en-US"/>
        </w:rPr>
        <w:t xml:space="preserve"> </w:t>
      </w:r>
      <w:r w:rsidR="00502B43" w:rsidRPr="00012C3F">
        <w:rPr>
          <w:rFonts w:eastAsia="MS Mincho"/>
          <w:sz w:val="20"/>
          <w:szCs w:val="20"/>
          <w:lang w:val="en-US"/>
        </w:rPr>
        <w:t>1999</w:t>
      </w:r>
      <w:r w:rsidR="006F75F3" w:rsidRPr="00012C3F">
        <w:rPr>
          <w:rFonts w:eastAsia="MS Mincho"/>
          <w:sz w:val="20"/>
          <w:szCs w:val="20"/>
          <w:lang w:val="en-US"/>
        </w:rPr>
        <w:t>, it indicated that “</w:t>
      </w:r>
      <w:r w:rsidR="006F75F3" w:rsidRPr="00012C3F">
        <w:rPr>
          <w:sz w:val="20"/>
          <w:szCs w:val="20"/>
          <w:lang w:val="en-US"/>
        </w:rPr>
        <w:t>States parties should not permit forms of coercion, such as non-consensual sterilization, […] that violate women’s rights to informed consent and dignity.</w:t>
      </w:r>
      <w:r w:rsidR="00502B43" w:rsidRPr="00012C3F">
        <w:rPr>
          <w:rFonts w:eastAsia="MS Mincho"/>
          <w:sz w:val="20"/>
          <w:szCs w:val="20"/>
          <w:lang w:val="en-US"/>
        </w:rPr>
        <w:t>”</w:t>
      </w:r>
      <w:r w:rsidR="00502B43" w:rsidRPr="00012C3F">
        <w:rPr>
          <w:rStyle w:val="Refdenotaalpie"/>
          <w:rFonts w:eastAsia="MS Mincho"/>
          <w:sz w:val="20"/>
          <w:lang w:val="en-US"/>
        </w:rPr>
        <w:footnoteReference w:id="380"/>
      </w:r>
    </w:p>
    <w:p w14:paraId="12C057B2" w14:textId="77777777" w:rsidR="00502B43" w:rsidRPr="00012C3F" w:rsidRDefault="00502B43" w:rsidP="00502B43">
      <w:pPr>
        <w:tabs>
          <w:tab w:val="left" w:pos="720"/>
        </w:tabs>
        <w:spacing w:line="240" w:lineRule="auto"/>
        <w:rPr>
          <w:rFonts w:eastAsia="MS Mincho"/>
          <w:sz w:val="20"/>
          <w:szCs w:val="20"/>
          <w:lang w:val="en-US"/>
        </w:rPr>
      </w:pPr>
    </w:p>
    <w:p w14:paraId="77F0F43E" w14:textId="77777777" w:rsidR="00502B43" w:rsidRPr="00012C3F" w:rsidRDefault="007C0FB1" w:rsidP="00377495">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Meanwhile</w:t>
      </w:r>
      <w:r w:rsidR="00502B43" w:rsidRPr="00012C3F">
        <w:rPr>
          <w:rFonts w:eastAsia="MS Mincho"/>
          <w:sz w:val="20"/>
          <w:szCs w:val="20"/>
          <w:lang w:val="en-US"/>
        </w:rPr>
        <w:t xml:space="preserve">, </w:t>
      </w:r>
      <w:r w:rsidRPr="00012C3F">
        <w:rPr>
          <w:rFonts w:eastAsia="MS Mincho"/>
          <w:sz w:val="20"/>
          <w:szCs w:val="20"/>
          <w:lang w:val="en-US"/>
        </w:rPr>
        <w:t>the</w:t>
      </w:r>
      <w:r w:rsidR="00502B43" w:rsidRPr="00012C3F">
        <w:rPr>
          <w:rFonts w:eastAsia="MS Mincho"/>
          <w:sz w:val="20"/>
          <w:szCs w:val="20"/>
          <w:lang w:val="en-US"/>
        </w:rPr>
        <w:t xml:space="preserve"> </w:t>
      </w:r>
      <w:r w:rsidR="00A65E31" w:rsidRPr="00012C3F">
        <w:rPr>
          <w:rFonts w:eastAsia="MS Mincho"/>
          <w:sz w:val="20"/>
          <w:szCs w:val="20"/>
          <w:lang w:val="en-US"/>
        </w:rPr>
        <w:t>Human Rights Committee</w:t>
      </w:r>
      <w:r w:rsidR="00502B43" w:rsidRPr="00012C3F">
        <w:rPr>
          <w:rFonts w:eastAsia="MS Mincho"/>
          <w:sz w:val="20"/>
          <w:szCs w:val="20"/>
          <w:lang w:val="en-US"/>
        </w:rPr>
        <w:t xml:space="preserve"> ha</w:t>
      </w:r>
      <w:r w:rsidRPr="00012C3F">
        <w:rPr>
          <w:rFonts w:eastAsia="MS Mincho"/>
          <w:sz w:val="20"/>
          <w:szCs w:val="20"/>
          <w:lang w:val="en-US"/>
        </w:rPr>
        <w:t>s recognized the importance of establishing in domestic law a right to compensation of people subjected to forced sterilization,</w:t>
      </w:r>
      <w:r w:rsidR="00502B43" w:rsidRPr="00012C3F">
        <w:rPr>
          <w:rStyle w:val="Refdenotaalpie"/>
          <w:rFonts w:eastAsia="MS Mincho"/>
          <w:sz w:val="20"/>
          <w:lang w:val="en-US"/>
        </w:rPr>
        <w:footnoteReference w:id="381"/>
      </w:r>
      <w:r w:rsidRPr="00012C3F">
        <w:rPr>
          <w:rFonts w:eastAsia="MS Mincho"/>
          <w:sz w:val="20"/>
          <w:szCs w:val="20"/>
          <w:lang w:val="en-US"/>
        </w:rPr>
        <w:t xml:space="preserve"> as well as </w:t>
      </w:r>
      <w:r w:rsidRPr="00012C3F">
        <w:rPr>
          <w:rFonts w:eastAsia="MS Mincho"/>
          <w:sz w:val="20"/>
          <w:szCs w:val="20"/>
          <w:lang w:val="en-US"/>
        </w:rPr>
        <w:lastRenderedPageBreak/>
        <w:t xml:space="preserve">mechanisms to ensure that all procedures are following </w:t>
      </w:r>
      <w:r w:rsidR="00377495" w:rsidRPr="00012C3F">
        <w:rPr>
          <w:rFonts w:eastAsia="MS Mincho"/>
          <w:sz w:val="20"/>
          <w:szCs w:val="20"/>
          <w:lang w:val="en-US"/>
        </w:rPr>
        <w:t>in</w:t>
      </w:r>
      <w:r w:rsidRPr="00012C3F">
        <w:rPr>
          <w:rFonts w:eastAsia="MS Mincho"/>
          <w:sz w:val="20"/>
          <w:szCs w:val="20"/>
          <w:lang w:val="en-US"/>
        </w:rPr>
        <w:t xml:space="preserve"> obtain</w:t>
      </w:r>
      <w:r w:rsidR="00377495" w:rsidRPr="00012C3F">
        <w:rPr>
          <w:rFonts w:eastAsia="MS Mincho"/>
          <w:sz w:val="20"/>
          <w:szCs w:val="20"/>
          <w:lang w:val="en-US"/>
        </w:rPr>
        <w:t>ing</w:t>
      </w:r>
      <w:r w:rsidRPr="00012C3F">
        <w:rPr>
          <w:rFonts w:eastAsia="MS Mincho"/>
          <w:sz w:val="20"/>
          <w:szCs w:val="20"/>
          <w:lang w:val="en-US"/>
        </w:rPr>
        <w:t xml:space="preserve"> the full and informed consent of women and, </w:t>
      </w:r>
      <w:r w:rsidR="00377495" w:rsidRPr="00012C3F">
        <w:rPr>
          <w:rFonts w:eastAsia="MS Mincho"/>
          <w:sz w:val="20"/>
          <w:szCs w:val="20"/>
          <w:lang w:val="en-US"/>
        </w:rPr>
        <w:t xml:space="preserve">to </w:t>
      </w:r>
      <w:r w:rsidRPr="00012C3F">
        <w:rPr>
          <w:rFonts w:eastAsia="MS Mincho"/>
          <w:sz w:val="20"/>
          <w:szCs w:val="20"/>
          <w:lang w:val="en-US"/>
        </w:rPr>
        <w:t>investigate what happened if this has not been obtained.</w:t>
      </w:r>
      <w:r w:rsidR="00502B43" w:rsidRPr="00012C3F">
        <w:rPr>
          <w:rStyle w:val="Refdenotaalpie"/>
          <w:rFonts w:eastAsia="MS Mincho"/>
          <w:sz w:val="20"/>
          <w:lang w:val="en-US"/>
        </w:rPr>
        <w:footnoteReference w:id="382"/>
      </w:r>
    </w:p>
    <w:p w14:paraId="71D6F1A5" w14:textId="77777777" w:rsidR="00502B43" w:rsidRPr="00012C3F" w:rsidRDefault="00502B43" w:rsidP="00502B43">
      <w:pPr>
        <w:tabs>
          <w:tab w:val="left" w:pos="720"/>
        </w:tabs>
        <w:spacing w:line="240" w:lineRule="auto"/>
        <w:rPr>
          <w:rFonts w:eastAsia="MS Mincho"/>
          <w:sz w:val="20"/>
          <w:szCs w:val="20"/>
          <w:lang w:val="en-US"/>
        </w:rPr>
      </w:pPr>
    </w:p>
    <w:p w14:paraId="5E014259" w14:textId="77777777" w:rsidR="00915FF6" w:rsidRPr="00012C3F" w:rsidRDefault="00A516FC" w:rsidP="002C4395">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Furthermore, </w:t>
      </w:r>
      <w:r w:rsidR="00BF4942" w:rsidRPr="00012C3F">
        <w:rPr>
          <w:rFonts w:eastAsia="MS Mincho"/>
          <w:sz w:val="20"/>
          <w:szCs w:val="20"/>
          <w:lang w:val="en-US"/>
        </w:rPr>
        <w:t>the Committee against Torture</w:t>
      </w:r>
      <w:r w:rsidR="00502B43" w:rsidRPr="00012C3F">
        <w:rPr>
          <w:rFonts w:eastAsia="MS Mincho"/>
          <w:sz w:val="20"/>
          <w:szCs w:val="20"/>
          <w:lang w:val="en-US"/>
        </w:rPr>
        <w:t xml:space="preserve"> ha</w:t>
      </w:r>
      <w:r w:rsidR="00BF4942" w:rsidRPr="00012C3F">
        <w:rPr>
          <w:rFonts w:eastAsia="MS Mincho"/>
          <w:sz w:val="20"/>
          <w:szCs w:val="20"/>
          <w:lang w:val="en-US"/>
        </w:rPr>
        <w:t>s accorded particular importance to rapid, impartial, exhaustive and effective investigation in cases in which persistent reports of involuntary, forced or coerced sterilizations</w:t>
      </w:r>
      <w:r w:rsidR="00377495" w:rsidRPr="00012C3F">
        <w:rPr>
          <w:rFonts w:eastAsia="MS Mincho"/>
          <w:sz w:val="20"/>
          <w:szCs w:val="20"/>
          <w:lang w:val="en-US"/>
        </w:rPr>
        <w:t xml:space="preserve"> are verified</w:t>
      </w:r>
      <w:r w:rsidR="00BF4942" w:rsidRPr="00012C3F">
        <w:rPr>
          <w:rFonts w:eastAsia="MS Mincho"/>
          <w:sz w:val="20"/>
          <w:szCs w:val="20"/>
          <w:lang w:val="en-US"/>
        </w:rPr>
        <w:t xml:space="preserve"> </w:t>
      </w:r>
      <w:r w:rsidR="00A64210" w:rsidRPr="00012C3F">
        <w:rPr>
          <w:rFonts w:eastAsia="MS Mincho"/>
          <w:sz w:val="20"/>
          <w:szCs w:val="20"/>
          <w:lang w:val="en-US"/>
        </w:rPr>
        <w:t>in order to identify and punish those involved in such practices, and provide the victims with fair and adequate compensation.</w:t>
      </w:r>
      <w:r w:rsidR="00210DF6" w:rsidRPr="00012C3F">
        <w:rPr>
          <w:rStyle w:val="Refdenotaalpie"/>
          <w:sz w:val="20"/>
          <w:lang w:val="en-US"/>
        </w:rPr>
        <w:footnoteReference w:id="383"/>
      </w:r>
      <w:r w:rsidR="00915FF6" w:rsidRPr="00012C3F">
        <w:rPr>
          <w:rFonts w:eastAsia="MS Mincho"/>
          <w:sz w:val="20"/>
          <w:szCs w:val="20"/>
          <w:lang w:val="en-US"/>
        </w:rPr>
        <w:t xml:space="preserve"> </w:t>
      </w:r>
    </w:p>
    <w:p w14:paraId="715B3076" w14:textId="77777777" w:rsidR="00915FF6" w:rsidRPr="00012C3F" w:rsidRDefault="00915FF6" w:rsidP="002C4395">
      <w:pPr>
        <w:tabs>
          <w:tab w:val="left" w:pos="720"/>
        </w:tabs>
        <w:spacing w:line="240" w:lineRule="auto"/>
        <w:rPr>
          <w:rFonts w:eastAsia="MS Mincho"/>
          <w:sz w:val="20"/>
          <w:szCs w:val="20"/>
          <w:lang w:val="en-US"/>
        </w:rPr>
      </w:pPr>
    </w:p>
    <w:p w14:paraId="525F20CB" w14:textId="77777777" w:rsidR="00502B43" w:rsidRPr="00012C3F" w:rsidRDefault="00A516FC" w:rsidP="00A516FC">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In its General Comment</w:t>
      </w:r>
      <w:r w:rsidR="00915FF6" w:rsidRPr="00012C3F">
        <w:rPr>
          <w:rFonts w:eastAsia="MS Mincho"/>
          <w:sz w:val="20"/>
          <w:szCs w:val="20"/>
          <w:lang w:val="en-US"/>
        </w:rPr>
        <w:t xml:space="preserve"> N</w:t>
      </w:r>
      <w:r w:rsidR="000B5D06" w:rsidRPr="00012C3F">
        <w:rPr>
          <w:rFonts w:eastAsia="MS Mincho"/>
          <w:sz w:val="20"/>
          <w:szCs w:val="20"/>
          <w:lang w:val="en-US"/>
        </w:rPr>
        <w:t>o.</w:t>
      </w:r>
      <w:r w:rsidR="00915FF6" w:rsidRPr="00012C3F">
        <w:rPr>
          <w:rFonts w:eastAsia="MS Mincho"/>
          <w:sz w:val="20"/>
          <w:szCs w:val="20"/>
          <w:lang w:val="en-US"/>
        </w:rPr>
        <w:t xml:space="preserve"> 22</w:t>
      </w:r>
      <w:r w:rsidR="000B5D06" w:rsidRPr="00012C3F">
        <w:rPr>
          <w:rFonts w:eastAsia="MS Mincho"/>
          <w:sz w:val="20"/>
          <w:szCs w:val="20"/>
          <w:lang w:val="en-US"/>
        </w:rPr>
        <w:t xml:space="preserve"> </w:t>
      </w:r>
      <w:r w:rsidRPr="00012C3F">
        <w:rPr>
          <w:rFonts w:eastAsia="MS Mincho"/>
          <w:sz w:val="20"/>
          <w:szCs w:val="20"/>
          <w:lang w:val="en-US"/>
        </w:rPr>
        <w:t>of</w:t>
      </w:r>
      <w:r w:rsidR="000B5D06" w:rsidRPr="00012C3F">
        <w:rPr>
          <w:rFonts w:eastAsia="MS Mincho"/>
          <w:sz w:val="20"/>
          <w:szCs w:val="20"/>
          <w:lang w:val="en-US"/>
        </w:rPr>
        <w:t xml:space="preserve"> 2016</w:t>
      </w:r>
      <w:r w:rsidRPr="00012C3F">
        <w:rPr>
          <w:rFonts w:eastAsia="MS Mincho"/>
          <w:sz w:val="20"/>
          <w:szCs w:val="20"/>
          <w:lang w:val="en-US"/>
        </w:rPr>
        <w:t xml:space="preserve"> on the right to </w:t>
      </w:r>
      <w:r w:rsidR="00A54991" w:rsidRPr="00012C3F">
        <w:rPr>
          <w:rFonts w:eastAsia="MS Mincho"/>
          <w:sz w:val="20"/>
          <w:szCs w:val="20"/>
          <w:lang w:val="en-US"/>
        </w:rPr>
        <w:t>sexual and reproductive health</w:t>
      </w:r>
      <w:r w:rsidR="00915FF6" w:rsidRPr="00012C3F">
        <w:rPr>
          <w:rFonts w:eastAsia="MS Mincho"/>
          <w:sz w:val="20"/>
          <w:szCs w:val="20"/>
          <w:lang w:val="en-US"/>
        </w:rPr>
        <w:t xml:space="preserve">, </w:t>
      </w:r>
      <w:r w:rsidR="00377495" w:rsidRPr="00012C3F">
        <w:rPr>
          <w:rFonts w:eastAsia="MS Mincho"/>
          <w:sz w:val="20"/>
          <w:szCs w:val="20"/>
          <w:lang w:val="en-US"/>
        </w:rPr>
        <w:t xml:space="preserve">the </w:t>
      </w:r>
      <w:r w:rsidRPr="00012C3F">
        <w:rPr>
          <w:sz w:val="20"/>
          <w:szCs w:val="20"/>
          <w:lang w:val="en-US"/>
        </w:rPr>
        <w:t>Committee on Economic, Social and Cultural Rights indicated that States Parties “must put in place laws, policies and programmes to prevent, address and remediate violations of the right of all individuals to autonomous decision-making on matters regarding their sexual and reproductive health, free from violence, coercion and discrimination.”</w:t>
      </w:r>
      <w:r w:rsidR="00596E5A" w:rsidRPr="00012C3F">
        <w:rPr>
          <w:rStyle w:val="Refdenotaalpie"/>
          <w:rFonts w:eastAsia="MS Mincho"/>
          <w:sz w:val="20"/>
          <w:szCs w:val="20"/>
          <w:lang w:val="en-US"/>
        </w:rPr>
        <w:footnoteReference w:id="384"/>
      </w:r>
    </w:p>
    <w:p w14:paraId="2679E463" w14:textId="77777777" w:rsidR="00915FF6" w:rsidRPr="00012C3F" w:rsidRDefault="00915FF6" w:rsidP="002C4395">
      <w:pPr>
        <w:tabs>
          <w:tab w:val="left" w:pos="720"/>
        </w:tabs>
        <w:spacing w:line="240" w:lineRule="auto"/>
        <w:rPr>
          <w:rFonts w:eastAsia="MS Mincho"/>
          <w:sz w:val="20"/>
          <w:szCs w:val="20"/>
          <w:lang w:val="en-US"/>
        </w:rPr>
      </w:pPr>
    </w:p>
    <w:p w14:paraId="2D3B7F3C" w14:textId="77777777" w:rsidR="00502B43" w:rsidRPr="00012C3F" w:rsidRDefault="002C4395" w:rsidP="002C4395">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T</w:t>
      </w:r>
      <w:r w:rsidRPr="00012C3F">
        <w:rPr>
          <w:sz w:val="20"/>
          <w:szCs w:val="20"/>
          <w:lang w:val="en-US"/>
        </w:rPr>
        <w:t>he Special Rapporteur on torture and other cruel, inhuman or degrading treatment or punishment</w:t>
      </w:r>
      <w:r w:rsidR="00A516FC" w:rsidRPr="00012C3F">
        <w:rPr>
          <w:sz w:val="20"/>
          <w:szCs w:val="20"/>
          <w:lang w:val="en-US"/>
        </w:rPr>
        <w:t xml:space="preserve"> has also called upon States to adopt measures with regard to abuses in health care settings and, in particular, to</w:t>
      </w:r>
      <w:r w:rsidR="00502B43" w:rsidRPr="00012C3F">
        <w:rPr>
          <w:rFonts w:eastAsia="MS Mincho"/>
          <w:sz w:val="20"/>
          <w:szCs w:val="20"/>
          <w:lang w:val="en-US"/>
        </w:rPr>
        <w:t>:</w:t>
      </w:r>
    </w:p>
    <w:p w14:paraId="5E8CEF65" w14:textId="77777777" w:rsidR="00502B43" w:rsidRPr="00012C3F" w:rsidRDefault="00502B43" w:rsidP="002C4395">
      <w:pPr>
        <w:tabs>
          <w:tab w:val="left" w:pos="720"/>
        </w:tabs>
        <w:spacing w:line="240" w:lineRule="auto"/>
        <w:rPr>
          <w:rFonts w:eastAsia="MS Mincho"/>
          <w:sz w:val="20"/>
          <w:szCs w:val="20"/>
          <w:lang w:val="en-US"/>
        </w:rPr>
      </w:pPr>
    </w:p>
    <w:p w14:paraId="5FC8E449" w14:textId="77777777" w:rsidR="00502B43" w:rsidRPr="00012C3F" w:rsidRDefault="00502B43" w:rsidP="002C4395">
      <w:pPr>
        <w:pStyle w:val="s5891fd46"/>
        <w:shd w:val="clear" w:color="auto" w:fill="FFFFFF"/>
        <w:tabs>
          <w:tab w:val="left" w:pos="720"/>
        </w:tabs>
        <w:spacing w:before="0" w:beforeAutospacing="0" w:after="0" w:afterAutospacing="0"/>
        <w:ind w:left="720" w:right="584"/>
        <w:jc w:val="both"/>
        <w:rPr>
          <w:rFonts w:ascii="Verdana" w:eastAsia="MS Mincho" w:hAnsi="Verdana"/>
          <w:sz w:val="16"/>
          <w:szCs w:val="16"/>
          <w:lang w:val="en-US"/>
        </w:rPr>
      </w:pPr>
      <w:r w:rsidRPr="00012C3F">
        <w:rPr>
          <w:rFonts w:ascii="Verdana" w:eastAsia="MS Mincho" w:hAnsi="Verdana"/>
          <w:sz w:val="16"/>
          <w:szCs w:val="16"/>
          <w:lang w:val="en-US"/>
        </w:rPr>
        <w:t xml:space="preserve">72. […] </w:t>
      </w:r>
      <w:r w:rsidR="00A516FC" w:rsidRPr="00012C3F">
        <w:rPr>
          <w:rFonts w:ascii="Verdana" w:eastAsia="MS Mincho" w:hAnsi="Verdana"/>
          <w:sz w:val="16"/>
          <w:szCs w:val="16"/>
          <w:lang w:val="en-US"/>
        </w:rPr>
        <w:t>(</w:t>
      </w:r>
      <w:r w:rsidRPr="00012C3F">
        <w:rPr>
          <w:rFonts w:ascii="Verdana" w:eastAsia="MS Mincho" w:hAnsi="Verdana"/>
          <w:sz w:val="16"/>
          <w:szCs w:val="16"/>
          <w:lang w:val="en-US"/>
        </w:rPr>
        <w:t xml:space="preserve">e) </w:t>
      </w:r>
      <w:r w:rsidR="00A516FC" w:rsidRPr="00012C3F">
        <w:rPr>
          <w:rFonts w:ascii="Verdana" w:hAnsi="Verdana" w:cs="Arial"/>
          <w:sz w:val="16"/>
          <w:szCs w:val="16"/>
          <w:lang w:val="en-US"/>
        </w:rPr>
        <w:t>Outlaw forced or coerced sterilization in all circumstances and provide special protection to individuals belonging to marginalized groups; and ensure that health-care providers obtain free, full and informed consent for such procedures and fully explain the risks, benefits and alternatives in a comprehensible format, without resorting to threats or inducements, in every case</w:t>
      </w:r>
      <w:r w:rsidRPr="00012C3F">
        <w:rPr>
          <w:rFonts w:ascii="Verdana" w:eastAsia="MS Mincho" w:hAnsi="Verdana"/>
          <w:sz w:val="16"/>
          <w:szCs w:val="16"/>
          <w:lang w:val="en-US"/>
        </w:rPr>
        <w:t>[</w:t>
      </w:r>
      <w:r w:rsidR="00A516FC" w:rsidRPr="00012C3F">
        <w:rPr>
          <w:rFonts w:ascii="Verdana" w:eastAsia="MS Mincho" w:hAnsi="Verdana"/>
          <w:sz w:val="16"/>
          <w:szCs w:val="16"/>
          <w:lang w:val="en-US"/>
        </w:rPr>
        <w:t>.</w:t>
      </w:r>
      <w:r w:rsidR="00D64073" w:rsidRPr="00012C3F">
        <w:rPr>
          <w:rFonts w:ascii="Verdana" w:eastAsia="MS Mincho" w:hAnsi="Verdana"/>
          <w:sz w:val="16"/>
          <w:szCs w:val="16"/>
          <w:vertAlign w:val="superscript"/>
          <w:lang w:val="en-US"/>
        </w:rPr>
        <w:footnoteReference w:id="385"/>
      </w:r>
      <w:r w:rsidRPr="00012C3F">
        <w:rPr>
          <w:rFonts w:ascii="Verdana" w:eastAsia="MS Mincho" w:hAnsi="Verdana"/>
          <w:sz w:val="16"/>
          <w:szCs w:val="16"/>
          <w:lang w:val="en-US"/>
        </w:rPr>
        <w:t>]</w:t>
      </w:r>
    </w:p>
    <w:p w14:paraId="38EAA241" w14:textId="77777777" w:rsidR="00502B43" w:rsidRPr="00012C3F" w:rsidRDefault="00502B43" w:rsidP="002C4395">
      <w:pPr>
        <w:tabs>
          <w:tab w:val="left" w:pos="720"/>
        </w:tabs>
        <w:spacing w:line="240" w:lineRule="auto"/>
        <w:rPr>
          <w:rFonts w:eastAsia="MS Mincho"/>
          <w:sz w:val="20"/>
          <w:szCs w:val="20"/>
          <w:lang w:val="en-US"/>
        </w:rPr>
      </w:pPr>
    </w:p>
    <w:p w14:paraId="1C5F7A5F" w14:textId="77777777" w:rsidR="00502B43" w:rsidRPr="00012C3F" w:rsidRDefault="00502B43" w:rsidP="00455A2C">
      <w:pPr>
        <w:numPr>
          <w:ilvl w:val="0"/>
          <w:numId w:val="5"/>
        </w:numPr>
        <w:tabs>
          <w:tab w:val="left" w:pos="720"/>
          <w:tab w:val="num" w:pos="12305"/>
        </w:tabs>
        <w:spacing w:line="240" w:lineRule="auto"/>
        <w:ind w:left="0" w:firstLine="0"/>
        <w:rPr>
          <w:sz w:val="20"/>
          <w:szCs w:val="20"/>
          <w:lang w:val="en-US"/>
        </w:rPr>
      </w:pPr>
      <w:r w:rsidRPr="00012C3F">
        <w:rPr>
          <w:rFonts w:eastAsia="MS Mincho"/>
          <w:sz w:val="20"/>
          <w:szCs w:val="20"/>
          <w:lang w:val="en-US"/>
        </w:rPr>
        <w:t>Ad</w:t>
      </w:r>
      <w:r w:rsidR="00A516FC" w:rsidRPr="00012C3F">
        <w:rPr>
          <w:rFonts w:eastAsia="MS Mincho"/>
          <w:sz w:val="20"/>
          <w:szCs w:val="20"/>
          <w:lang w:val="en-US"/>
        </w:rPr>
        <w:t>ditionally</w:t>
      </w:r>
      <w:r w:rsidRPr="00012C3F">
        <w:rPr>
          <w:sz w:val="20"/>
          <w:szCs w:val="20"/>
          <w:lang w:val="en-US"/>
        </w:rPr>
        <w:t xml:space="preserve">, </w:t>
      </w:r>
      <w:r w:rsidR="00A65E31" w:rsidRPr="00012C3F">
        <w:rPr>
          <w:sz w:val="20"/>
          <w:szCs w:val="20"/>
          <w:lang w:val="en-US"/>
        </w:rPr>
        <w:t>the United Nations Interagency Statement</w:t>
      </w:r>
      <w:r w:rsidR="00EE7DAA" w:rsidRPr="00012C3F">
        <w:rPr>
          <w:sz w:val="20"/>
          <w:szCs w:val="20"/>
          <w:lang w:val="en-US"/>
        </w:rPr>
        <w:t xml:space="preserve"> </w:t>
      </w:r>
      <w:r w:rsidRPr="00012C3F">
        <w:rPr>
          <w:sz w:val="20"/>
          <w:szCs w:val="20"/>
          <w:lang w:val="en-US"/>
        </w:rPr>
        <w:t>establ</w:t>
      </w:r>
      <w:r w:rsidR="00A516FC" w:rsidRPr="00012C3F">
        <w:rPr>
          <w:sz w:val="20"/>
          <w:szCs w:val="20"/>
          <w:lang w:val="en-US"/>
        </w:rPr>
        <w:t xml:space="preserve">ished that </w:t>
      </w:r>
      <w:r w:rsidR="002D490E" w:rsidRPr="00012C3F">
        <w:rPr>
          <w:sz w:val="20"/>
          <w:szCs w:val="20"/>
          <w:lang w:val="en-US"/>
        </w:rPr>
        <w:t>access should be provided “</w:t>
      </w:r>
      <w:r w:rsidR="002D490E" w:rsidRPr="00012C3F">
        <w:rPr>
          <w:rFonts w:cs="Arial"/>
          <w:sz w:val="20"/>
          <w:szCs w:val="20"/>
          <w:lang w:val="en-US"/>
        </w:rPr>
        <w:t xml:space="preserve">to administrative and </w:t>
      </w:r>
      <w:r w:rsidR="002D490E" w:rsidRPr="00012C3F">
        <w:rPr>
          <w:rStyle w:val="highlight"/>
          <w:rFonts w:eastAsia="Calibri" w:cs="Arial"/>
          <w:sz w:val="20"/>
          <w:szCs w:val="20"/>
          <w:lang w:val="en-US"/>
        </w:rPr>
        <w:t>judicial</w:t>
      </w:r>
      <w:r w:rsidR="002D490E" w:rsidRPr="00012C3F">
        <w:rPr>
          <w:rFonts w:cs="Arial"/>
          <w:sz w:val="20"/>
          <w:szCs w:val="20"/>
          <w:lang w:val="en-US"/>
        </w:rPr>
        <w:t xml:space="preserve"> redress mechanisms, remedies and reparations for all people who were subjected to forced, coercive or involuntary sterilization procedures, including compensation for the consequences” and</w:t>
      </w:r>
      <w:r w:rsidR="00377495" w:rsidRPr="00012C3F">
        <w:rPr>
          <w:rFonts w:cs="Arial"/>
          <w:sz w:val="20"/>
          <w:szCs w:val="20"/>
          <w:lang w:val="en-US"/>
        </w:rPr>
        <w:t xml:space="preserve"> that States should</w:t>
      </w:r>
      <w:r w:rsidR="002D490E" w:rsidRPr="00012C3F">
        <w:rPr>
          <w:rFonts w:cs="Arial"/>
          <w:sz w:val="20"/>
          <w:szCs w:val="20"/>
          <w:lang w:val="en-US"/>
        </w:rPr>
        <w:t xml:space="preserve"> “[p]romptly, independently and impartially investigate all incidents of forced sterilization and ensure appropriate sanctions where responsibility has been established.”</w:t>
      </w:r>
      <w:r w:rsidRPr="00012C3F">
        <w:rPr>
          <w:rStyle w:val="Refdenotaalpie"/>
          <w:sz w:val="20"/>
          <w:lang w:val="en-US"/>
        </w:rPr>
        <w:footnoteReference w:id="386"/>
      </w:r>
    </w:p>
    <w:p w14:paraId="15E6516D" w14:textId="77777777" w:rsidR="00502B43" w:rsidRPr="00012C3F" w:rsidRDefault="00502B43" w:rsidP="002C4395">
      <w:pPr>
        <w:tabs>
          <w:tab w:val="left" w:pos="720"/>
        </w:tabs>
        <w:spacing w:line="240" w:lineRule="auto"/>
        <w:rPr>
          <w:rFonts w:eastAsia="MS Mincho"/>
          <w:sz w:val="20"/>
          <w:szCs w:val="20"/>
          <w:lang w:val="en-US"/>
        </w:rPr>
      </w:pPr>
    </w:p>
    <w:p w14:paraId="3FCE7DF1" w14:textId="77777777" w:rsidR="00B469FE" w:rsidRPr="00012C3F" w:rsidRDefault="002D490E" w:rsidP="002C4395">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The Inter-American Commi</w:t>
      </w:r>
      <w:r w:rsidR="005D55EB" w:rsidRPr="00012C3F">
        <w:rPr>
          <w:rFonts w:eastAsia="MS Mincho"/>
          <w:sz w:val="20"/>
          <w:szCs w:val="20"/>
          <w:lang w:val="en-US"/>
        </w:rPr>
        <w:t>ssion</w:t>
      </w:r>
      <w:r w:rsidRPr="00012C3F">
        <w:rPr>
          <w:rFonts w:eastAsia="MS Mincho"/>
          <w:sz w:val="20"/>
          <w:szCs w:val="20"/>
          <w:lang w:val="en-US"/>
        </w:rPr>
        <w:t xml:space="preserve"> of Women in its Second Hemispheric Report on the </w:t>
      </w:r>
      <w:r w:rsidR="00B469FE" w:rsidRPr="00012C3F">
        <w:rPr>
          <w:rFonts w:eastAsia="MS Mincho"/>
          <w:sz w:val="20"/>
          <w:szCs w:val="20"/>
          <w:lang w:val="en-US"/>
        </w:rPr>
        <w:t>Implementa</w:t>
      </w:r>
      <w:r w:rsidRPr="00012C3F">
        <w:rPr>
          <w:rFonts w:eastAsia="MS Mincho"/>
          <w:sz w:val="20"/>
          <w:szCs w:val="20"/>
          <w:lang w:val="en-US"/>
        </w:rPr>
        <w:t>tio</w:t>
      </w:r>
      <w:r w:rsidR="00B469FE" w:rsidRPr="00012C3F">
        <w:rPr>
          <w:rFonts w:eastAsia="MS Mincho"/>
          <w:sz w:val="20"/>
          <w:szCs w:val="20"/>
          <w:lang w:val="en-US"/>
        </w:rPr>
        <w:t>n</w:t>
      </w:r>
      <w:r w:rsidR="001254DE" w:rsidRPr="00012C3F">
        <w:rPr>
          <w:rFonts w:eastAsia="MS Mincho"/>
          <w:sz w:val="20"/>
          <w:szCs w:val="20"/>
          <w:lang w:val="en-US"/>
        </w:rPr>
        <w:t xml:space="preserve"> of the Convention</w:t>
      </w:r>
      <w:r w:rsidR="00B469FE" w:rsidRPr="00012C3F">
        <w:rPr>
          <w:rFonts w:eastAsia="MS Mincho"/>
          <w:sz w:val="20"/>
          <w:szCs w:val="20"/>
          <w:lang w:val="en-US"/>
        </w:rPr>
        <w:t xml:space="preserve"> </w:t>
      </w:r>
      <w:r w:rsidR="005E5012" w:rsidRPr="00012C3F">
        <w:rPr>
          <w:rFonts w:eastAsia="MS Mincho"/>
          <w:sz w:val="20"/>
          <w:szCs w:val="20"/>
          <w:lang w:val="en-US"/>
        </w:rPr>
        <w:t>of Belém</w:t>
      </w:r>
      <w:r w:rsidR="00B469FE" w:rsidRPr="00012C3F">
        <w:rPr>
          <w:rFonts w:eastAsia="MS Mincho"/>
          <w:sz w:val="20"/>
          <w:szCs w:val="20"/>
          <w:lang w:val="en-US"/>
        </w:rPr>
        <w:t xml:space="preserve"> do Pará</w:t>
      </w:r>
      <w:r w:rsidR="00B469FE" w:rsidRPr="00012C3F">
        <w:rPr>
          <w:rFonts w:eastAsia="MS Mincho"/>
          <w:sz w:val="20"/>
          <w:szCs w:val="20"/>
          <w:vertAlign w:val="superscript"/>
          <w:lang w:val="en-US"/>
        </w:rPr>
        <w:footnoteReference w:id="387"/>
      </w:r>
      <w:r w:rsidRPr="00012C3F">
        <w:rPr>
          <w:rFonts w:eastAsia="MS Mincho"/>
          <w:sz w:val="20"/>
          <w:szCs w:val="20"/>
          <w:lang w:val="en-US"/>
        </w:rPr>
        <w:t xml:space="preserve"> recommended </w:t>
      </w:r>
      <w:r w:rsidR="005D55EB" w:rsidRPr="00012C3F">
        <w:rPr>
          <w:rFonts w:eastAsia="MS Mincho"/>
          <w:sz w:val="20"/>
          <w:szCs w:val="20"/>
          <w:lang w:val="en-US"/>
        </w:rPr>
        <w:t>making</w:t>
      </w:r>
      <w:r w:rsidR="00B469FE" w:rsidRPr="00012C3F">
        <w:rPr>
          <w:rFonts w:eastAsia="MS Mincho"/>
          <w:sz w:val="20"/>
          <w:szCs w:val="20"/>
          <w:lang w:val="en-US"/>
        </w:rPr>
        <w:t xml:space="preserve"> </w:t>
      </w:r>
      <w:r w:rsidR="00570C15" w:rsidRPr="00012C3F">
        <w:rPr>
          <w:rFonts w:eastAsia="MS Mincho"/>
          <w:sz w:val="20"/>
          <w:szCs w:val="20"/>
          <w:lang w:val="en-US"/>
        </w:rPr>
        <w:t>forced sterilization</w:t>
      </w:r>
      <w:r w:rsidR="00B469FE" w:rsidRPr="00012C3F">
        <w:rPr>
          <w:rFonts w:eastAsia="MS Mincho"/>
          <w:sz w:val="20"/>
          <w:szCs w:val="20"/>
          <w:lang w:val="en-US"/>
        </w:rPr>
        <w:t xml:space="preserve"> </w:t>
      </w:r>
      <w:r w:rsidR="005D55EB" w:rsidRPr="00012C3F">
        <w:rPr>
          <w:rFonts w:eastAsia="MS Mincho"/>
          <w:sz w:val="20"/>
          <w:szCs w:val="20"/>
          <w:lang w:val="en-US"/>
        </w:rPr>
        <w:t>“</w:t>
      </w:r>
      <w:r w:rsidRPr="00012C3F">
        <w:rPr>
          <w:rFonts w:eastAsia="MS Mincho"/>
          <w:sz w:val="20"/>
          <w:szCs w:val="20"/>
          <w:lang w:val="en-US"/>
        </w:rPr>
        <w:t>a</w:t>
      </w:r>
      <w:r w:rsidR="005D55EB" w:rsidRPr="00012C3F">
        <w:rPr>
          <w:rFonts w:eastAsia="MS Mincho"/>
          <w:sz w:val="20"/>
          <w:szCs w:val="20"/>
          <w:lang w:val="en-US"/>
        </w:rPr>
        <w:t xml:space="preserve"> common crime, so that the individual perpetrator can be prosecuted for forcibly sterilizing individual victims.”</w:t>
      </w:r>
    </w:p>
    <w:p w14:paraId="6FC25AFE" w14:textId="77777777" w:rsidR="00B469FE" w:rsidRPr="00012C3F" w:rsidRDefault="00B469FE" w:rsidP="00502B43">
      <w:pPr>
        <w:tabs>
          <w:tab w:val="left" w:pos="720"/>
        </w:tabs>
        <w:spacing w:line="240" w:lineRule="auto"/>
        <w:rPr>
          <w:rFonts w:eastAsia="MS Mincho"/>
          <w:sz w:val="20"/>
          <w:szCs w:val="20"/>
          <w:lang w:val="en-US"/>
        </w:rPr>
      </w:pPr>
    </w:p>
    <w:p w14:paraId="0E29B751" w14:textId="77777777" w:rsidR="00502B43" w:rsidRPr="00012C3F" w:rsidRDefault="005D55EB" w:rsidP="005D55EB">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lastRenderedPageBreak/>
        <w:t xml:space="preserve">Meanwhile, the case law of the </w:t>
      </w:r>
      <w:r w:rsidR="00E060D2" w:rsidRPr="00012C3F">
        <w:rPr>
          <w:rFonts w:eastAsia="MS Mincho"/>
          <w:sz w:val="20"/>
          <w:szCs w:val="20"/>
          <w:lang w:val="en-US"/>
        </w:rPr>
        <w:t>European Court of Human Rights</w:t>
      </w:r>
      <w:r w:rsidR="00502B43" w:rsidRPr="00012C3F">
        <w:rPr>
          <w:rFonts w:eastAsia="MS Mincho"/>
          <w:sz w:val="20"/>
          <w:szCs w:val="20"/>
          <w:lang w:val="en-US"/>
        </w:rPr>
        <w:t xml:space="preserve">, </w:t>
      </w:r>
      <w:r w:rsidRPr="00012C3F">
        <w:rPr>
          <w:rFonts w:eastAsia="MS Mincho"/>
          <w:sz w:val="20"/>
          <w:szCs w:val="20"/>
          <w:lang w:val="en-US"/>
        </w:rPr>
        <w:t>which was abundantly cited in the arguments of the parties, has referred mainly to the positive obligations in cases of non-consensual sterilization, which were examined under the procedural obligation of the prohibition of ill-treatment. The European Court argued that</w:t>
      </w:r>
      <w:r w:rsidR="00502B43" w:rsidRPr="00012C3F">
        <w:rPr>
          <w:rFonts w:eastAsia="MS Mincho"/>
          <w:sz w:val="20"/>
          <w:szCs w:val="20"/>
          <w:lang w:val="en-US"/>
        </w:rPr>
        <w:t>:</w:t>
      </w:r>
    </w:p>
    <w:p w14:paraId="716A4769" w14:textId="77777777" w:rsidR="00502B43" w:rsidRPr="00012C3F" w:rsidRDefault="00502B43" w:rsidP="00502B43">
      <w:pPr>
        <w:tabs>
          <w:tab w:val="left" w:pos="720"/>
        </w:tabs>
        <w:spacing w:line="240" w:lineRule="auto"/>
        <w:rPr>
          <w:rFonts w:eastAsia="MS Mincho"/>
          <w:sz w:val="20"/>
          <w:szCs w:val="20"/>
          <w:lang w:val="en-US"/>
        </w:rPr>
      </w:pPr>
    </w:p>
    <w:p w14:paraId="15426EB3" w14:textId="77777777" w:rsidR="00502B43" w:rsidRPr="00012C3F" w:rsidRDefault="00502B43" w:rsidP="008764BB">
      <w:pPr>
        <w:pStyle w:val="s5891fd46"/>
        <w:shd w:val="clear" w:color="auto" w:fill="FFFFFF"/>
        <w:spacing w:before="0" w:beforeAutospacing="0" w:after="120" w:afterAutospacing="0"/>
        <w:ind w:left="720" w:right="584"/>
        <w:jc w:val="both"/>
        <w:rPr>
          <w:rFonts w:ascii="Verdana" w:hAnsi="Verdana" w:cs="Arial"/>
          <w:sz w:val="16"/>
          <w:szCs w:val="16"/>
          <w:lang w:val="en-US"/>
        </w:rPr>
      </w:pPr>
      <w:r w:rsidRPr="00012C3F">
        <w:rPr>
          <w:rStyle w:val="sb8d990e2"/>
          <w:rFonts w:ascii="Verdana" w:hAnsi="Verdana" w:cs="Arial"/>
          <w:sz w:val="16"/>
          <w:szCs w:val="16"/>
          <w:lang w:val="en-US"/>
        </w:rPr>
        <w:t xml:space="preserve">123. </w:t>
      </w:r>
      <w:r w:rsidR="005D55EB" w:rsidRPr="00012C3F">
        <w:rPr>
          <w:rStyle w:val="sb8d990e2"/>
          <w:rFonts w:ascii="Verdana" w:hAnsi="Verdana"/>
          <w:sz w:val="16"/>
          <w:szCs w:val="16"/>
          <w:lang w:val="en-US"/>
        </w:rPr>
        <w:t xml:space="preserve">Articles 1 and 3 of the Convention impose positive obligations on the Contracting Parties, designed to prevent and provide redress for various forms of ill-treatment. In particular, in a similar manner to cases raising an issue under Article 2 of the Convention, there is a requirement to conduct an effective official investigation </w:t>
      </w:r>
      <w:r w:rsidRPr="00012C3F">
        <w:rPr>
          <w:rStyle w:val="sb8d990e2"/>
          <w:rFonts w:ascii="Verdana" w:hAnsi="Verdana" w:cs="Arial"/>
          <w:sz w:val="16"/>
          <w:szCs w:val="16"/>
          <w:lang w:val="en-US"/>
        </w:rPr>
        <w:t>[…].</w:t>
      </w:r>
    </w:p>
    <w:p w14:paraId="309D7DB4" w14:textId="77777777" w:rsidR="00502B43" w:rsidRPr="00012C3F" w:rsidRDefault="00502B43" w:rsidP="008764BB">
      <w:pPr>
        <w:pStyle w:val="s5891fd46"/>
        <w:shd w:val="clear" w:color="auto" w:fill="FFFFFF"/>
        <w:spacing w:before="0" w:beforeAutospacing="0" w:after="120" w:afterAutospacing="0"/>
        <w:ind w:left="720" w:right="584"/>
        <w:jc w:val="both"/>
        <w:rPr>
          <w:rFonts w:ascii="Verdana" w:hAnsi="Verdana" w:cs="Arial"/>
          <w:sz w:val="16"/>
          <w:szCs w:val="16"/>
          <w:lang w:val="en-US"/>
        </w:rPr>
      </w:pPr>
      <w:r w:rsidRPr="00012C3F">
        <w:rPr>
          <w:rStyle w:val="sb8d990e2"/>
          <w:rFonts w:ascii="Verdana" w:hAnsi="Verdana" w:cs="Arial"/>
          <w:sz w:val="16"/>
          <w:szCs w:val="16"/>
          <w:lang w:val="en-US"/>
        </w:rPr>
        <w:t xml:space="preserve">124. </w:t>
      </w:r>
      <w:r w:rsidR="005D55EB" w:rsidRPr="00012C3F">
        <w:rPr>
          <w:rStyle w:val="sb8d990e2"/>
          <w:rFonts w:ascii="Verdana" w:hAnsi="Verdana"/>
          <w:sz w:val="16"/>
          <w:szCs w:val="16"/>
          <w:lang w:val="en-US"/>
        </w:rPr>
        <w:t xml:space="preserve">The investigation in such cases must be thorough and expeditious. However, the failure of any given investigation to produce conclusions does not, by itself, mean that it was ineffective: an obligation to investigate “is not an obligation of result, but of means” </w:t>
      </w:r>
      <w:r w:rsidRPr="00012C3F">
        <w:rPr>
          <w:rStyle w:val="sb8d990e2"/>
          <w:rFonts w:ascii="Verdana" w:hAnsi="Verdana" w:cs="Arial"/>
          <w:sz w:val="16"/>
          <w:szCs w:val="16"/>
          <w:lang w:val="en-US"/>
        </w:rPr>
        <w:t>[…].</w:t>
      </w:r>
    </w:p>
    <w:p w14:paraId="24EC3078" w14:textId="77777777" w:rsidR="00502B43" w:rsidRPr="00012C3F" w:rsidRDefault="00502B43" w:rsidP="008764BB">
      <w:pPr>
        <w:pStyle w:val="s5891fd46"/>
        <w:shd w:val="clear" w:color="auto" w:fill="FFFFFF"/>
        <w:spacing w:before="0" w:beforeAutospacing="0" w:after="0" w:afterAutospacing="0"/>
        <w:ind w:left="720" w:right="584"/>
        <w:jc w:val="both"/>
        <w:rPr>
          <w:rFonts w:ascii="Arial" w:hAnsi="Arial" w:cs="Arial"/>
          <w:sz w:val="17"/>
          <w:szCs w:val="17"/>
          <w:lang w:val="en-US"/>
        </w:rPr>
      </w:pPr>
      <w:r w:rsidRPr="00012C3F">
        <w:rPr>
          <w:rStyle w:val="sb8d990e2"/>
          <w:rFonts w:ascii="Verdana" w:hAnsi="Verdana" w:cs="Arial"/>
          <w:sz w:val="16"/>
          <w:szCs w:val="16"/>
          <w:lang w:val="en-US"/>
        </w:rPr>
        <w:t xml:space="preserve">125. </w:t>
      </w:r>
      <w:r w:rsidR="00F02416" w:rsidRPr="00012C3F">
        <w:rPr>
          <w:rStyle w:val="sb8d990e2"/>
          <w:rFonts w:ascii="Verdana" w:hAnsi="Verdana"/>
          <w:sz w:val="16"/>
          <w:szCs w:val="16"/>
          <w:lang w:val="en-US"/>
        </w:rPr>
        <w:t xml:space="preserve">In cases raising issues under Article 2 of the Convention in the context of alleged medical malpractice the Court has held that where the infringement of the right to life or to personal integrity is not caused intentionally, the positive obligation imposed by Article 2 to set up an effective judicial system does not necessarily require the provision of a criminal-law remedy in every case. In the specific sphere of medical negligence the obligation may for instance also be satisfied if the legal system affords victims a remedy in the civil courts, either alone or in conjunction with a remedy in the criminal courts, enabling any liability of the doctors concerned to be established and any appropriate civil redress, such as an order for damages and for the publication of the decision, to be obtained </w:t>
      </w:r>
      <w:r w:rsidRPr="00012C3F">
        <w:rPr>
          <w:rStyle w:val="sb8d990e2"/>
          <w:rFonts w:ascii="Verdana" w:hAnsi="Verdana" w:cs="Arial"/>
          <w:sz w:val="16"/>
          <w:szCs w:val="16"/>
          <w:lang w:val="en-US"/>
        </w:rPr>
        <w:t>[…]</w:t>
      </w:r>
      <w:r w:rsidR="00F02416" w:rsidRPr="00012C3F">
        <w:rPr>
          <w:rStyle w:val="sb8d990e2"/>
          <w:rFonts w:ascii="Verdana" w:hAnsi="Verdana" w:cs="Arial"/>
          <w:sz w:val="16"/>
          <w:szCs w:val="16"/>
          <w:lang w:val="en-US"/>
        </w:rPr>
        <w:t>.</w:t>
      </w:r>
      <w:r w:rsidRPr="00012C3F">
        <w:rPr>
          <w:rStyle w:val="Refdenotaalpie"/>
          <w:rFonts w:ascii="Verdana" w:hAnsi="Verdana"/>
          <w:sz w:val="16"/>
          <w:lang w:val="en-US"/>
        </w:rPr>
        <w:footnoteReference w:id="388"/>
      </w:r>
    </w:p>
    <w:p w14:paraId="140C296A" w14:textId="77777777" w:rsidR="00502B43" w:rsidRPr="00012C3F" w:rsidRDefault="00502B43" w:rsidP="00DB07A7">
      <w:pPr>
        <w:tabs>
          <w:tab w:val="left" w:pos="720"/>
        </w:tabs>
        <w:spacing w:line="240" w:lineRule="auto"/>
        <w:rPr>
          <w:rFonts w:eastAsia="MS Mincho"/>
          <w:sz w:val="20"/>
          <w:szCs w:val="20"/>
          <w:lang w:val="en-US"/>
        </w:rPr>
      </w:pPr>
    </w:p>
    <w:p w14:paraId="319D755D" w14:textId="77777777" w:rsidR="00E54588" w:rsidRPr="00012C3F" w:rsidRDefault="0030317F" w:rsidP="0030317F">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Ultimately</w:t>
      </w:r>
      <w:r w:rsidR="00502B43" w:rsidRPr="00012C3F">
        <w:rPr>
          <w:rFonts w:eastAsia="MS Mincho"/>
          <w:sz w:val="20"/>
          <w:szCs w:val="20"/>
          <w:lang w:val="en-US"/>
        </w:rPr>
        <w:t xml:space="preserve">, </w:t>
      </w:r>
      <w:r w:rsidRPr="00012C3F">
        <w:rPr>
          <w:rFonts w:cs="Arial"/>
          <w:sz w:val="20"/>
          <w:szCs w:val="20"/>
          <w:lang w:val="en-US"/>
        </w:rPr>
        <w:t>a review of international practice reveal</w:t>
      </w:r>
      <w:r w:rsidRPr="00012C3F">
        <w:rPr>
          <w:rFonts w:cs="Arial"/>
          <w:sz w:val="20"/>
          <w:lang w:val="en-US"/>
        </w:rPr>
        <w:t>s</w:t>
      </w:r>
      <w:r w:rsidRPr="00012C3F">
        <w:rPr>
          <w:rFonts w:cs="Arial"/>
          <w:sz w:val="20"/>
          <w:szCs w:val="20"/>
          <w:lang w:val="en-US"/>
        </w:rPr>
        <w:t xml:space="preserve"> that a wide range of measures </w:t>
      </w:r>
      <w:r w:rsidRPr="00012C3F">
        <w:rPr>
          <w:rFonts w:cs="Arial"/>
          <w:sz w:val="20"/>
          <w:lang w:val="en-US"/>
        </w:rPr>
        <w:t>a</w:t>
      </w:r>
      <w:r w:rsidRPr="00012C3F">
        <w:rPr>
          <w:rFonts w:cs="Arial"/>
          <w:sz w:val="20"/>
          <w:szCs w:val="20"/>
          <w:lang w:val="en-US"/>
        </w:rPr>
        <w:t>re considered appropriate to remedy a non-consensual, involuntary, coerced or forced sterilization, depending on the circumstances of the case and the context in which the facts occurred. Nevertheless, the Court consider</w:t>
      </w:r>
      <w:r w:rsidRPr="00012C3F">
        <w:rPr>
          <w:rFonts w:cs="Arial"/>
          <w:sz w:val="20"/>
          <w:lang w:val="en-US"/>
        </w:rPr>
        <w:t>s</w:t>
      </w:r>
      <w:r w:rsidRPr="00012C3F">
        <w:rPr>
          <w:rFonts w:cs="Arial"/>
          <w:sz w:val="20"/>
          <w:szCs w:val="20"/>
          <w:lang w:val="en-US"/>
        </w:rPr>
        <w:t xml:space="preserve"> it necessary to </w:t>
      </w:r>
      <w:r w:rsidRPr="00012C3F">
        <w:rPr>
          <w:rFonts w:cs="Arial"/>
          <w:sz w:val="20"/>
          <w:lang w:val="en-US"/>
        </w:rPr>
        <w:t>indicate</w:t>
      </w:r>
      <w:r w:rsidRPr="00012C3F">
        <w:rPr>
          <w:rFonts w:cs="Arial"/>
          <w:sz w:val="20"/>
          <w:szCs w:val="20"/>
          <w:lang w:val="en-US"/>
        </w:rPr>
        <w:t xml:space="preserve"> that, if prior, free, full and informed consent </w:t>
      </w:r>
      <w:r w:rsidRPr="00012C3F">
        <w:rPr>
          <w:rFonts w:cs="Arial"/>
          <w:sz w:val="20"/>
          <w:lang w:val="en-US"/>
        </w:rPr>
        <w:t>i</w:t>
      </w:r>
      <w:r w:rsidRPr="00012C3F">
        <w:rPr>
          <w:rFonts w:cs="Arial"/>
          <w:sz w:val="20"/>
          <w:szCs w:val="20"/>
          <w:lang w:val="en-US"/>
        </w:rPr>
        <w:t xml:space="preserve">s an essential requirement to guarantee that a sterilization </w:t>
      </w:r>
      <w:r w:rsidRPr="00012C3F">
        <w:rPr>
          <w:rFonts w:cs="Arial"/>
          <w:sz w:val="20"/>
          <w:lang w:val="en-US"/>
        </w:rPr>
        <w:t>i</w:t>
      </w:r>
      <w:r w:rsidRPr="00012C3F">
        <w:rPr>
          <w:rFonts w:cs="Arial"/>
          <w:sz w:val="20"/>
          <w:szCs w:val="20"/>
          <w:lang w:val="en-US"/>
        </w:rPr>
        <w:t>s not contrary to international standards, the possibility should also exist to file a claim before the corresponding authorities in those cases in which the physician ha</w:t>
      </w:r>
      <w:r w:rsidRPr="00012C3F">
        <w:rPr>
          <w:rFonts w:cs="Arial"/>
          <w:sz w:val="20"/>
          <w:lang w:val="en-US"/>
        </w:rPr>
        <w:t>s</w:t>
      </w:r>
      <w:r w:rsidRPr="00012C3F">
        <w:rPr>
          <w:rFonts w:cs="Arial"/>
          <w:sz w:val="20"/>
          <w:szCs w:val="20"/>
          <w:lang w:val="en-US"/>
        </w:rPr>
        <w:t xml:space="preserve"> failed to comply with that ethical and legal requirement</w:t>
      </w:r>
      <w:r w:rsidR="00291795" w:rsidRPr="00012C3F">
        <w:rPr>
          <w:rFonts w:cs="Arial"/>
          <w:sz w:val="20"/>
          <w:szCs w:val="20"/>
          <w:lang w:val="en-US"/>
        </w:rPr>
        <w:t>s</w:t>
      </w:r>
      <w:r w:rsidRPr="00012C3F">
        <w:rPr>
          <w:rFonts w:cs="Arial"/>
          <w:sz w:val="20"/>
          <w:szCs w:val="20"/>
          <w:lang w:val="en-US"/>
        </w:rPr>
        <w:t xml:space="preserve"> of medical practice, in order to establish the corresponding responsibilities and have access to compensation</w:t>
      </w:r>
      <w:r w:rsidR="00E54588" w:rsidRPr="00012C3F">
        <w:rPr>
          <w:rFonts w:eastAsia="MS Mincho"/>
          <w:sz w:val="20"/>
          <w:szCs w:val="20"/>
          <w:lang w:val="en-US"/>
        </w:rPr>
        <w:t xml:space="preserve">. </w:t>
      </w:r>
      <w:r w:rsidRPr="00012C3F">
        <w:rPr>
          <w:rFonts w:cs="Arial"/>
          <w:sz w:val="20"/>
          <w:szCs w:val="20"/>
          <w:lang w:val="en-US"/>
        </w:rPr>
        <w:t>The</w:t>
      </w:r>
      <w:r w:rsidRPr="00012C3F">
        <w:rPr>
          <w:rFonts w:cs="Arial"/>
          <w:sz w:val="20"/>
          <w:lang w:val="en-US"/>
        </w:rPr>
        <w:t xml:space="preserve">se measures </w:t>
      </w:r>
      <w:r w:rsidRPr="00012C3F">
        <w:rPr>
          <w:rFonts w:cs="Arial"/>
          <w:sz w:val="20"/>
          <w:szCs w:val="20"/>
          <w:lang w:val="en-US"/>
        </w:rPr>
        <w:t>should include the availability</w:t>
      </w:r>
      <w:r w:rsidR="00091030" w:rsidRPr="00012C3F">
        <w:rPr>
          <w:rFonts w:cs="Arial"/>
          <w:sz w:val="20"/>
          <w:szCs w:val="20"/>
          <w:lang w:val="en-US"/>
        </w:rPr>
        <w:t xml:space="preserve"> of</w:t>
      </w:r>
      <w:r w:rsidRPr="00012C3F">
        <w:rPr>
          <w:rFonts w:cs="Arial"/>
          <w:sz w:val="20"/>
          <w:szCs w:val="20"/>
          <w:lang w:val="en-US"/>
        </w:rPr>
        <w:t xml:space="preserve"> and access to administrative and judicial remedies to file claims if prior, free, full and informed consent ha</w:t>
      </w:r>
      <w:r w:rsidR="00091030" w:rsidRPr="00012C3F">
        <w:rPr>
          <w:rFonts w:cs="Arial"/>
          <w:sz w:val="20"/>
          <w:szCs w:val="20"/>
          <w:lang w:val="en-US"/>
        </w:rPr>
        <w:t>s</w:t>
      </w:r>
      <w:r w:rsidRPr="00012C3F">
        <w:rPr>
          <w:rFonts w:cs="Arial"/>
          <w:sz w:val="20"/>
          <w:szCs w:val="20"/>
          <w:lang w:val="en-US"/>
        </w:rPr>
        <w:t xml:space="preserve"> not been obtained, and the right for such claims to be examined promptly and impartially</w:t>
      </w:r>
      <w:r w:rsidR="00E54588" w:rsidRPr="00012C3F">
        <w:rPr>
          <w:rFonts w:eastAsia="MS Mincho"/>
          <w:sz w:val="20"/>
          <w:szCs w:val="20"/>
          <w:lang w:val="en-US"/>
        </w:rPr>
        <w:t xml:space="preserve">. </w:t>
      </w:r>
      <w:r w:rsidRPr="00012C3F">
        <w:rPr>
          <w:rFonts w:cs="Arial"/>
          <w:sz w:val="20"/>
          <w:szCs w:val="20"/>
          <w:lang w:val="en-US"/>
        </w:rPr>
        <w:t>To the contrary, th</w:t>
      </w:r>
      <w:r w:rsidR="00091030" w:rsidRPr="00012C3F">
        <w:rPr>
          <w:rFonts w:cs="Arial"/>
          <w:sz w:val="20"/>
          <w:szCs w:val="20"/>
          <w:lang w:val="en-US"/>
        </w:rPr>
        <w:t>is</w:t>
      </w:r>
      <w:r w:rsidRPr="00012C3F">
        <w:rPr>
          <w:rFonts w:cs="Arial"/>
          <w:sz w:val="20"/>
          <w:szCs w:val="20"/>
          <w:lang w:val="en-US"/>
        </w:rPr>
        <w:t xml:space="preserve"> would deny the practical effects of the rule of informed consent</w:t>
      </w:r>
      <w:r w:rsidRPr="00012C3F">
        <w:rPr>
          <w:rFonts w:eastAsia="MS Mincho"/>
          <w:sz w:val="20"/>
          <w:szCs w:val="20"/>
          <w:lang w:val="en-US"/>
        </w:rPr>
        <w:t xml:space="preserve"> .</w:t>
      </w:r>
    </w:p>
    <w:p w14:paraId="00AC50EC" w14:textId="77777777" w:rsidR="00E54588" w:rsidRPr="00012C3F" w:rsidRDefault="00E54588" w:rsidP="00E54588">
      <w:pPr>
        <w:tabs>
          <w:tab w:val="left" w:pos="567"/>
        </w:tabs>
        <w:spacing w:line="240" w:lineRule="auto"/>
        <w:rPr>
          <w:rFonts w:eastAsia="MS Mincho"/>
          <w:sz w:val="20"/>
          <w:szCs w:val="20"/>
          <w:lang w:val="en-US"/>
        </w:rPr>
      </w:pPr>
    </w:p>
    <w:p w14:paraId="6DA922EE" w14:textId="77777777" w:rsidR="00B469FE" w:rsidRPr="00012C3F" w:rsidRDefault="001C4B9F" w:rsidP="008764BB">
      <w:pPr>
        <w:numPr>
          <w:ilvl w:val="0"/>
          <w:numId w:val="5"/>
        </w:numPr>
        <w:tabs>
          <w:tab w:val="left" w:pos="720"/>
          <w:tab w:val="num" w:pos="12305"/>
        </w:tabs>
        <w:spacing w:line="240" w:lineRule="auto"/>
        <w:ind w:left="0" w:firstLine="0"/>
        <w:rPr>
          <w:rFonts w:eastAsia="MS Mincho"/>
          <w:sz w:val="20"/>
          <w:szCs w:val="20"/>
          <w:lang w:val="en-US"/>
        </w:rPr>
      </w:pPr>
      <w:r w:rsidRPr="00012C3F">
        <w:rPr>
          <w:rFonts w:cs="Arial"/>
          <w:sz w:val="20"/>
          <w:szCs w:val="20"/>
          <w:lang w:val="en-US"/>
        </w:rPr>
        <w:t>In brief, the Court consider</w:t>
      </w:r>
      <w:r w:rsidRPr="00012C3F">
        <w:rPr>
          <w:rFonts w:cs="Arial"/>
          <w:sz w:val="20"/>
          <w:lang w:val="en-US"/>
        </w:rPr>
        <w:t>s</w:t>
      </w:r>
      <w:r w:rsidRPr="00012C3F">
        <w:rPr>
          <w:rFonts w:cs="Arial"/>
          <w:sz w:val="20"/>
          <w:szCs w:val="20"/>
          <w:lang w:val="en-US"/>
        </w:rPr>
        <w:t xml:space="preserve"> that there </w:t>
      </w:r>
      <w:r w:rsidRPr="00012C3F">
        <w:rPr>
          <w:rFonts w:cs="Arial"/>
          <w:sz w:val="20"/>
          <w:lang w:val="en-US"/>
        </w:rPr>
        <w:t>i</w:t>
      </w:r>
      <w:r w:rsidRPr="00012C3F">
        <w:rPr>
          <w:rFonts w:cs="Arial"/>
          <w:sz w:val="20"/>
          <w:szCs w:val="20"/>
          <w:lang w:val="en-US"/>
        </w:rPr>
        <w:t>s growing recognition that the practice of non-consensual, involuntary, coerced or forced sterilization c</w:t>
      </w:r>
      <w:r w:rsidRPr="00012C3F">
        <w:rPr>
          <w:rFonts w:cs="Arial"/>
          <w:sz w:val="20"/>
          <w:lang w:val="en-US"/>
        </w:rPr>
        <w:t>an</w:t>
      </w:r>
      <w:r w:rsidRPr="00012C3F">
        <w:rPr>
          <w:rFonts w:cs="Arial"/>
          <w:sz w:val="20"/>
          <w:szCs w:val="20"/>
          <w:lang w:val="en-US"/>
        </w:rPr>
        <w:t>not remain unpunished, because th</w:t>
      </w:r>
      <w:r w:rsidRPr="00012C3F">
        <w:rPr>
          <w:rFonts w:cs="Arial"/>
          <w:sz w:val="20"/>
          <w:lang w:val="en-US"/>
        </w:rPr>
        <w:t>is</w:t>
      </w:r>
      <w:r w:rsidRPr="00012C3F">
        <w:rPr>
          <w:rFonts w:cs="Arial"/>
          <w:sz w:val="20"/>
          <w:szCs w:val="20"/>
          <w:lang w:val="en-US"/>
        </w:rPr>
        <w:t xml:space="preserve"> would lead to perpetuating discriminatory stereotypes in the area of reproductive health at the institutional level based on the belief that women </w:t>
      </w:r>
      <w:r w:rsidRPr="00012C3F">
        <w:rPr>
          <w:rFonts w:cs="Arial"/>
          <w:sz w:val="20"/>
          <w:lang w:val="en-US"/>
        </w:rPr>
        <w:t>a</w:t>
      </w:r>
      <w:r w:rsidRPr="00012C3F">
        <w:rPr>
          <w:rFonts w:cs="Arial"/>
          <w:sz w:val="20"/>
          <w:szCs w:val="20"/>
          <w:lang w:val="en-US"/>
        </w:rPr>
        <w:t>re not competent to take decisions concerning their own bodies and health</w:t>
      </w:r>
      <w:r w:rsidR="00B469FE" w:rsidRPr="00012C3F">
        <w:rPr>
          <w:rFonts w:eastAsia="MS Mincho"/>
          <w:sz w:val="20"/>
          <w:szCs w:val="20"/>
          <w:lang w:val="en-US"/>
        </w:rPr>
        <w:t xml:space="preserve">. </w:t>
      </w:r>
      <w:r w:rsidRPr="00012C3F">
        <w:rPr>
          <w:rFonts w:cs="Arial"/>
          <w:sz w:val="20"/>
          <w:lang w:val="en-US"/>
        </w:rPr>
        <w:t>This does</w:t>
      </w:r>
      <w:r w:rsidRPr="00012C3F">
        <w:rPr>
          <w:rFonts w:cs="Arial"/>
          <w:sz w:val="20"/>
          <w:szCs w:val="20"/>
          <w:lang w:val="en-US"/>
        </w:rPr>
        <w:t xml:space="preserve"> not necessarily mean that criminal proceedings </w:t>
      </w:r>
      <w:r w:rsidRPr="00012C3F">
        <w:rPr>
          <w:rFonts w:cs="Arial"/>
          <w:sz w:val="20"/>
          <w:lang w:val="en-US"/>
        </w:rPr>
        <w:t>a</w:t>
      </w:r>
      <w:r w:rsidRPr="00012C3F">
        <w:rPr>
          <w:rFonts w:cs="Arial"/>
          <w:sz w:val="20"/>
          <w:szCs w:val="20"/>
          <w:lang w:val="en-US"/>
        </w:rPr>
        <w:t>re required in every case, but that the State should provide mechanisms for filing c</w:t>
      </w:r>
      <w:r w:rsidR="00091030" w:rsidRPr="00012C3F">
        <w:rPr>
          <w:rFonts w:cs="Arial"/>
          <w:sz w:val="20"/>
          <w:szCs w:val="20"/>
          <w:lang w:val="en-US"/>
        </w:rPr>
        <w:t>omplaint</w:t>
      </w:r>
      <w:r w:rsidRPr="00012C3F">
        <w:rPr>
          <w:rFonts w:cs="Arial"/>
          <w:sz w:val="20"/>
          <w:szCs w:val="20"/>
          <w:lang w:val="en-US"/>
        </w:rPr>
        <w:t xml:space="preserve">s, which </w:t>
      </w:r>
      <w:r w:rsidRPr="00012C3F">
        <w:rPr>
          <w:rFonts w:cs="Arial"/>
          <w:sz w:val="20"/>
          <w:lang w:val="en-US"/>
        </w:rPr>
        <w:t>a</w:t>
      </w:r>
      <w:r w:rsidRPr="00012C3F">
        <w:rPr>
          <w:rFonts w:cs="Arial"/>
          <w:sz w:val="20"/>
          <w:szCs w:val="20"/>
          <w:lang w:val="en-US"/>
        </w:rPr>
        <w:t>re adequate and effective to establish individual responsibilities, in either the disciplinary, administrative or judicial sphere, as appropriate, so as to ensure adequate redress to the victim</w:t>
      </w:r>
      <w:r w:rsidR="00B469FE" w:rsidRPr="00012C3F">
        <w:rPr>
          <w:rFonts w:eastAsia="MS Mincho"/>
          <w:sz w:val="20"/>
          <w:szCs w:val="20"/>
          <w:lang w:val="en-US"/>
        </w:rPr>
        <w:t>.</w:t>
      </w:r>
    </w:p>
    <w:p w14:paraId="0CAE0352" w14:textId="77777777" w:rsidR="00B469FE" w:rsidRPr="00012C3F" w:rsidRDefault="00B469FE" w:rsidP="008764BB">
      <w:pPr>
        <w:tabs>
          <w:tab w:val="left" w:pos="720"/>
        </w:tabs>
        <w:spacing w:line="240" w:lineRule="auto"/>
        <w:rPr>
          <w:rFonts w:eastAsia="MS Mincho"/>
          <w:sz w:val="20"/>
          <w:szCs w:val="20"/>
          <w:lang w:val="en-US"/>
        </w:rPr>
      </w:pPr>
    </w:p>
    <w:p w14:paraId="0AC20D60" w14:textId="77777777" w:rsidR="00B469FE" w:rsidRPr="00012C3F" w:rsidRDefault="002B493C" w:rsidP="002B493C">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That said</w:t>
      </w:r>
      <w:r w:rsidR="00384CD3" w:rsidRPr="00012C3F">
        <w:rPr>
          <w:rFonts w:eastAsia="MS Mincho"/>
          <w:sz w:val="20"/>
          <w:szCs w:val="20"/>
          <w:lang w:val="en-US"/>
        </w:rPr>
        <w:t xml:space="preserve">, </w:t>
      </w:r>
      <w:r w:rsidRPr="00012C3F">
        <w:rPr>
          <w:rFonts w:eastAsia="MS Mincho"/>
          <w:sz w:val="20"/>
          <w:szCs w:val="20"/>
          <w:lang w:val="en-US"/>
        </w:rPr>
        <w:t xml:space="preserve">in its case law this Court has established that the obligation to conduct a criminal investigation and the corresponding right of the presumed victims or their next of kin derives not only from the treaty-based norms of international law that are binding for the States Parties, but </w:t>
      </w:r>
      <w:r w:rsidR="00091030" w:rsidRPr="00012C3F">
        <w:rPr>
          <w:rFonts w:eastAsia="MS Mincho"/>
          <w:sz w:val="20"/>
          <w:szCs w:val="20"/>
          <w:lang w:val="en-US"/>
        </w:rPr>
        <w:t>is</w:t>
      </w:r>
      <w:r w:rsidRPr="00012C3F">
        <w:rPr>
          <w:rFonts w:eastAsia="MS Mincho"/>
          <w:sz w:val="20"/>
          <w:szCs w:val="20"/>
          <w:lang w:val="en-US"/>
        </w:rPr>
        <w:t xml:space="preserve"> also derived from domestic law relating to the obligation to investigate, </w:t>
      </w:r>
      <w:r w:rsidRPr="00012C3F">
        <w:rPr>
          <w:rFonts w:eastAsia="MS Mincho"/>
          <w:i/>
          <w:iCs/>
          <w:sz w:val="20"/>
          <w:szCs w:val="20"/>
          <w:lang w:val="en-US"/>
        </w:rPr>
        <w:t>ex officio</w:t>
      </w:r>
      <w:r w:rsidRPr="00012C3F">
        <w:rPr>
          <w:rFonts w:eastAsia="MS Mincho"/>
          <w:sz w:val="20"/>
          <w:szCs w:val="20"/>
          <w:lang w:val="en-US"/>
        </w:rPr>
        <w:t xml:space="preserve">, certain wrongful acts, and from the laws that permit victims or their next of kin to file actions and submit complaints, evidence and motions or any other element in order to play a procedural role in the </w:t>
      </w:r>
      <w:r w:rsidRPr="00012C3F">
        <w:rPr>
          <w:rFonts w:eastAsia="MS Mincho"/>
          <w:sz w:val="20"/>
          <w:szCs w:val="20"/>
          <w:lang w:val="en-US"/>
        </w:rPr>
        <w:lastRenderedPageBreak/>
        <w:t>criminal investigation with the aim of establishing the truth of the facts.</w:t>
      </w:r>
      <w:r w:rsidR="00384CD3" w:rsidRPr="00012C3F">
        <w:rPr>
          <w:rFonts w:eastAsia="MS Mincho"/>
          <w:sz w:val="20"/>
          <w:szCs w:val="20"/>
          <w:vertAlign w:val="superscript"/>
          <w:lang w:val="en-US"/>
        </w:rPr>
        <w:footnoteReference w:id="389"/>
      </w:r>
      <w:r w:rsidR="00B469FE" w:rsidRPr="00012C3F">
        <w:rPr>
          <w:rFonts w:eastAsia="MS Mincho"/>
          <w:sz w:val="20"/>
          <w:szCs w:val="20"/>
          <w:lang w:val="en-US"/>
        </w:rPr>
        <w:t xml:space="preserve"> </w:t>
      </w:r>
      <w:r w:rsidRPr="00012C3F">
        <w:rPr>
          <w:rFonts w:eastAsia="MS Mincho"/>
          <w:sz w:val="20"/>
          <w:szCs w:val="20"/>
          <w:lang w:val="en-US"/>
        </w:rPr>
        <w:t xml:space="preserve">Given the fact that, </w:t>
      </w:r>
      <w:r w:rsidR="006C705C" w:rsidRPr="00012C3F">
        <w:rPr>
          <w:rFonts w:eastAsia="MS Mincho"/>
          <w:sz w:val="20"/>
          <w:szCs w:val="20"/>
          <w:lang w:val="en-US"/>
        </w:rPr>
        <w:t>in this case</w:t>
      </w:r>
      <w:r w:rsidRPr="00012C3F">
        <w:rPr>
          <w:rFonts w:eastAsia="MS Mincho"/>
          <w:sz w:val="20"/>
          <w:szCs w:val="20"/>
          <w:lang w:val="en-US"/>
        </w:rPr>
        <w:t>, c</w:t>
      </w:r>
      <w:r w:rsidR="006C705C" w:rsidRPr="00012C3F">
        <w:rPr>
          <w:rFonts w:eastAsia="MS Mincho"/>
          <w:sz w:val="20"/>
          <w:szCs w:val="20"/>
          <w:lang w:val="en-US"/>
        </w:rPr>
        <w:t>riminal proceedings</w:t>
      </w:r>
      <w:r w:rsidR="00B469FE" w:rsidRPr="00012C3F">
        <w:rPr>
          <w:rFonts w:eastAsia="MS Mincho"/>
          <w:sz w:val="20"/>
          <w:szCs w:val="20"/>
          <w:lang w:val="en-US"/>
        </w:rPr>
        <w:t xml:space="preserve"> </w:t>
      </w:r>
      <w:r w:rsidRPr="00012C3F">
        <w:rPr>
          <w:rFonts w:eastAsia="MS Mincho"/>
          <w:sz w:val="20"/>
          <w:szCs w:val="20"/>
          <w:lang w:val="en-US"/>
        </w:rPr>
        <w:t xml:space="preserve">were instituted for the offense of injuries, the Court will now examine whether the corresponding actions aimed at establishing the criminal responsibility of the physician for the </w:t>
      </w:r>
      <w:r w:rsidR="00271E24" w:rsidRPr="00012C3F">
        <w:rPr>
          <w:rFonts w:eastAsia="MS Mincho"/>
          <w:sz w:val="20"/>
          <w:szCs w:val="20"/>
          <w:lang w:val="en-US"/>
        </w:rPr>
        <w:t>non-consensual sterilization</w:t>
      </w:r>
      <w:r w:rsidR="00B469FE" w:rsidRPr="00012C3F">
        <w:rPr>
          <w:rFonts w:eastAsia="MS Mincho"/>
          <w:sz w:val="20"/>
          <w:szCs w:val="20"/>
          <w:lang w:val="en-US"/>
        </w:rPr>
        <w:t xml:space="preserve"> </w:t>
      </w:r>
      <w:r w:rsidRPr="00012C3F">
        <w:rPr>
          <w:rFonts w:eastAsia="MS Mincho"/>
          <w:sz w:val="20"/>
          <w:szCs w:val="20"/>
          <w:lang w:val="en-US"/>
        </w:rPr>
        <w:t>of</w:t>
      </w:r>
      <w:r w:rsidR="00B469FE" w:rsidRPr="00012C3F">
        <w:rPr>
          <w:rFonts w:eastAsia="MS Mincho"/>
          <w:sz w:val="20"/>
          <w:szCs w:val="20"/>
          <w:lang w:val="en-US"/>
        </w:rPr>
        <w:t xml:space="preserve"> </w:t>
      </w:r>
      <w:r w:rsidR="000E1C11" w:rsidRPr="00012C3F">
        <w:rPr>
          <w:rFonts w:eastAsia="MS Mincho"/>
          <w:sz w:val="20"/>
          <w:szCs w:val="20"/>
          <w:lang w:val="en-US"/>
        </w:rPr>
        <w:t>I.V.</w:t>
      </w:r>
      <w:r w:rsidR="00B646E3" w:rsidRPr="00012C3F">
        <w:rPr>
          <w:rFonts w:eastAsia="MS Mincho"/>
          <w:sz w:val="20"/>
          <w:szCs w:val="20"/>
          <w:lang w:val="en-US"/>
        </w:rPr>
        <w:t xml:space="preserve"> </w:t>
      </w:r>
      <w:r w:rsidRPr="00012C3F">
        <w:rPr>
          <w:rFonts w:eastAsia="MS Mincho"/>
          <w:sz w:val="20"/>
          <w:szCs w:val="20"/>
          <w:lang w:val="en-US"/>
        </w:rPr>
        <w:t>were in accordance with</w:t>
      </w:r>
      <w:r w:rsidR="00B646E3" w:rsidRPr="00012C3F">
        <w:rPr>
          <w:rFonts w:eastAsia="MS Mincho"/>
          <w:sz w:val="20"/>
          <w:szCs w:val="20"/>
          <w:lang w:val="en-US"/>
        </w:rPr>
        <w:t xml:space="preserve"> </w:t>
      </w:r>
      <w:r w:rsidR="001254DE" w:rsidRPr="00012C3F">
        <w:rPr>
          <w:rFonts w:eastAsia="MS Mincho"/>
          <w:sz w:val="20"/>
          <w:szCs w:val="20"/>
          <w:lang w:val="en-US"/>
        </w:rPr>
        <w:t>the American Convention</w:t>
      </w:r>
      <w:r w:rsidR="00B646E3" w:rsidRPr="00012C3F">
        <w:rPr>
          <w:rFonts w:eastAsia="MS Mincho"/>
          <w:sz w:val="20"/>
          <w:szCs w:val="20"/>
          <w:lang w:val="en-US"/>
        </w:rPr>
        <w:t>.</w:t>
      </w:r>
    </w:p>
    <w:p w14:paraId="5187D246" w14:textId="77777777" w:rsidR="00502B43" w:rsidRPr="00012C3F" w:rsidRDefault="00502B43" w:rsidP="00145A34">
      <w:pPr>
        <w:tabs>
          <w:tab w:val="left" w:pos="567"/>
          <w:tab w:val="left" w:pos="720"/>
        </w:tabs>
        <w:spacing w:line="240" w:lineRule="auto"/>
        <w:rPr>
          <w:rFonts w:eastAsia="MS Mincho"/>
          <w:b/>
          <w:sz w:val="20"/>
          <w:szCs w:val="20"/>
          <w:lang w:val="en-US"/>
        </w:rPr>
      </w:pPr>
    </w:p>
    <w:p w14:paraId="629A9C52" w14:textId="77777777" w:rsidR="00994B32" w:rsidRPr="00012C3F" w:rsidRDefault="00994B32" w:rsidP="006A16C8">
      <w:pPr>
        <w:pStyle w:val="Ttulo2"/>
        <w:tabs>
          <w:tab w:val="left" w:pos="1701"/>
        </w:tabs>
        <w:spacing w:before="0" w:line="240" w:lineRule="auto"/>
        <w:ind w:left="1134"/>
        <w:rPr>
          <w:rFonts w:ascii="Verdana" w:hAnsi="Verdana"/>
          <w:b w:val="0"/>
          <w:i/>
          <w:color w:val="auto"/>
          <w:sz w:val="20"/>
          <w:szCs w:val="20"/>
          <w:lang w:val="en-US"/>
        </w:rPr>
      </w:pPr>
      <w:bookmarkStart w:id="179" w:name="_Toc27486884"/>
      <w:r w:rsidRPr="00012C3F">
        <w:rPr>
          <w:rFonts w:ascii="Verdana" w:hAnsi="Verdana"/>
          <w:b w:val="0"/>
          <w:i/>
          <w:color w:val="auto"/>
          <w:sz w:val="20"/>
          <w:szCs w:val="20"/>
          <w:lang w:val="en-US"/>
        </w:rPr>
        <w:t xml:space="preserve">B.2 </w:t>
      </w:r>
      <w:r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 xml:space="preserve">Determination of the effects of </w:t>
      </w:r>
      <w:r w:rsidR="00EB6905" w:rsidRPr="00012C3F">
        <w:rPr>
          <w:rFonts w:ascii="Verdana" w:hAnsi="Verdana"/>
          <w:b w:val="0"/>
          <w:i/>
          <w:color w:val="auto"/>
          <w:sz w:val="20"/>
          <w:szCs w:val="20"/>
          <w:lang w:val="en-US"/>
        </w:rPr>
        <w:t>the closure of the criminal</w:t>
      </w:r>
      <w:r w:rsidR="006C705C" w:rsidRPr="00012C3F">
        <w:rPr>
          <w:rFonts w:ascii="Verdana" w:hAnsi="Verdana"/>
          <w:b w:val="0"/>
          <w:i/>
          <w:color w:val="auto"/>
          <w:sz w:val="20"/>
          <w:szCs w:val="20"/>
          <w:lang w:val="en-US"/>
        </w:rPr>
        <w:t xml:space="preserve"> proceedings</w:t>
      </w:r>
      <w:bookmarkEnd w:id="179"/>
    </w:p>
    <w:p w14:paraId="606BEE46" w14:textId="77777777" w:rsidR="00994B32" w:rsidRPr="00012C3F" w:rsidRDefault="00994B32" w:rsidP="00994B32">
      <w:pPr>
        <w:tabs>
          <w:tab w:val="left" w:pos="720"/>
        </w:tabs>
        <w:spacing w:line="240" w:lineRule="auto"/>
        <w:rPr>
          <w:rFonts w:eastAsia="MS Mincho"/>
          <w:sz w:val="20"/>
          <w:szCs w:val="20"/>
          <w:lang w:val="en-US"/>
        </w:rPr>
      </w:pPr>
    </w:p>
    <w:p w14:paraId="27A0D045" w14:textId="77777777" w:rsidR="00F62FF3" w:rsidRPr="00012C3F" w:rsidRDefault="00EB6905" w:rsidP="00F62FF3">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According to t</w:t>
      </w:r>
      <w:r w:rsidR="00F62FF3" w:rsidRPr="00012C3F">
        <w:rPr>
          <w:rFonts w:eastAsia="MS Mincho"/>
          <w:sz w:val="20"/>
          <w:szCs w:val="20"/>
          <w:lang w:val="en-US"/>
        </w:rPr>
        <w:t xml:space="preserve">he widely disseminated jurisprudence of the countries of this hemisphere surgical procedures of a therapeutic nature (curative or palliative) </w:t>
      </w:r>
      <w:r w:rsidRPr="00012C3F">
        <w:rPr>
          <w:rFonts w:eastAsia="MS Mincho"/>
          <w:sz w:val="20"/>
          <w:szCs w:val="20"/>
          <w:lang w:val="en-US"/>
        </w:rPr>
        <w:t xml:space="preserve">do not correspond to the </w:t>
      </w:r>
      <w:r w:rsidR="0009029E" w:rsidRPr="00012C3F">
        <w:rPr>
          <w:rFonts w:eastAsia="MS Mincho"/>
          <w:sz w:val="20"/>
          <w:szCs w:val="20"/>
          <w:lang w:val="en-US"/>
        </w:rPr>
        <w:t xml:space="preserve">offense of </w:t>
      </w:r>
      <w:r w:rsidRPr="00012C3F">
        <w:rPr>
          <w:rFonts w:eastAsia="MS Mincho"/>
          <w:sz w:val="20"/>
          <w:szCs w:val="20"/>
          <w:lang w:val="en-US"/>
        </w:rPr>
        <w:t>“</w:t>
      </w:r>
      <w:r w:rsidR="0009029E" w:rsidRPr="00012C3F">
        <w:rPr>
          <w:rFonts w:eastAsia="MS Mincho"/>
          <w:sz w:val="20"/>
          <w:szCs w:val="20"/>
          <w:lang w:val="en-US"/>
        </w:rPr>
        <w:t>injuries.</w:t>
      </w:r>
      <w:r w:rsidRPr="00012C3F">
        <w:rPr>
          <w:rFonts w:eastAsia="MS Mincho"/>
          <w:sz w:val="20"/>
          <w:szCs w:val="20"/>
          <w:lang w:val="en-US"/>
        </w:rPr>
        <w:t>”</w:t>
      </w:r>
      <w:r w:rsidR="0009029E" w:rsidRPr="00012C3F">
        <w:rPr>
          <w:rFonts w:eastAsia="MS Mincho"/>
          <w:sz w:val="20"/>
          <w:szCs w:val="20"/>
          <w:lang w:val="en-US"/>
        </w:rPr>
        <w:t xml:space="preserve"> Even though this circumstance has not been alleged, and considering that it would be an effective</w:t>
      </w:r>
      <w:r w:rsidRPr="00012C3F">
        <w:rPr>
          <w:rFonts w:eastAsia="MS Mincho"/>
          <w:sz w:val="20"/>
          <w:szCs w:val="20"/>
          <w:lang w:val="en-US"/>
        </w:rPr>
        <w:t xml:space="preserve"> plea for the</w:t>
      </w:r>
      <w:r w:rsidR="0009029E" w:rsidRPr="00012C3F">
        <w:rPr>
          <w:rFonts w:eastAsia="MS Mincho"/>
          <w:sz w:val="20"/>
          <w:szCs w:val="20"/>
          <w:lang w:val="en-US"/>
        </w:rPr>
        <w:t xml:space="preserve"> defense, it is an inherent duty of a rigorous judicial process to examine and discard this possibility,</w:t>
      </w:r>
      <w:r w:rsidRPr="00012C3F">
        <w:rPr>
          <w:rFonts w:eastAsia="MS Mincho"/>
          <w:sz w:val="20"/>
          <w:szCs w:val="20"/>
          <w:lang w:val="en-US"/>
        </w:rPr>
        <w:t xml:space="preserve"> in order </w:t>
      </w:r>
      <w:r w:rsidR="0009029E" w:rsidRPr="00012C3F">
        <w:rPr>
          <w:rFonts w:eastAsia="MS Mincho"/>
          <w:sz w:val="20"/>
          <w:szCs w:val="20"/>
          <w:lang w:val="en-US"/>
        </w:rPr>
        <w:t>to make it clear that the closure of the criminal proceedings prejudiced the victim.</w:t>
      </w:r>
    </w:p>
    <w:p w14:paraId="5F629C90" w14:textId="77777777" w:rsidR="00994B32" w:rsidRPr="00012C3F" w:rsidRDefault="00994B32" w:rsidP="00F62FF3">
      <w:pPr>
        <w:tabs>
          <w:tab w:val="left" w:pos="720"/>
        </w:tabs>
        <w:spacing w:line="240" w:lineRule="auto"/>
        <w:rPr>
          <w:rFonts w:eastAsia="MS Mincho"/>
          <w:sz w:val="20"/>
          <w:szCs w:val="20"/>
          <w:lang w:val="en-US"/>
        </w:rPr>
      </w:pPr>
    </w:p>
    <w:p w14:paraId="651D34AD" w14:textId="77777777" w:rsidR="00DB57C0" w:rsidRPr="00012C3F" w:rsidRDefault="0009029E" w:rsidP="0009029E">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In this case, the purpose of the procedure performed on I.V. was of a preventive, therapeutic nature, which would </w:t>
      </w:r>
      <w:r w:rsidR="00EB6905" w:rsidRPr="00012C3F">
        <w:rPr>
          <w:rFonts w:eastAsia="MS Mincho"/>
          <w:sz w:val="20"/>
          <w:szCs w:val="20"/>
          <w:lang w:val="en-US"/>
        </w:rPr>
        <w:t>not constitute</w:t>
      </w:r>
      <w:r w:rsidRPr="00012C3F">
        <w:rPr>
          <w:rFonts w:eastAsia="MS Mincho"/>
          <w:sz w:val="20"/>
          <w:szCs w:val="20"/>
          <w:lang w:val="en-US"/>
        </w:rPr>
        <w:t xml:space="preserve"> </w:t>
      </w:r>
      <w:r w:rsidR="00EB6905" w:rsidRPr="00012C3F">
        <w:rPr>
          <w:rFonts w:eastAsia="MS Mincho"/>
          <w:sz w:val="20"/>
          <w:szCs w:val="20"/>
          <w:lang w:val="en-US"/>
        </w:rPr>
        <w:t>“</w:t>
      </w:r>
      <w:r w:rsidRPr="00012C3F">
        <w:rPr>
          <w:rFonts w:eastAsia="MS Mincho"/>
          <w:sz w:val="20"/>
          <w:szCs w:val="20"/>
          <w:lang w:val="en-US"/>
        </w:rPr>
        <w:t>injuries</w:t>
      </w:r>
      <w:r w:rsidR="00EB6905" w:rsidRPr="00012C3F">
        <w:rPr>
          <w:rFonts w:eastAsia="MS Mincho"/>
          <w:sz w:val="20"/>
          <w:szCs w:val="20"/>
          <w:lang w:val="en-US"/>
        </w:rPr>
        <w:t>”</w:t>
      </w:r>
      <w:r w:rsidRPr="00012C3F">
        <w:rPr>
          <w:rFonts w:eastAsia="MS Mincho"/>
          <w:sz w:val="20"/>
          <w:szCs w:val="20"/>
          <w:lang w:val="en-US"/>
        </w:rPr>
        <w:t xml:space="preserve"> if it had been carried out in accordance with the rules of medical practice; that is, respect</w:t>
      </w:r>
      <w:r w:rsidR="00EB6905" w:rsidRPr="00012C3F">
        <w:rPr>
          <w:rFonts w:eastAsia="MS Mincho"/>
          <w:sz w:val="20"/>
          <w:szCs w:val="20"/>
          <w:lang w:val="en-US"/>
        </w:rPr>
        <w:t>ing</w:t>
      </w:r>
      <w:r w:rsidRPr="00012C3F">
        <w:rPr>
          <w:rFonts w:eastAsia="MS Mincho"/>
          <w:sz w:val="20"/>
          <w:szCs w:val="20"/>
          <w:lang w:val="en-US"/>
        </w:rPr>
        <w:t xml:space="preserve"> the obligation of care that corresponds to the profession, because, to the contrary, the </w:t>
      </w:r>
      <w:r w:rsidR="00091030" w:rsidRPr="00012C3F">
        <w:rPr>
          <w:rFonts w:eastAsia="MS Mincho"/>
          <w:sz w:val="20"/>
          <w:szCs w:val="20"/>
          <w:lang w:val="en-US"/>
        </w:rPr>
        <w:t>physician</w:t>
      </w:r>
      <w:r w:rsidRPr="00012C3F">
        <w:rPr>
          <w:rFonts w:eastAsia="MS Mincho"/>
          <w:sz w:val="20"/>
          <w:szCs w:val="20"/>
          <w:lang w:val="en-US"/>
        </w:rPr>
        <w:t xml:space="preserve"> would have incurred fault liability (imprudence or negligence). The </w:t>
      </w:r>
      <w:r w:rsidR="00EB6905" w:rsidRPr="00012C3F">
        <w:rPr>
          <w:rFonts w:eastAsia="MS Mincho"/>
          <w:sz w:val="20"/>
          <w:szCs w:val="20"/>
          <w:lang w:val="en-US"/>
        </w:rPr>
        <w:t xml:space="preserve">non-criminal </w:t>
      </w:r>
      <w:r w:rsidRPr="00012C3F">
        <w:rPr>
          <w:rFonts w:eastAsia="MS Mincho"/>
          <w:sz w:val="20"/>
          <w:szCs w:val="20"/>
          <w:lang w:val="en-US"/>
        </w:rPr>
        <w:t>nature</w:t>
      </w:r>
      <w:r w:rsidR="00AB551F" w:rsidRPr="00012C3F">
        <w:rPr>
          <w:rFonts w:eastAsia="MS Mincho"/>
          <w:sz w:val="20"/>
          <w:szCs w:val="20"/>
          <w:lang w:val="en-US"/>
        </w:rPr>
        <w:t xml:space="preserve"> of procedures</w:t>
      </w:r>
      <w:r w:rsidRPr="00012C3F">
        <w:rPr>
          <w:rFonts w:eastAsia="MS Mincho"/>
          <w:sz w:val="20"/>
          <w:szCs w:val="20"/>
          <w:lang w:val="en-US"/>
        </w:rPr>
        <w:t xml:space="preserve"> is conditioned by the </w:t>
      </w:r>
      <w:r w:rsidR="00DB57C0" w:rsidRPr="00012C3F">
        <w:rPr>
          <w:rFonts w:eastAsia="MS Mincho"/>
          <w:sz w:val="20"/>
          <w:szCs w:val="20"/>
          <w:lang w:val="en-US"/>
        </w:rPr>
        <w:t>observance of the duty of care in accordance with the rules of medical practice. This duty obliges doctor</w:t>
      </w:r>
      <w:r w:rsidR="00EB6905" w:rsidRPr="00012C3F">
        <w:rPr>
          <w:rFonts w:eastAsia="MS Mincho"/>
          <w:sz w:val="20"/>
          <w:szCs w:val="20"/>
          <w:lang w:val="en-US"/>
        </w:rPr>
        <w:t>s</w:t>
      </w:r>
      <w:r w:rsidR="00DB57C0" w:rsidRPr="00012C3F">
        <w:rPr>
          <w:rFonts w:eastAsia="MS Mincho"/>
          <w:sz w:val="20"/>
          <w:szCs w:val="20"/>
          <w:lang w:val="en-US"/>
        </w:rPr>
        <w:t xml:space="preserve"> to take special care to ensure that </w:t>
      </w:r>
      <w:r w:rsidR="00EB6905" w:rsidRPr="00012C3F">
        <w:rPr>
          <w:rFonts w:eastAsia="MS Mincho"/>
          <w:sz w:val="20"/>
          <w:szCs w:val="20"/>
          <w:lang w:val="en-US"/>
        </w:rPr>
        <w:t>their</w:t>
      </w:r>
      <w:r w:rsidR="00DB57C0" w:rsidRPr="00012C3F">
        <w:rPr>
          <w:rFonts w:eastAsia="MS Mincho"/>
          <w:sz w:val="20"/>
          <w:szCs w:val="20"/>
          <w:lang w:val="en-US"/>
        </w:rPr>
        <w:t xml:space="preserve"> intervention</w:t>
      </w:r>
      <w:r w:rsidR="00EB6905" w:rsidRPr="00012C3F">
        <w:rPr>
          <w:rFonts w:eastAsia="MS Mincho"/>
          <w:sz w:val="20"/>
          <w:szCs w:val="20"/>
          <w:lang w:val="en-US"/>
        </w:rPr>
        <w:t>s</w:t>
      </w:r>
      <w:r w:rsidR="00DB57C0" w:rsidRPr="00012C3F">
        <w:rPr>
          <w:rFonts w:eastAsia="MS Mincho"/>
          <w:sz w:val="20"/>
          <w:szCs w:val="20"/>
          <w:lang w:val="en-US"/>
        </w:rPr>
        <w:t xml:space="preserve"> will improve the patient’s health and will not cause new and greater harms or paradoxical effects. Health, according to the classic definition of the WHO,</w:t>
      </w:r>
      <w:r w:rsidR="00335B72" w:rsidRPr="00012C3F">
        <w:rPr>
          <w:rStyle w:val="Refdenotaalpie"/>
          <w:rFonts w:eastAsia="MS Mincho"/>
          <w:sz w:val="20"/>
          <w:szCs w:val="20"/>
          <w:lang w:val="en-US"/>
        </w:rPr>
        <w:footnoteReference w:id="390"/>
      </w:r>
      <w:r w:rsidR="00994B32" w:rsidRPr="00012C3F">
        <w:rPr>
          <w:rFonts w:eastAsia="MS Mincho"/>
          <w:sz w:val="20"/>
          <w:szCs w:val="20"/>
          <w:lang w:val="en-US"/>
        </w:rPr>
        <w:t xml:space="preserve"> </w:t>
      </w:r>
      <w:r w:rsidR="00DB57C0" w:rsidRPr="00012C3F">
        <w:rPr>
          <w:rFonts w:eastAsia="MS Mincho"/>
          <w:sz w:val="20"/>
          <w:szCs w:val="20"/>
          <w:lang w:val="en-US"/>
        </w:rPr>
        <w:t xml:space="preserve">is a state of biological and psychological balance. In the case of I.V., it has been proved that, as a result of the sterilization, even though the risk of a possible future pregnancy was neutralized, she </w:t>
      </w:r>
      <w:r w:rsidR="00AB551F" w:rsidRPr="00012C3F">
        <w:rPr>
          <w:rFonts w:eastAsia="MS Mincho"/>
          <w:sz w:val="20"/>
          <w:szCs w:val="20"/>
          <w:lang w:val="en-US"/>
        </w:rPr>
        <w:t xml:space="preserve">has </w:t>
      </w:r>
      <w:r w:rsidR="00DB57C0" w:rsidRPr="00012C3F">
        <w:rPr>
          <w:rFonts w:eastAsia="MS Mincho"/>
          <w:sz w:val="20"/>
          <w:szCs w:val="20"/>
          <w:lang w:val="en-US"/>
        </w:rPr>
        <w:t xml:space="preserve">suffered very </w:t>
      </w:r>
      <w:r w:rsidR="00AB551F" w:rsidRPr="00012C3F">
        <w:rPr>
          <w:rFonts w:eastAsia="MS Mincho"/>
          <w:sz w:val="20"/>
          <w:szCs w:val="20"/>
          <w:lang w:val="en-US"/>
        </w:rPr>
        <w:t>severe</w:t>
      </w:r>
      <w:r w:rsidR="00DB57C0" w:rsidRPr="00012C3F">
        <w:rPr>
          <w:rFonts w:eastAsia="MS Mincho"/>
          <w:sz w:val="20"/>
          <w:szCs w:val="20"/>
          <w:lang w:val="en-US"/>
        </w:rPr>
        <w:t xml:space="preserve"> </w:t>
      </w:r>
      <w:r w:rsidR="00091030" w:rsidRPr="00012C3F">
        <w:rPr>
          <w:rFonts w:eastAsia="MS Mincho"/>
          <w:sz w:val="20"/>
          <w:szCs w:val="20"/>
          <w:lang w:val="en-US"/>
        </w:rPr>
        <w:t xml:space="preserve">and </w:t>
      </w:r>
      <w:r w:rsidR="00DB57C0" w:rsidRPr="00012C3F">
        <w:rPr>
          <w:rFonts w:eastAsia="MS Mincho"/>
          <w:sz w:val="20"/>
          <w:szCs w:val="20"/>
          <w:lang w:val="en-US"/>
        </w:rPr>
        <w:t>real psychological</w:t>
      </w:r>
      <w:r w:rsidR="00EB6905" w:rsidRPr="00012C3F">
        <w:rPr>
          <w:rFonts w:eastAsia="MS Mincho"/>
          <w:sz w:val="20"/>
          <w:szCs w:val="20"/>
          <w:lang w:val="en-US"/>
        </w:rPr>
        <w:t xml:space="preserve"> harm, consisting in psychotic or similar episode</w:t>
      </w:r>
      <w:r w:rsidR="00AB551F" w:rsidRPr="00012C3F">
        <w:rPr>
          <w:rFonts w:eastAsia="MS Mincho"/>
          <w:sz w:val="20"/>
          <w:szCs w:val="20"/>
          <w:lang w:val="en-US"/>
        </w:rPr>
        <w:t>s</w:t>
      </w:r>
      <w:r w:rsidR="00EB6905" w:rsidRPr="00012C3F">
        <w:rPr>
          <w:rFonts w:eastAsia="MS Mincho"/>
          <w:sz w:val="20"/>
          <w:szCs w:val="20"/>
          <w:lang w:val="en-US"/>
        </w:rPr>
        <w:t>, characterized especially by intermittent persecutory delusions that required her internment in a psychiatric ward. These considerations allow the Court to conclude that the victim was harmed as a result of being deprived of the possibility of obtaining a judgment.</w:t>
      </w:r>
    </w:p>
    <w:p w14:paraId="2C7AAE0F" w14:textId="77777777" w:rsidR="00994B32" w:rsidRPr="00012C3F" w:rsidRDefault="00994B32" w:rsidP="00145A34">
      <w:pPr>
        <w:tabs>
          <w:tab w:val="left" w:pos="567"/>
          <w:tab w:val="left" w:pos="720"/>
        </w:tabs>
        <w:spacing w:line="240" w:lineRule="auto"/>
        <w:rPr>
          <w:rFonts w:eastAsia="MS Mincho"/>
          <w:sz w:val="20"/>
          <w:szCs w:val="20"/>
          <w:lang w:val="en-US"/>
        </w:rPr>
      </w:pPr>
    </w:p>
    <w:p w14:paraId="79744DC9" w14:textId="77777777" w:rsidR="00502B43" w:rsidRPr="00012C3F" w:rsidRDefault="00B14DC5" w:rsidP="0005131A">
      <w:pPr>
        <w:pStyle w:val="Ttulo2"/>
        <w:tabs>
          <w:tab w:val="left" w:pos="1701"/>
        </w:tabs>
        <w:spacing w:before="0" w:line="240" w:lineRule="auto"/>
        <w:ind w:left="1134"/>
        <w:rPr>
          <w:rFonts w:ascii="Verdana" w:hAnsi="Verdana"/>
          <w:b w:val="0"/>
          <w:i/>
          <w:color w:val="auto"/>
          <w:sz w:val="20"/>
          <w:szCs w:val="20"/>
          <w:lang w:val="en-US"/>
        </w:rPr>
      </w:pPr>
      <w:bookmarkStart w:id="180" w:name="_Toc461305148"/>
      <w:bookmarkStart w:id="181" w:name="_Toc27486885"/>
      <w:r w:rsidRPr="00012C3F">
        <w:rPr>
          <w:rFonts w:ascii="Verdana" w:hAnsi="Verdana"/>
          <w:b w:val="0"/>
          <w:i/>
          <w:color w:val="auto"/>
          <w:sz w:val="20"/>
          <w:szCs w:val="20"/>
          <w:lang w:val="en-US"/>
        </w:rPr>
        <w:t>B</w:t>
      </w:r>
      <w:r w:rsidR="00502B43" w:rsidRPr="00012C3F">
        <w:rPr>
          <w:rFonts w:ascii="Verdana" w:hAnsi="Verdana"/>
          <w:b w:val="0"/>
          <w:i/>
          <w:color w:val="auto"/>
          <w:sz w:val="20"/>
          <w:szCs w:val="20"/>
          <w:lang w:val="en-US"/>
        </w:rPr>
        <w:t>.</w:t>
      </w:r>
      <w:r w:rsidR="00994B32" w:rsidRPr="00012C3F">
        <w:rPr>
          <w:rFonts w:ascii="Verdana" w:hAnsi="Verdana"/>
          <w:b w:val="0"/>
          <w:i/>
          <w:color w:val="auto"/>
          <w:sz w:val="20"/>
          <w:szCs w:val="20"/>
          <w:lang w:val="en-US"/>
        </w:rPr>
        <w:t>3</w:t>
      </w:r>
      <w:r w:rsidR="00502B43" w:rsidRPr="00012C3F">
        <w:rPr>
          <w:rFonts w:ascii="Verdana" w:hAnsi="Verdana"/>
          <w:b w:val="0"/>
          <w:i/>
          <w:color w:val="auto"/>
          <w:sz w:val="20"/>
          <w:szCs w:val="20"/>
          <w:lang w:val="en-US"/>
        </w:rPr>
        <w:t xml:space="preserve"> </w:t>
      </w:r>
      <w:r w:rsidR="00502B43" w:rsidRPr="00012C3F">
        <w:rPr>
          <w:rFonts w:ascii="Verdana" w:hAnsi="Verdana"/>
          <w:b w:val="0"/>
          <w:i/>
          <w:color w:val="auto"/>
          <w:sz w:val="20"/>
          <w:szCs w:val="20"/>
          <w:lang w:val="en-US"/>
        </w:rPr>
        <w:tab/>
      </w:r>
      <w:r w:rsidR="00B47F8D" w:rsidRPr="00012C3F">
        <w:rPr>
          <w:rFonts w:ascii="Verdana" w:hAnsi="Verdana"/>
          <w:b w:val="0"/>
          <w:i/>
          <w:color w:val="auto"/>
          <w:sz w:val="20"/>
          <w:szCs w:val="20"/>
          <w:lang w:val="en-US"/>
        </w:rPr>
        <w:t>Determination of the scope of the State’s international responsibility</w:t>
      </w:r>
      <w:r w:rsidRPr="00012C3F">
        <w:rPr>
          <w:rFonts w:ascii="Verdana" w:hAnsi="Verdana"/>
          <w:b w:val="0"/>
          <w:i/>
          <w:color w:val="auto"/>
          <w:sz w:val="20"/>
          <w:szCs w:val="20"/>
          <w:lang w:val="en-US"/>
        </w:rPr>
        <w:t xml:space="preserve"> </w:t>
      </w:r>
      <w:r w:rsidR="00A710F6" w:rsidRPr="00012C3F">
        <w:rPr>
          <w:rFonts w:ascii="Verdana" w:hAnsi="Verdana"/>
          <w:b w:val="0"/>
          <w:i/>
          <w:color w:val="auto"/>
          <w:sz w:val="20"/>
          <w:szCs w:val="20"/>
          <w:lang w:val="en-US"/>
        </w:rPr>
        <w:t>owing to the criminal</w:t>
      </w:r>
      <w:r w:rsidR="006C705C" w:rsidRPr="00012C3F">
        <w:rPr>
          <w:rFonts w:ascii="Verdana" w:hAnsi="Verdana"/>
          <w:b w:val="0"/>
          <w:i/>
          <w:color w:val="auto"/>
          <w:sz w:val="20"/>
          <w:szCs w:val="20"/>
          <w:lang w:val="en-US"/>
        </w:rPr>
        <w:t xml:space="preserve"> proceedings</w:t>
      </w:r>
      <w:bookmarkEnd w:id="180"/>
      <w:bookmarkEnd w:id="181"/>
    </w:p>
    <w:p w14:paraId="7DD91E23" w14:textId="77777777" w:rsidR="00502B43" w:rsidRPr="00012C3F" w:rsidRDefault="00502B43" w:rsidP="00502B43">
      <w:pPr>
        <w:tabs>
          <w:tab w:val="left" w:pos="720"/>
        </w:tabs>
        <w:spacing w:line="240" w:lineRule="auto"/>
        <w:rPr>
          <w:rFonts w:eastAsia="MS Mincho"/>
          <w:sz w:val="20"/>
          <w:szCs w:val="20"/>
          <w:lang w:val="en-US"/>
        </w:rPr>
      </w:pPr>
    </w:p>
    <w:p w14:paraId="0D662A51" w14:textId="77777777" w:rsidR="00502B43" w:rsidRPr="00012C3F" w:rsidRDefault="00AB551F" w:rsidP="00AB551F">
      <w:pPr>
        <w:numPr>
          <w:ilvl w:val="0"/>
          <w:numId w:val="5"/>
        </w:numPr>
        <w:tabs>
          <w:tab w:val="left" w:pos="720"/>
          <w:tab w:val="num" w:pos="12305"/>
        </w:tabs>
        <w:spacing w:line="240" w:lineRule="auto"/>
        <w:ind w:left="0" w:firstLine="0"/>
        <w:rPr>
          <w:rFonts w:eastAsia="MS Mincho"/>
          <w:b/>
          <w:sz w:val="20"/>
          <w:szCs w:val="20"/>
          <w:lang w:val="en-US"/>
        </w:rPr>
      </w:pPr>
      <w:r w:rsidRPr="00012C3F">
        <w:rPr>
          <w:rFonts w:eastAsia="MS Mincho"/>
          <w:sz w:val="20"/>
          <w:szCs w:val="20"/>
          <w:lang w:val="en-US"/>
        </w:rPr>
        <w:t xml:space="preserve">In its consistent case law, the Court has indicated that the obligation to investigate is an obligation of means and not of results that must be assumed by the State as an inherent legal duty and not as a </w:t>
      </w:r>
      <w:r w:rsidR="00091030" w:rsidRPr="00012C3F">
        <w:rPr>
          <w:rFonts w:eastAsia="MS Mincho"/>
          <w:sz w:val="20"/>
          <w:szCs w:val="20"/>
          <w:lang w:val="en-US"/>
        </w:rPr>
        <w:t>mere</w:t>
      </w:r>
      <w:r w:rsidRPr="00012C3F">
        <w:rPr>
          <w:rFonts w:eastAsia="MS Mincho"/>
          <w:sz w:val="20"/>
          <w:szCs w:val="20"/>
          <w:lang w:val="en-US"/>
        </w:rPr>
        <w:t xml:space="preserve"> formality preordained to be ineffective, or as a </w:t>
      </w:r>
      <w:r w:rsidR="00091030" w:rsidRPr="00012C3F">
        <w:rPr>
          <w:rFonts w:eastAsia="MS Mincho"/>
          <w:sz w:val="20"/>
          <w:szCs w:val="20"/>
          <w:lang w:val="en-US"/>
        </w:rPr>
        <w:t xml:space="preserve">measure </w:t>
      </w:r>
      <w:r w:rsidRPr="00012C3F">
        <w:rPr>
          <w:rFonts w:eastAsia="MS Mincho"/>
          <w:sz w:val="20"/>
          <w:szCs w:val="20"/>
          <w:lang w:val="en-US"/>
        </w:rPr>
        <w:t>taken by private interests that depends on the procedural initiative of the victims or their next of kin or on the contribution of probative elements</w:t>
      </w:r>
      <w:r w:rsidR="00091030" w:rsidRPr="00012C3F">
        <w:rPr>
          <w:rFonts w:eastAsia="MS Mincho"/>
          <w:sz w:val="20"/>
          <w:szCs w:val="20"/>
          <w:lang w:val="en-US"/>
        </w:rPr>
        <w:t xml:space="preserve"> by private individuals</w:t>
      </w:r>
      <w:r w:rsidRPr="00012C3F">
        <w:rPr>
          <w:rFonts w:eastAsia="MS Mincho"/>
          <w:sz w:val="20"/>
          <w:szCs w:val="20"/>
          <w:lang w:val="en-US"/>
        </w:rPr>
        <w:t>.</w:t>
      </w:r>
      <w:r w:rsidR="00502B43" w:rsidRPr="00012C3F">
        <w:rPr>
          <w:rFonts w:eastAsia="MS Mincho"/>
          <w:sz w:val="20"/>
          <w:szCs w:val="20"/>
          <w:vertAlign w:val="superscript"/>
          <w:lang w:val="en-US"/>
        </w:rPr>
        <w:footnoteReference w:id="391"/>
      </w:r>
      <w:r w:rsidR="00502B43" w:rsidRPr="00012C3F">
        <w:rPr>
          <w:rFonts w:eastAsia="MS Mincho"/>
          <w:sz w:val="20"/>
          <w:szCs w:val="20"/>
          <w:lang w:val="en-US"/>
        </w:rPr>
        <w:t xml:space="preserve"> </w:t>
      </w:r>
      <w:r w:rsidRPr="00012C3F">
        <w:rPr>
          <w:rFonts w:eastAsia="MS Mincho"/>
          <w:sz w:val="20"/>
          <w:szCs w:val="20"/>
          <w:lang w:val="en-US"/>
        </w:rPr>
        <w:t>In addition, due diligence requires that the investigating agency should take all the steps and make all the inquiries necessary to achieve the result pursued</w:t>
      </w:r>
      <w:r w:rsidR="00502B43" w:rsidRPr="00012C3F">
        <w:rPr>
          <w:rFonts w:eastAsia="MS Mincho"/>
          <w:sz w:val="20"/>
          <w:szCs w:val="20"/>
          <w:lang w:val="en-US"/>
        </w:rPr>
        <w:t xml:space="preserve">. </w:t>
      </w:r>
      <w:r w:rsidRPr="00012C3F">
        <w:rPr>
          <w:rFonts w:eastAsia="MS Mincho"/>
          <w:sz w:val="20"/>
          <w:szCs w:val="20"/>
          <w:lang w:val="en-US"/>
        </w:rPr>
        <w:t xml:space="preserve">To the contrary, the investigation is ineffective in the terms </w:t>
      </w:r>
      <w:r w:rsidR="001254DE" w:rsidRPr="00012C3F">
        <w:rPr>
          <w:rFonts w:eastAsia="MS Mincho"/>
          <w:sz w:val="20"/>
          <w:szCs w:val="20"/>
          <w:lang w:val="en-US"/>
        </w:rPr>
        <w:t>of the Convention</w:t>
      </w:r>
      <w:r w:rsidRPr="00012C3F">
        <w:rPr>
          <w:rFonts w:eastAsia="MS Mincho"/>
          <w:sz w:val="20"/>
          <w:szCs w:val="20"/>
          <w:lang w:val="en-US"/>
        </w:rPr>
        <w:t>.</w:t>
      </w:r>
      <w:r w:rsidR="00502B43" w:rsidRPr="00012C3F">
        <w:rPr>
          <w:rFonts w:eastAsia="MS Mincho"/>
          <w:sz w:val="20"/>
          <w:szCs w:val="20"/>
          <w:vertAlign w:val="superscript"/>
          <w:lang w:val="en-US"/>
        </w:rPr>
        <w:footnoteReference w:id="392"/>
      </w:r>
    </w:p>
    <w:p w14:paraId="237213CF" w14:textId="77777777" w:rsidR="00502B43" w:rsidRPr="00012C3F" w:rsidRDefault="00502B43" w:rsidP="00502B43">
      <w:pPr>
        <w:tabs>
          <w:tab w:val="left" w:pos="720"/>
        </w:tabs>
        <w:spacing w:line="240" w:lineRule="auto"/>
        <w:rPr>
          <w:rFonts w:eastAsia="MS Mincho"/>
          <w:sz w:val="20"/>
          <w:szCs w:val="20"/>
          <w:lang w:val="en-US"/>
        </w:rPr>
      </w:pPr>
    </w:p>
    <w:p w14:paraId="6A6EB062" w14:textId="77777777" w:rsidR="006B1865" w:rsidRPr="00012C3F" w:rsidRDefault="001254DE" w:rsidP="00501966">
      <w:pPr>
        <w:numPr>
          <w:ilvl w:val="0"/>
          <w:numId w:val="5"/>
        </w:numPr>
        <w:tabs>
          <w:tab w:val="left" w:pos="720"/>
          <w:tab w:val="num" w:pos="12305"/>
        </w:tabs>
        <w:spacing w:line="240" w:lineRule="auto"/>
        <w:ind w:left="0" w:firstLine="0"/>
        <w:rPr>
          <w:rFonts w:cs="Arial"/>
          <w:sz w:val="20"/>
          <w:szCs w:val="20"/>
          <w:lang w:val="en-US"/>
        </w:rPr>
      </w:pPr>
      <w:r w:rsidRPr="00012C3F">
        <w:rPr>
          <w:rFonts w:cs="Arial"/>
          <w:sz w:val="20"/>
          <w:szCs w:val="20"/>
          <w:lang w:val="en-US"/>
        </w:rPr>
        <w:lastRenderedPageBreak/>
        <w:t>The Court</w:t>
      </w:r>
      <w:r w:rsidR="00D61D4C" w:rsidRPr="00012C3F">
        <w:rPr>
          <w:rFonts w:cs="Arial"/>
          <w:sz w:val="20"/>
          <w:szCs w:val="20"/>
          <w:lang w:val="en-US"/>
        </w:rPr>
        <w:t xml:space="preserve"> conside</w:t>
      </w:r>
      <w:r w:rsidR="00AB551F" w:rsidRPr="00012C3F">
        <w:rPr>
          <w:rFonts w:cs="Arial"/>
          <w:sz w:val="20"/>
          <w:szCs w:val="20"/>
          <w:lang w:val="en-US"/>
        </w:rPr>
        <w:t>rs that</w:t>
      </w:r>
      <w:r w:rsidR="00D61D4C" w:rsidRPr="00012C3F">
        <w:rPr>
          <w:rFonts w:cs="Arial"/>
          <w:sz w:val="20"/>
          <w:szCs w:val="20"/>
          <w:lang w:val="en-US"/>
        </w:rPr>
        <w:t xml:space="preserve"> </w:t>
      </w:r>
      <w:r w:rsidR="00A84CA0" w:rsidRPr="00012C3F">
        <w:rPr>
          <w:rFonts w:cs="Arial"/>
          <w:sz w:val="20"/>
          <w:szCs w:val="20"/>
          <w:lang w:val="en-US"/>
        </w:rPr>
        <w:t>the State</w:t>
      </w:r>
      <w:r w:rsidR="00D61D4C" w:rsidRPr="00012C3F">
        <w:rPr>
          <w:rFonts w:cs="Arial"/>
          <w:sz w:val="20"/>
          <w:szCs w:val="20"/>
          <w:lang w:val="en-US"/>
        </w:rPr>
        <w:t xml:space="preserve"> </w:t>
      </w:r>
      <w:r w:rsidR="00AB551F" w:rsidRPr="00012C3F">
        <w:rPr>
          <w:rFonts w:cs="Arial"/>
          <w:sz w:val="20"/>
          <w:szCs w:val="20"/>
          <w:lang w:val="en-US"/>
        </w:rPr>
        <w:t xml:space="preserve">had the </w:t>
      </w:r>
      <w:r w:rsidR="00091030" w:rsidRPr="00012C3F">
        <w:rPr>
          <w:rFonts w:cs="Arial"/>
          <w:sz w:val="20"/>
          <w:szCs w:val="20"/>
          <w:lang w:val="en-US"/>
        </w:rPr>
        <w:t>obligation</w:t>
      </w:r>
      <w:r w:rsidR="00AB551F" w:rsidRPr="00012C3F">
        <w:rPr>
          <w:rFonts w:cs="Arial"/>
          <w:sz w:val="20"/>
          <w:szCs w:val="20"/>
          <w:lang w:val="en-US"/>
        </w:rPr>
        <w:t xml:space="preserve"> to act with due diligence and to adopt the pertinent measures to avoid delays in the processing of the proceedings,</w:t>
      </w:r>
      <w:r w:rsidR="00091030" w:rsidRPr="00012C3F">
        <w:rPr>
          <w:rFonts w:cs="Arial"/>
          <w:sz w:val="20"/>
          <w:szCs w:val="20"/>
          <w:lang w:val="en-US"/>
        </w:rPr>
        <w:t xml:space="preserve"> and</w:t>
      </w:r>
      <w:r w:rsidR="00AB551F" w:rsidRPr="00012C3F">
        <w:rPr>
          <w:rFonts w:cs="Arial"/>
          <w:sz w:val="20"/>
          <w:szCs w:val="20"/>
          <w:lang w:val="en-US"/>
        </w:rPr>
        <w:t xml:space="preserve"> to ensure the prompt settlement of the case in order to prevent the facts remaining unpunished, as occurred in this case. However, on examining the State’s actions during the criminal proceedings conducted into the facts, the Court finds that a series of obstacles and flaws were verified that undermined the effectiveness of the proceedings and resulted in a declaration that the criminal action had extinguished </w:t>
      </w:r>
      <w:r w:rsidR="009728B2" w:rsidRPr="00012C3F">
        <w:rPr>
          <w:rFonts w:cs="Arial"/>
          <w:sz w:val="20"/>
          <w:szCs w:val="20"/>
          <w:lang w:val="en-US"/>
        </w:rPr>
        <w:t>after four years had passed without a final decision. First, the Court notes that, on four separate occasions, it was not possible to constitute the court that was supposed to hold the oral trial</w:t>
      </w:r>
      <w:r w:rsidR="00856442" w:rsidRPr="00012C3F">
        <w:rPr>
          <w:rFonts w:cs="Arial"/>
          <w:sz w:val="20"/>
          <w:szCs w:val="20"/>
          <w:lang w:val="en-US"/>
        </w:rPr>
        <w:t xml:space="preserve"> (</w:t>
      </w:r>
      <w:r w:rsidR="00856442" w:rsidRPr="00012C3F">
        <w:rPr>
          <w:rFonts w:cs="Arial"/>
          <w:i/>
          <w:sz w:val="20"/>
          <w:szCs w:val="20"/>
          <w:lang w:val="en-US"/>
        </w:rPr>
        <w:t xml:space="preserve">supra </w:t>
      </w:r>
      <w:r w:rsidR="00370DD4" w:rsidRPr="00012C3F">
        <w:rPr>
          <w:rFonts w:cs="Arial"/>
          <w:sz w:val="20"/>
          <w:szCs w:val="20"/>
          <w:lang w:val="en-US"/>
        </w:rPr>
        <w:t>paras.</w:t>
      </w:r>
      <w:r w:rsidR="00856442" w:rsidRPr="00012C3F">
        <w:rPr>
          <w:rFonts w:cs="Arial"/>
          <w:sz w:val="20"/>
          <w:szCs w:val="20"/>
          <w:lang w:val="en-US"/>
        </w:rPr>
        <w:t xml:space="preserve"> </w:t>
      </w:r>
      <w:r w:rsidR="00D97344" w:rsidRPr="00012C3F">
        <w:rPr>
          <w:rFonts w:cs="Arial"/>
          <w:sz w:val="20"/>
          <w:szCs w:val="20"/>
          <w:lang w:val="en-US"/>
        </w:rPr>
        <w:t>95, 97, 98</w:t>
      </w:r>
      <w:r w:rsidR="005E5012" w:rsidRPr="00012C3F">
        <w:rPr>
          <w:rFonts w:cs="Arial"/>
          <w:sz w:val="20"/>
          <w:szCs w:val="20"/>
          <w:lang w:val="en-US"/>
        </w:rPr>
        <w:t xml:space="preserve"> and </w:t>
      </w:r>
      <w:r w:rsidR="00D97344" w:rsidRPr="00012C3F">
        <w:rPr>
          <w:rFonts w:cs="Arial"/>
          <w:sz w:val="20"/>
          <w:szCs w:val="20"/>
          <w:lang w:val="en-US"/>
        </w:rPr>
        <w:t>99</w:t>
      </w:r>
      <w:r w:rsidR="00856442" w:rsidRPr="00012C3F">
        <w:rPr>
          <w:rFonts w:cs="Arial"/>
          <w:sz w:val="20"/>
          <w:szCs w:val="20"/>
          <w:lang w:val="en-US"/>
        </w:rPr>
        <w:t>)</w:t>
      </w:r>
      <w:r w:rsidR="00502B43" w:rsidRPr="00012C3F">
        <w:rPr>
          <w:rFonts w:cs="Arial"/>
          <w:sz w:val="20"/>
          <w:szCs w:val="20"/>
          <w:lang w:val="en-US"/>
        </w:rPr>
        <w:t xml:space="preserve">, </w:t>
      </w:r>
      <w:r w:rsidR="009728B2" w:rsidRPr="00012C3F">
        <w:rPr>
          <w:rFonts w:cs="Arial"/>
          <w:sz w:val="20"/>
          <w:szCs w:val="20"/>
          <w:lang w:val="en-US"/>
        </w:rPr>
        <w:t xml:space="preserve">thereby delaying the proper progress of the proceedings. This was because the candidates for the posts of lay judges had not received notification or because, on the day that the court was supposed to be constituted, an insufficient number of citizens came forward to constitute the court jury. In the Court’s opinion, this reveals a systemic problem because, </w:t>
      </w:r>
      <w:r w:rsidR="00091030" w:rsidRPr="00012C3F">
        <w:rPr>
          <w:rFonts w:cs="Arial"/>
          <w:sz w:val="20"/>
          <w:szCs w:val="20"/>
          <w:lang w:val="en-US"/>
        </w:rPr>
        <w:t>al</w:t>
      </w:r>
      <w:r w:rsidR="009728B2" w:rsidRPr="00012C3F">
        <w:rPr>
          <w:rFonts w:cs="Arial"/>
          <w:sz w:val="20"/>
          <w:szCs w:val="20"/>
          <w:lang w:val="en-US"/>
        </w:rPr>
        <w:t xml:space="preserve">though this situation </w:t>
      </w:r>
      <w:r w:rsidR="00212DA0" w:rsidRPr="00012C3F">
        <w:rPr>
          <w:rFonts w:cs="Arial"/>
          <w:sz w:val="20"/>
          <w:szCs w:val="20"/>
          <w:lang w:val="en-US"/>
        </w:rPr>
        <w:t>had been</w:t>
      </w:r>
      <w:r w:rsidR="009728B2" w:rsidRPr="00012C3F">
        <w:rPr>
          <w:rFonts w:cs="Arial"/>
          <w:sz w:val="20"/>
          <w:szCs w:val="20"/>
          <w:lang w:val="en-US"/>
        </w:rPr>
        <w:t xml:space="preserve"> verified in this case, it was repeated in different jurisdictions. Also, </w:t>
      </w:r>
      <w:r w:rsidR="000326B5" w:rsidRPr="00012C3F">
        <w:rPr>
          <w:rFonts w:cs="Arial"/>
          <w:sz w:val="20"/>
          <w:szCs w:val="20"/>
          <w:lang w:val="en-US"/>
        </w:rPr>
        <w:t xml:space="preserve">on another occasion, the defense counsel and the prosecutor </w:t>
      </w:r>
      <w:r w:rsidR="00212DA0" w:rsidRPr="00012C3F">
        <w:rPr>
          <w:rFonts w:cs="Arial"/>
          <w:sz w:val="20"/>
          <w:szCs w:val="20"/>
          <w:lang w:val="en-US"/>
        </w:rPr>
        <w:t>establishe</w:t>
      </w:r>
      <w:r w:rsidR="000326B5" w:rsidRPr="00012C3F">
        <w:rPr>
          <w:rFonts w:cs="Arial"/>
          <w:sz w:val="20"/>
          <w:szCs w:val="20"/>
          <w:lang w:val="en-US"/>
        </w:rPr>
        <w:t xml:space="preserve">d that the lay judges had been elected improperly and this resulted in a criminal complaint for </w:t>
      </w:r>
      <w:r w:rsidR="000326B5" w:rsidRPr="00012C3F">
        <w:rPr>
          <w:sz w:val="20"/>
          <w:szCs w:val="20"/>
          <w:lang w:val="en-US"/>
        </w:rPr>
        <w:t>malfeasance against one of the judges</w:t>
      </w:r>
      <w:r w:rsidR="002F67EC" w:rsidRPr="00012C3F">
        <w:rPr>
          <w:rStyle w:val="Refdenotaalpie"/>
          <w:rFonts w:cs="Arial"/>
          <w:sz w:val="20"/>
          <w:szCs w:val="20"/>
          <w:lang w:val="en-US"/>
        </w:rPr>
        <w:footnoteReference w:id="393"/>
      </w:r>
      <w:r w:rsidR="002F67EC" w:rsidRPr="00012C3F">
        <w:rPr>
          <w:rFonts w:cs="Arial"/>
          <w:sz w:val="20"/>
          <w:szCs w:val="20"/>
          <w:lang w:val="en-US"/>
        </w:rPr>
        <w:t xml:space="preserve"> (</w:t>
      </w:r>
      <w:r w:rsidR="002F67EC" w:rsidRPr="00012C3F">
        <w:rPr>
          <w:rFonts w:cs="Arial"/>
          <w:i/>
          <w:sz w:val="20"/>
          <w:szCs w:val="20"/>
          <w:lang w:val="en-US"/>
        </w:rPr>
        <w:t>supra</w:t>
      </w:r>
      <w:r w:rsidR="002F67EC" w:rsidRPr="00012C3F">
        <w:rPr>
          <w:rFonts w:cs="Arial"/>
          <w:sz w:val="20"/>
          <w:szCs w:val="20"/>
          <w:lang w:val="en-US"/>
        </w:rPr>
        <w:t xml:space="preserve"> </w:t>
      </w:r>
      <w:r w:rsidR="00370DD4" w:rsidRPr="00012C3F">
        <w:rPr>
          <w:rFonts w:cs="Arial"/>
          <w:sz w:val="20"/>
          <w:szCs w:val="20"/>
          <w:lang w:val="en-US"/>
        </w:rPr>
        <w:t>para.</w:t>
      </w:r>
      <w:r w:rsidR="002F67EC" w:rsidRPr="00012C3F">
        <w:rPr>
          <w:rFonts w:cs="Arial"/>
          <w:sz w:val="20"/>
          <w:szCs w:val="20"/>
          <w:lang w:val="en-US"/>
        </w:rPr>
        <w:t xml:space="preserve"> 96)</w:t>
      </w:r>
      <w:r w:rsidR="00502B43" w:rsidRPr="00012C3F">
        <w:rPr>
          <w:rFonts w:cs="Arial"/>
          <w:sz w:val="20"/>
          <w:szCs w:val="20"/>
          <w:lang w:val="en-US"/>
        </w:rPr>
        <w:t xml:space="preserve">. </w:t>
      </w:r>
      <w:r w:rsidR="000326B5" w:rsidRPr="00012C3F">
        <w:rPr>
          <w:rFonts w:cs="Arial"/>
          <w:sz w:val="20"/>
          <w:szCs w:val="20"/>
          <w:lang w:val="en-US"/>
        </w:rPr>
        <w:t>Lastly, it is noticeable that, on two occasions, convictions were struck down owing to procedural flaws; once for a deficient action of the court itself when recording the proceedings of the oral trial, and the other when delivering the judgment</w:t>
      </w:r>
      <w:r w:rsidR="00E459D5" w:rsidRPr="00012C3F">
        <w:rPr>
          <w:rFonts w:cs="Arial"/>
          <w:sz w:val="20"/>
          <w:szCs w:val="20"/>
          <w:lang w:val="en-US"/>
        </w:rPr>
        <w:t xml:space="preserve"> (</w:t>
      </w:r>
      <w:r w:rsidR="00E459D5" w:rsidRPr="00012C3F">
        <w:rPr>
          <w:rFonts w:cs="Arial"/>
          <w:i/>
          <w:sz w:val="20"/>
          <w:szCs w:val="20"/>
          <w:lang w:val="en-US"/>
        </w:rPr>
        <w:t>supra</w:t>
      </w:r>
      <w:r w:rsidR="00E459D5" w:rsidRPr="00012C3F">
        <w:rPr>
          <w:rFonts w:cs="Arial"/>
          <w:sz w:val="20"/>
          <w:szCs w:val="20"/>
          <w:lang w:val="en-US"/>
        </w:rPr>
        <w:t xml:space="preserve"> </w:t>
      </w:r>
      <w:r w:rsidR="00370DD4" w:rsidRPr="00012C3F">
        <w:rPr>
          <w:rFonts w:cs="Arial"/>
          <w:sz w:val="20"/>
          <w:szCs w:val="20"/>
          <w:lang w:val="en-US"/>
        </w:rPr>
        <w:t>paras.</w:t>
      </w:r>
      <w:r w:rsidR="00E459D5" w:rsidRPr="00012C3F">
        <w:rPr>
          <w:rFonts w:cs="Arial"/>
          <w:sz w:val="20"/>
          <w:szCs w:val="20"/>
          <w:lang w:val="en-US"/>
        </w:rPr>
        <w:t xml:space="preserve"> </w:t>
      </w:r>
      <w:r w:rsidR="002F67EC" w:rsidRPr="00012C3F">
        <w:rPr>
          <w:rFonts w:cs="Arial"/>
          <w:sz w:val="20"/>
          <w:szCs w:val="20"/>
          <w:lang w:val="en-US"/>
        </w:rPr>
        <w:t>94</w:t>
      </w:r>
      <w:r w:rsidR="005E5012" w:rsidRPr="00012C3F">
        <w:rPr>
          <w:rFonts w:cs="Arial"/>
          <w:sz w:val="20"/>
          <w:szCs w:val="20"/>
          <w:lang w:val="en-US"/>
        </w:rPr>
        <w:t xml:space="preserve"> and </w:t>
      </w:r>
      <w:r w:rsidR="002F67EC" w:rsidRPr="00012C3F">
        <w:rPr>
          <w:rFonts w:cs="Arial"/>
          <w:sz w:val="20"/>
          <w:szCs w:val="20"/>
          <w:lang w:val="en-US"/>
        </w:rPr>
        <w:t>102</w:t>
      </w:r>
      <w:r w:rsidR="00E459D5" w:rsidRPr="00012C3F">
        <w:rPr>
          <w:rFonts w:cs="Arial"/>
          <w:sz w:val="20"/>
          <w:szCs w:val="20"/>
          <w:lang w:val="en-US"/>
        </w:rPr>
        <w:t>)</w:t>
      </w:r>
      <w:r w:rsidR="00502B43" w:rsidRPr="00012C3F">
        <w:rPr>
          <w:rFonts w:cs="Arial"/>
          <w:sz w:val="20"/>
          <w:szCs w:val="20"/>
          <w:lang w:val="en-US"/>
        </w:rPr>
        <w:t>.</w:t>
      </w:r>
      <w:r w:rsidR="004307E1" w:rsidRPr="00012C3F">
        <w:rPr>
          <w:rFonts w:cs="Arial"/>
          <w:sz w:val="20"/>
          <w:szCs w:val="20"/>
          <w:lang w:val="en-US"/>
        </w:rPr>
        <w:t xml:space="preserve"> </w:t>
      </w:r>
      <w:r w:rsidR="000326B5" w:rsidRPr="00012C3F">
        <w:rPr>
          <w:rFonts w:cs="Arial"/>
          <w:sz w:val="20"/>
          <w:szCs w:val="20"/>
          <w:lang w:val="en-US"/>
        </w:rPr>
        <w:t>I</w:t>
      </w:r>
      <w:r w:rsidR="004307E1" w:rsidRPr="00012C3F">
        <w:rPr>
          <w:rFonts w:cs="Arial"/>
          <w:sz w:val="20"/>
          <w:szCs w:val="20"/>
          <w:lang w:val="en-US"/>
        </w:rPr>
        <w:t xml:space="preserve">n </w:t>
      </w:r>
      <w:r w:rsidR="00B47F8D" w:rsidRPr="00012C3F">
        <w:rPr>
          <w:rFonts w:cs="Arial"/>
          <w:sz w:val="20"/>
          <w:szCs w:val="20"/>
          <w:lang w:val="en-US"/>
        </w:rPr>
        <w:t>conclusion</w:t>
      </w:r>
      <w:r w:rsidR="004307E1" w:rsidRPr="00012C3F">
        <w:rPr>
          <w:rFonts w:cs="Arial"/>
          <w:sz w:val="20"/>
          <w:szCs w:val="20"/>
          <w:lang w:val="en-US"/>
        </w:rPr>
        <w:t xml:space="preserve">, </w:t>
      </w:r>
      <w:r w:rsidRPr="00012C3F">
        <w:rPr>
          <w:rFonts w:cs="Arial"/>
          <w:sz w:val="20"/>
          <w:szCs w:val="20"/>
          <w:lang w:val="en-US"/>
        </w:rPr>
        <w:t>the Court</w:t>
      </w:r>
      <w:r w:rsidR="005D2883" w:rsidRPr="00012C3F">
        <w:rPr>
          <w:rFonts w:cs="Arial"/>
          <w:sz w:val="20"/>
          <w:szCs w:val="20"/>
          <w:lang w:val="en-US"/>
        </w:rPr>
        <w:t xml:space="preserve"> consider</w:t>
      </w:r>
      <w:r w:rsidR="000326B5" w:rsidRPr="00012C3F">
        <w:rPr>
          <w:rFonts w:cs="Arial"/>
          <w:sz w:val="20"/>
          <w:szCs w:val="20"/>
          <w:lang w:val="en-US"/>
        </w:rPr>
        <w:t>s that the authorities failed to ensure that I.V. had effective</w:t>
      </w:r>
      <w:r w:rsidR="00212DA0" w:rsidRPr="00012C3F">
        <w:rPr>
          <w:rFonts w:cs="Arial"/>
          <w:sz w:val="20"/>
          <w:szCs w:val="20"/>
          <w:lang w:val="en-US"/>
        </w:rPr>
        <w:t xml:space="preserve"> access</w:t>
      </w:r>
      <w:r w:rsidR="000326B5" w:rsidRPr="00012C3F">
        <w:rPr>
          <w:rFonts w:cs="Arial"/>
          <w:sz w:val="20"/>
          <w:szCs w:val="20"/>
          <w:lang w:val="en-US"/>
        </w:rPr>
        <w:t xml:space="preserve"> </w:t>
      </w:r>
      <w:r w:rsidR="00A710F6" w:rsidRPr="00012C3F">
        <w:rPr>
          <w:rFonts w:cs="Arial"/>
          <w:sz w:val="20"/>
          <w:szCs w:val="20"/>
          <w:lang w:val="en-US"/>
        </w:rPr>
        <w:t>to justice</w:t>
      </w:r>
      <w:r w:rsidR="005747CB" w:rsidRPr="00012C3F">
        <w:rPr>
          <w:rFonts w:cs="Arial"/>
          <w:sz w:val="20"/>
          <w:szCs w:val="20"/>
          <w:lang w:val="en-US"/>
        </w:rPr>
        <w:t xml:space="preserve"> </w:t>
      </w:r>
      <w:r w:rsidR="000326B5" w:rsidRPr="00012C3F">
        <w:rPr>
          <w:rFonts w:cs="Arial"/>
          <w:sz w:val="20"/>
          <w:szCs w:val="20"/>
          <w:lang w:val="en-US"/>
        </w:rPr>
        <w:t>to remedy the violations of her rights.</w:t>
      </w:r>
    </w:p>
    <w:p w14:paraId="337184AE" w14:textId="77777777" w:rsidR="000326B5" w:rsidRPr="00012C3F" w:rsidRDefault="000326B5" w:rsidP="000326B5">
      <w:pPr>
        <w:tabs>
          <w:tab w:val="left" w:pos="720"/>
        </w:tabs>
        <w:spacing w:line="240" w:lineRule="auto"/>
        <w:rPr>
          <w:rFonts w:cs="Arial"/>
          <w:sz w:val="20"/>
          <w:szCs w:val="20"/>
          <w:lang w:val="en-US"/>
        </w:rPr>
      </w:pPr>
    </w:p>
    <w:p w14:paraId="24FBE253" w14:textId="77777777" w:rsidR="00502B43" w:rsidRPr="00012C3F" w:rsidRDefault="001254DE" w:rsidP="004A1A70">
      <w:pPr>
        <w:numPr>
          <w:ilvl w:val="0"/>
          <w:numId w:val="5"/>
        </w:numPr>
        <w:tabs>
          <w:tab w:val="left" w:pos="720"/>
          <w:tab w:val="num" w:pos="12305"/>
        </w:tabs>
        <w:spacing w:line="240" w:lineRule="auto"/>
        <w:ind w:left="0" w:firstLine="0"/>
        <w:rPr>
          <w:rFonts w:eastAsia="Batang"/>
          <w:sz w:val="20"/>
          <w:szCs w:val="20"/>
          <w:lang w:val="en-US" w:eastAsia="es-MX"/>
        </w:rPr>
      </w:pPr>
      <w:r w:rsidRPr="00012C3F">
        <w:rPr>
          <w:rFonts w:eastAsia="Batang"/>
          <w:sz w:val="20"/>
          <w:szCs w:val="20"/>
          <w:lang w:val="en-US" w:eastAsia="es-MX"/>
        </w:rPr>
        <w:t>The Court</w:t>
      </w:r>
      <w:r w:rsidR="00502B43" w:rsidRPr="00012C3F">
        <w:rPr>
          <w:rFonts w:eastAsia="Batang"/>
          <w:sz w:val="20"/>
          <w:szCs w:val="20"/>
          <w:lang w:val="en-US" w:eastAsia="es-MX"/>
        </w:rPr>
        <w:t xml:space="preserve"> </w:t>
      </w:r>
      <w:r w:rsidR="00502B43" w:rsidRPr="00012C3F">
        <w:rPr>
          <w:rFonts w:eastAsia="MS Mincho"/>
          <w:sz w:val="20"/>
          <w:szCs w:val="20"/>
          <w:lang w:val="en-US"/>
        </w:rPr>
        <w:t>reitera</w:t>
      </w:r>
      <w:r w:rsidR="004A1A70" w:rsidRPr="00012C3F">
        <w:rPr>
          <w:rFonts w:eastAsia="MS Mincho"/>
          <w:sz w:val="20"/>
          <w:szCs w:val="20"/>
          <w:lang w:val="en-US"/>
        </w:rPr>
        <w:t xml:space="preserve">tes that the ineffectiveness of the judicial system in individual cases of violence against women promotes a culture of impunity that facilitates and encourages the repetition of acts of violence, in general, and sends a message that violence against women may be tolerated and accepted, and this leads to its perpetuation and </w:t>
      </w:r>
      <w:r w:rsidR="00212DA0" w:rsidRPr="00012C3F">
        <w:rPr>
          <w:rFonts w:eastAsia="MS Mincho"/>
          <w:sz w:val="20"/>
          <w:szCs w:val="20"/>
          <w:lang w:val="en-US"/>
        </w:rPr>
        <w:t xml:space="preserve">the </w:t>
      </w:r>
      <w:r w:rsidR="004A1A70" w:rsidRPr="00012C3F">
        <w:rPr>
          <w:rFonts w:eastAsia="MS Mincho"/>
          <w:sz w:val="20"/>
          <w:szCs w:val="20"/>
          <w:lang w:val="en-US"/>
        </w:rPr>
        <w:t xml:space="preserve">social acceptance of the phenomenon, </w:t>
      </w:r>
      <w:r w:rsidR="00212DA0" w:rsidRPr="00012C3F">
        <w:rPr>
          <w:rFonts w:eastAsia="MS Mincho"/>
          <w:sz w:val="20"/>
          <w:szCs w:val="20"/>
          <w:lang w:val="en-US"/>
        </w:rPr>
        <w:t xml:space="preserve">to </w:t>
      </w:r>
      <w:r w:rsidR="004A1A70" w:rsidRPr="00012C3F">
        <w:rPr>
          <w:rFonts w:eastAsia="MS Mincho"/>
          <w:sz w:val="20"/>
          <w:szCs w:val="20"/>
          <w:lang w:val="en-US"/>
        </w:rPr>
        <w:t xml:space="preserve">the feeling and sensation of insecurity for women, and also </w:t>
      </w:r>
      <w:r w:rsidR="00212DA0" w:rsidRPr="00012C3F">
        <w:rPr>
          <w:rFonts w:eastAsia="MS Mincho"/>
          <w:sz w:val="20"/>
          <w:szCs w:val="20"/>
          <w:lang w:val="en-US"/>
        </w:rPr>
        <w:t xml:space="preserve">to </w:t>
      </w:r>
      <w:r w:rsidR="004A1A70" w:rsidRPr="00012C3F">
        <w:rPr>
          <w:rFonts w:eastAsia="MS Mincho"/>
          <w:sz w:val="20"/>
          <w:szCs w:val="20"/>
          <w:lang w:val="en-US"/>
        </w:rPr>
        <w:t xml:space="preserve">their persistent </w:t>
      </w:r>
      <w:r w:rsidR="00212DA0" w:rsidRPr="00012C3F">
        <w:rPr>
          <w:rFonts w:eastAsia="MS Mincho"/>
          <w:sz w:val="20"/>
          <w:szCs w:val="20"/>
          <w:lang w:val="en-US"/>
        </w:rPr>
        <w:t>lack of confidence in</w:t>
      </w:r>
      <w:r w:rsidR="004A1A70" w:rsidRPr="00012C3F">
        <w:rPr>
          <w:rFonts w:eastAsia="MS Mincho"/>
          <w:sz w:val="20"/>
          <w:szCs w:val="20"/>
          <w:lang w:val="en-US"/>
        </w:rPr>
        <w:t xml:space="preserve"> the system for the administration of justice.</w:t>
      </w:r>
      <w:r w:rsidR="00502B43" w:rsidRPr="00012C3F">
        <w:rPr>
          <w:rFonts w:eastAsia="Batang"/>
          <w:sz w:val="20"/>
          <w:szCs w:val="20"/>
          <w:vertAlign w:val="superscript"/>
          <w:lang w:val="en-US" w:eastAsia="es-MX"/>
        </w:rPr>
        <w:footnoteReference w:id="394"/>
      </w:r>
      <w:r w:rsidR="00502B43" w:rsidRPr="00012C3F">
        <w:rPr>
          <w:rFonts w:eastAsia="Batang"/>
          <w:sz w:val="20"/>
          <w:szCs w:val="20"/>
          <w:lang w:val="en-US" w:eastAsia="es-MX"/>
        </w:rPr>
        <w:t xml:space="preserve"> </w:t>
      </w:r>
      <w:r w:rsidR="004A1A70" w:rsidRPr="00012C3F">
        <w:rPr>
          <w:rFonts w:eastAsia="Batang"/>
          <w:sz w:val="20"/>
          <w:szCs w:val="20"/>
          <w:lang w:val="en-US" w:eastAsia="es-MX"/>
        </w:rPr>
        <w:t xml:space="preserve">This ineffectiveness or indifference constitutes, </w:t>
      </w:r>
      <w:r w:rsidR="00212DA0" w:rsidRPr="00012C3F">
        <w:rPr>
          <w:rFonts w:eastAsia="Batang"/>
          <w:sz w:val="20"/>
          <w:szCs w:val="20"/>
          <w:lang w:val="en-US" w:eastAsia="es-MX"/>
        </w:rPr>
        <w:t>in</w:t>
      </w:r>
      <w:r w:rsidR="004A1A70" w:rsidRPr="00012C3F">
        <w:rPr>
          <w:rFonts w:eastAsia="Batang"/>
          <w:sz w:val="20"/>
          <w:szCs w:val="20"/>
          <w:lang w:val="en-US" w:eastAsia="es-MX"/>
        </w:rPr>
        <w:t xml:space="preserve"> itself, discrimination against women in </w:t>
      </w:r>
      <w:r w:rsidR="00A710F6" w:rsidRPr="00012C3F">
        <w:rPr>
          <w:rFonts w:eastAsia="Batang"/>
          <w:sz w:val="20"/>
          <w:szCs w:val="20"/>
          <w:lang w:val="en-US" w:eastAsia="es-MX"/>
        </w:rPr>
        <w:t>access to justice</w:t>
      </w:r>
      <w:r w:rsidR="00502B43" w:rsidRPr="00012C3F">
        <w:rPr>
          <w:rFonts w:eastAsia="Batang"/>
          <w:sz w:val="20"/>
          <w:szCs w:val="20"/>
          <w:lang w:val="en-US" w:eastAsia="es-MX"/>
        </w:rPr>
        <w:t>.</w:t>
      </w:r>
    </w:p>
    <w:p w14:paraId="6E265F32" w14:textId="77777777" w:rsidR="00502B43" w:rsidRPr="00012C3F" w:rsidRDefault="00502B43" w:rsidP="004A1A70">
      <w:pPr>
        <w:tabs>
          <w:tab w:val="left" w:pos="720"/>
        </w:tabs>
        <w:spacing w:line="240" w:lineRule="auto"/>
        <w:rPr>
          <w:rFonts w:eastAsia="Batang"/>
          <w:sz w:val="20"/>
          <w:szCs w:val="20"/>
          <w:lang w:val="en-US" w:eastAsia="es-MX"/>
        </w:rPr>
      </w:pPr>
    </w:p>
    <w:p w14:paraId="511EE139" w14:textId="77777777" w:rsidR="004A1A70" w:rsidRPr="00012C3F" w:rsidRDefault="004A1A70" w:rsidP="004A1A70">
      <w:pPr>
        <w:numPr>
          <w:ilvl w:val="0"/>
          <w:numId w:val="5"/>
        </w:numPr>
        <w:tabs>
          <w:tab w:val="left" w:pos="720"/>
          <w:tab w:val="num" w:pos="12305"/>
        </w:tabs>
        <w:spacing w:line="240" w:lineRule="auto"/>
        <w:ind w:left="0" w:firstLine="0"/>
        <w:rPr>
          <w:rFonts w:eastAsia="Batang"/>
          <w:sz w:val="20"/>
          <w:szCs w:val="20"/>
          <w:lang w:val="en-US" w:eastAsia="es-MX"/>
        </w:rPr>
      </w:pPr>
      <w:r w:rsidRPr="00012C3F">
        <w:rPr>
          <w:rFonts w:eastAsia="Batang"/>
          <w:sz w:val="20"/>
          <w:szCs w:val="20"/>
          <w:lang w:val="en-US" w:eastAsia="es-MX"/>
        </w:rPr>
        <w:t xml:space="preserve">The Court also notes that, in the case of </w:t>
      </w:r>
      <w:r w:rsidR="000E1C11" w:rsidRPr="00012C3F">
        <w:rPr>
          <w:rFonts w:eastAsia="Batang"/>
          <w:sz w:val="20"/>
          <w:szCs w:val="20"/>
          <w:lang w:val="en-US" w:eastAsia="es-MX"/>
        </w:rPr>
        <w:t>I.V.</w:t>
      </w:r>
      <w:r w:rsidRPr="00012C3F">
        <w:rPr>
          <w:rFonts w:eastAsia="Batang"/>
          <w:sz w:val="20"/>
          <w:szCs w:val="20"/>
          <w:lang w:val="en-US" w:eastAsia="es-MX"/>
        </w:rPr>
        <w:t>, multiple factors of discrimination in access to justice converged intersectionally, associated with her condition as a woman, her socio-economic s</w:t>
      </w:r>
      <w:r w:rsidR="00D933F5" w:rsidRPr="00012C3F">
        <w:rPr>
          <w:rFonts w:eastAsia="Batang"/>
          <w:sz w:val="20"/>
          <w:szCs w:val="20"/>
          <w:lang w:val="en-US" w:eastAsia="es-MX"/>
        </w:rPr>
        <w:t>ituation</w:t>
      </w:r>
      <w:r w:rsidRPr="00012C3F">
        <w:rPr>
          <w:rFonts w:eastAsia="Batang"/>
          <w:sz w:val="20"/>
          <w:szCs w:val="20"/>
          <w:lang w:val="en-US" w:eastAsia="es-MX"/>
        </w:rPr>
        <w:t>, and her condition as a refugee.</w:t>
      </w:r>
    </w:p>
    <w:p w14:paraId="28B31C74" w14:textId="77777777" w:rsidR="009A3CB2" w:rsidRPr="00012C3F" w:rsidRDefault="009A3CB2" w:rsidP="004A1A70">
      <w:pPr>
        <w:tabs>
          <w:tab w:val="left" w:pos="720"/>
        </w:tabs>
        <w:spacing w:line="240" w:lineRule="auto"/>
        <w:rPr>
          <w:rFonts w:eastAsia="Batang"/>
          <w:b/>
          <w:sz w:val="20"/>
          <w:szCs w:val="20"/>
          <w:lang w:val="en-US" w:eastAsia="es-MX"/>
        </w:rPr>
      </w:pPr>
    </w:p>
    <w:p w14:paraId="7A575252" w14:textId="77777777" w:rsidR="00502B43" w:rsidRPr="00012C3F" w:rsidRDefault="004A1A70" w:rsidP="00CA632B">
      <w:pPr>
        <w:numPr>
          <w:ilvl w:val="0"/>
          <w:numId w:val="5"/>
        </w:numPr>
        <w:tabs>
          <w:tab w:val="left" w:pos="720"/>
          <w:tab w:val="num" w:pos="12305"/>
        </w:tabs>
        <w:spacing w:line="240" w:lineRule="auto"/>
        <w:ind w:left="0" w:firstLine="0"/>
        <w:rPr>
          <w:rFonts w:cs="Arial"/>
          <w:sz w:val="20"/>
          <w:szCs w:val="20"/>
          <w:lang w:val="en-US"/>
        </w:rPr>
      </w:pPr>
      <w:r w:rsidRPr="00012C3F">
        <w:rPr>
          <w:rFonts w:eastAsia="Batang"/>
          <w:sz w:val="20"/>
          <w:szCs w:val="20"/>
          <w:lang w:val="en-US" w:eastAsia="es-MX"/>
        </w:rPr>
        <w:t>Indeed</w:t>
      </w:r>
      <w:r w:rsidR="009A3CB2" w:rsidRPr="00012C3F">
        <w:rPr>
          <w:rFonts w:eastAsia="Batang"/>
          <w:sz w:val="20"/>
          <w:szCs w:val="20"/>
          <w:lang w:val="en-US" w:eastAsia="es-MX"/>
        </w:rPr>
        <w:t xml:space="preserve">, </w:t>
      </w:r>
      <w:r w:rsidR="006C705C" w:rsidRPr="00012C3F">
        <w:rPr>
          <w:rFonts w:eastAsia="Batang"/>
          <w:sz w:val="20"/>
          <w:szCs w:val="20"/>
          <w:lang w:val="en-US" w:eastAsia="es-MX"/>
        </w:rPr>
        <w:t>in this case</w:t>
      </w:r>
      <w:r w:rsidR="00502B43" w:rsidRPr="00012C3F">
        <w:rPr>
          <w:rFonts w:cs="Arial"/>
          <w:sz w:val="20"/>
          <w:szCs w:val="20"/>
          <w:lang w:val="en-US"/>
        </w:rPr>
        <w:t xml:space="preserve">, </w:t>
      </w:r>
      <w:r w:rsidRPr="00012C3F">
        <w:rPr>
          <w:rFonts w:cs="Arial"/>
          <w:sz w:val="20"/>
          <w:szCs w:val="20"/>
          <w:lang w:val="en-US"/>
        </w:rPr>
        <w:t xml:space="preserve">this discrimination also </w:t>
      </w:r>
      <w:r w:rsidR="00CA632B" w:rsidRPr="00012C3F">
        <w:rPr>
          <w:rFonts w:cs="Arial"/>
          <w:sz w:val="20"/>
          <w:szCs w:val="20"/>
          <w:lang w:val="en-US"/>
        </w:rPr>
        <w:t xml:space="preserve">resulted </w:t>
      </w:r>
      <w:r w:rsidR="00212DA0" w:rsidRPr="00012C3F">
        <w:rPr>
          <w:rFonts w:cs="Arial"/>
          <w:sz w:val="20"/>
          <w:szCs w:val="20"/>
          <w:lang w:val="en-US"/>
        </w:rPr>
        <w:t>in</w:t>
      </w:r>
      <w:r w:rsidR="00CA632B" w:rsidRPr="00012C3F">
        <w:rPr>
          <w:rFonts w:cs="Arial"/>
          <w:sz w:val="20"/>
          <w:szCs w:val="20"/>
          <w:lang w:val="en-US"/>
        </w:rPr>
        <w:t xml:space="preserve"> a violation of </w:t>
      </w:r>
      <w:r w:rsidR="00A710F6" w:rsidRPr="00012C3F">
        <w:rPr>
          <w:rFonts w:cs="Arial"/>
          <w:sz w:val="20"/>
          <w:szCs w:val="20"/>
          <w:lang w:val="en-US"/>
        </w:rPr>
        <w:t>access to justice</w:t>
      </w:r>
      <w:r w:rsidR="00502B43" w:rsidRPr="00012C3F">
        <w:rPr>
          <w:rFonts w:cs="Arial"/>
          <w:sz w:val="20"/>
          <w:szCs w:val="20"/>
          <w:lang w:val="en-US"/>
        </w:rPr>
        <w:t xml:space="preserve"> </w:t>
      </w:r>
      <w:r w:rsidR="00CA632B" w:rsidRPr="00012C3F">
        <w:rPr>
          <w:rFonts w:cs="Arial"/>
          <w:sz w:val="20"/>
          <w:szCs w:val="20"/>
          <w:lang w:val="en-US"/>
        </w:rPr>
        <w:t>based on I.V.’s socio-economic s</w:t>
      </w:r>
      <w:r w:rsidR="00D933F5" w:rsidRPr="00012C3F">
        <w:rPr>
          <w:rFonts w:cs="Arial"/>
          <w:sz w:val="20"/>
          <w:szCs w:val="20"/>
          <w:lang w:val="en-US"/>
        </w:rPr>
        <w:t>ituation</w:t>
      </w:r>
      <w:r w:rsidR="00CA632B" w:rsidRPr="00012C3F">
        <w:rPr>
          <w:rFonts w:cs="Arial"/>
          <w:sz w:val="20"/>
          <w:szCs w:val="20"/>
          <w:lang w:val="en-US"/>
        </w:rPr>
        <w:t>, because the changes in jurisdiction for hearing the case at the s</w:t>
      </w:r>
      <w:r w:rsidR="00212DA0" w:rsidRPr="00012C3F">
        <w:rPr>
          <w:rFonts w:cs="Arial"/>
          <w:sz w:val="20"/>
          <w:szCs w:val="20"/>
          <w:lang w:val="en-US"/>
        </w:rPr>
        <w:t>t</w:t>
      </w:r>
      <w:r w:rsidR="00CA632B" w:rsidRPr="00012C3F">
        <w:rPr>
          <w:rFonts w:cs="Arial"/>
          <w:sz w:val="20"/>
          <w:szCs w:val="20"/>
          <w:lang w:val="en-US"/>
        </w:rPr>
        <w:t>age of the second and third criminal trial, created a geographical obstacle to the accessibility of the court. This involved the high socio-economic cost of having to travel a great distance – and even having</w:t>
      </w:r>
      <w:r w:rsidR="00212DA0" w:rsidRPr="00012C3F">
        <w:rPr>
          <w:rFonts w:cs="Arial"/>
          <w:sz w:val="20"/>
          <w:szCs w:val="20"/>
          <w:lang w:val="en-US"/>
        </w:rPr>
        <w:t xml:space="preserve"> to</w:t>
      </w:r>
      <w:r w:rsidR="00CA632B" w:rsidRPr="00012C3F">
        <w:rPr>
          <w:rFonts w:cs="Arial"/>
          <w:sz w:val="20"/>
          <w:szCs w:val="20"/>
          <w:lang w:val="en-US"/>
        </w:rPr>
        <w:t xml:space="preserve"> travel approximately 255 km. in the case of the proceedings before the Sica Sica Court – and having to pay for the transportation, accommodation and other costs of the </w:t>
      </w:r>
      <w:r w:rsidR="00212DA0" w:rsidRPr="00012C3F">
        <w:rPr>
          <w:rFonts w:cs="Arial"/>
          <w:sz w:val="20"/>
          <w:szCs w:val="20"/>
          <w:lang w:val="en-US"/>
        </w:rPr>
        <w:t>journey</w:t>
      </w:r>
      <w:r w:rsidR="00CA632B" w:rsidRPr="00012C3F">
        <w:rPr>
          <w:rFonts w:cs="Arial"/>
          <w:sz w:val="20"/>
          <w:szCs w:val="20"/>
          <w:lang w:val="en-US"/>
        </w:rPr>
        <w:t xml:space="preserve"> not only for herself but also for the witnesses, which evidently resulted in an unjustified impairment of her right to obtain justice. This constituted discrimination in access to justice based on socio-economic status pursuant to </w:t>
      </w:r>
      <w:r w:rsidR="008A7A0F" w:rsidRPr="00012C3F">
        <w:rPr>
          <w:rFonts w:cs="Arial"/>
          <w:sz w:val="20"/>
          <w:szCs w:val="20"/>
          <w:lang w:val="en-US"/>
        </w:rPr>
        <w:t>Article</w:t>
      </w:r>
      <w:r w:rsidR="00502B43" w:rsidRPr="00012C3F">
        <w:rPr>
          <w:rFonts w:cs="Arial"/>
          <w:sz w:val="20"/>
          <w:szCs w:val="20"/>
          <w:lang w:val="en-US"/>
        </w:rPr>
        <w:t xml:space="preserve"> </w:t>
      </w:r>
      <w:r w:rsidR="005E5012" w:rsidRPr="00012C3F">
        <w:rPr>
          <w:rFonts w:cs="Arial"/>
          <w:sz w:val="20"/>
          <w:szCs w:val="20"/>
          <w:lang w:val="en-US"/>
        </w:rPr>
        <w:t>1(1)</w:t>
      </w:r>
      <w:r w:rsidR="001254DE" w:rsidRPr="00012C3F">
        <w:rPr>
          <w:rFonts w:cs="Arial"/>
          <w:sz w:val="20"/>
          <w:szCs w:val="20"/>
          <w:lang w:val="en-US"/>
        </w:rPr>
        <w:t xml:space="preserve"> of the Convention</w:t>
      </w:r>
      <w:r w:rsidR="00502B43" w:rsidRPr="00012C3F">
        <w:rPr>
          <w:rFonts w:cs="Arial"/>
          <w:sz w:val="20"/>
          <w:szCs w:val="20"/>
          <w:lang w:val="en-US"/>
        </w:rPr>
        <w:t>.</w:t>
      </w:r>
    </w:p>
    <w:p w14:paraId="02FE1F3C" w14:textId="77777777" w:rsidR="00502B43" w:rsidRPr="00012C3F" w:rsidRDefault="00502B43" w:rsidP="00502B43">
      <w:pPr>
        <w:tabs>
          <w:tab w:val="left" w:pos="720"/>
        </w:tabs>
        <w:spacing w:line="240" w:lineRule="auto"/>
        <w:rPr>
          <w:rFonts w:eastAsia="MS Mincho"/>
          <w:sz w:val="20"/>
          <w:szCs w:val="20"/>
          <w:lang w:val="en-US"/>
        </w:rPr>
      </w:pPr>
    </w:p>
    <w:p w14:paraId="6A00F59E" w14:textId="77777777" w:rsidR="00DC7A53" w:rsidRPr="00012C3F" w:rsidRDefault="00CA632B" w:rsidP="00CA632B">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In addition, the Court notes that the fact that she had refugee status, in other words, that she was a person who had been </w:t>
      </w:r>
      <w:r w:rsidR="00FB39C4" w:rsidRPr="00012C3F">
        <w:rPr>
          <w:rFonts w:eastAsia="MS Mincho"/>
          <w:sz w:val="20"/>
          <w:szCs w:val="20"/>
          <w:lang w:val="en-US"/>
        </w:rPr>
        <w:t>forced</w:t>
      </w:r>
      <w:r w:rsidRPr="00012C3F">
        <w:rPr>
          <w:rFonts w:eastAsia="MS Mincho"/>
          <w:sz w:val="20"/>
          <w:szCs w:val="20"/>
          <w:lang w:val="en-US"/>
        </w:rPr>
        <w:t xml:space="preserve"> to flee from her country of origin and seek international </w:t>
      </w:r>
      <w:r w:rsidRPr="00012C3F">
        <w:rPr>
          <w:rFonts w:eastAsia="MS Mincho"/>
          <w:sz w:val="20"/>
          <w:szCs w:val="20"/>
          <w:lang w:val="en-US"/>
        </w:rPr>
        <w:lastRenderedPageBreak/>
        <w:t>protection because she had a well-founded fear of persecution, meant that I.V. and her husband again felt unprotected in their search to obtain justice because, as a result of their claims, they were subject to different types of pressure, including inquiries about the terms</w:t>
      </w:r>
      <w:r w:rsidR="00FB39C4" w:rsidRPr="00012C3F">
        <w:rPr>
          <w:rFonts w:eastAsia="MS Mincho"/>
          <w:sz w:val="20"/>
          <w:szCs w:val="20"/>
          <w:lang w:val="en-US"/>
        </w:rPr>
        <w:t xml:space="preserve"> and conditions</w:t>
      </w:r>
      <w:r w:rsidRPr="00012C3F">
        <w:rPr>
          <w:rFonts w:eastAsia="MS Mincho"/>
          <w:sz w:val="20"/>
          <w:szCs w:val="20"/>
          <w:lang w:val="en-US"/>
        </w:rPr>
        <w:t xml:space="preserve"> of their residence in  </w:t>
      </w:r>
      <w:r w:rsidR="00EB1D96" w:rsidRPr="00012C3F">
        <w:rPr>
          <w:rFonts w:eastAsia="MS Mincho"/>
          <w:sz w:val="20"/>
          <w:szCs w:val="20"/>
          <w:lang w:val="en-US"/>
        </w:rPr>
        <w:t>Bolivia</w:t>
      </w:r>
      <w:r w:rsidRPr="00012C3F">
        <w:rPr>
          <w:rFonts w:eastAsia="MS Mincho"/>
          <w:sz w:val="20"/>
          <w:szCs w:val="20"/>
          <w:lang w:val="en-US"/>
        </w:rPr>
        <w:t>.</w:t>
      </w:r>
      <w:r w:rsidR="00DC7A53" w:rsidRPr="00012C3F">
        <w:rPr>
          <w:rStyle w:val="Refdenotaalpie"/>
          <w:rFonts w:eastAsia="MS Mincho"/>
          <w:sz w:val="20"/>
          <w:szCs w:val="20"/>
          <w:lang w:val="en-US"/>
        </w:rPr>
        <w:footnoteReference w:id="395"/>
      </w:r>
    </w:p>
    <w:p w14:paraId="41DBB0C7" w14:textId="77777777" w:rsidR="000277A2" w:rsidRPr="00012C3F" w:rsidRDefault="000277A2" w:rsidP="00502B43">
      <w:pPr>
        <w:tabs>
          <w:tab w:val="left" w:pos="720"/>
        </w:tabs>
        <w:spacing w:line="240" w:lineRule="auto"/>
        <w:rPr>
          <w:rFonts w:eastAsia="MS Mincho"/>
          <w:sz w:val="20"/>
          <w:szCs w:val="20"/>
          <w:lang w:val="en-US"/>
        </w:rPr>
      </w:pPr>
    </w:p>
    <w:p w14:paraId="24198EDF" w14:textId="77777777" w:rsidR="009A3CB2" w:rsidRPr="00012C3F" w:rsidRDefault="00CA632B" w:rsidP="00CA632B">
      <w:pPr>
        <w:numPr>
          <w:ilvl w:val="0"/>
          <w:numId w:val="5"/>
        </w:numPr>
        <w:tabs>
          <w:tab w:val="left" w:pos="720"/>
          <w:tab w:val="num" w:pos="12305"/>
        </w:tabs>
        <w:spacing w:line="240" w:lineRule="auto"/>
        <w:ind w:left="0" w:firstLine="0"/>
        <w:rPr>
          <w:rFonts w:eastAsia="Batang"/>
          <w:sz w:val="20"/>
          <w:szCs w:val="20"/>
          <w:lang w:val="en-US" w:eastAsia="es-MX"/>
        </w:rPr>
      </w:pPr>
      <w:r w:rsidRPr="00012C3F">
        <w:rPr>
          <w:rFonts w:eastAsia="Batang"/>
          <w:sz w:val="20"/>
          <w:szCs w:val="20"/>
          <w:lang w:val="en-US" w:eastAsia="es-MX"/>
        </w:rPr>
        <w:t xml:space="preserve">The discrimination experienced by I.V. in </w:t>
      </w:r>
      <w:r w:rsidR="00A710F6" w:rsidRPr="00012C3F">
        <w:rPr>
          <w:rFonts w:eastAsia="Batang"/>
          <w:sz w:val="20"/>
          <w:szCs w:val="20"/>
          <w:lang w:val="en-US" w:eastAsia="es-MX"/>
        </w:rPr>
        <w:t>access to justice</w:t>
      </w:r>
      <w:r w:rsidR="009A3CB2" w:rsidRPr="00012C3F">
        <w:rPr>
          <w:rFonts w:eastAsia="Batang"/>
          <w:sz w:val="20"/>
          <w:szCs w:val="20"/>
          <w:lang w:val="en-US" w:eastAsia="es-MX"/>
        </w:rPr>
        <w:t xml:space="preserve"> </w:t>
      </w:r>
      <w:r w:rsidRPr="00012C3F">
        <w:rPr>
          <w:rFonts w:eastAsia="Batang"/>
          <w:sz w:val="20"/>
          <w:szCs w:val="20"/>
          <w:lang w:val="en-US" w:eastAsia="es-MX"/>
        </w:rPr>
        <w:t xml:space="preserve">was </w:t>
      </w:r>
      <w:r w:rsidR="00532BC1" w:rsidRPr="00012C3F">
        <w:rPr>
          <w:rFonts w:eastAsia="Batang"/>
          <w:sz w:val="20"/>
          <w:szCs w:val="20"/>
          <w:lang w:val="en-US" w:eastAsia="es-MX"/>
        </w:rPr>
        <w:t xml:space="preserve">caused not only by numerous factors, but also arose from a specific form of discrimination resulted from the intersection of these factors; that is, if any of these factors had </w:t>
      </w:r>
      <w:r w:rsidR="009D3EE9" w:rsidRPr="00012C3F">
        <w:rPr>
          <w:rFonts w:eastAsia="Batang"/>
          <w:sz w:val="20"/>
          <w:szCs w:val="20"/>
          <w:lang w:val="en-US" w:eastAsia="es-MX"/>
        </w:rPr>
        <w:t>not</w:t>
      </w:r>
      <w:r w:rsidR="00532BC1" w:rsidRPr="00012C3F">
        <w:rPr>
          <w:rFonts w:eastAsia="Batang"/>
          <w:sz w:val="20"/>
          <w:szCs w:val="20"/>
          <w:lang w:val="en-US" w:eastAsia="es-MX"/>
        </w:rPr>
        <w:t xml:space="preserve"> existed, the discrimination would have been of a different nature.</w:t>
      </w:r>
      <w:r w:rsidR="004214E3" w:rsidRPr="00012C3F">
        <w:rPr>
          <w:rStyle w:val="Refdenotaalpie"/>
          <w:rFonts w:eastAsia="Batang"/>
          <w:sz w:val="20"/>
          <w:szCs w:val="20"/>
          <w:lang w:val="en-US" w:eastAsia="es-MX"/>
        </w:rPr>
        <w:footnoteReference w:id="396"/>
      </w:r>
    </w:p>
    <w:p w14:paraId="038ACCEB" w14:textId="77777777" w:rsidR="009816FB" w:rsidRPr="00012C3F" w:rsidRDefault="009816FB" w:rsidP="00CA632B">
      <w:pPr>
        <w:tabs>
          <w:tab w:val="left" w:pos="720"/>
        </w:tabs>
        <w:spacing w:line="240" w:lineRule="auto"/>
        <w:rPr>
          <w:rFonts w:eastAsia="MS Mincho"/>
          <w:b/>
          <w:sz w:val="20"/>
          <w:szCs w:val="20"/>
          <w:lang w:val="en-US"/>
        </w:rPr>
      </w:pPr>
    </w:p>
    <w:p w14:paraId="7EE406EB" w14:textId="77777777" w:rsidR="009816FB" w:rsidRPr="00012C3F" w:rsidRDefault="009816FB" w:rsidP="00CA632B">
      <w:pPr>
        <w:pStyle w:val="Ttulo2"/>
        <w:tabs>
          <w:tab w:val="left" w:pos="720"/>
          <w:tab w:val="left" w:pos="1701"/>
        </w:tabs>
        <w:spacing w:before="0" w:line="240" w:lineRule="auto"/>
        <w:ind w:left="1134"/>
        <w:rPr>
          <w:rFonts w:ascii="Verdana" w:hAnsi="Verdana"/>
          <w:b w:val="0"/>
          <w:i/>
          <w:color w:val="auto"/>
          <w:sz w:val="20"/>
          <w:szCs w:val="20"/>
          <w:lang w:val="en-US"/>
        </w:rPr>
      </w:pPr>
      <w:bookmarkStart w:id="182" w:name="_Toc27486886"/>
      <w:r w:rsidRPr="00012C3F">
        <w:rPr>
          <w:rFonts w:ascii="Verdana" w:hAnsi="Verdana"/>
          <w:b w:val="0"/>
          <w:i/>
          <w:color w:val="auto"/>
          <w:sz w:val="20"/>
          <w:szCs w:val="20"/>
          <w:lang w:val="en-US"/>
        </w:rPr>
        <w:t>B</w:t>
      </w:r>
      <w:r w:rsidR="00DF0C3D" w:rsidRPr="00012C3F">
        <w:rPr>
          <w:rFonts w:ascii="Verdana" w:hAnsi="Verdana"/>
          <w:b w:val="0"/>
          <w:i/>
          <w:color w:val="auto"/>
          <w:sz w:val="20"/>
          <w:szCs w:val="20"/>
          <w:lang w:val="en-US"/>
        </w:rPr>
        <w:t>.</w:t>
      </w:r>
      <w:r w:rsidRPr="00012C3F">
        <w:rPr>
          <w:rFonts w:ascii="Verdana" w:hAnsi="Verdana"/>
          <w:b w:val="0"/>
          <w:i/>
          <w:color w:val="auto"/>
          <w:sz w:val="20"/>
          <w:szCs w:val="20"/>
          <w:lang w:val="en-US"/>
        </w:rPr>
        <w:t xml:space="preserve">4 </w:t>
      </w:r>
      <w:r w:rsidR="0005131A" w:rsidRPr="00012C3F">
        <w:rPr>
          <w:rFonts w:ascii="Verdana" w:hAnsi="Verdana"/>
          <w:b w:val="0"/>
          <w:i/>
          <w:color w:val="auto"/>
          <w:sz w:val="20"/>
          <w:szCs w:val="20"/>
          <w:lang w:val="en-US"/>
        </w:rPr>
        <w:tab/>
      </w:r>
      <w:r w:rsidR="00B47F8D" w:rsidRPr="00012C3F">
        <w:rPr>
          <w:rFonts w:ascii="Verdana" w:hAnsi="Verdana"/>
          <w:b w:val="0"/>
          <w:i/>
          <w:color w:val="auto"/>
          <w:sz w:val="20"/>
          <w:szCs w:val="20"/>
          <w:lang w:val="en-US"/>
        </w:rPr>
        <w:t>Conclusion</w:t>
      </w:r>
      <w:bookmarkEnd w:id="182"/>
    </w:p>
    <w:p w14:paraId="0CEA6461" w14:textId="77777777" w:rsidR="009816FB" w:rsidRPr="00012C3F" w:rsidRDefault="009816FB" w:rsidP="00CA632B">
      <w:pPr>
        <w:tabs>
          <w:tab w:val="left" w:pos="720"/>
        </w:tabs>
        <w:spacing w:line="240" w:lineRule="auto"/>
        <w:rPr>
          <w:rFonts w:eastAsia="MS Mincho"/>
          <w:sz w:val="20"/>
          <w:szCs w:val="20"/>
          <w:lang w:val="en-US"/>
        </w:rPr>
      </w:pPr>
    </w:p>
    <w:p w14:paraId="17198C39" w14:textId="77777777" w:rsidR="00502B43" w:rsidRPr="00012C3F" w:rsidRDefault="00532BC1" w:rsidP="00CA632B">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MS Mincho"/>
          <w:sz w:val="20"/>
          <w:szCs w:val="20"/>
          <w:lang w:val="en-US"/>
        </w:rPr>
        <w:t xml:space="preserve">Based on the above, the Court concludes that the State failed to comply with its obligation to ensure, without discrimination, the right of </w:t>
      </w:r>
      <w:r w:rsidR="00A710F6" w:rsidRPr="00012C3F">
        <w:rPr>
          <w:rFonts w:cs="Arial"/>
          <w:sz w:val="20"/>
          <w:szCs w:val="20"/>
          <w:lang w:val="en-US" w:eastAsia="ja-JP"/>
        </w:rPr>
        <w:t>access to justice</w:t>
      </w:r>
      <w:r w:rsidR="00502B43" w:rsidRPr="00012C3F">
        <w:rPr>
          <w:rFonts w:cs="Arial"/>
          <w:sz w:val="20"/>
          <w:szCs w:val="20"/>
          <w:lang w:val="en-US" w:eastAsia="ja-JP"/>
        </w:rPr>
        <w:t xml:space="preserve"> </w:t>
      </w:r>
      <w:r w:rsidRPr="00012C3F">
        <w:rPr>
          <w:rFonts w:cs="Arial"/>
          <w:sz w:val="20"/>
          <w:szCs w:val="20"/>
          <w:lang w:val="en-US" w:eastAsia="ja-JP"/>
        </w:rPr>
        <w:t>pursuant to</w:t>
      </w:r>
      <w:r w:rsidR="00502B43" w:rsidRPr="00012C3F">
        <w:rPr>
          <w:rFonts w:cs="Arial"/>
          <w:sz w:val="20"/>
          <w:szCs w:val="20"/>
          <w:lang w:val="en-US" w:eastAsia="ja-JP"/>
        </w:rPr>
        <w:t xml:space="preserve"> </w:t>
      </w:r>
      <w:r w:rsidR="001254DE" w:rsidRPr="00012C3F">
        <w:rPr>
          <w:rFonts w:cs="Arial"/>
          <w:sz w:val="20"/>
          <w:szCs w:val="20"/>
          <w:lang w:val="en-US" w:eastAsia="ja-JP"/>
        </w:rPr>
        <w:t>Articles</w:t>
      </w:r>
      <w:r w:rsidR="00502B43" w:rsidRPr="00012C3F">
        <w:rPr>
          <w:rFonts w:cs="Arial"/>
          <w:sz w:val="20"/>
          <w:szCs w:val="20"/>
          <w:lang w:val="en-US" w:eastAsia="ja-JP"/>
        </w:rPr>
        <w:t xml:space="preserve"> </w:t>
      </w:r>
      <w:r w:rsidR="005E5012" w:rsidRPr="00012C3F">
        <w:rPr>
          <w:rFonts w:cs="Arial"/>
          <w:sz w:val="20"/>
          <w:szCs w:val="20"/>
          <w:lang w:val="en-US" w:eastAsia="ja-JP"/>
        </w:rPr>
        <w:t xml:space="preserve">8(1) and </w:t>
      </w:r>
      <w:r w:rsidR="00502B43" w:rsidRPr="00012C3F">
        <w:rPr>
          <w:rFonts w:cs="Arial"/>
          <w:sz w:val="20"/>
          <w:szCs w:val="20"/>
          <w:lang w:val="en-US" w:eastAsia="ja-JP"/>
        </w:rPr>
        <w:t>2</w:t>
      </w:r>
      <w:r w:rsidR="005E5012" w:rsidRPr="00012C3F">
        <w:rPr>
          <w:rFonts w:cs="Arial"/>
          <w:sz w:val="20"/>
          <w:szCs w:val="20"/>
          <w:lang w:val="en-US" w:eastAsia="ja-JP"/>
        </w:rPr>
        <w:t>5(1)</w:t>
      </w:r>
      <w:r w:rsidR="001254DE" w:rsidRPr="00012C3F">
        <w:rPr>
          <w:rFonts w:cs="Arial"/>
          <w:sz w:val="20"/>
          <w:szCs w:val="20"/>
          <w:lang w:val="en-US" w:eastAsia="ja-JP"/>
        </w:rPr>
        <w:t xml:space="preserve"> of the American Convention</w:t>
      </w:r>
      <w:r w:rsidR="00502B43" w:rsidRPr="00012C3F">
        <w:rPr>
          <w:rFonts w:cs="Arial"/>
          <w:sz w:val="20"/>
          <w:szCs w:val="20"/>
          <w:lang w:val="en-US" w:eastAsia="ja-JP"/>
        </w:rPr>
        <w:t xml:space="preserve">, </w:t>
      </w:r>
      <w:r w:rsidRPr="00012C3F">
        <w:rPr>
          <w:rFonts w:cs="Arial"/>
          <w:sz w:val="20"/>
          <w:szCs w:val="20"/>
          <w:lang w:val="en-US" w:eastAsia="ja-JP"/>
        </w:rPr>
        <w:t>in relation to</w:t>
      </w:r>
      <w:r w:rsidR="00502B43" w:rsidRPr="00012C3F">
        <w:rPr>
          <w:rFonts w:cs="Arial"/>
          <w:sz w:val="20"/>
          <w:szCs w:val="20"/>
          <w:lang w:val="en-US" w:eastAsia="ja-JP"/>
        </w:rPr>
        <w:t xml:space="preserve"> </w:t>
      </w:r>
      <w:r w:rsidR="001254DE" w:rsidRPr="00012C3F">
        <w:rPr>
          <w:rFonts w:cs="Arial"/>
          <w:sz w:val="20"/>
          <w:szCs w:val="20"/>
          <w:lang w:val="en-US" w:eastAsia="ja-JP"/>
        </w:rPr>
        <w:t>Article</w:t>
      </w:r>
      <w:r w:rsidR="00502B43" w:rsidRPr="00012C3F">
        <w:rPr>
          <w:rFonts w:cs="Arial"/>
          <w:sz w:val="20"/>
          <w:szCs w:val="20"/>
          <w:lang w:val="en-US" w:eastAsia="ja-JP"/>
        </w:rPr>
        <w:t xml:space="preserve"> </w:t>
      </w:r>
      <w:r w:rsidR="005E5012" w:rsidRPr="00012C3F">
        <w:rPr>
          <w:rFonts w:cs="Arial"/>
          <w:sz w:val="20"/>
          <w:szCs w:val="20"/>
          <w:lang w:val="en-US" w:eastAsia="ja-JP"/>
        </w:rPr>
        <w:t>1(1)</w:t>
      </w:r>
      <w:r w:rsidR="00502B43" w:rsidRPr="00012C3F">
        <w:rPr>
          <w:rFonts w:cs="Arial"/>
          <w:sz w:val="20"/>
          <w:szCs w:val="20"/>
          <w:lang w:val="en-US" w:eastAsia="ja-JP"/>
        </w:rPr>
        <w:t xml:space="preserve"> </w:t>
      </w:r>
      <w:r w:rsidR="005E5012" w:rsidRPr="00012C3F">
        <w:rPr>
          <w:rFonts w:cs="Arial"/>
          <w:sz w:val="20"/>
          <w:szCs w:val="20"/>
          <w:lang w:val="en-US" w:eastAsia="ja-JP"/>
        </w:rPr>
        <w:t>of this instrument</w:t>
      </w:r>
      <w:r w:rsidR="00502B43" w:rsidRPr="00012C3F">
        <w:rPr>
          <w:rFonts w:cs="Arial"/>
          <w:sz w:val="20"/>
          <w:szCs w:val="20"/>
          <w:lang w:val="en-US" w:eastAsia="ja-JP"/>
        </w:rPr>
        <w:t xml:space="preserve">. </w:t>
      </w:r>
      <w:r w:rsidRPr="00012C3F">
        <w:rPr>
          <w:rFonts w:eastAsia="MS Mincho"/>
          <w:sz w:val="20"/>
          <w:szCs w:val="20"/>
          <w:lang w:val="en-US"/>
        </w:rPr>
        <w:t>In addition</w:t>
      </w:r>
      <w:r w:rsidR="00502B43" w:rsidRPr="00012C3F">
        <w:rPr>
          <w:rFonts w:eastAsia="MS Mincho"/>
          <w:sz w:val="20"/>
          <w:szCs w:val="20"/>
          <w:lang w:val="en-US"/>
        </w:rPr>
        <w:t xml:space="preserve">, </w:t>
      </w:r>
      <w:r w:rsidR="00A84CA0" w:rsidRPr="00012C3F">
        <w:rPr>
          <w:rFonts w:eastAsia="MS Mincho"/>
          <w:sz w:val="20"/>
          <w:szCs w:val="20"/>
          <w:lang w:val="en-US"/>
        </w:rPr>
        <w:t>the State of Bolivia</w:t>
      </w:r>
      <w:r w:rsidR="00502B43" w:rsidRPr="00012C3F">
        <w:rPr>
          <w:rFonts w:eastAsia="MS Mincho"/>
          <w:sz w:val="20"/>
          <w:szCs w:val="20"/>
          <w:lang w:val="en-US"/>
        </w:rPr>
        <w:t xml:space="preserve"> </w:t>
      </w:r>
      <w:r w:rsidRPr="00012C3F">
        <w:rPr>
          <w:rFonts w:eastAsia="MS Mincho"/>
          <w:sz w:val="20"/>
          <w:szCs w:val="20"/>
          <w:lang w:val="en-US"/>
        </w:rPr>
        <w:t xml:space="preserve">failed to comply with its positive obligation to take measures to prevent and to remedy discriminatory situations in violation </w:t>
      </w:r>
      <w:r w:rsidR="008A7A0F" w:rsidRPr="00012C3F">
        <w:rPr>
          <w:rFonts w:eastAsia="MS Mincho"/>
          <w:sz w:val="20"/>
          <w:szCs w:val="20"/>
          <w:lang w:val="en-US"/>
        </w:rPr>
        <w:t>of Article</w:t>
      </w:r>
      <w:r w:rsidR="00502B43" w:rsidRPr="00012C3F">
        <w:rPr>
          <w:rFonts w:eastAsia="MS Mincho"/>
          <w:sz w:val="20"/>
          <w:szCs w:val="20"/>
          <w:lang w:val="en-US"/>
        </w:rPr>
        <w:t xml:space="preserve"> </w:t>
      </w:r>
      <w:r w:rsidR="00DF71A5" w:rsidRPr="00012C3F">
        <w:rPr>
          <w:rFonts w:eastAsia="MS Mincho"/>
          <w:sz w:val="20"/>
          <w:szCs w:val="20"/>
          <w:lang w:val="en-US"/>
        </w:rPr>
        <w:t>7(b)</w:t>
      </w:r>
      <w:r w:rsidR="001E1D73" w:rsidRPr="00012C3F">
        <w:rPr>
          <w:rFonts w:eastAsia="MS Mincho"/>
          <w:sz w:val="20"/>
          <w:szCs w:val="20"/>
          <w:lang w:val="en-US" w:eastAsia="en-US" w:bidi="en-US"/>
        </w:rPr>
        <w:t xml:space="preserve">, </w:t>
      </w:r>
      <w:r w:rsidRPr="00012C3F">
        <w:rPr>
          <w:rFonts w:eastAsia="MS Mincho"/>
          <w:sz w:val="20"/>
          <w:szCs w:val="20"/>
          <w:lang w:val="en-US" w:eastAsia="en-US" w:bidi="en-US"/>
        </w:rPr>
        <w:t>(</w:t>
      </w:r>
      <w:r w:rsidR="001E1D73" w:rsidRPr="00012C3F">
        <w:rPr>
          <w:rFonts w:eastAsia="MS Mincho"/>
          <w:sz w:val="20"/>
          <w:szCs w:val="20"/>
          <w:lang w:val="en-US" w:eastAsia="en-US" w:bidi="en-US"/>
        </w:rPr>
        <w:t xml:space="preserve">c), </w:t>
      </w:r>
      <w:r w:rsidRPr="00012C3F">
        <w:rPr>
          <w:rFonts w:eastAsia="MS Mincho"/>
          <w:sz w:val="20"/>
          <w:szCs w:val="20"/>
          <w:lang w:val="en-US" w:eastAsia="en-US" w:bidi="en-US"/>
        </w:rPr>
        <w:t>(</w:t>
      </w:r>
      <w:r w:rsidR="001E1D73" w:rsidRPr="00012C3F">
        <w:rPr>
          <w:rFonts w:eastAsia="MS Mincho"/>
          <w:sz w:val="20"/>
          <w:szCs w:val="20"/>
          <w:lang w:val="en-US" w:eastAsia="en-US" w:bidi="en-US"/>
        </w:rPr>
        <w:t>f)</w:t>
      </w:r>
      <w:r w:rsidR="005E5012" w:rsidRPr="00012C3F">
        <w:rPr>
          <w:rFonts w:eastAsia="MS Mincho"/>
          <w:sz w:val="20"/>
          <w:szCs w:val="20"/>
          <w:lang w:val="en-US" w:eastAsia="en-US" w:bidi="en-US"/>
        </w:rPr>
        <w:t xml:space="preserve"> and </w:t>
      </w:r>
      <w:r w:rsidRPr="00012C3F">
        <w:rPr>
          <w:rFonts w:eastAsia="MS Mincho"/>
          <w:sz w:val="20"/>
          <w:szCs w:val="20"/>
          <w:lang w:val="en-US" w:eastAsia="en-US" w:bidi="en-US"/>
        </w:rPr>
        <w:t>(</w:t>
      </w:r>
      <w:r w:rsidR="001E1D73" w:rsidRPr="00012C3F">
        <w:rPr>
          <w:rFonts w:eastAsia="MS Mincho"/>
          <w:sz w:val="20"/>
          <w:szCs w:val="20"/>
          <w:lang w:val="en-US" w:eastAsia="en-US" w:bidi="en-US"/>
        </w:rPr>
        <w:t>g)</w:t>
      </w:r>
      <w:r w:rsidR="001254DE" w:rsidRPr="00012C3F">
        <w:rPr>
          <w:rFonts w:eastAsia="MS Mincho"/>
          <w:sz w:val="20"/>
          <w:szCs w:val="20"/>
          <w:lang w:val="en-US"/>
        </w:rPr>
        <w:t xml:space="preserve"> of the Convention</w:t>
      </w:r>
      <w:r w:rsidR="00502B43" w:rsidRPr="00012C3F">
        <w:rPr>
          <w:rFonts w:eastAsia="MS Mincho"/>
          <w:sz w:val="20"/>
          <w:szCs w:val="20"/>
          <w:lang w:val="en-US"/>
        </w:rPr>
        <w:t xml:space="preserve"> </w:t>
      </w:r>
      <w:r w:rsidR="005E5012" w:rsidRPr="00012C3F">
        <w:rPr>
          <w:rFonts w:eastAsia="MS Mincho"/>
          <w:sz w:val="20"/>
          <w:szCs w:val="20"/>
          <w:lang w:val="en-US"/>
        </w:rPr>
        <w:t>of Belém</w:t>
      </w:r>
      <w:r w:rsidR="00502B43" w:rsidRPr="00012C3F">
        <w:rPr>
          <w:rFonts w:eastAsia="MS Mincho"/>
          <w:sz w:val="20"/>
          <w:szCs w:val="20"/>
          <w:lang w:val="en-US"/>
        </w:rPr>
        <w:t xml:space="preserve"> do Pará</w:t>
      </w:r>
      <w:r w:rsidR="001E1D73" w:rsidRPr="00012C3F">
        <w:rPr>
          <w:rFonts w:eastAsia="MS Mincho"/>
          <w:sz w:val="20"/>
          <w:szCs w:val="20"/>
          <w:lang w:val="en-US"/>
        </w:rPr>
        <w:t>.</w:t>
      </w:r>
      <w:r w:rsidR="00502B43" w:rsidRPr="00012C3F">
        <w:rPr>
          <w:rFonts w:eastAsia="MS Mincho"/>
          <w:sz w:val="20"/>
          <w:szCs w:val="20"/>
          <w:lang w:val="en-US"/>
        </w:rPr>
        <w:t xml:space="preserve"> </w:t>
      </w:r>
    </w:p>
    <w:p w14:paraId="4A2515E9" w14:textId="77777777" w:rsidR="00502B43" w:rsidRPr="00012C3F" w:rsidRDefault="00502B43" w:rsidP="00CA632B">
      <w:pPr>
        <w:tabs>
          <w:tab w:val="left" w:pos="720"/>
        </w:tabs>
        <w:spacing w:line="240" w:lineRule="auto"/>
        <w:rPr>
          <w:rFonts w:eastAsia="MS Mincho"/>
          <w:sz w:val="20"/>
          <w:szCs w:val="20"/>
          <w:lang w:val="en-US"/>
        </w:rPr>
      </w:pPr>
    </w:p>
    <w:p w14:paraId="0BC6761F" w14:textId="77777777" w:rsidR="00502B43" w:rsidRPr="00012C3F" w:rsidRDefault="00532BC1" w:rsidP="00CA632B">
      <w:pPr>
        <w:numPr>
          <w:ilvl w:val="0"/>
          <w:numId w:val="5"/>
        </w:numPr>
        <w:tabs>
          <w:tab w:val="left" w:pos="720"/>
          <w:tab w:val="num" w:pos="12305"/>
        </w:tabs>
        <w:spacing w:line="240" w:lineRule="auto"/>
        <w:ind w:left="0" w:firstLine="0"/>
        <w:rPr>
          <w:rFonts w:eastAsia="MS Mincho"/>
          <w:sz w:val="20"/>
          <w:szCs w:val="20"/>
          <w:lang w:val="en-US"/>
        </w:rPr>
      </w:pPr>
      <w:r w:rsidRPr="00012C3F">
        <w:rPr>
          <w:rFonts w:eastAsia="Batang"/>
          <w:sz w:val="20"/>
          <w:lang w:val="en-US"/>
        </w:rPr>
        <w:t xml:space="preserve">Regarding the alleged violation </w:t>
      </w:r>
      <w:r w:rsidR="008A7A0F" w:rsidRPr="00012C3F">
        <w:rPr>
          <w:rFonts w:eastAsia="Batang"/>
          <w:sz w:val="20"/>
          <w:lang w:val="en-US"/>
        </w:rPr>
        <w:t>of Article</w:t>
      </w:r>
      <w:r w:rsidR="00502B43" w:rsidRPr="00012C3F">
        <w:rPr>
          <w:rFonts w:eastAsia="Batang"/>
          <w:sz w:val="20"/>
          <w:lang w:val="en-US"/>
        </w:rPr>
        <w:t xml:space="preserve"> 2</w:t>
      </w:r>
      <w:r w:rsidR="00B257AF" w:rsidRPr="00012C3F">
        <w:rPr>
          <w:rFonts w:eastAsia="Batang"/>
          <w:sz w:val="20"/>
          <w:lang w:val="en-US"/>
        </w:rPr>
        <w:t>5(2)</w:t>
      </w:r>
      <w:r w:rsidRPr="00012C3F">
        <w:rPr>
          <w:rFonts w:eastAsia="Batang"/>
          <w:sz w:val="20"/>
          <w:lang w:val="en-US"/>
        </w:rPr>
        <w:t>(</w:t>
      </w:r>
      <w:r w:rsidR="00502B43" w:rsidRPr="00012C3F">
        <w:rPr>
          <w:rFonts w:eastAsia="Batang"/>
          <w:sz w:val="20"/>
          <w:lang w:val="en-US"/>
        </w:rPr>
        <w:t>a)</w:t>
      </w:r>
      <w:r w:rsidR="001254DE" w:rsidRPr="00012C3F">
        <w:rPr>
          <w:rFonts w:eastAsia="Batang"/>
          <w:sz w:val="20"/>
          <w:lang w:val="en-US"/>
        </w:rPr>
        <w:t xml:space="preserve"> of the American Convention</w:t>
      </w:r>
      <w:r w:rsidR="00502B43" w:rsidRPr="00012C3F">
        <w:rPr>
          <w:rFonts w:eastAsia="Batang"/>
          <w:sz w:val="20"/>
          <w:lang w:val="en-US"/>
        </w:rPr>
        <w:t xml:space="preserve">, </w:t>
      </w:r>
      <w:r w:rsidR="001254DE" w:rsidRPr="00012C3F">
        <w:rPr>
          <w:rFonts w:eastAsia="Batang"/>
          <w:sz w:val="20"/>
          <w:lang w:val="en-US"/>
        </w:rPr>
        <w:t>the Court</w:t>
      </w:r>
      <w:r w:rsidR="004E5082" w:rsidRPr="00012C3F">
        <w:rPr>
          <w:rFonts w:eastAsia="Batang"/>
          <w:sz w:val="20"/>
          <w:lang w:val="en-US"/>
        </w:rPr>
        <w:t xml:space="preserve"> consider</w:t>
      </w:r>
      <w:r w:rsidRPr="00012C3F">
        <w:rPr>
          <w:rFonts w:eastAsia="Batang"/>
          <w:sz w:val="20"/>
          <w:lang w:val="en-US"/>
        </w:rPr>
        <w:t>s that there is insufficient evidence to substantiate a ruling on its alleged violation.</w:t>
      </w:r>
      <w:r w:rsidR="004E5082" w:rsidRPr="00012C3F">
        <w:rPr>
          <w:rFonts w:eastAsia="Batang"/>
          <w:sz w:val="20"/>
          <w:lang w:val="en-US"/>
        </w:rPr>
        <w:t xml:space="preserve"> </w:t>
      </w:r>
    </w:p>
    <w:p w14:paraId="57AE3B02" w14:textId="77777777" w:rsidR="008D0B77" w:rsidRPr="00012C3F" w:rsidRDefault="008D0B77" w:rsidP="00CA632B">
      <w:pPr>
        <w:pStyle w:val="Prrafodelista2"/>
        <w:tabs>
          <w:tab w:val="left" w:pos="720"/>
        </w:tabs>
        <w:ind w:left="0" w:right="-90"/>
        <w:jc w:val="both"/>
        <w:rPr>
          <w:lang w:val="en-US"/>
        </w:rPr>
      </w:pPr>
    </w:p>
    <w:p w14:paraId="521A9AF6" w14:textId="77777777" w:rsidR="008D0B77" w:rsidRPr="00012C3F" w:rsidRDefault="008D0B77" w:rsidP="00CA632B">
      <w:pPr>
        <w:keepNext/>
        <w:keepLines/>
        <w:tabs>
          <w:tab w:val="left" w:pos="720"/>
          <w:tab w:val="left" w:pos="851"/>
        </w:tabs>
        <w:spacing w:line="240" w:lineRule="auto"/>
        <w:jc w:val="center"/>
        <w:outlineLvl w:val="0"/>
        <w:rPr>
          <w:rFonts w:cs="Verdana"/>
          <w:b/>
          <w:bCs/>
          <w:caps/>
          <w:snapToGrid w:val="0"/>
          <w:sz w:val="20"/>
          <w:szCs w:val="20"/>
          <w:lang w:val="en-US"/>
        </w:rPr>
      </w:pPr>
      <w:bookmarkStart w:id="183" w:name="_Toc375517149"/>
      <w:bookmarkStart w:id="184" w:name="_Toc449460763"/>
      <w:bookmarkStart w:id="185" w:name="_Toc459158147"/>
      <w:bookmarkStart w:id="186" w:name="_Toc462310920"/>
      <w:bookmarkStart w:id="187" w:name="_Toc27486887"/>
      <w:r w:rsidRPr="00012C3F">
        <w:rPr>
          <w:rFonts w:cs="Verdana"/>
          <w:b/>
          <w:bCs/>
          <w:caps/>
          <w:snapToGrid w:val="0"/>
          <w:sz w:val="20"/>
          <w:szCs w:val="20"/>
          <w:lang w:val="en-US"/>
        </w:rPr>
        <w:t>IX</w:t>
      </w:r>
      <w:r w:rsidRPr="00012C3F">
        <w:rPr>
          <w:rFonts w:cs="Verdana"/>
          <w:b/>
          <w:bCs/>
          <w:caps/>
          <w:snapToGrid w:val="0"/>
          <w:sz w:val="20"/>
          <w:szCs w:val="20"/>
          <w:lang w:val="en-US"/>
        </w:rPr>
        <w:br/>
      </w:r>
      <w:r w:rsidR="006C705C" w:rsidRPr="00012C3F">
        <w:rPr>
          <w:rFonts w:cs="Verdana"/>
          <w:b/>
          <w:bCs/>
          <w:caps/>
          <w:snapToGrid w:val="0"/>
          <w:sz w:val="20"/>
          <w:szCs w:val="20"/>
          <w:lang w:val="en-US"/>
        </w:rPr>
        <w:t>REPARATIONS</w:t>
      </w:r>
      <w:r w:rsidRPr="00012C3F">
        <w:rPr>
          <w:rFonts w:cs="Verdana"/>
          <w:b/>
          <w:bCs/>
          <w:caps/>
          <w:snapToGrid w:val="0"/>
          <w:sz w:val="20"/>
          <w:szCs w:val="20"/>
          <w:lang w:val="en-US"/>
        </w:rPr>
        <w:br/>
        <w:t>(</w:t>
      </w:r>
      <w:r w:rsidR="00A710F6" w:rsidRPr="00012C3F">
        <w:rPr>
          <w:rFonts w:cs="Verdana"/>
          <w:b/>
          <w:bCs/>
          <w:snapToGrid w:val="0"/>
          <w:sz w:val="20"/>
          <w:szCs w:val="20"/>
          <w:lang w:val="en-US"/>
        </w:rPr>
        <w:t>Application</w:t>
      </w:r>
      <w:r w:rsidRPr="00012C3F">
        <w:rPr>
          <w:rFonts w:cs="Verdana"/>
          <w:b/>
          <w:bCs/>
          <w:snapToGrid w:val="0"/>
          <w:sz w:val="20"/>
          <w:szCs w:val="20"/>
          <w:lang w:val="en-US"/>
        </w:rPr>
        <w:t xml:space="preserve"> </w:t>
      </w:r>
      <w:r w:rsidR="008A7A0F" w:rsidRPr="00012C3F">
        <w:rPr>
          <w:rFonts w:cs="Verdana"/>
          <w:b/>
          <w:bCs/>
          <w:snapToGrid w:val="0"/>
          <w:sz w:val="20"/>
          <w:szCs w:val="20"/>
          <w:lang w:val="en-US"/>
        </w:rPr>
        <w:t>of Article</w:t>
      </w:r>
      <w:r w:rsidRPr="00012C3F">
        <w:rPr>
          <w:rFonts w:cs="Verdana"/>
          <w:b/>
          <w:bCs/>
          <w:snapToGrid w:val="0"/>
          <w:sz w:val="20"/>
          <w:szCs w:val="20"/>
          <w:lang w:val="en-US"/>
        </w:rPr>
        <w:t xml:space="preserve"> </w:t>
      </w:r>
      <w:r w:rsidR="001254DE" w:rsidRPr="00012C3F">
        <w:rPr>
          <w:rFonts w:cs="Verdana"/>
          <w:b/>
          <w:bCs/>
          <w:snapToGrid w:val="0"/>
          <w:sz w:val="20"/>
          <w:szCs w:val="20"/>
          <w:lang w:val="en-US"/>
        </w:rPr>
        <w:t>63(1) of the American Convention</w:t>
      </w:r>
      <w:r w:rsidRPr="00012C3F">
        <w:rPr>
          <w:rFonts w:cs="Verdana"/>
          <w:b/>
          <w:bCs/>
          <w:caps/>
          <w:snapToGrid w:val="0"/>
          <w:sz w:val="20"/>
          <w:szCs w:val="20"/>
          <w:lang w:val="en-US"/>
        </w:rPr>
        <w:t>)</w:t>
      </w:r>
      <w:bookmarkEnd w:id="183"/>
      <w:bookmarkEnd w:id="184"/>
      <w:bookmarkEnd w:id="185"/>
      <w:bookmarkEnd w:id="186"/>
      <w:bookmarkEnd w:id="187"/>
    </w:p>
    <w:p w14:paraId="61B7A409" w14:textId="77777777" w:rsidR="008D0B77" w:rsidRPr="00012C3F" w:rsidRDefault="008D0B77" w:rsidP="00CA632B">
      <w:pPr>
        <w:tabs>
          <w:tab w:val="left" w:pos="720"/>
          <w:tab w:val="num" w:pos="1427"/>
        </w:tabs>
        <w:spacing w:line="240" w:lineRule="auto"/>
        <w:ind w:right="-90"/>
        <w:rPr>
          <w:rFonts w:cs="Verdana"/>
          <w:sz w:val="20"/>
          <w:szCs w:val="20"/>
          <w:lang w:val="en-US"/>
        </w:rPr>
      </w:pPr>
    </w:p>
    <w:p w14:paraId="5D1CD0D9" w14:textId="77777777" w:rsidR="008D0B77" w:rsidRPr="00012C3F" w:rsidRDefault="00885853" w:rsidP="00532BC1">
      <w:pPr>
        <w:numPr>
          <w:ilvl w:val="0"/>
          <w:numId w:val="5"/>
        </w:numPr>
        <w:tabs>
          <w:tab w:val="left" w:pos="720"/>
          <w:tab w:val="num" w:pos="12305"/>
        </w:tabs>
        <w:spacing w:line="240" w:lineRule="auto"/>
        <w:ind w:left="0" w:firstLine="0"/>
        <w:rPr>
          <w:sz w:val="20"/>
          <w:szCs w:val="20"/>
          <w:lang w:val="en-US"/>
        </w:rPr>
      </w:pPr>
      <w:r w:rsidRPr="00012C3F">
        <w:rPr>
          <w:rFonts w:eastAsia="Batang"/>
          <w:sz w:val="20"/>
          <w:szCs w:val="20"/>
          <w:lang w:val="en-US"/>
        </w:rPr>
        <w:t xml:space="preserve">Based on the provisions of </w:t>
      </w:r>
      <w:r w:rsidR="001254DE" w:rsidRPr="00012C3F">
        <w:rPr>
          <w:sz w:val="20"/>
          <w:szCs w:val="20"/>
          <w:lang w:val="en-US"/>
        </w:rPr>
        <w:t>Article</w:t>
      </w:r>
      <w:r w:rsidR="008D0B77" w:rsidRPr="00012C3F">
        <w:rPr>
          <w:sz w:val="20"/>
          <w:szCs w:val="20"/>
          <w:lang w:val="en-US"/>
        </w:rPr>
        <w:t xml:space="preserve"> </w:t>
      </w:r>
      <w:r w:rsidR="001254DE" w:rsidRPr="00012C3F">
        <w:rPr>
          <w:sz w:val="20"/>
          <w:szCs w:val="20"/>
          <w:lang w:val="en-US"/>
        </w:rPr>
        <w:t>63(1) of the American Convention</w:t>
      </w:r>
      <w:r w:rsidRPr="00012C3F">
        <w:rPr>
          <w:sz w:val="20"/>
          <w:szCs w:val="20"/>
          <w:lang w:val="en-US"/>
        </w:rPr>
        <w:t>,</w:t>
      </w:r>
      <w:r w:rsidR="008D0B77" w:rsidRPr="00012C3F">
        <w:rPr>
          <w:sz w:val="20"/>
          <w:szCs w:val="20"/>
          <w:vertAlign w:val="superscript"/>
          <w:lang w:val="en-US"/>
        </w:rPr>
        <w:footnoteReference w:id="397"/>
      </w:r>
      <w:r w:rsidR="008D0B77" w:rsidRPr="00012C3F">
        <w:rPr>
          <w:sz w:val="20"/>
          <w:szCs w:val="20"/>
          <w:lang w:val="en-US"/>
        </w:rPr>
        <w:t xml:space="preserve"> </w:t>
      </w:r>
      <w:r w:rsidR="001254DE" w:rsidRPr="00012C3F">
        <w:rPr>
          <w:sz w:val="20"/>
          <w:szCs w:val="20"/>
          <w:lang w:val="en-US"/>
        </w:rPr>
        <w:t>the Court</w:t>
      </w:r>
      <w:r w:rsidR="008D0B77" w:rsidRPr="00012C3F">
        <w:rPr>
          <w:sz w:val="20"/>
          <w:szCs w:val="20"/>
          <w:lang w:val="en-US"/>
        </w:rPr>
        <w:t xml:space="preserve"> ha</w:t>
      </w:r>
      <w:r w:rsidRPr="00012C3F">
        <w:rPr>
          <w:sz w:val="20"/>
          <w:szCs w:val="20"/>
          <w:lang w:val="en-US"/>
        </w:rPr>
        <w:t>s indicated that any violation of an international obligation that has produced harm results in the obligation to redress this adequately and that this provision reflects a customary norm that constitutes one of the fundamental principles of contemporary international law on State responsibility.</w:t>
      </w:r>
      <w:r w:rsidR="008D0B77" w:rsidRPr="00012C3F">
        <w:rPr>
          <w:sz w:val="20"/>
          <w:szCs w:val="20"/>
          <w:vertAlign w:val="superscript"/>
          <w:lang w:val="en-US"/>
        </w:rPr>
        <w:footnoteReference w:id="398"/>
      </w:r>
    </w:p>
    <w:p w14:paraId="3584FE08" w14:textId="77777777" w:rsidR="008D0B77" w:rsidRPr="00012C3F" w:rsidRDefault="008D0B77" w:rsidP="00532BC1">
      <w:pPr>
        <w:tabs>
          <w:tab w:val="left" w:pos="720"/>
        </w:tabs>
        <w:autoSpaceDE w:val="0"/>
        <w:autoSpaceDN w:val="0"/>
        <w:spacing w:line="240" w:lineRule="auto"/>
        <w:rPr>
          <w:rFonts w:cs="Verdana"/>
          <w:sz w:val="20"/>
          <w:szCs w:val="20"/>
          <w:lang w:val="en-US"/>
        </w:rPr>
      </w:pPr>
    </w:p>
    <w:p w14:paraId="4A1253A5" w14:textId="77777777" w:rsidR="008D0B77" w:rsidRPr="00012C3F" w:rsidRDefault="001B1EF7" w:rsidP="00532BC1">
      <w:pPr>
        <w:numPr>
          <w:ilvl w:val="0"/>
          <w:numId w:val="5"/>
        </w:numPr>
        <w:tabs>
          <w:tab w:val="left" w:pos="720"/>
          <w:tab w:val="num" w:pos="12305"/>
        </w:tabs>
        <w:spacing w:line="240" w:lineRule="auto"/>
        <w:ind w:left="0" w:firstLine="0"/>
        <w:rPr>
          <w:sz w:val="20"/>
          <w:szCs w:val="20"/>
          <w:lang w:val="en-US"/>
        </w:rPr>
      </w:pPr>
      <w:r w:rsidRPr="00012C3F">
        <w:rPr>
          <w:bCs/>
          <w:sz w:val="20"/>
          <w:szCs w:val="20"/>
          <w:lang w:val="en-US"/>
        </w:rPr>
        <w:t>Reparation</w:t>
      </w:r>
      <w:r w:rsidR="008D0B77" w:rsidRPr="00012C3F">
        <w:rPr>
          <w:bCs/>
          <w:sz w:val="20"/>
          <w:szCs w:val="20"/>
          <w:lang w:val="en-US"/>
        </w:rPr>
        <w:t xml:space="preserve"> </w:t>
      </w:r>
      <w:r w:rsidRPr="00012C3F">
        <w:rPr>
          <w:bCs/>
          <w:sz w:val="20"/>
          <w:szCs w:val="20"/>
          <w:lang w:val="en-US"/>
        </w:rPr>
        <w:t xml:space="preserve">of the harm caused by the violation of an international obligation requires, whenever possible, full restitution </w:t>
      </w:r>
      <w:r w:rsidR="008D0B77" w:rsidRPr="00012C3F">
        <w:rPr>
          <w:bCs/>
          <w:sz w:val="20"/>
          <w:szCs w:val="20"/>
          <w:lang w:val="en-US"/>
        </w:rPr>
        <w:t xml:space="preserve"> (</w:t>
      </w:r>
      <w:r w:rsidR="008D0B77" w:rsidRPr="00012C3F">
        <w:rPr>
          <w:bCs/>
          <w:i/>
          <w:sz w:val="20"/>
          <w:szCs w:val="20"/>
          <w:lang w:val="en-US"/>
        </w:rPr>
        <w:t>restitutio in integrum</w:t>
      </w:r>
      <w:r w:rsidR="008D0B77" w:rsidRPr="00012C3F">
        <w:rPr>
          <w:bCs/>
          <w:sz w:val="20"/>
          <w:szCs w:val="20"/>
          <w:lang w:val="en-US"/>
        </w:rPr>
        <w:t xml:space="preserve">), </w:t>
      </w:r>
      <w:r w:rsidRPr="00012C3F">
        <w:rPr>
          <w:bCs/>
          <w:sz w:val="20"/>
          <w:szCs w:val="20"/>
          <w:lang w:val="en-US"/>
        </w:rPr>
        <w:t xml:space="preserve">which consists in the re-establishment of the previous situation. If this is not feasible, as in most cases of human rights violations, the </w:t>
      </w:r>
      <w:r w:rsidRPr="00012C3F">
        <w:rPr>
          <w:bCs/>
          <w:sz w:val="20"/>
          <w:szCs w:val="20"/>
          <w:lang w:val="en-US"/>
        </w:rPr>
        <w:lastRenderedPageBreak/>
        <w:t xml:space="preserve">Court will determine measures to ensure </w:t>
      </w:r>
      <w:r w:rsidR="00DF5BD3" w:rsidRPr="00012C3F">
        <w:rPr>
          <w:bCs/>
          <w:sz w:val="20"/>
          <w:szCs w:val="20"/>
          <w:lang w:val="en-US"/>
        </w:rPr>
        <w:t>the rights</w:t>
      </w:r>
      <w:r w:rsidR="008D0B77" w:rsidRPr="00012C3F">
        <w:rPr>
          <w:bCs/>
          <w:sz w:val="20"/>
          <w:szCs w:val="20"/>
          <w:lang w:val="en-US"/>
        </w:rPr>
        <w:t xml:space="preserve"> </w:t>
      </w:r>
      <w:r w:rsidRPr="00012C3F">
        <w:rPr>
          <w:bCs/>
          <w:sz w:val="20"/>
          <w:szCs w:val="20"/>
          <w:lang w:val="en-US"/>
        </w:rPr>
        <w:t>that have been violated and to redress the consequences of such violations.</w:t>
      </w:r>
      <w:r w:rsidR="008D0B77" w:rsidRPr="00012C3F">
        <w:rPr>
          <w:sz w:val="20"/>
          <w:szCs w:val="20"/>
          <w:vertAlign w:val="superscript"/>
          <w:lang w:val="en-US"/>
        </w:rPr>
        <w:footnoteReference w:id="399"/>
      </w:r>
      <w:r w:rsidRPr="00012C3F">
        <w:rPr>
          <w:bCs/>
          <w:sz w:val="20"/>
          <w:szCs w:val="20"/>
          <w:lang w:val="en-US"/>
        </w:rPr>
        <w:t xml:space="preserve"> Accordingly, the Court has considered the need to grant diverse measures of reparation in order to redress the harm comprehensively so that, in addition, to pecuniary compensation, measures of restitution,</w:t>
      </w:r>
      <w:r w:rsidR="008D0B77" w:rsidRPr="00012C3F">
        <w:rPr>
          <w:sz w:val="20"/>
          <w:szCs w:val="20"/>
          <w:lang w:val="en-US"/>
        </w:rPr>
        <w:t xml:space="preserve"> </w:t>
      </w:r>
      <w:r w:rsidRPr="00012C3F">
        <w:rPr>
          <w:sz w:val="20"/>
          <w:szCs w:val="20"/>
          <w:lang w:val="en-US"/>
        </w:rPr>
        <w:t>r</w:t>
      </w:r>
      <w:r w:rsidR="00A710F6" w:rsidRPr="00012C3F">
        <w:rPr>
          <w:sz w:val="20"/>
          <w:szCs w:val="20"/>
          <w:lang w:val="en-US"/>
        </w:rPr>
        <w:t>ehabilitation</w:t>
      </w:r>
      <w:r w:rsidRPr="00012C3F">
        <w:rPr>
          <w:sz w:val="20"/>
          <w:szCs w:val="20"/>
          <w:lang w:val="en-US"/>
        </w:rPr>
        <w:t xml:space="preserve"> and</w:t>
      </w:r>
      <w:r w:rsidR="008D0B77" w:rsidRPr="00012C3F">
        <w:rPr>
          <w:sz w:val="20"/>
          <w:szCs w:val="20"/>
          <w:lang w:val="en-US"/>
        </w:rPr>
        <w:t xml:space="preserve"> </w:t>
      </w:r>
      <w:r w:rsidRPr="00012C3F">
        <w:rPr>
          <w:sz w:val="20"/>
          <w:szCs w:val="20"/>
          <w:lang w:val="en-US"/>
        </w:rPr>
        <w:t>s</w:t>
      </w:r>
      <w:r w:rsidR="00A710F6" w:rsidRPr="00012C3F">
        <w:rPr>
          <w:sz w:val="20"/>
          <w:szCs w:val="20"/>
          <w:lang w:val="en-US"/>
        </w:rPr>
        <w:t>atisfaction</w:t>
      </w:r>
      <w:r w:rsidRPr="00012C3F">
        <w:rPr>
          <w:sz w:val="20"/>
          <w:szCs w:val="20"/>
          <w:lang w:val="en-US"/>
        </w:rPr>
        <w:t>,</w:t>
      </w:r>
      <w:r w:rsidR="005E5012" w:rsidRPr="00012C3F">
        <w:rPr>
          <w:sz w:val="20"/>
          <w:szCs w:val="20"/>
          <w:lang w:val="en-US"/>
        </w:rPr>
        <w:t xml:space="preserve"> and </w:t>
      </w:r>
      <w:r w:rsidRPr="00012C3F">
        <w:rPr>
          <w:sz w:val="20"/>
          <w:szCs w:val="20"/>
          <w:lang w:val="en-US"/>
        </w:rPr>
        <w:t>g</w:t>
      </w:r>
      <w:r w:rsidR="00A710F6" w:rsidRPr="00012C3F">
        <w:rPr>
          <w:sz w:val="20"/>
          <w:szCs w:val="20"/>
          <w:lang w:val="en-US"/>
        </w:rPr>
        <w:t>uarantees of non-repetition</w:t>
      </w:r>
      <w:r w:rsidR="008D0B77" w:rsidRPr="00012C3F">
        <w:rPr>
          <w:sz w:val="20"/>
          <w:szCs w:val="20"/>
          <w:lang w:val="en-US"/>
        </w:rPr>
        <w:t xml:space="preserve"> </w:t>
      </w:r>
      <w:r w:rsidRPr="00012C3F">
        <w:rPr>
          <w:sz w:val="20"/>
          <w:szCs w:val="20"/>
          <w:lang w:val="en-US"/>
        </w:rPr>
        <w:t>are particularly relevant for the harm caused.</w:t>
      </w:r>
      <w:r w:rsidR="008D0B77" w:rsidRPr="00012C3F">
        <w:rPr>
          <w:sz w:val="20"/>
          <w:szCs w:val="20"/>
          <w:vertAlign w:val="superscript"/>
          <w:lang w:val="en-US"/>
        </w:rPr>
        <w:footnoteReference w:id="400"/>
      </w:r>
    </w:p>
    <w:p w14:paraId="3C1FB982" w14:textId="77777777" w:rsidR="008D0B77" w:rsidRPr="00012C3F" w:rsidRDefault="008D0B77" w:rsidP="008D0B77">
      <w:pPr>
        <w:autoSpaceDE w:val="0"/>
        <w:autoSpaceDN w:val="0"/>
        <w:spacing w:line="240" w:lineRule="auto"/>
        <w:rPr>
          <w:rFonts w:cs="Verdana"/>
          <w:sz w:val="20"/>
          <w:szCs w:val="20"/>
          <w:lang w:val="en-US"/>
        </w:rPr>
      </w:pPr>
    </w:p>
    <w:p w14:paraId="281C7E87" w14:textId="77777777" w:rsidR="001B1EF7" w:rsidRPr="00012C3F" w:rsidRDefault="001254DE" w:rsidP="001B1EF7">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Court</w:t>
      </w:r>
      <w:r w:rsidR="008D0B77" w:rsidRPr="00012C3F">
        <w:rPr>
          <w:sz w:val="20"/>
          <w:szCs w:val="20"/>
          <w:lang w:val="en-US"/>
        </w:rPr>
        <w:t xml:space="preserve"> ha</w:t>
      </w:r>
      <w:r w:rsidR="001B1EF7" w:rsidRPr="00012C3F">
        <w:rPr>
          <w:sz w:val="20"/>
          <w:szCs w:val="20"/>
          <w:lang w:val="en-US"/>
        </w:rPr>
        <w:t>s established that reparations must have a causal nexus with the facts of the case, the violations declared, the damage proved, and the measures requested to redress the respective harm. Consequently, the Court must observe the concurrence of these factors to rule appropriately and pursuant to the law.</w:t>
      </w:r>
      <w:r w:rsidR="008D0B77" w:rsidRPr="00012C3F">
        <w:rPr>
          <w:sz w:val="20"/>
          <w:szCs w:val="20"/>
          <w:vertAlign w:val="superscript"/>
          <w:lang w:val="en-US"/>
        </w:rPr>
        <w:footnoteReference w:id="401"/>
      </w:r>
      <w:r w:rsidR="001B1EF7" w:rsidRPr="00012C3F">
        <w:rPr>
          <w:sz w:val="20"/>
          <w:szCs w:val="20"/>
          <w:lang w:val="en-US"/>
        </w:rPr>
        <w:t xml:space="preserve"> In addition, the Court considers that the reparations should include an analysis that takes into account no</w:t>
      </w:r>
      <w:r w:rsidR="00FB39C4" w:rsidRPr="00012C3F">
        <w:rPr>
          <w:sz w:val="20"/>
          <w:szCs w:val="20"/>
          <w:lang w:val="en-US"/>
        </w:rPr>
        <w:t>t</w:t>
      </w:r>
      <w:r w:rsidR="001B1EF7" w:rsidRPr="00012C3F">
        <w:rPr>
          <w:sz w:val="20"/>
          <w:szCs w:val="20"/>
          <w:lang w:val="en-US"/>
        </w:rPr>
        <w:t xml:space="preserve"> only the right of the victim to obtain redress, but also incorporates a gender perspective, in both their </w:t>
      </w:r>
      <w:r w:rsidR="00FB39C4" w:rsidRPr="00012C3F">
        <w:rPr>
          <w:sz w:val="20"/>
          <w:szCs w:val="20"/>
          <w:lang w:val="en-US"/>
        </w:rPr>
        <w:t>establishment</w:t>
      </w:r>
      <w:r w:rsidR="001B1EF7" w:rsidRPr="00012C3F">
        <w:rPr>
          <w:sz w:val="20"/>
          <w:szCs w:val="20"/>
          <w:lang w:val="en-US"/>
        </w:rPr>
        <w:t xml:space="preserve"> and implementation.</w:t>
      </w:r>
    </w:p>
    <w:p w14:paraId="682ED3C3" w14:textId="77777777" w:rsidR="008D0B77" w:rsidRPr="00012C3F" w:rsidRDefault="008D0B77" w:rsidP="001B1EF7">
      <w:pPr>
        <w:tabs>
          <w:tab w:val="left" w:pos="720"/>
        </w:tabs>
        <w:autoSpaceDE w:val="0"/>
        <w:autoSpaceDN w:val="0"/>
        <w:spacing w:line="240" w:lineRule="auto"/>
        <w:rPr>
          <w:rFonts w:cs="Verdana"/>
          <w:sz w:val="20"/>
          <w:szCs w:val="20"/>
          <w:lang w:val="en-US"/>
        </w:rPr>
      </w:pPr>
    </w:p>
    <w:p w14:paraId="677ECE0F" w14:textId="77777777" w:rsidR="008D0B77" w:rsidRPr="00012C3F" w:rsidRDefault="0013307D" w:rsidP="001B1EF7">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Based on the violations of the Convention declared in the preceding chapters, the Court will now proceed to examine the claims presented by </w:t>
      </w:r>
      <w:r w:rsidR="001254DE" w:rsidRPr="00012C3F">
        <w:rPr>
          <w:sz w:val="20"/>
          <w:szCs w:val="20"/>
          <w:lang w:val="en-US"/>
        </w:rPr>
        <w:t xml:space="preserve">the </w:t>
      </w:r>
      <w:r w:rsidR="00A84CA0" w:rsidRPr="00012C3F">
        <w:rPr>
          <w:sz w:val="20"/>
          <w:szCs w:val="20"/>
          <w:lang w:val="en-US"/>
        </w:rPr>
        <w:t>Commission</w:t>
      </w:r>
      <w:r w:rsidR="005E5012" w:rsidRPr="00012C3F">
        <w:rPr>
          <w:sz w:val="20"/>
          <w:szCs w:val="20"/>
          <w:lang w:val="en-US"/>
        </w:rPr>
        <w:t xml:space="preserve"> and </w:t>
      </w:r>
      <w:r w:rsidR="00972ACF" w:rsidRPr="00012C3F">
        <w:rPr>
          <w:sz w:val="20"/>
          <w:szCs w:val="20"/>
          <w:lang w:val="en-US"/>
        </w:rPr>
        <w:t>the representative</w:t>
      </w:r>
      <w:r w:rsidR="008D0B77" w:rsidRPr="00012C3F">
        <w:rPr>
          <w:sz w:val="20"/>
          <w:szCs w:val="20"/>
          <w:lang w:val="en-US"/>
        </w:rPr>
        <w:t xml:space="preserve">, </w:t>
      </w:r>
      <w:r w:rsidRPr="00012C3F">
        <w:rPr>
          <w:sz w:val="20"/>
          <w:szCs w:val="20"/>
          <w:lang w:val="en-US"/>
        </w:rPr>
        <w:t>in light of the criteria established in its case law with regard to the nature and scope of the obligation to make reparation, in order to establish measures aimed at repairing the harm caused to the victim.</w:t>
      </w:r>
      <w:r w:rsidR="008D0B77" w:rsidRPr="00012C3F">
        <w:rPr>
          <w:sz w:val="20"/>
          <w:szCs w:val="20"/>
          <w:vertAlign w:val="superscript"/>
          <w:lang w:val="en-US"/>
        </w:rPr>
        <w:footnoteReference w:id="402"/>
      </w:r>
    </w:p>
    <w:p w14:paraId="06B3F6B6" w14:textId="77777777" w:rsidR="008D0B77" w:rsidRPr="00012C3F" w:rsidRDefault="008D0B77" w:rsidP="008D0B77">
      <w:pPr>
        <w:tabs>
          <w:tab w:val="left" w:pos="720"/>
        </w:tabs>
        <w:spacing w:line="240" w:lineRule="auto"/>
        <w:ind w:right="-90"/>
        <w:rPr>
          <w:sz w:val="20"/>
          <w:szCs w:val="20"/>
          <w:lang w:val="en-US"/>
        </w:rPr>
      </w:pPr>
    </w:p>
    <w:p w14:paraId="410C4EC0" w14:textId="77777777" w:rsidR="008D0B77" w:rsidRPr="00012C3F" w:rsidRDefault="009867D6" w:rsidP="009867D6">
      <w:pPr>
        <w:keepNext/>
        <w:keepLines/>
        <w:tabs>
          <w:tab w:val="left" w:pos="1134"/>
        </w:tabs>
        <w:spacing w:line="240" w:lineRule="auto"/>
        <w:ind w:left="567" w:firstLine="1"/>
        <w:outlineLvl w:val="1"/>
        <w:rPr>
          <w:rFonts w:eastAsia="MS Mincho"/>
          <w:b/>
          <w:bCs/>
          <w:i/>
          <w:sz w:val="20"/>
          <w:szCs w:val="20"/>
          <w:lang w:val="en-US"/>
        </w:rPr>
      </w:pPr>
      <w:bookmarkStart w:id="188" w:name="_Toc375517150"/>
      <w:bookmarkStart w:id="189" w:name="_Toc449460764"/>
      <w:bookmarkStart w:id="190" w:name="_Toc459158148"/>
      <w:bookmarkStart w:id="191" w:name="_Toc461637445"/>
      <w:bookmarkStart w:id="192" w:name="_Toc462310921"/>
      <w:bookmarkStart w:id="193" w:name="_Toc27486888"/>
      <w:r w:rsidRPr="00012C3F">
        <w:rPr>
          <w:rFonts w:eastAsia="MS Mincho"/>
          <w:b/>
          <w:bCs/>
          <w:i/>
          <w:sz w:val="20"/>
          <w:szCs w:val="20"/>
          <w:lang w:val="en-US"/>
        </w:rPr>
        <w:t>A.</w:t>
      </w:r>
      <w:r w:rsidRPr="00012C3F">
        <w:rPr>
          <w:rFonts w:eastAsia="MS Mincho"/>
          <w:b/>
          <w:bCs/>
          <w:i/>
          <w:sz w:val="20"/>
          <w:szCs w:val="20"/>
          <w:lang w:val="en-US"/>
        </w:rPr>
        <w:tab/>
      </w:r>
      <w:r w:rsidR="00A710F6" w:rsidRPr="00012C3F">
        <w:rPr>
          <w:rFonts w:eastAsia="MS Mincho"/>
          <w:b/>
          <w:bCs/>
          <w:i/>
          <w:sz w:val="20"/>
          <w:szCs w:val="20"/>
          <w:lang w:val="en-US"/>
        </w:rPr>
        <w:t>Injured party</w:t>
      </w:r>
      <w:bookmarkEnd w:id="188"/>
      <w:bookmarkEnd w:id="189"/>
      <w:bookmarkEnd w:id="190"/>
      <w:bookmarkEnd w:id="191"/>
      <w:bookmarkEnd w:id="192"/>
      <w:bookmarkEnd w:id="193"/>
    </w:p>
    <w:p w14:paraId="10360327" w14:textId="77777777" w:rsidR="008D0B77" w:rsidRPr="00012C3F" w:rsidRDefault="008D0B77" w:rsidP="008D0B77">
      <w:pPr>
        <w:tabs>
          <w:tab w:val="num" w:pos="720"/>
          <w:tab w:val="left" w:pos="851"/>
          <w:tab w:val="num" w:pos="1427"/>
        </w:tabs>
        <w:spacing w:line="240" w:lineRule="auto"/>
        <w:rPr>
          <w:sz w:val="20"/>
          <w:szCs w:val="20"/>
          <w:lang w:val="en-US"/>
        </w:rPr>
      </w:pPr>
    </w:p>
    <w:p w14:paraId="0323BC20" w14:textId="77777777" w:rsidR="0013307D" w:rsidRPr="00012C3F" w:rsidRDefault="0013307D" w:rsidP="0013307D">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According to</w:t>
      </w:r>
      <w:r w:rsidR="008A7A0F" w:rsidRPr="00012C3F">
        <w:rPr>
          <w:sz w:val="20"/>
          <w:szCs w:val="20"/>
          <w:lang w:val="en-US"/>
        </w:rPr>
        <w:t xml:space="preserve"> Article</w:t>
      </w:r>
      <w:r w:rsidR="008D0B77" w:rsidRPr="00012C3F">
        <w:rPr>
          <w:sz w:val="20"/>
          <w:szCs w:val="20"/>
          <w:lang w:val="en-US"/>
        </w:rPr>
        <w:t xml:space="preserve"> </w:t>
      </w:r>
      <w:r w:rsidR="001254DE" w:rsidRPr="00012C3F">
        <w:rPr>
          <w:sz w:val="20"/>
          <w:szCs w:val="20"/>
          <w:lang w:val="en-US"/>
        </w:rPr>
        <w:t>63(1) of the Convention</w:t>
      </w:r>
      <w:r w:rsidR="008D0B77" w:rsidRPr="00012C3F">
        <w:rPr>
          <w:sz w:val="20"/>
          <w:szCs w:val="20"/>
          <w:lang w:val="en-US"/>
        </w:rPr>
        <w:t xml:space="preserve">, </w:t>
      </w:r>
      <w:r w:rsidRPr="00012C3F">
        <w:rPr>
          <w:sz w:val="20"/>
          <w:szCs w:val="20"/>
          <w:lang w:val="en-US"/>
        </w:rPr>
        <w:t xml:space="preserve">the injured party is considered </w:t>
      </w:r>
      <w:r w:rsidR="00FB39C4" w:rsidRPr="00012C3F">
        <w:rPr>
          <w:sz w:val="20"/>
          <w:szCs w:val="20"/>
          <w:lang w:val="en-US"/>
        </w:rPr>
        <w:t xml:space="preserve">to be </w:t>
      </w:r>
      <w:r w:rsidRPr="00012C3F">
        <w:rPr>
          <w:sz w:val="20"/>
          <w:szCs w:val="20"/>
          <w:lang w:val="en-US"/>
        </w:rPr>
        <w:t>th</w:t>
      </w:r>
      <w:r w:rsidR="00FB39C4" w:rsidRPr="00012C3F">
        <w:rPr>
          <w:sz w:val="20"/>
          <w:szCs w:val="20"/>
          <w:lang w:val="en-US"/>
        </w:rPr>
        <w:t>e person</w:t>
      </w:r>
      <w:r w:rsidRPr="00012C3F">
        <w:rPr>
          <w:sz w:val="20"/>
          <w:szCs w:val="20"/>
          <w:lang w:val="en-US"/>
        </w:rPr>
        <w:t xml:space="preserve"> who ha</w:t>
      </w:r>
      <w:r w:rsidR="00FB39C4" w:rsidRPr="00012C3F">
        <w:rPr>
          <w:sz w:val="20"/>
          <w:szCs w:val="20"/>
          <w:lang w:val="en-US"/>
        </w:rPr>
        <w:t>s</w:t>
      </w:r>
      <w:r w:rsidRPr="00012C3F">
        <w:rPr>
          <w:sz w:val="20"/>
          <w:szCs w:val="20"/>
          <w:lang w:val="en-US"/>
        </w:rPr>
        <w:t xml:space="preserve"> been declared </w:t>
      </w:r>
      <w:r w:rsidR="00FB39C4" w:rsidRPr="00012C3F">
        <w:rPr>
          <w:sz w:val="20"/>
          <w:szCs w:val="20"/>
          <w:lang w:val="en-US"/>
        </w:rPr>
        <w:t xml:space="preserve">a </w:t>
      </w:r>
      <w:r w:rsidRPr="00012C3F">
        <w:rPr>
          <w:sz w:val="20"/>
          <w:szCs w:val="20"/>
          <w:lang w:val="en-US"/>
        </w:rPr>
        <w:t>victim of the violation of any of the rights recognized therein. Therefore, the Court considers that I.V. is the “i</w:t>
      </w:r>
      <w:r w:rsidR="00A710F6" w:rsidRPr="00012C3F">
        <w:rPr>
          <w:sz w:val="20"/>
          <w:szCs w:val="20"/>
          <w:lang w:val="en-US"/>
        </w:rPr>
        <w:t>njured party</w:t>
      </w:r>
      <w:r w:rsidR="008D0B77" w:rsidRPr="00012C3F">
        <w:rPr>
          <w:sz w:val="20"/>
          <w:szCs w:val="20"/>
          <w:lang w:val="en-US"/>
        </w:rPr>
        <w:t>”</w:t>
      </w:r>
      <w:r w:rsidRPr="00012C3F">
        <w:rPr>
          <w:sz w:val="20"/>
          <w:szCs w:val="20"/>
          <w:lang w:val="en-US"/>
        </w:rPr>
        <w:t xml:space="preserve"> and, in her capacity as a victim of the violations declared in this judgment, she will be considered the beneficiary of the reparations that the Court orders.</w:t>
      </w:r>
    </w:p>
    <w:p w14:paraId="0CF4B9A5" w14:textId="77777777" w:rsidR="008D0B77" w:rsidRPr="00012C3F" w:rsidRDefault="008D0B77" w:rsidP="0013307D">
      <w:pPr>
        <w:tabs>
          <w:tab w:val="left" w:pos="720"/>
          <w:tab w:val="left" w:pos="851"/>
          <w:tab w:val="num" w:pos="1427"/>
        </w:tabs>
        <w:spacing w:line="240" w:lineRule="auto"/>
        <w:rPr>
          <w:b/>
          <w:sz w:val="20"/>
          <w:szCs w:val="20"/>
          <w:lang w:val="en-US"/>
        </w:rPr>
      </w:pPr>
    </w:p>
    <w:p w14:paraId="2382B441" w14:textId="77777777" w:rsidR="008D0B77" w:rsidRPr="00012C3F" w:rsidRDefault="009867D6" w:rsidP="0013307D">
      <w:pPr>
        <w:keepNext/>
        <w:keepLines/>
        <w:tabs>
          <w:tab w:val="left" w:pos="720"/>
          <w:tab w:val="left" w:pos="1134"/>
        </w:tabs>
        <w:spacing w:line="240" w:lineRule="auto"/>
        <w:ind w:left="567" w:firstLine="1"/>
        <w:outlineLvl w:val="1"/>
        <w:rPr>
          <w:rFonts w:eastAsia="MS Mincho"/>
          <w:b/>
          <w:bCs/>
          <w:i/>
          <w:sz w:val="20"/>
          <w:szCs w:val="20"/>
          <w:lang w:val="en-US"/>
        </w:rPr>
      </w:pPr>
      <w:bookmarkStart w:id="194" w:name="_Toc461637446"/>
      <w:bookmarkStart w:id="195" w:name="_Toc462310922"/>
      <w:bookmarkStart w:id="196" w:name="_Toc27486889"/>
      <w:r w:rsidRPr="00012C3F">
        <w:rPr>
          <w:rFonts w:eastAsia="MS Mincho"/>
          <w:b/>
          <w:bCs/>
          <w:i/>
          <w:sz w:val="20"/>
          <w:szCs w:val="20"/>
          <w:lang w:val="en-US"/>
        </w:rPr>
        <w:t xml:space="preserve">B. </w:t>
      </w:r>
      <w:r w:rsidRPr="00012C3F">
        <w:rPr>
          <w:rFonts w:eastAsia="MS Mincho"/>
          <w:b/>
          <w:bCs/>
          <w:i/>
          <w:sz w:val="20"/>
          <w:szCs w:val="20"/>
          <w:lang w:val="en-US"/>
        </w:rPr>
        <w:tab/>
      </w:r>
      <w:r w:rsidR="00A710F6" w:rsidRPr="00012C3F">
        <w:rPr>
          <w:rFonts w:eastAsia="MS Mincho"/>
          <w:b/>
          <w:bCs/>
          <w:i/>
          <w:sz w:val="20"/>
          <w:szCs w:val="20"/>
          <w:lang w:val="en-US"/>
        </w:rPr>
        <w:t>Rehabilitation</w:t>
      </w:r>
      <w:bookmarkEnd w:id="194"/>
      <w:bookmarkEnd w:id="195"/>
      <w:bookmarkEnd w:id="196"/>
    </w:p>
    <w:p w14:paraId="6849ECC1" w14:textId="77777777" w:rsidR="008D0B77" w:rsidRPr="00012C3F" w:rsidRDefault="008D0B77" w:rsidP="0013307D">
      <w:pPr>
        <w:tabs>
          <w:tab w:val="left" w:pos="720"/>
          <w:tab w:val="left" w:pos="851"/>
          <w:tab w:val="num" w:pos="1427"/>
        </w:tabs>
        <w:spacing w:line="240" w:lineRule="auto"/>
        <w:rPr>
          <w:b/>
          <w:sz w:val="20"/>
          <w:szCs w:val="20"/>
          <w:lang w:val="en-US"/>
        </w:rPr>
      </w:pPr>
    </w:p>
    <w:p w14:paraId="770CA02F" w14:textId="77777777" w:rsidR="0013307D" w:rsidRPr="00012C3F" w:rsidRDefault="00BD056C" w:rsidP="0013307D">
      <w:pPr>
        <w:numPr>
          <w:ilvl w:val="0"/>
          <w:numId w:val="5"/>
        </w:numPr>
        <w:tabs>
          <w:tab w:val="left" w:pos="720"/>
          <w:tab w:val="num" w:pos="12305"/>
        </w:tabs>
        <w:spacing w:line="240" w:lineRule="auto"/>
        <w:ind w:left="0" w:firstLine="0"/>
        <w:rPr>
          <w:lang w:val="en-US"/>
        </w:rPr>
      </w:pPr>
      <w:r w:rsidRPr="00012C3F">
        <w:rPr>
          <w:sz w:val="20"/>
          <w:szCs w:val="20"/>
          <w:lang w:val="en-US"/>
        </w:rPr>
        <w:t xml:space="preserve">The </w:t>
      </w:r>
      <w:r w:rsidRPr="00012C3F">
        <w:rPr>
          <w:b/>
          <w:bCs/>
          <w:i/>
          <w:iCs/>
          <w:sz w:val="20"/>
          <w:szCs w:val="20"/>
          <w:lang w:val="en-US"/>
        </w:rPr>
        <w:t>Commission</w:t>
      </w:r>
      <w:r w:rsidR="008D74EE" w:rsidRPr="00012C3F">
        <w:rPr>
          <w:sz w:val="20"/>
          <w:szCs w:val="20"/>
          <w:lang w:val="en-US"/>
        </w:rPr>
        <w:t xml:space="preserve"> </w:t>
      </w:r>
      <w:r w:rsidR="0013307D" w:rsidRPr="00012C3F">
        <w:rPr>
          <w:sz w:val="20"/>
          <w:szCs w:val="20"/>
          <w:lang w:val="en-US"/>
        </w:rPr>
        <w:t>asked that the Court order the Stat</w:t>
      </w:r>
      <w:r w:rsidR="00501966" w:rsidRPr="00012C3F">
        <w:rPr>
          <w:sz w:val="20"/>
          <w:szCs w:val="20"/>
          <w:lang w:val="en-US"/>
        </w:rPr>
        <w:t>e</w:t>
      </w:r>
      <w:r w:rsidR="0013307D" w:rsidRPr="00012C3F">
        <w:rPr>
          <w:sz w:val="20"/>
          <w:szCs w:val="20"/>
          <w:lang w:val="en-US"/>
        </w:rPr>
        <w:t xml:space="preserve"> to provide I.V. with high-quality medical care, tailored to her individual needs and appropriate to treat her medical conditions. </w:t>
      </w:r>
    </w:p>
    <w:p w14:paraId="3A6A1B2B" w14:textId="77777777" w:rsidR="008D0B77" w:rsidRPr="00012C3F" w:rsidRDefault="008D0B77" w:rsidP="0013307D">
      <w:pPr>
        <w:tabs>
          <w:tab w:val="left" w:pos="720"/>
          <w:tab w:val="left" w:pos="1134"/>
        </w:tabs>
        <w:spacing w:line="240" w:lineRule="auto"/>
        <w:rPr>
          <w:sz w:val="20"/>
          <w:szCs w:val="20"/>
          <w:lang w:val="en-US"/>
        </w:rPr>
      </w:pPr>
    </w:p>
    <w:p w14:paraId="13A11046" w14:textId="77777777" w:rsidR="00501966" w:rsidRPr="00012C3F" w:rsidRDefault="00972ACF" w:rsidP="0013307D">
      <w:pPr>
        <w:numPr>
          <w:ilvl w:val="0"/>
          <w:numId w:val="5"/>
        </w:numPr>
        <w:tabs>
          <w:tab w:val="left" w:pos="720"/>
          <w:tab w:val="num" w:pos="12305"/>
        </w:tabs>
        <w:spacing w:line="240" w:lineRule="auto"/>
        <w:ind w:left="0" w:firstLine="0"/>
        <w:rPr>
          <w:lang w:val="en-US"/>
        </w:rPr>
      </w:pPr>
      <w:r w:rsidRPr="00012C3F">
        <w:rPr>
          <w:sz w:val="20"/>
          <w:szCs w:val="20"/>
          <w:lang w:val="en-US"/>
        </w:rPr>
        <w:t xml:space="preserve">The </w:t>
      </w:r>
      <w:r w:rsidRPr="00012C3F">
        <w:rPr>
          <w:b/>
          <w:bCs/>
          <w:i/>
          <w:iCs/>
          <w:sz w:val="20"/>
          <w:szCs w:val="20"/>
          <w:lang w:val="en-US"/>
        </w:rPr>
        <w:t>representative</w:t>
      </w:r>
      <w:r w:rsidR="008D0B77" w:rsidRPr="00012C3F">
        <w:rPr>
          <w:sz w:val="20"/>
          <w:szCs w:val="20"/>
          <w:lang w:val="en-US"/>
        </w:rPr>
        <w:t xml:space="preserve"> </w:t>
      </w:r>
      <w:r w:rsidR="00501966" w:rsidRPr="00012C3F">
        <w:rPr>
          <w:sz w:val="20"/>
          <w:szCs w:val="20"/>
          <w:lang w:val="en-US"/>
        </w:rPr>
        <w:t>asked</w:t>
      </w:r>
      <w:r w:rsidR="008D0B77" w:rsidRPr="00012C3F">
        <w:rPr>
          <w:sz w:val="20"/>
          <w:szCs w:val="20"/>
          <w:lang w:val="en-US"/>
        </w:rPr>
        <w:t xml:space="preserve"> </w:t>
      </w:r>
      <w:r w:rsidR="001254DE" w:rsidRPr="00012C3F">
        <w:rPr>
          <w:sz w:val="20"/>
          <w:szCs w:val="20"/>
          <w:lang w:val="en-US"/>
        </w:rPr>
        <w:t>the Court</w:t>
      </w:r>
      <w:r w:rsidR="008D0B77" w:rsidRPr="00012C3F">
        <w:rPr>
          <w:sz w:val="20"/>
          <w:szCs w:val="20"/>
          <w:lang w:val="en-US"/>
        </w:rPr>
        <w:t xml:space="preserve"> </w:t>
      </w:r>
      <w:r w:rsidR="00501966" w:rsidRPr="00012C3F">
        <w:rPr>
          <w:sz w:val="20"/>
          <w:szCs w:val="20"/>
          <w:lang w:val="en-US"/>
        </w:rPr>
        <w:t>to order the State, following a medical, psychological and psychiatric appraisal, to provide, free of charge, through its specialized health care institutions, and immediately, adequately and effectively, medical, psychological and/or psychiatric treatment</w:t>
      </w:r>
      <w:r w:rsidR="00FB39C4" w:rsidRPr="00012C3F">
        <w:rPr>
          <w:sz w:val="20"/>
          <w:szCs w:val="20"/>
          <w:lang w:val="en-US"/>
        </w:rPr>
        <w:t>,</w:t>
      </w:r>
      <w:r w:rsidR="00501966" w:rsidRPr="00012C3F">
        <w:rPr>
          <w:sz w:val="20"/>
          <w:szCs w:val="20"/>
          <w:lang w:val="en-US"/>
        </w:rPr>
        <w:t xml:space="preserve"> if I.V., N.V. and L.A. requested this, following their prior informed consent. The representative also asked that this assistance should include the supply, free of charge, of any medicines that they might require, taking into consideration medical conditions related to the facts of this case. In addition, she asked that the respective treatment be provided, insofar as possible, in the center nearest to their place of residence, for as long as necessary. Lastly, the representative asked that the treatment or therapy provided should be paid for by the State, respond to the needs of the victims, and result from mutual agreement between the State and the beneficiaries.</w:t>
      </w:r>
    </w:p>
    <w:p w14:paraId="24FA0421" w14:textId="77777777" w:rsidR="008D0B77" w:rsidRPr="00012C3F" w:rsidRDefault="008D0B77" w:rsidP="008D0B77">
      <w:pPr>
        <w:tabs>
          <w:tab w:val="left" w:pos="709"/>
          <w:tab w:val="left" w:pos="1134"/>
        </w:tabs>
        <w:spacing w:line="240" w:lineRule="auto"/>
        <w:rPr>
          <w:b/>
          <w:sz w:val="20"/>
          <w:szCs w:val="20"/>
          <w:lang w:val="en-US"/>
        </w:rPr>
      </w:pPr>
    </w:p>
    <w:p w14:paraId="267D3065" w14:textId="77777777" w:rsidR="00DD78C7" w:rsidRPr="00012C3F" w:rsidRDefault="00A84CA0" w:rsidP="008E380A">
      <w:pPr>
        <w:numPr>
          <w:ilvl w:val="0"/>
          <w:numId w:val="5"/>
        </w:numPr>
        <w:tabs>
          <w:tab w:val="left" w:pos="720"/>
          <w:tab w:val="num" w:pos="12305"/>
        </w:tabs>
        <w:spacing w:line="240" w:lineRule="auto"/>
        <w:ind w:left="0" w:firstLine="0"/>
        <w:rPr>
          <w:b/>
          <w:bCs/>
          <w:i/>
          <w:sz w:val="20"/>
          <w:szCs w:val="20"/>
          <w:lang w:val="en-US"/>
        </w:rPr>
      </w:pPr>
      <w:r w:rsidRPr="00012C3F">
        <w:rPr>
          <w:sz w:val="20"/>
          <w:szCs w:val="20"/>
          <w:lang w:val="en-US"/>
        </w:rPr>
        <w:lastRenderedPageBreak/>
        <w:t xml:space="preserve">The </w:t>
      </w:r>
      <w:r w:rsidRPr="00012C3F">
        <w:rPr>
          <w:b/>
          <w:bCs/>
          <w:i/>
          <w:iCs/>
          <w:sz w:val="20"/>
          <w:szCs w:val="20"/>
          <w:lang w:val="en-US"/>
        </w:rPr>
        <w:t>State</w:t>
      </w:r>
      <w:r w:rsidR="008D0B77" w:rsidRPr="00012C3F">
        <w:rPr>
          <w:sz w:val="20"/>
          <w:szCs w:val="20"/>
          <w:lang w:val="en-US"/>
        </w:rPr>
        <w:t xml:space="preserve"> not</w:t>
      </w:r>
      <w:r w:rsidR="00501966" w:rsidRPr="00012C3F">
        <w:rPr>
          <w:sz w:val="20"/>
          <w:szCs w:val="20"/>
          <w:lang w:val="en-US"/>
        </w:rPr>
        <w:t xml:space="preserve">ed with concern that </w:t>
      </w:r>
      <w:r w:rsidR="00972ACF" w:rsidRPr="00012C3F">
        <w:rPr>
          <w:sz w:val="20"/>
          <w:szCs w:val="20"/>
          <w:lang w:val="en-US"/>
        </w:rPr>
        <w:t>the representative</w:t>
      </w:r>
      <w:r w:rsidR="008D0B77" w:rsidRPr="00012C3F">
        <w:rPr>
          <w:sz w:val="20"/>
          <w:szCs w:val="20"/>
          <w:lang w:val="en-US"/>
        </w:rPr>
        <w:t xml:space="preserve"> </w:t>
      </w:r>
      <w:r w:rsidR="00501966" w:rsidRPr="00012C3F">
        <w:rPr>
          <w:sz w:val="20"/>
          <w:szCs w:val="20"/>
          <w:lang w:val="en-US"/>
        </w:rPr>
        <w:t xml:space="preserve">had requested comprehensive measures of reparation in favor of </w:t>
      </w:r>
      <w:r w:rsidR="000E1C11" w:rsidRPr="00012C3F">
        <w:rPr>
          <w:sz w:val="20"/>
          <w:szCs w:val="20"/>
          <w:lang w:val="en-US"/>
        </w:rPr>
        <w:t>I.V.</w:t>
      </w:r>
      <w:r w:rsidR="008D0B77" w:rsidRPr="00012C3F">
        <w:rPr>
          <w:sz w:val="20"/>
          <w:szCs w:val="20"/>
          <w:lang w:val="en-US"/>
        </w:rPr>
        <w:t xml:space="preserve">, </w:t>
      </w:r>
      <w:r w:rsidR="000E1C11" w:rsidRPr="00012C3F">
        <w:rPr>
          <w:sz w:val="20"/>
          <w:szCs w:val="20"/>
          <w:lang w:val="en-US"/>
        </w:rPr>
        <w:t>N.V.</w:t>
      </w:r>
      <w:r w:rsidR="005E5012" w:rsidRPr="00012C3F">
        <w:rPr>
          <w:sz w:val="20"/>
          <w:szCs w:val="20"/>
          <w:lang w:val="en-US"/>
        </w:rPr>
        <w:t xml:space="preserve"> and </w:t>
      </w:r>
      <w:r w:rsidR="008D0B77" w:rsidRPr="00012C3F">
        <w:rPr>
          <w:sz w:val="20"/>
          <w:szCs w:val="20"/>
          <w:lang w:val="en-US"/>
        </w:rPr>
        <w:t xml:space="preserve">L.A., </w:t>
      </w:r>
      <w:r w:rsidR="00501966" w:rsidRPr="00012C3F">
        <w:rPr>
          <w:sz w:val="20"/>
          <w:szCs w:val="20"/>
          <w:lang w:val="en-US"/>
        </w:rPr>
        <w:t>without considering that</w:t>
      </w:r>
      <w:r w:rsidR="008D0B77" w:rsidRPr="00012C3F">
        <w:rPr>
          <w:sz w:val="20"/>
          <w:szCs w:val="20"/>
          <w:lang w:val="en-US"/>
        </w:rPr>
        <w:t xml:space="preserve"> </w:t>
      </w:r>
      <w:r w:rsidR="006D754E" w:rsidRPr="00012C3F">
        <w:rPr>
          <w:sz w:val="20"/>
          <w:szCs w:val="20"/>
          <w:lang w:val="en-US"/>
        </w:rPr>
        <w:t>“</w:t>
      </w:r>
      <w:r w:rsidR="008D0B77" w:rsidRPr="00012C3F">
        <w:rPr>
          <w:sz w:val="20"/>
          <w:szCs w:val="20"/>
          <w:lang w:val="en-US"/>
        </w:rPr>
        <w:t>[</w:t>
      </w:r>
      <w:r w:rsidR="00DD78C7" w:rsidRPr="00012C3F">
        <w:rPr>
          <w:sz w:val="20"/>
          <w:szCs w:val="20"/>
          <w:lang w:val="en-US"/>
        </w:rPr>
        <w:t>t</w:t>
      </w:r>
      <w:r w:rsidR="008D0B77" w:rsidRPr="00012C3F">
        <w:rPr>
          <w:sz w:val="20"/>
          <w:szCs w:val="20"/>
          <w:lang w:val="en-US"/>
        </w:rPr>
        <w:t>]</w:t>
      </w:r>
      <w:r w:rsidR="00DD78C7" w:rsidRPr="00012C3F">
        <w:rPr>
          <w:sz w:val="20"/>
          <w:szCs w:val="20"/>
          <w:lang w:val="en-US"/>
        </w:rPr>
        <w:t xml:space="preserve">he aftereffects that I.V. is alleging today, are the result, as she herself has acknowledged, of the acts of torture to which she </w:t>
      </w:r>
      <w:r w:rsidR="00FB39C4" w:rsidRPr="00012C3F">
        <w:rPr>
          <w:sz w:val="20"/>
          <w:szCs w:val="20"/>
          <w:lang w:val="en-US"/>
        </w:rPr>
        <w:t>was</w:t>
      </w:r>
      <w:r w:rsidR="00DD78C7" w:rsidRPr="00012C3F">
        <w:rPr>
          <w:sz w:val="20"/>
          <w:szCs w:val="20"/>
          <w:lang w:val="en-US"/>
        </w:rPr>
        <w:t xml:space="preserve"> subjected in Peru and, therefore, do not correspond to the surgical procedure that is the subject of these proceedings” and that “[a]ny problems that N.V. and L.A. may display cannot be considered a result of a State intervention; [but rather] a consequence of their way of life owing to I.V.’s psychological traumas, resulting from the alleged torture suffered in Peru.” In this regard, the State argued that “since consent is a categorical requirement for the absence of international responsibility, [it] considers the request for comprehensive reparation for I.V., N.V. and L.A. to be totally inadmissible.” The State asked the Court to “take into account that I.V. never requested a reversal of the tubal ligation and this, at the very least, </w:t>
      </w:r>
      <w:r w:rsidR="008E380A" w:rsidRPr="00012C3F">
        <w:rPr>
          <w:sz w:val="20"/>
          <w:szCs w:val="20"/>
          <w:lang w:val="en-US"/>
        </w:rPr>
        <w:t>calls into question the presumed victim’s statements on the serious harm done to her life project.”</w:t>
      </w:r>
    </w:p>
    <w:p w14:paraId="2BB65455" w14:textId="77777777" w:rsidR="008D0B77" w:rsidRPr="00012C3F" w:rsidRDefault="008D0B77" w:rsidP="008D0B77">
      <w:pPr>
        <w:pStyle w:val="Prrafodelista2"/>
        <w:tabs>
          <w:tab w:val="left" w:pos="0"/>
          <w:tab w:val="num" w:pos="12305"/>
        </w:tabs>
        <w:ind w:right="-90"/>
        <w:jc w:val="both"/>
        <w:rPr>
          <w:b/>
          <w:lang w:val="en-US"/>
        </w:rPr>
      </w:pPr>
    </w:p>
    <w:p w14:paraId="0CCDF8DB" w14:textId="77777777" w:rsidR="00084D24" w:rsidRPr="00012C3F" w:rsidRDefault="008D0B77" w:rsidP="008E380A">
      <w:pPr>
        <w:numPr>
          <w:ilvl w:val="0"/>
          <w:numId w:val="5"/>
        </w:numPr>
        <w:tabs>
          <w:tab w:val="left" w:pos="720"/>
          <w:tab w:val="num" w:pos="12305"/>
        </w:tabs>
        <w:spacing w:line="240" w:lineRule="auto"/>
        <w:ind w:left="0" w:firstLine="0"/>
        <w:rPr>
          <w:bCs/>
          <w:i/>
          <w:sz w:val="20"/>
          <w:szCs w:val="20"/>
          <w:lang w:val="en-US"/>
        </w:rPr>
      </w:pPr>
      <w:r w:rsidRPr="00012C3F">
        <w:rPr>
          <w:sz w:val="20"/>
          <w:szCs w:val="20"/>
          <w:lang w:val="en-US"/>
        </w:rPr>
        <w:t>Ha</w:t>
      </w:r>
      <w:r w:rsidR="008E380A" w:rsidRPr="00012C3F">
        <w:rPr>
          <w:sz w:val="20"/>
          <w:szCs w:val="20"/>
          <w:lang w:val="en-US"/>
        </w:rPr>
        <w:t xml:space="preserve">ving verified the serious harm to her </w:t>
      </w:r>
      <w:r w:rsidR="006C705C" w:rsidRPr="00012C3F">
        <w:rPr>
          <w:sz w:val="20"/>
          <w:szCs w:val="20"/>
          <w:lang w:val="en-US"/>
        </w:rPr>
        <w:t>personal integrity</w:t>
      </w:r>
      <w:r w:rsidRPr="00012C3F">
        <w:rPr>
          <w:sz w:val="20"/>
          <w:szCs w:val="20"/>
          <w:lang w:val="en-US"/>
        </w:rPr>
        <w:t xml:space="preserve"> suf</w:t>
      </w:r>
      <w:r w:rsidR="008E380A" w:rsidRPr="00012C3F">
        <w:rPr>
          <w:sz w:val="20"/>
          <w:szCs w:val="20"/>
          <w:lang w:val="en-US"/>
        </w:rPr>
        <w:t>fered by I.V. as a result of the facts of this case</w:t>
      </w:r>
      <w:r w:rsidRPr="00012C3F">
        <w:rPr>
          <w:sz w:val="20"/>
          <w:szCs w:val="20"/>
          <w:lang w:val="en-US"/>
        </w:rPr>
        <w:t xml:space="preserve"> (</w:t>
      </w:r>
      <w:r w:rsidRPr="00012C3F">
        <w:rPr>
          <w:i/>
          <w:sz w:val="20"/>
          <w:szCs w:val="20"/>
          <w:lang w:val="en-US"/>
        </w:rPr>
        <w:t>supra</w:t>
      </w:r>
      <w:r w:rsidRPr="00012C3F">
        <w:rPr>
          <w:sz w:val="20"/>
          <w:szCs w:val="20"/>
          <w:lang w:val="en-US"/>
        </w:rPr>
        <w:t xml:space="preserve"> </w:t>
      </w:r>
      <w:r w:rsidR="00F07712" w:rsidRPr="00012C3F">
        <w:rPr>
          <w:sz w:val="20"/>
          <w:szCs w:val="20"/>
          <w:lang w:val="en-US"/>
        </w:rPr>
        <w:t>Chapter</w:t>
      </w:r>
      <w:r w:rsidRPr="00012C3F">
        <w:rPr>
          <w:sz w:val="20"/>
          <w:szCs w:val="20"/>
          <w:lang w:val="en-US"/>
        </w:rPr>
        <w:t xml:space="preserve"> VIII-2), </w:t>
      </w:r>
      <w:r w:rsidR="001254DE" w:rsidRPr="00012C3F">
        <w:rPr>
          <w:sz w:val="20"/>
          <w:szCs w:val="20"/>
          <w:lang w:val="en-US"/>
        </w:rPr>
        <w:t>the Court</w:t>
      </w:r>
      <w:r w:rsidRPr="00012C3F">
        <w:rPr>
          <w:sz w:val="20"/>
          <w:szCs w:val="20"/>
          <w:lang w:val="en-US"/>
        </w:rPr>
        <w:t xml:space="preserve"> </w:t>
      </w:r>
      <w:r w:rsidR="008E380A" w:rsidRPr="00012C3F">
        <w:rPr>
          <w:sz w:val="20"/>
          <w:szCs w:val="20"/>
          <w:lang w:val="en-US"/>
        </w:rPr>
        <w:t>finds, as it has in other cases,</w:t>
      </w:r>
      <w:r w:rsidRPr="00012C3F">
        <w:rPr>
          <w:sz w:val="20"/>
          <w:szCs w:val="20"/>
          <w:vertAlign w:val="superscript"/>
          <w:lang w:val="en-US"/>
        </w:rPr>
        <w:footnoteReference w:id="403"/>
      </w:r>
      <w:r w:rsidR="008E380A" w:rsidRPr="00012C3F">
        <w:rPr>
          <w:sz w:val="20"/>
          <w:szCs w:val="20"/>
          <w:lang w:val="en-US"/>
        </w:rPr>
        <w:t xml:space="preserve"> that it is necessary to establish a measure of reparation that provide adequate care for the victim’s physical and psychological ailments, according to her gender specificity</w:t>
      </w:r>
      <w:r w:rsidRPr="00012C3F">
        <w:rPr>
          <w:rStyle w:val="Refdenotaalpie"/>
          <w:rFonts w:eastAsia="MS ????"/>
          <w:sz w:val="20"/>
          <w:szCs w:val="20"/>
          <w:lang w:val="en-US"/>
        </w:rPr>
        <w:footnoteReference w:id="404"/>
      </w:r>
      <w:r w:rsidR="005E5012" w:rsidRPr="00012C3F">
        <w:rPr>
          <w:sz w:val="20"/>
          <w:szCs w:val="20"/>
          <w:lang w:val="en-US"/>
        </w:rPr>
        <w:t xml:space="preserve"> and </w:t>
      </w:r>
      <w:r w:rsidR="008E380A" w:rsidRPr="00012C3F">
        <w:rPr>
          <w:sz w:val="20"/>
          <w:szCs w:val="20"/>
          <w:lang w:val="en-US"/>
        </w:rPr>
        <w:t>history. To contribute to redressing this harm, the Court establishes the obligation of the State to provide</w:t>
      </w:r>
      <w:r w:rsidR="00E91557" w:rsidRPr="00012C3F">
        <w:rPr>
          <w:sz w:val="20"/>
          <w:szCs w:val="20"/>
          <w:lang w:val="en-US"/>
        </w:rPr>
        <w:t xml:space="preserve"> medical care to I.V.</w:t>
      </w:r>
      <w:r w:rsidR="008E380A" w:rsidRPr="00012C3F">
        <w:rPr>
          <w:sz w:val="20"/>
          <w:szCs w:val="20"/>
          <w:lang w:val="en-US"/>
        </w:rPr>
        <w:t xml:space="preserve">, free of charge, through </w:t>
      </w:r>
      <w:r w:rsidR="009D3EE9" w:rsidRPr="00012C3F">
        <w:rPr>
          <w:sz w:val="20"/>
          <w:szCs w:val="20"/>
          <w:lang w:val="en-US"/>
        </w:rPr>
        <w:t>its</w:t>
      </w:r>
      <w:r w:rsidR="008E380A" w:rsidRPr="00012C3F">
        <w:rPr>
          <w:sz w:val="20"/>
          <w:szCs w:val="20"/>
          <w:lang w:val="en-US"/>
        </w:rPr>
        <w:t xml:space="preserve"> specialized health institutions and immediately, adequately and effectively, specifically in the area of sexual and reproductive health, as well as psychological and/or psychiatric treatment, including the free supply of any medicines she might eventually require, taking into account her </w:t>
      </w:r>
      <w:r w:rsidR="00E91557" w:rsidRPr="00012C3F">
        <w:rPr>
          <w:sz w:val="20"/>
          <w:szCs w:val="20"/>
          <w:lang w:val="en-US"/>
        </w:rPr>
        <w:t>condition</w:t>
      </w:r>
      <w:r w:rsidR="008E380A" w:rsidRPr="00012C3F">
        <w:rPr>
          <w:sz w:val="20"/>
          <w:szCs w:val="20"/>
          <w:lang w:val="en-US"/>
        </w:rPr>
        <w:t xml:space="preserve">s. This signifies that I.V. must receive differentiated treatment </w:t>
      </w:r>
      <w:r w:rsidR="00E91557" w:rsidRPr="00012C3F">
        <w:rPr>
          <w:sz w:val="20"/>
          <w:szCs w:val="20"/>
          <w:lang w:val="en-US"/>
        </w:rPr>
        <w:t>in relation to</w:t>
      </w:r>
      <w:r w:rsidR="008E380A" w:rsidRPr="00012C3F">
        <w:rPr>
          <w:sz w:val="20"/>
          <w:szCs w:val="20"/>
          <w:lang w:val="en-US"/>
        </w:rPr>
        <w:t xml:space="preserve"> the process and procedure required to be attended in public hospitals. Also, the respective treatments must be provided, insofar as possible, in the centers nearest to her place of residence in Bolivia, for as long as necessary. In particular, the psychological treatment should be provided by State personnel and institutions specialized in attending to victims of facts such as those that occurred in this case related to the victim’s</w:t>
      </w:r>
      <w:r w:rsidR="008E380A" w:rsidRPr="00012C3F">
        <w:rPr>
          <w:bCs/>
          <w:i/>
          <w:sz w:val="20"/>
          <w:szCs w:val="20"/>
          <w:lang w:val="en-US"/>
        </w:rPr>
        <w:t xml:space="preserve"> </w:t>
      </w:r>
      <w:r w:rsidR="00A54991" w:rsidRPr="00012C3F">
        <w:rPr>
          <w:sz w:val="20"/>
          <w:szCs w:val="20"/>
          <w:lang w:val="en-US"/>
        </w:rPr>
        <w:t>sexual and reproductive health</w:t>
      </w:r>
      <w:r w:rsidR="008E380A" w:rsidRPr="00012C3F">
        <w:rPr>
          <w:sz w:val="20"/>
          <w:szCs w:val="20"/>
          <w:lang w:val="en-US"/>
        </w:rPr>
        <w:t>.</w:t>
      </w:r>
      <w:r w:rsidRPr="00012C3F">
        <w:rPr>
          <w:rStyle w:val="Refdenotaalpie"/>
          <w:rFonts w:eastAsia="MS ????"/>
          <w:sz w:val="20"/>
          <w:szCs w:val="20"/>
          <w:lang w:val="en-US"/>
        </w:rPr>
        <w:footnoteReference w:id="405"/>
      </w:r>
      <w:r w:rsidR="008E380A" w:rsidRPr="00012C3F">
        <w:rPr>
          <w:sz w:val="20"/>
          <w:szCs w:val="20"/>
          <w:lang w:val="en-US"/>
        </w:rPr>
        <w:t xml:space="preserve"> When providing the psychological and/or psychiatric treatment,</w:t>
      </w:r>
      <w:r w:rsidR="00084D24" w:rsidRPr="00012C3F">
        <w:rPr>
          <w:sz w:val="20"/>
          <w:szCs w:val="20"/>
          <w:lang w:val="en-US"/>
        </w:rPr>
        <w:t xml:space="preserve"> the particular circumstances and needs of the victim must be considered, so that she is provide with family and individual treatment, as agreed with her and following an individual evaluation. In this regard, and based on I.V.’s condition, an evaluation should be made of whether to include the members of her family in the treatment. I.V. has six month from </w:t>
      </w:r>
      <w:r w:rsidR="000F735E" w:rsidRPr="00012C3F">
        <w:rPr>
          <w:sz w:val="20"/>
          <w:szCs w:val="20"/>
          <w:lang w:val="en-US"/>
        </w:rPr>
        <w:t>notification of this judgment</w:t>
      </w:r>
      <w:r w:rsidR="00084D24" w:rsidRPr="00012C3F">
        <w:rPr>
          <w:sz w:val="20"/>
          <w:szCs w:val="20"/>
          <w:lang w:val="en-US"/>
        </w:rPr>
        <w:t xml:space="preserve"> to advise the State of her intention to receive psychological and/or psychiatric treatment, and the State shall have two months from the date it receives this request to provide the psychological and/or psychiatric treatment requested.</w:t>
      </w:r>
    </w:p>
    <w:p w14:paraId="54D090F8" w14:textId="77777777" w:rsidR="008D0B77" w:rsidRPr="00012C3F" w:rsidRDefault="008D0B77" w:rsidP="008D0B77">
      <w:pPr>
        <w:pStyle w:val="Prrafodelista2"/>
        <w:tabs>
          <w:tab w:val="left" w:pos="0"/>
          <w:tab w:val="num" w:pos="12305"/>
        </w:tabs>
        <w:ind w:left="0" w:right="-90"/>
        <w:jc w:val="both"/>
        <w:rPr>
          <w:rFonts w:cs="Verdana"/>
          <w:lang w:val="en-US"/>
        </w:rPr>
      </w:pPr>
    </w:p>
    <w:p w14:paraId="605668C3" w14:textId="77777777" w:rsidR="008D0B77" w:rsidRPr="00012C3F" w:rsidRDefault="009867D6" w:rsidP="009867D6">
      <w:pPr>
        <w:keepNext/>
        <w:keepLines/>
        <w:tabs>
          <w:tab w:val="left" w:pos="1134"/>
        </w:tabs>
        <w:spacing w:line="240" w:lineRule="auto"/>
        <w:ind w:left="567" w:firstLine="1"/>
        <w:outlineLvl w:val="1"/>
        <w:rPr>
          <w:rFonts w:eastAsia="MS Mincho"/>
          <w:b/>
          <w:bCs/>
          <w:i/>
          <w:sz w:val="20"/>
          <w:szCs w:val="20"/>
          <w:lang w:val="en-US"/>
        </w:rPr>
      </w:pPr>
      <w:bookmarkStart w:id="197" w:name="_Toc461637448"/>
      <w:bookmarkStart w:id="198" w:name="_Toc462310924"/>
      <w:bookmarkStart w:id="199" w:name="_Toc27486890"/>
      <w:r w:rsidRPr="00012C3F">
        <w:rPr>
          <w:rFonts w:eastAsia="MS Mincho"/>
          <w:b/>
          <w:bCs/>
          <w:i/>
          <w:sz w:val="20"/>
          <w:szCs w:val="20"/>
          <w:lang w:val="en-US"/>
        </w:rPr>
        <w:t>C.</w:t>
      </w:r>
      <w:r w:rsidRPr="00012C3F">
        <w:rPr>
          <w:rFonts w:eastAsia="MS Mincho"/>
          <w:b/>
          <w:bCs/>
          <w:i/>
          <w:sz w:val="20"/>
          <w:szCs w:val="20"/>
          <w:lang w:val="en-US"/>
        </w:rPr>
        <w:tab/>
      </w:r>
      <w:r w:rsidR="00A710F6" w:rsidRPr="00012C3F">
        <w:rPr>
          <w:rFonts w:eastAsia="MS Mincho"/>
          <w:b/>
          <w:bCs/>
          <w:i/>
          <w:sz w:val="20"/>
          <w:szCs w:val="20"/>
          <w:lang w:val="en-US"/>
        </w:rPr>
        <w:t>Satisfaction</w:t>
      </w:r>
      <w:bookmarkEnd w:id="197"/>
      <w:bookmarkEnd w:id="198"/>
      <w:bookmarkEnd w:id="199"/>
    </w:p>
    <w:p w14:paraId="6DFDE58A" w14:textId="77777777" w:rsidR="008D0B77" w:rsidRPr="00012C3F" w:rsidRDefault="008D0B77" w:rsidP="008F2376">
      <w:pPr>
        <w:pStyle w:val="Prrafodelista2"/>
        <w:tabs>
          <w:tab w:val="left" w:pos="0"/>
          <w:tab w:val="num" w:pos="12305"/>
        </w:tabs>
        <w:ind w:left="0" w:right="-90"/>
        <w:jc w:val="both"/>
        <w:rPr>
          <w:rFonts w:cs="Verdana"/>
          <w:b/>
          <w:bCs/>
          <w:i/>
          <w:iCs/>
          <w:lang w:val="en-US"/>
        </w:rPr>
      </w:pPr>
    </w:p>
    <w:p w14:paraId="405BE421" w14:textId="77777777" w:rsidR="008D0B77" w:rsidRPr="00012C3F" w:rsidRDefault="00972ACF" w:rsidP="00583DC0">
      <w:pPr>
        <w:numPr>
          <w:ilvl w:val="0"/>
          <w:numId w:val="5"/>
        </w:numPr>
        <w:tabs>
          <w:tab w:val="left" w:pos="0"/>
          <w:tab w:val="left" w:pos="720"/>
          <w:tab w:val="num" w:pos="12305"/>
        </w:tabs>
        <w:spacing w:line="240" w:lineRule="auto"/>
        <w:ind w:left="0" w:right="-90" w:firstLine="0"/>
        <w:rPr>
          <w:b/>
          <w:lang w:val="en-US"/>
        </w:rPr>
      </w:pPr>
      <w:r w:rsidRPr="00012C3F">
        <w:rPr>
          <w:sz w:val="20"/>
          <w:szCs w:val="20"/>
          <w:lang w:val="en-US"/>
        </w:rPr>
        <w:t xml:space="preserve">The </w:t>
      </w:r>
      <w:r w:rsidRPr="00012C3F">
        <w:rPr>
          <w:b/>
          <w:bCs/>
          <w:i/>
          <w:iCs/>
          <w:sz w:val="20"/>
          <w:szCs w:val="20"/>
          <w:lang w:val="en-US"/>
        </w:rPr>
        <w:t>representative</w:t>
      </w:r>
      <w:r w:rsidR="008D0B77" w:rsidRPr="00012C3F">
        <w:rPr>
          <w:b/>
          <w:sz w:val="20"/>
          <w:szCs w:val="20"/>
          <w:lang w:val="en-US"/>
        </w:rPr>
        <w:t xml:space="preserve"> </w:t>
      </w:r>
      <w:r w:rsidR="006500A3" w:rsidRPr="00012C3F">
        <w:rPr>
          <w:sz w:val="20"/>
          <w:szCs w:val="20"/>
          <w:lang w:val="en-US"/>
        </w:rPr>
        <w:t>asked</w:t>
      </w:r>
      <w:r w:rsidR="008D0B77" w:rsidRPr="00012C3F">
        <w:rPr>
          <w:sz w:val="20"/>
          <w:szCs w:val="20"/>
          <w:lang w:val="en-US"/>
        </w:rPr>
        <w:t xml:space="preserve"> </w:t>
      </w:r>
      <w:r w:rsidR="001254DE" w:rsidRPr="00012C3F">
        <w:rPr>
          <w:sz w:val="20"/>
          <w:szCs w:val="20"/>
          <w:lang w:val="en-US"/>
        </w:rPr>
        <w:t>the Court</w:t>
      </w:r>
      <w:r w:rsidR="008D0B77" w:rsidRPr="00012C3F">
        <w:rPr>
          <w:sz w:val="20"/>
          <w:szCs w:val="20"/>
          <w:lang w:val="en-US"/>
        </w:rPr>
        <w:t xml:space="preserve"> </w:t>
      </w:r>
      <w:r w:rsidR="006500A3" w:rsidRPr="00012C3F">
        <w:rPr>
          <w:sz w:val="20"/>
          <w:szCs w:val="20"/>
          <w:lang w:val="en-US"/>
        </w:rPr>
        <w:t xml:space="preserve">to order the State to publish the judgment in one of </w:t>
      </w:r>
      <w:r w:rsidR="00E91557" w:rsidRPr="00012C3F">
        <w:rPr>
          <w:sz w:val="20"/>
          <w:szCs w:val="20"/>
          <w:lang w:val="en-US"/>
        </w:rPr>
        <w:t xml:space="preserve">the </w:t>
      </w:r>
      <w:r w:rsidR="006500A3" w:rsidRPr="00012C3F">
        <w:rPr>
          <w:sz w:val="20"/>
          <w:szCs w:val="20"/>
          <w:lang w:val="en-US"/>
        </w:rPr>
        <w:t xml:space="preserve">two La Paz newspapers with the most widespread circulation throughout out the country </w:t>
      </w:r>
      <w:r w:rsidR="008D0B77" w:rsidRPr="00012C3F">
        <w:rPr>
          <w:sz w:val="20"/>
          <w:szCs w:val="20"/>
          <w:lang w:val="en-US"/>
        </w:rPr>
        <w:t>(“</w:t>
      </w:r>
      <w:r w:rsidR="008D0B77" w:rsidRPr="00012C3F">
        <w:rPr>
          <w:i/>
          <w:iCs/>
          <w:sz w:val="20"/>
          <w:szCs w:val="20"/>
          <w:lang w:val="en-US"/>
        </w:rPr>
        <w:t xml:space="preserve">La </w:t>
      </w:r>
      <w:r w:rsidR="00D8020C" w:rsidRPr="00012C3F">
        <w:rPr>
          <w:i/>
          <w:iCs/>
          <w:sz w:val="20"/>
          <w:szCs w:val="20"/>
          <w:lang w:val="en-US"/>
        </w:rPr>
        <w:t>R</w:t>
      </w:r>
      <w:r w:rsidR="008D0B77" w:rsidRPr="00012C3F">
        <w:rPr>
          <w:i/>
          <w:iCs/>
          <w:sz w:val="20"/>
          <w:szCs w:val="20"/>
          <w:lang w:val="en-US"/>
        </w:rPr>
        <w:t>azón”</w:t>
      </w:r>
      <w:r w:rsidR="005E5012" w:rsidRPr="00012C3F">
        <w:rPr>
          <w:i/>
          <w:iCs/>
          <w:sz w:val="20"/>
          <w:szCs w:val="20"/>
          <w:lang w:val="en-US"/>
        </w:rPr>
        <w:t xml:space="preserve"> </w:t>
      </w:r>
      <w:r w:rsidR="005E5012" w:rsidRPr="00012C3F">
        <w:rPr>
          <w:sz w:val="20"/>
          <w:szCs w:val="20"/>
          <w:lang w:val="en-US"/>
        </w:rPr>
        <w:t xml:space="preserve">and </w:t>
      </w:r>
      <w:r w:rsidR="008D0B77" w:rsidRPr="00012C3F">
        <w:rPr>
          <w:sz w:val="20"/>
          <w:szCs w:val="20"/>
          <w:lang w:val="en-US"/>
        </w:rPr>
        <w:t>“</w:t>
      </w:r>
      <w:r w:rsidR="008D0B77" w:rsidRPr="00012C3F">
        <w:rPr>
          <w:i/>
          <w:iCs/>
          <w:sz w:val="20"/>
          <w:szCs w:val="20"/>
          <w:lang w:val="en-US"/>
        </w:rPr>
        <w:t>Página Siete</w:t>
      </w:r>
      <w:r w:rsidR="008D0B77" w:rsidRPr="00012C3F">
        <w:rPr>
          <w:sz w:val="20"/>
          <w:szCs w:val="20"/>
          <w:lang w:val="en-US"/>
        </w:rPr>
        <w:t xml:space="preserve">”); </w:t>
      </w:r>
      <w:r w:rsidR="006500A3" w:rsidRPr="00012C3F">
        <w:rPr>
          <w:sz w:val="20"/>
          <w:szCs w:val="20"/>
          <w:lang w:val="en-US"/>
        </w:rPr>
        <w:t xml:space="preserve">in the Government’s official newspaper </w:t>
      </w:r>
      <w:r w:rsidR="008D0B77" w:rsidRPr="00012C3F">
        <w:rPr>
          <w:sz w:val="20"/>
          <w:szCs w:val="20"/>
          <w:lang w:val="en-US"/>
        </w:rPr>
        <w:t>(“</w:t>
      </w:r>
      <w:r w:rsidR="008D0B77" w:rsidRPr="00012C3F">
        <w:rPr>
          <w:i/>
          <w:iCs/>
          <w:sz w:val="20"/>
          <w:szCs w:val="20"/>
          <w:lang w:val="en-US"/>
        </w:rPr>
        <w:t>Cambio</w:t>
      </w:r>
      <w:r w:rsidR="008D0B77" w:rsidRPr="00012C3F">
        <w:rPr>
          <w:sz w:val="20"/>
          <w:szCs w:val="20"/>
          <w:lang w:val="en-US"/>
        </w:rPr>
        <w:t>”),</w:t>
      </w:r>
      <w:r w:rsidR="005E5012" w:rsidRPr="00012C3F">
        <w:rPr>
          <w:sz w:val="20"/>
          <w:szCs w:val="20"/>
          <w:lang w:val="en-US"/>
        </w:rPr>
        <w:t xml:space="preserve"> and</w:t>
      </w:r>
      <w:r w:rsidR="006500A3" w:rsidRPr="00012C3F">
        <w:rPr>
          <w:sz w:val="20"/>
          <w:szCs w:val="20"/>
          <w:lang w:val="en-US"/>
        </w:rPr>
        <w:t xml:space="preserve"> in the Official Gazette. In addition, </w:t>
      </w:r>
      <w:r w:rsidRPr="00012C3F">
        <w:rPr>
          <w:sz w:val="20"/>
          <w:szCs w:val="20"/>
          <w:lang w:val="en-US"/>
        </w:rPr>
        <w:t>the representative</w:t>
      </w:r>
      <w:r w:rsidR="008D0B77" w:rsidRPr="00012C3F">
        <w:rPr>
          <w:sz w:val="20"/>
          <w:szCs w:val="20"/>
          <w:lang w:val="en-US"/>
        </w:rPr>
        <w:t xml:space="preserve"> requ</w:t>
      </w:r>
      <w:r w:rsidR="006500A3" w:rsidRPr="00012C3F">
        <w:rPr>
          <w:sz w:val="20"/>
          <w:szCs w:val="20"/>
          <w:lang w:val="en-US"/>
        </w:rPr>
        <w:t>ested that the State organize an act to offer a public apology to I.V. for the violations suffered</w:t>
      </w:r>
      <w:r w:rsidR="008D0B77" w:rsidRPr="00012C3F">
        <w:rPr>
          <w:sz w:val="20"/>
          <w:szCs w:val="20"/>
          <w:lang w:val="en-US"/>
        </w:rPr>
        <w:t xml:space="preserve"> </w:t>
      </w:r>
      <w:r w:rsidR="006C705C" w:rsidRPr="00012C3F">
        <w:rPr>
          <w:sz w:val="20"/>
          <w:szCs w:val="20"/>
          <w:lang w:val="en-US"/>
        </w:rPr>
        <w:t>in relation to</w:t>
      </w:r>
      <w:r w:rsidR="008D0B77" w:rsidRPr="00012C3F">
        <w:rPr>
          <w:sz w:val="20"/>
          <w:szCs w:val="20"/>
          <w:lang w:val="en-US"/>
        </w:rPr>
        <w:t xml:space="preserve"> </w:t>
      </w:r>
      <w:r w:rsidR="00271E24" w:rsidRPr="00012C3F">
        <w:rPr>
          <w:sz w:val="20"/>
          <w:szCs w:val="20"/>
          <w:lang w:val="en-US"/>
        </w:rPr>
        <w:t>non-consensual sterilization</w:t>
      </w:r>
      <w:r w:rsidR="005E5012" w:rsidRPr="00012C3F">
        <w:rPr>
          <w:sz w:val="20"/>
          <w:szCs w:val="20"/>
          <w:lang w:val="en-US"/>
        </w:rPr>
        <w:t xml:space="preserve"> and </w:t>
      </w:r>
      <w:r w:rsidR="006500A3" w:rsidRPr="00012C3F">
        <w:rPr>
          <w:sz w:val="20"/>
          <w:szCs w:val="20"/>
          <w:lang w:val="en-US"/>
        </w:rPr>
        <w:t xml:space="preserve">the denial of justice. In this regard, </w:t>
      </w:r>
      <w:r w:rsidRPr="00012C3F">
        <w:rPr>
          <w:sz w:val="20"/>
          <w:szCs w:val="20"/>
          <w:lang w:val="en-US"/>
        </w:rPr>
        <w:t>the representative</w:t>
      </w:r>
      <w:r w:rsidR="008D0B77" w:rsidRPr="00012C3F">
        <w:rPr>
          <w:sz w:val="20"/>
          <w:szCs w:val="20"/>
          <w:lang w:val="en-US"/>
        </w:rPr>
        <w:t xml:space="preserve"> </w:t>
      </w:r>
      <w:r w:rsidR="006500A3" w:rsidRPr="00012C3F">
        <w:rPr>
          <w:sz w:val="20"/>
          <w:szCs w:val="20"/>
          <w:lang w:val="en-US"/>
        </w:rPr>
        <w:t xml:space="preserve">asked that the apology should be made by a senior State official, and that the act be organized and carried out in coordination with </w:t>
      </w:r>
      <w:r w:rsidR="000E1C11" w:rsidRPr="00012C3F">
        <w:rPr>
          <w:sz w:val="20"/>
          <w:szCs w:val="20"/>
          <w:lang w:val="en-US"/>
        </w:rPr>
        <w:t>I.V.</w:t>
      </w:r>
      <w:r w:rsidR="008D0B77" w:rsidRPr="00012C3F">
        <w:rPr>
          <w:lang w:val="en-US"/>
        </w:rPr>
        <w:t xml:space="preserve"> </w:t>
      </w:r>
      <w:r w:rsidR="006500A3" w:rsidRPr="00012C3F">
        <w:rPr>
          <w:sz w:val="20"/>
          <w:szCs w:val="20"/>
          <w:lang w:val="en-US"/>
        </w:rPr>
        <w:t xml:space="preserve">During the public </w:t>
      </w:r>
      <w:r w:rsidR="006500A3" w:rsidRPr="00012C3F">
        <w:rPr>
          <w:sz w:val="20"/>
          <w:szCs w:val="20"/>
          <w:lang w:val="en-US"/>
        </w:rPr>
        <w:lastRenderedPageBreak/>
        <w:t>hearing, t</w:t>
      </w:r>
      <w:r w:rsidR="00BD056C" w:rsidRPr="00012C3F">
        <w:rPr>
          <w:sz w:val="20"/>
          <w:szCs w:val="20"/>
          <w:lang w:val="en-US"/>
        </w:rPr>
        <w:t xml:space="preserve">he </w:t>
      </w:r>
      <w:r w:rsidR="00BD056C" w:rsidRPr="00012C3F">
        <w:rPr>
          <w:b/>
          <w:bCs/>
          <w:i/>
          <w:iCs/>
          <w:sz w:val="20"/>
          <w:szCs w:val="20"/>
          <w:lang w:val="en-US"/>
        </w:rPr>
        <w:t>Commission</w:t>
      </w:r>
      <w:r w:rsidR="008D0B77" w:rsidRPr="00012C3F">
        <w:rPr>
          <w:b/>
          <w:i/>
          <w:sz w:val="20"/>
          <w:szCs w:val="20"/>
          <w:lang w:val="en-US"/>
        </w:rPr>
        <w:t xml:space="preserve"> </w:t>
      </w:r>
      <w:r w:rsidR="006500A3" w:rsidRPr="00012C3F">
        <w:rPr>
          <w:sz w:val="20"/>
          <w:szCs w:val="20"/>
          <w:lang w:val="en-US"/>
        </w:rPr>
        <w:t>asked</w:t>
      </w:r>
      <w:r w:rsidR="008D0B77" w:rsidRPr="00012C3F">
        <w:rPr>
          <w:sz w:val="20"/>
          <w:szCs w:val="20"/>
          <w:lang w:val="en-US"/>
        </w:rPr>
        <w:t xml:space="preserve"> </w:t>
      </w:r>
      <w:r w:rsidR="001254DE" w:rsidRPr="00012C3F">
        <w:rPr>
          <w:sz w:val="20"/>
          <w:szCs w:val="20"/>
          <w:lang w:val="en-US"/>
        </w:rPr>
        <w:t>the Court</w:t>
      </w:r>
      <w:r w:rsidR="00AE192D" w:rsidRPr="00012C3F">
        <w:rPr>
          <w:sz w:val="20"/>
          <w:szCs w:val="20"/>
          <w:lang w:val="en-US"/>
        </w:rPr>
        <w:t xml:space="preserve"> </w:t>
      </w:r>
      <w:r w:rsidR="006500A3" w:rsidRPr="00012C3F">
        <w:rPr>
          <w:sz w:val="20"/>
          <w:szCs w:val="20"/>
          <w:lang w:val="en-US"/>
        </w:rPr>
        <w:t xml:space="preserve">to include </w:t>
      </w:r>
      <w:r w:rsidR="00210F0F" w:rsidRPr="00012C3F">
        <w:rPr>
          <w:sz w:val="20"/>
          <w:szCs w:val="20"/>
          <w:lang w:val="en-US"/>
        </w:rPr>
        <w:t xml:space="preserve">measures of satisfaction </w:t>
      </w:r>
      <w:r w:rsidR="006500A3" w:rsidRPr="00012C3F">
        <w:rPr>
          <w:sz w:val="20"/>
          <w:szCs w:val="20"/>
          <w:lang w:val="en-US"/>
        </w:rPr>
        <w:t>among the reparations in this case,</w:t>
      </w:r>
      <w:r w:rsidR="005E5012" w:rsidRPr="00012C3F">
        <w:rPr>
          <w:sz w:val="20"/>
          <w:szCs w:val="20"/>
          <w:lang w:val="en-US"/>
        </w:rPr>
        <w:t xml:space="preserve"> and </w:t>
      </w:r>
      <w:r w:rsidR="00A84CA0" w:rsidRPr="00012C3F">
        <w:rPr>
          <w:sz w:val="20"/>
          <w:szCs w:val="20"/>
          <w:lang w:val="en-US"/>
        </w:rPr>
        <w:t xml:space="preserve">the </w:t>
      </w:r>
      <w:r w:rsidR="00A84CA0" w:rsidRPr="00012C3F">
        <w:rPr>
          <w:b/>
          <w:bCs/>
          <w:i/>
          <w:iCs/>
          <w:sz w:val="20"/>
          <w:szCs w:val="20"/>
          <w:lang w:val="en-US"/>
        </w:rPr>
        <w:t>State</w:t>
      </w:r>
      <w:r w:rsidR="008D0B77" w:rsidRPr="00012C3F">
        <w:rPr>
          <w:sz w:val="20"/>
          <w:szCs w:val="20"/>
          <w:lang w:val="en-US"/>
        </w:rPr>
        <w:t xml:space="preserve"> </w:t>
      </w:r>
      <w:r w:rsidR="00210F0F" w:rsidRPr="00012C3F">
        <w:rPr>
          <w:sz w:val="20"/>
          <w:szCs w:val="20"/>
          <w:lang w:val="en-US"/>
        </w:rPr>
        <w:t>did not present any specific arguments on this point.</w:t>
      </w:r>
    </w:p>
    <w:p w14:paraId="204BAFB7" w14:textId="77777777" w:rsidR="00210F0F" w:rsidRPr="00012C3F" w:rsidRDefault="00210F0F" w:rsidP="00210F0F">
      <w:pPr>
        <w:tabs>
          <w:tab w:val="left" w:pos="0"/>
          <w:tab w:val="left" w:pos="720"/>
          <w:tab w:val="num" w:pos="12305"/>
        </w:tabs>
        <w:spacing w:line="240" w:lineRule="auto"/>
        <w:ind w:right="-90"/>
        <w:rPr>
          <w:b/>
          <w:lang w:val="en-US"/>
        </w:rPr>
      </w:pPr>
    </w:p>
    <w:p w14:paraId="12A0BE46" w14:textId="77777777" w:rsidR="008D0B77" w:rsidRPr="00012C3F" w:rsidRDefault="008D0B77" w:rsidP="00685AA1">
      <w:pPr>
        <w:pStyle w:val="Ttulo2"/>
        <w:tabs>
          <w:tab w:val="left" w:pos="1701"/>
        </w:tabs>
        <w:spacing w:before="0" w:line="240" w:lineRule="auto"/>
        <w:ind w:left="1134"/>
        <w:rPr>
          <w:rFonts w:ascii="Verdana" w:hAnsi="Verdana"/>
          <w:b w:val="0"/>
          <w:i/>
          <w:color w:val="auto"/>
          <w:sz w:val="20"/>
          <w:szCs w:val="20"/>
          <w:lang w:val="en-US"/>
        </w:rPr>
      </w:pPr>
      <w:bookmarkStart w:id="200" w:name="_Toc27486891"/>
      <w:r w:rsidRPr="00012C3F">
        <w:rPr>
          <w:rFonts w:ascii="Verdana" w:hAnsi="Verdana"/>
          <w:b w:val="0"/>
          <w:i/>
          <w:color w:val="auto"/>
          <w:sz w:val="20"/>
          <w:szCs w:val="20"/>
          <w:lang w:val="en-US"/>
        </w:rPr>
        <w:t xml:space="preserve">C.1 </w:t>
      </w:r>
      <w:r w:rsidR="00685AA1"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Publications</w:t>
      </w:r>
      <w:bookmarkEnd w:id="200"/>
    </w:p>
    <w:p w14:paraId="3BB03F26" w14:textId="77777777" w:rsidR="008D0B77" w:rsidRPr="00012C3F" w:rsidRDefault="008D0B77" w:rsidP="008D0B77">
      <w:pPr>
        <w:tabs>
          <w:tab w:val="left" w:pos="720"/>
        </w:tabs>
        <w:spacing w:line="240" w:lineRule="auto"/>
        <w:ind w:left="360" w:right="-90"/>
        <w:rPr>
          <w:rFonts w:cs="Verdana"/>
          <w:sz w:val="20"/>
          <w:szCs w:val="20"/>
          <w:lang w:val="en-US"/>
        </w:rPr>
      </w:pPr>
    </w:p>
    <w:p w14:paraId="737365B9" w14:textId="77777777" w:rsidR="008D0B77" w:rsidRPr="00012C3F" w:rsidRDefault="001254DE" w:rsidP="00CA4D91">
      <w:pPr>
        <w:numPr>
          <w:ilvl w:val="0"/>
          <w:numId w:val="5"/>
        </w:numPr>
        <w:tabs>
          <w:tab w:val="left" w:pos="567"/>
          <w:tab w:val="num" w:pos="12305"/>
        </w:tabs>
        <w:spacing w:line="240" w:lineRule="auto"/>
        <w:ind w:left="0" w:firstLine="0"/>
        <w:rPr>
          <w:rFonts w:cs="Verdana"/>
          <w:sz w:val="20"/>
          <w:szCs w:val="20"/>
          <w:lang w:val="en-US"/>
        </w:rPr>
      </w:pPr>
      <w:r w:rsidRPr="00012C3F">
        <w:rPr>
          <w:rFonts w:cs="Verdana"/>
          <w:sz w:val="20"/>
          <w:szCs w:val="20"/>
          <w:lang w:val="en-US"/>
        </w:rPr>
        <w:t>The Court</w:t>
      </w:r>
      <w:r w:rsidR="008D0B77" w:rsidRPr="00012C3F">
        <w:rPr>
          <w:rFonts w:cs="Verdana"/>
          <w:sz w:val="20"/>
          <w:szCs w:val="20"/>
          <w:lang w:val="en-US"/>
        </w:rPr>
        <w:t xml:space="preserve"> </w:t>
      </w:r>
      <w:r w:rsidR="00210F0F" w:rsidRPr="00012C3F">
        <w:rPr>
          <w:rFonts w:cs="Verdana"/>
          <w:sz w:val="20"/>
          <w:szCs w:val="20"/>
          <w:lang w:val="en-US"/>
        </w:rPr>
        <w:t>finds, as it has in other cases,</w:t>
      </w:r>
      <w:r w:rsidR="008D0B77" w:rsidRPr="00012C3F">
        <w:rPr>
          <w:rStyle w:val="Refdenotaalpie"/>
          <w:rFonts w:eastAsia="MS ????" w:cs="Verdana"/>
          <w:sz w:val="20"/>
          <w:szCs w:val="20"/>
          <w:lang w:val="en-US"/>
        </w:rPr>
        <w:footnoteReference w:id="406"/>
      </w:r>
      <w:r w:rsidR="008D0B77" w:rsidRPr="00012C3F">
        <w:rPr>
          <w:rFonts w:cs="Verdana"/>
          <w:sz w:val="20"/>
          <w:szCs w:val="20"/>
          <w:lang w:val="en-US"/>
        </w:rPr>
        <w:t xml:space="preserve"> </w:t>
      </w:r>
      <w:r w:rsidR="00210F0F" w:rsidRPr="00012C3F">
        <w:rPr>
          <w:rFonts w:cs="Verdana"/>
          <w:sz w:val="20"/>
          <w:szCs w:val="20"/>
          <w:lang w:val="en-US"/>
        </w:rPr>
        <w:t>that</w:t>
      </w:r>
      <w:r w:rsidR="008D0B77" w:rsidRPr="00012C3F">
        <w:rPr>
          <w:rFonts w:cs="Verdana"/>
          <w:sz w:val="20"/>
          <w:szCs w:val="20"/>
          <w:lang w:val="en-US"/>
        </w:rPr>
        <w:t xml:space="preserve"> </w:t>
      </w:r>
      <w:r w:rsidR="00A84CA0" w:rsidRPr="00012C3F">
        <w:rPr>
          <w:rFonts w:cs="Verdana"/>
          <w:sz w:val="20"/>
          <w:szCs w:val="20"/>
          <w:lang w:val="en-US"/>
        </w:rPr>
        <w:t>the State</w:t>
      </w:r>
      <w:r w:rsidR="008D0B77" w:rsidRPr="00012C3F">
        <w:rPr>
          <w:rFonts w:cs="Verdana"/>
          <w:sz w:val="20"/>
          <w:szCs w:val="20"/>
          <w:lang w:val="en-US"/>
        </w:rPr>
        <w:t xml:space="preserve"> </w:t>
      </w:r>
      <w:r w:rsidR="00210F0F" w:rsidRPr="00012C3F">
        <w:rPr>
          <w:rFonts w:cs="Verdana"/>
          <w:sz w:val="20"/>
          <w:szCs w:val="20"/>
          <w:lang w:val="en-US"/>
        </w:rPr>
        <w:t xml:space="preserve">should publish, within six months </w:t>
      </w:r>
      <w:r w:rsidR="000F735E" w:rsidRPr="00012C3F">
        <w:rPr>
          <w:rFonts w:cs="Verdana"/>
          <w:sz w:val="20"/>
          <w:szCs w:val="20"/>
          <w:lang w:val="en-US"/>
        </w:rPr>
        <w:t>of notification of this judgment</w:t>
      </w:r>
      <w:r w:rsidR="008D0B77" w:rsidRPr="00012C3F">
        <w:rPr>
          <w:rFonts w:cs="Verdana"/>
          <w:sz w:val="20"/>
          <w:szCs w:val="20"/>
          <w:lang w:val="en-US"/>
        </w:rPr>
        <w:t xml:space="preserve">: </w:t>
      </w:r>
      <w:r w:rsidR="00210F0F" w:rsidRPr="00012C3F">
        <w:rPr>
          <w:rFonts w:cs="Verdana"/>
          <w:sz w:val="20"/>
          <w:szCs w:val="20"/>
          <w:lang w:val="en-US"/>
        </w:rPr>
        <w:t>(</w:t>
      </w:r>
      <w:r w:rsidR="008D0B77" w:rsidRPr="00012C3F">
        <w:rPr>
          <w:rFonts w:cs="Verdana"/>
          <w:sz w:val="20"/>
          <w:szCs w:val="20"/>
          <w:lang w:val="en-US"/>
        </w:rPr>
        <w:t xml:space="preserve">a) </w:t>
      </w:r>
      <w:r w:rsidR="00210F0F" w:rsidRPr="00012C3F">
        <w:rPr>
          <w:rFonts w:cs="Verdana"/>
          <w:sz w:val="20"/>
          <w:szCs w:val="20"/>
          <w:lang w:val="en-US"/>
        </w:rPr>
        <w:t>the official summary</w:t>
      </w:r>
      <w:r w:rsidR="008D0B77" w:rsidRPr="00012C3F">
        <w:rPr>
          <w:rFonts w:cs="Verdana"/>
          <w:sz w:val="20"/>
          <w:szCs w:val="20"/>
          <w:lang w:val="en-US"/>
        </w:rPr>
        <w:t xml:space="preserve"> </w:t>
      </w:r>
      <w:r w:rsidR="000F735E" w:rsidRPr="00012C3F">
        <w:rPr>
          <w:rFonts w:cs="Verdana"/>
          <w:sz w:val="20"/>
          <w:szCs w:val="20"/>
          <w:lang w:val="en-US"/>
        </w:rPr>
        <w:t>of th</w:t>
      </w:r>
      <w:r w:rsidR="00210F0F" w:rsidRPr="00012C3F">
        <w:rPr>
          <w:rFonts w:cs="Verdana"/>
          <w:sz w:val="20"/>
          <w:szCs w:val="20"/>
          <w:lang w:val="en-US"/>
        </w:rPr>
        <w:t>e</w:t>
      </w:r>
      <w:r w:rsidR="000F735E" w:rsidRPr="00012C3F">
        <w:rPr>
          <w:rFonts w:cs="Verdana"/>
          <w:sz w:val="20"/>
          <w:szCs w:val="20"/>
          <w:lang w:val="en-US"/>
        </w:rPr>
        <w:t xml:space="preserve"> judgment</w:t>
      </w:r>
      <w:r w:rsidR="008D0B77" w:rsidRPr="00012C3F">
        <w:rPr>
          <w:rFonts w:cs="Verdana"/>
          <w:sz w:val="20"/>
          <w:szCs w:val="20"/>
          <w:lang w:val="en-US"/>
        </w:rPr>
        <w:t xml:space="preserve"> </w:t>
      </w:r>
      <w:r w:rsidR="00210F0F" w:rsidRPr="00012C3F">
        <w:rPr>
          <w:rFonts w:cs="Verdana"/>
          <w:sz w:val="20"/>
          <w:szCs w:val="20"/>
          <w:lang w:val="en-US"/>
        </w:rPr>
        <w:t>prepared by</w:t>
      </w:r>
      <w:r w:rsidR="008D0B77" w:rsidRPr="00012C3F">
        <w:rPr>
          <w:rFonts w:cs="Verdana"/>
          <w:sz w:val="20"/>
          <w:szCs w:val="20"/>
          <w:lang w:val="en-US"/>
        </w:rPr>
        <w:t xml:space="preserve"> </w:t>
      </w:r>
      <w:r w:rsidRPr="00012C3F">
        <w:rPr>
          <w:rFonts w:cs="Verdana"/>
          <w:sz w:val="20"/>
          <w:szCs w:val="20"/>
          <w:lang w:val="en-US"/>
        </w:rPr>
        <w:t>the Court</w:t>
      </w:r>
      <w:r w:rsidR="008D0B77" w:rsidRPr="00012C3F">
        <w:rPr>
          <w:rFonts w:cs="Verdana"/>
          <w:sz w:val="20"/>
          <w:szCs w:val="20"/>
          <w:lang w:val="en-US"/>
        </w:rPr>
        <w:t xml:space="preserve">, </w:t>
      </w:r>
      <w:r w:rsidR="00210F0F" w:rsidRPr="00012C3F">
        <w:rPr>
          <w:rFonts w:cs="Verdana"/>
          <w:sz w:val="20"/>
          <w:szCs w:val="20"/>
          <w:lang w:val="en-US"/>
        </w:rPr>
        <w:t>once, in the Official Gazette in an appropriate and legible font size; (</w:t>
      </w:r>
      <w:r w:rsidR="008D0B77" w:rsidRPr="00012C3F">
        <w:rPr>
          <w:rFonts w:cs="Verdana"/>
          <w:sz w:val="20"/>
          <w:szCs w:val="20"/>
          <w:lang w:val="en-US"/>
        </w:rPr>
        <w:t xml:space="preserve">b) </w:t>
      </w:r>
      <w:r w:rsidR="00210F0F" w:rsidRPr="00012C3F">
        <w:rPr>
          <w:rFonts w:cs="Verdana"/>
          <w:sz w:val="20"/>
          <w:szCs w:val="20"/>
          <w:lang w:val="en-US"/>
        </w:rPr>
        <w:t>the official summary of the judgment prepared by the Court, once, in a newspaper with widespread national circulation in an appropriate and legible font size</w:t>
      </w:r>
      <w:r w:rsidR="008D0B77" w:rsidRPr="00012C3F">
        <w:rPr>
          <w:rFonts w:cs="Verdana"/>
          <w:sz w:val="20"/>
          <w:szCs w:val="20"/>
          <w:lang w:val="en-US"/>
        </w:rPr>
        <w:t>,</w:t>
      </w:r>
      <w:r w:rsidR="005E5012" w:rsidRPr="00012C3F">
        <w:rPr>
          <w:rFonts w:cs="Verdana"/>
          <w:sz w:val="20"/>
          <w:szCs w:val="20"/>
          <w:lang w:val="en-US"/>
        </w:rPr>
        <w:t xml:space="preserve"> and </w:t>
      </w:r>
      <w:r w:rsidR="00210F0F" w:rsidRPr="00012C3F">
        <w:rPr>
          <w:rFonts w:cs="Verdana"/>
          <w:sz w:val="20"/>
          <w:szCs w:val="20"/>
          <w:lang w:val="en-US"/>
        </w:rPr>
        <w:t>(</w:t>
      </w:r>
      <w:r w:rsidR="008D0B77" w:rsidRPr="00012C3F">
        <w:rPr>
          <w:rFonts w:cs="Verdana"/>
          <w:sz w:val="20"/>
          <w:szCs w:val="20"/>
          <w:lang w:val="en-US"/>
        </w:rPr>
        <w:t xml:space="preserve">c) </w:t>
      </w:r>
      <w:r w:rsidR="00210F0F" w:rsidRPr="00012C3F">
        <w:rPr>
          <w:rFonts w:cs="Verdana"/>
          <w:sz w:val="20"/>
          <w:szCs w:val="20"/>
          <w:lang w:val="en-US"/>
        </w:rPr>
        <w:t xml:space="preserve">the judgment in its entirety, available for one year, on an official website. </w:t>
      </w:r>
    </w:p>
    <w:p w14:paraId="2D127101" w14:textId="77777777" w:rsidR="008D0B77" w:rsidRPr="00012C3F" w:rsidRDefault="008D0B77" w:rsidP="008D0B77">
      <w:pPr>
        <w:pStyle w:val="Prrafodelista2"/>
        <w:tabs>
          <w:tab w:val="left" w:pos="0"/>
          <w:tab w:val="num" w:pos="12305"/>
        </w:tabs>
        <w:ind w:left="0" w:right="-90"/>
        <w:jc w:val="both"/>
        <w:rPr>
          <w:rFonts w:cs="Verdana"/>
          <w:lang w:val="en-US"/>
        </w:rPr>
      </w:pPr>
    </w:p>
    <w:p w14:paraId="37860483" w14:textId="77777777" w:rsidR="008D0B77" w:rsidRPr="00012C3F" w:rsidRDefault="00A84CA0" w:rsidP="0013307D">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The State</w:t>
      </w:r>
      <w:r w:rsidR="008D0B77" w:rsidRPr="00012C3F">
        <w:rPr>
          <w:rFonts w:cs="Verdana"/>
          <w:sz w:val="20"/>
          <w:szCs w:val="20"/>
          <w:lang w:val="en-US"/>
        </w:rPr>
        <w:t xml:space="preserve"> </w:t>
      </w:r>
      <w:r w:rsidR="00210F0F" w:rsidRPr="00012C3F">
        <w:rPr>
          <w:rFonts w:cs="Verdana"/>
          <w:sz w:val="20"/>
          <w:szCs w:val="20"/>
          <w:lang w:val="en-US"/>
        </w:rPr>
        <w:t xml:space="preserve">must inform this Court immediately after making each of the </w:t>
      </w:r>
      <w:r w:rsidR="00A710F6" w:rsidRPr="00012C3F">
        <w:rPr>
          <w:rFonts w:cs="Verdana"/>
          <w:sz w:val="20"/>
          <w:szCs w:val="20"/>
          <w:lang w:val="en-US"/>
        </w:rPr>
        <w:t>publications</w:t>
      </w:r>
      <w:r w:rsidR="008D0B77" w:rsidRPr="00012C3F">
        <w:rPr>
          <w:rFonts w:cs="Verdana"/>
          <w:sz w:val="20"/>
          <w:szCs w:val="20"/>
          <w:lang w:val="en-US"/>
        </w:rPr>
        <w:t xml:space="preserve"> </w:t>
      </w:r>
      <w:r w:rsidR="00210F0F" w:rsidRPr="00012C3F">
        <w:rPr>
          <w:rFonts w:cs="Verdana"/>
          <w:sz w:val="20"/>
          <w:szCs w:val="20"/>
          <w:lang w:val="en-US"/>
        </w:rPr>
        <w:t>ordered, regardless of the one-year time frame for the presentation of its first report established in the fifteenth operative paragraph of the judgment.</w:t>
      </w:r>
    </w:p>
    <w:p w14:paraId="2B67E491" w14:textId="77777777" w:rsidR="008D0B77" w:rsidRPr="00012C3F" w:rsidRDefault="008D0B77" w:rsidP="0013307D">
      <w:pPr>
        <w:pStyle w:val="Prrafodelista2"/>
        <w:tabs>
          <w:tab w:val="left" w:pos="0"/>
          <w:tab w:val="left" w:pos="720"/>
          <w:tab w:val="num" w:pos="11028"/>
        </w:tabs>
        <w:ind w:left="0" w:right="-90"/>
        <w:jc w:val="both"/>
        <w:rPr>
          <w:rFonts w:cs="Verdana"/>
          <w:lang w:val="en-US"/>
        </w:rPr>
      </w:pPr>
    </w:p>
    <w:p w14:paraId="4BB85362" w14:textId="77777777" w:rsidR="008D0B77" w:rsidRPr="00012C3F" w:rsidRDefault="008D0B77" w:rsidP="0013307D">
      <w:pPr>
        <w:pStyle w:val="Ttulo2"/>
        <w:tabs>
          <w:tab w:val="left" w:pos="720"/>
          <w:tab w:val="left" w:pos="1701"/>
        </w:tabs>
        <w:spacing w:before="0" w:line="240" w:lineRule="auto"/>
        <w:ind w:left="1134"/>
        <w:rPr>
          <w:rFonts w:ascii="Verdana" w:hAnsi="Verdana"/>
          <w:b w:val="0"/>
          <w:i/>
          <w:color w:val="auto"/>
          <w:sz w:val="20"/>
          <w:szCs w:val="20"/>
          <w:lang w:val="en-US"/>
        </w:rPr>
      </w:pPr>
      <w:bookmarkStart w:id="201" w:name="_Toc27486892"/>
      <w:r w:rsidRPr="00012C3F">
        <w:rPr>
          <w:rFonts w:ascii="Verdana" w:hAnsi="Verdana"/>
          <w:b w:val="0"/>
          <w:i/>
          <w:color w:val="auto"/>
          <w:sz w:val="20"/>
          <w:szCs w:val="20"/>
          <w:lang w:val="en-US"/>
        </w:rPr>
        <w:t xml:space="preserve">C.2 </w:t>
      </w:r>
      <w:r w:rsidR="00685AA1" w:rsidRPr="00012C3F">
        <w:rPr>
          <w:rFonts w:ascii="Verdana" w:hAnsi="Verdana"/>
          <w:b w:val="0"/>
          <w:i/>
          <w:color w:val="auto"/>
          <w:sz w:val="20"/>
          <w:szCs w:val="20"/>
          <w:lang w:val="en-US"/>
        </w:rPr>
        <w:tab/>
      </w:r>
      <w:r w:rsidR="00A710F6" w:rsidRPr="00012C3F">
        <w:rPr>
          <w:rFonts w:ascii="Verdana" w:hAnsi="Verdana"/>
          <w:b w:val="0"/>
          <w:i/>
          <w:color w:val="auto"/>
          <w:sz w:val="20"/>
          <w:szCs w:val="20"/>
          <w:lang w:val="en-US"/>
        </w:rPr>
        <w:t>Act to acknowledge responsibility</w:t>
      </w:r>
      <w:bookmarkEnd w:id="201"/>
    </w:p>
    <w:p w14:paraId="7963C617" w14:textId="77777777" w:rsidR="008D0B77" w:rsidRPr="00012C3F" w:rsidRDefault="008D0B77" w:rsidP="0013307D">
      <w:pPr>
        <w:tabs>
          <w:tab w:val="left" w:pos="720"/>
        </w:tabs>
        <w:spacing w:line="240" w:lineRule="auto"/>
        <w:ind w:left="360" w:right="-90"/>
        <w:rPr>
          <w:rFonts w:cs="Verdana"/>
          <w:sz w:val="20"/>
          <w:szCs w:val="20"/>
          <w:lang w:val="en-US"/>
        </w:rPr>
      </w:pPr>
    </w:p>
    <w:p w14:paraId="03B36B5A" w14:textId="77777777" w:rsidR="008D0B77" w:rsidRPr="00012C3F" w:rsidRDefault="000A5FC8" w:rsidP="000A5FC8">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As it has previously,</w:t>
      </w:r>
      <w:r w:rsidR="008D0B77" w:rsidRPr="00012C3F">
        <w:rPr>
          <w:rStyle w:val="Refdenotaalpie"/>
          <w:rFonts w:eastAsia="MS ????" w:cs="Verdana"/>
          <w:sz w:val="20"/>
          <w:szCs w:val="20"/>
          <w:lang w:val="en-US"/>
        </w:rPr>
        <w:footnoteReference w:id="407"/>
      </w:r>
      <w:r w:rsidRPr="00012C3F">
        <w:rPr>
          <w:rFonts w:cs="Verdana"/>
          <w:sz w:val="20"/>
          <w:szCs w:val="20"/>
          <w:lang w:val="en-US"/>
        </w:rPr>
        <w:t xml:space="preserve"> the Court finds it necessary, in order to repair the harm caused to the victim and to avoid a repetition of facts such as those of this case, to establish that the State must </w:t>
      </w:r>
      <w:r w:rsidR="00E91557" w:rsidRPr="00012C3F">
        <w:rPr>
          <w:rFonts w:cs="Verdana"/>
          <w:sz w:val="20"/>
          <w:szCs w:val="20"/>
          <w:lang w:val="en-US"/>
        </w:rPr>
        <w:t>organize</w:t>
      </w:r>
      <w:r w:rsidRPr="00012C3F">
        <w:rPr>
          <w:rFonts w:cs="Verdana"/>
          <w:sz w:val="20"/>
          <w:szCs w:val="20"/>
          <w:lang w:val="en-US"/>
        </w:rPr>
        <w:t xml:space="preserve"> a public act to acknowledge international responsibility for the facts of this case. During the act, reference must be made to the human rights violations declared in this judgment. Also, </w:t>
      </w:r>
      <w:r w:rsidR="00E91557" w:rsidRPr="00012C3F">
        <w:rPr>
          <w:rFonts w:cs="Verdana"/>
          <w:sz w:val="20"/>
          <w:szCs w:val="20"/>
          <w:lang w:val="en-US"/>
        </w:rPr>
        <w:t>the</w:t>
      </w:r>
      <w:r w:rsidRPr="00012C3F">
        <w:rPr>
          <w:rFonts w:cs="Verdana"/>
          <w:sz w:val="20"/>
          <w:szCs w:val="20"/>
          <w:lang w:val="en-US"/>
        </w:rPr>
        <w:t xml:space="preserve"> public act</w:t>
      </w:r>
      <w:r w:rsidR="00E91557" w:rsidRPr="00012C3F">
        <w:rPr>
          <w:rFonts w:cs="Verdana"/>
          <w:sz w:val="20"/>
          <w:szCs w:val="20"/>
          <w:lang w:val="en-US"/>
        </w:rPr>
        <w:t xml:space="preserve"> must be held</w:t>
      </w:r>
      <w:r w:rsidRPr="00012C3F">
        <w:rPr>
          <w:rFonts w:cs="Verdana"/>
          <w:sz w:val="20"/>
          <w:szCs w:val="20"/>
          <w:lang w:val="en-US"/>
        </w:rPr>
        <w:t xml:space="preserve"> in the presence of senior State officials and the victim. The State must reach agreement with I.V. or her representative regarding the way in which the public act to acknowledge responsibility is implemented, as well as all the necessary details, such as the place and date. The State has one year to comply with th</w:t>
      </w:r>
      <w:r w:rsidR="00E91557" w:rsidRPr="00012C3F">
        <w:rPr>
          <w:rFonts w:cs="Verdana"/>
          <w:sz w:val="20"/>
          <w:szCs w:val="20"/>
          <w:lang w:val="en-US"/>
        </w:rPr>
        <w:t>is</w:t>
      </w:r>
      <w:r w:rsidRPr="00012C3F">
        <w:rPr>
          <w:rFonts w:cs="Verdana"/>
          <w:sz w:val="20"/>
          <w:szCs w:val="20"/>
          <w:lang w:val="en-US"/>
        </w:rPr>
        <w:t xml:space="preserve"> reparation as </w:t>
      </w:r>
      <w:r w:rsidR="000F735E" w:rsidRPr="00012C3F">
        <w:rPr>
          <w:rFonts w:cs="Verdana"/>
          <w:sz w:val="20"/>
          <w:szCs w:val="20"/>
          <w:lang w:val="en-US"/>
        </w:rPr>
        <w:t>of</w:t>
      </w:r>
      <w:r w:rsidR="00E91557" w:rsidRPr="00012C3F">
        <w:rPr>
          <w:rFonts w:cs="Verdana"/>
          <w:sz w:val="20"/>
          <w:szCs w:val="20"/>
          <w:lang w:val="en-US"/>
        </w:rPr>
        <w:t xml:space="preserve"> notification of</w:t>
      </w:r>
      <w:r w:rsidR="000F735E" w:rsidRPr="00012C3F">
        <w:rPr>
          <w:rFonts w:cs="Verdana"/>
          <w:sz w:val="20"/>
          <w:szCs w:val="20"/>
          <w:lang w:val="en-US"/>
        </w:rPr>
        <w:t xml:space="preserve"> this judgment</w:t>
      </w:r>
      <w:r w:rsidR="008D0B77" w:rsidRPr="00012C3F">
        <w:rPr>
          <w:rFonts w:cs="Verdana"/>
          <w:sz w:val="20"/>
          <w:szCs w:val="20"/>
          <w:lang w:val="en-US"/>
        </w:rPr>
        <w:t>.</w:t>
      </w:r>
    </w:p>
    <w:p w14:paraId="152A0D13" w14:textId="77777777" w:rsidR="00583DC0" w:rsidRPr="00012C3F" w:rsidRDefault="00583DC0" w:rsidP="00583DC0">
      <w:pPr>
        <w:tabs>
          <w:tab w:val="left" w:pos="720"/>
        </w:tabs>
        <w:spacing w:line="240" w:lineRule="auto"/>
        <w:rPr>
          <w:rFonts w:cs="Verdana"/>
          <w:sz w:val="20"/>
          <w:szCs w:val="20"/>
          <w:lang w:val="en-US"/>
        </w:rPr>
      </w:pPr>
    </w:p>
    <w:p w14:paraId="09446048" w14:textId="77777777" w:rsidR="00583DC0" w:rsidRPr="00012C3F" w:rsidRDefault="00583DC0" w:rsidP="00583DC0">
      <w:pPr>
        <w:keepNext/>
        <w:keepLines/>
        <w:tabs>
          <w:tab w:val="left" w:pos="720"/>
          <w:tab w:val="left" w:pos="1134"/>
        </w:tabs>
        <w:spacing w:line="240" w:lineRule="auto"/>
        <w:ind w:left="567" w:firstLine="1"/>
        <w:outlineLvl w:val="1"/>
        <w:rPr>
          <w:rFonts w:eastAsia="MS Mincho"/>
          <w:b/>
          <w:bCs/>
          <w:i/>
          <w:sz w:val="20"/>
          <w:szCs w:val="20"/>
          <w:lang w:val="en-US"/>
        </w:rPr>
      </w:pPr>
      <w:bookmarkStart w:id="202" w:name="_Toc27486893"/>
      <w:r w:rsidRPr="00012C3F">
        <w:rPr>
          <w:rFonts w:eastAsia="MS Mincho"/>
          <w:b/>
          <w:bCs/>
          <w:i/>
          <w:sz w:val="20"/>
          <w:szCs w:val="20"/>
          <w:lang w:val="en-US"/>
        </w:rPr>
        <w:t>D.</w:t>
      </w:r>
      <w:r w:rsidRPr="00012C3F">
        <w:rPr>
          <w:rFonts w:eastAsia="MS Mincho"/>
          <w:b/>
          <w:bCs/>
          <w:i/>
          <w:sz w:val="20"/>
          <w:szCs w:val="20"/>
          <w:lang w:val="en-US"/>
        </w:rPr>
        <w:tab/>
        <w:t>Guarantees of non-repetition</w:t>
      </w:r>
      <w:bookmarkEnd w:id="202"/>
    </w:p>
    <w:p w14:paraId="1F2E5D7C" w14:textId="77777777" w:rsidR="00583DC0" w:rsidRPr="00012C3F" w:rsidRDefault="00583DC0" w:rsidP="00583DC0">
      <w:pPr>
        <w:tabs>
          <w:tab w:val="left" w:pos="720"/>
        </w:tabs>
        <w:spacing w:line="240" w:lineRule="auto"/>
        <w:rPr>
          <w:rFonts w:cs="Verdana"/>
          <w:sz w:val="20"/>
          <w:szCs w:val="20"/>
          <w:lang w:val="en-US"/>
        </w:rPr>
      </w:pPr>
    </w:p>
    <w:p w14:paraId="50C521C8" w14:textId="77777777" w:rsidR="000A5FC8" w:rsidRPr="00012C3F" w:rsidRDefault="000A5FC8" w:rsidP="000A5FC8">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 xml:space="preserve">The </w:t>
      </w:r>
      <w:r w:rsidRPr="00012C3F">
        <w:rPr>
          <w:rFonts w:cs="Verdana"/>
          <w:b/>
          <w:bCs/>
          <w:i/>
          <w:iCs/>
          <w:sz w:val="20"/>
          <w:szCs w:val="20"/>
          <w:lang w:val="en-US"/>
        </w:rPr>
        <w:t>Commission</w:t>
      </w:r>
      <w:r w:rsidRPr="00012C3F">
        <w:rPr>
          <w:rFonts w:cs="Verdana"/>
          <w:sz w:val="20"/>
          <w:szCs w:val="20"/>
          <w:lang w:val="en-US"/>
        </w:rPr>
        <w:t xml:space="preserve"> asked the Court to order the State to take all necessary steps to avoid the repetition of </w:t>
      </w:r>
      <w:r w:rsidR="00583DC0" w:rsidRPr="00012C3F">
        <w:rPr>
          <w:rFonts w:cs="Verdana"/>
          <w:sz w:val="20"/>
          <w:szCs w:val="20"/>
          <w:lang w:val="en-US"/>
        </w:rPr>
        <w:t xml:space="preserve">similar </w:t>
      </w:r>
      <w:r w:rsidR="00E91557" w:rsidRPr="00012C3F">
        <w:rPr>
          <w:rFonts w:cs="Verdana"/>
          <w:sz w:val="20"/>
          <w:szCs w:val="20"/>
          <w:lang w:val="en-US"/>
        </w:rPr>
        <w:t>f</w:t>
      </w:r>
      <w:r w:rsidR="00583DC0" w:rsidRPr="00012C3F">
        <w:rPr>
          <w:rFonts w:cs="Verdana"/>
          <w:sz w:val="20"/>
          <w:szCs w:val="20"/>
          <w:lang w:val="en-US"/>
        </w:rPr>
        <w:t xml:space="preserve">acts and, in particular, to review policies and practices applied in all hospitals to obtain the informed consent of all patients. The Commission also requested that the State adopt laws, public policies, programs and directives to ensure that the right of everyone to be informed and counseled in matters relating to their health is respected, as well as the right not to be subjected to procedures or treatments without having given their informed consent, when this is applicable. These measures should give special consideration to the particular needs of those who are in a situation of vulnerability owing to the intersection of factors such as their sex, race, economic situation, or </w:t>
      </w:r>
      <w:r w:rsidR="00D933F5" w:rsidRPr="00012C3F">
        <w:rPr>
          <w:rFonts w:cs="Verdana"/>
          <w:sz w:val="20"/>
          <w:szCs w:val="20"/>
          <w:lang w:val="en-US"/>
        </w:rPr>
        <w:t>immigrant</w:t>
      </w:r>
      <w:r w:rsidR="00583DC0" w:rsidRPr="00012C3F">
        <w:rPr>
          <w:rFonts w:cs="Verdana"/>
          <w:sz w:val="20"/>
          <w:szCs w:val="20"/>
          <w:lang w:val="en-US"/>
        </w:rPr>
        <w:t xml:space="preserve"> status.</w:t>
      </w:r>
    </w:p>
    <w:p w14:paraId="35ADD74A" w14:textId="77777777" w:rsidR="008D0B77" w:rsidRPr="00012C3F" w:rsidRDefault="008D0B77" w:rsidP="008D0B77">
      <w:pPr>
        <w:pStyle w:val="Prrafodelista2"/>
        <w:tabs>
          <w:tab w:val="left" w:pos="0"/>
          <w:tab w:val="num" w:pos="12305"/>
        </w:tabs>
        <w:ind w:left="0" w:right="-90"/>
        <w:jc w:val="both"/>
        <w:rPr>
          <w:lang w:val="en-US"/>
        </w:rPr>
      </w:pPr>
    </w:p>
    <w:p w14:paraId="6928FF5B" w14:textId="77777777" w:rsidR="008D0B77" w:rsidRPr="00012C3F" w:rsidRDefault="00972ACF" w:rsidP="0013307D">
      <w:pPr>
        <w:numPr>
          <w:ilvl w:val="0"/>
          <w:numId w:val="5"/>
        </w:numPr>
        <w:tabs>
          <w:tab w:val="left" w:pos="720"/>
          <w:tab w:val="num" w:pos="12305"/>
        </w:tabs>
        <w:spacing w:line="240" w:lineRule="auto"/>
        <w:ind w:left="0" w:firstLine="0"/>
        <w:rPr>
          <w:b/>
          <w:sz w:val="16"/>
          <w:szCs w:val="16"/>
          <w:lang w:val="en-US"/>
        </w:rPr>
      </w:pPr>
      <w:r w:rsidRPr="00012C3F">
        <w:rPr>
          <w:sz w:val="20"/>
          <w:szCs w:val="20"/>
          <w:lang w:val="en-US"/>
        </w:rPr>
        <w:t xml:space="preserve">The </w:t>
      </w:r>
      <w:r w:rsidRPr="00012C3F">
        <w:rPr>
          <w:b/>
          <w:bCs/>
          <w:i/>
          <w:iCs/>
          <w:sz w:val="20"/>
          <w:szCs w:val="20"/>
          <w:lang w:val="en-US"/>
        </w:rPr>
        <w:t>representative</w:t>
      </w:r>
      <w:r w:rsidR="008D0B77" w:rsidRPr="00012C3F">
        <w:rPr>
          <w:sz w:val="20"/>
          <w:szCs w:val="20"/>
          <w:lang w:val="en-US"/>
        </w:rPr>
        <w:t xml:space="preserve"> </w:t>
      </w:r>
      <w:r w:rsidR="00583DC0" w:rsidRPr="00012C3F">
        <w:rPr>
          <w:sz w:val="20"/>
          <w:szCs w:val="20"/>
          <w:lang w:val="en-US"/>
        </w:rPr>
        <w:t>asked</w:t>
      </w:r>
      <w:r w:rsidR="008D0B77" w:rsidRPr="00012C3F">
        <w:rPr>
          <w:sz w:val="20"/>
          <w:szCs w:val="20"/>
          <w:lang w:val="en-US"/>
        </w:rPr>
        <w:t xml:space="preserve"> </w:t>
      </w:r>
      <w:r w:rsidR="001254DE" w:rsidRPr="00012C3F">
        <w:rPr>
          <w:sz w:val="20"/>
          <w:szCs w:val="20"/>
          <w:lang w:val="en-US"/>
        </w:rPr>
        <w:t>the Court</w:t>
      </w:r>
      <w:r w:rsidR="008D0B77" w:rsidRPr="00012C3F">
        <w:rPr>
          <w:sz w:val="20"/>
          <w:szCs w:val="20"/>
          <w:lang w:val="en-US"/>
        </w:rPr>
        <w:t xml:space="preserve"> </w:t>
      </w:r>
      <w:r w:rsidR="00583DC0" w:rsidRPr="00012C3F">
        <w:rPr>
          <w:sz w:val="20"/>
          <w:szCs w:val="20"/>
          <w:lang w:val="en-US"/>
        </w:rPr>
        <w:t xml:space="preserve">to order Bolivia to prepare, through the Ministry of Health, a publication of general scope on the prohibition of </w:t>
      </w:r>
      <w:r w:rsidR="00570C15" w:rsidRPr="00012C3F">
        <w:rPr>
          <w:sz w:val="20"/>
          <w:szCs w:val="20"/>
          <w:lang w:val="en-US"/>
        </w:rPr>
        <w:t>forced sterilization</w:t>
      </w:r>
      <w:r w:rsidR="005E5012" w:rsidRPr="00012C3F">
        <w:rPr>
          <w:sz w:val="20"/>
          <w:szCs w:val="20"/>
          <w:lang w:val="en-US"/>
        </w:rPr>
        <w:t xml:space="preserve"> and </w:t>
      </w:r>
      <w:r w:rsidR="00DF5BD3" w:rsidRPr="00012C3F">
        <w:rPr>
          <w:sz w:val="20"/>
          <w:szCs w:val="20"/>
          <w:lang w:val="en-US"/>
        </w:rPr>
        <w:t>the rights</w:t>
      </w:r>
      <w:r w:rsidR="008D0B77" w:rsidRPr="00012C3F">
        <w:rPr>
          <w:sz w:val="20"/>
          <w:szCs w:val="20"/>
          <w:lang w:val="en-US"/>
        </w:rPr>
        <w:t xml:space="preserve"> </w:t>
      </w:r>
      <w:r w:rsidR="00583DC0" w:rsidRPr="00012C3F">
        <w:rPr>
          <w:sz w:val="20"/>
          <w:szCs w:val="20"/>
          <w:lang w:val="en-US"/>
        </w:rPr>
        <w:t>of women, as well as on the relevant national and international mechanisms of protection</w:t>
      </w:r>
      <w:r w:rsidR="008D0B77" w:rsidRPr="00012C3F">
        <w:rPr>
          <w:sz w:val="20"/>
          <w:szCs w:val="20"/>
          <w:lang w:val="en-US"/>
        </w:rPr>
        <w:t xml:space="preserve">. </w:t>
      </w:r>
    </w:p>
    <w:p w14:paraId="64D93F37" w14:textId="77777777" w:rsidR="008D0B77" w:rsidRPr="00012C3F" w:rsidRDefault="008D0B77" w:rsidP="0013307D">
      <w:pPr>
        <w:pStyle w:val="Prrafodelista2"/>
        <w:tabs>
          <w:tab w:val="left" w:pos="0"/>
          <w:tab w:val="left" w:pos="720"/>
          <w:tab w:val="num" w:pos="12305"/>
        </w:tabs>
        <w:ind w:left="0" w:right="-90"/>
        <w:jc w:val="both"/>
        <w:rPr>
          <w:lang w:val="en-US"/>
        </w:rPr>
      </w:pPr>
    </w:p>
    <w:p w14:paraId="7D5B162A" w14:textId="77777777" w:rsidR="008D0B77" w:rsidRPr="00012C3F" w:rsidRDefault="00A84CA0" w:rsidP="0013307D">
      <w:pPr>
        <w:numPr>
          <w:ilvl w:val="0"/>
          <w:numId w:val="5"/>
        </w:numPr>
        <w:tabs>
          <w:tab w:val="left" w:pos="720"/>
          <w:tab w:val="num" w:pos="12305"/>
        </w:tabs>
        <w:spacing w:line="240" w:lineRule="auto"/>
        <w:ind w:left="0" w:firstLine="0"/>
        <w:rPr>
          <w:b/>
          <w:bCs/>
          <w:i/>
          <w:lang w:val="en-US"/>
        </w:rPr>
      </w:pPr>
      <w:r w:rsidRPr="00012C3F">
        <w:rPr>
          <w:sz w:val="20"/>
          <w:szCs w:val="20"/>
          <w:lang w:val="en-US"/>
        </w:rPr>
        <w:t xml:space="preserve">The </w:t>
      </w:r>
      <w:r w:rsidRPr="00012C3F">
        <w:rPr>
          <w:b/>
          <w:bCs/>
          <w:i/>
          <w:iCs/>
          <w:sz w:val="20"/>
          <w:szCs w:val="20"/>
          <w:lang w:val="en-US"/>
        </w:rPr>
        <w:t>State</w:t>
      </w:r>
      <w:r w:rsidR="008D0B77" w:rsidRPr="00012C3F">
        <w:rPr>
          <w:sz w:val="20"/>
          <w:szCs w:val="20"/>
          <w:lang w:val="en-US"/>
        </w:rPr>
        <w:t xml:space="preserve"> </w:t>
      </w:r>
      <w:r w:rsidR="00583DC0" w:rsidRPr="00012C3F">
        <w:rPr>
          <w:sz w:val="20"/>
          <w:szCs w:val="20"/>
          <w:lang w:val="en-US"/>
        </w:rPr>
        <w:t xml:space="preserve">argued that the requests for </w:t>
      </w:r>
      <w:r w:rsidR="00583DC0" w:rsidRPr="00012C3F">
        <w:rPr>
          <w:bCs/>
          <w:sz w:val="20"/>
          <w:szCs w:val="20"/>
          <w:lang w:val="en-US"/>
        </w:rPr>
        <w:t>g</w:t>
      </w:r>
      <w:r w:rsidR="00A710F6" w:rsidRPr="00012C3F">
        <w:rPr>
          <w:bCs/>
          <w:sz w:val="20"/>
          <w:szCs w:val="20"/>
          <w:lang w:val="en-US"/>
        </w:rPr>
        <w:t>uarantees of non-repetition</w:t>
      </w:r>
      <w:r w:rsidR="008D0B77" w:rsidRPr="00012C3F">
        <w:rPr>
          <w:bCs/>
          <w:sz w:val="20"/>
          <w:szCs w:val="20"/>
          <w:lang w:val="en-US"/>
        </w:rPr>
        <w:t xml:space="preserve"> </w:t>
      </w:r>
      <w:r w:rsidR="00583DC0" w:rsidRPr="00012C3F">
        <w:rPr>
          <w:bCs/>
          <w:sz w:val="20"/>
          <w:szCs w:val="20"/>
          <w:lang w:val="en-US"/>
        </w:rPr>
        <w:t>were inadmis</w:t>
      </w:r>
      <w:r w:rsidR="00015342" w:rsidRPr="00012C3F">
        <w:rPr>
          <w:bCs/>
          <w:sz w:val="20"/>
          <w:szCs w:val="20"/>
          <w:lang w:val="en-US"/>
        </w:rPr>
        <w:t>s</w:t>
      </w:r>
      <w:r w:rsidR="00583DC0" w:rsidRPr="00012C3F">
        <w:rPr>
          <w:bCs/>
          <w:sz w:val="20"/>
          <w:szCs w:val="20"/>
          <w:lang w:val="en-US"/>
        </w:rPr>
        <w:t xml:space="preserve">ible because </w:t>
      </w:r>
      <w:r w:rsidR="008D0B77" w:rsidRPr="00012C3F">
        <w:rPr>
          <w:bCs/>
          <w:sz w:val="20"/>
          <w:szCs w:val="20"/>
          <w:lang w:val="en-US"/>
        </w:rPr>
        <w:t xml:space="preserve">Bolivia </w:t>
      </w:r>
      <w:r w:rsidR="00E91557" w:rsidRPr="00012C3F">
        <w:rPr>
          <w:bCs/>
          <w:sz w:val="20"/>
          <w:szCs w:val="20"/>
          <w:lang w:val="en-US"/>
        </w:rPr>
        <w:t>had</w:t>
      </w:r>
      <w:r w:rsidR="00583DC0" w:rsidRPr="00012C3F">
        <w:rPr>
          <w:bCs/>
          <w:sz w:val="20"/>
          <w:szCs w:val="20"/>
          <w:lang w:val="en-US"/>
        </w:rPr>
        <w:t xml:space="preserve"> l</w:t>
      </w:r>
      <w:r w:rsidR="00E91557" w:rsidRPr="00012C3F">
        <w:rPr>
          <w:bCs/>
          <w:sz w:val="20"/>
          <w:szCs w:val="20"/>
          <w:lang w:val="en-US"/>
        </w:rPr>
        <w:t>aws</w:t>
      </w:r>
      <w:r w:rsidR="00583DC0" w:rsidRPr="00012C3F">
        <w:rPr>
          <w:bCs/>
          <w:sz w:val="20"/>
          <w:szCs w:val="20"/>
          <w:lang w:val="en-US"/>
        </w:rPr>
        <w:t xml:space="preserve"> and public policies </w:t>
      </w:r>
      <w:r w:rsidR="00E91557" w:rsidRPr="00012C3F">
        <w:rPr>
          <w:bCs/>
          <w:sz w:val="20"/>
          <w:szCs w:val="20"/>
          <w:lang w:val="en-US"/>
        </w:rPr>
        <w:t>to counteract</w:t>
      </w:r>
      <w:r w:rsidR="00583DC0" w:rsidRPr="00012C3F">
        <w:rPr>
          <w:bCs/>
          <w:sz w:val="20"/>
          <w:szCs w:val="20"/>
          <w:lang w:val="en-US"/>
        </w:rPr>
        <w:t xml:space="preserve"> </w:t>
      </w:r>
      <w:r w:rsidR="00015342" w:rsidRPr="00012C3F">
        <w:rPr>
          <w:bCs/>
          <w:sz w:val="20"/>
          <w:szCs w:val="20"/>
          <w:lang w:val="en-US"/>
        </w:rPr>
        <w:t>any manifestation of discrimination against women and</w:t>
      </w:r>
      <w:r w:rsidR="005E5012" w:rsidRPr="00012C3F">
        <w:rPr>
          <w:bCs/>
          <w:sz w:val="20"/>
          <w:szCs w:val="20"/>
          <w:lang w:val="en-US"/>
        </w:rPr>
        <w:t xml:space="preserve"> </w:t>
      </w:r>
      <w:r w:rsidR="00CD065A" w:rsidRPr="00012C3F">
        <w:rPr>
          <w:bCs/>
          <w:sz w:val="20"/>
          <w:szCs w:val="20"/>
          <w:lang w:val="en-US"/>
        </w:rPr>
        <w:t>immigrants</w:t>
      </w:r>
      <w:r w:rsidR="008D0B77" w:rsidRPr="00012C3F">
        <w:rPr>
          <w:bCs/>
          <w:sz w:val="20"/>
          <w:szCs w:val="20"/>
          <w:lang w:val="en-US"/>
        </w:rPr>
        <w:t xml:space="preserve">. </w:t>
      </w:r>
      <w:r w:rsidR="00015342" w:rsidRPr="00012C3F">
        <w:rPr>
          <w:bCs/>
          <w:sz w:val="20"/>
          <w:szCs w:val="20"/>
          <w:lang w:val="en-US"/>
        </w:rPr>
        <w:t xml:space="preserve">The State indicated that these </w:t>
      </w:r>
      <w:r w:rsidR="009D3EE9" w:rsidRPr="00012C3F">
        <w:rPr>
          <w:bCs/>
          <w:sz w:val="20"/>
          <w:szCs w:val="20"/>
          <w:lang w:val="en-US"/>
        </w:rPr>
        <w:t>measures</w:t>
      </w:r>
      <w:r w:rsidR="00015342" w:rsidRPr="00012C3F">
        <w:rPr>
          <w:bCs/>
          <w:sz w:val="20"/>
          <w:szCs w:val="20"/>
          <w:lang w:val="en-US"/>
        </w:rPr>
        <w:t xml:space="preserve"> included the promulgation of the</w:t>
      </w:r>
      <w:r w:rsidR="008D0B77" w:rsidRPr="00012C3F">
        <w:rPr>
          <w:bCs/>
          <w:sz w:val="20"/>
          <w:szCs w:val="20"/>
          <w:lang w:val="en-US"/>
        </w:rPr>
        <w:t xml:space="preserve"> “</w:t>
      </w:r>
      <w:r w:rsidR="00BD3B0B" w:rsidRPr="00012C3F">
        <w:rPr>
          <w:bCs/>
          <w:sz w:val="20"/>
          <w:szCs w:val="20"/>
          <w:lang w:val="en-US"/>
        </w:rPr>
        <w:t>Law against racism and all forms of discrimination</w:t>
      </w:r>
      <w:r w:rsidR="008D0B77" w:rsidRPr="00012C3F">
        <w:rPr>
          <w:bCs/>
          <w:sz w:val="20"/>
          <w:szCs w:val="20"/>
          <w:lang w:val="en-US"/>
        </w:rPr>
        <w:t>”</w:t>
      </w:r>
      <w:r w:rsidR="005E5012" w:rsidRPr="00012C3F">
        <w:rPr>
          <w:bCs/>
          <w:sz w:val="20"/>
          <w:szCs w:val="20"/>
          <w:lang w:val="en-US"/>
        </w:rPr>
        <w:t xml:space="preserve"> and </w:t>
      </w:r>
      <w:r w:rsidR="00015342" w:rsidRPr="00012C3F">
        <w:rPr>
          <w:bCs/>
          <w:sz w:val="20"/>
          <w:szCs w:val="20"/>
          <w:lang w:val="en-US"/>
        </w:rPr>
        <w:t xml:space="preserve">The National Strategic </w:t>
      </w:r>
      <w:r w:rsidR="00015342" w:rsidRPr="00012C3F">
        <w:rPr>
          <w:bCs/>
          <w:sz w:val="20"/>
          <w:szCs w:val="20"/>
          <w:lang w:val="en-US"/>
        </w:rPr>
        <w:lastRenderedPageBreak/>
        <w:t xml:space="preserve">Plan on Reproductive Health </w:t>
      </w:r>
      <w:r w:rsidR="008D0B77" w:rsidRPr="00012C3F">
        <w:rPr>
          <w:bCs/>
          <w:sz w:val="20"/>
          <w:szCs w:val="20"/>
          <w:lang w:val="en-US"/>
        </w:rPr>
        <w:t xml:space="preserve">2009-2015. </w:t>
      </w:r>
      <w:r w:rsidR="00015342" w:rsidRPr="00012C3F">
        <w:rPr>
          <w:bCs/>
          <w:sz w:val="20"/>
          <w:szCs w:val="20"/>
          <w:lang w:val="en-US"/>
        </w:rPr>
        <w:t>In this regard, the Stat</w:t>
      </w:r>
      <w:r w:rsidR="002D74B1" w:rsidRPr="00012C3F">
        <w:rPr>
          <w:bCs/>
          <w:sz w:val="20"/>
          <w:szCs w:val="20"/>
          <w:lang w:val="en-US"/>
        </w:rPr>
        <w:t>e</w:t>
      </w:r>
      <w:r w:rsidR="00015342" w:rsidRPr="00012C3F">
        <w:rPr>
          <w:bCs/>
          <w:sz w:val="20"/>
          <w:szCs w:val="20"/>
          <w:lang w:val="en-US"/>
        </w:rPr>
        <w:t xml:space="preserve"> considered that it had complied fully with its obligations with regard the right to non-discrimination for reasons of sex or national origin, both in the treatment accorded to I.V. since she arrive in Bolivia, in the operating theater where the </w:t>
      </w:r>
      <w:r w:rsidR="00CC232E" w:rsidRPr="00012C3F">
        <w:rPr>
          <w:bCs/>
          <w:sz w:val="20"/>
          <w:szCs w:val="20"/>
          <w:lang w:val="en-US"/>
        </w:rPr>
        <w:t>caesarean section</w:t>
      </w:r>
      <w:r w:rsidR="005E5012" w:rsidRPr="00012C3F">
        <w:rPr>
          <w:bCs/>
          <w:sz w:val="20"/>
          <w:szCs w:val="20"/>
          <w:lang w:val="en-US"/>
        </w:rPr>
        <w:t xml:space="preserve"> and</w:t>
      </w:r>
      <w:r w:rsidR="00015342" w:rsidRPr="00012C3F">
        <w:rPr>
          <w:bCs/>
          <w:sz w:val="20"/>
          <w:szCs w:val="20"/>
          <w:lang w:val="en-US"/>
        </w:rPr>
        <w:t xml:space="preserve"> </w:t>
      </w:r>
      <w:r w:rsidR="009D3EE9" w:rsidRPr="00012C3F">
        <w:rPr>
          <w:bCs/>
          <w:sz w:val="20"/>
          <w:szCs w:val="20"/>
          <w:lang w:val="en-US"/>
        </w:rPr>
        <w:t>the</w:t>
      </w:r>
      <w:r w:rsidR="00015342" w:rsidRPr="00012C3F">
        <w:rPr>
          <w:bCs/>
          <w:sz w:val="20"/>
          <w:szCs w:val="20"/>
          <w:lang w:val="en-US"/>
        </w:rPr>
        <w:t xml:space="preserve"> tubal ligation were performed, and in the protection afforded by the laws of Bolivia.</w:t>
      </w:r>
    </w:p>
    <w:p w14:paraId="2A6E4CC2" w14:textId="77777777" w:rsidR="008D0B77" w:rsidRPr="00012C3F" w:rsidRDefault="008D0B77" w:rsidP="0013307D">
      <w:pPr>
        <w:pStyle w:val="Prrafodelista2"/>
        <w:tabs>
          <w:tab w:val="left" w:pos="0"/>
          <w:tab w:val="left" w:pos="720"/>
          <w:tab w:val="num" w:pos="11028"/>
        </w:tabs>
        <w:ind w:left="0" w:right="-90"/>
        <w:jc w:val="both"/>
        <w:rPr>
          <w:rFonts w:cs="Verdana"/>
          <w:b/>
          <w:bCs/>
          <w:lang w:val="en-US"/>
        </w:rPr>
      </w:pPr>
    </w:p>
    <w:p w14:paraId="64837FEC" w14:textId="77777777" w:rsidR="008D0B77" w:rsidRPr="00012C3F" w:rsidRDefault="001254DE" w:rsidP="00147093">
      <w:pPr>
        <w:numPr>
          <w:ilvl w:val="0"/>
          <w:numId w:val="5"/>
        </w:numPr>
        <w:tabs>
          <w:tab w:val="left" w:pos="720"/>
          <w:tab w:val="num" w:pos="12305"/>
        </w:tabs>
        <w:spacing w:line="240" w:lineRule="auto"/>
        <w:ind w:left="0" w:firstLine="0"/>
        <w:rPr>
          <w:rFonts w:eastAsia="MS Mincho" w:cs="Verdana"/>
          <w:bCs/>
          <w:sz w:val="20"/>
          <w:szCs w:val="20"/>
          <w:lang w:val="en-US" w:eastAsia="en-US" w:bidi="en-US"/>
        </w:rPr>
      </w:pPr>
      <w:r w:rsidRPr="00012C3F">
        <w:rPr>
          <w:rFonts w:eastAsia="MS Mincho" w:cs="Verdana"/>
          <w:bCs/>
          <w:sz w:val="20"/>
          <w:szCs w:val="20"/>
          <w:lang w:val="en-US" w:eastAsia="en-US" w:bidi="en-US"/>
        </w:rPr>
        <w:t>The Court</w:t>
      </w:r>
      <w:r w:rsidR="008D0B77" w:rsidRPr="00012C3F">
        <w:rPr>
          <w:rFonts w:eastAsia="MS Mincho" w:cs="Verdana"/>
          <w:bCs/>
          <w:sz w:val="20"/>
          <w:szCs w:val="20"/>
          <w:lang w:val="en-US" w:eastAsia="en-US" w:bidi="en-US"/>
        </w:rPr>
        <w:t xml:space="preserve"> </w:t>
      </w:r>
      <w:r w:rsidR="00147093" w:rsidRPr="00012C3F">
        <w:rPr>
          <w:rFonts w:eastAsia="MS Mincho" w:cs="Verdana"/>
          <w:bCs/>
          <w:sz w:val="20"/>
          <w:szCs w:val="20"/>
          <w:lang w:val="en-US" w:eastAsia="en-US" w:bidi="en-US"/>
        </w:rPr>
        <w:t xml:space="preserve">has already verified the impact on </w:t>
      </w:r>
      <w:r w:rsidR="00CD065A" w:rsidRPr="00012C3F">
        <w:rPr>
          <w:rFonts w:eastAsia="MS Mincho" w:cs="Verdana"/>
          <w:bCs/>
          <w:sz w:val="20"/>
          <w:szCs w:val="20"/>
          <w:lang w:val="en-US" w:eastAsia="en-US" w:bidi="en-US"/>
        </w:rPr>
        <w:t>I.V.’s</w:t>
      </w:r>
      <w:r w:rsidR="00147093" w:rsidRPr="00012C3F">
        <w:rPr>
          <w:rFonts w:eastAsia="MS Mincho" w:cs="Verdana"/>
          <w:bCs/>
          <w:sz w:val="20"/>
          <w:szCs w:val="20"/>
          <w:lang w:val="en-US" w:eastAsia="en-US" w:bidi="en-US"/>
        </w:rPr>
        <w:t xml:space="preserve"> right to personal integrity produced by the tubal ligation without her prior, free, full and informed consent (</w:t>
      </w:r>
      <w:r w:rsidR="00147093" w:rsidRPr="00012C3F">
        <w:rPr>
          <w:rFonts w:eastAsia="MS Mincho" w:cs="Verdana"/>
          <w:bCs/>
          <w:i/>
          <w:sz w:val="20"/>
          <w:szCs w:val="20"/>
          <w:lang w:val="en-US" w:eastAsia="en-US" w:bidi="en-US"/>
        </w:rPr>
        <w:t xml:space="preserve">supra </w:t>
      </w:r>
      <w:r w:rsidR="00147093" w:rsidRPr="00012C3F">
        <w:rPr>
          <w:rFonts w:eastAsia="MS Mincho" w:cs="Verdana"/>
          <w:bCs/>
          <w:sz w:val="20"/>
          <w:szCs w:val="20"/>
          <w:lang w:val="en-US" w:eastAsia="en-US" w:bidi="en-US"/>
        </w:rPr>
        <w:t>Chapters VIII-1 and VIII-2). Bearing in mind that the State has a legal framework that may prevent the repetition of situations such as those of this case,</w:t>
      </w:r>
      <w:r w:rsidR="00434483" w:rsidRPr="00012C3F">
        <w:rPr>
          <w:rStyle w:val="Refdenotaalpie"/>
          <w:rFonts w:eastAsia="MS Mincho" w:cs="Verdana"/>
          <w:bCs/>
          <w:sz w:val="20"/>
          <w:szCs w:val="20"/>
          <w:lang w:val="en-US" w:eastAsia="en-US" w:bidi="en-US"/>
        </w:rPr>
        <w:footnoteReference w:id="408"/>
      </w:r>
      <w:r w:rsidR="008D0B77" w:rsidRPr="00012C3F">
        <w:rPr>
          <w:rFonts w:eastAsia="MS Mincho" w:cs="Verdana"/>
          <w:bCs/>
          <w:sz w:val="20"/>
          <w:szCs w:val="20"/>
          <w:lang w:val="en-US" w:eastAsia="en-US" w:bidi="en-US"/>
        </w:rPr>
        <w:t xml:space="preserve"> </w:t>
      </w:r>
      <w:r w:rsidR="00147093" w:rsidRPr="00012C3F">
        <w:rPr>
          <w:rFonts w:eastAsia="MS Mincho" w:cs="Verdana"/>
          <w:bCs/>
          <w:sz w:val="20"/>
          <w:szCs w:val="20"/>
          <w:lang w:val="en-US" w:eastAsia="en-US" w:bidi="en-US"/>
        </w:rPr>
        <w:t>the Court</w:t>
      </w:r>
      <w:r w:rsidR="008D0B77" w:rsidRPr="00012C3F">
        <w:rPr>
          <w:rFonts w:eastAsia="MS Mincho" w:cs="Verdana"/>
          <w:bCs/>
          <w:sz w:val="20"/>
          <w:szCs w:val="20"/>
          <w:lang w:val="en-US" w:eastAsia="en-US" w:bidi="en-US"/>
        </w:rPr>
        <w:t xml:space="preserve"> consider</w:t>
      </w:r>
      <w:r w:rsidR="00147093" w:rsidRPr="00012C3F">
        <w:rPr>
          <w:rFonts w:eastAsia="MS Mincho" w:cs="Verdana"/>
          <w:bCs/>
          <w:sz w:val="20"/>
          <w:szCs w:val="20"/>
          <w:lang w:val="en-US" w:eastAsia="en-US" w:bidi="en-US"/>
        </w:rPr>
        <w:t>s that it is important to</w:t>
      </w:r>
      <w:r w:rsidR="00CD065A" w:rsidRPr="00012C3F">
        <w:rPr>
          <w:rFonts w:eastAsia="MS Mincho" w:cs="Verdana"/>
          <w:bCs/>
          <w:sz w:val="20"/>
          <w:szCs w:val="20"/>
          <w:lang w:val="en-US" w:eastAsia="en-US" w:bidi="en-US"/>
        </w:rPr>
        <w:t xml:space="preserve"> put in practice</w:t>
      </w:r>
      <w:r w:rsidR="00147093" w:rsidRPr="00012C3F">
        <w:rPr>
          <w:rFonts w:eastAsia="MS Mincho" w:cs="Verdana"/>
          <w:bCs/>
          <w:sz w:val="20"/>
          <w:szCs w:val="20"/>
          <w:lang w:val="en-US" w:eastAsia="en-US" w:bidi="en-US"/>
        </w:rPr>
        <w:t xml:space="preserve"> the obligation of active transparency in relation to the sexual and reproductive health care services to which women in Bolivia have a right. This imposes on the State the obligation to officially provide the public with the maximum amount of information, including the information required to access such services. This information should be complete, comprehensible,</w:t>
      </w:r>
      <w:r w:rsidR="00CD065A" w:rsidRPr="00012C3F">
        <w:rPr>
          <w:rFonts w:eastAsia="MS Mincho" w:cs="Verdana"/>
          <w:bCs/>
          <w:sz w:val="20"/>
          <w:szCs w:val="20"/>
          <w:lang w:val="en-US" w:eastAsia="en-US" w:bidi="en-US"/>
        </w:rPr>
        <w:t xml:space="preserve"> current, and</w:t>
      </w:r>
      <w:r w:rsidR="00147093" w:rsidRPr="00012C3F">
        <w:rPr>
          <w:rFonts w:eastAsia="MS Mincho" w:cs="Verdana"/>
          <w:bCs/>
          <w:sz w:val="20"/>
          <w:szCs w:val="20"/>
          <w:lang w:val="en-US" w:eastAsia="en-US" w:bidi="en-US"/>
        </w:rPr>
        <w:t xml:space="preserve"> provided in an accessible language. In addition, </w:t>
      </w:r>
      <w:r w:rsidR="00CD065A" w:rsidRPr="00012C3F">
        <w:rPr>
          <w:rFonts w:eastAsia="MS Mincho" w:cs="Verdana"/>
          <w:bCs/>
          <w:sz w:val="20"/>
          <w:szCs w:val="20"/>
          <w:lang w:val="en-US" w:eastAsia="en-US" w:bidi="en-US"/>
        </w:rPr>
        <w:t>since</w:t>
      </w:r>
      <w:r w:rsidR="00147093" w:rsidRPr="00012C3F">
        <w:rPr>
          <w:rFonts w:eastAsia="MS Mincho" w:cs="Verdana"/>
          <w:bCs/>
          <w:sz w:val="20"/>
          <w:szCs w:val="20"/>
          <w:lang w:val="en-US" w:eastAsia="en-US" w:bidi="en-US"/>
        </w:rPr>
        <w:t xml:space="preserve"> important sectors of the population do not have access to the new technologies and</w:t>
      </w:r>
      <w:r w:rsidR="00CD065A" w:rsidRPr="00012C3F">
        <w:rPr>
          <w:rFonts w:eastAsia="MS Mincho" w:cs="Verdana"/>
          <w:bCs/>
          <w:sz w:val="20"/>
          <w:szCs w:val="20"/>
          <w:lang w:val="en-US" w:eastAsia="en-US" w:bidi="en-US"/>
        </w:rPr>
        <w:t xml:space="preserve"> since </w:t>
      </w:r>
      <w:r w:rsidR="00147093" w:rsidRPr="00012C3F">
        <w:rPr>
          <w:rFonts w:eastAsia="MS Mincho" w:cs="Verdana"/>
          <w:bCs/>
          <w:sz w:val="20"/>
          <w:szCs w:val="20"/>
          <w:lang w:val="en-US" w:eastAsia="en-US" w:bidi="en-US"/>
        </w:rPr>
        <w:t xml:space="preserve">many of their rights may depend on </w:t>
      </w:r>
      <w:r w:rsidR="00CD065A" w:rsidRPr="00012C3F">
        <w:rPr>
          <w:rFonts w:eastAsia="MS Mincho" w:cs="Verdana"/>
          <w:bCs/>
          <w:sz w:val="20"/>
          <w:szCs w:val="20"/>
          <w:lang w:val="en-US" w:eastAsia="en-US" w:bidi="en-US"/>
        </w:rPr>
        <w:t>such sectors</w:t>
      </w:r>
      <w:r w:rsidR="00147093" w:rsidRPr="00012C3F">
        <w:rPr>
          <w:rFonts w:eastAsia="MS Mincho" w:cs="Verdana"/>
          <w:bCs/>
          <w:sz w:val="20"/>
          <w:szCs w:val="20"/>
          <w:lang w:val="en-US" w:eastAsia="en-US" w:bidi="en-US"/>
        </w:rPr>
        <w:t xml:space="preserve"> having information on how to make th</w:t>
      </w:r>
      <w:r w:rsidR="00CD065A" w:rsidRPr="00012C3F">
        <w:rPr>
          <w:rFonts w:eastAsia="MS Mincho" w:cs="Verdana"/>
          <w:bCs/>
          <w:sz w:val="20"/>
          <w:szCs w:val="20"/>
          <w:lang w:val="en-US" w:eastAsia="en-US" w:bidi="en-US"/>
        </w:rPr>
        <w:t>ose rights</w:t>
      </w:r>
      <w:r w:rsidR="00147093" w:rsidRPr="00012C3F">
        <w:rPr>
          <w:rFonts w:eastAsia="MS Mincho" w:cs="Verdana"/>
          <w:bCs/>
          <w:sz w:val="20"/>
          <w:szCs w:val="20"/>
          <w:lang w:val="en-US" w:eastAsia="en-US" w:bidi="en-US"/>
        </w:rPr>
        <w:t xml:space="preserve"> effective, the State must identify effective </w:t>
      </w:r>
      <w:r w:rsidR="00CD065A" w:rsidRPr="00012C3F">
        <w:rPr>
          <w:rFonts w:eastAsia="MS Mincho" w:cs="Verdana"/>
          <w:bCs/>
          <w:sz w:val="20"/>
          <w:szCs w:val="20"/>
          <w:lang w:val="en-US" w:eastAsia="en-US" w:bidi="en-US"/>
        </w:rPr>
        <w:t>ways in which to</w:t>
      </w:r>
      <w:r w:rsidR="00147093" w:rsidRPr="00012C3F">
        <w:rPr>
          <w:rFonts w:eastAsia="MS Mincho" w:cs="Verdana"/>
          <w:bCs/>
          <w:sz w:val="20"/>
          <w:szCs w:val="20"/>
          <w:lang w:val="en-US" w:eastAsia="en-US" w:bidi="en-US"/>
        </w:rPr>
        <w:t xml:space="preserve"> comply with the obligation for active transparency in these circumstances.</w:t>
      </w:r>
      <w:r w:rsidR="00F10587" w:rsidRPr="00012C3F">
        <w:rPr>
          <w:rStyle w:val="Refdenotaalpie"/>
          <w:rFonts w:eastAsia="MS Mincho" w:cs="Verdana"/>
          <w:bCs/>
          <w:sz w:val="20"/>
          <w:szCs w:val="20"/>
          <w:lang w:val="en-US" w:eastAsia="en-US" w:bidi="en-US"/>
        </w:rPr>
        <w:footnoteReference w:id="409"/>
      </w:r>
    </w:p>
    <w:p w14:paraId="23CF6B96" w14:textId="77777777" w:rsidR="008D0B77" w:rsidRPr="00012C3F" w:rsidRDefault="008D0B77" w:rsidP="0013307D">
      <w:pPr>
        <w:tabs>
          <w:tab w:val="left" w:pos="720"/>
        </w:tabs>
        <w:spacing w:line="240" w:lineRule="auto"/>
        <w:rPr>
          <w:sz w:val="20"/>
          <w:szCs w:val="20"/>
          <w:lang w:val="en-US"/>
        </w:rPr>
      </w:pPr>
    </w:p>
    <w:p w14:paraId="675F0DB7" w14:textId="77777777" w:rsidR="008D0B77" w:rsidRPr="00012C3F" w:rsidRDefault="00147093" w:rsidP="00147093">
      <w:pPr>
        <w:numPr>
          <w:ilvl w:val="0"/>
          <w:numId w:val="5"/>
        </w:numPr>
        <w:tabs>
          <w:tab w:val="left" w:pos="720"/>
          <w:tab w:val="num" w:pos="12305"/>
        </w:tabs>
        <w:spacing w:line="240" w:lineRule="auto"/>
        <w:ind w:left="0" w:firstLine="0"/>
        <w:rPr>
          <w:rFonts w:eastAsia="MS Mincho" w:cs="Verdana"/>
          <w:sz w:val="20"/>
          <w:szCs w:val="20"/>
          <w:lang w:val="en-US" w:eastAsia="en-US" w:bidi="en-US"/>
        </w:rPr>
      </w:pPr>
      <w:r w:rsidRPr="00012C3F">
        <w:rPr>
          <w:rFonts w:eastAsia="MS Mincho" w:cs="Verdana"/>
          <w:bCs/>
          <w:sz w:val="20"/>
          <w:szCs w:val="20"/>
          <w:lang w:val="en-US" w:eastAsia="en-US" w:bidi="en-US"/>
        </w:rPr>
        <w:t>Consequently</w:t>
      </w:r>
      <w:r w:rsidR="008D0B77" w:rsidRPr="00012C3F">
        <w:rPr>
          <w:rFonts w:eastAsia="MS Mincho" w:cs="Verdana"/>
          <w:bCs/>
          <w:sz w:val="20"/>
          <w:szCs w:val="20"/>
          <w:lang w:val="en-US" w:eastAsia="en-US" w:bidi="en-US"/>
        </w:rPr>
        <w:t xml:space="preserve">, </w:t>
      </w:r>
      <w:r w:rsidR="001254DE" w:rsidRPr="00012C3F">
        <w:rPr>
          <w:rFonts w:eastAsia="MS Mincho" w:cs="Verdana"/>
          <w:bCs/>
          <w:sz w:val="20"/>
          <w:szCs w:val="20"/>
          <w:lang w:val="en-US" w:eastAsia="en-US" w:bidi="en-US"/>
        </w:rPr>
        <w:t>the Court</w:t>
      </w:r>
      <w:r w:rsidR="008D0B77" w:rsidRPr="00012C3F">
        <w:rPr>
          <w:rFonts w:eastAsia="MS Mincho" w:cs="Verdana"/>
          <w:bCs/>
          <w:sz w:val="20"/>
          <w:szCs w:val="20"/>
          <w:lang w:val="en-US" w:eastAsia="en-US" w:bidi="en-US"/>
        </w:rPr>
        <w:t xml:space="preserve"> consider</w:t>
      </w:r>
      <w:r w:rsidRPr="00012C3F">
        <w:rPr>
          <w:rFonts w:eastAsia="MS Mincho" w:cs="Verdana"/>
          <w:bCs/>
          <w:sz w:val="20"/>
          <w:szCs w:val="20"/>
          <w:lang w:val="en-US" w:eastAsia="en-US" w:bidi="en-US"/>
        </w:rPr>
        <w:t xml:space="preserve">s that, in the context of implementation of the Bolivian laws that regulate access to </w:t>
      </w:r>
      <w:r w:rsidR="00A54991" w:rsidRPr="00012C3F">
        <w:rPr>
          <w:rFonts w:eastAsia="MS Mincho" w:cs="Verdana"/>
          <w:bCs/>
          <w:sz w:val="20"/>
          <w:szCs w:val="20"/>
          <w:lang w:val="en-US" w:eastAsia="en-US" w:bidi="en-US"/>
        </w:rPr>
        <w:t>sexual and reproductive health</w:t>
      </w:r>
      <w:r w:rsidRPr="00012C3F">
        <w:rPr>
          <w:rFonts w:eastAsia="MS Mincho" w:cs="Verdana"/>
          <w:bCs/>
          <w:sz w:val="20"/>
          <w:szCs w:val="20"/>
          <w:lang w:val="en-US" w:eastAsia="en-US" w:bidi="en-US"/>
        </w:rPr>
        <w:t xml:space="preserve"> care</w:t>
      </w:r>
      <w:r w:rsidR="008D0B77" w:rsidRPr="00012C3F">
        <w:rPr>
          <w:rFonts w:eastAsia="MS Mincho" w:cs="Verdana"/>
          <w:bCs/>
          <w:sz w:val="20"/>
          <w:szCs w:val="20"/>
          <w:lang w:val="en-US" w:eastAsia="en-US" w:bidi="en-US"/>
        </w:rPr>
        <w:t xml:space="preserve">, </w:t>
      </w:r>
      <w:r w:rsidR="00A84CA0" w:rsidRPr="00012C3F">
        <w:rPr>
          <w:rFonts w:eastAsia="MS Mincho" w:cs="Verdana"/>
          <w:bCs/>
          <w:sz w:val="20"/>
          <w:szCs w:val="20"/>
          <w:lang w:val="en-US" w:eastAsia="en-US" w:bidi="en-US"/>
        </w:rPr>
        <w:t>the State</w:t>
      </w:r>
      <w:r w:rsidR="008D0B77" w:rsidRPr="00012C3F">
        <w:rPr>
          <w:rFonts w:eastAsia="MS Mincho" w:cs="Verdana"/>
          <w:bCs/>
          <w:sz w:val="20"/>
          <w:szCs w:val="20"/>
          <w:lang w:val="en-US" w:eastAsia="en-US" w:bidi="en-US"/>
        </w:rPr>
        <w:t xml:space="preserve"> </w:t>
      </w:r>
      <w:r w:rsidRPr="00012C3F">
        <w:rPr>
          <w:rFonts w:eastAsia="MS Mincho" w:cs="Verdana"/>
          <w:bCs/>
          <w:sz w:val="20"/>
          <w:szCs w:val="20"/>
          <w:lang w:val="en-US" w:eastAsia="en-US" w:bidi="en-US"/>
        </w:rPr>
        <w:t>must adopt the necessary measures to ensure that, in all public and private hospitals, the</w:t>
      </w:r>
      <w:r w:rsidR="008D0B77" w:rsidRPr="00012C3F">
        <w:rPr>
          <w:rFonts w:eastAsia="MS Mincho" w:cs="Verdana"/>
          <w:bCs/>
          <w:sz w:val="20"/>
          <w:szCs w:val="20"/>
          <w:lang w:val="en-US" w:eastAsia="en-US" w:bidi="en-US"/>
        </w:rPr>
        <w:t xml:space="preserve"> </w:t>
      </w:r>
      <w:r w:rsidR="00DF71A5" w:rsidRPr="00012C3F">
        <w:rPr>
          <w:rFonts w:eastAsia="MS Mincho" w:cs="Verdana"/>
          <w:bCs/>
          <w:sz w:val="20"/>
          <w:szCs w:val="20"/>
          <w:lang w:val="en-US" w:eastAsia="en-US" w:bidi="en-US"/>
        </w:rPr>
        <w:t>prior, free, full and informed consent</w:t>
      </w:r>
      <w:r w:rsidR="008D0B77" w:rsidRPr="00012C3F">
        <w:rPr>
          <w:rFonts w:eastAsia="MS Mincho" w:cs="Verdana"/>
          <w:bCs/>
          <w:sz w:val="20"/>
          <w:szCs w:val="20"/>
          <w:lang w:val="en-US" w:eastAsia="en-US" w:bidi="en-US"/>
        </w:rPr>
        <w:t xml:space="preserve"> </w:t>
      </w:r>
      <w:r w:rsidRPr="00012C3F">
        <w:rPr>
          <w:rFonts w:eastAsia="MS Mincho" w:cs="Verdana"/>
          <w:bCs/>
          <w:sz w:val="20"/>
          <w:szCs w:val="20"/>
          <w:lang w:val="en-US" w:eastAsia="en-US" w:bidi="en-US"/>
        </w:rPr>
        <w:t>of women is obtained in the case of procedures that involve sterilization. To this end, the Court, as in another case,</w:t>
      </w:r>
      <w:r w:rsidRPr="00012C3F">
        <w:rPr>
          <w:rStyle w:val="Refdenotaalpie"/>
          <w:rFonts w:eastAsia="MS Mincho" w:cs="Verdana"/>
          <w:bCs/>
          <w:sz w:val="20"/>
          <w:szCs w:val="20"/>
          <w:lang w:val="en-US" w:eastAsia="en-US" w:bidi="en-US"/>
        </w:rPr>
        <w:footnoteReference w:id="410"/>
      </w:r>
      <w:r w:rsidRPr="00012C3F">
        <w:rPr>
          <w:rFonts w:eastAsia="MS Mincho" w:cs="Verdana"/>
          <w:bCs/>
          <w:sz w:val="20"/>
          <w:szCs w:val="20"/>
          <w:lang w:val="en-US" w:eastAsia="en-US" w:bidi="en-US"/>
        </w:rPr>
        <w:t xml:space="preserve"> finds it pertinent to order the State to </w:t>
      </w:r>
      <w:r w:rsidR="00C60F32" w:rsidRPr="00012C3F">
        <w:rPr>
          <w:rFonts w:eastAsia="MS Mincho" w:cs="Verdana"/>
          <w:bCs/>
          <w:sz w:val="20"/>
          <w:szCs w:val="20"/>
          <w:lang w:val="en-US" w:eastAsia="en-US" w:bidi="en-US"/>
        </w:rPr>
        <w:t>produce</w:t>
      </w:r>
      <w:r w:rsidRPr="00012C3F">
        <w:rPr>
          <w:rFonts w:eastAsia="MS Mincho" w:cs="Verdana"/>
          <w:bCs/>
          <w:sz w:val="20"/>
          <w:szCs w:val="20"/>
          <w:lang w:val="en-US" w:eastAsia="en-US" w:bidi="en-US"/>
        </w:rPr>
        <w:t xml:space="preserve"> a publication or leaflet that sets out in a synthetic, clear and accessible form, the rights of women in relation to their sexual and reproductive health established in the international standards, </w:t>
      </w:r>
      <w:r w:rsidR="00CD065A" w:rsidRPr="00012C3F">
        <w:rPr>
          <w:rFonts w:eastAsia="MS Mincho" w:cs="Verdana"/>
          <w:bCs/>
          <w:sz w:val="20"/>
          <w:szCs w:val="20"/>
          <w:lang w:val="en-US" w:eastAsia="en-US" w:bidi="en-US"/>
        </w:rPr>
        <w:t xml:space="preserve"> and </w:t>
      </w:r>
      <w:r w:rsidRPr="00012C3F">
        <w:rPr>
          <w:rFonts w:eastAsia="MS Mincho" w:cs="Verdana"/>
          <w:bCs/>
          <w:sz w:val="20"/>
          <w:szCs w:val="20"/>
          <w:lang w:val="en-US" w:eastAsia="en-US" w:bidi="en-US"/>
        </w:rPr>
        <w:t>those established in this judgment and in the domestic laws of Bolivia, as well as the obligations of medical personnel when providing care in the area of sexual and reproductive health. This publication should specifically mention the need for</w:t>
      </w:r>
      <w:r w:rsidRPr="00012C3F">
        <w:rPr>
          <w:rFonts w:eastAsia="MS Mincho" w:cs="Verdana"/>
          <w:sz w:val="20"/>
          <w:szCs w:val="20"/>
          <w:lang w:val="en-US" w:eastAsia="en-US" w:bidi="en-US"/>
        </w:rPr>
        <w:t xml:space="preserve"> </w:t>
      </w:r>
      <w:r w:rsidR="00DF71A5" w:rsidRPr="00012C3F">
        <w:rPr>
          <w:rFonts w:eastAsia="MS Mincho" w:cs="Verdana"/>
          <w:bCs/>
          <w:sz w:val="20"/>
          <w:szCs w:val="20"/>
          <w:lang w:val="en-US" w:eastAsia="en-US" w:bidi="en-US"/>
        </w:rPr>
        <w:t>prior, free, full and informed consent</w:t>
      </w:r>
      <w:r w:rsidR="008D0B77" w:rsidRPr="00012C3F">
        <w:rPr>
          <w:rFonts w:eastAsia="MS Mincho" w:cs="Verdana"/>
          <w:bCs/>
          <w:sz w:val="20"/>
          <w:szCs w:val="20"/>
          <w:lang w:val="en-US" w:eastAsia="en-US" w:bidi="en-US"/>
        </w:rPr>
        <w:t xml:space="preserve">. </w:t>
      </w:r>
      <w:r w:rsidRPr="00012C3F">
        <w:rPr>
          <w:rFonts w:eastAsia="MS Mincho" w:cs="Verdana"/>
          <w:bCs/>
          <w:sz w:val="20"/>
          <w:szCs w:val="20"/>
          <w:lang w:val="en-US" w:eastAsia="en-US" w:bidi="en-US"/>
        </w:rPr>
        <w:t xml:space="preserve">It must be available in all Bolivian public and private hospitals for both patients and medical personnel, and on the website of </w:t>
      </w:r>
      <w:r w:rsidR="002A5605" w:rsidRPr="00012C3F">
        <w:rPr>
          <w:rFonts w:eastAsia="MS Mincho" w:cs="Verdana"/>
          <w:bCs/>
          <w:sz w:val="20"/>
          <w:szCs w:val="20"/>
          <w:lang w:val="en-US" w:eastAsia="en-US" w:bidi="en-US"/>
        </w:rPr>
        <w:t>the Ministry of Health and Social Services</w:t>
      </w:r>
      <w:r w:rsidR="008D0B77" w:rsidRPr="00012C3F">
        <w:rPr>
          <w:rFonts w:eastAsia="MS Mincho" w:cs="Verdana"/>
          <w:bCs/>
          <w:sz w:val="20"/>
          <w:szCs w:val="20"/>
          <w:lang w:val="en-US" w:eastAsia="en-US" w:bidi="en-US"/>
        </w:rPr>
        <w:t>.</w:t>
      </w:r>
      <w:r w:rsidR="00C114B8" w:rsidRPr="00012C3F">
        <w:rPr>
          <w:rFonts w:eastAsia="MS Mincho" w:cs="Verdana"/>
          <w:bCs/>
          <w:sz w:val="20"/>
          <w:szCs w:val="20"/>
          <w:lang w:val="en-US" w:eastAsia="en-US" w:bidi="en-US"/>
        </w:rPr>
        <w:t xml:space="preserve"> </w:t>
      </w:r>
      <w:r w:rsidRPr="00012C3F">
        <w:rPr>
          <w:rFonts w:eastAsia="MS Mincho" w:cs="Verdana"/>
          <w:bCs/>
          <w:sz w:val="20"/>
          <w:szCs w:val="20"/>
          <w:lang w:val="en-US" w:eastAsia="en-US" w:bidi="en-US"/>
        </w:rPr>
        <w:t>In addition, access to this leaflet or publication should be provided through the Office of the Ombudsman and civil society organizations working in this area. Following implementation, the State must provide an annual report on th</w:t>
      </w:r>
      <w:r w:rsidR="00CD065A" w:rsidRPr="00012C3F">
        <w:rPr>
          <w:rFonts w:eastAsia="MS Mincho" w:cs="Verdana"/>
          <w:bCs/>
          <w:sz w:val="20"/>
          <w:szCs w:val="20"/>
          <w:lang w:val="en-US" w:eastAsia="en-US" w:bidi="en-US"/>
        </w:rPr>
        <w:t>is</w:t>
      </w:r>
      <w:r w:rsidRPr="00012C3F">
        <w:rPr>
          <w:rFonts w:eastAsia="MS Mincho" w:cs="Verdana"/>
          <w:bCs/>
          <w:sz w:val="20"/>
          <w:szCs w:val="20"/>
          <w:lang w:val="en-US" w:eastAsia="en-US" w:bidi="en-US"/>
        </w:rPr>
        <w:t xml:space="preserve"> measure for three years.</w:t>
      </w:r>
    </w:p>
    <w:p w14:paraId="449E1679" w14:textId="77777777" w:rsidR="00147093" w:rsidRPr="00012C3F" w:rsidRDefault="00147093" w:rsidP="008D0B77">
      <w:pPr>
        <w:pStyle w:val="Prrafodelista2"/>
        <w:tabs>
          <w:tab w:val="left" w:pos="0"/>
          <w:tab w:val="num" w:pos="11028"/>
        </w:tabs>
        <w:ind w:left="0" w:right="-90"/>
        <w:jc w:val="both"/>
        <w:rPr>
          <w:rFonts w:cs="Verdana"/>
          <w:lang w:val="en-US"/>
        </w:rPr>
      </w:pPr>
    </w:p>
    <w:p w14:paraId="7FD0F67F" w14:textId="77777777" w:rsidR="00D039BD" w:rsidRPr="00012C3F" w:rsidRDefault="00147093" w:rsidP="00147093">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 xml:space="preserve">Also, taking into account that the violations of I.V.’s autonomy and reproductive </w:t>
      </w:r>
      <w:r w:rsidR="00CD065A" w:rsidRPr="00012C3F">
        <w:rPr>
          <w:rFonts w:cs="Verdana"/>
          <w:sz w:val="20"/>
          <w:szCs w:val="20"/>
          <w:lang w:val="en-US"/>
        </w:rPr>
        <w:t xml:space="preserve">freedom </w:t>
      </w:r>
      <w:r w:rsidRPr="00012C3F">
        <w:rPr>
          <w:rFonts w:cs="Verdana"/>
          <w:sz w:val="20"/>
          <w:szCs w:val="20"/>
          <w:lang w:val="en-US"/>
        </w:rPr>
        <w:t>were due to negative gender-based stereotypes in the health sector</w:t>
      </w:r>
      <w:r w:rsidR="005C7B93" w:rsidRPr="00012C3F">
        <w:rPr>
          <w:rFonts w:cs="Verdana"/>
          <w:sz w:val="20"/>
          <w:szCs w:val="20"/>
          <w:lang w:val="en-US"/>
        </w:rPr>
        <w:t xml:space="preserve"> (</w:t>
      </w:r>
      <w:r w:rsidR="005C7B93" w:rsidRPr="00012C3F">
        <w:rPr>
          <w:rFonts w:cs="Verdana"/>
          <w:i/>
          <w:sz w:val="20"/>
          <w:szCs w:val="20"/>
          <w:lang w:val="en-US"/>
        </w:rPr>
        <w:t>supra</w:t>
      </w:r>
      <w:r w:rsidR="005C7B93" w:rsidRPr="00012C3F">
        <w:rPr>
          <w:rFonts w:cs="Verdana"/>
          <w:sz w:val="20"/>
          <w:szCs w:val="20"/>
          <w:lang w:val="en-US"/>
        </w:rPr>
        <w:t xml:space="preserve"> </w:t>
      </w:r>
      <w:r w:rsidR="00370DD4" w:rsidRPr="00012C3F">
        <w:rPr>
          <w:rFonts w:cs="Verdana"/>
          <w:sz w:val="20"/>
          <w:szCs w:val="20"/>
          <w:lang w:val="en-US"/>
        </w:rPr>
        <w:t>para.</w:t>
      </w:r>
      <w:r w:rsidR="005C7B93" w:rsidRPr="00012C3F">
        <w:rPr>
          <w:rFonts w:cs="Verdana"/>
          <w:sz w:val="20"/>
          <w:szCs w:val="20"/>
          <w:lang w:val="en-US"/>
        </w:rPr>
        <w:t xml:space="preserve"> </w:t>
      </w:r>
      <w:r w:rsidR="003D7674" w:rsidRPr="00012C3F">
        <w:rPr>
          <w:rFonts w:cs="Verdana"/>
          <w:sz w:val="20"/>
          <w:szCs w:val="20"/>
          <w:lang w:val="en-US"/>
        </w:rPr>
        <w:t>236</w:t>
      </w:r>
      <w:r w:rsidR="005C7B93" w:rsidRPr="00012C3F">
        <w:rPr>
          <w:rFonts w:cs="Verdana"/>
          <w:sz w:val="20"/>
          <w:szCs w:val="20"/>
          <w:lang w:val="en-US"/>
        </w:rPr>
        <w:t>)</w:t>
      </w:r>
      <w:r w:rsidR="00F73FB6" w:rsidRPr="00012C3F">
        <w:rPr>
          <w:rFonts w:cs="Verdana"/>
          <w:sz w:val="20"/>
          <w:szCs w:val="20"/>
          <w:lang w:val="en-US"/>
        </w:rPr>
        <w:t>,</w:t>
      </w:r>
      <w:r w:rsidRPr="00012C3F">
        <w:rPr>
          <w:rFonts w:cs="Verdana"/>
          <w:sz w:val="20"/>
          <w:szCs w:val="20"/>
          <w:lang w:val="en-US"/>
        </w:rPr>
        <w:t xml:space="preserve"> a measure of reparation must be ordered to avoid the repetition of facts such as those of this case. To this end, the Court orders the State, within one year, to adopt permanent education and training programs for medical students and professionals, as well as for all personnel who are members of the health and social security system, on issues </w:t>
      </w:r>
      <w:r w:rsidR="00264796" w:rsidRPr="00012C3F">
        <w:rPr>
          <w:rFonts w:cs="Verdana"/>
          <w:sz w:val="20"/>
          <w:szCs w:val="20"/>
          <w:lang w:val="en-US"/>
        </w:rPr>
        <w:t>relating to</w:t>
      </w:r>
      <w:r w:rsidRPr="00012C3F">
        <w:rPr>
          <w:rFonts w:cs="Verdana"/>
          <w:sz w:val="20"/>
          <w:szCs w:val="20"/>
          <w:lang w:val="en-US"/>
        </w:rPr>
        <w:t xml:space="preserve"> </w:t>
      </w:r>
      <w:r w:rsidR="00AC0004" w:rsidRPr="00012C3F">
        <w:rPr>
          <w:rFonts w:cs="Verdana"/>
          <w:iCs/>
          <w:sz w:val="20"/>
          <w:szCs w:val="20"/>
          <w:lang w:val="en-US"/>
        </w:rPr>
        <w:t>informed consent</w:t>
      </w:r>
      <w:r w:rsidR="00C114B8" w:rsidRPr="00012C3F">
        <w:rPr>
          <w:rFonts w:cs="Verdana"/>
          <w:iCs/>
          <w:sz w:val="20"/>
          <w:szCs w:val="20"/>
          <w:lang w:val="en-US"/>
        </w:rPr>
        <w:t>,</w:t>
      </w:r>
      <w:r w:rsidR="00F73FB6" w:rsidRPr="00012C3F">
        <w:rPr>
          <w:rFonts w:cs="Verdana"/>
          <w:iCs/>
          <w:sz w:val="20"/>
          <w:szCs w:val="20"/>
          <w:lang w:val="en-US"/>
        </w:rPr>
        <w:t xml:space="preserve"> </w:t>
      </w:r>
      <w:r w:rsidRPr="00012C3F">
        <w:rPr>
          <w:rFonts w:cs="Verdana"/>
          <w:iCs/>
          <w:sz w:val="20"/>
          <w:szCs w:val="20"/>
          <w:lang w:val="en-US"/>
        </w:rPr>
        <w:t>gender-based discrimination and stereotypes, and gender-based violence.</w:t>
      </w:r>
    </w:p>
    <w:p w14:paraId="0E8D5E7A" w14:textId="77777777" w:rsidR="00147093" w:rsidRPr="00012C3F" w:rsidRDefault="00147093" w:rsidP="00147093">
      <w:pPr>
        <w:tabs>
          <w:tab w:val="left" w:pos="720"/>
        </w:tabs>
        <w:spacing w:line="240" w:lineRule="auto"/>
        <w:rPr>
          <w:rFonts w:cs="Verdana"/>
          <w:iCs/>
          <w:sz w:val="20"/>
          <w:szCs w:val="20"/>
          <w:lang w:val="en-US"/>
        </w:rPr>
      </w:pPr>
    </w:p>
    <w:p w14:paraId="606E1701" w14:textId="77777777" w:rsidR="00147093" w:rsidRPr="00012C3F" w:rsidRDefault="00147093" w:rsidP="00147093">
      <w:pPr>
        <w:keepNext/>
        <w:keepLines/>
        <w:tabs>
          <w:tab w:val="left" w:pos="1134"/>
        </w:tabs>
        <w:spacing w:line="240" w:lineRule="auto"/>
        <w:ind w:left="567" w:firstLine="1"/>
        <w:outlineLvl w:val="1"/>
        <w:rPr>
          <w:rFonts w:eastAsia="MS Mincho"/>
          <w:b/>
          <w:bCs/>
          <w:i/>
          <w:sz w:val="20"/>
          <w:szCs w:val="20"/>
          <w:lang w:val="en-US"/>
        </w:rPr>
      </w:pPr>
      <w:bookmarkStart w:id="203" w:name="_Toc27486894"/>
      <w:r w:rsidRPr="00012C3F">
        <w:rPr>
          <w:rFonts w:eastAsia="MS Mincho"/>
          <w:b/>
          <w:bCs/>
          <w:i/>
          <w:sz w:val="20"/>
          <w:szCs w:val="20"/>
          <w:lang w:val="en-US"/>
        </w:rPr>
        <w:lastRenderedPageBreak/>
        <w:t>E.</w:t>
      </w:r>
      <w:r w:rsidRPr="00012C3F">
        <w:rPr>
          <w:rFonts w:eastAsia="MS Mincho"/>
          <w:b/>
          <w:bCs/>
          <w:i/>
          <w:sz w:val="20"/>
          <w:szCs w:val="20"/>
          <w:lang w:val="en-US"/>
        </w:rPr>
        <w:tab/>
        <w:t>Other measures requested</w:t>
      </w:r>
      <w:bookmarkEnd w:id="203"/>
    </w:p>
    <w:p w14:paraId="7A757367" w14:textId="77777777" w:rsidR="00147093" w:rsidRPr="00012C3F" w:rsidRDefault="00147093" w:rsidP="00147093">
      <w:pPr>
        <w:tabs>
          <w:tab w:val="left" w:pos="720"/>
        </w:tabs>
        <w:spacing w:line="240" w:lineRule="auto"/>
        <w:rPr>
          <w:rFonts w:cs="Verdana"/>
          <w:sz w:val="20"/>
          <w:szCs w:val="20"/>
          <w:lang w:val="en-US"/>
        </w:rPr>
      </w:pPr>
    </w:p>
    <w:p w14:paraId="06D921CB" w14:textId="77777777" w:rsidR="00147093" w:rsidRPr="00012C3F" w:rsidRDefault="00147093" w:rsidP="00147093">
      <w:pPr>
        <w:numPr>
          <w:ilvl w:val="0"/>
          <w:numId w:val="5"/>
        </w:numPr>
        <w:tabs>
          <w:tab w:val="left" w:pos="720"/>
          <w:tab w:val="num" w:pos="12305"/>
        </w:tabs>
        <w:spacing w:line="240" w:lineRule="auto"/>
        <w:ind w:left="0" w:firstLine="0"/>
        <w:rPr>
          <w:rFonts w:cs="Verdana"/>
          <w:sz w:val="20"/>
          <w:szCs w:val="20"/>
          <w:lang w:val="en-US"/>
        </w:rPr>
      </w:pPr>
      <w:r w:rsidRPr="00012C3F">
        <w:rPr>
          <w:rFonts w:cs="Verdana"/>
          <w:iCs/>
          <w:sz w:val="20"/>
          <w:szCs w:val="20"/>
          <w:lang w:val="en-US"/>
        </w:rPr>
        <w:t xml:space="preserve">The </w:t>
      </w:r>
      <w:r w:rsidRPr="00012C3F">
        <w:rPr>
          <w:rFonts w:cs="Verdana"/>
          <w:b/>
          <w:bCs/>
          <w:i/>
          <w:sz w:val="20"/>
          <w:szCs w:val="20"/>
          <w:lang w:val="en-US"/>
        </w:rPr>
        <w:t xml:space="preserve">Commission </w:t>
      </w:r>
      <w:r w:rsidRPr="00012C3F">
        <w:rPr>
          <w:rFonts w:cs="Verdana"/>
          <w:iCs/>
          <w:sz w:val="20"/>
          <w:szCs w:val="20"/>
          <w:lang w:val="en-US"/>
        </w:rPr>
        <w:t>asked the Court to order the State to investigate the facts surrounding the sterilization of I.V. without her consent and to establish the appropriate responsibilities and sanctions. The Commission also asked that the State investigate the flaws in the practices of the Judiciary and its auxiliary organs that permit excessive delays in judicial proceedings, and adopt the necessary measures to ensure effective access to justice through due process of law and an expedite and efficient administration of justice.</w:t>
      </w:r>
    </w:p>
    <w:p w14:paraId="52F22776" w14:textId="77777777" w:rsidR="008D0B77" w:rsidRPr="00012C3F" w:rsidRDefault="008D0B77" w:rsidP="008D0B77">
      <w:pPr>
        <w:pStyle w:val="Prrafodelista2"/>
        <w:tabs>
          <w:tab w:val="left" w:pos="0"/>
          <w:tab w:val="num" w:pos="12305"/>
        </w:tabs>
        <w:ind w:left="0" w:right="-90"/>
        <w:jc w:val="both"/>
        <w:rPr>
          <w:lang w:val="en-US"/>
        </w:rPr>
      </w:pPr>
    </w:p>
    <w:p w14:paraId="2EE0B4FB" w14:textId="77777777" w:rsidR="008D0B77" w:rsidRPr="00012C3F" w:rsidRDefault="00972ACF" w:rsidP="009A3CA5">
      <w:pPr>
        <w:numPr>
          <w:ilvl w:val="0"/>
          <w:numId w:val="5"/>
        </w:numPr>
        <w:tabs>
          <w:tab w:val="left" w:pos="720"/>
          <w:tab w:val="num" w:pos="12305"/>
        </w:tabs>
        <w:spacing w:line="240" w:lineRule="auto"/>
        <w:ind w:left="0" w:firstLine="0"/>
        <w:rPr>
          <w:b/>
          <w:sz w:val="20"/>
          <w:szCs w:val="20"/>
          <w:lang w:val="en-US"/>
        </w:rPr>
      </w:pPr>
      <w:r w:rsidRPr="00012C3F">
        <w:rPr>
          <w:sz w:val="20"/>
          <w:szCs w:val="20"/>
          <w:lang w:val="en-US"/>
        </w:rPr>
        <w:t xml:space="preserve">The </w:t>
      </w:r>
      <w:r w:rsidRPr="00012C3F">
        <w:rPr>
          <w:b/>
          <w:bCs/>
          <w:i/>
          <w:iCs/>
          <w:sz w:val="20"/>
          <w:szCs w:val="20"/>
          <w:lang w:val="en-US"/>
        </w:rPr>
        <w:t>representative</w:t>
      </w:r>
      <w:r w:rsidR="008D0B77" w:rsidRPr="00012C3F">
        <w:rPr>
          <w:sz w:val="20"/>
          <w:szCs w:val="20"/>
          <w:lang w:val="en-US"/>
        </w:rPr>
        <w:t xml:space="preserve"> </w:t>
      </w:r>
      <w:r w:rsidR="00147093" w:rsidRPr="00012C3F">
        <w:rPr>
          <w:sz w:val="20"/>
          <w:szCs w:val="20"/>
          <w:lang w:val="en-US"/>
        </w:rPr>
        <w:t>asked the Court to order Bolivia to re-open the c</w:t>
      </w:r>
      <w:r w:rsidR="006C705C" w:rsidRPr="00012C3F">
        <w:rPr>
          <w:sz w:val="20"/>
          <w:szCs w:val="20"/>
          <w:lang w:val="en-US"/>
        </w:rPr>
        <w:t>riminal proceedings</w:t>
      </w:r>
      <w:r w:rsidR="00FC7151" w:rsidRPr="00012C3F">
        <w:rPr>
          <w:sz w:val="20"/>
          <w:szCs w:val="20"/>
          <w:lang w:val="en-US"/>
        </w:rPr>
        <w:t xml:space="preserve"> </w:t>
      </w:r>
      <w:r w:rsidR="00147093" w:rsidRPr="00012C3F">
        <w:rPr>
          <w:sz w:val="20"/>
          <w:szCs w:val="20"/>
          <w:lang w:val="en-US"/>
        </w:rPr>
        <w:t xml:space="preserve">against the medical team responsible for </w:t>
      </w:r>
      <w:r w:rsidR="00264796" w:rsidRPr="00012C3F">
        <w:rPr>
          <w:sz w:val="20"/>
          <w:szCs w:val="20"/>
          <w:lang w:val="en-US"/>
        </w:rPr>
        <w:t>I.V.’s</w:t>
      </w:r>
      <w:r w:rsidR="00147093" w:rsidRPr="00012C3F">
        <w:rPr>
          <w:sz w:val="20"/>
          <w:szCs w:val="20"/>
          <w:lang w:val="en-US"/>
        </w:rPr>
        <w:t xml:space="preserve"> </w:t>
      </w:r>
      <w:r w:rsidR="00570C15" w:rsidRPr="00012C3F">
        <w:rPr>
          <w:sz w:val="20"/>
          <w:szCs w:val="20"/>
          <w:lang w:val="en-US"/>
        </w:rPr>
        <w:t>forced sterilization</w:t>
      </w:r>
      <w:r w:rsidR="00264796" w:rsidRPr="00012C3F">
        <w:rPr>
          <w:sz w:val="20"/>
          <w:szCs w:val="20"/>
          <w:lang w:val="en-US"/>
        </w:rPr>
        <w:t xml:space="preserve"> </w:t>
      </w:r>
      <w:r w:rsidR="00147093" w:rsidRPr="00012C3F">
        <w:rPr>
          <w:sz w:val="20"/>
          <w:szCs w:val="20"/>
          <w:lang w:val="en-US"/>
        </w:rPr>
        <w:t>and to investigate, prosecute and sanction, by both disciplinary and criminal</w:t>
      </w:r>
      <w:r w:rsidR="00FC7151" w:rsidRPr="00012C3F">
        <w:rPr>
          <w:sz w:val="20"/>
          <w:szCs w:val="20"/>
          <w:lang w:val="en-US"/>
        </w:rPr>
        <w:t xml:space="preserve"> </w:t>
      </w:r>
      <w:r w:rsidR="00147093" w:rsidRPr="00012C3F">
        <w:rPr>
          <w:sz w:val="20"/>
          <w:szCs w:val="20"/>
          <w:lang w:val="en-US"/>
        </w:rPr>
        <w:t xml:space="preserve">proceedings, all the agents of justice, judicial officials, prosecutors, judges and magistrates who acted with a lack of diligence in the criminal </w:t>
      </w:r>
      <w:r w:rsidR="006C705C" w:rsidRPr="00012C3F">
        <w:rPr>
          <w:sz w:val="20"/>
          <w:szCs w:val="20"/>
          <w:lang w:val="en-US"/>
        </w:rPr>
        <w:t>proceedings</w:t>
      </w:r>
      <w:r w:rsidR="00147093" w:rsidRPr="00012C3F">
        <w:rPr>
          <w:sz w:val="20"/>
          <w:szCs w:val="20"/>
          <w:lang w:val="en-US"/>
        </w:rPr>
        <w:t xml:space="preserve"> against the authors of the </w:t>
      </w:r>
      <w:r w:rsidR="00570C15" w:rsidRPr="00012C3F">
        <w:rPr>
          <w:sz w:val="20"/>
          <w:szCs w:val="20"/>
          <w:lang w:val="en-US"/>
        </w:rPr>
        <w:t>forced sterilization</w:t>
      </w:r>
      <w:r w:rsidR="00FC7151" w:rsidRPr="00012C3F">
        <w:rPr>
          <w:sz w:val="20"/>
          <w:szCs w:val="20"/>
          <w:lang w:val="en-US"/>
        </w:rPr>
        <w:t xml:space="preserve"> </w:t>
      </w:r>
      <w:r w:rsidR="00264796" w:rsidRPr="00012C3F">
        <w:rPr>
          <w:sz w:val="20"/>
          <w:szCs w:val="20"/>
          <w:lang w:val="en-US"/>
        </w:rPr>
        <w:t>suffere</w:t>
      </w:r>
      <w:r w:rsidR="00147093" w:rsidRPr="00012C3F">
        <w:rPr>
          <w:sz w:val="20"/>
          <w:szCs w:val="20"/>
          <w:lang w:val="en-US"/>
        </w:rPr>
        <w:t>d by</w:t>
      </w:r>
      <w:r w:rsidR="00FC7151" w:rsidRPr="00012C3F">
        <w:rPr>
          <w:sz w:val="20"/>
          <w:szCs w:val="20"/>
          <w:lang w:val="en-US"/>
        </w:rPr>
        <w:t xml:space="preserve"> </w:t>
      </w:r>
      <w:r w:rsidR="000E1C11" w:rsidRPr="00012C3F">
        <w:rPr>
          <w:sz w:val="20"/>
          <w:szCs w:val="20"/>
          <w:lang w:val="en-US"/>
        </w:rPr>
        <w:t>I.V.</w:t>
      </w:r>
    </w:p>
    <w:p w14:paraId="7D8BD639" w14:textId="77777777" w:rsidR="008D0B77" w:rsidRPr="00012C3F" w:rsidRDefault="008D0B77" w:rsidP="009A3CA5">
      <w:pPr>
        <w:tabs>
          <w:tab w:val="left" w:pos="720"/>
        </w:tabs>
        <w:spacing w:line="240" w:lineRule="auto"/>
        <w:ind w:right="-90"/>
        <w:rPr>
          <w:rFonts w:cs="Verdana"/>
          <w:sz w:val="20"/>
          <w:szCs w:val="20"/>
          <w:lang w:val="en-US"/>
        </w:rPr>
      </w:pPr>
    </w:p>
    <w:p w14:paraId="78A64F20" w14:textId="77777777" w:rsidR="008D0B77" w:rsidRPr="00012C3F" w:rsidRDefault="00A84CA0" w:rsidP="00324DFF">
      <w:pPr>
        <w:numPr>
          <w:ilvl w:val="0"/>
          <w:numId w:val="5"/>
        </w:numPr>
        <w:tabs>
          <w:tab w:val="left" w:pos="720"/>
          <w:tab w:val="num" w:pos="12305"/>
        </w:tabs>
        <w:spacing w:line="240" w:lineRule="auto"/>
        <w:ind w:left="0" w:firstLine="0"/>
        <w:rPr>
          <w:b/>
          <w:sz w:val="20"/>
          <w:szCs w:val="20"/>
          <w:lang w:val="en-US"/>
        </w:rPr>
      </w:pPr>
      <w:r w:rsidRPr="00012C3F">
        <w:rPr>
          <w:sz w:val="20"/>
          <w:szCs w:val="20"/>
          <w:lang w:val="en-US"/>
        </w:rPr>
        <w:t xml:space="preserve">The </w:t>
      </w:r>
      <w:r w:rsidRPr="00012C3F">
        <w:rPr>
          <w:b/>
          <w:bCs/>
          <w:i/>
          <w:iCs/>
          <w:sz w:val="20"/>
          <w:szCs w:val="20"/>
          <w:lang w:val="en-US"/>
        </w:rPr>
        <w:t>State</w:t>
      </w:r>
      <w:r w:rsidR="00696506" w:rsidRPr="00012C3F">
        <w:rPr>
          <w:sz w:val="20"/>
          <w:szCs w:val="20"/>
          <w:lang w:val="en-US"/>
        </w:rPr>
        <w:t xml:space="preserve"> </w:t>
      </w:r>
      <w:r w:rsidR="00324DFF" w:rsidRPr="00012C3F">
        <w:rPr>
          <w:sz w:val="20"/>
          <w:szCs w:val="20"/>
          <w:lang w:val="en-US"/>
        </w:rPr>
        <w:t xml:space="preserve">indicated that it was not </w:t>
      </w:r>
      <w:r w:rsidR="00264796" w:rsidRPr="00012C3F">
        <w:rPr>
          <w:sz w:val="20"/>
          <w:szCs w:val="20"/>
          <w:lang w:val="en-US"/>
        </w:rPr>
        <w:t>appropriate</w:t>
      </w:r>
      <w:r w:rsidR="00324DFF" w:rsidRPr="00012C3F">
        <w:rPr>
          <w:sz w:val="20"/>
          <w:szCs w:val="20"/>
          <w:lang w:val="en-US"/>
        </w:rPr>
        <w:t xml:space="preserve"> to re-open the extinguished</w:t>
      </w:r>
      <w:r w:rsidR="00696506" w:rsidRPr="00012C3F">
        <w:rPr>
          <w:sz w:val="20"/>
          <w:szCs w:val="20"/>
          <w:lang w:val="en-US"/>
        </w:rPr>
        <w:t xml:space="preserve"> </w:t>
      </w:r>
      <w:r w:rsidR="00324DFF" w:rsidRPr="00012C3F">
        <w:rPr>
          <w:sz w:val="20"/>
          <w:szCs w:val="20"/>
          <w:lang w:val="en-US"/>
        </w:rPr>
        <w:t>c</w:t>
      </w:r>
      <w:r w:rsidR="006C705C" w:rsidRPr="00012C3F">
        <w:rPr>
          <w:sz w:val="20"/>
          <w:szCs w:val="20"/>
          <w:lang w:val="en-US"/>
        </w:rPr>
        <w:t>riminal proceedings</w:t>
      </w:r>
      <w:r w:rsidR="00324DFF" w:rsidRPr="00012C3F">
        <w:rPr>
          <w:sz w:val="20"/>
          <w:szCs w:val="20"/>
          <w:lang w:val="en-US"/>
        </w:rPr>
        <w:t xml:space="preserve">, because this was impossible </w:t>
      </w:r>
      <w:r w:rsidR="00696506" w:rsidRPr="00012C3F">
        <w:rPr>
          <w:i/>
          <w:sz w:val="20"/>
          <w:szCs w:val="20"/>
          <w:lang w:val="en-US"/>
        </w:rPr>
        <w:t>de facto</w:t>
      </w:r>
      <w:r w:rsidR="005E5012" w:rsidRPr="00012C3F">
        <w:rPr>
          <w:sz w:val="20"/>
          <w:szCs w:val="20"/>
          <w:lang w:val="en-US"/>
        </w:rPr>
        <w:t xml:space="preserve"> and </w:t>
      </w:r>
      <w:r w:rsidR="00696506" w:rsidRPr="00012C3F">
        <w:rPr>
          <w:i/>
          <w:sz w:val="20"/>
          <w:szCs w:val="20"/>
          <w:lang w:val="en-US"/>
        </w:rPr>
        <w:t>de iure</w:t>
      </w:r>
      <w:r w:rsidR="00696506" w:rsidRPr="00012C3F">
        <w:rPr>
          <w:sz w:val="20"/>
          <w:szCs w:val="20"/>
          <w:lang w:val="en-US"/>
        </w:rPr>
        <w:t xml:space="preserve">. </w:t>
      </w:r>
      <w:r w:rsidR="00324DFF" w:rsidRPr="00012C3F">
        <w:rPr>
          <w:sz w:val="20"/>
          <w:szCs w:val="20"/>
          <w:lang w:val="en-US"/>
        </w:rPr>
        <w:t>It also indicated that the a</w:t>
      </w:r>
      <w:r w:rsidR="0099356C" w:rsidRPr="00012C3F">
        <w:rPr>
          <w:sz w:val="20"/>
          <w:szCs w:val="20"/>
          <w:lang w:val="en-US"/>
        </w:rPr>
        <w:t xml:space="preserve">dministrative </w:t>
      </w:r>
      <w:r w:rsidR="00264796" w:rsidRPr="00012C3F">
        <w:rPr>
          <w:sz w:val="20"/>
          <w:szCs w:val="20"/>
          <w:lang w:val="en-US"/>
        </w:rPr>
        <w:t xml:space="preserve">disciplinary </w:t>
      </w:r>
      <w:r w:rsidR="0099356C" w:rsidRPr="00012C3F">
        <w:rPr>
          <w:sz w:val="20"/>
          <w:szCs w:val="20"/>
          <w:lang w:val="en-US"/>
        </w:rPr>
        <w:t>proceeding</w:t>
      </w:r>
      <w:r w:rsidR="00696506" w:rsidRPr="00012C3F">
        <w:rPr>
          <w:sz w:val="20"/>
          <w:szCs w:val="20"/>
          <w:lang w:val="en-US"/>
        </w:rPr>
        <w:t xml:space="preserve"> </w:t>
      </w:r>
      <w:r w:rsidR="00324DFF" w:rsidRPr="00012C3F">
        <w:rPr>
          <w:sz w:val="20"/>
          <w:szCs w:val="20"/>
          <w:lang w:val="en-US"/>
        </w:rPr>
        <w:t xml:space="preserve">underway against the physician was sufficient to ensure I.V.’s </w:t>
      </w:r>
      <w:r w:rsidR="00A710F6" w:rsidRPr="00012C3F">
        <w:rPr>
          <w:sz w:val="20"/>
          <w:szCs w:val="20"/>
          <w:lang w:val="en-US"/>
        </w:rPr>
        <w:t>access to justice</w:t>
      </w:r>
      <w:r w:rsidR="00696506" w:rsidRPr="00012C3F">
        <w:rPr>
          <w:sz w:val="20"/>
          <w:szCs w:val="20"/>
          <w:lang w:val="en-US"/>
        </w:rPr>
        <w:t xml:space="preserve"> </w:t>
      </w:r>
      <w:r w:rsidR="00324DFF" w:rsidRPr="00012C3F">
        <w:rPr>
          <w:sz w:val="20"/>
          <w:szCs w:val="20"/>
          <w:lang w:val="en-US"/>
        </w:rPr>
        <w:t xml:space="preserve">and that the mechanism of the </w:t>
      </w:r>
      <w:r w:rsidR="00264796" w:rsidRPr="00012C3F">
        <w:rPr>
          <w:sz w:val="20"/>
          <w:szCs w:val="20"/>
          <w:lang w:val="en-US"/>
        </w:rPr>
        <w:t xml:space="preserve">extinction </w:t>
      </w:r>
      <w:r w:rsidR="00324DFF" w:rsidRPr="00012C3F">
        <w:rPr>
          <w:sz w:val="20"/>
          <w:szCs w:val="20"/>
          <w:lang w:val="en-US"/>
        </w:rPr>
        <w:t>of the criminal action protected the physician</w:t>
      </w:r>
      <w:r w:rsidR="00AB5C13" w:rsidRPr="00012C3F">
        <w:rPr>
          <w:sz w:val="20"/>
          <w:szCs w:val="20"/>
          <w:lang w:val="en-US"/>
        </w:rPr>
        <w:t xml:space="preserve"> because it constitutes a guarantee of due process recognized by the inter-American system. The State considered that the Court had only </w:t>
      </w:r>
      <w:r w:rsidR="00264796" w:rsidRPr="00012C3F">
        <w:rPr>
          <w:sz w:val="20"/>
          <w:szCs w:val="20"/>
          <w:lang w:val="en-US"/>
        </w:rPr>
        <w:t>required that the statute of limitations be declared inadmissible</w:t>
      </w:r>
      <w:r w:rsidR="00A15F78" w:rsidRPr="00012C3F">
        <w:rPr>
          <w:sz w:val="20"/>
          <w:szCs w:val="20"/>
          <w:lang w:val="en-US"/>
        </w:rPr>
        <w:t xml:space="preserve"> </w:t>
      </w:r>
      <w:r w:rsidR="00AB5C13" w:rsidRPr="00012C3F">
        <w:rPr>
          <w:sz w:val="20"/>
          <w:szCs w:val="20"/>
          <w:lang w:val="en-US"/>
        </w:rPr>
        <w:t>in cases of egregious human rights violations and that the case of I.V. did not constitute a grave violation of human rights.</w:t>
      </w:r>
      <w:r w:rsidR="00A15F78" w:rsidRPr="00012C3F">
        <w:rPr>
          <w:sz w:val="20"/>
          <w:szCs w:val="20"/>
          <w:lang w:val="en-US"/>
        </w:rPr>
        <w:t xml:space="preserve"> Regarding the prosecution of the agents of justice, the State indicated that I.V. had not filed charges against the judges and judicial officials involved in the proceedings alleging a violation of her rights and judicial guarantees owing to the presumed actions of these officials</w:t>
      </w:r>
      <w:r w:rsidR="00264796" w:rsidRPr="00012C3F">
        <w:rPr>
          <w:sz w:val="20"/>
          <w:szCs w:val="20"/>
          <w:lang w:val="en-US"/>
        </w:rPr>
        <w:t>; therefore,</w:t>
      </w:r>
      <w:r w:rsidR="00A15F78" w:rsidRPr="00012C3F">
        <w:rPr>
          <w:sz w:val="20"/>
          <w:szCs w:val="20"/>
          <w:lang w:val="en-US"/>
        </w:rPr>
        <w:t xml:space="preserve"> respecting the time frame established for the prescription of the action in disciplinary proceedings, it was not feasible to </w:t>
      </w:r>
      <w:r w:rsidR="00264796" w:rsidRPr="00012C3F">
        <w:rPr>
          <w:sz w:val="20"/>
          <w:szCs w:val="20"/>
          <w:lang w:val="en-US"/>
        </w:rPr>
        <w:t>open an</w:t>
      </w:r>
      <w:r w:rsidR="00A15F78" w:rsidRPr="00012C3F">
        <w:rPr>
          <w:sz w:val="20"/>
          <w:szCs w:val="20"/>
          <w:lang w:val="en-US"/>
        </w:rPr>
        <w:t xml:space="preserve"> investigation to this end. Similarly, the State indicated that it was working on strengthening the institutional capacity of its organs of justice by the implementation of a series of policies under the Sectoral Plan for Plural Justice</w:t>
      </w:r>
      <w:r w:rsidR="00696506" w:rsidRPr="00012C3F">
        <w:rPr>
          <w:sz w:val="20"/>
          <w:szCs w:val="20"/>
          <w:lang w:val="en-US"/>
        </w:rPr>
        <w:t xml:space="preserve"> (2012-2015).</w:t>
      </w:r>
    </w:p>
    <w:p w14:paraId="1F3679BC" w14:textId="77777777" w:rsidR="008D0B77" w:rsidRPr="00012C3F" w:rsidRDefault="008D0B77" w:rsidP="009A3CA5">
      <w:pPr>
        <w:tabs>
          <w:tab w:val="left" w:pos="720"/>
        </w:tabs>
        <w:spacing w:line="240" w:lineRule="auto"/>
        <w:ind w:right="-90"/>
        <w:rPr>
          <w:rFonts w:cs="Verdana"/>
          <w:sz w:val="20"/>
          <w:szCs w:val="20"/>
          <w:lang w:val="en-US"/>
        </w:rPr>
      </w:pPr>
    </w:p>
    <w:p w14:paraId="07E8E58F" w14:textId="77777777" w:rsidR="008D0B77" w:rsidRPr="00012C3F" w:rsidRDefault="0009469C" w:rsidP="00EC75D6">
      <w:pPr>
        <w:numPr>
          <w:ilvl w:val="0"/>
          <w:numId w:val="5"/>
        </w:numPr>
        <w:tabs>
          <w:tab w:val="left" w:pos="720"/>
          <w:tab w:val="num" w:pos="12305"/>
        </w:tabs>
        <w:spacing w:line="240" w:lineRule="auto"/>
        <w:ind w:left="0" w:firstLine="0"/>
        <w:rPr>
          <w:b/>
          <w:sz w:val="16"/>
          <w:szCs w:val="16"/>
          <w:lang w:val="en-US"/>
        </w:rPr>
      </w:pPr>
      <w:r w:rsidRPr="00012C3F">
        <w:rPr>
          <w:sz w:val="20"/>
          <w:szCs w:val="20"/>
          <w:lang w:val="en-US"/>
        </w:rPr>
        <w:t>T</w:t>
      </w:r>
      <w:r w:rsidR="00972ACF" w:rsidRPr="00012C3F">
        <w:rPr>
          <w:sz w:val="20"/>
          <w:szCs w:val="20"/>
          <w:lang w:val="en-US"/>
        </w:rPr>
        <w:t xml:space="preserve">he </w:t>
      </w:r>
      <w:r w:rsidR="00972ACF" w:rsidRPr="00012C3F">
        <w:rPr>
          <w:b/>
          <w:bCs/>
          <w:i/>
          <w:iCs/>
          <w:sz w:val="20"/>
          <w:szCs w:val="20"/>
          <w:lang w:val="en-US"/>
        </w:rPr>
        <w:t>representative</w:t>
      </w:r>
      <w:r w:rsidR="00696506" w:rsidRPr="00012C3F">
        <w:rPr>
          <w:sz w:val="20"/>
          <w:szCs w:val="20"/>
          <w:lang w:val="en-US"/>
        </w:rPr>
        <w:t xml:space="preserve"> </w:t>
      </w:r>
      <w:r w:rsidRPr="00012C3F">
        <w:rPr>
          <w:sz w:val="20"/>
          <w:szCs w:val="20"/>
          <w:lang w:val="en-US"/>
        </w:rPr>
        <w:t xml:space="preserve">also asked this Court to order the State to name the operating theater in the La Paz </w:t>
      </w:r>
      <w:r w:rsidRPr="00012C3F">
        <w:rPr>
          <w:bCs/>
          <w:sz w:val="20"/>
          <w:szCs w:val="20"/>
          <w:lang w:val="en-US"/>
        </w:rPr>
        <w:t xml:space="preserve">Women’s Hospital after the victim. It indicated that this designation should be made in a public act in the presence of the victim, the members of her family and senior representatives of the State, including from the Judiciary. She also asked the Court to order Bolivia to take the following measures of non-repetition: (i) inclusion of this judgment in the curriculum of the </w:t>
      </w:r>
      <w:r w:rsidR="00DD7B2C" w:rsidRPr="00012C3F">
        <w:rPr>
          <w:bCs/>
          <w:sz w:val="20"/>
          <w:szCs w:val="20"/>
          <w:lang w:val="en-US"/>
        </w:rPr>
        <w:t>d</w:t>
      </w:r>
      <w:r w:rsidRPr="00012C3F">
        <w:rPr>
          <w:bCs/>
          <w:sz w:val="20"/>
          <w:szCs w:val="20"/>
          <w:lang w:val="en-US"/>
        </w:rPr>
        <w:t xml:space="preserve">eontology course in </w:t>
      </w:r>
      <w:r w:rsidR="00DD7B2C" w:rsidRPr="00012C3F">
        <w:rPr>
          <w:bCs/>
          <w:sz w:val="20"/>
          <w:szCs w:val="20"/>
          <w:lang w:val="en-US"/>
        </w:rPr>
        <w:t xml:space="preserve">the </w:t>
      </w:r>
      <w:r w:rsidRPr="00012C3F">
        <w:rPr>
          <w:bCs/>
          <w:sz w:val="20"/>
          <w:szCs w:val="20"/>
          <w:lang w:val="en-US"/>
        </w:rPr>
        <w:t xml:space="preserve">Faculties of Medicine and of Law of the country’s public and private universities and in the curriculum for training judges </w:t>
      </w:r>
      <w:r w:rsidR="00DD7B2C" w:rsidRPr="00012C3F">
        <w:rPr>
          <w:bCs/>
          <w:sz w:val="20"/>
          <w:szCs w:val="20"/>
          <w:lang w:val="en-US"/>
        </w:rPr>
        <w:t>of</w:t>
      </w:r>
      <w:r w:rsidRPr="00012C3F">
        <w:rPr>
          <w:bCs/>
          <w:sz w:val="20"/>
          <w:szCs w:val="20"/>
          <w:lang w:val="en-US"/>
        </w:rPr>
        <w:t xml:space="preserve"> the State’s </w:t>
      </w:r>
      <w:r w:rsidR="00DD7B2C" w:rsidRPr="00012C3F">
        <w:rPr>
          <w:bCs/>
          <w:sz w:val="20"/>
          <w:szCs w:val="20"/>
          <w:lang w:val="en-US"/>
        </w:rPr>
        <w:t>School for Judges</w:t>
      </w:r>
      <w:r w:rsidR="001F009F" w:rsidRPr="00012C3F">
        <w:rPr>
          <w:sz w:val="20"/>
          <w:szCs w:val="20"/>
          <w:lang w:val="en-US"/>
        </w:rPr>
        <w:t xml:space="preserve">, and also in the training program for prosecutors </w:t>
      </w:r>
      <w:r w:rsidR="00DD7B2C" w:rsidRPr="00012C3F">
        <w:rPr>
          <w:sz w:val="20"/>
          <w:szCs w:val="20"/>
          <w:lang w:val="en-US"/>
        </w:rPr>
        <w:t>of</w:t>
      </w:r>
      <w:r w:rsidR="001F009F" w:rsidRPr="00012C3F">
        <w:rPr>
          <w:sz w:val="20"/>
          <w:szCs w:val="20"/>
          <w:lang w:val="en-US"/>
        </w:rPr>
        <w:t xml:space="preserve"> the School of Prosecutors: (ii) adoption of measures to </w:t>
      </w:r>
      <w:r w:rsidR="00DD7B2C" w:rsidRPr="00012C3F">
        <w:rPr>
          <w:sz w:val="20"/>
          <w:szCs w:val="20"/>
          <w:lang w:val="en-US"/>
        </w:rPr>
        <w:t xml:space="preserve">provide </w:t>
      </w:r>
      <w:r w:rsidR="001F009F" w:rsidRPr="00012C3F">
        <w:rPr>
          <w:sz w:val="20"/>
          <w:szCs w:val="20"/>
          <w:lang w:val="en-US"/>
        </w:rPr>
        <w:t>train</w:t>
      </w:r>
      <w:r w:rsidR="00DD7B2C" w:rsidRPr="00012C3F">
        <w:rPr>
          <w:sz w:val="20"/>
          <w:szCs w:val="20"/>
          <w:lang w:val="en-US"/>
        </w:rPr>
        <w:t>ing on the rights of women for</w:t>
      </w:r>
      <w:r w:rsidR="001F009F" w:rsidRPr="00012C3F">
        <w:rPr>
          <w:sz w:val="20"/>
          <w:szCs w:val="20"/>
          <w:lang w:val="en-US"/>
        </w:rPr>
        <w:t xml:space="preserve"> all public officials involved in the processing of cases of violence against women </w:t>
      </w:r>
      <w:r w:rsidR="00DD7B2C" w:rsidRPr="00012C3F">
        <w:rPr>
          <w:sz w:val="20"/>
          <w:szCs w:val="20"/>
          <w:lang w:val="en-US"/>
        </w:rPr>
        <w:t xml:space="preserve">so that they are able to </w:t>
      </w:r>
      <w:r w:rsidR="001F009F" w:rsidRPr="00012C3F">
        <w:rPr>
          <w:sz w:val="20"/>
          <w:szCs w:val="20"/>
          <w:lang w:val="en-US"/>
        </w:rPr>
        <w:t xml:space="preserve">apply </w:t>
      </w:r>
      <w:r w:rsidR="00DD7B2C" w:rsidRPr="00012C3F">
        <w:rPr>
          <w:sz w:val="20"/>
          <w:szCs w:val="20"/>
          <w:lang w:val="en-US"/>
        </w:rPr>
        <w:t>domestic</w:t>
      </w:r>
      <w:r w:rsidR="001F009F" w:rsidRPr="00012C3F">
        <w:rPr>
          <w:sz w:val="20"/>
          <w:szCs w:val="20"/>
          <w:lang w:val="en-US"/>
        </w:rPr>
        <w:t xml:space="preserve"> laws and international standards when </w:t>
      </w:r>
      <w:r w:rsidR="00DD7B2C" w:rsidRPr="00012C3F">
        <w:rPr>
          <w:sz w:val="20"/>
          <w:szCs w:val="20"/>
          <w:lang w:val="en-US"/>
        </w:rPr>
        <w:t>prosecuting</w:t>
      </w:r>
      <w:r w:rsidR="001F009F" w:rsidRPr="00012C3F">
        <w:rPr>
          <w:sz w:val="20"/>
          <w:szCs w:val="20"/>
          <w:lang w:val="en-US"/>
        </w:rPr>
        <w:t xml:space="preserve"> </w:t>
      </w:r>
      <w:r w:rsidR="00DD7B2C" w:rsidRPr="00012C3F">
        <w:rPr>
          <w:sz w:val="20"/>
          <w:szCs w:val="20"/>
          <w:lang w:val="en-US"/>
        </w:rPr>
        <w:t>such</w:t>
      </w:r>
      <w:r w:rsidR="001F009F" w:rsidRPr="00012C3F">
        <w:rPr>
          <w:sz w:val="20"/>
          <w:szCs w:val="20"/>
          <w:lang w:val="en-US"/>
        </w:rPr>
        <w:t xml:space="preserve"> crimes adequately, and </w:t>
      </w:r>
      <w:r w:rsidR="00DD7B2C" w:rsidRPr="00012C3F">
        <w:rPr>
          <w:sz w:val="20"/>
          <w:szCs w:val="20"/>
          <w:lang w:val="en-US"/>
        </w:rPr>
        <w:t>that they</w:t>
      </w:r>
      <w:r w:rsidR="001F009F" w:rsidRPr="00012C3F">
        <w:rPr>
          <w:sz w:val="20"/>
          <w:szCs w:val="20"/>
          <w:lang w:val="en-US"/>
        </w:rPr>
        <w:t xml:space="preserve"> respect the integrity and dignity of the victims and their next of kin when</w:t>
      </w:r>
      <w:r w:rsidR="00DD7B2C" w:rsidRPr="00012C3F">
        <w:rPr>
          <w:sz w:val="20"/>
          <w:szCs w:val="20"/>
          <w:lang w:val="en-US"/>
        </w:rPr>
        <w:t xml:space="preserve"> they</w:t>
      </w:r>
      <w:r w:rsidR="001F009F" w:rsidRPr="00012C3F">
        <w:rPr>
          <w:sz w:val="20"/>
          <w:szCs w:val="20"/>
          <w:lang w:val="en-US"/>
        </w:rPr>
        <w:t xml:space="preserve"> report these facts and during their participation in the proceedings; (iii) adoption of public policies aimed at re</w:t>
      </w:r>
      <w:r w:rsidR="00DD7B2C" w:rsidRPr="00012C3F">
        <w:rPr>
          <w:sz w:val="20"/>
          <w:szCs w:val="20"/>
          <w:lang w:val="en-US"/>
        </w:rPr>
        <w:t>fram</w:t>
      </w:r>
      <w:r w:rsidR="001F009F" w:rsidRPr="00012C3F">
        <w:rPr>
          <w:sz w:val="20"/>
          <w:szCs w:val="20"/>
          <w:lang w:val="en-US"/>
        </w:rPr>
        <w:t xml:space="preserve">ing stereotypes about the role of women in society and promoting the eradication of discriminatory socio-cultural patterns that prevent full access to justice, which include training programs and comprehensive prevention policies; (iv) strengthening the institutional capacity of the Judiciary, the </w:t>
      </w:r>
      <w:r w:rsidR="00716C7D" w:rsidRPr="00012C3F">
        <w:rPr>
          <w:sz w:val="20"/>
          <w:szCs w:val="20"/>
          <w:lang w:val="en-US"/>
        </w:rPr>
        <w:t>Public Prosecution Service</w:t>
      </w:r>
      <w:r w:rsidR="00696506" w:rsidRPr="00012C3F">
        <w:rPr>
          <w:sz w:val="20"/>
          <w:szCs w:val="20"/>
          <w:lang w:val="en-US"/>
        </w:rPr>
        <w:t xml:space="preserve">, </w:t>
      </w:r>
      <w:r w:rsidR="001F009F" w:rsidRPr="00012C3F">
        <w:rPr>
          <w:sz w:val="20"/>
          <w:szCs w:val="20"/>
          <w:lang w:val="en-US"/>
        </w:rPr>
        <w:t xml:space="preserve">the Forensic Research Institute, and the Police with financial and human resources to combat the pattern of impunity in cases of violence against women; (v) systematization of the decisions of regional and international agencies for the protection of </w:t>
      </w:r>
      <w:r w:rsidR="00DD7B2C" w:rsidRPr="00012C3F">
        <w:rPr>
          <w:sz w:val="20"/>
          <w:szCs w:val="20"/>
          <w:lang w:val="en-US"/>
        </w:rPr>
        <w:t xml:space="preserve">the </w:t>
      </w:r>
      <w:r w:rsidR="001F009F" w:rsidRPr="00012C3F">
        <w:rPr>
          <w:sz w:val="20"/>
          <w:szCs w:val="20"/>
          <w:lang w:val="en-US"/>
        </w:rPr>
        <w:t xml:space="preserve">human rights of women concerning investigation processes in cases of violence against women, permitting this information to be accessible to agents of justice throughout the country; (vi) adoption, as soon as possible after notification of the judgment, of all the draft bills indicated by the State in its report on </w:t>
      </w:r>
      <w:r w:rsidR="001F009F" w:rsidRPr="00012C3F">
        <w:rPr>
          <w:sz w:val="20"/>
          <w:szCs w:val="20"/>
          <w:lang w:val="en-US"/>
        </w:rPr>
        <w:lastRenderedPageBreak/>
        <w:t>compliance with the Commission’s recommendations of</w:t>
      </w:r>
      <w:r w:rsidR="001F009F" w:rsidRPr="00012C3F">
        <w:rPr>
          <w:b/>
          <w:sz w:val="16"/>
          <w:szCs w:val="16"/>
          <w:lang w:val="en-US"/>
        </w:rPr>
        <w:t xml:space="preserve"> </w:t>
      </w:r>
      <w:r w:rsidR="00BD3B0B" w:rsidRPr="00012C3F">
        <w:rPr>
          <w:sz w:val="20"/>
          <w:szCs w:val="20"/>
          <w:lang w:val="en-US"/>
        </w:rPr>
        <w:t>December 22,</w:t>
      </w:r>
      <w:r w:rsidR="00696506" w:rsidRPr="00012C3F">
        <w:rPr>
          <w:sz w:val="20"/>
          <w:szCs w:val="20"/>
          <w:lang w:val="en-US"/>
        </w:rPr>
        <w:t xml:space="preserve"> 2014, </w:t>
      </w:r>
      <w:r w:rsidR="001F009F" w:rsidRPr="00012C3F">
        <w:rPr>
          <w:sz w:val="20"/>
          <w:szCs w:val="20"/>
          <w:lang w:val="en-US"/>
        </w:rPr>
        <w:t>including</w:t>
      </w:r>
      <w:r w:rsidR="00696506" w:rsidRPr="00012C3F">
        <w:rPr>
          <w:sz w:val="20"/>
          <w:szCs w:val="20"/>
          <w:lang w:val="en-US"/>
        </w:rPr>
        <w:t xml:space="preserve">: </w:t>
      </w:r>
      <w:r w:rsidR="001F009F" w:rsidRPr="00012C3F">
        <w:rPr>
          <w:sz w:val="20"/>
          <w:szCs w:val="20"/>
          <w:lang w:val="en-US"/>
        </w:rPr>
        <w:t>the bill on</w:t>
      </w:r>
      <w:r w:rsidR="00696506" w:rsidRPr="00012C3F">
        <w:rPr>
          <w:sz w:val="20"/>
          <w:szCs w:val="20"/>
          <w:lang w:val="en-US"/>
        </w:rPr>
        <w:t xml:space="preserve"> “</w:t>
      </w:r>
      <w:r w:rsidR="00164743" w:rsidRPr="00012C3F">
        <w:rPr>
          <w:sz w:val="20"/>
          <w:szCs w:val="20"/>
          <w:lang w:val="en-US"/>
        </w:rPr>
        <w:t>D</w:t>
      </w:r>
      <w:r w:rsidR="001F009F" w:rsidRPr="00012C3F">
        <w:rPr>
          <w:sz w:val="20"/>
          <w:szCs w:val="20"/>
          <w:lang w:val="en-US"/>
        </w:rPr>
        <w:t>eclarati</w:t>
      </w:r>
      <w:r w:rsidR="00164743" w:rsidRPr="00012C3F">
        <w:rPr>
          <w:sz w:val="20"/>
          <w:szCs w:val="20"/>
          <w:lang w:val="en-US"/>
        </w:rPr>
        <w:t>o</w:t>
      </w:r>
      <w:r w:rsidR="001F009F" w:rsidRPr="00012C3F">
        <w:rPr>
          <w:sz w:val="20"/>
          <w:szCs w:val="20"/>
          <w:lang w:val="en-US"/>
        </w:rPr>
        <w:t xml:space="preserve">n </w:t>
      </w:r>
      <w:r w:rsidR="00164743" w:rsidRPr="00012C3F">
        <w:rPr>
          <w:sz w:val="20"/>
          <w:szCs w:val="20"/>
          <w:lang w:val="en-US"/>
        </w:rPr>
        <w:t>of</w:t>
      </w:r>
      <w:r w:rsidR="001F009F" w:rsidRPr="00012C3F">
        <w:rPr>
          <w:sz w:val="20"/>
          <w:szCs w:val="20"/>
          <w:lang w:val="en-US"/>
        </w:rPr>
        <w:t xml:space="preserve"> national priority of criminalization of medical negligence in Bolivia”; the bill regulating the provision of services </w:t>
      </w:r>
      <w:r w:rsidR="00164743" w:rsidRPr="00012C3F">
        <w:rPr>
          <w:sz w:val="20"/>
          <w:szCs w:val="20"/>
          <w:lang w:val="en-US"/>
        </w:rPr>
        <w:t>by</w:t>
      </w:r>
      <w:r w:rsidR="001F009F" w:rsidRPr="00012C3F">
        <w:rPr>
          <w:sz w:val="20"/>
          <w:szCs w:val="20"/>
          <w:lang w:val="en-US"/>
        </w:rPr>
        <w:t xml:space="preserve"> public health, </w:t>
      </w:r>
      <w:r w:rsidR="00164743" w:rsidRPr="00012C3F">
        <w:rPr>
          <w:sz w:val="20"/>
          <w:szCs w:val="20"/>
          <w:lang w:val="en-US"/>
        </w:rPr>
        <w:t>social welfare, and private health entities; the bill on medical responsibility; the bill against medical malpractice, and the contributions to the second draft by the Ombudsman and the observations of the Bolivian Medical Association, provided the</w:t>
      </w:r>
      <w:r w:rsidR="00825DC4" w:rsidRPr="00012C3F">
        <w:rPr>
          <w:sz w:val="20"/>
          <w:szCs w:val="20"/>
          <w:lang w:val="en-US"/>
        </w:rPr>
        <w:t>se</w:t>
      </w:r>
      <w:r w:rsidR="00164743" w:rsidRPr="00012C3F">
        <w:rPr>
          <w:sz w:val="20"/>
          <w:szCs w:val="20"/>
          <w:lang w:val="en-US"/>
        </w:rPr>
        <w:t xml:space="preserve"> are compatible with international human rights standards, and (vii) </w:t>
      </w:r>
      <w:r w:rsidR="00825DC4" w:rsidRPr="00012C3F">
        <w:rPr>
          <w:sz w:val="20"/>
          <w:szCs w:val="20"/>
          <w:lang w:val="en-US"/>
        </w:rPr>
        <w:t>appropriate</w:t>
      </w:r>
      <w:r w:rsidR="00164743" w:rsidRPr="00012C3F">
        <w:rPr>
          <w:sz w:val="20"/>
          <w:szCs w:val="20"/>
          <w:lang w:val="en-US"/>
        </w:rPr>
        <w:t xml:space="preserve"> </w:t>
      </w:r>
      <w:r w:rsidR="00825DC4" w:rsidRPr="00012C3F">
        <w:rPr>
          <w:sz w:val="20"/>
          <w:szCs w:val="20"/>
          <w:lang w:val="en-US"/>
        </w:rPr>
        <w:t>implementation</w:t>
      </w:r>
      <w:r w:rsidR="00164743" w:rsidRPr="00012C3F">
        <w:rPr>
          <w:sz w:val="20"/>
          <w:szCs w:val="20"/>
          <w:lang w:val="en-US"/>
        </w:rPr>
        <w:t xml:space="preserve">, as soon as possible following notification of the judgment, </w:t>
      </w:r>
      <w:r w:rsidR="00825DC4" w:rsidRPr="00012C3F">
        <w:rPr>
          <w:sz w:val="20"/>
          <w:szCs w:val="20"/>
          <w:lang w:val="en-US"/>
        </w:rPr>
        <w:t xml:space="preserve">of </w:t>
      </w:r>
      <w:r w:rsidR="00164743" w:rsidRPr="00012C3F">
        <w:rPr>
          <w:sz w:val="20"/>
          <w:szCs w:val="20"/>
          <w:lang w:val="en-US"/>
        </w:rPr>
        <w:t>all the public policies indicated by the State in its report on compliance with the Commission’s recommendations of</w:t>
      </w:r>
      <w:r w:rsidR="00164743" w:rsidRPr="00012C3F">
        <w:rPr>
          <w:b/>
          <w:sz w:val="16"/>
          <w:szCs w:val="16"/>
          <w:lang w:val="en-US"/>
        </w:rPr>
        <w:t xml:space="preserve"> </w:t>
      </w:r>
      <w:r w:rsidR="00164743" w:rsidRPr="00012C3F">
        <w:rPr>
          <w:sz w:val="20"/>
          <w:szCs w:val="20"/>
          <w:lang w:val="en-US"/>
        </w:rPr>
        <w:t>December 22, 2014, provided they are compatible with international human rights standards; the</w:t>
      </w:r>
      <w:r w:rsidR="00825DC4" w:rsidRPr="00012C3F">
        <w:rPr>
          <w:sz w:val="20"/>
          <w:szCs w:val="20"/>
          <w:lang w:val="en-US"/>
        </w:rPr>
        <w:t>se</w:t>
      </w:r>
      <w:r w:rsidR="00164743" w:rsidRPr="00012C3F">
        <w:rPr>
          <w:sz w:val="20"/>
          <w:szCs w:val="20"/>
          <w:lang w:val="en-US"/>
        </w:rPr>
        <w:t xml:space="preserve"> include: (a) the technical document on “Obtaining informed consent” adopted by </w:t>
      </w:r>
      <w:r w:rsidR="00435129" w:rsidRPr="00012C3F">
        <w:rPr>
          <w:sz w:val="20"/>
          <w:szCs w:val="20"/>
          <w:lang w:val="en-US"/>
        </w:rPr>
        <w:t>Ministerial Resolution</w:t>
      </w:r>
      <w:r w:rsidR="00696506" w:rsidRPr="00012C3F">
        <w:rPr>
          <w:sz w:val="20"/>
          <w:szCs w:val="20"/>
          <w:lang w:val="en-US"/>
        </w:rPr>
        <w:t xml:space="preserve"> No. 090 </w:t>
      </w:r>
      <w:r w:rsidR="00164743" w:rsidRPr="00012C3F">
        <w:rPr>
          <w:sz w:val="20"/>
          <w:szCs w:val="20"/>
          <w:lang w:val="en-US"/>
        </w:rPr>
        <w:t>on February 26,</w:t>
      </w:r>
      <w:r w:rsidR="00696506" w:rsidRPr="00012C3F">
        <w:rPr>
          <w:sz w:val="20"/>
          <w:szCs w:val="20"/>
          <w:lang w:val="en-US"/>
        </w:rPr>
        <w:t xml:space="preserve"> 2008, </w:t>
      </w:r>
      <w:r w:rsidR="00164743" w:rsidRPr="00012C3F">
        <w:rPr>
          <w:sz w:val="20"/>
          <w:szCs w:val="20"/>
          <w:lang w:val="en-US"/>
        </w:rPr>
        <w:t>which contains basic standards, protocols and forms for obtaining consent; (b) the “Rights-based contraception standards, rules, protocols and procedures” adopted by</w:t>
      </w:r>
      <w:r w:rsidR="00164743" w:rsidRPr="00012C3F">
        <w:rPr>
          <w:b/>
          <w:sz w:val="16"/>
          <w:szCs w:val="16"/>
          <w:lang w:val="en-US"/>
        </w:rPr>
        <w:t xml:space="preserve"> </w:t>
      </w:r>
      <w:r w:rsidR="00435129" w:rsidRPr="00012C3F">
        <w:rPr>
          <w:sz w:val="20"/>
          <w:szCs w:val="20"/>
          <w:lang w:val="en-US"/>
        </w:rPr>
        <w:t>Ministerial Resolution</w:t>
      </w:r>
      <w:r w:rsidR="00696506" w:rsidRPr="00012C3F">
        <w:rPr>
          <w:sz w:val="20"/>
          <w:szCs w:val="20"/>
          <w:lang w:val="en-US"/>
        </w:rPr>
        <w:t xml:space="preserve"> No. 517 </w:t>
      </w:r>
      <w:r w:rsidR="00164743" w:rsidRPr="00012C3F">
        <w:rPr>
          <w:sz w:val="20"/>
          <w:szCs w:val="20"/>
          <w:lang w:val="en-US"/>
        </w:rPr>
        <w:t>on December 30,</w:t>
      </w:r>
      <w:r w:rsidR="00696506" w:rsidRPr="00012C3F">
        <w:rPr>
          <w:sz w:val="20"/>
          <w:szCs w:val="20"/>
          <w:lang w:val="en-US"/>
        </w:rPr>
        <w:t xml:space="preserve"> 2003; </w:t>
      </w:r>
      <w:r w:rsidR="00164743" w:rsidRPr="00012C3F">
        <w:rPr>
          <w:sz w:val="20"/>
          <w:szCs w:val="20"/>
          <w:lang w:val="en-US"/>
        </w:rPr>
        <w:t>(</w:t>
      </w:r>
      <w:r w:rsidR="00D76766" w:rsidRPr="00012C3F">
        <w:rPr>
          <w:sz w:val="20"/>
          <w:szCs w:val="20"/>
          <w:lang w:val="en-US"/>
        </w:rPr>
        <w:t>c</w:t>
      </w:r>
      <w:r w:rsidR="00696506" w:rsidRPr="00012C3F">
        <w:rPr>
          <w:sz w:val="20"/>
          <w:szCs w:val="20"/>
          <w:lang w:val="en-US"/>
        </w:rPr>
        <w:t xml:space="preserve">) </w:t>
      </w:r>
      <w:r w:rsidR="00164743" w:rsidRPr="00012C3F">
        <w:rPr>
          <w:sz w:val="20"/>
          <w:szCs w:val="20"/>
          <w:lang w:val="en-US"/>
        </w:rPr>
        <w:t>the Standard for v</w:t>
      </w:r>
      <w:r w:rsidR="00435129" w:rsidRPr="00012C3F">
        <w:rPr>
          <w:sz w:val="20"/>
          <w:szCs w:val="20"/>
          <w:lang w:val="en-US"/>
        </w:rPr>
        <w:t>oluntary surgical contraception</w:t>
      </w:r>
      <w:r w:rsidR="00696506" w:rsidRPr="00012C3F">
        <w:rPr>
          <w:sz w:val="20"/>
          <w:szCs w:val="20"/>
          <w:lang w:val="en-US"/>
        </w:rPr>
        <w:t>-</w:t>
      </w:r>
      <w:r w:rsidR="00164743" w:rsidRPr="00012C3F">
        <w:rPr>
          <w:sz w:val="20"/>
          <w:szCs w:val="20"/>
          <w:lang w:val="en-US"/>
        </w:rPr>
        <w:t xml:space="preserve">bilateral tubal ligation in cases of reproductive risk </w:t>
      </w:r>
      <w:r w:rsidR="00696506" w:rsidRPr="00012C3F">
        <w:rPr>
          <w:sz w:val="20"/>
          <w:szCs w:val="20"/>
          <w:lang w:val="en-US"/>
        </w:rPr>
        <w:t>MSPS 4-98, a</w:t>
      </w:r>
      <w:r w:rsidR="00164743" w:rsidRPr="00012C3F">
        <w:rPr>
          <w:sz w:val="20"/>
          <w:szCs w:val="20"/>
          <w:lang w:val="en-US"/>
        </w:rPr>
        <w:t xml:space="preserve">dopted by </w:t>
      </w:r>
      <w:r w:rsidR="00435129" w:rsidRPr="00012C3F">
        <w:rPr>
          <w:sz w:val="20"/>
          <w:szCs w:val="20"/>
          <w:lang w:val="en-US"/>
        </w:rPr>
        <w:t>Ministerial Resolution</w:t>
      </w:r>
      <w:r w:rsidR="00696506" w:rsidRPr="00012C3F">
        <w:rPr>
          <w:sz w:val="20"/>
          <w:szCs w:val="20"/>
          <w:lang w:val="en-US"/>
        </w:rPr>
        <w:t xml:space="preserve"> No. 789 </w:t>
      </w:r>
      <w:r w:rsidR="00164743" w:rsidRPr="00012C3F">
        <w:rPr>
          <w:sz w:val="20"/>
          <w:szCs w:val="20"/>
          <w:lang w:val="en-US"/>
        </w:rPr>
        <w:t xml:space="preserve">on November 17, </w:t>
      </w:r>
      <w:r w:rsidR="00696506" w:rsidRPr="00012C3F">
        <w:rPr>
          <w:sz w:val="20"/>
          <w:szCs w:val="20"/>
          <w:lang w:val="en-US"/>
        </w:rPr>
        <w:t>1998,</w:t>
      </w:r>
      <w:r w:rsidR="005E5012" w:rsidRPr="00012C3F">
        <w:rPr>
          <w:sz w:val="20"/>
          <w:szCs w:val="20"/>
          <w:lang w:val="en-US"/>
        </w:rPr>
        <w:t xml:space="preserve"> and </w:t>
      </w:r>
      <w:r w:rsidR="00164743" w:rsidRPr="00012C3F">
        <w:rPr>
          <w:sz w:val="20"/>
          <w:szCs w:val="20"/>
          <w:lang w:val="en-US"/>
        </w:rPr>
        <w:t>(</w:t>
      </w:r>
      <w:r w:rsidR="00D76766" w:rsidRPr="00012C3F">
        <w:rPr>
          <w:sz w:val="20"/>
          <w:szCs w:val="20"/>
          <w:lang w:val="en-US"/>
        </w:rPr>
        <w:t>d</w:t>
      </w:r>
      <w:r w:rsidR="00696506" w:rsidRPr="00012C3F">
        <w:rPr>
          <w:sz w:val="20"/>
          <w:szCs w:val="20"/>
          <w:lang w:val="en-US"/>
        </w:rPr>
        <w:t xml:space="preserve">) </w:t>
      </w:r>
      <w:r w:rsidR="00164743" w:rsidRPr="00012C3F">
        <w:rPr>
          <w:sz w:val="20"/>
          <w:szCs w:val="20"/>
          <w:lang w:val="en-US"/>
        </w:rPr>
        <w:t xml:space="preserve">the National Strategic Plan for Sexual and Reproductive Health, </w:t>
      </w:r>
      <w:r w:rsidR="00696506" w:rsidRPr="00012C3F">
        <w:rPr>
          <w:sz w:val="20"/>
          <w:szCs w:val="20"/>
          <w:lang w:val="en-US"/>
        </w:rPr>
        <w:t>2009-2015.</w:t>
      </w:r>
    </w:p>
    <w:p w14:paraId="0CBB64A3" w14:textId="77777777" w:rsidR="008D0B77" w:rsidRPr="00012C3F" w:rsidRDefault="008D0B77" w:rsidP="00EC75D6">
      <w:pPr>
        <w:tabs>
          <w:tab w:val="left" w:pos="720"/>
        </w:tabs>
        <w:spacing w:line="240" w:lineRule="auto"/>
        <w:ind w:right="-90"/>
        <w:rPr>
          <w:rFonts w:cs="Verdana"/>
          <w:i/>
          <w:sz w:val="20"/>
          <w:szCs w:val="20"/>
          <w:lang w:val="en-US"/>
        </w:rPr>
      </w:pPr>
    </w:p>
    <w:p w14:paraId="0C1071D9" w14:textId="77777777" w:rsidR="008D0B77" w:rsidRPr="00012C3F" w:rsidRDefault="00164743" w:rsidP="00EC75D6">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 xml:space="preserve">With regard to the measures requested that have been described previously, the Court finds that the delivery of </w:t>
      </w:r>
      <w:r w:rsidR="000F735E" w:rsidRPr="00012C3F">
        <w:rPr>
          <w:rFonts w:cs="Verdana"/>
          <w:sz w:val="20"/>
          <w:szCs w:val="20"/>
          <w:lang w:val="en-US"/>
        </w:rPr>
        <w:t>this judgment</w:t>
      </w:r>
      <w:r w:rsidR="008D0B77" w:rsidRPr="00012C3F">
        <w:rPr>
          <w:rFonts w:cs="Verdana"/>
          <w:sz w:val="20"/>
          <w:szCs w:val="20"/>
          <w:lang w:val="en-US"/>
        </w:rPr>
        <w:t xml:space="preserve">, </w:t>
      </w:r>
      <w:r w:rsidRPr="00012C3F">
        <w:rPr>
          <w:rFonts w:cs="Verdana"/>
          <w:sz w:val="20"/>
          <w:szCs w:val="20"/>
          <w:lang w:val="en-US"/>
        </w:rPr>
        <w:t>together with the other measures ordered, are sufficient and adequate to remedy the violations suffered by the victim and does not find it necessary to order additional measures.</w:t>
      </w:r>
    </w:p>
    <w:p w14:paraId="6DEC40E2" w14:textId="77777777" w:rsidR="00E1447C" w:rsidRPr="00012C3F" w:rsidRDefault="00E1447C" w:rsidP="00E1447C">
      <w:pPr>
        <w:tabs>
          <w:tab w:val="left" w:pos="720"/>
        </w:tabs>
        <w:spacing w:line="240" w:lineRule="auto"/>
        <w:rPr>
          <w:rFonts w:cs="Verdana"/>
          <w:sz w:val="20"/>
          <w:szCs w:val="20"/>
          <w:lang w:val="en-US"/>
        </w:rPr>
      </w:pPr>
    </w:p>
    <w:p w14:paraId="1B822101" w14:textId="77777777" w:rsidR="00E1447C" w:rsidRPr="00012C3F" w:rsidRDefault="00E1447C" w:rsidP="00E1447C">
      <w:pPr>
        <w:pStyle w:val="Prrafodelista"/>
        <w:keepNext/>
        <w:keepLines/>
        <w:tabs>
          <w:tab w:val="left" w:pos="720"/>
          <w:tab w:val="left" w:pos="1134"/>
        </w:tabs>
        <w:spacing w:line="240" w:lineRule="auto"/>
        <w:ind w:left="825"/>
        <w:outlineLvl w:val="1"/>
        <w:rPr>
          <w:rFonts w:eastAsia="MS Mincho"/>
          <w:b/>
          <w:bCs/>
          <w:i/>
          <w:sz w:val="20"/>
          <w:szCs w:val="20"/>
          <w:lang w:val="en-US"/>
        </w:rPr>
      </w:pPr>
      <w:bookmarkStart w:id="204" w:name="_Toc27486895"/>
      <w:r w:rsidRPr="00012C3F">
        <w:rPr>
          <w:rFonts w:eastAsia="MS Mincho"/>
          <w:b/>
          <w:bCs/>
          <w:i/>
          <w:sz w:val="20"/>
          <w:szCs w:val="20"/>
          <w:lang w:val="en-US"/>
        </w:rPr>
        <w:t>F.</w:t>
      </w:r>
      <w:r w:rsidRPr="00012C3F">
        <w:rPr>
          <w:rFonts w:eastAsia="MS Mincho"/>
          <w:b/>
          <w:bCs/>
          <w:i/>
          <w:sz w:val="20"/>
          <w:szCs w:val="20"/>
          <w:lang w:val="en-US"/>
        </w:rPr>
        <w:tab/>
        <w:t>Compensation for pecuniary and non-pecuniary damage</w:t>
      </w:r>
      <w:bookmarkEnd w:id="204"/>
    </w:p>
    <w:p w14:paraId="6A38E36D" w14:textId="77777777" w:rsidR="00EC75D6" w:rsidRPr="00012C3F" w:rsidRDefault="00EC75D6" w:rsidP="00E1447C">
      <w:pPr>
        <w:spacing w:line="240" w:lineRule="auto"/>
        <w:rPr>
          <w:rFonts w:cs="Verdana"/>
          <w:sz w:val="20"/>
          <w:szCs w:val="20"/>
          <w:lang w:val="en-US"/>
        </w:rPr>
      </w:pPr>
    </w:p>
    <w:p w14:paraId="2379B20D" w14:textId="77777777" w:rsidR="00EC75D6" w:rsidRPr="00012C3F" w:rsidRDefault="00EC75D6" w:rsidP="00EC75D6">
      <w:pPr>
        <w:numPr>
          <w:ilvl w:val="0"/>
          <w:numId w:val="5"/>
        </w:numPr>
        <w:tabs>
          <w:tab w:val="left" w:pos="720"/>
          <w:tab w:val="num" w:pos="12305"/>
        </w:tabs>
        <w:spacing w:line="240" w:lineRule="auto"/>
        <w:ind w:left="0" w:firstLine="0"/>
        <w:rPr>
          <w:rFonts w:cs="Verdana"/>
          <w:sz w:val="20"/>
          <w:szCs w:val="20"/>
          <w:lang w:val="en-US"/>
        </w:rPr>
      </w:pPr>
      <w:r w:rsidRPr="00012C3F">
        <w:rPr>
          <w:rFonts w:cs="Verdana"/>
          <w:sz w:val="20"/>
          <w:szCs w:val="20"/>
          <w:lang w:val="en-US"/>
        </w:rPr>
        <w:t xml:space="preserve">The </w:t>
      </w:r>
      <w:r w:rsidRPr="00012C3F">
        <w:rPr>
          <w:rFonts w:cs="Verdana"/>
          <w:b/>
          <w:bCs/>
          <w:i/>
          <w:iCs/>
          <w:sz w:val="20"/>
          <w:szCs w:val="20"/>
          <w:lang w:val="en-US"/>
        </w:rPr>
        <w:t>Commission</w:t>
      </w:r>
      <w:r w:rsidRPr="00012C3F">
        <w:rPr>
          <w:rFonts w:cs="Verdana"/>
          <w:sz w:val="20"/>
          <w:szCs w:val="20"/>
          <w:lang w:val="en-US"/>
        </w:rPr>
        <w:t xml:space="preserve"> asked the Court to order the State </w:t>
      </w:r>
      <w:r w:rsidR="00E1447C" w:rsidRPr="00012C3F">
        <w:rPr>
          <w:rFonts w:cs="Verdana"/>
          <w:sz w:val="20"/>
          <w:szCs w:val="20"/>
          <w:lang w:val="en-US"/>
        </w:rPr>
        <w:t>“to provide comprehensive reparation to I.V. for the human rights violations established in [its Merits] Report, taking into consideration her prospects and her needs, including compensation for the pecuniary and non-pecuniary damage suffered.”</w:t>
      </w:r>
    </w:p>
    <w:p w14:paraId="0EB07451" w14:textId="77777777" w:rsidR="008D0B77" w:rsidRPr="00012C3F" w:rsidRDefault="008D0B77" w:rsidP="009A3CA5">
      <w:pPr>
        <w:pStyle w:val="Prrafodelista2"/>
        <w:tabs>
          <w:tab w:val="left" w:pos="0"/>
          <w:tab w:val="left" w:pos="720"/>
          <w:tab w:val="num" w:pos="12305"/>
        </w:tabs>
        <w:ind w:left="0" w:right="-90"/>
        <w:jc w:val="both"/>
        <w:rPr>
          <w:rFonts w:cs="Tahoma"/>
          <w:b/>
          <w:lang w:val="en-US"/>
        </w:rPr>
      </w:pPr>
    </w:p>
    <w:p w14:paraId="226B07DE" w14:textId="77777777" w:rsidR="00E1447C" w:rsidRPr="00012C3F" w:rsidRDefault="00972ACF" w:rsidP="009A3CA5">
      <w:pPr>
        <w:numPr>
          <w:ilvl w:val="0"/>
          <w:numId w:val="5"/>
        </w:numPr>
        <w:tabs>
          <w:tab w:val="left" w:pos="720"/>
          <w:tab w:val="num" w:pos="12305"/>
        </w:tabs>
        <w:spacing w:line="240" w:lineRule="auto"/>
        <w:ind w:left="0" w:firstLine="0"/>
        <w:rPr>
          <w:b/>
          <w:bCs/>
          <w:i/>
          <w:sz w:val="20"/>
          <w:szCs w:val="20"/>
          <w:lang w:val="en-US"/>
        </w:rPr>
      </w:pPr>
      <w:r w:rsidRPr="00012C3F">
        <w:rPr>
          <w:bCs/>
          <w:sz w:val="20"/>
          <w:szCs w:val="20"/>
          <w:lang w:val="en-US"/>
        </w:rPr>
        <w:t xml:space="preserve">The </w:t>
      </w:r>
      <w:r w:rsidRPr="00012C3F">
        <w:rPr>
          <w:b/>
          <w:i/>
          <w:iCs/>
          <w:sz w:val="20"/>
          <w:szCs w:val="20"/>
          <w:lang w:val="en-US"/>
        </w:rPr>
        <w:t>representative</w:t>
      </w:r>
      <w:r w:rsidR="00E1447C" w:rsidRPr="00012C3F">
        <w:rPr>
          <w:b/>
          <w:i/>
          <w:iCs/>
          <w:sz w:val="20"/>
          <w:szCs w:val="20"/>
          <w:lang w:val="en-US"/>
        </w:rPr>
        <w:t xml:space="preserve">, </w:t>
      </w:r>
      <w:r w:rsidR="00E1447C" w:rsidRPr="00012C3F">
        <w:rPr>
          <w:bCs/>
          <w:sz w:val="20"/>
          <w:szCs w:val="20"/>
          <w:lang w:val="en-US"/>
        </w:rPr>
        <w:t xml:space="preserve">in her final written arguments, asked for the State to comply with payment of the financial reparations as soon as possible, taking into consideration the </w:t>
      </w:r>
      <w:r w:rsidR="00CE43D0" w:rsidRPr="00012C3F">
        <w:rPr>
          <w:bCs/>
          <w:sz w:val="20"/>
          <w:szCs w:val="20"/>
          <w:lang w:val="en-US"/>
        </w:rPr>
        <w:t>significant</w:t>
      </w:r>
      <w:r w:rsidR="00E1447C" w:rsidRPr="00012C3F">
        <w:rPr>
          <w:bCs/>
          <w:sz w:val="20"/>
          <w:szCs w:val="20"/>
          <w:lang w:val="en-US"/>
        </w:rPr>
        <w:t xml:space="preserve"> financial problems that I.V. and her family have faced. The representative also asked that none of the payments made by the State be subject to any taxes of charges, so that the victims and their representatives receive the sums ordered by the Court in full.</w:t>
      </w:r>
    </w:p>
    <w:p w14:paraId="7F198B37" w14:textId="77777777" w:rsidR="008D0B77" w:rsidRPr="00012C3F" w:rsidRDefault="008D0B77" w:rsidP="006E754A">
      <w:pPr>
        <w:pStyle w:val="Prrafodelista2"/>
        <w:tabs>
          <w:tab w:val="left" w:pos="0"/>
          <w:tab w:val="num" w:pos="12305"/>
        </w:tabs>
        <w:ind w:left="0" w:right="-90"/>
        <w:jc w:val="both"/>
        <w:rPr>
          <w:b/>
          <w:bCs/>
          <w:i/>
          <w:lang w:val="en-US"/>
        </w:rPr>
      </w:pPr>
    </w:p>
    <w:p w14:paraId="11FEA655" w14:textId="77777777" w:rsidR="00803672" w:rsidRPr="00012C3F" w:rsidRDefault="00972ACF" w:rsidP="00E1447C">
      <w:pPr>
        <w:numPr>
          <w:ilvl w:val="0"/>
          <w:numId w:val="5"/>
        </w:numPr>
        <w:tabs>
          <w:tab w:val="left" w:pos="720"/>
          <w:tab w:val="num" w:pos="12305"/>
        </w:tabs>
        <w:spacing w:line="240" w:lineRule="auto"/>
        <w:ind w:left="0" w:firstLine="0"/>
        <w:rPr>
          <w:rFonts w:eastAsia="Calibri"/>
          <w:bCs/>
          <w:lang w:val="en-US"/>
        </w:rPr>
      </w:pPr>
      <w:r w:rsidRPr="00012C3F">
        <w:rPr>
          <w:sz w:val="20"/>
          <w:szCs w:val="20"/>
          <w:lang w:val="en-US"/>
        </w:rPr>
        <w:t>The representative</w:t>
      </w:r>
      <w:r w:rsidR="008D0B77" w:rsidRPr="00012C3F">
        <w:rPr>
          <w:rFonts w:cs="Tahoma"/>
          <w:sz w:val="20"/>
          <w:szCs w:val="20"/>
          <w:lang w:val="en-US"/>
        </w:rPr>
        <w:t xml:space="preserve"> </w:t>
      </w:r>
      <w:r w:rsidR="00E1447C" w:rsidRPr="00012C3F">
        <w:rPr>
          <w:rFonts w:cs="Tahoma"/>
          <w:sz w:val="20"/>
          <w:szCs w:val="20"/>
          <w:lang w:val="en-US"/>
        </w:rPr>
        <w:t xml:space="preserve">indicated, with regard to pecuniary damage, that “I.V. had destroyed most of the documentation supporting the expenses she had incurred since 2000 during an emotional crisis in 2013 as a result of which she had to be interned in a psychiatric establishment diagnosed with organic </w:t>
      </w:r>
      <w:r w:rsidR="00E1447C" w:rsidRPr="00012C3F">
        <w:rPr>
          <w:sz w:val="20"/>
          <w:szCs w:val="20"/>
          <w:lang w:val="en-US"/>
        </w:rPr>
        <w:t xml:space="preserve">schizophreniform disorder.” This disorder, and the 2013 crisis, were the result of the facts of this case. Therefore, </w:t>
      </w:r>
      <w:r w:rsidR="00CC0149" w:rsidRPr="00012C3F">
        <w:rPr>
          <w:sz w:val="20"/>
          <w:szCs w:val="20"/>
          <w:lang w:val="en-US"/>
        </w:rPr>
        <w:t xml:space="preserve">as evidence, </w:t>
      </w:r>
      <w:r w:rsidR="00E1447C" w:rsidRPr="00012C3F">
        <w:rPr>
          <w:sz w:val="20"/>
          <w:szCs w:val="20"/>
          <w:lang w:val="en-US"/>
        </w:rPr>
        <w:t xml:space="preserve">the representative </w:t>
      </w:r>
      <w:r w:rsidR="00CC0149" w:rsidRPr="00012C3F">
        <w:rPr>
          <w:sz w:val="20"/>
          <w:szCs w:val="20"/>
          <w:lang w:val="en-US"/>
        </w:rPr>
        <w:t>only attached a few documents to support the expenses incurred by I.V. and asked the Court to calculate the pecuniary damage taking into account objective and reasonable parameters and the criteria for the principle of equity. Also, the representative requested: (i) for loss of or detriment to the earnings of I.V. over the last 15 years of emotional instability and her personal commitment to obtain justice</w:t>
      </w:r>
      <w:r w:rsidR="00CE43D0" w:rsidRPr="00012C3F">
        <w:rPr>
          <w:sz w:val="20"/>
          <w:szCs w:val="20"/>
          <w:lang w:val="en-US"/>
        </w:rPr>
        <w:t>, which</w:t>
      </w:r>
      <w:r w:rsidR="00CC0149" w:rsidRPr="00012C3F">
        <w:rPr>
          <w:sz w:val="20"/>
          <w:szCs w:val="20"/>
          <w:lang w:val="en-US"/>
        </w:rPr>
        <w:t xml:space="preserve"> resulted in her being unemployed for most of the time and made it impossible for her to obtain permanent, stable, </w:t>
      </w:r>
      <w:r w:rsidR="00C471ED" w:rsidRPr="00012C3F">
        <w:rPr>
          <w:sz w:val="20"/>
          <w:szCs w:val="20"/>
          <w:lang w:val="en-US"/>
        </w:rPr>
        <w:t>reliable</w:t>
      </w:r>
      <w:r w:rsidR="00CC0149" w:rsidRPr="00012C3F">
        <w:rPr>
          <w:sz w:val="20"/>
          <w:szCs w:val="20"/>
          <w:lang w:val="en-US"/>
        </w:rPr>
        <w:t xml:space="preserve"> and well-paid employment and to promote her life project, the sum of 308,772 bolivianos, equivalent to</w:t>
      </w:r>
      <w:r w:rsidR="00CC0149" w:rsidRPr="00012C3F">
        <w:rPr>
          <w:rFonts w:eastAsia="Calibri"/>
          <w:bCs/>
          <w:lang w:val="en-US"/>
        </w:rPr>
        <w:t xml:space="preserve"> </w:t>
      </w:r>
      <w:r w:rsidR="008D0B77" w:rsidRPr="00012C3F">
        <w:rPr>
          <w:rFonts w:eastAsia="Calibri"/>
          <w:bCs/>
          <w:sz w:val="20"/>
          <w:szCs w:val="20"/>
          <w:lang w:val="en-US"/>
        </w:rPr>
        <w:t>US$44</w:t>
      </w:r>
      <w:r w:rsidR="00CC0149" w:rsidRPr="00012C3F">
        <w:rPr>
          <w:rFonts w:eastAsia="Calibri"/>
          <w:bCs/>
          <w:sz w:val="20"/>
          <w:szCs w:val="20"/>
          <w:lang w:val="en-US"/>
        </w:rPr>
        <w:t>,</w:t>
      </w:r>
      <w:r w:rsidR="008D0B77" w:rsidRPr="00012C3F">
        <w:rPr>
          <w:rFonts w:eastAsia="Calibri"/>
          <w:bCs/>
          <w:sz w:val="20"/>
          <w:szCs w:val="20"/>
          <w:lang w:val="en-US"/>
        </w:rPr>
        <w:t>363</w:t>
      </w:r>
      <w:r w:rsidR="00CE43D0" w:rsidRPr="00012C3F">
        <w:rPr>
          <w:rFonts w:eastAsia="Calibri"/>
          <w:bCs/>
          <w:sz w:val="20"/>
          <w:szCs w:val="20"/>
          <w:lang w:val="en-US"/>
        </w:rPr>
        <w:t>, and</w:t>
      </w:r>
      <w:r w:rsidR="008D0B77" w:rsidRPr="00012C3F">
        <w:rPr>
          <w:rFonts w:eastAsia="Calibri"/>
          <w:bCs/>
          <w:sz w:val="20"/>
          <w:szCs w:val="20"/>
          <w:lang w:val="en-US"/>
        </w:rPr>
        <w:t xml:space="preserve"> </w:t>
      </w:r>
      <w:r w:rsidR="00CC0149" w:rsidRPr="00012C3F">
        <w:rPr>
          <w:rFonts w:eastAsia="Calibri"/>
          <w:bCs/>
          <w:sz w:val="20"/>
          <w:szCs w:val="20"/>
          <w:lang w:val="en-US"/>
        </w:rPr>
        <w:t>(</w:t>
      </w:r>
      <w:r w:rsidR="008D0B77" w:rsidRPr="00012C3F">
        <w:rPr>
          <w:rFonts w:eastAsia="Calibri"/>
          <w:bCs/>
          <w:sz w:val="20"/>
          <w:szCs w:val="20"/>
          <w:lang w:val="en-US"/>
        </w:rPr>
        <w:t xml:space="preserve">ii) </w:t>
      </w:r>
      <w:r w:rsidR="00CC0149" w:rsidRPr="00012C3F">
        <w:rPr>
          <w:bCs/>
          <w:sz w:val="20"/>
          <w:szCs w:val="20"/>
          <w:lang w:val="en-US"/>
        </w:rPr>
        <w:t xml:space="preserve">for health care expenses incurred by I.V., the sum of </w:t>
      </w:r>
      <w:r w:rsidR="008D0B77" w:rsidRPr="00012C3F">
        <w:rPr>
          <w:rFonts w:eastAsia="Calibri"/>
          <w:bCs/>
          <w:sz w:val="20"/>
          <w:szCs w:val="20"/>
          <w:lang w:val="en-US"/>
        </w:rPr>
        <w:t>US$4</w:t>
      </w:r>
      <w:r w:rsidR="00CC0149" w:rsidRPr="00012C3F">
        <w:rPr>
          <w:rFonts w:eastAsia="Calibri"/>
          <w:bCs/>
          <w:sz w:val="20"/>
          <w:szCs w:val="20"/>
          <w:lang w:val="en-US"/>
        </w:rPr>
        <w:t>,</w:t>
      </w:r>
      <w:r w:rsidR="008D0B77" w:rsidRPr="00012C3F">
        <w:rPr>
          <w:rFonts w:eastAsia="Calibri"/>
          <w:bCs/>
          <w:sz w:val="20"/>
          <w:szCs w:val="20"/>
          <w:lang w:val="en-US"/>
        </w:rPr>
        <w:t>500</w:t>
      </w:r>
      <w:r w:rsidR="00CC0149" w:rsidRPr="00012C3F">
        <w:rPr>
          <w:rFonts w:eastAsia="Calibri"/>
          <w:bCs/>
          <w:sz w:val="20"/>
          <w:szCs w:val="20"/>
          <w:lang w:val="en-US"/>
        </w:rPr>
        <w:t>.</w:t>
      </w:r>
      <w:r w:rsidR="008D0B77" w:rsidRPr="00012C3F">
        <w:rPr>
          <w:rStyle w:val="Refdenotaalpie"/>
          <w:rFonts w:eastAsia="Calibri"/>
          <w:sz w:val="20"/>
          <w:szCs w:val="20"/>
          <w:lang w:val="en-US"/>
        </w:rPr>
        <w:footnoteReference w:id="411"/>
      </w:r>
      <w:r w:rsidR="00C13AFF" w:rsidRPr="00012C3F">
        <w:rPr>
          <w:rFonts w:eastAsia="Calibri"/>
          <w:bCs/>
          <w:sz w:val="20"/>
          <w:szCs w:val="20"/>
          <w:lang w:val="en-US"/>
        </w:rPr>
        <w:t xml:space="preserve"> </w:t>
      </w:r>
      <w:r w:rsidR="00803672" w:rsidRPr="00012C3F">
        <w:rPr>
          <w:rFonts w:eastAsia="Calibri"/>
          <w:bCs/>
          <w:sz w:val="20"/>
          <w:szCs w:val="20"/>
          <w:lang w:val="en-US"/>
        </w:rPr>
        <w:t xml:space="preserve">To this end, she asked that the </w:t>
      </w:r>
      <w:r w:rsidR="009D3EE9" w:rsidRPr="00012C3F">
        <w:rPr>
          <w:rFonts w:eastAsia="Calibri"/>
          <w:bCs/>
          <w:sz w:val="20"/>
          <w:szCs w:val="20"/>
          <w:lang w:val="en-US"/>
        </w:rPr>
        <w:t>Court</w:t>
      </w:r>
      <w:r w:rsidR="00803672" w:rsidRPr="00012C3F">
        <w:rPr>
          <w:rFonts w:eastAsia="Calibri"/>
          <w:bCs/>
          <w:sz w:val="20"/>
          <w:szCs w:val="20"/>
          <w:lang w:val="en-US"/>
        </w:rPr>
        <w:t xml:space="preserve"> take into account as a </w:t>
      </w:r>
      <w:r w:rsidR="00803672" w:rsidRPr="00012C3F">
        <w:rPr>
          <w:rFonts w:eastAsia="Calibri"/>
          <w:bCs/>
          <w:sz w:val="20"/>
          <w:szCs w:val="20"/>
          <w:lang w:val="en-US"/>
        </w:rPr>
        <w:lastRenderedPageBreak/>
        <w:t xml:space="preserve">minimum </w:t>
      </w:r>
      <w:r w:rsidR="00CE43D0" w:rsidRPr="00012C3F">
        <w:rPr>
          <w:rFonts w:eastAsia="Calibri"/>
          <w:bCs/>
          <w:sz w:val="20"/>
          <w:szCs w:val="20"/>
          <w:lang w:val="en-US"/>
        </w:rPr>
        <w:t>parameter</w:t>
      </w:r>
      <w:r w:rsidR="00803672" w:rsidRPr="00012C3F">
        <w:rPr>
          <w:rFonts w:eastAsia="Calibri"/>
          <w:bCs/>
          <w:sz w:val="20"/>
          <w:szCs w:val="20"/>
          <w:lang w:val="en-US"/>
        </w:rPr>
        <w:t xml:space="preserve"> </w:t>
      </w:r>
      <w:r w:rsidR="00CE43D0" w:rsidRPr="00012C3F">
        <w:rPr>
          <w:rFonts w:eastAsia="Calibri"/>
          <w:bCs/>
          <w:sz w:val="20"/>
          <w:szCs w:val="20"/>
          <w:lang w:val="en-US"/>
        </w:rPr>
        <w:t>for</w:t>
      </w:r>
      <w:r w:rsidR="00803672" w:rsidRPr="00012C3F">
        <w:rPr>
          <w:rFonts w:eastAsia="Calibri"/>
          <w:bCs/>
          <w:sz w:val="20"/>
          <w:szCs w:val="20"/>
          <w:lang w:val="en-US"/>
        </w:rPr>
        <w:t xml:space="preserve"> “some of the health care expenses” incurred by I.V., the sum of US$1,088, calculated based on certifications from several health care centers, pharmacy invoices, and medical fees, and (iii) for the expenses incurred in the search to obtain justice before diverse administrative entities of the State, the sum of US$862. In conclusion, with regard to the pecuniary damage caused to the victim and established under the three headings described above, the representative requested the sum of US$49,725. However, </w:t>
      </w:r>
      <w:r w:rsidR="00CE43D0" w:rsidRPr="00012C3F">
        <w:rPr>
          <w:rFonts w:eastAsia="Calibri"/>
          <w:bCs/>
          <w:sz w:val="20"/>
          <w:szCs w:val="20"/>
          <w:lang w:val="en-US"/>
        </w:rPr>
        <w:t>she</w:t>
      </w:r>
      <w:r w:rsidR="00803672" w:rsidRPr="00012C3F">
        <w:rPr>
          <w:rFonts w:eastAsia="Calibri"/>
          <w:bCs/>
          <w:sz w:val="20"/>
          <w:szCs w:val="20"/>
          <w:lang w:val="en-US"/>
        </w:rPr>
        <w:t xml:space="preserve"> also asked that “[i]f the Court […] did not agree with the calculation of the pecuniary damage requested</w:t>
      </w:r>
      <w:r w:rsidR="00C471ED" w:rsidRPr="00012C3F">
        <w:rPr>
          <w:rFonts w:eastAsia="Calibri"/>
          <w:bCs/>
          <w:sz w:val="20"/>
          <w:szCs w:val="20"/>
          <w:lang w:val="en-US"/>
        </w:rPr>
        <w:t>, […] it make a calculation based on the principle of equity, taking into account the amounts mentioned and the parameters suggested.”</w:t>
      </w:r>
    </w:p>
    <w:p w14:paraId="713FCD56" w14:textId="77777777" w:rsidR="008D0B77" w:rsidRPr="00012C3F" w:rsidRDefault="008D0B77" w:rsidP="008D0B77">
      <w:pPr>
        <w:pStyle w:val="Prrafodelista2"/>
        <w:tabs>
          <w:tab w:val="left" w:pos="0"/>
          <w:tab w:val="num" w:pos="12305"/>
        </w:tabs>
        <w:ind w:left="0" w:right="-90"/>
        <w:jc w:val="both"/>
        <w:rPr>
          <w:rFonts w:eastAsia="Calibri"/>
          <w:bCs/>
          <w:lang w:val="en-US"/>
        </w:rPr>
      </w:pPr>
    </w:p>
    <w:p w14:paraId="37B560DE" w14:textId="77777777" w:rsidR="00C471ED" w:rsidRPr="00012C3F" w:rsidRDefault="00972ACF" w:rsidP="00C471ED">
      <w:pPr>
        <w:numPr>
          <w:ilvl w:val="0"/>
          <w:numId w:val="5"/>
        </w:numPr>
        <w:tabs>
          <w:tab w:val="left" w:pos="720"/>
          <w:tab w:val="num" w:pos="12305"/>
        </w:tabs>
        <w:spacing w:line="240" w:lineRule="auto"/>
        <w:ind w:left="0" w:firstLine="0"/>
        <w:rPr>
          <w:rFonts w:cs="Tahoma"/>
          <w:lang w:val="en-US"/>
        </w:rPr>
      </w:pPr>
      <w:r w:rsidRPr="00012C3F">
        <w:rPr>
          <w:rFonts w:cs="Tahoma"/>
          <w:sz w:val="20"/>
          <w:szCs w:val="20"/>
          <w:lang w:val="en-US"/>
        </w:rPr>
        <w:t>The representative</w:t>
      </w:r>
      <w:r w:rsidR="008D0B77" w:rsidRPr="00012C3F">
        <w:rPr>
          <w:rFonts w:cs="Tahoma"/>
          <w:sz w:val="20"/>
          <w:szCs w:val="20"/>
          <w:lang w:val="en-US"/>
        </w:rPr>
        <w:t xml:space="preserve"> </w:t>
      </w:r>
      <w:r w:rsidR="00C471ED" w:rsidRPr="00012C3F">
        <w:rPr>
          <w:rFonts w:cs="Tahoma"/>
          <w:sz w:val="20"/>
          <w:szCs w:val="20"/>
          <w:lang w:val="en-US"/>
        </w:rPr>
        <w:t>requested the sum of</w:t>
      </w:r>
      <w:r w:rsidR="008D0B77" w:rsidRPr="00012C3F">
        <w:rPr>
          <w:rFonts w:cs="Tahoma"/>
          <w:sz w:val="20"/>
          <w:szCs w:val="20"/>
          <w:lang w:val="en-US"/>
        </w:rPr>
        <w:t xml:space="preserve"> US$400</w:t>
      </w:r>
      <w:r w:rsidR="00C471ED" w:rsidRPr="00012C3F">
        <w:rPr>
          <w:rFonts w:cs="Tahoma"/>
          <w:sz w:val="20"/>
          <w:szCs w:val="20"/>
          <w:lang w:val="en-US"/>
        </w:rPr>
        <w:t>,</w:t>
      </w:r>
      <w:r w:rsidR="008D0B77" w:rsidRPr="00012C3F">
        <w:rPr>
          <w:rFonts w:cs="Tahoma"/>
          <w:sz w:val="20"/>
          <w:szCs w:val="20"/>
          <w:lang w:val="en-US"/>
        </w:rPr>
        <w:t>000</w:t>
      </w:r>
      <w:r w:rsidR="00C471ED" w:rsidRPr="00012C3F">
        <w:rPr>
          <w:rFonts w:cs="Tahoma"/>
          <w:sz w:val="20"/>
          <w:szCs w:val="20"/>
          <w:lang w:val="en-US"/>
        </w:rPr>
        <w:t xml:space="preserve"> for all the non-pecuniary damage caused to I.V. and her two daughters, specifying</w:t>
      </w:r>
      <w:r w:rsidR="008D0B77" w:rsidRPr="00012C3F">
        <w:rPr>
          <w:rFonts w:cs="Tahoma"/>
          <w:sz w:val="20"/>
          <w:szCs w:val="20"/>
          <w:lang w:val="en-US"/>
        </w:rPr>
        <w:t xml:space="preserve"> US$300</w:t>
      </w:r>
      <w:r w:rsidR="00C471ED" w:rsidRPr="00012C3F">
        <w:rPr>
          <w:rFonts w:cs="Tahoma"/>
          <w:sz w:val="20"/>
          <w:szCs w:val="20"/>
          <w:lang w:val="en-US"/>
        </w:rPr>
        <w:t>,</w:t>
      </w:r>
      <w:r w:rsidR="008D0B77" w:rsidRPr="00012C3F">
        <w:rPr>
          <w:rFonts w:cs="Tahoma"/>
          <w:sz w:val="20"/>
          <w:szCs w:val="20"/>
          <w:lang w:val="en-US"/>
        </w:rPr>
        <w:t xml:space="preserve">000 </w:t>
      </w:r>
      <w:r w:rsidR="00C471ED" w:rsidRPr="00012C3F">
        <w:rPr>
          <w:rFonts w:cs="Tahoma"/>
          <w:sz w:val="20"/>
          <w:szCs w:val="20"/>
          <w:lang w:val="en-US"/>
        </w:rPr>
        <w:t>for</w:t>
      </w:r>
      <w:r w:rsidR="008D0B77" w:rsidRPr="00012C3F">
        <w:rPr>
          <w:rFonts w:cs="Tahoma"/>
          <w:sz w:val="20"/>
          <w:szCs w:val="20"/>
          <w:lang w:val="en-US"/>
        </w:rPr>
        <w:t xml:space="preserve"> </w:t>
      </w:r>
      <w:r w:rsidR="000E1C11" w:rsidRPr="00012C3F">
        <w:rPr>
          <w:rFonts w:cs="Tahoma"/>
          <w:sz w:val="20"/>
          <w:szCs w:val="20"/>
          <w:lang w:val="en-US"/>
        </w:rPr>
        <w:t>I.V.</w:t>
      </w:r>
      <w:r w:rsidR="005E5012" w:rsidRPr="00012C3F">
        <w:rPr>
          <w:rFonts w:cs="Tahoma"/>
          <w:sz w:val="20"/>
          <w:szCs w:val="20"/>
          <w:lang w:val="en-US"/>
        </w:rPr>
        <w:t xml:space="preserve"> and</w:t>
      </w:r>
      <w:r w:rsidR="00C471ED" w:rsidRPr="00012C3F">
        <w:rPr>
          <w:rFonts w:cs="Tahoma"/>
          <w:sz w:val="20"/>
          <w:szCs w:val="20"/>
          <w:lang w:val="en-US"/>
        </w:rPr>
        <w:t xml:space="preserve"> a total of</w:t>
      </w:r>
      <w:r w:rsidR="005E5012" w:rsidRPr="00012C3F">
        <w:rPr>
          <w:rFonts w:cs="Tahoma"/>
          <w:sz w:val="20"/>
          <w:szCs w:val="20"/>
          <w:lang w:val="en-US"/>
        </w:rPr>
        <w:t xml:space="preserve"> </w:t>
      </w:r>
      <w:r w:rsidR="008D0B77" w:rsidRPr="00012C3F">
        <w:rPr>
          <w:rFonts w:cs="Tahoma"/>
          <w:sz w:val="20"/>
          <w:szCs w:val="20"/>
          <w:lang w:val="en-US"/>
        </w:rPr>
        <w:t>US</w:t>
      </w:r>
      <w:r w:rsidR="00C471ED" w:rsidRPr="00012C3F">
        <w:rPr>
          <w:rFonts w:cs="Tahoma"/>
          <w:sz w:val="20"/>
          <w:szCs w:val="20"/>
          <w:lang w:val="en-US"/>
        </w:rPr>
        <w:t>$</w:t>
      </w:r>
      <w:r w:rsidR="008D0B77" w:rsidRPr="00012C3F">
        <w:rPr>
          <w:rFonts w:cs="Tahoma"/>
          <w:sz w:val="20"/>
          <w:szCs w:val="20"/>
          <w:lang w:val="en-US"/>
        </w:rPr>
        <w:t>100</w:t>
      </w:r>
      <w:r w:rsidR="00C471ED" w:rsidRPr="00012C3F">
        <w:rPr>
          <w:rFonts w:cs="Tahoma"/>
          <w:sz w:val="20"/>
          <w:szCs w:val="20"/>
          <w:lang w:val="en-US"/>
        </w:rPr>
        <w:t>,</w:t>
      </w:r>
      <w:r w:rsidR="008D0B77" w:rsidRPr="00012C3F">
        <w:rPr>
          <w:rFonts w:cs="Tahoma"/>
          <w:sz w:val="20"/>
          <w:szCs w:val="20"/>
          <w:lang w:val="en-US"/>
        </w:rPr>
        <w:t xml:space="preserve">000 </w:t>
      </w:r>
      <w:r w:rsidR="00C471ED" w:rsidRPr="00012C3F">
        <w:rPr>
          <w:rFonts w:cs="Tahoma"/>
          <w:sz w:val="20"/>
          <w:szCs w:val="20"/>
          <w:lang w:val="en-US"/>
        </w:rPr>
        <w:t xml:space="preserve">for the two daughters. </w:t>
      </w:r>
      <w:r w:rsidRPr="00012C3F">
        <w:rPr>
          <w:rFonts w:cs="Tahoma"/>
          <w:sz w:val="20"/>
          <w:szCs w:val="20"/>
          <w:lang w:val="en-US"/>
        </w:rPr>
        <w:t>The representative</w:t>
      </w:r>
      <w:r w:rsidR="008D0B77" w:rsidRPr="00012C3F">
        <w:rPr>
          <w:rFonts w:cs="Tahoma"/>
          <w:sz w:val="20"/>
          <w:szCs w:val="20"/>
          <w:lang w:val="en-US"/>
        </w:rPr>
        <w:t xml:space="preserve"> </w:t>
      </w:r>
      <w:r w:rsidR="00C471ED" w:rsidRPr="00012C3F">
        <w:rPr>
          <w:rFonts w:cs="Tahoma"/>
          <w:sz w:val="20"/>
          <w:szCs w:val="20"/>
          <w:lang w:val="en-US"/>
        </w:rPr>
        <w:t xml:space="preserve">indicated that, in addition to the psychological harm that the victim experienced owing to the sterilization and judicial discrimination, she had to support and confront social, psycho-social and family consequences as a result of the facts. Among these, the representative underscored: (i) the disintegration of the relationship with her partner; (ii) the abandonment of the care of her daughters owing to the need to </w:t>
      </w:r>
      <w:r w:rsidR="00B0764D" w:rsidRPr="00012C3F">
        <w:rPr>
          <w:rFonts w:cs="Tahoma"/>
          <w:sz w:val="20"/>
          <w:szCs w:val="20"/>
          <w:lang w:val="en-US"/>
        </w:rPr>
        <w:t>advance</w:t>
      </w:r>
      <w:r w:rsidR="00C471ED" w:rsidRPr="00012C3F">
        <w:rPr>
          <w:rFonts w:cs="Tahoma"/>
          <w:sz w:val="20"/>
          <w:szCs w:val="20"/>
          <w:lang w:val="en-US"/>
        </w:rPr>
        <w:t xml:space="preserve"> the judicial proceedings at the national and international levels; (iii) the alteration of her life project because she had to  devote her time to the judicial proceedings and psychological therapy, which meant that she was unable to obtain stable, reliable and permanent employment; (iv) </w:t>
      </w:r>
      <w:r w:rsidR="00CD0139" w:rsidRPr="00012C3F">
        <w:rPr>
          <w:rFonts w:cs="Tahoma"/>
          <w:sz w:val="20"/>
          <w:szCs w:val="20"/>
          <w:lang w:val="en-US"/>
        </w:rPr>
        <w:t>the fact that she had to cope with the attempted suicide of he</w:t>
      </w:r>
      <w:r w:rsidR="00B0764D" w:rsidRPr="00012C3F">
        <w:rPr>
          <w:rFonts w:cs="Tahoma"/>
          <w:sz w:val="20"/>
          <w:szCs w:val="20"/>
          <w:lang w:val="en-US"/>
        </w:rPr>
        <w:t>r</w:t>
      </w:r>
      <w:r w:rsidR="00CD0139" w:rsidRPr="00012C3F">
        <w:rPr>
          <w:rFonts w:cs="Tahoma"/>
          <w:sz w:val="20"/>
          <w:szCs w:val="20"/>
          <w:lang w:val="en-US"/>
        </w:rPr>
        <w:t xml:space="preserve"> daughter N.V., who was overwhelmed by the circumstances arising from her mother’s situation, and (v) the re-victimization, discrimination and stigmatization over the last 15 years because she </w:t>
      </w:r>
      <w:r w:rsidR="00B0764D" w:rsidRPr="00012C3F">
        <w:rPr>
          <w:rFonts w:cs="Tahoma"/>
          <w:sz w:val="20"/>
          <w:szCs w:val="20"/>
          <w:lang w:val="en-US"/>
        </w:rPr>
        <w:t xml:space="preserve">had </w:t>
      </w:r>
      <w:r w:rsidR="00CD0139" w:rsidRPr="00012C3F">
        <w:rPr>
          <w:rFonts w:cs="Tahoma"/>
          <w:sz w:val="20"/>
          <w:szCs w:val="20"/>
          <w:lang w:val="en-US"/>
        </w:rPr>
        <w:t xml:space="preserve">claimed her rights and would not remain silent and </w:t>
      </w:r>
      <w:r w:rsidR="00B0764D" w:rsidRPr="00012C3F">
        <w:rPr>
          <w:rFonts w:cs="Tahoma"/>
          <w:sz w:val="20"/>
          <w:szCs w:val="20"/>
          <w:lang w:val="en-US"/>
        </w:rPr>
        <w:t>passive</w:t>
      </w:r>
      <w:r w:rsidR="00CD0139" w:rsidRPr="00012C3F">
        <w:rPr>
          <w:rFonts w:cs="Tahoma"/>
          <w:sz w:val="20"/>
          <w:szCs w:val="20"/>
          <w:lang w:val="en-US"/>
        </w:rPr>
        <w:t xml:space="preserve"> regarding </w:t>
      </w:r>
      <w:r w:rsidR="00B0764D" w:rsidRPr="00012C3F">
        <w:rPr>
          <w:rFonts w:cs="Tahoma"/>
          <w:sz w:val="20"/>
          <w:szCs w:val="20"/>
          <w:lang w:val="en-US"/>
        </w:rPr>
        <w:t>all that</w:t>
      </w:r>
      <w:r w:rsidR="00CD0139" w:rsidRPr="00012C3F">
        <w:rPr>
          <w:rFonts w:cs="Tahoma"/>
          <w:sz w:val="20"/>
          <w:szCs w:val="20"/>
          <w:lang w:val="en-US"/>
        </w:rPr>
        <w:t xml:space="preserve"> happened. Also, the representative asked that </w:t>
      </w:r>
      <w:r w:rsidR="00CD0139" w:rsidRPr="00012C3F">
        <w:rPr>
          <w:rFonts w:eastAsia="Calibri"/>
          <w:bCs/>
          <w:sz w:val="20"/>
          <w:szCs w:val="20"/>
          <w:lang w:val="en-US"/>
        </w:rPr>
        <w:t>“[i]f the Inter-American Court did not agree with the calculation of the non-pecuniary damage requested, […] it make a calculation based on the principle of equity, taking into account the amounts mentioned.”</w:t>
      </w:r>
    </w:p>
    <w:p w14:paraId="4451EB9B" w14:textId="77777777" w:rsidR="008D0B77" w:rsidRPr="00012C3F" w:rsidRDefault="008D0B77" w:rsidP="00C471ED">
      <w:pPr>
        <w:pStyle w:val="Prrafodelista2"/>
        <w:tabs>
          <w:tab w:val="left" w:pos="0"/>
          <w:tab w:val="left" w:pos="720"/>
          <w:tab w:val="num" w:pos="12305"/>
        </w:tabs>
        <w:ind w:left="0" w:right="-90"/>
        <w:jc w:val="both"/>
        <w:rPr>
          <w:rFonts w:cs="Tahoma"/>
          <w:lang w:val="en-US"/>
        </w:rPr>
      </w:pPr>
    </w:p>
    <w:p w14:paraId="15C873AD" w14:textId="77777777" w:rsidR="0078278A" w:rsidRPr="00012C3F" w:rsidRDefault="00A84CA0" w:rsidP="00C471ED">
      <w:pPr>
        <w:numPr>
          <w:ilvl w:val="0"/>
          <w:numId w:val="5"/>
        </w:numPr>
        <w:tabs>
          <w:tab w:val="left" w:pos="720"/>
          <w:tab w:val="num" w:pos="12305"/>
        </w:tabs>
        <w:spacing w:line="240" w:lineRule="auto"/>
        <w:ind w:left="0" w:firstLine="0"/>
        <w:rPr>
          <w:rFonts w:eastAsia="Calibri"/>
          <w:bCs/>
          <w:lang w:val="en-US"/>
        </w:rPr>
      </w:pPr>
      <w:r w:rsidRPr="00012C3F">
        <w:rPr>
          <w:rFonts w:eastAsia="Calibri"/>
          <w:bCs/>
          <w:sz w:val="20"/>
          <w:szCs w:val="20"/>
          <w:lang w:val="en-US"/>
        </w:rPr>
        <w:t xml:space="preserve">The </w:t>
      </w:r>
      <w:r w:rsidRPr="00012C3F">
        <w:rPr>
          <w:rFonts w:eastAsia="Calibri"/>
          <w:b/>
          <w:i/>
          <w:iCs/>
          <w:sz w:val="20"/>
          <w:szCs w:val="20"/>
          <w:lang w:val="en-US"/>
        </w:rPr>
        <w:t>State</w:t>
      </w:r>
      <w:r w:rsidR="00356E2C" w:rsidRPr="00012C3F">
        <w:rPr>
          <w:rFonts w:eastAsia="Calibri"/>
          <w:bCs/>
          <w:sz w:val="20"/>
          <w:szCs w:val="20"/>
          <w:lang w:val="en-US"/>
        </w:rPr>
        <w:t xml:space="preserve"> a</w:t>
      </w:r>
      <w:r w:rsidR="0078278A" w:rsidRPr="00012C3F">
        <w:rPr>
          <w:rFonts w:eastAsia="Calibri"/>
          <w:bCs/>
          <w:sz w:val="20"/>
          <w:szCs w:val="20"/>
          <w:lang w:val="en-US"/>
        </w:rPr>
        <w:t>rgued, with regard to the pecuniary damage, that</w:t>
      </w:r>
      <w:r w:rsidR="00401EA7" w:rsidRPr="00012C3F">
        <w:rPr>
          <w:rFonts w:eastAsia="Calibri"/>
          <w:bCs/>
          <w:sz w:val="20"/>
          <w:szCs w:val="20"/>
          <w:lang w:val="en-US"/>
        </w:rPr>
        <w:t xml:space="preserve"> the petition indicates that I.V. decided to stop working to devote herself to her family, so it could not be claimed that the State was responsible for the results of that choice. It also argued that it was not coherent to allege that with two diplomas, one in hotel administration and the other in law, “she could only obtain ‘casual work’</w:t>
      </w:r>
      <w:r w:rsidR="0006512F" w:rsidRPr="00012C3F">
        <w:rPr>
          <w:rFonts w:eastAsia="Calibri"/>
          <w:bCs/>
          <w:sz w:val="20"/>
          <w:szCs w:val="20"/>
          <w:lang w:val="en-US"/>
        </w:rPr>
        <w:t xml:space="preserve"> that ‘did not last long’ owing to her health complications that, as the State has proved, cannot be attributed to facts that took place in Bolivia, or because she had to devote her time to following up on the criminal proceedings, in the understanding that she had a lawyer and, under no circumstances, had to spend all her time on this.” </w:t>
      </w:r>
    </w:p>
    <w:p w14:paraId="460A6992" w14:textId="77777777" w:rsidR="00356E2C" w:rsidRPr="00012C3F" w:rsidRDefault="00356E2C" w:rsidP="008D0B77">
      <w:pPr>
        <w:pStyle w:val="Prrafodelista2"/>
        <w:tabs>
          <w:tab w:val="left" w:pos="0"/>
          <w:tab w:val="num" w:pos="12305"/>
        </w:tabs>
        <w:ind w:left="0" w:right="-90"/>
        <w:jc w:val="both"/>
        <w:rPr>
          <w:rFonts w:cs="Tahoma"/>
          <w:lang w:val="en-US"/>
        </w:rPr>
      </w:pPr>
    </w:p>
    <w:p w14:paraId="1880E8F2" w14:textId="77777777" w:rsidR="0006512F" w:rsidRPr="00012C3F" w:rsidRDefault="00A84CA0" w:rsidP="00CD0139">
      <w:pPr>
        <w:numPr>
          <w:ilvl w:val="0"/>
          <w:numId w:val="5"/>
        </w:numPr>
        <w:tabs>
          <w:tab w:val="left" w:pos="0"/>
          <w:tab w:val="left" w:pos="720"/>
          <w:tab w:val="num" w:pos="12305"/>
        </w:tabs>
        <w:spacing w:line="240" w:lineRule="auto"/>
        <w:ind w:left="0" w:right="-90" w:firstLine="0"/>
        <w:rPr>
          <w:rFonts w:eastAsia="Calibri"/>
          <w:bCs/>
          <w:lang w:val="en-US"/>
        </w:rPr>
      </w:pPr>
      <w:r w:rsidRPr="00012C3F">
        <w:rPr>
          <w:rFonts w:cs="Tahoma"/>
          <w:sz w:val="20"/>
          <w:szCs w:val="20"/>
          <w:lang w:val="en-US"/>
        </w:rPr>
        <w:t>The State</w:t>
      </w:r>
      <w:r w:rsidR="008D0B77" w:rsidRPr="00012C3F">
        <w:rPr>
          <w:rFonts w:cs="Tahoma"/>
          <w:sz w:val="20"/>
          <w:szCs w:val="20"/>
          <w:lang w:val="en-US"/>
        </w:rPr>
        <w:t xml:space="preserve"> argu</w:t>
      </w:r>
      <w:r w:rsidR="0006512F" w:rsidRPr="00012C3F">
        <w:rPr>
          <w:rFonts w:cs="Tahoma"/>
          <w:sz w:val="20"/>
          <w:szCs w:val="20"/>
          <w:lang w:val="en-US"/>
        </w:rPr>
        <w:t xml:space="preserve">ed that “the sum requested by the representative </w:t>
      </w:r>
      <w:r w:rsidR="0006512F" w:rsidRPr="00012C3F">
        <w:rPr>
          <w:sz w:val="20"/>
          <w:szCs w:val="20"/>
          <w:lang w:val="en-US"/>
        </w:rPr>
        <w:t xml:space="preserve">(US$300,000) as reparation for presumed non-pecuniary harm caused to I.V. is inadmissible, because the bilateral tubal ligation procedure was performed with her consent.” The State argued that it was not responsible for repairing the non-pecuniary harm suffered by I.V., because it was not caused either </w:t>
      </w:r>
      <w:r w:rsidR="00B0764D" w:rsidRPr="00012C3F">
        <w:rPr>
          <w:sz w:val="20"/>
          <w:szCs w:val="20"/>
          <w:lang w:val="en-US"/>
        </w:rPr>
        <w:t>by</w:t>
      </w:r>
      <w:r w:rsidR="0006512F" w:rsidRPr="00012C3F">
        <w:rPr>
          <w:sz w:val="20"/>
          <w:szCs w:val="20"/>
          <w:lang w:val="en-US"/>
        </w:rPr>
        <w:t xml:space="preserve"> its officials, or by indirect actions carried out to the detriment of I.V., so that the ailments and supposed aftereffects that she has at present cannot and should not be attributed to the State. In its final written arguments, the State indicated that it was not possible to differentiate between the aftereffects of the facts that occurred in Peru from supposed aftereffects of the medical procedure of tubal ligation. Thus, it argued that the I.V.’s psychological disorders that triggered a sensation of persecution related to various factors prior to the sterilization, so that it was impossible to isolate these from the facts of this case to explain her </w:t>
      </w:r>
      <w:r w:rsidR="00B0764D" w:rsidRPr="00012C3F">
        <w:rPr>
          <w:sz w:val="20"/>
          <w:szCs w:val="20"/>
          <w:lang w:val="en-US"/>
        </w:rPr>
        <w:t>psychological</w:t>
      </w:r>
      <w:r w:rsidR="0006512F" w:rsidRPr="00012C3F">
        <w:rPr>
          <w:sz w:val="20"/>
          <w:szCs w:val="20"/>
          <w:lang w:val="en-US"/>
        </w:rPr>
        <w:t xml:space="preserve"> reactions. The State also argued that </w:t>
      </w:r>
      <w:r w:rsidR="0061673A" w:rsidRPr="00012C3F">
        <w:rPr>
          <w:sz w:val="20"/>
          <w:szCs w:val="20"/>
          <w:lang w:val="en-US"/>
        </w:rPr>
        <w:t>there were factors unrelated to the sterilization that influenced I.V.’s separation and the break-up of her family. Consequently, the State asked the Court to reject the harm alleged by I.V.</w:t>
      </w:r>
    </w:p>
    <w:p w14:paraId="24755CC4" w14:textId="77777777" w:rsidR="008D0B77" w:rsidRPr="00012C3F" w:rsidRDefault="008D0B77" w:rsidP="00E220E0">
      <w:pPr>
        <w:tabs>
          <w:tab w:val="left" w:pos="709"/>
          <w:tab w:val="left" w:pos="1134"/>
        </w:tabs>
        <w:spacing w:line="240" w:lineRule="auto"/>
        <w:rPr>
          <w:sz w:val="20"/>
          <w:szCs w:val="20"/>
          <w:lang w:val="en-US"/>
        </w:rPr>
      </w:pPr>
      <w:bookmarkStart w:id="205" w:name="_Toc423102581"/>
      <w:bookmarkStart w:id="206" w:name="_Toc433387537"/>
    </w:p>
    <w:p w14:paraId="45747E4E" w14:textId="77777777" w:rsidR="00E3447E" w:rsidRPr="00012C3F" w:rsidRDefault="009C4A3C" w:rsidP="00C63938">
      <w:pPr>
        <w:numPr>
          <w:ilvl w:val="0"/>
          <w:numId w:val="5"/>
        </w:numPr>
        <w:tabs>
          <w:tab w:val="left" w:pos="720"/>
          <w:tab w:val="num" w:pos="12305"/>
        </w:tabs>
        <w:spacing w:line="240" w:lineRule="auto"/>
        <w:ind w:left="0" w:firstLine="0"/>
        <w:rPr>
          <w:rFonts w:eastAsia="MS Mincho"/>
          <w:bCs/>
          <w:sz w:val="20"/>
          <w:szCs w:val="20"/>
          <w:lang w:val="en-US" w:eastAsia="en-US" w:bidi="en-US"/>
        </w:rPr>
      </w:pPr>
      <w:r w:rsidRPr="00012C3F">
        <w:rPr>
          <w:rFonts w:eastAsia="MS Mincho"/>
          <w:bCs/>
          <w:sz w:val="20"/>
          <w:szCs w:val="20"/>
          <w:lang w:val="en-US" w:eastAsia="en-US" w:bidi="en-US"/>
        </w:rPr>
        <w:t>In its case law, t</w:t>
      </w:r>
      <w:r w:rsidR="001254DE" w:rsidRPr="00012C3F">
        <w:rPr>
          <w:rFonts w:eastAsia="MS Mincho"/>
          <w:bCs/>
          <w:sz w:val="20"/>
          <w:szCs w:val="20"/>
          <w:lang w:val="en-US" w:eastAsia="en-US" w:bidi="en-US"/>
        </w:rPr>
        <w:t>he Court</w:t>
      </w:r>
      <w:r w:rsidR="00E3447E" w:rsidRPr="00012C3F">
        <w:rPr>
          <w:rFonts w:eastAsia="MS Mincho"/>
          <w:bCs/>
          <w:sz w:val="20"/>
          <w:szCs w:val="20"/>
          <w:lang w:val="en-US" w:eastAsia="en-US" w:bidi="en-US"/>
        </w:rPr>
        <w:t xml:space="preserve"> ha</w:t>
      </w:r>
      <w:r w:rsidR="00C63938" w:rsidRPr="00012C3F">
        <w:rPr>
          <w:rFonts w:eastAsia="MS Mincho"/>
          <w:bCs/>
          <w:sz w:val="20"/>
          <w:szCs w:val="20"/>
          <w:lang w:val="en-US" w:eastAsia="en-US" w:bidi="en-US"/>
        </w:rPr>
        <w:t xml:space="preserve">s developed the concept of pecuniary damage and the circumstances in which it should be compensated. The Court has established that pecuniary damage supposes “the loss of, or detriment to, the victims’ income, the expenses incurred </w:t>
      </w:r>
      <w:r w:rsidR="009D3EE9" w:rsidRPr="00012C3F">
        <w:rPr>
          <w:rFonts w:eastAsia="MS Mincho"/>
          <w:bCs/>
          <w:sz w:val="20"/>
          <w:szCs w:val="20"/>
          <w:lang w:val="en-US" w:eastAsia="en-US" w:bidi="en-US"/>
        </w:rPr>
        <w:t>as</w:t>
      </w:r>
      <w:r w:rsidR="00C63938" w:rsidRPr="00012C3F">
        <w:rPr>
          <w:rFonts w:eastAsia="MS Mincho"/>
          <w:bCs/>
          <w:sz w:val="20"/>
          <w:szCs w:val="20"/>
          <w:lang w:val="en-US" w:eastAsia="en-US" w:bidi="en-US"/>
        </w:rPr>
        <w:t xml:space="preserve"> a result of the facts, and the consequences of a pecuniary nature that have a causal nexus with the </w:t>
      </w:r>
      <w:r w:rsidR="00C63938" w:rsidRPr="00012C3F">
        <w:rPr>
          <w:rFonts w:eastAsia="MS Mincho"/>
          <w:bCs/>
          <w:sz w:val="20"/>
          <w:szCs w:val="20"/>
          <w:lang w:val="en-US" w:eastAsia="en-US" w:bidi="en-US"/>
        </w:rPr>
        <w:lastRenderedPageBreak/>
        <w:t>facts of the case.</w:t>
      </w:r>
      <w:r w:rsidR="00E3447E" w:rsidRPr="00012C3F">
        <w:rPr>
          <w:rFonts w:eastAsia="MS Mincho"/>
          <w:bCs/>
          <w:sz w:val="20"/>
          <w:szCs w:val="20"/>
          <w:lang w:val="en-US" w:eastAsia="en-US" w:bidi="en-US"/>
        </w:rPr>
        <w:t>”</w:t>
      </w:r>
      <w:r w:rsidR="00E3447E" w:rsidRPr="00012C3F">
        <w:rPr>
          <w:rFonts w:eastAsia="MS Mincho"/>
          <w:bCs/>
          <w:sz w:val="20"/>
          <w:szCs w:val="20"/>
          <w:vertAlign w:val="superscript"/>
          <w:lang w:val="en-US" w:eastAsia="en-US" w:bidi="en-US"/>
        </w:rPr>
        <w:footnoteReference w:id="412"/>
      </w:r>
    </w:p>
    <w:p w14:paraId="211E4B88" w14:textId="77777777" w:rsidR="00C63938" w:rsidRPr="00012C3F" w:rsidRDefault="00C63938" w:rsidP="00C63938">
      <w:pPr>
        <w:tabs>
          <w:tab w:val="left" w:pos="720"/>
        </w:tabs>
        <w:spacing w:line="240" w:lineRule="auto"/>
        <w:rPr>
          <w:rFonts w:eastAsia="MS Mincho"/>
          <w:bCs/>
          <w:sz w:val="20"/>
          <w:szCs w:val="20"/>
          <w:lang w:val="en-US" w:eastAsia="en-US" w:bidi="en-US"/>
        </w:rPr>
      </w:pPr>
    </w:p>
    <w:p w14:paraId="2244680A" w14:textId="77777777" w:rsidR="00E3447E" w:rsidRPr="00012C3F" w:rsidRDefault="001254DE" w:rsidP="00C63938">
      <w:pPr>
        <w:numPr>
          <w:ilvl w:val="0"/>
          <w:numId w:val="5"/>
        </w:numPr>
        <w:tabs>
          <w:tab w:val="left" w:pos="720"/>
          <w:tab w:val="num" w:pos="12305"/>
        </w:tabs>
        <w:spacing w:line="240" w:lineRule="auto"/>
        <w:ind w:left="0" w:firstLine="0"/>
        <w:rPr>
          <w:sz w:val="20"/>
          <w:szCs w:val="20"/>
          <w:lang w:val="en-US"/>
        </w:rPr>
      </w:pPr>
      <w:r w:rsidRPr="00012C3F">
        <w:rPr>
          <w:bCs/>
          <w:sz w:val="20"/>
          <w:szCs w:val="20"/>
          <w:lang w:val="en-US"/>
        </w:rPr>
        <w:t>The Court</w:t>
      </w:r>
      <w:r w:rsidR="00E3447E" w:rsidRPr="00012C3F">
        <w:rPr>
          <w:sz w:val="20"/>
          <w:szCs w:val="20"/>
          <w:lang w:val="en-US"/>
        </w:rPr>
        <w:t xml:space="preserve"> </w:t>
      </w:r>
      <w:r w:rsidR="00C63938" w:rsidRPr="00012C3F">
        <w:rPr>
          <w:sz w:val="20"/>
          <w:szCs w:val="20"/>
          <w:lang w:val="en-US"/>
        </w:rPr>
        <w:t>has also developed the concept of non-pecuniary damage in its case law and has established that this “may include both the suffering and anguish caused by the violation, and the impairment of values that have great significance for the individual, and any alteration of a non-pecuniary nature in the living conditions of the victims.</w:t>
      </w:r>
      <w:r w:rsidR="00E3447E" w:rsidRPr="00012C3F">
        <w:rPr>
          <w:sz w:val="20"/>
          <w:szCs w:val="20"/>
          <w:lang w:val="en-US"/>
        </w:rPr>
        <w:t>”</w:t>
      </w:r>
      <w:r w:rsidR="00E3447E" w:rsidRPr="00012C3F">
        <w:rPr>
          <w:sz w:val="20"/>
          <w:szCs w:val="20"/>
          <w:vertAlign w:val="superscript"/>
          <w:lang w:val="en-US"/>
        </w:rPr>
        <w:footnoteReference w:id="413"/>
      </w:r>
      <w:r w:rsidR="00C63938" w:rsidRPr="00012C3F">
        <w:rPr>
          <w:sz w:val="20"/>
          <w:szCs w:val="20"/>
          <w:lang w:val="en-US"/>
        </w:rPr>
        <w:t xml:space="preserve"> Since it is not possible to allocate a precise monetary equivalent to non-pecuniary damage, it can only be compensated, for the purposes of full reparation to the victim, by the payment of a sum of money or the delivery of goods and services with a monetary value, which the Court determines by the reasonable application of sound judicial criteria and based on the equity principle.</w:t>
      </w:r>
      <w:r w:rsidR="00E3447E" w:rsidRPr="00012C3F">
        <w:rPr>
          <w:rStyle w:val="Refdenotaalpie"/>
          <w:rFonts w:eastAsia="MS ????"/>
          <w:sz w:val="20"/>
          <w:szCs w:val="20"/>
          <w:lang w:val="en-US"/>
        </w:rPr>
        <w:footnoteReference w:id="414"/>
      </w:r>
    </w:p>
    <w:p w14:paraId="355813FC" w14:textId="77777777" w:rsidR="00E3447E" w:rsidRPr="00012C3F" w:rsidRDefault="00E3447E" w:rsidP="009C4A3C">
      <w:pPr>
        <w:tabs>
          <w:tab w:val="left" w:pos="720"/>
        </w:tabs>
        <w:spacing w:line="240" w:lineRule="auto"/>
        <w:ind w:right="-174"/>
        <w:rPr>
          <w:sz w:val="20"/>
          <w:szCs w:val="20"/>
          <w:lang w:val="en-US"/>
        </w:rPr>
      </w:pPr>
    </w:p>
    <w:p w14:paraId="0F0387E9" w14:textId="77777777" w:rsidR="00C63938" w:rsidRPr="00012C3F" w:rsidRDefault="00C63938" w:rsidP="009C4A3C">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In</w:t>
      </w:r>
      <w:r w:rsidR="00E3447E" w:rsidRPr="00012C3F">
        <w:rPr>
          <w:sz w:val="20"/>
          <w:szCs w:val="20"/>
          <w:lang w:val="en-US"/>
        </w:rPr>
        <w:t xml:space="preserve"> </w:t>
      </w:r>
      <w:r w:rsidR="00F07712" w:rsidRPr="00012C3F">
        <w:rPr>
          <w:sz w:val="20"/>
          <w:szCs w:val="20"/>
          <w:lang w:val="en-US"/>
        </w:rPr>
        <w:t>Chapter</w:t>
      </w:r>
      <w:r w:rsidR="00E3447E" w:rsidRPr="00012C3F">
        <w:rPr>
          <w:sz w:val="20"/>
          <w:szCs w:val="20"/>
          <w:lang w:val="en-US"/>
        </w:rPr>
        <w:t>s VIII-1, VIII-2</w:t>
      </w:r>
      <w:r w:rsidR="005E5012" w:rsidRPr="00012C3F">
        <w:rPr>
          <w:sz w:val="20"/>
          <w:szCs w:val="20"/>
          <w:lang w:val="en-US"/>
        </w:rPr>
        <w:t xml:space="preserve"> and </w:t>
      </w:r>
      <w:r w:rsidR="00E3447E" w:rsidRPr="00012C3F">
        <w:rPr>
          <w:sz w:val="20"/>
          <w:szCs w:val="20"/>
          <w:lang w:val="en-US"/>
        </w:rPr>
        <w:t xml:space="preserve">VIII-3, </w:t>
      </w:r>
      <w:r w:rsidR="001254DE" w:rsidRPr="00012C3F">
        <w:rPr>
          <w:sz w:val="20"/>
          <w:szCs w:val="20"/>
          <w:lang w:val="en-US"/>
        </w:rPr>
        <w:t>the Court</w:t>
      </w:r>
      <w:r w:rsidR="00E3447E" w:rsidRPr="00012C3F">
        <w:rPr>
          <w:sz w:val="20"/>
          <w:szCs w:val="20"/>
          <w:lang w:val="en-US"/>
        </w:rPr>
        <w:t xml:space="preserve"> </w:t>
      </w:r>
      <w:r w:rsidRPr="00012C3F">
        <w:rPr>
          <w:sz w:val="20"/>
          <w:szCs w:val="20"/>
          <w:lang w:val="en-US"/>
        </w:rPr>
        <w:t xml:space="preserve">has established the international responsibility of the State for the </w:t>
      </w:r>
      <w:r w:rsidR="00271E24" w:rsidRPr="00012C3F">
        <w:rPr>
          <w:sz w:val="20"/>
          <w:szCs w:val="20"/>
          <w:lang w:val="en-US"/>
        </w:rPr>
        <w:t>non-consensual sterilization</w:t>
      </w:r>
      <w:r w:rsidR="00E3447E" w:rsidRPr="00012C3F">
        <w:rPr>
          <w:sz w:val="20"/>
          <w:szCs w:val="20"/>
          <w:lang w:val="en-US"/>
        </w:rPr>
        <w:t xml:space="preserve"> </w:t>
      </w:r>
      <w:r w:rsidRPr="00012C3F">
        <w:rPr>
          <w:sz w:val="20"/>
          <w:szCs w:val="20"/>
          <w:lang w:val="en-US"/>
        </w:rPr>
        <w:t xml:space="preserve">to which I.V. was subjected, which annulled her autonomy and possibility of taking decision </w:t>
      </w:r>
      <w:r w:rsidR="004419A9" w:rsidRPr="00012C3F">
        <w:rPr>
          <w:sz w:val="20"/>
          <w:szCs w:val="20"/>
          <w:lang w:val="en-US"/>
        </w:rPr>
        <w:t>that accorded with her life project, causing her severe physical and psychological suffering. The Court has also determined that the facts constituted a case of denial of justice.</w:t>
      </w:r>
    </w:p>
    <w:p w14:paraId="1581B590" w14:textId="77777777" w:rsidR="00E3447E" w:rsidRPr="00012C3F" w:rsidRDefault="00E3447E" w:rsidP="009C4A3C">
      <w:pPr>
        <w:tabs>
          <w:tab w:val="left" w:pos="720"/>
        </w:tabs>
        <w:spacing w:line="240" w:lineRule="auto"/>
        <w:rPr>
          <w:sz w:val="20"/>
          <w:szCs w:val="20"/>
          <w:lang w:val="en-US"/>
        </w:rPr>
      </w:pPr>
    </w:p>
    <w:p w14:paraId="2C1F0678" w14:textId="77777777" w:rsidR="004419A9" w:rsidRPr="00012C3F" w:rsidRDefault="001254DE" w:rsidP="004419A9">
      <w:pPr>
        <w:numPr>
          <w:ilvl w:val="0"/>
          <w:numId w:val="5"/>
        </w:numPr>
        <w:tabs>
          <w:tab w:val="left" w:pos="720"/>
          <w:tab w:val="num" w:pos="12305"/>
        </w:tabs>
        <w:spacing w:line="240" w:lineRule="auto"/>
        <w:ind w:left="0" w:firstLine="0"/>
        <w:rPr>
          <w:bCs/>
          <w:sz w:val="16"/>
          <w:szCs w:val="16"/>
          <w:lang w:val="en-US"/>
        </w:rPr>
      </w:pPr>
      <w:r w:rsidRPr="00012C3F">
        <w:rPr>
          <w:rFonts w:eastAsia="MS Mincho"/>
          <w:bCs/>
          <w:sz w:val="20"/>
          <w:szCs w:val="20"/>
          <w:lang w:val="en-US" w:eastAsia="en-US" w:bidi="en-US"/>
        </w:rPr>
        <w:t>The Court</w:t>
      </w:r>
      <w:r w:rsidR="00E3447E" w:rsidRPr="00012C3F">
        <w:rPr>
          <w:rFonts w:eastAsia="MS Mincho"/>
          <w:bCs/>
          <w:sz w:val="20"/>
          <w:szCs w:val="20"/>
          <w:lang w:val="en-US" w:eastAsia="en-US" w:bidi="en-US"/>
        </w:rPr>
        <w:t xml:space="preserve"> t</w:t>
      </w:r>
      <w:r w:rsidR="004419A9" w:rsidRPr="00012C3F">
        <w:rPr>
          <w:rFonts w:eastAsia="MS Mincho"/>
          <w:bCs/>
          <w:sz w:val="20"/>
          <w:szCs w:val="20"/>
          <w:lang w:val="en-US" w:eastAsia="en-US" w:bidi="en-US"/>
        </w:rPr>
        <w:t xml:space="preserve">akes note that the specific </w:t>
      </w:r>
      <w:r w:rsidR="00B0764D" w:rsidRPr="00012C3F">
        <w:rPr>
          <w:rFonts w:eastAsia="MS Mincho"/>
          <w:bCs/>
          <w:sz w:val="20"/>
          <w:szCs w:val="20"/>
          <w:lang w:val="en-US" w:eastAsia="en-US" w:bidi="en-US"/>
        </w:rPr>
        <w:t>harm</w:t>
      </w:r>
      <w:r w:rsidR="004419A9" w:rsidRPr="00012C3F">
        <w:rPr>
          <w:rFonts w:eastAsia="MS Mincho"/>
          <w:bCs/>
          <w:sz w:val="20"/>
          <w:szCs w:val="20"/>
          <w:lang w:val="en-US" w:eastAsia="en-US" w:bidi="en-US"/>
        </w:rPr>
        <w:t xml:space="preserve"> indicated by </w:t>
      </w:r>
      <w:r w:rsidR="00972ACF" w:rsidRPr="00012C3F">
        <w:rPr>
          <w:rFonts w:eastAsia="MS Mincho"/>
          <w:bCs/>
          <w:sz w:val="20"/>
          <w:szCs w:val="20"/>
          <w:lang w:val="en-US" w:eastAsia="en-US" w:bidi="en-US"/>
        </w:rPr>
        <w:t>the representative</w:t>
      </w:r>
      <w:r w:rsidR="00E3447E" w:rsidRPr="00012C3F">
        <w:rPr>
          <w:rFonts w:eastAsia="MS Mincho"/>
          <w:bCs/>
          <w:sz w:val="20"/>
          <w:szCs w:val="20"/>
          <w:lang w:val="en-US" w:eastAsia="en-US" w:bidi="en-US"/>
        </w:rPr>
        <w:t xml:space="preserve"> </w:t>
      </w:r>
      <w:r w:rsidR="00B0764D" w:rsidRPr="00012C3F">
        <w:rPr>
          <w:rFonts w:eastAsia="MS Mincho"/>
          <w:bCs/>
          <w:sz w:val="20"/>
          <w:szCs w:val="20"/>
          <w:lang w:val="en-US" w:eastAsia="en-US" w:bidi="en-US"/>
        </w:rPr>
        <w:t>referred to</w:t>
      </w:r>
      <w:r w:rsidR="004419A9" w:rsidRPr="00012C3F">
        <w:rPr>
          <w:rFonts w:eastAsia="MS Mincho"/>
          <w:bCs/>
          <w:sz w:val="20"/>
          <w:szCs w:val="20"/>
          <w:lang w:val="en-US" w:eastAsia="en-US" w:bidi="en-US"/>
        </w:rPr>
        <w:t xml:space="preserve"> the loss of earnings, the expenditure for medical and psychological treatments to date, and the expenses associated with processing the domestic proceedings and </w:t>
      </w:r>
      <w:r w:rsidR="00B0764D" w:rsidRPr="00012C3F">
        <w:rPr>
          <w:rFonts w:eastAsia="MS Mincho"/>
          <w:bCs/>
          <w:sz w:val="20"/>
          <w:szCs w:val="20"/>
          <w:lang w:val="en-US" w:eastAsia="en-US" w:bidi="en-US"/>
        </w:rPr>
        <w:t xml:space="preserve">the procedure </w:t>
      </w:r>
      <w:r w:rsidR="004419A9" w:rsidRPr="00012C3F">
        <w:rPr>
          <w:rFonts w:eastAsia="MS Mincho"/>
          <w:bCs/>
          <w:sz w:val="20"/>
          <w:szCs w:val="20"/>
          <w:lang w:val="en-US" w:eastAsia="en-US" w:bidi="en-US"/>
        </w:rPr>
        <w:t xml:space="preserve">before </w:t>
      </w:r>
      <w:r w:rsidRPr="00012C3F">
        <w:rPr>
          <w:rFonts w:eastAsia="MS Mincho"/>
          <w:bCs/>
          <w:sz w:val="20"/>
          <w:szCs w:val="20"/>
          <w:lang w:val="en-US" w:eastAsia="en-US" w:bidi="en-US"/>
        </w:rPr>
        <w:t xml:space="preserve">the Inter-American </w:t>
      </w:r>
      <w:r w:rsidR="00A84CA0" w:rsidRPr="00012C3F">
        <w:rPr>
          <w:rFonts w:eastAsia="MS Mincho"/>
          <w:bCs/>
          <w:sz w:val="20"/>
          <w:szCs w:val="20"/>
          <w:lang w:val="en-US" w:eastAsia="en-US" w:bidi="en-US"/>
        </w:rPr>
        <w:t>Commission</w:t>
      </w:r>
      <w:r w:rsidR="00E3447E" w:rsidRPr="00012C3F">
        <w:rPr>
          <w:rFonts w:eastAsia="MS Mincho"/>
          <w:bCs/>
          <w:sz w:val="20"/>
          <w:szCs w:val="20"/>
          <w:lang w:val="en-US" w:eastAsia="en-US" w:bidi="en-US"/>
        </w:rPr>
        <w:t xml:space="preserve">. </w:t>
      </w:r>
      <w:r w:rsidRPr="00012C3F">
        <w:rPr>
          <w:bCs/>
          <w:sz w:val="20"/>
          <w:szCs w:val="20"/>
          <w:lang w:val="en-US" w:bidi="en-US"/>
        </w:rPr>
        <w:t>The Court</w:t>
      </w:r>
      <w:r w:rsidR="00E3447E" w:rsidRPr="00012C3F">
        <w:rPr>
          <w:bCs/>
          <w:sz w:val="20"/>
          <w:szCs w:val="20"/>
          <w:lang w:val="en-US" w:bidi="en-US"/>
        </w:rPr>
        <w:t xml:space="preserve"> not</w:t>
      </w:r>
      <w:r w:rsidR="004419A9" w:rsidRPr="00012C3F">
        <w:rPr>
          <w:bCs/>
          <w:sz w:val="20"/>
          <w:szCs w:val="20"/>
          <w:lang w:val="en-US" w:bidi="en-US"/>
        </w:rPr>
        <w:t>es that</w:t>
      </w:r>
      <w:r w:rsidR="00E3447E" w:rsidRPr="00012C3F">
        <w:rPr>
          <w:bCs/>
          <w:sz w:val="20"/>
          <w:szCs w:val="20"/>
          <w:lang w:val="en-US" w:bidi="en-US"/>
        </w:rPr>
        <w:t xml:space="preserve"> </w:t>
      </w:r>
      <w:r w:rsidR="00972ACF" w:rsidRPr="00012C3F">
        <w:rPr>
          <w:bCs/>
          <w:sz w:val="20"/>
          <w:szCs w:val="20"/>
          <w:lang w:val="en-US" w:bidi="en-US"/>
        </w:rPr>
        <w:t>the representative</w:t>
      </w:r>
      <w:r w:rsidR="00E3447E" w:rsidRPr="00012C3F">
        <w:rPr>
          <w:bCs/>
          <w:sz w:val="20"/>
          <w:szCs w:val="20"/>
          <w:lang w:val="en-US" w:bidi="en-US"/>
        </w:rPr>
        <w:t xml:space="preserve"> </w:t>
      </w:r>
      <w:r w:rsidR="004419A9" w:rsidRPr="00012C3F">
        <w:rPr>
          <w:bCs/>
          <w:sz w:val="20"/>
          <w:szCs w:val="20"/>
          <w:lang w:val="en-US" w:bidi="en-US"/>
        </w:rPr>
        <w:t>did not submit any evidence about I.V.’s salary before the surgical procedure or her wages following this event, and did not provide specific information about the time she was unemployed. Regarding the other expenses, it should be noted that the representative advised that the victim destroyed various documents during an emotional crisis.</w:t>
      </w:r>
    </w:p>
    <w:p w14:paraId="3D47E310" w14:textId="77777777" w:rsidR="00E3447E" w:rsidRPr="00012C3F" w:rsidRDefault="00E3447E" w:rsidP="009C4A3C">
      <w:pPr>
        <w:tabs>
          <w:tab w:val="left" w:pos="720"/>
        </w:tabs>
        <w:spacing w:line="240" w:lineRule="auto"/>
        <w:rPr>
          <w:sz w:val="20"/>
          <w:szCs w:val="20"/>
          <w:lang w:val="en-US"/>
        </w:rPr>
      </w:pPr>
    </w:p>
    <w:p w14:paraId="09DEC2DE" w14:textId="77777777" w:rsidR="00E3447E" w:rsidRPr="00012C3F" w:rsidRDefault="001254DE" w:rsidP="004419A9">
      <w:pPr>
        <w:numPr>
          <w:ilvl w:val="0"/>
          <w:numId w:val="5"/>
        </w:numPr>
        <w:tabs>
          <w:tab w:val="num" w:pos="0"/>
          <w:tab w:val="left" w:pos="720"/>
          <w:tab w:val="num" w:pos="12305"/>
        </w:tabs>
        <w:spacing w:line="240" w:lineRule="auto"/>
        <w:ind w:left="0" w:firstLine="0"/>
        <w:rPr>
          <w:rFonts w:cs="Verdana"/>
          <w:sz w:val="20"/>
          <w:szCs w:val="20"/>
          <w:lang w:val="en-US"/>
        </w:rPr>
      </w:pPr>
      <w:bookmarkStart w:id="207" w:name="_Ref375132311"/>
      <w:r w:rsidRPr="00012C3F">
        <w:rPr>
          <w:sz w:val="20"/>
          <w:szCs w:val="20"/>
          <w:lang w:val="en-US"/>
        </w:rPr>
        <w:t>The Court</w:t>
      </w:r>
      <w:r w:rsidR="00E3447E" w:rsidRPr="00012C3F">
        <w:rPr>
          <w:rFonts w:eastAsia="Calibri"/>
          <w:sz w:val="20"/>
          <w:szCs w:val="20"/>
          <w:lang w:val="en-US"/>
        </w:rPr>
        <w:t xml:space="preserve"> </w:t>
      </w:r>
      <w:r w:rsidR="004419A9" w:rsidRPr="00012C3F">
        <w:rPr>
          <w:rFonts w:eastAsia="Calibri"/>
          <w:sz w:val="20"/>
          <w:szCs w:val="20"/>
          <w:lang w:val="en-US"/>
        </w:rPr>
        <w:t xml:space="preserve">does not have sufficient probative elements to determine the precise pecuniary and non-pecuniary damage caused in this case. However, based on the criteria established in </w:t>
      </w:r>
      <w:r w:rsidR="00B0764D" w:rsidRPr="00012C3F">
        <w:rPr>
          <w:rFonts w:eastAsia="Calibri"/>
          <w:sz w:val="20"/>
          <w:szCs w:val="20"/>
          <w:lang w:val="en-US"/>
        </w:rPr>
        <w:t>its</w:t>
      </w:r>
      <w:r w:rsidR="004419A9" w:rsidRPr="00012C3F">
        <w:rPr>
          <w:rFonts w:eastAsia="Calibri"/>
          <w:sz w:val="20"/>
          <w:szCs w:val="20"/>
          <w:lang w:val="en-US"/>
        </w:rPr>
        <w:t xml:space="preserve"> consistent case law, the circumstances of the case, the nature and severity of the violations committed, as well as the suffering caused to the victim’s physical, moral and mental well-being, the Court finds it pertinent to establish, in equity, for pecuniary and non-pecuniary damage the sum of </w:t>
      </w:r>
      <w:r w:rsidR="0073006E" w:rsidRPr="00012C3F">
        <w:rPr>
          <w:rFonts w:eastAsia="Batang" w:cs="Verdana"/>
          <w:sz w:val="20"/>
          <w:szCs w:val="20"/>
          <w:lang w:val="en-US" w:eastAsia="en-US" w:bidi="en-US"/>
        </w:rPr>
        <w:t>US$5</w:t>
      </w:r>
      <w:r w:rsidR="00E3447E" w:rsidRPr="00012C3F">
        <w:rPr>
          <w:rFonts w:eastAsia="Batang" w:cs="Verdana"/>
          <w:sz w:val="20"/>
          <w:szCs w:val="20"/>
          <w:lang w:val="en-US" w:eastAsia="en-US" w:bidi="en-US"/>
        </w:rPr>
        <w:t>0</w:t>
      </w:r>
      <w:r w:rsidR="004419A9" w:rsidRPr="00012C3F">
        <w:rPr>
          <w:rFonts w:eastAsia="Batang" w:cs="Verdana"/>
          <w:sz w:val="20"/>
          <w:szCs w:val="20"/>
          <w:lang w:val="en-US" w:eastAsia="en-US" w:bidi="en-US"/>
        </w:rPr>
        <w:t>,</w:t>
      </w:r>
      <w:r w:rsidR="00E3447E" w:rsidRPr="00012C3F">
        <w:rPr>
          <w:rFonts w:eastAsia="Batang" w:cs="Verdana"/>
          <w:sz w:val="20"/>
          <w:szCs w:val="20"/>
          <w:lang w:val="en-US" w:eastAsia="en-US" w:bidi="en-US"/>
        </w:rPr>
        <w:t>000</w:t>
      </w:r>
      <w:r w:rsidR="004419A9" w:rsidRPr="00012C3F">
        <w:rPr>
          <w:rFonts w:eastAsia="Batang" w:cs="Verdana"/>
          <w:sz w:val="20"/>
          <w:szCs w:val="20"/>
          <w:lang w:val="en-US" w:eastAsia="en-US" w:bidi="en-US"/>
        </w:rPr>
        <w:t>.</w:t>
      </w:r>
      <w:r w:rsidR="00E3447E" w:rsidRPr="00012C3F">
        <w:rPr>
          <w:rFonts w:eastAsia="Batang" w:cs="Verdana"/>
          <w:sz w:val="20"/>
          <w:szCs w:val="20"/>
          <w:lang w:val="en-US" w:eastAsia="en-US" w:bidi="en-US"/>
        </w:rPr>
        <w:t>00 (</w:t>
      </w:r>
      <w:r w:rsidR="004419A9" w:rsidRPr="00012C3F">
        <w:rPr>
          <w:rFonts w:eastAsia="Batang" w:cs="Verdana"/>
          <w:sz w:val="20"/>
          <w:szCs w:val="20"/>
          <w:lang w:val="en-US" w:eastAsia="en-US" w:bidi="en-US"/>
        </w:rPr>
        <w:t>fifty thousand Unit</w:t>
      </w:r>
      <w:r w:rsidR="00270638" w:rsidRPr="00012C3F">
        <w:rPr>
          <w:rFonts w:eastAsia="Batang" w:cs="Verdana"/>
          <w:sz w:val="20"/>
          <w:szCs w:val="20"/>
          <w:lang w:val="en-US" w:eastAsia="en-US" w:bidi="en-US"/>
        </w:rPr>
        <w:t>e</w:t>
      </w:r>
      <w:r w:rsidR="004419A9" w:rsidRPr="00012C3F">
        <w:rPr>
          <w:rFonts w:eastAsia="Batang" w:cs="Verdana"/>
          <w:sz w:val="20"/>
          <w:szCs w:val="20"/>
          <w:lang w:val="en-US" w:eastAsia="en-US" w:bidi="en-US"/>
        </w:rPr>
        <w:t>d States dollars) which must be paid within the time frame established by the Court</w:t>
      </w:r>
      <w:bookmarkEnd w:id="207"/>
      <w:r w:rsidR="004419A9" w:rsidRPr="00012C3F">
        <w:rPr>
          <w:rFonts w:eastAsia="Batang" w:cs="Verdana"/>
          <w:sz w:val="20"/>
          <w:szCs w:val="20"/>
          <w:lang w:val="en-US" w:eastAsia="en-US" w:bidi="en-US"/>
        </w:rPr>
        <w:t>.</w:t>
      </w:r>
    </w:p>
    <w:p w14:paraId="41E68143" w14:textId="77777777" w:rsidR="00E3447E" w:rsidRPr="00012C3F" w:rsidRDefault="00E3447E" w:rsidP="009C4A3C">
      <w:pPr>
        <w:tabs>
          <w:tab w:val="left" w:pos="720"/>
        </w:tabs>
        <w:spacing w:line="240" w:lineRule="auto"/>
        <w:rPr>
          <w:sz w:val="20"/>
          <w:szCs w:val="20"/>
          <w:lang w:val="en-US"/>
        </w:rPr>
      </w:pPr>
    </w:p>
    <w:p w14:paraId="42F9AD2C" w14:textId="77777777" w:rsidR="008D0B77" w:rsidRPr="00012C3F" w:rsidRDefault="009867D6" w:rsidP="009C4A3C">
      <w:pPr>
        <w:keepNext/>
        <w:keepLines/>
        <w:tabs>
          <w:tab w:val="left" w:pos="720"/>
          <w:tab w:val="left" w:pos="1134"/>
        </w:tabs>
        <w:spacing w:line="240" w:lineRule="auto"/>
        <w:ind w:left="567" w:firstLine="1"/>
        <w:outlineLvl w:val="1"/>
        <w:rPr>
          <w:rFonts w:eastAsia="MS Mincho"/>
          <w:b/>
          <w:bCs/>
          <w:i/>
          <w:sz w:val="20"/>
          <w:szCs w:val="20"/>
          <w:lang w:val="en-US"/>
        </w:rPr>
      </w:pPr>
      <w:bookmarkStart w:id="208" w:name="_Toc375517154"/>
      <w:bookmarkStart w:id="209" w:name="_Toc447893043"/>
      <w:bookmarkStart w:id="210" w:name="_Toc449460768"/>
      <w:bookmarkStart w:id="211" w:name="_Toc459158157"/>
      <w:bookmarkStart w:id="212" w:name="_Toc461637452"/>
      <w:bookmarkStart w:id="213" w:name="_Toc462310928"/>
      <w:bookmarkStart w:id="214" w:name="_Toc27486896"/>
      <w:bookmarkEnd w:id="205"/>
      <w:bookmarkEnd w:id="206"/>
      <w:r w:rsidRPr="00012C3F">
        <w:rPr>
          <w:rFonts w:eastAsia="MS Mincho"/>
          <w:b/>
          <w:bCs/>
          <w:i/>
          <w:sz w:val="20"/>
          <w:szCs w:val="20"/>
          <w:lang w:val="en-US"/>
        </w:rPr>
        <w:t>G.</w:t>
      </w:r>
      <w:r w:rsidRPr="00012C3F">
        <w:rPr>
          <w:rFonts w:eastAsia="MS Mincho"/>
          <w:b/>
          <w:bCs/>
          <w:i/>
          <w:sz w:val="20"/>
          <w:szCs w:val="20"/>
          <w:lang w:val="en-US"/>
        </w:rPr>
        <w:tab/>
      </w:r>
      <w:r w:rsidR="00A710F6" w:rsidRPr="00012C3F">
        <w:rPr>
          <w:rFonts w:eastAsia="MS Mincho"/>
          <w:b/>
          <w:bCs/>
          <w:i/>
          <w:sz w:val="20"/>
          <w:szCs w:val="20"/>
          <w:lang w:val="en-US"/>
        </w:rPr>
        <w:t>Costs and expenses</w:t>
      </w:r>
      <w:bookmarkEnd w:id="208"/>
      <w:bookmarkEnd w:id="209"/>
      <w:bookmarkEnd w:id="210"/>
      <w:bookmarkEnd w:id="211"/>
      <w:bookmarkEnd w:id="212"/>
      <w:bookmarkEnd w:id="213"/>
      <w:bookmarkEnd w:id="214"/>
    </w:p>
    <w:p w14:paraId="7F7555E9" w14:textId="77777777" w:rsidR="008D0B77" w:rsidRPr="00012C3F" w:rsidRDefault="008D0B77" w:rsidP="009C4A3C">
      <w:pPr>
        <w:tabs>
          <w:tab w:val="left" w:pos="720"/>
          <w:tab w:val="left" w:pos="1995"/>
        </w:tabs>
        <w:spacing w:line="240" w:lineRule="auto"/>
        <w:ind w:left="142"/>
        <w:rPr>
          <w:sz w:val="20"/>
          <w:szCs w:val="20"/>
          <w:lang w:val="en-US"/>
        </w:rPr>
      </w:pPr>
      <w:r w:rsidRPr="00012C3F">
        <w:rPr>
          <w:sz w:val="20"/>
          <w:szCs w:val="20"/>
          <w:lang w:val="en-US"/>
        </w:rPr>
        <w:tab/>
      </w:r>
    </w:p>
    <w:p w14:paraId="536DBF2F" w14:textId="77777777" w:rsidR="008D0B77" w:rsidRPr="00012C3F" w:rsidRDefault="00972ACF" w:rsidP="00270638">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w:t>
      </w:r>
      <w:r w:rsidRPr="00012C3F">
        <w:rPr>
          <w:b/>
          <w:bCs/>
          <w:i/>
          <w:iCs/>
          <w:sz w:val="20"/>
          <w:szCs w:val="20"/>
          <w:lang w:val="en-US"/>
        </w:rPr>
        <w:t>representative</w:t>
      </w:r>
      <w:r w:rsidR="008D0B77" w:rsidRPr="00012C3F">
        <w:rPr>
          <w:sz w:val="20"/>
          <w:szCs w:val="20"/>
          <w:lang w:val="en-US"/>
        </w:rPr>
        <w:t xml:space="preserve"> </w:t>
      </w:r>
      <w:r w:rsidR="004419A9" w:rsidRPr="00012C3F">
        <w:rPr>
          <w:sz w:val="20"/>
          <w:szCs w:val="20"/>
          <w:lang w:val="en-US"/>
        </w:rPr>
        <w:t>indicated that</w:t>
      </w:r>
      <w:r w:rsidR="007C37B3" w:rsidRPr="00012C3F">
        <w:rPr>
          <w:sz w:val="20"/>
          <w:szCs w:val="20"/>
          <w:lang w:val="en-US"/>
        </w:rPr>
        <w:t>:</w:t>
      </w:r>
      <w:r w:rsidR="008D0B77" w:rsidRPr="00012C3F">
        <w:rPr>
          <w:sz w:val="20"/>
          <w:szCs w:val="20"/>
          <w:lang w:val="en-US"/>
        </w:rPr>
        <w:t xml:space="preserve"> </w:t>
      </w:r>
      <w:r w:rsidR="004419A9" w:rsidRPr="00012C3F">
        <w:rPr>
          <w:sz w:val="20"/>
          <w:szCs w:val="20"/>
          <w:lang w:val="en-US"/>
        </w:rPr>
        <w:t>(</w:t>
      </w:r>
      <w:r w:rsidR="008D0B77" w:rsidRPr="00012C3F">
        <w:rPr>
          <w:sz w:val="20"/>
          <w:szCs w:val="20"/>
          <w:lang w:val="en-US"/>
        </w:rPr>
        <w:t xml:space="preserve">i) </w:t>
      </w:r>
      <w:r w:rsidR="004419A9" w:rsidRPr="00012C3F">
        <w:rPr>
          <w:sz w:val="20"/>
          <w:szCs w:val="20"/>
          <w:lang w:val="en-US"/>
        </w:rPr>
        <w:t>regarding the</w:t>
      </w:r>
      <w:r w:rsidR="008D0B77" w:rsidRPr="00012C3F">
        <w:rPr>
          <w:sz w:val="20"/>
          <w:szCs w:val="20"/>
          <w:lang w:val="en-US"/>
        </w:rPr>
        <w:t xml:space="preserve"> </w:t>
      </w:r>
      <w:r w:rsidR="004419A9" w:rsidRPr="00012C3F">
        <w:rPr>
          <w:sz w:val="20"/>
          <w:szCs w:val="20"/>
          <w:lang w:val="en-US"/>
        </w:rPr>
        <w:t>c</w:t>
      </w:r>
      <w:r w:rsidR="00A710F6" w:rsidRPr="00012C3F">
        <w:rPr>
          <w:sz w:val="20"/>
          <w:szCs w:val="20"/>
          <w:lang w:val="en-US"/>
        </w:rPr>
        <w:t>osts and expenses</w:t>
      </w:r>
      <w:r w:rsidR="008D0B77" w:rsidRPr="00012C3F">
        <w:rPr>
          <w:sz w:val="20"/>
          <w:szCs w:val="20"/>
          <w:lang w:val="en-US"/>
        </w:rPr>
        <w:t xml:space="preserve"> </w:t>
      </w:r>
      <w:r w:rsidR="004419A9" w:rsidRPr="00012C3F">
        <w:rPr>
          <w:sz w:val="20"/>
          <w:szCs w:val="20"/>
          <w:lang w:val="en-US"/>
        </w:rPr>
        <w:t xml:space="preserve">of the domestic criminal case, I.V. </w:t>
      </w:r>
      <w:r w:rsidR="00270638" w:rsidRPr="00012C3F">
        <w:rPr>
          <w:sz w:val="20"/>
          <w:szCs w:val="20"/>
          <w:lang w:val="en-US"/>
        </w:rPr>
        <w:t xml:space="preserve">does not have documentation to support her disbursements. However, she calculated that the global amount </w:t>
      </w:r>
      <w:r w:rsidR="009D3EE9" w:rsidRPr="00012C3F">
        <w:rPr>
          <w:sz w:val="20"/>
          <w:szCs w:val="20"/>
          <w:lang w:val="en-US"/>
        </w:rPr>
        <w:t>disbursed</w:t>
      </w:r>
      <w:r w:rsidR="00270638" w:rsidRPr="00012C3F">
        <w:rPr>
          <w:sz w:val="20"/>
          <w:szCs w:val="20"/>
          <w:lang w:val="en-US"/>
        </w:rPr>
        <w:t xml:space="preserve"> for the criminal case, including the three oral trials and the appeals (in addition to the expenses for transportation, photocopies, </w:t>
      </w:r>
      <w:r w:rsidR="008D0B77" w:rsidRPr="00012C3F">
        <w:rPr>
          <w:sz w:val="20"/>
          <w:szCs w:val="20"/>
          <w:lang w:val="en-US"/>
        </w:rPr>
        <w:t>transcrip</w:t>
      </w:r>
      <w:r w:rsidR="00270638" w:rsidRPr="00012C3F">
        <w:rPr>
          <w:sz w:val="20"/>
          <w:szCs w:val="20"/>
          <w:lang w:val="en-US"/>
        </w:rPr>
        <w:t xml:space="preserve">ts, telephone calls, etc.) amounted to </w:t>
      </w:r>
      <w:r w:rsidR="008D0B77" w:rsidRPr="00012C3F">
        <w:rPr>
          <w:sz w:val="20"/>
          <w:szCs w:val="20"/>
          <w:lang w:val="en-US"/>
        </w:rPr>
        <w:t>US$6</w:t>
      </w:r>
      <w:r w:rsidR="00270638" w:rsidRPr="00012C3F">
        <w:rPr>
          <w:sz w:val="20"/>
          <w:szCs w:val="20"/>
          <w:lang w:val="en-US"/>
        </w:rPr>
        <w:t>,</w:t>
      </w:r>
      <w:r w:rsidR="008D0B77" w:rsidRPr="00012C3F">
        <w:rPr>
          <w:sz w:val="20"/>
          <w:szCs w:val="20"/>
          <w:lang w:val="en-US"/>
        </w:rPr>
        <w:t xml:space="preserve">000 </w:t>
      </w:r>
      <w:r w:rsidR="00270638" w:rsidRPr="00012C3F">
        <w:rPr>
          <w:sz w:val="20"/>
          <w:szCs w:val="20"/>
          <w:lang w:val="en-US"/>
        </w:rPr>
        <w:t xml:space="preserve">over four years. If the Court did not agree with this request, she asked that it make a calculation based on criteria of equity, but taking into account as a “minimum parameter” the tariff of the La Paz Lawyers’ Professional Association, which equaled US$3,922. She asked that this sum be paid to I.V.; (ii) regarding the costs and expenses relating to the disbursements made by I.V. in the international procedure before the Commission, up until March </w:t>
      </w:r>
      <w:r w:rsidR="00270638" w:rsidRPr="00012C3F">
        <w:rPr>
          <w:sz w:val="20"/>
          <w:szCs w:val="20"/>
          <w:lang w:val="en-US"/>
        </w:rPr>
        <w:lastRenderedPageBreak/>
        <w:t xml:space="preserve">6, 2015, she asked for reimbursement of US$862, or that the Court calculate the amount corresponding to this item based on equity, and (iii) regarding the costs and expenses relating to the disbursements in the procedure before the Commission since March 6, 2015, and during the proceedings before the Court, she indicated that the cost for </w:t>
      </w:r>
      <w:r w:rsidR="00270638" w:rsidRPr="00012C3F">
        <w:rPr>
          <w:i/>
          <w:iCs/>
          <w:sz w:val="20"/>
          <w:szCs w:val="20"/>
          <w:lang w:val="en-US"/>
        </w:rPr>
        <w:t>Derechos en Acción</w:t>
      </w:r>
      <w:r w:rsidR="00270638" w:rsidRPr="00012C3F">
        <w:rPr>
          <w:sz w:val="20"/>
          <w:szCs w:val="20"/>
          <w:lang w:val="en-US"/>
        </w:rPr>
        <w:t xml:space="preserve"> of representing I.V. before the inter-American system amounted to </w:t>
      </w:r>
      <w:r w:rsidR="008D0B77" w:rsidRPr="00012C3F">
        <w:rPr>
          <w:sz w:val="20"/>
          <w:szCs w:val="20"/>
          <w:lang w:val="en-US"/>
        </w:rPr>
        <w:t>US$</w:t>
      </w:r>
      <w:r w:rsidR="00270638" w:rsidRPr="00012C3F">
        <w:rPr>
          <w:sz w:val="20"/>
          <w:szCs w:val="20"/>
          <w:lang w:val="en-US"/>
        </w:rPr>
        <w:t>6,</w:t>
      </w:r>
      <w:r w:rsidR="008D0B77" w:rsidRPr="00012C3F">
        <w:rPr>
          <w:sz w:val="20"/>
          <w:szCs w:val="20"/>
          <w:lang w:val="en-US"/>
        </w:rPr>
        <w:t>143</w:t>
      </w:r>
      <w:r w:rsidR="00E1299C" w:rsidRPr="00012C3F">
        <w:rPr>
          <w:sz w:val="20"/>
          <w:szCs w:val="20"/>
          <w:lang w:val="en-US"/>
        </w:rPr>
        <w:t>.</w:t>
      </w:r>
      <w:r w:rsidR="008D0B77" w:rsidRPr="00012C3F">
        <w:rPr>
          <w:sz w:val="20"/>
          <w:szCs w:val="20"/>
          <w:lang w:val="en-US"/>
        </w:rPr>
        <w:t xml:space="preserve"> </w:t>
      </w:r>
    </w:p>
    <w:p w14:paraId="344C4B83" w14:textId="77777777" w:rsidR="008D0B77" w:rsidRPr="00012C3F" w:rsidRDefault="008D0B77" w:rsidP="008D0B77">
      <w:pPr>
        <w:pStyle w:val="Prrafodelista2"/>
        <w:tabs>
          <w:tab w:val="left" w:pos="0"/>
          <w:tab w:val="num" w:pos="12305"/>
        </w:tabs>
        <w:ind w:left="0" w:right="-90"/>
        <w:jc w:val="both"/>
        <w:rPr>
          <w:lang w:val="en-US"/>
        </w:rPr>
      </w:pPr>
    </w:p>
    <w:p w14:paraId="6DF9A778" w14:textId="77777777" w:rsidR="00270638" w:rsidRPr="00012C3F" w:rsidRDefault="00270638" w:rsidP="00270638">
      <w:pPr>
        <w:numPr>
          <w:ilvl w:val="0"/>
          <w:numId w:val="5"/>
        </w:numPr>
        <w:tabs>
          <w:tab w:val="left" w:pos="720"/>
          <w:tab w:val="num" w:pos="12305"/>
        </w:tabs>
        <w:spacing w:line="240" w:lineRule="auto"/>
        <w:ind w:left="0" w:firstLine="0"/>
        <w:rPr>
          <w:b/>
          <w:bCs/>
          <w:i/>
          <w:sz w:val="20"/>
          <w:szCs w:val="20"/>
          <w:lang w:val="en-US"/>
        </w:rPr>
      </w:pPr>
      <w:r w:rsidRPr="00012C3F">
        <w:rPr>
          <w:bCs/>
          <w:sz w:val="20"/>
          <w:szCs w:val="20"/>
          <w:lang w:val="en-US"/>
        </w:rPr>
        <w:t xml:space="preserve">In her final written arguments, </w:t>
      </w:r>
      <w:r w:rsidR="00972ACF" w:rsidRPr="00012C3F">
        <w:rPr>
          <w:bCs/>
          <w:sz w:val="20"/>
          <w:szCs w:val="20"/>
          <w:lang w:val="en-US"/>
        </w:rPr>
        <w:t>the representative</w:t>
      </w:r>
      <w:r w:rsidR="008D0B77" w:rsidRPr="00012C3F">
        <w:rPr>
          <w:bCs/>
          <w:sz w:val="20"/>
          <w:szCs w:val="20"/>
          <w:lang w:val="en-US"/>
        </w:rPr>
        <w:t xml:space="preserve"> present</w:t>
      </w:r>
      <w:r w:rsidRPr="00012C3F">
        <w:rPr>
          <w:bCs/>
          <w:sz w:val="20"/>
          <w:szCs w:val="20"/>
          <w:lang w:val="en-US"/>
        </w:rPr>
        <w:t>ed a table updating the information on “expenses and costs” and established that the final amount for c</w:t>
      </w:r>
      <w:r w:rsidR="00A710F6" w:rsidRPr="00012C3F">
        <w:rPr>
          <w:bCs/>
          <w:sz w:val="20"/>
          <w:szCs w:val="20"/>
          <w:lang w:val="en-US"/>
        </w:rPr>
        <w:t>osts and expenses</w:t>
      </w:r>
      <w:r w:rsidR="008D0B77" w:rsidRPr="00012C3F">
        <w:rPr>
          <w:bCs/>
          <w:sz w:val="20"/>
          <w:szCs w:val="20"/>
          <w:lang w:val="en-US"/>
        </w:rPr>
        <w:t xml:space="preserve"> </w:t>
      </w:r>
      <w:r w:rsidRPr="00012C3F">
        <w:rPr>
          <w:bCs/>
          <w:sz w:val="20"/>
          <w:szCs w:val="20"/>
          <w:lang w:val="en-US"/>
        </w:rPr>
        <w:t>amounted to</w:t>
      </w:r>
      <w:r w:rsidR="008D0B77" w:rsidRPr="00012C3F">
        <w:rPr>
          <w:bCs/>
          <w:sz w:val="20"/>
          <w:szCs w:val="20"/>
          <w:lang w:val="en-US"/>
        </w:rPr>
        <w:t xml:space="preserve"> US$18</w:t>
      </w:r>
      <w:r w:rsidRPr="00012C3F">
        <w:rPr>
          <w:bCs/>
          <w:sz w:val="20"/>
          <w:szCs w:val="20"/>
          <w:lang w:val="en-US"/>
        </w:rPr>
        <w:t>,</w:t>
      </w:r>
      <w:r w:rsidR="008D0B77" w:rsidRPr="00012C3F">
        <w:rPr>
          <w:bCs/>
          <w:sz w:val="20"/>
          <w:szCs w:val="20"/>
          <w:lang w:val="en-US"/>
        </w:rPr>
        <w:t>290 (o</w:t>
      </w:r>
      <w:r w:rsidRPr="00012C3F">
        <w:rPr>
          <w:bCs/>
          <w:sz w:val="20"/>
          <w:szCs w:val="20"/>
          <w:lang w:val="en-US"/>
        </w:rPr>
        <w:t>r</w:t>
      </w:r>
      <w:r w:rsidR="008D0B77" w:rsidRPr="00012C3F">
        <w:rPr>
          <w:bCs/>
          <w:sz w:val="20"/>
          <w:szCs w:val="20"/>
          <w:lang w:val="en-US"/>
        </w:rPr>
        <w:t xml:space="preserve"> Bs. 127</w:t>
      </w:r>
      <w:r w:rsidRPr="00012C3F">
        <w:rPr>
          <w:bCs/>
          <w:sz w:val="20"/>
          <w:szCs w:val="20"/>
          <w:lang w:val="en-US"/>
        </w:rPr>
        <w:t>,</w:t>
      </w:r>
      <w:r w:rsidR="008D0B77" w:rsidRPr="00012C3F">
        <w:rPr>
          <w:bCs/>
          <w:sz w:val="20"/>
          <w:szCs w:val="20"/>
          <w:lang w:val="en-US"/>
        </w:rPr>
        <w:t>298).</w:t>
      </w:r>
      <w:r w:rsidR="00E1299C" w:rsidRPr="00012C3F">
        <w:rPr>
          <w:bCs/>
          <w:sz w:val="20"/>
          <w:szCs w:val="20"/>
          <w:lang w:val="en-US"/>
        </w:rPr>
        <w:t xml:space="preserve"> </w:t>
      </w:r>
      <w:r w:rsidRPr="00012C3F">
        <w:rPr>
          <w:bCs/>
          <w:sz w:val="20"/>
          <w:szCs w:val="20"/>
          <w:lang w:val="en-US"/>
        </w:rPr>
        <w:t xml:space="preserve">Regarding the State’s request that the Court reject the amount of costs and expenses for </w:t>
      </w:r>
      <w:r w:rsidRPr="00012C3F">
        <w:rPr>
          <w:bCs/>
          <w:i/>
          <w:iCs/>
          <w:sz w:val="20"/>
          <w:szCs w:val="20"/>
          <w:lang w:val="en-US"/>
        </w:rPr>
        <w:t>Derechos en Acción</w:t>
      </w:r>
      <w:r w:rsidRPr="00012C3F">
        <w:rPr>
          <w:bCs/>
          <w:sz w:val="20"/>
          <w:szCs w:val="20"/>
          <w:lang w:val="en-US"/>
        </w:rPr>
        <w:t xml:space="preserve"> as it was a non-profit organization, the representative indicated that “non-profit” did not mean that this association </w:t>
      </w:r>
      <w:r w:rsidR="0011398E" w:rsidRPr="00012C3F">
        <w:rPr>
          <w:bCs/>
          <w:sz w:val="20"/>
          <w:szCs w:val="20"/>
          <w:lang w:val="en-US"/>
        </w:rPr>
        <w:t xml:space="preserve">did not require financial recognition of its specialized work in the area of international legal matters and the reimbursement of duly authenticated disbursements, so that this </w:t>
      </w:r>
      <w:r w:rsidR="00B0764D" w:rsidRPr="00012C3F">
        <w:rPr>
          <w:bCs/>
          <w:sz w:val="20"/>
          <w:szCs w:val="20"/>
          <w:lang w:val="en-US"/>
        </w:rPr>
        <w:t>argument</w:t>
      </w:r>
      <w:r w:rsidR="0011398E" w:rsidRPr="00012C3F">
        <w:rPr>
          <w:bCs/>
          <w:sz w:val="20"/>
          <w:szCs w:val="20"/>
          <w:lang w:val="en-US"/>
        </w:rPr>
        <w:t xml:space="preserve"> should be rejected. She also asked that the payment in favor of </w:t>
      </w:r>
      <w:r w:rsidR="0011398E" w:rsidRPr="00012C3F">
        <w:rPr>
          <w:bCs/>
          <w:i/>
          <w:iCs/>
          <w:sz w:val="20"/>
          <w:szCs w:val="20"/>
          <w:lang w:val="en-US"/>
        </w:rPr>
        <w:t>Derechos en Acción</w:t>
      </w:r>
      <w:r w:rsidR="0011398E" w:rsidRPr="00012C3F">
        <w:rPr>
          <w:bCs/>
          <w:sz w:val="20"/>
          <w:szCs w:val="20"/>
          <w:lang w:val="en-US"/>
        </w:rPr>
        <w:t xml:space="preserve"> be made directly to this association.</w:t>
      </w:r>
    </w:p>
    <w:p w14:paraId="1D9AA05B" w14:textId="77777777" w:rsidR="008D0B77" w:rsidRPr="00012C3F" w:rsidRDefault="008D0B77" w:rsidP="00270638">
      <w:pPr>
        <w:pStyle w:val="Prrafodelista2"/>
        <w:tabs>
          <w:tab w:val="left" w:pos="0"/>
          <w:tab w:val="left" w:pos="720"/>
          <w:tab w:val="num" w:pos="11028"/>
        </w:tabs>
        <w:ind w:left="0" w:right="-90"/>
        <w:jc w:val="both"/>
        <w:rPr>
          <w:b/>
          <w:bCs/>
          <w:i/>
          <w:lang w:val="en-US"/>
        </w:rPr>
      </w:pPr>
    </w:p>
    <w:p w14:paraId="50067CFA" w14:textId="77777777" w:rsidR="008603DF" w:rsidRPr="00012C3F" w:rsidRDefault="00A84CA0" w:rsidP="00270638">
      <w:pPr>
        <w:numPr>
          <w:ilvl w:val="0"/>
          <w:numId w:val="5"/>
        </w:numPr>
        <w:tabs>
          <w:tab w:val="left" w:pos="720"/>
          <w:tab w:val="num" w:pos="12305"/>
        </w:tabs>
        <w:spacing w:line="240" w:lineRule="auto"/>
        <w:ind w:left="0" w:firstLine="0"/>
        <w:rPr>
          <w:lang w:val="en-US"/>
        </w:rPr>
      </w:pPr>
      <w:r w:rsidRPr="00012C3F">
        <w:rPr>
          <w:sz w:val="20"/>
          <w:szCs w:val="20"/>
          <w:lang w:val="en-US"/>
        </w:rPr>
        <w:t xml:space="preserve">The </w:t>
      </w:r>
      <w:r w:rsidRPr="00012C3F">
        <w:rPr>
          <w:b/>
          <w:bCs/>
          <w:i/>
          <w:iCs/>
          <w:sz w:val="20"/>
          <w:szCs w:val="20"/>
          <w:lang w:val="en-US"/>
        </w:rPr>
        <w:t>State</w:t>
      </w:r>
      <w:r w:rsidR="008D0B77" w:rsidRPr="00012C3F">
        <w:rPr>
          <w:b/>
          <w:sz w:val="20"/>
          <w:szCs w:val="20"/>
          <w:lang w:val="en-US"/>
        </w:rPr>
        <w:t xml:space="preserve"> </w:t>
      </w:r>
      <w:r w:rsidR="008D0B77" w:rsidRPr="00012C3F">
        <w:rPr>
          <w:sz w:val="20"/>
          <w:szCs w:val="20"/>
          <w:lang w:val="en-US"/>
        </w:rPr>
        <w:t>consider</w:t>
      </w:r>
      <w:r w:rsidR="008603DF" w:rsidRPr="00012C3F">
        <w:rPr>
          <w:sz w:val="20"/>
          <w:szCs w:val="20"/>
          <w:lang w:val="en-US"/>
        </w:rPr>
        <w:t xml:space="preserve">ed that “[b]ased on the information on the domestic proceedings submitted to the Court and the evident negligence of I.V. by failing to file the corresponding appeals against the ruling that decided the extinction of the criminal action, it was not </w:t>
      </w:r>
      <w:r w:rsidR="0016566A" w:rsidRPr="00012C3F">
        <w:rPr>
          <w:sz w:val="20"/>
          <w:szCs w:val="20"/>
          <w:lang w:val="en-US"/>
        </w:rPr>
        <w:t>appropriate for</w:t>
      </w:r>
      <w:r w:rsidR="008603DF" w:rsidRPr="00012C3F">
        <w:rPr>
          <w:sz w:val="20"/>
          <w:szCs w:val="20"/>
          <w:lang w:val="en-US"/>
        </w:rPr>
        <w:t xml:space="preserve"> the Court to determine costs and expenses for an extinct criminal case.” Regarding the representation expenses of </w:t>
      </w:r>
      <w:r w:rsidR="008603DF" w:rsidRPr="00012C3F">
        <w:rPr>
          <w:i/>
          <w:iCs/>
          <w:sz w:val="20"/>
          <w:szCs w:val="20"/>
          <w:lang w:val="en-US"/>
        </w:rPr>
        <w:t>Derechos en Acción,</w:t>
      </w:r>
      <w:r w:rsidR="008603DF" w:rsidRPr="00012C3F">
        <w:rPr>
          <w:sz w:val="20"/>
          <w:szCs w:val="20"/>
          <w:lang w:val="en-US"/>
        </w:rPr>
        <w:t xml:space="preserve"> the State argued that “[a]ccording to the power of attorney attached to the [motions and pleadings brief], </w:t>
      </w:r>
      <w:r w:rsidR="008603DF" w:rsidRPr="00012C3F">
        <w:rPr>
          <w:i/>
          <w:iCs/>
          <w:sz w:val="20"/>
          <w:szCs w:val="20"/>
          <w:lang w:val="en-US"/>
        </w:rPr>
        <w:t>Derechos en Acción</w:t>
      </w:r>
      <w:r w:rsidR="008603DF" w:rsidRPr="00012C3F">
        <w:rPr>
          <w:sz w:val="20"/>
          <w:szCs w:val="20"/>
          <w:lang w:val="en-US"/>
        </w:rPr>
        <w:t xml:space="preserve"> is a non-profit organization; thus, the request for US$6,143 is totally contrary to the nature of this organization</w:t>
      </w:r>
      <w:r w:rsidR="0016566A" w:rsidRPr="00012C3F">
        <w:rPr>
          <w:sz w:val="20"/>
          <w:szCs w:val="20"/>
          <w:lang w:val="en-US"/>
        </w:rPr>
        <w:t>.</w:t>
      </w:r>
      <w:r w:rsidR="008603DF" w:rsidRPr="00012C3F">
        <w:rPr>
          <w:sz w:val="20"/>
          <w:szCs w:val="20"/>
          <w:lang w:val="en-US"/>
        </w:rPr>
        <w:t xml:space="preserve">” </w:t>
      </w:r>
      <w:r w:rsidR="0016566A" w:rsidRPr="00012C3F">
        <w:rPr>
          <w:sz w:val="20"/>
          <w:szCs w:val="20"/>
          <w:lang w:val="en-US"/>
        </w:rPr>
        <w:t>C</w:t>
      </w:r>
      <w:r w:rsidR="008603DF" w:rsidRPr="00012C3F">
        <w:rPr>
          <w:sz w:val="20"/>
          <w:szCs w:val="20"/>
          <w:lang w:val="en-US"/>
        </w:rPr>
        <w:t>onsequently, it asked the Court to reject all aspects of the financial claim made by the representative.</w:t>
      </w:r>
    </w:p>
    <w:p w14:paraId="23F56C52" w14:textId="77777777" w:rsidR="008D0B77" w:rsidRPr="00012C3F" w:rsidRDefault="008D0B77" w:rsidP="008D0B77">
      <w:pPr>
        <w:tabs>
          <w:tab w:val="left" w:pos="709"/>
          <w:tab w:val="left" w:pos="1134"/>
        </w:tabs>
        <w:spacing w:line="240" w:lineRule="auto"/>
        <w:rPr>
          <w:sz w:val="20"/>
          <w:szCs w:val="20"/>
          <w:lang w:val="en-US"/>
        </w:rPr>
      </w:pPr>
    </w:p>
    <w:p w14:paraId="1949560A" w14:textId="77777777" w:rsidR="008D0B77" w:rsidRPr="00012C3F" w:rsidRDefault="001254DE" w:rsidP="008603DF">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Court</w:t>
      </w:r>
      <w:r w:rsidR="008D0B77" w:rsidRPr="00012C3F">
        <w:rPr>
          <w:sz w:val="20"/>
          <w:szCs w:val="20"/>
          <w:lang w:val="en-US"/>
        </w:rPr>
        <w:t xml:space="preserve"> reitera</w:t>
      </w:r>
      <w:r w:rsidR="008603DF" w:rsidRPr="00012C3F">
        <w:rPr>
          <w:sz w:val="20"/>
          <w:szCs w:val="20"/>
          <w:lang w:val="en-US"/>
        </w:rPr>
        <w:t xml:space="preserve">tes that, pursuant to its case law, costs and expenses form part of the concept of reparation, because the actions taken by the victims in order to obtain justice, at both the national and the international level, involve disbursements that should be compensated when the international responsibility of the State has been declared in a judgment convicting it. Regarding the reimbursement of expenses, it is for the Court to assess their scope prudently, and this includes those arising before the authorities of the domestic jurisdiction and also those generated during the proceedings before the inter-American system, taking into account the circumstances of the specific case and the nature of the international jurisdiction for the protection of human rights. This assessment may be made based on the principle of equity and taking into account the expenses indicated by the parties, provided that their </w:t>
      </w:r>
      <w:r w:rsidR="008603DF" w:rsidRPr="00012C3F">
        <w:rPr>
          <w:i/>
          <w:sz w:val="20"/>
          <w:szCs w:val="20"/>
          <w:lang w:val="en-US"/>
        </w:rPr>
        <w:t>quantum</w:t>
      </w:r>
      <w:r w:rsidR="008603DF" w:rsidRPr="00012C3F">
        <w:rPr>
          <w:sz w:val="20"/>
          <w:szCs w:val="20"/>
          <w:lang w:val="en-US"/>
        </w:rPr>
        <w:t xml:space="preserve"> is reasonable.</w:t>
      </w:r>
      <w:r w:rsidR="008603DF" w:rsidRPr="00012C3F">
        <w:rPr>
          <w:sz w:val="20"/>
          <w:szCs w:val="20"/>
          <w:vertAlign w:val="superscript"/>
          <w:lang w:val="en-US"/>
        </w:rPr>
        <w:footnoteReference w:id="415"/>
      </w:r>
      <w:r w:rsidR="008603DF" w:rsidRPr="00012C3F">
        <w:rPr>
          <w:sz w:val="20"/>
          <w:szCs w:val="20"/>
          <w:lang w:val="en-US"/>
        </w:rPr>
        <w:t xml:space="preserve"> As it has indicated on other occasions, the Court recalls that it is not sufficient merely to forward probative documents; rather the parties are required to include arguments that relate the evidence to the fact that it is considered to represent and, </w:t>
      </w:r>
      <w:r w:rsidR="00907D51" w:rsidRPr="00012C3F">
        <w:rPr>
          <w:sz w:val="20"/>
          <w:szCs w:val="20"/>
          <w:lang w:val="en-US"/>
        </w:rPr>
        <w:t>in the case of alleged financial disbursement,</w:t>
      </w:r>
      <w:r w:rsidR="0016566A" w:rsidRPr="00012C3F">
        <w:rPr>
          <w:sz w:val="20"/>
          <w:szCs w:val="20"/>
          <w:lang w:val="en-US"/>
        </w:rPr>
        <w:t xml:space="preserve"> </w:t>
      </w:r>
      <w:r w:rsidR="00907D51" w:rsidRPr="00012C3F">
        <w:rPr>
          <w:sz w:val="20"/>
          <w:szCs w:val="20"/>
          <w:lang w:val="en-US"/>
        </w:rPr>
        <w:t xml:space="preserve">the items and their justification </w:t>
      </w:r>
      <w:r w:rsidR="0016566A" w:rsidRPr="00012C3F">
        <w:rPr>
          <w:sz w:val="20"/>
          <w:szCs w:val="20"/>
          <w:lang w:val="en-US"/>
        </w:rPr>
        <w:t>must be</w:t>
      </w:r>
      <w:r w:rsidR="00907D51" w:rsidRPr="00012C3F">
        <w:rPr>
          <w:sz w:val="20"/>
          <w:szCs w:val="20"/>
          <w:lang w:val="en-US"/>
        </w:rPr>
        <w:t xml:space="preserve"> clearly established.</w:t>
      </w:r>
      <w:r w:rsidR="008D0B77" w:rsidRPr="00012C3F">
        <w:rPr>
          <w:sz w:val="20"/>
          <w:szCs w:val="20"/>
          <w:vertAlign w:val="superscript"/>
          <w:lang w:val="en-US"/>
        </w:rPr>
        <w:footnoteReference w:id="416"/>
      </w:r>
    </w:p>
    <w:p w14:paraId="2D7685B7" w14:textId="77777777" w:rsidR="008D0B77" w:rsidRPr="00012C3F" w:rsidRDefault="008D0B77" w:rsidP="008D0B77">
      <w:pPr>
        <w:spacing w:line="240" w:lineRule="auto"/>
        <w:ind w:right="-174"/>
        <w:rPr>
          <w:b/>
          <w:sz w:val="20"/>
          <w:szCs w:val="20"/>
          <w:lang w:val="en-US"/>
        </w:rPr>
      </w:pPr>
    </w:p>
    <w:p w14:paraId="36F48D48" w14:textId="77777777" w:rsidR="008D0B77" w:rsidRPr="00012C3F" w:rsidRDefault="006C705C" w:rsidP="00907D51">
      <w:pPr>
        <w:numPr>
          <w:ilvl w:val="0"/>
          <w:numId w:val="5"/>
        </w:numPr>
        <w:tabs>
          <w:tab w:val="left" w:pos="720"/>
          <w:tab w:val="num" w:pos="12305"/>
        </w:tabs>
        <w:spacing w:line="240" w:lineRule="auto"/>
        <w:ind w:left="0" w:firstLine="0"/>
        <w:rPr>
          <w:rFonts w:cs="Verdana"/>
          <w:snapToGrid w:val="0"/>
          <w:sz w:val="20"/>
          <w:szCs w:val="20"/>
          <w:lang w:val="en-US" w:eastAsia="es-ES"/>
        </w:rPr>
      </w:pPr>
      <w:r w:rsidRPr="00012C3F">
        <w:rPr>
          <w:rFonts w:cs="Verdana"/>
          <w:snapToGrid w:val="0"/>
          <w:sz w:val="20"/>
          <w:szCs w:val="20"/>
          <w:lang w:val="en-US" w:eastAsia="es-ES"/>
        </w:rPr>
        <w:t>In this case</w:t>
      </w:r>
      <w:r w:rsidR="006E34A3" w:rsidRPr="00012C3F">
        <w:rPr>
          <w:rFonts w:cs="Verdana"/>
          <w:snapToGrid w:val="0"/>
          <w:sz w:val="20"/>
          <w:szCs w:val="20"/>
          <w:lang w:val="en-US" w:eastAsia="es-ES"/>
        </w:rPr>
        <w:t xml:space="preserve">, </w:t>
      </w:r>
      <w:r w:rsidR="00907D51" w:rsidRPr="00012C3F">
        <w:rPr>
          <w:rFonts w:cs="Verdana"/>
          <w:snapToGrid w:val="0"/>
          <w:sz w:val="20"/>
          <w:szCs w:val="20"/>
          <w:lang w:val="en-US" w:eastAsia="es-ES"/>
        </w:rPr>
        <w:t>the expenses incurred by I.V. were taken into account to determine the compensation for pecuniary damage</w:t>
      </w:r>
      <w:r w:rsidR="006E34A3" w:rsidRPr="00012C3F">
        <w:rPr>
          <w:rFonts w:cs="Verdana"/>
          <w:snapToGrid w:val="0"/>
          <w:sz w:val="20"/>
          <w:szCs w:val="20"/>
          <w:lang w:val="en-US" w:eastAsia="es-ES"/>
        </w:rPr>
        <w:t xml:space="preserve">. </w:t>
      </w:r>
      <w:r w:rsidR="00907D51" w:rsidRPr="00012C3F">
        <w:rPr>
          <w:rFonts w:cs="Verdana"/>
          <w:snapToGrid w:val="0"/>
          <w:sz w:val="20"/>
          <w:szCs w:val="20"/>
          <w:lang w:val="en-US" w:eastAsia="es-ES"/>
        </w:rPr>
        <w:t>However</w:t>
      </w:r>
      <w:r w:rsidR="008D0B77" w:rsidRPr="00012C3F">
        <w:rPr>
          <w:rFonts w:cs="Verdana"/>
          <w:snapToGrid w:val="0"/>
          <w:sz w:val="20"/>
          <w:szCs w:val="20"/>
          <w:lang w:val="en-US" w:eastAsia="es-ES"/>
        </w:rPr>
        <w:t xml:space="preserve">, </w:t>
      </w:r>
      <w:r w:rsidR="00972ACF" w:rsidRPr="00012C3F">
        <w:rPr>
          <w:rFonts w:cs="Verdana"/>
          <w:snapToGrid w:val="0"/>
          <w:sz w:val="20"/>
          <w:szCs w:val="20"/>
          <w:lang w:val="en-US" w:eastAsia="es-ES"/>
        </w:rPr>
        <w:t>the representative</w:t>
      </w:r>
      <w:r w:rsidR="008D0B77" w:rsidRPr="00012C3F">
        <w:rPr>
          <w:rFonts w:cs="Verdana"/>
          <w:snapToGrid w:val="0"/>
          <w:sz w:val="20"/>
          <w:szCs w:val="20"/>
          <w:lang w:val="en-US" w:eastAsia="es-ES"/>
        </w:rPr>
        <w:t xml:space="preserve"> </w:t>
      </w:r>
      <w:r w:rsidR="00907D51" w:rsidRPr="00012C3F">
        <w:rPr>
          <w:rFonts w:cs="Verdana"/>
          <w:snapToGrid w:val="0"/>
          <w:sz w:val="20"/>
          <w:szCs w:val="20"/>
          <w:lang w:val="en-US" w:eastAsia="es-ES"/>
        </w:rPr>
        <w:t xml:space="preserve">provided evidence to authenticate the expenditure incurred by </w:t>
      </w:r>
      <w:r w:rsidR="003F760A" w:rsidRPr="00012C3F">
        <w:rPr>
          <w:rFonts w:cs="Verdana"/>
          <w:i/>
          <w:iCs/>
          <w:snapToGrid w:val="0"/>
          <w:sz w:val="20"/>
          <w:szCs w:val="20"/>
          <w:lang w:val="en-US" w:eastAsia="es-ES"/>
        </w:rPr>
        <w:t>Derechos en Acción</w:t>
      </w:r>
      <w:r w:rsidR="003F760A" w:rsidRPr="00012C3F">
        <w:rPr>
          <w:rFonts w:cs="Verdana"/>
          <w:snapToGrid w:val="0"/>
          <w:sz w:val="20"/>
          <w:szCs w:val="20"/>
          <w:lang w:val="en-US" w:eastAsia="es-ES"/>
        </w:rPr>
        <w:t>.</w:t>
      </w:r>
      <w:r w:rsidR="008D0B77" w:rsidRPr="00012C3F">
        <w:rPr>
          <w:rFonts w:cs="Verdana"/>
          <w:snapToGrid w:val="0"/>
          <w:sz w:val="20"/>
          <w:szCs w:val="20"/>
          <w:lang w:val="en-US" w:eastAsia="es-ES"/>
        </w:rPr>
        <w:t xml:space="preserve"> </w:t>
      </w:r>
      <w:r w:rsidR="00907D51" w:rsidRPr="00012C3F">
        <w:rPr>
          <w:rFonts w:cs="Verdana"/>
          <w:snapToGrid w:val="0"/>
          <w:sz w:val="20"/>
          <w:szCs w:val="20"/>
          <w:lang w:val="en-US" w:eastAsia="es-ES"/>
        </w:rPr>
        <w:t xml:space="preserve">The table of expenditure presented included: (i) cost of legal representation; (ii) cost of time spent on legal work specific to this case by the staff of </w:t>
      </w:r>
      <w:r w:rsidR="00907D51" w:rsidRPr="00012C3F">
        <w:rPr>
          <w:rFonts w:cs="Verdana"/>
          <w:i/>
          <w:iCs/>
          <w:snapToGrid w:val="0"/>
          <w:sz w:val="20"/>
          <w:szCs w:val="20"/>
          <w:lang w:val="en-US" w:eastAsia="es-ES"/>
        </w:rPr>
        <w:t>Derechos en Acción</w:t>
      </w:r>
      <w:r w:rsidR="00907D51" w:rsidRPr="00012C3F">
        <w:rPr>
          <w:rFonts w:cs="Verdana"/>
          <w:snapToGrid w:val="0"/>
          <w:sz w:val="20"/>
          <w:szCs w:val="20"/>
          <w:lang w:val="en-US" w:eastAsia="es-ES"/>
        </w:rPr>
        <w:t xml:space="preserve">; (iii) miscellaneous administrative expenses; (iv) external legal advice, and (v) travel to the public hearing in San José by </w:t>
      </w:r>
      <w:r w:rsidR="002A5605" w:rsidRPr="00012C3F">
        <w:rPr>
          <w:rFonts w:cs="Verdana"/>
          <w:snapToGrid w:val="0"/>
          <w:sz w:val="20"/>
          <w:szCs w:val="20"/>
          <w:lang w:val="en-US" w:eastAsia="es-ES"/>
        </w:rPr>
        <w:t xml:space="preserve">the </w:t>
      </w:r>
      <w:r w:rsidR="004C6FCC" w:rsidRPr="00012C3F">
        <w:rPr>
          <w:rFonts w:cs="Verdana"/>
          <w:snapToGrid w:val="0"/>
          <w:sz w:val="20"/>
          <w:szCs w:val="20"/>
          <w:lang w:val="en-US" w:eastAsia="es-ES"/>
        </w:rPr>
        <w:t>representatives</w:t>
      </w:r>
      <w:r w:rsidR="00474932" w:rsidRPr="00012C3F">
        <w:rPr>
          <w:rFonts w:cs="Verdana"/>
          <w:snapToGrid w:val="0"/>
          <w:sz w:val="20"/>
          <w:szCs w:val="20"/>
          <w:lang w:val="en-US" w:eastAsia="es-ES"/>
        </w:rPr>
        <w:t xml:space="preserve"> </w:t>
      </w:r>
      <w:r w:rsidR="008D0B77" w:rsidRPr="00012C3F">
        <w:rPr>
          <w:rFonts w:cs="Verdana"/>
          <w:snapToGrid w:val="0"/>
          <w:sz w:val="20"/>
          <w:szCs w:val="20"/>
          <w:lang w:val="en-US" w:eastAsia="es-ES"/>
        </w:rPr>
        <w:t>(Rielma Mencias, Fernando Zambrana</w:t>
      </w:r>
      <w:r w:rsidR="005E5012" w:rsidRPr="00012C3F">
        <w:rPr>
          <w:rFonts w:cs="Verdana"/>
          <w:snapToGrid w:val="0"/>
          <w:sz w:val="20"/>
          <w:szCs w:val="20"/>
          <w:lang w:val="en-US" w:eastAsia="es-ES"/>
        </w:rPr>
        <w:t xml:space="preserve"> and </w:t>
      </w:r>
      <w:r w:rsidR="008D0B77" w:rsidRPr="00012C3F">
        <w:rPr>
          <w:rFonts w:cs="Verdana"/>
          <w:snapToGrid w:val="0"/>
          <w:sz w:val="20"/>
          <w:szCs w:val="20"/>
          <w:lang w:val="en-US" w:eastAsia="es-ES"/>
        </w:rPr>
        <w:t xml:space="preserve">Marcelo Claros). </w:t>
      </w:r>
      <w:r w:rsidR="00907D51" w:rsidRPr="00012C3F">
        <w:rPr>
          <w:rFonts w:cs="Verdana"/>
          <w:snapToGrid w:val="0"/>
          <w:sz w:val="20"/>
          <w:szCs w:val="20"/>
          <w:lang w:val="en-US" w:eastAsia="es-ES"/>
        </w:rPr>
        <w:t xml:space="preserve">Based on the authenticated expenses related to the case, </w:t>
      </w:r>
      <w:r w:rsidR="00907D51" w:rsidRPr="00012C3F">
        <w:rPr>
          <w:rFonts w:cs="Verdana"/>
          <w:snapToGrid w:val="0"/>
          <w:sz w:val="20"/>
          <w:szCs w:val="20"/>
          <w:lang w:val="en-US" w:eastAsia="es-ES"/>
        </w:rPr>
        <w:lastRenderedPageBreak/>
        <w:t xml:space="preserve">the Court determines that the State should deliver the sum of </w:t>
      </w:r>
      <w:r w:rsidR="008D0B77" w:rsidRPr="00012C3F">
        <w:rPr>
          <w:rFonts w:cs="Verdana"/>
          <w:snapToGrid w:val="0"/>
          <w:sz w:val="20"/>
          <w:szCs w:val="20"/>
          <w:lang w:val="en-US" w:eastAsia="es-ES"/>
        </w:rPr>
        <w:t>US$</w:t>
      </w:r>
      <w:r w:rsidR="00807D42" w:rsidRPr="00012C3F">
        <w:rPr>
          <w:rFonts w:cs="Verdana"/>
          <w:snapToGrid w:val="0"/>
          <w:sz w:val="20"/>
          <w:szCs w:val="20"/>
          <w:lang w:val="en-US" w:eastAsia="es-ES"/>
        </w:rPr>
        <w:t>18</w:t>
      </w:r>
      <w:r w:rsidR="00907D51" w:rsidRPr="00012C3F">
        <w:rPr>
          <w:rFonts w:cs="Verdana"/>
          <w:snapToGrid w:val="0"/>
          <w:sz w:val="20"/>
          <w:szCs w:val="20"/>
          <w:lang w:val="en-US" w:eastAsia="es-ES"/>
        </w:rPr>
        <w:t>,</w:t>
      </w:r>
      <w:r w:rsidR="00D46AC3" w:rsidRPr="00012C3F">
        <w:rPr>
          <w:rFonts w:cs="Verdana"/>
          <w:snapToGrid w:val="0"/>
          <w:sz w:val="20"/>
          <w:szCs w:val="20"/>
          <w:lang w:val="en-US" w:eastAsia="es-ES"/>
        </w:rPr>
        <w:t>29</w:t>
      </w:r>
      <w:r w:rsidR="008D0B77" w:rsidRPr="00012C3F">
        <w:rPr>
          <w:rFonts w:cs="Verdana"/>
          <w:snapToGrid w:val="0"/>
          <w:sz w:val="20"/>
          <w:szCs w:val="20"/>
          <w:lang w:val="en-US" w:eastAsia="es-ES"/>
        </w:rPr>
        <w:t>0 (</w:t>
      </w:r>
      <w:r w:rsidR="00907D51" w:rsidRPr="00012C3F">
        <w:rPr>
          <w:rFonts w:cs="Verdana"/>
          <w:snapToGrid w:val="0"/>
          <w:sz w:val="20"/>
          <w:szCs w:val="20"/>
          <w:lang w:val="en-US" w:eastAsia="es-ES"/>
        </w:rPr>
        <w:t xml:space="preserve">eighteen thousand two hundred and ninety Untied States dollars) to </w:t>
      </w:r>
      <w:r w:rsidR="00907D51" w:rsidRPr="00012C3F">
        <w:rPr>
          <w:rFonts w:cs="Verdana"/>
          <w:i/>
          <w:iCs/>
          <w:snapToGrid w:val="0"/>
          <w:sz w:val="20"/>
          <w:szCs w:val="20"/>
          <w:lang w:val="en-US" w:eastAsia="es-ES"/>
        </w:rPr>
        <w:t>Derechos en Acción</w:t>
      </w:r>
      <w:r w:rsidR="00907D51" w:rsidRPr="00012C3F">
        <w:rPr>
          <w:rFonts w:cs="Verdana"/>
          <w:snapToGrid w:val="0"/>
          <w:sz w:val="20"/>
          <w:szCs w:val="20"/>
          <w:lang w:val="en-US" w:eastAsia="es-ES"/>
        </w:rPr>
        <w:t>. At the stage of monitoring compliance with this judgment, the Court may require the State to reimburse the victim or her representative for subsequent reasonable and duly authenticated expenses.</w:t>
      </w:r>
      <w:r w:rsidR="00586518" w:rsidRPr="00012C3F">
        <w:rPr>
          <w:rFonts w:cs="Verdana"/>
          <w:snapToGrid w:val="0"/>
          <w:sz w:val="20"/>
          <w:szCs w:val="20"/>
          <w:vertAlign w:val="superscript"/>
          <w:lang w:val="en-US" w:eastAsia="es-ES"/>
        </w:rPr>
        <w:footnoteReference w:id="417"/>
      </w:r>
    </w:p>
    <w:p w14:paraId="5EDCC7CA" w14:textId="77777777" w:rsidR="008D0B77" w:rsidRPr="00012C3F" w:rsidRDefault="008D0B77" w:rsidP="008D0B77">
      <w:pPr>
        <w:tabs>
          <w:tab w:val="left" w:pos="709"/>
          <w:tab w:val="left" w:pos="1134"/>
        </w:tabs>
        <w:spacing w:line="240" w:lineRule="auto"/>
        <w:rPr>
          <w:sz w:val="20"/>
          <w:szCs w:val="20"/>
          <w:lang w:val="en-US"/>
        </w:rPr>
      </w:pPr>
    </w:p>
    <w:p w14:paraId="56E978E8" w14:textId="77777777" w:rsidR="008D0B77" w:rsidRPr="00012C3F" w:rsidRDefault="009867D6" w:rsidP="009867D6">
      <w:pPr>
        <w:keepNext/>
        <w:keepLines/>
        <w:tabs>
          <w:tab w:val="left" w:pos="1134"/>
        </w:tabs>
        <w:spacing w:line="240" w:lineRule="auto"/>
        <w:ind w:left="567" w:firstLine="1"/>
        <w:outlineLvl w:val="1"/>
        <w:rPr>
          <w:rFonts w:eastAsia="MS Mincho"/>
          <w:b/>
          <w:bCs/>
          <w:i/>
          <w:sz w:val="20"/>
          <w:szCs w:val="20"/>
          <w:lang w:val="en-US"/>
        </w:rPr>
      </w:pPr>
      <w:bookmarkStart w:id="215" w:name="_Toc375517155"/>
      <w:bookmarkStart w:id="216" w:name="_Toc447893044"/>
      <w:bookmarkStart w:id="217" w:name="_Toc449460769"/>
      <w:bookmarkStart w:id="218" w:name="_Toc459158158"/>
      <w:bookmarkStart w:id="219" w:name="_Toc461637453"/>
      <w:bookmarkStart w:id="220" w:name="_Toc462310929"/>
      <w:bookmarkStart w:id="221" w:name="_Toc27486897"/>
      <w:r w:rsidRPr="00012C3F">
        <w:rPr>
          <w:rFonts w:eastAsia="MS Mincho"/>
          <w:b/>
          <w:bCs/>
          <w:i/>
          <w:sz w:val="20"/>
          <w:szCs w:val="20"/>
          <w:lang w:val="en-US"/>
        </w:rPr>
        <w:t>H.</w:t>
      </w:r>
      <w:r w:rsidRPr="00012C3F">
        <w:rPr>
          <w:rFonts w:eastAsia="MS Mincho"/>
          <w:b/>
          <w:bCs/>
          <w:i/>
          <w:sz w:val="20"/>
          <w:szCs w:val="20"/>
          <w:lang w:val="en-US"/>
        </w:rPr>
        <w:tab/>
      </w:r>
      <w:r w:rsidR="00A710F6" w:rsidRPr="00012C3F">
        <w:rPr>
          <w:rFonts w:eastAsia="MS Mincho"/>
          <w:b/>
          <w:bCs/>
          <w:i/>
          <w:sz w:val="20"/>
          <w:szCs w:val="20"/>
          <w:lang w:val="en-US"/>
        </w:rPr>
        <w:t>Reimbursement of expenditure to the</w:t>
      </w:r>
      <w:r w:rsidR="008D0B77" w:rsidRPr="00012C3F">
        <w:rPr>
          <w:rFonts w:eastAsia="MS Mincho"/>
          <w:b/>
          <w:bCs/>
          <w:i/>
          <w:sz w:val="20"/>
          <w:szCs w:val="20"/>
          <w:lang w:val="en-US"/>
        </w:rPr>
        <w:t xml:space="preserve"> </w:t>
      </w:r>
      <w:r w:rsidR="00B257AF" w:rsidRPr="00012C3F">
        <w:rPr>
          <w:rFonts w:eastAsia="MS Mincho"/>
          <w:b/>
          <w:bCs/>
          <w:i/>
          <w:sz w:val="20"/>
          <w:szCs w:val="20"/>
          <w:lang w:val="en-US"/>
        </w:rPr>
        <w:t>Victims’ Legal Assistance Fund</w:t>
      </w:r>
      <w:bookmarkEnd w:id="215"/>
      <w:bookmarkEnd w:id="216"/>
      <w:bookmarkEnd w:id="217"/>
      <w:bookmarkEnd w:id="218"/>
      <w:bookmarkEnd w:id="219"/>
      <w:bookmarkEnd w:id="220"/>
      <w:bookmarkEnd w:id="221"/>
    </w:p>
    <w:p w14:paraId="55D04508" w14:textId="77777777" w:rsidR="008D0B77" w:rsidRPr="00012C3F" w:rsidRDefault="008D0B77" w:rsidP="008D0B77">
      <w:pPr>
        <w:tabs>
          <w:tab w:val="left" w:pos="720"/>
        </w:tabs>
        <w:spacing w:line="240" w:lineRule="auto"/>
        <w:ind w:left="142"/>
        <w:rPr>
          <w:sz w:val="20"/>
          <w:szCs w:val="20"/>
          <w:lang w:val="en-US" w:bidi="en-US"/>
        </w:rPr>
      </w:pPr>
    </w:p>
    <w:p w14:paraId="31F51B33" w14:textId="77777777" w:rsidR="008D0B77" w:rsidRPr="00012C3F" w:rsidRDefault="00907D51" w:rsidP="000C797C">
      <w:pPr>
        <w:numPr>
          <w:ilvl w:val="0"/>
          <w:numId w:val="5"/>
        </w:numPr>
        <w:tabs>
          <w:tab w:val="left" w:pos="720"/>
          <w:tab w:val="num" w:pos="12305"/>
        </w:tabs>
        <w:spacing w:line="240" w:lineRule="auto"/>
        <w:ind w:left="0" w:firstLine="0"/>
        <w:rPr>
          <w:rFonts w:cs="Verdana"/>
          <w:snapToGrid w:val="0"/>
          <w:sz w:val="20"/>
          <w:szCs w:val="20"/>
          <w:lang w:val="en-US" w:eastAsia="es-ES"/>
        </w:rPr>
      </w:pPr>
      <w:r w:rsidRPr="00012C3F">
        <w:rPr>
          <w:rFonts w:cs="Verdana"/>
          <w:snapToGrid w:val="0"/>
          <w:sz w:val="20"/>
          <w:szCs w:val="20"/>
          <w:lang w:val="en-US" w:eastAsia="es-ES"/>
        </w:rPr>
        <w:t>In</w:t>
      </w:r>
      <w:r w:rsidR="008D0B77" w:rsidRPr="00012C3F">
        <w:rPr>
          <w:rFonts w:cs="Verdana"/>
          <w:snapToGrid w:val="0"/>
          <w:sz w:val="20"/>
          <w:szCs w:val="20"/>
          <w:lang w:val="en-US" w:eastAsia="es-ES"/>
        </w:rPr>
        <w:t xml:space="preserve"> 2008</w:t>
      </w:r>
      <w:r w:rsidRPr="00012C3F">
        <w:rPr>
          <w:rFonts w:cs="Verdana"/>
          <w:snapToGrid w:val="0"/>
          <w:sz w:val="20"/>
          <w:szCs w:val="20"/>
          <w:lang w:val="en-US" w:eastAsia="es-ES"/>
        </w:rPr>
        <w:t xml:space="preserve">, the General Assembly of the Organization of American States created the Victims’ Legal Assistance Fund of the inter-American human rights system </w:t>
      </w:r>
      <w:r w:rsidR="000C797C" w:rsidRPr="00012C3F">
        <w:rPr>
          <w:rFonts w:cs="Verdana"/>
          <w:snapToGrid w:val="0"/>
          <w:sz w:val="20"/>
          <w:szCs w:val="20"/>
          <w:lang w:val="en-US" w:eastAsia="es-ES"/>
        </w:rPr>
        <w:t xml:space="preserve">“to facilitate access to the inter-American human rights system by persons who currently </w:t>
      </w:r>
      <w:r w:rsidR="0016566A" w:rsidRPr="00012C3F">
        <w:rPr>
          <w:rFonts w:cs="Verdana"/>
          <w:snapToGrid w:val="0"/>
          <w:sz w:val="20"/>
          <w:szCs w:val="20"/>
          <w:lang w:val="en-US" w:eastAsia="es-ES"/>
        </w:rPr>
        <w:t>lack</w:t>
      </w:r>
      <w:r w:rsidR="000C797C" w:rsidRPr="00012C3F">
        <w:rPr>
          <w:rFonts w:cs="Verdana"/>
          <w:snapToGrid w:val="0"/>
          <w:sz w:val="20"/>
          <w:szCs w:val="20"/>
          <w:lang w:val="en-US" w:eastAsia="es-ES"/>
        </w:rPr>
        <w:t xml:space="preserve"> the resources to </w:t>
      </w:r>
      <w:r w:rsidR="0016566A" w:rsidRPr="00012C3F">
        <w:rPr>
          <w:rFonts w:cs="Verdana"/>
          <w:snapToGrid w:val="0"/>
          <w:sz w:val="20"/>
          <w:szCs w:val="20"/>
          <w:lang w:val="en-US" w:eastAsia="es-ES"/>
        </w:rPr>
        <w:t>bring</w:t>
      </w:r>
      <w:r w:rsidR="000C797C" w:rsidRPr="00012C3F">
        <w:rPr>
          <w:rFonts w:cs="Verdana"/>
          <w:snapToGrid w:val="0"/>
          <w:sz w:val="20"/>
          <w:szCs w:val="20"/>
          <w:lang w:val="en-US" w:eastAsia="es-ES"/>
        </w:rPr>
        <w:t xml:space="preserve"> their case</w:t>
      </w:r>
      <w:r w:rsidR="0016566A" w:rsidRPr="00012C3F">
        <w:rPr>
          <w:rFonts w:cs="Verdana"/>
          <w:snapToGrid w:val="0"/>
          <w:sz w:val="20"/>
          <w:szCs w:val="20"/>
          <w:lang w:val="en-US" w:eastAsia="es-ES"/>
        </w:rPr>
        <w:t>s</w:t>
      </w:r>
      <w:r w:rsidR="000C797C" w:rsidRPr="00012C3F">
        <w:rPr>
          <w:rFonts w:cs="Verdana"/>
          <w:snapToGrid w:val="0"/>
          <w:sz w:val="20"/>
          <w:szCs w:val="20"/>
          <w:lang w:val="en-US" w:eastAsia="es-ES"/>
        </w:rPr>
        <w:t xml:space="preserve"> before the system.</w:t>
      </w:r>
      <w:r w:rsidR="008D0B77" w:rsidRPr="00012C3F">
        <w:rPr>
          <w:rFonts w:cs="Verdana"/>
          <w:snapToGrid w:val="0"/>
          <w:sz w:val="20"/>
          <w:szCs w:val="20"/>
          <w:lang w:val="en-US" w:eastAsia="es-ES"/>
        </w:rPr>
        <w:t>”</w:t>
      </w:r>
      <w:r w:rsidR="008D0B77" w:rsidRPr="00012C3F">
        <w:rPr>
          <w:rFonts w:cs="Verdana"/>
          <w:snapToGrid w:val="0"/>
          <w:sz w:val="20"/>
          <w:szCs w:val="20"/>
          <w:vertAlign w:val="superscript"/>
          <w:lang w:val="en-US" w:eastAsia="es-ES"/>
        </w:rPr>
        <w:footnoteReference w:id="418"/>
      </w:r>
      <w:r w:rsidR="008D0B77" w:rsidRPr="00012C3F">
        <w:rPr>
          <w:rFonts w:cs="Verdana"/>
          <w:snapToGrid w:val="0"/>
          <w:sz w:val="20"/>
          <w:szCs w:val="20"/>
          <w:lang w:val="en-US" w:eastAsia="es-ES"/>
        </w:rPr>
        <w:t xml:space="preserve"> </w:t>
      </w:r>
      <w:r w:rsidR="006C705C" w:rsidRPr="00012C3F">
        <w:rPr>
          <w:rFonts w:cs="Verdana"/>
          <w:snapToGrid w:val="0"/>
          <w:sz w:val="20"/>
          <w:szCs w:val="20"/>
          <w:lang w:val="en-US" w:eastAsia="es-ES"/>
        </w:rPr>
        <w:t>In this case</w:t>
      </w:r>
      <w:r w:rsidR="000C797C" w:rsidRPr="00012C3F">
        <w:rPr>
          <w:rFonts w:cs="Verdana"/>
          <w:snapToGrid w:val="0"/>
          <w:sz w:val="20"/>
          <w:szCs w:val="20"/>
          <w:lang w:val="en-US" w:eastAsia="es-ES"/>
        </w:rPr>
        <w:t xml:space="preserve">, the Fund provided the financial assistance required to cover the necessary transportation and accommodation expenses for I.V. to take part in the public hearing, as well as the reasonable expenditure for preparing and forwarding the affidavits of </w:t>
      </w:r>
      <w:r w:rsidR="000E1C11" w:rsidRPr="00012C3F">
        <w:rPr>
          <w:rFonts w:cs="Verdana"/>
          <w:sz w:val="20"/>
          <w:szCs w:val="20"/>
          <w:lang w:val="en-US"/>
        </w:rPr>
        <w:t>N.V.</w:t>
      </w:r>
      <w:r w:rsidR="008D0B77" w:rsidRPr="00012C3F">
        <w:rPr>
          <w:rFonts w:cs="Verdana"/>
          <w:sz w:val="20"/>
          <w:szCs w:val="20"/>
          <w:lang w:val="en-US"/>
        </w:rPr>
        <w:t>, Emma Bolshia Bravo</w:t>
      </w:r>
      <w:r w:rsidR="005E5012" w:rsidRPr="00012C3F">
        <w:rPr>
          <w:rFonts w:cs="Verdana"/>
          <w:sz w:val="20"/>
          <w:szCs w:val="20"/>
          <w:lang w:val="en-US"/>
        </w:rPr>
        <w:t xml:space="preserve"> and</w:t>
      </w:r>
      <w:r w:rsidR="008D0B77" w:rsidRPr="00012C3F">
        <w:rPr>
          <w:rFonts w:cs="Verdana"/>
          <w:sz w:val="20"/>
          <w:szCs w:val="20"/>
          <w:lang w:val="en-US"/>
        </w:rPr>
        <w:t xml:space="preserve"> Andr</w:t>
      </w:r>
      <w:r w:rsidR="005A34F9" w:rsidRPr="00012C3F">
        <w:rPr>
          <w:rFonts w:cs="Verdana"/>
          <w:sz w:val="20"/>
          <w:szCs w:val="20"/>
          <w:lang w:val="en-US"/>
        </w:rPr>
        <w:t>e</w:t>
      </w:r>
      <w:r w:rsidR="008D0B77" w:rsidRPr="00012C3F">
        <w:rPr>
          <w:rFonts w:cs="Verdana"/>
          <w:sz w:val="20"/>
          <w:szCs w:val="20"/>
          <w:lang w:val="en-US"/>
        </w:rPr>
        <w:t xml:space="preserve"> Gautier. </w:t>
      </w:r>
      <w:r w:rsidR="00A84CA0" w:rsidRPr="00012C3F">
        <w:rPr>
          <w:rFonts w:cs="Verdana"/>
          <w:sz w:val="20"/>
          <w:szCs w:val="20"/>
          <w:lang w:val="en-US"/>
        </w:rPr>
        <w:t>The State</w:t>
      </w:r>
      <w:r w:rsidR="008D0B77" w:rsidRPr="00012C3F">
        <w:rPr>
          <w:rFonts w:cs="Verdana"/>
          <w:sz w:val="20"/>
          <w:szCs w:val="20"/>
          <w:lang w:val="en-US"/>
        </w:rPr>
        <w:t xml:space="preserve"> </w:t>
      </w:r>
      <w:r w:rsidR="000C797C" w:rsidRPr="00012C3F">
        <w:rPr>
          <w:rFonts w:cs="Verdana"/>
          <w:sz w:val="20"/>
          <w:szCs w:val="20"/>
          <w:lang w:val="en-US"/>
        </w:rPr>
        <w:t xml:space="preserve">did not </w:t>
      </w:r>
      <w:r w:rsidR="00C707AB" w:rsidRPr="00012C3F">
        <w:rPr>
          <w:rFonts w:cs="Verdana"/>
          <w:sz w:val="20"/>
          <w:szCs w:val="20"/>
          <w:lang w:val="en-US"/>
        </w:rPr>
        <w:t>submit</w:t>
      </w:r>
      <w:r w:rsidR="000C797C" w:rsidRPr="00012C3F">
        <w:rPr>
          <w:rFonts w:cs="Verdana"/>
          <w:sz w:val="20"/>
          <w:szCs w:val="20"/>
          <w:lang w:val="en-US"/>
        </w:rPr>
        <w:t xml:space="preserve"> any observations on the report </w:t>
      </w:r>
      <w:r w:rsidR="00C707AB" w:rsidRPr="00012C3F">
        <w:rPr>
          <w:rFonts w:cs="Verdana"/>
          <w:sz w:val="20"/>
          <w:szCs w:val="20"/>
          <w:lang w:val="en-US"/>
        </w:rPr>
        <w:t>on</w:t>
      </w:r>
      <w:r w:rsidR="000C797C" w:rsidRPr="00012C3F">
        <w:rPr>
          <w:rFonts w:cs="Verdana"/>
          <w:sz w:val="20"/>
          <w:szCs w:val="20"/>
          <w:lang w:val="en-US"/>
        </w:rPr>
        <w:t xml:space="preserve"> this expenditure.</w:t>
      </w:r>
    </w:p>
    <w:p w14:paraId="23213E75" w14:textId="77777777" w:rsidR="008D0B77" w:rsidRPr="00012C3F" w:rsidRDefault="008D0B77" w:rsidP="00907D51">
      <w:pPr>
        <w:pStyle w:val="Prrafodelista2"/>
        <w:tabs>
          <w:tab w:val="left" w:pos="0"/>
          <w:tab w:val="left" w:pos="720"/>
          <w:tab w:val="num" w:pos="11028"/>
        </w:tabs>
        <w:ind w:left="0" w:right="-90"/>
        <w:jc w:val="both"/>
        <w:rPr>
          <w:lang w:val="en-US"/>
        </w:rPr>
      </w:pPr>
    </w:p>
    <w:p w14:paraId="4D65DA8E" w14:textId="77777777" w:rsidR="000C797C" w:rsidRPr="00012C3F" w:rsidRDefault="000C797C" w:rsidP="000C797C">
      <w:pPr>
        <w:numPr>
          <w:ilvl w:val="0"/>
          <w:numId w:val="5"/>
        </w:numPr>
        <w:tabs>
          <w:tab w:val="left" w:pos="720"/>
          <w:tab w:val="num" w:pos="12305"/>
        </w:tabs>
        <w:spacing w:line="240" w:lineRule="auto"/>
        <w:ind w:left="0" w:firstLine="0"/>
        <w:rPr>
          <w:rFonts w:eastAsia="MS Mincho"/>
          <w:sz w:val="20"/>
          <w:szCs w:val="20"/>
          <w:lang w:val="en-US" w:eastAsia="en-US" w:bidi="en-US"/>
        </w:rPr>
      </w:pPr>
      <w:r w:rsidRPr="00012C3F">
        <w:rPr>
          <w:rFonts w:eastAsia="MS Mincho"/>
          <w:sz w:val="20"/>
          <w:szCs w:val="20"/>
          <w:lang w:val="en-US" w:eastAsia="en-US" w:bidi="en-US"/>
        </w:rPr>
        <w:t xml:space="preserve">Owing to the violations declared in this judgment and because the requirements for access to the Fund were met, the Court orders the State to reimburse this Fund the sum of </w:t>
      </w:r>
      <w:r w:rsidR="008D0B77" w:rsidRPr="00012C3F">
        <w:rPr>
          <w:rFonts w:eastAsia="MS Mincho"/>
          <w:sz w:val="20"/>
          <w:szCs w:val="20"/>
          <w:lang w:val="en-US" w:eastAsia="en-US" w:bidi="en-US"/>
        </w:rPr>
        <w:t>US$1</w:t>
      </w:r>
      <w:r w:rsidRPr="00012C3F">
        <w:rPr>
          <w:rFonts w:eastAsia="MS Mincho"/>
          <w:sz w:val="20"/>
          <w:szCs w:val="20"/>
          <w:lang w:val="en-US" w:eastAsia="en-US" w:bidi="en-US"/>
        </w:rPr>
        <w:t>,</w:t>
      </w:r>
      <w:r w:rsidR="008D0B77" w:rsidRPr="00012C3F">
        <w:rPr>
          <w:rFonts w:eastAsia="MS Mincho"/>
          <w:sz w:val="20"/>
          <w:szCs w:val="20"/>
          <w:lang w:val="en-US" w:eastAsia="en-US" w:bidi="en-US"/>
        </w:rPr>
        <w:t>623</w:t>
      </w:r>
      <w:r w:rsidRPr="00012C3F">
        <w:rPr>
          <w:rFonts w:eastAsia="MS Mincho"/>
          <w:sz w:val="20"/>
          <w:szCs w:val="20"/>
          <w:lang w:val="en-US" w:eastAsia="en-US" w:bidi="en-US"/>
        </w:rPr>
        <w:t>.</w:t>
      </w:r>
      <w:r w:rsidR="008D0B77" w:rsidRPr="00012C3F">
        <w:rPr>
          <w:rFonts w:eastAsia="MS Mincho"/>
          <w:sz w:val="20"/>
          <w:szCs w:val="20"/>
          <w:lang w:val="en-US" w:eastAsia="en-US" w:bidi="en-US"/>
        </w:rPr>
        <w:t>21 (</w:t>
      </w:r>
      <w:r w:rsidRPr="00012C3F">
        <w:rPr>
          <w:rFonts w:eastAsia="MS Mincho"/>
          <w:sz w:val="20"/>
          <w:szCs w:val="20"/>
          <w:lang w:val="en-US" w:eastAsia="en-US" w:bidi="en-US"/>
        </w:rPr>
        <w:t xml:space="preserve">one thousand six hundred and twenty-three United States dollars and 21 cents) for the necessary expenses incurred to ensure the appearance of the deponent </w:t>
      </w:r>
      <w:r w:rsidR="00C707AB" w:rsidRPr="00012C3F">
        <w:rPr>
          <w:rFonts w:eastAsia="MS Mincho"/>
          <w:sz w:val="20"/>
          <w:szCs w:val="20"/>
          <w:lang w:val="en-US" w:eastAsia="en-US" w:bidi="en-US"/>
        </w:rPr>
        <w:t>at</w:t>
      </w:r>
      <w:r w:rsidRPr="00012C3F">
        <w:rPr>
          <w:rFonts w:eastAsia="MS Mincho"/>
          <w:sz w:val="20"/>
          <w:szCs w:val="20"/>
          <w:lang w:val="en-US" w:eastAsia="en-US" w:bidi="en-US"/>
        </w:rPr>
        <w:t xml:space="preserve"> the public hearing of this case, as well as for the preparation and forwarding of the affidavits. This amount must be reimbursed within six months of notification of this judgment.</w:t>
      </w:r>
    </w:p>
    <w:p w14:paraId="577E616F" w14:textId="77777777" w:rsidR="008D0B77" w:rsidRPr="00012C3F" w:rsidRDefault="008D0B77" w:rsidP="00907D51">
      <w:pPr>
        <w:pStyle w:val="Prrafodelista2"/>
        <w:tabs>
          <w:tab w:val="left" w:pos="0"/>
          <w:tab w:val="left" w:pos="720"/>
          <w:tab w:val="num" w:pos="11028"/>
        </w:tabs>
        <w:ind w:right="-90"/>
        <w:rPr>
          <w:lang w:val="en-US"/>
        </w:rPr>
      </w:pPr>
    </w:p>
    <w:p w14:paraId="266CD616" w14:textId="77777777" w:rsidR="008D0B77" w:rsidRPr="00012C3F" w:rsidRDefault="009867D6" w:rsidP="00907D51">
      <w:pPr>
        <w:keepNext/>
        <w:keepLines/>
        <w:tabs>
          <w:tab w:val="left" w:pos="720"/>
          <w:tab w:val="left" w:pos="1134"/>
        </w:tabs>
        <w:spacing w:line="240" w:lineRule="auto"/>
        <w:ind w:left="567" w:firstLine="1"/>
        <w:outlineLvl w:val="1"/>
        <w:rPr>
          <w:rFonts w:eastAsia="MS Mincho"/>
          <w:b/>
          <w:bCs/>
          <w:i/>
          <w:sz w:val="20"/>
          <w:szCs w:val="20"/>
          <w:lang w:val="en-US"/>
        </w:rPr>
      </w:pPr>
      <w:bookmarkStart w:id="224" w:name="_Toc459158159"/>
      <w:bookmarkStart w:id="225" w:name="_Toc461637454"/>
      <w:bookmarkStart w:id="226" w:name="_Toc462310930"/>
      <w:bookmarkStart w:id="227" w:name="_Toc27486898"/>
      <w:r w:rsidRPr="00012C3F">
        <w:rPr>
          <w:rFonts w:eastAsia="MS Mincho"/>
          <w:b/>
          <w:bCs/>
          <w:i/>
          <w:sz w:val="20"/>
          <w:szCs w:val="20"/>
          <w:lang w:val="en-US"/>
        </w:rPr>
        <w:t>I.</w:t>
      </w:r>
      <w:r w:rsidRPr="00012C3F">
        <w:rPr>
          <w:rFonts w:eastAsia="MS Mincho"/>
          <w:b/>
          <w:bCs/>
          <w:i/>
          <w:sz w:val="20"/>
          <w:szCs w:val="20"/>
          <w:lang w:val="en-US"/>
        </w:rPr>
        <w:tab/>
      </w:r>
      <w:r w:rsidR="00A710F6" w:rsidRPr="00012C3F">
        <w:rPr>
          <w:rFonts w:eastAsia="MS Mincho"/>
          <w:b/>
          <w:bCs/>
          <w:i/>
          <w:sz w:val="20"/>
          <w:szCs w:val="20"/>
          <w:lang w:val="en-US"/>
        </w:rPr>
        <w:t>Method of complying with the payments ordered</w:t>
      </w:r>
      <w:bookmarkEnd w:id="224"/>
      <w:bookmarkEnd w:id="225"/>
      <w:bookmarkEnd w:id="226"/>
      <w:bookmarkEnd w:id="227"/>
    </w:p>
    <w:p w14:paraId="385DE003" w14:textId="77777777" w:rsidR="008D0B77" w:rsidRPr="00012C3F" w:rsidRDefault="008D0B77" w:rsidP="00907D51">
      <w:pPr>
        <w:pStyle w:val="Prrafodelista2"/>
        <w:tabs>
          <w:tab w:val="left" w:pos="0"/>
          <w:tab w:val="left" w:pos="720"/>
          <w:tab w:val="num" w:pos="12305"/>
        </w:tabs>
        <w:ind w:left="0" w:right="-90"/>
        <w:jc w:val="both"/>
        <w:rPr>
          <w:b/>
          <w:bCs/>
          <w:i/>
          <w:lang w:val="en-US"/>
        </w:rPr>
      </w:pPr>
    </w:p>
    <w:p w14:paraId="04679AA6" w14:textId="77777777" w:rsidR="008A4E99" w:rsidRPr="00012C3F" w:rsidRDefault="00A84CA0" w:rsidP="00907D51">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w:t>
      </w:r>
      <w:r w:rsidR="008A4E99" w:rsidRPr="00012C3F">
        <w:rPr>
          <w:sz w:val="20"/>
          <w:szCs w:val="20"/>
          <w:lang w:val="en-US"/>
        </w:rPr>
        <w:t>State must make the payments of compensation for pecuniary and non-pecuniary damage and to reimburse costs and expenses established in this judgment directly to the person and organization indicated herein, within one year of notification of this judgment in accordance with the following paragraphs.</w:t>
      </w:r>
    </w:p>
    <w:p w14:paraId="15A497B1" w14:textId="77777777" w:rsidR="008D0B77" w:rsidRPr="00012C3F" w:rsidRDefault="008D0B77" w:rsidP="008A4E99">
      <w:pPr>
        <w:tabs>
          <w:tab w:val="left" w:pos="720"/>
        </w:tabs>
        <w:spacing w:line="240" w:lineRule="auto"/>
        <w:ind w:right="-90"/>
        <w:contextualSpacing/>
        <w:rPr>
          <w:rFonts w:eastAsia="MS Mincho"/>
          <w:sz w:val="20"/>
          <w:szCs w:val="20"/>
          <w:lang w:val="en-US"/>
        </w:rPr>
      </w:pPr>
    </w:p>
    <w:p w14:paraId="665C1C6B" w14:textId="77777777" w:rsidR="008D0B77" w:rsidRPr="00012C3F" w:rsidRDefault="008A4E99" w:rsidP="008A4E9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If the beneficiary is deceased or dies before she receives the respective compensation, this shall be delivered directly to her heirs, pursuant to the applicable domestic law.</w:t>
      </w:r>
    </w:p>
    <w:p w14:paraId="76BB1AC5" w14:textId="77777777" w:rsidR="008D0B77" w:rsidRPr="00012C3F" w:rsidRDefault="008D0B77" w:rsidP="008A4E99">
      <w:pPr>
        <w:tabs>
          <w:tab w:val="left" w:pos="720"/>
        </w:tabs>
        <w:spacing w:line="240" w:lineRule="auto"/>
        <w:ind w:left="720"/>
        <w:rPr>
          <w:sz w:val="20"/>
          <w:szCs w:val="20"/>
          <w:lang w:val="en-US"/>
        </w:rPr>
      </w:pPr>
    </w:p>
    <w:p w14:paraId="02FEF8F9" w14:textId="77777777" w:rsidR="008A4E99" w:rsidRPr="00012C3F" w:rsidRDefault="00A84CA0" w:rsidP="008A4E9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The State</w:t>
      </w:r>
      <w:r w:rsidR="008D0B77" w:rsidRPr="00012C3F">
        <w:rPr>
          <w:sz w:val="20"/>
          <w:szCs w:val="20"/>
          <w:lang w:val="en-US"/>
        </w:rPr>
        <w:t xml:space="preserve"> </w:t>
      </w:r>
      <w:r w:rsidR="008A4E99" w:rsidRPr="00012C3F">
        <w:rPr>
          <w:sz w:val="20"/>
          <w:szCs w:val="20"/>
          <w:lang w:val="en-US"/>
        </w:rPr>
        <w:t>must comply with its monetary obligations by payment in United States dollars or the equivalent in Bolivian currency using the exchange rate in force in the Central Bank of the Plurinational State of Bolivia, the day before the payment to make the respective calculation.</w:t>
      </w:r>
    </w:p>
    <w:p w14:paraId="0AA2103F" w14:textId="77777777" w:rsidR="008D0B77" w:rsidRPr="00012C3F" w:rsidRDefault="008D0B77" w:rsidP="008A4E99">
      <w:pPr>
        <w:tabs>
          <w:tab w:val="left" w:pos="720"/>
          <w:tab w:val="num" w:pos="1427"/>
        </w:tabs>
        <w:spacing w:line="240" w:lineRule="auto"/>
        <w:ind w:right="-90"/>
        <w:contextualSpacing/>
        <w:rPr>
          <w:sz w:val="20"/>
          <w:szCs w:val="20"/>
          <w:lang w:val="en-US"/>
        </w:rPr>
      </w:pPr>
    </w:p>
    <w:p w14:paraId="065605AD" w14:textId="77777777" w:rsidR="008A4E99" w:rsidRPr="00012C3F" w:rsidRDefault="008A4E99" w:rsidP="008A4E9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If, for reasons that can be attributed to the beneficiary of the compensation or her heirs, it is not possible to pay</w:t>
      </w:r>
      <w:r w:rsidR="00C707AB" w:rsidRPr="00012C3F">
        <w:rPr>
          <w:sz w:val="20"/>
          <w:szCs w:val="20"/>
          <w:lang w:val="en-US"/>
        </w:rPr>
        <w:t xml:space="preserve"> the</w:t>
      </w:r>
      <w:r w:rsidRPr="00012C3F">
        <w:rPr>
          <w:sz w:val="20"/>
          <w:szCs w:val="20"/>
          <w:lang w:val="en-US"/>
        </w:rPr>
        <w:t xml:space="preserve"> amounts established within the time frame indicated, the State shall deposit the said amounts in her favor in a deposit account or certificate in</w:t>
      </w:r>
      <w:r w:rsidR="00C707AB" w:rsidRPr="00012C3F">
        <w:rPr>
          <w:sz w:val="20"/>
          <w:szCs w:val="20"/>
          <w:lang w:val="en-US"/>
        </w:rPr>
        <w:t xml:space="preserve"> a solvent Bolivian financial institution, in United States dollars, and in</w:t>
      </w:r>
      <w:r w:rsidRPr="00012C3F">
        <w:rPr>
          <w:sz w:val="20"/>
          <w:szCs w:val="20"/>
          <w:lang w:val="en-US"/>
        </w:rPr>
        <w:t xml:space="preserve"> the most favorable financial conditions permitted by banking law and practice. If the corresponding compensation is not claimed after ten years, the sums shall be returned to the State with the interest accrued.</w:t>
      </w:r>
    </w:p>
    <w:p w14:paraId="2D247E94" w14:textId="77777777" w:rsidR="008D0B77" w:rsidRPr="00012C3F" w:rsidRDefault="008D0B77" w:rsidP="008A4E99">
      <w:pPr>
        <w:tabs>
          <w:tab w:val="left" w:pos="720"/>
        </w:tabs>
        <w:spacing w:line="240" w:lineRule="auto"/>
        <w:rPr>
          <w:sz w:val="20"/>
          <w:szCs w:val="20"/>
          <w:lang w:val="en-US"/>
        </w:rPr>
      </w:pPr>
    </w:p>
    <w:p w14:paraId="6C18BBF3" w14:textId="77777777" w:rsidR="008D0B77" w:rsidRPr="00012C3F" w:rsidRDefault="008A4E99" w:rsidP="008A4E9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The amounts established in this judgment as compensation and to reimburse costs and </w:t>
      </w:r>
      <w:r w:rsidRPr="00012C3F">
        <w:rPr>
          <w:sz w:val="20"/>
          <w:szCs w:val="20"/>
          <w:lang w:val="en-US"/>
        </w:rPr>
        <w:lastRenderedPageBreak/>
        <w:t xml:space="preserve">expenses shall be delivered to the persons and organizations indicated integrally, as established in this judgment, without any deductions arising from possible taxes or charges. </w:t>
      </w:r>
    </w:p>
    <w:p w14:paraId="0BEF3777" w14:textId="77777777" w:rsidR="008D0B77" w:rsidRPr="00012C3F" w:rsidRDefault="008D0B77" w:rsidP="008F2376">
      <w:pPr>
        <w:spacing w:line="240" w:lineRule="auto"/>
        <w:rPr>
          <w:sz w:val="20"/>
          <w:szCs w:val="20"/>
          <w:lang w:val="en-US"/>
        </w:rPr>
      </w:pPr>
    </w:p>
    <w:p w14:paraId="732F9024" w14:textId="77777777" w:rsidR="008D0B77" w:rsidRPr="00012C3F" w:rsidRDefault="008A4E99" w:rsidP="008A4E99">
      <w:pPr>
        <w:numPr>
          <w:ilvl w:val="0"/>
          <w:numId w:val="5"/>
        </w:numPr>
        <w:tabs>
          <w:tab w:val="left" w:pos="720"/>
          <w:tab w:val="num" w:pos="12305"/>
        </w:tabs>
        <w:spacing w:line="240" w:lineRule="auto"/>
        <w:ind w:left="0" w:firstLine="0"/>
        <w:rPr>
          <w:sz w:val="20"/>
          <w:szCs w:val="20"/>
          <w:lang w:val="en-US"/>
        </w:rPr>
      </w:pPr>
      <w:r w:rsidRPr="00012C3F">
        <w:rPr>
          <w:sz w:val="20"/>
          <w:szCs w:val="20"/>
          <w:lang w:val="en-US"/>
        </w:rPr>
        <w:t xml:space="preserve">If the State should fall in arrears, including in the </w:t>
      </w:r>
      <w:r w:rsidRPr="00012C3F">
        <w:rPr>
          <w:rFonts w:cs="Verdana"/>
          <w:sz w:val="20"/>
          <w:szCs w:val="20"/>
          <w:lang w:val="en-US"/>
        </w:rPr>
        <w:t>r</w:t>
      </w:r>
      <w:r w:rsidR="00A710F6" w:rsidRPr="00012C3F">
        <w:rPr>
          <w:rFonts w:cs="Verdana"/>
          <w:sz w:val="20"/>
          <w:szCs w:val="20"/>
          <w:lang w:val="en-US"/>
        </w:rPr>
        <w:t xml:space="preserve">eimbursement of </w:t>
      </w:r>
      <w:r w:rsidR="00C60F32" w:rsidRPr="00012C3F">
        <w:rPr>
          <w:rFonts w:cs="Verdana"/>
          <w:sz w:val="20"/>
          <w:szCs w:val="20"/>
          <w:lang w:val="en-US"/>
        </w:rPr>
        <w:t>disbursements</w:t>
      </w:r>
      <w:r w:rsidR="00A710F6" w:rsidRPr="00012C3F">
        <w:rPr>
          <w:rFonts w:cs="Verdana"/>
          <w:sz w:val="20"/>
          <w:szCs w:val="20"/>
          <w:lang w:val="en-US"/>
        </w:rPr>
        <w:t xml:space="preserve"> to the</w:t>
      </w:r>
      <w:r w:rsidR="008D0B77" w:rsidRPr="00012C3F">
        <w:rPr>
          <w:rFonts w:cs="Verdana"/>
          <w:sz w:val="20"/>
          <w:szCs w:val="20"/>
          <w:lang w:val="en-US"/>
        </w:rPr>
        <w:t xml:space="preserve"> </w:t>
      </w:r>
      <w:r w:rsidR="00B257AF" w:rsidRPr="00012C3F">
        <w:rPr>
          <w:rFonts w:cs="Verdana"/>
          <w:sz w:val="20"/>
          <w:szCs w:val="20"/>
          <w:lang w:val="en-US"/>
        </w:rPr>
        <w:t>Victims’ Legal Assistance Fund</w:t>
      </w:r>
      <w:r w:rsidR="008D0B77" w:rsidRPr="00012C3F">
        <w:rPr>
          <w:sz w:val="20"/>
          <w:szCs w:val="20"/>
          <w:lang w:val="en-US"/>
        </w:rPr>
        <w:t xml:space="preserve">, </w:t>
      </w:r>
      <w:r w:rsidRPr="00012C3F">
        <w:rPr>
          <w:sz w:val="20"/>
          <w:szCs w:val="20"/>
          <w:lang w:val="en-US"/>
        </w:rPr>
        <w:t xml:space="preserve">it shall pay interest on the amount owed corresponding to banking interest on arrears in </w:t>
      </w:r>
      <w:r w:rsidR="00A84CA0" w:rsidRPr="00012C3F">
        <w:rPr>
          <w:sz w:val="20"/>
          <w:szCs w:val="20"/>
          <w:lang w:val="en-US"/>
        </w:rPr>
        <w:t>the Plurinational State of Bolivia</w:t>
      </w:r>
      <w:r w:rsidR="008D0B77" w:rsidRPr="00012C3F">
        <w:rPr>
          <w:sz w:val="20"/>
          <w:szCs w:val="20"/>
          <w:lang w:val="en-US"/>
        </w:rPr>
        <w:t>.</w:t>
      </w:r>
    </w:p>
    <w:p w14:paraId="02B9B2F6" w14:textId="77777777" w:rsidR="008D0B77" w:rsidRPr="00012C3F" w:rsidRDefault="008D0B77" w:rsidP="008D0B77">
      <w:pPr>
        <w:spacing w:line="240" w:lineRule="auto"/>
        <w:rPr>
          <w:sz w:val="20"/>
          <w:szCs w:val="20"/>
          <w:lang w:val="en-US"/>
        </w:rPr>
      </w:pPr>
    </w:p>
    <w:p w14:paraId="291340D7" w14:textId="77777777" w:rsidR="00C60F32" w:rsidRPr="00012C3F" w:rsidRDefault="00C60F32" w:rsidP="008D0B77">
      <w:pPr>
        <w:spacing w:line="240" w:lineRule="auto"/>
        <w:rPr>
          <w:sz w:val="20"/>
          <w:szCs w:val="20"/>
          <w:lang w:val="en-US"/>
        </w:rPr>
      </w:pPr>
    </w:p>
    <w:p w14:paraId="62AB37CC" w14:textId="77777777" w:rsidR="008C7FE4" w:rsidRPr="00012C3F" w:rsidRDefault="008C7FE4" w:rsidP="008C7FE4">
      <w:pPr>
        <w:keepNext/>
        <w:keepLines/>
        <w:tabs>
          <w:tab w:val="left" w:pos="851"/>
        </w:tabs>
        <w:spacing w:line="240" w:lineRule="auto"/>
        <w:jc w:val="center"/>
        <w:outlineLvl w:val="0"/>
        <w:rPr>
          <w:rFonts w:cs="Verdana"/>
          <w:b/>
          <w:bCs/>
          <w:caps/>
          <w:snapToGrid w:val="0"/>
          <w:sz w:val="20"/>
          <w:szCs w:val="20"/>
          <w:lang w:val="en-US"/>
        </w:rPr>
      </w:pPr>
      <w:bookmarkStart w:id="228" w:name="_Toc375517156"/>
      <w:bookmarkStart w:id="229" w:name="_Toc459158160"/>
      <w:bookmarkStart w:id="230" w:name="_Toc27486899"/>
      <w:r w:rsidRPr="00012C3F">
        <w:rPr>
          <w:rFonts w:cs="Verdana"/>
          <w:b/>
          <w:bCs/>
          <w:caps/>
          <w:snapToGrid w:val="0"/>
          <w:sz w:val="20"/>
          <w:szCs w:val="20"/>
          <w:lang w:val="en-US"/>
        </w:rPr>
        <w:t>X</w:t>
      </w:r>
      <w:r w:rsidRPr="00012C3F">
        <w:rPr>
          <w:rFonts w:cs="Verdana"/>
          <w:b/>
          <w:bCs/>
          <w:caps/>
          <w:snapToGrid w:val="0"/>
          <w:sz w:val="20"/>
          <w:szCs w:val="20"/>
          <w:lang w:val="en-US"/>
        </w:rPr>
        <w:br/>
      </w:r>
      <w:r w:rsidR="00BB2744" w:rsidRPr="00012C3F">
        <w:rPr>
          <w:rFonts w:cs="Verdana"/>
          <w:b/>
          <w:bCs/>
          <w:caps/>
          <w:snapToGrid w:val="0"/>
          <w:sz w:val="20"/>
          <w:szCs w:val="20"/>
          <w:lang w:val="en-US"/>
        </w:rPr>
        <w:t>OPERATIVE PARAGRAPHS</w:t>
      </w:r>
      <w:bookmarkEnd w:id="228"/>
      <w:bookmarkEnd w:id="229"/>
      <w:bookmarkEnd w:id="230"/>
    </w:p>
    <w:p w14:paraId="5D8866B9" w14:textId="77777777" w:rsidR="008C7FE4" w:rsidRPr="00012C3F" w:rsidRDefault="008C7FE4" w:rsidP="008C7FE4">
      <w:pPr>
        <w:pStyle w:val="Prrafodelista2"/>
        <w:ind w:right="-90"/>
        <w:contextualSpacing/>
        <w:rPr>
          <w:lang w:val="en-US"/>
        </w:rPr>
      </w:pPr>
    </w:p>
    <w:p w14:paraId="54D9AA56" w14:textId="77777777" w:rsidR="008C7FE4" w:rsidRPr="00012C3F" w:rsidRDefault="00BB2744" w:rsidP="008C7FE4">
      <w:pPr>
        <w:numPr>
          <w:ilvl w:val="0"/>
          <w:numId w:val="5"/>
        </w:numPr>
        <w:tabs>
          <w:tab w:val="left" w:pos="567"/>
          <w:tab w:val="num" w:pos="12305"/>
        </w:tabs>
        <w:spacing w:line="240" w:lineRule="auto"/>
        <w:ind w:left="0" w:firstLine="0"/>
        <w:rPr>
          <w:sz w:val="20"/>
          <w:szCs w:val="20"/>
          <w:lang w:val="en-US"/>
        </w:rPr>
      </w:pPr>
      <w:r w:rsidRPr="00012C3F">
        <w:rPr>
          <w:sz w:val="20"/>
          <w:szCs w:val="20"/>
          <w:lang w:val="en-US"/>
        </w:rPr>
        <w:t>Therefore</w:t>
      </w:r>
      <w:r w:rsidR="008C7FE4" w:rsidRPr="00012C3F">
        <w:rPr>
          <w:sz w:val="20"/>
          <w:szCs w:val="20"/>
          <w:lang w:val="en-US"/>
        </w:rPr>
        <w:t xml:space="preserve">, </w:t>
      </w:r>
    </w:p>
    <w:p w14:paraId="3D688AFF" w14:textId="77777777" w:rsidR="008C7FE4" w:rsidRPr="00012C3F" w:rsidRDefault="008C7FE4" w:rsidP="008C7FE4">
      <w:pPr>
        <w:pStyle w:val="Prrafodelista2"/>
        <w:tabs>
          <w:tab w:val="left" w:pos="720"/>
        </w:tabs>
        <w:ind w:right="-90"/>
        <w:contextualSpacing/>
        <w:rPr>
          <w:lang w:val="en-US"/>
        </w:rPr>
      </w:pPr>
    </w:p>
    <w:p w14:paraId="6EA925BC" w14:textId="77777777" w:rsidR="008C7FE4" w:rsidRPr="00012C3F" w:rsidRDefault="001254DE" w:rsidP="008C7FE4">
      <w:pPr>
        <w:pStyle w:val="Prrafodelista2"/>
        <w:tabs>
          <w:tab w:val="left" w:pos="720"/>
        </w:tabs>
        <w:ind w:left="0" w:right="-90"/>
        <w:contextualSpacing/>
        <w:rPr>
          <w:lang w:val="en-US"/>
        </w:rPr>
      </w:pPr>
      <w:r w:rsidRPr="00012C3F">
        <w:rPr>
          <w:b/>
          <w:bCs/>
          <w:lang w:val="en-US"/>
        </w:rPr>
        <w:t>THE COURT</w:t>
      </w:r>
      <w:r w:rsidR="008C7FE4" w:rsidRPr="00012C3F">
        <w:rPr>
          <w:b/>
          <w:bCs/>
          <w:lang w:val="en-US"/>
        </w:rPr>
        <w:t xml:space="preserve"> </w:t>
      </w:r>
    </w:p>
    <w:p w14:paraId="6A1999FA" w14:textId="77777777" w:rsidR="008C7FE4" w:rsidRPr="00012C3F" w:rsidRDefault="008C7FE4" w:rsidP="008C7FE4">
      <w:pPr>
        <w:pStyle w:val="Prrafodelista2"/>
        <w:tabs>
          <w:tab w:val="left" w:pos="720"/>
        </w:tabs>
        <w:ind w:left="0" w:right="-90"/>
        <w:contextualSpacing/>
        <w:rPr>
          <w:lang w:val="en-US"/>
        </w:rPr>
      </w:pPr>
    </w:p>
    <w:p w14:paraId="7334EF3F" w14:textId="77777777" w:rsidR="008C7FE4" w:rsidRPr="00012C3F" w:rsidRDefault="008C7FE4" w:rsidP="008C7FE4">
      <w:pPr>
        <w:pStyle w:val="Prrafodelista2"/>
        <w:tabs>
          <w:tab w:val="left" w:pos="720"/>
        </w:tabs>
        <w:ind w:left="0" w:right="-90"/>
        <w:contextualSpacing/>
        <w:rPr>
          <w:b/>
          <w:lang w:val="en-US"/>
        </w:rPr>
      </w:pPr>
      <w:r w:rsidRPr="00012C3F">
        <w:rPr>
          <w:b/>
          <w:lang w:val="en-US"/>
        </w:rPr>
        <w:t>DECIDE</w:t>
      </w:r>
      <w:r w:rsidR="00BB2744" w:rsidRPr="00012C3F">
        <w:rPr>
          <w:b/>
          <w:lang w:val="en-US"/>
        </w:rPr>
        <w:t>S</w:t>
      </w:r>
      <w:r w:rsidRPr="00012C3F">
        <w:rPr>
          <w:b/>
          <w:lang w:val="en-US"/>
        </w:rPr>
        <w:t xml:space="preserve">, </w:t>
      </w:r>
    </w:p>
    <w:p w14:paraId="50CB4583" w14:textId="77777777" w:rsidR="008C7FE4" w:rsidRPr="00012C3F" w:rsidRDefault="008C7FE4" w:rsidP="008C7FE4">
      <w:pPr>
        <w:pStyle w:val="Prrafodelista2"/>
        <w:tabs>
          <w:tab w:val="left" w:pos="720"/>
        </w:tabs>
        <w:ind w:left="0" w:right="-90"/>
        <w:contextualSpacing/>
        <w:rPr>
          <w:lang w:val="en-US"/>
        </w:rPr>
      </w:pPr>
    </w:p>
    <w:p w14:paraId="213695B9" w14:textId="77777777" w:rsidR="008C7FE4" w:rsidRPr="00012C3F" w:rsidRDefault="00BB2744" w:rsidP="008C7FE4">
      <w:pPr>
        <w:pStyle w:val="Prrafodelista2"/>
        <w:tabs>
          <w:tab w:val="left" w:pos="720"/>
        </w:tabs>
        <w:ind w:left="0" w:right="-90"/>
        <w:contextualSpacing/>
        <w:rPr>
          <w:lang w:val="en-US"/>
        </w:rPr>
      </w:pPr>
      <w:r w:rsidRPr="00012C3F">
        <w:rPr>
          <w:lang w:val="en-US"/>
        </w:rPr>
        <w:t>Unanimously</w:t>
      </w:r>
      <w:r w:rsidR="00765681" w:rsidRPr="00012C3F">
        <w:rPr>
          <w:lang w:val="en-US"/>
        </w:rPr>
        <w:t>,</w:t>
      </w:r>
      <w:r w:rsidR="008C7FE4" w:rsidRPr="00012C3F">
        <w:rPr>
          <w:lang w:val="en-US"/>
        </w:rPr>
        <w:t xml:space="preserve"> </w:t>
      </w:r>
    </w:p>
    <w:p w14:paraId="461A9999" w14:textId="77777777" w:rsidR="008C7FE4" w:rsidRPr="00012C3F" w:rsidRDefault="008C7FE4" w:rsidP="008C7FE4">
      <w:pPr>
        <w:pStyle w:val="Prrafodelista2"/>
        <w:tabs>
          <w:tab w:val="left" w:pos="720"/>
        </w:tabs>
        <w:ind w:left="0" w:right="-90"/>
        <w:contextualSpacing/>
        <w:rPr>
          <w:lang w:val="en-US"/>
        </w:rPr>
      </w:pPr>
    </w:p>
    <w:p w14:paraId="05834FB0" w14:textId="77777777" w:rsidR="008C7FE4" w:rsidRPr="00012C3F" w:rsidRDefault="00BB2744" w:rsidP="008C7FE4">
      <w:pPr>
        <w:widowControl/>
        <w:numPr>
          <w:ilvl w:val="0"/>
          <w:numId w:val="44"/>
        </w:numPr>
        <w:tabs>
          <w:tab w:val="left" w:pos="720"/>
        </w:tabs>
        <w:adjustRightInd/>
        <w:spacing w:line="240" w:lineRule="auto"/>
        <w:ind w:right="-90"/>
        <w:contextualSpacing/>
        <w:textAlignment w:val="auto"/>
        <w:rPr>
          <w:lang w:val="en-US"/>
        </w:rPr>
      </w:pPr>
      <w:r w:rsidRPr="00012C3F">
        <w:rPr>
          <w:rFonts w:eastAsia="MS Mincho"/>
          <w:sz w:val="20"/>
          <w:szCs w:val="20"/>
          <w:lang w:val="en-US"/>
        </w:rPr>
        <w:t>To reject</w:t>
      </w:r>
      <w:r w:rsidR="008C7FE4" w:rsidRPr="00012C3F">
        <w:rPr>
          <w:sz w:val="20"/>
          <w:szCs w:val="20"/>
          <w:lang w:val="en-US"/>
        </w:rPr>
        <w:t xml:space="preserve"> </w:t>
      </w:r>
      <w:r w:rsidR="0045122A" w:rsidRPr="00012C3F">
        <w:rPr>
          <w:sz w:val="20"/>
          <w:szCs w:val="20"/>
          <w:lang w:val="en-US"/>
        </w:rPr>
        <w:t>the preliminary objection</w:t>
      </w:r>
      <w:r w:rsidR="008C7FE4" w:rsidRPr="00012C3F">
        <w:rPr>
          <w:sz w:val="20"/>
          <w:szCs w:val="20"/>
          <w:lang w:val="en-US"/>
        </w:rPr>
        <w:t xml:space="preserve"> </w:t>
      </w:r>
      <w:r w:rsidRPr="00012C3F">
        <w:rPr>
          <w:sz w:val="20"/>
          <w:szCs w:val="20"/>
          <w:lang w:val="en-US"/>
        </w:rPr>
        <w:t>filed by</w:t>
      </w:r>
      <w:r w:rsidR="008C7FE4" w:rsidRPr="00012C3F">
        <w:rPr>
          <w:sz w:val="20"/>
          <w:szCs w:val="20"/>
          <w:lang w:val="en-US"/>
        </w:rPr>
        <w:t xml:space="preserve"> </w:t>
      </w:r>
      <w:r w:rsidR="00A84CA0" w:rsidRPr="00012C3F">
        <w:rPr>
          <w:sz w:val="20"/>
          <w:szCs w:val="20"/>
          <w:lang w:val="en-US"/>
        </w:rPr>
        <w:t>the State</w:t>
      </w:r>
      <w:r w:rsidR="008C7FE4" w:rsidRPr="00012C3F">
        <w:rPr>
          <w:sz w:val="20"/>
          <w:szCs w:val="20"/>
          <w:lang w:val="en-US"/>
        </w:rPr>
        <w:t xml:space="preserve"> </w:t>
      </w:r>
      <w:r w:rsidRPr="00012C3F">
        <w:rPr>
          <w:sz w:val="20"/>
          <w:szCs w:val="20"/>
          <w:lang w:val="en-US"/>
        </w:rPr>
        <w:t xml:space="preserve">in relation to the alleged lack of </w:t>
      </w:r>
      <w:r w:rsidR="00D24EFE">
        <w:rPr>
          <w:sz w:val="20"/>
          <w:szCs w:val="20"/>
          <w:lang w:val="en-US"/>
        </w:rPr>
        <w:t xml:space="preserve">jurisdiction </w:t>
      </w:r>
      <w:r w:rsidR="00D24EFE" w:rsidRPr="00D24EFE">
        <w:rPr>
          <w:i/>
          <w:iCs/>
          <w:sz w:val="20"/>
          <w:szCs w:val="20"/>
          <w:lang w:val="en-US"/>
        </w:rPr>
        <w:t>ratione loci</w:t>
      </w:r>
      <w:r w:rsidR="001254DE" w:rsidRPr="00012C3F">
        <w:rPr>
          <w:i/>
          <w:sz w:val="20"/>
          <w:szCs w:val="20"/>
          <w:lang w:val="en-US"/>
        </w:rPr>
        <w:t xml:space="preserve"> </w:t>
      </w:r>
      <w:r w:rsidR="001254DE" w:rsidRPr="00012C3F">
        <w:rPr>
          <w:iCs/>
          <w:sz w:val="20"/>
          <w:szCs w:val="20"/>
          <w:lang w:val="en-US"/>
        </w:rPr>
        <w:t>of the</w:t>
      </w:r>
      <w:r w:rsidR="001254DE" w:rsidRPr="00012C3F">
        <w:rPr>
          <w:i/>
          <w:sz w:val="20"/>
          <w:szCs w:val="20"/>
          <w:lang w:val="en-US"/>
        </w:rPr>
        <w:t xml:space="preserve"> </w:t>
      </w:r>
      <w:r w:rsidR="001254DE" w:rsidRPr="00012C3F">
        <w:rPr>
          <w:sz w:val="20"/>
          <w:szCs w:val="20"/>
          <w:lang w:val="en-US"/>
        </w:rPr>
        <w:t>Inter-American Court</w:t>
      </w:r>
      <w:r w:rsidR="008C7FE4" w:rsidRPr="00012C3F">
        <w:rPr>
          <w:sz w:val="20"/>
          <w:szCs w:val="20"/>
          <w:lang w:val="en-US"/>
        </w:rPr>
        <w:t xml:space="preserve">, </w:t>
      </w:r>
      <w:r w:rsidR="009D443F" w:rsidRPr="00012C3F">
        <w:rPr>
          <w:sz w:val="20"/>
          <w:szCs w:val="20"/>
          <w:lang w:val="en-US"/>
        </w:rPr>
        <w:t>pursuant to</w:t>
      </w:r>
      <w:r w:rsidR="000F735E" w:rsidRPr="00012C3F">
        <w:rPr>
          <w:sz w:val="20"/>
          <w:szCs w:val="20"/>
          <w:lang w:val="en-US"/>
        </w:rPr>
        <w:t xml:space="preserve"> paragraph</w:t>
      </w:r>
      <w:r w:rsidR="008C7FE4" w:rsidRPr="00012C3F">
        <w:rPr>
          <w:sz w:val="20"/>
          <w:szCs w:val="20"/>
          <w:lang w:val="en-US"/>
        </w:rPr>
        <w:t xml:space="preserve"> </w:t>
      </w:r>
      <w:r w:rsidR="006C564D" w:rsidRPr="00012C3F">
        <w:rPr>
          <w:sz w:val="20"/>
          <w:szCs w:val="20"/>
          <w:lang w:val="en-US"/>
        </w:rPr>
        <w:t xml:space="preserve">21 </w:t>
      </w:r>
      <w:r w:rsidR="000F735E" w:rsidRPr="00012C3F">
        <w:rPr>
          <w:sz w:val="20"/>
          <w:szCs w:val="20"/>
          <w:lang w:val="en-US"/>
        </w:rPr>
        <w:t>of this judgment</w:t>
      </w:r>
      <w:r w:rsidR="008C7FE4" w:rsidRPr="00012C3F">
        <w:rPr>
          <w:sz w:val="20"/>
          <w:szCs w:val="20"/>
          <w:lang w:val="en-US"/>
        </w:rPr>
        <w:t xml:space="preserve">. </w:t>
      </w:r>
    </w:p>
    <w:p w14:paraId="1994C2E5" w14:textId="77777777" w:rsidR="008C7FE4" w:rsidRPr="00012C3F" w:rsidRDefault="008C7FE4" w:rsidP="008D1A20">
      <w:pPr>
        <w:widowControl/>
        <w:tabs>
          <w:tab w:val="left" w:pos="720"/>
        </w:tabs>
        <w:adjustRightInd/>
        <w:spacing w:line="240" w:lineRule="auto"/>
        <w:ind w:right="-90"/>
        <w:contextualSpacing/>
        <w:textAlignment w:val="auto"/>
        <w:rPr>
          <w:sz w:val="20"/>
          <w:szCs w:val="20"/>
          <w:lang w:val="en-US"/>
        </w:rPr>
      </w:pPr>
    </w:p>
    <w:p w14:paraId="7B058841" w14:textId="77777777" w:rsidR="008C7FE4" w:rsidRPr="00012C3F" w:rsidRDefault="00BB2744" w:rsidP="008C7FE4">
      <w:pPr>
        <w:widowControl/>
        <w:numPr>
          <w:ilvl w:val="0"/>
          <w:numId w:val="44"/>
        </w:numPr>
        <w:tabs>
          <w:tab w:val="left" w:pos="720"/>
        </w:tabs>
        <w:adjustRightInd/>
        <w:spacing w:line="240" w:lineRule="auto"/>
        <w:ind w:right="-90"/>
        <w:contextualSpacing/>
        <w:textAlignment w:val="auto"/>
        <w:rPr>
          <w:lang w:val="en-US"/>
        </w:rPr>
      </w:pPr>
      <w:r w:rsidRPr="00012C3F">
        <w:rPr>
          <w:rFonts w:eastAsia="MS Mincho"/>
          <w:sz w:val="20"/>
          <w:szCs w:val="20"/>
          <w:lang w:val="en-US"/>
        </w:rPr>
        <w:t>To reject</w:t>
      </w:r>
      <w:r w:rsidR="008C7FE4" w:rsidRPr="00012C3F">
        <w:rPr>
          <w:sz w:val="20"/>
          <w:szCs w:val="20"/>
          <w:lang w:val="en-US"/>
        </w:rPr>
        <w:t xml:space="preserve"> </w:t>
      </w:r>
      <w:r w:rsidR="0045122A" w:rsidRPr="00012C3F">
        <w:rPr>
          <w:sz w:val="20"/>
          <w:szCs w:val="20"/>
          <w:lang w:val="en-US"/>
        </w:rPr>
        <w:t>the preliminary objection</w:t>
      </w:r>
      <w:r w:rsidR="008C7FE4" w:rsidRPr="00012C3F">
        <w:rPr>
          <w:sz w:val="20"/>
          <w:szCs w:val="20"/>
          <w:lang w:val="en-US"/>
        </w:rPr>
        <w:t xml:space="preserve"> </w:t>
      </w:r>
      <w:r w:rsidRPr="00012C3F">
        <w:rPr>
          <w:sz w:val="20"/>
          <w:szCs w:val="20"/>
          <w:lang w:val="en-US"/>
        </w:rPr>
        <w:t>filed by</w:t>
      </w:r>
      <w:r w:rsidR="008C7FE4" w:rsidRPr="00012C3F">
        <w:rPr>
          <w:sz w:val="20"/>
          <w:szCs w:val="20"/>
          <w:lang w:val="en-US"/>
        </w:rPr>
        <w:t xml:space="preserve"> </w:t>
      </w:r>
      <w:r w:rsidR="00A84CA0" w:rsidRPr="00012C3F">
        <w:rPr>
          <w:sz w:val="20"/>
          <w:szCs w:val="20"/>
          <w:lang w:val="en-US"/>
        </w:rPr>
        <w:t>the State</w:t>
      </w:r>
      <w:r w:rsidR="008C7FE4" w:rsidRPr="00012C3F">
        <w:rPr>
          <w:sz w:val="20"/>
          <w:szCs w:val="20"/>
          <w:lang w:val="en-US"/>
        </w:rPr>
        <w:t xml:space="preserve"> </w:t>
      </w:r>
      <w:r w:rsidRPr="00012C3F">
        <w:rPr>
          <w:sz w:val="20"/>
          <w:szCs w:val="20"/>
          <w:lang w:val="en-US"/>
        </w:rPr>
        <w:t>in relation to the alleged failure to exhaust domestic remedies</w:t>
      </w:r>
      <w:r w:rsidR="008C7FE4" w:rsidRPr="00012C3F">
        <w:rPr>
          <w:sz w:val="20"/>
          <w:szCs w:val="20"/>
          <w:lang w:val="en-US"/>
        </w:rPr>
        <w:t xml:space="preserve">, </w:t>
      </w:r>
      <w:r w:rsidR="009D443F" w:rsidRPr="00012C3F">
        <w:rPr>
          <w:sz w:val="20"/>
          <w:szCs w:val="20"/>
          <w:lang w:val="en-US"/>
        </w:rPr>
        <w:t>pursuant to</w:t>
      </w:r>
      <w:r w:rsidR="000F735E" w:rsidRPr="00012C3F">
        <w:rPr>
          <w:sz w:val="20"/>
          <w:szCs w:val="20"/>
          <w:lang w:val="en-US"/>
        </w:rPr>
        <w:t xml:space="preserve"> paragraphs</w:t>
      </w:r>
      <w:r w:rsidR="008C7FE4" w:rsidRPr="00012C3F">
        <w:rPr>
          <w:sz w:val="20"/>
          <w:szCs w:val="20"/>
          <w:lang w:val="en-US"/>
        </w:rPr>
        <w:t xml:space="preserve"> </w:t>
      </w:r>
      <w:r w:rsidR="006C564D" w:rsidRPr="00012C3F">
        <w:rPr>
          <w:sz w:val="20"/>
          <w:szCs w:val="20"/>
          <w:lang w:val="en-US"/>
        </w:rPr>
        <w:t xml:space="preserve">30 </w:t>
      </w:r>
      <w:r w:rsidRPr="00012C3F">
        <w:rPr>
          <w:sz w:val="20"/>
          <w:szCs w:val="20"/>
          <w:lang w:val="en-US"/>
        </w:rPr>
        <w:t>to</w:t>
      </w:r>
      <w:r w:rsidR="008C7FE4" w:rsidRPr="00012C3F">
        <w:rPr>
          <w:sz w:val="20"/>
          <w:szCs w:val="20"/>
          <w:lang w:val="en-US"/>
        </w:rPr>
        <w:t xml:space="preserve"> </w:t>
      </w:r>
      <w:r w:rsidR="006C564D" w:rsidRPr="00012C3F">
        <w:rPr>
          <w:sz w:val="20"/>
          <w:szCs w:val="20"/>
          <w:lang w:val="en-US"/>
        </w:rPr>
        <w:t xml:space="preserve">38 </w:t>
      </w:r>
      <w:r w:rsidR="000F735E" w:rsidRPr="00012C3F">
        <w:rPr>
          <w:sz w:val="20"/>
          <w:szCs w:val="20"/>
          <w:lang w:val="en-US"/>
        </w:rPr>
        <w:t>of this judgment</w:t>
      </w:r>
      <w:r w:rsidR="008C7FE4" w:rsidRPr="00012C3F">
        <w:rPr>
          <w:sz w:val="20"/>
          <w:szCs w:val="20"/>
          <w:lang w:val="en-US"/>
        </w:rPr>
        <w:t xml:space="preserve">. </w:t>
      </w:r>
      <w:r w:rsidR="008C7FE4" w:rsidRPr="00012C3F">
        <w:rPr>
          <w:sz w:val="20"/>
          <w:szCs w:val="20"/>
          <w:lang w:val="en-US"/>
        </w:rPr>
        <w:cr/>
      </w:r>
    </w:p>
    <w:p w14:paraId="1E49273E" w14:textId="77777777" w:rsidR="008C7FE4" w:rsidRPr="00012C3F" w:rsidRDefault="008C7FE4" w:rsidP="008C7FE4">
      <w:pPr>
        <w:pStyle w:val="Prrafodelista2"/>
        <w:tabs>
          <w:tab w:val="left" w:pos="720"/>
        </w:tabs>
        <w:ind w:left="0" w:right="-90"/>
        <w:contextualSpacing/>
        <w:rPr>
          <w:lang w:val="en-US"/>
        </w:rPr>
      </w:pPr>
      <w:r w:rsidRPr="00012C3F">
        <w:rPr>
          <w:b/>
          <w:bCs/>
          <w:lang w:val="en-US"/>
        </w:rPr>
        <w:t>DECLAR</w:t>
      </w:r>
      <w:r w:rsidR="00DF5BD3" w:rsidRPr="00012C3F">
        <w:rPr>
          <w:b/>
          <w:bCs/>
          <w:lang w:val="en-US"/>
        </w:rPr>
        <w:t>ES</w:t>
      </w:r>
      <w:r w:rsidRPr="00012C3F">
        <w:rPr>
          <w:b/>
          <w:bCs/>
          <w:lang w:val="en-US"/>
        </w:rPr>
        <w:t xml:space="preserve">: </w:t>
      </w:r>
    </w:p>
    <w:p w14:paraId="7773324A" w14:textId="77777777" w:rsidR="008C7FE4" w:rsidRPr="00012C3F" w:rsidRDefault="008C7FE4" w:rsidP="008C7FE4">
      <w:pPr>
        <w:pStyle w:val="Prrafodelista2"/>
        <w:tabs>
          <w:tab w:val="left" w:pos="720"/>
        </w:tabs>
        <w:ind w:left="0" w:right="-90"/>
        <w:contextualSpacing/>
        <w:rPr>
          <w:lang w:val="en-US"/>
        </w:rPr>
      </w:pPr>
    </w:p>
    <w:p w14:paraId="195D26A3" w14:textId="77777777" w:rsidR="008C7FE4" w:rsidRPr="00012C3F" w:rsidRDefault="00BB2744" w:rsidP="008C7FE4">
      <w:pPr>
        <w:pStyle w:val="Prrafodelista2"/>
        <w:ind w:left="0" w:right="-90"/>
        <w:contextualSpacing/>
        <w:rPr>
          <w:lang w:val="en-US"/>
        </w:rPr>
      </w:pPr>
      <w:r w:rsidRPr="00012C3F">
        <w:rPr>
          <w:lang w:val="en-US"/>
        </w:rPr>
        <w:t>Unanimously</w:t>
      </w:r>
      <w:r w:rsidR="008C7FE4" w:rsidRPr="00012C3F">
        <w:rPr>
          <w:lang w:val="en-US"/>
        </w:rPr>
        <w:t xml:space="preserve">, </w:t>
      </w:r>
      <w:r w:rsidR="00DF5BD3" w:rsidRPr="00012C3F">
        <w:rPr>
          <w:lang w:val="en-US"/>
        </w:rPr>
        <w:t>that</w:t>
      </w:r>
      <w:r w:rsidR="008C7FE4" w:rsidRPr="00012C3F">
        <w:rPr>
          <w:lang w:val="en-US"/>
        </w:rPr>
        <w:t>:</w:t>
      </w:r>
    </w:p>
    <w:p w14:paraId="25A00878" w14:textId="77777777" w:rsidR="008C7FE4" w:rsidRPr="00012C3F" w:rsidRDefault="008C7FE4" w:rsidP="008C7FE4">
      <w:pPr>
        <w:pStyle w:val="Prrafodelista2"/>
        <w:ind w:left="0" w:right="-90"/>
        <w:contextualSpacing/>
        <w:rPr>
          <w:lang w:val="en-US"/>
        </w:rPr>
      </w:pPr>
    </w:p>
    <w:p w14:paraId="0771A17D" w14:textId="77777777" w:rsidR="008C7FE4" w:rsidRPr="00012C3F" w:rsidRDefault="00A84CA0" w:rsidP="008C7FE4">
      <w:pPr>
        <w:widowControl/>
        <w:numPr>
          <w:ilvl w:val="0"/>
          <w:numId w:val="44"/>
        </w:numPr>
        <w:tabs>
          <w:tab w:val="left" w:pos="720"/>
        </w:tabs>
        <w:adjustRightInd/>
        <w:spacing w:line="240" w:lineRule="auto"/>
        <w:ind w:right="-90"/>
        <w:contextualSpacing/>
        <w:textAlignment w:val="auto"/>
        <w:rPr>
          <w:sz w:val="20"/>
          <w:szCs w:val="20"/>
          <w:lang w:val="en-US"/>
        </w:rPr>
      </w:pPr>
      <w:r w:rsidRPr="00012C3F">
        <w:rPr>
          <w:sz w:val="20"/>
          <w:szCs w:val="20"/>
          <w:lang w:val="en-US"/>
        </w:rPr>
        <w:t>The State</w:t>
      </w:r>
      <w:r w:rsidR="008C7FE4" w:rsidRPr="00012C3F">
        <w:rPr>
          <w:sz w:val="20"/>
          <w:szCs w:val="20"/>
          <w:lang w:val="en-US"/>
        </w:rPr>
        <w:t xml:space="preserve"> </w:t>
      </w:r>
      <w:r w:rsidR="00DF5BD3" w:rsidRPr="00012C3F">
        <w:rPr>
          <w:sz w:val="20"/>
          <w:szCs w:val="20"/>
          <w:lang w:val="en-US"/>
        </w:rPr>
        <w:t>is responsible for the violation of</w:t>
      </w:r>
      <w:r w:rsidR="008C7FE4" w:rsidRPr="00012C3F">
        <w:rPr>
          <w:sz w:val="20"/>
          <w:szCs w:val="20"/>
          <w:lang w:val="en-US"/>
        </w:rPr>
        <w:t xml:space="preserve"> </w:t>
      </w:r>
      <w:r w:rsidR="00DF5BD3" w:rsidRPr="00012C3F">
        <w:rPr>
          <w:sz w:val="20"/>
          <w:szCs w:val="20"/>
          <w:lang w:val="en-US"/>
        </w:rPr>
        <w:t>the rights</w:t>
      </w:r>
      <w:r w:rsidR="008C7FE4" w:rsidRPr="00012C3F">
        <w:rPr>
          <w:sz w:val="20"/>
          <w:szCs w:val="20"/>
          <w:lang w:val="en-US"/>
        </w:rPr>
        <w:t xml:space="preserve"> </w:t>
      </w:r>
      <w:r w:rsidR="006C705C" w:rsidRPr="00012C3F">
        <w:rPr>
          <w:sz w:val="20"/>
          <w:szCs w:val="20"/>
          <w:lang w:val="en-US"/>
        </w:rPr>
        <w:t>to personal integrity</w:t>
      </w:r>
      <w:r w:rsidR="008C7FE4" w:rsidRPr="00012C3F">
        <w:rPr>
          <w:sz w:val="20"/>
          <w:szCs w:val="20"/>
          <w:lang w:val="en-US"/>
        </w:rPr>
        <w:t xml:space="preserve">, </w:t>
      </w:r>
      <w:r w:rsidR="00DF5BD3" w:rsidRPr="00012C3F">
        <w:rPr>
          <w:sz w:val="20"/>
          <w:szCs w:val="20"/>
          <w:lang w:val="en-US"/>
        </w:rPr>
        <w:t>to</w:t>
      </w:r>
      <w:r w:rsidR="00A246A1" w:rsidRPr="00012C3F">
        <w:rPr>
          <w:sz w:val="20"/>
          <w:szCs w:val="20"/>
          <w:lang w:val="en-US"/>
        </w:rPr>
        <w:t xml:space="preserve"> </w:t>
      </w:r>
      <w:r w:rsidR="00130362" w:rsidRPr="00012C3F">
        <w:rPr>
          <w:sz w:val="20"/>
          <w:szCs w:val="20"/>
          <w:lang w:val="en-US"/>
        </w:rPr>
        <w:t>personal liberty</w:t>
      </w:r>
      <w:r w:rsidR="00195333" w:rsidRPr="00012C3F">
        <w:rPr>
          <w:sz w:val="20"/>
          <w:szCs w:val="20"/>
          <w:lang w:val="en-US"/>
        </w:rPr>
        <w:t xml:space="preserve">, </w:t>
      </w:r>
      <w:r w:rsidR="00DF5BD3" w:rsidRPr="00012C3F">
        <w:rPr>
          <w:sz w:val="20"/>
          <w:szCs w:val="20"/>
          <w:lang w:val="en-US"/>
        </w:rPr>
        <w:t>to</w:t>
      </w:r>
      <w:r w:rsidR="00A246A1" w:rsidRPr="00012C3F">
        <w:rPr>
          <w:sz w:val="20"/>
          <w:szCs w:val="20"/>
          <w:lang w:val="en-US"/>
        </w:rPr>
        <w:t xml:space="preserve"> </w:t>
      </w:r>
      <w:r w:rsidR="00130362" w:rsidRPr="00012C3F">
        <w:rPr>
          <w:sz w:val="20"/>
          <w:szCs w:val="20"/>
          <w:lang w:val="en-US"/>
        </w:rPr>
        <w:t>dignity</w:t>
      </w:r>
      <w:r w:rsidR="00195333" w:rsidRPr="00012C3F">
        <w:rPr>
          <w:sz w:val="20"/>
          <w:szCs w:val="20"/>
          <w:lang w:val="en-US"/>
        </w:rPr>
        <w:t xml:space="preserve">, </w:t>
      </w:r>
      <w:r w:rsidR="00DF5BD3" w:rsidRPr="00012C3F">
        <w:rPr>
          <w:sz w:val="20"/>
          <w:szCs w:val="20"/>
          <w:lang w:val="en-US"/>
        </w:rPr>
        <w:t>to</w:t>
      </w:r>
      <w:r w:rsidR="00195333" w:rsidRPr="00012C3F">
        <w:rPr>
          <w:sz w:val="20"/>
          <w:szCs w:val="20"/>
          <w:lang w:val="en-US"/>
        </w:rPr>
        <w:t xml:space="preserve"> </w:t>
      </w:r>
      <w:r w:rsidR="00130362" w:rsidRPr="00012C3F">
        <w:rPr>
          <w:sz w:val="20"/>
          <w:szCs w:val="20"/>
          <w:lang w:val="en-US"/>
        </w:rPr>
        <w:t>private and family life</w:t>
      </w:r>
      <w:r w:rsidR="00195333" w:rsidRPr="00012C3F">
        <w:rPr>
          <w:sz w:val="20"/>
          <w:szCs w:val="20"/>
          <w:lang w:val="en-US"/>
        </w:rPr>
        <w:t xml:space="preserve">, </w:t>
      </w:r>
      <w:r w:rsidR="006C705C" w:rsidRPr="00012C3F">
        <w:rPr>
          <w:sz w:val="20"/>
          <w:szCs w:val="20"/>
          <w:lang w:val="en-US"/>
        </w:rPr>
        <w:t>of access to information</w:t>
      </w:r>
      <w:r w:rsidR="009D443F" w:rsidRPr="00012C3F">
        <w:rPr>
          <w:sz w:val="20"/>
          <w:szCs w:val="20"/>
          <w:lang w:val="en-US"/>
        </w:rPr>
        <w:t>,</w:t>
      </w:r>
      <w:r w:rsidR="005E5012" w:rsidRPr="00012C3F">
        <w:rPr>
          <w:sz w:val="20"/>
          <w:szCs w:val="20"/>
          <w:lang w:val="en-US"/>
        </w:rPr>
        <w:t xml:space="preserve"> and </w:t>
      </w:r>
      <w:r w:rsidR="00EF483B" w:rsidRPr="00012C3F">
        <w:rPr>
          <w:sz w:val="20"/>
          <w:szCs w:val="20"/>
          <w:lang w:val="en-US"/>
        </w:rPr>
        <w:t xml:space="preserve">to </w:t>
      </w:r>
      <w:r w:rsidR="0081491F" w:rsidRPr="00012C3F">
        <w:rPr>
          <w:sz w:val="20"/>
          <w:szCs w:val="20"/>
          <w:lang w:val="en-US"/>
        </w:rPr>
        <w:t>raise a family</w:t>
      </w:r>
      <w:r w:rsidR="00195333" w:rsidRPr="00012C3F">
        <w:rPr>
          <w:sz w:val="20"/>
          <w:szCs w:val="20"/>
          <w:lang w:val="en-US"/>
        </w:rPr>
        <w:t>,</w:t>
      </w:r>
      <w:r w:rsidR="008C7FE4" w:rsidRPr="00012C3F">
        <w:rPr>
          <w:sz w:val="20"/>
          <w:szCs w:val="20"/>
          <w:lang w:val="en-US"/>
        </w:rPr>
        <w:t xml:space="preserve"> </w:t>
      </w:r>
      <w:r w:rsidR="00DF5BD3" w:rsidRPr="00012C3F">
        <w:rPr>
          <w:sz w:val="20"/>
          <w:szCs w:val="20"/>
          <w:lang w:val="en-US"/>
        </w:rPr>
        <w:t>recognized in</w:t>
      </w:r>
      <w:r w:rsidR="008C7FE4" w:rsidRPr="00012C3F">
        <w:rPr>
          <w:sz w:val="20"/>
          <w:szCs w:val="20"/>
          <w:lang w:val="en-US"/>
        </w:rPr>
        <w:t xml:space="preserve"> </w:t>
      </w:r>
      <w:r w:rsidR="001254DE" w:rsidRPr="00012C3F">
        <w:rPr>
          <w:sz w:val="20"/>
          <w:szCs w:val="20"/>
          <w:lang w:val="en-US"/>
        </w:rPr>
        <w:t>Articles</w:t>
      </w:r>
      <w:r w:rsidR="008C7FE4" w:rsidRPr="00012C3F">
        <w:rPr>
          <w:sz w:val="20"/>
          <w:szCs w:val="20"/>
          <w:lang w:val="en-US"/>
        </w:rPr>
        <w:t xml:space="preserve"> </w:t>
      </w:r>
      <w:r w:rsidR="005E5012" w:rsidRPr="00012C3F">
        <w:rPr>
          <w:rFonts w:eastAsia="MS Mincho"/>
          <w:sz w:val="20"/>
          <w:szCs w:val="20"/>
          <w:lang w:val="en-US" w:eastAsia="en-US" w:bidi="en-US"/>
        </w:rPr>
        <w:t>5(1)</w:t>
      </w:r>
      <w:r w:rsidR="00195333" w:rsidRPr="00012C3F">
        <w:rPr>
          <w:rFonts w:eastAsia="MS Mincho"/>
          <w:sz w:val="20"/>
          <w:szCs w:val="20"/>
          <w:lang w:val="en-US" w:eastAsia="en-US" w:bidi="en-US"/>
        </w:rPr>
        <w:t xml:space="preserve">, </w:t>
      </w:r>
      <w:r w:rsidR="00F63FF1" w:rsidRPr="00012C3F">
        <w:rPr>
          <w:rFonts w:eastAsia="MS Mincho"/>
          <w:sz w:val="20"/>
          <w:szCs w:val="20"/>
          <w:lang w:val="en-US" w:eastAsia="en-US" w:bidi="en-US"/>
        </w:rPr>
        <w:t>7(1)</w:t>
      </w:r>
      <w:r w:rsidR="00195333" w:rsidRPr="00012C3F">
        <w:rPr>
          <w:rFonts w:eastAsia="MS Mincho"/>
          <w:sz w:val="20"/>
          <w:szCs w:val="20"/>
          <w:lang w:val="en-US" w:eastAsia="en-US" w:bidi="en-US"/>
        </w:rPr>
        <w:t>, 1</w:t>
      </w:r>
      <w:r w:rsidR="005E5012" w:rsidRPr="00012C3F">
        <w:rPr>
          <w:rFonts w:eastAsia="MS Mincho"/>
          <w:sz w:val="20"/>
          <w:szCs w:val="20"/>
          <w:lang w:val="en-US" w:eastAsia="en-US" w:bidi="en-US"/>
        </w:rPr>
        <w:t>1(1)</w:t>
      </w:r>
      <w:r w:rsidR="00195333"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11(2)</w:t>
      </w:r>
      <w:r w:rsidR="00195333"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13(1) and 17(2)</w:t>
      </w:r>
      <w:r w:rsidR="001254DE" w:rsidRPr="00012C3F">
        <w:rPr>
          <w:rFonts w:eastAsia="MS Mincho"/>
          <w:sz w:val="20"/>
          <w:szCs w:val="20"/>
          <w:lang w:val="en-US" w:eastAsia="en-US" w:bidi="en-US"/>
        </w:rPr>
        <w:t xml:space="preserve"> of the American Convention on Human Rights</w:t>
      </w:r>
      <w:r w:rsidR="00195333" w:rsidRPr="00012C3F">
        <w:rPr>
          <w:rFonts w:eastAsia="MS Mincho"/>
          <w:sz w:val="20"/>
          <w:szCs w:val="20"/>
          <w:lang w:val="en-US" w:eastAsia="en-US" w:bidi="en-US"/>
        </w:rPr>
        <w:t xml:space="preserve">, </w:t>
      </w:r>
      <w:r w:rsidR="00BB2744" w:rsidRPr="00012C3F">
        <w:rPr>
          <w:sz w:val="20"/>
          <w:szCs w:val="20"/>
          <w:lang w:val="en-US"/>
        </w:rPr>
        <w:t xml:space="preserve">in relation to the obligations </w:t>
      </w:r>
      <w:r w:rsidR="004A757F" w:rsidRPr="00012C3F">
        <w:rPr>
          <w:sz w:val="20"/>
          <w:szCs w:val="20"/>
          <w:lang w:val="en-US"/>
        </w:rPr>
        <w:t xml:space="preserve">to respect and to ensure, </w:t>
      </w:r>
      <w:r w:rsidR="00BB2744" w:rsidRPr="00012C3F">
        <w:rPr>
          <w:sz w:val="20"/>
          <w:szCs w:val="20"/>
          <w:lang w:val="en-US"/>
        </w:rPr>
        <w:t>without discrimination</w:t>
      </w:r>
      <w:r w:rsidR="004A757F" w:rsidRPr="00012C3F">
        <w:rPr>
          <w:sz w:val="20"/>
          <w:szCs w:val="20"/>
          <w:lang w:val="en-US"/>
        </w:rPr>
        <w:t>,</w:t>
      </w:r>
      <w:r w:rsidR="00BB2744" w:rsidRPr="00012C3F">
        <w:rPr>
          <w:sz w:val="20"/>
          <w:szCs w:val="20"/>
          <w:lang w:val="en-US"/>
        </w:rPr>
        <w:t xml:space="preserve"> </w:t>
      </w:r>
      <w:r w:rsidR="004A757F" w:rsidRPr="00012C3F">
        <w:rPr>
          <w:sz w:val="20"/>
          <w:szCs w:val="20"/>
          <w:lang w:val="en-US"/>
        </w:rPr>
        <w:t>these rights contained in</w:t>
      </w:r>
      <w:r w:rsidR="00840E72" w:rsidRPr="00012C3F">
        <w:rPr>
          <w:sz w:val="20"/>
          <w:szCs w:val="20"/>
          <w:lang w:val="en-US"/>
        </w:rPr>
        <w:t xml:space="preserve"> </w:t>
      </w:r>
      <w:r w:rsidR="001254DE" w:rsidRPr="00012C3F">
        <w:rPr>
          <w:sz w:val="20"/>
          <w:szCs w:val="20"/>
          <w:lang w:val="en-US"/>
        </w:rPr>
        <w:t>Article</w:t>
      </w:r>
      <w:r w:rsidR="00840E72" w:rsidRPr="00012C3F">
        <w:rPr>
          <w:sz w:val="20"/>
          <w:szCs w:val="20"/>
          <w:lang w:val="en-US"/>
        </w:rPr>
        <w:t xml:space="preserve"> </w:t>
      </w:r>
      <w:r w:rsidR="005E5012" w:rsidRPr="00012C3F">
        <w:rPr>
          <w:sz w:val="20"/>
          <w:szCs w:val="20"/>
          <w:lang w:val="en-US"/>
        </w:rPr>
        <w:t>1(1)</w:t>
      </w:r>
      <w:r w:rsidR="00840E72" w:rsidRPr="00012C3F">
        <w:rPr>
          <w:sz w:val="20"/>
          <w:szCs w:val="20"/>
          <w:lang w:val="en-US"/>
        </w:rPr>
        <w:t xml:space="preserve"> </w:t>
      </w:r>
      <w:r w:rsidR="006C705C" w:rsidRPr="00012C3F">
        <w:rPr>
          <w:sz w:val="20"/>
          <w:szCs w:val="20"/>
          <w:lang w:val="en-US"/>
        </w:rPr>
        <w:t>of this instrument</w:t>
      </w:r>
      <w:r w:rsidR="00195333" w:rsidRPr="00012C3F">
        <w:rPr>
          <w:rFonts w:eastAsia="MS Mincho"/>
          <w:sz w:val="20"/>
          <w:szCs w:val="20"/>
          <w:lang w:val="en-US" w:eastAsia="en-US" w:bidi="en-US"/>
        </w:rPr>
        <w:t>, a</w:t>
      </w:r>
      <w:r w:rsidR="004A757F" w:rsidRPr="00012C3F">
        <w:rPr>
          <w:rFonts w:eastAsia="MS Mincho"/>
          <w:sz w:val="20"/>
          <w:szCs w:val="20"/>
          <w:lang w:val="en-US" w:eastAsia="en-US" w:bidi="en-US"/>
        </w:rPr>
        <w:t xml:space="preserve">nd also for failing to comply with its obligations under </w:t>
      </w:r>
      <w:r w:rsidR="001254DE" w:rsidRPr="00012C3F">
        <w:rPr>
          <w:rFonts w:eastAsia="MS Mincho"/>
          <w:sz w:val="20"/>
          <w:szCs w:val="20"/>
          <w:lang w:val="en-US" w:eastAsia="en-US" w:bidi="en-US"/>
        </w:rPr>
        <w:t>Article</w:t>
      </w:r>
      <w:r w:rsidR="00195333" w:rsidRPr="00012C3F">
        <w:rPr>
          <w:rFonts w:eastAsia="MS Mincho"/>
          <w:sz w:val="20"/>
          <w:szCs w:val="20"/>
          <w:lang w:val="en-US" w:eastAsia="en-US" w:bidi="en-US"/>
        </w:rPr>
        <w:t xml:space="preserve"> </w:t>
      </w:r>
      <w:r w:rsidR="00D871E8" w:rsidRPr="00012C3F">
        <w:rPr>
          <w:rFonts w:eastAsia="MS Mincho"/>
          <w:sz w:val="20"/>
          <w:szCs w:val="20"/>
          <w:lang w:val="en-US" w:eastAsia="en-US" w:bidi="en-US"/>
        </w:rPr>
        <w:t>7(a)</w:t>
      </w:r>
      <w:r w:rsidR="005E5012" w:rsidRPr="00012C3F">
        <w:rPr>
          <w:rFonts w:eastAsia="MS Mincho"/>
          <w:sz w:val="20"/>
          <w:szCs w:val="20"/>
          <w:lang w:val="en-US" w:eastAsia="en-US" w:bidi="en-US"/>
        </w:rPr>
        <w:t xml:space="preserve"> and </w:t>
      </w:r>
      <w:r w:rsidR="00195333" w:rsidRPr="00012C3F">
        <w:rPr>
          <w:rFonts w:eastAsia="MS Mincho"/>
          <w:sz w:val="20"/>
          <w:szCs w:val="20"/>
          <w:lang w:val="en-US" w:eastAsia="en-US" w:bidi="en-US"/>
        </w:rPr>
        <w:t>b)</w:t>
      </w:r>
      <w:r w:rsidR="001254DE" w:rsidRPr="00012C3F">
        <w:rPr>
          <w:rFonts w:eastAsia="MS Mincho"/>
          <w:sz w:val="20"/>
          <w:szCs w:val="20"/>
          <w:lang w:val="en-US" w:eastAsia="en-US" w:bidi="en-US"/>
        </w:rPr>
        <w:t xml:space="preserve"> of the Convention</w:t>
      </w:r>
      <w:r w:rsidR="00195333"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of Belém</w:t>
      </w:r>
      <w:r w:rsidR="00195333" w:rsidRPr="00012C3F">
        <w:rPr>
          <w:rFonts w:eastAsia="MS Mincho"/>
          <w:sz w:val="20"/>
          <w:szCs w:val="20"/>
          <w:lang w:val="en-US" w:eastAsia="en-US" w:bidi="en-US"/>
        </w:rPr>
        <w:t xml:space="preserve"> do Pará, </w:t>
      </w:r>
      <w:r w:rsidR="005E5012" w:rsidRPr="00012C3F">
        <w:rPr>
          <w:rFonts w:eastAsia="MS Mincho"/>
          <w:sz w:val="20"/>
          <w:szCs w:val="20"/>
          <w:lang w:val="en-US" w:eastAsia="en-US" w:bidi="en-US"/>
        </w:rPr>
        <w:t>to the detriment of</w:t>
      </w:r>
      <w:r w:rsidR="00195333" w:rsidRPr="00012C3F">
        <w:rPr>
          <w:rFonts w:eastAsia="MS Mincho"/>
          <w:sz w:val="20"/>
          <w:szCs w:val="20"/>
          <w:lang w:val="en-US" w:eastAsia="en-US" w:bidi="en-US"/>
        </w:rPr>
        <w:t xml:space="preserve"> </w:t>
      </w:r>
      <w:r w:rsidR="000E1C11" w:rsidRPr="00012C3F">
        <w:rPr>
          <w:rFonts w:eastAsia="MS Mincho"/>
          <w:sz w:val="20"/>
          <w:szCs w:val="20"/>
          <w:lang w:val="en-US" w:eastAsia="en-US" w:bidi="en-US"/>
        </w:rPr>
        <w:t>I.V.</w:t>
      </w:r>
      <w:r w:rsidR="008C7FE4" w:rsidRPr="00012C3F">
        <w:rPr>
          <w:sz w:val="20"/>
          <w:szCs w:val="20"/>
          <w:lang w:val="en-US"/>
        </w:rPr>
        <w:t xml:space="preserve">, </w:t>
      </w:r>
      <w:r w:rsidR="009D443F" w:rsidRPr="00012C3F">
        <w:rPr>
          <w:sz w:val="20"/>
          <w:szCs w:val="20"/>
          <w:lang w:val="en-US"/>
        </w:rPr>
        <w:t>pursuant to</w:t>
      </w:r>
      <w:r w:rsidR="000F735E" w:rsidRPr="00012C3F">
        <w:rPr>
          <w:sz w:val="20"/>
          <w:szCs w:val="20"/>
          <w:lang w:val="en-US"/>
        </w:rPr>
        <w:t xml:space="preserve"> paragraphs</w:t>
      </w:r>
      <w:r w:rsidR="008C7FE4" w:rsidRPr="00012C3F">
        <w:rPr>
          <w:sz w:val="20"/>
          <w:szCs w:val="20"/>
          <w:lang w:val="en-US"/>
        </w:rPr>
        <w:t xml:space="preserve"> </w:t>
      </w:r>
      <w:r w:rsidR="00FB7C42" w:rsidRPr="00012C3F">
        <w:rPr>
          <w:sz w:val="20"/>
          <w:szCs w:val="20"/>
          <w:lang w:val="en-US"/>
        </w:rPr>
        <w:t xml:space="preserve">147 </w:t>
      </w:r>
      <w:r w:rsidR="004A757F" w:rsidRPr="00012C3F">
        <w:rPr>
          <w:sz w:val="20"/>
          <w:szCs w:val="20"/>
          <w:lang w:val="en-US"/>
        </w:rPr>
        <w:t>to</w:t>
      </w:r>
      <w:r w:rsidR="008C7FE4" w:rsidRPr="00012C3F">
        <w:rPr>
          <w:sz w:val="20"/>
          <w:szCs w:val="20"/>
          <w:lang w:val="en-US"/>
        </w:rPr>
        <w:t xml:space="preserve"> </w:t>
      </w:r>
      <w:r w:rsidR="00C9237C" w:rsidRPr="00012C3F">
        <w:rPr>
          <w:sz w:val="20"/>
          <w:szCs w:val="20"/>
          <w:lang w:val="en-US"/>
        </w:rPr>
        <w:t xml:space="preserve">256 </w:t>
      </w:r>
      <w:r w:rsidR="000F735E" w:rsidRPr="00012C3F">
        <w:rPr>
          <w:sz w:val="20"/>
          <w:szCs w:val="20"/>
          <w:lang w:val="en-US"/>
        </w:rPr>
        <w:t>of this judgment</w:t>
      </w:r>
      <w:r w:rsidR="008C7FE4" w:rsidRPr="00012C3F">
        <w:rPr>
          <w:sz w:val="20"/>
          <w:szCs w:val="20"/>
          <w:lang w:val="en-US"/>
        </w:rPr>
        <w:t>.</w:t>
      </w:r>
    </w:p>
    <w:p w14:paraId="2D4CED3C" w14:textId="77777777" w:rsidR="00B25D97" w:rsidRPr="00012C3F" w:rsidRDefault="00B25D97" w:rsidP="008C7FE4">
      <w:pPr>
        <w:pStyle w:val="Prrafodelista2"/>
        <w:ind w:left="0" w:right="-90"/>
        <w:contextualSpacing/>
        <w:jc w:val="both"/>
        <w:rPr>
          <w:lang w:val="en-US"/>
        </w:rPr>
      </w:pPr>
    </w:p>
    <w:p w14:paraId="7B35F2CE" w14:textId="77777777" w:rsidR="008C7FE4" w:rsidRPr="00012C3F" w:rsidRDefault="00A84CA0" w:rsidP="00B25D97">
      <w:pPr>
        <w:widowControl/>
        <w:numPr>
          <w:ilvl w:val="0"/>
          <w:numId w:val="44"/>
        </w:numPr>
        <w:tabs>
          <w:tab w:val="left" w:pos="720"/>
        </w:tabs>
        <w:adjustRightInd/>
        <w:spacing w:line="240" w:lineRule="auto"/>
        <w:ind w:right="-90"/>
        <w:contextualSpacing/>
        <w:textAlignment w:val="auto"/>
        <w:rPr>
          <w:lang w:val="en-US"/>
        </w:rPr>
      </w:pPr>
      <w:r w:rsidRPr="00012C3F">
        <w:rPr>
          <w:sz w:val="20"/>
          <w:szCs w:val="20"/>
          <w:lang w:val="en-US"/>
        </w:rPr>
        <w:t>The State</w:t>
      </w:r>
      <w:r w:rsidR="00B25D97" w:rsidRPr="00012C3F">
        <w:rPr>
          <w:sz w:val="20"/>
          <w:szCs w:val="20"/>
          <w:lang w:val="en-US"/>
        </w:rPr>
        <w:t xml:space="preserve"> </w:t>
      </w:r>
      <w:r w:rsidR="00DF5BD3" w:rsidRPr="00012C3F">
        <w:rPr>
          <w:sz w:val="20"/>
          <w:szCs w:val="20"/>
          <w:lang w:val="en-US"/>
        </w:rPr>
        <w:t>is responsible for the violation of</w:t>
      </w:r>
      <w:r w:rsidR="009D443F" w:rsidRPr="00012C3F">
        <w:rPr>
          <w:sz w:val="20"/>
          <w:szCs w:val="20"/>
          <w:lang w:val="en-US"/>
        </w:rPr>
        <w:t xml:space="preserve"> the right </w:t>
      </w:r>
      <w:r w:rsidR="006C705C" w:rsidRPr="00012C3F">
        <w:rPr>
          <w:sz w:val="20"/>
          <w:szCs w:val="20"/>
          <w:lang w:val="en-US"/>
        </w:rPr>
        <w:t>to personal integrity</w:t>
      </w:r>
      <w:r w:rsidR="00B25D97" w:rsidRPr="00012C3F">
        <w:rPr>
          <w:sz w:val="20"/>
          <w:szCs w:val="20"/>
          <w:lang w:val="en-US"/>
        </w:rPr>
        <w:t xml:space="preserve"> reco</w:t>
      </w:r>
      <w:r w:rsidR="009D443F" w:rsidRPr="00012C3F">
        <w:rPr>
          <w:sz w:val="20"/>
          <w:szCs w:val="20"/>
          <w:lang w:val="en-US"/>
        </w:rPr>
        <w:t xml:space="preserve">gnized in </w:t>
      </w:r>
      <w:r w:rsidR="001254DE" w:rsidRPr="00012C3F">
        <w:rPr>
          <w:sz w:val="20"/>
          <w:szCs w:val="20"/>
          <w:lang w:val="en-US"/>
        </w:rPr>
        <w:t>Article</w:t>
      </w:r>
      <w:r w:rsidR="00B25D97" w:rsidRPr="00012C3F">
        <w:rPr>
          <w:sz w:val="20"/>
          <w:szCs w:val="20"/>
          <w:lang w:val="en-US"/>
        </w:rPr>
        <w:t xml:space="preserve"> </w:t>
      </w:r>
      <w:r w:rsidR="005E5012" w:rsidRPr="00012C3F">
        <w:rPr>
          <w:sz w:val="20"/>
          <w:szCs w:val="20"/>
          <w:lang w:val="en-US"/>
        </w:rPr>
        <w:t xml:space="preserve">5(1) and </w:t>
      </w:r>
      <w:r w:rsidR="00B257AF" w:rsidRPr="00012C3F">
        <w:rPr>
          <w:sz w:val="20"/>
          <w:szCs w:val="20"/>
          <w:lang w:val="en-US"/>
        </w:rPr>
        <w:t>5(2)</w:t>
      </w:r>
      <w:r w:rsidR="001254DE" w:rsidRPr="00012C3F">
        <w:rPr>
          <w:sz w:val="20"/>
          <w:szCs w:val="20"/>
          <w:lang w:val="en-US"/>
        </w:rPr>
        <w:t xml:space="preserve"> of the American Convention on Human Rights</w:t>
      </w:r>
      <w:r w:rsidR="00B25D97" w:rsidRPr="00012C3F">
        <w:rPr>
          <w:sz w:val="20"/>
          <w:szCs w:val="20"/>
          <w:lang w:val="en-US"/>
        </w:rPr>
        <w:t xml:space="preserve">, </w:t>
      </w:r>
      <w:r w:rsidR="006C705C" w:rsidRPr="00012C3F">
        <w:rPr>
          <w:sz w:val="20"/>
          <w:szCs w:val="20"/>
          <w:lang w:val="en-US"/>
        </w:rPr>
        <w:t>in relation to</w:t>
      </w:r>
      <w:r w:rsidR="00B25D97" w:rsidRPr="00012C3F">
        <w:rPr>
          <w:sz w:val="20"/>
          <w:szCs w:val="20"/>
          <w:lang w:val="en-US"/>
        </w:rPr>
        <w:t xml:space="preserve"> </w:t>
      </w:r>
      <w:r w:rsidR="009D443F" w:rsidRPr="00012C3F">
        <w:rPr>
          <w:sz w:val="20"/>
          <w:szCs w:val="20"/>
          <w:lang w:val="en-US"/>
        </w:rPr>
        <w:t xml:space="preserve">the obligation to respect this right contained in </w:t>
      </w:r>
      <w:r w:rsidR="001254DE" w:rsidRPr="00012C3F">
        <w:rPr>
          <w:sz w:val="20"/>
          <w:szCs w:val="20"/>
          <w:lang w:val="en-US"/>
        </w:rPr>
        <w:t>Article</w:t>
      </w:r>
      <w:r w:rsidR="00B25D97" w:rsidRPr="00012C3F">
        <w:rPr>
          <w:sz w:val="20"/>
          <w:szCs w:val="20"/>
          <w:lang w:val="en-US"/>
        </w:rPr>
        <w:t xml:space="preserve"> </w:t>
      </w:r>
      <w:r w:rsidR="005E5012" w:rsidRPr="00012C3F">
        <w:rPr>
          <w:sz w:val="20"/>
          <w:szCs w:val="20"/>
          <w:lang w:val="en-US"/>
        </w:rPr>
        <w:t>1(1)</w:t>
      </w:r>
      <w:r w:rsidR="00B25D97" w:rsidRPr="00012C3F">
        <w:rPr>
          <w:sz w:val="20"/>
          <w:szCs w:val="20"/>
          <w:lang w:val="en-US"/>
        </w:rPr>
        <w:t xml:space="preserve"> </w:t>
      </w:r>
      <w:r w:rsidR="006C705C" w:rsidRPr="00012C3F">
        <w:rPr>
          <w:sz w:val="20"/>
          <w:szCs w:val="20"/>
          <w:lang w:val="en-US"/>
        </w:rPr>
        <w:t>of this instrument</w:t>
      </w:r>
      <w:r w:rsidR="00B25D97" w:rsidRPr="00012C3F">
        <w:rPr>
          <w:sz w:val="20"/>
          <w:szCs w:val="20"/>
          <w:lang w:val="en-US"/>
        </w:rPr>
        <w:t xml:space="preserve">, </w:t>
      </w:r>
      <w:r w:rsidR="005E5012" w:rsidRPr="00012C3F">
        <w:rPr>
          <w:sz w:val="20"/>
          <w:szCs w:val="20"/>
          <w:lang w:val="en-US"/>
        </w:rPr>
        <w:t>to the detriment of</w:t>
      </w:r>
      <w:r w:rsidR="00B25D97" w:rsidRPr="00012C3F">
        <w:rPr>
          <w:sz w:val="20"/>
          <w:szCs w:val="20"/>
          <w:lang w:val="en-US"/>
        </w:rPr>
        <w:t xml:space="preserve"> </w:t>
      </w:r>
      <w:r w:rsidR="000E1C11" w:rsidRPr="00012C3F">
        <w:rPr>
          <w:sz w:val="20"/>
          <w:szCs w:val="20"/>
          <w:lang w:val="en-US"/>
        </w:rPr>
        <w:t>I.V.</w:t>
      </w:r>
      <w:r w:rsidR="00B25D97" w:rsidRPr="00012C3F">
        <w:rPr>
          <w:sz w:val="20"/>
          <w:szCs w:val="20"/>
          <w:lang w:val="en-US"/>
        </w:rPr>
        <w:t xml:space="preserve">, </w:t>
      </w:r>
      <w:r w:rsidR="009D443F" w:rsidRPr="00012C3F">
        <w:rPr>
          <w:sz w:val="20"/>
          <w:szCs w:val="20"/>
          <w:lang w:val="en-US"/>
        </w:rPr>
        <w:t xml:space="preserve">pursuant to </w:t>
      </w:r>
      <w:r w:rsidR="000F735E" w:rsidRPr="00012C3F">
        <w:rPr>
          <w:sz w:val="20"/>
          <w:szCs w:val="20"/>
          <w:lang w:val="en-US"/>
        </w:rPr>
        <w:t>paragraphs</w:t>
      </w:r>
      <w:r w:rsidR="00B25D97" w:rsidRPr="00012C3F">
        <w:rPr>
          <w:sz w:val="20"/>
          <w:szCs w:val="20"/>
          <w:lang w:val="en-US"/>
        </w:rPr>
        <w:t xml:space="preserve"> </w:t>
      </w:r>
      <w:r w:rsidR="00223DC5" w:rsidRPr="00012C3F">
        <w:rPr>
          <w:sz w:val="20"/>
          <w:szCs w:val="20"/>
          <w:lang w:val="en-US"/>
        </w:rPr>
        <w:t xml:space="preserve">262 </w:t>
      </w:r>
      <w:r w:rsidR="009D443F" w:rsidRPr="00012C3F">
        <w:rPr>
          <w:sz w:val="20"/>
          <w:szCs w:val="20"/>
          <w:lang w:val="en-US"/>
        </w:rPr>
        <w:t>to</w:t>
      </w:r>
      <w:r w:rsidR="00B25D97" w:rsidRPr="00012C3F">
        <w:rPr>
          <w:sz w:val="20"/>
          <w:szCs w:val="20"/>
          <w:lang w:val="en-US"/>
        </w:rPr>
        <w:t xml:space="preserve"> </w:t>
      </w:r>
      <w:r w:rsidR="00223DC5" w:rsidRPr="00012C3F">
        <w:rPr>
          <w:sz w:val="20"/>
          <w:szCs w:val="20"/>
          <w:lang w:val="en-US"/>
        </w:rPr>
        <w:t xml:space="preserve">270 </w:t>
      </w:r>
      <w:r w:rsidR="000F735E" w:rsidRPr="00012C3F">
        <w:rPr>
          <w:sz w:val="20"/>
          <w:szCs w:val="20"/>
          <w:lang w:val="en-US"/>
        </w:rPr>
        <w:t>of this judgment</w:t>
      </w:r>
      <w:r w:rsidR="00B25D97" w:rsidRPr="00012C3F">
        <w:rPr>
          <w:sz w:val="20"/>
          <w:szCs w:val="20"/>
          <w:lang w:val="en-US"/>
        </w:rPr>
        <w:t>.</w:t>
      </w:r>
    </w:p>
    <w:p w14:paraId="5FB0CB22" w14:textId="77777777" w:rsidR="00B25D97" w:rsidRPr="00012C3F" w:rsidRDefault="00B25D97" w:rsidP="00B25D97">
      <w:pPr>
        <w:widowControl/>
        <w:tabs>
          <w:tab w:val="left" w:pos="720"/>
        </w:tabs>
        <w:adjustRightInd/>
        <w:spacing w:line="240" w:lineRule="auto"/>
        <w:ind w:right="-90"/>
        <w:contextualSpacing/>
        <w:textAlignment w:val="auto"/>
        <w:rPr>
          <w:sz w:val="20"/>
          <w:szCs w:val="20"/>
          <w:lang w:val="en-US"/>
        </w:rPr>
      </w:pPr>
    </w:p>
    <w:p w14:paraId="1C6DD2C3" w14:textId="77777777" w:rsidR="008C7FE4" w:rsidRPr="00012C3F" w:rsidRDefault="00A84CA0" w:rsidP="008C7FE4">
      <w:pPr>
        <w:widowControl/>
        <w:numPr>
          <w:ilvl w:val="0"/>
          <w:numId w:val="44"/>
        </w:numPr>
        <w:tabs>
          <w:tab w:val="left" w:pos="720"/>
        </w:tabs>
        <w:adjustRightInd/>
        <w:spacing w:line="240" w:lineRule="auto"/>
        <w:ind w:right="-90"/>
        <w:contextualSpacing/>
        <w:textAlignment w:val="auto"/>
        <w:rPr>
          <w:sz w:val="20"/>
          <w:szCs w:val="20"/>
          <w:lang w:val="en-US"/>
        </w:rPr>
      </w:pPr>
      <w:r w:rsidRPr="00012C3F">
        <w:rPr>
          <w:sz w:val="20"/>
          <w:szCs w:val="20"/>
          <w:lang w:val="en-US"/>
        </w:rPr>
        <w:t>The State</w:t>
      </w:r>
      <w:r w:rsidR="008C7FE4" w:rsidRPr="00012C3F">
        <w:rPr>
          <w:sz w:val="20"/>
          <w:szCs w:val="20"/>
          <w:lang w:val="en-US"/>
        </w:rPr>
        <w:t xml:space="preserve"> </w:t>
      </w:r>
      <w:r w:rsidR="00DF5BD3" w:rsidRPr="00012C3F">
        <w:rPr>
          <w:sz w:val="20"/>
          <w:szCs w:val="20"/>
          <w:lang w:val="en-US"/>
        </w:rPr>
        <w:t>is responsible for the violation of</w:t>
      </w:r>
      <w:r w:rsidR="00BB2744" w:rsidRPr="00012C3F">
        <w:rPr>
          <w:sz w:val="20"/>
          <w:szCs w:val="20"/>
          <w:lang w:val="en-US"/>
        </w:rPr>
        <w:t xml:space="preserve"> </w:t>
      </w:r>
      <w:r w:rsidR="009D443F" w:rsidRPr="00012C3F">
        <w:rPr>
          <w:sz w:val="20"/>
          <w:szCs w:val="20"/>
          <w:lang w:val="en-US"/>
        </w:rPr>
        <w:t>the</w:t>
      </w:r>
      <w:r w:rsidR="00BB2744" w:rsidRPr="00012C3F">
        <w:rPr>
          <w:sz w:val="20"/>
          <w:szCs w:val="20"/>
          <w:lang w:val="en-US"/>
        </w:rPr>
        <w:t xml:space="preserve"> rights to judicial guarantees and judicial</w:t>
      </w:r>
      <w:r w:rsidR="009D443F" w:rsidRPr="00012C3F">
        <w:rPr>
          <w:sz w:val="20"/>
          <w:szCs w:val="20"/>
          <w:lang w:val="en-US"/>
        </w:rPr>
        <w:t xml:space="preserve"> protection</w:t>
      </w:r>
      <w:r w:rsidR="00BB2744" w:rsidRPr="00012C3F">
        <w:rPr>
          <w:sz w:val="20"/>
          <w:szCs w:val="20"/>
          <w:lang w:val="en-US"/>
        </w:rPr>
        <w:t xml:space="preserve">, </w:t>
      </w:r>
      <w:r w:rsidR="00DF5BD3" w:rsidRPr="00012C3F">
        <w:rPr>
          <w:sz w:val="20"/>
          <w:szCs w:val="20"/>
          <w:lang w:val="en-US"/>
        </w:rPr>
        <w:t>recognized in</w:t>
      </w:r>
      <w:r w:rsidR="00BB2744" w:rsidRPr="00012C3F">
        <w:rPr>
          <w:sz w:val="20"/>
          <w:szCs w:val="20"/>
          <w:lang w:val="en-US"/>
        </w:rPr>
        <w:t xml:space="preserve"> </w:t>
      </w:r>
      <w:r w:rsidR="009D443F" w:rsidRPr="00012C3F">
        <w:rPr>
          <w:sz w:val="20"/>
          <w:szCs w:val="20"/>
          <w:lang w:val="en-US"/>
        </w:rPr>
        <w:t>A</w:t>
      </w:r>
      <w:r w:rsidR="00BB2744" w:rsidRPr="00012C3F">
        <w:rPr>
          <w:sz w:val="20"/>
          <w:szCs w:val="20"/>
          <w:lang w:val="en-US"/>
        </w:rPr>
        <w:t xml:space="preserve">rticles 8(1) and 25(1) of the </w:t>
      </w:r>
      <w:r w:rsidR="009D443F" w:rsidRPr="00012C3F">
        <w:rPr>
          <w:sz w:val="20"/>
          <w:szCs w:val="20"/>
          <w:lang w:val="en-US"/>
        </w:rPr>
        <w:t>American Convention on Human Rights</w:t>
      </w:r>
      <w:r w:rsidR="00BB2744" w:rsidRPr="00012C3F">
        <w:rPr>
          <w:sz w:val="20"/>
          <w:szCs w:val="20"/>
          <w:lang w:val="en-US"/>
        </w:rPr>
        <w:t xml:space="preserve">, in relation to the obligations </w:t>
      </w:r>
      <w:r w:rsidR="009D443F" w:rsidRPr="00012C3F">
        <w:rPr>
          <w:sz w:val="20"/>
          <w:szCs w:val="20"/>
          <w:lang w:val="en-US"/>
        </w:rPr>
        <w:t xml:space="preserve">to respect and to ensure these rights </w:t>
      </w:r>
      <w:r w:rsidR="00BB2744" w:rsidRPr="00012C3F">
        <w:rPr>
          <w:sz w:val="20"/>
          <w:szCs w:val="20"/>
          <w:lang w:val="en-US"/>
        </w:rPr>
        <w:t xml:space="preserve">without discrimination </w:t>
      </w:r>
      <w:r w:rsidR="009D443F" w:rsidRPr="00012C3F">
        <w:rPr>
          <w:sz w:val="20"/>
          <w:szCs w:val="20"/>
          <w:lang w:val="en-US"/>
        </w:rPr>
        <w:t>contained in</w:t>
      </w:r>
      <w:r w:rsidR="008C7FE4" w:rsidRPr="00012C3F">
        <w:rPr>
          <w:sz w:val="20"/>
          <w:szCs w:val="20"/>
          <w:lang w:val="en-US"/>
        </w:rPr>
        <w:t xml:space="preserve"> </w:t>
      </w:r>
      <w:r w:rsidR="001254DE" w:rsidRPr="00012C3F">
        <w:rPr>
          <w:sz w:val="20"/>
          <w:szCs w:val="20"/>
          <w:lang w:val="en-US"/>
        </w:rPr>
        <w:t>Article</w:t>
      </w:r>
      <w:r w:rsidR="008C7FE4" w:rsidRPr="00012C3F">
        <w:rPr>
          <w:sz w:val="20"/>
          <w:szCs w:val="20"/>
          <w:lang w:val="en-US"/>
        </w:rPr>
        <w:t xml:space="preserve"> </w:t>
      </w:r>
      <w:r w:rsidR="005E5012" w:rsidRPr="00012C3F">
        <w:rPr>
          <w:sz w:val="20"/>
          <w:szCs w:val="20"/>
          <w:lang w:val="en-US"/>
        </w:rPr>
        <w:t>1(1)</w:t>
      </w:r>
      <w:r w:rsidR="008C7FE4" w:rsidRPr="00012C3F">
        <w:rPr>
          <w:sz w:val="20"/>
          <w:szCs w:val="20"/>
          <w:lang w:val="en-US"/>
        </w:rPr>
        <w:t xml:space="preserve"> </w:t>
      </w:r>
      <w:r w:rsidR="006C705C" w:rsidRPr="00012C3F">
        <w:rPr>
          <w:sz w:val="20"/>
          <w:szCs w:val="20"/>
          <w:lang w:val="en-US"/>
        </w:rPr>
        <w:t>of this instrument</w:t>
      </w:r>
      <w:r w:rsidR="008C7FE4" w:rsidRPr="00012C3F">
        <w:rPr>
          <w:sz w:val="20"/>
          <w:szCs w:val="20"/>
          <w:lang w:val="en-US"/>
        </w:rPr>
        <w:t xml:space="preserve">, </w:t>
      </w:r>
      <w:r w:rsidR="009D443F" w:rsidRPr="00012C3F">
        <w:rPr>
          <w:rFonts w:eastAsia="MS Mincho"/>
          <w:sz w:val="20"/>
          <w:szCs w:val="20"/>
          <w:lang w:val="en-US" w:eastAsia="en-US" w:bidi="en-US"/>
        </w:rPr>
        <w:t xml:space="preserve">and also for failing to comply with its obligations under </w:t>
      </w:r>
      <w:r w:rsidR="001254DE" w:rsidRPr="00012C3F">
        <w:rPr>
          <w:rFonts w:eastAsia="MS Mincho"/>
          <w:sz w:val="20"/>
          <w:szCs w:val="20"/>
          <w:lang w:val="en-US" w:eastAsia="en-US" w:bidi="en-US"/>
        </w:rPr>
        <w:t>Article</w:t>
      </w:r>
      <w:r w:rsidR="00B25D97" w:rsidRPr="00012C3F">
        <w:rPr>
          <w:rFonts w:eastAsia="MS Mincho"/>
          <w:sz w:val="20"/>
          <w:szCs w:val="20"/>
          <w:lang w:val="en-US" w:eastAsia="en-US" w:bidi="en-US"/>
        </w:rPr>
        <w:t xml:space="preserve"> </w:t>
      </w:r>
      <w:r w:rsidR="00DF71A5" w:rsidRPr="00012C3F">
        <w:rPr>
          <w:rFonts w:eastAsia="MS Mincho"/>
          <w:sz w:val="20"/>
          <w:szCs w:val="20"/>
          <w:lang w:val="en-US" w:eastAsia="en-US" w:bidi="en-US"/>
        </w:rPr>
        <w:t>7(b)</w:t>
      </w:r>
      <w:r w:rsidR="00B25D97" w:rsidRPr="00012C3F">
        <w:rPr>
          <w:rFonts w:eastAsia="MS Mincho"/>
          <w:sz w:val="20"/>
          <w:szCs w:val="20"/>
          <w:lang w:val="en-US" w:eastAsia="en-US" w:bidi="en-US"/>
        </w:rPr>
        <w:t>, c), f)</w:t>
      </w:r>
      <w:r w:rsidR="005E5012" w:rsidRPr="00012C3F">
        <w:rPr>
          <w:rFonts w:eastAsia="MS Mincho"/>
          <w:sz w:val="20"/>
          <w:szCs w:val="20"/>
          <w:lang w:val="en-US" w:eastAsia="en-US" w:bidi="en-US"/>
        </w:rPr>
        <w:t xml:space="preserve"> and </w:t>
      </w:r>
      <w:r w:rsidR="00B25D97" w:rsidRPr="00012C3F">
        <w:rPr>
          <w:rFonts w:eastAsia="MS Mincho"/>
          <w:sz w:val="20"/>
          <w:szCs w:val="20"/>
          <w:lang w:val="en-US" w:eastAsia="en-US" w:bidi="en-US"/>
        </w:rPr>
        <w:t>g)</w:t>
      </w:r>
      <w:r w:rsidR="001254DE" w:rsidRPr="00012C3F">
        <w:rPr>
          <w:rFonts w:eastAsia="MS Mincho"/>
          <w:sz w:val="20"/>
          <w:szCs w:val="20"/>
          <w:lang w:val="en-US" w:eastAsia="en-US" w:bidi="en-US"/>
        </w:rPr>
        <w:t xml:space="preserve"> of the Convention</w:t>
      </w:r>
      <w:r w:rsidR="00B25D97" w:rsidRPr="00012C3F">
        <w:rPr>
          <w:rFonts w:eastAsia="MS Mincho"/>
          <w:sz w:val="20"/>
          <w:szCs w:val="20"/>
          <w:lang w:val="en-US" w:eastAsia="en-US" w:bidi="en-US"/>
        </w:rPr>
        <w:t xml:space="preserve"> </w:t>
      </w:r>
      <w:r w:rsidR="005E5012" w:rsidRPr="00012C3F">
        <w:rPr>
          <w:rFonts w:eastAsia="MS Mincho"/>
          <w:sz w:val="20"/>
          <w:szCs w:val="20"/>
          <w:lang w:val="en-US" w:eastAsia="en-US" w:bidi="en-US"/>
        </w:rPr>
        <w:t>of Belém</w:t>
      </w:r>
      <w:r w:rsidR="00B25D97" w:rsidRPr="00012C3F">
        <w:rPr>
          <w:rFonts w:eastAsia="MS Mincho"/>
          <w:sz w:val="20"/>
          <w:szCs w:val="20"/>
          <w:lang w:val="en-US" w:eastAsia="en-US" w:bidi="en-US"/>
        </w:rPr>
        <w:t xml:space="preserve"> do Pará</w:t>
      </w:r>
      <w:r w:rsidR="008C7FE4" w:rsidRPr="00012C3F">
        <w:rPr>
          <w:rFonts w:eastAsia="Batang"/>
          <w:bCs/>
          <w:sz w:val="20"/>
          <w:szCs w:val="20"/>
          <w:lang w:val="en-US"/>
        </w:rPr>
        <w:t>,</w:t>
      </w:r>
      <w:r w:rsidR="008C7FE4" w:rsidRPr="00012C3F">
        <w:rPr>
          <w:rFonts w:eastAsia="Batang"/>
          <w:sz w:val="20"/>
          <w:szCs w:val="20"/>
          <w:lang w:val="en-US"/>
        </w:rPr>
        <w:t xml:space="preserve"> </w:t>
      </w:r>
      <w:r w:rsidR="005E5012" w:rsidRPr="00012C3F">
        <w:rPr>
          <w:rFonts w:eastAsia="MS Mincho"/>
          <w:sz w:val="20"/>
          <w:szCs w:val="20"/>
          <w:lang w:val="en-US" w:eastAsia="en-US" w:bidi="en-US"/>
        </w:rPr>
        <w:t>to the detriment of</w:t>
      </w:r>
      <w:r w:rsidR="00840E72" w:rsidRPr="00012C3F">
        <w:rPr>
          <w:rFonts w:eastAsia="MS Mincho"/>
          <w:sz w:val="20"/>
          <w:szCs w:val="20"/>
          <w:lang w:val="en-US" w:eastAsia="en-US" w:bidi="en-US"/>
        </w:rPr>
        <w:t xml:space="preserve"> </w:t>
      </w:r>
      <w:r w:rsidR="000E1C11" w:rsidRPr="00012C3F">
        <w:rPr>
          <w:rFonts w:eastAsia="MS Mincho"/>
          <w:sz w:val="20"/>
          <w:szCs w:val="20"/>
          <w:lang w:val="en-US" w:eastAsia="en-US" w:bidi="en-US"/>
        </w:rPr>
        <w:t>I.V.</w:t>
      </w:r>
      <w:r w:rsidR="00840E72" w:rsidRPr="00012C3F">
        <w:rPr>
          <w:sz w:val="20"/>
          <w:szCs w:val="20"/>
          <w:lang w:val="en-US"/>
        </w:rPr>
        <w:t>,</w:t>
      </w:r>
      <w:r w:rsidR="000F735E" w:rsidRPr="00012C3F">
        <w:rPr>
          <w:rFonts w:eastAsia="Batang"/>
          <w:sz w:val="20"/>
          <w:szCs w:val="20"/>
          <w:lang w:val="en-US"/>
        </w:rPr>
        <w:t xml:space="preserve"> </w:t>
      </w:r>
      <w:r w:rsidR="009D443F" w:rsidRPr="00012C3F">
        <w:rPr>
          <w:rFonts w:eastAsia="Batang"/>
          <w:sz w:val="20"/>
          <w:szCs w:val="20"/>
          <w:lang w:val="en-US"/>
        </w:rPr>
        <w:t>pursuant to</w:t>
      </w:r>
      <w:r w:rsidR="000F735E" w:rsidRPr="00012C3F">
        <w:rPr>
          <w:rFonts w:eastAsia="Batang"/>
          <w:sz w:val="20"/>
          <w:szCs w:val="20"/>
          <w:lang w:val="en-US"/>
        </w:rPr>
        <w:t xml:space="preserve"> paragraphs</w:t>
      </w:r>
      <w:r w:rsidR="008C7FE4" w:rsidRPr="00012C3F">
        <w:rPr>
          <w:rFonts w:eastAsia="Batang"/>
          <w:sz w:val="20"/>
          <w:szCs w:val="20"/>
          <w:lang w:val="en-US"/>
        </w:rPr>
        <w:t xml:space="preserve"> </w:t>
      </w:r>
      <w:r w:rsidR="004111C3" w:rsidRPr="00012C3F">
        <w:rPr>
          <w:sz w:val="20"/>
          <w:szCs w:val="20"/>
          <w:lang w:val="en-US"/>
        </w:rPr>
        <w:t xml:space="preserve">288 </w:t>
      </w:r>
      <w:r w:rsidR="009D443F" w:rsidRPr="00012C3F">
        <w:rPr>
          <w:sz w:val="20"/>
          <w:szCs w:val="20"/>
          <w:lang w:val="en-US"/>
        </w:rPr>
        <w:t>to</w:t>
      </w:r>
      <w:r w:rsidR="008C7FE4" w:rsidRPr="00012C3F">
        <w:rPr>
          <w:sz w:val="20"/>
          <w:szCs w:val="20"/>
          <w:lang w:val="en-US"/>
        </w:rPr>
        <w:t xml:space="preserve"> </w:t>
      </w:r>
      <w:r w:rsidR="004111C3" w:rsidRPr="00012C3F">
        <w:rPr>
          <w:sz w:val="20"/>
          <w:szCs w:val="20"/>
          <w:lang w:val="en-US"/>
        </w:rPr>
        <w:t xml:space="preserve">322 </w:t>
      </w:r>
      <w:r w:rsidR="000F735E" w:rsidRPr="00012C3F">
        <w:rPr>
          <w:sz w:val="20"/>
          <w:szCs w:val="20"/>
          <w:lang w:val="en-US"/>
        </w:rPr>
        <w:t>of this judgment</w:t>
      </w:r>
      <w:r w:rsidR="008C7FE4" w:rsidRPr="00012C3F">
        <w:rPr>
          <w:sz w:val="20"/>
          <w:szCs w:val="20"/>
          <w:lang w:val="en-US"/>
        </w:rPr>
        <w:t>.</w:t>
      </w:r>
    </w:p>
    <w:p w14:paraId="3C3B3C89" w14:textId="77777777" w:rsidR="008C7FE4" w:rsidRPr="00012C3F" w:rsidRDefault="008C7FE4" w:rsidP="008C7FE4">
      <w:pPr>
        <w:pStyle w:val="Prrafodelista2"/>
        <w:ind w:left="0" w:right="-90"/>
        <w:contextualSpacing/>
        <w:jc w:val="both"/>
        <w:rPr>
          <w:lang w:val="en-US"/>
        </w:rPr>
      </w:pPr>
    </w:p>
    <w:p w14:paraId="478E285D" w14:textId="77777777" w:rsidR="008C7FE4" w:rsidRPr="00012C3F" w:rsidRDefault="009D443F" w:rsidP="008C7FE4">
      <w:pPr>
        <w:widowControl/>
        <w:numPr>
          <w:ilvl w:val="0"/>
          <w:numId w:val="44"/>
        </w:numPr>
        <w:tabs>
          <w:tab w:val="left" w:pos="720"/>
        </w:tabs>
        <w:adjustRightInd/>
        <w:spacing w:line="240" w:lineRule="auto"/>
        <w:ind w:right="-90"/>
        <w:contextualSpacing/>
        <w:textAlignment w:val="auto"/>
        <w:rPr>
          <w:sz w:val="20"/>
          <w:szCs w:val="20"/>
          <w:lang w:val="en-US"/>
        </w:rPr>
      </w:pPr>
      <w:r w:rsidRPr="00012C3F">
        <w:rPr>
          <w:sz w:val="20"/>
          <w:szCs w:val="20"/>
          <w:lang w:val="en-US"/>
        </w:rPr>
        <w:t xml:space="preserve">It is not incumbent on the Court to issue a ruling on the alleged violations of </w:t>
      </w:r>
      <w:r w:rsidR="001254DE" w:rsidRPr="00012C3F">
        <w:rPr>
          <w:sz w:val="20"/>
          <w:szCs w:val="20"/>
          <w:lang w:val="en-US"/>
        </w:rPr>
        <w:t>Articles</w:t>
      </w:r>
      <w:r w:rsidR="00B25D97" w:rsidRPr="00012C3F">
        <w:rPr>
          <w:sz w:val="20"/>
          <w:szCs w:val="20"/>
          <w:lang w:val="en-US"/>
        </w:rPr>
        <w:t xml:space="preserve"> 3</w:t>
      </w:r>
      <w:r w:rsidR="005E5012" w:rsidRPr="00012C3F">
        <w:rPr>
          <w:sz w:val="20"/>
          <w:szCs w:val="20"/>
          <w:lang w:val="en-US"/>
        </w:rPr>
        <w:t xml:space="preserve"> and </w:t>
      </w:r>
      <w:r w:rsidR="00B25D97" w:rsidRPr="00012C3F">
        <w:rPr>
          <w:sz w:val="20"/>
          <w:szCs w:val="20"/>
          <w:lang w:val="en-US"/>
        </w:rPr>
        <w:t>2</w:t>
      </w:r>
      <w:r w:rsidR="00B257AF" w:rsidRPr="00012C3F">
        <w:rPr>
          <w:sz w:val="20"/>
          <w:szCs w:val="20"/>
          <w:lang w:val="en-US"/>
        </w:rPr>
        <w:t>5(2)</w:t>
      </w:r>
      <w:r w:rsidRPr="00012C3F">
        <w:rPr>
          <w:sz w:val="20"/>
          <w:szCs w:val="20"/>
          <w:lang w:val="en-US"/>
        </w:rPr>
        <w:t>(</w:t>
      </w:r>
      <w:r w:rsidR="00B25D97" w:rsidRPr="00012C3F">
        <w:rPr>
          <w:sz w:val="20"/>
          <w:szCs w:val="20"/>
          <w:lang w:val="en-US"/>
        </w:rPr>
        <w:t>a)</w:t>
      </w:r>
      <w:r w:rsidR="001254DE" w:rsidRPr="00012C3F">
        <w:rPr>
          <w:sz w:val="20"/>
          <w:szCs w:val="20"/>
          <w:lang w:val="en-US"/>
        </w:rPr>
        <w:t xml:space="preserve"> of the American Convention on Human Rights</w:t>
      </w:r>
      <w:r w:rsidR="008C7FE4" w:rsidRPr="00012C3F">
        <w:rPr>
          <w:sz w:val="20"/>
          <w:szCs w:val="20"/>
          <w:lang w:val="en-US"/>
        </w:rPr>
        <w:t>,</w:t>
      </w:r>
      <w:r w:rsidR="00B25D97" w:rsidRPr="00012C3F">
        <w:rPr>
          <w:sz w:val="20"/>
          <w:szCs w:val="20"/>
          <w:lang w:val="en-US"/>
        </w:rPr>
        <w:t xml:space="preserve"> </w:t>
      </w:r>
      <w:r w:rsidRPr="00012C3F">
        <w:rPr>
          <w:sz w:val="20"/>
          <w:szCs w:val="20"/>
          <w:lang w:val="en-US"/>
        </w:rPr>
        <w:t>or</w:t>
      </w:r>
      <w:r w:rsidR="00923F1E" w:rsidRPr="00012C3F">
        <w:rPr>
          <w:sz w:val="20"/>
          <w:szCs w:val="20"/>
          <w:lang w:val="en-US"/>
        </w:rPr>
        <w:t xml:space="preserve"> o</w:t>
      </w:r>
      <w:r w:rsidRPr="00012C3F">
        <w:rPr>
          <w:sz w:val="20"/>
          <w:szCs w:val="20"/>
          <w:lang w:val="en-US"/>
        </w:rPr>
        <w:t>n</w:t>
      </w:r>
      <w:r w:rsidR="00923F1E" w:rsidRPr="00012C3F">
        <w:rPr>
          <w:sz w:val="20"/>
          <w:szCs w:val="20"/>
          <w:lang w:val="en-US"/>
        </w:rPr>
        <w:t xml:space="preserve"> the </w:t>
      </w:r>
      <w:r w:rsidR="006C705C" w:rsidRPr="00012C3F">
        <w:rPr>
          <w:sz w:val="20"/>
          <w:szCs w:val="20"/>
          <w:lang w:val="en-US"/>
        </w:rPr>
        <w:t>right to know the truth</w:t>
      </w:r>
      <w:r w:rsidR="00B25D97" w:rsidRPr="00012C3F">
        <w:rPr>
          <w:sz w:val="20"/>
          <w:szCs w:val="20"/>
          <w:lang w:val="en-US"/>
        </w:rPr>
        <w:t>,</w:t>
      </w:r>
      <w:r w:rsidR="008C7FE4" w:rsidRPr="00012C3F">
        <w:rPr>
          <w:sz w:val="20"/>
          <w:szCs w:val="20"/>
          <w:lang w:val="en-US"/>
        </w:rPr>
        <w:t xml:space="preserve"> </w:t>
      </w:r>
      <w:r w:rsidRPr="00012C3F">
        <w:rPr>
          <w:sz w:val="20"/>
          <w:szCs w:val="20"/>
          <w:lang w:val="en-US"/>
        </w:rPr>
        <w:t>pursuant to</w:t>
      </w:r>
      <w:r w:rsidR="000F735E" w:rsidRPr="00012C3F">
        <w:rPr>
          <w:sz w:val="20"/>
          <w:szCs w:val="20"/>
          <w:lang w:val="en-US"/>
        </w:rPr>
        <w:t xml:space="preserve"> paragraphs</w:t>
      </w:r>
      <w:r w:rsidR="008C7FE4" w:rsidRPr="00012C3F">
        <w:rPr>
          <w:sz w:val="20"/>
          <w:szCs w:val="20"/>
          <w:lang w:val="en-US"/>
        </w:rPr>
        <w:t xml:space="preserve"> </w:t>
      </w:r>
      <w:r w:rsidR="004111C3" w:rsidRPr="00012C3F">
        <w:rPr>
          <w:sz w:val="20"/>
          <w:szCs w:val="20"/>
          <w:lang w:val="en-US"/>
        </w:rPr>
        <w:t>237</w:t>
      </w:r>
      <w:r w:rsidR="005E5012" w:rsidRPr="00012C3F">
        <w:rPr>
          <w:sz w:val="20"/>
          <w:szCs w:val="20"/>
          <w:lang w:val="en-US"/>
        </w:rPr>
        <w:t xml:space="preserve"> and </w:t>
      </w:r>
      <w:r w:rsidR="004111C3" w:rsidRPr="00012C3F">
        <w:rPr>
          <w:sz w:val="20"/>
          <w:szCs w:val="20"/>
          <w:lang w:val="en-US"/>
        </w:rPr>
        <w:t xml:space="preserve">323 </w:t>
      </w:r>
      <w:r w:rsidR="000F735E" w:rsidRPr="00012C3F">
        <w:rPr>
          <w:sz w:val="20"/>
          <w:szCs w:val="20"/>
          <w:lang w:val="en-US"/>
        </w:rPr>
        <w:t>of this judgment</w:t>
      </w:r>
      <w:r w:rsidR="008C7FE4" w:rsidRPr="00012C3F">
        <w:rPr>
          <w:sz w:val="20"/>
          <w:szCs w:val="20"/>
          <w:lang w:val="en-US"/>
        </w:rPr>
        <w:t>.</w:t>
      </w:r>
    </w:p>
    <w:p w14:paraId="33AF5466" w14:textId="77777777" w:rsidR="008C7FE4" w:rsidRPr="00012C3F" w:rsidRDefault="008C7FE4" w:rsidP="008C7FE4">
      <w:pPr>
        <w:pStyle w:val="Prrafodelista2"/>
        <w:ind w:left="0" w:right="-90"/>
        <w:contextualSpacing/>
        <w:jc w:val="both"/>
        <w:rPr>
          <w:lang w:val="en-US"/>
        </w:rPr>
      </w:pPr>
    </w:p>
    <w:p w14:paraId="68459402" w14:textId="77777777" w:rsidR="008C7FE4" w:rsidRPr="00012C3F" w:rsidRDefault="009D443F" w:rsidP="008C7FE4">
      <w:pPr>
        <w:pStyle w:val="Prrafodelista2"/>
        <w:tabs>
          <w:tab w:val="left" w:pos="720"/>
        </w:tabs>
        <w:ind w:left="0" w:right="-90"/>
        <w:contextualSpacing/>
        <w:jc w:val="both"/>
        <w:rPr>
          <w:b/>
          <w:bCs/>
          <w:lang w:val="en-US"/>
        </w:rPr>
      </w:pPr>
      <w:r w:rsidRPr="00012C3F">
        <w:rPr>
          <w:b/>
          <w:bCs/>
          <w:lang w:val="en-US"/>
        </w:rPr>
        <w:lastRenderedPageBreak/>
        <w:t>AND ESTABLISHES</w:t>
      </w:r>
      <w:r w:rsidR="008C7FE4" w:rsidRPr="00012C3F">
        <w:rPr>
          <w:b/>
          <w:bCs/>
          <w:lang w:val="en-US"/>
        </w:rPr>
        <w:t>:</w:t>
      </w:r>
    </w:p>
    <w:p w14:paraId="504C1174" w14:textId="77777777" w:rsidR="008C7FE4" w:rsidRPr="00012C3F" w:rsidRDefault="008C7FE4" w:rsidP="008C7FE4">
      <w:pPr>
        <w:pStyle w:val="Prrafodelista2"/>
        <w:tabs>
          <w:tab w:val="left" w:pos="720"/>
        </w:tabs>
        <w:ind w:left="0" w:right="-90"/>
        <w:contextualSpacing/>
        <w:jc w:val="both"/>
        <w:rPr>
          <w:b/>
          <w:bCs/>
          <w:lang w:val="en-US"/>
        </w:rPr>
      </w:pPr>
    </w:p>
    <w:p w14:paraId="11466B3B" w14:textId="77777777" w:rsidR="008C7FE4" w:rsidRPr="00012C3F" w:rsidRDefault="00BB2744" w:rsidP="008C7FE4">
      <w:pPr>
        <w:pStyle w:val="Prrafodelista2"/>
        <w:tabs>
          <w:tab w:val="left" w:pos="720"/>
        </w:tabs>
        <w:ind w:left="0" w:right="-90"/>
        <w:contextualSpacing/>
        <w:jc w:val="both"/>
        <w:rPr>
          <w:bCs/>
          <w:lang w:val="en-US"/>
        </w:rPr>
      </w:pPr>
      <w:r w:rsidRPr="00012C3F">
        <w:rPr>
          <w:lang w:val="en-US"/>
        </w:rPr>
        <w:t>Unanimously</w:t>
      </w:r>
      <w:r w:rsidR="008C7FE4" w:rsidRPr="00012C3F">
        <w:rPr>
          <w:lang w:val="en-US"/>
        </w:rPr>
        <w:t>,</w:t>
      </w:r>
      <w:r w:rsidR="008C7FE4" w:rsidRPr="00012C3F">
        <w:rPr>
          <w:bCs/>
          <w:lang w:val="en-US"/>
        </w:rPr>
        <w:t xml:space="preserve"> </w:t>
      </w:r>
      <w:r w:rsidR="009D443F" w:rsidRPr="00012C3F">
        <w:rPr>
          <w:bCs/>
          <w:lang w:val="en-US"/>
        </w:rPr>
        <w:t>that</w:t>
      </w:r>
      <w:r w:rsidR="008C7FE4" w:rsidRPr="00012C3F">
        <w:rPr>
          <w:bCs/>
          <w:lang w:val="en-US"/>
        </w:rPr>
        <w:t>:</w:t>
      </w:r>
    </w:p>
    <w:p w14:paraId="558C72FA" w14:textId="77777777" w:rsidR="008C7FE4" w:rsidRPr="00012C3F" w:rsidRDefault="008C7FE4" w:rsidP="008C7FE4">
      <w:pPr>
        <w:pStyle w:val="Prrafodelista2"/>
        <w:tabs>
          <w:tab w:val="left" w:pos="720"/>
        </w:tabs>
        <w:ind w:left="0" w:right="-90"/>
        <w:contextualSpacing/>
        <w:jc w:val="both"/>
        <w:rPr>
          <w:bCs/>
          <w:lang w:val="en-US"/>
        </w:rPr>
      </w:pPr>
    </w:p>
    <w:p w14:paraId="0823B1AC" w14:textId="77777777" w:rsidR="008C7FE4" w:rsidRPr="00012C3F" w:rsidRDefault="004A757F" w:rsidP="008C7FE4">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sz w:val="20"/>
          <w:szCs w:val="20"/>
          <w:lang w:val="en-US"/>
        </w:rPr>
        <w:t>This judgment constitutes</w:t>
      </w:r>
      <w:r w:rsidR="008C7FE4" w:rsidRPr="00012C3F">
        <w:rPr>
          <w:bCs/>
          <w:sz w:val="20"/>
          <w:szCs w:val="20"/>
          <w:lang w:val="en-US"/>
        </w:rPr>
        <w:t xml:space="preserve">, </w:t>
      </w:r>
      <w:r w:rsidR="008C7FE4" w:rsidRPr="00012C3F">
        <w:rPr>
          <w:bCs/>
          <w:i/>
          <w:sz w:val="20"/>
          <w:szCs w:val="20"/>
          <w:lang w:val="en-US"/>
        </w:rPr>
        <w:t>per se</w:t>
      </w:r>
      <w:r w:rsidR="008C7FE4" w:rsidRPr="00012C3F">
        <w:rPr>
          <w:bCs/>
          <w:sz w:val="20"/>
          <w:szCs w:val="20"/>
          <w:lang w:val="en-US"/>
        </w:rPr>
        <w:t xml:space="preserve">, </w:t>
      </w:r>
      <w:r w:rsidRPr="00012C3F">
        <w:rPr>
          <w:bCs/>
          <w:sz w:val="20"/>
          <w:szCs w:val="20"/>
          <w:lang w:val="en-US"/>
        </w:rPr>
        <w:t>a form of reparation</w:t>
      </w:r>
      <w:r w:rsidR="008C7FE4" w:rsidRPr="00012C3F">
        <w:rPr>
          <w:bCs/>
          <w:sz w:val="20"/>
          <w:szCs w:val="20"/>
          <w:lang w:val="en-US"/>
        </w:rPr>
        <w:t>.</w:t>
      </w:r>
    </w:p>
    <w:p w14:paraId="5C63C696" w14:textId="77777777" w:rsidR="008C7FE4" w:rsidRPr="00012C3F" w:rsidRDefault="008C7FE4" w:rsidP="008D0B77">
      <w:pPr>
        <w:spacing w:line="240" w:lineRule="auto"/>
        <w:rPr>
          <w:sz w:val="20"/>
          <w:szCs w:val="20"/>
          <w:lang w:val="en-US"/>
        </w:rPr>
      </w:pPr>
    </w:p>
    <w:p w14:paraId="7AC63DAF" w14:textId="77777777" w:rsidR="00EE275E" w:rsidRPr="00012C3F" w:rsidRDefault="004A757F" w:rsidP="00215DF3">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State shall</w:t>
      </w:r>
      <w:r w:rsidR="00EE275E" w:rsidRPr="00012C3F">
        <w:rPr>
          <w:bCs/>
          <w:sz w:val="20"/>
          <w:szCs w:val="20"/>
          <w:lang w:val="en-US"/>
        </w:rPr>
        <w:t xml:space="preserve"> </w:t>
      </w:r>
      <w:r w:rsidR="009D443F" w:rsidRPr="00012C3F">
        <w:rPr>
          <w:bCs/>
          <w:sz w:val="20"/>
          <w:szCs w:val="20"/>
          <w:lang w:val="en-US"/>
        </w:rPr>
        <w:t>provide</w:t>
      </w:r>
      <w:r w:rsidR="00C60F32" w:rsidRPr="00012C3F">
        <w:rPr>
          <w:bCs/>
          <w:sz w:val="20"/>
          <w:szCs w:val="20"/>
          <w:lang w:val="en-US"/>
        </w:rPr>
        <w:t xml:space="preserve"> I.V. with medical care</w:t>
      </w:r>
      <w:r w:rsidR="009D443F" w:rsidRPr="00012C3F">
        <w:rPr>
          <w:bCs/>
          <w:sz w:val="20"/>
          <w:szCs w:val="20"/>
          <w:lang w:val="en-US"/>
        </w:rPr>
        <w:t xml:space="preserve">, and </w:t>
      </w:r>
      <w:r w:rsidR="00A4758A" w:rsidRPr="00012C3F">
        <w:rPr>
          <w:bCs/>
          <w:sz w:val="20"/>
          <w:szCs w:val="20"/>
          <w:lang w:val="en-US"/>
        </w:rPr>
        <w:t>specifically</w:t>
      </w:r>
      <w:r w:rsidR="00215DF3" w:rsidRPr="00012C3F">
        <w:rPr>
          <w:bCs/>
          <w:sz w:val="20"/>
          <w:szCs w:val="20"/>
          <w:lang w:val="en-US"/>
        </w:rPr>
        <w:t xml:space="preserve"> with regard to sexual and reproductive health, as well as psychological and/or psychiatric treatment,</w:t>
      </w:r>
      <w:r w:rsidR="00C60F32" w:rsidRPr="00012C3F">
        <w:rPr>
          <w:bCs/>
          <w:sz w:val="20"/>
          <w:szCs w:val="20"/>
          <w:lang w:val="en-US"/>
        </w:rPr>
        <w:t xml:space="preserve"> free of charge, through its specialized health care institutions and immediately, adequately and effectively,</w:t>
      </w:r>
      <w:r w:rsidR="00215DF3" w:rsidRPr="00012C3F">
        <w:rPr>
          <w:bCs/>
          <w:sz w:val="20"/>
          <w:szCs w:val="20"/>
          <w:lang w:val="en-US"/>
        </w:rPr>
        <w:t xml:space="preserve"> </w:t>
      </w:r>
      <w:r w:rsidR="009D443F" w:rsidRPr="00012C3F">
        <w:rPr>
          <w:bCs/>
          <w:sz w:val="20"/>
          <w:szCs w:val="20"/>
          <w:lang w:val="en-US"/>
        </w:rPr>
        <w:t>pursuant to</w:t>
      </w:r>
      <w:r w:rsidR="000F735E" w:rsidRPr="00012C3F">
        <w:rPr>
          <w:bCs/>
          <w:sz w:val="20"/>
          <w:szCs w:val="20"/>
          <w:lang w:val="en-US"/>
        </w:rPr>
        <w:t xml:space="preserve"> paragraph</w:t>
      </w:r>
      <w:r w:rsidR="00EE275E" w:rsidRPr="00012C3F">
        <w:rPr>
          <w:bCs/>
          <w:sz w:val="20"/>
          <w:szCs w:val="20"/>
          <w:lang w:val="en-US"/>
        </w:rPr>
        <w:t xml:space="preserve"> </w:t>
      </w:r>
      <w:r w:rsidR="00A536F2" w:rsidRPr="00012C3F">
        <w:rPr>
          <w:bCs/>
          <w:sz w:val="20"/>
          <w:szCs w:val="20"/>
          <w:lang w:val="en-US"/>
        </w:rPr>
        <w:t xml:space="preserve">332 </w:t>
      </w:r>
      <w:r w:rsidR="000F735E" w:rsidRPr="00012C3F">
        <w:rPr>
          <w:bCs/>
          <w:sz w:val="20"/>
          <w:szCs w:val="20"/>
          <w:lang w:val="en-US"/>
        </w:rPr>
        <w:t>of this judgment</w:t>
      </w:r>
      <w:r w:rsidR="00EE275E" w:rsidRPr="00012C3F">
        <w:rPr>
          <w:bCs/>
          <w:sz w:val="20"/>
          <w:szCs w:val="20"/>
          <w:lang w:val="en-US"/>
        </w:rPr>
        <w:t>.</w:t>
      </w:r>
    </w:p>
    <w:p w14:paraId="22395092" w14:textId="77777777" w:rsidR="00EE275E" w:rsidRPr="00012C3F" w:rsidRDefault="00EE275E" w:rsidP="004F0A13">
      <w:pPr>
        <w:pStyle w:val="Prrafodelista2"/>
        <w:ind w:left="0" w:right="-90"/>
        <w:contextualSpacing/>
        <w:rPr>
          <w:bCs/>
          <w:lang w:val="en-US"/>
        </w:rPr>
      </w:pPr>
    </w:p>
    <w:p w14:paraId="0BD4BD65" w14:textId="77777777" w:rsidR="00EE275E" w:rsidRPr="00012C3F" w:rsidRDefault="004A757F" w:rsidP="00EE275E">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State shall</w:t>
      </w:r>
      <w:r w:rsidR="00EE275E" w:rsidRPr="00012C3F">
        <w:rPr>
          <w:bCs/>
          <w:sz w:val="20"/>
          <w:szCs w:val="20"/>
          <w:lang w:val="en-US"/>
        </w:rPr>
        <w:t xml:space="preserve"> </w:t>
      </w:r>
      <w:r w:rsidR="009D443F" w:rsidRPr="00012C3F">
        <w:rPr>
          <w:bCs/>
          <w:sz w:val="20"/>
          <w:szCs w:val="20"/>
          <w:lang w:val="en-US"/>
        </w:rPr>
        <w:t>make the</w:t>
      </w:r>
      <w:r w:rsidR="00EE275E" w:rsidRPr="00012C3F">
        <w:rPr>
          <w:bCs/>
          <w:sz w:val="20"/>
          <w:szCs w:val="20"/>
          <w:lang w:val="en-US"/>
        </w:rPr>
        <w:t xml:space="preserve"> </w:t>
      </w:r>
      <w:r w:rsidR="00A710F6" w:rsidRPr="00012C3F">
        <w:rPr>
          <w:bCs/>
          <w:sz w:val="20"/>
          <w:szCs w:val="20"/>
          <w:lang w:val="en-US"/>
        </w:rPr>
        <w:t>publications</w:t>
      </w:r>
      <w:r w:rsidR="00EE275E" w:rsidRPr="00012C3F">
        <w:rPr>
          <w:bCs/>
          <w:sz w:val="20"/>
          <w:szCs w:val="20"/>
          <w:lang w:val="en-US"/>
        </w:rPr>
        <w:t xml:space="preserve"> indica</w:t>
      </w:r>
      <w:r w:rsidR="009D443F" w:rsidRPr="00012C3F">
        <w:rPr>
          <w:bCs/>
          <w:sz w:val="20"/>
          <w:szCs w:val="20"/>
          <w:lang w:val="en-US"/>
        </w:rPr>
        <w:t>ted</w:t>
      </w:r>
      <w:r w:rsidR="00EE275E" w:rsidRPr="00012C3F">
        <w:rPr>
          <w:bCs/>
          <w:sz w:val="20"/>
          <w:szCs w:val="20"/>
          <w:lang w:val="en-US"/>
        </w:rPr>
        <w:t xml:space="preserve"> </w:t>
      </w:r>
      <w:r w:rsidR="000F735E" w:rsidRPr="00012C3F">
        <w:rPr>
          <w:bCs/>
          <w:sz w:val="20"/>
          <w:szCs w:val="20"/>
          <w:lang w:val="en-US"/>
        </w:rPr>
        <w:t>in paragraph</w:t>
      </w:r>
      <w:r w:rsidR="00EE275E" w:rsidRPr="00012C3F">
        <w:rPr>
          <w:bCs/>
          <w:sz w:val="20"/>
          <w:szCs w:val="20"/>
          <w:lang w:val="en-US"/>
        </w:rPr>
        <w:t xml:space="preserve"> </w:t>
      </w:r>
      <w:r w:rsidR="00F10587" w:rsidRPr="00012C3F">
        <w:rPr>
          <w:bCs/>
          <w:sz w:val="20"/>
          <w:szCs w:val="20"/>
          <w:lang w:val="en-US"/>
        </w:rPr>
        <w:t xml:space="preserve">334 </w:t>
      </w:r>
      <w:r w:rsidR="000F735E" w:rsidRPr="00012C3F">
        <w:rPr>
          <w:bCs/>
          <w:sz w:val="20"/>
          <w:szCs w:val="20"/>
          <w:lang w:val="en-US"/>
        </w:rPr>
        <w:t>of this judgment</w:t>
      </w:r>
      <w:r w:rsidR="00EE275E" w:rsidRPr="00012C3F">
        <w:rPr>
          <w:bCs/>
          <w:sz w:val="20"/>
          <w:szCs w:val="20"/>
          <w:lang w:val="en-US"/>
        </w:rPr>
        <w:t>.</w:t>
      </w:r>
    </w:p>
    <w:p w14:paraId="7B7282AF" w14:textId="77777777" w:rsidR="00EE275E" w:rsidRPr="00012C3F" w:rsidRDefault="00EE275E" w:rsidP="00EE275E">
      <w:pPr>
        <w:pStyle w:val="Prrafodelista2"/>
        <w:ind w:left="0" w:right="-90"/>
        <w:contextualSpacing/>
        <w:jc w:val="both"/>
        <w:rPr>
          <w:bCs/>
          <w:lang w:val="en-US"/>
        </w:rPr>
      </w:pPr>
    </w:p>
    <w:p w14:paraId="730C8036" w14:textId="77777777" w:rsidR="00EE275E" w:rsidRPr="00012C3F" w:rsidRDefault="004A757F" w:rsidP="00EE275E">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State shall</w:t>
      </w:r>
      <w:r w:rsidR="00EE275E" w:rsidRPr="00012C3F">
        <w:rPr>
          <w:bCs/>
          <w:sz w:val="20"/>
          <w:szCs w:val="20"/>
          <w:lang w:val="en-US"/>
        </w:rPr>
        <w:t xml:space="preserve"> </w:t>
      </w:r>
      <w:r w:rsidR="009D443F" w:rsidRPr="00012C3F">
        <w:rPr>
          <w:bCs/>
          <w:sz w:val="20"/>
          <w:szCs w:val="20"/>
          <w:lang w:val="en-US"/>
        </w:rPr>
        <w:t>organize a public act to acknowledge international responsibility for the facts of this case</w:t>
      </w:r>
      <w:r w:rsidR="00EE275E" w:rsidRPr="00012C3F">
        <w:rPr>
          <w:bCs/>
          <w:sz w:val="20"/>
          <w:szCs w:val="20"/>
          <w:lang w:val="en-US"/>
        </w:rPr>
        <w:t xml:space="preserve">, </w:t>
      </w:r>
      <w:r w:rsidR="009D443F" w:rsidRPr="00012C3F">
        <w:rPr>
          <w:bCs/>
          <w:sz w:val="20"/>
          <w:szCs w:val="20"/>
          <w:lang w:val="en-US"/>
        </w:rPr>
        <w:t>pursuant to</w:t>
      </w:r>
      <w:r w:rsidR="000F735E" w:rsidRPr="00012C3F">
        <w:rPr>
          <w:bCs/>
          <w:sz w:val="20"/>
          <w:szCs w:val="20"/>
          <w:lang w:val="en-US"/>
        </w:rPr>
        <w:t xml:space="preserve"> paragraph</w:t>
      </w:r>
      <w:r w:rsidR="00EE275E" w:rsidRPr="00012C3F">
        <w:rPr>
          <w:bCs/>
          <w:sz w:val="20"/>
          <w:szCs w:val="20"/>
          <w:lang w:val="en-US"/>
        </w:rPr>
        <w:t xml:space="preserve"> </w:t>
      </w:r>
      <w:r w:rsidR="00F10587" w:rsidRPr="00012C3F">
        <w:rPr>
          <w:bCs/>
          <w:sz w:val="20"/>
          <w:szCs w:val="20"/>
          <w:lang w:val="en-US"/>
        </w:rPr>
        <w:t xml:space="preserve">336 </w:t>
      </w:r>
      <w:r w:rsidR="000F735E" w:rsidRPr="00012C3F">
        <w:rPr>
          <w:bCs/>
          <w:sz w:val="20"/>
          <w:szCs w:val="20"/>
          <w:lang w:val="en-US"/>
        </w:rPr>
        <w:t>of this judgment</w:t>
      </w:r>
      <w:r w:rsidR="00EE275E" w:rsidRPr="00012C3F">
        <w:rPr>
          <w:bCs/>
          <w:sz w:val="20"/>
          <w:szCs w:val="20"/>
          <w:lang w:val="en-US"/>
        </w:rPr>
        <w:t>.</w:t>
      </w:r>
    </w:p>
    <w:p w14:paraId="419F9592" w14:textId="77777777" w:rsidR="00EE275E" w:rsidRPr="00012C3F" w:rsidRDefault="00EE275E" w:rsidP="008D0B77">
      <w:pPr>
        <w:spacing w:line="240" w:lineRule="auto"/>
        <w:rPr>
          <w:sz w:val="20"/>
          <w:szCs w:val="20"/>
          <w:lang w:val="en-US"/>
        </w:rPr>
      </w:pPr>
    </w:p>
    <w:p w14:paraId="2239E8EB" w14:textId="77777777" w:rsidR="00EE275E" w:rsidRPr="00012C3F" w:rsidRDefault="004A757F" w:rsidP="00E24183">
      <w:pPr>
        <w:widowControl/>
        <w:numPr>
          <w:ilvl w:val="0"/>
          <w:numId w:val="44"/>
        </w:numPr>
        <w:tabs>
          <w:tab w:val="left" w:pos="720"/>
        </w:tabs>
        <w:adjustRightInd/>
        <w:spacing w:line="240" w:lineRule="auto"/>
        <w:ind w:right="-90"/>
        <w:contextualSpacing/>
        <w:textAlignment w:val="auto"/>
        <w:rPr>
          <w:rFonts w:eastAsia="MS Mincho" w:cs="Verdana"/>
          <w:sz w:val="20"/>
          <w:szCs w:val="20"/>
          <w:lang w:val="en-US" w:eastAsia="en-US" w:bidi="en-US"/>
        </w:rPr>
      </w:pPr>
      <w:r w:rsidRPr="00012C3F">
        <w:rPr>
          <w:rFonts w:eastAsia="MS Mincho" w:cs="Verdana"/>
          <w:bCs/>
          <w:sz w:val="20"/>
          <w:szCs w:val="20"/>
          <w:lang w:val="en-US" w:eastAsia="en-US" w:bidi="en-US"/>
        </w:rPr>
        <w:t>The State shall</w:t>
      </w:r>
      <w:r w:rsidR="00EE275E" w:rsidRPr="00012C3F">
        <w:rPr>
          <w:rFonts w:eastAsia="MS Mincho" w:cs="Verdana"/>
          <w:bCs/>
          <w:sz w:val="20"/>
          <w:szCs w:val="20"/>
          <w:lang w:val="en-US" w:eastAsia="en-US" w:bidi="en-US"/>
        </w:rPr>
        <w:t xml:space="preserve"> </w:t>
      </w:r>
      <w:r w:rsidR="00C60F32" w:rsidRPr="00012C3F">
        <w:rPr>
          <w:rFonts w:eastAsia="MS Mincho" w:cs="Verdana"/>
          <w:bCs/>
          <w:sz w:val="20"/>
          <w:szCs w:val="20"/>
          <w:lang w:val="en-US" w:eastAsia="en-US" w:bidi="en-US"/>
        </w:rPr>
        <w:t>produce</w:t>
      </w:r>
      <w:r w:rsidR="00E24183" w:rsidRPr="00012C3F">
        <w:rPr>
          <w:rFonts w:eastAsia="MS Mincho" w:cs="Verdana"/>
          <w:bCs/>
          <w:sz w:val="20"/>
          <w:szCs w:val="20"/>
          <w:lang w:val="en-US" w:eastAsia="en-US" w:bidi="en-US"/>
        </w:rPr>
        <w:t xml:space="preserve"> a publication or leaflet that explains synthetically, clearly and accessibly the rights of women in relation to their sexual and reproductive health</w:t>
      </w:r>
      <w:r w:rsidR="00C60F32" w:rsidRPr="00012C3F">
        <w:rPr>
          <w:rFonts w:eastAsia="MS Mincho" w:cs="Verdana"/>
          <w:bCs/>
          <w:sz w:val="20"/>
          <w:szCs w:val="20"/>
          <w:lang w:val="en-US" w:eastAsia="en-US" w:bidi="en-US"/>
        </w:rPr>
        <w:t>,</w:t>
      </w:r>
      <w:r w:rsidR="00E24183" w:rsidRPr="00012C3F">
        <w:rPr>
          <w:rFonts w:eastAsia="MS Mincho" w:cs="Verdana"/>
          <w:bCs/>
          <w:sz w:val="20"/>
          <w:szCs w:val="20"/>
          <w:lang w:val="en-US" w:eastAsia="en-US" w:bidi="en-US"/>
        </w:rPr>
        <w:t xml:space="preserve"> which should specifically mention </w:t>
      </w:r>
      <w:r w:rsidR="00DF71A5" w:rsidRPr="00012C3F">
        <w:rPr>
          <w:rFonts w:eastAsia="MS Mincho" w:cs="Verdana"/>
          <w:bCs/>
          <w:sz w:val="20"/>
          <w:szCs w:val="20"/>
          <w:lang w:val="en-US" w:eastAsia="en-US" w:bidi="en-US"/>
        </w:rPr>
        <w:t>prior, free, full and informed consent</w:t>
      </w:r>
      <w:r w:rsidR="00EE275E" w:rsidRPr="00012C3F">
        <w:rPr>
          <w:bCs/>
          <w:sz w:val="20"/>
          <w:szCs w:val="20"/>
          <w:lang w:val="en-US"/>
        </w:rPr>
        <w:t xml:space="preserve">, </w:t>
      </w:r>
      <w:r w:rsidR="009D443F" w:rsidRPr="00012C3F">
        <w:rPr>
          <w:bCs/>
          <w:sz w:val="20"/>
          <w:szCs w:val="20"/>
          <w:lang w:val="en-US"/>
        </w:rPr>
        <w:t>pursuant to</w:t>
      </w:r>
      <w:r w:rsidR="000F735E" w:rsidRPr="00012C3F">
        <w:rPr>
          <w:bCs/>
          <w:sz w:val="20"/>
          <w:szCs w:val="20"/>
          <w:lang w:val="en-US"/>
        </w:rPr>
        <w:t xml:space="preserve"> paragraph</w:t>
      </w:r>
      <w:r w:rsidR="00EE275E" w:rsidRPr="00012C3F">
        <w:rPr>
          <w:bCs/>
          <w:sz w:val="20"/>
          <w:szCs w:val="20"/>
          <w:lang w:val="en-US"/>
        </w:rPr>
        <w:t xml:space="preserve"> </w:t>
      </w:r>
      <w:r w:rsidR="00025E57" w:rsidRPr="00012C3F">
        <w:rPr>
          <w:bCs/>
          <w:sz w:val="20"/>
          <w:szCs w:val="20"/>
          <w:lang w:val="en-US"/>
        </w:rPr>
        <w:t xml:space="preserve">341 </w:t>
      </w:r>
      <w:r w:rsidR="000F735E" w:rsidRPr="00012C3F">
        <w:rPr>
          <w:bCs/>
          <w:sz w:val="20"/>
          <w:szCs w:val="20"/>
          <w:lang w:val="en-US"/>
        </w:rPr>
        <w:t>of this judgment</w:t>
      </w:r>
      <w:r w:rsidR="00EE275E" w:rsidRPr="00012C3F">
        <w:rPr>
          <w:bCs/>
          <w:sz w:val="20"/>
          <w:szCs w:val="20"/>
          <w:lang w:val="en-US"/>
        </w:rPr>
        <w:t>.</w:t>
      </w:r>
    </w:p>
    <w:p w14:paraId="22A941E9" w14:textId="77777777" w:rsidR="00EE275E" w:rsidRPr="00012C3F" w:rsidRDefault="00EE275E" w:rsidP="00EE275E">
      <w:pPr>
        <w:pStyle w:val="Prrafodelista2"/>
        <w:tabs>
          <w:tab w:val="left" w:pos="0"/>
          <w:tab w:val="num" w:pos="11028"/>
        </w:tabs>
        <w:ind w:left="0" w:right="-90"/>
        <w:jc w:val="both"/>
        <w:rPr>
          <w:rFonts w:cs="Verdana"/>
          <w:lang w:val="en-US"/>
        </w:rPr>
      </w:pPr>
    </w:p>
    <w:p w14:paraId="52524682" w14:textId="77777777" w:rsidR="00EE275E" w:rsidRPr="00012C3F" w:rsidRDefault="004A757F" w:rsidP="00E24183">
      <w:pPr>
        <w:widowControl/>
        <w:numPr>
          <w:ilvl w:val="0"/>
          <w:numId w:val="44"/>
        </w:numPr>
        <w:tabs>
          <w:tab w:val="left" w:pos="720"/>
        </w:tabs>
        <w:adjustRightInd/>
        <w:spacing w:line="240" w:lineRule="auto"/>
        <w:ind w:right="-90"/>
        <w:contextualSpacing/>
        <w:textAlignment w:val="auto"/>
        <w:rPr>
          <w:rFonts w:cs="Verdana"/>
          <w:iCs/>
          <w:sz w:val="20"/>
          <w:szCs w:val="20"/>
          <w:lang w:val="en-US"/>
        </w:rPr>
      </w:pPr>
      <w:r w:rsidRPr="00012C3F">
        <w:rPr>
          <w:bCs/>
          <w:sz w:val="20"/>
          <w:szCs w:val="20"/>
          <w:lang w:val="en-US"/>
        </w:rPr>
        <w:t>The State shall</w:t>
      </w:r>
      <w:r w:rsidR="00EE275E" w:rsidRPr="00012C3F">
        <w:rPr>
          <w:rFonts w:cs="Verdana"/>
          <w:iCs/>
          <w:sz w:val="20"/>
          <w:szCs w:val="20"/>
          <w:lang w:val="en-US"/>
        </w:rPr>
        <w:t xml:space="preserve"> adopt</w:t>
      </w:r>
      <w:r w:rsidR="00E24183" w:rsidRPr="00012C3F">
        <w:rPr>
          <w:rFonts w:cs="Verdana"/>
          <w:iCs/>
          <w:sz w:val="20"/>
          <w:szCs w:val="20"/>
          <w:lang w:val="en-US"/>
        </w:rPr>
        <w:t xml:space="preserve"> permanent education and training programs for medical students and medical professionals, and also for all personnel who are members of the health and social security system on the issues of informed consent, gender-based discrimination and stereotypes, and gender-based violence</w:t>
      </w:r>
      <w:r w:rsidR="00EE275E" w:rsidRPr="00012C3F">
        <w:rPr>
          <w:bCs/>
          <w:sz w:val="20"/>
          <w:szCs w:val="20"/>
          <w:lang w:val="en-US"/>
        </w:rPr>
        <w:t xml:space="preserve">, </w:t>
      </w:r>
      <w:r w:rsidR="009D443F" w:rsidRPr="00012C3F">
        <w:rPr>
          <w:bCs/>
          <w:sz w:val="20"/>
          <w:szCs w:val="20"/>
          <w:lang w:val="en-US"/>
        </w:rPr>
        <w:t>pursuant to</w:t>
      </w:r>
      <w:r w:rsidR="000F735E" w:rsidRPr="00012C3F">
        <w:rPr>
          <w:bCs/>
          <w:sz w:val="20"/>
          <w:szCs w:val="20"/>
          <w:lang w:val="en-US"/>
        </w:rPr>
        <w:t xml:space="preserve"> paragraph</w:t>
      </w:r>
      <w:r w:rsidR="00EE275E" w:rsidRPr="00012C3F">
        <w:rPr>
          <w:bCs/>
          <w:sz w:val="20"/>
          <w:szCs w:val="20"/>
          <w:lang w:val="en-US"/>
        </w:rPr>
        <w:t xml:space="preserve"> </w:t>
      </w:r>
      <w:r w:rsidR="00025E57" w:rsidRPr="00012C3F">
        <w:rPr>
          <w:bCs/>
          <w:sz w:val="20"/>
          <w:szCs w:val="20"/>
          <w:lang w:val="en-US"/>
        </w:rPr>
        <w:t xml:space="preserve">342 </w:t>
      </w:r>
      <w:r w:rsidR="000F735E" w:rsidRPr="00012C3F">
        <w:rPr>
          <w:bCs/>
          <w:sz w:val="20"/>
          <w:szCs w:val="20"/>
          <w:lang w:val="en-US"/>
        </w:rPr>
        <w:t>of this judgment</w:t>
      </w:r>
      <w:r w:rsidR="00EE275E" w:rsidRPr="00012C3F">
        <w:rPr>
          <w:bCs/>
          <w:sz w:val="20"/>
          <w:szCs w:val="20"/>
          <w:lang w:val="en-US"/>
        </w:rPr>
        <w:t>.</w:t>
      </w:r>
    </w:p>
    <w:p w14:paraId="3967D247" w14:textId="77777777" w:rsidR="00EE275E" w:rsidRPr="00012C3F" w:rsidRDefault="00EE275E" w:rsidP="00EE275E">
      <w:pPr>
        <w:spacing w:line="240" w:lineRule="auto"/>
        <w:rPr>
          <w:sz w:val="20"/>
          <w:szCs w:val="20"/>
          <w:lang w:val="en-US"/>
        </w:rPr>
      </w:pPr>
    </w:p>
    <w:p w14:paraId="5EFABA98" w14:textId="77777777" w:rsidR="00EE275E" w:rsidRPr="00012C3F" w:rsidRDefault="004A757F" w:rsidP="00EE275E">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State shall</w:t>
      </w:r>
      <w:r w:rsidR="00EE275E" w:rsidRPr="00012C3F">
        <w:rPr>
          <w:bCs/>
          <w:sz w:val="20"/>
          <w:szCs w:val="20"/>
          <w:lang w:val="en-US"/>
        </w:rPr>
        <w:t xml:space="preserve"> pa</w:t>
      </w:r>
      <w:r w:rsidR="00E24183" w:rsidRPr="00012C3F">
        <w:rPr>
          <w:bCs/>
          <w:sz w:val="20"/>
          <w:szCs w:val="20"/>
          <w:lang w:val="en-US"/>
        </w:rPr>
        <w:t xml:space="preserve">y the amounts established in paragraphs </w:t>
      </w:r>
      <w:r w:rsidR="00F91EBE" w:rsidRPr="00012C3F">
        <w:rPr>
          <w:bCs/>
          <w:sz w:val="20"/>
          <w:szCs w:val="20"/>
          <w:lang w:val="en-US"/>
        </w:rPr>
        <w:t>358</w:t>
      </w:r>
      <w:r w:rsidR="005E5012" w:rsidRPr="00012C3F">
        <w:rPr>
          <w:bCs/>
          <w:sz w:val="20"/>
          <w:szCs w:val="20"/>
          <w:lang w:val="en-US"/>
        </w:rPr>
        <w:t xml:space="preserve"> and </w:t>
      </w:r>
      <w:r w:rsidR="00F91EBE" w:rsidRPr="00012C3F">
        <w:rPr>
          <w:bCs/>
          <w:sz w:val="20"/>
          <w:szCs w:val="20"/>
          <w:lang w:val="en-US"/>
        </w:rPr>
        <w:t xml:space="preserve">363 </w:t>
      </w:r>
      <w:r w:rsidR="000F735E" w:rsidRPr="00012C3F">
        <w:rPr>
          <w:bCs/>
          <w:sz w:val="20"/>
          <w:szCs w:val="20"/>
          <w:lang w:val="en-US"/>
        </w:rPr>
        <w:t>of this judgment</w:t>
      </w:r>
      <w:r w:rsidR="00EE275E" w:rsidRPr="00012C3F">
        <w:rPr>
          <w:bCs/>
          <w:sz w:val="20"/>
          <w:szCs w:val="20"/>
          <w:lang w:val="en-US"/>
        </w:rPr>
        <w:t xml:space="preserve">, </w:t>
      </w:r>
      <w:r w:rsidR="00E24183" w:rsidRPr="00012C3F">
        <w:rPr>
          <w:bCs/>
          <w:sz w:val="20"/>
          <w:szCs w:val="20"/>
          <w:lang w:val="en-US"/>
        </w:rPr>
        <w:t xml:space="preserve">as compensation for pecuniary and non-pecuniary damage and to reimburse costs and expenses, pursuant to the said paragraphs and to paragraphs </w:t>
      </w:r>
      <w:r w:rsidR="00F91EBE" w:rsidRPr="00012C3F">
        <w:rPr>
          <w:bCs/>
          <w:sz w:val="20"/>
          <w:szCs w:val="20"/>
          <w:lang w:val="en-US"/>
        </w:rPr>
        <w:t xml:space="preserve">366 </w:t>
      </w:r>
      <w:r w:rsidR="00E24183" w:rsidRPr="00012C3F">
        <w:rPr>
          <w:bCs/>
          <w:sz w:val="20"/>
          <w:szCs w:val="20"/>
          <w:lang w:val="en-US"/>
        </w:rPr>
        <w:t>to</w:t>
      </w:r>
      <w:r w:rsidR="00EE275E" w:rsidRPr="00012C3F">
        <w:rPr>
          <w:bCs/>
          <w:sz w:val="20"/>
          <w:szCs w:val="20"/>
          <w:lang w:val="en-US"/>
        </w:rPr>
        <w:t xml:space="preserve"> </w:t>
      </w:r>
      <w:r w:rsidR="00F91EBE" w:rsidRPr="00012C3F">
        <w:rPr>
          <w:bCs/>
          <w:sz w:val="20"/>
          <w:szCs w:val="20"/>
          <w:lang w:val="en-US"/>
        </w:rPr>
        <w:t>371.</w:t>
      </w:r>
    </w:p>
    <w:p w14:paraId="53D53A06" w14:textId="77777777" w:rsidR="00EE275E" w:rsidRPr="00012C3F" w:rsidRDefault="00EE275E" w:rsidP="00EE275E">
      <w:pPr>
        <w:pStyle w:val="Prrafodelista2"/>
        <w:ind w:left="0" w:right="-90"/>
        <w:contextualSpacing/>
        <w:jc w:val="both"/>
        <w:rPr>
          <w:bCs/>
          <w:lang w:val="en-US"/>
        </w:rPr>
      </w:pPr>
    </w:p>
    <w:p w14:paraId="361FEC18" w14:textId="77777777" w:rsidR="00EE275E" w:rsidRPr="00012C3F" w:rsidRDefault="00A84CA0" w:rsidP="00EE275E">
      <w:pPr>
        <w:widowControl/>
        <w:numPr>
          <w:ilvl w:val="0"/>
          <w:numId w:val="44"/>
        </w:numPr>
        <w:tabs>
          <w:tab w:val="left" w:pos="720"/>
        </w:tabs>
        <w:adjustRightInd/>
        <w:spacing w:line="240" w:lineRule="auto"/>
        <w:ind w:right="-90"/>
        <w:contextualSpacing/>
        <w:textAlignment w:val="auto"/>
        <w:rPr>
          <w:sz w:val="20"/>
          <w:szCs w:val="20"/>
          <w:lang w:val="en-US"/>
        </w:rPr>
      </w:pPr>
      <w:r w:rsidRPr="00012C3F">
        <w:rPr>
          <w:sz w:val="20"/>
          <w:szCs w:val="20"/>
          <w:lang w:val="en-US"/>
        </w:rPr>
        <w:t>The State</w:t>
      </w:r>
      <w:r w:rsidR="00EE275E" w:rsidRPr="00012C3F">
        <w:rPr>
          <w:sz w:val="20"/>
          <w:szCs w:val="20"/>
          <w:lang w:val="en-US"/>
        </w:rPr>
        <w:t xml:space="preserve"> </w:t>
      </w:r>
      <w:r w:rsidR="000F735E" w:rsidRPr="00012C3F">
        <w:rPr>
          <w:sz w:val="20"/>
          <w:szCs w:val="20"/>
          <w:lang w:val="en-US"/>
        </w:rPr>
        <w:t>shall reimburse the sum disbursed during the processing of this case to the</w:t>
      </w:r>
      <w:r w:rsidR="00EE275E" w:rsidRPr="00012C3F">
        <w:rPr>
          <w:sz w:val="20"/>
          <w:szCs w:val="20"/>
          <w:lang w:val="en-US"/>
        </w:rPr>
        <w:t xml:space="preserve"> </w:t>
      </w:r>
      <w:r w:rsidR="00B257AF" w:rsidRPr="00012C3F">
        <w:rPr>
          <w:sz w:val="20"/>
          <w:szCs w:val="20"/>
          <w:lang w:val="en-US"/>
        </w:rPr>
        <w:t>Victims’ Legal Assistance Fund</w:t>
      </w:r>
      <w:r w:rsidR="001254DE" w:rsidRPr="00012C3F">
        <w:rPr>
          <w:sz w:val="20"/>
          <w:szCs w:val="20"/>
          <w:lang w:val="en-US"/>
        </w:rPr>
        <w:t xml:space="preserve"> of the Inter-American Court of Human Rights</w:t>
      </w:r>
      <w:r w:rsidR="00EE275E" w:rsidRPr="00012C3F">
        <w:rPr>
          <w:sz w:val="20"/>
          <w:szCs w:val="20"/>
          <w:lang w:val="en-US"/>
        </w:rPr>
        <w:t xml:space="preserve">, </w:t>
      </w:r>
      <w:r w:rsidR="009D443F" w:rsidRPr="00012C3F">
        <w:rPr>
          <w:sz w:val="20"/>
          <w:szCs w:val="20"/>
          <w:lang w:val="en-US"/>
        </w:rPr>
        <w:t>pursuant to</w:t>
      </w:r>
      <w:r w:rsidR="000F735E" w:rsidRPr="00012C3F">
        <w:rPr>
          <w:sz w:val="20"/>
          <w:szCs w:val="20"/>
          <w:lang w:val="en-US"/>
        </w:rPr>
        <w:t xml:space="preserve"> paragraphs</w:t>
      </w:r>
      <w:r w:rsidR="00EE275E" w:rsidRPr="00012C3F">
        <w:rPr>
          <w:sz w:val="20"/>
          <w:szCs w:val="20"/>
          <w:lang w:val="en-US"/>
        </w:rPr>
        <w:t xml:space="preserve"> </w:t>
      </w:r>
      <w:r w:rsidR="00F91EBE" w:rsidRPr="00012C3F">
        <w:rPr>
          <w:sz w:val="20"/>
          <w:szCs w:val="20"/>
          <w:lang w:val="en-US"/>
        </w:rPr>
        <w:t>365</w:t>
      </w:r>
      <w:r w:rsidR="005E5012" w:rsidRPr="00012C3F">
        <w:rPr>
          <w:sz w:val="20"/>
          <w:szCs w:val="20"/>
          <w:lang w:val="en-US"/>
        </w:rPr>
        <w:t xml:space="preserve"> and </w:t>
      </w:r>
      <w:r w:rsidR="00F91EBE" w:rsidRPr="00012C3F">
        <w:rPr>
          <w:sz w:val="20"/>
          <w:szCs w:val="20"/>
          <w:lang w:val="en-US"/>
        </w:rPr>
        <w:t xml:space="preserve">371 </w:t>
      </w:r>
      <w:r w:rsidR="000F735E" w:rsidRPr="00012C3F">
        <w:rPr>
          <w:sz w:val="20"/>
          <w:szCs w:val="20"/>
          <w:lang w:val="en-US"/>
        </w:rPr>
        <w:t>of this judgment</w:t>
      </w:r>
      <w:r w:rsidR="00EE275E" w:rsidRPr="00012C3F">
        <w:rPr>
          <w:sz w:val="20"/>
          <w:szCs w:val="20"/>
          <w:lang w:val="en-US"/>
        </w:rPr>
        <w:t>.</w:t>
      </w:r>
    </w:p>
    <w:p w14:paraId="01B12E7D" w14:textId="77777777" w:rsidR="00EE275E" w:rsidRPr="00012C3F" w:rsidRDefault="00EE275E" w:rsidP="00EE275E">
      <w:pPr>
        <w:pStyle w:val="Prrafodelista2"/>
        <w:ind w:left="0" w:right="-90"/>
        <w:contextualSpacing/>
        <w:jc w:val="both"/>
        <w:rPr>
          <w:bCs/>
          <w:lang w:val="en-US"/>
        </w:rPr>
      </w:pPr>
    </w:p>
    <w:p w14:paraId="055115C1" w14:textId="77777777" w:rsidR="00EE275E" w:rsidRPr="00012C3F" w:rsidRDefault="00A84CA0" w:rsidP="00EE275E">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State</w:t>
      </w:r>
      <w:r w:rsidR="00EE275E" w:rsidRPr="00012C3F">
        <w:rPr>
          <w:bCs/>
          <w:sz w:val="20"/>
          <w:szCs w:val="20"/>
          <w:lang w:val="en-US"/>
        </w:rPr>
        <w:t xml:space="preserve"> </w:t>
      </w:r>
      <w:r w:rsidR="000F735E" w:rsidRPr="00012C3F">
        <w:rPr>
          <w:bCs/>
          <w:sz w:val="20"/>
          <w:szCs w:val="20"/>
          <w:lang w:val="en-US"/>
        </w:rPr>
        <w:t>shall</w:t>
      </w:r>
      <w:r w:rsidR="00EE275E" w:rsidRPr="00012C3F">
        <w:rPr>
          <w:bCs/>
          <w:sz w:val="20"/>
          <w:szCs w:val="20"/>
          <w:lang w:val="en-US"/>
        </w:rPr>
        <w:t xml:space="preserve">, </w:t>
      </w:r>
      <w:r w:rsidR="000F735E" w:rsidRPr="00012C3F">
        <w:rPr>
          <w:bCs/>
          <w:sz w:val="20"/>
          <w:szCs w:val="20"/>
          <w:lang w:val="en-US"/>
        </w:rPr>
        <w:t>within one year</w:t>
      </w:r>
      <w:r w:rsidR="00EE275E" w:rsidRPr="00012C3F">
        <w:rPr>
          <w:bCs/>
          <w:sz w:val="20"/>
          <w:szCs w:val="20"/>
          <w:lang w:val="en-US"/>
        </w:rPr>
        <w:t xml:space="preserve"> </w:t>
      </w:r>
      <w:r w:rsidR="000F735E" w:rsidRPr="00012C3F">
        <w:rPr>
          <w:bCs/>
          <w:sz w:val="20"/>
          <w:szCs w:val="20"/>
          <w:lang w:val="en-US"/>
        </w:rPr>
        <w:t>of notification of this judgment</w:t>
      </w:r>
      <w:r w:rsidR="00EE275E" w:rsidRPr="00012C3F">
        <w:rPr>
          <w:bCs/>
          <w:sz w:val="20"/>
          <w:szCs w:val="20"/>
          <w:lang w:val="en-US"/>
        </w:rPr>
        <w:t xml:space="preserve">, </w:t>
      </w:r>
      <w:r w:rsidR="000F735E" w:rsidRPr="00012C3F">
        <w:rPr>
          <w:bCs/>
          <w:sz w:val="20"/>
          <w:szCs w:val="20"/>
          <w:lang w:val="en-US"/>
        </w:rPr>
        <w:t>provide the Court with a report on the measures adopted to comply with it, without prejudice to the provisions of paragraph</w:t>
      </w:r>
      <w:r w:rsidR="00EE275E" w:rsidRPr="00012C3F">
        <w:rPr>
          <w:bCs/>
          <w:sz w:val="20"/>
          <w:szCs w:val="20"/>
          <w:lang w:val="en-US"/>
        </w:rPr>
        <w:t xml:space="preserve"> </w:t>
      </w:r>
      <w:r w:rsidR="00F10587" w:rsidRPr="00012C3F">
        <w:rPr>
          <w:bCs/>
          <w:sz w:val="20"/>
          <w:szCs w:val="20"/>
          <w:lang w:val="en-US"/>
        </w:rPr>
        <w:t xml:space="preserve">335 </w:t>
      </w:r>
      <w:r w:rsidR="000F735E" w:rsidRPr="00012C3F">
        <w:rPr>
          <w:bCs/>
          <w:sz w:val="20"/>
          <w:szCs w:val="20"/>
          <w:lang w:val="en-US"/>
        </w:rPr>
        <w:t>of this judgment</w:t>
      </w:r>
      <w:r w:rsidR="00EE275E" w:rsidRPr="00012C3F">
        <w:rPr>
          <w:bCs/>
          <w:sz w:val="20"/>
          <w:szCs w:val="20"/>
          <w:lang w:val="en-US"/>
        </w:rPr>
        <w:t>.</w:t>
      </w:r>
    </w:p>
    <w:p w14:paraId="12BC4444" w14:textId="77777777" w:rsidR="00EE275E" w:rsidRPr="00012C3F" w:rsidRDefault="00EE275E" w:rsidP="00EE275E">
      <w:pPr>
        <w:pStyle w:val="Prrafodelista2"/>
        <w:ind w:left="0" w:right="-90"/>
        <w:contextualSpacing/>
        <w:jc w:val="both"/>
        <w:rPr>
          <w:bCs/>
          <w:lang w:val="en-US"/>
        </w:rPr>
      </w:pPr>
    </w:p>
    <w:p w14:paraId="5B93A32F" w14:textId="77777777" w:rsidR="00EE275E" w:rsidRPr="00012C3F" w:rsidRDefault="001254DE" w:rsidP="00EE275E">
      <w:pPr>
        <w:widowControl/>
        <w:numPr>
          <w:ilvl w:val="0"/>
          <w:numId w:val="44"/>
        </w:numPr>
        <w:tabs>
          <w:tab w:val="left" w:pos="720"/>
        </w:tabs>
        <w:adjustRightInd/>
        <w:spacing w:line="240" w:lineRule="auto"/>
        <w:ind w:right="-90"/>
        <w:contextualSpacing/>
        <w:textAlignment w:val="auto"/>
        <w:rPr>
          <w:bCs/>
          <w:sz w:val="20"/>
          <w:szCs w:val="20"/>
          <w:lang w:val="en-US"/>
        </w:rPr>
      </w:pPr>
      <w:r w:rsidRPr="00012C3F">
        <w:rPr>
          <w:bCs/>
          <w:sz w:val="20"/>
          <w:szCs w:val="20"/>
          <w:lang w:val="en-US"/>
        </w:rPr>
        <w:t>The Court</w:t>
      </w:r>
      <w:r w:rsidR="00EE275E" w:rsidRPr="00012C3F">
        <w:rPr>
          <w:bCs/>
          <w:sz w:val="20"/>
          <w:szCs w:val="20"/>
          <w:lang w:val="en-US"/>
        </w:rPr>
        <w:t xml:space="preserve"> </w:t>
      </w:r>
      <w:r w:rsidR="000F735E" w:rsidRPr="00012C3F">
        <w:rPr>
          <w:bCs/>
          <w:sz w:val="20"/>
          <w:szCs w:val="20"/>
          <w:lang w:val="en-US"/>
        </w:rPr>
        <w:t xml:space="preserve">will monitor full compliance with this judgment, in the exercise of its attributes and in compliance with its duties under </w:t>
      </w:r>
      <w:r w:rsidRPr="00012C3F">
        <w:rPr>
          <w:bCs/>
          <w:sz w:val="20"/>
          <w:szCs w:val="20"/>
          <w:lang w:val="en-US"/>
        </w:rPr>
        <w:t>the American Convention on Human Rights</w:t>
      </w:r>
      <w:r w:rsidR="00EE275E" w:rsidRPr="00012C3F">
        <w:rPr>
          <w:bCs/>
          <w:sz w:val="20"/>
          <w:szCs w:val="20"/>
          <w:lang w:val="en-US"/>
        </w:rPr>
        <w:t>,</w:t>
      </w:r>
      <w:r w:rsidR="005E5012" w:rsidRPr="00012C3F">
        <w:rPr>
          <w:bCs/>
          <w:sz w:val="20"/>
          <w:szCs w:val="20"/>
          <w:lang w:val="en-US"/>
        </w:rPr>
        <w:t xml:space="preserve"> and </w:t>
      </w:r>
      <w:r w:rsidR="000F735E" w:rsidRPr="00012C3F">
        <w:rPr>
          <w:bCs/>
          <w:sz w:val="20"/>
          <w:szCs w:val="20"/>
          <w:lang w:val="en-US"/>
        </w:rPr>
        <w:t>will consider this case closed when the State has complied fully with all its provisions</w:t>
      </w:r>
      <w:r w:rsidR="00EE275E" w:rsidRPr="00012C3F">
        <w:rPr>
          <w:bCs/>
          <w:sz w:val="20"/>
          <w:szCs w:val="20"/>
          <w:lang w:val="en-US"/>
        </w:rPr>
        <w:t>.</w:t>
      </w:r>
    </w:p>
    <w:p w14:paraId="49E81F66" w14:textId="77777777" w:rsidR="00C60F32" w:rsidRPr="00012C3F" w:rsidRDefault="00C60F32" w:rsidP="00EE275E">
      <w:pPr>
        <w:widowControl/>
        <w:tabs>
          <w:tab w:val="left" w:pos="720"/>
        </w:tabs>
        <w:adjustRightInd/>
        <w:spacing w:line="240" w:lineRule="auto"/>
        <w:ind w:right="-90"/>
        <w:contextualSpacing/>
        <w:textAlignment w:val="auto"/>
        <w:rPr>
          <w:bCs/>
          <w:sz w:val="20"/>
          <w:szCs w:val="20"/>
          <w:lang w:val="en-US"/>
        </w:rPr>
      </w:pPr>
    </w:p>
    <w:p w14:paraId="69095BA0" w14:textId="77777777" w:rsidR="00927C7A" w:rsidRPr="00012C3F" w:rsidRDefault="001254DE" w:rsidP="00EE275E">
      <w:pPr>
        <w:widowControl/>
        <w:tabs>
          <w:tab w:val="left" w:pos="720"/>
        </w:tabs>
        <w:adjustRightInd/>
        <w:spacing w:line="240" w:lineRule="auto"/>
        <w:ind w:right="-90"/>
        <w:contextualSpacing/>
        <w:textAlignment w:val="auto"/>
        <w:rPr>
          <w:bCs/>
          <w:sz w:val="20"/>
          <w:szCs w:val="20"/>
          <w:lang w:val="en-US"/>
        </w:rPr>
      </w:pPr>
      <w:r w:rsidRPr="00012C3F">
        <w:rPr>
          <w:bCs/>
          <w:sz w:val="20"/>
          <w:szCs w:val="20"/>
          <w:lang w:val="en-US"/>
        </w:rPr>
        <w:t>Judge</w:t>
      </w:r>
      <w:r w:rsidR="00927C7A" w:rsidRPr="00012C3F">
        <w:rPr>
          <w:bCs/>
          <w:sz w:val="20"/>
          <w:szCs w:val="20"/>
          <w:lang w:val="en-US"/>
        </w:rPr>
        <w:t xml:space="preserve"> Eduardo Ferrer Mac-Gregor Poisot </w:t>
      </w:r>
      <w:r w:rsidR="00656D15" w:rsidRPr="00012C3F">
        <w:rPr>
          <w:bCs/>
          <w:sz w:val="20"/>
          <w:szCs w:val="20"/>
          <w:lang w:val="en-US"/>
        </w:rPr>
        <w:t>advised</w:t>
      </w:r>
      <w:r w:rsidR="00927C7A" w:rsidRPr="00012C3F">
        <w:rPr>
          <w:bCs/>
          <w:sz w:val="20"/>
          <w:szCs w:val="20"/>
          <w:lang w:val="en-US"/>
        </w:rPr>
        <w:t xml:space="preserve"> </w:t>
      </w:r>
      <w:r w:rsidRPr="00012C3F">
        <w:rPr>
          <w:bCs/>
          <w:sz w:val="20"/>
          <w:szCs w:val="20"/>
          <w:lang w:val="en-US"/>
        </w:rPr>
        <w:t>the Court</w:t>
      </w:r>
      <w:r w:rsidR="00927C7A" w:rsidRPr="00012C3F">
        <w:rPr>
          <w:bCs/>
          <w:sz w:val="20"/>
          <w:szCs w:val="20"/>
          <w:lang w:val="en-US"/>
        </w:rPr>
        <w:t xml:space="preserve"> </w:t>
      </w:r>
      <w:r w:rsidR="00656D15" w:rsidRPr="00012C3F">
        <w:rPr>
          <w:bCs/>
          <w:sz w:val="20"/>
          <w:szCs w:val="20"/>
          <w:lang w:val="en-US"/>
        </w:rPr>
        <w:t>of his concurring opinion, which is attached to this judgment.</w:t>
      </w:r>
    </w:p>
    <w:p w14:paraId="270D0595" w14:textId="77777777" w:rsidR="00927C7A" w:rsidRPr="00012C3F" w:rsidRDefault="00927C7A" w:rsidP="00EE275E">
      <w:pPr>
        <w:widowControl/>
        <w:tabs>
          <w:tab w:val="left" w:pos="720"/>
        </w:tabs>
        <w:adjustRightInd/>
        <w:spacing w:line="240" w:lineRule="auto"/>
        <w:ind w:right="-90"/>
        <w:contextualSpacing/>
        <w:textAlignment w:val="auto"/>
        <w:rPr>
          <w:b/>
          <w:bCs/>
          <w:sz w:val="20"/>
          <w:szCs w:val="20"/>
          <w:lang w:val="en-US"/>
        </w:rPr>
      </w:pPr>
    </w:p>
    <w:p w14:paraId="399BF3A8" w14:textId="77777777" w:rsidR="00EE275E" w:rsidRPr="00012C3F" w:rsidRDefault="00656D15" w:rsidP="00EE275E">
      <w:pPr>
        <w:widowControl/>
        <w:tabs>
          <w:tab w:val="left" w:pos="720"/>
        </w:tabs>
        <w:adjustRightInd/>
        <w:spacing w:line="240" w:lineRule="auto"/>
        <w:ind w:right="-90"/>
        <w:contextualSpacing/>
        <w:textAlignment w:val="auto"/>
        <w:rPr>
          <w:bCs/>
          <w:sz w:val="20"/>
          <w:szCs w:val="20"/>
          <w:lang w:val="en-US"/>
        </w:rPr>
      </w:pPr>
      <w:r w:rsidRPr="00012C3F">
        <w:rPr>
          <w:bCs/>
          <w:sz w:val="20"/>
          <w:szCs w:val="20"/>
          <w:lang w:val="en-US"/>
        </w:rPr>
        <w:t xml:space="preserve">Done, at </w:t>
      </w:r>
      <w:r w:rsidR="00EE275E" w:rsidRPr="00012C3F">
        <w:rPr>
          <w:bCs/>
          <w:sz w:val="20"/>
          <w:szCs w:val="20"/>
          <w:lang w:val="en-US"/>
        </w:rPr>
        <w:t xml:space="preserve">San José, Costa Rica, </w:t>
      </w:r>
      <w:r w:rsidRPr="00012C3F">
        <w:rPr>
          <w:bCs/>
          <w:sz w:val="20"/>
          <w:szCs w:val="20"/>
          <w:lang w:val="en-US"/>
        </w:rPr>
        <w:t>on November 30,</w:t>
      </w:r>
      <w:r w:rsidR="00EE275E" w:rsidRPr="00012C3F">
        <w:rPr>
          <w:bCs/>
          <w:sz w:val="20"/>
          <w:szCs w:val="20"/>
          <w:lang w:val="en-US"/>
        </w:rPr>
        <w:t xml:space="preserve"> 2016</w:t>
      </w:r>
      <w:r w:rsidRPr="00012C3F">
        <w:rPr>
          <w:bCs/>
          <w:sz w:val="20"/>
          <w:szCs w:val="20"/>
          <w:lang w:val="en-US"/>
        </w:rPr>
        <w:t>, in the Spanish language.</w:t>
      </w:r>
    </w:p>
    <w:p w14:paraId="2EDF354C" w14:textId="77777777" w:rsidR="00CD3FD7" w:rsidRPr="00012C3F" w:rsidRDefault="00CD3FD7" w:rsidP="008D0B77">
      <w:pPr>
        <w:spacing w:line="240" w:lineRule="auto"/>
        <w:rPr>
          <w:sz w:val="20"/>
          <w:szCs w:val="20"/>
          <w:lang w:val="en-US"/>
        </w:rPr>
      </w:pPr>
    </w:p>
    <w:p w14:paraId="440C601A" w14:textId="77777777" w:rsidR="00F45866" w:rsidRPr="00012C3F" w:rsidRDefault="00F45866">
      <w:pPr>
        <w:widowControl/>
        <w:adjustRightInd/>
        <w:spacing w:after="200" w:line="276" w:lineRule="auto"/>
        <w:jc w:val="left"/>
        <w:textAlignment w:val="auto"/>
        <w:rPr>
          <w:sz w:val="20"/>
          <w:lang w:val="en-US"/>
        </w:rPr>
      </w:pPr>
      <w:r w:rsidRPr="00012C3F">
        <w:rPr>
          <w:sz w:val="20"/>
          <w:lang w:val="en-US"/>
        </w:rPr>
        <w:br w:type="page"/>
      </w:r>
    </w:p>
    <w:p w14:paraId="29CFA7D4" w14:textId="77777777" w:rsidR="009943EE" w:rsidRPr="00012C3F" w:rsidRDefault="001254DE" w:rsidP="00F45866">
      <w:pPr>
        <w:spacing w:line="240" w:lineRule="auto"/>
        <w:rPr>
          <w:sz w:val="20"/>
          <w:lang w:val="en-US"/>
        </w:rPr>
      </w:pPr>
      <w:r w:rsidRPr="00012C3F">
        <w:rPr>
          <w:sz w:val="20"/>
          <w:lang w:val="en-US"/>
        </w:rPr>
        <w:lastRenderedPageBreak/>
        <w:t>Judgment of</w:t>
      </w:r>
      <w:r w:rsidR="009943EE" w:rsidRPr="00012C3F">
        <w:rPr>
          <w:sz w:val="20"/>
          <w:lang w:val="en-US"/>
        </w:rPr>
        <w:t xml:space="preserve"> </w:t>
      </w:r>
      <w:r w:rsidRPr="00012C3F">
        <w:rPr>
          <w:sz w:val="20"/>
          <w:lang w:val="en-US"/>
        </w:rPr>
        <w:t>the Inter-American Court of Human Rights</w:t>
      </w:r>
      <w:r w:rsidR="009943EE" w:rsidRPr="00012C3F">
        <w:rPr>
          <w:sz w:val="20"/>
          <w:lang w:val="en-US"/>
        </w:rPr>
        <w:t xml:space="preserve">. </w:t>
      </w:r>
      <w:r w:rsidRPr="00012C3F">
        <w:rPr>
          <w:sz w:val="20"/>
          <w:lang w:val="en-US"/>
        </w:rPr>
        <w:t>Case of</w:t>
      </w:r>
      <w:r w:rsidR="009943EE" w:rsidRPr="00012C3F">
        <w:rPr>
          <w:sz w:val="20"/>
          <w:lang w:val="en-US"/>
        </w:rPr>
        <w:t xml:space="preserve"> </w:t>
      </w:r>
      <w:r w:rsidR="000E1C11" w:rsidRPr="00012C3F">
        <w:rPr>
          <w:sz w:val="20"/>
          <w:lang w:val="en-US"/>
        </w:rPr>
        <w:t>I.V.</w:t>
      </w:r>
      <w:r w:rsidR="009943EE" w:rsidRPr="00012C3F">
        <w:rPr>
          <w:sz w:val="20"/>
          <w:lang w:val="en-US"/>
        </w:rPr>
        <w:t xml:space="preserve"> </w:t>
      </w:r>
      <w:r w:rsidR="000E1C11" w:rsidRPr="00012C3F">
        <w:rPr>
          <w:i/>
          <w:iCs/>
          <w:sz w:val="20"/>
          <w:lang w:val="en-US"/>
        </w:rPr>
        <w:t>v.</w:t>
      </w:r>
      <w:r w:rsidR="009943EE" w:rsidRPr="00012C3F">
        <w:rPr>
          <w:sz w:val="20"/>
          <w:lang w:val="en-US"/>
        </w:rPr>
        <w:t xml:space="preserve"> Bolivia. </w:t>
      </w:r>
      <w:r w:rsidRPr="00012C3F">
        <w:rPr>
          <w:sz w:val="20"/>
          <w:lang w:val="en-US"/>
        </w:rPr>
        <w:t>Preliminary objections, merits, reparations and costs</w:t>
      </w:r>
      <w:r w:rsidR="009943EE" w:rsidRPr="00012C3F">
        <w:rPr>
          <w:sz w:val="20"/>
          <w:lang w:val="en-US"/>
        </w:rPr>
        <w:t>.</w:t>
      </w:r>
    </w:p>
    <w:p w14:paraId="1E663673" w14:textId="77777777" w:rsidR="009943EE" w:rsidRPr="00012C3F" w:rsidRDefault="009943EE" w:rsidP="00F45866">
      <w:pPr>
        <w:spacing w:line="240" w:lineRule="auto"/>
        <w:rPr>
          <w:sz w:val="20"/>
          <w:lang w:val="en-US"/>
        </w:rPr>
      </w:pPr>
    </w:p>
    <w:p w14:paraId="5243A9BA" w14:textId="77777777" w:rsidR="009943EE" w:rsidRPr="00012C3F" w:rsidRDefault="009943EE" w:rsidP="00F45866">
      <w:pPr>
        <w:spacing w:line="240" w:lineRule="auto"/>
        <w:rPr>
          <w:sz w:val="20"/>
          <w:lang w:val="en-US"/>
        </w:rPr>
      </w:pPr>
    </w:p>
    <w:p w14:paraId="08D31725" w14:textId="77777777" w:rsidR="00F45866" w:rsidRPr="00012C3F" w:rsidRDefault="00F45866" w:rsidP="00F45866">
      <w:pPr>
        <w:spacing w:line="240" w:lineRule="auto"/>
        <w:rPr>
          <w:sz w:val="20"/>
          <w:lang w:val="en-US"/>
        </w:rPr>
      </w:pPr>
    </w:p>
    <w:p w14:paraId="252BA05D" w14:textId="77777777" w:rsidR="00F45866" w:rsidRPr="00012C3F" w:rsidRDefault="00F45866" w:rsidP="00F45866">
      <w:pPr>
        <w:spacing w:line="240" w:lineRule="auto"/>
        <w:rPr>
          <w:sz w:val="20"/>
          <w:lang w:val="en-US"/>
        </w:rPr>
      </w:pPr>
    </w:p>
    <w:p w14:paraId="15B3D2EC" w14:textId="77777777" w:rsidR="00F45866" w:rsidRPr="00012C3F" w:rsidRDefault="00F45866" w:rsidP="00F45866">
      <w:pPr>
        <w:spacing w:line="240" w:lineRule="auto"/>
        <w:rPr>
          <w:sz w:val="20"/>
          <w:lang w:val="en-US"/>
        </w:rPr>
      </w:pPr>
    </w:p>
    <w:p w14:paraId="2EAF77FC" w14:textId="77777777" w:rsidR="009943EE" w:rsidRPr="00012C3F" w:rsidRDefault="009943EE" w:rsidP="00F45866">
      <w:pPr>
        <w:spacing w:line="240" w:lineRule="auto"/>
        <w:jc w:val="center"/>
        <w:rPr>
          <w:sz w:val="20"/>
          <w:lang w:val="en-US"/>
        </w:rPr>
      </w:pPr>
      <w:r w:rsidRPr="00012C3F">
        <w:rPr>
          <w:sz w:val="20"/>
          <w:lang w:val="en-US"/>
        </w:rPr>
        <w:t>Roberto F. Caldas</w:t>
      </w:r>
    </w:p>
    <w:p w14:paraId="1C9AC6A1" w14:textId="77777777" w:rsidR="009943EE" w:rsidRPr="00012C3F" w:rsidRDefault="001254DE" w:rsidP="00F45866">
      <w:pPr>
        <w:spacing w:line="240" w:lineRule="auto"/>
        <w:jc w:val="center"/>
        <w:rPr>
          <w:sz w:val="20"/>
          <w:lang w:val="en-US"/>
        </w:rPr>
      </w:pPr>
      <w:r w:rsidRPr="00012C3F">
        <w:rPr>
          <w:sz w:val="20"/>
          <w:lang w:val="en-US"/>
        </w:rPr>
        <w:t>President</w:t>
      </w:r>
      <w:r w:rsidR="009943EE" w:rsidRPr="00012C3F">
        <w:rPr>
          <w:sz w:val="20"/>
          <w:lang w:val="en-US"/>
        </w:rPr>
        <w:t xml:space="preserve"> </w:t>
      </w:r>
    </w:p>
    <w:p w14:paraId="78C2DE49" w14:textId="77777777" w:rsidR="009943EE" w:rsidRPr="00012C3F" w:rsidRDefault="009943EE" w:rsidP="00F45866">
      <w:pPr>
        <w:spacing w:line="240" w:lineRule="auto"/>
        <w:rPr>
          <w:sz w:val="20"/>
          <w:lang w:val="en-US"/>
        </w:rPr>
      </w:pPr>
    </w:p>
    <w:p w14:paraId="66D68184" w14:textId="77777777" w:rsidR="009943EE" w:rsidRPr="00012C3F" w:rsidRDefault="009943EE" w:rsidP="00F45866">
      <w:pPr>
        <w:tabs>
          <w:tab w:val="left" w:pos="1485"/>
        </w:tabs>
        <w:spacing w:line="240" w:lineRule="auto"/>
        <w:rPr>
          <w:sz w:val="20"/>
          <w:lang w:val="en-US"/>
        </w:rPr>
      </w:pPr>
      <w:r w:rsidRPr="00012C3F">
        <w:rPr>
          <w:sz w:val="20"/>
          <w:lang w:val="en-US"/>
        </w:rPr>
        <w:tab/>
      </w:r>
    </w:p>
    <w:p w14:paraId="4E338D7A" w14:textId="77777777" w:rsidR="00F45866" w:rsidRPr="00012C3F" w:rsidRDefault="00F45866" w:rsidP="00F45866">
      <w:pPr>
        <w:spacing w:line="240" w:lineRule="auto"/>
        <w:rPr>
          <w:sz w:val="20"/>
          <w:lang w:val="en-US"/>
        </w:rPr>
      </w:pPr>
    </w:p>
    <w:p w14:paraId="2AC76A12" w14:textId="77777777" w:rsidR="00F45866" w:rsidRPr="00012C3F" w:rsidRDefault="00F45866" w:rsidP="00F45866">
      <w:pPr>
        <w:spacing w:line="240" w:lineRule="auto"/>
        <w:rPr>
          <w:sz w:val="20"/>
          <w:lang w:val="en-US"/>
        </w:rPr>
      </w:pPr>
    </w:p>
    <w:p w14:paraId="3F3D0BD5" w14:textId="77777777" w:rsidR="00F45866" w:rsidRPr="00012C3F" w:rsidRDefault="00F45866" w:rsidP="00F45866">
      <w:pPr>
        <w:spacing w:line="240" w:lineRule="auto"/>
        <w:rPr>
          <w:sz w:val="20"/>
          <w:lang w:val="en-US"/>
        </w:rPr>
      </w:pPr>
    </w:p>
    <w:p w14:paraId="23FBB54F" w14:textId="77777777" w:rsidR="009943EE" w:rsidRPr="00012C3F" w:rsidRDefault="009943EE" w:rsidP="00F45866">
      <w:pPr>
        <w:spacing w:line="240" w:lineRule="auto"/>
        <w:rPr>
          <w:sz w:val="20"/>
          <w:lang w:val="en-US"/>
        </w:rPr>
      </w:pPr>
      <w:r w:rsidRPr="00012C3F">
        <w:rPr>
          <w:sz w:val="20"/>
          <w:lang w:val="en-US"/>
        </w:rPr>
        <w:t>Eduardo Ferrer Mac-Gregor Poisot</w:t>
      </w:r>
      <w:r w:rsidRPr="00012C3F">
        <w:rPr>
          <w:sz w:val="20"/>
          <w:lang w:val="en-US"/>
        </w:rPr>
        <w:tab/>
      </w:r>
      <w:r w:rsidRPr="00012C3F">
        <w:rPr>
          <w:sz w:val="20"/>
          <w:lang w:val="en-US"/>
        </w:rPr>
        <w:tab/>
      </w:r>
      <w:r w:rsidRPr="00012C3F">
        <w:rPr>
          <w:sz w:val="20"/>
          <w:lang w:val="en-US"/>
        </w:rPr>
        <w:tab/>
      </w:r>
      <w:r w:rsidRPr="00012C3F">
        <w:rPr>
          <w:sz w:val="20"/>
          <w:lang w:val="en-US"/>
        </w:rPr>
        <w:tab/>
      </w:r>
      <w:r w:rsidRPr="00012C3F">
        <w:rPr>
          <w:sz w:val="20"/>
          <w:lang w:val="en-US"/>
        </w:rPr>
        <w:tab/>
        <w:t xml:space="preserve">            Eduardo Vio Grossi</w:t>
      </w:r>
    </w:p>
    <w:p w14:paraId="0A6763C1" w14:textId="77777777" w:rsidR="009943EE" w:rsidRPr="00012C3F" w:rsidRDefault="009943EE" w:rsidP="00F45866">
      <w:pPr>
        <w:spacing w:line="240" w:lineRule="auto"/>
        <w:rPr>
          <w:sz w:val="20"/>
          <w:lang w:val="en-US"/>
        </w:rPr>
      </w:pPr>
    </w:p>
    <w:p w14:paraId="3B6AA49A" w14:textId="77777777" w:rsidR="009943EE" w:rsidRPr="00012C3F" w:rsidRDefault="009943EE" w:rsidP="00F45866">
      <w:pPr>
        <w:spacing w:line="240" w:lineRule="auto"/>
        <w:rPr>
          <w:sz w:val="20"/>
          <w:lang w:val="en-US"/>
        </w:rPr>
      </w:pPr>
    </w:p>
    <w:p w14:paraId="05397859" w14:textId="77777777" w:rsidR="009943EE" w:rsidRPr="00012C3F" w:rsidRDefault="009943EE" w:rsidP="00F45866">
      <w:pPr>
        <w:spacing w:line="240" w:lineRule="auto"/>
        <w:rPr>
          <w:sz w:val="20"/>
          <w:lang w:val="en-US"/>
        </w:rPr>
      </w:pPr>
    </w:p>
    <w:p w14:paraId="08CA9DFD" w14:textId="77777777" w:rsidR="009943EE" w:rsidRPr="00012C3F" w:rsidRDefault="009943EE" w:rsidP="00F45866">
      <w:pPr>
        <w:spacing w:line="240" w:lineRule="auto"/>
        <w:rPr>
          <w:sz w:val="20"/>
          <w:lang w:val="en-US"/>
        </w:rPr>
      </w:pPr>
    </w:p>
    <w:p w14:paraId="601BBA77" w14:textId="77777777" w:rsidR="00F45866" w:rsidRPr="00012C3F" w:rsidRDefault="00F45866" w:rsidP="00F45866">
      <w:pPr>
        <w:spacing w:line="240" w:lineRule="auto"/>
        <w:rPr>
          <w:sz w:val="20"/>
          <w:lang w:val="en-US"/>
        </w:rPr>
      </w:pPr>
    </w:p>
    <w:p w14:paraId="22CD52FB" w14:textId="77777777" w:rsidR="009943EE" w:rsidRPr="00012C3F" w:rsidRDefault="009943EE" w:rsidP="00F45866">
      <w:pPr>
        <w:spacing w:line="240" w:lineRule="auto"/>
        <w:rPr>
          <w:sz w:val="20"/>
        </w:rPr>
      </w:pPr>
      <w:r w:rsidRPr="00012C3F">
        <w:rPr>
          <w:sz w:val="20"/>
        </w:rPr>
        <w:t>Humberto Antonio Sierra Porto</w:t>
      </w:r>
      <w:r w:rsidRPr="00012C3F">
        <w:rPr>
          <w:sz w:val="20"/>
        </w:rPr>
        <w:tab/>
      </w:r>
      <w:r w:rsidRPr="00012C3F">
        <w:rPr>
          <w:sz w:val="20"/>
        </w:rPr>
        <w:tab/>
      </w:r>
      <w:r w:rsidRPr="00012C3F">
        <w:rPr>
          <w:sz w:val="20"/>
        </w:rPr>
        <w:tab/>
      </w:r>
      <w:r w:rsidRPr="00012C3F">
        <w:rPr>
          <w:sz w:val="20"/>
        </w:rPr>
        <w:tab/>
      </w:r>
      <w:r w:rsidRPr="00012C3F">
        <w:rPr>
          <w:sz w:val="20"/>
        </w:rPr>
        <w:tab/>
        <w:t xml:space="preserve">         Elizabeth Odio Benito </w:t>
      </w:r>
    </w:p>
    <w:p w14:paraId="39F5224D" w14:textId="77777777" w:rsidR="009943EE" w:rsidRPr="00012C3F" w:rsidRDefault="009943EE" w:rsidP="00F45866">
      <w:pPr>
        <w:spacing w:line="240" w:lineRule="auto"/>
        <w:rPr>
          <w:sz w:val="20"/>
        </w:rPr>
      </w:pPr>
    </w:p>
    <w:p w14:paraId="0C31C9E1" w14:textId="77777777" w:rsidR="009943EE" w:rsidRPr="00012C3F" w:rsidRDefault="009943EE" w:rsidP="00F45866">
      <w:pPr>
        <w:spacing w:line="240" w:lineRule="auto"/>
        <w:rPr>
          <w:sz w:val="20"/>
        </w:rPr>
      </w:pPr>
    </w:p>
    <w:p w14:paraId="6D1A7169" w14:textId="77777777" w:rsidR="009943EE" w:rsidRPr="00012C3F" w:rsidRDefault="009943EE" w:rsidP="00F45866">
      <w:pPr>
        <w:spacing w:line="240" w:lineRule="auto"/>
        <w:rPr>
          <w:sz w:val="20"/>
        </w:rPr>
      </w:pPr>
    </w:p>
    <w:p w14:paraId="2A7DBD96" w14:textId="77777777" w:rsidR="009943EE" w:rsidRPr="00012C3F" w:rsidRDefault="009943EE" w:rsidP="00F45866">
      <w:pPr>
        <w:spacing w:line="240" w:lineRule="auto"/>
        <w:rPr>
          <w:sz w:val="20"/>
        </w:rPr>
      </w:pPr>
    </w:p>
    <w:p w14:paraId="34DEE175" w14:textId="77777777" w:rsidR="00F45866" w:rsidRPr="00012C3F" w:rsidRDefault="00F45866" w:rsidP="00F45866">
      <w:pPr>
        <w:spacing w:line="240" w:lineRule="auto"/>
        <w:rPr>
          <w:sz w:val="20"/>
        </w:rPr>
      </w:pPr>
    </w:p>
    <w:p w14:paraId="657C27A8" w14:textId="77777777" w:rsidR="009943EE" w:rsidRPr="00012C3F" w:rsidRDefault="009943EE" w:rsidP="00F45866">
      <w:pPr>
        <w:spacing w:line="240" w:lineRule="auto"/>
        <w:rPr>
          <w:sz w:val="20"/>
        </w:rPr>
      </w:pPr>
      <w:r w:rsidRPr="00012C3F">
        <w:rPr>
          <w:sz w:val="20"/>
        </w:rPr>
        <w:t xml:space="preserve">Eugenio Raúl Zaffaroni </w:t>
      </w:r>
      <w:r w:rsidRPr="00012C3F">
        <w:rPr>
          <w:sz w:val="20"/>
        </w:rPr>
        <w:tab/>
      </w:r>
      <w:r w:rsidRPr="00012C3F">
        <w:rPr>
          <w:sz w:val="20"/>
        </w:rPr>
        <w:tab/>
      </w:r>
      <w:r w:rsidRPr="00012C3F">
        <w:rPr>
          <w:sz w:val="20"/>
        </w:rPr>
        <w:tab/>
      </w:r>
      <w:r w:rsidRPr="00012C3F">
        <w:rPr>
          <w:sz w:val="20"/>
        </w:rPr>
        <w:tab/>
      </w:r>
      <w:r w:rsidRPr="00012C3F">
        <w:rPr>
          <w:sz w:val="20"/>
        </w:rPr>
        <w:tab/>
        <w:t xml:space="preserve">              L. Patricio Pazmiño Freire</w:t>
      </w:r>
    </w:p>
    <w:p w14:paraId="670A5649" w14:textId="77777777" w:rsidR="009943EE" w:rsidRPr="00012C3F" w:rsidRDefault="009943EE" w:rsidP="00F45866">
      <w:pPr>
        <w:spacing w:line="240" w:lineRule="auto"/>
        <w:rPr>
          <w:sz w:val="20"/>
        </w:rPr>
      </w:pPr>
    </w:p>
    <w:p w14:paraId="129D0AD6" w14:textId="77777777" w:rsidR="009943EE" w:rsidRPr="00012C3F" w:rsidRDefault="009943EE" w:rsidP="00F45866">
      <w:pPr>
        <w:spacing w:line="240" w:lineRule="auto"/>
        <w:rPr>
          <w:sz w:val="20"/>
        </w:rPr>
      </w:pPr>
    </w:p>
    <w:p w14:paraId="2DB55ED4" w14:textId="77777777" w:rsidR="009943EE" w:rsidRPr="00012C3F" w:rsidRDefault="009943EE" w:rsidP="00F45866">
      <w:pPr>
        <w:spacing w:line="240" w:lineRule="auto"/>
        <w:rPr>
          <w:sz w:val="20"/>
        </w:rPr>
      </w:pPr>
    </w:p>
    <w:p w14:paraId="2203AF81" w14:textId="77777777" w:rsidR="00F45866" w:rsidRPr="00012C3F" w:rsidRDefault="00F45866" w:rsidP="00F45866">
      <w:pPr>
        <w:spacing w:line="240" w:lineRule="auto"/>
        <w:rPr>
          <w:sz w:val="20"/>
        </w:rPr>
      </w:pPr>
    </w:p>
    <w:p w14:paraId="02709C18" w14:textId="77777777" w:rsidR="009943EE" w:rsidRPr="00012C3F" w:rsidRDefault="009943EE" w:rsidP="00F45866">
      <w:pPr>
        <w:spacing w:line="240" w:lineRule="auto"/>
        <w:rPr>
          <w:sz w:val="20"/>
        </w:rPr>
      </w:pPr>
    </w:p>
    <w:p w14:paraId="3520E8FC" w14:textId="77777777" w:rsidR="009943EE" w:rsidRPr="00012C3F" w:rsidRDefault="009943EE" w:rsidP="00F45866">
      <w:pPr>
        <w:spacing w:line="240" w:lineRule="auto"/>
        <w:jc w:val="center"/>
        <w:rPr>
          <w:sz w:val="20"/>
          <w:lang w:val="en-US"/>
        </w:rPr>
      </w:pPr>
      <w:r w:rsidRPr="00012C3F">
        <w:rPr>
          <w:sz w:val="20"/>
          <w:lang w:val="en-US"/>
        </w:rPr>
        <w:t>Pablo Saavedra Alessandri</w:t>
      </w:r>
    </w:p>
    <w:p w14:paraId="4A96E217" w14:textId="77777777" w:rsidR="009943EE" w:rsidRPr="00012C3F" w:rsidRDefault="001254DE" w:rsidP="00F45866">
      <w:pPr>
        <w:spacing w:line="240" w:lineRule="auto"/>
        <w:jc w:val="center"/>
        <w:rPr>
          <w:sz w:val="20"/>
          <w:lang w:val="en-US"/>
        </w:rPr>
      </w:pPr>
      <w:r w:rsidRPr="00012C3F">
        <w:rPr>
          <w:sz w:val="20"/>
          <w:lang w:val="en-US"/>
        </w:rPr>
        <w:t>Secretary</w:t>
      </w:r>
    </w:p>
    <w:p w14:paraId="196C7555" w14:textId="77777777" w:rsidR="009943EE" w:rsidRPr="00012C3F" w:rsidRDefault="009943EE" w:rsidP="00F45866">
      <w:pPr>
        <w:spacing w:line="240" w:lineRule="auto"/>
        <w:rPr>
          <w:sz w:val="20"/>
          <w:lang w:val="en-US"/>
        </w:rPr>
      </w:pPr>
    </w:p>
    <w:p w14:paraId="70DE03B6" w14:textId="77777777" w:rsidR="009943EE" w:rsidRPr="00012C3F" w:rsidRDefault="009943EE" w:rsidP="00F45866">
      <w:pPr>
        <w:pStyle w:val="Textonotapie"/>
        <w:rPr>
          <w:lang w:val="en-US"/>
        </w:rPr>
      </w:pPr>
    </w:p>
    <w:p w14:paraId="1041420D" w14:textId="77777777" w:rsidR="009943EE" w:rsidRPr="00012C3F" w:rsidRDefault="009943EE" w:rsidP="00F45866">
      <w:pPr>
        <w:pStyle w:val="Textonotapie"/>
        <w:rPr>
          <w:lang w:val="en-US"/>
        </w:rPr>
      </w:pPr>
    </w:p>
    <w:p w14:paraId="328F939D" w14:textId="77777777" w:rsidR="009943EE" w:rsidRPr="00012C3F" w:rsidRDefault="00F45866" w:rsidP="00F45866">
      <w:pPr>
        <w:spacing w:line="240" w:lineRule="auto"/>
        <w:rPr>
          <w:sz w:val="20"/>
          <w:lang w:val="en-US"/>
        </w:rPr>
      </w:pPr>
      <w:r w:rsidRPr="00012C3F">
        <w:rPr>
          <w:sz w:val="20"/>
          <w:lang w:val="en-US"/>
        </w:rPr>
        <w:t>So ordered</w:t>
      </w:r>
    </w:p>
    <w:p w14:paraId="491EABED" w14:textId="77777777" w:rsidR="009943EE" w:rsidRPr="00012C3F" w:rsidRDefault="009943EE" w:rsidP="00F45866">
      <w:pPr>
        <w:spacing w:line="240" w:lineRule="auto"/>
        <w:rPr>
          <w:sz w:val="20"/>
          <w:lang w:val="en-US"/>
        </w:rPr>
      </w:pPr>
    </w:p>
    <w:p w14:paraId="38B67E49" w14:textId="77777777" w:rsidR="009943EE" w:rsidRPr="00012C3F" w:rsidRDefault="009943EE" w:rsidP="00F45866">
      <w:pPr>
        <w:spacing w:line="240" w:lineRule="auto"/>
        <w:rPr>
          <w:sz w:val="20"/>
          <w:lang w:val="en-US"/>
        </w:rPr>
      </w:pPr>
    </w:p>
    <w:p w14:paraId="4C179288" w14:textId="77777777" w:rsidR="00F45866" w:rsidRPr="00012C3F" w:rsidRDefault="00F45866" w:rsidP="00F45866">
      <w:pPr>
        <w:spacing w:line="240" w:lineRule="auto"/>
        <w:ind w:left="4956" w:firstLine="708"/>
        <w:jc w:val="center"/>
        <w:rPr>
          <w:sz w:val="20"/>
          <w:lang w:val="en-US"/>
        </w:rPr>
      </w:pPr>
    </w:p>
    <w:p w14:paraId="3F5D4758" w14:textId="77777777" w:rsidR="009943EE" w:rsidRPr="00012C3F" w:rsidRDefault="009943EE" w:rsidP="00F45866">
      <w:pPr>
        <w:spacing w:line="240" w:lineRule="auto"/>
        <w:ind w:left="4956" w:firstLine="708"/>
        <w:jc w:val="center"/>
        <w:rPr>
          <w:sz w:val="20"/>
          <w:lang w:val="en-US"/>
        </w:rPr>
      </w:pPr>
      <w:r w:rsidRPr="00012C3F">
        <w:rPr>
          <w:sz w:val="20"/>
          <w:lang w:val="en-US"/>
        </w:rPr>
        <w:t>Roberto F. Caldas</w:t>
      </w:r>
    </w:p>
    <w:p w14:paraId="7886CFEF" w14:textId="77777777" w:rsidR="009943EE" w:rsidRPr="00012C3F" w:rsidRDefault="001254DE" w:rsidP="00F45866">
      <w:pPr>
        <w:spacing w:line="240" w:lineRule="auto"/>
        <w:ind w:left="4956" w:firstLine="708"/>
        <w:jc w:val="center"/>
        <w:rPr>
          <w:sz w:val="20"/>
          <w:lang w:val="en-US"/>
        </w:rPr>
      </w:pPr>
      <w:r w:rsidRPr="00012C3F">
        <w:rPr>
          <w:sz w:val="20"/>
          <w:lang w:val="en-US"/>
        </w:rPr>
        <w:t>President</w:t>
      </w:r>
      <w:r w:rsidR="009943EE" w:rsidRPr="00012C3F">
        <w:rPr>
          <w:sz w:val="20"/>
          <w:lang w:val="en-US"/>
        </w:rPr>
        <w:t xml:space="preserve"> </w:t>
      </w:r>
    </w:p>
    <w:p w14:paraId="66E40346" w14:textId="77777777" w:rsidR="00F45866" w:rsidRPr="00012C3F" w:rsidRDefault="00F45866" w:rsidP="00F45866">
      <w:pPr>
        <w:spacing w:line="240" w:lineRule="auto"/>
        <w:rPr>
          <w:sz w:val="20"/>
          <w:lang w:val="en-US"/>
        </w:rPr>
      </w:pPr>
    </w:p>
    <w:p w14:paraId="545E9395" w14:textId="77777777" w:rsidR="009943EE" w:rsidRPr="00012C3F" w:rsidRDefault="009943EE" w:rsidP="00F45866">
      <w:pPr>
        <w:spacing w:line="240" w:lineRule="auto"/>
        <w:rPr>
          <w:sz w:val="20"/>
          <w:lang w:val="en-US"/>
        </w:rPr>
      </w:pPr>
      <w:r w:rsidRPr="00012C3F">
        <w:rPr>
          <w:sz w:val="20"/>
          <w:lang w:val="en-US"/>
        </w:rPr>
        <w:t>Pablo Saavedra Alessandri</w:t>
      </w:r>
    </w:p>
    <w:p w14:paraId="4B509E55" w14:textId="77777777" w:rsidR="00011543" w:rsidRPr="00012C3F" w:rsidRDefault="009943EE" w:rsidP="00F45866">
      <w:pPr>
        <w:spacing w:line="240" w:lineRule="auto"/>
        <w:rPr>
          <w:sz w:val="20"/>
          <w:lang w:val="en-US"/>
        </w:rPr>
        <w:sectPr w:rsidR="00011543" w:rsidRPr="00012C3F" w:rsidSect="00C9313A">
          <w:headerReference w:type="default" r:id="rId8"/>
          <w:pgSz w:w="12240" w:h="15840" w:code="1"/>
          <w:pgMar w:top="1440" w:right="1077" w:bottom="1440" w:left="1077" w:header="709" w:footer="709" w:gutter="0"/>
          <w:cols w:space="708"/>
          <w:titlePg/>
          <w:docGrid w:linePitch="360"/>
        </w:sectPr>
      </w:pPr>
      <w:r w:rsidRPr="00012C3F">
        <w:rPr>
          <w:sz w:val="20"/>
          <w:lang w:val="en-US"/>
        </w:rPr>
        <w:tab/>
      </w:r>
      <w:r w:rsidR="001254DE" w:rsidRPr="00012C3F">
        <w:rPr>
          <w:sz w:val="20"/>
          <w:lang w:val="en-US"/>
        </w:rPr>
        <w:t>Secretary</w:t>
      </w:r>
    </w:p>
    <w:p w14:paraId="6ED70F99" w14:textId="77777777" w:rsidR="00011543" w:rsidRPr="00012C3F" w:rsidRDefault="00011543" w:rsidP="00011543">
      <w:pPr>
        <w:widowControl/>
        <w:adjustRightInd/>
        <w:spacing w:line="360" w:lineRule="auto"/>
        <w:ind w:left="2160" w:right="96" w:hanging="2160"/>
        <w:jc w:val="center"/>
        <w:textAlignment w:val="auto"/>
        <w:rPr>
          <w:rFonts w:eastAsia="MS Mincho"/>
          <w:b/>
          <w:sz w:val="20"/>
          <w:szCs w:val="20"/>
          <w:lang w:val="en-US" w:eastAsia="es-ES"/>
        </w:rPr>
      </w:pPr>
    </w:p>
    <w:p w14:paraId="4B7E4FED" w14:textId="77777777" w:rsidR="00011543" w:rsidRPr="00012C3F" w:rsidRDefault="00011543" w:rsidP="00011543">
      <w:pPr>
        <w:widowControl/>
        <w:adjustRightInd/>
        <w:spacing w:line="360" w:lineRule="auto"/>
        <w:ind w:left="2160" w:right="96" w:hanging="2160"/>
        <w:jc w:val="center"/>
        <w:textAlignment w:val="auto"/>
        <w:rPr>
          <w:rFonts w:eastAsia="MS Mincho"/>
          <w:b/>
          <w:sz w:val="20"/>
          <w:szCs w:val="20"/>
          <w:lang w:val="en-US" w:eastAsia="es-ES"/>
        </w:rPr>
      </w:pPr>
    </w:p>
    <w:p w14:paraId="47CD0DF0" w14:textId="77777777" w:rsidR="00011543" w:rsidRPr="00012C3F" w:rsidRDefault="00AE2CD6" w:rsidP="00011543">
      <w:pPr>
        <w:widowControl/>
        <w:adjustRightInd/>
        <w:spacing w:line="360" w:lineRule="auto"/>
        <w:ind w:left="2160" w:right="96" w:hanging="2160"/>
        <w:jc w:val="center"/>
        <w:textAlignment w:val="auto"/>
        <w:rPr>
          <w:rFonts w:eastAsia="MS Mincho"/>
          <w:b/>
          <w:sz w:val="20"/>
          <w:szCs w:val="20"/>
          <w:lang w:val="en-US" w:eastAsia="es-ES"/>
        </w:rPr>
      </w:pPr>
      <w:r w:rsidRPr="00012C3F">
        <w:rPr>
          <w:rFonts w:eastAsia="MS Mincho"/>
          <w:b/>
          <w:sz w:val="20"/>
          <w:szCs w:val="20"/>
          <w:lang w:val="en-US" w:eastAsia="es-ES"/>
        </w:rPr>
        <w:t>CONCURRING OPINION OF</w:t>
      </w:r>
    </w:p>
    <w:p w14:paraId="209C9E09" w14:textId="77777777" w:rsidR="00011543" w:rsidRPr="00012C3F" w:rsidRDefault="001254DE" w:rsidP="00011543">
      <w:pPr>
        <w:widowControl/>
        <w:adjustRightInd/>
        <w:spacing w:line="360" w:lineRule="auto"/>
        <w:ind w:left="2160" w:right="96" w:hanging="2160"/>
        <w:jc w:val="center"/>
        <w:textAlignment w:val="auto"/>
        <w:rPr>
          <w:rFonts w:eastAsia="MS Mincho"/>
          <w:b/>
          <w:sz w:val="20"/>
          <w:szCs w:val="20"/>
          <w:lang w:val="en-US" w:eastAsia="es-ES"/>
        </w:rPr>
      </w:pPr>
      <w:r w:rsidRPr="00012C3F">
        <w:rPr>
          <w:rFonts w:eastAsia="MS Mincho"/>
          <w:b/>
          <w:sz w:val="20"/>
          <w:szCs w:val="20"/>
          <w:lang w:val="en-US" w:eastAsia="es-ES"/>
        </w:rPr>
        <w:t>JUDGE</w:t>
      </w:r>
      <w:r w:rsidR="00011543" w:rsidRPr="00012C3F">
        <w:rPr>
          <w:rFonts w:eastAsia="MS Mincho"/>
          <w:b/>
          <w:sz w:val="20"/>
          <w:szCs w:val="20"/>
          <w:lang w:val="en-US" w:eastAsia="es-ES"/>
        </w:rPr>
        <w:t xml:space="preserve"> EDUARDO FERRER MAC-GREGOR POISOT</w:t>
      </w:r>
    </w:p>
    <w:p w14:paraId="33677DB0" w14:textId="77777777" w:rsidR="00011543" w:rsidRPr="00012C3F" w:rsidRDefault="00011543" w:rsidP="00011543">
      <w:pPr>
        <w:widowControl/>
        <w:adjustRightInd/>
        <w:spacing w:line="240" w:lineRule="auto"/>
        <w:ind w:left="-142" w:right="-138"/>
        <w:jc w:val="center"/>
        <w:textAlignment w:val="auto"/>
        <w:rPr>
          <w:rFonts w:eastAsia="MS Mincho"/>
          <w:b/>
          <w:sz w:val="20"/>
          <w:szCs w:val="20"/>
          <w:lang w:val="en-US" w:eastAsia="en-US"/>
        </w:rPr>
      </w:pPr>
    </w:p>
    <w:p w14:paraId="244D882E" w14:textId="77777777" w:rsidR="00011543" w:rsidRPr="00012C3F" w:rsidRDefault="00011543" w:rsidP="00011543">
      <w:pPr>
        <w:widowControl/>
        <w:adjustRightInd/>
        <w:spacing w:line="240" w:lineRule="auto"/>
        <w:ind w:left="-142" w:right="-138"/>
        <w:jc w:val="center"/>
        <w:textAlignment w:val="auto"/>
        <w:rPr>
          <w:rFonts w:eastAsia="MS Mincho"/>
          <w:b/>
          <w:i/>
          <w:sz w:val="20"/>
          <w:szCs w:val="20"/>
          <w:u w:val="single"/>
          <w:lang w:val="en-US" w:eastAsia="en-US"/>
        </w:rPr>
      </w:pPr>
      <w:r w:rsidRPr="00012C3F">
        <w:rPr>
          <w:rFonts w:eastAsia="MS Mincho"/>
          <w:b/>
          <w:i/>
          <w:sz w:val="20"/>
          <w:szCs w:val="20"/>
          <w:u w:val="single"/>
          <w:lang w:val="en-US" w:eastAsia="en-US"/>
        </w:rPr>
        <w:t>CAS</w:t>
      </w:r>
      <w:r w:rsidR="00AE2CD6" w:rsidRPr="00012C3F">
        <w:rPr>
          <w:rFonts w:eastAsia="MS Mincho"/>
          <w:b/>
          <w:i/>
          <w:sz w:val="20"/>
          <w:szCs w:val="20"/>
          <w:u w:val="single"/>
          <w:lang w:val="en-US" w:eastAsia="en-US"/>
        </w:rPr>
        <w:t>E OF</w:t>
      </w:r>
      <w:r w:rsidRPr="00012C3F">
        <w:rPr>
          <w:rFonts w:eastAsia="MS Mincho"/>
          <w:b/>
          <w:i/>
          <w:sz w:val="20"/>
          <w:szCs w:val="20"/>
          <w:u w:val="single"/>
          <w:lang w:val="en-US" w:eastAsia="en-US"/>
        </w:rPr>
        <w:t xml:space="preserve"> </w:t>
      </w:r>
      <w:r w:rsidR="000E1C11" w:rsidRPr="00012C3F">
        <w:rPr>
          <w:rFonts w:eastAsia="MS Mincho"/>
          <w:b/>
          <w:i/>
          <w:sz w:val="20"/>
          <w:szCs w:val="20"/>
          <w:u w:val="single"/>
          <w:lang w:val="en-US" w:eastAsia="en-US"/>
        </w:rPr>
        <w:t>I.V.</w:t>
      </w:r>
      <w:r w:rsidRPr="00012C3F">
        <w:rPr>
          <w:rFonts w:eastAsia="MS Mincho"/>
          <w:b/>
          <w:i/>
          <w:sz w:val="20"/>
          <w:szCs w:val="20"/>
          <w:u w:val="single"/>
          <w:lang w:val="en-US" w:eastAsia="en-US"/>
        </w:rPr>
        <w:t xml:space="preserve"> </w:t>
      </w:r>
      <w:r w:rsidR="000E1C11" w:rsidRPr="00012C3F">
        <w:rPr>
          <w:rFonts w:eastAsia="MS Mincho"/>
          <w:b/>
          <w:i/>
          <w:sz w:val="20"/>
          <w:szCs w:val="20"/>
          <w:u w:val="single"/>
          <w:lang w:val="en-US" w:eastAsia="en-US"/>
        </w:rPr>
        <w:t>v.</w:t>
      </w:r>
      <w:r w:rsidRPr="00012C3F">
        <w:rPr>
          <w:rFonts w:eastAsia="MS Mincho"/>
          <w:b/>
          <w:i/>
          <w:sz w:val="20"/>
          <w:szCs w:val="20"/>
          <w:u w:val="single"/>
          <w:lang w:val="en-US" w:eastAsia="en-US"/>
        </w:rPr>
        <w:t xml:space="preserve"> BOLIVIA</w:t>
      </w:r>
    </w:p>
    <w:p w14:paraId="4D6E0BE0" w14:textId="77777777" w:rsidR="00011543" w:rsidRPr="00012C3F" w:rsidRDefault="00011543" w:rsidP="00011543">
      <w:pPr>
        <w:widowControl/>
        <w:adjustRightInd/>
        <w:spacing w:line="240" w:lineRule="auto"/>
        <w:ind w:left="-142" w:right="-138"/>
        <w:jc w:val="center"/>
        <w:textAlignment w:val="auto"/>
        <w:rPr>
          <w:rFonts w:eastAsia="MS Mincho"/>
          <w:b/>
          <w:sz w:val="20"/>
          <w:szCs w:val="20"/>
          <w:lang w:val="en-US" w:eastAsia="en-US"/>
        </w:rPr>
      </w:pPr>
    </w:p>
    <w:p w14:paraId="11CA6EF0" w14:textId="77777777" w:rsidR="00011543" w:rsidRPr="00012C3F" w:rsidRDefault="001254DE" w:rsidP="00011543">
      <w:pPr>
        <w:widowControl/>
        <w:adjustRightInd/>
        <w:spacing w:line="240" w:lineRule="auto"/>
        <w:ind w:left="-142" w:right="-138"/>
        <w:jc w:val="center"/>
        <w:textAlignment w:val="auto"/>
        <w:rPr>
          <w:rFonts w:eastAsia="MS Mincho"/>
          <w:b/>
          <w:sz w:val="18"/>
          <w:szCs w:val="18"/>
          <w:lang w:val="en-US" w:eastAsia="en-US"/>
        </w:rPr>
      </w:pPr>
      <w:r w:rsidRPr="00012C3F">
        <w:rPr>
          <w:rFonts w:eastAsia="MS Mincho"/>
          <w:b/>
          <w:sz w:val="18"/>
          <w:szCs w:val="18"/>
          <w:lang w:val="en-US" w:eastAsia="en-US"/>
        </w:rPr>
        <w:t>JUDGMENT OF</w:t>
      </w:r>
      <w:r w:rsidR="00011543" w:rsidRPr="00012C3F">
        <w:rPr>
          <w:rFonts w:eastAsia="MS Mincho"/>
          <w:b/>
          <w:sz w:val="18"/>
          <w:szCs w:val="18"/>
          <w:lang w:val="en-US" w:eastAsia="en-US"/>
        </w:rPr>
        <w:t xml:space="preserve"> </w:t>
      </w:r>
      <w:r w:rsidR="00AE2CD6" w:rsidRPr="00012C3F">
        <w:rPr>
          <w:rFonts w:eastAsia="MS Mincho"/>
          <w:b/>
          <w:sz w:val="18"/>
          <w:szCs w:val="18"/>
          <w:lang w:val="en-US" w:eastAsia="en-US"/>
        </w:rPr>
        <w:t>NOVEMBER 30,</w:t>
      </w:r>
      <w:r w:rsidR="00011543" w:rsidRPr="00012C3F">
        <w:rPr>
          <w:rFonts w:eastAsia="MS Mincho"/>
          <w:b/>
          <w:sz w:val="18"/>
          <w:szCs w:val="18"/>
          <w:lang w:val="en-US" w:eastAsia="en-US"/>
        </w:rPr>
        <w:t xml:space="preserve"> 2016</w:t>
      </w:r>
    </w:p>
    <w:p w14:paraId="1E0EA982" w14:textId="77777777" w:rsidR="00011543" w:rsidRPr="00012C3F" w:rsidRDefault="00011543" w:rsidP="00011543">
      <w:pPr>
        <w:widowControl/>
        <w:numPr>
          <w:ilvl w:val="1"/>
          <w:numId w:val="0"/>
        </w:numPr>
        <w:adjustRightInd/>
        <w:spacing w:line="240" w:lineRule="auto"/>
        <w:ind w:left="-142" w:right="-138"/>
        <w:jc w:val="center"/>
        <w:textAlignment w:val="auto"/>
        <w:rPr>
          <w:b/>
          <w:i/>
          <w:iCs/>
          <w:sz w:val="18"/>
          <w:szCs w:val="18"/>
          <w:lang w:val="en-US" w:eastAsia="en-US"/>
        </w:rPr>
      </w:pPr>
      <w:r w:rsidRPr="00012C3F">
        <w:rPr>
          <w:b/>
          <w:i/>
          <w:iCs/>
          <w:sz w:val="18"/>
          <w:szCs w:val="18"/>
          <w:lang w:val="en-US" w:eastAsia="en-US"/>
        </w:rPr>
        <w:t>(</w:t>
      </w:r>
      <w:r w:rsidR="001254DE" w:rsidRPr="00012C3F">
        <w:rPr>
          <w:b/>
          <w:i/>
          <w:iCs/>
          <w:sz w:val="18"/>
          <w:szCs w:val="18"/>
          <w:lang w:val="en-US" w:eastAsia="en-US"/>
        </w:rPr>
        <w:t>Preliminary objections, merits, reparations and costs</w:t>
      </w:r>
      <w:r w:rsidRPr="00012C3F">
        <w:rPr>
          <w:b/>
          <w:i/>
          <w:iCs/>
          <w:sz w:val="18"/>
          <w:szCs w:val="18"/>
          <w:lang w:val="en-US" w:eastAsia="en-US"/>
        </w:rPr>
        <w:t>)</w:t>
      </w:r>
    </w:p>
    <w:p w14:paraId="33899C2C" w14:textId="77777777" w:rsidR="00011543" w:rsidRPr="00012C3F" w:rsidRDefault="00011543"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41390373" w14:textId="77777777" w:rsidR="00011543" w:rsidRPr="00012C3F" w:rsidRDefault="00011543"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434626D9" w14:textId="77777777" w:rsidR="00AE2CD6" w:rsidRPr="00012C3F" w:rsidRDefault="00AE2CD6"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754D2507" w14:textId="77777777" w:rsidR="00AE2CD6" w:rsidRPr="00012C3F" w:rsidRDefault="00AE2CD6" w:rsidP="00AE2CD6">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n-US" w:eastAsia="en-US"/>
        </w:rPr>
      </w:pPr>
      <w:r w:rsidRPr="00012C3F">
        <w:rPr>
          <w:rFonts w:eastAsia="Cambria"/>
          <w:sz w:val="20"/>
          <w:szCs w:val="20"/>
          <w:lang w:val="en-US" w:eastAsia="en-US"/>
        </w:rPr>
        <w:t>Although I am essentially in agreement with the decisions made in the judgment and adopted unanimously, I find it necessary to place on record, as I stated during the respective deliberation</w:t>
      </w:r>
      <w:r w:rsidR="00F75F42" w:rsidRPr="00012C3F">
        <w:rPr>
          <w:rFonts w:eastAsia="Cambria"/>
          <w:sz w:val="20"/>
          <w:szCs w:val="20"/>
          <w:lang w:val="en-US" w:eastAsia="en-US"/>
        </w:rPr>
        <w:t>s</w:t>
      </w:r>
      <w:r w:rsidRPr="00012C3F">
        <w:rPr>
          <w:rFonts w:eastAsia="Cambria"/>
          <w:sz w:val="20"/>
          <w:szCs w:val="20"/>
          <w:lang w:val="en-US" w:eastAsia="en-US"/>
        </w:rPr>
        <w:t xml:space="preserve">, that the case clearly involves the right to health, so that it could have been examined in light </w:t>
      </w:r>
      <w:r w:rsidR="008A7A0F" w:rsidRPr="00012C3F">
        <w:rPr>
          <w:rFonts w:eastAsia="Cambria"/>
          <w:sz w:val="20"/>
          <w:szCs w:val="20"/>
          <w:lang w:val="en-US" w:eastAsia="en-US"/>
        </w:rPr>
        <w:t>of Article</w:t>
      </w:r>
      <w:r w:rsidR="00011543" w:rsidRPr="00012C3F">
        <w:rPr>
          <w:rFonts w:eastAsia="Cambria"/>
          <w:sz w:val="20"/>
          <w:szCs w:val="20"/>
          <w:lang w:val="en-US" w:eastAsia="en-US"/>
        </w:rPr>
        <w:t xml:space="preserve"> 26</w:t>
      </w:r>
      <w:r w:rsidR="001254DE" w:rsidRPr="00012C3F">
        <w:rPr>
          <w:rFonts w:eastAsia="Cambria"/>
          <w:sz w:val="20"/>
          <w:szCs w:val="20"/>
          <w:lang w:val="en-US" w:eastAsia="en-US"/>
        </w:rPr>
        <w:t xml:space="preserve"> of the American Convention on Human</w:t>
      </w:r>
      <w:r w:rsidR="00F75F42" w:rsidRPr="00012C3F">
        <w:rPr>
          <w:rFonts w:eastAsia="Cambria"/>
          <w:sz w:val="20"/>
          <w:szCs w:val="20"/>
          <w:lang w:val="en-US" w:eastAsia="en-US"/>
        </w:rPr>
        <w:t xml:space="preserve"> Rights</w:t>
      </w:r>
      <w:r w:rsidR="001254DE" w:rsidRPr="00012C3F">
        <w:rPr>
          <w:rFonts w:eastAsia="Cambria"/>
          <w:sz w:val="20"/>
          <w:szCs w:val="20"/>
          <w:lang w:val="en-US" w:eastAsia="en-US"/>
        </w:rPr>
        <w:t xml:space="preserve"> </w:t>
      </w:r>
      <w:r w:rsidRPr="00012C3F">
        <w:rPr>
          <w:rFonts w:eastAsia="Cambria"/>
          <w:sz w:val="20"/>
          <w:szCs w:val="20"/>
          <w:lang w:val="en-US" w:eastAsia="en-US"/>
        </w:rPr>
        <w:t>in application of the</w:t>
      </w:r>
      <w:r w:rsidR="00011543" w:rsidRPr="00012C3F">
        <w:rPr>
          <w:rFonts w:eastAsia="Cambria"/>
          <w:sz w:val="20"/>
          <w:szCs w:val="20"/>
          <w:lang w:val="en-US" w:eastAsia="en-US"/>
        </w:rPr>
        <w:t xml:space="preserve"> </w:t>
      </w:r>
      <w:r w:rsidR="00011543" w:rsidRPr="00012C3F">
        <w:rPr>
          <w:rFonts w:eastAsia="Cambria"/>
          <w:i/>
          <w:sz w:val="20"/>
          <w:szCs w:val="20"/>
          <w:lang w:val="en-US" w:eastAsia="en-US"/>
        </w:rPr>
        <w:t>iura novit curia</w:t>
      </w:r>
      <w:r w:rsidR="00F75F42" w:rsidRPr="00012C3F">
        <w:rPr>
          <w:rFonts w:eastAsia="Cambria"/>
          <w:i/>
          <w:sz w:val="20"/>
          <w:szCs w:val="20"/>
          <w:lang w:val="en-US" w:eastAsia="en-US"/>
        </w:rPr>
        <w:t xml:space="preserve"> </w:t>
      </w:r>
      <w:r w:rsidR="00F75F42" w:rsidRPr="00012C3F">
        <w:rPr>
          <w:rFonts w:eastAsia="Cambria"/>
          <w:sz w:val="20"/>
          <w:szCs w:val="20"/>
          <w:lang w:val="en-US" w:eastAsia="en-US"/>
        </w:rPr>
        <w:t>principle,</w:t>
      </w:r>
      <w:r w:rsidR="00011543" w:rsidRPr="00012C3F">
        <w:rPr>
          <w:rFonts w:eastAsia="Cambria"/>
          <w:sz w:val="20"/>
          <w:szCs w:val="20"/>
          <w:lang w:val="en-US" w:eastAsia="en-US"/>
        </w:rPr>
        <w:t xml:space="preserve"> </w:t>
      </w:r>
      <w:r w:rsidRPr="00012C3F">
        <w:rPr>
          <w:rFonts w:eastAsia="Cambria"/>
          <w:sz w:val="20"/>
          <w:szCs w:val="20"/>
          <w:lang w:val="en-US" w:eastAsia="en-US"/>
        </w:rPr>
        <w:t xml:space="preserve">instead of subsuming this right in other precepts of the Pact of </w:t>
      </w:r>
      <w:r w:rsidR="00011543" w:rsidRPr="00012C3F">
        <w:rPr>
          <w:rFonts w:eastAsia="Cambria"/>
          <w:sz w:val="20"/>
          <w:szCs w:val="20"/>
          <w:lang w:val="en-US" w:eastAsia="en-US"/>
        </w:rPr>
        <w:t xml:space="preserve">San José </w:t>
      </w:r>
      <w:r w:rsidRPr="00012C3F">
        <w:rPr>
          <w:rFonts w:eastAsia="Cambria"/>
          <w:sz w:val="20"/>
          <w:szCs w:val="20"/>
          <w:lang w:val="en-US" w:eastAsia="en-US"/>
        </w:rPr>
        <w:t xml:space="preserve">that were declared to have been violated in the judgment. As I have stated on other occasions, this traditional approach of subsuming rights by connectivity does not contribute to the interdependence and indivisibility of the rights, whether civil, political, economic, social, cultural or environmental, especially </w:t>
      </w:r>
      <w:r w:rsidR="00E47EF0" w:rsidRPr="00012C3F">
        <w:rPr>
          <w:rFonts w:eastAsia="Cambria"/>
          <w:sz w:val="20"/>
          <w:szCs w:val="20"/>
          <w:lang w:val="en-US" w:eastAsia="en-US"/>
        </w:rPr>
        <w:t>at the current stage of development of international human rights law.</w:t>
      </w:r>
    </w:p>
    <w:p w14:paraId="2B926159" w14:textId="77777777" w:rsidR="00011543" w:rsidRPr="00012C3F" w:rsidRDefault="00011543"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29AD6B13" w14:textId="77777777" w:rsidR="00011543" w:rsidRPr="00012C3F" w:rsidRDefault="00E47EF0" w:rsidP="00AD28A6">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n-US" w:eastAsia="en-US"/>
        </w:rPr>
      </w:pPr>
      <w:r w:rsidRPr="00012C3F">
        <w:rPr>
          <w:rFonts w:eastAsia="Cambria"/>
          <w:sz w:val="20"/>
          <w:szCs w:val="20"/>
          <w:lang w:val="en-US" w:eastAsia="en-US"/>
        </w:rPr>
        <w:t>In the judgment, the Court chose to consider “</w:t>
      </w:r>
      <w:r w:rsidRPr="00012C3F">
        <w:rPr>
          <w:rFonts w:eastAsia="Cambria"/>
          <w:sz w:val="20"/>
          <w:szCs w:val="20"/>
          <w:u w:val="single"/>
          <w:lang w:val="en-US" w:eastAsia="en-US"/>
        </w:rPr>
        <w:t>health as an integral part of the</w:t>
      </w:r>
      <w:r w:rsidRPr="00012C3F">
        <w:rPr>
          <w:rFonts w:eastAsia="Cambria"/>
          <w:sz w:val="20"/>
          <w:szCs w:val="20"/>
          <w:lang w:val="en-US" w:eastAsia="en-US"/>
        </w:rPr>
        <w:t xml:space="preserve"> </w:t>
      </w:r>
      <w:r w:rsidRPr="00012C3F">
        <w:rPr>
          <w:rFonts w:eastAsia="Cambria"/>
          <w:sz w:val="20"/>
          <w:szCs w:val="20"/>
          <w:u w:val="single"/>
          <w:lang w:val="en-US" w:eastAsia="en-US"/>
        </w:rPr>
        <w:t xml:space="preserve">right </w:t>
      </w:r>
      <w:r w:rsidR="006C705C" w:rsidRPr="00012C3F">
        <w:rPr>
          <w:rFonts w:eastAsia="Cambria"/>
          <w:sz w:val="20"/>
          <w:szCs w:val="20"/>
          <w:u w:val="single"/>
          <w:lang w:val="en-US" w:eastAsia="en-US"/>
        </w:rPr>
        <w:t>to personal integrity</w:t>
      </w:r>
      <w:r w:rsidRPr="00012C3F">
        <w:rPr>
          <w:rFonts w:eastAsia="Cambria"/>
          <w:sz w:val="20"/>
          <w:szCs w:val="20"/>
          <w:u w:val="single"/>
          <w:lang w:val="en-US" w:eastAsia="en-US"/>
        </w:rPr>
        <w:t>.</w:t>
      </w:r>
      <w:r w:rsidR="00011543" w:rsidRPr="00012C3F">
        <w:rPr>
          <w:rFonts w:eastAsia="Cambria"/>
          <w:sz w:val="20"/>
          <w:szCs w:val="20"/>
          <w:lang w:val="en-US" w:eastAsia="en-US"/>
        </w:rPr>
        <w:t>”</w:t>
      </w:r>
      <w:r w:rsidR="00011543" w:rsidRPr="00012C3F">
        <w:rPr>
          <w:rFonts w:eastAsia="Cambria"/>
          <w:sz w:val="20"/>
          <w:szCs w:val="20"/>
          <w:vertAlign w:val="superscript"/>
          <w:lang w:val="en-US" w:eastAsia="en-US"/>
        </w:rPr>
        <w:footnoteReference w:id="419"/>
      </w:r>
      <w:r w:rsidR="00011543" w:rsidRPr="00012C3F">
        <w:rPr>
          <w:rFonts w:eastAsia="Cambria"/>
          <w:sz w:val="20"/>
          <w:szCs w:val="20"/>
          <w:lang w:val="en-US" w:eastAsia="en-US"/>
        </w:rPr>
        <w:t xml:space="preserve"> </w:t>
      </w:r>
      <w:r w:rsidR="00AD28A6" w:rsidRPr="00012C3F">
        <w:rPr>
          <w:rFonts w:eastAsia="Cambria"/>
          <w:sz w:val="20"/>
          <w:szCs w:val="20"/>
          <w:lang w:val="en-US" w:eastAsia="en-US"/>
        </w:rPr>
        <w:t xml:space="preserve">Whereas an approach that focused on the social rights would have provided greater conceptual clarity to the real </w:t>
      </w:r>
      <w:r w:rsidR="0013791D" w:rsidRPr="00012C3F">
        <w:rPr>
          <w:rFonts w:eastAsia="Cambria"/>
          <w:sz w:val="20"/>
          <w:szCs w:val="20"/>
          <w:lang w:val="en-US" w:eastAsia="en-US"/>
        </w:rPr>
        <w:t>reason</w:t>
      </w:r>
      <w:r w:rsidR="00AD28A6" w:rsidRPr="00012C3F">
        <w:rPr>
          <w:rFonts w:eastAsia="Cambria"/>
          <w:sz w:val="20"/>
          <w:szCs w:val="20"/>
          <w:lang w:val="en-US" w:eastAsia="en-US"/>
        </w:rPr>
        <w:t xml:space="preserve"> </w:t>
      </w:r>
      <w:r w:rsidR="0013791D" w:rsidRPr="00012C3F">
        <w:rPr>
          <w:rFonts w:eastAsia="Cambria"/>
          <w:sz w:val="20"/>
          <w:szCs w:val="20"/>
          <w:lang w:val="en-US" w:eastAsia="en-US"/>
        </w:rPr>
        <w:t>for</w:t>
      </w:r>
      <w:r w:rsidR="00AD28A6" w:rsidRPr="00012C3F">
        <w:rPr>
          <w:rFonts w:eastAsia="Cambria"/>
          <w:sz w:val="20"/>
          <w:szCs w:val="20"/>
          <w:lang w:val="en-US" w:eastAsia="en-US"/>
        </w:rPr>
        <w:t xml:space="preserve"> the violations suffered by the victim. Indeed, it should not be overlooked that the central dispute in this case consisted in determining whether the medical procedure of bilateral tubal ligation performed on I.V. by a public official in a State hospital, was contrary to the State’s international obligations. Thus, the crucial aspect was to elucidate whether this procedure was performed following the patient’s informed consent, under the parameters established in international law for this type of medical act at the time of the facts. The Court found it “pertinent to proceed, first, to provide content to the scope of the rights </w:t>
      </w:r>
      <w:r w:rsidR="006C705C" w:rsidRPr="00012C3F">
        <w:rPr>
          <w:rFonts w:eastAsia="Cambria"/>
          <w:sz w:val="20"/>
          <w:szCs w:val="20"/>
          <w:lang w:val="en-US" w:eastAsia="en-US"/>
        </w:rPr>
        <w:t>established in</w:t>
      </w:r>
      <w:r w:rsidR="00011543" w:rsidRPr="00012C3F">
        <w:rPr>
          <w:rFonts w:eastAsia="Cambria"/>
          <w:sz w:val="20"/>
          <w:szCs w:val="20"/>
          <w:lang w:val="en-US" w:eastAsia="en-US"/>
        </w:rPr>
        <w:t xml:space="preserve"> </w:t>
      </w:r>
      <w:r w:rsidR="001254DE" w:rsidRPr="00012C3F">
        <w:rPr>
          <w:rFonts w:eastAsia="Cambria"/>
          <w:sz w:val="20"/>
          <w:szCs w:val="20"/>
          <w:lang w:val="en-US" w:eastAsia="en-US"/>
        </w:rPr>
        <w:t>the American Convention</w:t>
      </w:r>
      <w:r w:rsidR="00011543" w:rsidRPr="00012C3F">
        <w:rPr>
          <w:rFonts w:eastAsia="Cambria"/>
          <w:sz w:val="20"/>
          <w:szCs w:val="20"/>
          <w:lang w:val="en-US" w:eastAsia="en-US"/>
        </w:rPr>
        <w:t xml:space="preserve"> </w:t>
      </w:r>
      <w:r w:rsidR="00AD28A6" w:rsidRPr="00012C3F">
        <w:rPr>
          <w:rFonts w:eastAsia="Cambria"/>
          <w:sz w:val="20"/>
          <w:szCs w:val="20"/>
          <w:lang w:val="en-US" w:eastAsia="en-US"/>
        </w:rPr>
        <w:t xml:space="preserve">that </w:t>
      </w:r>
      <w:r w:rsidR="00A37593" w:rsidRPr="00012C3F">
        <w:rPr>
          <w:rFonts w:eastAsia="Cambria"/>
          <w:sz w:val="20"/>
          <w:szCs w:val="20"/>
          <w:lang w:val="en-US" w:eastAsia="en-US"/>
        </w:rPr>
        <w:t>have been alleged</w:t>
      </w:r>
      <w:r w:rsidR="00AD28A6" w:rsidRPr="00012C3F">
        <w:rPr>
          <w:rFonts w:eastAsia="Cambria"/>
          <w:sz w:val="20"/>
          <w:szCs w:val="20"/>
          <w:lang w:val="en-US" w:eastAsia="en-US"/>
        </w:rPr>
        <w:t xml:space="preserve"> </w:t>
      </w:r>
      <w:r w:rsidR="006C705C" w:rsidRPr="00012C3F">
        <w:rPr>
          <w:rFonts w:eastAsia="Cambria"/>
          <w:sz w:val="20"/>
          <w:szCs w:val="20"/>
          <w:lang w:val="en-US" w:eastAsia="en-US"/>
        </w:rPr>
        <w:t>in this case</w:t>
      </w:r>
      <w:r w:rsidR="005E5012" w:rsidRPr="00012C3F">
        <w:rPr>
          <w:rFonts w:eastAsia="Cambria"/>
          <w:sz w:val="20"/>
          <w:szCs w:val="20"/>
          <w:lang w:val="en-US" w:eastAsia="en-US"/>
        </w:rPr>
        <w:t xml:space="preserve"> and </w:t>
      </w:r>
      <w:r w:rsidR="00AD28A6" w:rsidRPr="00012C3F">
        <w:rPr>
          <w:rFonts w:eastAsia="Cambria"/>
          <w:sz w:val="20"/>
          <w:szCs w:val="20"/>
          <w:u w:val="single"/>
          <w:lang w:val="en-US" w:eastAsia="en-US"/>
        </w:rPr>
        <w:t xml:space="preserve">that </w:t>
      </w:r>
      <w:r w:rsidR="00A37593" w:rsidRPr="00012C3F">
        <w:rPr>
          <w:rFonts w:eastAsia="Cambria"/>
          <w:sz w:val="20"/>
          <w:szCs w:val="20"/>
          <w:u w:val="single"/>
          <w:lang w:val="en-US" w:eastAsia="en-US"/>
        </w:rPr>
        <w:t>a</w:t>
      </w:r>
      <w:r w:rsidR="00AD28A6" w:rsidRPr="00012C3F">
        <w:rPr>
          <w:rFonts w:eastAsia="Cambria"/>
          <w:sz w:val="20"/>
          <w:szCs w:val="20"/>
          <w:u w:val="single"/>
          <w:lang w:val="en-US" w:eastAsia="en-US"/>
        </w:rPr>
        <w:t xml:space="preserve">re applicable </w:t>
      </w:r>
      <w:r w:rsidR="00A37593" w:rsidRPr="00012C3F">
        <w:rPr>
          <w:rFonts w:eastAsia="Cambria"/>
          <w:sz w:val="20"/>
          <w:szCs w:val="20"/>
          <w:u w:val="single"/>
          <w:lang w:val="en-US" w:eastAsia="en-US"/>
        </w:rPr>
        <w:t>with regard to</w:t>
      </w:r>
      <w:r w:rsidR="00AD28A6" w:rsidRPr="00012C3F">
        <w:rPr>
          <w:rFonts w:eastAsia="Cambria"/>
          <w:sz w:val="20"/>
          <w:szCs w:val="20"/>
          <w:u w:val="single"/>
          <w:lang w:val="en-US" w:eastAsia="en-US"/>
        </w:rPr>
        <w:t xml:space="preserve"> sexual and reproductive health.</w:t>
      </w:r>
      <w:r w:rsidR="00011543" w:rsidRPr="00012C3F">
        <w:rPr>
          <w:rFonts w:eastAsia="Cambria"/>
          <w:sz w:val="20"/>
          <w:szCs w:val="20"/>
          <w:lang w:val="en-US" w:eastAsia="en-US"/>
        </w:rPr>
        <w:t>”</w:t>
      </w:r>
      <w:r w:rsidR="00011543" w:rsidRPr="00012C3F">
        <w:rPr>
          <w:rFonts w:eastAsia="Cambria"/>
          <w:sz w:val="20"/>
          <w:szCs w:val="20"/>
          <w:vertAlign w:val="superscript"/>
          <w:lang w:val="en-US" w:eastAsia="en-US"/>
        </w:rPr>
        <w:footnoteReference w:id="420"/>
      </w:r>
    </w:p>
    <w:p w14:paraId="7CF18646" w14:textId="77777777" w:rsidR="00011543" w:rsidRPr="00012C3F" w:rsidRDefault="00011543"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58B92B7B" w14:textId="77777777" w:rsidR="00011543" w:rsidRPr="00012C3F" w:rsidRDefault="00AD28A6" w:rsidP="00EC0AA6">
      <w:pPr>
        <w:widowControl/>
        <w:numPr>
          <w:ilvl w:val="0"/>
          <w:numId w:val="46"/>
        </w:numPr>
        <w:adjustRightInd/>
        <w:spacing w:line="240" w:lineRule="auto"/>
        <w:ind w:left="0" w:firstLine="0"/>
        <w:contextualSpacing/>
        <w:textAlignment w:val="auto"/>
        <w:rPr>
          <w:rFonts w:eastAsia="Cambria"/>
          <w:b/>
          <w:i/>
          <w:sz w:val="20"/>
          <w:szCs w:val="20"/>
          <w:lang w:val="en-US" w:eastAsia="en-US"/>
        </w:rPr>
      </w:pPr>
      <w:r w:rsidRPr="00012C3F">
        <w:rPr>
          <w:rFonts w:eastAsia="Cambria"/>
          <w:sz w:val="20"/>
          <w:szCs w:val="20"/>
          <w:lang w:val="en-US" w:eastAsia="en-US"/>
        </w:rPr>
        <w:t>The Inter-American Court considered that, at the time of the facts</w:t>
      </w:r>
      <w:r w:rsidR="00011543" w:rsidRPr="00012C3F">
        <w:rPr>
          <w:rFonts w:eastAsia="Cambria"/>
          <w:sz w:val="20"/>
          <w:szCs w:val="20"/>
          <w:lang w:val="en-US" w:eastAsia="en-US"/>
        </w:rPr>
        <w:t xml:space="preserve"> (2000), “</w:t>
      </w:r>
      <w:r w:rsidRPr="00012C3F">
        <w:rPr>
          <w:rFonts w:eastAsia="Cambria"/>
          <w:sz w:val="20"/>
          <w:szCs w:val="20"/>
          <w:lang w:val="en-US" w:eastAsia="en-US"/>
        </w:rPr>
        <w:t xml:space="preserve">the State had </w:t>
      </w:r>
      <w:r w:rsidR="00EC0AA6" w:rsidRPr="00012C3F">
        <w:rPr>
          <w:rFonts w:eastAsia="Cambria"/>
          <w:sz w:val="20"/>
          <w:szCs w:val="20"/>
          <w:lang w:val="en-US" w:eastAsia="en-US"/>
        </w:rPr>
        <w:t>an</w:t>
      </w:r>
      <w:r w:rsidRPr="00012C3F">
        <w:rPr>
          <w:rFonts w:eastAsia="Cambria"/>
          <w:sz w:val="20"/>
          <w:szCs w:val="20"/>
          <w:lang w:val="en-US" w:eastAsia="en-US"/>
        </w:rPr>
        <w:t xml:space="preserve"> international obligation to obtain, through its health personnel, the consent of patients </w:t>
      </w:r>
      <w:r w:rsidR="00EC0AA6" w:rsidRPr="00012C3F">
        <w:rPr>
          <w:rFonts w:eastAsia="MS Mincho"/>
          <w:sz w:val="20"/>
          <w:szCs w:val="20"/>
          <w:lang w:val="en-US" w:eastAsia="en-US" w:bidi="en-US"/>
        </w:rPr>
        <w:t>for medical procedures and, especially, of women in the case of female sterilizations, and this should have complied with the characteristics of being prior, free, full and informed following a process of informed decision-making</w:t>
      </w:r>
      <w:r w:rsidR="00011543" w:rsidRPr="00012C3F">
        <w:rPr>
          <w:rFonts w:eastAsia="Cambria"/>
          <w:sz w:val="20"/>
          <w:szCs w:val="20"/>
          <w:lang w:val="en-US" w:eastAsia="en-US"/>
        </w:rPr>
        <w:t>”</w:t>
      </w:r>
      <w:r w:rsidRPr="00012C3F">
        <w:rPr>
          <w:rFonts w:eastAsia="Cambria"/>
          <w:sz w:val="20"/>
          <w:szCs w:val="20"/>
          <w:lang w:val="en-US" w:eastAsia="en-US"/>
        </w:rPr>
        <w:t>;</w:t>
      </w:r>
      <w:r w:rsidR="00011543" w:rsidRPr="00012C3F">
        <w:rPr>
          <w:rFonts w:eastAsia="Cambria"/>
          <w:sz w:val="20"/>
          <w:szCs w:val="20"/>
          <w:vertAlign w:val="superscript"/>
          <w:lang w:val="en-US" w:eastAsia="en-US"/>
        </w:rPr>
        <w:footnoteReference w:id="421"/>
      </w:r>
      <w:r w:rsidR="005E5012" w:rsidRPr="00012C3F">
        <w:rPr>
          <w:rFonts w:eastAsia="Cambria"/>
          <w:sz w:val="20"/>
          <w:szCs w:val="20"/>
          <w:lang w:val="en-US" w:eastAsia="en-US"/>
        </w:rPr>
        <w:t xml:space="preserve"> and </w:t>
      </w:r>
      <w:r w:rsidRPr="00012C3F">
        <w:rPr>
          <w:rFonts w:eastAsia="Cambria"/>
          <w:sz w:val="20"/>
          <w:szCs w:val="20"/>
          <w:lang w:val="en-US" w:eastAsia="en-US"/>
        </w:rPr>
        <w:t>that, for the effects of this case, sterilization without consent that had these characteristics was considered “as non-consensual or involuntary sterilization,”</w:t>
      </w:r>
      <w:r w:rsidR="00011543" w:rsidRPr="00012C3F">
        <w:rPr>
          <w:rFonts w:eastAsia="Cambria"/>
          <w:sz w:val="20"/>
          <w:szCs w:val="20"/>
          <w:lang w:val="en-US" w:eastAsia="en-US"/>
        </w:rPr>
        <w:t xml:space="preserve"> </w:t>
      </w:r>
      <w:r w:rsidRPr="00012C3F">
        <w:rPr>
          <w:rFonts w:eastAsia="Cambria"/>
          <w:sz w:val="20"/>
          <w:szCs w:val="20"/>
          <w:lang w:val="en-US" w:eastAsia="en-US"/>
        </w:rPr>
        <w:t>over and above the different terminology adopted by different regional and international human rights agencies.</w:t>
      </w:r>
      <w:r w:rsidR="00011543" w:rsidRPr="00012C3F">
        <w:rPr>
          <w:rFonts w:eastAsia="Cambria"/>
          <w:sz w:val="20"/>
          <w:szCs w:val="20"/>
          <w:vertAlign w:val="superscript"/>
          <w:lang w:val="en-US" w:eastAsia="en-US"/>
        </w:rPr>
        <w:footnoteReference w:id="422"/>
      </w:r>
    </w:p>
    <w:p w14:paraId="52C5F7DB"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0FC27529" w14:textId="77777777" w:rsidR="00011543" w:rsidRPr="00012C3F" w:rsidRDefault="00B47043" w:rsidP="00B470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n-US" w:eastAsia="en-US"/>
        </w:rPr>
      </w:pPr>
      <w:r w:rsidRPr="00012C3F">
        <w:rPr>
          <w:rFonts w:eastAsia="Cambria"/>
          <w:sz w:val="20"/>
          <w:szCs w:val="20"/>
          <w:lang w:val="en-US" w:eastAsia="en-US"/>
        </w:rPr>
        <w:lastRenderedPageBreak/>
        <w:t xml:space="preserve">A careful reading of the judgment is sufficient to note that, in reality, the </w:t>
      </w:r>
      <w:r w:rsidRPr="00012C3F">
        <w:rPr>
          <w:rFonts w:eastAsia="Cambria"/>
          <w:i/>
          <w:sz w:val="20"/>
          <w:szCs w:val="20"/>
          <w:lang w:val="en-US" w:eastAsia="en-US"/>
        </w:rPr>
        <w:t>right to health</w:t>
      </w:r>
      <w:r w:rsidR="00011543" w:rsidRPr="00012C3F">
        <w:rPr>
          <w:rFonts w:eastAsia="Cambria"/>
          <w:i/>
          <w:sz w:val="20"/>
          <w:szCs w:val="20"/>
          <w:lang w:val="en-US" w:eastAsia="en-US"/>
        </w:rPr>
        <w:t xml:space="preserve"> (sexual</w:t>
      </w:r>
      <w:r w:rsidR="005E5012" w:rsidRPr="00012C3F">
        <w:rPr>
          <w:rFonts w:eastAsia="Cambria"/>
          <w:i/>
          <w:sz w:val="20"/>
          <w:szCs w:val="20"/>
          <w:lang w:val="en-US" w:eastAsia="en-US"/>
        </w:rPr>
        <w:t xml:space="preserve"> and </w:t>
      </w:r>
      <w:r w:rsidR="00011543" w:rsidRPr="00012C3F">
        <w:rPr>
          <w:rFonts w:eastAsia="Cambria"/>
          <w:i/>
          <w:sz w:val="20"/>
          <w:szCs w:val="20"/>
          <w:lang w:val="en-US" w:eastAsia="en-US"/>
        </w:rPr>
        <w:t>reproductiv</w:t>
      </w:r>
      <w:r w:rsidRPr="00012C3F">
        <w:rPr>
          <w:rFonts w:eastAsia="Cambria"/>
          <w:i/>
          <w:sz w:val="20"/>
          <w:szCs w:val="20"/>
          <w:lang w:val="en-US" w:eastAsia="en-US"/>
        </w:rPr>
        <w:t>e</w:t>
      </w:r>
      <w:r w:rsidR="00011543" w:rsidRPr="00012C3F">
        <w:rPr>
          <w:rFonts w:eastAsia="Cambria"/>
          <w:i/>
          <w:sz w:val="20"/>
          <w:szCs w:val="20"/>
          <w:lang w:val="en-US" w:eastAsia="en-US"/>
        </w:rPr>
        <w:t xml:space="preserve">) </w:t>
      </w:r>
      <w:r w:rsidRPr="00012C3F">
        <w:rPr>
          <w:rFonts w:eastAsia="Cambria"/>
          <w:sz w:val="20"/>
          <w:szCs w:val="20"/>
          <w:lang w:val="en-US" w:eastAsia="en-US"/>
        </w:rPr>
        <w:t>is one of the core aspects of the case, as can be seen from the numerous references made to it in the considerations</w:t>
      </w:r>
      <w:r w:rsidR="00011543" w:rsidRPr="00012C3F">
        <w:rPr>
          <w:rFonts w:eastAsia="Cambria"/>
          <w:sz w:val="20"/>
          <w:szCs w:val="20"/>
          <w:vertAlign w:val="superscript"/>
          <w:lang w:val="en-US" w:eastAsia="en-US"/>
        </w:rPr>
        <w:footnoteReference w:id="423"/>
      </w:r>
      <w:r w:rsidR="005E5012" w:rsidRPr="00012C3F">
        <w:rPr>
          <w:rFonts w:eastAsia="Cambria"/>
          <w:sz w:val="20"/>
          <w:szCs w:val="20"/>
          <w:lang w:val="en-US" w:eastAsia="en-US"/>
        </w:rPr>
        <w:t xml:space="preserve"> and </w:t>
      </w:r>
      <w:r w:rsidRPr="00012C3F">
        <w:rPr>
          <w:rFonts w:eastAsia="Cambria"/>
          <w:sz w:val="20"/>
          <w:szCs w:val="20"/>
          <w:lang w:val="en-US" w:eastAsia="en-US"/>
        </w:rPr>
        <w:t>in the operative paragraphs of the judgment.</w:t>
      </w:r>
      <w:r w:rsidR="00011543" w:rsidRPr="00012C3F">
        <w:rPr>
          <w:rFonts w:eastAsia="Cambria"/>
          <w:sz w:val="20"/>
          <w:szCs w:val="20"/>
          <w:vertAlign w:val="superscript"/>
          <w:lang w:val="en-US" w:eastAsia="en-US"/>
        </w:rPr>
        <w:footnoteReference w:id="424"/>
      </w:r>
    </w:p>
    <w:p w14:paraId="32156F40" w14:textId="77777777" w:rsidR="00011543" w:rsidRPr="00012C3F" w:rsidRDefault="00011543" w:rsidP="00011543">
      <w:pPr>
        <w:widowControl/>
        <w:tabs>
          <w:tab w:val="left" w:pos="709"/>
          <w:tab w:val="left" w:pos="1464"/>
        </w:tabs>
        <w:adjustRightInd/>
        <w:spacing w:line="240" w:lineRule="auto"/>
        <w:contextualSpacing/>
        <w:textAlignment w:val="auto"/>
        <w:rPr>
          <w:rFonts w:eastAsia="Cambria"/>
          <w:sz w:val="20"/>
          <w:szCs w:val="20"/>
          <w:lang w:val="en-US" w:eastAsia="en-US"/>
        </w:rPr>
      </w:pPr>
    </w:p>
    <w:p w14:paraId="7B59BD6B" w14:textId="77777777" w:rsidR="00011543" w:rsidRPr="00012C3F" w:rsidRDefault="00B47043" w:rsidP="00B47043">
      <w:pPr>
        <w:widowControl/>
        <w:numPr>
          <w:ilvl w:val="0"/>
          <w:numId w:val="46"/>
        </w:numPr>
        <w:tabs>
          <w:tab w:val="left" w:pos="709"/>
          <w:tab w:val="left" w:pos="1464"/>
        </w:tabs>
        <w:adjustRightInd/>
        <w:spacing w:line="240" w:lineRule="auto"/>
        <w:ind w:left="0" w:firstLine="0"/>
        <w:contextualSpacing/>
        <w:textAlignment w:val="auto"/>
        <w:rPr>
          <w:rFonts w:eastAsia="Cambria"/>
          <w:sz w:val="20"/>
          <w:szCs w:val="20"/>
          <w:lang w:val="en-US" w:eastAsia="en-US"/>
        </w:rPr>
      </w:pPr>
      <w:r w:rsidRPr="00012C3F">
        <w:rPr>
          <w:rFonts w:eastAsia="Cambria"/>
          <w:sz w:val="20"/>
          <w:szCs w:val="20"/>
          <w:lang w:val="en-US" w:eastAsia="en-US"/>
        </w:rPr>
        <w:t>Consequently, i</w:t>
      </w:r>
      <w:r w:rsidR="00EC0AA6" w:rsidRPr="00012C3F">
        <w:rPr>
          <w:rFonts w:eastAsia="Cambria"/>
          <w:sz w:val="20"/>
          <w:szCs w:val="20"/>
          <w:lang w:val="en-US" w:eastAsia="en-US"/>
        </w:rPr>
        <w:t>f</w:t>
      </w:r>
      <w:r w:rsidRPr="00012C3F">
        <w:rPr>
          <w:rFonts w:eastAsia="Cambria"/>
          <w:sz w:val="20"/>
          <w:szCs w:val="20"/>
          <w:lang w:val="en-US" w:eastAsia="en-US"/>
        </w:rPr>
        <w:t xml:space="preserve"> the Court had chosen an approach focused on social rights, I consider that it would have clarified some aspects of the decision; for example, the distinction between the right </w:t>
      </w:r>
      <w:r w:rsidR="006C705C" w:rsidRPr="00012C3F">
        <w:rPr>
          <w:rFonts w:eastAsia="MS Mincho"/>
          <w:sz w:val="20"/>
          <w:szCs w:val="20"/>
          <w:lang w:val="en-US" w:eastAsia="es-ES"/>
        </w:rPr>
        <w:t>of access to information</w:t>
      </w:r>
      <w:r w:rsidR="00011543" w:rsidRPr="00012C3F">
        <w:rPr>
          <w:rFonts w:eastAsia="MS Mincho"/>
          <w:sz w:val="20"/>
          <w:szCs w:val="20"/>
          <w:lang w:val="en-US" w:eastAsia="es-ES"/>
        </w:rPr>
        <w:t xml:space="preserve"> (</w:t>
      </w:r>
      <w:r w:rsidR="001254DE" w:rsidRPr="00012C3F">
        <w:rPr>
          <w:rFonts w:eastAsia="MS Mincho"/>
          <w:sz w:val="20"/>
          <w:szCs w:val="20"/>
          <w:lang w:val="en-US" w:eastAsia="es-ES"/>
        </w:rPr>
        <w:t>Article</w:t>
      </w:r>
      <w:r w:rsidR="00011543" w:rsidRPr="00012C3F">
        <w:rPr>
          <w:rFonts w:eastAsia="MS Mincho"/>
          <w:sz w:val="20"/>
          <w:szCs w:val="20"/>
          <w:lang w:val="en-US" w:eastAsia="es-ES"/>
        </w:rPr>
        <w:t xml:space="preserve"> 13</w:t>
      </w:r>
      <w:r w:rsidR="001254DE" w:rsidRPr="00012C3F">
        <w:rPr>
          <w:rFonts w:eastAsia="MS Mincho"/>
          <w:sz w:val="20"/>
          <w:szCs w:val="20"/>
          <w:lang w:val="en-US" w:eastAsia="es-ES"/>
        </w:rPr>
        <w:t xml:space="preserve"> of the American Convention</w:t>
      </w:r>
      <w:r w:rsidR="00011543" w:rsidRPr="00012C3F">
        <w:rPr>
          <w:rFonts w:eastAsia="MS Mincho"/>
          <w:sz w:val="20"/>
          <w:szCs w:val="20"/>
          <w:lang w:val="en-US" w:eastAsia="es-ES"/>
        </w:rPr>
        <w:t xml:space="preserve">), </w:t>
      </w:r>
      <w:r w:rsidRPr="00012C3F">
        <w:rPr>
          <w:rFonts w:eastAsia="MS Mincho"/>
          <w:sz w:val="20"/>
          <w:szCs w:val="20"/>
          <w:lang w:val="en-US" w:eastAsia="es-ES"/>
        </w:rPr>
        <w:t xml:space="preserve">and the guarantee of the accessibility of information as a means or instrument to implement the right to health </w:t>
      </w:r>
      <w:r w:rsidR="00011543" w:rsidRPr="00012C3F">
        <w:rPr>
          <w:rFonts w:eastAsia="MS Mincho"/>
          <w:sz w:val="20"/>
          <w:szCs w:val="20"/>
          <w:lang w:val="en-US" w:eastAsia="es-ES"/>
        </w:rPr>
        <w:t>(</w:t>
      </w:r>
      <w:r w:rsidRPr="00012C3F">
        <w:rPr>
          <w:rFonts w:eastAsia="MS Mincho"/>
          <w:sz w:val="20"/>
          <w:szCs w:val="20"/>
          <w:lang w:val="en-US" w:eastAsia="es-ES"/>
        </w:rPr>
        <w:t>under</w:t>
      </w:r>
      <w:r w:rsidR="00011543" w:rsidRPr="00012C3F">
        <w:rPr>
          <w:rFonts w:eastAsia="MS Mincho"/>
          <w:sz w:val="20"/>
          <w:szCs w:val="20"/>
          <w:lang w:val="en-US" w:eastAsia="es-ES"/>
        </w:rPr>
        <w:t xml:space="preserve"> </w:t>
      </w:r>
      <w:r w:rsidR="001254DE" w:rsidRPr="00012C3F">
        <w:rPr>
          <w:rFonts w:eastAsia="MS Mincho"/>
          <w:sz w:val="20"/>
          <w:szCs w:val="20"/>
          <w:lang w:val="en-US" w:eastAsia="es-ES"/>
        </w:rPr>
        <w:t>Article</w:t>
      </w:r>
      <w:r w:rsidR="00011543" w:rsidRPr="00012C3F">
        <w:rPr>
          <w:rFonts w:eastAsia="MS Mincho"/>
          <w:sz w:val="20"/>
          <w:szCs w:val="20"/>
          <w:lang w:val="en-US" w:eastAsia="es-ES"/>
        </w:rPr>
        <w:t xml:space="preserve"> 26 </w:t>
      </w:r>
      <w:r w:rsidRPr="00012C3F">
        <w:rPr>
          <w:rFonts w:eastAsia="MS Mincho"/>
          <w:sz w:val="20"/>
          <w:szCs w:val="20"/>
          <w:lang w:val="en-US" w:eastAsia="es-ES"/>
        </w:rPr>
        <w:t>of this treaty</w:t>
      </w:r>
      <w:r w:rsidR="00011543" w:rsidRPr="00012C3F">
        <w:rPr>
          <w:rFonts w:eastAsia="MS Mincho"/>
          <w:sz w:val="20"/>
          <w:szCs w:val="20"/>
          <w:lang w:val="en-US" w:eastAsia="es-ES"/>
        </w:rPr>
        <w:t>)</w:t>
      </w:r>
      <w:r w:rsidRPr="00012C3F">
        <w:rPr>
          <w:rFonts w:eastAsia="MS Mincho"/>
          <w:sz w:val="20"/>
          <w:szCs w:val="20"/>
          <w:lang w:val="en-US" w:eastAsia="es-ES"/>
        </w:rPr>
        <w:t>.</w:t>
      </w:r>
      <w:r w:rsidR="00011543" w:rsidRPr="00012C3F">
        <w:rPr>
          <w:rFonts w:eastAsia="MS Mincho"/>
          <w:sz w:val="20"/>
          <w:szCs w:val="20"/>
          <w:vertAlign w:val="superscript"/>
          <w:lang w:val="en-US" w:eastAsia="es-ES"/>
        </w:rPr>
        <w:footnoteReference w:id="425"/>
      </w:r>
    </w:p>
    <w:p w14:paraId="3CC4A38A"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5EC2ADBD"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6D9005DF"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493E3086"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71D86FE6" w14:textId="77777777" w:rsidR="00011543" w:rsidRPr="00012C3F" w:rsidRDefault="00011543" w:rsidP="00011543">
      <w:pPr>
        <w:widowControl/>
        <w:tabs>
          <w:tab w:val="left" w:pos="709"/>
          <w:tab w:val="left" w:pos="1464"/>
        </w:tabs>
        <w:adjustRightInd/>
        <w:spacing w:line="240" w:lineRule="auto"/>
        <w:textAlignment w:val="auto"/>
        <w:rPr>
          <w:rFonts w:eastAsia="MS Mincho"/>
          <w:sz w:val="20"/>
          <w:szCs w:val="20"/>
          <w:lang w:val="en-US" w:eastAsia="es-ES"/>
        </w:rPr>
      </w:pPr>
    </w:p>
    <w:p w14:paraId="1749C7FD" w14:textId="77777777" w:rsidR="00011543" w:rsidRPr="00012C3F" w:rsidRDefault="00011543" w:rsidP="00011543">
      <w:pPr>
        <w:widowControl/>
        <w:adjustRightInd/>
        <w:spacing w:line="240" w:lineRule="auto"/>
        <w:ind w:left="5041"/>
        <w:textAlignment w:val="auto"/>
        <w:rPr>
          <w:rFonts w:eastAsia="MS Mincho"/>
          <w:sz w:val="20"/>
          <w:szCs w:val="20"/>
          <w:lang w:val="en-US" w:eastAsia="es-ES"/>
        </w:rPr>
      </w:pPr>
      <w:r w:rsidRPr="00012C3F">
        <w:rPr>
          <w:rFonts w:eastAsia="MS Mincho"/>
          <w:sz w:val="20"/>
          <w:szCs w:val="20"/>
          <w:lang w:val="en-US" w:eastAsia="es-ES"/>
        </w:rPr>
        <w:t>Eduardo Ferrer Mac-Gregor Poisot</w:t>
      </w:r>
    </w:p>
    <w:p w14:paraId="0489EB16" w14:textId="77777777" w:rsidR="00011543" w:rsidRPr="00012C3F" w:rsidRDefault="001254DE" w:rsidP="00011543">
      <w:pPr>
        <w:widowControl/>
        <w:adjustRightInd/>
        <w:spacing w:line="240" w:lineRule="auto"/>
        <w:ind w:left="5041"/>
        <w:jc w:val="center"/>
        <w:textAlignment w:val="auto"/>
        <w:rPr>
          <w:rFonts w:eastAsia="MS Mincho"/>
          <w:i/>
          <w:sz w:val="20"/>
          <w:szCs w:val="20"/>
          <w:lang w:val="en-US" w:eastAsia="es-ES"/>
        </w:rPr>
      </w:pPr>
      <w:r w:rsidRPr="00012C3F">
        <w:rPr>
          <w:rFonts w:eastAsia="MS Mincho"/>
          <w:sz w:val="20"/>
          <w:szCs w:val="20"/>
          <w:lang w:val="en-US" w:eastAsia="es-ES"/>
        </w:rPr>
        <w:t>Judge</w:t>
      </w:r>
    </w:p>
    <w:p w14:paraId="3A0C6AFB"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0970FDAC"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4EC064D5"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45E925CE"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1C5C354B"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18752F7A"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62AB1BC2"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5954C368" w14:textId="77777777" w:rsidR="00011543" w:rsidRPr="00012C3F" w:rsidRDefault="00011543" w:rsidP="00011543">
      <w:pPr>
        <w:widowControl/>
        <w:adjustRightInd/>
        <w:spacing w:line="240" w:lineRule="auto"/>
        <w:ind w:left="5041"/>
        <w:jc w:val="center"/>
        <w:textAlignment w:val="auto"/>
        <w:rPr>
          <w:rFonts w:eastAsia="MS Mincho"/>
          <w:i/>
          <w:sz w:val="20"/>
          <w:szCs w:val="20"/>
          <w:lang w:val="en-US" w:eastAsia="es-ES"/>
        </w:rPr>
      </w:pPr>
    </w:p>
    <w:p w14:paraId="23D95622" w14:textId="77777777" w:rsidR="00011543" w:rsidRPr="00012C3F" w:rsidRDefault="00011543" w:rsidP="00011543">
      <w:pPr>
        <w:widowControl/>
        <w:adjustRightInd/>
        <w:spacing w:line="240" w:lineRule="auto"/>
        <w:jc w:val="left"/>
        <w:textAlignment w:val="auto"/>
        <w:rPr>
          <w:rFonts w:eastAsia="MS Mincho"/>
          <w:i/>
          <w:sz w:val="20"/>
          <w:szCs w:val="20"/>
          <w:lang w:val="en-US" w:eastAsia="es-ES"/>
        </w:rPr>
      </w:pPr>
      <w:r w:rsidRPr="00012C3F">
        <w:rPr>
          <w:rFonts w:eastAsia="MS Mincho" w:cs="Verdana"/>
          <w:sz w:val="20"/>
          <w:szCs w:val="20"/>
          <w:lang w:val="en-US" w:eastAsia="es-ES"/>
        </w:rPr>
        <w:t>Pablo Saavedra Alessandri</w:t>
      </w:r>
    </w:p>
    <w:p w14:paraId="63CA18A9" w14:textId="77777777" w:rsidR="00011543" w:rsidRPr="002E2489" w:rsidRDefault="00011543" w:rsidP="00011543">
      <w:pPr>
        <w:widowControl/>
        <w:adjustRightInd/>
        <w:spacing w:line="240" w:lineRule="auto"/>
        <w:textAlignment w:val="auto"/>
        <w:rPr>
          <w:rFonts w:eastAsia="MS Mincho" w:cs="Verdana"/>
          <w:sz w:val="20"/>
          <w:szCs w:val="20"/>
          <w:lang w:val="en-US" w:eastAsia="es-ES"/>
        </w:rPr>
      </w:pPr>
      <w:r w:rsidRPr="00012C3F">
        <w:rPr>
          <w:rFonts w:eastAsia="MS Mincho" w:cs="Verdana"/>
          <w:sz w:val="20"/>
          <w:szCs w:val="20"/>
          <w:lang w:val="en-US" w:eastAsia="es-ES"/>
        </w:rPr>
        <w:tab/>
      </w:r>
      <w:r w:rsidR="001254DE" w:rsidRPr="00012C3F">
        <w:rPr>
          <w:rFonts w:eastAsia="MS Mincho" w:cs="Verdana"/>
          <w:sz w:val="20"/>
          <w:szCs w:val="20"/>
          <w:lang w:val="en-US" w:eastAsia="es-ES"/>
        </w:rPr>
        <w:t>Secretary</w:t>
      </w:r>
    </w:p>
    <w:p w14:paraId="5B210214" w14:textId="77777777" w:rsidR="00CD3FD7" w:rsidRPr="002E2489" w:rsidRDefault="00CD3FD7" w:rsidP="009943EE">
      <w:pPr>
        <w:rPr>
          <w:sz w:val="20"/>
          <w:szCs w:val="20"/>
          <w:lang w:val="en-US"/>
        </w:rPr>
      </w:pPr>
    </w:p>
    <w:sectPr w:rsidR="00CD3FD7" w:rsidRPr="002E2489" w:rsidSect="00011543">
      <w:footerReference w:type="even" r:id="rId9"/>
      <w:footerReference w:type="default" r:id="rId10"/>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DC88" w14:textId="77777777" w:rsidR="005869A5" w:rsidRDefault="005869A5" w:rsidP="00085BDD">
      <w:pPr>
        <w:spacing w:line="240" w:lineRule="auto"/>
      </w:pPr>
      <w:r>
        <w:separator/>
      </w:r>
    </w:p>
  </w:endnote>
  <w:endnote w:type="continuationSeparator" w:id="0">
    <w:p w14:paraId="16F38EBA" w14:textId="77777777" w:rsidR="005869A5" w:rsidRDefault="005869A5" w:rsidP="00085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Italic">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Bold">
    <w:altName w:val="Times New Roman"/>
    <w:charset w:val="00"/>
    <w:family w:val="auto"/>
    <w:pitch w:val="variable"/>
    <w:sig w:usb0="00000001" w:usb1="4000205B" w:usb2="0000001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ClassicalGaramondBT-Roman">
    <w:panose1 w:val="00000000000000000000"/>
    <w:charset w:val="00"/>
    <w:family w:val="swiss"/>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rinda">
    <w:panose1 w:val="000004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MinionPro-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4C02" w14:textId="77777777" w:rsidR="00D24EFE" w:rsidRDefault="00D24EFE" w:rsidP="001254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09C245" w14:textId="77777777" w:rsidR="00D24EFE" w:rsidRDefault="00D24EFE" w:rsidP="001254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2E75" w14:textId="77777777" w:rsidR="00D24EFE" w:rsidRPr="00BE3978" w:rsidRDefault="00D24EFE" w:rsidP="001254DE">
    <w:pPr>
      <w:pStyle w:val="Piedepgina"/>
      <w:framePr w:wrap="around" w:vAnchor="text" w:hAnchor="margin" w:xAlign="center" w:y="1"/>
      <w:rPr>
        <w:rStyle w:val="Nmerodepgina"/>
        <w:rFonts w:ascii="Verdana" w:hAnsi="Verdana"/>
        <w:sz w:val="20"/>
        <w:szCs w:val="20"/>
      </w:rPr>
    </w:pPr>
    <w:r w:rsidRPr="00BE3978">
      <w:rPr>
        <w:rStyle w:val="Nmerodepgina"/>
        <w:rFonts w:ascii="Verdana" w:hAnsi="Verdana"/>
        <w:sz w:val="20"/>
        <w:szCs w:val="20"/>
      </w:rPr>
      <w:fldChar w:fldCharType="begin"/>
    </w:r>
    <w:r w:rsidRPr="00BE3978">
      <w:rPr>
        <w:rStyle w:val="Nmerodepgina"/>
        <w:rFonts w:ascii="Verdana" w:hAnsi="Verdana"/>
        <w:sz w:val="20"/>
        <w:szCs w:val="20"/>
      </w:rPr>
      <w:instrText xml:space="preserve">PAGE  </w:instrText>
    </w:r>
    <w:r w:rsidRPr="00BE3978">
      <w:rPr>
        <w:rStyle w:val="Nmerodepgina"/>
        <w:rFonts w:ascii="Verdana" w:hAnsi="Verdana"/>
        <w:sz w:val="20"/>
        <w:szCs w:val="20"/>
      </w:rPr>
      <w:fldChar w:fldCharType="separate"/>
    </w:r>
    <w:r w:rsidR="00DC7658">
      <w:rPr>
        <w:rStyle w:val="Nmerodepgina"/>
        <w:rFonts w:ascii="Verdana" w:hAnsi="Verdana"/>
        <w:noProof/>
        <w:sz w:val="20"/>
        <w:szCs w:val="20"/>
      </w:rPr>
      <w:t>2</w:t>
    </w:r>
    <w:r w:rsidRPr="00BE3978">
      <w:rPr>
        <w:rStyle w:val="Nmerodepgina"/>
        <w:rFonts w:ascii="Verdana" w:hAnsi="Verdana"/>
        <w:sz w:val="20"/>
        <w:szCs w:val="20"/>
      </w:rPr>
      <w:fldChar w:fldCharType="end"/>
    </w:r>
  </w:p>
  <w:p w14:paraId="4B220C0E" w14:textId="77777777" w:rsidR="00D24EFE" w:rsidRDefault="00D24EFE" w:rsidP="001254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9AEAE" w14:textId="77777777" w:rsidR="005869A5" w:rsidRDefault="005869A5" w:rsidP="00085BDD">
      <w:pPr>
        <w:spacing w:line="240" w:lineRule="auto"/>
      </w:pPr>
      <w:r>
        <w:separator/>
      </w:r>
    </w:p>
  </w:footnote>
  <w:footnote w:type="continuationSeparator" w:id="0">
    <w:p w14:paraId="072133D7" w14:textId="77777777" w:rsidR="005869A5" w:rsidRDefault="005869A5" w:rsidP="00085BDD">
      <w:pPr>
        <w:spacing w:line="240" w:lineRule="auto"/>
      </w:pPr>
      <w:r>
        <w:continuationSeparator/>
      </w:r>
    </w:p>
  </w:footnote>
  <w:footnote w:id="1">
    <w:p w14:paraId="0481142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t>*</w:t>
      </w:r>
      <w:r w:rsidRPr="00012C3F">
        <w:rPr>
          <w:sz w:val="16"/>
          <w:szCs w:val="16"/>
          <w:lang w:val="en-US"/>
        </w:rPr>
        <w:t xml:space="preserve"> </w:t>
      </w:r>
      <w:r w:rsidRPr="00012C3F">
        <w:rPr>
          <w:sz w:val="16"/>
          <w:szCs w:val="16"/>
          <w:lang w:val="en-US"/>
        </w:rPr>
        <w:tab/>
        <w:t xml:space="preserve">The name of the presumed victim has been kept confidential following an explicit request, and the initials “I.V.” are used to refer to her. </w:t>
      </w:r>
    </w:p>
  </w:footnote>
  <w:footnote w:id="2">
    <w:p w14:paraId="66EE7DE5" w14:textId="77777777" w:rsidR="00D24EFE" w:rsidRPr="00012C3F" w:rsidRDefault="00D24EFE" w:rsidP="005B52E1">
      <w:pPr>
        <w:tabs>
          <w:tab w:val="left" w:pos="567"/>
        </w:tabs>
        <w:spacing w:after="120" w:line="240" w:lineRule="auto"/>
        <w:ind w:right="148"/>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In that report, the Commission decided that the petition was admissible in relation to the presumed violation of the rights recognized in Articles 5(1), 8(1), 11(2), 13, 17 and 25 of the American Convention, in relation to Article 1(1) of this instrument, as well as in relation to Article 7 of the Convention of Belém do Pará. </w:t>
      </w:r>
      <w:r w:rsidRPr="00012C3F">
        <w:rPr>
          <w:i/>
          <w:sz w:val="16"/>
          <w:szCs w:val="16"/>
          <w:lang w:val="en-US"/>
        </w:rPr>
        <w:t xml:space="preserve">Cf. </w:t>
      </w:r>
      <w:r w:rsidRPr="00012C3F">
        <w:rPr>
          <w:rFonts w:cs="Verdana"/>
          <w:sz w:val="16"/>
          <w:szCs w:val="16"/>
          <w:lang w:val="en-US"/>
        </w:rPr>
        <w:t xml:space="preserve">Admissibility Report No. 40/08, Case of I.V. </w:t>
      </w:r>
      <w:r w:rsidRPr="00012C3F">
        <w:rPr>
          <w:rFonts w:cs="Verdana"/>
          <w:i/>
          <w:iCs/>
          <w:sz w:val="16"/>
          <w:szCs w:val="16"/>
          <w:lang w:val="en-US"/>
        </w:rPr>
        <w:t>v.</w:t>
      </w:r>
      <w:r w:rsidRPr="00012C3F">
        <w:rPr>
          <w:rFonts w:cs="Verdana"/>
          <w:sz w:val="16"/>
          <w:szCs w:val="16"/>
          <w:lang w:val="en-US"/>
        </w:rPr>
        <w:t xml:space="preserve"> Bolivia, July 23, 2008 (file of the procedure before the Commission, volume II, folios 256 to 272).</w:t>
      </w:r>
    </w:p>
  </w:footnote>
  <w:footnote w:id="3">
    <w:p w14:paraId="6660ABB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Commission appointed Commissioner Paulo Vannuchi, the Special Rapporteur for Freedom of Expression, Edison Lanza, and the Executive Secretary at that time, Emilio Álvarez Icaza L., as its delegates before the Court. It also appointed Elizabeth Abi-Mershed, Deputy Executive Secretary, and Silvia Serrano Guzmán, Rosa Celorio and Ona Flores, Executive Secretariat lawyers, as legal advisers.</w:t>
      </w:r>
    </w:p>
  </w:footnote>
  <w:footnote w:id="4">
    <w:p w14:paraId="25A81FB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Rielma Mencias Rivadeneira, Executive Director of “</w:t>
      </w:r>
      <w:r w:rsidRPr="00012C3F">
        <w:rPr>
          <w:i/>
          <w:iCs/>
          <w:sz w:val="16"/>
          <w:szCs w:val="16"/>
          <w:lang w:val="en-US"/>
        </w:rPr>
        <w:t>Derechos en Acción</w:t>
      </w:r>
      <w:r w:rsidRPr="00012C3F">
        <w:rPr>
          <w:sz w:val="16"/>
          <w:szCs w:val="16"/>
          <w:lang w:val="en-US"/>
        </w:rPr>
        <w:t>” represented the presumed victim in this case.</w:t>
      </w:r>
    </w:p>
  </w:footnote>
  <w:footnote w:id="5">
    <w:p w14:paraId="3DD5649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representative asked that, as in the case of I.V., and for the same reasons, the identity of her daughters should be protected and that, consequently they be referred to as N.V. and L.A. during the proceedings. On the instructions of the President of the Court, the parties were advised that the names of the presumed victim’s daughters would be kept confidential and that the Court would use the initials “N.V.” and “L.A.” to refer to them.</w:t>
      </w:r>
    </w:p>
  </w:footnote>
  <w:footnote w:id="6">
    <w:p w14:paraId="3E815FD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Initially, the State appointed the Attorney General, Héctor Enrique Arce Zaconeta, the Solicitor General for the State’s Legal Defense and Representation, Pablo Menacho Diederich, and the acting Director General of Human Rights and Environmental Proceedings, Nelson Marcelo Cox Mayorga, as its agents. In addition, the State accredited the Solicitor General for the State’s Legal Defense and Representation, Carmiña Llorenti Barrientos, and the lawyer, Guehiza Zeballos Grossberger, to substitute Pablo Menacho Diederich. Subsequently, the State accredited the Director General for Defense of Human Rights and the Environment, Israel Ramiro Campero Méndez, instead of Nelson Marcelo Cox Mayorga. Then, the State accredited the Director General for Defense of Human Rights and the Environment, Dante Justiniano Segales, instead of Israel Ramiro Campero Méndez. Finally, the State accredited the Director General of Defense, Emma Natalia Miranda Parra, instead of Dante Justiniano Segales, and a new Agent, the Director General for Defense of Human Rights and the Environment, Claudia Daniela Valda Mercado.</w:t>
      </w:r>
    </w:p>
  </w:footnote>
  <w:footnote w:id="7">
    <w:p w14:paraId="044639D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Case of </w:t>
      </w:r>
      <w:r w:rsidRPr="00012C3F">
        <w:rPr>
          <w:i/>
          <w:sz w:val="16"/>
          <w:szCs w:val="16"/>
          <w:lang w:val="en-US"/>
        </w:rPr>
        <w:t>I.V. v. Bolivia.</w:t>
      </w:r>
      <w:r w:rsidRPr="00012C3F">
        <w:rPr>
          <w:sz w:val="16"/>
          <w:szCs w:val="16"/>
          <w:lang w:val="en-US"/>
        </w:rPr>
        <w:t xml:space="preserve"> Order of the President of the Inter-American Court of January 13, 2016. Available at: http://www.corteidh.or.cr/docs/asuntos/I.V_fv_16.pdf</w:t>
      </w:r>
    </w:p>
  </w:footnote>
  <w:footnote w:id="8">
    <w:p w14:paraId="152576D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I.V. v. Bolivia. </w:t>
      </w:r>
      <w:r w:rsidRPr="00012C3F">
        <w:rPr>
          <w:sz w:val="16"/>
          <w:szCs w:val="16"/>
          <w:lang w:val="en-US"/>
        </w:rPr>
        <w:t xml:space="preserve">Order of the President of the Inter-American Court of March 29, 2016. Available at: http://www.corteidh.or.cr/docs/asuntos/iv_29_03_16.pdf </w:t>
      </w:r>
    </w:p>
  </w:footnote>
  <w:footnote w:id="9">
    <w:p w14:paraId="594D2DD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Verdana" w:cs="Verdana"/>
          <w:position w:val="-1"/>
          <w:sz w:val="16"/>
          <w:szCs w:val="16"/>
          <w:lang w:val="en-US"/>
        </w:rPr>
        <w:t>In a communication of April 14, 2016, the Commission asked that the proposed expert opinion of Ana Cepin be provided by affidavit.</w:t>
      </w:r>
    </w:p>
  </w:footnote>
  <w:footnote w:id="10">
    <w:p w14:paraId="00E43DC4" w14:textId="77777777" w:rsidR="00D24EFE" w:rsidRPr="00012C3F" w:rsidRDefault="00D24EFE" w:rsidP="005B52E1">
      <w:pPr>
        <w:tabs>
          <w:tab w:val="left" w:pos="567"/>
        </w:tabs>
        <w:spacing w:after="120" w:line="240" w:lineRule="auto"/>
        <w:ind w:right="-6"/>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There appeared at this hearing: (a) for the Inter-American Commission:</w:t>
      </w:r>
      <w:r w:rsidRPr="00012C3F">
        <w:rPr>
          <w:sz w:val="16"/>
          <w:szCs w:val="16"/>
          <w:lang w:val="en-US" w:eastAsia="es-ES"/>
        </w:rPr>
        <w:t xml:space="preserve"> Commissioner </w:t>
      </w:r>
      <w:r w:rsidRPr="00012C3F">
        <w:rPr>
          <w:sz w:val="16"/>
          <w:szCs w:val="16"/>
          <w:lang w:val="en-US"/>
        </w:rPr>
        <w:t>Margarette May Macaulay, and Executive Secretariat lawyers, Silvia Serrano Guzmán, Jorge H. Meza Flores and Erick Acuña Pereda; (b) for the representatives of the presumed victim: Rielma Mencias Rivadeneiro, Executive Director of “</w:t>
      </w:r>
      <w:r w:rsidRPr="00012C3F">
        <w:rPr>
          <w:i/>
          <w:iCs/>
          <w:sz w:val="16"/>
          <w:szCs w:val="16"/>
          <w:lang w:val="en-US"/>
        </w:rPr>
        <w:t>Derechos en Acción</w:t>
      </w:r>
      <w:r w:rsidRPr="00012C3F">
        <w:rPr>
          <w:sz w:val="16"/>
          <w:szCs w:val="16"/>
          <w:lang w:val="en-US"/>
        </w:rPr>
        <w:t xml:space="preserve">,” and Marcelo Claros Pinilla and Fernando Zambrana Sea, advisers, and (c) for the State of Bolivia: the agent, Héctor Enrique Arce Zaconeta, Attorney General; the deputy agent, Carmiña Llorenti Barrientos, Solicitor General for the State’s Legal Defense and Representation; the deputy agent, Israel Ramiro Campero Méndez, Director General for Defense of Human Rights and the Environment; </w:t>
      </w:r>
      <w:r w:rsidRPr="00012C3F">
        <w:rPr>
          <w:sz w:val="16"/>
          <w:szCs w:val="16"/>
          <w:lang w:val="en-US" w:eastAsia="es-ES"/>
        </w:rPr>
        <w:t>Guehiza Patricia Zeballos Grossberger, lawyer from the Attorney General’s Office, and Juana Inés Acosta López, lawyer.</w:t>
      </w:r>
    </w:p>
  </w:footnote>
  <w:footnote w:id="11">
    <w:p w14:paraId="4F22459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Calibri" w:cs="Cambria"/>
          <w:sz w:val="16"/>
          <w:szCs w:val="16"/>
          <w:lang w:val="en-US" w:eastAsia="en-US"/>
        </w:rPr>
        <w:t>The first, dated January 11, 2006, which referred to an amparo filed by a defendant, which requested precisely the extinction of the criminal action. The second, of December 11, 2006, concerning an amparo against a declaration of abandonment of the complaint, as a violation of the right of access to justice, and the third, of June 15, 2004, concerning a matter of private property.</w:t>
      </w:r>
    </w:p>
  </w:footnote>
  <w:footnote w:id="12">
    <w:p w14:paraId="70D3C2CF" w14:textId="77777777" w:rsidR="00D24EFE" w:rsidRPr="00012C3F" w:rsidRDefault="00D24EFE" w:rsidP="005B52E1">
      <w:pPr>
        <w:tabs>
          <w:tab w:val="left" w:pos="567"/>
        </w:tabs>
        <w:spacing w:after="120" w:line="240" w:lineRule="auto"/>
        <w:rPr>
          <w:sz w:val="16"/>
          <w:szCs w:val="16"/>
          <w:lang w:val="en-US"/>
        </w:rPr>
      </w:pPr>
      <w:r w:rsidRPr="00012C3F">
        <w:rPr>
          <w:rStyle w:val="Refdenotaalpie"/>
          <w:rFonts w:cs="Times"/>
          <w:sz w:val="16"/>
          <w:szCs w:val="16"/>
          <w:lang w:val="en-US"/>
        </w:rPr>
        <w:footnoteRef/>
      </w:r>
      <w:r w:rsidRPr="00D24EFE">
        <w:rPr>
          <w:sz w:val="16"/>
          <w:szCs w:val="16"/>
        </w:rPr>
        <w:tab/>
      </w:r>
      <w:r w:rsidRPr="00D24EFE">
        <w:rPr>
          <w:i/>
          <w:sz w:val="16"/>
          <w:szCs w:val="16"/>
        </w:rPr>
        <w:t xml:space="preserve">Cf. Case of Velásquez Rodríguez v. Honduras. </w:t>
      </w:r>
      <w:r w:rsidRPr="00012C3F">
        <w:rPr>
          <w:i/>
          <w:sz w:val="16"/>
          <w:szCs w:val="16"/>
          <w:lang w:val="en-US"/>
        </w:rPr>
        <w:t xml:space="preserve">Preliminary objections. </w:t>
      </w:r>
      <w:r w:rsidRPr="00012C3F">
        <w:rPr>
          <w:sz w:val="16"/>
          <w:szCs w:val="16"/>
          <w:lang w:val="en-US"/>
        </w:rPr>
        <w:t xml:space="preserve">Judgment of June 26, 1987. </w:t>
      </w:r>
      <w:r w:rsidRPr="00D24EFE">
        <w:rPr>
          <w:sz w:val="16"/>
          <w:szCs w:val="16"/>
        </w:rPr>
        <w:t xml:space="preserve">Series C No. 1, para. 85, and </w:t>
      </w:r>
      <w:r w:rsidRPr="00D24EFE">
        <w:rPr>
          <w:i/>
          <w:sz w:val="16"/>
          <w:szCs w:val="16"/>
        </w:rPr>
        <w:t>Case of Herrera Espinoza et al. v. Ecuador</w:t>
      </w:r>
      <w:r w:rsidRPr="00D24EFE">
        <w:rPr>
          <w:sz w:val="16"/>
          <w:szCs w:val="16"/>
        </w:rPr>
        <w:t xml:space="preserve">. </w:t>
      </w:r>
      <w:r w:rsidRPr="00012C3F">
        <w:rPr>
          <w:i/>
          <w:sz w:val="16"/>
          <w:szCs w:val="16"/>
          <w:lang w:val="en-US"/>
        </w:rPr>
        <w:t>Preliminary objections, merits, reparations and costs.</w:t>
      </w:r>
      <w:r w:rsidRPr="00012C3F">
        <w:rPr>
          <w:sz w:val="16"/>
          <w:szCs w:val="16"/>
          <w:lang w:val="en-US"/>
        </w:rPr>
        <w:t xml:space="preserve"> Judgment of September 1, 2016. Series C No. 316</w:t>
      </w:r>
      <w:r w:rsidRPr="00012C3F">
        <w:rPr>
          <w:rStyle w:val="Textoennegrita"/>
          <w:b w:val="0"/>
          <w:sz w:val="16"/>
          <w:szCs w:val="16"/>
          <w:lang w:val="en-US"/>
        </w:rPr>
        <w:t>, para. 24</w:t>
      </w:r>
      <w:r w:rsidRPr="00012C3F">
        <w:rPr>
          <w:sz w:val="16"/>
          <w:szCs w:val="16"/>
          <w:lang w:val="en-US"/>
        </w:rPr>
        <w:t>.</w:t>
      </w:r>
    </w:p>
  </w:footnote>
  <w:footnote w:id="13">
    <w:p w14:paraId="06E58387" w14:textId="77777777" w:rsidR="00D24EFE" w:rsidRPr="00D24EFE" w:rsidRDefault="00D24EFE" w:rsidP="005B52E1">
      <w:pPr>
        <w:tabs>
          <w:tab w:val="left" w:pos="567"/>
        </w:tabs>
        <w:spacing w:after="120" w:line="240" w:lineRule="auto"/>
        <w:rPr>
          <w:sz w:val="16"/>
          <w:szCs w:val="16"/>
        </w:rPr>
      </w:pPr>
      <w:r w:rsidRPr="00012C3F">
        <w:rPr>
          <w:rStyle w:val="Refdenotaalpie"/>
          <w:rFonts w:cs="Times"/>
          <w:sz w:val="16"/>
          <w:szCs w:val="16"/>
          <w:lang w:val="en-US"/>
        </w:rPr>
        <w:footnoteRef/>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Velásquez Rodríguez v. Honduras</w:t>
      </w:r>
      <w:r w:rsidRPr="00012C3F">
        <w:rPr>
          <w:sz w:val="16"/>
          <w:szCs w:val="16"/>
          <w:lang w:val="en-US"/>
        </w:rPr>
        <w:t xml:space="preserve">. </w:t>
      </w:r>
      <w:r w:rsidRPr="00012C3F">
        <w:rPr>
          <w:i/>
          <w:sz w:val="16"/>
          <w:szCs w:val="16"/>
          <w:lang w:val="en-US"/>
        </w:rPr>
        <w:t>Merits</w:t>
      </w:r>
      <w:r w:rsidRPr="00012C3F">
        <w:rPr>
          <w:sz w:val="16"/>
          <w:szCs w:val="16"/>
          <w:lang w:val="en-US"/>
        </w:rPr>
        <w:t xml:space="preserve">. Judgment of July 29, 1988. </w:t>
      </w:r>
      <w:r w:rsidRPr="00D24EFE">
        <w:rPr>
          <w:sz w:val="16"/>
          <w:szCs w:val="16"/>
        </w:rPr>
        <w:t xml:space="preserve">Series C No. 4, para. 61, and </w:t>
      </w:r>
      <w:r w:rsidRPr="00D24EFE">
        <w:rPr>
          <w:i/>
          <w:sz w:val="16"/>
          <w:szCs w:val="16"/>
        </w:rPr>
        <w:t>Case of Herrera Espinoza et al. v. Ecuador, supra</w:t>
      </w:r>
      <w:r w:rsidRPr="00D24EFE">
        <w:rPr>
          <w:rStyle w:val="Textoennegrita"/>
          <w:b w:val="0"/>
          <w:sz w:val="16"/>
          <w:szCs w:val="16"/>
        </w:rPr>
        <w:t>, para. 24</w:t>
      </w:r>
      <w:r w:rsidRPr="00D24EFE">
        <w:rPr>
          <w:sz w:val="16"/>
          <w:szCs w:val="16"/>
        </w:rPr>
        <w:t>.</w:t>
      </w:r>
    </w:p>
  </w:footnote>
  <w:footnote w:id="14">
    <w:p w14:paraId="2DF37D21"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D24EFE">
        <w:rPr>
          <w:rFonts w:cs="Verdana"/>
          <w:sz w:val="16"/>
          <w:szCs w:val="16"/>
        </w:rPr>
        <w:tab/>
      </w:r>
      <w:r w:rsidRPr="00D24EFE">
        <w:rPr>
          <w:rFonts w:cs="Verdana"/>
          <w:i/>
          <w:sz w:val="16"/>
          <w:szCs w:val="16"/>
        </w:rPr>
        <w:t xml:space="preserve">Cf. Case of Velásquez Rodríguez v. Honduras. </w:t>
      </w:r>
      <w:r w:rsidRPr="00D24EFE">
        <w:rPr>
          <w:rFonts w:cs="Verdana"/>
          <w:bCs/>
          <w:i/>
          <w:sz w:val="16"/>
          <w:szCs w:val="16"/>
        </w:rPr>
        <w:t>Preliminary objections</w:t>
      </w:r>
      <w:r w:rsidRPr="00D24EFE">
        <w:rPr>
          <w:i/>
          <w:sz w:val="16"/>
          <w:szCs w:val="16"/>
        </w:rPr>
        <w:t>, supra</w:t>
      </w:r>
      <w:r w:rsidRPr="00D24EFE">
        <w:rPr>
          <w:rFonts w:cs="Verdana"/>
          <w:bCs/>
          <w:sz w:val="16"/>
          <w:szCs w:val="16"/>
        </w:rPr>
        <w:t>,</w:t>
      </w:r>
      <w:r w:rsidRPr="00D24EFE">
        <w:rPr>
          <w:rFonts w:cs="Verdana"/>
          <w:i/>
          <w:sz w:val="16"/>
          <w:szCs w:val="16"/>
        </w:rPr>
        <w:t xml:space="preserve"> </w:t>
      </w:r>
      <w:r w:rsidRPr="00D24EFE">
        <w:rPr>
          <w:rFonts w:cs="Verdana"/>
          <w:sz w:val="16"/>
          <w:szCs w:val="16"/>
        </w:rPr>
        <w:t xml:space="preserve">para. </w:t>
      </w:r>
      <w:r w:rsidRPr="00012C3F">
        <w:rPr>
          <w:rFonts w:cs="Verdana"/>
          <w:sz w:val="16"/>
          <w:szCs w:val="16"/>
          <w:lang w:val="en-US"/>
        </w:rPr>
        <w:t xml:space="preserve">88; </w:t>
      </w:r>
      <w:r w:rsidRPr="00012C3F">
        <w:rPr>
          <w:i/>
          <w:sz w:val="16"/>
          <w:szCs w:val="16"/>
          <w:lang w:val="en-US"/>
        </w:rPr>
        <w:t xml:space="preserve">Case of Herrera Ulloa v. Costa Rica. Preliminary objections, merits, reparations and costs. </w:t>
      </w:r>
      <w:r w:rsidRPr="00012C3F">
        <w:rPr>
          <w:sz w:val="16"/>
          <w:szCs w:val="16"/>
          <w:lang w:val="en-US"/>
        </w:rPr>
        <w:t xml:space="preserve">Judgment of July 2, 2004. Series C No. 107, para. 81, and </w:t>
      </w:r>
      <w:r w:rsidRPr="00012C3F">
        <w:rPr>
          <w:i/>
          <w:sz w:val="16"/>
          <w:szCs w:val="16"/>
          <w:lang w:val="en-US"/>
        </w:rPr>
        <w:t>Case of Herrera Espinoza et al. v. Ecuador, supra</w:t>
      </w:r>
      <w:r w:rsidRPr="00012C3F">
        <w:rPr>
          <w:sz w:val="16"/>
          <w:szCs w:val="16"/>
          <w:lang w:val="en-US"/>
        </w:rPr>
        <w:t>, para. 25.</w:t>
      </w:r>
    </w:p>
  </w:footnote>
  <w:footnote w:id="15">
    <w:p w14:paraId="71141F78"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w:t>
      </w:r>
      <w:r w:rsidRPr="00012C3F">
        <w:rPr>
          <w:sz w:val="16"/>
          <w:szCs w:val="16"/>
          <w:lang w:val="en-US"/>
        </w:rPr>
        <w:t xml:space="preserve"> </w:t>
      </w:r>
      <w:r w:rsidRPr="00012C3F">
        <w:rPr>
          <w:i/>
          <w:sz w:val="16"/>
          <w:szCs w:val="16"/>
          <w:lang w:val="en-US"/>
        </w:rPr>
        <w:t>Mémoli v. Argentina. Preliminary objections, merits, reparations and costs.</w:t>
      </w:r>
      <w:r w:rsidRPr="00012C3F">
        <w:rPr>
          <w:sz w:val="16"/>
          <w:szCs w:val="16"/>
          <w:lang w:val="en-US"/>
        </w:rPr>
        <w:t xml:space="preserve"> Judgment of August 22, 2013. Series C No. 265, para. 47, and </w:t>
      </w:r>
      <w:r w:rsidRPr="00012C3F">
        <w:rPr>
          <w:i/>
          <w:sz w:val="16"/>
          <w:szCs w:val="16"/>
          <w:lang w:val="en-US"/>
        </w:rPr>
        <w:t>Case of Herrera Espinoza et al. v. Ecuador, supra</w:t>
      </w:r>
      <w:r w:rsidRPr="00012C3F">
        <w:rPr>
          <w:sz w:val="16"/>
          <w:szCs w:val="16"/>
          <w:lang w:val="en-US"/>
        </w:rPr>
        <w:t>, para. 25.</w:t>
      </w:r>
    </w:p>
  </w:footnote>
  <w:footnote w:id="16">
    <w:p w14:paraId="2C083F8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Velásquez Rodríguez v. Honduras. Preliminary objections, supra</w:t>
      </w:r>
      <w:r w:rsidRPr="00012C3F">
        <w:rPr>
          <w:sz w:val="16"/>
          <w:szCs w:val="16"/>
          <w:lang w:val="en-US"/>
        </w:rPr>
        <w:t xml:space="preserve">, paras. 88 and 91, and </w:t>
      </w:r>
      <w:r w:rsidRPr="00012C3F">
        <w:rPr>
          <w:i/>
          <w:sz w:val="16"/>
          <w:szCs w:val="16"/>
          <w:lang w:val="en-US"/>
        </w:rPr>
        <w:t>Case of Herrera Espinoza et al. v. Ecuador, supra</w:t>
      </w:r>
      <w:r w:rsidRPr="00012C3F">
        <w:rPr>
          <w:sz w:val="16"/>
          <w:szCs w:val="16"/>
          <w:lang w:val="en-US"/>
        </w:rPr>
        <w:t>, para. 25.</w:t>
      </w:r>
    </w:p>
  </w:footnote>
  <w:footnote w:id="17">
    <w:p w14:paraId="537AA89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Reverón Trujillo v. Venezuela. Preliminary objection, merits, reparations and costs. </w:t>
      </w:r>
      <w:r w:rsidRPr="00012C3F">
        <w:rPr>
          <w:sz w:val="16"/>
          <w:szCs w:val="16"/>
          <w:lang w:val="en-US"/>
        </w:rPr>
        <w:t>Judgment of June 30, 2009. Series C No. 197, para. 23</w:t>
      </w:r>
      <w:r w:rsidRPr="00012C3F">
        <w:rPr>
          <w:bCs/>
          <w:sz w:val="16"/>
          <w:szCs w:val="16"/>
          <w:lang w:val="en-US"/>
        </w:rPr>
        <w:t>,</w:t>
      </w:r>
      <w:r w:rsidRPr="00012C3F">
        <w:rPr>
          <w:sz w:val="16"/>
          <w:szCs w:val="16"/>
          <w:lang w:val="en-US"/>
        </w:rPr>
        <w:t xml:space="preserve"> and </w:t>
      </w:r>
      <w:r w:rsidRPr="00012C3F">
        <w:rPr>
          <w:i/>
          <w:sz w:val="16"/>
          <w:szCs w:val="16"/>
          <w:lang w:val="en-US"/>
        </w:rPr>
        <w:t>Case of Herrera Espinoza et al. v. Ecuador, supra</w:t>
      </w:r>
      <w:r w:rsidRPr="00012C3F">
        <w:rPr>
          <w:sz w:val="16"/>
          <w:szCs w:val="16"/>
          <w:lang w:val="en-US"/>
        </w:rPr>
        <w:t>, para. 25.</w:t>
      </w:r>
    </w:p>
  </w:footnote>
  <w:footnote w:id="18">
    <w:p w14:paraId="23A179D3"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ヒラギノ角ゴ Pro W3"/>
          <w:sz w:val="16"/>
          <w:szCs w:val="16"/>
          <w:lang w:val="en-US"/>
        </w:rPr>
        <w:footnoteRef/>
      </w:r>
      <w:r w:rsidRPr="00012C3F">
        <w:rPr>
          <w:sz w:val="16"/>
          <w:szCs w:val="16"/>
          <w:lang w:val="en-US"/>
        </w:rPr>
        <w:tab/>
      </w:r>
      <w:r w:rsidRPr="00012C3F">
        <w:rPr>
          <w:i/>
          <w:sz w:val="16"/>
          <w:szCs w:val="16"/>
          <w:lang w:val="en-US"/>
        </w:rPr>
        <w:t xml:space="preserve">Cf. Case of the Expelled Dominicans and Haitians v. Dominican Republic. Preliminary objections, merits, reparations and costs. </w:t>
      </w:r>
      <w:r w:rsidRPr="00012C3F">
        <w:rPr>
          <w:sz w:val="16"/>
          <w:szCs w:val="16"/>
          <w:lang w:val="en-US"/>
        </w:rPr>
        <w:t xml:space="preserve">Judgment of August 28, 2014. Series C No. 282, para. </w:t>
      </w:r>
      <w:r w:rsidRPr="00D24EFE">
        <w:rPr>
          <w:sz w:val="16"/>
          <w:szCs w:val="16"/>
          <w:lang w:val="es-CR"/>
        </w:rPr>
        <w:t xml:space="preserve">30, and </w:t>
      </w:r>
      <w:r w:rsidRPr="00D24EFE">
        <w:rPr>
          <w:i/>
          <w:sz w:val="16"/>
          <w:szCs w:val="16"/>
          <w:lang w:val="es-CR"/>
        </w:rPr>
        <w:t>Case of Herrera Espinoza et al. v. Ecuador, supra</w:t>
      </w:r>
      <w:r w:rsidRPr="00D24EFE">
        <w:rPr>
          <w:sz w:val="16"/>
          <w:szCs w:val="16"/>
          <w:lang w:val="es-CR"/>
        </w:rPr>
        <w:t xml:space="preserve">, para. </w:t>
      </w:r>
      <w:r w:rsidRPr="00012C3F">
        <w:rPr>
          <w:sz w:val="16"/>
          <w:szCs w:val="16"/>
          <w:lang w:val="en-US"/>
        </w:rPr>
        <w:t>25.</w:t>
      </w:r>
    </w:p>
  </w:footnote>
  <w:footnote w:id="19">
    <w:p w14:paraId="04CB618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cs="Arial"/>
          <w:sz w:val="16"/>
          <w:szCs w:val="16"/>
          <w:lang w:val="en-US" w:eastAsia="en-US"/>
        </w:rPr>
        <w:t xml:space="preserve">Report </w:t>
      </w:r>
      <w:r w:rsidRPr="00012C3F">
        <w:rPr>
          <w:sz w:val="16"/>
          <w:szCs w:val="16"/>
          <w:lang w:val="en-US" w:eastAsia="en-US"/>
        </w:rPr>
        <w:t>GM-DGAJ-DAJ-2629-A/2007 of December 4, 2007, received on December 6, 2007, by the Inter-American Commission (file of the procedure before the Commission, volume II, folios 307 to 337)</w:t>
      </w:r>
      <w:r w:rsidRPr="00012C3F">
        <w:rPr>
          <w:rFonts w:cs="Verdana,Italic"/>
          <w:iCs/>
          <w:sz w:val="16"/>
          <w:szCs w:val="16"/>
          <w:lang w:val="en-US" w:eastAsia="en-US"/>
        </w:rPr>
        <w:t>.</w:t>
      </w:r>
    </w:p>
  </w:footnote>
  <w:footnote w:id="20">
    <w:p w14:paraId="0968612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cs="Arial"/>
          <w:sz w:val="16"/>
          <w:szCs w:val="16"/>
          <w:lang w:val="en-US" w:eastAsia="en-US"/>
        </w:rPr>
        <w:t xml:space="preserve">Report </w:t>
      </w:r>
      <w:r w:rsidRPr="00012C3F">
        <w:rPr>
          <w:sz w:val="16"/>
          <w:szCs w:val="16"/>
          <w:lang w:val="en-US" w:eastAsia="en-US"/>
        </w:rPr>
        <w:t>GM-DGAJ-DAJ-2629-A/2007 received on December 6, 2007, by the Inter-American Commission (file of the procedure before the Commission, volume II, folio 325)</w:t>
      </w:r>
      <w:r w:rsidRPr="00012C3F">
        <w:rPr>
          <w:rFonts w:cs="Verdana,Italic"/>
          <w:iCs/>
          <w:sz w:val="16"/>
          <w:szCs w:val="16"/>
          <w:lang w:val="en-US" w:eastAsia="en-US"/>
        </w:rPr>
        <w:t>.</w:t>
      </w:r>
    </w:p>
  </w:footnote>
  <w:footnote w:id="21">
    <w:p w14:paraId="04635C4D"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Herrera Ulloa v. Costa Rica, supra</w:t>
      </w:r>
      <w:r w:rsidRPr="00D24EFE">
        <w:rPr>
          <w:sz w:val="16"/>
          <w:szCs w:val="16"/>
          <w:lang w:val="es-CR"/>
        </w:rPr>
        <w:t xml:space="preserve">, paras. </w:t>
      </w:r>
      <w:r w:rsidRPr="00012C3F">
        <w:rPr>
          <w:sz w:val="16"/>
          <w:szCs w:val="16"/>
          <w:lang w:val="en-US"/>
        </w:rPr>
        <w:t>82 and 83</w:t>
      </w:r>
      <w:r w:rsidRPr="00012C3F">
        <w:rPr>
          <w:rFonts w:cs="Courier New"/>
          <w:noProof/>
          <w:sz w:val="16"/>
          <w:szCs w:val="16"/>
          <w:lang w:val="en-US"/>
        </w:rPr>
        <w:t xml:space="preserve">, and </w:t>
      </w:r>
      <w:r w:rsidRPr="00012C3F">
        <w:rPr>
          <w:i/>
          <w:sz w:val="16"/>
          <w:szCs w:val="16"/>
          <w:lang w:val="en-US"/>
        </w:rPr>
        <w:t>Case of Chinchilla Sandoval v. Guatemala. Preliminary objection, merits, reparations and costs.</w:t>
      </w:r>
      <w:r w:rsidRPr="00012C3F">
        <w:rPr>
          <w:sz w:val="16"/>
          <w:szCs w:val="16"/>
          <w:lang w:val="en-US"/>
        </w:rPr>
        <w:t xml:space="preserve"> Judgment of February 29, 2016. Series C No. 312, para. 26</w:t>
      </w:r>
      <w:r w:rsidRPr="00012C3F">
        <w:rPr>
          <w:rFonts w:cs="Courier New"/>
          <w:noProof/>
          <w:sz w:val="16"/>
          <w:szCs w:val="16"/>
          <w:lang w:val="en-US"/>
        </w:rPr>
        <w:t>.</w:t>
      </w:r>
    </w:p>
  </w:footnote>
  <w:footnote w:id="22">
    <w:p w14:paraId="72D8AE9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Admissibility Report No. 40/08 of July 23, 2008, para. 73 (file of the procedure before the Commission, volume II, folios 268 to 270).</w:t>
      </w:r>
    </w:p>
  </w:footnote>
  <w:footnote w:id="23">
    <w:p w14:paraId="7DAFC986" w14:textId="77777777" w:rsidR="00D24EFE" w:rsidRPr="00012C3F" w:rsidRDefault="00D24EFE" w:rsidP="005B52E1">
      <w:pPr>
        <w:pStyle w:val="Textonotapie"/>
        <w:tabs>
          <w:tab w:val="left" w:pos="567"/>
        </w:tabs>
        <w:spacing w:after="120"/>
        <w:rPr>
          <w:rFonts w:cs="Times"/>
          <w:noProof/>
          <w:sz w:val="16"/>
          <w:szCs w:val="16"/>
          <w:lang w:val="en-US" w:eastAsia="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Furlan and family v. Argentina. Preliminary objections, merits, reparations and costs</w:t>
      </w:r>
      <w:r w:rsidRPr="00012C3F">
        <w:rPr>
          <w:sz w:val="16"/>
          <w:szCs w:val="16"/>
          <w:lang w:val="en-US"/>
        </w:rPr>
        <w:t xml:space="preserve">. Judgment of August 31, 2012. Series C No. 246, para. 29, and </w:t>
      </w:r>
      <w:r w:rsidRPr="00012C3F">
        <w:rPr>
          <w:i/>
          <w:sz w:val="16"/>
          <w:szCs w:val="16"/>
          <w:lang w:val="en-US"/>
        </w:rPr>
        <w:t>Case of Herrera Espinoza et al. v. Ecuador, supra</w:t>
      </w:r>
      <w:r w:rsidRPr="00012C3F">
        <w:rPr>
          <w:sz w:val="16"/>
          <w:szCs w:val="16"/>
          <w:lang w:val="en-US"/>
        </w:rPr>
        <w:t>,</w:t>
      </w:r>
      <w:r w:rsidRPr="00012C3F">
        <w:rPr>
          <w:rStyle w:val="Textoennegrita"/>
          <w:b w:val="0"/>
          <w:color w:val="000000"/>
          <w:sz w:val="16"/>
          <w:szCs w:val="16"/>
          <w:shd w:val="clear" w:color="auto" w:fill="FFFFFF"/>
          <w:lang w:val="en-US"/>
        </w:rPr>
        <w:t xml:space="preserve"> para. 28.</w:t>
      </w:r>
    </w:p>
  </w:footnote>
  <w:footnote w:id="24">
    <w:p w14:paraId="5BD309B2"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the Ituango Massacres v. Colombia. Preliminary objection, merits, reparations and costs</w:t>
      </w:r>
      <w:r w:rsidRPr="00012C3F">
        <w:rPr>
          <w:sz w:val="16"/>
          <w:szCs w:val="16"/>
          <w:lang w:val="en-US"/>
        </w:rPr>
        <w:t xml:space="preserve">. Judgment of July 1, 2006. Series C No. 148, para. 98, and </w:t>
      </w:r>
      <w:r w:rsidRPr="00012C3F">
        <w:rPr>
          <w:i/>
          <w:sz w:val="16"/>
          <w:szCs w:val="16"/>
          <w:lang w:val="en-US"/>
        </w:rPr>
        <w:t>Case of Flor Freire v. Ecuador. Preliminary objection, merits, reparations and costs.</w:t>
      </w:r>
      <w:r w:rsidRPr="00012C3F">
        <w:rPr>
          <w:sz w:val="16"/>
          <w:szCs w:val="16"/>
          <w:lang w:val="en-US"/>
        </w:rPr>
        <w:t xml:space="preserve"> Judgment of August 31, 2016. Series C No. 315, para. 32.</w:t>
      </w:r>
    </w:p>
  </w:footnote>
  <w:footnote w:id="25">
    <w:p w14:paraId="4A27E0C8" w14:textId="77777777" w:rsidR="00D24EFE" w:rsidRPr="00012C3F" w:rsidRDefault="00D24EFE" w:rsidP="005B52E1">
      <w:pPr>
        <w:tabs>
          <w:tab w:val="left" w:pos="567"/>
        </w:tabs>
        <w:spacing w:after="120" w:line="240" w:lineRule="auto"/>
        <w:rPr>
          <w:rFonts w:eastAsia="Times"/>
          <w:bCs/>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Veliz Franco et al. v. Guatemala. Preliminary objections, merits, reparations and costs.</w:t>
      </w:r>
      <w:r w:rsidRPr="00012C3F">
        <w:rPr>
          <w:sz w:val="16"/>
          <w:szCs w:val="16"/>
          <w:lang w:val="en-US"/>
        </w:rPr>
        <w:t xml:space="preserve"> Judgment of May 19, 2014. Series C No. 277</w:t>
      </w:r>
      <w:r w:rsidRPr="00012C3F">
        <w:rPr>
          <w:rFonts w:eastAsia="Times"/>
          <w:sz w:val="16"/>
          <w:szCs w:val="16"/>
          <w:lang w:val="en-US"/>
        </w:rPr>
        <w:t xml:space="preserve">, para. 25, and </w:t>
      </w:r>
      <w:r w:rsidRPr="00012C3F">
        <w:rPr>
          <w:i/>
          <w:sz w:val="16"/>
          <w:szCs w:val="16"/>
          <w:lang w:val="en-US"/>
        </w:rPr>
        <w:t>Case of Herrera Espinoza et al. v. Ecuador, supra</w:t>
      </w:r>
      <w:r w:rsidRPr="00012C3F">
        <w:rPr>
          <w:sz w:val="16"/>
          <w:szCs w:val="16"/>
          <w:lang w:val="en-US"/>
        </w:rPr>
        <w:t>,</w:t>
      </w:r>
      <w:r w:rsidRPr="00012C3F">
        <w:rPr>
          <w:rFonts w:eastAsia="Times"/>
          <w:bCs/>
          <w:sz w:val="16"/>
          <w:szCs w:val="16"/>
          <w:lang w:val="en-US"/>
        </w:rPr>
        <w:t xml:space="preserve"> para. 41.</w:t>
      </w:r>
    </w:p>
  </w:footnote>
  <w:footnote w:id="26">
    <w:p w14:paraId="76E740CE" w14:textId="77777777" w:rsidR="00D24EFE" w:rsidRPr="00012C3F" w:rsidRDefault="00D24EFE" w:rsidP="009B3C96">
      <w:pPr>
        <w:pStyle w:val="Textonotapie"/>
        <w:tabs>
          <w:tab w:val="left" w:pos="720"/>
        </w:tabs>
        <w:spacing w:after="120"/>
        <w:rPr>
          <w:bCs/>
          <w:iCs/>
          <w:sz w:val="16"/>
          <w:szCs w:val="16"/>
          <w:lang w:val="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Times"/>
          <w:i/>
          <w:sz w:val="16"/>
          <w:szCs w:val="16"/>
          <w:lang w:val="en-US"/>
        </w:rPr>
        <w:t>Case of the “Five Pensioners” v. Peru. Merits reparations and costs.</w:t>
      </w:r>
      <w:r w:rsidRPr="00012C3F">
        <w:rPr>
          <w:rFonts w:eastAsia="Times"/>
          <w:sz w:val="16"/>
          <w:szCs w:val="16"/>
          <w:lang w:val="en-US"/>
        </w:rPr>
        <w:t xml:space="preserve"> Judgment of February 28, 2003. Series C No. 98, </w:t>
      </w:r>
      <w:r w:rsidRPr="00012C3F">
        <w:rPr>
          <w:iCs/>
          <w:sz w:val="16"/>
          <w:szCs w:val="16"/>
          <w:lang w:val="en-US" w:bidi="en-US"/>
        </w:rPr>
        <w:t xml:space="preserve">para. 155, and </w:t>
      </w:r>
      <w:r w:rsidRPr="00012C3F">
        <w:rPr>
          <w:rFonts w:cs="Courier New"/>
          <w:i/>
          <w:noProof/>
          <w:sz w:val="16"/>
          <w:szCs w:val="16"/>
          <w:lang w:val="en-US"/>
        </w:rPr>
        <w:t xml:space="preserve">Case of the Triunfo de la Cruz Garifuna Community and its members v. Honduras. Merits reparations and costs. </w:t>
      </w:r>
      <w:r w:rsidRPr="00012C3F">
        <w:rPr>
          <w:rFonts w:cs="Courier New"/>
          <w:noProof/>
          <w:sz w:val="16"/>
          <w:szCs w:val="16"/>
          <w:lang w:val="en-US"/>
        </w:rPr>
        <w:t xml:space="preserve">Judgment of October 8, 2015. Series C No. 305, </w:t>
      </w:r>
      <w:r w:rsidRPr="00012C3F">
        <w:rPr>
          <w:bCs/>
          <w:iCs/>
          <w:sz w:val="16"/>
          <w:szCs w:val="16"/>
          <w:lang w:val="en-US" w:bidi="en-US"/>
        </w:rPr>
        <w:t>para. 204.</w:t>
      </w:r>
    </w:p>
  </w:footnote>
  <w:footnote w:id="27">
    <w:p w14:paraId="20AE0B1C" w14:textId="77777777" w:rsidR="00D24EFE" w:rsidRPr="00012C3F" w:rsidRDefault="00D24EFE" w:rsidP="009B3C96">
      <w:pPr>
        <w:tabs>
          <w:tab w:val="left" w:pos="720"/>
        </w:tabs>
        <w:autoSpaceDE w:val="0"/>
        <w:autoSpaceDN w:val="0"/>
        <w:spacing w:after="120" w:line="240" w:lineRule="auto"/>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In a note of April 18, 2016, the Secretariat advised that the President of the Court had decided to accept the Commission’s request to modify the way in which this expert opinion was received and, therefore, that expert witness Ana Cepin should provide her expert opinion by affidavit.</w:t>
      </w:r>
    </w:p>
  </w:footnote>
  <w:footnote w:id="28">
    <w:p w14:paraId="4FECF6C8" w14:textId="77777777" w:rsidR="00D24EFE" w:rsidRPr="00012C3F" w:rsidRDefault="00D24EFE" w:rsidP="009B3C96">
      <w:pPr>
        <w:tabs>
          <w:tab w:val="left" w:pos="720"/>
        </w:tabs>
        <w:autoSpaceDE w:val="0"/>
        <w:autoSpaceDN w:val="0"/>
        <w:spacing w:after="120" w:line="240" w:lineRule="auto"/>
        <w:rPr>
          <w:i/>
          <w:sz w:val="16"/>
          <w:szCs w:val="16"/>
          <w:lang w:val="en-US"/>
        </w:rPr>
      </w:pPr>
      <w:r w:rsidRPr="00012C3F">
        <w:rPr>
          <w:rStyle w:val="Refdenotaalpie"/>
          <w:rFonts w:eastAsia="Calibri"/>
          <w:sz w:val="16"/>
          <w:szCs w:val="16"/>
          <w:lang w:val="en-US"/>
        </w:rPr>
        <w:footnoteRef/>
      </w:r>
      <w:r w:rsidRPr="00D24EFE">
        <w:rPr>
          <w:sz w:val="16"/>
          <w:szCs w:val="16"/>
        </w:rPr>
        <w:tab/>
      </w:r>
      <w:r w:rsidRPr="00D24EFE">
        <w:rPr>
          <w:i/>
          <w:sz w:val="16"/>
          <w:szCs w:val="16"/>
        </w:rPr>
        <w:t>Cf.</w:t>
      </w:r>
      <w:r w:rsidRPr="00D24EFE">
        <w:rPr>
          <w:sz w:val="16"/>
          <w:szCs w:val="16"/>
        </w:rPr>
        <w:t xml:space="preserve"> </w:t>
      </w:r>
      <w:r w:rsidRPr="00D24EFE">
        <w:rPr>
          <w:i/>
          <w:sz w:val="16"/>
          <w:szCs w:val="16"/>
        </w:rPr>
        <w:t>Case of Velásquez Rodríguez v. Honduras</w:t>
      </w:r>
      <w:r w:rsidRPr="00D24EFE">
        <w:rPr>
          <w:sz w:val="16"/>
          <w:szCs w:val="16"/>
        </w:rPr>
        <w:t xml:space="preserve">. </w:t>
      </w:r>
      <w:r w:rsidRPr="00012C3F">
        <w:rPr>
          <w:i/>
          <w:sz w:val="16"/>
          <w:szCs w:val="16"/>
          <w:lang w:val="en-US"/>
        </w:rPr>
        <w:t>Merits, supra</w:t>
      </w:r>
      <w:r w:rsidRPr="00012C3F">
        <w:rPr>
          <w:sz w:val="16"/>
          <w:szCs w:val="16"/>
          <w:lang w:val="en-US"/>
        </w:rPr>
        <w:t xml:space="preserve">, para. 140, and </w:t>
      </w:r>
      <w:r w:rsidRPr="00012C3F">
        <w:rPr>
          <w:rStyle w:val="Textoennegrita"/>
          <w:b w:val="0"/>
          <w:i/>
          <w:sz w:val="16"/>
          <w:szCs w:val="16"/>
          <w:lang w:val="en-US"/>
        </w:rPr>
        <w:t>Case of Tenorio Roca et al. v. Peru. Preliminary objections, merits, reparations and costs.</w:t>
      </w:r>
      <w:r w:rsidRPr="00012C3F">
        <w:rPr>
          <w:rStyle w:val="Textoennegrita"/>
          <w:b w:val="0"/>
          <w:sz w:val="16"/>
          <w:szCs w:val="16"/>
          <w:lang w:val="en-US"/>
        </w:rPr>
        <w:t xml:space="preserve"> Judgment of June 22, 2016. Series C No. 314</w:t>
      </w:r>
      <w:r w:rsidRPr="00012C3F">
        <w:rPr>
          <w:rFonts w:cs="Courier New"/>
          <w:noProof/>
          <w:sz w:val="16"/>
          <w:szCs w:val="16"/>
          <w:lang w:val="en-US"/>
        </w:rPr>
        <w:t>, para. 36</w:t>
      </w:r>
      <w:r w:rsidRPr="00012C3F">
        <w:rPr>
          <w:sz w:val="16"/>
          <w:szCs w:val="16"/>
          <w:lang w:val="en-US"/>
        </w:rPr>
        <w:t>.</w:t>
      </w:r>
    </w:p>
  </w:footnote>
  <w:footnote w:id="29">
    <w:p w14:paraId="50C426AE" w14:textId="77777777" w:rsidR="00D24EFE" w:rsidRPr="00012C3F" w:rsidRDefault="00D24EFE" w:rsidP="00833C77">
      <w:pPr>
        <w:tabs>
          <w:tab w:val="left" w:pos="720"/>
        </w:tabs>
        <w:autoSpaceDE w:val="0"/>
        <w:autoSpaceDN w:val="0"/>
        <w:spacing w:after="120" w:line="240" w:lineRule="auto"/>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Annexes 24 to 44 and 46 to 52 of the motions and pleadings brief were provided only by electronic link.</w:t>
      </w:r>
    </w:p>
  </w:footnote>
  <w:footnote w:id="30">
    <w:p w14:paraId="100CBAC1" w14:textId="77777777" w:rsidR="00D24EFE" w:rsidRPr="00012C3F" w:rsidRDefault="00D24EFE" w:rsidP="005B52E1">
      <w:pPr>
        <w:tabs>
          <w:tab w:val="left" w:pos="567"/>
        </w:tabs>
        <w:autoSpaceDE w:val="0"/>
        <w:autoSpaceDN w:val="0"/>
        <w:spacing w:after="120" w:line="240" w:lineRule="auto"/>
        <w:rPr>
          <w:iCs/>
          <w:sz w:val="16"/>
          <w:szCs w:val="16"/>
          <w:lang w:val="en-US"/>
        </w:rPr>
      </w:pPr>
      <w:r w:rsidRPr="00012C3F">
        <w:rPr>
          <w:rStyle w:val="Refdenotaalpie"/>
          <w:rFonts w:eastAsia="Calibri"/>
          <w:sz w:val="16"/>
          <w:szCs w:val="16"/>
          <w:lang w:val="en-US"/>
        </w:rPr>
        <w:footnoteRef/>
      </w:r>
      <w:r w:rsidRPr="00D24EFE">
        <w:rPr>
          <w:sz w:val="16"/>
          <w:szCs w:val="16"/>
        </w:rPr>
        <w:t xml:space="preserve"> </w:t>
      </w:r>
      <w:r w:rsidRPr="00D24EFE">
        <w:rPr>
          <w:sz w:val="16"/>
          <w:szCs w:val="16"/>
        </w:rPr>
        <w:tab/>
      </w:r>
      <w:r w:rsidRPr="00D24EFE">
        <w:rPr>
          <w:rFonts w:eastAsia="Batang"/>
          <w:i/>
          <w:sz w:val="16"/>
          <w:szCs w:val="16"/>
        </w:rPr>
        <w:t>Cf. Case of Velásquez Rodríguez v. Honduras. Merits, supra</w:t>
      </w:r>
      <w:r w:rsidRPr="00D24EFE">
        <w:rPr>
          <w:rFonts w:eastAsia="Batang"/>
          <w:sz w:val="16"/>
          <w:szCs w:val="16"/>
        </w:rPr>
        <w:t xml:space="preserve">, para. 146, and </w:t>
      </w:r>
      <w:r w:rsidRPr="00D24EFE">
        <w:rPr>
          <w:rStyle w:val="Textoennegrita"/>
          <w:b w:val="0"/>
          <w:i/>
          <w:sz w:val="16"/>
          <w:szCs w:val="16"/>
        </w:rPr>
        <w:t>Case of Tenorio Roca et al. v. Peru, supra</w:t>
      </w:r>
      <w:r w:rsidRPr="00D24EFE">
        <w:rPr>
          <w:rFonts w:cs="Courier New"/>
          <w:noProof/>
          <w:sz w:val="16"/>
          <w:szCs w:val="16"/>
        </w:rPr>
        <w:t xml:space="preserve">, para. </w:t>
      </w:r>
      <w:r w:rsidRPr="00012C3F">
        <w:rPr>
          <w:sz w:val="16"/>
          <w:szCs w:val="16"/>
          <w:lang w:val="en-US"/>
        </w:rPr>
        <w:t>38.</w:t>
      </w:r>
    </w:p>
  </w:footnote>
  <w:footnote w:id="31">
    <w:p w14:paraId="536533E9"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cs="Verdana-Bold"/>
          <w:bCs/>
          <w:i/>
          <w:sz w:val="16"/>
          <w:szCs w:val="16"/>
          <w:lang w:val="en-US" w:bidi="en-US"/>
        </w:rPr>
        <w:t>Case of the Barrios Family v. Venezuela.</w:t>
      </w:r>
      <w:r w:rsidRPr="00012C3F">
        <w:rPr>
          <w:rFonts w:cs="Verdana-Bold"/>
          <w:bCs/>
          <w:sz w:val="16"/>
          <w:szCs w:val="16"/>
          <w:lang w:val="en-US" w:bidi="en-US"/>
        </w:rPr>
        <w:t xml:space="preserve"> </w:t>
      </w:r>
      <w:r w:rsidRPr="00012C3F">
        <w:rPr>
          <w:rFonts w:cs="Verdana"/>
          <w:i/>
          <w:sz w:val="16"/>
          <w:szCs w:val="16"/>
          <w:lang w:val="en-US" w:bidi="en-US"/>
        </w:rPr>
        <w:t>Merits reparations and costs</w:t>
      </w:r>
      <w:r w:rsidRPr="00012C3F">
        <w:rPr>
          <w:rFonts w:cs="Verdana"/>
          <w:sz w:val="16"/>
          <w:szCs w:val="16"/>
          <w:lang w:val="en-US" w:bidi="en-US"/>
        </w:rPr>
        <w:t xml:space="preserve">. Judgment of November 24, 2011. Series C No. 237, </w:t>
      </w:r>
      <w:r w:rsidRPr="00012C3F">
        <w:rPr>
          <w:sz w:val="16"/>
          <w:szCs w:val="16"/>
          <w:lang w:val="en-US"/>
        </w:rPr>
        <w:t xml:space="preserve">para. 17, and </w:t>
      </w:r>
      <w:r w:rsidRPr="00012C3F">
        <w:rPr>
          <w:rStyle w:val="Textoennegrita"/>
          <w:b w:val="0"/>
          <w:i/>
          <w:sz w:val="16"/>
          <w:szCs w:val="16"/>
          <w:lang w:val="en-US"/>
        </w:rPr>
        <w:t>Case of Tenorio Roca et al. v. Peru, supra</w:t>
      </w:r>
      <w:r w:rsidRPr="00012C3F">
        <w:rPr>
          <w:rFonts w:cs="Courier New"/>
          <w:noProof/>
          <w:sz w:val="16"/>
          <w:szCs w:val="16"/>
          <w:lang w:val="en-US"/>
        </w:rPr>
        <w:t>, para. 39</w:t>
      </w:r>
      <w:r w:rsidRPr="00012C3F">
        <w:rPr>
          <w:bCs/>
          <w:sz w:val="16"/>
          <w:szCs w:val="16"/>
          <w:lang w:val="en-US"/>
        </w:rPr>
        <w:t>.</w:t>
      </w:r>
    </w:p>
  </w:footnote>
  <w:footnote w:id="32">
    <w:p w14:paraId="6C855B84"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rFonts w:cs="Arial"/>
          <w:sz w:val="16"/>
          <w:szCs w:val="16"/>
          <w:lang w:val="en-US"/>
        </w:rPr>
        <w:t>Annex 1: Updated table of “costs and expenses,” and Annex 2: Invoices, receipts, vouchers, travel costs, and contracts verifying “costs and expenses.”</w:t>
      </w:r>
    </w:p>
  </w:footnote>
  <w:footnote w:id="33">
    <w:p w14:paraId="5314CA0B" w14:textId="77777777" w:rsidR="00D24EFE" w:rsidRPr="00012C3F" w:rsidRDefault="00D24EFE" w:rsidP="005B52E1">
      <w:pPr>
        <w:pStyle w:val="Textonotapie"/>
        <w:tabs>
          <w:tab w:val="left" w:pos="567"/>
        </w:tabs>
        <w:spacing w:after="120"/>
        <w:rPr>
          <w:rFonts w:eastAsia="ヒラギノ角ゴ Pro W3"/>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The purpose of all these statements was established in the order of the President of the Court of March 29, 2016, first and fifth operative paragraphs. The order may be consulted on the Court’s webpage using the following link:  http://www.corteidh.or.cr/docs/asuntos/iv_29_03_16.pdf</w:t>
      </w:r>
    </w:p>
  </w:footnote>
  <w:footnote w:id="34">
    <w:p w14:paraId="5F97E1D5" w14:textId="77777777" w:rsidR="00D24EFE" w:rsidRPr="00012C3F" w:rsidRDefault="00D24EFE" w:rsidP="005B52E1">
      <w:pPr>
        <w:tabs>
          <w:tab w:val="left" w:pos="567"/>
        </w:tabs>
        <w:spacing w:after="120" w:line="240" w:lineRule="auto"/>
        <w:rPr>
          <w:i/>
          <w:sz w:val="16"/>
          <w:szCs w:val="16"/>
          <w:lang w:val="en-US"/>
        </w:rPr>
      </w:pPr>
      <w:r w:rsidRPr="00012C3F">
        <w:rPr>
          <w:rStyle w:val="Refdenotaalpie"/>
          <w:rFonts w:eastAsia="Calibri"/>
          <w:sz w:val="16"/>
          <w:szCs w:val="16"/>
          <w:lang w:val="en-US"/>
        </w:rPr>
        <w:footnoteRef/>
      </w:r>
      <w:r w:rsidRPr="00012C3F">
        <w:rPr>
          <w:sz w:val="16"/>
          <w:szCs w:val="16"/>
          <w:vertAlign w:val="superscript"/>
          <w:lang w:val="en-US"/>
        </w:rPr>
        <w:t xml:space="preserve"> </w:t>
      </w:r>
      <w:r w:rsidRPr="00012C3F">
        <w:rPr>
          <w:sz w:val="16"/>
          <w:szCs w:val="16"/>
          <w:lang w:val="en-US"/>
        </w:rPr>
        <w:tab/>
      </w:r>
      <w:r w:rsidRPr="00012C3F">
        <w:rPr>
          <w:i/>
          <w:sz w:val="16"/>
          <w:szCs w:val="16"/>
          <w:lang w:val="en-US"/>
        </w:rPr>
        <w:t>Cf.</w:t>
      </w:r>
      <w:r w:rsidRPr="00012C3F">
        <w:rPr>
          <w:bCs/>
          <w:i/>
          <w:sz w:val="16"/>
          <w:szCs w:val="16"/>
          <w:lang w:val="en-US"/>
        </w:rPr>
        <w:t xml:space="preserve"> </w:t>
      </w:r>
      <w:r w:rsidRPr="00012C3F">
        <w:rPr>
          <w:i/>
          <w:sz w:val="16"/>
          <w:szCs w:val="16"/>
          <w:lang w:val="en-US"/>
        </w:rPr>
        <w:t xml:space="preserve">Case of the “White Van” (Paniagua Morales et al.) v. Guatemala. Merits. </w:t>
      </w:r>
      <w:r w:rsidRPr="00012C3F">
        <w:rPr>
          <w:sz w:val="16"/>
          <w:szCs w:val="16"/>
          <w:lang w:val="en-US"/>
        </w:rPr>
        <w:t xml:space="preserve">Judgment of March 8, 1998. Series C No. 37, paras. 69 to 76, and </w:t>
      </w:r>
      <w:r w:rsidRPr="00012C3F">
        <w:rPr>
          <w:i/>
          <w:sz w:val="16"/>
          <w:szCs w:val="16"/>
          <w:lang w:val="en-US"/>
        </w:rPr>
        <w:t>Case of Herrera Espinoza et al. v. Ecuador, supra</w:t>
      </w:r>
      <w:r w:rsidRPr="00012C3F">
        <w:rPr>
          <w:sz w:val="16"/>
          <w:szCs w:val="16"/>
          <w:lang w:val="en-US"/>
        </w:rPr>
        <w:t>, para. 47.</w:t>
      </w:r>
    </w:p>
  </w:footnote>
  <w:footnote w:id="35">
    <w:p w14:paraId="60BFA06A" w14:textId="77777777" w:rsidR="00D24EFE" w:rsidRPr="00012C3F" w:rsidRDefault="00D24EFE" w:rsidP="005B52E1">
      <w:pPr>
        <w:tabs>
          <w:tab w:val="left" w:pos="567"/>
        </w:tabs>
        <w:spacing w:after="120" w:line="240" w:lineRule="auto"/>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Loayza Tamayo v. Peru. Merits. </w:t>
      </w:r>
      <w:r w:rsidRPr="00012C3F">
        <w:rPr>
          <w:sz w:val="16"/>
          <w:szCs w:val="16"/>
          <w:lang w:val="en-US"/>
        </w:rPr>
        <w:t xml:space="preserve">Judgment of September 17, 1997. </w:t>
      </w:r>
      <w:r w:rsidRPr="00D24EFE">
        <w:rPr>
          <w:sz w:val="16"/>
          <w:szCs w:val="16"/>
        </w:rPr>
        <w:t xml:space="preserve">Series C No. 33, para. 43, and </w:t>
      </w:r>
      <w:r w:rsidRPr="00D24EFE">
        <w:rPr>
          <w:rStyle w:val="Textoennegrita"/>
          <w:b w:val="0"/>
          <w:i/>
          <w:sz w:val="16"/>
          <w:szCs w:val="16"/>
        </w:rPr>
        <w:t>Case of Tenorio Roca et al. v. Peru, supra</w:t>
      </w:r>
      <w:r w:rsidRPr="00D24EFE">
        <w:rPr>
          <w:rStyle w:val="Textoennegrita"/>
          <w:b w:val="0"/>
          <w:sz w:val="16"/>
          <w:szCs w:val="16"/>
        </w:rPr>
        <w:t xml:space="preserve">, para. </w:t>
      </w:r>
      <w:r w:rsidRPr="00012C3F">
        <w:rPr>
          <w:rStyle w:val="Textoennegrita"/>
          <w:b w:val="0"/>
          <w:sz w:val="16"/>
          <w:szCs w:val="16"/>
          <w:lang w:val="en-US"/>
        </w:rPr>
        <w:t>46</w:t>
      </w:r>
      <w:r w:rsidRPr="00012C3F">
        <w:rPr>
          <w:sz w:val="16"/>
          <w:szCs w:val="16"/>
          <w:lang w:val="en-US"/>
        </w:rPr>
        <w:t>.</w:t>
      </w:r>
    </w:p>
  </w:footnote>
  <w:footnote w:id="36">
    <w:p w14:paraId="3279DBE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Foreigner’s identity card (evidence file, volume VIII, annex 5 to the brief with motions, pleadings and evidence, folio 2314).</w:t>
      </w:r>
    </w:p>
  </w:footnote>
  <w:footnote w:id="37">
    <w:p w14:paraId="07F5D4C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Psychological appraisal of the psycho-social effects suffered by I.V. owing to the non-consensual sterilization performed by the ITEI on May 12, 2008 (evidence file, volume VIII, annex 20 to the brief with motions, pleadings and evidence, folios 2354 and 2355).</w:t>
      </w:r>
    </w:p>
  </w:footnote>
  <w:footnote w:id="38">
    <w:p w14:paraId="7CF0C86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Psychological appraisal of the psycho-social effects suffered by I.V. owing to the non-consensual sterilization performed by the ITEI on May 12, 2008 (evidence file, volume VIII, annex 20 to the brief with motions, pleadings and evidence, folios 2354 and 2355).</w:t>
      </w:r>
    </w:p>
  </w:footnote>
  <w:footnote w:id="39">
    <w:p w14:paraId="3C45301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Birth certificate of N.V. issued by the Civil Registry of the Pueblo Libre District Municipality (evidence file, volume VIII, annex 15 to the brief with motions, pleadings and evidence, folio 2338).</w:t>
      </w:r>
    </w:p>
  </w:footnote>
  <w:footnote w:id="40">
    <w:p w14:paraId="4553F64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Psychological appraisal of the psycho-social effects suffered by I.V. owing to the non-consensual sterilization performed by the ITEI on May 12, 2008 (evidence file, volume VIII, annex 20 to the brief with motions, pleadings and evidence, folios 2354 to 2355).</w:t>
      </w:r>
    </w:p>
  </w:footnote>
  <w:footnote w:id="41">
    <w:p w14:paraId="411C7DB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Professional certification in the specialty of hotel administration issued by the First Hotel and Tourism School of Bolivia on August 23, 1996 (evidence file, volume VIII, annex 7 to the brief with motions, pleadings and evidence, folio 2319).</w:t>
      </w:r>
    </w:p>
  </w:footnote>
  <w:footnote w:id="42">
    <w:p w14:paraId="7D0F2FCA"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Diploma granted by the Universidad Mayor de San Andrés on September 15, 2014</w:t>
      </w:r>
      <w:r w:rsidRPr="00012C3F">
        <w:rPr>
          <w:i/>
          <w:sz w:val="16"/>
          <w:szCs w:val="16"/>
          <w:lang w:val="en-US"/>
        </w:rPr>
        <w:t xml:space="preserve"> </w:t>
      </w:r>
      <w:r w:rsidRPr="00012C3F">
        <w:rPr>
          <w:sz w:val="16"/>
          <w:szCs w:val="16"/>
          <w:lang w:val="en-US"/>
        </w:rPr>
        <w:t>(evidence file, volume VIII, annex 10 to the brief with motions, pleadings and evidence, folio 2326).</w:t>
      </w:r>
    </w:p>
  </w:footnote>
  <w:footnote w:id="43">
    <w:p w14:paraId="4AA94A9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Medical record (file of the procedure before the Commission, volume II, folios 339 to 378); Record of the Medical Audit Decisions Committee of March 13, 2001 (evidence file, volume VII, annex 3 to the submission of the case, folios 2120 to 2134), and Statement made by I.V. before the Inter-American Court during the public hearing held on May 2, 2016.</w:t>
      </w:r>
    </w:p>
  </w:footnote>
  <w:footnote w:id="44">
    <w:p w14:paraId="5B9EBC5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Medical record (file of the procedure before the Commission, volume II, folios 339 to 378).</w:t>
      </w:r>
    </w:p>
  </w:footnote>
  <w:footnote w:id="45">
    <w:p w14:paraId="73AC7F1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Preoperative note dated 1, 2000 (evidence file, volume X, annex 16 al Answering brief of the State, folio 3650); Medical Audit record of the operation performed on I.V. (evidence file, volume VII, annex 1 to the submission of the case, folios 2115 and 2116); Final conclusions of the medical audit by the Departmental Medical Audit Committee  of March 9, 2001 (evidence file, volume VII, annex 2 to the submission of the case, folio 2118), and Report issued by the Medical Audit Decisions Committee of March 13, 2001 (evidence file, volume VII, annex 3 to the submission of the case, folios 2120 to 2134).</w:t>
      </w:r>
    </w:p>
  </w:footnote>
  <w:footnote w:id="46">
    <w:p w14:paraId="3B94909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the surgical procedure transcribed by the Women’s Hospital (evidence file, volume VII, annex 8 to the submission of the case, folio 2138); Medical Audit record of the operation performed on I.V. (evidence file, volume VII, annex 1 to the submission of the case, folios 2115 and 2116); Statement made by Edgar Torrico Ameller before the Inter-American Court during the public hearing held on May 2, 2016, and Affidavit prepared by Marco Vladimir Vargas Terrazas on April 28, 2016 (evidence file, volume XI, affidavits, folios 3929 to 3939).</w:t>
      </w:r>
    </w:p>
  </w:footnote>
  <w:footnote w:id="47">
    <w:p w14:paraId="4D7CA93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issued by the Second Trial Court of the La Paz Judicial District on November 18, 2002 (evidence file, volume X, annex 17 to the State’s answering brief, folio 3654).</w:t>
      </w:r>
    </w:p>
  </w:footnote>
  <w:footnote w:id="48">
    <w:p w14:paraId="4275203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Medical Audit record of the operation performed on I.V. (evidence file, volume VII, annex 1 to the submission of the case, folios 2115 and 2116); Report of the Audit Committee on the case of patient I.V. of August 22, 2000 (evidence file, volume VII, annex 4 to the submission of the case, folio 2136), and Affidavit prepared by Marco Vladimir Vargas Terrazas on April 28, 2016 (evidence file, volume XI, affidavits, folio 3936).</w:t>
      </w:r>
    </w:p>
  </w:footnote>
  <w:footnote w:id="49">
    <w:p w14:paraId="22629BE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Affidavit prepared by Marco Vladimir Vargas Terrazas on April 28, 2016 (evidence file, volume XI, affidavits, folios 3929 to 3939);</w:t>
      </w:r>
      <w:r w:rsidRPr="00012C3F">
        <w:rPr>
          <w:i/>
          <w:sz w:val="16"/>
          <w:szCs w:val="16"/>
          <w:lang w:val="en-US"/>
        </w:rPr>
        <w:t xml:space="preserve"> </w:t>
      </w:r>
      <w:r w:rsidRPr="00012C3F">
        <w:rPr>
          <w:sz w:val="16"/>
          <w:szCs w:val="16"/>
          <w:lang w:val="en-US"/>
        </w:rPr>
        <w:t>Statement made by Edgar Torrico Ameller before the Inter-American Court during the public hearing held on May 2, 2016; Statement made by J.E. on July 27, 2004, according to the record of the oral hearing issued by the Copacabana Trial Court (evidence file, volume XII, annex 1(c)) to the State’s final arguments, folio 4755), and Resolution issued by the Second Trial Court of the La Paz Judicial District on November 18, 2002 (evidence file, volume X, annex 17 to the State’s answering brief, folios 3652 to 3659).</w:t>
      </w:r>
    </w:p>
  </w:footnote>
  <w:footnote w:id="50">
    <w:p w14:paraId="3C03BB4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Affidavit prepared by Marco Vladimir Vargas Terrazas on April 28, 2016 (evidence file, volume XI, affidavits, folio 3937); Statement made by Edgar Torrico Ameller before the Inter-American Court during the public hearing held on May 2, 2016; Record of the surgical procedure transcribed by the Women’s Hospital (evidence file, volume VII, annex 8 to the submission of the case, folio 2138); Final conclusions of the medical audit by the Departmental Medical Audit Committee  of March 9, 2001 (evidence file, volume VII, annex 2 to the submission of the case, folio 2118), e Report of the Audit Committee on the case of patient I.V. of August 22, 2000 (evidence file, volume VII, annex 4 to the submission of the case, folio 2136).</w:t>
      </w:r>
    </w:p>
  </w:footnote>
  <w:footnote w:id="51">
    <w:p w14:paraId="763505E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Statement made by Edgar Torrico Ameller before the Inter-American Court during the public hearing held on May 2, 2016; Affidavit prepared by Marco Vladimir Vargas Terrazas on April 28, 2016 (evidence file, volume XI, affidavits, folios 3929 to 3939), and Resolution issued by the Second Trial Court of the La Paz Judicial District on November 18, 2002 (evidence file, volume X, annex 17 to the State’s answering brief, folios 3652 to 3659).</w:t>
      </w:r>
    </w:p>
  </w:footnote>
  <w:footnote w:id="52">
    <w:p w14:paraId="6B318BE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the surgical procedure transcribed by the Women’s Hospital (evidence file, volume VII, annex 8 to the submission of the case, folio 2138).</w:t>
      </w:r>
    </w:p>
  </w:footnote>
  <w:footnote w:id="53">
    <w:p w14:paraId="66D1BE5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the surgical procedure transcribed by the Women’s Hospital (evidence file, volume VII, annex 8 to the submission of the case, folio 2138); Affidavit prepared by Marco Vladimir Vargas Terrazas on April 28, 2016 (evidence file, volume XI, affidavits, folio 3937), and Statement made by Edgar Torrico Ameller before the Inter-American Court during the public hearing held on May 2, 2016.</w:t>
      </w:r>
    </w:p>
  </w:footnote>
  <w:footnote w:id="54">
    <w:p w14:paraId="1780E9B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Family authorization form for surgery or special treatment (evidence file, volume X, annex 18 to the State’s answering brief, folio 3661), and Resolution issued by the Second Trial Court of the La Paz Judicial District on November 18, 2002 (evidence file, volume X, annex 17 to the State’s answering brief, folio 3654).</w:t>
      </w:r>
    </w:p>
  </w:footnote>
  <w:footnote w:id="55">
    <w:p w14:paraId="479251C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Affidavit prepared by Marco Vladimir Vargas Terrazas on April 28, 2016 (evidence file, volume XI, affidavits, folio 3937); Statement made by Edgar Torrico Ameller before the Inter-American Court during the public hearing held on May 2, 2016, and Report of the Audit Committee on the case of patient I.V. of August 22, 2000 (evidence file, volume VII, annex 4 to the submission of the case, folio 2136).</w:t>
      </w:r>
    </w:p>
  </w:footnote>
  <w:footnote w:id="56">
    <w:p w14:paraId="5358A37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Dr. María del Rosario Arteaga Méndez stated that she had not taken part in the operation and that, at the request of several nurses, on the day of the incident, she when to look for I.V.’s husband, without knowing why he was required and without being able to find him in the hospital. </w:t>
      </w:r>
      <w:r w:rsidRPr="00012C3F">
        <w:rPr>
          <w:i/>
          <w:sz w:val="16"/>
          <w:szCs w:val="16"/>
          <w:lang w:val="en-US"/>
        </w:rPr>
        <w:t>Cf.</w:t>
      </w:r>
      <w:r w:rsidRPr="00012C3F">
        <w:rPr>
          <w:sz w:val="16"/>
          <w:szCs w:val="16"/>
          <w:lang w:val="en-US"/>
        </w:rPr>
        <w:t xml:space="preserve"> Statement made by María del Rosario Arteaga Méndez on August 17, 2000, according to the medical record of the surgical procedure performed on I.V. issued by the Medical Audit Committee of the Women’s Hospital (evidence file, volume VII, annex 1 to the submission of the case, folio 2115), and Statement made by María del Rosario Arteaga Méndez on July 29, 2004, according to the record of the oral hearing issued by the Copacabana Trial Court (evidence file, volume XII, annex 1(d)) to the State’s final arguments, folio 4826).</w:t>
      </w:r>
    </w:p>
  </w:footnote>
  <w:footnote w:id="57">
    <w:p w14:paraId="0A83504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Record of the surgical procedure transcribed by the Women’s Hospital (evidence file, volume VII, annex 8 to the submission of the case, folio 2138).</w:t>
      </w:r>
    </w:p>
  </w:footnote>
  <w:footnote w:id="58">
    <w:p w14:paraId="6AABF4B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Progress report of I.V. of the Women’s Hospital (evidence file, volume VII, annex 9 to the submission of the case, folio 2140).</w:t>
      </w:r>
    </w:p>
  </w:footnote>
  <w:footnote w:id="59">
    <w:p w14:paraId="61D89F92"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Statement made by I.V. before the Inter-American Court during the public hearing held on May 2, 2016, and Statement made by I.V. on July 27, 2004, according to the record of the oral hearing issued by the Copacabana Trial Court (evidence file, volume XII, annex 1(c)) to the State’s final arguments, folios 4759 to 4761).</w:t>
      </w:r>
    </w:p>
  </w:footnote>
  <w:footnote w:id="60">
    <w:p w14:paraId="4E6E849F"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Statement made by I.V. before the Inter-American Court during the public hearing held on May 2, 2016. See also, Statement made by I.V. on July 27, 2004, according to the record of the oral hearing issued by the Copacabana Trial Court (evidence file, volume XII, annex 1(c)) to the State’s final arguments, folios 4759 to 4761).</w:t>
      </w:r>
    </w:p>
  </w:footnote>
  <w:footnote w:id="61">
    <w:p w14:paraId="00E2A6C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Progress report of I.V. of the Women’s Hospital (evidence file, volume VII, annex 3 to the submission of the case, folio 2130).</w:t>
      </w:r>
    </w:p>
  </w:footnote>
  <w:footnote w:id="62">
    <w:p w14:paraId="1224B9B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Consisting of the Head of Training and Research, the Head of Neonatology, and a member of the Audit Committee.</w:t>
      </w:r>
    </w:p>
  </w:footnote>
  <w:footnote w:id="63">
    <w:p w14:paraId="25F4AB3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Audit Committee on the case of patient I.V. of August 22, 2000 (evidence file, volume VII, annex 4 to the submission of the case, folio 2136).</w:t>
      </w:r>
    </w:p>
  </w:footnote>
  <w:footnote w:id="64">
    <w:p w14:paraId="365A5D1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Consisting of representatives of medical associations and health-related scientific committees.</w:t>
      </w:r>
    </w:p>
  </w:footnote>
  <w:footnote w:id="65">
    <w:p w14:paraId="43B27C0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Final conclusions of the medical audit by the Departmental Medical Audit Committee of March 9, 2001 (evidence file, volume VII, annex 2 to the submission of the case, folio 2118).</w:t>
      </w:r>
    </w:p>
  </w:footnote>
  <w:footnote w:id="66">
    <w:p w14:paraId="314D2F4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Final conclusions of the medical audit by the Departmental Medical Audit Committee of March 9, 2001 (evidence file, volume VII, annex 2 to the submission of the case, folio 2118).</w:t>
      </w:r>
    </w:p>
  </w:footnote>
  <w:footnote w:id="67">
    <w:p w14:paraId="791C622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Consisting of members of the Committee and the Audit team: the Director General of Health Services; the Head of the National Health Care Unit; the Head of the National Basic Health Care Insurance Unit; the Head of Development of the Health Services Network; a lawyer with experience in malpractice; a member of the Quality and Regulation Technical Group; the Coordinator and External Auditor; a doctor representing the SBS, and a specialist in obstetrics/gynecology.</w:t>
      </w:r>
    </w:p>
  </w:footnote>
  <w:footnote w:id="68">
    <w:p w14:paraId="50ED7EE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issued by the Medical Audit Decisions Committee of March 13, 2001 (evidence file, volume VII, annex 3 to the submission of the case, folio 2120).</w:t>
      </w:r>
    </w:p>
  </w:footnote>
  <w:footnote w:id="69">
    <w:p w14:paraId="422B3C8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issued by the Medical Audit Decisions Committee of March 13, 2001 (evidence file, volume VII, annex 3 to the submission of the case, folios 2120 to 2133).</w:t>
      </w:r>
    </w:p>
  </w:footnote>
  <w:footnote w:id="70">
    <w:p w14:paraId="0FBD557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issued by the Medical Audit Decisions Committee of March 13, 2001 (evidence file, volume VII, annex 3 to the submission of the case, folio 2121).</w:t>
      </w:r>
    </w:p>
  </w:footnote>
  <w:footnote w:id="71">
    <w:p w14:paraId="6D83A07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Ethics Tribunal of the La Paz Departmental Medical College / Case of claim by the patient I.V. of October 5, 2001 (evidence file, volume VII, annex 19 to the submission of the case, folio 2166).</w:t>
      </w:r>
    </w:p>
  </w:footnote>
  <w:footnote w:id="72">
    <w:p w14:paraId="6DAF31C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2168).</w:t>
      </w:r>
    </w:p>
  </w:footnote>
  <w:footnote w:id="73">
    <w:p w14:paraId="751626A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Ethics Tribunal of the La Paz Departmental Medical College / Case of claim by the patient I.V. of October 5, 2001 (evidence file, volume VII, annex 19 to the submission of the case, folio 2168).</w:t>
      </w:r>
    </w:p>
  </w:footnote>
  <w:footnote w:id="74">
    <w:p w14:paraId="6DD6339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2167).</w:t>
      </w:r>
    </w:p>
  </w:footnote>
  <w:footnote w:id="75">
    <w:p w14:paraId="4D859D4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Ethics Tribunal of the La Paz Departmental Medical College / Case of claim by the patient I.V. of October 5, 2001 (evidence file, volume VII, annex 19 to the submission of the case, folio 2167).</w:t>
      </w:r>
    </w:p>
  </w:footnote>
  <w:footnote w:id="76">
    <w:p w14:paraId="19F008B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2168).</w:t>
      </w:r>
    </w:p>
  </w:footnote>
  <w:footnote w:id="77">
    <w:p w14:paraId="288AE60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folios 2166 to 2170).</w:t>
      </w:r>
    </w:p>
  </w:footnote>
  <w:footnote w:id="78">
    <w:p w14:paraId="73A6EE4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Ethics Tribunal of the La Paz Departmental Medical College / Case of claim by the patient I.V. of October 5, 2001 (evidence file, volume VII, annex 19 to the submission of the case, folio 2168).</w:t>
      </w:r>
    </w:p>
  </w:footnote>
  <w:footnote w:id="79">
    <w:p w14:paraId="660F4CC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2168).</w:t>
      </w:r>
    </w:p>
  </w:footnote>
  <w:footnote w:id="80">
    <w:p w14:paraId="7400DF8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2166).</w:t>
      </w:r>
    </w:p>
  </w:footnote>
  <w:footnote w:id="81">
    <w:p w14:paraId="608C4690" w14:textId="77777777" w:rsidR="00D24EFE" w:rsidRPr="00012C3F" w:rsidRDefault="00D24EFE" w:rsidP="00716C7D">
      <w:pPr>
        <w:pStyle w:val="Textonotapie"/>
        <w:tabs>
          <w:tab w:val="left" w:pos="63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Report of the Ethics Tribunal of the La Paz Departmental Medical College / Case of claim by the patient I.V. of October 5, 2001 (evidence file, volume VII, annex 19 to the submission of the case, folio 2169).</w:t>
      </w:r>
    </w:p>
  </w:footnote>
  <w:footnote w:id="82">
    <w:p w14:paraId="007BDA5C" w14:textId="77777777" w:rsidR="00D24EFE" w:rsidRPr="00012C3F" w:rsidRDefault="00D24EFE" w:rsidP="00716C7D">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Report of the Ethics Tribunal of the La Paz Departmental Medical College / Case of claim by the patient I.V. of October 5, 2001 (evidence file, volume VII, annex 19 to the submission of the case, folio 2169).</w:t>
      </w:r>
    </w:p>
  </w:footnote>
  <w:footnote w:id="83">
    <w:p w14:paraId="2A7498F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Final decision No. 020/2002 issued by the Legal Advisory Services Unit of the La Paz Departmental Health Service on July 25, 2002 (evidence file, volume XIV, annex 3 to the representative’s final arguments, folios 5769 to 5771).</w:t>
      </w:r>
    </w:p>
  </w:footnote>
  <w:footnote w:id="84">
    <w:p w14:paraId="561C451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Final decision No. 020/2002 issued by the Legal Advisory Services Unit of the La Paz Departmental Health Service on July 25, 2002 (evidence file, volume XIV, annex 3 to the representative’s final arguments, folios 5769 to 5771).</w:t>
      </w:r>
    </w:p>
  </w:footnote>
  <w:footnote w:id="85">
    <w:p w14:paraId="1594870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29. Administrative liability shall be incurred when the act or omission contravenes the legal and administrative order and the norms that regulate the function-related conduct of the public servant. This shall be determined by the internal procedures of each entity that take into account the results of the audit, if one has been conducted. The competent authority shall apply, based on the gravity of the offense, the sanctions of: a fine of up to 20% of the monthly remuneration; suspension for a maximum of 30 days, or dismissal.</w:t>
      </w:r>
    </w:p>
  </w:footnote>
  <w:footnote w:id="86">
    <w:p w14:paraId="7E0BC6C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Final decision No. 020/2002 issued by the Legal Advisory Services Unit of the La Paz Departmental Health Service on July 25, 2002 (evidence file, volume XIV, annex 3 to the representative’s final arguments, folios 5769 to 5771).</w:t>
      </w:r>
    </w:p>
  </w:footnote>
  <w:footnote w:id="87">
    <w:p w14:paraId="24D631A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Final decision No. 020/2002 issued by the Legal Advisory Services Unit of the La Paz Departmental Health Service on July 25, 2002 (evidence file, volume XIV, annex 3 to the representative’s final arguments, folios 5769 to 5771).</w:t>
      </w:r>
    </w:p>
  </w:footnote>
  <w:footnote w:id="88">
    <w:p w14:paraId="483B169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brief of this appear does not appear in the case file, but was reviewed in the unnumbered administrative decision issued by the Legal Advisory Services Unit of the La Paz Departmental Health Service on March 10, 2003 (evidence file, volume VII, annex 21 to the submission of the case, folios 2175 to 2176).</w:t>
      </w:r>
    </w:p>
  </w:footnote>
  <w:footnote w:id="89">
    <w:p w14:paraId="1DDEEA5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Unnumbered administrative decision issued by the Legal Advisory Services Unit of the La Paz Departmental Health Service on March 10, 2003 (evidence file, volume VII, annex 21 to the submission of the case, folios 2175 to 2176).</w:t>
      </w:r>
    </w:p>
  </w:footnote>
  <w:footnote w:id="90">
    <w:p w14:paraId="0BD1B22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of March 14, 2003 (evidence file, volume XII, annex 1(a) to the State’s final arguments, folio 4225).</w:t>
      </w:r>
    </w:p>
  </w:footnote>
  <w:footnote w:id="91">
    <w:p w14:paraId="06AC36C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270. (Severe injuries). The author shall be sentenced to three to nine years’ imprisonment when the injury results in: […] 2. The permanent impairment of health, or the loss or the use of a sense, of a limb, or of a function.</w:t>
      </w:r>
    </w:p>
  </w:footnote>
  <w:footnote w:id="92">
    <w:p w14:paraId="17BDEAA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Charges, case No. PTJ894/2002 filed by the District Prosecutor of La Paz on August 31, 2002 (evidence file, volume VII, annex 22 to the submission of the case, folios 2178 to 2183).</w:t>
      </w:r>
    </w:p>
  </w:footnote>
  <w:footnote w:id="93">
    <w:p w14:paraId="6BE0B0C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Order to open the proceedings, Resolution No. 071/2002 of October 1, 2002 (evidence file, volume VII, annex 23 to the submission of the case, folios 2185 to 2186).</w:t>
      </w:r>
    </w:p>
  </w:footnote>
  <w:footnote w:id="94">
    <w:p w14:paraId="25EAE2DE"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presented by I.V. before the Second Trial Court on October 29, 2002 (evidence file, volume XII, annex 1(a) to the State’s final arguments, folio 4011).</w:t>
      </w:r>
    </w:p>
  </w:footnote>
  <w:footnote w:id="95">
    <w:p w14:paraId="3F0E1C0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No. 086/2002 issued by the Second Trial Court of La Paz on November 18, 2002 (evidence file, volume VII, annex 24 to the submission of the case, folios 2188 to 2195).</w:t>
      </w:r>
    </w:p>
  </w:footnote>
  <w:footnote w:id="96">
    <w:p w14:paraId="1B55963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Resolution No. 086/2002 issued by the Second Trial Court of La Paz on November 18, 2002 (evidence file, volume VII, annex 24 to the submission of the case, folios 2191 to 2192).</w:t>
      </w:r>
    </w:p>
  </w:footnote>
  <w:footnote w:id="97">
    <w:p w14:paraId="3D71019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of the restricted appeal presented by Dr. Edgar Torrico Ameller on December 5, 2002 (evidence file, volume XII, annex 1(a) to the State’s final arguments, folios 4139 to 4151).</w:t>
      </w:r>
    </w:p>
  </w:footnote>
  <w:footnote w:id="98">
    <w:p w14:paraId="3355F0F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No. 21/003 issued by the Third Criminal Chamber of the Superior Court of the La Paz Judicial District on February 12, 2003 (evidence file, volume VII, annex 25 to the submission of the case, folios 2197 to 2200).</w:t>
      </w:r>
    </w:p>
  </w:footnote>
  <w:footnote w:id="99">
    <w:p w14:paraId="030B078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No. 21/003 issued by the Third Criminal Chamber of the Superior Court of the La Paz Judicial District on February 12, 2003 (evidence file, volume VII, annex 25 to the submission of the case, folios 2197 to 2200).</w:t>
      </w:r>
    </w:p>
  </w:footnote>
  <w:footnote w:id="100">
    <w:p w14:paraId="592CBC4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Filing of the case before the First Trial Court of the La Paz Judicial District on March 14, 2003 (evidence file, volume VII, annex 26 to the submission of the case, folio 2202).</w:t>
      </w:r>
    </w:p>
  </w:footnote>
  <w:footnote w:id="101">
    <w:p w14:paraId="243FE1C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Order to open the proceedings of March 17, 2003 (evidence file, volume XII, annex 1(a) to the State’s final arguments, folios 4213 to 4214).</w:t>
      </w:r>
    </w:p>
  </w:footnote>
  <w:footnote w:id="102">
    <w:p w14:paraId="41C4CAE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No. 19/2003 issued by the First Trial Court of the La Paz Judicial District, Reasoned order of April 22, 2003 (evidence file, volume VII, annex 27 to the submission of the case, folios 2204 to 2205).</w:t>
      </w:r>
    </w:p>
  </w:footnote>
  <w:footnote w:id="103">
    <w:p w14:paraId="35A82029"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Brief submitted by Dr. Jose Luis Rivero Aliaga, President of the First Trial Court, to the technical judge of this Court on May 9, 2003 (evidence file, volume VII, annex 28 to the submission of the case, folio 2207); Brief submitted by Dr. Raúl Gaston Huaylla Rivera, technical judge of the First Trial Court in case FIS </w:t>
      </w:r>
      <w:r w:rsidRPr="00012C3F">
        <w:rPr>
          <w:rFonts w:cs="Arial"/>
          <w:sz w:val="16"/>
          <w:szCs w:val="16"/>
          <w:lang w:val="en-US"/>
        </w:rPr>
        <w:t xml:space="preserve">No. </w:t>
      </w:r>
      <w:r w:rsidRPr="00012C3F">
        <w:rPr>
          <w:sz w:val="16"/>
          <w:szCs w:val="16"/>
          <w:lang w:val="en-US"/>
        </w:rPr>
        <w:t>894, dated May 9, 2003 (evidence file, volume VII, annex 29 to the submission of the case, folio 2209).</w:t>
      </w:r>
    </w:p>
  </w:footnote>
  <w:footnote w:id="104">
    <w:p w14:paraId="0DE6997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Remittal of case FIS 894 to the Third Trial Court (TS-1. N° 92/2003), on May 9, 2003 (evidence file, volume VII, annex 30 to the submission of the case, folio 2211).</w:t>
      </w:r>
    </w:p>
  </w:footnote>
  <w:footnote w:id="105">
    <w:p w14:paraId="629B2D0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issued by the Third Trial Court of the La Paz Judicial District on May 12, 2003 (evidence file, volume VII, annex 31 to the submission of the case, folio 2213).</w:t>
      </w:r>
    </w:p>
  </w:footnote>
  <w:footnote w:id="106">
    <w:p w14:paraId="761B062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public hearing to constitute a court (evidence file, volume XII, annex 1(b) to the State’s final arguments, folio 4375).</w:t>
      </w:r>
    </w:p>
  </w:footnote>
  <w:footnote w:id="107">
    <w:p w14:paraId="05C7471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Remittal of original file to the acting Trial Court of El Alto (TS 1 Of. No. 105/03), on May 28, 2003 (evidence file, volume VII, annex 32 to the submission of the case, folio 2215).</w:t>
      </w:r>
    </w:p>
  </w:footnote>
  <w:footnote w:id="108">
    <w:p w14:paraId="48FEA68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issued by the Second Trial Court of El Alto on May 31, 2003 (evidence file, volume VII, annex 33 to the submission of the case, folio 2217).</w:t>
      </w:r>
    </w:p>
  </w:footnote>
  <w:footnote w:id="109">
    <w:p w14:paraId="6C466D5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public hearing for the special constitution of the Second Trial Court of El Alto of July 15, 2003 (evidence file, volume VII, annex 34 to the submission of the case, folio 2219).</w:t>
      </w:r>
    </w:p>
  </w:footnote>
  <w:footnote w:id="110">
    <w:p w14:paraId="64DD919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public hearing for the special constitution of the Trial Court of Achacachi of February 16, 2004 (evidence file, volume VII, annex 35 to the submission of the case, folio 2221).</w:t>
      </w:r>
    </w:p>
  </w:footnote>
  <w:footnote w:id="111">
    <w:p w14:paraId="23268EB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Remittal to the Trial Court of the province of Copacabana on February 19, 2004 (evidence file, volume VII, annex 35 to the submission of the case, folio 2222).</w:t>
      </w:r>
    </w:p>
  </w:footnote>
  <w:footnote w:id="112">
    <w:p w14:paraId="193CF16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Order to initiate the trial of April 30, 2004 (evidence file, volume XII, annex 1(c)) to the State’s final arguments, folios 4534 to 4535).</w:t>
      </w:r>
    </w:p>
  </w:footnote>
  <w:footnote w:id="113">
    <w:p w14:paraId="52067CE6"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No. 32/2004 issued by the Copacabana Trial Court on August 13, 2004 (evidence file, volume VII, annex 36 to the submission of the case, folios 2224 to 2230).</w:t>
      </w:r>
    </w:p>
  </w:footnote>
  <w:footnote w:id="114">
    <w:p w14:paraId="5DF2540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407. (Grounds). The remedy of restricted appeal shall be filed for disregard or erroneous application of the law. When the legal rule that is cited as having been disregarded or erroneously applied constitutes a procedural flaw, the remedy shall only be admissible if the interested party has opportunely claimed its correction or has reserved the right to appeal, except in cases of absolute nullity or in cases of defects in the judgment pursuant to the provisions of articles 169 and 370 of this Code. This remedy may only be filed against judgments and with the restrictions established in the following articles.</w:t>
      </w:r>
    </w:p>
  </w:footnote>
  <w:footnote w:id="115">
    <w:p w14:paraId="348E6D8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Restricted appeal filed by Dr. Edgar Torrico Ameller on August 30, 2004 (evidence file, volume X, annex 31 al Answering brief of the State, folios 3840 to 3854).</w:t>
      </w:r>
    </w:p>
  </w:footnote>
  <w:footnote w:id="116">
    <w:p w14:paraId="570CBDD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Order issued by the Second Criminal Chamber of the La Paz Superior Court of Justice on October 8, 2004 (evidence file, volume XIII, annex 1(d)) to the State’s final arguments, folio 4909).</w:t>
      </w:r>
    </w:p>
  </w:footnote>
  <w:footnote w:id="117">
    <w:p w14:paraId="1EDBCD3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Brief submitted by I.V. before the Trial Court of the province of Manco Kapac Copacabana on September 21, 2004 (evidence file, volume X, annex 32 al Answering brief of the State, folios 3857 to 3862).</w:t>
      </w:r>
    </w:p>
  </w:footnote>
  <w:footnote w:id="118">
    <w:p w14:paraId="715D0807"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Ruling No. 265/2004 issued by the Second Criminal Chamber of the La Paz Superior Court of Justice on October 22, 2004 (evidence file, volume VII, annex 37 to the submission of the case, folios 2232 to 2236).</w:t>
      </w:r>
    </w:p>
  </w:footnote>
  <w:footnote w:id="119">
    <w:p w14:paraId="1909EC35"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Ruling No. 265/2004 issued by the Second Criminal Chamber of the La Paz Superior Court of Justice on October 22, 2004 (evidence file, volume VII, annex 37 to the submission of the case, folios 2232 to 2236).</w:t>
      </w:r>
    </w:p>
  </w:footnote>
  <w:footnote w:id="120">
    <w:p w14:paraId="2CB763E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Remedy of cassation file by I.V. before the Second Criminal Chamber of the District Superior Court on November 22, 2004 (evidence file, volume X, annex 34 al Answering brief of the State, folios 3873 to 3876). </w:t>
      </w:r>
    </w:p>
  </w:footnote>
  <w:footnote w:id="121">
    <w:p w14:paraId="127F722D"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Order No. 3 issued by the First Criminal Chamber of the Supreme Court of Justice on February 1, 2005 (evidence file, volume VII, annex 38 to the submission of the case, folios 2238 to 2239).</w:t>
      </w:r>
    </w:p>
  </w:footnote>
  <w:footnote w:id="122">
    <w:p w14:paraId="3E4BEE1B"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Return of the case to the Trial Court of Copacabana under a communication of February 24, 2005, received on April 29, 2005 (evidence file, volume VII, annex 39 to the submission of the case, folio 2241).</w:t>
      </w:r>
    </w:p>
  </w:footnote>
  <w:footnote w:id="123">
    <w:p w14:paraId="01FA5FC6"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Remittal of original copies of the proceedings to the Sica Sica Trial Court under a communication of May 16, 2005, received on August 2, 2005 (evidence file, volume VII, annex 40 to the submission of the case, folio 2243).</w:t>
      </w:r>
    </w:p>
  </w:footnote>
  <w:footnote w:id="124">
    <w:p w14:paraId="7D38D9D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issued by the Sica Sica Trial Court on August 3, 2005 (evidence file, volume VII, annex 41 to the submission of the case, folio 2245).</w:t>
      </w:r>
    </w:p>
  </w:footnote>
  <w:footnote w:id="125">
    <w:p w14:paraId="090AD034"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submitted to the Second Criminal Chamber of the La Paz Superior Court of Justice on August 10, 2005 (evidence file, volume VII, annex 42 to the submission of the case, folios 2247 to 2248).</w:t>
      </w:r>
    </w:p>
  </w:footnote>
  <w:footnote w:id="126">
    <w:p w14:paraId="7EE20812"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submitted by Dr. Edgar Torrico Ameller to the Sica Sica Trial Court on August 30, 2005 (evidence file, volume XIII, annex 1(e)) to the State’s final arguments, folios 5042 to 5047).</w:t>
      </w:r>
    </w:p>
  </w:footnote>
  <w:footnote w:id="127">
    <w:p w14:paraId="405C88AF"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Letter addressed to the Superior District Prosecutor by I.V. on August 23, 2005 (evidence file, volume VII, annex 43 to the submission of the case, folio 2250).</w:t>
      </w:r>
    </w:p>
  </w:footnote>
  <w:footnote w:id="128">
    <w:p w14:paraId="38F47C0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Letter addressed to the Superior District Prosecutor by I.V. on September 6, 2005 (evidence file, volume VII, annex 44 to the submission of the case, folio 2252).</w:t>
      </w:r>
    </w:p>
  </w:footnote>
  <w:footnote w:id="129">
    <w:p w14:paraId="16466226"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submitted to the Sica Sica Trial Court on September 6, 2005 (evidence file, volume XIII, annex 1.e) to the State’s final arguments, folios 5050 to 5051).</w:t>
      </w:r>
    </w:p>
  </w:footnote>
  <w:footnote w:id="130">
    <w:p w14:paraId="2530043A"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Brief submitted by Dr. Edgar Torrico Ameller before the Sica Sica Trial Court on September 23, 2005 (evidence file, volume VII, annex 45 to the submission of the case, folio 2254).</w:t>
      </w:r>
    </w:p>
  </w:footnote>
  <w:footnote w:id="131">
    <w:p w14:paraId="3E1EF64B" w14:textId="77777777" w:rsidR="00D24EFE" w:rsidRPr="00012C3F" w:rsidRDefault="00D24EFE" w:rsidP="005B52E1">
      <w:pPr>
        <w:pStyle w:val="Textonotapie"/>
        <w:tabs>
          <w:tab w:val="left" w:pos="567"/>
        </w:tabs>
        <w:spacing w:after="120"/>
        <w:rPr>
          <w:rFonts w:cs="Van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Resolution issued by the Sica Sica Trial Court on September 27, 2005 (evidence file, volume VII, annex 46 to the submission of the case, folio 2256).</w:t>
      </w:r>
    </w:p>
  </w:footnote>
  <w:footnote w:id="132">
    <w:p w14:paraId="44DB7130" w14:textId="77777777" w:rsidR="00D24EFE" w:rsidRPr="00012C3F" w:rsidRDefault="00D24EFE" w:rsidP="005B52E1">
      <w:pPr>
        <w:tabs>
          <w:tab w:val="left" w:pos="567"/>
        </w:tabs>
        <w:autoSpaceDE w:val="0"/>
        <w:autoSpaceDN w:val="0"/>
        <w:spacing w:after="120" w:line="240" w:lineRule="auto"/>
        <w:rPr>
          <w:rFonts w:cs="Vani"/>
          <w:sz w:val="16"/>
          <w:szCs w:val="16"/>
          <w:lang w:val="en-US"/>
        </w:rPr>
      </w:pPr>
      <w:r w:rsidRPr="00012C3F">
        <w:rPr>
          <w:rStyle w:val="Refdenotaalpie"/>
          <w:rFonts w:cs="Vani"/>
          <w:sz w:val="16"/>
          <w:szCs w:val="16"/>
          <w:lang w:val="en-US"/>
        </w:rPr>
        <w:footnoteRef/>
      </w:r>
      <w:r w:rsidRPr="00012C3F">
        <w:rPr>
          <w:rFonts w:cs="Vani"/>
          <w:sz w:val="16"/>
          <w:szCs w:val="16"/>
          <w:lang w:val="en-US"/>
        </w:rPr>
        <w:t xml:space="preserve"> </w:t>
      </w:r>
      <w:r w:rsidRPr="00012C3F">
        <w:rPr>
          <w:rFonts w:cs="Vani"/>
          <w:sz w:val="16"/>
          <w:szCs w:val="16"/>
          <w:lang w:val="en-US"/>
        </w:rPr>
        <w:tab/>
      </w:r>
      <w:r w:rsidRPr="00012C3F">
        <w:rPr>
          <w:i/>
          <w:sz w:val="16"/>
          <w:szCs w:val="16"/>
          <w:lang w:val="en-US"/>
        </w:rPr>
        <w:t xml:space="preserve">Cf. </w:t>
      </w:r>
      <w:r w:rsidRPr="00012C3F">
        <w:rPr>
          <w:rFonts w:cs="Vani"/>
          <w:sz w:val="16"/>
          <w:szCs w:val="16"/>
          <w:lang w:val="en-US"/>
        </w:rPr>
        <w:t xml:space="preserve">Resolution </w:t>
      </w:r>
      <w:r w:rsidRPr="00012C3F">
        <w:rPr>
          <w:rFonts w:cs="Vani"/>
          <w:iCs/>
          <w:sz w:val="16"/>
          <w:szCs w:val="16"/>
          <w:lang w:val="en-US"/>
        </w:rPr>
        <w:t xml:space="preserve">No. </w:t>
      </w:r>
      <w:r w:rsidRPr="00012C3F">
        <w:rPr>
          <w:rFonts w:cs="Vani"/>
          <w:sz w:val="16"/>
          <w:szCs w:val="16"/>
          <w:lang w:val="en-US"/>
        </w:rPr>
        <w:t>03/2006 issued by the Sica Sica Trial Court on January 20, 2006 (evidence file, volume VII, annex 47 to the submission of the case, folios 2258 to 2260).</w:t>
      </w:r>
    </w:p>
  </w:footnote>
  <w:footnote w:id="133">
    <w:p w14:paraId="31922564" w14:textId="77777777" w:rsidR="00D24EFE" w:rsidRPr="00012C3F" w:rsidRDefault="00D24EFE" w:rsidP="00BF294B">
      <w:pPr>
        <w:tabs>
          <w:tab w:val="left" w:pos="567"/>
          <w:tab w:val="left" w:pos="3330"/>
        </w:tabs>
        <w:autoSpaceDE w:val="0"/>
        <w:autoSpaceDN w:val="0"/>
        <w:spacing w:after="120" w:line="240" w:lineRule="auto"/>
        <w:rPr>
          <w:sz w:val="16"/>
          <w:szCs w:val="16"/>
          <w:lang w:val="en-US"/>
        </w:rPr>
      </w:pPr>
      <w:r w:rsidRPr="00012C3F">
        <w:rPr>
          <w:rStyle w:val="Refdenotaalpie"/>
          <w:rFonts w:cs="Vani"/>
          <w:sz w:val="16"/>
          <w:szCs w:val="16"/>
          <w:lang w:val="en-US"/>
        </w:rPr>
        <w:footnoteRef/>
      </w:r>
      <w:r w:rsidRPr="00012C3F">
        <w:rPr>
          <w:rFonts w:cs="Vani"/>
          <w:sz w:val="16"/>
          <w:szCs w:val="16"/>
          <w:lang w:val="en-US"/>
        </w:rPr>
        <w:t xml:space="preserve"> </w:t>
      </w:r>
      <w:r w:rsidRPr="00012C3F">
        <w:rPr>
          <w:rFonts w:cs="Vani"/>
          <w:sz w:val="16"/>
          <w:szCs w:val="16"/>
          <w:lang w:val="en-US"/>
        </w:rPr>
        <w:tab/>
      </w:r>
      <w:r w:rsidRPr="00012C3F">
        <w:rPr>
          <w:i/>
          <w:sz w:val="16"/>
          <w:szCs w:val="16"/>
          <w:lang w:val="en-US"/>
        </w:rPr>
        <w:t xml:space="preserve">Cf. </w:t>
      </w:r>
      <w:r w:rsidRPr="00012C3F">
        <w:rPr>
          <w:rFonts w:cs="Vani"/>
          <w:sz w:val="16"/>
          <w:szCs w:val="16"/>
          <w:lang w:val="en-US"/>
        </w:rPr>
        <w:t xml:space="preserve">Resolution </w:t>
      </w:r>
      <w:r w:rsidRPr="00012C3F">
        <w:rPr>
          <w:rFonts w:cs="Vani"/>
          <w:iCs/>
          <w:sz w:val="16"/>
          <w:szCs w:val="16"/>
          <w:lang w:val="en-US"/>
        </w:rPr>
        <w:t>No.</w:t>
      </w:r>
      <w:r w:rsidRPr="00012C3F">
        <w:rPr>
          <w:rFonts w:cs="Vani"/>
          <w:i/>
          <w:iCs/>
          <w:sz w:val="16"/>
          <w:szCs w:val="16"/>
          <w:lang w:val="en-US"/>
        </w:rPr>
        <w:t xml:space="preserve"> </w:t>
      </w:r>
      <w:r w:rsidRPr="00012C3F">
        <w:rPr>
          <w:rFonts w:cs="Vani"/>
          <w:sz w:val="16"/>
          <w:szCs w:val="16"/>
          <w:lang w:val="en-US"/>
        </w:rPr>
        <w:t>36/2006 issued by the Second Criminal Chamber of the Superior Court of La Paz on February 10, 2006 (evidence file, volume VII, annex 48 to the submission of the case, folio 2262).</w:t>
      </w:r>
    </w:p>
  </w:footnote>
  <w:footnote w:id="134">
    <w:p w14:paraId="4EB136D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Remittal of the original copies of the proceedings to the Fourth Trial Court on March 16, 2006 (evidence file, volume VII, annex 49 to the submission of the case, folio 2264).</w:t>
      </w:r>
    </w:p>
  </w:footnote>
  <w:footnote w:id="135">
    <w:p w14:paraId="7F916A7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issued by the Fourth Trial Court of La Paz on March 20, 2006 (evidence file, volume VII, annex 50 to the submission of the case, folio 2266).</w:t>
      </w:r>
    </w:p>
  </w:footnote>
  <w:footnote w:id="136">
    <w:p w14:paraId="08AF007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issued by the Fourth Trial Court of La Paz on April 10, 2006 (evidence file, volume VII, annex 51 to the submission of the case, folio 2268).</w:t>
      </w:r>
    </w:p>
  </w:footnote>
  <w:footnote w:id="137">
    <w:p w14:paraId="3CB1EB5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308 (4) of the Code of Criminal Procedure establishes the exception of the extinction of the criminal action, and article 27 (10), stipulates that this shall be declared based on the expiry of the maximum time for the duration of the proceedings and, according to article 133, this shall not exceed three years from the first act of the proceedings, except in case of contempt of court.</w:t>
      </w:r>
    </w:p>
  </w:footnote>
  <w:footnote w:id="138">
    <w:p w14:paraId="109D2F3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filed by Dr. Edgar Torrico Ameller before the Fourth Trial Court of La Paz on April 28, 2006 (evidence file, volume X, annex 36 to the answering brief of the State, folios 3881 to 3890).</w:t>
      </w:r>
    </w:p>
  </w:footnote>
  <w:footnote w:id="139">
    <w:p w14:paraId="7929DC19"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Record of the oral hearing (evidence file, volume XIII, annex 1(f)) to the State’s final arguments, folios 5344 to 5354).</w:t>
      </w:r>
    </w:p>
  </w:footnote>
  <w:footnote w:id="140">
    <w:p w14:paraId="55ED99F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Ruling No. 13/06 issued by the Fourth Trial Court of La Paz on June 1, 2006 (evidence file, volume VII, annex 52 to the submission of the case, folios 2270 to 2275).</w:t>
      </w:r>
    </w:p>
  </w:footnote>
  <w:footnote w:id="141">
    <w:p w14:paraId="1738DF1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Ruling No. 13/06 issued by the Fourth Trial Court of La Paz on June 1, 2006 (evidence file, volume VII, annex 52 to the submission of the case, folio 2274).</w:t>
      </w:r>
    </w:p>
  </w:footnote>
  <w:footnote w:id="142">
    <w:p w14:paraId="7BD26172"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Appeal filed by the prosecutor on June 1, 2006</w:t>
      </w:r>
      <w:r w:rsidRPr="00012C3F">
        <w:rPr>
          <w:i/>
          <w:sz w:val="16"/>
          <w:szCs w:val="16"/>
          <w:lang w:val="en-US"/>
        </w:rPr>
        <w:t xml:space="preserve"> </w:t>
      </w:r>
      <w:r w:rsidRPr="00012C3F">
        <w:rPr>
          <w:sz w:val="16"/>
          <w:szCs w:val="16"/>
          <w:lang w:val="en-US"/>
        </w:rPr>
        <w:t>(evidence file, volume XIII, annex 1(f)) to the State’s final arguments, folio 5355); Appeal filed by I.V. on June 8, 2006 (evidence file, volume XIII, annex 1(f)) to the State’s final arguments, folios 5361 to 5367).</w:t>
      </w:r>
    </w:p>
  </w:footnote>
  <w:footnote w:id="143">
    <w:p w14:paraId="50F13D30"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Ruling No. 514/06 issued by the First Criminal Chamber of the Superior Court del Distrito of La Paz on August 23, 2006 (evidence file, volume VII, annex 53 to the submission of the case, folios 2277 to 2279).</w:t>
      </w:r>
    </w:p>
  </w:footnote>
  <w:footnote w:id="144">
    <w:p w14:paraId="51C52E2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Ruling No. 514/06 issued by the First Criminal Chamber of the Superior Court del Distrito of La Paz on August 23, 2006 (evidence file, volume VII, annex 53 to the submission of the case, folio 2278).</w:t>
      </w:r>
    </w:p>
  </w:footnote>
  <w:footnote w:id="145">
    <w:p w14:paraId="1487A413"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Decision issued by the Fourth Trial Court of La Paz on September 21, 2006 (evidence file, volume XIII, annex 1.f) to the State’s final arguments, folio 5401).</w:t>
      </w:r>
    </w:p>
  </w:footnote>
  <w:footnote w:id="146">
    <w:p w14:paraId="32AE189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Report of </w:t>
      </w:r>
      <w:r w:rsidRPr="00012C3F">
        <w:rPr>
          <w:rStyle w:val="Ttulo1Car"/>
          <w:b w:val="0"/>
          <w:caps w:val="0"/>
          <w:sz w:val="16"/>
          <w:szCs w:val="16"/>
          <w:lang w:val="en-US"/>
        </w:rPr>
        <w:t xml:space="preserve">gynecological intravaginal ultrasound scan of August 14, </w:t>
      </w:r>
      <w:r w:rsidRPr="00012C3F">
        <w:rPr>
          <w:sz w:val="16"/>
          <w:szCs w:val="16"/>
          <w:lang w:val="en-US"/>
        </w:rPr>
        <w:t xml:space="preserve">2000 (evidence file, volume VII, annex 11 to the submission of the case, folio 2150); Pathology and Cytology Laboratory Report of August 17, 2000 (evidence file, volume VII, annex 12 to the submission of the case, folio 2152); Report of </w:t>
      </w:r>
      <w:r w:rsidRPr="00012C3F">
        <w:rPr>
          <w:rStyle w:val="Ttulo1Car"/>
          <w:b w:val="0"/>
          <w:caps w:val="0"/>
          <w:sz w:val="16"/>
          <w:szCs w:val="16"/>
          <w:lang w:val="en-US"/>
        </w:rPr>
        <w:t xml:space="preserve">gynecological intravaginal ultrasound scan of August 23, </w:t>
      </w:r>
      <w:r w:rsidRPr="00012C3F">
        <w:rPr>
          <w:sz w:val="16"/>
          <w:szCs w:val="16"/>
          <w:lang w:val="en-US"/>
        </w:rPr>
        <w:t>2000 (evidence file, volume VII, annex 13 to the submission of the case, folio 2154), and Medical certificate of September 3, 2000 (evidence file, volume VII, annex 14 to the submission of the case, folio 2156).</w:t>
      </w:r>
    </w:p>
  </w:footnote>
  <w:footnote w:id="147">
    <w:p w14:paraId="5BF2085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Radiology report in relation to a request for a hysterosalpingogram (HSG) test, with the results dated March 25, 2002 (evidence file, volume VII, annex 15 to the submission of the case, folio 2158).</w:t>
      </w:r>
    </w:p>
  </w:footnote>
  <w:footnote w:id="148">
    <w:p w14:paraId="6F37916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Brief containing an accusation filed by I.V. before the Trial Court of the province of Manco Kapac Copacabana on March 27, 2011 (evidence file, volume XII, annex 1.(c)) to the State’s final arguments, folio 4515).</w:t>
      </w:r>
    </w:p>
  </w:footnote>
  <w:footnote w:id="149">
    <w:p w14:paraId="41D2106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Institute for Therapy and Research on the Effects of State Torture and Violence (ITEI), Psychological examination of I.V. on August 11, 2015 (evidence file, volume VIII, annex 21 to the brief with motions, pleadings and evidence, folios 2363 to 2384).</w:t>
      </w:r>
    </w:p>
  </w:footnote>
  <w:footnote w:id="150">
    <w:p w14:paraId="32CC468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According to the evaluation made by the Institute for Therapy and Research on the Effects of State Torture and Violence (ITEI), in 2013, I.V. developed an organic schizophreniform psychosis believing that the State was pursuing her in order to kill her. </w:t>
      </w:r>
      <w:r w:rsidRPr="00012C3F">
        <w:rPr>
          <w:i/>
          <w:sz w:val="16"/>
          <w:szCs w:val="16"/>
          <w:lang w:val="en-US"/>
        </w:rPr>
        <w:t xml:space="preserve">Cf. </w:t>
      </w:r>
      <w:r w:rsidRPr="00012C3F">
        <w:rPr>
          <w:sz w:val="16"/>
          <w:szCs w:val="16"/>
          <w:lang w:val="en-US"/>
        </w:rPr>
        <w:t>Medical report of the Hospital de Clínicas, dated January 17, 2014, on the hospitalization of I.V. in the Mental Health Unit, and her medical diagnosis: organic schizophreniform psychosis (evidence file, volume IX, annex 68 to the brief with motions, pleadings and evidence, folio 3330).</w:t>
      </w:r>
    </w:p>
  </w:footnote>
  <w:footnote w:id="151">
    <w:p w14:paraId="61B9FC8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Communication of the Commission on I.V.’s request for precautionary measures (MC-1 49-13) (evidence file, volume VIII, annex 13 to the brief with motions, pleadings and evidence, folio 2334).</w:t>
      </w:r>
    </w:p>
  </w:footnote>
  <w:footnote w:id="152">
    <w:p w14:paraId="3719F1A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Medical report of the Hospital de Clínicas, dated January 17, 2014, on the hospitalization of I.V. in the Mental Health Unit and her medical diagnosis: organic schizophreniform psychosis (evidence file, volume IX, annex 68 to the brief with motions, pleadings and evidence, folio 3330).</w:t>
      </w:r>
    </w:p>
  </w:footnote>
  <w:footnote w:id="153">
    <w:p w14:paraId="7958845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Medical prescription for carbamazepine and haloperidol issued to I.V. by the Hospital de Clínicas of La Paz (evidence file, volume IX, annex 79 to the brief with motions, pleadings and evidence, folios 3372 to 3376).</w:t>
      </w:r>
    </w:p>
  </w:footnote>
  <w:footnote w:id="154">
    <w:p w14:paraId="53DA9E7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According to the ITEI evaluation: “[t]he unauthorized sterilization of the mother has affected the lives of the whole family and, particularly [N.V.] who, since her parents separated, is the main support for her mother, having to share her pain, concerns and emotional burden. The effect of this situation is that [N.V.] could not imagine being able to share her concerns and her problems, keeping everything to herself.” ITEI, Psychological evaluation of N.V. on August 3, 2015 (evidence file, volume VIII, annex 22 to the brief with motions, pleadings and evidence, folios 2386 to 2397). The ITEI indicated the following with regard to L.A.: “[t]he unauthorized sterilization of the mother has affected the lives of the whole family and, particularly [L.A.], who although unable to understand the reasons, owing to her age, could not count on a mother with sufficient emotional availability and time to provide her with the attention that she would have needed.” ITEI, Psychological evaluation of L.A., on July 28, 2015 (evidence file, volume VIII, annex 23 to the brief with motions, pleadings and evidence, folios 2399 to 2410).</w:t>
      </w:r>
    </w:p>
  </w:footnote>
  <w:footnote w:id="155">
    <w:p w14:paraId="04FDAAA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Psychological evaluation of I.V. by the ITEI on August 11, 2015 (evidence file, volume VIII, annex 21 to the brief with motions, pleadings and evidence, folios 2363 to 2384).</w:t>
      </w:r>
    </w:p>
  </w:footnote>
  <w:footnote w:id="156">
    <w:p w14:paraId="12895CD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5(1)</w:t>
      </w:r>
      <w:r w:rsidRPr="00012C3F">
        <w:rPr>
          <w:rFonts w:cs="Tahoma"/>
          <w:color w:val="000000"/>
          <w:sz w:val="16"/>
          <w:szCs w:val="16"/>
          <w:lang w:val="en-US"/>
        </w:rPr>
        <w:t xml:space="preserve"> establishes that: “</w:t>
      </w:r>
      <w:r w:rsidRPr="00012C3F">
        <w:rPr>
          <w:spacing w:val="-3"/>
          <w:sz w:val="16"/>
          <w:szCs w:val="16"/>
          <w:lang w:val="en-US"/>
        </w:rPr>
        <w:t>Every person has the right to have his physical, mental, and moral integrity respected.</w:t>
      </w:r>
      <w:r w:rsidRPr="00012C3F">
        <w:rPr>
          <w:rFonts w:cs="Tahoma"/>
          <w:color w:val="000000"/>
          <w:sz w:val="16"/>
          <w:szCs w:val="16"/>
          <w:lang w:val="en-US"/>
        </w:rPr>
        <w:t>”</w:t>
      </w:r>
    </w:p>
  </w:footnote>
  <w:footnote w:id="157">
    <w:p w14:paraId="3ABC054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7(1)</w:t>
      </w:r>
      <w:r w:rsidRPr="00012C3F">
        <w:rPr>
          <w:rFonts w:cs="Tahoma"/>
          <w:color w:val="000000"/>
          <w:sz w:val="16"/>
          <w:szCs w:val="16"/>
          <w:lang w:val="en-US"/>
        </w:rPr>
        <w:t xml:space="preserve"> stipulates that: “</w:t>
      </w:r>
      <w:r w:rsidRPr="00012C3F">
        <w:rPr>
          <w:spacing w:val="-3"/>
          <w:sz w:val="16"/>
          <w:szCs w:val="16"/>
          <w:lang w:val="en-US"/>
        </w:rPr>
        <w:t>Every person has the right to personal liberty and security,</w:t>
      </w:r>
      <w:r w:rsidRPr="00012C3F">
        <w:rPr>
          <w:sz w:val="16"/>
          <w:szCs w:val="16"/>
          <w:lang w:val="en-US"/>
        </w:rPr>
        <w:t>”</w:t>
      </w:r>
    </w:p>
  </w:footnote>
  <w:footnote w:id="158">
    <w:p w14:paraId="5A22D50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11(1)</w:t>
      </w:r>
      <w:r w:rsidRPr="00012C3F">
        <w:rPr>
          <w:rFonts w:cs="Tahoma"/>
          <w:color w:val="000000"/>
          <w:sz w:val="16"/>
          <w:szCs w:val="16"/>
          <w:lang w:val="en-US"/>
        </w:rPr>
        <w:t xml:space="preserve"> establishes that: “</w:t>
      </w:r>
      <w:r w:rsidRPr="00012C3F">
        <w:rPr>
          <w:spacing w:val="-3"/>
          <w:sz w:val="16"/>
          <w:szCs w:val="16"/>
          <w:lang w:val="en-US"/>
        </w:rPr>
        <w:t>Everyone has the right to have his honor respected and his dignity recognized</w:t>
      </w:r>
      <w:r w:rsidRPr="00012C3F">
        <w:rPr>
          <w:sz w:val="16"/>
          <w:szCs w:val="16"/>
          <w:lang w:val="en-US"/>
        </w:rPr>
        <w:t>.”</w:t>
      </w:r>
    </w:p>
  </w:footnote>
  <w:footnote w:id="159">
    <w:p w14:paraId="0553206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11(2)</w:t>
      </w:r>
      <w:r w:rsidRPr="00012C3F">
        <w:rPr>
          <w:rFonts w:cs="Tahoma"/>
          <w:color w:val="000000"/>
          <w:sz w:val="16"/>
          <w:szCs w:val="16"/>
          <w:lang w:val="en-US"/>
        </w:rPr>
        <w:t xml:space="preserve"> requires that: “</w:t>
      </w:r>
      <w:r w:rsidRPr="00012C3F">
        <w:rPr>
          <w:spacing w:val="-3"/>
          <w:sz w:val="16"/>
          <w:szCs w:val="16"/>
          <w:lang w:val="en-US"/>
        </w:rPr>
        <w:t>No one may be the object of arbitrary or abusive interference with his private life, his family, his home, or his correspondence, or of unlawful attacks on his honor or reputation</w:t>
      </w:r>
      <w:r w:rsidRPr="00012C3F">
        <w:rPr>
          <w:sz w:val="16"/>
          <w:szCs w:val="16"/>
          <w:lang w:val="en-US"/>
        </w:rPr>
        <w:t>.”</w:t>
      </w:r>
    </w:p>
  </w:footnote>
  <w:footnote w:id="160">
    <w:p w14:paraId="610F8F8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13(1)</w:t>
      </w:r>
      <w:r w:rsidRPr="00012C3F">
        <w:rPr>
          <w:rFonts w:cs="Tahoma"/>
          <w:color w:val="000000"/>
          <w:sz w:val="16"/>
          <w:szCs w:val="16"/>
          <w:lang w:val="en-US"/>
        </w:rPr>
        <w:t xml:space="preserve"> establishes that: “</w:t>
      </w:r>
      <w:r w:rsidRPr="00012C3F">
        <w:rPr>
          <w:spacing w:val="-3"/>
          <w:sz w:val="16"/>
          <w:szCs w:val="16"/>
          <w:lang w:val="en-U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012C3F">
        <w:rPr>
          <w:sz w:val="16"/>
          <w:szCs w:val="16"/>
          <w:lang w:val="en-US"/>
        </w:rPr>
        <w:t>.”</w:t>
      </w:r>
    </w:p>
  </w:footnote>
  <w:footnote w:id="161">
    <w:p w14:paraId="2D01DBA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17(2)</w:t>
      </w:r>
      <w:r w:rsidRPr="00012C3F">
        <w:rPr>
          <w:rFonts w:cs="Tahoma"/>
          <w:color w:val="000000"/>
          <w:sz w:val="16"/>
          <w:szCs w:val="16"/>
          <w:lang w:val="en-US"/>
        </w:rPr>
        <w:t xml:space="preserve"> establishes that: “</w:t>
      </w:r>
      <w:r w:rsidRPr="00012C3F">
        <w:rPr>
          <w:spacing w:val="-3"/>
          <w:sz w:val="16"/>
          <w:szCs w:val="16"/>
          <w:lang w:val="en-US"/>
        </w:rPr>
        <w:t>The right of men and women of marriageable age to marry and to raise a family shall be recognized, if they meet the conditions required by domestic laws, insofar as such conditions do not affect the principle of nondiscrimination established in this Convention.</w:t>
      </w:r>
      <w:r w:rsidRPr="00012C3F">
        <w:rPr>
          <w:sz w:val="16"/>
          <w:szCs w:val="16"/>
          <w:lang w:val="en-US"/>
        </w:rPr>
        <w:t>”</w:t>
      </w:r>
    </w:p>
  </w:footnote>
  <w:footnote w:id="162">
    <w:p w14:paraId="3B55471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3</w:t>
      </w:r>
      <w:r w:rsidRPr="00012C3F">
        <w:rPr>
          <w:rFonts w:cs="Tahoma"/>
          <w:color w:val="000000"/>
          <w:sz w:val="16"/>
          <w:szCs w:val="16"/>
          <w:lang w:val="en-US"/>
        </w:rPr>
        <w:t xml:space="preserve"> stipulates that: “</w:t>
      </w:r>
      <w:r w:rsidRPr="00012C3F">
        <w:rPr>
          <w:spacing w:val="-3"/>
          <w:sz w:val="16"/>
          <w:szCs w:val="16"/>
          <w:lang w:val="en-US"/>
        </w:rPr>
        <w:t>Every person has the right to recognition as a person before the law.</w:t>
      </w:r>
      <w:r w:rsidRPr="00012C3F">
        <w:rPr>
          <w:sz w:val="16"/>
          <w:szCs w:val="16"/>
          <w:lang w:val="en-US"/>
        </w:rPr>
        <w:t>”</w:t>
      </w:r>
    </w:p>
  </w:footnote>
  <w:footnote w:id="163">
    <w:p w14:paraId="51948BD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1(1)</w:t>
      </w:r>
      <w:r w:rsidRPr="00012C3F">
        <w:rPr>
          <w:rFonts w:cs="Tahoma"/>
          <w:color w:val="000000"/>
          <w:sz w:val="16"/>
          <w:szCs w:val="16"/>
          <w:lang w:val="en-US"/>
        </w:rPr>
        <w:t xml:space="preserve"> establishes that: “</w:t>
      </w:r>
      <w:r w:rsidRPr="00012C3F">
        <w:rPr>
          <w:spacing w:val="-3"/>
          <w:sz w:val="16"/>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012C3F">
        <w:rPr>
          <w:sz w:val="16"/>
          <w:szCs w:val="16"/>
          <w:lang w:val="en-US"/>
        </w:rPr>
        <w:t>”.</w:t>
      </w:r>
    </w:p>
  </w:footnote>
  <w:footnote w:id="164">
    <w:p w14:paraId="4AC51B62"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relevant part of Article 7 establishes that: “</w:t>
      </w:r>
      <w:r w:rsidRPr="00012C3F">
        <w:rPr>
          <w:rFonts w:cs="Arial"/>
          <w:sz w:val="16"/>
          <w:szCs w:val="16"/>
          <w:lang w:val="en-US"/>
        </w:rPr>
        <w:t>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apply due diligence to prevent, investigate and impose penalties for violence against women; (c) include in their domestic legislation penal, civil, administrative and any other type of provisions that may be needed to prevent, punish and eradicate violence against women and to adopt appropriate administrative measures where necessary […].</w:t>
      </w:r>
      <w:r w:rsidRPr="00012C3F">
        <w:rPr>
          <w:sz w:val="16"/>
          <w:szCs w:val="16"/>
          <w:lang w:val="en-US"/>
        </w:rPr>
        <w:t>”</w:t>
      </w:r>
    </w:p>
  </w:footnote>
  <w:footnote w:id="165">
    <w:p w14:paraId="06B8508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the Ituango Massacres v. Colombia, supra</w:t>
      </w:r>
      <w:r w:rsidRPr="00012C3F">
        <w:rPr>
          <w:sz w:val="16"/>
          <w:szCs w:val="16"/>
          <w:lang w:val="en-US"/>
        </w:rPr>
        <w:t xml:space="preserve">, para. 194, and </w:t>
      </w:r>
      <w:r w:rsidRPr="00012C3F">
        <w:rPr>
          <w:rFonts w:cs="Courier New"/>
          <w:i/>
          <w:noProof/>
          <w:sz w:val="16"/>
          <w:szCs w:val="16"/>
          <w:lang w:val="en-US"/>
        </w:rPr>
        <w:t xml:space="preserve">Case of the Santa Bárbara Campesino Community v. Peru. Preliminary objections, merits, reparations and costs. </w:t>
      </w:r>
      <w:r w:rsidRPr="00012C3F">
        <w:rPr>
          <w:rFonts w:cs="Courier New"/>
          <w:noProof/>
          <w:sz w:val="16"/>
          <w:szCs w:val="16"/>
          <w:lang w:val="en-US"/>
        </w:rPr>
        <w:t>Judgment of September 1, 2015. Series C No. 299</w:t>
      </w:r>
      <w:r w:rsidRPr="00012C3F">
        <w:rPr>
          <w:color w:val="000000"/>
          <w:sz w:val="16"/>
          <w:szCs w:val="16"/>
          <w:lang w:val="en-US"/>
        </w:rPr>
        <w:t>, para. 200</w:t>
      </w:r>
      <w:r w:rsidRPr="00012C3F">
        <w:rPr>
          <w:sz w:val="16"/>
          <w:szCs w:val="16"/>
          <w:lang w:val="en-US"/>
        </w:rPr>
        <w:t>.</w:t>
      </w:r>
    </w:p>
  </w:footnote>
  <w:footnote w:id="166">
    <w:p w14:paraId="67F5066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color w:val="000000"/>
          <w:sz w:val="16"/>
          <w:szCs w:val="16"/>
          <w:lang w:val="en-US"/>
        </w:rPr>
        <w:t xml:space="preserve">Case of Atala Riffo and daughters v. Chile. </w:t>
      </w:r>
      <w:r w:rsidRPr="00012C3F">
        <w:rPr>
          <w:i/>
          <w:color w:val="000000"/>
          <w:sz w:val="16"/>
          <w:szCs w:val="16"/>
          <w:lang w:val="en-US"/>
        </w:rPr>
        <w:t>Merits reparations and costs.</w:t>
      </w:r>
      <w:r w:rsidRPr="00012C3F">
        <w:rPr>
          <w:color w:val="000000"/>
          <w:sz w:val="16"/>
          <w:szCs w:val="16"/>
          <w:lang w:val="en-US"/>
        </w:rPr>
        <w:t xml:space="preserve"> Judgment of February 24, 2012. Series C No. 239</w:t>
      </w:r>
      <w:r w:rsidRPr="00012C3F">
        <w:rPr>
          <w:sz w:val="16"/>
          <w:szCs w:val="16"/>
          <w:lang w:val="en-US"/>
        </w:rPr>
        <w:t xml:space="preserve">, para. 136, and </w:t>
      </w:r>
      <w:r w:rsidRPr="00012C3F">
        <w:rPr>
          <w:i/>
          <w:sz w:val="16"/>
          <w:szCs w:val="16"/>
          <w:lang w:val="en-US"/>
        </w:rPr>
        <w:t>Case of Flor Freire v. Ecuador, supra</w:t>
      </w:r>
      <w:r w:rsidRPr="00012C3F">
        <w:rPr>
          <w:sz w:val="16"/>
          <w:szCs w:val="16"/>
          <w:lang w:val="en-US"/>
        </w:rPr>
        <w:t>, para. 103.</w:t>
      </w:r>
    </w:p>
  </w:footnote>
  <w:footnote w:id="167">
    <w:p w14:paraId="3E049230" w14:textId="77777777" w:rsidR="00D24EFE" w:rsidRPr="00012C3F" w:rsidRDefault="00D24EFE" w:rsidP="00AC0815">
      <w:pPr>
        <w:pStyle w:val="Textonotapie"/>
        <w:tabs>
          <w:tab w:val="left" w:pos="567"/>
        </w:tabs>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32 of the American Convention, entitled “Relationship between Duties and Rights”, establishes that:</w:t>
      </w:r>
    </w:p>
    <w:p w14:paraId="50690850" w14:textId="77777777" w:rsidR="00D24EFE" w:rsidRPr="00012C3F" w:rsidRDefault="00D24EFE" w:rsidP="00AC0815">
      <w:pPr>
        <w:tabs>
          <w:tab w:val="left" w:pos="540"/>
          <w:tab w:val="left" w:pos="1080"/>
          <w:tab w:val="left" w:pos="1680"/>
          <w:tab w:val="left" w:pos="5400"/>
        </w:tabs>
        <w:suppressAutoHyphens/>
        <w:spacing w:line="240" w:lineRule="auto"/>
        <w:rPr>
          <w:spacing w:val="-3"/>
          <w:sz w:val="16"/>
          <w:szCs w:val="16"/>
          <w:lang w:val="en-US"/>
        </w:rPr>
      </w:pPr>
      <w:r w:rsidRPr="00012C3F">
        <w:rPr>
          <w:sz w:val="16"/>
          <w:szCs w:val="16"/>
          <w:lang w:val="en-US"/>
        </w:rPr>
        <w:t xml:space="preserve">1. </w:t>
      </w:r>
      <w:r w:rsidRPr="00012C3F">
        <w:rPr>
          <w:spacing w:val="-3"/>
          <w:sz w:val="16"/>
          <w:szCs w:val="16"/>
          <w:lang w:val="en-US"/>
        </w:rPr>
        <w:t>Every person has responsibilities to his family, his community, and mankind.</w:t>
      </w:r>
    </w:p>
    <w:p w14:paraId="6870CCD6" w14:textId="77777777" w:rsidR="00D24EFE" w:rsidRPr="00012C3F" w:rsidRDefault="00D24EFE" w:rsidP="00AC0815">
      <w:pPr>
        <w:tabs>
          <w:tab w:val="left" w:pos="480"/>
          <w:tab w:val="left" w:pos="540"/>
          <w:tab w:val="left" w:pos="1080"/>
          <w:tab w:val="left" w:pos="1680"/>
          <w:tab w:val="left" w:pos="5400"/>
        </w:tabs>
        <w:suppressAutoHyphens/>
        <w:spacing w:after="120" w:line="240" w:lineRule="auto"/>
        <w:rPr>
          <w:spacing w:val="-3"/>
          <w:sz w:val="16"/>
          <w:szCs w:val="16"/>
          <w:lang w:val="en-US"/>
        </w:rPr>
      </w:pPr>
      <w:r w:rsidRPr="00012C3F">
        <w:rPr>
          <w:spacing w:val="-3"/>
          <w:sz w:val="16"/>
          <w:szCs w:val="16"/>
          <w:lang w:val="en-US"/>
        </w:rPr>
        <w:t>2. The rights of each person are limited by the rights of others, by the security of all, and by the just demands of the general welfare, in a democratic society</w:t>
      </w:r>
      <w:r w:rsidRPr="00012C3F">
        <w:rPr>
          <w:sz w:val="16"/>
          <w:szCs w:val="16"/>
          <w:lang w:val="en-US"/>
        </w:rPr>
        <w:t>.</w:t>
      </w:r>
    </w:p>
  </w:footnote>
  <w:footnote w:id="168">
    <w:p w14:paraId="4A6F1D8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Chaparro Álvarez and Lapo Íñiguez v. Ecuador. Preliminary objections, merits, reparations and costs.</w:t>
      </w:r>
      <w:r w:rsidRPr="00012C3F">
        <w:rPr>
          <w:sz w:val="16"/>
          <w:szCs w:val="16"/>
          <w:lang w:val="en-US"/>
        </w:rPr>
        <w:t xml:space="preserve"> Judgment of November 21, 2007. Series C No. 170, para. 52, and </w:t>
      </w:r>
      <w:r w:rsidRPr="00012C3F">
        <w:rPr>
          <w:bCs/>
          <w:i/>
          <w:color w:val="000000"/>
          <w:sz w:val="16"/>
          <w:szCs w:val="16"/>
          <w:lang w:val="en-US"/>
        </w:rPr>
        <w:t xml:space="preserve">Case of Artavia Murillo et al. (“In vitro fertilization”) v. Costa Rica. </w:t>
      </w:r>
      <w:r w:rsidRPr="00012C3F">
        <w:rPr>
          <w:i/>
          <w:color w:val="000000"/>
          <w:sz w:val="16"/>
          <w:szCs w:val="16"/>
          <w:lang w:val="en-US"/>
        </w:rPr>
        <w:t>Preliminary objections, merits, reparations and costs.</w:t>
      </w:r>
      <w:r w:rsidRPr="00012C3F">
        <w:rPr>
          <w:color w:val="000000"/>
          <w:sz w:val="16"/>
          <w:szCs w:val="16"/>
          <w:lang w:val="en-US"/>
        </w:rPr>
        <w:t xml:space="preserve"> Judgment of November 28, 2012. Series C No. 257, para. 142</w:t>
      </w:r>
      <w:r w:rsidRPr="00012C3F">
        <w:rPr>
          <w:sz w:val="16"/>
          <w:szCs w:val="16"/>
          <w:lang w:val="en-US"/>
        </w:rPr>
        <w:t>.</w:t>
      </w:r>
    </w:p>
  </w:footnote>
  <w:footnote w:id="169">
    <w:p w14:paraId="23CCEAE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Velásquez Rodríguez v. Honduras. Merits</w:t>
      </w:r>
      <w:r w:rsidRPr="00012C3F">
        <w:rPr>
          <w:sz w:val="16"/>
          <w:szCs w:val="16"/>
          <w:lang w:val="en-US"/>
        </w:rPr>
        <w:t xml:space="preserve">, </w:t>
      </w:r>
      <w:r w:rsidRPr="00012C3F">
        <w:rPr>
          <w:i/>
          <w:sz w:val="16"/>
          <w:szCs w:val="16"/>
          <w:lang w:val="en-US"/>
        </w:rPr>
        <w:t>supra</w:t>
      </w:r>
      <w:r w:rsidRPr="00012C3F">
        <w:rPr>
          <w:sz w:val="16"/>
          <w:szCs w:val="16"/>
          <w:lang w:val="en-US"/>
        </w:rPr>
        <w:t xml:space="preserve">, para. 163, and </w:t>
      </w:r>
      <w:r w:rsidRPr="00012C3F">
        <w:rPr>
          <w:rFonts w:cs="Courier New"/>
          <w:i/>
          <w:noProof/>
          <w:sz w:val="16"/>
          <w:szCs w:val="16"/>
          <w:lang w:val="en-US"/>
        </w:rPr>
        <w:t xml:space="preserve">Case of the Kaliña and Lokono Peoples v. Suriname. Merits reparations and costs. </w:t>
      </w:r>
      <w:r w:rsidRPr="00012C3F">
        <w:rPr>
          <w:rFonts w:cs="Courier New"/>
          <w:noProof/>
          <w:sz w:val="16"/>
          <w:szCs w:val="16"/>
          <w:lang w:val="en-US"/>
        </w:rPr>
        <w:t xml:space="preserve">Judgment of November 25, 2015. Series C No. 309, </w:t>
      </w:r>
      <w:r w:rsidRPr="00012C3F">
        <w:rPr>
          <w:sz w:val="16"/>
          <w:szCs w:val="16"/>
          <w:lang w:val="en-US"/>
        </w:rPr>
        <w:t>para. 259.</w:t>
      </w:r>
    </w:p>
  </w:footnote>
  <w:footnote w:id="170">
    <w:p w14:paraId="075CB3D5"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bCs/>
          <w:i/>
          <w:sz w:val="16"/>
          <w:szCs w:val="16"/>
          <w:lang w:val="en-US"/>
        </w:rPr>
        <w:t xml:space="preserve"> </w:t>
      </w:r>
      <w:r w:rsidRPr="00012C3F">
        <w:rPr>
          <w:i/>
          <w:sz w:val="16"/>
          <w:szCs w:val="16"/>
          <w:lang w:val="en-US"/>
        </w:rPr>
        <w:t>Case of</w:t>
      </w:r>
      <w:r w:rsidRPr="00012C3F">
        <w:rPr>
          <w:sz w:val="16"/>
          <w:szCs w:val="16"/>
          <w:lang w:val="en-US"/>
        </w:rPr>
        <w:t xml:space="preserve"> </w:t>
      </w:r>
      <w:r w:rsidRPr="00012C3F">
        <w:rPr>
          <w:i/>
          <w:sz w:val="16"/>
          <w:szCs w:val="16"/>
          <w:lang w:val="en-US"/>
        </w:rPr>
        <w:t xml:space="preserve">Fernández Ortega et al. v. Mexico. Preliminary objection, merits, reparations and costs. </w:t>
      </w:r>
      <w:r w:rsidRPr="00012C3F">
        <w:rPr>
          <w:sz w:val="16"/>
          <w:szCs w:val="16"/>
          <w:lang w:val="en-US"/>
        </w:rPr>
        <w:t xml:space="preserve">Judgment of August 30, 2010. Series C No. 215, para. 129, and </w:t>
      </w:r>
      <w:r w:rsidRPr="00012C3F">
        <w:rPr>
          <w:bCs/>
          <w:i/>
          <w:sz w:val="16"/>
          <w:szCs w:val="16"/>
          <w:lang w:val="en-US"/>
        </w:rPr>
        <w:t xml:space="preserve">Case of </w:t>
      </w:r>
      <w:r w:rsidRPr="00012C3F">
        <w:rPr>
          <w:bCs/>
          <w:i/>
          <w:color w:val="000000"/>
          <w:sz w:val="16"/>
          <w:szCs w:val="16"/>
          <w:lang w:val="en-US"/>
        </w:rPr>
        <w:t xml:space="preserve">Artavia Murillo et al. </w:t>
      </w:r>
      <w:r w:rsidRPr="00D24EFE">
        <w:rPr>
          <w:bCs/>
          <w:i/>
          <w:color w:val="000000"/>
          <w:sz w:val="16"/>
          <w:szCs w:val="16"/>
          <w:lang w:val="es-CR"/>
        </w:rPr>
        <w:t>(“In vitro fertilization”) v. Costa Rica, supra</w:t>
      </w:r>
      <w:r w:rsidRPr="00D24EFE">
        <w:rPr>
          <w:color w:val="000000"/>
          <w:sz w:val="16"/>
          <w:szCs w:val="16"/>
          <w:lang w:val="es-CR"/>
        </w:rPr>
        <w:t>, para. 143</w:t>
      </w:r>
      <w:r w:rsidRPr="00D24EFE">
        <w:rPr>
          <w:sz w:val="16"/>
          <w:szCs w:val="16"/>
          <w:lang w:val="es-CR"/>
        </w:rPr>
        <w:t>.</w:t>
      </w:r>
    </w:p>
  </w:footnote>
  <w:footnote w:id="171">
    <w:p w14:paraId="0A6B94E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bCs/>
          <w:i/>
          <w:color w:val="000000"/>
          <w:sz w:val="16"/>
          <w:szCs w:val="16"/>
          <w:lang w:val="es-CR"/>
        </w:rPr>
        <w:t>Case of Artavia Murillo et al. (“In vitro fertilization”) v. Costa Rica, supra</w:t>
      </w:r>
      <w:r w:rsidRPr="00D24EFE">
        <w:rPr>
          <w:color w:val="000000"/>
          <w:sz w:val="16"/>
          <w:szCs w:val="16"/>
          <w:lang w:val="es-CR"/>
        </w:rPr>
        <w:t xml:space="preserve">, para. </w:t>
      </w:r>
      <w:r w:rsidRPr="00012C3F">
        <w:rPr>
          <w:color w:val="000000"/>
          <w:sz w:val="16"/>
          <w:szCs w:val="16"/>
          <w:lang w:val="en-US"/>
        </w:rPr>
        <w:t>143.</w:t>
      </w:r>
    </w:p>
  </w:footnote>
  <w:footnote w:id="172">
    <w:p w14:paraId="5C3CF175" w14:textId="77777777" w:rsidR="00D24EFE" w:rsidRPr="00012C3F" w:rsidRDefault="00D24EFE" w:rsidP="005B52E1">
      <w:pPr>
        <w:pStyle w:val="Textonotapie"/>
        <w:tabs>
          <w:tab w:val="left" w:pos="567"/>
          <w:tab w:val="left" w:pos="720"/>
        </w:tabs>
        <w:spacing w:after="120"/>
        <w:rPr>
          <w:rFonts w:cs="Verdana"/>
          <w:sz w:val="16"/>
          <w:szCs w:val="16"/>
          <w:lang w:val="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w:t>
      </w:r>
      <w:r w:rsidRPr="00012C3F">
        <w:rPr>
          <w:sz w:val="16"/>
          <w:szCs w:val="16"/>
          <w:lang w:val="en-US"/>
        </w:rPr>
        <w:t xml:space="preserve"> </w:t>
      </w:r>
      <w:r w:rsidRPr="00012C3F">
        <w:rPr>
          <w:i/>
          <w:sz w:val="16"/>
          <w:szCs w:val="16"/>
          <w:lang w:val="en-US"/>
        </w:rPr>
        <w:t xml:space="preserve">Rosendo Cantú et al. v. Mexico. Preliminary objection, merits, reparations and costs. </w:t>
      </w:r>
      <w:r w:rsidRPr="00012C3F">
        <w:rPr>
          <w:sz w:val="16"/>
          <w:szCs w:val="16"/>
          <w:lang w:val="en-US"/>
        </w:rPr>
        <w:t xml:space="preserve">Judgment of August 31, 2010. Series C No. 216, para. 119, and </w:t>
      </w:r>
      <w:r w:rsidRPr="00012C3F">
        <w:rPr>
          <w:bCs/>
          <w:i/>
          <w:color w:val="000000"/>
          <w:sz w:val="16"/>
          <w:szCs w:val="16"/>
          <w:lang w:val="en-US"/>
        </w:rPr>
        <w:t>Case of Artavia Murillo et al. (“In vitro fertilization”) v. Costa Rica, supra</w:t>
      </w:r>
      <w:r w:rsidRPr="00012C3F">
        <w:rPr>
          <w:color w:val="000000"/>
          <w:sz w:val="16"/>
          <w:szCs w:val="16"/>
          <w:lang w:val="en-US"/>
        </w:rPr>
        <w:t>, para. 143</w:t>
      </w:r>
      <w:r w:rsidRPr="00012C3F">
        <w:rPr>
          <w:sz w:val="16"/>
          <w:szCs w:val="16"/>
          <w:lang w:val="en-US"/>
        </w:rPr>
        <w:t>.</w:t>
      </w:r>
    </w:p>
  </w:footnote>
  <w:footnote w:id="173">
    <w:p w14:paraId="2907F989"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Calibri"/>
          <w:i/>
          <w:sz w:val="16"/>
          <w:szCs w:val="16"/>
          <w:lang w:val="en-US"/>
        </w:rPr>
        <w:t>Cf. Mutatis mutandi,</w:t>
      </w:r>
      <w:r w:rsidRPr="00012C3F">
        <w:rPr>
          <w:rFonts w:eastAsia="Calibri"/>
          <w:sz w:val="16"/>
          <w:szCs w:val="16"/>
          <w:lang w:val="en-US"/>
        </w:rPr>
        <w:t xml:space="preserve"> </w:t>
      </w:r>
      <w:r w:rsidRPr="00012C3F">
        <w:rPr>
          <w:rFonts w:eastAsia="Calibri"/>
          <w:bCs/>
          <w:i/>
          <w:sz w:val="16"/>
          <w:szCs w:val="16"/>
          <w:lang w:val="en-US"/>
        </w:rPr>
        <w:t xml:space="preserve">Case of Gelman v. Uruguay. </w:t>
      </w:r>
      <w:r w:rsidRPr="00012C3F">
        <w:rPr>
          <w:rFonts w:eastAsia="Calibri"/>
          <w:i/>
          <w:sz w:val="16"/>
          <w:szCs w:val="16"/>
          <w:lang w:val="en-US"/>
        </w:rPr>
        <w:t>Merits and reparations</w:t>
      </w:r>
      <w:r w:rsidRPr="00012C3F">
        <w:rPr>
          <w:rFonts w:eastAsia="Calibri"/>
          <w:sz w:val="16"/>
          <w:szCs w:val="16"/>
          <w:lang w:val="en-US"/>
        </w:rPr>
        <w:t xml:space="preserve">. Judgment of February 24, 2011. Series C No. 221, para. 97, and </w:t>
      </w:r>
      <w:r w:rsidRPr="00012C3F">
        <w:rPr>
          <w:bCs/>
          <w:i/>
          <w:color w:val="000000"/>
          <w:sz w:val="16"/>
          <w:szCs w:val="16"/>
          <w:lang w:val="en-US"/>
        </w:rPr>
        <w:t xml:space="preserve">Case of Artavia Murillo et al. </w:t>
      </w:r>
      <w:r w:rsidRPr="00D24EFE">
        <w:rPr>
          <w:bCs/>
          <w:i/>
          <w:color w:val="000000"/>
          <w:sz w:val="16"/>
          <w:szCs w:val="16"/>
          <w:lang w:val="es-CR"/>
        </w:rPr>
        <w:t>(“In vitro fertilization”) v. Costa Rica, supra</w:t>
      </w:r>
      <w:r w:rsidRPr="00D24EFE">
        <w:rPr>
          <w:color w:val="000000"/>
          <w:sz w:val="16"/>
          <w:szCs w:val="16"/>
          <w:lang w:val="es-CR"/>
        </w:rPr>
        <w:t>, para. 143</w:t>
      </w:r>
      <w:r w:rsidRPr="00D24EFE">
        <w:rPr>
          <w:rFonts w:eastAsia="Calibri"/>
          <w:sz w:val="16"/>
          <w:szCs w:val="16"/>
          <w:lang w:val="es-CR"/>
        </w:rPr>
        <w:t>.</w:t>
      </w:r>
    </w:p>
  </w:footnote>
  <w:footnote w:id="174">
    <w:p w14:paraId="31FCC30E"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bCs/>
          <w:i/>
          <w:color w:val="000000"/>
          <w:sz w:val="16"/>
          <w:szCs w:val="16"/>
          <w:lang w:val="es-CR"/>
        </w:rPr>
        <w:t>Case of Artavia Murillo et al. (“In vitro fertilization”) v. Costa Rica, supra</w:t>
      </w:r>
      <w:r w:rsidRPr="00D24EFE">
        <w:rPr>
          <w:color w:val="000000"/>
          <w:sz w:val="16"/>
          <w:szCs w:val="16"/>
          <w:lang w:val="es-CR"/>
        </w:rPr>
        <w:t xml:space="preserve">, para. </w:t>
      </w:r>
      <w:r w:rsidRPr="00012C3F">
        <w:rPr>
          <w:color w:val="000000"/>
          <w:sz w:val="16"/>
          <w:szCs w:val="16"/>
          <w:lang w:val="en-US"/>
        </w:rPr>
        <w:t>143.</w:t>
      </w:r>
    </w:p>
  </w:footnote>
  <w:footnote w:id="175">
    <w:p w14:paraId="48D3B219"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i/>
          <w:color w:val="000000"/>
          <w:sz w:val="16"/>
          <w:szCs w:val="16"/>
          <w:lang w:val="en-US"/>
        </w:rPr>
        <w:t>Case of Atala Riffo and daughters v. Chile, supra</w:t>
      </w:r>
      <w:r w:rsidRPr="00012C3F">
        <w:rPr>
          <w:color w:val="000000"/>
          <w:sz w:val="16"/>
          <w:szCs w:val="16"/>
          <w:lang w:val="en-US"/>
        </w:rPr>
        <w:t xml:space="preserve">, </w:t>
      </w:r>
      <w:r w:rsidRPr="00012C3F">
        <w:rPr>
          <w:sz w:val="16"/>
          <w:szCs w:val="16"/>
          <w:lang w:val="en-US"/>
        </w:rPr>
        <w:t xml:space="preserve">para. </w:t>
      </w:r>
      <w:r w:rsidRPr="00D24EFE">
        <w:rPr>
          <w:sz w:val="16"/>
          <w:szCs w:val="16"/>
          <w:lang w:val="es-CR"/>
        </w:rPr>
        <w:t>169.</w:t>
      </w:r>
    </w:p>
  </w:footnote>
  <w:footnote w:id="176">
    <w:p w14:paraId="7C6443E4"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bCs/>
          <w:i/>
          <w:color w:val="000000"/>
          <w:sz w:val="16"/>
          <w:szCs w:val="16"/>
          <w:lang w:val="es-CR"/>
        </w:rPr>
        <w:t>Case of Artavia Murillo et al. (“In vitro fertilization”) v. Costa Rica, supra</w:t>
      </w:r>
      <w:r w:rsidRPr="00D24EFE">
        <w:rPr>
          <w:color w:val="000000"/>
          <w:sz w:val="16"/>
          <w:szCs w:val="16"/>
          <w:lang w:val="es-CR"/>
        </w:rPr>
        <w:t>, para. 145.</w:t>
      </w:r>
    </w:p>
  </w:footnote>
  <w:footnote w:id="177">
    <w:p w14:paraId="2D8D87B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bCs/>
          <w:i/>
          <w:color w:val="000000"/>
          <w:sz w:val="16"/>
          <w:szCs w:val="16"/>
          <w:lang w:val="es-CR"/>
        </w:rPr>
        <w:t>Case of Artavia Murillo et al. (“In vitro fertilization”) v. Costa Rica, supra</w:t>
      </w:r>
      <w:r w:rsidRPr="00D24EFE">
        <w:rPr>
          <w:color w:val="000000"/>
          <w:sz w:val="16"/>
          <w:szCs w:val="16"/>
          <w:lang w:val="es-CR"/>
        </w:rPr>
        <w:t xml:space="preserve">, para. </w:t>
      </w:r>
      <w:r w:rsidRPr="00012C3F">
        <w:rPr>
          <w:color w:val="000000"/>
          <w:sz w:val="16"/>
          <w:szCs w:val="16"/>
          <w:lang w:val="en-US"/>
        </w:rPr>
        <w:t xml:space="preserve">145, citing Human Rights Committee, General Comment </w:t>
      </w:r>
      <w:r w:rsidRPr="00012C3F">
        <w:rPr>
          <w:sz w:val="16"/>
          <w:szCs w:val="16"/>
          <w:lang w:val="en-US"/>
        </w:rPr>
        <w:t xml:space="preserve">No. 19, </w:t>
      </w:r>
      <w:r w:rsidRPr="00012C3F">
        <w:rPr>
          <w:i/>
          <w:sz w:val="16"/>
          <w:szCs w:val="16"/>
          <w:lang w:val="en-US"/>
        </w:rPr>
        <w:t>The family,</w:t>
      </w:r>
      <w:r w:rsidRPr="00012C3F">
        <w:rPr>
          <w:sz w:val="16"/>
          <w:szCs w:val="16"/>
          <w:lang w:val="en-US"/>
        </w:rPr>
        <w:t xml:space="preserve"> July 27, 1990, para. 5 [“The right raise a family implies, in principle, the possibility to procreate and live together.”]</w:t>
      </w:r>
    </w:p>
  </w:footnote>
  <w:footnote w:id="178">
    <w:p w14:paraId="299CB4D3"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Batang"/>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Albán Cornejo et al. v. Ecuador. Merits, reparations and costs</w:t>
      </w:r>
      <w:r w:rsidRPr="00012C3F">
        <w:rPr>
          <w:sz w:val="16"/>
          <w:szCs w:val="16"/>
          <w:lang w:val="en-US"/>
        </w:rPr>
        <w:t xml:space="preserve">. Judgment of November 22, 2007. Series C No. 171, para. 117; </w:t>
      </w:r>
      <w:r w:rsidRPr="00012C3F">
        <w:rPr>
          <w:rFonts w:cs="Arial"/>
          <w:i/>
          <w:color w:val="262626"/>
          <w:sz w:val="16"/>
          <w:szCs w:val="16"/>
          <w:lang w:val="en-US"/>
        </w:rPr>
        <w:t>Case of Suárez Peralta v. Ecuador. Preliminary objections, merits, reparations and costs</w:t>
      </w:r>
      <w:r w:rsidRPr="00012C3F">
        <w:rPr>
          <w:rFonts w:cs="Arial"/>
          <w:color w:val="262626"/>
          <w:sz w:val="16"/>
          <w:szCs w:val="16"/>
          <w:lang w:val="en-US"/>
        </w:rPr>
        <w:t>. Judgment of May 21, 2013. Series C No. 261</w:t>
      </w:r>
      <w:r w:rsidRPr="00012C3F">
        <w:rPr>
          <w:sz w:val="16"/>
          <w:szCs w:val="16"/>
          <w:lang w:val="en-US"/>
        </w:rPr>
        <w:t xml:space="preserve">, para. 130; </w:t>
      </w:r>
      <w:r w:rsidRPr="00012C3F">
        <w:rPr>
          <w:rFonts w:cs="Courier New"/>
          <w:i/>
          <w:noProof/>
          <w:sz w:val="16"/>
          <w:szCs w:val="16"/>
          <w:lang w:val="en-US"/>
        </w:rPr>
        <w:t>Case of Gonzales Lluy et al. v. Ecuador. Preliminary objections, merits, reparations and costs.</w:t>
      </w:r>
      <w:r w:rsidRPr="00012C3F">
        <w:rPr>
          <w:rFonts w:cs="Courier New"/>
          <w:noProof/>
          <w:sz w:val="16"/>
          <w:szCs w:val="16"/>
          <w:lang w:val="en-US"/>
        </w:rPr>
        <w:t xml:space="preserve"> Judgment of September 21, 2015. Series C No. 298</w:t>
      </w:r>
      <w:r w:rsidRPr="00012C3F">
        <w:rPr>
          <w:sz w:val="16"/>
          <w:szCs w:val="16"/>
          <w:lang w:val="en-US"/>
        </w:rPr>
        <w:t xml:space="preserve">, para. 171, and </w:t>
      </w:r>
      <w:r w:rsidRPr="00012C3F">
        <w:rPr>
          <w:i/>
          <w:sz w:val="16"/>
          <w:szCs w:val="16"/>
          <w:lang w:val="en-US"/>
        </w:rPr>
        <w:t>Case of Chinchilla Sandoval v. Guatemala, supra</w:t>
      </w:r>
      <w:r w:rsidRPr="00012C3F">
        <w:rPr>
          <w:sz w:val="16"/>
          <w:szCs w:val="16"/>
          <w:lang w:val="en-US"/>
        </w:rPr>
        <w:t>, para. 170.</w:t>
      </w:r>
    </w:p>
  </w:footnote>
  <w:footnote w:id="179">
    <w:p w14:paraId="7BD1DCB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Tibi v. Ecuador. Preliminary objections, Merits, Reparations and costs. </w:t>
      </w:r>
      <w:r w:rsidRPr="00012C3F">
        <w:rPr>
          <w:sz w:val="16"/>
          <w:szCs w:val="16"/>
          <w:lang w:val="en-US"/>
        </w:rPr>
        <w:t xml:space="preserve">Judgment of September 7, 2004. Series C No. 114, para. 157, and </w:t>
      </w:r>
      <w:r w:rsidRPr="00012C3F">
        <w:rPr>
          <w:rFonts w:cs="Courier New"/>
          <w:i/>
          <w:noProof/>
          <w:sz w:val="16"/>
          <w:szCs w:val="16"/>
          <w:lang w:val="en-US"/>
        </w:rPr>
        <w:t>Case of Gonzales Lluy et al. v. Ecuador, supra</w:t>
      </w:r>
      <w:r w:rsidRPr="00012C3F">
        <w:rPr>
          <w:rFonts w:cs="Courier New"/>
          <w:noProof/>
          <w:sz w:val="16"/>
          <w:szCs w:val="16"/>
          <w:lang w:val="en-US"/>
        </w:rPr>
        <w:t>, para. 171</w:t>
      </w:r>
      <w:r w:rsidRPr="00012C3F">
        <w:rPr>
          <w:sz w:val="16"/>
          <w:szCs w:val="16"/>
          <w:lang w:val="en-US"/>
        </w:rPr>
        <w:t>.</w:t>
      </w:r>
    </w:p>
  </w:footnote>
  <w:footnote w:id="180">
    <w:p w14:paraId="3D0D3F0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Ximenes Lopes v. Brazil. Merits, reparations and costs</w:t>
      </w:r>
      <w:r w:rsidRPr="00012C3F">
        <w:rPr>
          <w:sz w:val="16"/>
          <w:szCs w:val="16"/>
          <w:lang w:val="en-US"/>
        </w:rPr>
        <w:t xml:space="preserve">. Judgment of July 4, 2006. </w:t>
      </w:r>
      <w:r w:rsidRPr="00D24EFE">
        <w:rPr>
          <w:sz w:val="16"/>
          <w:szCs w:val="16"/>
          <w:lang w:val="es-CR"/>
        </w:rPr>
        <w:t xml:space="preserve">Series C No. 149, </w:t>
      </w:r>
      <w:r w:rsidRPr="00D24EFE">
        <w:rPr>
          <w:iCs/>
          <w:sz w:val="16"/>
          <w:szCs w:val="16"/>
          <w:lang w:val="es-CR"/>
        </w:rPr>
        <w:t xml:space="preserve">paras. </w:t>
      </w:r>
      <w:r w:rsidRPr="00D24EFE">
        <w:rPr>
          <w:sz w:val="16"/>
          <w:szCs w:val="16"/>
          <w:lang w:val="es-CR"/>
        </w:rPr>
        <w:t xml:space="preserve">89 and 99, and </w:t>
      </w:r>
      <w:r w:rsidRPr="00D24EFE">
        <w:rPr>
          <w:rFonts w:cs="Arial"/>
          <w:i/>
          <w:color w:val="262626"/>
          <w:sz w:val="16"/>
          <w:szCs w:val="16"/>
          <w:lang w:val="es-CR"/>
        </w:rPr>
        <w:t>Case of Suárez Peralta v. Ecuador, supra</w:t>
      </w:r>
      <w:r w:rsidRPr="00D24EFE">
        <w:rPr>
          <w:sz w:val="16"/>
          <w:szCs w:val="16"/>
          <w:lang w:val="es-CR"/>
        </w:rPr>
        <w:t xml:space="preserve">, para. </w:t>
      </w:r>
      <w:r w:rsidRPr="00012C3F">
        <w:rPr>
          <w:sz w:val="16"/>
          <w:szCs w:val="16"/>
          <w:lang w:val="en-US"/>
        </w:rPr>
        <w:t>132.</w:t>
      </w:r>
    </w:p>
  </w:footnote>
  <w:footnote w:id="181">
    <w:p w14:paraId="4038EF8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on Economic, Social and Cultural Rights, General Comment No. 14, </w:t>
      </w:r>
      <w:r w:rsidRPr="00012C3F">
        <w:rPr>
          <w:i/>
          <w:sz w:val="16"/>
          <w:szCs w:val="16"/>
          <w:lang w:val="en-US"/>
        </w:rPr>
        <w:t>The right to the highest attainable standard of health</w:t>
      </w:r>
      <w:r w:rsidRPr="00012C3F">
        <w:rPr>
          <w:sz w:val="16"/>
          <w:szCs w:val="16"/>
          <w:lang w:val="en-US"/>
        </w:rPr>
        <w:t>, E/C.12/2000/4, August 11, 2000, para. 8.</w:t>
      </w:r>
    </w:p>
  </w:footnote>
  <w:footnote w:id="182">
    <w:p w14:paraId="634ACA8A" w14:textId="77777777" w:rsidR="00D24EFE" w:rsidRPr="00012C3F" w:rsidRDefault="00D24EFE" w:rsidP="005B52E1">
      <w:pPr>
        <w:pStyle w:val="Textonotapie"/>
        <w:tabs>
          <w:tab w:val="left" w:pos="567"/>
        </w:tabs>
        <w:spacing w:after="120"/>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mutatis mutandi, </w:t>
      </w:r>
      <w:r w:rsidRPr="00012C3F">
        <w:rPr>
          <w:bCs/>
          <w:i/>
          <w:color w:val="000000"/>
          <w:sz w:val="16"/>
          <w:szCs w:val="16"/>
          <w:lang w:val="en-US"/>
        </w:rPr>
        <w:t>Case of Furlan and family v. Argentina, supra</w:t>
      </w:r>
      <w:r w:rsidRPr="00012C3F">
        <w:rPr>
          <w:color w:val="000000"/>
          <w:sz w:val="16"/>
          <w:szCs w:val="16"/>
          <w:lang w:val="en-US"/>
        </w:rPr>
        <w:t>, para. 294</w:t>
      </w:r>
      <w:r w:rsidRPr="00012C3F">
        <w:rPr>
          <w:sz w:val="16"/>
          <w:szCs w:val="16"/>
          <w:lang w:val="en-US"/>
        </w:rPr>
        <w:t>.</w:t>
      </w:r>
    </w:p>
  </w:footnote>
  <w:footnote w:id="183">
    <w:p w14:paraId="4748F390" w14:textId="77777777" w:rsidR="00D24EFE" w:rsidRPr="00012C3F" w:rsidRDefault="00D24EFE" w:rsidP="005B52E1">
      <w:pPr>
        <w:pStyle w:val="Textonotapie"/>
        <w:tabs>
          <w:tab w:val="left" w:pos="567"/>
        </w:tabs>
        <w:spacing w:after="120"/>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“The Last Temptation of Christ” (Olmedo Bustos et al.) v. Chile. Merits reparations and costs.</w:t>
      </w:r>
      <w:r w:rsidRPr="00012C3F">
        <w:rPr>
          <w:sz w:val="16"/>
          <w:szCs w:val="16"/>
          <w:lang w:val="en-US"/>
        </w:rPr>
        <w:t xml:space="preserve"> Judgment of February 5, 2001. Series C No. 73, para. 64, and </w:t>
      </w:r>
      <w:r w:rsidRPr="00012C3F">
        <w:rPr>
          <w:i/>
          <w:sz w:val="16"/>
          <w:szCs w:val="16"/>
          <w:lang w:val="en-US"/>
        </w:rPr>
        <w:t>Case of the Kaliña and Lokono Peoples v. Suriname, supra</w:t>
      </w:r>
      <w:r w:rsidRPr="00012C3F">
        <w:rPr>
          <w:sz w:val="16"/>
          <w:szCs w:val="16"/>
          <w:lang w:val="en-US"/>
        </w:rPr>
        <w:t>, para. 261.</w:t>
      </w:r>
    </w:p>
  </w:footnote>
  <w:footnote w:id="184">
    <w:p w14:paraId="54B4B693" w14:textId="77777777" w:rsidR="00D24EFE" w:rsidRPr="00012C3F" w:rsidRDefault="00D24EFE" w:rsidP="005B52E1">
      <w:pPr>
        <w:pStyle w:val="Textonotapie"/>
        <w:tabs>
          <w:tab w:val="left" w:pos="567"/>
        </w:tabs>
        <w:spacing w:after="120"/>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Claude Reyes et al. v. Chile. Merits reparations and costs</w:t>
      </w:r>
      <w:r w:rsidRPr="00012C3F">
        <w:rPr>
          <w:sz w:val="16"/>
          <w:szCs w:val="16"/>
          <w:lang w:val="en-US"/>
        </w:rPr>
        <w:t xml:space="preserve">. Judgment of September 19, 2006. Series C No. 151, para. 77, and </w:t>
      </w:r>
      <w:r w:rsidRPr="00012C3F">
        <w:rPr>
          <w:bCs/>
          <w:i/>
          <w:color w:val="000000"/>
          <w:sz w:val="16"/>
          <w:szCs w:val="16"/>
          <w:lang w:val="en-US"/>
        </w:rPr>
        <w:t>Case of Furlan and family v. Argentina, supra</w:t>
      </w:r>
      <w:r w:rsidRPr="00012C3F">
        <w:rPr>
          <w:color w:val="000000"/>
          <w:sz w:val="16"/>
          <w:szCs w:val="16"/>
          <w:lang w:val="en-US"/>
        </w:rPr>
        <w:t>, para. 294</w:t>
      </w:r>
      <w:r w:rsidRPr="00012C3F">
        <w:rPr>
          <w:sz w:val="16"/>
          <w:szCs w:val="16"/>
          <w:lang w:val="en-US"/>
        </w:rPr>
        <w:t xml:space="preserve">. See also, UN, Committee on Economic, Social and Cultural Rights, General Comment No. 14, </w:t>
      </w:r>
      <w:r w:rsidRPr="00012C3F">
        <w:rPr>
          <w:i/>
          <w:sz w:val="16"/>
          <w:szCs w:val="16"/>
          <w:lang w:val="en-US"/>
        </w:rPr>
        <w:t>The right to the highest attainable standard of health</w:t>
      </w:r>
      <w:r w:rsidRPr="00012C3F">
        <w:rPr>
          <w:sz w:val="16"/>
          <w:szCs w:val="16"/>
          <w:lang w:val="en-US"/>
        </w:rPr>
        <w:t>, August 11, 2000, para. 12.</w:t>
      </w:r>
    </w:p>
  </w:footnote>
  <w:footnote w:id="185">
    <w:p w14:paraId="33CD0862" w14:textId="77777777" w:rsidR="00D24EFE" w:rsidRPr="00012C3F" w:rsidRDefault="00D24EFE" w:rsidP="005B52E1">
      <w:pPr>
        <w:pStyle w:val="Textonotapie"/>
        <w:tabs>
          <w:tab w:val="left" w:pos="567"/>
        </w:tabs>
        <w:spacing w:after="120"/>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Claude Reyes et al. v. Chile, supra</w:t>
      </w:r>
      <w:r w:rsidRPr="00012C3F">
        <w:rPr>
          <w:sz w:val="16"/>
          <w:szCs w:val="16"/>
          <w:lang w:val="en-US"/>
        </w:rPr>
        <w:t>, para. 77.</w:t>
      </w:r>
    </w:p>
  </w:footnote>
  <w:footnote w:id="186">
    <w:p w14:paraId="5BC76F6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IACHR, </w:t>
      </w:r>
      <w:r w:rsidRPr="00012C3F">
        <w:rPr>
          <w:rFonts w:eastAsia="MS Mincho"/>
          <w:sz w:val="16"/>
          <w:szCs w:val="16"/>
          <w:lang w:val="en-US" w:eastAsia="en-US" w:bidi="en-US"/>
        </w:rPr>
        <w:t>Access to Information on Reproductive Health from a Human Rights Perspective, November 22, 2011</w:t>
      </w:r>
      <w:r w:rsidRPr="00012C3F">
        <w:rPr>
          <w:sz w:val="16"/>
          <w:szCs w:val="16"/>
          <w:lang w:val="en-US"/>
        </w:rPr>
        <w:t>, paras. 25 to 26.</w:t>
      </w:r>
    </w:p>
  </w:footnote>
  <w:footnote w:id="187">
    <w:p w14:paraId="0D0A3138" w14:textId="77777777" w:rsidR="00D24EFE" w:rsidRPr="00012C3F" w:rsidRDefault="00D24EFE" w:rsidP="005B52E1">
      <w:pPr>
        <w:pStyle w:val="Textonotapie"/>
        <w:tabs>
          <w:tab w:val="left" w:pos="567"/>
          <w:tab w:val="left" w:pos="369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Court has adopted the concept of reproductive health defined by the Programme of Action of the International Conference on Population and Development held in Cairo in 1994, as “a state of complete physical, mental and social well-being and not merely the absence of disease or infirmity, in all matters relating to the reproductive system and to its functions and processes. Reproductive health therefore implies that people are able to have a satisfying and safe sex life and that they have the capability to reproduce and the freedom to decide if, when and how often to do so. Implicit in this last condition are the right of men and women to be informed and to have access to safe, effective, affordable and acceptable methods of family planning of their choice, as well as other methods of their choice for regulation of fertility which are not against the law, and the right of access to appropriate health-care services that will enable women to go safely through pregnancy and childbirth and provide couples with the best chances of having a healthy infant.” Programme of Action of the International Conference on Population and Development, El Cairo, UN, A/CONF.171/13/Rev.1, 1994, para. </w:t>
      </w:r>
      <w:r w:rsidRPr="00D24EFE">
        <w:rPr>
          <w:sz w:val="16"/>
          <w:szCs w:val="16"/>
          <w:lang w:val="es-CR"/>
        </w:rPr>
        <w:t xml:space="preserve">7.2. </w:t>
      </w:r>
      <w:r w:rsidRPr="00D24EFE">
        <w:rPr>
          <w:i/>
          <w:sz w:val="16"/>
          <w:szCs w:val="16"/>
          <w:lang w:val="es-CR"/>
        </w:rPr>
        <w:t>Cf.</w:t>
      </w:r>
      <w:r w:rsidRPr="00D24EFE">
        <w:rPr>
          <w:sz w:val="16"/>
          <w:szCs w:val="16"/>
          <w:lang w:val="es-CR"/>
        </w:rPr>
        <w:t xml:space="preserve"> </w:t>
      </w:r>
      <w:r w:rsidRPr="00D24EFE">
        <w:rPr>
          <w:i/>
          <w:sz w:val="16"/>
          <w:szCs w:val="16"/>
          <w:lang w:val="es-CR"/>
        </w:rPr>
        <w:t>Case of Artavia Murillo et al. (“In vitro fertilization”) v. Costa Rica</w:t>
      </w:r>
      <w:r w:rsidRPr="00D24EFE">
        <w:rPr>
          <w:sz w:val="16"/>
          <w:szCs w:val="16"/>
          <w:lang w:val="es-CR"/>
        </w:rPr>
        <w:t xml:space="preserve">, </w:t>
      </w:r>
      <w:r w:rsidRPr="00D24EFE">
        <w:rPr>
          <w:i/>
          <w:sz w:val="16"/>
          <w:szCs w:val="16"/>
          <w:lang w:val="es-CR"/>
        </w:rPr>
        <w:t>supra</w:t>
      </w:r>
      <w:r w:rsidRPr="00D24EFE">
        <w:rPr>
          <w:sz w:val="16"/>
          <w:szCs w:val="16"/>
          <w:lang w:val="es-CR"/>
        </w:rPr>
        <w:t xml:space="preserve">, para. </w:t>
      </w:r>
      <w:r w:rsidRPr="00012C3F">
        <w:rPr>
          <w:sz w:val="16"/>
          <w:szCs w:val="16"/>
          <w:lang w:val="en-US"/>
        </w:rPr>
        <w:t>148. Similarly, the Court has considered that, according to the Pan-American Health Organization (PAHO), sexual and reproductive health “implies that people are able to have a satisfying and safe sex life and have the capability to reproduce as well as the freedom to decide if, when, and how to do so.” Pan-American Health Organization, Health in the Americas 2007, Volume I - Regional, Washington D.C, 2007, p. 143.</w:t>
      </w:r>
    </w:p>
  </w:footnote>
  <w:footnote w:id="188">
    <w:p w14:paraId="5B0EE08C"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on Economic, Social and Cultural Rights, General Comment No. 22, </w:t>
      </w:r>
      <w:r w:rsidRPr="00012C3F">
        <w:rPr>
          <w:i/>
          <w:iCs/>
          <w:sz w:val="16"/>
          <w:szCs w:val="16"/>
          <w:lang w:val="en-US"/>
        </w:rPr>
        <w:t>Right to</w:t>
      </w:r>
      <w:r w:rsidRPr="00012C3F">
        <w:rPr>
          <w:sz w:val="16"/>
          <w:szCs w:val="16"/>
          <w:lang w:val="en-US"/>
        </w:rPr>
        <w:t xml:space="preserve"> </w:t>
      </w:r>
      <w:r w:rsidRPr="00012C3F">
        <w:rPr>
          <w:i/>
          <w:sz w:val="16"/>
          <w:szCs w:val="16"/>
          <w:lang w:val="en-US"/>
        </w:rPr>
        <w:t>sexual and reproductive health</w:t>
      </w:r>
      <w:r w:rsidRPr="00012C3F">
        <w:rPr>
          <w:sz w:val="16"/>
          <w:szCs w:val="16"/>
          <w:lang w:val="en-US"/>
        </w:rPr>
        <w:t>, May 2, 2016, para. 5.</w:t>
      </w:r>
    </w:p>
  </w:footnote>
  <w:footnote w:id="189">
    <w:p w14:paraId="64C94555"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t>Article 16(e) of the Convention for the Elimination of All Forms of Discrimination against Women.</w:t>
      </w:r>
    </w:p>
  </w:footnote>
  <w:footnote w:id="190">
    <w:p w14:paraId="1875ABFE"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bCs/>
          <w:i/>
          <w:color w:val="000000"/>
          <w:sz w:val="16"/>
          <w:szCs w:val="16"/>
          <w:lang w:val="es-CR"/>
        </w:rPr>
        <w:t>Case of Artavia Murillo et al. (“In vitro fertilization”) v. Costa Rica, supra</w:t>
      </w:r>
      <w:r w:rsidRPr="00D24EFE">
        <w:rPr>
          <w:color w:val="000000"/>
          <w:sz w:val="16"/>
          <w:szCs w:val="16"/>
          <w:lang w:val="es-CR"/>
        </w:rPr>
        <w:t>, para. 147.</w:t>
      </w:r>
    </w:p>
  </w:footnote>
  <w:footnote w:id="191">
    <w:p w14:paraId="7553E82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sz w:val="16"/>
          <w:szCs w:val="16"/>
          <w:lang w:val="es-CR"/>
        </w:rPr>
        <w:t xml:space="preserve"> </w:t>
      </w:r>
      <w:r w:rsidRPr="00D24EFE">
        <w:rPr>
          <w:bCs/>
          <w:i/>
          <w:sz w:val="16"/>
          <w:szCs w:val="16"/>
          <w:lang w:val="es-CR"/>
        </w:rPr>
        <w:t xml:space="preserve">Case of Artavia Murillo et al. (“In vitro fertilization”) v. Costa Rica, supra, </w:t>
      </w:r>
      <w:r w:rsidRPr="00D24EFE">
        <w:rPr>
          <w:bCs/>
          <w:sz w:val="16"/>
          <w:szCs w:val="16"/>
          <w:lang w:val="es-CR"/>
        </w:rPr>
        <w:t xml:space="preserve">para. </w:t>
      </w:r>
      <w:r w:rsidRPr="00012C3F">
        <w:rPr>
          <w:bCs/>
          <w:sz w:val="16"/>
          <w:szCs w:val="16"/>
          <w:lang w:val="en-US"/>
        </w:rPr>
        <w:t xml:space="preserve">148, citing UN, </w:t>
      </w:r>
      <w:r w:rsidRPr="00012C3F">
        <w:rPr>
          <w:sz w:val="16"/>
          <w:szCs w:val="16"/>
          <w:lang w:val="en-US"/>
        </w:rPr>
        <w:t>Committee on Economic, Social and Cultural Rights,</w:t>
      </w:r>
      <w:r w:rsidRPr="00012C3F">
        <w:rPr>
          <w:bCs/>
          <w:sz w:val="16"/>
          <w:szCs w:val="16"/>
          <w:lang w:val="en-US"/>
        </w:rPr>
        <w:t xml:space="preserve"> </w:t>
      </w:r>
      <w:r w:rsidRPr="00012C3F">
        <w:rPr>
          <w:sz w:val="16"/>
          <w:szCs w:val="16"/>
          <w:lang w:val="en-US"/>
        </w:rPr>
        <w:t xml:space="preserve">General Comment No. 14, </w:t>
      </w:r>
      <w:r w:rsidRPr="00012C3F">
        <w:rPr>
          <w:i/>
          <w:sz w:val="16"/>
          <w:szCs w:val="16"/>
          <w:lang w:val="en-US"/>
        </w:rPr>
        <w:t>The right to the highest attainable standard of health</w:t>
      </w:r>
      <w:r w:rsidRPr="00012C3F">
        <w:rPr>
          <w:sz w:val="16"/>
          <w:szCs w:val="16"/>
          <w:lang w:val="en-US"/>
        </w:rPr>
        <w:t>, August 11, 2000, footnote 12</w:t>
      </w:r>
      <w:r w:rsidRPr="00012C3F">
        <w:rPr>
          <w:i/>
          <w:sz w:val="16"/>
          <w:szCs w:val="16"/>
          <w:lang w:val="en-US"/>
        </w:rPr>
        <w:t>.</w:t>
      </w:r>
    </w:p>
  </w:footnote>
  <w:footnote w:id="192">
    <w:p w14:paraId="2EFDA81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Special Rapporteur on torture and other cruel, inhuman or degrading treatment or punishment made a special analysis of reproductive rights in his 2013 report and considered that: “[a]ccess to information about reproductive health is </w:t>
      </w:r>
      <w:r w:rsidRPr="00012C3F">
        <w:rPr>
          <w:rFonts w:cs="Arial"/>
          <w:sz w:val="16"/>
          <w:szCs w:val="16"/>
          <w:lang w:val="en-US"/>
        </w:rPr>
        <w:t xml:space="preserve">imperative to a woman’s </w:t>
      </w:r>
      <w:r w:rsidRPr="00012C3F">
        <w:rPr>
          <w:sz w:val="16"/>
          <w:szCs w:val="16"/>
          <w:lang w:val="en-US"/>
        </w:rPr>
        <w:t>ability to exercise reproductive autonomy, and the rights to health and to physical integrity.</w:t>
      </w:r>
      <w:r w:rsidRPr="00012C3F">
        <w:rPr>
          <w:rFonts w:eastAsia="MS Mincho"/>
          <w:sz w:val="16"/>
          <w:szCs w:val="16"/>
          <w:lang w:val="en-US" w:eastAsia="en-US" w:bidi="en-US"/>
        </w:rPr>
        <w:t xml:space="preserve">” UN, </w:t>
      </w:r>
      <w:r w:rsidRPr="00012C3F">
        <w:rPr>
          <w:sz w:val="16"/>
          <w:szCs w:val="16"/>
          <w:lang w:val="en-US"/>
        </w:rPr>
        <w:t>Report of the Special Rapporteur on torture and other cruel, inhuman or degrading treatment or punishment, Juan E. Méndez, A/HRC/22/53, February 1, 2013, para. 47.</w:t>
      </w:r>
    </w:p>
  </w:footnote>
  <w:footnote w:id="193">
    <w:p w14:paraId="54271DE7" w14:textId="77777777" w:rsidR="00D24EFE" w:rsidRPr="00012C3F" w:rsidRDefault="00D24EFE" w:rsidP="005B52E1">
      <w:pPr>
        <w:tabs>
          <w:tab w:val="left" w:pos="567"/>
          <w:tab w:val="left" w:pos="1134"/>
        </w:tabs>
        <w:spacing w:after="120" w:line="240" w:lineRule="auto"/>
        <w:rPr>
          <w:bCs/>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The World Medical Association also adopted an International Code of Medical Ethics in 1949, revised in 2006, in which it declared as one of the duties of doctors that they must “respect the right of a patient with capacity to accept or reject a treatment” and “respect the rights and preferences of patients” </w:t>
      </w:r>
      <w:r w:rsidRPr="00012C3F">
        <w:rPr>
          <w:bCs/>
          <w:sz w:val="16"/>
          <w:szCs w:val="16"/>
          <w:lang w:val="en-US"/>
        </w:rPr>
        <w:t>“[…] providing a competent medical service […] respecting human dignity.”</w:t>
      </w:r>
    </w:p>
  </w:footnote>
  <w:footnote w:id="194">
    <w:p w14:paraId="7BB2F7B0" w14:textId="77777777" w:rsidR="00D24EFE" w:rsidRPr="00012C3F" w:rsidRDefault="00D24EFE" w:rsidP="004914D2">
      <w:pPr>
        <w:tabs>
          <w:tab w:val="left" w:pos="567"/>
        </w:tabs>
        <w:spacing w:after="120" w:line="240" w:lineRule="auto"/>
        <w:rPr>
          <w:rFonts w:eastAsia="MS Mincho"/>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In this regard, el Committee on Economic, Social and Cultural Rights has indicated that the right to health in all its forms and at all levels contains the following interrelated and essential elements: availability, accessibility, acceptability and quality. The guarantee of accessibility involves non-discrimination, physical accessibility, economic accessibility (affordability), and information accessibility. Meanwhile, acceptability means that it is respectful of medical ethics and culturally appropriate. </w:t>
      </w:r>
      <w:r w:rsidRPr="00012C3F">
        <w:rPr>
          <w:i/>
          <w:sz w:val="16"/>
          <w:szCs w:val="16"/>
          <w:lang w:val="en-US"/>
        </w:rPr>
        <w:t xml:space="preserve">Cf. </w:t>
      </w:r>
      <w:r w:rsidRPr="00012C3F">
        <w:rPr>
          <w:sz w:val="16"/>
          <w:szCs w:val="16"/>
          <w:lang w:val="en-US"/>
        </w:rPr>
        <w:t xml:space="preserve">UN, </w:t>
      </w:r>
      <w:r w:rsidRPr="00012C3F">
        <w:rPr>
          <w:rFonts w:cs="Calibri"/>
          <w:sz w:val="16"/>
          <w:szCs w:val="16"/>
          <w:lang w:val="en-US"/>
        </w:rPr>
        <w:t xml:space="preserve">Committee on Economic, Social and Cultural Rights, General Comment No. 14, </w:t>
      </w:r>
      <w:r w:rsidRPr="00012C3F">
        <w:rPr>
          <w:rFonts w:cs="Calibri"/>
          <w:i/>
          <w:sz w:val="16"/>
          <w:szCs w:val="16"/>
          <w:lang w:val="en-US"/>
        </w:rPr>
        <w:t>The right to the highest attainable standard of health</w:t>
      </w:r>
      <w:r w:rsidRPr="00012C3F">
        <w:rPr>
          <w:rFonts w:cs="Calibri"/>
          <w:sz w:val="16"/>
          <w:szCs w:val="16"/>
          <w:lang w:val="en-US"/>
        </w:rPr>
        <w:t>, August 11, 2000</w:t>
      </w:r>
      <w:r w:rsidRPr="00012C3F">
        <w:rPr>
          <w:sz w:val="16"/>
          <w:szCs w:val="16"/>
          <w:lang w:val="en-US"/>
        </w:rPr>
        <w:t>, para. 12.</w:t>
      </w:r>
    </w:p>
  </w:footnote>
  <w:footnote w:id="195">
    <w:p w14:paraId="1BD513CD"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UN, </w:t>
      </w:r>
      <w:r w:rsidRPr="00012C3F">
        <w:rPr>
          <w:rFonts w:eastAsia="MS Mincho"/>
          <w:bCs/>
          <w:sz w:val="16"/>
          <w:szCs w:val="16"/>
          <w:lang w:val="en-US" w:bidi="en-US"/>
        </w:rPr>
        <w:t>Report of the Special Rapporteur on the right of everyone to the highest attainable standard of physical and mental health, Anand Grover, A/64/272, August 10, 2009</w:t>
      </w:r>
      <w:r w:rsidRPr="00012C3F">
        <w:rPr>
          <w:sz w:val="16"/>
          <w:szCs w:val="16"/>
          <w:lang w:val="en-US"/>
        </w:rPr>
        <w:t>, para. 9.</w:t>
      </w:r>
    </w:p>
  </w:footnote>
  <w:footnote w:id="196">
    <w:p w14:paraId="5865527F"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mutatis mutandi, </w:t>
      </w:r>
      <w:r w:rsidRPr="00012C3F">
        <w:rPr>
          <w:bCs/>
          <w:i/>
          <w:color w:val="000000"/>
          <w:sz w:val="16"/>
          <w:szCs w:val="16"/>
          <w:lang w:val="en-US"/>
        </w:rPr>
        <w:t xml:space="preserve">Case of Vélez Restrepo and family v. Colombia. </w:t>
      </w:r>
      <w:r w:rsidRPr="00012C3F">
        <w:rPr>
          <w:i/>
          <w:color w:val="000000"/>
          <w:sz w:val="16"/>
          <w:szCs w:val="16"/>
          <w:lang w:val="en-US"/>
        </w:rPr>
        <w:t>Preliminary objection, merits, reparations and costs.</w:t>
      </w:r>
      <w:r w:rsidRPr="00012C3F">
        <w:rPr>
          <w:color w:val="000000"/>
          <w:sz w:val="16"/>
          <w:szCs w:val="16"/>
          <w:lang w:val="en-US"/>
        </w:rPr>
        <w:t xml:space="preserve"> Judgment of September 3 2012. Series C No. 248</w:t>
      </w:r>
      <w:r w:rsidRPr="00012C3F">
        <w:rPr>
          <w:bCs/>
          <w:sz w:val="16"/>
          <w:szCs w:val="16"/>
          <w:lang w:val="en-US"/>
        </w:rPr>
        <w:t xml:space="preserve">, paras. 241 and 244, and </w:t>
      </w:r>
      <w:r w:rsidRPr="00012C3F">
        <w:rPr>
          <w:i/>
          <w:sz w:val="16"/>
          <w:szCs w:val="16"/>
          <w:lang w:val="en-US"/>
        </w:rPr>
        <w:t>Case of Tenorio Roca et al. v. Peru, supra</w:t>
      </w:r>
      <w:r w:rsidRPr="00012C3F">
        <w:rPr>
          <w:bCs/>
          <w:sz w:val="16"/>
          <w:szCs w:val="16"/>
          <w:lang w:val="en-US"/>
        </w:rPr>
        <w:t>, para. 196.</w:t>
      </w:r>
    </w:p>
  </w:footnote>
  <w:footnote w:id="197">
    <w:p w14:paraId="421AC6B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Court notes that, within the framework of the Council of Europe and the European system, diverse documents exist that expressly regulate the patient’s prior, free, full and informed consent for the performance of any medical intervention. </w:t>
      </w:r>
      <w:r w:rsidRPr="00012C3F">
        <w:rPr>
          <w:i/>
          <w:sz w:val="16"/>
          <w:szCs w:val="16"/>
          <w:lang w:val="en-US"/>
        </w:rPr>
        <w:t>Cf.</w:t>
      </w:r>
      <w:r w:rsidRPr="00012C3F">
        <w:rPr>
          <w:sz w:val="16"/>
          <w:szCs w:val="16"/>
          <w:lang w:val="en-US"/>
        </w:rPr>
        <w:t xml:space="preserve"> Articles 1 to 3 of A Declaration on the Promotion of Patients’ Rights in Europe, adopted by the WHO Regional Office for Europe in 1994; articles 5 and 6 of the Convention for the Protection of the Human Rights and Dignity of the Human Being with regard to the Application of Biology and Medicine</w:t>
      </w:r>
      <w:r w:rsidRPr="00012C3F">
        <w:rPr>
          <w:rFonts w:eastAsia="MS Mincho"/>
          <w:color w:val="000000"/>
          <w:sz w:val="16"/>
          <w:szCs w:val="16"/>
          <w:lang w:val="en-US" w:eastAsia="en-US" w:bidi="en-US"/>
        </w:rPr>
        <w:t>: Convention on Human Rights and Biomedicine (hereinafter “Oviedo Convention”), adopted by the</w:t>
      </w:r>
      <w:r w:rsidRPr="00012C3F">
        <w:rPr>
          <w:rFonts w:eastAsia="MS Mincho"/>
          <w:sz w:val="16"/>
          <w:szCs w:val="16"/>
          <w:lang w:val="en-US" w:eastAsia="en-US" w:bidi="en-US"/>
        </w:rPr>
        <w:t xml:space="preserve"> Council of Europe </w:t>
      </w:r>
      <w:r w:rsidRPr="00012C3F">
        <w:rPr>
          <w:sz w:val="16"/>
          <w:szCs w:val="16"/>
          <w:lang w:val="en-US"/>
        </w:rPr>
        <w:t>on April 4,</w:t>
      </w:r>
      <w:r w:rsidRPr="00012C3F">
        <w:rPr>
          <w:rFonts w:eastAsia="MS Mincho"/>
          <w:sz w:val="16"/>
          <w:szCs w:val="16"/>
          <w:lang w:val="en-US" w:eastAsia="en-US" w:bidi="en-US"/>
        </w:rPr>
        <w:t xml:space="preserve"> 1997, which entered into force on December</w:t>
      </w:r>
      <w:r w:rsidRPr="00012C3F">
        <w:rPr>
          <w:rFonts w:eastAsia="MS Mincho"/>
          <w:color w:val="000000"/>
          <w:sz w:val="16"/>
          <w:szCs w:val="16"/>
          <w:lang w:val="en-US" w:eastAsia="en-US" w:bidi="en-US"/>
        </w:rPr>
        <w:t xml:space="preserve"> 1, 1999, and its Explanatory report, and </w:t>
      </w:r>
      <w:r w:rsidRPr="00012C3F">
        <w:rPr>
          <w:rFonts w:eastAsia="MS Mincho"/>
          <w:sz w:val="16"/>
          <w:szCs w:val="16"/>
          <w:lang w:val="en-US" w:eastAsia="en-US" w:bidi="en-US"/>
        </w:rPr>
        <w:t xml:space="preserve">article 3 of the Charter of Fundamental Rights of the European Union, adopted in 2000, and amended in </w:t>
      </w:r>
      <w:r w:rsidRPr="00012C3F">
        <w:rPr>
          <w:bCs/>
          <w:sz w:val="16"/>
          <w:szCs w:val="16"/>
          <w:lang w:val="en-US"/>
        </w:rPr>
        <w:t>2007.</w:t>
      </w:r>
    </w:p>
  </w:footnote>
  <w:footnote w:id="198">
    <w:p w14:paraId="18469953" w14:textId="77777777" w:rsidR="00D24EFE" w:rsidRPr="00012C3F" w:rsidRDefault="00D24EFE" w:rsidP="007B0C04">
      <w:pPr>
        <w:pStyle w:val="Textonotapie"/>
        <w:tabs>
          <w:tab w:val="left" w:pos="567"/>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ab/>
      </w:r>
      <w:r w:rsidRPr="00012C3F">
        <w:rPr>
          <w:rFonts w:eastAsia="Calibri"/>
          <w:i/>
          <w:sz w:val="16"/>
          <w:szCs w:val="16"/>
          <w:lang w:val="en-US"/>
        </w:rPr>
        <w:t xml:space="preserve">Cf. </w:t>
      </w:r>
      <w:r w:rsidRPr="00012C3F">
        <w:rPr>
          <w:i/>
          <w:sz w:val="16"/>
          <w:szCs w:val="16"/>
          <w:lang w:val="en-US"/>
        </w:rPr>
        <w:t>The Right to Information on Consular Assistance within the Framework of Due Process of Law.</w:t>
      </w:r>
      <w:r w:rsidRPr="00012C3F">
        <w:rPr>
          <w:sz w:val="16"/>
          <w:szCs w:val="16"/>
          <w:lang w:val="en-US"/>
        </w:rPr>
        <w:t xml:space="preserve"> Advisory Opinion OC-16/99 of October 1, 1999. Series A No. 16, </w:t>
      </w:r>
      <w:r w:rsidRPr="00012C3F">
        <w:rPr>
          <w:rFonts w:eastAsia="Calibri"/>
          <w:sz w:val="16"/>
          <w:szCs w:val="16"/>
          <w:lang w:val="en-US"/>
        </w:rPr>
        <w:t>para. 114</w:t>
      </w:r>
      <w:r w:rsidRPr="00012C3F">
        <w:rPr>
          <w:sz w:val="16"/>
          <w:szCs w:val="16"/>
          <w:lang w:val="en-US"/>
        </w:rPr>
        <w:t xml:space="preserve">, and </w:t>
      </w:r>
      <w:r w:rsidRPr="00012C3F">
        <w:rPr>
          <w:rFonts w:cs="Courier New"/>
          <w:i/>
          <w:noProof/>
          <w:sz w:val="16"/>
          <w:szCs w:val="16"/>
          <w:lang w:val="en-US"/>
        </w:rPr>
        <w:t>Case of Gonzales Lluy et al. v. Ecuador, supra</w:t>
      </w:r>
      <w:r w:rsidRPr="00012C3F">
        <w:rPr>
          <w:rFonts w:cs="Courier New"/>
          <w:noProof/>
          <w:sz w:val="16"/>
          <w:szCs w:val="16"/>
          <w:lang w:val="en-US"/>
        </w:rPr>
        <w:t>, para. 21</w:t>
      </w:r>
      <w:r w:rsidRPr="00012C3F">
        <w:rPr>
          <w:sz w:val="16"/>
          <w:szCs w:val="16"/>
          <w:lang w:val="en-US"/>
        </w:rPr>
        <w:t>.</w:t>
      </w:r>
    </w:p>
  </w:footnote>
  <w:footnote w:id="199">
    <w:p w14:paraId="6774D121" w14:textId="77777777" w:rsidR="00D24EFE" w:rsidRPr="00012C3F" w:rsidRDefault="00D24EFE" w:rsidP="005B52E1">
      <w:pPr>
        <w:pStyle w:val="Textonotapie"/>
        <w:tabs>
          <w:tab w:val="left" w:pos="567"/>
          <w:tab w:val="left" w:pos="720"/>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The Right to Information on Consular Assistance within the framework of Due Process of Law.</w:t>
      </w:r>
      <w:r w:rsidRPr="00012C3F">
        <w:rPr>
          <w:sz w:val="16"/>
          <w:szCs w:val="16"/>
          <w:lang w:val="en-US"/>
        </w:rPr>
        <w:t xml:space="preserve"> Advisory Opinion OC-16/99, </w:t>
      </w:r>
      <w:r w:rsidRPr="00012C3F">
        <w:rPr>
          <w:i/>
          <w:sz w:val="16"/>
          <w:szCs w:val="16"/>
          <w:lang w:val="en-US"/>
        </w:rPr>
        <w:t>supra</w:t>
      </w:r>
      <w:r w:rsidRPr="00012C3F">
        <w:rPr>
          <w:sz w:val="16"/>
          <w:szCs w:val="16"/>
          <w:lang w:val="en-US"/>
        </w:rPr>
        <w:t xml:space="preserve">, </w:t>
      </w:r>
      <w:r w:rsidRPr="00012C3F">
        <w:rPr>
          <w:rFonts w:eastAsia="Calibri"/>
          <w:sz w:val="16"/>
          <w:szCs w:val="16"/>
          <w:lang w:val="en-US"/>
        </w:rPr>
        <w:t xml:space="preserve">para. 120; </w:t>
      </w:r>
      <w:r w:rsidRPr="00012C3F">
        <w:rPr>
          <w:i/>
          <w:sz w:val="16"/>
          <w:szCs w:val="16"/>
          <w:lang w:val="en-US"/>
        </w:rPr>
        <w:t>Juridical Status and Rights of Undocumented Migrants.</w:t>
      </w:r>
      <w:r w:rsidRPr="00012C3F">
        <w:rPr>
          <w:sz w:val="16"/>
          <w:szCs w:val="16"/>
          <w:lang w:val="en-US"/>
        </w:rPr>
        <w:t xml:space="preserve"> Advisory Opinion OC-18/03 of September 17, 2003. Series A No. 18</w:t>
      </w:r>
      <w:r w:rsidRPr="00012C3F">
        <w:rPr>
          <w:i/>
          <w:sz w:val="16"/>
          <w:szCs w:val="16"/>
          <w:lang w:val="en-US"/>
        </w:rPr>
        <w:t xml:space="preserve">, </w:t>
      </w:r>
      <w:r w:rsidRPr="00012C3F">
        <w:rPr>
          <w:sz w:val="16"/>
          <w:szCs w:val="16"/>
          <w:lang w:val="en-US"/>
        </w:rPr>
        <w:t>para. 117;</w:t>
      </w:r>
      <w:r w:rsidRPr="00012C3F">
        <w:rPr>
          <w:i/>
          <w:sz w:val="16"/>
          <w:szCs w:val="16"/>
          <w:lang w:val="en-US"/>
        </w:rPr>
        <w:t xml:space="preserve"> Case of the “Street Children” (Villagrán Morales et al.) v. Guatemala. Merits.</w:t>
      </w:r>
      <w:r w:rsidRPr="00012C3F">
        <w:rPr>
          <w:sz w:val="16"/>
          <w:szCs w:val="16"/>
          <w:lang w:val="en-US"/>
        </w:rPr>
        <w:t xml:space="preserve"> Judgment of November 19, 1999. Series C No. 63, paras. 192 to 194, and </w:t>
      </w:r>
      <w:r w:rsidRPr="00012C3F">
        <w:rPr>
          <w:i/>
          <w:sz w:val="16"/>
          <w:szCs w:val="16"/>
          <w:lang w:val="en-US"/>
        </w:rPr>
        <w:t>Case of the Pacheco Tineo Family v. Bolivia. Preliminary objections, merits, reparations and costs.</w:t>
      </w:r>
      <w:r w:rsidRPr="00012C3F">
        <w:rPr>
          <w:sz w:val="16"/>
          <w:szCs w:val="16"/>
          <w:lang w:val="en-US"/>
        </w:rPr>
        <w:t xml:space="preserve"> Judgment of November 25, 2013. Series C No. 272, paras. 129, 135, 216 and 217.</w:t>
      </w:r>
    </w:p>
  </w:footnote>
  <w:footnote w:id="200">
    <w:p w14:paraId="0787BFE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Access to Maternal Health Services from a Human Rights Perspective of June 7, 2010, and Access to Information on Reproductive Health from a Human Rights Perspective of November 22, 2011.</w:t>
      </w:r>
    </w:p>
  </w:footnote>
  <w:footnote w:id="201">
    <w:p w14:paraId="7DD8A287"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In general, the term medical interventions will be understood in its broad sense; that is, it encompasses all the medical interventions performed for prevention, diagnosis, treatment, rehabilitation and surgical procedures; scientific research, and the participation of subject patients </w:t>
      </w:r>
      <w:r w:rsidRPr="00012C3F">
        <w:rPr>
          <w:rFonts w:eastAsiaTheme="minorHAnsi" w:cs="ClassicalGaramondBT-Roman"/>
          <w:sz w:val="16"/>
          <w:szCs w:val="16"/>
          <w:lang w:val="en-US"/>
        </w:rPr>
        <w:t>during medical practice to teach students.</w:t>
      </w:r>
    </w:p>
  </w:footnote>
  <w:footnote w:id="202">
    <w:p w14:paraId="7AE0110C" w14:textId="77777777" w:rsidR="00D24EFE" w:rsidRPr="00012C3F" w:rsidRDefault="00D24EFE" w:rsidP="006A1060">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bCs/>
          <w:sz w:val="16"/>
          <w:szCs w:val="16"/>
          <w:lang w:val="en-US" w:eastAsia="en-US" w:bidi="en-US"/>
        </w:rPr>
        <w:t>Other international treaties have also expressly recognized informed consent in relation to medical experiments. Articles 7 of the International Covenant on Civil and Political Rights, 15 of the Convention on the Rights of Persons with Disabilities, and 9 of the Arab Charter on Human Rights establish similar provisions in the sense that</w:t>
      </w:r>
      <w:r w:rsidRPr="00012C3F">
        <w:rPr>
          <w:sz w:val="16"/>
          <w:szCs w:val="16"/>
          <w:lang w:val="en-US"/>
        </w:rPr>
        <w:t xml:space="preserve"> “no one shall be subjected without his free consent to medical or scientific experimentation.” Additionally, there are other international documents that clearly establish the need to obtain free, full and informed consent; they include the Istanbul Protocol with regard to medical examinations to determine the existence of torture or other cruel, inhuman or degrading treatment, and the Ethical Guidelines for Biomedical Research on Human Subjects</w:t>
      </w:r>
      <w:r w:rsidRPr="00012C3F">
        <w:rPr>
          <w:rFonts w:eastAsia="MS Mincho"/>
          <w:bCs/>
          <w:sz w:val="16"/>
          <w:szCs w:val="16"/>
          <w:lang w:val="en-US" w:eastAsia="en-US" w:bidi="en-US"/>
        </w:rPr>
        <w:t xml:space="preserve">. </w:t>
      </w:r>
      <w:r w:rsidRPr="00012C3F">
        <w:rPr>
          <w:i/>
          <w:sz w:val="16"/>
          <w:szCs w:val="16"/>
          <w:lang w:val="en-US"/>
        </w:rPr>
        <w:t>Cf.</w:t>
      </w:r>
      <w:r w:rsidRPr="00012C3F">
        <w:rPr>
          <w:sz w:val="16"/>
          <w:szCs w:val="16"/>
          <w:lang w:val="en-US"/>
        </w:rPr>
        <w:t xml:space="preserve"> United Nations, Istanbul Protocol. Manual </w:t>
      </w:r>
      <w:r w:rsidRPr="00012C3F">
        <w:rPr>
          <w:rStyle w:val="e24kjd"/>
          <w:sz w:val="16"/>
          <w:szCs w:val="16"/>
          <w:lang w:val="en-US"/>
        </w:rPr>
        <w:t>on Effective Investigation and Documentation of Torture and Other Cruel, Inhuman or Degrading Treatment or Punishment</w:t>
      </w:r>
      <w:r w:rsidRPr="00012C3F">
        <w:rPr>
          <w:sz w:val="16"/>
          <w:szCs w:val="16"/>
          <w:lang w:val="en-US"/>
        </w:rPr>
        <w:t xml:space="preserve">, August 9, 1999, adopted in 2000, paras. 63 and 64, and Council </w:t>
      </w:r>
      <w:r w:rsidRPr="00012C3F">
        <w:rPr>
          <w:sz w:val="16"/>
          <w:szCs w:val="16"/>
          <w:lang w:val="en-US" w:eastAsia="es-CR"/>
        </w:rPr>
        <w:t>for International Organizations of Medical Sciences (CIOMS), in collaboration with the</w:t>
      </w:r>
      <w:r w:rsidRPr="00012C3F">
        <w:rPr>
          <w:sz w:val="16"/>
          <w:szCs w:val="16"/>
          <w:lang w:val="en-US"/>
        </w:rPr>
        <w:t xml:space="preserve"> World Health Organization (WHO), International Ethical Guidelines for Biomedical Research involving Human Subjects, Geneva, 2002, standards 4, 5 and 6.</w:t>
      </w:r>
    </w:p>
  </w:footnote>
  <w:footnote w:id="203">
    <w:p w14:paraId="00FAEAE1" w14:textId="77777777" w:rsidR="00D24EFE" w:rsidRPr="00012C3F" w:rsidRDefault="00D24EFE" w:rsidP="005B52E1">
      <w:pPr>
        <w:tabs>
          <w:tab w:val="left" w:pos="567"/>
        </w:tabs>
        <w:spacing w:after="120" w:line="240" w:lineRule="auto"/>
        <w:rPr>
          <w:bCs/>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bCs/>
          <w:i/>
          <w:sz w:val="16"/>
          <w:szCs w:val="16"/>
          <w:lang w:val="en-US"/>
        </w:rPr>
        <w:t>Cf.</w:t>
      </w:r>
      <w:r w:rsidRPr="00012C3F">
        <w:rPr>
          <w:bCs/>
          <w:sz w:val="16"/>
          <w:szCs w:val="16"/>
          <w:lang w:val="en-US"/>
        </w:rPr>
        <w:t xml:space="preserve"> Nuremberg Code of medical ethics, 1947. </w:t>
      </w:r>
    </w:p>
  </w:footnote>
  <w:footnote w:id="204">
    <w:p w14:paraId="3511746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Programme of Action of the International Conference on Population and Development, Cairo, UN doc A/CONF.171/13/Rev.1, 1994, para. 7.17.</w:t>
      </w:r>
    </w:p>
  </w:footnote>
  <w:footnote w:id="205">
    <w:p w14:paraId="79AB9C3C" w14:textId="77777777" w:rsidR="00D24EFE" w:rsidRPr="00012C3F" w:rsidRDefault="00D24EFE" w:rsidP="005B52E1">
      <w:pPr>
        <w:tabs>
          <w:tab w:val="left" w:pos="567"/>
        </w:tabs>
        <w:spacing w:after="120" w:line="240" w:lineRule="auto"/>
        <w:rPr>
          <w:rFonts w:eastAsia="MS Mincho"/>
          <w:b/>
          <w:i/>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Declaration and Platform for Action of the Fourth World Conference on Women, Beijing, A/CONF.177/20, 1995, paras. 96 and 106.g).</w:t>
      </w:r>
    </w:p>
  </w:footnote>
  <w:footnote w:id="206">
    <w:p w14:paraId="4795A910" w14:textId="77777777" w:rsidR="00D24EFE" w:rsidRPr="00012C3F" w:rsidRDefault="00D24EFE" w:rsidP="005B52E1">
      <w:pPr>
        <w:pStyle w:val="Textonotapie"/>
        <w:tabs>
          <w:tab w:val="left" w:pos="567"/>
          <w:tab w:val="left" w:pos="3261"/>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See, </w:t>
      </w:r>
      <w:r w:rsidRPr="00012C3F">
        <w:rPr>
          <w:i/>
          <w:iCs/>
          <w:sz w:val="16"/>
          <w:szCs w:val="16"/>
          <w:lang w:val="en-US"/>
        </w:rPr>
        <w:t>inter alia</w:t>
      </w:r>
      <w:r w:rsidRPr="00012C3F">
        <w:rPr>
          <w:sz w:val="16"/>
          <w:szCs w:val="16"/>
          <w:lang w:val="en-US"/>
        </w:rPr>
        <w:t xml:space="preserve">, ECHR, </w:t>
      </w:r>
      <w:r w:rsidRPr="00012C3F">
        <w:rPr>
          <w:i/>
          <w:sz w:val="16"/>
          <w:szCs w:val="16"/>
          <w:lang w:val="en-US"/>
        </w:rPr>
        <w:t>Case of Glass v. The United Kingdom</w:t>
      </w:r>
      <w:r w:rsidRPr="00012C3F">
        <w:rPr>
          <w:sz w:val="16"/>
          <w:szCs w:val="16"/>
          <w:lang w:val="en-US"/>
        </w:rPr>
        <w:t xml:space="preserve">, No. 61827/00. Judgment of March 9, 2004; </w:t>
      </w:r>
      <w:r w:rsidRPr="00012C3F">
        <w:rPr>
          <w:i/>
          <w:sz w:val="16"/>
          <w:szCs w:val="16"/>
          <w:lang w:val="en-US"/>
        </w:rPr>
        <w:t>Case of Juhnke v. Turkey</w:t>
      </w:r>
      <w:r w:rsidRPr="00012C3F">
        <w:rPr>
          <w:sz w:val="16"/>
          <w:szCs w:val="16"/>
          <w:lang w:val="en-US"/>
        </w:rPr>
        <w:t xml:space="preserve">, No. 52515/99. Judgment of May 13, 2008; </w:t>
      </w:r>
      <w:r w:rsidRPr="00012C3F">
        <w:rPr>
          <w:i/>
          <w:sz w:val="16"/>
          <w:szCs w:val="16"/>
          <w:lang w:val="en-US"/>
        </w:rPr>
        <w:t>Case of M.A.K. and R.K. v. The United Kingdom</w:t>
      </w:r>
      <w:r w:rsidRPr="00012C3F">
        <w:rPr>
          <w:sz w:val="16"/>
          <w:szCs w:val="16"/>
          <w:lang w:val="en-US"/>
        </w:rPr>
        <w:t xml:space="preserve">, Nos. 45901/05 and 40146/06. Judgment of March 23, 2010; </w:t>
      </w:r>
      <w:r w:rsidRPr="00012C3F">
        <w:rPr>
          <w:i/>
          <w:sz w:val="16"/>
          <w:szCs w:val="16"/>
          <w:lang w:val="en-US"/>
        </w:rPr>
        <w:t>Case of</w:t>
      </w:r>
      <w:r w:rsidRPr="00012C3F">
        <w:rPr>
          <w:sz w:val="16"/>
          <w:szCs w:val="16"/>
          <w:lang w:val="en-US"/>
        </w:rPr>
        <w:t xml:space="preserve"> </w:t>
      </w:r>
      <w:r w:rsidRPr="00012C3F">
        <w:rPr>
          <w:i/>
          <w:sz w:val="16"/>
          <w:szCs w:val="16"/>
          <w:lang w:val="en-US"/>
        </w:rPr>
        <w:t>R.R. v. Poland</w:t>
      </w:r>
      <w:r w:rsidRPr="00012C3F">
        <w:rPr>
          <w:sz w:val="16"/>
          <w:szCs w:val="16"/>
          <w:lang w:val="en-US"/>
        </w:rPr>
        <w:t xml:space="preserve">, No. 27617/04. Judgment of May 26, 2011; </w:t>
      </w:r>
      <w:r w:rsidRPr="00012C3F">
        <w:rPr>
          <w:i/>
          <w:sz w:val="16"/>
          <w:szCs w:val="16"/>
          <w:lang w:val="en-US"/>
        </w:rPr>
        <w:t>Case of Elberte v. Latvia</w:t>
      </w:r>
      <w:r w:rsidRPr="00012C3F">
        <w:rPr>
          <w:sz w:val="16"/>
          <w:szCs w:val="16"/>
          <w:lang w:val="en-US"/>
        </w:rPr>
        <w:t>, No. 61243/08. Judgment of January 13, 2015.</w:t>
      </w:r>
    </w:p>
  </w:footnote>
  <w:footnote w:id="207">
    <w:p w14:paraId="5383A56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xml:space="preserve"> No. 18968/07. Judgment of November 8, 2011; </w:t>
      </w:r>
      <w:r w:rsidRPr="00012C3F">
        <w:rPr>
          <w:i/>
          <w:sz w:val="16"/>
          <w:szCs w:val="16"/>
          <w:lang w:val="en-US"/>
        </w:rPr>
        <w:t>Case of N.B. v. Slovakia,</w:t>
      </w:r>
      <w:r w:rsidRPr="00012C3F">
        <w:rPr>
          <w:sz w:val="16"/>
          <w:szCs w:val="16"/>
          <w:lang w:val="en-US"/>
        </w:rPr>
        <w:t xml:space="preserve"> No. 29518/10. Judgment of June 12, 2012, and </w:t>
      </w:r>
      <w:r w:rsidRPr="00012C3F">
        <w:rPr>
          <w:i/>
          <w:sz w:val="16"/>
          <w:szCs w:val="16"/>
          <w:lang w:val="en-US"/>
        </w:rPr>
        <w:t>Case of I.G., M.K. and R.H. v. Slovakia</w:t>
      </w:r>
      <w:r w:rsidRPr="00012C3F">
        <w:rPr>
          <w:sz w:val="16"/>
          <w:szCs w:val="16"/>
          <w:lang w:val="en-US"/>
        </w:rPr>
        <w:t>, No. 15966/04. Judgment of November 13, 2012 (evidence file, volume VIII, annexes 26, 27 and 28 to the brief with motions, pleadings and evidence, folios 2474 to 2577).</w:t>
      </w:r>
    </w:p>
  </w:footnote>
  <w:footnote w:id="208">
    <w:p w14:paraId="7C6D2B0B" w14:textId="77777777" w:rsidR="00D24EFE" w:rsidRPr="00012C3F" w:rsidRDefault="00D24EFE" w:rsidP="005B52E1">
      <w:pPr>
        <w:tabs>
          <w:tab w:val="left" w:pos="567"/>
        </w:tabs>
        <w:autoSpaceDE w:val="0"/>
        <w:autoSpaceDN w:val="0"/>
        <w:spacing w:after="120" w:line="240" w:lineRule="auto"/>
        <w:rPr>
          <w:rFonts w:cs="Calibri"/>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rFonts w:cs="Calibri"/>
          <w:sz w:val="16"/>
          <w:szCs w:val="16"/>
          <w:lang w:val="en-US"/>
        </w:rPr>
        <w:t xml:space="preserve">UN, Committee for the Elimination of Discrimination against Women, </w:t>
      </w:r>
      <w:r w:rsidRPr="00012C3F">
        <w:rPr>
          <w:rFonts w:cs="Calibri-Italic"/>
          <w:i/>
          <w:iCs/>
          <w:sz w:val="16"/>
          <w:szCs w:val="16"/>
          <w:lang w:val="en-US"/>
        </w:rPr>
        <w:t>A.S. v. Hungary</w:t>
      </w:r>
      <w:r w:rsidRPr="00012C3F">
        <w:rPr>
          <w:rFonts w:cs="Calibri"/>
          <w:sz w:val="16"/>
          <w:szCs w:val="16"/>
          <w:lang w:val="en-US"/>
        </w:rPr>
        <w:t xml:space="preserve"> (Communication No. 4/2004), CEDAW/C/36/D/4/2004, August 29, 2006; the facts of this case took place in January 2001. In the inter-American system, the Court has no case law on informed consent in cases of forced, involuntary or coercive sterilization. However, it should be pointed out that </w:t>
      </w:r>
      <w:r w:rsidRPr="00012C3F">
        <w:rPr>
          <w:sz w:val="16"/>
          <w:szCs w:val="16"/>
          <w:lang w:val="en-US"/>
        </w:rPr>
        <w:t xml:space="preserve">the Inter-American Commission intervened in and approved a friendly settlement agreement in the matter of </w:t>
      </w:r>
      <w:r w:rsidRPr="00012C3F">
        <w:rPr>
          <w:iCs/>
          <w:sz w:val="16"/>
          <w:szCs w:val="16"/>
          <w:lang w:val="en-US"/>
        </w:rPr>
        <w:t xml:space="preserve">María Mamérita Mestanza </w:t>
      </w:r>
      <w:r w:rsidRPr="00012C3F">
        <w:rPr>
          <w:i/>
          <w:iCs/>
          <w:sz w:val="16"/>
          <w:szCs w:val="16"/>
          <w:lang w:val="en-US"/>
        </w:rPr>
        <w:t>v.</w:t>
      </w:r>
      <w:r w:rsidRPr="00012C3F">
        <w:rPr>
          <w:sz w:val="16"/>
          <w:szCs w:val="16"/>
          <w:lang w:val="en-US"/>
        </w:rPr>
        <w:t xml:space="preserve"> Peru. </w:t>
      </w:r>
    </w:p>
  </w:footnote>
  <w:footnote w:id="209">
    <w:p w14:paraId="031941E8" w14:textId="77777777" w:rsidR="00D24EFE" w:rsidRPr="00012C3F" w:rsidRDefault="00D24EFE" w:rsidP="005B52E1">
      <w:pPr>
        <w:tabs>
          <w:tab w:val="left" w:pos="567"/>
        </w:tabs>
        <w:spacing w:after="120" w:line="240" w:lineRule="auto"/>
        <w:rPr>
          <w:rFonts w:eastAsia="MS Mincho"/>
          <w:sz w:val="16"/>
          <w:szCs w:val="16"/>
          <w:lang w:val="en-US" w:eastAsia="en-US" w:bidi="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sz w:val="16"/>
          <w:szCs w:val="16"/>
          <w:lang w:val="en-US"/>
        </w:rPr>
        <w:t>Declaration of Helsinki. Ethical principles for medical research involving human subjects, adopted by the World Medical Association in 1964, revised in 2013,</w:t>
      </w:r>
      <w:r w:rsidRPr="00012C3F">
        <w:rPr>
          <w:sz w:val="16"/>
          <w:szCs w:val="16"/>
          <w:lang w:val="en-US"/>
        </w:rPr>
        <w:t xml:space="preserve"> Principles 25 to 32</w:t>
      </w:r>
      <w:r w:rsidRPr="00012C3F">
        <w:rPr>
          <w:bCs/>
          <w:sz w:val="16"/>
          <w:szCs w:val="16"/>
          <w:lang w:val="en-US"/>
        </w:rPr>
        <w:t xml:space="preserve">. </w:t>
      </w:r>
    </w:p>
  </w:footnote>
  <w:footnote w:id="210">
    <w:p w14:paraId="7B020CF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sz w:val="16"/>
          <w:szCs w:val="16"/>
          <w:lang w:val="en-US"/>
        </w:rPr>
        <w:t>Declaration of Lisbon on the rights of the patient, adopted by the World Medical Association in 1981, revised in 2005 and reaffirmed in 2015,</w:t>
      </w:r>
      <w:r w:rsidRPr="00012C3F">
        <w:rPr>
          <w:sz w:val="16"/>
          <w:szCs w:val="16"/>
          <w:lang w:val="en-US"/>
        </w:rPr>
        <w:t xml:space="preserve"> Principles 3, 7 and 10</w:t>
      </w:r>
      <w:r w:rsidRPr="00012C3F">
        <w:rPr>
          <w:bCs/>
          <w:sz w:val="16"/>
          <w:szCs w:val="16"/>
          <w:lang w:val="en-US"/>
        </w:rPr>
        <w:t>.</w:t>
      </w:r>
    </w:p>
  </w:footnote>
  <w:footnote w:id="211">
    <w:p w14:paraId="18B8359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sz w:val="16"/>
          <w:szCs w:val="16"/>
          <w:lang w:val="en-US" w:eastAsia="en-US" w:bidi="en-US"/>
        </w:rPr>
        <w:t xml:space="preserve">Universal Declaration on Bioethics and Human Rights, adopted by the General Conference </w:t>
      </w:r>
      <w:r w:rsidRPr="00012C3F">
        <w:rPr>
          <w:rFonts w:eastAsia="MS Mincho"/>
          <w:bCs/>
          <w:sz w:val="16"/>
          <w:szCs w:val="16"/>
          <w:lang w:val="en-US" w:eastAsia="en-US" w:bidi="en-US"/>
        </w:rPr>
        <w:t>of UNESCO on October 19, 2005,</w:t>
      </w:r>
      <w:r w:rsidRPr="00012C3F">
        <w:rPr>
          <w:sz w:val="16"/>
          <w:szCs w:val="16"/>
          <w:lang w:val="en-US"/>
        </w:rPr>
        <w:t xml:space="preserve"> article 6</w:t>
      </w:r>
      <w:r w:rsidRPr="00012C3F">
        <w:rPr>
          <w:rFonts w:eastAsia="MS Mincho"/>
          <w:bCs/>
          <w:sz w:val="16"/>
          <w:szCs w:val="16"/>
          <w:lang w:val="en-US" w:eastAsia="en-US" w:bidi="en-US"/>
        </w:rPr>
        <w:t xml:space="preserve">. </w:t>
      </w:r>
      <w:r w:rsidRPr="00012C3F">
        <w:rPr>
          <w:rFonts w:eastAsia="MS Mincho"/>
          <w:sz w:val="16"/>
          <w:szCs w:val="16"/>
          <w:lang w:val="en-US" w:eastAsia="en-US" w:bidi="en-US"/>
        </w:rPr>
        <w:t xml:space="preserve">UNESCO has also regulated the principle of prior, free and informed consent in other declarations, such as the Universal Declaration on the Human Genome and Human Rights, adopted on November 11, </w:t>
      </w:r>
      <w:r w:rsidRPr="00012C3F">
        <w:rPr>
          <w:bCs/>
          <w:sz w:val="16"/>
          <w:szCs w:val="16"/>
          <w:lang w:val="en-US"/>
        </w:rPr>
        <w:t>1997, that mentions the requirements of “prior, free and informed consent” in its articles 5 and 9.</w:t>
      </w:r>
    </w:p>
  </w:footnote>
  <w:footnote w:id="212">
    <w:p w14:paraId="6DED25A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FIGO, Recommendations on ethics issues in obstetrics and gynecology by the FIGO Committee for the Study of Ethical Aspects of Human Reproduction and Women’s Health, November 2003, October 2012 and October 2015, which include the Guidelines regarding informed consent, adopted in 1995 and reaffirmed and supplemented in 2007, as well as the Ethical recommendations on female sterilization of </w:t>
      </w:r>
      <w:r w:rsidRPr="00012C3F">
        <w:rPr>
          <w:rFonts w:eastAsia="MS Mincho"/>
          <w:sz w:val="16"/>
          <w:szCs w:val="16"/>
          <w:lang w:val="en-US" w:eastAsia="en-US" w:bidi="en-US"/>
        </w:rPr>
        <w:t>1989, 1990, 2000 and 2011</w:t>
      </w:r>
      <w:r w:rsidRPr="00012C3F">
        <w:rPr>
          <w:sz w:val="16"/>
          <w:szCs w:val="16"/>
          <w:lang w:val="en-US"/>
        </w:rPr>
        <w:t>.</w:t>
      </w:r>
    </w:p>
  </w:footnote>
  <w:footnote w:id="213">
    <w:p w14:paraId="3DC9F678" w14:textId="77777777" w:rsidR="00D24EFE" w:rsidRPr="00012C3F" w:rsidRDefault="00D24EFE" w:rsidP="005B52E1">
      <w:pPr>
        <w:tabs>
          <w:tab w:val="left" w:pos="567"/>
        </w:tabs>
        <w:spacing w:after="120" w:line="240" w:lineRule="auto"/>
        <w:rPr>
          <w:rFonts w:eastAsia="MS Mincho" w:cs="ClassicalGaramondBT-Roman"/>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cs="ClassicalGaramondBT-Roman"/>
          <w:i/>
          <w:sz w:val="16"/>
          <w:szCs w:val="16"/>
          <w:lang w:val="en-US" w:eastAsia="en-US" w:bidi="en-US"/>
        </w:rPr>
        <w:t xml:space="preserve">Cf.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folios 5517 to 5518). This document indicates that women must have sufficient time to make up their minds about sterilization before the surgical procedure. This period may vary according to the circumstances of each woman.</w:t>
      </w:r>
    </w:p>
  </w:footnote>
  <w:footnote w:id="214">
    <w:p w14:paraId="0801370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UN, Committee for the Elimination of Discrimination against Women, General Recommendation No. 24, </w:t>
      </w:r>
      <w:r w:rsidRPr="00012C3F">
        <w:rPr>
          <w:i/>
          <w:sz w:val="16"/>
          <w:szCs w:val="16"/>
          <w:lang w:val="en-US"/>
        </w:rPr>
        <w:t xml:space="preserve">Women and health, </w:t>
      </w:r>
      <w:r w:rsidRPr="00012C3F">
        <w:rPr>
          <w:sz w:val="16"/>
          <w:szCs w:val="16"/>
          <w:lang w:val="en-US"/>
        </w:rPr>
        <w:t>1999, paras. 20 to 22 (evidence file, volume VIII, annex 39 to the brief with motions, pleadings and evidence, folio 2711).</w:t>
      </w:r>
    </w:p>
  </w:footnote>
  <w:footnote w:id="215">
    <w:p w14:paraId="31A8F4CA" w14:textId="77777777" w:rsidR="00D24EFE" w:rsidRPr="00012C3F" w:rsidRDefault="00D24EFE" w:rsidP="005B52E1">
      <w:pPr>
        <w:pStyle w:val="Textonotapie"/>
        <w:tabs>
          <w:tab w:val="left" w:pos="540"/>
          <w:tab w:val="left" w:pos="567"/>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 Declaration on the Promotion of Patients’ Rights in Europe, adopted by the WHO Regional Office for Europe in 1994</w:t>
      </w:r>
      <w:r w:rsidRPr="00012C3F">
        <w:rPr>
          <w:bCs/>
          <w:sz w:val="16"/>
          <w:szCs w:val="16"/>
          <w:lang w:val="en-US"/>
        </w:rPr>
        <w:t>,</w:t>
      </w:r>
      <w:r w:rsidRPr="00012C3F">
        <w:rPr>
          <w:sz w:val="16"/>
          <w:szCs w:val="16"/>
          <w:lang w:val="en-US"/>
        </w:rPr>
        <w:t xml:space="preserve"> Article 3</w:t>
      </w:r>
      <w:r w:rsidRPr="00012C3F">
        <w:rPr>
          <w:bCs/>
          <w:sz w:val="16"/>
          <w:szCs w:val="16"/>
          <w:lang w:val="en-US"/>
        </w:rPr>
        <w:t>;</w:t>
      </w:r>
      <w:r w:rsidRPr="00012C3F">
        <w:rPr>
          <w:b/>
          <w:bCs/>
          <w:sz w:val="16"/>
          <w:szCs w:val="16"/>
          <w:lang w:val="en-US"/>
        </w:rPr>
        <w:t xml:space="preserve"> </w:t>
      </w:r>
      <w:r w:rsidRPr="00012C3F">
        <w:rPr>
          <w:rFonts w:eastAsia="MS Mincho"/>
          <w:bCs/>
          <w:sz w:val="16"/>
          <w:szCs w:val="16"/>
          <w:lang w:val="en-US" w:eastAsia="en-US" w:bidi="en-US"/>
        </w:rPr>
        <w:t>Oviedo Convention</w:t>
      </w:r>
      <w:r w:rsidRPr="00012C3F">
        <w:rPr>
          <w:rFonts w:eastAsia="MS Mincho"/>
          <w:color w:val="000000"/>
          <w:sz w:val="16"/>
          <w:szCs w:val="16"/>
          <w:lang w:val="en-US" w:eastAsia="en-US" w:bidi="en-US"/>
        </w:rPr>
        <w:t>,</w:t>
      </w:r>
      <w:r w:rsidRPr="00012C3F">
        <w:rPr>
          <w:sz w:val="16"/>
          <w:szCs w:val="16"/>
          <w:lang w:val="en-US"/>
        </w:rPr>
        <w:t xml:space="preserve"> Article 8, and Explanatory</w:t>
      </w:r>
      <w:r w:rsidRPr="00012C3F">
        <w:rPr>
          <w:rFonts w:eastAsia="MS Mincho"/>
          <w:color w:val="000000"/>
          <w:sz w:val="16"/>
          <w:szCs w:val="16"/>
          <w:lang w:val="en-US" w:eastAsia="en-US" w:bidi="en-US"/>
        </w:rPr>
        <w:t xml:space="preserve"> </w:t>
      </w:r>
      <w:r w:rsidRPr="00012C3F">
        <w:rPr>
          <w:rFonts w:eastAsia="MS Mincho"/>
          <w:sz w:val="16"/>
          <w:szCs w:val="16"/>
          <w:lang w:val="en-US" w:eastAsia="en-US" w:bidi="en-US"/>
        </w:rPr>
        <w:t>Report on Article 8 of the Oviedo Convention, paras. 56 to 59.</w:t>
      </w:r>
    </w:p>
  </w:footnote>
  <w:footnote w:id="216">
    <w:p w14:paraId="39C3BCC7" w14:textId="77777777" w:rsidR="00D24EFE" w:rsidRPr="00012C3F" w:rsidRDefault="00D24EFE" w:rsidP="005B52E1">
      <w:pPr>
        <w:pStyle w:val="Textonotapie"/>
        <w:tabs>
          <w:tab w:val="left" w:pos="540"/>
          <w:tab w:val="left" w:pos="567"/>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UN, Report of the Special Rapporteur on the right of everyone to the highest attainable standard of physical and mental health, Anand Grover, A/64/272, August 10, 2009, para. 12. </w:t>
      </w:r>
    </w:p>
  </w:footnote>
  <w:footnote w:id="217">
    <w:p w14:paraId="252DFE81"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FIGO, Recommendations on ethics issues in obstetrics and gynecology by the FIGO Committee for the Study of Ethical Aspects of Human Reproduction and Women’s Health of October 2012 and October 2015, which include the 2011 Ethical recommendations on female sterilization, and </w:t>
      </w:r>
      <w:r w:rsidRPr="00012C3F">
        <w:rPr>
          <w:rFonts w:eastAsia="MS Mincho"/>
          <w:sz w:val="16"/>
          <w:szCs w:val="16"/>
          <w:lang w:val="en-US" w:eastAsia="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folios 2452 and 2457). See also, Report of the Special Rapporteur on torture and other cruel, inhuman or degrading treatment or punishment, Juan E. Méndez, A/HRC/22/53, February 1, 2013, paras. 31 to 35, and Report of the Special Rapporteur on torture and other cruel, inhuman or degrading treatment or punishment, Juan E. Méndez, A/HRC/31/57, January 5, 2016, para. 45.</w:t>
      </w:r>
    </w:p>
  </w:footnote>
  <w:footnote w:id="218">
    <w:p w14:paraId="70895707" w14:textId="77777777" w:rsidR="00D24EFE" w:rsidRPr="00012C3F" w:rsidRDefault="00D24EFE" w:rsidP="005B52E1">
      <w:pPr>
        <w:pStyle w:val="Textonotapie"/>
        <w:tabs>
          <w:tab w:val="left" w:pos="567"/>
          <w:tab w:val="left" w:pos="63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xml:space="preserve">, No. 18968/07. Judgment of November 8, 2011, paras. 110 to 117. The same reasoning was adopted in the case </w:t>
      </w:r>
      <w:r w:rsidRPr="00012C3F">
        <w:rPr>
          <w:i/>
          <w:sz w:val="16"/>
          <w:szCs w:val="16"/>
          <w:lang w:val="en-US"/>
        </w:rPr>
        <w:t>of N.B. v. Slovakia</w:t>
      </w:r>
      <w:r w:rsidRPr="00012C3F">
        <w:rPr>
          <w:sz w:val="16"/>
          <w:szCs w:val="16"/>
          <w:lang w:val="en-US"/>
        </w:rPr>
        <w:t xml:space="preserve">, No. 29518/10. Judgment of June 12, 2012, para. 74, and the </w:t>
      </w:r>
      <w:r w:rsidRPr="00012C3F">
        <w:rPr>
          <w:i/>
          <w:sz w:val="16"/>
          <w:szCs w:val="16"/>
          <w:lang w:val="en-US"/>
        </w:rPr>
        <w:t>Case of I.G., M.K. and R.H. v. Slovakia</w:t>
      </w:r>
      <w:r w:rsidRPr="00012C3F">
        <w:rPr>
          <w:sz w:val="16"/>
          <w:szCs w:val="16"/>
          <w:lang w:val="en-US"/>
        </w:rPr>
        <w:t>, No. 15966/04. Judgment of November 13, 2012, para. 122 (evidence file, volume VIII, annexes 26, 27 and 28 to the brief with motions, pleadings and evidence, folios 2474 to 2577).</w:t>
      </w:r>
    </w:p>
  </w:footnote>
  <w:footnote w:id="219">
    <w:p w14:paraId="5FDCA246"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In this regard, the Court understands from this document that voluntary surgical sterilizations would refer to the choice of sterilization as a permanent contraception method, without other reasons related to the patient’s health. Moreover, the Court understands that sterilization for reasons of health or by medical indication would result from situations in which, owing to the woman’s health (a high-risk pregnancy), the physician recommends that contraception method as the most appropriate. However, in that case, sterilization is also voluntary and requires informed consent. The manual establishes that: “[i]n almost all countries sterilization is provided for certain health indications, such as ruptured uterus, a multiple </w:t>
      </w:r>
      <w:r w:rsidRPr="00012C3F">
        <w:rPr>
          <w:rFonts w:cs="Arial"/>
          <w:sz w:val="16"/>
          <w:szCs w:val="16"/>
          <w:lang w:val="en-US"/>
        </w:rPr>
        <w:t>caesarean sections (usually after three or four) or other serious obstetric or medical problems. Some conditions that increase the health risks associated with pregnancy are multiparity, advanced maternal age, previous obstetric complications, medical conditions that can complicate the pregnancy […] and previous abortions.” It also indicates that: “[f]or some clients, pregnancy poses a serious health risk, and contraception is therefore recommended for medical reasons. Sterilization is often considered in these situations. As in other cases, these women should make voluntary, informed, well-considered decisions about contraception; family planning counselling is necessary. However, the nature of counselling  is different when contraception has been recommended for medical reasons. When a woman is advised to undergo sterilization for medical reasons, the doctor and other staff members must ensure that she understands the comparative risks associated with pregnancy, sterilization, and other methods of contraceptive. Vasectomy for  the partner and long-term methods (intrauterine devices and implantable contraceptives)</w:t>
      </w:r>
      <w:r w:rsidRPr="00012C3F">
        <w:rPr>
          <w:sz w:val="16"/>
          <w:szCs w:val="16"/>
          <w:lang w:val="en-US"/>
        </w:rPr>
        <w:t xml:space="preserve"> should also be considered, particularly, </w:t>
      </w:r>
      <w:r w:rsidRPr="00012C3F">
        <w:rPr>
          <w:rFonts w:cs="Arial"/>
          <w:sz w:val="16"/>
          <w:szCs w:val="16"/>
          <w:lang w:val="en-US"/>
        </w:rPr>
        <w:t>if the sterilization surgery poses a significant risk for the woman. If the woman chooses to undergo tubal occlusion, informed consent is necessary.</w:t>
      </w:r>
      <w:r w:rsidRPr="00012C3F">
        <w:rPr>
          <w:sz w:val="16"/>
          <w:szCs w:val="16"/>
          <w:lang w:val="en-US"/>
        </w:rPr>
        <w:t xml:space="preserv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Female sterilization: a guide to provision of services</w:t>
      </w:r>
      <w:r w:rsidRPr="00012C3F">
        <w:rPr>
          <w:rFonts w:cs="Arial"/>
          <w:sz w:val="16"/>
          <w:szCs w:val="16"/>
          <w:lang w:val="en-US"/>
        </w:rPr>
        <w:t>, 1993, pp. 72 and 78</w:t>
      </w:r>
      <w:r w:rsidRPr="00012C3F">
        <w:rPr>
          <w:rFonts w:cs="Arial"/>
          <w:i/>
          <w:sz w:val="16"/>
          <w:szCs w:val="16"/>
          <w:lang w:val="en-US"/>
        </w:rPr>
        <w:t xml:space="preserve"> </w:t>
      </w:r>
      <w:r w:rsidRPr="00012C3F">
        <w:rPr>
          <w:sz w:val="16"/>
          <w:szCs w:val="16"/>
          <w:lang w:val="en-US"/>
        </w:rPr>
        <w:t>(evidence file, volume XIII, annex 3 to the State’s final arguments, folios 5521 and 5527).</w:t>
      </w:r>
    </w:p>
  </w:footnote>
  <w:footnote w:id="220">
    <w:p w14:paraId="2E4A45A7" w14:textId="77777777" w:rsidR="00D24EFE" w:rsidRPr="00012C3F" w:rsidRDefault="00D24EFE" w:rsidP="006F2C0B">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guide establishes that </w:t>
      </w:r>
      <w:r w:rsidRPr="00012C3F">
        <w:rPr>
          <w:rFonts w:eastAsia="MS Mincho"/>
          <w:bCs/>
          <w:sz w:val="16"/>
          <w:szCs w:val="16"/>
          <w:lang w:val="en-US" w:eastAsia="en-US" w:bidi="en-US"/>
        </w:rPr>
        <w:t>“[</w:t>
      </w:r>
      <w:r w:rsidRPr="00012C3F">
        <w:rPr>
          <w:sz w:val="16"/>
          <w:szCs w:val="16"/>
          <w:lang w:val="en-US"/>
        </w:rPr>
        <w:t xml:space="preserve">i]n a few instances sterilization is performed without family planning counselling and consent. For example, if a woman arrives at the hospital in shock due to a ruptured uterus, she must undergo emergency surgery, and a sterilization is often medically necessary because of the high risk of death if the woman becomes pregnant again. In such cases, postoperative counselling is essential to help the patient adjust to her loss of fertility and understand why the surgery was necessary.”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Female sterilization: a guide to provision of services</w:t>
      </w:r>
      <w:r w:rsidRPr="00012C3F">
        <w:rPr>
          <w:rFonts w:cs="Arial"/>
          <w:sz w:val="16"/>
          <w:szCs w:val="16"/>
          <w:lang w:val="en-US"/>
        </w:rPr>
        <w:t>, 1993, pp.72</w:t>
      </w:r>
      <w:r>
        <w:rPr>
          <w:rFonts w:cs="Arial"/>
          <w:sz w:val="16"/>
          <w:szCs w:val="16"/>
          <w:lang w:val="en-US"/>
        </w:rPr>
        <w:t xml:space="preserve"> and </w:t>
      </w:r>
      <w:r w:rsidRPr="00012C3F">
        <w:rPr>
          <w:rFonts w:cs="Arial"/>
          <w:sz w:val="16"/>
          <w:szCs w:val="16"/>
          <w:lang w:val="en-US"/>
        </w:rPr>
        <w:t xml:space="preserve">73 </w:t>
      </w:r>
      <w:r w:rsidRPr="00012C3F">
        <w:rPr>
          <w:sz w:val="16"/>
          <w:szCs w:val="16"/>
          <w:lang w:val="en-US" w:eastAsia="es-CR"/>
        </w:rPr>
        <w:t xml:space="preserve">(evidence file, volume XIII, annex 3 to the State’s final arguments, folios </w:t>
      </w:r>
      <w:r w:rsidRPr="00012C3F">
        <w:rPr>
          <w:sz w:val="16"/>
          <w:szCs w:val="16"/>
          <w:lang w:val="en-US"/>
        </w:rPr>
        <w:t>5521 and 5522).</w:t>
      </w:r>
    </w:p>
  </w:footnote>
  <w:footnote w:id="221">
    <w:p w14:paraId="725ED28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i/>
          <w:sz w:val="16"/>
          <w:szCs w:val="16"/>
          <w:lang w:val="en-US"/>
        </w:rPr>
        <w:t xml:space="preserve"> </w:t>
      </w:r>
      <w:r w:rsidRPr="00012C3F">
        <w:rPr>
          <w:i/>
          <w:sz w:val="16"/>
          <w:szCs w:val="16"/>
          <w:lang w:val="en-US"/>
        </w:rPr>
        <w:tab/>
        <w:t>Cf.</w:t>
      </w:r>
      <w:r w:rsidRPr="00012C3F">
        <w:rPr>
          <w:sz w:val="16"/>
          <w:szCs w:val="16"/>
          <w:lang w:val="en-US"/>
        </w:rPr>
        <w:t xml:space="preserve"> </w:t>
      </w:r>
      <w:r w:rsidRPr="00012C3F">
        <w:rPr>
          <w:bCs/>
          <w:sz w:val="16"/>
          <w:szCs w:val="16"/>
          <w:lang w:val="en-US"/>
        </w:rPr>
        <w:t>Declaration of Helsinki,</w:t>
      </w:r>
      <w:r w:rsidRPr="00012C3F">
        <w:rPr>
          <w:sz w:val="16"/>
          <w:szCs w:val="16"/>
          <w:lang w:val="en-US"/>
        </w:rPr>
        <w:t xml:space="preserve"> Principles 25 to 32</w:t>
      </w:r>
      <w:r w:rsidRPr="00012C3F">
        <w:rPr>
          <w:bCs/>
          <w:sz w:val="16"/>
          <w:szCs w:val="16"/>
          <w:lang w:val="en-US"/>
        </w:rPr>
        <w:t>; Declaration of Lisbon on the rights of patients,</w:t>
      </w:r>
      <w:r w:rsidRPr="00012C3F">
        <w:rPr>
          <w:sz w:val="16"/>
          <w:szCs w:val="16"/>
          <w:lang w:val="en-US"/>
        </w:rPr>
        <w:t xml:space="preserve"> Principles 3, 7 and 10</w:t>
      </w:r>
      <w:r w:rsidRPr="00012C3F">
        <w:rPr>
          <w:bCs/>
          <w:sz w:val="16"/>
          <w:szCs w:val="16"/>
          <w:lang w:val="en-US"/>
        </w:rPr>
        <w:t xml:space="preserve">; UN, </w:t>
      </w:r>
      <w:r w:rsidRPr="00012C3F">
        <w:rPr>
          <w:rFonts w:eastAsia="MS Mincho"/>
          <w:bCs/>
          <w:sz w:val="16"/>
          <w:szCs w:val="16"/>
          <w:lang w:val="en-US" w:eastAsia="en-US" w:bidi="en-US"/>
        </w:rPr>
        <w:t>Principles for the protection of persons with mental illness and the improvement of mental health care, A/RES/46/119, December 17, 1991</w:t>
      </w:r>
      <w:r w:rsidRPr="00012C3F">
        <w:rPr>
          <w:rFonts w:eastAsia="MS Mincho"/>
          <w:bCs/>
          <w:sz w:val="16"/>
          <w:szCs w:val="16"/>
          <w:lang w:val="en-US" w:bidi="en-US"/>
        </w:rPr>
        <w:t>,</w:t>
      </w:r>
      <w:r w:rsidRPr="00012C3F">
        <w:rPr>
          <w:bCs/>
          <w:sz w:val="16"/>
          <w:szCs w:val="16"/>
          <w:lang w:val="en-US"/>
        </w:rPr>
        <w:t xml:space="preserve"> Principle 11(2)</w:t>
      </w:r>
      <w:r w:rsidRPr="00012C3F">
        <w:rPr>
          <w:rFonts w:eastAsia="MS Mincho"/>
          <w:bCs/>
          <w:sz w:val="16"/>
          <w:szCs w:val="16"/>
          <w:lang w:val="en-US" w:eastAsia="en-US" w:bidi="en-US"/>
        </w:rPr>
        <w:t xml:space="preserve">; 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folios 5496 to 5499; 5510 to 5520 and 5530 to 5531); FIGO, Recommendations on ethics issues in obstetrics and gynecology by the FIGO Committee for the Study of Ethical Aspects of Human Reproduction and Women’s Health of November 2003, October 2012 and October 2015, which include the Guidelines regarding informed consent, adopted in 1995 and reaffirmed and supplemented in 2007, pp. 166 and 167 (2003), pp. 316 to 318 (2012) and pp. 399 to 401 (2015), as well as the Ethical recommendations on female sterilization of</w:t>
      </w:r>
      <w:r w:rsidRPr="00012C3F">
        <w:rPr>
          <w:rFonts w:eastAsia="MS Mincho"/>
          <w:sz w:val="16"/>
          <w:szCs w:val="16"/>
          <w:lang w:val="en-US" w:eastAsia="en-US" w:bidi="en-US"/>
        </w:rPr>
        <w:t xml:space="preserve"> 1989, 1990, 2000 and 2011</w:t>
      </w:r>
      <w:r w:rsidRPr="00012C3F">
        <w:rPr>
          <w:sz w:val="16"/>
          <w:szCs w:val="16"/>
          <w:lang w:val="en-US"/>
        </w:rPr>
        <w:t xml:space="preserve">, pp. 55 to 57 and 213 to 218 (2003), pp. 436 to 440 (2012) and pp. 537 to 541 (2015); UN, Committee for the Elimination of Discrimination against Women, General Recommendation No. 24, </w:t>
      </w:r>
      <w:r w:rsidRPr="00012C3F">
        <w:rPr>
          <w:i/>
          <w:sz w:val="16"/>
          <w:szCs w:val="16"/>
          <w:lang w:val="en-US"/>
        </w:rPr>
        <w:t>Women and health</w:t>
      </w:r>
      <w:r w:rsidRPr="00012C3F">
        <w:rPr>
          <w:sz w:val="16"/>
          <w:szCs w:val="16"/>
          <w:lang w:val="en-US"/>
        </w:rPr>
        <w:t xml:space="preserve">, 1999, para. 22 (evidence file, volume VIII, annex 39 to the brief with motions, pleadings and evidence, folio 2711); </w:t>
      </w:r>
      <w:r w:rsidRPr="00012C3F">
        <w:rPr>
          <w:rFonts w:eastAsia="MS Mincho"/>
          <w:bCs/>
          <w:sz w:val="16"/>
          <w:szCs w:val="16"/>
          <w:lang w:val="en-US" w:eastAsia="en-US" w:bidi="en-US"/>
        </w:rPr>
        <w:t xml:space="preserve">Universal Declaration on Bioethics and Human Rights, </w:t>
      </w:r>
      <w:r w:rsidRPr="00012C3F">
        <w:rPr>
          <w:rFonts w:eastAsia="MS Mincho"/>
          <w:bCs/>
          <w:sz w:val="16"/>
          <w:szCs w:val="16"/>
          <w:lang w:val="en-US" w:bidi="en-US"/>
        </w:rPr>
        <w:t>Article</w:t>
      </w:r>
      <w:r w:rsidRPr="00012C3F">
        <w:rPr>
          <w:sz w:val="16"/>
          <w:szCs w:val="16"/>
          <w:lang w:val="en-US"/>
        </w:rPr>
        <w:t xml:space="preserve"> 6</w:t>
      </w:r>
      <w:r w:rsidRPr="00012C3F">
        <w:rPr>
          <w:rFonts w:eastAsia="MS Mincho"/>
          <w:bCs/>
          <w:sz w:val="16"/>
          <w:szCs w:val="16"/>
          <w:lang w:val="en-US" w:eastAsia="en-US" w:bidi="en-US"/>
        </w:rPr>
        <w:t>;</w:t>
      </w:r>
      <w:r w:rsidRPr="00012C3F">
        <w:rPr>
          <w:rFonts w:eastAsia="MS Mincho"/>
          <w:bCs/>
          <w:sz w:val="16"/>
          <w:szCs w:val="16"/>
          <w:lang w:val="en-US" w:bidi="en-US"/>
        </w:rPr>
        <w:t xml:space="preserve"> UN, Report of the Special Rapporteur on the right of everyone to the highest attainable standard of physical and mental health, Anand Grover, A/64/272, August 10, 2009,</w:t>
      </w:r>
      <w:r w:rsidRPr="00012C3F">
        <w:rPr>
          <w:sz w:val="16"/>
          <w:szCs w:val="16"/>
          <w:lang w:val="en-US"/>
        </w:rPr>
        <w:t xml:space="preserve"> paras. 13 and 14; WMA,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adopted by the 63rd General Assembly,  Bangkok, Thailand, October 2012, which emphasizes that “consent to sterilization should be free of any material or social incentives which might distort freedom of choice” </w:t>
      </w:r>
      <w:r w:rsidRPr="00012C3F">
        <w:rPr>
          <w:sz w:val="16"/>
          <w:szCs w:val="16"/>
          <w:lang w:val="en-US"/>
        </w:rPr>
        <w:t xml:space="preserve">(evidence file, volume VIII, annex 31 to the brief with motions, pleadings and evidence, folios 2613 to 2614); </w:t>
      </w:r>
      <w:r w:rsidRPr="00012C3F">
        <w:rPr>
          <w:rFonts w:eastAsia="MS Mincho"/>
          <w:sz w:val="16"/>
          <w:szCs w:val="16"/>
          <w:lang w:val="en-US" w:bidi="en-US"/>
        </w:rPr>
        <w:t>United Nations Interagency Statement</w:t>
      </w:r>
      <w:r w:rsidRPr="00012C3F">
        <w:rPr>
          <w:rFonts w:eastAsia="MS Mincho"/>
          <w:sz w:val="16"/>
          <w:szCs w:val="16"/>
          <w:lang w:val="en-US" w:eastAsia="en-US" w:bidi="en-US"/>
        </w:rPr>
        <w:t xml:space="preserve"> “Eliminating forced, coercive and otherwise involuntary sterilization</w:t>
      </w:r>
      <w:r w:rsidRPr="00012C3F">
        <w:rPr>
          <w:rFonts w:eastAsia="MS Mincho"/>
          <w:sz w:val="16"/>
          <w:szCs w:val="16"/>
          <w:lang w:val="en-US" w:bidi="en-US"/>
        </w:rPr>
        <w:t>,” adopted by OHCHR, UN Women, UNAIDS, UNDP, UNFPA, UNICEF and WHO, 2014</w:t>
      </w:r>
      <w:r w:rsidRPr="00012C3F">
        <w:rPr>
          <w:sz w:val="16"/>
          <w:szCs w:val="16"/>
          <w:lang w:val="en-US"/>
        </w:rPr>
        <w:t xml:space="preserve"> (evidence file, volume VIII, annex 25 to the brief with motions, pleadings and evidence, folios 2452 to 2454 and 2457).</w:t>
      </w:r>
    </w:p>
  </w:footnote>
  <w:footnote w:id="222">
    <w:p w14:paraId="3AC0AF5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sz w:val="16"/>
          <w:szCs w:val="16"/>
          <w:lang w:val="en-US"/>
        </w:rPr>
        <w:t>Declaration of Helsinki, Principle</w:t>
      </w:r>
      <w:r w:rsidRPr="00012C3F">
        <w:rPr>
          <w:sz w:val="16"/>
          <w:szCs w:val="16"/>
          <w:lang w:val="en-US"/>
        </w:rPr>
        <w:t xml:space="preserve"> 23</w:t>
      </w:r>
      <w:r w:rsidRPr="00012C3F">
        <w:rPr>
          <w:bCs/>
          <w:sz w:val="16"/>
          <w:szCs w:val="16"/>
          <w:lang w:val="en-US"/>
        </w:rPr>
        <w:t>.</w:t>
      </w:r>
    </w:p>
  </w:footnote>
  <w:footnote w:id="223">
    <w:p w14:paraId="0D12512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sz w:val="16"/>
          <w:szCs w:val="16"/>
          <w:lang w:val="en-US"/>
        </w:rPr>
        <w:t>Declaration of Helsinki,</w:t>
      </w:r>
      <w:r w:rsidRPr="00012C3F">
        <w:rPr>
          <w:sz w:val="16"/>
          <w:szCs w:val="16"/>
          <w:lang w:val="en-US"/>
        </w:rPr>
        <w:t xml:space="preserve"> Principle 22</w:t>
      </w:r>
      <w:r w:rsidRPr="00012C3F">
        <w:rPr>
          <w:bCs/>
          <w:sz w:val="16"/>
          <w:szCs w:val="16"/>
          <w:lang w:val="en-US"/>
        </w:rPr>
        <w:t>; Declaration of Lisbon on the rights of patients,</w:t>
      </w:r>
      <w:r w:rsidRPr="00012C3F">
        <w:rPr>
          <w:sz w:val="16"/>
          <w:szCs w:val="16"/>
          <w:lang w:val="en-US"/>
        </w:rPr>
        <w:t xml:space="preserve"> Principle 3</w:t>
      </w:r>
      <w:r w:rsidRPr="00012C3F">
        <w:rPr>
          <w:bCs/>
          <w:sz w:val="16"/>
          <w:szCs w:val="16"/>
          <w:lang w:val="en-US"/>
        </w:rPr>
        <w:t xml:space="preserve">;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w:t>
      </w:r>
      <w:r w:rsidRPr="00012C3F">
        <w:rPr>
          <w:sz w:val="16"/>
          <w:szCs w:val="16"/>
          <w:lang w:val="en-US"/>
        </w:rPr>
        <w:t>(evidence file, volume VIII, annex 31 to the brief with motions, pleadings and evidence, folios 2613 to 2614).</w:t>
      </w:r>
    </w:p>
  </w:footnote>
  <w:footnote w:id="224">
    <w:p w14:paraId="12C0FF4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eastAsia="en-US" w:bidi="en-US"/>
        </w:rPr>
        <w:t>Universal Declaration on Bioethics and Human Rights, Article</w:t>
      </w:r>
      <w:r w:rsidRPr="00012C3F">
        <w:rPr>
          <w:sz w:val="16"/>
          <w:szCs w:val="16"/>
          <w:lang w:val="en-US"/>
        </w:rPr>
        <w:t xml:space="preserve"> 6(1).</w:t>
      </w:r>
    </w:p>
  </w:footnote>
  <w:footnote w:id="225">
    <w:p w14:paraId="110DBE5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UN, Committee for the Elimination of Discrimination against Women,</w:t>
      </w:r>
      <w:r w:rsidRPr="00012C3F" w:rsidDel="00845737">
        <w:rPr>
          <w:sz w:val="16"/>
          <w:szCs w:val="16"/>
          <w:lang w:val="en-US"/>
        </w:rPr>
        <w:t xml:space="preserve"> </w:t>
      </w:r>
      <w:r w:rsidRPr="00012C3F">
        <w:rPr>
          <w:sz w:val="16"/>
          <w:szCs w:val="16"/>
          <w:lang w:val="en-US"/>
        </w:rPr>
        <w:t xml:space="preserve">General Recommendation No. 21, 1994, paras. 21 to 23 (evidence file, volume VIII, annex 38 to the brief with motions, pleadings and evidence, folio 2700), and UN, Human Rights Committee, General Comment No. 28, </w:t>
      </w:r>
      <w:r w:rsidRPr="00012C3F">
        <w:rPr>
          <w:i/>
          <w:sz w:val="16"/>
          <w:szCs w:val="16"/>
          <w:lang w:val="en-US"/>
        </w:rPr>
        <w:t>The equality of rights between men and women</w:t>
      </w:r>
      <w:r w:rsidRPr="00012C3F">
        <w:rPr>
          <w:sz w:val="16"/>
          <w:szCs w:val="16"/>
          <w:lang w:val="en-US"/>
        </w:rPr>
        <w:t>, March 29, 2000, para. 20. Also,</w:t>
      </w:r>
      <w:r w:rsidRPr="00012C3F">
        <w:rPr>
          <w:rFonts w:eastAsia="MS Mincho"/>
          <w:bCs/>
          <w:sz w:val="16"/>
          <w:szCs w:val="16"/>
          <w:lang w:val="en-US" w:bidi="en-US"/>
        </w:rPr>
        <w:t xml:space="preserve"> the Special Rapporteur on the right of everyone to the highest attainable standard of physical and mental health</w:t>
      </w:r>
      <w:r w:rsidRPr="00012C3F">
        <w:rPr>
          <w:rFonts w:eastAsia="MS Mincho"/>
          <w:sz w:val="16"/>
          <w:szCs w:val="16"/>
          <w:lang w:val="en-US" w:eastAsia="en-US" w:bidi="en-US"/>
        </w:rPr>
        <w:t xml:space="preserve"> considered that </w:t>
      </w:r>
      <w:r w:rsidRPr="00012C3F">
        <w:rPr>
          <w:sz w:val="16"/>
          <w:szCs w:val="16"/>
          <w:lang w:val="en-US"/>
        </w:rPr>
        <w:t>“any requirement for preliminary authorization by a third party is a violation of a woman’s autonomy.”</w:t>
      </w:r>
      <w:r w:rsidRPr="00012C3F">
        <w:rPr>
          <w:rFonts w:eastAsia="MS Mincho"/>
          <w:sz w:val="16"/>
          <w:szCs w:val="16"/>
          <w:lang w:val="en-US" w:eastAsia="en-US" w:bidi="en-US"/>
        </w:rPr>
        <w:t xml:space="preserve"> </w:t>
      </w:r>
      <w:r w:rsidRPr="00012C3F">
        <w:rPr>
          <w:i/>
          <w:sz w:val="16"/>
          <w:szCs w:val="16"/>
          <w:lang w:val="en-US"/>
        </w:rPr>
        <w:t>Cf.</w:t>
      </w:r>
      <w:r w:rsidRPr="00012C3F">
        <w:rPr>
          <w:sz w:val="16"/>
          <w:szCs w:val="16"/>
          <w:lang w:val="en-US"/>
        </w:rPr>
        <w:t xml:space="preserve"> </w:t>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para. 57.</w:t>
      </w:r>
    </w:p>
  </w:footnote>
  <w:footnote w:id="226">
    <w:p w14:paraId="574B623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cs="ClassicalGaramondBT-Roman"/>
          <w:i/>
          <w:sz w:val="16"/>
          <w:szCs w:val="16"/>
          <w:lang w:val="en-US" w:eastAsia="en-US" w:bidi="en-US"/>
        </w:rPr>
        <w:t xml:space="preserve">Cf. </w:t>
      </w:r>
      <w:r w:rsidRPr="00012C3F">
        <w:rPr>
          <w:sz w:val="16"/>
          <w:szCs w:val="16"/>
          <w:lang w:val="en-US"/>
        </w:rPr>
        <w:t>UN, Committee for the Elimination of Discrimination against Women,</w:t>
      </w:r>
      <w:r w:rsidRPr="00012C3F" w:rsidDel="00845737">
        <w:rPr>
          <w:sz w:val="16"/>
          <w:szCs w:val="16"/>
          <w:lang w:val="en-US"/>
        </w:rPr>
        <w:t xml:space="preserve"> </w:t>
      </w:r>
      <w:r w:rsidRPr="00012C3F">
        <w:rPr>
          <w:sz w:val="16"/>
          <w:szCs w:val="16"/>
          <w:lang w:val="en-US"/>
        </w:rPr>
        <w:t xml:space="preserve">General Recommendation No. 21, 1994, para. 22 (evidence file, volume VIII, annex 38 to the brief with motions, pleadings and evidence, folio 2700); UN, Human Rights Committee, General Comment No. 28, </w:t>
      </w:r>
      <w:r w:rsidRPr="00012C3F">
        <w:rPr>
          <w:i/>
          <w:sz w:val="16"/>
          <w:szCs w:val="16"/>
          <w:lang w:val="en-US"/>
        </w:rPr>
        <w:t>The equality of rights between men and women</w:t>
      </w:r>
      <w:r w:rsidRPr="00012C3F">
        <w:rPr>
          <w:sz w:val="16"/>
          <w:szCs w:val="16"/>
          <w:lang w:val="en-US"/>
        </w:rPr>
        <w:t xml:space="preserve">, March 29, 2000, para. 20;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 5518); FIGO, Recommendations on ethics issues in obstetrics and gynecology by the FIGO Committee for the Study of Ethical Aspects of Human Reproduction and Women’s Health of November 2003, October 2012 and October 2015, which includes the Ethical considerations on sterilization of</w:t>
      </w:r>
      <w:r w:rsidRPr="00012C3F">
        <w:rPr>
          <w:rFonts w:eastAsia="MS Mincho"/>
          <w:sz w:val="16"/>
          <w:szCs w:val="16"/>
          <w:lang w:val="en-US" w:eastAsia="en-US" w:bidi="en-US"/>
        </w:rPr>
        <w:t xml:space="preserve"> 1989, 1990, 2000 and 2011</w:t>
      </w:r>
      <w:r w:rsidRPr="00012C3F">
        <w:rPr>
          <w:sz w:val="16"/>
          <w:szCs w:val="16"/>
          <w:lang w:val="en-US"/>
        </w:rPr>
        <w:t xml:space="preserve">, pp. 59 and 217 (2003), pp. 436 and 437 (2012) and p. 538 (2015), and </w:t>
      </w:r>
      <w:r w:rsidRPr="00012C3F">
        <w:rPr>
          <w:rFonts w:eastAsia="MS Mincho" w:cs="ClassicalGaramondBT-Roman"/>
          <w:color w:val="000000"/>
          <w:sz w:val="16"/>
          <w:szCs w:val="16"/>
          <w:lang w:val="en-US" w:eastAsia="en-US" w:bidi="en-US"/>
        </w:rPr>
        <w:t>United Nations Interagency Statement “Eliminating forced, coercive and otherwise involuntary sterilization</w:t>
      </w:r>
      <w:r w:rsidRPr="00012C3F">
        <w:rPr>
          <w:rFonts w:eastAsia="MS Mincho"/>
          <w:sz w:val="16"/>
          <w:szCs w:val="16"/>
          <w:lang w:val="en-US" w:bidi="en-US"/>
        </w:rPr>
        <w:t>,” adopted by OHCHR, UN Women, UNAIDS, UNDP, UNFPA, UNICEF and WHO, 2014</w:t>
      </w:r>
      <w:r w:rsidRPr="00012C3F">
        <w:rPr>
          <w:sz w:val="16"/>
          <w:szCs w:val="16"/>
          <w:lang w:val="en-US"/>
        </w:rPr>
        <w:t xml:space="preserve"> (evidence file, volume VIII, annex 25 to the brief with motions, pleadings and evidence, folios 2452 to 2453).</w:t>
      </w:r>
    </w:p>
  </w:footnote>
  <w:footnote w:id="227">
    <w:p w14:paraId="02031586" w14:textId="77777777" w:rsidR="00D24EFE" w:rsidRPr="00012C3F" w:rsidRDefault="00D24EFE" w:rsidP="005B52E1">
      <w:pPr>
        <w:tabs>
          <w:tab w:val="left" w:pos="567"/>
        </w:tabs>
        <w:spacing w:after="120" w:line="240" w:lineRule="auto"/>
        <w:rPr>
          <w:rFonts w:eastAsia="MS Mincho" w:cs="ClassicalGaramondBT-Roman"/>
          <w:sz w:val="16"/>
          <w:szCs w:val="16"/>
          <w:lang w:val="en-US" w:eastAsia="en-US" w:bidi="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cs="ClassicalGaramondBT-Roman"/>
          <w:i/>
          <w:sz w:val="16"/>
          <w:szCs w:val="16"/>
          <w:lang w:val="en-US" w:eastAsia="en-US" w:bidi="en-US"/>
        </w:rPr>
        <w:t xml:space="preserve">Cf.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 5517).</w:t>
      </w:r>
    </w:p>
  </w:footnote>
  <w:footnote w:id="228">
    <w:p w14:paraId="4B5D64BC"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cs="ClassicalGaramondBT-Roman"/>
          <w:i/>
          <w:sz w:val="16"/>
          <w:szCs w:val="16"/>
          <w:lang w:val="en-US" w:eastAsia="en-US" w:bidi="en-US"/>
        </w:rPr>
        <w:t xml:space="preserve">Cf. </w:t>
      </w:r>
      <w:r w:rsidRPr="00012C3F">
        <w:rPr>
          <w:sz w:val="16"/>
          <w:szCs w:val="16"/>
          <w:lang w:val="en-US"/>
        </w:rPr>
        <w:t>FIGO, Recommendations on ethics issues in obstetrics and gynecology by the FIGO Committee for the Study of Ethical Aspects of Human Reproduction and Women’s of October 2012 and October 2015, which include the 2011 Ethical recommendations on female sterilization, p. 437 (2012) and p. 539 (2015).</w:t>
      </w:r>
    </w:p>
  </w:footnote>
  <w:footnote w:id="229">
    <w:p w14:paraId="58EE5CD6" w14:textId="77777777" w:rsidR="00D24EFE" w:rsidRPr="00012C3F" w:rsidRDefault="00D24EFE" w:rsidP="005B52E1">
      <w:pPr>
        <w:tabs>
          <w:tab w:val="left" w:pos="567"/>
        </w:tabs>
        <w:spacing w:after="120" w:line="240" w:lineRule="auto"/>
        <w:rPr>
          <w:rFonts w:eastAsia="MS Mincho"/>
          <w:b/>
          <w:i/>
          <w:sz w:val="16"/>
          <w:szCs w:val="16"/>
          <w:lang w:val="en-US" w:eastAsia="en-US" w:bidi="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WMA,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VIII, annex 31 to the brief with motions, pleadings and evidence, folios 2613 and 2614).</w:t>
      </w:r>
    </w:p>
  </w:footnote>
  <w:footnote w:id="230">
    <w:p w14:paraId="4B6C54BC" w14:textId="77777777" w:rsidR="00D24EFE" w:rsidRPr="00012C3F" w:rsidRDefault="00D24EFE" w:rsidP="005B52E1">
      <w:pPr>
        <w:tabs>
          <w:tab w:val="left" w:pos="567"/>
        </w:tabs>
        <w:spacing w:after="120" w:line="240" w:lineRule="auto"/>
        <w:rPr>
          <w:rFonts w:eastAsia="MS Mincho"/>
          <w:bCs/>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 2457).</w:t>
      </w:r>
    </w:p>
  </w:footnote>
  <w:footnote w:id="231">
    <w:p w14:paraId="15FB85B8" w14:textId="77777777" w:rsidR="00D24EFE" w:rsidRPr="00012C3F" w:rsidRDefault="00D24EFE" w:rsidP="005B52E1">
      <w:pPr>
        <w:pStyle w:val="Textonotapie"/>
        <w:tabs>
          <w:tab w:val="left" w:pos="540"/>
          <w:tab w:val="left" w:pos="567"/>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xml:space="preserve">, para. 14. </w:t>
      </w:r>
    </w:p>
  </w:footnote>
  <w:footnote w:id="232">
    <w:p w14:paraId="6D459A04" w14:textId="77777777" w:rsidR="00D24EFE" w:rsidRPr="00012C3F" w:rsidRDefault="00D24EFE" w:rsidP="005B52E1">
      <w:pPr>
        <w:pStyle w:val="Textonotapie"/>
        <w:tabs>
          <w:tab w:val="left" w:pos="567"/>
          <w:tab w:val="left" w:pos="63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xml:space="preserve">, No. 18968/07. Judgment of November 8, 2011, paras. 111 and 112. The same reasoning was adopted in the </w:t>
      </w:r>
      <w:r w:rsidRPr="00012C3F">
        <w:rPr>
          <w:i/>
          <w:sz w:val="16"/>
          <w:szCs w:val="16"/>
          <w:lang w:val="en-US"/>
        </w:rPr>
        <w:t>Case of N.B. v. Slovakia</w:t>
      </w:r>
      <w:r w:rsidRPr="00012C3F">
        <w:rPr>
          <w:sz w:val="16"/>
          <w:szCs w:val="16"/>
          <w:lang w:val="en-US"/>
        </w:rPr>
        <w:t xml:space="preserve">, No. 29518/10. Judgment of June 12, 2012, para. 77, and </w:t>
      </w:r>
      <w:r w:rsidRPr="00012C3F">
        <w:rPr>
          <w:i/>
          <w:sz w:val="16"/>
          <w:szCs w:val="16"/>
          <w:lang w:val="en-US"/>
        </w:rPr>
        <w:t>Case of I.G., M.K. and R.H. v. Slovakia</w:t>
      </w:r>
      <w:r w:rsidRPr="00012C3F">
        <w:rPr>
          <w:sz w:val="16"/>
          <w:szCs w:val="16"/>
          <w:lang w:val="en-US"/>
        </w:rPr>
        <w:t>, No. 15966/04. Judgment of November 13, 2012, para. 122 (evidence file, volume VIII, annexes 26, 27 and 28 to the brief with motions, pleadings and evidence, folios 2474 to 2577).</w:t>
      </w:r>
    </w:p>
  </w:footnote>
  <w:footnote w:id="233">
    <w:p w14:paraId="223271C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bCs/>
          <w:i/>
          <w:sz w:val="16"/>
          <w:szCs w:val="16"/>
          <w:lang w:val="en-US"/>
        </w:rPr>
        <w:t>Cf.</w:t>
      </w:r>
      <w:r w:rsidRPr="00012C3F">
        <w:rPr>
          <w:bCs/>
          <w:sz w:val="16"/>
          <w:szCs w:val="16"/>
          <w:lang w:val="en-US"/>
        </w:rPr>
        <w:t xml:space="preserve"> Declaration of Helsinki, Principle 26; </w:t>
      </w:r>
      <w:r w:rsidRPr="00012C3F">
        <w:rPr>
          <w:rFonts w:eastAsia="MS Mincho"/>
          <w:bCs/>
          <w:sz w:val="16"/>
          <w:szCs w:val="16"/>
          <w:lang w:val="en-US" w:eastAsia="en-US" w:bidi="en-US"/>
        </w:rPr>
        <w:t>Universal Declaration on Bioethics and Human Rights, Article 6;</w:t>
      </w:r>
      <w:r w:rsidRPr="00012C3F">
        <w:rPr>
          <w:rFonts w:eastAsia="MS Mincho"/>
          <w:bCs/>
          <w:i/>
          <w:sz w:val="16"/>
          <w:szCs w:val="16"/>
          <w:lang w:val="en-US" w:eastAsia="en-US" w:bidi="en-US"/>
        </w:rPr>
        <w:t xml:space="preserv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 xml:space="preserve">(evidence file, volume XIII, annex 3 to the State’s final arguments, folios 5518 and 5523), and FIGO, Guidelines regarding informed consent, adopted in </w:t>
      </w:r>
      <w:r w:rsidRPr="00012C3F">
        <w:rPr>
          <w:rFonts w:eastAsia="MS Mincho"/>
          <w:sz w:val="16"/>
          <w:szCs w:val="16"/>
          <w:lang w:val="en-US" w:eastAsia="en-US" w:bidi="en-US"/>
        </w:rPr>
        <w:t xml:space="preserve">2007, which reaffirm the indications in the 1995 document and add, above all, that “consent can be withdrawn at any time.” </w:t>
      </w:r>
      <w:r w:rsidRPr="00012C3F">
        <w:rPr>
          <w:rFonts w:eastAsia="MS Mincho"/>
          <w:bCs/>
          <w:sz w:val="16"/>
          <w:szCs w:val="16"/>
          <w:lang w:val="en-US" w:eastAsia="en-US" w:bidi="en-US"/>
        </w:rPr>
        <w:t xml:space="preserve">In this regard, see </w:t>
      </w:r>
      <w:r w:rsidRPr="00012C3F">
        <w:rPr>
          <w:sz w:val="16"/>
          <w:szCs w:val="16"/>
          <w:lang w:val="en-US"/>
        </w:rPr>
        <w:t>Recommendations on ethics issues in obstetrics and gynecology by the FIGO Committee for the Study of Ethical Aspects of Human Reproduction and Women’s Health of October 2012 and October 2015,</w:t>
      </w:r>
      <w:r w:rsidRPr="00012C3F">
        <w:rPr>
          <w:rFonts w:eastAsia="MS Mincho"/>
          <w:bCs/>
          <w:sz w:val="16"/>
          <w:szCs w:val="16"/>
          <w:lang w:val="en-US" w:eastAsia="en-US" w:bidi="en-US"/>
        </w:rPr>
        <w:t xml:space="preserve"> </w:t>
      </w:r>
      <w:r w:rsidRPr="00012C3F">
        <w:rPr>
          <w:sz w:val="16"/>
          <w:szCs w:val="16"/>
          <w:lang w:val="en-US"/>
        </w:rPr>
        <w:t>p. 317 (2012) and p. 400 (2015)</w:t>
      </w:r>
      <w:r w:rsidRPr="00012C3F">
        <w:rPr>
          <w:rFonts w:eastAsia="MS Mincho"/>
          <w:bCs/>
          <w:sz w:val="16"/>
          <w:szCs w:val="16"/>
          <w:lang w:val="en-US" w:eastAsia="en-US" w:bidi="en-US"/>
        </w:rPr>
        <w:t>.</w:t>
      </w:r>
    </w:p>
  </w:footnote>
  <w:footnote w:id="234">
    <w:p w14:paraId="0444CA7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 5512), and FIGO, Recommendations on ethics issues in obstetrics and gynecology by the FIGO Committee for the Study of Ethical Aspects of Human Reproduction and Women’s Health of November 2003, October 2012 and October 2015, which include the Guidelines regarding informed consent, adopted in 1995 and reaffirmed and supplement in 2007, pp. 166 and 167 (2003), pp. 316 to 318 (2012) and pp. 399 to 401 (2015).</w:t>
      </w:r>
    </w:p>
  </w:footnote>
  <w:footnote w:id="235">
    <w:p w14:paraId="5E18473E" w14:textId="77777777" w:rsidR="00D24EFE" w:rsidRPr="00012C3F" w:rsidRDefault="00D24EFE" w:rsidP="00962CEB">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xml:space="preserve"> para. 17, and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 5520).</w:t>
      </w:r>
    </w:p>
  </w:footnote>
  <w:footnote w:id="236">
    <w:p w14:paraId="6471F3B5" w14:textId="77777777" w:rsidR="00D24EFE" w:rsidRPr="00012C3F" w:rsidRDefault="00D24EFE" w:rsidP="00962CEB">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bidi="en-US"/>
        </w:rPr>
        <w:t xml:space="preserve">UN, Report of the Special Rapporteur on the right of everyone to the highest attainable standard of physical and mental health, Anand Grover, A/64/272, August 10, 2009, </w:t>
      </w:r>
      <w:r w:rsidRPr="00012C3F">
        <w:rPr>
          <w:sz w:val="16"/>
          <w:szCs w:val="16"/>
          <w:lang w:val="en-US"/>
        </w:rPr>
        <w:t>paras. 54 and 55. Similarly, article 8 of the UNESCO Universal Declaration on Bioethics and Human Rights</w:t>
      </w:r>
      <w:r w:rsidRPr="00012C3F">
        <w:rPr>
          <w:rFonts w:eastAsia="MS Mincho"/>
          <w:bCs/>
          <w:sz w:val="16"/>
          <w:szCs w:val="16"/>
          <w:lang w:val="en-US" w:eastAsia="en-US" w:bidi="en-US"/>
        </w:rPr>
        <w:t xml:space="preserve"> establishes that “[i]n applying and advancing scientific knowledge, medical practice and associated technologies […] individuals and groups of special vulnerability should be protected and the personal integrity of such individuals respected.” </w:t>
      </w:r>
    </w:p>
  </w:footnote>
  <w:footnote w:id="237">
    <w:p w14:paraId="029F4CF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folios 2453 and 2455).</w:t>
      </w:r>
    </w:p>
  </w:footnote>
  <w:footnote w:id="238">
    <w:p w14:paraId="3458238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FIGO, Recommendations on ethics issues in obstetrics and gynecology by the FIGO Committee for the Study of Ethical Aspects of Human Reproduction and Women’s Health of November 2003, October 2012 and October 2015, which include the 2011 Ethical recommendations on female sterilization, pp. 436 to 440 (2012) and pp. 537 to 541 (2015).</w:t>
      </w:r>
    </w:p>
  </w:footnote>
  <w:footnote w:id="239">
    <w:p w14:paraId="3458BC2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FIGO, Recommendations on ethics issues in obstetrics and gynecology by the FIGO Committee for the Study of Ethical Aspects of Human Reproduction and Women’s Health of October 2012 and October 2015, which include the Recommendations on the human rights impact of gender stereotyping in the context of reproductive health care of 2011, pp. 332 to 336 (2012) and pp. 418 to 422 (2015).</w:t>
      </w:r>
    </w:p>
  </w:footnote>
  <w:footnote w:id="240">
    <w:p w14:paraId="4B380707" w14:textId="77777777" w:rsidR="00D24EFE" w:rsidRPr="00012C3F" w:rsidRDefault="00D24EFE" w:rsidP="005B52E1">
      <w:pPr>
        <w:pStyle w:val="Textonotapie"/>
        <w:tabs>
          <w:tab w:val="left" w:pos="567"/>
          <w:tab w:val="left" w:pos="720"/>
        </w:tabs>
        <w:spacing w:after="120"/>
        <w:rPr>
          <w:rFonts w:cs="Vrinda"/>
          <w:sz w:val="16"/>
          <w:szCs w:val="16"/>
          <w:lang w:val="en-US"/>
        </w:rPr>
      </w:pPr>
      <w:r w:rsidRPr="00012C3F">
        <w:rPr>
          <w:rStyle w:val="Refdenotaalpie"/>
          <w:rFonts w:cs="Vrinda"/>
          <w:sz w:val="16"/>
          <w:szCs w:val="16"/>
          <w:lang w:val="en-US"/>
        </w:rPr>
        <w:footnoteRef/>
      </w:r>
      <w:r w:rsidRPr="00012C3F">
        <w:rPr>
          <w:rFonts w:cs="Vrinda"/>
          <w:sz w:val="16"/>
          <w:szCs w:val="16"/>
          <w:lang w:val="en-US"/>
        </w:rPr>
        <w:t xml:space="preserve"> </w:t>
      </w:r>
      <w:r w:rsidRPr="00012C3F">
        <w:rPr>
          <w:rFonts w:cs="Vrinda"/>
          <w:sz w:val="16"/>
          <w:szCs w:val="16"/>
          <w:lang w:val="en-US"/>
        </w:rPr>
        <w:tab/>
      </w:r>
      <w:r w:rsidRPr="00012C3F">
        <w:rPr>
          <w:rFonts w:cs="Vrinda"/>
          <w:i/>
          <w:sz w:val="16"/>
          <w:szCs w:val="16"/>
          <w:lang w:val="en-US"/>
        </w:rPr>
        <w:t xml:space="preserve">Cf. </w:t>
      </w:r>
      <w:r w:rsidRPr="00012C3F">
        <w:rPr>
          <w:i/>
          <w:sz w:val="16"/>
          <w:szCs w:val="16"/>
          <w:lang w:val="en-US"/>
        </w:rPr>
        <w:t xml:space="preserve">Case of González et al. (“Cotton Field”) v. Mexico. Preliminary objection, merits, reparations and costs. </w:t>
      </w:r>
      <w:r w:rsidRPr="00012C3F">
        <w:rPr>
          <w:sz w:val="16"/>
          <w:szCs w:val="16"/>
          <w:lang w:val="en-US"/>
        </w:rPr>
        <w:t>Judgment of November 16, 2009. Series C No. 205,</w:t>
      </w:r>
      <w:r w:rsidRPr="00012C3F">
        <w:rPr>
          <w:rFonts w:cs="Vrinda"/>
          <w:sz w:val="16"/>
          <w:szCs w:val="16"/>
          <w:lang w:val="en-US"/>
        </w:rPr>
        <w:t xml:space="preserve"> para. 401, and </w:t>
      </w:r>
      <w:r w:rsidRPr="00012C3F">
        <w:rPr>
          <w:rStyle w:val="Textoennegrita"/>
          <w:b w:val="0"/>
          <w:i/>
          <w:sz w:val="16"/>
          <w:szCs w:val="16"/>
          <w:lang w:val="en-US"/>
        </w:rPr>
        <w:t>Case of Espinoza Gonzáles v. Peru. Preliminary objections, merits, reparations and costs</w:t>
      </w:r>
      <w:r w:rsidRPr="00012C3F">
        <w:rPr>
          <w:rStyle w:val="Textoennegrita"/>
          <w:b w:val="0"/>
          <w:sz w:val="16"/>
          <w:szCs w:val="16"/>
          <w:lang w:val="en-US"/>
        </w:rPr>
        <w:t>. Judgment of November 20, 2014. Series C No. 289, para. 268</w:t>
      </w:r>
      <w:r w:rsidRPr="00012C3F">
        <w:rPr>
          <w:rFonts w:cs="Vrinda"/>
          <w:sz w:val="16"/>
          <w:szCs w:val="16"/>
          <w:lang w:val="en-US"/>
        </w:rPr>
        <w:t>.</w:t>
      </w:r>
    </w:p>
  </w:footnote>
  <w:footnote w:id="241">
    <w:p w14:paraId="3F727AF9" w14:textId="77777777" w:rsidR="00D24EFE" w:rsidRPr="00012C3F" w:rsidRDefault="00D24EFE" w:rsidP="005B52E1">
      <w:pPr>
        <w:pStyle w:val="Textonotapie"/>
        <w:tabs>
          <w:tab w:val="left" w:pos="567"/>
          <w:tab w:val="left" w:pos="720"/>
        </w:tabs>
        <w:spacing w:after="120"/>
        <w:rPr>
          <w:rFonts w:cs="Vrinda"/>
          <w:sz w:val="16"/>
          <w:szCs w:val="16"/>
          <w:lang w:val="en-US"/>
        </w:rPr>
      </w:pPr>
      <w:r w:rsidRPr="00012C3F">
        <w:rPr>
          <w:rStyle w:val="Refdenotaalpie"/>
          <w:rFonts w:cs="Vrinda"/>
          <w:sz w:val="16"/>
          <w:szCs w:val="16"/>
          <w:lang w:val="en-US"/>
        </w:rPr>
        <w:footnoteRef/>
      </w:r>
      <w:r w:rsidRPr="00012C3F">
        <w:rPr>
          <w:rFonts w:cs="Vrinda"/>
          <w:sz w:val="16"/>
          <w:szCs w:val="16"/>
          <w:lang w:val="en-US"/>
        </w:rPr>
        <w:t xml:space="preserve"> </w:t>
      </w:r>
      <w:r w:rsidRPr="00012C3F">
        <w:rPr>
          <w:rFonts w:cs="Vrinda"/>
          <w:sz w:val="16"/>
          <w:szCs w:val="16"/>
          <w:lang w:val="en-US"/>
        </w:rPr>
        <w:tab/>
      </w:r>
      <w:r w:rsidRPr="00012C3F">
        <w:rPr>
          <w:rFonts w:cs="Vrinda"/>
          <w:i/>
          <w:sz w:val="16"/>
          <w:szCs w:val="16"/>
          <w:lang w:val="en-US"/>
        </w:rPr>
        <w:t xml:space="preserve">Cf. </w:t>
      </w:r>
      <w:r w:rsidRPr="00012C3F">
        <w:rPr>
          <w:i/>
          <w:sz w:val="16"/>
          <w:szCs w:val="16"/>
          <w:lang w:val="en-US"/>
        </w:rPr>
        <w:t>Case of González et al. (“Cotton Field”) v. Mexico, supra</w:t>
      </w:r>
      <w:r w:rsidRPr="00012C3F">
        <w:rPr>
          <w:sz w:val="16"/>
          <w:szCs w:val="16"/>
          <w:lang w:val="en-US"/>
        </w:rPr>
        <w:t xml:space="preserve">, </w:t>
      </w:r>
      <w:r w:rsidRPr="00012C3F">
        <w:rPr>
          <w:rFonts w:cs="Vrinda"/>
          <w:sz w:val="16"/>
          <w:szCs w:val="16"/>
          <w:lang w:val="en-US"/>
        </w:rPr>
        <w:t xml:space="preserve">para. 401, and </w:t>
      </w:r>
      <w:r w:rsidRPr="00012C3F">
        <w:rPr>
          <w:rFonts w:cs="Courier New"/>
          <w:i/>
          <w:noProof/>
          <w:sz w:val="16"/>
          <w:szCs w:val="16"/>
          <w:lang w:val="en-US"/>
        </w:rPr>
        <w:t>Case of Velásquez Paiz et al. v. Guatemala. Preliminary objections, merits, reparations and costs.</w:t>
      </w:r>
      <w:r w:rsidRPr="00012C3F">
        <w:rPr>
          <w:rFonts w:cs="Courier New"/>
          <w:noProof/>
          <w:sz w:val="16"/>
          <w:szCs w:val="16"/>
          <w:lang w:val="en-US"/>
        </w:rPr>
        <w:t xml:space="preserve"> Judgment of November 19, 2015. Series C No. 307, para. 180</w:t>
      </w:r>
      <w:r w:rsidRPr="00012C3F">
        <w:rPr>
          <w:rFonts w:cs="Vrinda"/>
          <w:sz w:val="16"/>
          <w:szCs w:val="16"/>
          <w:lang w:val="en-US"/>
        </w:rPr>
        <w:t>.</w:t>
      </w:r>
    </w:p>
  </w:footnote>
  <w:footnote w:id="242">
    <w:p w14:paraId="25E47DB9" w14:textId="77777777" w:rsidR="00D24EFE" w:rsidRPr="00012C3F" w:rsidRDefault="00D24EFE" w:rsidP="00F55848">
      <w:pPr>
        <w:pStyle w:val="Textonotapie"/>
        <w:tabs>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FIGO, Recommendations on ethics issues in obstetrics and gynecology by the FIGO Committee for the Study of Ethical Aspects of Human Reproduction and Women’s Health of October 2012 and October 2015, which include the Recommendations on the human rights impact of gender stereotyping in the context of reproductive health care of 2011, pp. 332 to 336 (2012) and pp. 418 to 422 (2015).</w:t>
      </w:r>
    </w:p>
  </w:footnote>
  <w:footnote w:id="243">
    <w:p w14:paraId="49B7DED3"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sz w:val="16"/>
          <w:szCs w:val="16"/>
          <w:lang w:val="en-US"/>
        </w:rPr>
        <w:t>Nuremberg Code of medical ethics, 1947</w:t>
      </w:r>
      <w:r w:rsidRPr="00012C3F">
        <w:rPr>
          <w:sz w:val="16"/>
          <w:szCs w:val="16"/>
          <w:lang w:val="en-US"/>
        </w:rPr>
        <w:t xml:space="preserve">; </w:t>
      </w:r>
      <w:r w:rsidRPr="00012C3F">
        <w:rPr>
          <w:bCs/>
          <w:sz w:val="16"/>
          <w:szCs w:val="16"/>
          <w:lang w:val="en-US"/>
        </w:rPr>
        <w:t>Declaration of Helsinki,</w:t>
      </w:r>
      <w:r w:rsidRPr="00012C3F">
        <w:rPr>
          <w:sz w:val="16"/>
          <w:szCs w:val="16"/>
          <w:lang w:val="en-US"/>
        </w:rPr>
        <w:t xml:space="preserve"> Principles 25 to 27</w:t>
      </w:r>
      <w:r w:rsidRPr="00012C3F">
        <w:rPr>
          <w:bCs/>
          <w:sz w:val="16"/>
          <w:szCs w:val="16"/>
          <w:lang w:val="en-US"/>
        </w:rPr>
        <w:t>; Declaration of Lisbon on the rights of patients,</w:t>
      </w:r>
      <w:r w:rsidRPr="00012C3F">
        <w:rPr>
          <w:sz w:val="16"/>
          <w:szCs w:val="16"/>
          <w:lang w:val="en-US"/>
        </w:rPr>
        <w:t xml:space="preserve"> Principles 3, 7 and 10</w:t>
      </w:r>
      <w:r w:rsidRPr="00012C3F">
        <w:rPr>
          <w:bCs/>
          <w:sz w:val="16"/>
          <w:szCs w:val="16"/>
          <w:lang w:val="en-US"/>
        </w:rPr>
        <w:t xml:space="preserve">; UN, </w:t>
      </w:r>
      <w:r w:rsidRPr="00012C3F">
        <w:rPr>
          <w:rFonts w:eastAsia="MS Mincho"/>
          <w:bCs/>
          <w:sz w:val="16"/>
          <w:szCs w:val="16"/>
          <w:lang w:val="en-US" w:bidi="en-US"/>
        </w:rPr>
        <w:t>Principles for the protection of persons with mental illness and the improvement of mental health care, A/RES/46/119, December 17, 1991,</w:t>
      </w:r>
      <w:r w:rsidRPr="00012C3F">
        <w:rPr>
          <w:bCs/>
          <w:sz w:val="16"/>
          <w:szCs w:val="16"/>
          <w:lang w:val="en-US"/>
        </w:rPr>
        <w:t xml:space="preserve"> Principle 11(2)</w:t>
      </w:r>
      <w:r w:rsidRPr="00012C3F">
        <w:rPr>
          <w:rFonts w:eastAsia="MS Mincho"/>
          <w:bCs/>
          <w:sz w:val="16"/>
          <w:szCs w:val="16"/>
          <w:lang w:val="en-US" w:bidi="en-US"/>
        </w:rPr>
        <w:t xml:space="preserve">; WHO, </w:t>
      </w:r>
      <w:r w:rsidRPr="00012C3F">
        <w:rPr>
          <w:rFonts w:eastAsia="MS Mincho" w:cs="ClassicalGaramondBT-Roman"/>
          <w:sz w:val="16"/>
          <w:szCs w:val="16"/>
          <w:lang w:val="en-US" w:bidi="en-US"/>
        </w:rPr>
        <w:t xml:space="preserve">Female sterilization: a guide to provision of services, 1993 </w:t>
      </w:r>
      <w:r w:rsidRPr="00012C3F">
        <w:rPr>
          <w:sz w:val="16"/>
          <w:szCs w:val="16"/>
          <w:lang w:val="en-US"/>
        </w:rPr>
        <w:t>(evidence file, volume XIII, annex 3 to the State’s final arguments, folios 5496 to 5499; 5510 to 5520 and 5530 to 5531); FIGO, Recommendations on ethics issues in obstetrics and gynecology by the FIGO Committee for the Study of Ethical Aspects of Human Reproduction and Women’s Health of November 2003, October 2012 and October 2015, regarding informed consent, adopted in 1995 and reaffirmed and supplemented in 2007, pp. 166 to 167 (2003), pp. 316 to 318 (2012) and pp. 399 to 401 (2015), as well as the Ethical recommendations on female sterilization of</w:t>
      </w:r>
      <w:r w:rsidRPr="00012C3F">
        <w:rPr>
          <w:rFonts w:eastAsia="MS Mincho"/>
          <w:sz w:val="16"/>
          <w:szCs w:val="16"/>
          <w:lang w:val="en-US" w:bidi="en-US"/>
        </w:rPr>
        <w:t xml:space="preserve"> 1989, 1990, 2000 and 2011</w:t>
      </w:r>
      <w:r w:rsidRPr="00012C3F">
        <w:rPr>
          <w:sz w:val="16"/>
          <w:szCs w:val="16"/>
          <w:lang w:val="en-US"/>
        </w:rPr>
        <w:t xml:space="preserve">, pp. 55 to 57 and 213 to 218 (2003), pp. 436 to 440 (2012) and pp. 537 to 541 (2015); UN, Committee for the Elimination of Discrimination against Women, General Recommendation No. 24, </w:t>
      </w:r>
      <w:r w:rsidRPr="00012C3F">
        <w:rPr>
          <w:i/>
          <w:sz w:val="16"/>
          <w:szCs w:val="16"/>
          <w:lang w:val="en-US"/>
        </w:rPr>
        <w:t>Women and health</w:t>
      </w:r>
      <w:r w:rsidRPr="00012C3F">
        <w:rPr>
          <w:sz w:val="16"/>
          <w:szCs w:val="16"/>
          <w:lang w:val="en-US"/>
        </w:rPr>
        <w:t xml:space="preserve">, 1999, paras. 20 to 22 (evidence file, volume VIII, annex 39 to the brief with motions, pleadings and evidence, folio 2711); </w:t>
      </w:r>
      <w:r w:rsidRPr="00012C3F">
        <w:rPr>
          <w:rFonts w:eastAsia="MS Mincho"/>
          <w:bCs/>
          <w:sz w:val="16"/>
          <w:szCs w:val="16"/>
          <w:lang w:val="en-US" w:bidi="en-US"/>
        </w:rPr>
        <w:t>Universal Declaration on Bioethics and Human Rights, article</w:t>
      </w:r>
      <w:r w:rsidRPr="00012C3F">
        <w:rPr>
          <w:sz w:val="16"/>
          <w:szCs w:val="16"/>
          <w:lang w:val="en-US"/>
        </w:rPr>
        <w:t xml:space="preserve"> 6</w:t>
      </w:r>
      <w:r w:rsidRPr="00012C3F">
        <w:rPr>
          <w:rFonts w:eastAsia="MS Mincho"/>
          <w:bCs/>
          <w:sz w:val="16"/>
          <w:szCs w:val="16"/>
          <w:lang w:val="en-US" w:bidi="en-US"/>
        </w:rPr>
        <w:t>; UN, Report of the Special Rapporteur on the right of everyone to the highest attainable standard of physical and mental health, Anand Grover, A/64/272, August 10, 2009,</w:t>
      </w:r>
      <w:r w:rsidRPr="00012C3F">
        <w:rPr>
          <w:sz w:val="16"/>
          <w:szCs w:val="16"/>
          <w:lang w:val="en-US"/>
        </w:rPr>
        <w:t xml:space="preserve"> paras. 15 and 16; WMA,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adopted by the 63rd General Assembly, Bangkok, Thailand, October 2012 </w:t>
      </w:r>
      <w:r w:rsidRPr="00012C3F">
        <w:rPr>
          <w:sz w:val="16"/>
          <w:szCs w:val="16"/>
          <w:lang w:val="en-US"/>
        </w:rPr>
        <w:t xml:space="preserve">(evidence file, volume VIII, annex 31 to the brief with motions, pleadings and evidence, folios 2613 and 2614), and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folios 2452 to 2454 and 2457).</w:t>
      </w:r>
      <w:r w:rsidRPr="00012C3F">
        <w:rPr>
          <w:rFonts w:eastAsia="MS Mincho"/>
          <w:sz w:val="16"/>
          <w:szCs w:val="16"/>
          <w:lang w:val="en-US" w:eastAsia="en-US" w:bidi="en-US"/>
        </w:rPr>
        <w:t xml:space="preserve"> </w:t>
      </w:r>
    </w:p>
  </w:footnote>
  <w:footnote w:id="244">
    <w:p w14:paraId="2DEC1C78" w14:textId="77777777" w:rsidR="00D24EFE" w:rsidRPr="00012C3F" w:rsidRDefault="00D24EFE" w:rsidP="005B52E1">
      <w:pPr>
        <w:pStyle w:val="Textonotapie"/>
        <w:tabs>
          <w:tab w:val="left" w:pos="567"/>
        </w:tabs>
        <w:spacing w:after="120"/>
        <w:rPr>
          <w:color w:val="000000" w:themeColor="text1"/>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Some of these documents published up until 2000 are: UN, Committee for the Elimination of Discrimination against Women, General Recommendation No. 24, </w:t>
      </w:r>
      <w:r w:rsidRPr="00012C3F">
        <w:rPr>
          <w:i/>
          <w:sz w:val="16"/>
          <w:szCs w:val="16"/>
          <w:lang w:val="en-US"/>
        </w:rPr>
        <w:t>Women and health</w:t>
      </w:r>
      <w:r w:rsidRPr="00012C3F">
        <w:rPr>
          <w:sz w:val="16"/>
          <w:szCs w:val="16"/>
          <w:lang w:val="en-US"/>
        </w:rPr>
        <w:t xml:space="preserve">, 1999, paras. 20 and 22; </w:t>
      </w:r>
      <w:r w:rsidRPr="00012C3F">
        <w:rPr>
          <w:bCs/>
          <w:sz w:val="16"/>
          <w:szCs w:val="16"/>
          <w:lang w:val="en-US"/>
        </w:rPr>
        <w:t xml:space="preserve">UN, </w:t>
      </w:r>
      <w:r w:rsidRPr="00012C3F">
        <w:rPr>
          <w:rFonts w:eastAsia="MS Mincho"/>
          <w:bCs/>
          <w:sz w:val="16"/>
          <w:szCs w:val="16"/>
          <w:lang w:val="en-US" w:bidi="en-US"/>
        </w:rPr>
        <w:t>Principles for the protection of persons with mental illness and the improvement of mental health care, A/RES/46/119, December 17, 1991,</w:t>
      </w:r>
      <w:r w:rsidRPr="00012C3F">
        <w:rPr>
          <w:bCs/>
          <w:sz w:val="16"/>
          <w:szCs w:val="16"/>
          <w:lang w:val="en-US"/>
        </w:rPr>
        <w:t xml:space="preserve"> Principle 11.2</w:t>
      </w:r>
      <w:r w:rsidRPr="00012C3F">
        <w:rPr>
          <w:rFonts w:eastAsia="MS Mincho"/>
          <w:bCs/>
          <w:sz w:val="16"/>
          <w:szCs w:val="16"/>
          <w:lang w:val="en-US" w:eastAsia="en-US" w:bidi="en-US"/>
        </w:rPr>
        <w:t xml:space="preserve">; </w:t>
      </w:r>
      <w:r w:rsidRPr="00012C3F">
        <w:rPr>
          <w:sz w:val="16"/>
          <w:szCs w:val="16"/>
          <w:lang w:val="en-US"/>
        </w:rPr>
        <w:t>FIGO, Recommendations on ethics issues in obstetrics and gynecology by the FIGO Committee for the Study of Ethical Aspects of Human Reproduction and Women’s Health of November 2003, which include the Guidelines regarding informed consent, adopted in 1995, pp. 166 to 167, as well as the Ethical recommendations on female sterilization of</w:t>
      </w:r>
      <w:r w:rsidRPr="00012C3F">
        <w:rPr>
          <w:rFonts w:eastAsia="MS Mincho"/>
          <w:sz w:val="16"/>
          <w:szCs w:val="16"/>
          <w:lang w:val="en-US" w:bidi="en-US"/>
        </w:rPr>
        <w:t xml:space="preserve"> 1989, 1990 and 2000</w:t>
      </w:r>
      <w:r w:rsidRPr="00012C3F">
        <w:rPr>
          <w:sz w:val="16"/>
          <w:szCs w:val="16"/>
          <w:lang w:val="en-US"/>
        </w:rPr>
        <w:t xml:space="preserve">, pp. 55 to 57 and 213 to 218, and </w:t>
      </w:r>
      <w:r w:rsidRPr="00012C3F">
        <w:rPr>
          <w:rFonts w:eastAsia="MS Mincho"/>
          <w:bCs/>
          <w:sz w:val="16"/>
          <w:szCs w:val="16"/>
          <w:lang w:val="en-US" w:bidi="en-US"/>
        </w:rPr>
        <w:t xml:space="preserve">WHO, </w:t>
      </w:r>
      <w:r w:rsidRPr="00012C3F">
        <w:rPr>
          <w:rFonts w:eastAsia="MS Mincho" w:cs="ClassicalGaramondBT-Roman"/>
          <w:sz w:val="16"/>
          <w:szCs w:val="16"/>
          <w:lang w:val="en-US" w:bidi="en-US"/>
        </w:rPr>
        <w:t xml:space="preserve">Female sterilization: a guide to provision of services, 1993 </w:t>
      </w:r>
      <w:r w:rsidRPr="00012C3F">
        <w:rPr>
          <w:sz w:val="16"/>
          <w:szCs w:val="16"/>
          <w:lang w:val="en-US"/>
        </w:rPr>
        <w:t xml:space="preserve">(evidence file, volume XIII, annex 3 to the State’s final arguments, folios 5496 to 5498 and 5514 to 5516). In addition, see the rulings of the </w:t>
      </w:r>
      <w:r w:rsidRPr="00012C3F">
        <w:rPr>
          <w:rFonts w:eastAsia="MS Mincho"/>
          <w:sz w:val="16"/>
          <w:szCs w:val="16"/>
          <w:lang w:val="en-US" w:eastAsia="en-US" w:bidi="en-US"/>
        </w:rPr>
        <w:t xml:space="preserve">European Court of Human Rights, as in the case of </w:t>
      </w:r>
      <w:r w:rsidRPr="00012C3F">
        <w:rPr>
          <w:rFonts w:eastAsia="MS Mincho"/>
          <w:i/>
          <w:iCs/>
          <w:sz w:val="16"/>
          <w:szCs w:val="16"/>
          <w:lang w:val="en-US" w:eastAsia="en-US" w:bidi="en-US"/>
        </w:rPr>
        <w:t>V</w:t>
      </w:r>
      <w:r w:rsidRPr="00012C3F">
        <w:rPr>
          <w:rFonts w:eastAsia="MS Mincho"/>
          <w:i/>
          <w:sz w:val="16"/>
          <w:szCs w:val="16"/>
          <w:lang w:val="en-US" w:eastAsia="en-US" w:bidi="en-US"/>
        </w:rPr>
        <w:t>.C v. Slovakia,</w:t>
      </w:r>
      <w:r w:rsidRPr="00012C3F">
        <w:rPr>
          <w:rFonts w:eastAsia="MS Mincho"/>
          <w:sz w:val="16"/>
          <w:szCs w:val="16"/>
          <w:lang w:val="en-US" w:eastAsia="en-US" w:bidi="en-US"/>
        </w:rPr>
        <w:t xml:space="preserve"> in which it referred to the fact that the patient had not been informed of alternative treatments to sterilization. </w:t>
      </w:r>
      <w:r w:rsidRPr="00012C3F">
        <w:rPr>
          <w:rFonts w:eastAsia="MS Mincho"/>
          <w:i/>
          <w:sz w:val="16"/>
          <w:szCs w:val="16"/>
          <w:lang w:val="en-US" w:eastAsia="en-US" w:bidi="en-US"/>
        </w:rPr>
        <w:t xml:space="preserve">Cf. </w:t>
      </w:r>
      <w:r w:rsidRPr="00012C3F">
        <w:rPr>
          <w:sz w:val="16"/>
          <w:szCs w:val="16"/>
          <w:lang w:val="en-US"/>
        </w:rPr>
        <w:t xml:space="preserve">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No. 18968/07. Judgment of November 8, 2011, para. 112 (evidence file, volume VIII, annex 28 to the brief with motions, pleadings and evidence, folios 2531 to 2577).</w:t>
      </w:r>
      <w:r w:rsidRPr="00012C3F">
        <w:rPr>
          <w:color w:val="000000" w:themeColor="text1"/>
          <w:sz w:val="16"/>
          <w:szCs w:val="16"/>
          <w:lang w:val="en-US"/>
        </w:rPr>
        <w:t xml:space="preserve"> See also, 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 xml:space="preserve">E/CN.4/1999/68/Add.4, January 21, 1999, </w:t>
      </w:r>
      <w:r w:rsidRPr="00012C3F">
        <w:rPr>
          <w:rFonts w:cs="Courier New"/>
          <w:color w:val="000000" w:themeColor="text1"/>
          <w:sz w:val="16"/>
          <w:szCs w:val="16"/>
          <w:lang w:val="en-US"/>
        </w:rPr>
        <w:t>para. 52.</w:t>
      </w:r>
    </w:p>
  </w:footnote>
  <w:footnote w:id="245">
    <w:p w14:paraId="560CFCF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xml:space="preserve"> para. 59.</w:t>
      </w:r>
    </w:p>
  </w:footnote>
  <w:footnote w:id="246">
    <w:p w14:paraId="4B5058C1" w14:textId="77777777" w:rsidR="00D24EFE" w:rsidRPr="00012C3F" w:rsidRDefault="00D24EFE" w:rsidP="0053644E">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(evidence file, volume XIII, annex 3 to the State’s final arguments, folios 5510 to 5520), and FIGO, Recommendations on ethics issues in obstetrics and gynecology by the FIGO Committee for the Study of Ethical Aspects of Human Reproduction and Women’s Health of November 2003, October 2012 and October 2015, which include the Guidelines regarding informed consent, adopted in 1995 and reaffirmed and supplemented in 2007, pp. 166 to 167 (2003), pp. 316 to 318 (2012) and pp. 399 to 401 (2015), as well as the Ethical recommendations on female sterilization of</w:t>
      </w:r>
      <w:r w:rsidRPr="00012C3F">
        <w:rPr>
          <w:rFonts w:eastAsia="MS Mincho"/>
          <w:sz w:val="16"/>
          <w:szCs w:val="16"/>
          <w:lang w:val="en-US" w:bidi="en-US"/>
        </w:rPr>
        <w:t xml:space="preserve"> 1989, 1990, 2000 and 2011</w:t>
      </w:r>
      <w:r w:rsidRPr="00012C3F">
        <w:rPr>
          <w:sz w:val="16"/>
          <w:szCs w:val="16"/>
          <w:lang w:val="en-US"/>
        </w:rPr>
        <w:t>, pp. 55 to 57 and 213 to 218 (2003), pp. 436 to 440 (2012) and pp. 537 to 541 (2015).</w:t>
      </w:r>
    </w:p>
  </w:footnote>
  <w:footnote w:id="247">
    <w:p w14:paraId="6469CE96" w14:textId="77777777" w:rsidR="00D24EFE" w:rsidRPr="00012C3F" w:rsidRDefault="00D24EFE" w:rsidP="0053644E">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bCs/>
          <w:sz w:val="16"/>
          <w:szCs w:val="16"/>
          <w:lang w:val="en-US"/>
        </w:rPr>
        <w:t xml:space="preserve">Declaration of Helsinki, </w:t>
      </w:r>
      <w:r w:rsidRPr="00012C3F">
        <w:rPr>
          <w:sz w:val="16"/>
          <w:szCs w:val="16"/>
          <w:lang w:val="en-US"/>
        </w:rPr>
        <w:t>Principle 26</w:t>
      </w:r>
      <w:r w:rsidRPr="00012C3F">
        <w:rPr>
          <w:bCs/>
          <w:sz w:val="16"/>
          <w:szCs w:val="16"/>
          <w:lang w:val="en-US"/>
        </w:rPr>
        <w:t>.</w:t>
      </w:r>
    </w:p>
  </w:footnote>
  <w:footnote w:id="248">
    <w:p w14:paraId="4A272E9A" w14:textId="77777777" w:rsidR="00D24EFE" w:rsidRPr="00012C3F" w:rsidRDefault="00D24EFE" w:rsidP="0053644E">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bCs/>
          <w:sz w:val="16"/>
          <w:szCs w:val="16"/>
          <w:lang w:val="en-US"/>
        </w:rPr>
        <w:t>Declaration of Lisbon on the rights of patients, Principle</w:t>
      </w:r>
      <w:r w:rsidRPr="00012C3F">
        <w:rPr>
          <w:sz w:val="16"/>
          <w:szCs w:val="16"/>
          <w:lang w:val="en-US"/>
        </w:rPr>
        <w:t xml:space="preserve"> 7</w:t>
      </w:r>
      <w:r w:rsidRPr="00012C3F">
        <w:rPr>
          <w:bCs/>
          <w:sz w:val="16"/>
          <w:szCs w:val="16"/>
          <w:lang w:val="en-US"/>
        </w:rPr>
        <w:t>.</w:t>
      </w:r>
    </w:p>
  </w:footnote>
  <w:footnote w:id="249">
    <w:p w14:paraId="5C33A92E" w14:textId="77777777" w:rsidR="00D24EFE" w:rsidRPr="00012C3F" w:rsidRDefault="00D24EFE" w:rsidP="005B52E1">
      <w:pPr>
        <w:pStyle w:val="Textonotapie"/>
        <w:tabs>
          <w:tab w:val="left" w:pos="567"/>
        </w:tabs>
        <w:spacing w:after="120"/>
        <w:rPr>
          <w:rFonts w:eastAsia="MS Mincho" w:cs="Calibri"/>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ECHR considered in the case of </w:t>
      </w:r>
      <w:r w:rsidRPr="00012C3F">
        <w:rPr>
          <w:i/>
          <w:sz w:val="16"/>
          <w:szCs w:val="16"/>
          <w:lang w:val="en-US"/>
        </w:rPr>
        <w:t>V.C v. Slovakia</w:t>
      </w:r>
      <w:r w:rsidRPr="00012C3F">
        <w:rPr>
          <w:sz w:val="16"/>
          <w:szCs w:val="16"/>
          <w:lang w:val="en-US"/>
        </w:rPr>
        <w:t xml:space="preserve"> that V.C. had given her consent while in labor, only two and a half hours after she had been brought to the hospital, and in circumstances that did not allow her to take a free decision, after having considered what was at stake and the implications of her decision on sterilization. </w:t>
      </w:r>
      <w:r w:rsidRPr="00012C3F">
        <w:rPr>
          <w:rFonts w:eastAsia="MS Mincho"/>
          <w:i/>
          <w:sz w:val="16"/>
          <w:szCs w:val="16"/>
          <w:lang w:val="en-US" w:eastAsia="en-US" w:bidi="en-US"/>
        </w:rPr>
        <w:t xml:space="preserve">Cf. </w:t>
      </w:r>
      <w:r w:rsidRPr="00012C3F">
        <w:rPr>
          <w:sz w:val="16"/>
          <w:szCs w:val="16"/>
          <w:lang w:val="en-US"/>
        </w:rPr>
        <w:t xml:space="preserve">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No. 18968/07. Judgment of November 8, 2011, paras. 111 and 117 (evidence file, volume VIII, annex 28 to the brief with motions, pleadings and evidence, folios 2531 to 2577). Similarly, the Committee for the Elimination of Discrimination against Women</w:t>
      </w:r>
      <w:r w:rsidRPr="00012C3F">
        <w:rPr>
          <w:rFonts w:cs="Calibri"/>
          <w:sz w:val="16"/>
          <w:szCs w:val="16"/>
          <w:lang w:val="en-US"/>
        </w:rPr>
        <w:t>,</w:t>
      </w:r>
      <w:r w:rsidRPr="00012C3F">
        <w:rPr>
          <w:sz w:val="16"/>
          <w:szCs w:val="16"/>
          <w:lang w:val="en-US"/>
        </w:rPr>
        <w:t xml:space="preserve"> in the case of</w:t>
      </w:r>
      <w:r w:rsidRPr="00012C3F">
        <w:rPr>
          <w:rFonts w:eastAsia="MS Mincho" w:cs="Calibri"/>
          <w:b/>
          <w:i/>
          <w:sz w:val="16"/>
          <w:szCs w:val="16"/>
          <w:lang w:val="en-US" w:eastAsia="en-US" w:bidi="en-US"/>
        </w:rPr>
        <w:t xml:space="preserve"> </w:t>
      </w:r>
      <w:r w:rsidRPr="00012C3F">
        <w:rPr>
          <w:rFonts w:eastAsia="MS Mincho" w:cs="Calibri"/>
          <w:i/>
          <w:sz w:val="16"/>
          <w:szCs w:val="16"/>
          <w:lang w:val="en-US" w:eastAsia="en-US" w:bidi="en-US"/>
        </w:rPr>
        <w:t xml:space="preserve">A.S v Hungary, </w:t>
      </w:r>
      <w:r w:rsidRPr="00012C3F">
        <w:rPr>
          <w:rFonts w:eastAsia="MS Mincho" w:cs="Calibri"/>
          <w:sz w:val="16"/>
          <w:szCs w:val="16"/>
          <w:lang w:val="en-US" w:eastAsia="en-US" w:bidi="en-US"/>
        </w:rPr>
        <w:t xml:space="preserve">concluded that the 17-minute timespan and the circumstances under which A.S. decided to undergo sterilization had not allowed her to give free, full and informed consent. </w:t>
      </w:r>
      <w:r w:rsidRPr="00012C3F">
        <w:rPr>
          <w:rFonts w:eastAsia="MS Mincho" w:cs="Calibri"/>
          <w:i/>
          <w:sz w:val="16"/>
          <w:szCs w:val="16"/>
          <w:lang w:val="en-US" w:eastAsia="en-US" w:bidi="en-US"/>
        </w:rPr>
        <w:t xml:space="preserve">Cf. </w:t>
      </w:r>
      <w:r w:rsidRPr="00012C3F">
        <w:rPr>
          <w:rFonts w:cs="Calibri"/>
          <w:sz w:val="16"/>
          <w:szCs w:val="16"/>
          <w:lang w:val="en-US"/>
        </w:rPr>
        <w:t xml:space="preserve">UN, Committee for the Elimination of Discrimination against Women, </w:t>
      </w:r>
      <w:r w:rsidRPr="00012C3F">
        <w:rPr>
          <w:rFonts w:cs="Calibri-Italic"/>
          <w:i/>
          <w:iCs/>
          <w:sz w:val="16"/>
          <w:szCs w:val="16"/>
          <w:lang w:val="en-US"/>
        </w:rPr>
        <w:t>A.S. v. Hungary</w:t>
      </w:r>
      <w:r w:rsidRPr="00012C3F">
        <w:rPr>
          <w:rFonts w:cs="Calibri"/>
          <w:sz w:val="16"/>
          <w:szCs w:val="16"/>
          <w:lang w:val="en-US"/>
        </w:rPr>
        <w:t xml:space="preserve"> (Communication No. 4/2004), CEDAW/C/36/D/4/2004, August 29, 2006, para. 11.3.</w:t>
      </w:r>
    </w:p>
  </w:footnote>
  <w:footnote w:id="250">
    <w:p w14:paraId="44EE1E6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MS Mincho"/>
          <w:bCs/>
          <w:sz w:val="16"/>
          <w:szCs w:val="16"/>
          <w:lang w:val="en-US" w:bidi="en-US"/>
        </w:rPr>
        <w:t xml:space="preserve">WHO, </w:t>
      </w:r>
      <w:r w:rsidRPr="00012C3F">
        <w:rPr>
          <w:rFonts w:eastAsia="MS Mincho" w:cs="ClassicalGaramondBT-Roman"/>
          <w:sz w:val="16"/>
          <w:szCs w:val="16"/>
          <w:lang w:val="en-US" w:bidi="en-US"/>
        </w:rPr>
        <w:t xml:space="preserve">Female sterilization: a guide to provision of services, 1993 </w:t>
      </w:r>
      <w:r w:rsidRPr="00012C3F">
        <w:rPr>
          <w:sz w:val="16"/>
          <w:szCs w:val="16"/>
          <w:lang w:val="en-US"/>
        </w:rPr>
        <w:t>(evidence file, volume XIII, annex 3 to the State’s final arguments, folios 5496 to 5499; 5510 to 5520 and 5530 to 5531); FIGO, Recommendations on ethics issues in obstetrics and gynecology by the FIGO Committee for the Study of Ethical Aspects of Human Reproduction and Women’s Health of November 2003, October 2012 and October 2015, which include the Guidelines regarding informed consent, adopted in 1995 and reaffirmed and supplemented in 2007, pp. 166 to 167 (2003), pp. 316 to 318 (2012) and pp. 399 to 401 (2015), as well as the Ethical recommendations on female sterilization of</w:t>
      </w:r>
      <w:r w:rsidRPr="00012C3F">
        <w:rPr>
          <w:rFonts w:eastAsia="MS Mincho"/>
          <w:sz w:val="16"/>
          <w:szCs w:val="16"/>
          <w:lang w:val="en-US" w:bidi="en-US"/>
        </w:rPr>
        <w:t xml:space="preserve"> 1989, 1990, 2000 and 2011</w:t>
      </w:r>
      <w:r w:rsidRPr="00012C3F">
        <w:rPr>
          <w:sz w:val="16"/>
          <w:szCs w:val="16"/>
          <w:lang w:val="en-US"/>
        </w:rPr>
        <w:t>, pp. 55 to 57 and 213 to 218 (2003), pp. 436 to 440 (2012) and pp. 537 to 541 (2015); UN, Committee for the Elimination of Discrimination against Women,</w:t>
      </w:r>
      <w:r w:rsidRPr="00012C3F" w:rsidDel="00845737">
        <w:rPr>
          <w:sz w:val="16"/>
          <w:szCs w:val="16"/>
          <w:lang w:val="en-US"/>
        </w:rPr>
        <w:t xml:space="preserve"> </w:t>
      </w:r>
      <w:r w:rsidRPr="00012C3F">
        <w:rPr>
          <w:sz w:val="16"/>
          <w:szCs w:val="16"/>
          <w:lang w:val="en-US"/>
        </w:rPr>
        <w:t xml:space="preserve">General Recommendation No. 21, 1994, paras. 21 to 23 (evidence file, volume VIII, annex 38 to the brief with motions, pleadings and evidence, folio 2700); UN, Committee for the Elimination of Discrimination against Women, General Recommendation No. 24, </w:t>
      </w:r>
      <w:r w:rsidRPr="00012C3F">
        <w:rPr>
          <w:i/>
          <w:sz w:val="16"/>
          <w:szCs w:val="16"/>
          <w:lang w:val="en-US"/>
        </w:rPr>
        <w:t>Women and health</w:t>
      </w:r>
      <w:r w:rsidRPr="00012C3F">
        <w:rPr>
          <w:sz w:val="16"/>
          <w:szCs w:val="16"/>
          <w:lang w:val="en-US"/>
        </w:rPr>
        <w:t xml:space="preserve">, 1999, paras. 20 to 22 (evidence file, volume VIII, annex 39 to the brief with motions, pleadings and evidence, folio 2711); UN, Human Rights Committee, General Comment No. 28, </w:t>
      </w:r>
      <w:r w:rsidRPr="00012C3F">
        <w:rPr>
          <w:i/>
          <w:sz w:val="16"/>
          <w:szCs w:val="16"/>
          <w:lang w:val="en-US"/>
        </w:rPr>
        <w:t>The equality of rights between men and women</w:t>
      </w:r>
      <w:r w:rsidRPr="00012C3F">
        <w:rPr>
          <w:sz w:val="16"/>
          <w:szCs w:val="16"/>
          <w:lang w:val="en-US"/>
        </w:rPr>
        <w:t>, March 29, 2000, para. 20</w:t>
      </w:r>
      <w:r w:rsidRPr="00012C3F">
        <w:rPr>
          <w:rFonts w:eastAsia="MS Mincho"/>
          <w:bCs/>
          <w:sz w:val="16"/>
          <w:szCs w:val="16"/>
          <w:lang w:val="en-US" w:bidi="en-US"/>
        </w:rPr>
        <w:t xml:space="preserve">; UN, </w:t>
      </w:r>
      <w:r w:rsidRPr="00012C3F">
        <w:rPr>
          <w:color w:val="000000" w:themeColor="text1"/>
          <w:sz w:val="16"/>
          <w:szCs w:val="16"/>
          <w:lang w:val="en-US"/>
        </w:rPr>
        <w:t>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 xml:space="preserve">E/CN.4/1999/68/Add.4, January 21, 1999, para. 52; </w:t>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xml:space="preserve"> paras. 54 and 55; WMA,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adopted by the 63rd General Assembly, Bangkok, Thailand, October 2012 </w:t>
      </w:r>
      <w:r w:rsidRPr="00012C3F">
        <w:rPr>
          <w:sz w:val="16"/>
          <w:szCs w:val="16"/>
          <w:lang w:val="en-US"/>
        </w:rPr>
        <w:t xml:space="preserve">(evidence file, volume VIII, annex 31 to the brief with motions, pleadings and evidence, folios 2613 and 2614), and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folios 2452 to 2454 and 2457).</w:t>
      </w:r>
    </w:p>
  </w:footnote>
  <w:footnote w:id="251">
    <w:p w14:paraId="7E1052D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 xml:space="preserve">(evidence file, volume XIII, annex 3 to the State’s final arguments, folios 5510 to 5520 and 5530 and 5531); WHO,  Ensuring human rights in the provision of contraceptive information and services; Guidance and recommendations, 2014; Ensuring human rights within contraceptive programmes. A human rights analysis of existing quantitative indicators, 2014, pp. 25 and 26; Framework for ensuring human rights in the provision of contraceptive information and services, 2014, pp. 3 to 6; Medical eligibility criteria for contraceptive use, first edition, 1996, pp. 87 and </w:t>
      </w:r>
      <w:r w:rsidRPr="00012C3F">
        <w:rPr>
          <w:i/>
          <w:iCs/>
          <w:sz w:val="16"/>
          <w:szCs w:val="16"/>
          <w:lang w:val="en-US"/>
        </w:rPr>
        <w:t>ff</w:t>
      </w:r>
      <w:r w:rsidRPr="00012C3F">
        <w:rPr>
          <w:sz w:val="16"/>
          <w:szCs w:val="16"/>
          <w:lang w:val="en-US"/>
        </w:rPr>
        <w:t xml:space="preserve">.;  second edition, 2000, pp. 105 and </w:t>
      </w:r>
      <w:r w:rsidRPr="00012C3F">
        <w:rPr>
          <w:i/>
          <w:iCs/>
          <w:sz w:val="16"/>
          <w:szCs w:val="16"/>
          <w:lang w:val="en-US"/>
        </w:rPr>
        <w:t>ff</w:t>
      </w:r>
      <w:r w:rsidRPr="00012C3F">
        <w:rPr>
          <w:sz w:val="16"/>
          <w:szCs w:val="16"/>
          <w:lang w:val="en-US"/>
        </w:rPr>
        <w:t xml:space="preserve">.;  third edition, 2005, pp. 105 and </w:t>
      </w:r>
      <w:r w:rsidRPr="00012C3F">
        <w:rPr>
          <w:i/>
          <w:iCs/>
          <w:sz w:val="16"/>
          <w:szCs w:val="16"/>
          <w:lang w:val="en-US"/>
        </w:rPr>
        <w:t>ff</w:t>
      </w:r>
      <w:r w:rsidRPr="00012C3F">
        <w:rPr>
          <w:sz w:val="16"/>
          <w:szCs w:val="16"/>
          <w:lang w:val="en-US"/>
        </w:rPr>
        <w:t xml:space="preserve">.;  and  fourth edition, 2009, pp. 105 and </w:t>
      </w:r>
      <w:r w:rsidRPr="00012C3F">
        <w:rPr>
          <w:i/>
          <w:iCs/>
          <w:sz w:val="16"/>
          <w:szCs w:val="16"/>
          <w:lang w:val="en-US"/>
        </w:rPr>
        <w:t>ff</w:t>
      </w:r>
      <w:r w:rsidRPr="00012C3F">
        <w:rPr>
          <w:sz w:val="16"/>
          <w:szCs w:val="16"/>
          <w:lang w:val="en-US"/>
        </w:rPr>
        <w:t>.;  FIGO, Recommendations on ethics issues in obstetrics and gynecology by the FIGO Committee for the Study of Ethical Aspects of Human Reproduction and Women’s Health of November 2003, October 2012 and October 2015, which include the Guidelines regarding informed consent, adopted in 1995 and reaffirmed and supplemented in 2007, pp. 166 and 167 (2003), pp. 316 to 318 (2012) and pp. 399 to 401 (2015), as well as the Ethical recommendations on female sterilization of</w:t>
      </w:r>
      <w:r w:rsidRPr="00012C3F">
        <w:rPr>
          <w:rFonts w:eastAsia="MS Mincho"/>
          <w:sz w:val="16"/>
          <w:szCs w:val="16"/>
          <w:lang w:val="en-US" w:bidi="en-US"/>
        </w:rPr>
        <w:t xml:space="preserve"> 1989, 1990, 2000 and 2011</w:t>
      </w:r>
      <w:r w:rsidRPr="00012C3F">
        <w:rPr>
          <w:sz w:val="16"/>
          <w:szCs w:val="16"/>
          <w:lang w:val="en-US"/>
        </w:rPr>
        <w:t xml:space="preserve">, pp. 55 to 57 and 213 to 218 (2003), pp. 436 to 440 (2012) and pp. 537 to 541 (2015), and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sidDel="00AB5AB5">
        <w:rPr>
          <w:rFonts w:eastAsia="MS Mincho" w:cs="ClassicalGaramondBT-Roman"/>
          <w:color w:val="000000"/>
          <w:sz w:val="16"/>
          <w:szCs w:val="16"/>
          <w:lang w:val="en-US" w:eastAsia="en-US" w:bidi="en-US"/>
        </w:rPr>
        <w:t xml:space="preserve"> </w:t>
      </w:r>
      <w:r w:rsidRPr="00012C3F">
        <w:rPr>
          <w:sz w:val="16"/>
          <w:szCs w:val="16"/>
          <w:lang w:val="en-US"/>
        </w:rPr>
        <w:t>(evidence file, volume VIII, annex 25 to the brief with motions, pleadings and evidence, folios 2452 to 2457).</w:t>
      </w:r>
    </w:p>
  </w:footnote>
  <w:footnote w:id="252">
    <w:p w14:paraId="53460520" w14:textId="77777777" w:rsidR="00D24EFE" w:rsidRPr="00012C3F" w:rsidRDefault="00D24EFE" w:rsidP="005B52E1">
      <w:pPr>
        <w:pStyle w:val="Textonotapie"/>
        <w:tabs>
          <w:tab w:val="left" w:pos="567"/>
        </w:tabs>
        <w:spacing w:after="120"/>
        <w:rPr>
          <w:rFonts w:cs="ClassicalGaramondBT-Roman"/>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Similarly,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establishes that a full range of contraception services, including sterilization, should be accessible and affordable to every individual. </w:t>
      </w:r>
      <w:r w:rsidRPr="00012C3F">
        <w:rPr>
          <w:rFonts w:cs="Arial"/>
          <w:i/>
          <w:sz w:val="16"/>
          <w:szCs w:val="16"/>
          <w:shd w:val="clear" w:color="auto" w:fill="FFFFFF"/>
          <w:lang w:val="en-US"/>
        </w:rPr>
        <w:t xml:space="preserve">Cf. </w:t>
      </w:r>
      <w:r w:rsidRPr="00012C3F">
        <w:rPr>
          <w:rFonts w:cs="Arial"/>
          <w:sz w:val="16"/>
          <w:szCs w:val="16"/>
          <w:shd w:val="clear" w:color="auto" w:fill="FFFFFF"/>
          <w:lang w:val="en-US"/>
        </w:rPr>
        <w:t xml:space="preserve">WMA, </w:t>
      </w:r>
      <w:r w:rsidRPr="00012C3F">
        <w:rPr>
          <w:rFonts w:cs="ClassicalGaramondBT-Roman"/>
          <w:sz w:val="16"/>
          <w:szCs w:val="16"/>
          <w:lang w:val="en-US"/>
        </w:rPr>
        <w:t>the World Medical Association</w:t>
      </w:r>
      <w:r w:rsidRPr="00012C3F">
        <w:rPr>
          <w:bCs/>
          <w:sz w:val="16"/>
          <w:szCs w:val="16"/>
          <w:lang w:val="en-US"/>
        </w:rPr>
        <w:t xml:space="preserve"> Statement on Forced and Coerced Sterilisation</w:t>
      </w:r>
      <w:r w:rsidRPr="00012C3F">
        <w:rPr>
          <w:rFonts w:cs="ClassicalGaramondBT-Roman"/>
          <w:sz w:val="16"/>
          <w:szCs w:val="16"/>
          <w:lang w:val="en-US"/>
        </w:rPr>
        <w:t xml:space="preserve">, adopted by the 63rd General Assembly, Bangkok, Thailand, October 2012, which underlines that </w:t>
      </w:r>
      <w:r w:rsidRPr="00012C3F">
        <w:rPr>
          <w:sz w:val="16"/>
          <w:szCs w:val="16"/>
          <w:lang w:val="en-US"/>
        </w:rPr>
        <w:t>“[c]onsent to sterilisation should be free from material or social incentives which might distort freedom of choice”</w:t>
      </w:r>
      <w:r w:rsidRPr="00012C3F">
        <w:rPr>
          <w:rFonts w:cs="ClassicalGaramondBT-Roman"/>
          <w:sz w:val="16"/>
          <w:szCs w:val="16"/>
          <w:lang w:val="en-US"/>
        </w:rPr>
        <w:t xml:space="preserve"> </w:t>
      </w:r>
      <w:r w:rsidRPr="00012C3F">
        <w:rPr>
          <w:sz w:val="16"/>
          <w:szCs w:val="16"/>
          <w:lang w:val="en-US"/>
        </w:rPr>
        <w:t>(evidence file, volume VIII, annex 31 to the brief with motions, pleadings and evidence, folios 2613 and 2614).</w:t>
      </w:r>
    </w:p>
  </w:footnote>
  <w:footnote w:id="253">
    <w:p w14:paraId="403F775D" w14:textId="77777777" w:rsidR="00D24EFE" w:rsidRPr="00012C3F" w:rsidRDefault="00D24EFE" w:rsidP="005B52E1">
      <w:pPr>
        <w:widowControl/>
        <w:tabs>
          <w:tab w:val="left" w:pos="567"/>
          <w:tab w:val="left" w:pos="720"/>
        </w:tabs>
        <w:adjustRightInd/>
        <w:spacing w:after="120" w:line="240" w:lineRule="auto"/>
        <w:ind w:right="-90"/>
        <w:textAlignment w:val="auto"/>
        <w:rPr>
          <w:rFonts w:eastAsia="Calibr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Principle 23 of the </w:t>
      </w:r>
      <w:r w:rsidRPr="00012C3F">
        <w:rPr>
          <w:bCs/>
          <w:sz w:val="16"/>
          <w:szCs w:val="16"/>
          <w:lang w:val="en-US"/>
        </w:rPr>
        <w:t xml:space="preserve">Declaration of Helsinki indicates that consent should be given “preferably in writing [but i]f the consent cannot be obtained in writing, the non-written consent must be formally documented and witnessed.” </w:t>
      </w:r>
      <w:r w:rsidRPr="00012C3F">
        <w:rPr>
          <w:rFonts w:eastAsia="MS Mincho" w:cs="Arial"/>
          <w:sz w:val="16"/>
          <w:szCs w:val="16"/>
          <w:lang w:val="en-US" w:eastAsia="en-US" w:bidi="en-US"/>
        </w:rPr>
        <w:t xml:space="preserve">Similarly, see </w:t>
      </w:r>
      <w:r w:rsidRPr="00012C3F">
        <w:rPr>
          <w:rFonts w:eastAsia="MS Mincho"/>
          <w:bCs/>
          <w:sz w:val="16"/>
          <w:szCs w:val="16"/>
          <w:lang w:val="en-US" w:eastAsia="en-US" w:bidi="en-US"/>
        </w:rPr>
        <w:t xml:space="preserve">WHO, </w:t>
      </w:r>
      <w:r w:rsidRPr="00012C3F">
        <w:rPr>
          <w:rFonts w:eastAsia="MS Mincho" w:cs="ClassicalGaramondBT-Roman"/>
          <w:sz w:val="16"/>
          <w:szCs w:val="16"/>
          <w:lang w:val="en-US" w:eastAsia="en-US" w:bidi="en-US"/>
        </w:rPr>
        <w:t xml:space="preserve">Female sterilization: a guide to provision of services, 1993 </w:t>
      </w:r>
      <w:r w:rsidRPr="00012C3F">
        <w:rPr>
          <w:sz w:val="16"/>
          <w:szCs w:val="16"/>
          <w:lang w:val="en-US"/>
        </w:rPr>
        <w:t xml:space="preserve">(evidence file, volume XIII, annex 3 to the State’s final arguments, folios 5518 to 5520), and </w:t>
      </w:r>
      <w:r w:rsidRPr="00012C3F">
        <w:rPr>
          <w:rFonts w:eastAsia="MS Mincho"/>
          <w:bCs/>
          <w:sz w:val="16"/>
          <w:szCs w:val="16"/>
          <w:lang w:val="en-US" w:bidi="en-US"/>
        </w:rPr>
        <w:t>UN, Report of the Special Rapporteur on the right of everyone to the highest attainable standard of physical and mental health, Anand Grover, A/64/272, August 10, 2009</w:t>
      </w:r>
      <w:r w:rsidRPr="00012C3F">
        <w:rPr>
          <w:sz w:val="16"/>
          <w:szCs w:val="16"/>
          <w:lang w:val="en-US"/>
        </w:rPr>
        <w:t>, para. 13.</w:t>
      </w:r>
    </w:p>
  </w:footnote>
  <w:footnote w:id="254">
    <w:p w14:paraId="5DD30359"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The States for which information for the year 2000 is available are: Argentina, Barbados, Bolivia, Brazil, Canada, Chile, Colombia, Costa Rica, Ecuador, El Salvador, Honduras, Jamaica, Mexico, Panama, Paraguay, Peru, United States, Uruguay and Venezuela. </w:t>
      </w:r>
    </w:p>
  </w:footnote>
  <w:footnote w:id="255">
    <w:p w14:paraId="03346200" w14:textId="77777777" w:rsidR="00D24EFE" w:rsidRPr="00012C3F" w:rsidRDefault="00D24EFE" w:rsidP="005B52E1">
      <w:pPr>
        <w:tabs>
          <w:tab w:val="left" w:pos="567"/>
        </w:tabs>
        <w:autoSpaceDE w:val="0"/>
        <w:autoSpaceDN w:val="0"/>
        <w:spacing w:after="120" w:line="240" w:lineRule="auto"/>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(i) Argentina: Law on the Exercise of medicine, odontology and ancillary activities, National Law No. 17,132 of 1976, article 19, paragraph 3 and Basic Health Law of the Autonomous City of Law of Buenos Aires, Law No. 153/99 of 1999, article 4(d) and (h); (ii) Bolivia: Code of Medical Ethics, Law No. 728 of August 4, 1993, articles 19 and 23. Also, the Code of Medical Ethics and Deontology was adopted in Bolivia, according to information provided to this Court by the parties by Ministerial Resolution No. 047/04 of July 2004. This code reiterates several provides of the 1993 Ethics Code in its articles 8(6) and (10); 20, 22, 23, 25 and 37. </w:t>
      </w:r>
      <w:r w:rsidRPr="00012C3F">
        <w:rPr>
          <w:rFonts w:eastAsia="MS Mincho"/>
          <w:sz w:val="16"/>
          <w:szCs w:val="16"/>
          <w:lang w:val="en-US" w:eastAsia="en-US" w:bidi="en-US"/>
        </w:rPr>
        <w:t xml:space="preserve">Similarly, see current articles 16, 18 (previously articles 19 and 23) and 22 of the Code of Medical Ethics provided by the parties </w:t>
      </w:r>
      <w:r w:rsidRPr="00012C3F">
        <w:rPr>
          <w:sz w:val="16"/>
          <w:szCs w:val="16"/>
          <w:lang w:val="en-US"/>
        </w:rPr>
        <w:t xml:space="preserve">(file of the procedure before the Commission, volume II, folios 406 to 408 and 411 and 412); (iii) Canada: the Supreme Court handed down two important judgments concerning informed consent: </w:t>
      </w:r>
      <w:proofErr w:type="spellStart"/>
      <w:r w:rsidRPr="00012C3F">
        <w:rPr>
          <w:i/>
          <w:sz w:val="16"/>
          <w:szCs w:val="16"/>
          <w:lang w:val="en-US"/>
        </w:rPr>
        <w:t>Reibl</w:t>
      </w:r>
      <w:proofErr w:type="spellEnd"/>
      <w:r w:rsidRPr="00012C3F">
        <w:rPr>
          <w:i/>
          <w:sz w:val="16"/>
          <w:szCs w:val="16"/>
          <w:lang w:val="en-US"/>
        </w:rPr>
        <w:t xml:space="preserve"> v. Hughes</w:t>
      </w:r>
      <w:r w:rsidRPr="00012C3F">
        <w:rPr>
          <w:sz w:val="16"/>
          <w:szCs w:val="16"/>
          <w:lang w:val="en-US"/>
        </w:rPr>
        <w:t xml:space="preserve"> and </w:t>
      </w:r>
      <w:proofErr w:type="spellStart"/>
      <w:r w:rsidRPr="00012C3F">
        <w:rPr>
          <w:i/>
          <w:sz w:val="16"/>
          <w:szCs w:val="16"/>
          <w:lang w:val="en-US"/>
        </w:rPr>
        <w:t>Hopp</w:t>
      </w:r>
      <w:proofErr w:type="spellEnd"/>
      <w:r w:rsidRPr="00012C3F">
        <w:rPr>
          <w:i/>
          <w:sz w:val="16"/>
          <w:szCs w:val="16"/>
          <w:lang w:val="en-US"/>
        </w:rPr>
        <w:t xml:space="preserve"> v. </w:t>
      </w:r>
      <w:proofErr w:type="spellStart"/>
      <w:r w:rsidRPr="00012C3F">
        <w:rPr>
          <w:i/>
          <w:sz w:val="16"/>
          <w:szCs w:val="16"/>
          <w:lang w:val="en-US"/>
        </w:rPr>
        <w:t>Lepp</w:t>
      </w:r>
      <w:proofErr w:type="spellEnd"/>
      <w:r w:rsidRPr="00012C3F">
        <w:rPr>
          <w:i/>
          <w:sz w:val="16"/>
          <w:szCs w:val="16"/>
          <w:lang w:val="en-US"/>
        </w:rPr>
        <w:t xml:space="preserve"> (1980) and </w:t>
      </w:r>
      <w:proofErr w:type="spellStart"/>
      <w:r w:rsidRPr="00012C3F">
        <w:rPr>
          <w:i/>
          <w:sz w:val="16"/>
          <w:szCs w:val="16"/>
          <w:lang w:val="en-US"/>
        </w:rPr>
        <w:t>Malette</w:t>
      </w:r>
      <w:proofErr w:type="spellEnd"/>
      <w:r w:rsidRPr="00012C3F">
        <w:rPr>
          <w:i/>
          <w:sz w:val="16"/>
          <w:szCs w:val="16"/>
          <w:lang w:val="en-US"/>
        </w:rPr>
        <w:t xml:space="preserve"> v. Shulman </w:t>
      </w:r>
      <w:r w:rsidRPr="00012C3F">
        <w:rPr>
          <w:sz w:val="16"/>
          <w:szCs w:val="16"/>
          <w:lang w:val="en-US"/>
        </w:rPr>
        <w:t>(1990). The former established the “reasonable patient test,” also known as the “subjective-objective test” to determine the information that should be provided to obtain informed consent; to this end, it was considered that doctors knew or should know what their patient wished to know about the medical procedure. The second established that the obligation to obtain informed consent resulted from the doctrine of individual autonomy and indicated that the information should include a description of the treatment, its benefits and risks, the urgency of the treatment and whether it was necessary or elective, the existing alternatives (their risks and benefits), the consequences of refusing the treatment, the medical opinion, and any other information that the patient requested. In addition, the provinces have enacted laws, as in the case of Ontario which enacted the Health Care Consent Act in 1996; (iv) Chile: Ethics Code of the Chilean Association of Physicians, of 1986, article 15; Supreme Decree No. 42 of 1986 (derogated in 2005), article 105; Charter of the patient’s rights of the National Health System (FONASA) of 1999, and Decree No. 570 of July 2000, article 20, applicable for public and private psychiatric in-patient establishments; (v) Colombia:</w:t>
      </w:r>
      <w:r w:rsidRPr="00012C3F">
        <w:rPr>
          <w:i/>
          <w:sz w:val="16"/>
          <w:szCs w:val="16"/>
          <w:lang w:val="en-US"/>
        </w:rPr>
        <w:t xml:space="preserve"> </w:t>
      </w:r>
      <w:r w:rsidRPr="00012C3F">
        <w:rPr>
          <w:sz w:val="16"/>
          <w:szCs w:val="16"/>
          <w:lang w:val="en-US"/>
        </w:rPr>
        <w:t xml:space="preserve">Medical Ethics Act, Law No. 23 of 1981, article 15; Decree No. 3380 of 1981, regulating Law No. 23; Constitutional Court of Colombia, Judgments Nos. T 401/94, T-477/95, SU-337/99, and Resolution No. 13437 on Patient’s rights, adopted by the Ministry of Health in 1991, article 2; (vi) Costa Rica: General Health Act, No. 5395, articles 10 and 22; (vii) Ecuador: </w:t>
      </w:r>
      <w:r w:rsidRPr="00012C3F">
        <w:rPr>
          <w:i/>
          <w:sz w:val="16"/>
          <w:szCs w:val="16"/>
          <w:lang w:val="en-US"/>
        </w:rPr>
        <w:t>Cf.</w:t>
      </w:r>
      <w:r w:rsidRPr="00012C3F">
        <w:rPr>
          <w:sz w:val="16"/>
          <w:szCs w:val="16"/>
          <w:lang w:val="en-US"/>
        </w:rPr>
        <w:t xml:space="preserve"> Code of Medical Ethics of 1992, articles 15 and 16; (viii) El Salvador: General Regulations for Hospitals of the Ministry of Public Health and Social Assistance of 1996, articles 114 and 115; (ix) United States of America: Consumer Bill of Rights and Responsibilities, also known as the “Patient’s Bill of Rights.” Adopted by the President’s Advisory Commission on Consumer Protection and Quality in Health Care Industry. Similarly, since the beginning of the twentieth century, United States case law has referred to the obligatory nature of informed consent, for example, in the cases: </w:t>
      </w:r>
      <w:r w:rsidRPr="00012C3F">
        <w:rPr>
          <w:i/>
          <w:sz w:val="16"/>
          <w:szCs w:val="16"/>
          <w:lang w:val="en-US"/>
        </w:rPr>
        <w:t xml:space="preserve">Mohr v. Williams (1905), Pratt v. Davis (1906), </w:t>
      </w:r>
      <w:proofErr w:type="spellStart"/>
      <w:r w:rsidRPr="00012C3F">
        <w:rPr>
          <w:i/>
          <w:sz w:val="16"/>
          <w:szCs w:val="16"/>
          <w:lang w:val="en-US"/>
        </w:rPr>
        <w:t>Rolater</w:t>
      </w:r>
      <w:proofErr w:type="spellEnd"/>
      <w:r w:rsidRPr="00012C3F">
        <w:rPr>
          <w:i/>
          <w:sz w:val="16"/>
          <w:szCs w:val="16"/>
          <w:lang w:val="en-US"/>
        </w:rPr>
        <w:t xml:space="preserve"> v. Strain (1913), </w:t>
      </w:r>
      <w:r w:rsidRPr="00012C3F">
        <w:rPr>
          <w:iCs/>
          <w:sz w:val="16"/>
          <w:szCs w:val="16"/>
          <w:lang w:val="en-US"/>
        </w:rPr>
        <w:t xml:space="preserve">and </w:t>
      </w:r>
      <w:proofErr w:type="spellStart"/>
      <w:r w:rsidRPr="00012C3F">
        <w:rPr>
          <w:i/>
          <w:sz w:val="16"/>
          <w:szCs w:val="16"/>
          <w:lang w:val="en-US"/>
        </w:rPr>
        <w:t>Schloendorff</w:t>
      </w:r>
      <w:proofErr w:type="spellEnd"/>
      <w:r w:rsidRPr="00012C3F">
        <w:rPr>
          <w:i/>
          <w:sz w:val="16"/>
          <w:szCs w:val="16"/>
          <w:lang w:val="en-US"/>
        </w:rPr>
        <w:t xml:space="preserve"> v. Society of New York Hospitals (1914); </w:t>
      </w:r>
      <w:r w:rsidRPr="00012C3F">
        <w:rPr>
          <w:iCs/>
          <w:sz w:val="16"/>
          <w:szCs w:val="16"/>
          <w:lang w:val="en-US"/>
        </w:rPr>
        <w:t>(</w:t>
      </w:r>
      <w:r w:rsidRPr="00012C3F">
        <w:rPr>
          <w:sz w:val="16"/>
          <w:szCs w:val="16"/>
          <w:lang w:val="en-US"/>
        </w:rPr>
        <w:t xml:space="preserve">x) Mexico: General Health Act, articles 51 bis 1 and 2 (introduced by an amendment of April 2009); article 100, paragraph IV (concerning consent in research on human subjects); article 103 (concerning the treatment of those who are ill); article 77 bis 37, paragraphs V and IX. (introduced by an amendment of May 2003), and Regulations to the General Health Act on matters of health-related research of December 1981, article 14, paragraph V, among others; (xi) Paraguay: Criminal Code, Law No. 1160 of 1997, article 123; (xii) Peru: </w:t>
      </w:r>
      <w:r w:rsidRPr="00012C3F">
        <w:rPr>
          <w:i/>
          <w:sz w:val="16"/>
          <w:szCs w:val="16"/>
          <w:lang w:val="en-US"/>
        </w:rPr>
        <w:t xml:space="preserve">Cf. </w:t>
      </w:r>
      <w:r w:rsidRPr="00012C3F">
        <w:rPr>
          <w:sz w:val="16"/>
          <w:szCs w:val="16"/>
          <w:lang w:val="en-US"/>
        </w:rPr>
        <w:t>General Health Act, Law No. 26842 of 1997, which continues in force, articles 4; 6, 15(h), 27 and 40; (xiii) Uruguay: Bioethical Decree No. 258/92 of 1992, articles 5 and 36 to 39; and Code of Medical Ethics of April 1995, articles 15 and 38. Article 38 indicates that male and female sterilization must have the free and full consent of the person after they have been duly informed of the consequences of this medical procedure; (xiv) Venezuela: Medical Deontology Code of 1985, article 69(4).</w:t>
      </w:r>
    </w:p>
  </w:footnote>
  <w:footnote w:id="256">
    <w:p w14:paraId="0BA0465C" w14:textId="77777777" w:rsidR="00D24EFE" w:rsidRPr="00012C3F" w:rsidRDefault="00D24EFE" w:rsidP="005B52E1">
      <w:pPr>
        <w:tabs>
          <w:tab w:val="left" w:pos="567"/>
          <w:tab w:val="left" w:pos="8640"/>
        </w:tabs>
        <w:autoSpaceDE w:val="0"/>
        <w:autoSpaceDN w:val="0"/>
        <w:spacing w:after="120" w:line="240" w:lineRule="auto"/>
        <w:ind w:right="49"/>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The laws of Barbados referred to informed consent in cases of termination of pregnancy; the laws of Panama and Brazil applied specifically to sterilization, and Brazil also had a law that recognized the right to free family planning without any form of coercion; the Honduran law applied to scientific research, and the Jamaican law referred to cases of sterilization but was applicable to a single health center. In this regard: (i) Barbados: Medical Termination of Pregnancy Act of 1983, article 8(1); (ii) Brazil: 1988 Federal Constitution, article 226(7), and articles 4 and 10 of Law No. 9,263 of January 1996, which developed article 226(7)of the Federal Constitution; article 10, paragraph II.6 also indicated that “[c]</w:t>
      </w:r>
      <w:proofErr w:type="spellStart"/>
      <w:r w:rsidRPr="00012C3F">
        <w:rPr>
          <w:sz w:val="16"/>
          <w:szCs w:val="16"/>
          <w:lang w:val="en-US"/>
        </w:rPr>
        <w:t>onsent</w:t>
      </w:r>
      <w:proofErr w:type="spellEnd"/>
      <w:r w:rsidRPr="00012C3F">
        <w:rPr>
          <w:sz w:val="16"/>
          <w:szCs w:val="16"/>
          <w:lang w:val="en-US"/>
        </w:rPr>
        <w:t xml:space="preserve"> expressed during changes in the capacity for discernment under the influence of alcohol, drugs, altered states of emotion or temporary or permanent mental disability shall not be considered an expression of will pursuant to </w:t>
      </w:r>
      <w:r w:rsidRPr="00012C3F">
        <w:rPr>
          <w:rFonts w:cs="Arial"/>
          <w:color w:val="222222"/>
          <w:sz w:val="16"/>
          <w:szCs w:val="16"/>
          <w:lang w:val="en-US"/>
        </w:rPr>
        <w:t>§ 1</w:t>
      </w:r>
      <w:r w:rsidRPr="00012C3F">
        <w:rPr>
          <w:sz w:val="16"/>
          <w:szCs w:val="16"/>
          <w:lang w:val="en-US"/>
        </w:rPr>
        <w:t>”; (iii) Honduras</w:t>
      </w:r>
      <w:r w:rsidRPr="00012C3F">
        <w:rPr>
          <w:iCs/>
          <w:sz w:val="16"/>
          <w:szCs w:val="16"/>
          <w:lang w:val="en-US"/>
        </w:rPr>
        <w:t>:</w:t>
      </w:r>
      <w:r w:rsidRPr="00012C3F">
        <w:rPr>
          <w:i/>
          <w:sz w:val="16"/>
          <w:szCs w:val="16"/>
          <w:lang w:val="en-US"/>
        </w:rPr>
        <w:t xml:space="preserve"> </w:t>
      </w:r>
      <w:r w:rsidRPr="00012C3F">
        <w:rPr>
          <w:sz w:val="16"/>
          <w:szCs w:val="16"/>
          <w:lang w:val="en-US"/>
        </w:rPr>
        <w:t>Health Code, Decree No. 65-91, August 6, 1991, articles 10 and 176; (iv) Jamaica: informed and written consent  voluntary female sterilization dates from 1989. The Glen Vincent Fertility Management Unit drew up a memorandum with standards for cases in which a woman desired to submit to tubal ligation which indicates that: “[w]</w:t>
      </w:r>
      <w:proofErr w:type="spellStart"/>
      <w:r w:rsidRPr="00012C3F">
        <w:rPr>
          <w:sz w:val="16"/>
          <w:szCs w:val="16"/>
          <w:lang w:val="en-US"/>
        </w:rPr>
        <w:t>omen</w:t>
      </w:r>
      <w:proofErr w:type="spellEnd"/>
      <w:r w:rsidRPr="00012C3F">
        <w:rPr>
          <w:sz w:val="16"/>
          <w:szCs w:val="16"/>
          <w:lang w:val="en-US"/>
        </w:rPr>
        <w:t xml:space="preserve"> who have had more than two children may elect to submit to tubal ligation. To this end, they shall receive appropriate counselling and sign a specific form of consent prior to the procedure.” Memorandum, Fertility Management Unit - Glen Vincent H/C, Abortion Policy Review Advisory Group Final Report, May 2, 1989, p. 26, and (v) Panama: Law No. 48 which permits sterilization, May 1941, articles 3 and 8. Although this law differentiates between voluntary, necessary, eugenic and emergency sterilization, article 8 suggests that sterilization was applicable in most cases following a written request signed by the interested party and the authorization of a medical board. The Court underlines that this law was derogated by Law 7 of March 5, 2013.</w:t>
      </w:r>
    </w:p>
  </w:footnote>
  <w:footnote w:id="257">
    <w:p w14:paraId="1EB7FF48"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The countries that have a law on informed consent in the case of female sterilization are: (i) Argentina: the Reproductive Health and Responsible Procreation Act, Law No. 418, enacted by the City of Buenos Aires in June 2000, article 3(c), and Resolution No. 2492/2000, Surgical procedure for tubal ligation</w:t>
      </w:r>
      <w:r w:rsidRPr="00012C3F">
        <w:rPr>
          <w:rFonts w:cs="Tahoma"/>
          <w:color w:val="000000"/>
          <w:sz w:val="16"/>
          <w:szCs w:val="16"/>
          <w:lang w:val="en-US" w:eastAsia="es-CR"/>
        </w:rPr>
        <w:t xml:space="preserve">: terms and conditions for its implementation in the province’s public hospitals, adopted by the province of Mendoza in October 2000, article 1; (ii) Bolivia: Bolivian Health standards </w:t>
      </w:r>
      <w:r w:rsidRPr="00012C3F">
        <w:rPr>
          <w:rFonts w:eastAsia="MS Mincho"/>
          <w:sz w:val="16"/>
          <w:szCs w:val="16"/>
          <w:lang w:val="en-US" w:eastAsia="en-US" w:bidi="en-US"/>
        </w:rPr>
        <w:t>NB–SNS–04–97 (“Voluntary surgical contraception for women at high reproductive risk”), approved by Secretariat Resolution No. 0/408 of August 4, 1997, and Bolivian Health standards MSPS-98 (“Voluntary surgical contraception.</w:t>
      </w:r>
      <w:r w:rsidRPr="00012C3F">
        <w:rPr>
          <w:rFonts w:eastAsia="MS Mincho"/>
          <w:b/>
          <w:sz w:val="16"/>
          <w:szCs w:val="16"/>
          <w:lang w:val="en-US" w:eastAsia="en-US" w:bidi="en-US"/>
        </w:rPr>
        <w:t xml:space="preserve"> </w:t>
      </w:r>
      <w:r w:rsidRPr="00012C3F">
        <w:rPr>
          <w:rFonts w:eastAsia="MS Mincho"/>
          <w:sz w:val="16"/>
          <w:szCs w:val="16"/>
          <w:lang w:val="en-US" w:eastAsia="en-US" w:bidi="en-US"/>
        </w:rPr>
        <w:t>Bilateral tubal occlusion in cases of reproductive risk”) adopted by Ministerial Resolution No. 0517 of November 17, 1998;</w:t>
      </w:r>
      <w:r w:rsidRPr="00012C3F">
        <w:rPr>
          <w:sz w:val="16"/>
          <w:szCs w:val="16"/>
          <w:lang w:val="en-US"/>
        </w:rPr>
        <w:t xml:space="preserve"> (iii) Brazil: Law No. 9,263 of January 1996, which developed article 226(7) of the Federal Constitution;  (iv) Chile: Resolution No. 2,326 which establishes guidelines for health services relating to female and male sterilization, adopted by the Ministry of Health on November 30, 2000, in force since February 2001, articles 2, 3, 4 and 6; (v) Costa Rica: Reproductive Health Decree No. 27913-S of 1999, article 5(d); (vi) Jamaica: Memorandum, Fertility Management Unit - Glen Vincent H/C, Abortion Policy Review Advisory Group Final Report, May 2, 1989; (vii) Mexico: General Health Act, amendment of June 1991, article 67(3); (viii) Panama, Law No. 48 permitting sterilization, May 1941, and (ix) Peru: General Health Act, Law No. 26842 of 1997, article 6; Regulations for the Family Planning Program of the Ministry of Health, 1999, paragraph (g) of Section G entitled “Female voluntary surgical contraception,” stresses that care must be taken in the cases of postpartum women who have not given their prior consent; Manual of standards and procedures for activities of voluntary surgical contraception (AQV), pp. 7 to 11; Law on the National Population Policy, Legislative Decree No. 346, articles 3 and 28. In the year 2000, some of these norms only permitted sterilization in certain cases, either for medical reasons or because women had a sufficient number of children, but not as a contraception method to regulate fertility. However, the Court notes that, in recent years, the laws have included female sterilization as an option that can be freely chosen from among </w:t>
      </w:r>
      <w:r w:rsidRPr="00012C3F">
        <w:rPr>
          <w:rFonts w:eastAsia="MS Mincho"/>
          <w:bCs/>
          <w:sz w:val="16"/>
          <w:szCs w:val="16"/>
          <w:lang w:val="en-US" w:eastAsia="en-US" w:bidi="en-US"/>
        </w:rPr>
        <w:t>the different birth control methods.</w:t>
      </w:r>
    </w:p>
  </w:footnote>
  <w:footnote w:id="258">
    <w:p w14:paraId="13C93F0C"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The laws of Brazil even granted a period of reflection to take a decision</w:t>
      </w:r>
      <w:r w:rsidRPr="00012C3F">
        <w:rPr>
          <w:rFonts w:eastAsia="MS Mincho"/>
          <w:bCs/>
          <w:sz w:val="16"/>
          <w:szCs w:val="16"/>
          <w:lang w:val="en-US" w:eastAsia="en-US" w:bidi="en-US"/>
        </w:rPr>
        <w:t xml:space="preserve">. </w:t>
      </w:r>
      <w:r w:rsidRPr="00012C3F">
        <w:rPr>
          <w:i/>
          <w:sz w:val="16"/>
          <w:szCs w:val="16"/>
          <w:lang w:val="en-US"/>
        </w:rPr>
        <w:t>Cf.</w:t>
      </w:r>
      <w:r w:rsidRPr="00012C3F">
        <w:rPr>
          <w:sz w:val="16"/>
          <w:szCs w:val="16"/>
          <w:lang w:val="en-US"/>
        </w:rPr>
        <w:t xml:space="preserve"> Article 10 of Law No. 9,263 of January 1996, which established 60 days of reflection before undergoing sterilization.</w:t>
      </w:r>
    </w:p>
  </w:footnote>
  <w:footnote w:id="259">
    <w:p w14:paraId="2A84680B"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Article 19(3) of the Law on the Exercise of Medicine, Odontology and Ancillary Activities, Law No. 17,132 of 1976. </w:t>
      </w:r>
    </w:p>
  </w:footnote>
  <w:footnote w:id="260">
    <w:p w14:paraId="3498446D"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Article 176 of the Health Code, Standard No. 65-91 of 1991. </w:t>
      </w:r>
    </w:p>
  </w:footnote>
  <w:footnote w:id="261">
    <w:p w14:paraId="5085E44C" w14:textId="77777777" w:rsidR="00D24EFE" w:rsidRPr="00012C3F" w:rsidRDefault="00D24EFE" w:rsidP="00B47F8D">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Article 27 of the General Health Act, Law No. 26842 of 1997.</w:t>
      </w:r>
    </w:p>
  </w:footnote>
  <w:footnote w:id="262">
    <w:p w14:paraId="3B941FDF"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Article 1 of the Organ and Tissue Transplant Act, Law No. 14,005 of 1971.</w:t>
      </w:r>
    </w:p>
  </w:footnote>
  <w:footnote w:id="263">
    <w:p w14:paraId="3C979184"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t>Namely: Argentina, Bolivia, Chile, Canada (Ontario), Colombia, Costa Rica, Ecuador, Paraguay, Peru, Uruguay and Venezuela.</w:t>
      </w:r>
    </w:p>
  </w:footnote>
  <w:footnote w:id="264">
    <w:p w14:paraId="1DB6573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Expert opinion provided by Luisa Cabal by affidavit on April 28, 2016 (evidence file, volume XI, affidavits, folio 3973).</w:t>
      </w:r>
    </w:p>
  </w:footnote>
  <w:footnote w:id="265">
    <w:p w14:paraId="773B84E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See Articles 7(1)(g), 8(2)(b)(xxii) and 8(2)(e)(vi) of the Rome Statute. Forced sterilization was recognized as a war crime in the Nuremberg trials of the perpetrators of acts committed in the context of medical experimentation.</w:t>
      </w:r>
    </w:p>
  </w:footnote>
  <w:footnote w:id="266">
    <w:p w14:paraId="41679D0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Bolivia (2013), Brazil (1996), Ecuador (2014), Mexico (2012) and Venezuela (2007) have criminalized forced sterilization within their jurisdictions as an ordinary offense: forced sterilization in Bolivia and Brazil; forced deprivation of reproductive capacity in Ecuador, and induced sterility in Mexico.</w:t>
      </w:r>
    </w:p>
  </w:footnote>
  <w:footnote w:id="267">
    <w:p w14:paraId="3EFF745A" w14:textId="77777777" w:rsidR="00D24EFE" w:rsidRPr="00012C3F" w:rsidRDefault="00D24EFE" w:rsidP="005B52E1">
      <w:pPr>
        <w:pStyle w:val="Textonotapie"/>
        <w:tabs>
          <w:tab w:val="left" w:pos="567"/>
        </w:tabs>
        <w:spacing w:after="120"/>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sz w:val="16"/>
          <w:szCs w:val="16"/>
          <w:lang w:val="en-US"/>
        </w:rPr>
        <w:t xml:space="preserve">UN, Committee for the Elimination of Discrimination against Women, General Recommendation No. 24, </w:t>
      </w:r>
      <w:r w:rsidRPr="00012C3F">
        <w:rPr>
          <w:i/>
          <w:sz w:val="16"/>
          <w:szCs w:val="16"/>
          <w:lang w:val="en-US"/>
        </w:rPr>
        <w:t>Women and health</w:t>
      </w:r>
      <w:r w:rsidRPr="00012C3F">
        <w:rPr>
          <w:sz w:val="16"/>
          <w:szCs w:val="16"/>
          <w:lang w:val="en-US"/>
        </w:rPr>
        <w:t>, 1999</w:t>
      </w:r>
      <w:r w:rsidRPr="00012C3F">
        <w:rPr>
          <w:color w:val="000000" w:themeColor="text1"/>
          <w:sz w:val="16"/>
          <w:szCs w:val="16"/>
          <w:lang w:val="en-US"/>
        </w:rPr>
        <w:t xml:space="preserve">, para. 22; </w:t>
      </w:r>
      <w:r w:rsidRPr="00012C3F">
        <w:rPr>
          <w:rFonts w:cs="Calibri"/>
          <w:sz w:val="16"/>
          <w:szCs w:val="16"/>
          <w:lang w:val="en-US"/>
        </w:rPr>
        <w:t xml:space="preserve">UN, Committee for the Elimination of Discrimination against Women, </w:t>
      </w:r>
      <w:r w:rsidRPr="00012C3F">
        <w:rPr>
          <w:rFonts w:cs="Calibri-Italic"/>
          <w:i/>
          <w:iCs/>
          <w:sz w:val="16"/>
          <w:szCs w:val="16"/>
          <w:lang w:val="en-US"/>
        </w:rPr>
        <w:t>A.S. against Hungary</w:t>
      </w:r>
      <w:r w:rsidRPr="00012C3F">
        <w:rPr>
          <w:rFonts w:cs="Calibri"/>
          <w:sz w:val="16"/>
          <w:szCs w:val="16"/>
          <w:lang w:val="en-US"/>
        </w:rPr>
        <w:t xml:space="preserve"> (Communication No. 4/2004), CEDAW/C/36/D/4/2004, August 29, 2006, para. 11.3</w:t>
      </w:r>
      <w:r w:rsidRPr="00012C3F">
        <w:rPr>
          <w:bCs/>
          <w:color w:val="000000" w:themeColor="text1"/>
          <w:sz w:val="16"/>
          <w:szCs w:val="16"/>
          <w:lang w:val="en-US"/>
        </w:rPr>
        <w:t xml:space="preserve">; UN, Report of the Special </w:t>
      </w:r>
      <w:r w:rsidRPr="00012C3F">
        <w:rPr>
          <w:rFonts w:eastAsia="MS Mincho"/>
          <w:bCs/>
          <w:sz w:val="16"/>
          <w:szCs w:val="16"/>
          <w:lang w:val="en-US" w:bidi="en-US"/>
        </w:rPr>
        <w:t>Rapporteur on the right of everyone to the highest attainable standard of physical and mental health, Anand Grover, A/64/272, August 10, 2009</w:t>
      </w:r>
      <w:r w:rsidRPr="00012C3F">
        <w:rPr>
          <w:color w:val="000000" w:themeColor="text1"/>
          <w:sz w:val="16"/>
          <w:szCs w:val="16"/>
          <w:lang w:val="en-US"/>
        </w:rPr>
        <w:t xml:space="preserve">, para. 55, </w:t>
      </w:r>
      <w:r w:rsidRPr="00012C3F">
        <w:rPr>
          <w:bCs/>
          <w:color w:val="000000" w:themeColor="text1"/>
          <w:sz w:val="16"/>
          <w:szCs w:val="16"/>
          <w:lang w:val="en-US"/>
        </w:rPr>
        <w:t xml:space="preserve">and </w:t>
      </w:r>
      <w:r w:rsidRPr="00012C3F">
        <w:rPr>
          <w:sz w:val="16"/>
          <w:szCs w:val="16"/>
          <w:lang w:val="en-US"/>
        </w:rPr>
        <w:t xml:space="preserve">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xml:space="preserve">, No. 18968/07. Judgment of November 8, 2011; </w:t>
      </w:r>
      <w:r w:rsidRPr="00012C3F">
        <w:rPr>
          <w:i/>
          <w:sz w:val="16"/>
          <w:szCs w:val="16"/>
          <w:lang w:val="en-US"/>
        </w:rPr>
        <w:t>Case of N.B. v. Slovakia</w:t>
      </w:r>
      <w:r w:rsidRPr="00012C3F">
        <w:rPr>
          <w:sz w:val="16"/>
          <w:szCs w:val="16"/>
          <w:lang w:val="en-US"/>
        </w:rPr>
        <w:t xml:space="preserve">, No. 29518/10. Judgment of June 12, 2012, and </w:t>
      </w:r>
      <w:r w:rsidRPr="00012C3F">
        <w:rPr>
          <w:i/>
          <w:sz w:val="16"/>
          <w:szCs w:val="16"/>
          <w:lang w:val="en-US"/>
        </w:rPr>
        <w:t>Case of I.G., M.K. and R.H. v. Slovakia</w:t>
      </w:r>
      <w:r w:rsidRPr="00012C3F">
        <w:rPr>
          <w:sz w:val="16"/>
          <w:szCs w:val="16"/>
          <w:lang w:val="en-US"/>
        </w:rPr>
        <w:t>, No. 15966/04. Judgment of November 13, 2012 (evidence file, volume VIII, annexes 26, 27 and 28 to the brief with motions, pleadings and evidence, folios 2474 to 2577)</w:t>
      </w:r>
      <w:r w:rsidRPr="00012C3F">
        <w:rPr>
          <w:bCs/>
          <w:color w:val="000000" w:themeColor="text1"/>
          <w:sz w:val="16"/>
          <w:szCs w:val="16"/>
          <w:lang w:val="en-US"/>
        </w:rPr>
        <w:t>.</w:t>
      </w:r>
    </w:p>
  </w:footnote>
  <w:footnote w:id="268">
    <w:p w14:paraId="691F68A0" w14:textId="77777777" w:rsidR="00D24EFE" w:rsidRPr="00012C3F" w:rsidRDefault="00D24EFE" w:rsidP="005B52E1">
      <w:pPr>
        <w:pStyle w:val="styletitle2"/>
        <w:shd w:val="clear" w:color="auto" w:fill="FFFFFF"/>
        <w:tabs>
          <w:tab w:val="left" w:pos="567"/>
        </w:tabs>
        <w:spacing w:before="0" w:beforeAutospacing="0" w:after="120" w:afterAutospacing="0"/>
        <w:jc w:val="both"/>
        <w:rPr>
          <w:rFonts w:ascii="Verdana" w:hAnsi="Verdana"/>
          <w:color w:val="000000" w:themeColor="text1"/>
          <w:sz w:val="16"/>
          <w:szCs w:val="16"/>
          <w:lang w:val="en-US"/>
        </w:rPr>
      </w:pPr>
      <w:r w:rsidRPr="00012C3F">
        <w:rPr>
          <w:rStyle w:val="Refdenotaalpie"/>
          <w:rFonts w:ascii="Verdana" w:eastAsia="Calibri" w:hAnsi="Verdana"/>
          <w:color w:val="000000" w:themeColor="text1"/>
          <w:sz w:val="16"/>
          <w:szCs w:val="16"/>
          <w:lang w:val="en-US"/>
        </w:rPr>
        <w:footnoteRef/>
      </w:r>
      <w:r w:rsidRPr="00012C3F">
        <w:rPr>
          <w:rFonts w:ascii="Verdana" w:hAnsi="Verdana"/>
          <w:color w:val="000000" w:themeColor="text1"/>
          <w:sz w:val="16"/>
          <w:szCs w:val="16"/>
          <w:lang w:val="en-US"/>
        </w:rPr>
        <w:t xml:space="preserve"> </w:t>
      </w:r>
      <w:r w:rsidRPr="00012C3F">
        <w:rPr>
          <w:rFonts w:ascii="Verdana" w:hAnsi="Verdana"/>
          <w:color w:val="000000" w:themeColor="text1"/>
          <w:sz w:val="16"/>
          <w:szCs w:val="16"/>
          <w:lang w:val="en-US"/>
        </w:rPr>
        <w:tab/>
      </w:r>
      <w:r w:rsidRPr="00012C3F">
        <w:rPr>
          <w:rFonts w:ascii="Verdana" w:hAnsi="Verdana"/>
          <w:i/>
          <w:color w:val="000000" w:themeColor="text1"/>
          <w:sz w:val="16"/>
          <w:szCs w:val="16"/>
          <w:lang w:val="en-US"/>
        </w:rPr>
        <w:t xml:space="preserve">Cf. </w:t>
      </w:r>
      <w:r w:rsidRPr="00012C3F">
        <w:rPr>
          <w:rFonts w:ascii="Verdana" w:eastAsia="MS Mincho" w:hAnsi="Verdana"/>
          <w:bCs/>
          <w:sz w:val="16"/>
          <w:szCs w:val="16"/>
          <w:lang w:val="en-US" w:bidi="en-US"/>
        </w:rPr>
        <w:t>UN, Report of the Special Rapporteur on the right of everyone to the highest attainable standard of physical and mental health, Anand Grover, A/64/272, August 10, 2009</w:t>
      </w:r>
      <w:r w:rsidRPr="00012C3F">
        <w:rPr>
          <w:rFonts w:ascii="Verdana" w:hAnsi="Verdana"/>
          <w:color w:val="000000" w:themeColor="text1"/>
          <w:sz w:val="16"/>
          <w:szCs w:val="16"/>
          <w:lang w:val="en-US"/>
        </w:rPr>
        <w:t>, para. 55.</w:t>
      </w:r>
    </w:p>
  </w:footnote>
  <w:footnote w:id="269">
    <w:p w14:paraId="74FDAA5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color w:val="000000" w:themeColor="text1"/>
          <w:sz w:val="16"/>
          <w:szCs w:val="16"/>
          <w:lang w:val="en-US"/>
        </w:rPr>
        <w:t>Committee against Torture, Conclusions and recommendations with regard to Peru, CAT/C/PER/CO/4, July 25, 2006, para. 23, and Committee against Torture, Concluding observations with regard to Slovakia, CAT/C/SVK/CO/2, December 17, 2009, para. 14.</w:t>
      </w:r>
    </w:p>
  </w:footnote>
  <w:footnote w:id="270">
    <w:p w14:paraId="427D0B92" w14:textId="77777777" w:rsidR="00D24EFE" w:rsidRPr="00012C3F" w:rsidRDefault="00D24EFE" w:rsidP="005B52E1">
      <w:pPr>
        <w:shd w:val="clear" w:color="auto" w:fill="FFFFFF"/>
        <w:tabs>
          <w:tab w:val="left" w:pos="567"/>
        </w:tabs>
        <w:spacing w:after="120" w:line="240" w:lineRule="auto"/>
        <w:rPr>
          <w:color w:val="000000" w:themeColor="text1"/>
          <w:sz w:val="16"/>
          <w:szCs w:val="16"/>
          <w:u w:val="single"/>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sz w:val="16"/>
          <w:szCs w:val="16"/>
          <w:lang w:val="en-US"/>
        </w:rPr>
        <w:t xml:space="preserve">UN, Committee for the Elimination of Discrimination against Women, General Recommendation No. </w:t>
      </w:r>
      <w:r w:rsidRPr="00012C3F">
        <w:rPr>
          <w:color w:val="000000" w:themeColor="text1"/>
          <w:sz w:val="16"/>
          <w:szCs w:val="16"/>
          <w:lang w:val="en-US"/>
        </w:rPr>
        <w:t xml:space="preserve">19, </w:t>
      </w:r>
      <w:r w:rsidRPr="00012C3F">
        <w:rPr>
          <w:i/>
          <w:color w:val="000000" w:themeColor="text1"/>
          <w:sz w:val="16"/>
          <w:szCs w:val="16"/>
          <w:lang w:val="en-US"/>
        </w:rPr>
        <w:t xml:space="preserve">Violence against women, </w:t>
      </w:r>
      <w:r w:rsidRPr="00012C3F">
        <w:rPr>
          <w:color w:val="000000" w:themeColor="text1"/>
          <w:sz w:val="16"/>
          <w:szCs w:val="16"/>
          <w:lang w:val="en-US"/>
        </w:rPr>
        <w:t xml:space="preserve">1992, para. 22, and </w:t>
      </w:r>
      <w:r w:rsidRPr="00012C3F">
        <w:rPr>
          <w:sz w:val="16"/>
          <w:szCs w:val="16"/>
          <w:lang w:val="en-US"/>
        </w:rPr>
        <w:t>Committee for the Elimination of Discrimination against Women, Concluding observations with regard to The Netherlands, CEDAW/C/NLD/CO/5, February 5, 2010, paras. 46 and 47</w:t>
      </w:r>
      <w:r w:rsidRPr="00012C3F">
        <w:rPr>
          <w:color w:val="000000" w:themeColor="text1"/>
          <w:sz w:val="16"/>
          <w:szCs w:val="16"/>
          <w:lang w:val="en-US"/>
        </w:rPr>
        <w:t>.</w:t>
      </w:r>
    </w:p>
  </w:footnote>
  <w:footnote w:id="271">
    <w:p w14:paraId="5231C7F7" w14:textId="77777777" w:rsidR="00D24EFE" w:rsidRPr="00012C3F" w:rsidRDefault="00D24EFE" w:rsidP="005B52E1">
      <w:pPr>
        <w:shd w:val="clear" w:color="auto" w:fill="FFFFFF"/>
        <w:tabs>
          <w:tab w:val="left" w:pos="567"/>
        </w:tabs>
        <w:spacing w:after="120" w:line="240" w:lineRule="auto"/>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sz w:val="16"/>
          <w:szCs w:val="16"/>
          <w:lang w:val="en-US"/>
        </w:rPr>
        <w:t xml:space="preserve">UN, </w:t>
      </w:r>
      <w:r w:rsidRPr="00012C3F">
        <w:rPr>
          <w:color w:val="000000" w:themeColor="text1"/>
          <w:sz w:val="16"/>
          <w:szCs w:val="16"/>
          <w:lang w:val="en-US"/>
        </w:rPr>
        <w:t xml:space="preserve">Human Rights Committee, Concluding observations with regard to Peru, CCPR/CO/70/PER, November 15, 2000, para. 21; </w:t>
      </w:r>
      <w:r w:rsidRPr="00012C3F">
        <w:rPr>
          <w:sz w:val="16"/>
          <w:szCs w:val="16"/>
          <w:lang w:val="en-US"/>
        </w:rPr>
        <w:t xml:space="preserve">UN, Committee for the Elimination of Discrimination against Women, General Recommendation No. </w:t>
      </w:r>
      <w:r w:rsidRPr="00012C3F">
        <w:rPr>
          <w:color w:val="000000" w:themeColor="text1"/>
          <w:sz w:val="16"/>
          <w:szCs w:val="16"/>
          <w:lang w:val="en-US"/>
        </w:rPr>
        <w:t xml:space="preserve">21, </w:t>
      </w:r>
      <w:r w:rsidRPr="00012C3F">
        <w:rPr>
          <w:i/>
          <w:color w:val="000000" w:themeColor="text1"/>
          <w:sz w:val="16"/>
          <w:szCs w:val="16"/>
          <w:lang w:val="en-US"/>
        </w:rPr>
        <w:t xml:space="preserve">Equality in marriage and family relations, </w:t>
      </w:r>
      <w:r w:rsidRPr="00012C3F">
        <w:rPr>
          <w:color w:val="000000" w:themeColor="text1"/>
          <w:sz w:val="16"/>
          <w:szCs w:val="16"/>
          <w:lang w:val="en-US"/>
        </w:rPr>
        <w:t>1994, para. 22; UN, Report of the Special Rapporteur on torture and other cruel, inhuman or degrading treatment or punishment, Manfred Nowak, A/HRC/7/3, January 15, 2008, para. 39; Human Rights Committee, Concluding observations with regard to Slovakia, CCPR/CO/78/SVK, August 22, 2003, para. 12; Human Rights Committee, Concluding observations with regard to Slovakia, CCPR/C/SVK/CO/3, April 20, 2011, para. 13;</w:t>
      </w:r>
      <w:r w:rsidRPr="00012C3F">
        <w:rPr>
          <w:rFonts w:cs="Courier New"/>
          <w:color w:val="000000" w:themeColor="text1"/>
          <w:sz w:val="16"/>
          <w:szCs w:val="16"/>
          <w:lang w:val="en-US"/>
        </w:rPr>
        <w:t xml:space="preserve"> Committee on the rights of persons with disabilities, Concluding observations with regard to Peru, CRPD/C/PER/CO/1, May 16, 2012, para. 35, and </w:t>
      </w:r>
      <w:r w:rsidRPr="00012C3F">
        <w:rPr>
          <w:color w:val="000000" w:themeColor="text1"/>
          <w:sz w:val="16"/>
          <w:szCs w:val="16"/>
          <w:lang w:val="en-US"/>
        </w:rPr>
        <w:t xml:space="preserve">Committee against Torture, Concluding observations on the second periodic report of Kenya, CAT/C/KEN/CO/2, June 19, 2013, para. 27. </w:t>
      </w:r>
    </w:p>
  </w:footnote>
  <w:footnote w:id="272">
    <w:p w14:paraId="5AD12618" w14:textId="77777777" w:rsidR="00D24EFE" w:rsidRPr="00012C3F" w:rsidRDefault="00D24EFE" w:rsidP="005B52E1">
      <w:pPr>
        <w:pStyle w:val="Textonotapie"/>
        <w:tabs>
          <w:tab w:val="left" w:pos="567"/>
        </w:tabs>
        <w:spacing w:after="120"/>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color w:val="000000" w:themeColor="text1"/>
          <w:sz w:val="16"/>
          <w:szCs w:val="16"/>
          <w:lang w:val="en-US"/>
        </w:rPr>
        <w:t>UN, 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E/CN.4/1999/68/Add.4, January 21, 1999</w:t>
      </w:r>
      <w:r w:rsidRPr="00012C3F">
        <w:rPr>
          <w:rFonts w:cs="Courier New"/>
          <w:color w:val="000000" w:themeColor="text1"/>
          <w:sz w:val="16"/>
          <w:szCs w:val="16"/>
          <w:lang w:val="en-US"/>
        </w:rPr>
        <w:t xml:space="preserve">, para. 51; </w:t>
      </w:r>
      <w:r w:rsidRPr="00012C3F">
        <w:rPr>
          <w:color w:val="000000" w:themeColor="text1"/>
          <w:sz w:val="16"/>
          <w:szCs w:val="16"/>
          <w:lang w:val="en-US"/>
        </w:rPr>
        <w:t xml:space="preserve">Human Rights Committee, Concluding observations with regard to Japan, CCPR/C/79/Add.102, November 19, 1998, para. 31; Report of the Special Rapporteur on violence against women, its causes and consequences, Rashida Manjoo, </w:t>
      </w:r>
      <w:r w:rsidRPr="00012C3F">
        <w:rPr>
          <w:i/>
          <w:color w:val="000000" w:themeColor="text1"/>
          <w:sz w:val="16"/>
          <w:szCs w:val="16"/>
          <w:lang w:val="en-US"/>
        </w:rPr>
        <w:t>Violence against women with disabilities</w:t>
      </w:r>
      <w:r w:rsidRPr="00012C3F">
        <w:rPr>
          <w:color w:val="000000" w:themeColor="text1"/>
          <w:sz w:val="16"/>
          <w:szCs w:val="16"/>
          <w:lang w:val="en-US"/>
        </w:rPr>
        <w:t>, A/67/227, August 3, 2012, para. 28.</w:t>
      </w:r>
    </w:p>
  </w:footnote>
  <w:footnote w:id="273">
    <w:p w14:paraId="24AF5EFB" w14:textId="77777777" w:rsidR="00D24EFE" w:rsidRPr="00012C3F" w:rsidRDefault="00D24EFE" w:rsidP="005B52E1">
      <w:pPr>
        <w:pStyle w:val="Textonotapie"/>
        <w:tabs>
          <w:tab w:val="left" w:pos="567"/>
        </w:tabs>
        <w:spacing w:after="120"/>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color w:val="000000" w:themeColor="text1"/>
          <w:sz w:val="16"/>
          <w:szCs w:val="16"/>
          <w:lang w:val="en-US"/>
        </w:rPr>
        <w:t>UN, Human Rights Committee, Concluding observations with regard to Slovakia, CCPR/CO/78/SVK, August 22, 2003, para. 12, and Committee against Torture, Concluding observations with regard to Kenya, CAT/C/KEN/CO/2, June 19, 2013, para. 27; Human Rights Committee, Concluding observations with regard to Slovakia, CCPR/CO/78/SVK, August 22, 2003, para. 12, and Committee for the Elimination of Discrimination against Women, Concluding observations with regard to Slovakia, CEDAW/C/SVK/CO/4, July 17, 2008, para. 31.</w:t>
      </w:r>
    </w:p>
  </w:footnote>
  <w:footnote w:id="274">
    <w:p w14:paraId="76DB8B1D"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rFonts w:eastAsiaTheme="majorEastAsia"/>
          <w:sz w:val="16"/>
          <w:szCs w:val="16"/>
          <w:lang w:val="en-US"/>
        </w:rPr>
        <w:footnoteRef/>
      </w:r>
      <w:r w:rsidRPr="00012C3F">
        <w:rPr>
          <w:sz w:val="16"/>
          <w:szCs w:val="16"/>
          <w:lang w:val="en-US"/>
        </w:rPr>
        <w:tab/>
      </w:r>
      <w:r w:rsidRPr="00012C3F">
        <w:rPr>
          <w:i/>
          <w:sz w:val="16"/>
          <w:szCs w:val="16"/>
          <w:lang w:val="en-US"/>
        </w:rPr>
        <w:t>Cf. Case of the Pueblo Bello Massacre v. Colombia</w:t>
      </w:r>
      <w:r w:rsidRPr="00012C3F">
        <w:rPr>
          <w:sz w:val="16"/>
          <w:szCs w:val="16"/>
          <w:lang w:val="en-US"/>
        </w:rPr>
        <w:t xml:space="preserve">. </w:t>
      </w:r>
      <w:r w:rsidRPr="00012C3F">
        <w:rPr>
          <w:i/>
          <w:color w:val="000000"/>
          <w:sz w:val="16"/>
          <w:szCs w:val="16"/>
          <w:lang w:val="en-US"/>
        </w:rPr>
        <w:t>Merits reparations and costs.</w:t>
      </w:r>
      <w:r w:rsidRPr="00012C3F">
        <w:rPr>
          <w:color w:val="000000"/>
          <w:sz w:val="16"/>
          <w:szCs w:val="16"/>
          <w:lang w:val="en-US"/>
        </w:rPr>
        <w:t xml:space="preserve"> Judgment of January 31, 2006. Series C No. 140</w:t>
      </w:r>
      <w:r w:rsidRPr="00012C3F">
        <w:rPr>
          <w:sz w:val="16"/>
          <w:szCs w:val="16"/>
          <w:lang w:val="en-US"/>
        </w:rPr>
        <w:t xml:space="preserve">, para. 111, and </w:t>
      </w:r>
      <w:r w:rsidRPr="00012C3F">
        <w:rPr>
          <w:i/>
          <w:sz w:val="16"/>
          <w:szCs w:val="16"/>
          <w:lang w:val="en-US"/>
        </w:rPr>
        <w:t>Case of Chinchilla Sandoval v. Guatemala, supra</w:t>
      </w:r>
      <w:r w:rsidRPr="00012C3F">
        <w:rPr>
          <w:sz w:val="16"/>
          <w:szCs w:val="16"/>
          <w:lang w:val="en-US"/>
        </w:rPr>
        <w:t>, para. 168.</w:t>
      </w:r>
    </w:p>
  </w:footnote>
  <w:footnote w:id="275">
    <w:p w14:paraId="5F74BFC2" w14:textId="77777777" w:rsidR="00D24EFE" w:rsidRPr="00D24EFE" w:rsidRDefault="00D24EFE" w:rsidP="005B52E1">
      <w:pPr>
        <w:pStyle w:val="Textonotapie"/>
        <w:tabs>
          <w:tab w:val="left" w:pos="567"/>
          <w:tab w:val="left" w:pos="720"/>
        </w:tabs>
        <w:spacing w:after="120"/>
        <w:ind w:right="18"/>
        <w:rPr>
          <w:sz w:val="16"/>
          <w:szCs w:val="16"/>
          <w:lang w:val="es-CR"/>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Vargas </w:t>
      </w:r>
      <w:proofErr w:type="spellStart"/>
      <w:r w:rsidRPr="00012C3F">
        <w:rPr>
          <w:i/>
          <w:sz w:val="16"/>
          <w:szCs w:val="16"/>
          <w:lang w:val="en-US"/>
        </w:rPr>
        <w:t>Areco</w:t>
      </w:r>
      <w:proofErr w:type="spellEnd"/>
      <w:r w:rsidRPr="00012C3F">
        <w:rPr>
          <w:i/>
          <w:sz w:val="16"/>
          <w:szCs w:val="16"/>
          <w:lang w:val="en-US"/>
        </w:rPr>
        <w:t xml:space="preserve"> v. Paraguay. Merits reparations and costs</w:t>
      </w:r>
      <w:r w:rsidRPr="00012C3F">
        <w:rPr>
          <w:sz w:val="16"/>
          <w:szCs w:val="16"/>
          <w:lang w:val="en-US"/>
        </w:rPr>
        <w:t xml:space="preserve">. Judgment of September 26, 2006. Series C No. 155, para. 73, and </w:t>
      </w:r>
      <w:r w:rsidRPr="00012C3F">
        <w:rPr>
          <w:bCs/>
          <w:i/>
          <w:color w:val="000000"/>
          <w:sz w:val="16"/>
          <w:szCs w:val="16"/>
          <w:lang w:val="en-US"/>
        </w:rPr>
        <w:t xml:space="preserve">Case of the Santo Domingo Massacre v. Colombia. </w:t>
      </w:r>
      <w:r w:rsidRPr="00012C3F">
        <w:rPr>
          <w:i/>
          <w:color w:val="000000"/>
          <w:sz w:val="16"/>
          <w:szCs w:val="16"/>
          <w:lang w:val="en-US"/>
        </w:rPr>
        <w:t>Preliminary objections, Merits and Reparations</w:t>
      </w:r>
      <w:r w:rsidRPr="00012C3F">
        <w:rPr>
          <w:color w:val="000000"/>
          <w:sz w:val="16"/>
          <w:szCs w:val="16"/>
          <w:lang w:val="en-US"/>
        </w:rPr>
        <w:t xml:space="preserve">. Judgment of November 30, 2012. Series C No. 259, para. </w:t>
      </w:r>
      <w:r w:rsidRPr="00D24EFE">
        <w:rPr>
          <w:color w:val="000000"/>
          <w:sz w:val="16"/>
          <w:szCs w:val="16"/>
          <w:lang w:val="es-CR"/>
        </w:rPr>
        <w:t>189.</w:t>
      </w:r>
    </w:p>
  </w:footnote>
  <w:footnote w:id="276">
    <w:p w14:paraId="1CED68CB" w14:textId="77777777" w:rsidR="00D24EFE" w:rsidRPr="00D24EFE" w:rsidRDefault="00D24EFE" w:rsidP="005B52E1">
      <w:pPr>
        <w:pStyle w:val="Textonotapie"/>
        <w:tabs>
          <w:tab w:val="left" w:pos="567"/>
          <w:tab w:val="left" w:pos="720"/>
        </w:tabs>
        <w:spacing w:after="120"/>
        <w:ind w:right="18"/>
        <w:rPr>
          <w:sz w:val="16"/>
          <w:szCs w:val="16"/>
          <w:lang w:val="es-CR"/>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sz w:val="16"/>
          <w:szCs w:val="16"/>
          <w:lang w:val="es-CR"/>
        </w:rPr>
        <w:t xml:space="preserve"> </w:t>
      </w:r>
      <w:r w:rsidRPr="00D24EFE">
        <w:rPr>
          <w:i/>
          <w:sz w:val="16"/>
          <w:szCs w:val="16"/>
          <w:lang w:val="es-CR"/>
        </w:rPr>
        <w:t xml:space="preserve">Case of Velásquez Rodríguez v. Honduras, Merits, supra, </w:t>
      </w:r>
      <w:r w:rsidRPr="00D24EFE">
        <w:rPr>
          <w:sz w:val="16"/>
          <w:szCs w:val="16"/>
          <w:lang w:val="es-CR"/>
        </w:rPr>
        <w:t xml:space="preserve">para. 166, and </w:t>
      </w:r>
      <w:r w:rsidRPr="00D24EFE">
        <w:rPr>
          <w:rStyle w:val="Textoennegrita"/>
          <w:b w:val="0"/>
          <w:i/>
          <w:sz w:val="16"/>
          <w:szCs w:val="16"/>
          <w:lang w:val="es-CR"/>
        </w:rPr>
        <w:t>Case of Tenorio Roca et al. v. Peru, supra</w:t>
      </w:r>
      <w:r w:rsidRPr="00D24EFE">
        <w:rPr>
          <w:rStyle w:val="Textoennegrita"/>
          <w:b w:val="0"/>
          <w:sz w:val="16"/>
          <w:szCs w:val="16"/>
          <w:lang w:val="es-CR"/>
        </w:rPr>
        <w:t>, para. 142.</w:t>
      </w:r>
    </w:p>
  </w:footnote>
  <w:footnote w:id="277">
    <w:p w14:paraId="5AD9FC20" w14:textId="77777777" w:rsidR="00D24EFE" w:rsidRPr="00D24EFE" w:rsidRDefault="00D24EFE" w:rsidP="005B52E1">
      <w:pPr>
        <w:pStyle w:val="Textonotapie"/>
        <w:tabs>
          <w:tab w:val="left" w:pos="567"/>
          <w:tab w:val="left" w:pos="720"/>
        </w:tabs>
        <w:spacing w:after="120"/>
        <w:ind w:right="18"/>
        <w:rPr>
          <w:sz w:val="16"/>
          <w:szCs w:val="16"/>
          <w:lang w:val="es-CR"/>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Case of Velásquez Rodríguez v. Honduras. Merits</w:t>
      </w:r>
      <w:r w:rsidRPr="00D24EFE">
        <w:rPr>
          <w:sz w:val="16"/>
          <w:szCs w:val="16"/>
          <w:lang w:val="es-CR"/>
        </w:rPr>
        <w:t xml:space="preserve">, </w:t>
      </w:r>
      <w:r w:rsidRPr="00D24EFE">
        <w:rPr>
          <w:i/>
          <w:sz w:val="16"/>
          <w:szCs w:val="16"/>
          <w:lang w:val="es-CR"/>
        </w:rPr>
        <w:t>supra</w:t>
      </w:r>
      <w:r w:rsidRPr="00D24EFE">
        <w:rPr>
          <w:sz w:val="16"/>
          <w:szCs w:val="16"/>
          <w:lang w:val="es-CR"/>
        </w:rPr>
        <w:t xml:space="preserve">, para. 174, and </w:t>
      </w:r>
      <w:r w:rsidRPr="00D24EFE">
        <w:rPr>
          <w:rStyle w:val="Textoennegrita"/>
          <w:b w:val="0"/>
          <w:i/>
          <w:sz w:val="16"/>
          <w:szCs w:val="16"/>
          <w:lang w:val="es-CR"/>
        </w:rPr>
        <w:t>Case of Tenorio Roca et al. v. Peru, supra</w:t>
      </w:r>
      <w:r w:rsidRPr="00D24EFE">
        <w:rPr>
          <w:rStyle w:val="Textoennegrita"/>
          <w:b w:val="0"/>
          <w:sz w:val="16"/>
          <w:szCs w:val="16"/>
          <w:lang w:val="es-CR"/>
        </w:rPr>
        <w:t>, para. 142.</w:t>
      </w:r>
    </w:p>
  </w:footnote>
  <w:footnote w:id="278">
    <w:p w14:paraId="77AA434B" w14:textId="77777777" w:rsidR="00D24EFE" w:rsidRPr="00D24EFE" w:rsidRDefault="00D24EFE" w:rsidP="005B52E1">
      <w:pPr>
        <w:pStyle w:val="Textonotapie"/>
        <w:tabs>
          <w:tab w:val="left" w:pos="567"/>
        </w:tabs>
        <w:spacing w:after="120"/>
        <w:ind w:right="18"/>
        <w:rPr>
          <w:b/>
          <w:sz w:val="16"/>
          <w:szCs w:val="16"/>
          <w:lang w:val="es-CR"/>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rFonts w:cs="Verdana"/>
          <w:i/>
          <w:iCs/>
          <w:sz w:val="16"/>
          <w:szCs w:val="16"/>
          <w:lang w:val="es-CR"/>
        </w:rPr>
        <w:t>Case of Velásquez Rodríguez v. Honduras</w:t>
      </w:r>
      <w:r w:rsidRPr="00D24EFE">
        <w:rPr>
          <w:rFonts w:cs="Verdana"/>
          <w:i/>
          <w:sz w:val="16"/>
          <w:szCs w:val="16"/>
          <w:lang w:val="es-CR"/>
        </w:rPr>
        <w:t xml:space="preserve">. </w:t>
      </w:r>
      <w:r w:rsidRPr="00D24EFE">
        <w:rPr>
          <w:rFonts w:cs="Verdana"/>
          <w:i/>
          <w:iCs/>
          <w:sz w:val="16"/>
          <w:szCs w:val="16"/>
          <w:lang w:val="es-CR"/>
        </w:rPr>
        <w:t>Merits, supra</w:t>
      </w:r>
      <w:r w:rsidRPr="00D24EFE">
        <w:rPr>
          <w:rFonts w:cs="Verdana"/>
          <w:sz w:val="16"/>
          <w:szCs w:val="16"/>
          <w:lang w:val="es-CR"/>
        </w:rPr>
        <w:t xml:space="preserve">, para. 166, and </w:t>
      </w:r>
      <w:r w:rsidRPr="00D24EFE">
        <w:rPr>
          <w:rFonts w:cs="Courier New"/>
          <w:i/>
          <w:noProof/>
          <w:sz w:val="16"/>
          <w:szCs w:val="16"/>
          <w:lang w:val="es-CR"/>
        </w:rPr>
        <w:t>Case of Velásquez Paiz et al. v. Guatemala, supra</w:t>
      </w:r>
      <w:r w:rsidRPr="00D24EFE">
        <w:rPr>
          <w:sz w:val="16"/>
          <w:szCs w:val="16"/>
          <w:lang w:val="es-CR"/>
        </w:rPr>
        <w:t>,</w:t>
      </w:r>
      <w:r w:rsidRPr="00D24EFE">
        <w:rPr>
          <w:color w:val="000000"/>
          <w:sz w:val="16"/>
          <w:szCs w:val="16"/>
          <w:lang w:val="es-CR"/>
        </w:rPr>
        <w:t xml:space="preserve"> para. 107.</w:t>
      </w:r>
    </w:p>
  </w:footnote>
  <w:footnote w:id="279">
    <w:p w14:paraId="59E4951F"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Ximenes Lopes v. Brazil, supra</w:t>
      </w:r>
      <w:r w:rsidRPr="00D24EFE">
        <w:rPr>
          <w:sz w:val="16"/>
          <w:szCs w:val="16"/>
          <w:lang w:val="es-CR"/>
        </w:rPr>
        <w:t xml:space="preserve">, </w:t>
      </w:r>
      <w:r w:rsidRPr="00D24EFE">
        <w:rPr>
          <w:iCs/>
          <w:sz w:val="16"/>
          <w:szCs w:val="16"/>
          <w:lang w:val="es-CR"/>
        </w:rPr>
        <w:t xml:space="preserve">paras. </w:t>
      </w:r>
      <w:r w:rsidRPr="00012C3F">
        <w:rPr>
          <w:iCs/>
          <w:sz w:val="16"/>
          <w:szCs w:val="16"/>
          <w:lang w:val="en-US"/>
        </w:rPr>
        <w:t xml:space="preserve">89 and 90, and </w:t>
      </w:r>
      <w:r w:rsidRPr="00012C3F">
        <w:rPr>
          <w:rFonts w:cs="Courier New"/>
          <w:i/>
          <w:noProof/>
          <w:sz w:val="16"/>
          <w:szCs w:val="16"/>
          <w:lang w:val="en-US"/>
        </w:rPr>
        <w:t>Case of Gonzales Lluy et al. v. Ecuador, supra</w:t>
      </w:r>
      <w:r w:rsidRPr="00012C3F">
        <w:rPr>
          <w:rFonts w:cs="Courier New"/>
          <w:noProof/>
          <w:sz w:val="16"/>
          <w:szCs w:val="16"/>
          <w:lang w:val="en-US"/>
        </w:rPr>
        <w:t>,</w:t>
      </w:r>
      <w:r w:rsidRPr="00012C3F">
        <w:rPr>
          <w:bCs/>
          <w:sz w:val="16"/>
          <w:szCs w:val="16"/>
          <w:lang w:val="en-US"/>
        </w:rPr>
        <w:t xml:space="preserve"> para. 175. </w:t>
      </w:r>
    </w:p>
  </w:footnote>
  <w:footnote w:id="280">
    <w:p w14:paraId="3139B04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UN, Committee for the Elimination of Discrimination against Women, Concluding observations with regard to Slovakia, CEDAW/C/SVK/CO/4, July 2008, para. 31.</w:t>
      </w:r>
    </w:p>
  </w:footnote>
  <w:footnote w:id="281">
    <w:p w14:paraId="0D2CBB3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rFonts w:eastAsia="MS Mincho"/>
          <w:sz w:val="16"/>
          <w:szCs w:val="16"/>
          <w:lang w:val="en-US" w:eastAsia="en-US" w:bidi="en-US"/>
        </w:rPr>
        <w:t xml:space="preserve">Bolivian Health standards NB–SNS–04–97 (“Voluntary surgical contraception for women at high reproductive risk”), adopted by Secretariat Resolution No. 0/408 of August 4, 1997 </w:t>
      </w:r>
      <w:r w:rsidRPr="00012C3F">
        <w:rPr>
          <w:sz w:val="16"/>
          <w:szCs w:val="16"/>
          <w:lang w:val="en-US"/>
        </w:rPr>
        <w:t>(file of the procedure before the Commission, volume III, folios 887 to 898).</w:t>
      </w:r>
    </w:p>
  </w:footnote>
  <w:footnote w:id="282">
    <w:p w14:paraId="0815CBA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rFonts w:eastAsia="MS Mincho"/>
          <w:sz w:val="16"/>
          <w:szCs w:val="16"/>
          <w:lang w:val="en-US" w:eastAsia="en-US" w:bidi="en-US"/>
        </w:rPr>
        <w:t xml:space="preserve"> Bolivian Health standards MSPS-98 (“Voluntary surgical contraception.</w:t>
      </w:r>
      <w:r w:rsidRPr="00012C3F">
        <w:rPr>
          <w:rFonts w:eastAsia="MS Mincho"/>
          <w:b/>
          <w:sz w:val="16"/>
          <w:szCs w:val="16"/>
          <w:lang w:val="en-US" w:eastAsia="en-US" w:bidi="en-US"/>
        </w:rPr>
        <w:t xml:space="preserve"> </w:t>
      </w:r>
      <w:r w:rsidRPr="00012C3F">
        <w:rPr>
          <w:rFonts w:eastAsia="MS Mincho"/>
          <w:sz w:val="16"/>
          <w:szCs w:val="16"/>
          <w:lang w:val="en-US" w:eastAsia="en-US" w:bidi="en-US"/>
        </w:rPr>
        <w:t xml:space="preserve">Bilateral tubal occlusion in reproductive risks”), approved by Ministerial Resolution No. 0517 of November 17, 1998 </w:t>
      </w:r>
      <w:r w:rsidRPr="00012C3F">
        <w:rPr>
          <w:sz w:val="16"/>
          <w:szCs w:val="16"/>
          <w:lang w:val="en-US"/>
        </w:rPr>
        <w:t>(file of the procedure before the Commission, volume I, folios 186 to 200).</w:t>
      </w:r>
    </w:p>
  </w:footnote>
  <w:footnote w:id="283">
    <w:p w14:paraId="473357E8" w14:textId="77777777" w:rsidR="00D24EFE" w:rsidRPr="00012C3F" w:rsidRDefault="00D24EFE" w:rsidP="005B52E1">
      <w:pPr>
        <w:pStyle w:val="Textonotapie"/>
        <w:tabs>
          <w:tab w:val="left" w:pos="567"/>
        </w:tabs>
        <w:spacing w:after="120"/>
        <w:rPr>
          <w:rFonts w:eastAsia="MS Mincho"/>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1997 Bolivian standards defined high reproductive risk as the “probability that both the woman of child-bearing age, and also her potential fetus, might experience injury or death if she became pregnant.</w:t>
      </w:r>
      <w:r w:rsidRPr="00012C3F">
        <w:rPr>
          <w:rFonts w:eastAsia="MS Mincho"/>
          <w:sz w:val="16"/>
          <w:szCs w:val="16"/>
          <w:lang w:val="en-US" w:eastAsia="en-US" w:bidi="en-US"/>
        </w:rPr>
        <w:t xml:space="preserve">” </w:t>
      </w:r>
      <w:r w:rsidRPr="00012C3F">
        <w:rPr>
          <w:i/>
          <w:sz w:val="16"/>
          <w:szCs w:val="16"/>
          <w:lang w:val="en-US"/>
        </w:rPr>
        <w:t>Cf.</w:t>
      </w:r>
      <w:r w:rsidRPr="00012C3F">
        <w:rPr>
          <w:sz w:val="16"/>
          <w:szCs w:val="16"/>
          <w:lang w:val="en-US"/>
        </w:rPr>
        <w:t xml:space="preserve"> </w:t>
      </w:r>
      <w:r w:rsidRPr="00012C3F">
        <w:rPr>
          <w:rFonts w:eastAsia="MS Mincho"/>
          <w:sz w:val="16"/>
          <w:szCs w:val="16"/>
          <w:lang w:val="en-US" w:eastAsia="en-US" w:bidi="en-US"/>
        </w:rPr>
        <w:t>Bolivian Health standards NB–SNS–04–97, p. 17</w:t>
      </w:r>
      <w:r w:rsidRPr="00012C3F">
        <w:rPr>
          <w:rFonts w:eastAsia="MS Mincho"/>
          <w:i/>
          <w:sz w:val="16"/>
          <w:szCs w:val="16"/>
          <w:lang w:val="en-US" w:eastAsia="en-US" w:bidi="en-US"/>
        </w:rPr>
        <w:t>.</w:t>
      </w:r>
      <w:r w:rsidRPr="00012C3F">
        <w:rPr>
          <w:rFonts w:eastAsia="MS Mincho"/>
          <w:sz w:val="16"/>
          <w:szCs w:val="16"/>
          <w:lang w:val="en-US" w:eastAsia="en-US" w:bidi="en-US"/>
        </w:rPr>
        <w:t xml:space="preserve"> The standards contained a list of medical reasons for sterilization, including: pulmonary diseases which limited the respiratory capacity; severe rupture of the uterus, and a third caesarean section with three living offspring. It also listed “</w:t>
      </w:r>
      <w:proofErr w:type="spellStart"/>
      <w:r w:rsidRPr="00012C3F">
        <w:rPr>
          <w:rFonts w:eastAsia="MS Mincho"/>
          <w:i/>
          <w:iCs/>
          <w:sz w:val="16"/>
          <w:szCs w:val="16"/>
          <w:lang w:val="en-US" w:eastAsia="en-US" w:bidi="en-US"/>
        </w:rPr>
        <w:t>paridad</w:t>
      </w:r>
      <w:proofErr w:type="spellEnd"/>
      <w:r w:rsidRPr="00012C3F">
        <w:rPr>
          <w:rFonts w:eastAsia="MS Mincho"/>
          <w:i/>
          <w:iCs/>
          <w:sz w:val="16"/>
          <w:szCs w:val="16"/>
          <w:lang w:val="en-US" w:eastAsia="en-US" w:bidi="en-US"/>
        </w:rPr>
        <w:t xml:space="preserve"> </w:t>
      </w:r>
      <w:proofErr w:type="spellStart"/>
      <w:r w:rsidRPr="00012C3F">
        <w:rPr>
          <w:rFonts w:eastAsia="MS Mincho"/>
          <w:i/>
          <w:iCs/>
          <w:sz w:val="16"/>
          <w:szCs w:val="16"/>
          <w:lang w:val="en-US" w:eastAsia="en-US" w:bidi="en-US"/>
        </w:rPr>
        <w:t>satisfecha</w:t>
      </w:r>
      <w:proofErr w:type="spellEnd"/>
      <w:r w:rsidRPr="00012C3F">
        <w:rPr>
          <w:rFonts w:eastAsia="MS Mincho"/>
          <w:sz w:val="16"/>
          <w:szCs w:val="16"/>
          <w:lang w:val="en-US" w:eastAsia="en-US" w:bidi="en-US"/>
        </w:rPr>
        <w:t xml:space="preserve">” which referred to cases of women who requested sterilization provided they had had five vaginal births with living offspring and were over 35 years of age </w:t>
      </w:r>
      <w:r w:rsidRPr="00012C3F">
        <w:rPr>
          <w:sz w:val="16"/>
          <w:szCs w:val="16"/>
          <w:lang w:val="en-US"/>
        </w:rPr>
        <w:t>(file of the procedure before the Commission, volume III, folios 892 to 895).</w:t>
      </w:r>
    </w:p>
  </w:footnote>
  <w:footnote w:id="284">
    <w:p w14:paraId="17C031A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 xml:space="preserve">Bolivian Health standards NB–SNS–04–97, p. 27 </w:t>
      </w:r>
      <w:r w:rsidRPr="00012C3F">
        <w:rPr>
          <w:sz w:val="16"/>
          <w:szCs w:val="16"/>
          <w:lang w:val="en-US"/>
        </w:rPr>
        <w:t>(file of the procedure before the Commission, volume III, folio 898)</w:t>
      </w:r>
      <w:r w:rsidRPr="00012C3F">
        <w:rPr>
          <w:rFonts w:eastAsia="MS Mincho"/>
          <w:sz w:val="16"/>
          <w:szCs w:val="16"/>
          <w:lang w:val="en-US" w:eastAsia="en-US" w:bidi="en-US"/>
        </w:rPr>
        <w:t>.</w:t>
      </w:r>
    </w:p>
  </w:footnote>
  <w:footnote w:id="285">
    <w:p w14:paraId="433CB8D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 xml:space="preserve">Bolivian Health standards NB–SNS–04–97, p. 27. They defined general informed consent as the voluntary decision of the patient to undergo a medical or surgical procedure with real awareness and understanding of the pertinent information and without pressure </w:t>
      </w:r>
      <w:r w:rsidRPr="00012C3F">
        <w:rPr>
          <w:sz w:val="16"/>
          <w:szCs w:val="16"/>
          <w:lang w:val="en-US"/>
        </w:rPr>
        <w:t>(file of the procedure before the Commission, volume III, folios 894 to 898).</w:t>
      </w:r>
    </w:p>
  </w:footnote>
  <w:footnote w:id="286">
    <w:p w14:paraId="0B8CEC2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 xml:space="preserve">Bolivian Health standards NB–SNS–04–97, p. 19 </w:t>
      </w:r>
      <w:r w:rsidRPr="00012C3F">
        <w:rPr>
          <w:sz w:val="16"/>
          <w:szCs w:val="16"/>
          <w:lang w:val="en-US"/>
        </w:rPr>
        <w:t>(file of the procedure before the Commission, volume III, folio 894)</w:t>
      </w:r>
      <w:r w:rsidRPr="00012C3F">
        <w:rPr>
          <w:rFonts w:eastAsia="MS Mincho"/>
          <w:sz w:val="16"/>
          <w:szCs w:val="16"/>
          <w:lang w:val="en-US" w:eastAsia="en-US" w:bidi="en-US"/>
        </w:rPr>
        <w:t>.</w:t>
      </w:r>
    </w:p>
  </w:footnote>
  <w:footnote w:id="287">
    <w:p w14:paraId="384C3CE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MS Mincho"/>
          <w:sz w:val="16"/>
          <w:szCs w:val="16"/>
          <w:lang w:val="en-US" w:eastAsia="en-US" w:bidi="en-US"/>
        </w:rPr>
        <w:t xml:space="preserve">Bolivian Health standards NB–SNS–04–97, p. 19 </w:t>
      </w:r>
      <w:r w:rsidRPr="00012C3F">
        <w:rPr>
          <w:sz w:val="16"/>
          <w:szCs w:val="16"/>
          <w:lang w:val="en-US"/>
        </w:rPr>
        <w:t>(file of the procedure before the Commission, volume III, folio 894)</w:t>
      </w:r>
      <w:r w:rsidRPr="00012C3F">
        <w:rPr>
          <w:rFonts w:eastAsia="MS Mincho"/>
          <w:sz w:val="16"/>
          <w:szCs w:val="16"/>
          <w:lang w:val="en-US" w:eastAsia="en-US" w:bidi="en-US"/>
        </w:rPr>
        <w:t>.</w:t>
      </w:r>
    </w:p>
  </w:footnote>
  <w:footnote w:id="288">
    <w:p w14:paraId="5FCA491B" w14:textId="77777777" w:rsidR="00D24EFE" w:rsidRPr="00012C3F" w:rsidRDefault="00D24EFE" w:rsidP="005B52E1">
      <w:pPr>
        <w:widowControl/>
        <w:tabs>
          <w:tab w:val="left" w:pos="567"/>
          <w:tab w:val="left" w:pos="8640"/>
        </w:tabs>
        <w:autoSpaceDE w:val="0"/>
        <w:autoSpaceDN w:val="0"/>
        <w:spacing w:after="120" w:line="240" w:lineRule="auto"/>
        <w:ind w:right="21"/>
        <w:textAlignment w:val="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These standards defined reproductive risk as “the probability that a woman will suffer harm if she becomes pregnant in unfavorable health conditions. This is detected in women who are not pregnant.” They also adopted concepts such as obstetric risk, defined as the “probability that a pregnant woman and/or her infant suffer harm due to the presence of risk factors of a biological, environmental or social nature.” </w:t>
      </w:r>
      <w:r w:rsidRPr="00012C3F">
        <w:rPr>
          <w:rFonts w:eastAsia="MS Mincho"/>
          <w:sz w:val="16"/>
          <w:szCs w:val="16"/>
          <w:lang w:val="en-US" w:eastAsia="en-US" w:bidi="en-US"/>
        </w:rPr>
        <w:t xml:space="preserve">Bolivian Health standards MSPS-98, p. 15 </w:t>
      </w:r>
      <w:r w:rsidRPr="00012C3F">
        <w:rPr>
          <w:sz w:val="16"/>
          <w:szCs w:val="16"/>
          <w:lang w:val="en-US"/>
        </w:rPr>
        <w:t>(file of the procedure before the Commission, volume I, folio 193).</w:t>
      </w:r>
    </w:p>
  </w:footnote>
  <w:footnote w:id="289">
    <w:p w14:paraId="6E63780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 xml:space="preserve">Bolivian Health standards MSPS-98, p. 18 </w:t>
      </w:r>
      <w:r w:rsidRPr="00012C3F">
        <w:rPr>
          <w:sz w:val="16"/>
          <w:szCs w:val="16"/>
          <w:lang w:val="en-US"/>
        </w:rPr>
        <w:t>(file of the procedure before the Commission, volume I, folio 195).</w:t>
      </w:r>
    </w:p>
  </w:footnote>
  <w:footnote w:id="290">
    <w:p w14:paraId="7901BCD3" w14:textId="77777777" w:rsidR="00D24EFE" w:rsidRPr="00012C3F" w:rsidRDefault="00D24EFE" w:rsidP="005B52E1">
      <w:pPr>
        <w:widowControl/>
        <w:tabs>
          <w:tab w:val="left" w:pos="567"/>
          <w:tab w:val="left" w:pos="8640"/>
        </w:tabs>
        <w:autoSpaceDE w:val="0"/>
        <w:autoSpaceDN w:val="0"/>
        <w:spacing w:after="120" w:line="240" w:lineRule="auto"/>
        <w:ind w:right="21"/>
        <w:textAlignment w:val="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eastAsia="en-US" w:bidi="en-US"/>
        </w:rPr>
        <w:t xml:space="preserve">Bolivian Health standards MSPS-98, p. 21 </w:t>
      </w:r>
      <w:r w:rsidRPr="00012C3F">
        <w:rPr>
          <w:sz w:val="16"/>
          <w:szCs w:val="16"/>
          <w:lang w:val="en-US"/>
        </w:rPr>
        <w:t xml:space="preserve">(file of the procedure before the Commission, volume I, folio 196). The 1998 Bolivian standards describe informed choice as the “process by which a person takes a decision regarding health care. It should be based on access to all the necessary information and full comprehension of this. The process should result from a free and informed decision of the person about whether or not they wish to receive the health care service ad, if so, what method or procedure will they choose and do they agree to receive.” Similarly, it defines informed consent as “the act by which a person agrees to receive medical care or treatment, following a process of informed choice.” </w:t>
      </w:r>
      <w:r w:rsidRPr="00012C3F">
        <w:rPr>
          <w:rFonts w:eastAsia="MS Mincho"/>
          <w:sz w:val="16"/>
          <w:szCs w:val="16"/>
          <w:lang w:val="en-US" w:eastAsia="en-US" w:bidi="en-US"/>
        </w:rPr>
        <w:t xml:space="preserve">Bolivian Health standards MSPS-98, p. 17 </w:t>
      </w:r>
      <w:r w:rsidRPr="00012C3F">
        <w:rPr>
          <w:sz w:val="16"/>
          <w:szCs w:val="16"/>
          <w:lang w:val="en-US"/>
        </w:rPr>
        <w:t>(file of the procedure before the Commission, volume I, folio 194).</w:t>
      </w:r>
    </w:p>
  </w:footnote>
  <w:footnote w:id="291">
    <w:p w14:paraId="52B5E1B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Statement made by Edgar Torrico Ameller before the Inter-American Court during the public hearing held on May 2, 2016.</w:t>
      </w:r>
    </w:p>
  </w:footnote>
  <w:footnote w:id="292">
    <w:p w14:paraId="26A0F51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Final decision No. 020/2002 issued by the Legal Advisory Services Unit of the La Paz Departmental Health Service on July 25, 2002 (evidence file, volume XIV, annex 3 to the representative’s final arguments, folio 5769).</w:t>
      </w:r>
    </w:p>
  </w:footnote>
  <w:footnote w:id="293">
    <w:p w14:paraId="07E70B0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Affidavit prepared by Marco Vladimir Vargas Terrazas on April 28, 2016 (evidence file, volume XI, affidavits, folios 3933 and 3939).</w:t>
      </w:r>
    </w:p>
  </w:footnote>
  <w:footnote w:id="294">
    <w:p w14:paraId="459F1B08" w14:textId="77777777" w:rsidR="00D24EFE" w:rsidRPr="00012C3F" w:rsidRDefault="00D24EFE" w:rsidP="005B52E1">
      <w:pPr>
        <w:widowControl/>
        <w:tabs>
          <w:tab w:val="left" w:pos="567"/>
          <w:tab w:val="left" w:pos="8640"/>
        </w:tabs>
        <w:autoSpaceDE w:val="0"/>
        <w:autoSpaceDN w:val="0"/>
        <w:spacing w:after="120" w:line="240" w:lineRule="auto"/>
        <w:ind w:right="21"/>
        <w:textAlignment w:val="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Resolution No. 086/2002 issued by the Second Trial Court of La Paz on November 18, 2002 (evidence file, volume VII, annex 24 to the submission of the case, folio 2191). According to this Resolution, articles 19 and 23 of the Code of Medical Ethics at that time, adopted by Law No. 728 of August 4, 1993, indicated the obligation to obtain consent, including in cases of sterilization. The Court notes that the Code of Medical Ethics in the case file contains these obligations in its </w:t>
      </w:r>
      <w:r w:rsidRPr="00012C3F">
        <w:rPr>
          <w:rFonts w:eastAsia="MS Mincho"/>
          <w:sz w:val="16"/>
          <w:szCs w:val="16"/>
          <w:lang w:val="en-US" w:eastAsia="en-US" w:bidi="en-US"/>
        </w:rPr>
        <w:t xml:space="preserve">articles 16, 18, 19 and 22 </w:t>
      </w:r>
      <w:r w:rsidRPr="00012C3F">
        <w:rPr>
          <w:sz w:val="16"/>
          <w:szCs w:val="16"/>
          <w:lang w:val="en-US"/>
        </w:rPr>
        <w:t>(file of the procedure before the Commission, volume II, folios 411 and 412). The Court considers it necessary to stress that, for the purposes of the analysis in this section, it will not take into account the Code of Medical Ethics and Deontology, because according to information in the case file and provided by the parties, that Code was adopted by Ministerial Resolution No. 047/04 of July 2004, so that it was not in force at the time of the facts. Nevertheless, the Court underscores that articles 8(6) and (10), 20, 22, 23, 25 and 37 of that Code contain similar provisions to those of the 1993 Code of Medical Ethics (file of the procedure before the Commission, volume II, folios 406 to 408).</w:t>
      </w:r>
    </w:p>
  </w:footnote>
  <w:footnote w:id="295">
    <w:p w14:paraId="03DCD5A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Letter from the Head of the Obstetric Services of the Women’s Hospital to the Director of this hospital dated October 26. 2015 (evidence file, volume X, annex 10 to the State’s answering brief, folios 3619 and 3620).</w:t>
      </w:r>
    </w:p>
  </w:footnote>
  <w:footnote w:id="296">
    <w:p w14:paraId="49FE2A8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iCs/>
          <w:sz w:val="16"/>
          <w:szCs w:val="16"/>
          <w:lang w:val="en-US"/>
        </w:rPr>
        <w:t xml:space="preserve">Cf. </w:t>
      </w:r>
      <w:r w:rsidRPr="00012C3F">
        <w:rPr>
          <w:sz w:val="16"/>
          <w:szCs w:val="16"/>
          <w:lang w:val="en-US"/>
        </w:rPr>
        <w:t>Record of the surgical procedure transcribed by the Women’s Hospital (evidence file, volume VII, annex 8 to the submission of the case, folio 2138); Affidavit prepared by Marco Vladimir Vargas Terrazas on April 28, 2016 (evidence file, volume XI, affidavits, folio 3937), and Statement made by Edgar Torrico Ameller before the Inter-American Court during the public hearing held on May 2, 2016.</w:t>
      </w:r>
    </w:p>
  </w:footnote>
  <w:footnote w:id="297">
    <w:p w14:paraId="36B297B2" w14:textId="77777777" w:rsidR="00D24EFE" w:rsidRPr="00012C3F" w:rsidRDefault="00D24EFE" w:rsidP="005B52E1">
      <w:pPr>
        <w:tabs>
          <w:tab w:val="left" w:pos="567"/>
        </w:tabs>
        <w:spacing w:after="120" w:line="240" w:lineRule="auto"/>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“The Last Temptation of Christ” (Olmedo Bustos et al.) v. Chile, supra</w:t>
      </w:r>
      <w:r w:rsidRPr="00012C3F">
        <w:rPr>
          <w:sz w:val="16"/>
          <w:szCs w:val="16"/>
          <w:lang w:val="en-US"/>
        </w:rPr>
        <w:t xml:space="preserve">, para. 72, and </w:t>
      </w:r>
      <w:r w:rsidRPr="00012C3F">
        <w:rPr>
          <w:rFonts w:cs="Courier New"/>
          <w:i/>
          <w:noProof/>
          <w:sz w:val="16"/>
          <w:szCs w:val="16"/>
          <w:lang w:val="en-US"/>
        </w:rPr>
        <w:t xml:space="preserve">Case of García Ibarra et al. v. Ecuador. Preliminary objections, merits, reparations and costs. </w:t>
      </w:r>
      <w:r w:rsidRPr="00012C3F">
        <w:rPr>
          <w:rFonts w:cs="Courier New"/>
          <w:noProof/>
          <w:sz w:val="16"/>
          <w:szCs w:val="16"/>
          <w:lang w:val="en-US"/>
        </w:rPr>
        <w:t>Judgment of November 17, 2015. Series C No. 306, para. 107</w:t>
      </w:r>
      <w:r w:rsidRPr="00012C3F">
        <w:rPr>
          <w:sz w:val="16"/>
          <w:szCs w:val="16"/>
          <w:lang w:val="en-US"/>
        </w:rPr>
        <w:t>.</w:t>
      </w:r>
    </w:p>
  </w:footnote>
  <w:footnote w:id="298">
    <w:p w14:paraId="7C725DE7"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The Word “Law” in Article 30 of the American Convention on Human Rights</w:t>
      </w:r>
      <w:r w:rsidRPr="00012C3F">
        <w:rPr>
          <w:sz w:val="16"/>
          <w:szCs w:val="16"/>
          <w:lang w:val="en-US"/>
        </w:rPr>
        <w:t xml:space="preserve">. Advisory Opinion OC-6/86 of May 9, 1986. Series A No. 6, para. 21, and </w:t>
      </w:r>
      <w:r w:rsidRPr="00012C3F">
        <w:rPr>
          <w:i/>
          <w:sz w:val="16"/>
          <w:szCs w:val="16"/>
          <w:lang w:val="en-US"/>
        </w:rPr>
        <w:t>Case of Gutiérrez and family v. Argentina. Merits, reparations and costs.</w:t>
      </w:r>
      <w:r w:rsidRPr="00012C3F">
        <w:rPr>
          <w:sz w:val="16"/>
          <w:szCs w:val="16"/>
          <w:lang w:val="en-US"/>
        </w:rPr>
        <w:t xml:space="preserve"> Judgment of November 25, 2013. Series C No. 271, para. </w:t>
      </w:r>
      <w:r w:rsidRPr="00D24EFE">
        <w:rPr>
          <w:sz w:val="16"/>
          <w:szCs w:val="16"/>
          <w:lang w:val="es-CR"/>
        </w:rPr>
        <w:t>76.</w:t>
      </w:r>
    </w:p>
  </w:footnote>
  <w:footnote w:id="299">
    <w:p w14:paraId="4A8969BE"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Velásquez Rodríguez v. Honduras. Merits, supra</w:t>
      </w:r>
      <w:r w:rsidRPr="00D24EFE">
        <w:rPr>
          <w:sz w:val="16"/>
          <w:szCs w:val="16"/>
          <w:lang w:val="es-CR"/>
        </w:rPr>
        <w:t xml:space="preserve">, paras. 169 and 170, and </w:t>
      </w:r>
      <w:r w:rsidRPr="00D24EFE">
        <w:rPr>
          <w:rFonts w:cs="Courier New"/>
          <w:i/>
          <w:noProof/>
          <w:sz w:val="16"/>
          <w:szCs w:val="16"/>
          <w:lang w:val="es-CR"/>
        </w:rPr>
        <w:t>Case of García Ibarra et al. v. Ecuador, supra</w:t>
      </w:r>
      <w:r w:rsidRPr="00D24EFE">
        <w:rPr>
          <w:rFonts w:cs="Courier New"/>
          <w:noProof/>
          <w:sz w:val="16"/>
          <w:szCs w:val="16"/>
          <w:lang w:val="es-CR"/>
        </w:rPr>
        <w:t>, para. 107</w:t>
      </w:r>
      <w:r w:rsidRPr="00D24EFE">
        <w:rPr>
          <w:sz w:val="16"/>
          <w:szCs w:val="16"/>
          <w:lang w:val="es-CR"/>
        </w:rPr>
        <w:t>.</w:t>
      </w:r>
    </w:p>
  </w:footnote>
  <w:footnote w:id="300">
    <w:p w14:paraId="14AA7D8F"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rFonts w:eastAsiaTheme="majorEastAsia"/>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sz w:val="16"/>
          <w:szCs w:val="16"/>
          <w:lang w:val="es-CR"/>
        </w:rPr>
        <w:t xml:space="preserve"> </w:t>
      </w:r>
      <w:r w:rsidRPr="00D24EFE">
        <w:rPr>
          <w:i/>
          <w:sz w:val="16"/>
          <w:szCs w:val="16"/>
          <w:lang w:val="es-CR"/>
        </w:rPr>
        <w:t>Case of Ximenes Lopes v. Brazil, supra</w:t>
      </w:r>
      <w:r w:rsidRPr="00D24EFE">
        <w:rPr>
          <w:sz w:val="16"/>
          <w:szCs w:val="16"/>
          <w:lang w:val="es-CR"/>
        </w:rPr>
        <w:t xml:space="preserve">, </w:t>
      </w:r>
      <w:r w:rsidRPr="00D24EFE">
        <w:rPr>
          <w:bCs/>
          <w:sz w:val="16"/>
          <w:szCs w:val="16"/>
          <w:lang w:val="es-CR"/>
        </w:rPr>
        <w:t xml:space="preserve">paras. 86, 89 and 90; </w:t>
      </w:r>
      <w:r w:rsidRPr="00D24EFE">
        <w:rPr>
          <w:i/>
          <w:sz w:val="16"/>
          <w:szCs w:val="16"/>
          <w:lang w:val="es-CR"/>
        </w:rPr>
        <w:t>Case of Albán Cornejo et al. v. Ecuador, supra</w:t>
      </w:r>
      <w:r w:rsidRPr="00D24EFE">
        <w:rPr>
          <w:sz w:val="16"/>
          <w:szCs w:val="16"/>
          <w:lang w:val="es-CR"/>
        </w:rPr>
        <w:t>, paras. 121 and 122;</w:t>
      </w:r>
      <w:r w:rsidRPr="00D24EFE">
        <w:rPr>
          <w:bCs/>
          <w:i/>
          <w:sz w:val="16"/>
          <w:szCs w:val="16"/>
          <w:lang w:val="es-CR"/>
        </w:rPr>
        <w:t xml:space="preserve"> </w:t>
      </w:r>
      <w:r w:rsidRPr="00D24EFE">
        <w:rPr>
          <w:rFonts w:cs="Arial"/>
          <w:i/>
          <w:color w:val="262626"/>
          <w:sz w:val="16"/>
          <w:szCs w:val="16"/>
          <w:lang w:val="es-CR"/>
        </w:rPr>
        <w:t>Case of Suárez Peralta v. Ecuador, supra</w:t>
      </w:r>
      <w:r w:rsidRPr="00D24EFE">
        <w:rPr>
          <w:rFonts w:cs="Arial"/>
          <w:color w:val="262626"/>
          <w:sz w:val="16"/>
          <w:szCs w:val="16"/>
          <w:lang w:val="es-CR"/>
        </w:rPr>
        <w:t xml:space="preserve">, paras. </w:t>
      </w:r>
      <w:r w:rsidRPr="00012C3F">
        <w:rPr>
          <w:rFonts w:cs="Arial"/>
          <w:color w:val="262626"/>
          <w:sz w:val="16"/>
          <w:szCs w:val="16"/>
          <w:lang w:val="en-US"/>
        </w:rPr>
        <w:t xml:space="preserve">149 and 150, and </w:t>
      </w:r>
      <w:r w:rsidRPr="00012C3F">
        <w:rPr>
          <w:rFonts w:cs="Courier New"/>
          <w:i/>
          <w:noProof/>
          <w:sz w:val="16"/>
          <w:szCs w:val="16"/>
          <w:lang w:val="en-US"/>
        </w:rPr>
        <w:t>Case of Gonzales Lluy et al. v. Ecuador, supra</w:t>
      </w:r>
      <w:r w:rsidRPr="00012C3F">
        <w:rPr>
          <w:rFonts w:cs="Courier New"/>
          <w:noProof/>
          <w:sz w:val="16"/>
          <w:szCs w:val="16"/>
          <w:lang w:val="en-US"/>
        </w:rPr>
        <w:t>, para. 175</w:t>
      </w:r>
      <w:r w:rsidRPr="00012C3F">
        <w:rPr>
          <w:bCs/>
          <w:i/>
          <w:sz w:val="16"/>
          <w:szCs w:val="16"/>
          <w:lang w:val="en-US"/>
        </w:rPr>
        <w:t>.</w:t>
      </w:r>
    </w:p>
  </w:footnote>
  <w:footnote w:id="301">
    <w:p w14:paraId="6B9FA120"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t xml:space="preserve">Both Final decision No. 020/2002 and the 2003 Administrative Resolution considered the physician concerned to be a public servant. </w:t>
      </w:r>
      <w:r w:rsidRPr="00012C3F">
        <w:rPr>
          <w:i/>
          <w:sz w:val="16"/>
          <w:szCs w:val="16"/>
          <w:lang w:val="en-US"/>
        </w:rPr>
        <w:t>Cf.</w:t>
      </w:r>
      <w:r w:rsidRPr="00012C3F">
        <w:rPr>
          <w:sz w:val="16"/>
          <w:szCs w:val="16"/>
          <w:lang w:val="en-US"/>
        </w:rPr>
        <w:t xml:space="preserve"> Final decision No. 020/2002 issued by the Legal Advisory Services Unit of the La Paz Departmental Health Service on July 25, 2002 (evidence file, volume XIV, annex 3 to the representative’s final arguments, folio 5771), and unnumbered Administrative Resolution issued by the Legal Advisory Services Unit of the La Paz Departmental Health Service on March 10, 2003 (evidence file, volume VII, annex 21 to the submission of the case, folios 2175 and 2176).</w:t>
      </w:r>
    </w:p>
  </w:footnote>
  <w:footnote w:id="302">
    <w:p w14:paraId="65F54215" w14:textId="77777777" w:rsidR="00D24EFE" w:rsidRPr="00012C3F" w:rsidRDefault="00D24EFE" w:rsidP="005B52E1">
      <w:pPr>
        <w:pStyle w:val="Textonotapie"/>
        <w:tabs>
          <w:tab w:val="left" w:pos="540"/>
          <w:tab w:val="left" w:pos="567"/>
          <w:tab w:val="left" w:pos="720"/>
        </w:tabs>
        <w:spacing w:after="120"/>
        <w:rPr>
          <w:rFonts w:eastAsia="MS Mincho"/>
          <w:sz w:val="16"/>
          <w:szCs w:val="16"/>
          <w:lang w:val="en-US" w:eastAsia="en-US" w:bidi="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In her arguments, the representative considered the following probative elements: (i) the post-surgery evolution sheet of the patient’s medical record, which records and states that, on July 2, 2000, in other words one day after I.V.’s tubal ligation, “the patient was advised that the bilateral tubal ligation had been performed by clinical indication, and this was accepted by the patient on understanding that a future pregnancy would endanger her life” (</w:t>
      </w:r>
      <w:r w:rsidRPr="00012C3F">
        <w:rPr>
          <w:i/>
          <w:sz w:val="16"/>
          <w:szCs w:val="16"/>
          <w:lang w:val="en-US"/>
        </w:rPr>
        <w:t>supra</w:t>
      </w:r>
      <w:r w:rsidRPr="00012C3F">
        <w:rPr>
          <w:sz w:val="16"/>
          <w:szCs w:val="16"/>
          <w:lang w:val="en-US"/>
        </w:rPr>
        <w:t xml:space="preserve"> para. 67); (ii) the consistent statements by I.V. throughout the domestic criminal proceedings and before this Court, indicating that, at no time was she consulted as to whether she accepted to submit to this surgical procedure (</w:t>
      </w:r>
      <w:r w:rsidRPr="00012C3F">
        <w:rPr>
          <w:i/>
          <w:sz w:val="16"/>
          <w:szCs w:val="16"/>
          <w:lang w:val="en-US"/>
        </w:rPr>
        <w:t>supra</w:t>
      </w:r>
      <w:r w:rsidRPr="00012C3F">
        <w:rPr>
          <w:sz w:val="16"/>
          <w:szCs w:val="16"/>
          <w:lang w:val="en-US"/>
        </w:rPr>
        <w:t xml:space="preserve"> paras. 68 and 69); (iii) the statement of J.E., who affirmed that, as her husband, he signed the authorization for the caesarean section, but the doctors never came to find him and inform him about the tubal ligation, even though he had seen the doctor immediately after the operation; rather he found out about the procedure the following day; (iv) </w:t>
      </w:r>
      <w:r w:rsidRPr="00012C3F">
        <w:rPr>
          <w:rFonts w:eastAsia="MS Mincho"/>
          <w:sz w:val="16"/>
          <w:szCs w:val="16"/>
          <w:lang w:val="en-US" w:eastAsia="en-US" w:bidi="en-US"/>
        </w:rPr>
        <w:t xml:space="preserve">N.V., the daughter of I.V., stated that she heard that the doctors said that they did not have “to find out about what they had done to that woman [referring to the sterilization of I.V.”; (v) the disagreement, inconsistency, contradictions and inadequacies between the statements of the members of the medical team who were present when the </w:t>
      </w:r>
      <w:r w:rsidRPr="00012C3F">
        <w:rPr>
          <w:sz w:val="16"/>
          <w:szCs w:val="16"/>
          <w:lang w:val="en-US"/>
        </w:rPr>
        <w:t xml:space="preserve">caesarean section and tubal ligation were performed, and the position of I.V. and her husband, J.E., contradictions that were the grounds for the decisions of the Second Criminal Trial Court of La Paz and the Copacabana Criminal Court, concluding the lack of credibility of the existence of verbal consent. </w:t>
      </w:r>
      <w:r w:rsidRPr="00012C3F">
        <w:rPr>
          <w:i/>
          <w:sz w:val="16"/>
          <w:szCs w:val="16"/>
          <w:lang w:val="en-US"/>
        </w:rPr>
        <w:t>Cf.</w:t>
      </w:r>
      <w:r w:rsidRPr="00012C3F">
        <w:rPr>
          <w:sz w:val="16"/>
          <w:szCs w:val="16"/>
          <w:lang w:val="en-US"/>
        </w:rPr>
        <w:t xml:space="preserve"> Affidavit prepared by Marco Vladimir Vargas Terrazas on April 28, 2016 (evidence file, volume XI, affidavits, folios 3930 and 3938); Statement made by J.E. on July 27, 2004, according to the record of the oral hearing issued by the Copacabana Trial Court (evidence file, volume XII, annex 1(c)) to the State’s final arguments, folios 4756 and 4757); Affidavit prepared by N.V. on April 22, 2016 (evidence file, volume XI, affidavits, folio 3910); Statement made by Corina Puente </w:t>
      </w:r>
      <w:proofErr w:type="spellStart"/>
      <w:r w:rsidRPr="00012C3F">
        <w:rPr>
          <w:sz w:val="16"/>
          <w:szCs w:val="16"/>
          <w:lang w:val="en-US"/>
        </w:rPr>
        <w:t>Cusimamani</w:t>
      </w:r>
      <w:proofErr w:type="spellEnd"/>
      <w:r w:rsidRPr="00012C3F">
        <w:rPr>
          <w:sz w:val="16"/>
          <w:szCs w:val="16"/>
          <w:lang w:val="en-US"/>
        </w:rPr>
        <w:t xml:space="preserve"> on November 13, 2002, according to the record of the oral hearing issued by the Second Trial Court of La Paz (evidence file, volume XIV, annex 1(a) to the State’s final arguments, folios 4115 and 4116); Statement made by Virginia Mercado on August 17, 2000, according to the medical record of the surgical procedure performed on I.V. issued by the Medical Audit Committee of the Women’s Hospital (evidence file, volume VII, annex 1 to the submission of the case, folio 2116); Resolution No. 086/2002 issued by the Second Trial Court of La Paz on November 18, 2002 (evidence file, volume VII, annex 24 to the submission of the case, folios 2191 and 2192), and Resolution No. 32/2004 issued by the Copacabana Trial Court on August 13, 2004 (evidence file, volume VII, annex 36 to the submission of the case, folios 2224 to 2230).</w:t>
      </w:r>
    </w:p>
  </w:footnote>
  <w:footnote w:id="303">
    <w:p w14:paraId="0CF50A68"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State supported its position with the following probative elements: (i) Record of I.V.’s surgical procedure (</w:t>
      </w:r>
      <w:r w:rsidRPr="00012C3F">
        <w:rPr>
          <w:i/>
          <w:sz w:val="16"/>
          <w:szCs w:val="16"/>
          <w:lang w:val="en-US"/>
        </w:rPr>
        <w:t>supra</w:t>
      </w:r>
      <w:r w:rsidRPr="00012C3F">
        <w:rPr>
          <w:sz w:val="16"/>
          <w:szCs w:val="16"/>
          <w:lang w:val="en-US"/>
        </w:rPr>
        <w:t xml:space="preserve"> para. 66); (ii) the statements provided by four members of the medical team, who were present during I.V.’s caesarean section and the tubal ligation, during the internal audits, the administrative proceeding and the domestic criminal proceedings, as well as the proceedings before this Court. These statements all indicated that I.V. gave her verbal consent to the tubal ligation in the operating theater after the caesarean section had been completed and due to the request and the clinical indication that her life would be at risk if she became pregnant again. Similarly, two audits, the report of the Ethics Tribunal of the Departmental College of Physicians, and the decision on the review of the administrative proceeding instituted concluded that, based on those statements, I.V. had expressed her verbal consent for the tubal ligation procedure to be performed (</w:t>
      </w:r>
      <w:r w:rsidRPr="00012C3F">
        <w:rPr>
          <w:i/>
          <w:sz w:val="16"/>
          <w:szCs w:val="16"/>
          <w:lang w:val="en-US"/>
        </w:rPr>
        <w:t>supra</w:t>
      </w:r>
      <w:r w:rsidRPr="00012C3F">
        <w:rPr>
          <w:sz w:val="16"/>
          <w:szCs w:val="16"/>
          <w:lang w:val="en-US"/>
        </w:rPr>
        <w:t xml:space="preserve"> paras. 74, 76, 81 to 83 and 90). </w:t>
      </w:r>
      <w:r w:rsidRPr="00012C3F">
        <w:rPr>
          <w:i/>
          <w:sz w:val="16"/>
          <w:szCs w:val="16"/>
          <w:lang w:val="en-US"/>
        </w:rPr>
        <w:t>Cf.</w:t>
      </w:r>
      <w:r w:rsidRPr="00012C3F">
        <w:rPr>
          <w:sz w:val="16"/>
          <w:szCs w:val="16"/>
          <w:lang w:val="en-US"/>
        </w:rPr>
        <w:t xml:space="preserve"> Statement made by Edgar Torrico Ameller on August 2, 2000, according to the medical record of the surgical procedure performed on I.V. issued by the Medical Audit Committee of the Women’s Hospital (evidence file, volume VII, annex 1 to the submission of the case, folio 2115); Statement made by Edgar Torrico Ameller on July 1, 2002, according to Final decision No. 020/2002 issued by the Legal Advisory Services Unit of the La Paz Departmental Health Service on July 25, 2002 (evidence file, volume XIV, annex 3 to the representative’s final arguments, folio 5769); Statement made by Edgar Torrico Ameller on November 11, 2002, according to the record of the oral hearing issued by the Second Trial Court of La Paz (evidence file, volume XII, annex 1(a) to the State’s final arguments, folios 4101 to 4103); Statement made by Edgar Torrico Ameller on July 26, 2004, according to the record of the oral hearing issued by the Copacabana Trial Court (evidence file, volume XII, annex 1(c)) to the State’s final arguments, folio 4735); Statement made by Edgar Torrico Ameller before the Inter-American Court during the public hearing held on May 2, 2016; Affidavit prepared by Marco Vladimir Vargas Terrazas on April 28, 2016 (evidence file, volume XI, affidavits, folios 3931, 3934, 3937 and 3938); Statement made by Marco Vladimir Vargas Terrazas on August 22, 2000, according to the medical record of the surgical procedure performed on I.V. issued by the Medical Audit Committee of the Women’s Hospital (evidence file, volume VII, annex 1 to the submission of the case, folio 2116); Statement made by Marco Vladimir Vargas Terrazas on July 28, 2004, according to the record of the oral hearing issued by the Copacabana Trial Court (evidence file, volume XIV, annex 1(d)) to the State’s final arguments, folio 4789); Statement made by María Modesta Ticona on August 17, 2000, according to the medical record of the surgical procedure performed on I.V. issued by the Medical Audit Committee of the Women’s Hospital (evidence file, volume VII, annex 1 to the submission of the case, folio 2116); Statement made by María Modesta Ticona on August 13, 2004, according to the record of the oral hearing issued by the Copacabana Trial Court (evidence file, volume XIV, annex 1(d)) to the State’s final arguments, folios 4819 to 4822), and Statement made by Rodrigo Arnez on August 17, 2000, according to the medical record of the surgical procedure performed on I.V. issued by the Medical Audit Committee of the Women’s Hospital (evidence file, volume VII, annex 1 to the submission of the case, folio 2115).</w:t>
      </w:r>
    </w:p>
  </w:footnote>
  <w:footnote w:id="304">
    <w:p w14:paraId="2F9CE50A" w14:textId="77777777" w:rsidR="00D24EFE" w:rsidRPr="00012C3F" w:rsidRDefault="00D24EFE" w:rsidP="005B52E1">
      <w:pPr>
        <w:pStyle w:val="Textonotapie"/>
        <w:tabs>
          <w:tab w:val="left" w:pos="540"/>
          <w:tab w:val="left" w:pos="567"/>
          <w:tab w:val="left" w:pos="630"/>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Statement made by Edgar Torrico Ameller on November 11, 2002, according to the record of the oral hearing issued by the Second Trial Court of La Paz (evidence file, volume XII, annex 1(a) to the State’s final arguments, folios 4101 to 4103); Statement made by Edgar Torrico Ameller on July 26, 2004, according to the record of the oral hearing issued by the Copacabana Trial Court (evidence file, volume XII, annex 1(c)) to the State’s final arguments, folio 4735); Affidavit prepared by Marco Vladimir Vargas Terrazas on April 28, 2016 (evidence file, volume XI, affidavits, folios 3931, 3934 and 3937 to 3938); Statement made by Marco Vladimir Vargas Terrazas on August 22, 2000, according to the medical record of the surgical procedure performed on I.V. issued by the Medical Audit Committee of the Women’s Hospital (evidence file, volume VII, annex 1 to the submission of the case, folio 2116), and Statement made by Marco Vladimir Vargas Terrazas on July 28, 2004, according to the record of the oral hearing issued by the Copacabana Trial Court (evidence file, volume XII, annex 1(d)) to the State’s final arguments, folio 4789).</w:t>
      </w:r>
    </w:p>
  </w:footnote>
  <w:footnote w:id="305">
    <w:p w14:paraId="310B7F62" w14:textId="77777777" w:rsidR="00D24EFE" w:rsidRPr="00012C3F" w:rsidRDefault="00D24EFE" w:rsidP="005B52E1">
      <w:pPr>
        <w:pStyle w:val="Textonotapie"/>
        <w:tabs>
          <w:tab w:val="left" w:pos="540"/>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Statement made by Edgar Torrico Ameller before the Inter-American Court during the public hearing held on May 2, 2016.</w:t>
      </w:r>
    </w:p>
  </w:footnote>
  <w:footnote w:id="306">
    <w:p w14:paraId="2122A8C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The Court notes that, according to the statements by the doctors, they indicated that they had informed I.V. in the most detailed way possible of the clinical picture found during the </w:t>
      </w:r>
      <w:r w:rsidRPr="00012C3F">
        <w:rPr>
          <w:rFonts w:eastAsia="MS Mincho" w:cs="Arial"/>
          <w:sz w:val="16"/>
          <w:szCs w:val="16"/>
          <w:lang w:val="en-US" w:eastAsia="en-US" w:bidi="en-US"/>
        </w:rPr>
        <w:t>caesarean section, the risk in the case of a future pregnancy, and the tubal ligation procedure – that is, its benefits and consequences; they had also explained to the patient that it was a definitive procedure, so that she could not become pregnant again. The Court notes that one of the doctors also indicated that she was given information on other contraceptive methods, while the other doctor did not mention this. Similarly, they indicated in their statements in the domestic sphere, that other methods could not have been used successfully in the case of I.V. because the state of her uterus would not have permitted inserting the copper IUD without causing infections and, as she had just had a baby, she could not be prescribed pills immediately.</w:t>
      </w:r>
      <w:r w:rsidRPr="00012C3F">
        <w:rPr>
          <w:sz w:val="16"/>
          <w:szCs w:val="16"/>
          <w:lang w:val="en-US"/>
        </w:rPr>
        <w:t xml:space="preserve"> </w:t>
      </w:r>
      <w:r w:rsidRPr="00012C3F">
        <w:rPr>
          <w:i/>
          <w:sz w:val="16"/>
          <w:szCs w:val="16"/>
          <w:lang w:val="en-US"/>
        </w:rPr>
        <w:t>Cf.</w:t>
      </w:r>
      <w:r w:rsidRPr="00012C3F">
        <w:rPr>
          <w:sz w:val="16"/>
          <w:szCs w:val="16"/>
          <w:lang w:val="en-US"/>
        </w:rPr>
        <w:t xml:space="preserve"> Statement made by Edgar Torrico Ameller before the Inter-American Court during the public hearing held on May 2, 2016; Affidavit prepared by Marco Vladimir Vargas Terrazas on April 28, 2016 (evidence file, volume XI, affidavits, folios 3931, 3934 and 3937 to 3938), and Statements made by Edgar Torrico Ameller and Marco Vladimir Vargas Terrazas on July 26 and 28, 2004, respectively, according to the record of the oral hearing issued by the Copacabana Trial Court (evidence file, volume XII, annexes 1(c) and d) to the State’s final arguments, folios 4735 and 4789).</w:t>
      </w:r>
    </w:p>
  </w:footnote>
  <w:footnote w:id="307">
    <w:p w14:paraId="49B1630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One of the doctors stated that I.V. was provided with information for approximately 10 minutes, while the other stated that the conversation with the patient occurred during the approximately two hours that the procedure took</w:t>
      </w:r>
      <w:r w:rsidRPr="00012C3F">
        <w:rPr>
          <w:rFonts w:eastAsia="MS Mincho" w:cs="Arial"/>
          <w:sz w:val="16"/>
          <w:szCs w:val="16"/>
          <w:lang w:val="en-US" w:eastAsia="en-US" w:bidi="en-US"/>
        </w:rPr>
        <w:t xml:space="preserve"> (from 20:30 to 22:30 hours). </w:t>
      </w:r>
      <w:r w:rsidRPr="00012C3F">
        <w:rPr>
          <w:i/>
          <w:sz w:val="16"/>
          <w:szCs w:val="16"/>
          <w:lang w:val="en-US"/>
        </w:rPr>
        <w:t>Cf.</w:t>
      </w:r>
      <w:r w:rsidRPr="00012C3F">
        <w:rPr>
          <w:sz w:val="16"/>
          <w:szCs w:val="16"/>
          <w:lang w:val="en-US"/>
        </w:rPr>
        <w:t xml:space="preserve"> Statement made by Edgar Torrico Ameller before the Inter-American Court during the public hearing held on May 2, 2016, and Affidavit prepared by Marco Vladimir Vargas Terrazas on April 28, 2016 (evidence file, volume XI, affidavits, folio 3934).</w:t>
      </w:r>
    </w:p>
  </w:footnote>
  <w:footnote w:id="308">
    <w:p w14:paraId="353219F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Dr. Edgar Torrico Ameller stated that sterilization was suggested to I.V.  and she was “told that her life would be in danger if she became pregnant again because there was a risk of her uterus rupturing, leaving [her three] children orphans.” Statement made by Edgar Torrico Ameller on July 26, 2004, according to the record of the oral hearing issued by the Copacabana Trial Court (evidence file, volume XII, annex 1(c)) to the State’s final arguments, folio 4735).</w:t>
      </w:r>
    </w:p>
  </w:footnote>
  <w:footnote w:id="309">
    <w:p w14:paraId="5E1A87DF" w14:textId="77777777" w:rsidR="00D24EFE" w:rsidRPr="00012C3F" w:rsidRDefault="00D24EFE" w:rsidP="005B52E1">
      <w:pPr>
        <w:pStyle w:val="Textonotapie"/>
        <w:tabs>
          <w:tab w:val="left" w:pos="567"/>
          <w:tab w:val="left" w:pos="720"/>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Statement made by I.V. before the Inter-American Court during the public hearing held on May 2, 2016; Affidavit prepared by Marco Vladimir Vargas Terrazas on April 28, 2016 (evidence file, volume XI, affidavits, folios 3931, 3934 and 3937 to 3938), and Statement made by Marco Vladimir Vargas Terrazas on July 28, 2004, according to the record of the oral hearing issued by the Copacabana Trial Court (evidence file, volume XII, annex 1(d)) to the State’s final arguments, folio 4789).</w:t>
      </w:r>
    </w:p>
  </w:footnote>
  <w:footnote w:id="310">
    <w:p w14:paraId="3ADB54DF" w14:textId="77777777" w:rsidR="00D24EFE" w:rsidRPr="00012C3F" w:rsidRDefault="00D24EFE" w:rsidP="005B52E1">
      <w:pPr>
        <w:tabs>
          <w:tab w:val="left" w:pos="567"/>
        </w:tabs>
        <w:autoSpaceDE w:val="0"/>
        <w:autoSpaceDN w:val="0"/>
        <w:spacing w:after="120" w:line="240" w:lineRule="auto"/>
        <w:rPr>
          <w:color w:val="000000" w:themeColor="text1"/>
          <w:sz w:val="16"/>
          <w:szCs w:val="16"/>
          <w:lang w:val="en-US"/>
        </w:rPr>
      </w:pPr>
      <w:r w:rsidRPr="00012C3F">
        <w:rPr>
          <w:rStyle w:val="Refdenotaalpie"/>
          <w:rFonts w:eastAsiaTheme="majorEastAsia"/>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t xml:space="preserve">The Special Rapporteur on violence against women, its causes and consequences considered forced sterilization, “a method of medical control of a woman’s fertility without the consent of a woman,” to be a “severe violation of women’s reproductive rights.” </w:t>
      </w:r>
      <w:r w:rsidRPr="00012C3F">
        <w:rPr>
          <w:i/>
          <w:color w:val="000000" w:themeColor="text1"/>
          <w:sz w:val="16"/>
          <w:szCs w:val="16"/>
          <w:lang w:val="en-US"/>
        </w:rPr>
        <w:t>Cf.</w:t>
      </w:r>
      <w:r w:rsidRPr="00012C3F">
        <w:rPr>
          <w:color w:val="000000" w:themeColor="text1"/>
          <w:sz w:val="16"/>
          <w:szCs w:val="16"/>
          <w:lang w:val="en-US"/>
        </w:rPr>
        <w:t xml:space="preserve"> UN, 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 xml:space="preserve">E/CN.4/1999/68/Add.4, January 21, 1999, </w:t>
      </w:r>
      <w:r w:rsidRPr="00012C3F">
        <w:rPr>
          <w:rFonts w:cs="Courier New"/>
          <w:color w:val="000000" w:themeColor="text1"/>
          <w:sz w:val="16"/>
          <w:szCs w:val="16"/>
          <w:lang w:val="en-US"/>
        </w:rPr>
        <w:t>para. 51.</w:t>
      </w:r>
    </w:p>
  </w:footnote>
  <w:footnote w:id="311">
    <w:p w14:paraId="0B53C73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eastAsia="MS Mincho"/>
          <w:sz w:val="16"/>
          <w:szCs w:val="16"/>
          <w:lang w:val="en-US"/>
        </w:rPr>
        <w:t>Sterilization without a woman’s informed consent is a practice that has been verified in various countries and different contexts, as revealed by the cases that have been ruled on by other international organs (</w:t>
      </w:r>
      <w:r w:rsidRPr="00012C3F">
        <w:rPr>
          <w:rFonts w:eastAsia="MS Mincho"/>
          <w:i/>
          <w:sz w:val="16"/>
          <w:szCs w:val="16"/>
          <w:lang w:val="en-US"/>
        </w:rPr>
        <w:t xml:space="preserve">supra </w:t>
      </w:r>
      <w:r w:rsidRPr="00012C3F">
        <w:rPr>
          <w:rFonts w:eastAsia="MS Mincho"/>
          <w:sz w:val="16"/>
          <w:szCs w:val="16"/>
          <w:lang w:val="en-US"/>
        </w:rPr>
        <w:t>para. 204).</w:t>
      </w:r>
    </w:p>
  </w:footnote>
  <w:footnote w:id="312">
    <w:p w14:paraId="280DE7B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Gomes Lund et al. (</w:t>
      </w:r>
      <w:proofErr w:type="spellStart"/>
      <w:r w:rsidRPr="00012C3F">
        <w:rPr>
          <w:i/>
          <w:sz w:val="16"/>
          <w:szCs w:val="16"/>
          <w:lang w:val="en-US"/>
        </w:rPr>
        <w:t>Guerrilha</w:t>
      </w:r>
      <w:proofErr w:type="spellEnd"/>
      <w:r w:rsidRPr="00012C3F">
        <w:rPr>
          <w:i/>
          <w:sz w:val="16"/>
          <w:szCs w:val="16"/>
          <w:lang w:val="en-US"/>
        </w:rPr>
        <w:t xml:space="preserve"> do Araguaia) v. Brazil. Preliminary objections, merits, reparations and costs. </w:t>
      </w:r>
      <w:r w:rsidRPr="00012C3F">
        <w:rPr>
          <w:sz w:val="16"/>
          <w:szCs w:val="16"/>
          <w:lang w:val="en-US"/>
        </w:rPr>
        <w:t>Judgment of November 24, 2010. Series C No. 219,</w:t>
      </w:r>
      <w:r w:rsidRPr="00012C3F">
        <w:rPr>
          <w:bCs/>
          <w:i/>
          <w:color w:val="000000"/>
          <w:sz w:val="16"/>
          <w:szCs w:val="16"/>
          <w:lang w:val="en-US"/>
        </w:rPr>
        <w:t xml:space="preserve"> </w:t>
      </w:r>
      <w:r w:rsidRPr="00012C3F">
        <w:rPr>
          <w:color w:val="000000"/>
          <w:sz w:val="16"/>
          <w:szCs w:val="16"/>
          <w:lang w:val="en-US"/>
        </w:rPr>
        <w:t>para. 201.</w:t>
      </w:r>
    </w:p>
  </w:footnote>
  <w:footnote w:id="313">
    <w:p w14:paraId="387F1872" w14:textId="77777777" w:rsidR="00D24EFE" w:rsidRPr="00012C3F" w:rsidRDefault="00D24EFE" w:rsidP="00B340E2">
      <w:pPr>
        <w:pStyle w:val="Textonotapie"/>
        <w:tabs>
          <w:tab w:val="left" w:pos="567"/>
        </w:tabs>
        <w:spacing w:after="120"/>
        <w:rPr>
          <w:rFonts w:cs="Vrinda"/>
          <w:sz w:val="16"/>
          <w:szCs w:val="16"/>
          <w:lang w:val="en-US"/>
        </w:rPr>
      </w:pPr>
      <w:r w:rsidRPr="00012C3F">
        <w:rPr>
          <w:rStyle w:val="Refdenotaalpie"/>
          <w:rFonts w:cs="Vrinda"/>
          <w:sz w:val="16"/>
          <w:szCs w:val="16"/>
          <w:lang w:val="en-US"/>
        </w:rPr>
        <w:footnoteRef/>
      </w:r>
      <w:r w:rsidRPr="00012C3F">
        <w:rPr>
          <w:rFonts w:cs="Vrinda"/>
          <w:sz w:val="16"/>
          <w:szCs w:val="16"/>
          <w:lang w:val="en-US"/>
        </w:rPr>
        <w:t xml:space="preserve"> </w:t>
      </w:r>
      <w:r w:rsidRPr="00012C3F">
        <w:rPr>
          <w:rFonts w:cs="Vrinda"/>
          <w:sz w:val="16"/>
          <w:szCs w:val="16"/>
          <w:lang w:val="en-US"/>
        </w:rPr>
        <w:tab/>
      </w:r>
      <w:r w:rsidRPr="00012C3F">
        <w:rPr>
          <w:rFonts w:cs="Vrinda"/>
          <w:i/>
          <w:sz w:val="16"/>
          <w:szCs w:val="16"/>
          <w:lang w:val="en-US"/>
        </w:rPr>
        <w:t>Cf.</w:t>
      </w:r>
      <w:r w:rsidRPr="00012C3F">
        <w:rPr>
          <w:rStyle w:val="Textoennegrita"/>
          <w:rFonts w:cs="Vrinda"/>
          <w:b w:val="0"/>
          <w:i/>
          <w:color w:val="000000"/>
          <w:sz w:val="16"/>
          <w:szCs w:val="16"/>
          <w:lang w:val="en-US"/>
        </w:rPr>
        <w:t xml:space="preserve"> Proposed Amendments to the Naturalization Provisions of the Constitution of Costa Rica</w:t>
      </w:r>
      <w:r w:rsidRPr="00012C3F">
        <w:rPr>
          <w:rFonts w:cs="Vrinda"/>
          <w:sz w:val="16"/>
          <w:szCs w:val="16"/>
          <w:lang w:val="en-US"/>
        </w:rPr>
        <w:t xml:space="preserve">. Advisory Opinion OC-4/84 of January 19, 1984. </w:t>
      </w:r>
      <w:r w:rsidRPr="00012C3F">
        <w:rPr>
          <w:color w:val="000000"/>
          <w:sz w:val="16"/>
          <w:szCs w:val="16"/>
          <w:lang w:val="en-US"/>
        </w:rPr>
        <w:t>Series A No. 4</w:t>
      </w:r>
      <w:r w:rsidRPr="00012C3F">
        <w:rPr>
          <w:rFonts w:cs="Vrinda"/>
          <w:sz w:val="16"/>
          <w:szCs w:val="16"/>
          <w:lang w:val="en-US"/>
        </w:rPr>
        <w:t>, para. 55</w:t>
      </w:r>
      <w:r w:rsidRPr="00012C3F">
        <w:rPr>
          <w:rStyle w:val="Textoennegrita"/>
          <w:rFonts w:cs="Vrinda"/>
          <w:b w:val="0"/>
          <w:color w:val="000000"/>
          <w:sz w:val="16"/>
          <w:szCs w:val="16"/>
          <w:lang w:val="en-US"/>
        </w:rPr>
        <w:t xml:space="preserve">, and </w:t>
      </w:r>
      <w:r w:rsidRPr="00012C3F">
        <w:rPr>
          <w:i/>
          <w:sz w:val="16"/>
          <w:szCs w:val="16"/>
          <w:lang w:val="en-US"/>
        </w:rPr>
        <w:t>Case of Flor Freire v. Ecuador, supra</w:t>
      </w:r>
      <w:r w:rsidRPr="00012C3F">
        <w:rPr>
          <w:rStyle w:val="Textoennegrita"/>
          <w:b w:val="0"/>
          <w:color w:val="000000"/>
          <w:sz w:val="16"/>
          <w:szCs w:val="16"/>
          <w:shd w:val="clear" w:color="auto" w:fill="FFFFFF"/>
          <w:lang w:val="en-US"/>
        </w:rPr>
        <w:t>, para. 109.</w:t>
      </w:r>
    </w:p>
  </w:footnote>
  <w:footnote w:id="314">
    <w:p w14:paraId="7ED99365" w14:textId="77777777" w:rsidR="00D24EFE" w:rsidRPr="00012C3F" w:rsidRDefault="00D24EFE" w:rsidP="005B52E1">
      <w:pPr>
        <w:pStyle w:val="Textonotapie"/>
        <w:tabs>
          <w:tab w:val="left" w:pos="567"/>
        </w:tabs>
        <w:spacing w:after="120"/>
        <w:rPr>
          <w:rStyle w:val="Refdenotaalpie"/>
          <w:sz w:val="16"/>
          <w:szCs w:val="16"/>
          <w:vertAlign w:val="baseline"/>
          <w:lang w:val="en-US"/>
        </w:rPr>
      </w:pPr>
      <w:r w:rsidRPr="00012C3F">
        <w:rPr>
          <w:rStyle w:val="Refdenotaalpie"/>
          <w:rFonts w:cs="Vrinda"/>
          <w:sz w:val="16"/>
          <w:szCs w:val="16"/>
          <w:lang w:val="en-US"/>
        </w:rPr>
        <w:footnoteRef/>
      </w:r>
      <w:r w:rsidRPr="00012C3F">
        <w:rPr>
          <w:rFonts w:cs="Vrinda"/>
          <w:sz w:val="16"/>
          <w:szCs w:val="16"/>
          <w:lang w:val="en-US"/>
        </w:rPr>
        <w:tab/>
      </w:r>
      <w:r w:rsidRPr="00012C3F">
        <w:rPr>
          <w:rFonts w:cs="Vrinda"/>
          <w:i/>
          <w:sz w:val="16"/>
          <w:szCs w:val="16"/>
          <w:lang w:val="en-US"/>
        </w:rPr>
        <w:t xml:space="preserve">Cf. Juridical Status and Rights of Undocumented Migrants. </w:t>
      </w:r>
      <w:r w:rsidRPr="00012C3F">
        <w:rPr>
          <w:rFonts w:cs="Vrinda"/>
          <w:sz w:val="16"/>
          <w:szCs w:val="16"/>
          <w:lang w:val="en-US"/>
        </w:rPr>
        <w:t>Advisory Opinion OC-18/03</w:t>
      </w:r>
      <w:r w:rsidRPr="00012C3F">
        <w:rPr>
          <w:color w:val="000000"/>
          <w:sz w:val="16"/>
          <w:szCs w:val="16"/>
          <w:lang w:val="en-US"/>
        </w:rPr>
        <w:t xml:space="preserve">, </w:t>
      </w:r>
      <w:r w:rsidRPr="00012C3F">
        <w:rPr>
          <w:i/>
          <w:color w:val="000000"/>
          <w:sz w:val="16"/>
          <w:szCs w:val="16"/>
          <w:lang w:val="en-US"/>
        </w:rPr>
        <w:t>supra</w:t>
      </w:r>
      <w:r w:rsidRPr="00012C3F">
        <w:rPr>
          <w:rFonts w:cs="Vrinda"/>
          <w:sz w:val="16"/>
          <w:szCs w:val="16"/>
          <w:lang w:val="en-US"/>
        </w:rPr>
        <w:t xml:space="preserve">, paras. 101, </w:t>
      </w:r>
      <w:r w:rsidRPr="00012C3F">
        <w:rPr>
          <w:rStyle w:val="sb8d990e2"/>
          <w:rFonts w:eastAsia="Batang" w:cs="Vrinda"/>
          <w:color w:val="000000"/>
          <w:sz w:val="16"/>
          <w:szCs w:val="16"/>
          <w:lang w:val="en-US"/>
        </w:rPr>
        <w:t>103 and 104,</w:t>
      </w:r>
      <w:r w:rsidRPr="00012C3F">
        <w:rPr>
          <w:rFonts w:cs="Vrinda"/>
          <w:sz w:val="16"/>
          <w:szCs w:val="16"/>
          <w:lang w:val="en-US"/>
        </w:rPr>
        <w:t xml:space="preserve"> and </w:t>
      </w:r>
      <w:r w:rsidRPr="00012C3F">
        <w:rPr>
          <w:i/>
          <w:sz w:val="16"/>
          <w:szCs w:val="16"/>
          <w:lang w:val="en-US"/>
        </w:rPr>
        <w:t>Case of Flor Freire v. Ecuador, supra</w:t>
      </w:r>
      <w:r w:rsidRPr="00012C3F">
        <w:rPr>
          <w:rStyle w:val="Textoennegrita"/>
          <w:b w:val="0"/>
          <w:color w:val="000000"/>
          <w:sz w:val="16"/>
          <w:szCs w:val="16"/>
          <w:shd w:val="clear" w:color="auto" w:fill="FFFFFF"/>
          <w:lang w:val="en-US"/>
        </w:rPr>
        <w:t>, paras. 109 and 110.</w:t>
      </w:r>
    </w:p>
  </w:footnote>
  <w:footnote w:id="315">
    <w:p w14:paraId="7BF87C8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Style w:val="Textoennegrita"/>
          <w:rFonts w:cs="Vrinda"/>
          <w:b w:val="0"/>
          <w:i/>
          <w:color w:val="000000"/>
          <w:sz w:val="16"/>
          <w:szCs w:val="16"/>
          <w:lang w:val="en-US"/>
        </w:rPr>
        <w:t>Proposed Amendments to the Naturalization Provisions of the Constitution of Costa Rica</w:t>
      </w:r>
      <w:r w:rsidRPr="00012C3F">
        <w:rPr>
          <w:rFonts w:cs="Tahoma"/>
          <w:i/>
          <w:sz w:val="16"/>
          <w:szCs w:val="16"/>
          <w:lang w:val="en-US"/>
        </w:rPr>
        <w:t xml:space="preserve">. </w:t>
      </w:r>
      <w:r w:rsidRPr="00012C3F">
        <w:rPr>
          <w:rFonts w:cs="Tahoma"/>
          <w:sz w:val="16"/>
          <w:szCs w:val="16"/>
          <w:lang w:val="en-US"/>
        </w:rPr>
        <w:t xml:space="preserve">Advisory Opinion OC-4/84, </w:t>
      </w:r>
      <w:r w:rsidRPr="00012C3F">
        <w:rPr>
          <w:rFonts w:cs="Tahoma"/>
          <w:i/>
          <w:sz w:val="16"/>
          <w:szCs w:val="16"/>
          <w:lang w:val="en-US"/>
        </w:rPr>
        <w:t>supra</w:t>
      </w:r>
      <w:r w:rsidRPr="00012C3F">
        <w:rPr>
          <w:rFonts w:cs="Tahoma"/>
          <w:sz w:val="16"/>
          <w:szCs w:val="16"/>
          <w:lang w:val="en-US"/>
        </w:rPr>
        <w:t xml:space="preserve">, para. 53, and </w:t>
      </w:r>
      <w:r w:rsidRPr="00012C3F">
        <w:rPr>
          <w:i/>
          <w:sz w:val="16"/>
          <w:szCs w:val="16"/>
          <w:lang w:val="en-US"/>
        </w:rPr>
        <w:t>Case of Flor Freire v. Ecuador, supra</w:t>
      </w:r>
      <w:r w:rsidRPr="00012C3F">
        <w:rPr>
          <w:rStyle w:val="Textoennegrita"/>
          <w:b w:val="0"/>
          <w:color w:val="000000"/>
          <w:sz w:val="16"/>
          <w:szCs w:val="16"/>
          <w:shd w:val="clear" w:color="auto" w:fill="FFFFFF"/>
          <w:lang w:val="en-US"/>
        </w:rPr>
        <w:t>, para. 111</w:t>
      </w:r>
      <w:r w:rsidRPr="00012C3F">
        <w:rPr>
          <w:rFonts w:cs="Tahoma"/>
          <w:sz w:val="16"/>
          <w:szCs w:val="16"/>
          <w:lang w:val="en-US"/>
        </w:rPr>
        <w:t>.</w:t>
      </w:r>
    </w:p>
  </w:footnote>
  <w:footnote w:id="316">
    <w:p w14:paraId="06CF3EF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Human Rights Committee, General Comment No. 18, </w:t>
      </w:r>
      <w:r w:rsidRPr="00012C3F">
        <w:rPr>
          <w:i/>
          <w:sz w:val="16"/>
          <w:szCs w:val="16"/>
          <w:lang w:val="en-US"/>
        </w:rPr>
        <w:t>Non-discrimination</w:t>
      </w:r>
      <w:r w:rsidRPr="00012C3F">
        <w:rPr>
          <w:sz w:val="16"/>
          <w:szCs w:val="16"/>
          <w:lang w:val="en-US"/>
        </w:rPr>
        <w:t>, November 10, 1989, para. 13.</w:t>
      </w:r>
    </w:p>
  </w:footnote>
  <w:footnote w:id="317">
    <w:p w14:paraId="57AF221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sz w:val="16"/>
          <w:szCs w:val="16"/>
          <w:lang w:val="en-US"/>
        </w:rPr>
        <w:t>Case of Atala Riffo and daughters v. Chile, supra</w:t>
      </w:r>
      <w:r w:rsidRPr="00012C3F">
        <w:rPr>
          <w:sz w:val="16"/>
          <w:szCs w:val="16"/>
          <w:lang w:val="en-US"/>
        </w:rPr>
        <w:t xml:space="preserve">, para. 85, and </w:t>
      </w:r>
      <w:r w:rsidRPr="00012C3F">
        <w:rPr>
          <w:i/>
          <w:sz w:val="16"/>
          <w:szCs w:val="16"/>
          <w:lang w:val="en-US"/>
        </w:rPr>
        <w:t>Case of Norín Catrimán et al. (Leaders, members and activist of the Mapuche Indigenous People) v. Chile. Merits reparations and costs</w:t>
      </w:r>
      <w:r w:rsidRPr="00012C3F">
        <w:rPr>
          <w:sz w:val="16"/>
          <w:szCs w:val="16"/>
          <w:lang w:val="en-US"/>
        </w:rPr>
        <w:t>. Judgment of May 29, 2014. Series C No. 279, para. 202.</w:t>
      </w:r>
    </w:p>
  </w:footnote>
  <w:footnote w:id="318">
    <w:p w14:paraId="74BB5AB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sz w:val="16"/>
          <w:szCs w:val="16"/>
          <w:lang w:val="en-US"/>
        </w:rPr>
        <w:t>Case of Atala Riffo and daughters v. Chile, supra</w:t>
      </w:r>
      <w:r w:rsidRPr="00012C3F">
        <w:rPr>
          <w:sz w:val="16"/>
          <w:szCs w:val="16"/>
          <w:lang w:val="en-US"/>
        </w:rPr>
        <w:t>, para. 85.</w:t>
      </w:r>
    </w:p>
  </w:footnote>
  <w:footnote w:id="319">
    <w:p w14:paraId="5295001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ECHR, </w:t>
      </w:r>
      <w:r w:rsidRPr="00012C3F">
        <w:rPr>
          <w:i/>
          <w:sz w:val="16"/>
          <w:szCs w:val="16"/>
          <w:lang w:val="en-US"/>
        </w:rPr>
        <w:t>Case of Bah v. The United Kingdom</w:t>
      </w:r>
      <w:r w:rsidRPr="00012C3F">
        <w:rPr>
          <w:sz w:val="16"/>
          <w:szCs w:val="16"/>
          <w:lang w:val="en-US"/>
        </w:rPr>
        <w:t xml:space="preserve">, No. 56328/07. Judgment of September 27, 2011, paras. 44 to 47, and </w:t>
      </w:r>
      <w:r w:rsidRPr="00012C3F">
        <w:rPr>
          <w:i/>
          <w:sz w:val="16"/>
          <w:szCs w:val="16"/>
          <w:lang w:val="en-US"/>
        </w:rPr>
        <w:t xml:space="preserve">Case of </w:t>
      </w:r>
      <w:proofErr w:type="spellStart"/>
      <w:r w:rsidRPr="00012C3F">
        <w:rPr>
          <w:i/>
          <w:sz w:val="16"/>
          <w:szCs w:val="16"/>
          <w:lang w:val="en-US"/>
        </w:rPr>
        <w:t>Hode</w:t>
      </w:r>
      <w:proofErr w:type="spellEnd"/>
      <w:r w:rsidRPr="00012C3F">
        <w:rPr>
          <w:i/>
          <w:sz w:val="16"/>
          <w:szCs w:val="16"/>
          <w:lang w:val="en-US"/>
        </w:rPr>
        <w:t xml:space="preserve"> and Abdi v. The United Kingdom</w:t>
      </w:r>
      <w:r w:rsidRPr="00012C3F">
        <w:rPr>
          <w:sz w:val="16"/>
          <w:szCs w:val="16"/>
          <w:lang w:val="en-US"/>
        </w:rPr>
        <w:t>, No. 22341/09. Judgment of November 6, 2012, paras. 44 to 47.</w:t>
      </w:r>
    </w:p>
  </w:footnote>
  <w:footnote w:id="320">
    <w:p w14:paraId="39306C4F" w14:textId="77777777" w:rsidR="00D24EFE" w:rsidRPr="00012C3F" w:rsidRDefault="00D24EFE" w:rsidP="00337427">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w:t>
      </w:r>
      <w:r w:rsidRPr="00012C3F">
        <w:rPr>
          <w:rFonts w:eastAsia="MS Mincho"/>
          <w:bCs/>
          <w:sz w:val="16"/>
          <w:szCs w:val="16"/>
          <w:lang w:val="en-US" w:bidi="en-US"/>
        </w:rPr>
        <w:t>Report of the Special Rapporteur on the right of everyone to the highest attainable standard of physical and mental health, Anand Grover, A/64/272, August 10, 2009</w:t>
      </w:r>
      <w:r w:rsidRPr="00012C3F">
        <w:rPr>
          <w:sz w:val="16"/>
          <w:szCs w:val="16"/>
          <w:lang w:val="en-US"/>
        </w:rPr>
        <w:t>, paras. 54 and 55.</w:t>
      </w:r>
    </w:p>
  </w:footnote>
  <w:footnote w:id="321">
    <w:p w14:paraId="11B7EE4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During the hearing, Dr. Torrico Ameller gave a historical review of the evolution of the autonomy of women with regard to consent in relation to medical procedures during his career as a gynecologist. He divided this evolution into three stages: a first stage where the doctor was “omnipotent” and the issue of informed consent was not discussed in the medical schools; a second stage where greater decision-making powers were assigned to the patient’s doctor or husband, and a third stage, where women had greater autonomy over the decisions relating to their bodies. </w:t>
      </w:r>
      <w:r w:rsidRPr="00012C3F">
        <w:rPr>
          <w:i/>
          <w:sz w:val="16"/>
          <w:szCs w:val="16"/>
          <w:lang w:val="en-US"/>
        </w:rPr>
        <w:t xml:space="preserve">Cf. </w:t>
      </w:r>
      <w:r w:rsidRPr="00012C3F">
        <w:rPr>
          <w:sz w:val="16"/>
          <w:szCs w:val="16"/>
          <w:lang w:val="en-US"/>
        </w:rPr>
        <w:t>Statement made by Edgar Torrico Ameller before the Inter-American Court during the public hearing held on May 2, 2016.</w:t>
      </w:r>
    </w:p>
  </w:footnote>
  <w:footnote w:id="322">
    <w:p w14:paraId="583C58D4" w14:textId="77777777" w:rsidR="00D24EFE" w:rsidRPr="00012C3F" w:rsidRDefault="00D24EFE" w:rsidP="005B52E1">
      <w:pPr>
        <w:pStyle w:val="Textonotapie"/>
        <w:tabs>
          <w:tab w:val="left" w:pos="567"/>
        </w:tabs>
        <w:spacing w:after="120"/>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Expert opinion provided by Luisa Cabal by affidavit on April 28, 2016 (evidence file, volume XI, affidavits, folio 3960). </w:t>
      </w:r>
    </w:p>
  </w:footnote>
  <w:footnote w:id="323">
    <w:p w14:paraId="1E28AAB7" w14:textId="77777777" w:rsidR="00D24EFE" w:rsidRPr="00012C3F" w:rsidRDefault="00D24EFE" w:rsidP="005B52E1">
      <w:pPr>
        <w:pStyle w:val="Textonotapie"/>
        <w:tabs>
          <w:tab w:val="left" w:pos="567"/>
        </w:tabs>
        <w:spacing w:after="120"/>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color w:val="000000" w:themeColor="text1"/>
          <w:sz w:val="16"/>
          <w:szCs w:val="16"/>
          <w:lang w:val="en-US"/>
        </w:rPr>
        <w:t xml:space="preserve">Cf. </w:t>
      </w:r>
      <w:r w:rsidRPr="00012C3F">
        <w:rPr>
          <w:color w:val="000000" w:themeColor="text1"/>
          <w:sz w:val="16"/>
          <w:szCs w:val="16"/>
          <w:lang w:val="en-US"/>
        </w:rPr>
        <w:t xml:space="preserve">UN, </w:t>
      </w:r>
      <w:r w:rsidRPr="00012C3F">
        <w:rPr>
          <w:rFonts w:eastAsia="MS Mincho"/>
          <w:bCs/>
          <w:sz w:val="16"/>
          <w:szCs w:val="16"/>
          <w:lang w:val="en-US" w:bidi="en-US"/>
        </w:rPr>
        <w:t>Report of the Special Rapporteur on the right of everyone to the highest attainable standard of physical and mental health, Anand Grover, A/64/272, August 10, 2009</w:t>
      </w:r>
      <w:r w:rsidRPr="00012C3F">
        <w:rPr>
          <w:color w:val="000000" w:themeColor="text1"/>
          <w:sz w:val="16"/>
          <w:szCs w:val="16"/>
          <w:lang w:val="en-US"/>
        </w:rPr>
        <w:t>, para. 55.</w:t>
      </w:r>
    </w:p>
  </w:footnote>
  <w:footnote w:id="324">
    <w:p w14:paraId="1929DEF6" w14:textId="77777777" w:rsidR="00D24EFE" w:rsidRPr="00D24EFE" w:rsidRDefault="00D24EFE" w:rsidP="00452BE4">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Juridical Status and Rights of Undocumented Migrants, </w:t>
      </w:r>
      <w:r w:rsidRPr="00012C3F">
        <w:rPr>
          <w:iCs/>
          <w:sz w:val="16"/>
          <w:szCs w:val="16"/>
          <w:lang w:val="en-US"/>
        </w:rPr>
        <w:t xml:space="preserve">Advisory Opinion </w:t>
      </w:r>
      <w:r w:rsidRPr="00012C3F">
        <w:rPr>
          <w:sz w:val="16"/>
          <w:szCs w:val="16"/>
          <w:lang w:val="en-US"/>
        </w:rPr>
        <w:t xml:space="preserve">OC-18/03, </w:t>
      </w:r>
      <w:r w:rsidRPr="00012C3F">
        <w:rPr>
          <w:i/>
          <w:sz w:val="16"/>
          <w:szCs w:val="16"/>
          <w:lang w:val="en-US"/>
        </w:rPr>
        <w:t>supra</w:t>
      </w:r>
      <w:r w:rsidRPr="00012C3F">
        <w:rPr>
          <w:sz w:val="16"/>
          <w:szCs w:val="16"/>
          <w:lang w:val="en-US"/>
        </w:rPr>
        <w:t xml:space="preserve">, para. </w:t>
      </w:r>
      <w:r w:rsidRPr="00D24EFE">
        <w:rPr>
          <w:sz w:val="16"/>
          <w:szCs w:val="16"/>
          <w:lang w:val="es-CR"/>
        </w:rPr>
        <w:t>101.</w:t>
      </w:r>
    </w:p>
  </w:footnote>
  <w:footnote w:id="325">
    <w:p w14:paraId="765B4AD9" w14:textId="77777777" w:rsidR="00D24EFE" w:rsidRPr="00D24EFE" w:rsidRDefault="00D24EFE" w:rsidP="005B52E1">
      <w:pPr>
        <w:pStyle w:val="Textonotapie"/>
        <w:tabs>
          <w:tab w:val="left" w:pos="567"/>
        </w:tabs>
        <w:spacing w:after="120"/>
        <w:rPr>
          <w:rStyle w:val="Textoennegrita"/>
          <w:rFonts w:eastAsia="Batang"/>
          <w:b w:val="0"/>
          <w:bCs w:val="0"/>
          <w:sz w:val="16"/>
          <w:szCs w:val="16"/>
          <w:lang w:val="es-CR"/>
        </w:rPr>
      </w:pPr>
      <w:r w:rsidRPr="00012C3F">
        <w:rPr>
          <w:sz w:val="16"/>
          <w:szCs w:val="16"/>
          <w:vertAlign w:val="superscript"/>
          <w:lang w:val="en-US"/>
        </w:rPr>
        <w:footnoteRef/>
      </w:r>
      <w:r w:rsidRPr="00D24EFE">
        <w:rPr>
          <w:sz w:val="16"/>
          <w:szCs w:val="16"/>
          <w:lang w:val="es-CR"/>
        </w:rPr>
        <w:t xml:space="preserve"> </w:t>
      </w:r>
      <w:r w:rsidRPr="00D24EFE">
        <w:rPr>
          <w:sz w:val="16"/>
          <w:szCs w:val="16"/>
          <w:lang w:val="es-CR"/>
        </w:rPr>
        <w:tab/>
      </w:r>
      <w:r w:rsidRPr="00D24EFE">
        <w:rPr>
          <w:rStyle w:val="Textoennegrita"/>
          <w:b w:val="0"/>
          <w:i/>
          <w:sz w:val="16"/>
          <w:szCs w:val="16"/>
          <w:lang w:val="es-CR"/>
        </w:rPr>
        <w:t>Case of Gonzales Lluy et al. v. Ecuador, supra</w:t>
      </w:r>
      <w:r w:rsidRPr="00D24EFE">
        <w:rPr>
          <w:rStyle w:val="Textoennegrita"/>
          <w:rFonts w:eastAsia="Batang"/>
          <w:b w:val="0"/>
          <w:sz w:val="16"/>
          <w:szCs w:val="16"/>
          <w:lang w:val="es-CR"/>
        </w:rPr>
        <w:t>, para. 257,</w:t>
      </w:r>
      <w:r w:rsidRPr="00D24EFE">
        <w:rPr>
          <w:rFonts w:cs="Vrinda"/>
          <w:sz w:val="16"/>
          <w:szCs w:val="16"/>
          <w:lang w:val="es-CR"/>
        </w:rPr>
        <w:t xml:space="preserve"> and </w:t>
      </w:r>
      <w:r w:rsidRPr="00D24EFE">
        <w:rPr>
          <w:i/>
          <w:sz w:val="16"/>
          <w:szCs w:val="16"/>
          <w:lang w:val="es-CR"/>
        </w:rPr>
        <w:t>Case of Flor Freire v. Ecuador, supra</w:t>
      </w:r>
      <w:r w:rsidRPr="00D24EFE">
        <w:rPr>
          <w:rStyle w:val="Textoennegrita"/>
          <w:b w:val="0"/>
          <w:color w:val="000000"/>
          <w:sz w:val="16"/>
          <w:szCs w:val="16"/>
          <w:shd w:val="clear" w:color="auto" w:fill="FFFFFF"/>
          <w:lang w:val="es-CR"/>
        </w:rPr>
        <w:t>, para. 125</w:t>
      </w:r>
      <w:r w:rsidRPr="00D24EFE">
        <w:rPr>
          <w:rStyle w:val="Textoennegrita"/>
          <w:rFonts w:eastAsia="Batang"/>
          <w:b w:val="0"/>
          <w:sz w:val="16"/>
          <w:szCs w:val="16"/>
          <w:lang w:val="es-CR"/>
        </w:rPr>
        <w:t>.</w:t>
      </w:r>
    </w:p>
  </w:footnote>
  <w:footnote w:id="326">
    <w:p w14:paraId="27534B9D" w14:textId="77777777" w:rsidR="00D24EFE" w:rsidRPr="00D24EFE" w:rsidRDefault="00D24EFE" w:rsidP="005B52E1">
      <w:pPr>
        <w:tabs>
          <w:tab w:val="left" w:pos="567"/>
          <w:tab w:val="left" w:pos="851"/>
        </w:tabs>
        <w:spacing w:after="120" w:line="240" w:lineRule="auto"/>
        <w:rPr>
          <w:bCs/>
          <w:sz w:val="16"/>
          <w:szCs w:val="16"/>
        </w:rPr>
      </w:pPr>
      <w:r w:rsidRPr="00012C3F">
        <w:rPr>
          <w:rStyle w:val="Refdenotaalpie"/>
          <w:rFonts w:eastAsia="Calibri"/>
          <w:sz w:val="16"/>
          <w:szCs w:val="16"/>
          <w:lang w:val="en-US"/>
        </w:rPr>
        <w:footnoteRef/>
      </w:r>
      <w:r w:rsidRPr="00D24EFE">
        <w:rPr>
          <w:sz w:val="16"/>
          <w:szCs w:val="16"/>
        </w:rPr>
        <w:t xml:space="preserve"> </w:t>
      </w:r>
      <w:r w:rsidRPr="00D24EFE">
        <w:rPr>
          <w:sz w:val="16"/>
          <w:szCs w:val="16"/>
        </w:rPr>
        <w:tab/>
      </w:r>
      <w:r w:rsidRPr="00D24EFE">
        <w:rPr>
          <w:i/>
          <w:sz w:val="16"/>
          <w:szCs w:val="16"/>
        </w:rPr>
        <w:t xml:space="preserve">Cf. </w:t>
      </w:r>
      <w:r w:rsidRPr="00D24EFE">
        <w:rPr>
          <w:rStyle w:val="Textoennegrita"/>
          <w:b w:val="0"/>
          <w:i/>
          <w:sz w:val="16"/>
          <w:szCs w:val="16"/>
        </w:rPr>
        <w:t>Case of Gonzales Lluy et al. v. Ecuador, supra</w:t>
      </w:r>
      <w:r w:rsidRPr="00D24EFE">
        <w:rPr>
          <w:rStyle w:val="Textoennegrita"/>
          <w:b w:val="0"/>
          <w:sz w:val="16"/>
          <w:szCs w:val="16"/>
        </w:rPr>
        <w:t>, para. 290.</w:t>
      </w:r>
    </w:p>
  </w:footnote>
  <w:footnote w:id="327">
    <w:p w14:paraId="4188855A"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rStyle w:val="Textoennegrita"/>
          <w:b w:val="0"/>
          <w:i/>
          <w:sz w:val="16"/>
          <w:szCs w:val="16"/>
          <w:lang w:val="es-CR"/>
        </w:rPr>
        <w:t>Case of Gonzales Lluy et al. v. Ecuador, supra</w:t>
      </w:r>
      <w:r w:rsidRPr="00D24EFE">
        <w:rPr>
          <w:rStyle w:val="Textoennegrita"/>
          <w:b w:val="0"/>
          <w:sz w:val="16"/>
          <w:szCs w:val="16"/>
          <w:lang w:val="es-CR"/>
        </w:rPr>
        <w:t xml:space="preserve">, para. </w:t>
      </w:r>
      <w:r w:rsidRPr="00012C3F">
        <w:rPr>
          <w:rStyle w:val="Textoennegrita"/>
          <w:b w:val="0"/>
          <w:sz w:val="16"/>
          <w:szCs w:val="16"/>
          <w:lang w:val="en-US"/>
        </w:rPr>
        <w:t>288.</w:t>
      </w:r>
    </w:p>
  </w:footnote>
  <w:footnote w:id="328">
    <w:p w14:paraId="2D7093D4"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Report of the Special Rapporteur on violence against women, its causes and consequences, Rashida Manjoo, </w:t>
      </w:r>
      <w:r w:rsidRPr="00012C3F">
        <w:rPr>
          <w:i/>
          <w:sz w:val="16"/>
          <w:szCs w:val="16"/>
          <w:lang w:val="en-US"/>
        </w:rPr>
        <w:t>Multiple and intersecting forms of discrimination and violence against women</w:t>
      </w:r>
      <w:r w:rsidRPr="00012C3F">
        <w:rPr>
          <w:sz w:val="16"/>
          <w:szCs w:val="16"/>
          <w:lang w:val="en-US"/>
        </w:rPr>
        <w:t>, A/HRC/17/26, May 2, 2011, para. 72, and Report of the Special Rapporteur on torture and other cruel, inhuman or degrading treatment or punishment, Juan E. Méndez, A/HRC/22/53, February 1, 2013, para. 48.</w:t>
      </w:r>
    </w:p>
  </w:footnote>
  <w:footnote w:id="329">
    <w:p w14:paraId="52E40674" w14:textId="77777777" w:rsidR="00D24EFE" w:rsidRPr="00012C3F" w:rsidRDefault="00D24EFE" w:rsidP="005B52E1">
      <w:pPr>
        <w:pStyle w:val="Textonotapie"/>
        <w:tabs>
          <w:tab w:val="left" w:pos="567"/>
        </w:tabs>
        <w:spacing w:after="120"/>
        <w:rPr>
          <w:rFonts w:cs="Vrinda"/>
          <w:i/>
          <w:sz w:val="16"/>
          <w:szCs w:val="16"/>
          <w:lang w:val="en-US"/>
        </w:rPr>
      </w:pPr>
      <w:r w:rsidRPr="00012C3F">
        <w:rPr>
          <w:rStyle w:val="Refdenotaalpie"/>
          <w:rFonts w:eastAsia="Calibri" w:cs="Vrinda"/>
          <w:sz w:val="16"/>
          <w:szCs w:val="16"/>
          <w:lang w:val="en-US"/>
        </w:rPr>
        <w:footnoteRef/>
      </w:r>
      <w:r w:rsidRPr="00012C3F">
        <w:rPr>
          <w:rStyle w:val="Refdenotaalpie"/>
          <w:rFonts w:eastAsia="Calibri" w:cs="Vrinda"/>
          <w:sz w:val="16"/>
          <w:szCs w:val="16"/>
          <w:vertAlign w:val="baseline"/>
          <w:lang w:val="en-US"/>
        </w:rPr>
        <w:tab/>
      </w:r>
      <w:r w:rsidRPr="00012C3F">
        <w:rPr>
          <w:rFonts w:cs="Vrinda"/>
          <w:i/>
          <w:color w:val="000000"/>
          <w:sz w:val="16"/>
          <w:szCs w:val="16"/>
          <w:lang w:val="en-US"/>
        </w:rPr>
        <w:t>Cf.</w:t>
      </w:r>
      <w:r w:rsidRPr="00012C3F">
        <w:rPr>
          <w:rFonts w:cs="Vrinda"/>
          <w:i/>
          <w:sz w:val="16"/>
          <w:szCs w:val="16"/>
          <w:lang w:val="en-US"/>
        </w:rPr>
        <w:t xml:space="preserve"> </w:t>
      </w:r>
      <w:r w:rsidRPr="00012C3F">
        <w:rPr>
          <w:rStyle w:val="Textoennegrita"/>
          <w:b w:val="0"/>
          <w:i/>
          <w:color w:val="000000"/>
          <w:sz w:val="16"/>
          <w:szCs w:val="16"/>
          <w:shd w:val="clear" w:color="auto" w:fill="FFFFFF"/>
          <w:lang w:val="en-US"/>
        </w:rPr>
        <w:t>Case of González et al. (“Cotton Field”) v. Mexico, supra</w:t>
      </w:r>
      <w:r w:rsidRPr="00012C3F">
        <w:rPr>
          <w:rStyle w:val="Textoennegrita"/>
          <w:b w:val="0"/>
          <w:color w:val="000000"/>
          <w:sz w:val="16"/>
          <w:szCs w:val="16"/>
          <w:shd w:val="clear" w:color="auto" w:fill="FFFFFF"/>
          <w:lang w:val="en-US"/>
        </w:rPr>
        <w:t xml:space="preserve">, </w:t>
      </w:r>
      <w:r w:rsidRPr="00012C3F">
        <w:rPr>
          <w:rFonts w:cs="Vrinda"/>
          <w:sz w:val="16"/>
          <w:szCs w:val="16"/>
          <w:lang w:val="en-US"/>
        </w:rPr>
        <w:t xml:space="preserve">para. 394, and </w:t>
      </w:r>
      <w:r w:rsidRPr="00012C3F">
        <w:rPr>
          <w:rFonts w:cs="Courier New"/>
          <w:i/>
          <w:noProof/>
          <w:sz w:val="16"/>
          <w:szCs w:val="16"/>
          <w:lang w:val="en-US"/>
        </w:rPr>
        <w:t>Case of Velásquez Paiz et al. v. Guatemala, supra</w:t>
      </w:r>
      <w:r w:rsidRPr="00012C3F">
        <w:rPr>
          <w:rFonts w:cs="Courier New"/>
          <w:noProof/>
          <w:sz w:val="16"/>
          <w:szCs w:val="16"/>
          <w:lang w:val="en-US"/>
        </w:rPr>
        <w:t>, para. 175, both citing</w:t>
      </w:r>
      <w:r w:rsidRPr="00012C3F">
        <w:rPr>
          <w:rFonts w:cs="Vrinda"/>
          <w:sz w:val="16"/>
          <w:szCs w:val="16"/>
          <w:lang w:val="en-US"/>
        </w:rPr>
        <w:t xml:space="preserve"> the Convention of Belém do Pará, Preamble and Article 6.</w:t>
      </w:r>
    </w:p>
  </w:footnote>
  <w:footnote w:id="330">
    <w:p w14:paraId="10D87333" w14:textId="77777777" w:rsidR="00D24EFE" w:rsidRPr="00012C3F" w:rsidRDefault="00D24EFE" w:rsidP="005B52E1">
      <w:pPr>
        <w:pStyle w:val="Textonotapie"/>
        <w:tabs>
          <w:tab w:val="left" w:pos="567"/>
        </w:tabs>
        <w:spacing w:after="120"/>
        <w:rPr>
          <w:rFonts w:cs="Vrinda"/>
          <w:sz w:val="16"/>
          <w:szCs w:val="16"/>
          <w:lang w:val="en-US"/>
        </w:rPr>
      </w:pPr>
      <w:r w:rsidRPr="00012C3F">
        <w:rPr>
          <w:rStyle w:val="Refdenotaalpie"/>
          <w:rFonts w:eastAsia="Calibri" w:cs="Vrinda"/>
          <w:sz w:val="16"/>
          <w:szCs w:val="16"/>
          <w:lang w:val="en-US"/>
        </w:rPr>
        <w:footnoteRef/>
      </w:r>
      <w:r w:rsidRPr="00012C3F">
        <w:rPr>
          <w:rStyle w:val="Refdenotaalpie"/>
          <w:rFonts w:eastAsia="Calibri" w:cs="Vrinda"/>
          <w:sz w:val="16"/>
          <w:szCs w:val="16"/>
          <w:vertAlign w:val="baseline"/>
          <w:lang w:val="en-US"/>
        </w:rPr>
        <w:tab/>
      </w:r>
      <w:r w:rsidRPr="00012C3F">
        <w:rPr>
          <w:rFonts w:cs="Vrinda"/>
          <w:sz w:val="16"/>
          <w:szCs w:val="16"/>
          <w:lang w:val="en-US"/>
        </w:rPr>
        <w:t>Convention of Belém do Pará, Article 7(a).</w:t>
      </w:r>
    </w:p>
  </w:footnote>
  <w:footnote w:id="331">
    <w:p w14:paraId="5AC823F2" w14:textId="77777777" w:rsidR="00D24EFE" w:rsidRPr="00D24EFE" w:rsidRDefault="00D24EFE" w:rsidP="005B52E1">
      <w:pPr>
        <w:pStyle w:val="Textonotapie"/>
        <w:tabs>
          <w:tab w:val="left" w:pos="567"/>
        </w:tabs>
        <w:spacing w:after="120"/>
        <w:rPr>
          <w:rFonts w:cs="Vrinda"/>
          <w:sz w:val="16"/>
          <w:szCs w:val="16"/>
          <w:lang w:val="es-CR"/>
        </w:rPr>
      </w:pPr>
      <w:r w:rsidRPr="00012C3F">
        <w:rPr>
          <w:rStyle w:val="Refdenotaalpie"/>
          <w:rFonts w:eastAsia="Calibri" w:cs="Vrinda"/>
          <w:sz w:val="16"/>
          <w:szCs w:val="16"/>
          <w:lang w:val="en-US"/>
        </w:rPr>
        <w:footnoteRef/>
      </w:r>
      <w:r w:rsidRPr="00012C3F">
        <w:rPr>
          <w:rStyle w:val="Refdenotaalpie"/>
          <w:rFonts w:eastAsia="Calibri" w:cs="Vrinda"/>
          <w:sz w:val="16"/>
          <w:szCs w:val="16"/>
          <w:vertAlign w:val="baseline"/>
          <w:lang w:val="en-US"/>
        </w:rPr>
        <w:tab/>
      </w:r>
      <w:r w:rsidRPr="00012C3F">
        <w:rPr>
          <w:rFonts w:cs="Vrinda"/>
          <w:i/>
          <w:sz w:val="16"/>
          <w:szCs w:val="16"/>
          <w:lang w:val="en-US"/>
        </w:rPr>
        <w:t xml:space="preserve">Cf. </w:t>
      </w:r>
      <w:r w:rsidRPr="00012C3F">
        <w:rPr>
          <w:i/>
          <w:sz w:val="16"/>
          <w:szCs w:val="16"/>
          <w:lang w:val="en-US"/>
        </w:rPr>
        <w:t>The Word "Law" in Article 30 of the American Convention on Human Rights</w:t>
      </w:r>
      <w:r w:rsidRPr="00012C3F">
        <w:rPr>
          <w:sz w:val="16"/>
          <w:szCs w:val="16"/>
          <w:lang w:val="en-US"/>
        </w:rPr>
        <w:t xml:space="preserve">. Advisory Opinion OC-6/86, </w:t>
      </w:r>
      <w:r w:rsidRPr="00012C3F">
        <w:rPr>
          <w:i/>
          <w:sz w:val="16"/>
          <w:szCs w:val="16"/>
          <w:lang w:val="en-US"/>
        </w:rPr>
        <w:t>supra</w:t>
      </w:r>
      <w:r w:rsidRPr="00012C3F">
        <w:rPr>
          <w:sz w:val="16"/>
          <w:szCs w:val="16"/>
          <w:lang w:val="en-US"/>
        </w:rPr>
        <w:t>,</w:t>
      </w:r>
      <w:r w:rsidRPr="00012C3F">
        <w:rPr>
          <w:rFonts w:cs="Vrinda"/>
          <w:sz w:val="16"/>
          <w:szCs w:val="16"/>
          <w:lang w:val="en-US"/>
        </w:rPr>
        <w:t xml:space="preserve"> para. 21, and </w:t>
      </w:r>
      <w:r w:rsidRPr="00012C3F">
        <w:rPr>
          <w:i/>
          <w:sz w:val="16"/>
          <w:szCs w:val="16"/>
          <w:lang w:val="en-US"/>
        </w:rPr>
        <w:t>Case of Castillo Petruzzi et al. v. Peru. Merits reparations and costs.</w:t>
      </w:r>
      <w:r w:rsidRPr="00012C3F">
        <w:rPr>
          <w:sz w:val="16"/>
          <w:szCs w:val="16"/>
          <w:lang w:val="en-US"/>
        </w:rPr>
        <w:t xml:space="preserve"> Judgment of May 30, 1999. Series C No. 52, para. </w:t>
      </w:r>
      <w:r w:rsidRPr="00D24EFE">
        <w:rPr>
          <w:sz w:val="16"/>
          <w:szCs w:val="16"/>
          <w:lang w:val="es-CR"/>
        </w:rPr>
        <w:t>120</w:t>
      </w:r>
      <w:r w:rsidRPr="00D24EFE">
        <w:rPr>
          <w:rFonts w:cs="Vrinda"/>
          <w:sz w:val="16"/>
          <w:szCs w:val="16"/>
          <w:lang w:val="es-CR"/>
        </w:rPr>
        <w:t>.</w:t>
      </w:r>
    </w:p>
  </w:footnote>
  <w:footnote w:id="332">
    <w:p w14:paraId="4B17F280" w14:textId="77777777" w:rsidR="00D24EFE" w:rsidRPr="00012C3F" w:rsidRDefault="00D24EFE" w:rsidP="005B52E1">
      <w:pPr>
        <w:pStyle w:val="Textonotapie"/>
        <w:tabs>
          <w:tab w:val="left" w:pos="567"/>
        </w:tabs>
        <w:spacing w:after="120"/>
        <w:rPr>
          <w:rFonts w:cs="Vrinda"/>
          <w:i/>
          <w:sz w:val="16"/>
          <w:szCs w:val="16"/>
          <w:lang w:val="en-US"/>
        </w:rPr>
      </w:pPr>
      <w:r w:rsidRPr="00012C3F">
        <w:rPr>
          <w:rStyle w:val="Refdenotaalpie"/>
          <w:rFonts w:eastAsia="Calibri" w:cs="Vrinda"/>
          <w:sz w:val="16"/>
          <w:szCs w:val="16"/>
          <w:lang w:val="en-US"/>
        </w:rPr>
        <w:footnoteRef/>
      </w:r>
      <w:r w:rsidRPr="00D24EFE">
        <w:rPr>
          <w:rStyle w:val="Refdenotaalpie"/>
          <w:rFonts w:eastAsia="Calibri" w:cs="Vrinda"/>
          <w:sz w:val="16"/>
          <w:szCs w:val="16"/>
          <w:vertAlign w:val="baseline"/>
          <w:lang w:val="es-CR"/>
        </w:rPr>
        <w:tab/>
      </w:r>
      <w:r w:rsidRPr="00D24EFE">
        <w:rPr>
          <w:rFonts w:cs="Vrinda"/>
          <w:i/>
          <w:sz w:val="16"/>
          <w:szCs w:val="16"/>
          <w:lang w:val="es-CR"/>
        </w:rPr>
        <w:t>Cf.</w:t>
      </w:r>
      <w:r w:rsidRPr="00D24EFE">
        <w:rPr>
          <w:rFonts w:cs="Vrinda"/>
          <w:sz w:val="16"/>
          <w:szCs w:val="16"/>
          <w:lang w:val="es-CR"/>
        </w:rPr>
        <w:t xml:space="preserve"> </w:t>
      </w:r>
      <w:r w:rsidRPr="00D24EFE">
        <w:rPr>
          <w:i/>
          <w:sz w:val="16"/>
          <w:szCs w:val="16"/>
          <w:lang w:val="es-CR"/>
        </w:rPr>
        <w:t>Case of the Pueblo Bello Massacre v. Colombia</w:t>
      </w:r>
      <w:r w:rsidRPr="00D24EFE">
        <w:rPr>
          <w:sz w:val="16"/>
          <w:szCs w:val="16"/>
          <w:lang w:val="es-CR"/>
        </w:rPr>
        <w:t xml:space="preserve">, </w:t>
      </w:r>
      <w:r w:rsidRPr="00D24EFE">
        <w:rPr>
          <w:i/>
          <w:sz w:val="16"/>
          <w:szCs w:val="16"/>
          <w:lang w:val="es-CR"/>
        </w:rPr>
        <w:t>supra</w:t>
      </w:r>
      <w:r w:rsidRPr="00D24EFE">
        <w:rPr>
          <w:sz w:val="16"/>
          <w:szCs w:val="16"/>
          <w:lang w:val="es-CR"/>
        </w:rPr>
        <w:t xml:space="preserve">, para. </w:t>
      </w:r>
      <w:r w:rsidRPr="00012C3F">
        <w:rPr>
          <w:sz w:val="16"/>
          <w:szCs w:val="16"/>
          <w:lang w:val="en-US"/>
        </w:rPr>
        <w:t xml:space="preserve">111, and </w:t>
      </w:r>
      <w:r w:rsidRPr="00012C3F">
        <w:rPr>
          <w:i/>
          <w:sz w:val="16"/>
          <w:szCs w:val="16"/>
          <w:lang w:val="en-US"/>
        </w:rPr>
        <w:t>Case of Chinchilla Sandoval v. Guatemala, supra</w:t>
      </w:r>
      <w:r w:rsidRPr="00012C3F">
        <w:rPr>
          <w:sz w:val="16"/>
          <w:szCs w:val="16"/>
          <w:lang w:val="en-US"/>
        </w:rPr>
        <w:t>, para. 168.</w:t>
      </w:r>
    </w:p>
  </w:footnote>
  <w:footnote w:id="333">
    <w:p w14:paraId="70BEEE71" w14:textId="77777777" w:rsidR="00D24EFE" w:rsidRPr="00012C3F" w:rsidRDefault="00D24EFE" w:rsidP="005B52E1">
      <w:pPr>
        <w:tabs>
          <w:tab w:val="left" w:pos="567"/>
        </w:tabs>
        <w:spacing w:after="120" w:line="240" w:lineRule="auto"/>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rFonts w:cs="MinionPro-Bold"/>
          <w:bCs/>
          <w:color w:val="000000" w:themeColor="text1"/>
          <w:sz w:val="16"/>
          <w:szCs w:val="16"/>
          <w:lang w:val="en-US"/>
        </w:rPr>
        <w:t>Convention of Belém do Pará, Article 1.</w:t>
      </w:r>
    </w:p>
  </w:footnote>
  <w:footnote w:id="334">
    <w:p w14:paraId="67CE4C00" w14:textId="77777777" w:rsidR="00D24EFE" w:rsidRPr="00012C3F" w:rsidRDefault="00D24EFE" w:rsidP="005B52E1">
      <w:pPr>
        <w:tabs>
          <w:tab w:val="left" w:pos="567"/>
        </w:tabs>
        <w:spacing w:after="120" w:line="240" w:lineRule="auto"/>
        <w:rPr>
          <w:color w:val="000000" w:themeColor="text1"/>
          <w:sz w:val="16"/>
          <w:szCs w:val="16"/>
          <w:lang w:val="en-US"/>
        </w:rPr>
      </w:pPr>
      <w:r w:rsidRPr="00012C3F">
        <w:rPr>
          <w:rStyle w:val="Refdenotaalpie"/>
          <w:rFonts w:eastAsia="Calibri"/>
          <w:color w:val="000000" w:themeColor="text1"/>
          <w:sz w:val="16"/>
          <w:szCs w:val="16"/>
          <w:lang w:val="en-US"/>
        </w:rPr>
        <w:footnoteRef/>
      </w:r>
      <w:r w:rsidRPr="00012C3F">
        <w:rPr>
          <w:color w:val="000000" w:themeColor="text1"/>
          <w:sz w:val="16"/>
          <w:szCs w:val="16"/>
          <w:lang w:val="en-US"/>
        </w:rPr>
        <w:t xml:space="preserve"> </w:t>
      </w:r>
      <w:r w:rsidRPr="00012C3F">
        <w:rPr>
          <w:color w:val="000000" w:themeColor="text1"/>
          <w:sz w:val="16"/>
          <w:szCs w:val="16"/>
          <w:lang w:val="en-US"/>
        </w:rPr>
        <w:tab/>
      </w:r>
      <w:r w:rsidRPr="00012C3F">
        <w:rPr>
          <w:i/>
          <w:sz w:val="16"/>
          <w:szCs w:val="16"/>
          <w:lang w:val="en-US"/>
        </w:rPr>
        <w:t xml:space="preserve">Case of the Miguel Castro </w:t>
      </w:r>
      <w:proofErr w:type="spellStart"/>
      <w:r w:rsidRPr="00012C3F">
        <w:rPr>
          <w:i/>
          <w:sz w:val="16"/>
          <w:szCs w:val="16"/>
          <w:lang w:val="en-US"/>
        </w:rPr>
        <w:t>Castro</w:t>
      </w:r>
      <w:proofErr w:type="spellEnd"/>
      <w:r w:rsidRPr="00012C3F">
        <w:rPr>
          <w:i/>
          <w:sz w:val="16"/>
          <w:szCs w:val="16"/>
          <w:lang w:val="en-US"/>
        </w:rPr>
        <w:t xml:space="preserve"> Prison v. Peru. Merits reparations and costs</w:t>
      </w:r>
      <w:r w:rsidRPr="00012C3F">
        <w:rPr>
          <w:sz w:val="16"/>
          <w:szCs w:val="16"/>
          <w:lang w:val="en-US"/>
        </w:rPr>
        <w:t xml:space="preserve">. Judgment of November 25, 2006. </w:t>
      </w:r>
      <w:r w:rsidRPr="00D24EFE">
        <w:rPr>
          <w:sz w:val="16"/>
          <w:szCs w:val="16"/>
        </w:rPr>
        <w:t>Series C No. 160</w:t>
      </w:r>
      <w:r w:rsidRPr="00D24EFE">
        <w:rPr>
          <w:rFonts w:cs="MinionPro-Bold"/>
          <w:bCs/>
          <w:color w:val="000000" w:themeColor="text1"/>
          <w:sz w:val="16"/>
          <w:szCs w:val="16"/>
        </w:rPr>
        <w:t xml:space="preserve">, para. 303, and </w:t>
      </w:r>
      <w:r w:rsidRPr="00D24EFE">
        <w:rPr>
          <w:rStyle w:val="Textoennegrita"/>
          <w:b w:val="0"/>
          <w:i/>
          <w:sz w:val="16"/>
          <w:szCs w:val="16"/>
        </w:rPr>
        <w:t>Case of Espinoza Gonzáles v. Peru, supra</w:t>
      </w:r>
      <w:r w:rsidRPr="00D24EFE">
        <w:rPr>
          <w:rStyle w:val="Textoennegrita"/>
          <w:b w:val="0"/>
          <w:sz w:val="16"/>
          <w:szCs w:val="16"/>
        </w:rPr>
        <w:t xml:space="preserve">, para. </w:t>
      </w:r>
      <w:r w:rsidRPr="00012C3F">
        <w:rPr>
          <w:rStyle w:val="Textoennegrita"/>
          <w:b w:val="0"/>
          <w:sz w:val="16"/>
          <w:szCs w:val="16"/>
          <w:lang w:val="en-US"/>
        </w:rPr>
        <w:t>223,</w:t>
      </w:r>
      <w:r w:rsidRPr="00012C3F">
        <w:rPr>
          <w:rFonts w:cs="MinionPro-Bold"/>
          <w:bCs/>
          <w:color w:val="000000" w:themeColor="text1"/>
          <w:sz w:val="16"/>
          <w:szCs w:val="16"/>
          <w:lang w:val="en-US"/>
        </w:rPr>
        <w:t xml:space="preserve"> both citing </w:t>
      </w:r>
      <w:r w:rsidRPr="00012C3F">
        <w:rPr>
          <w:color w:val="000000" w:themeColor="text1"/>
          <w:sz w:val="16"/>
          <w:szCs w:val="16"/>
          <w:lang w:val="en-US"/>
        </w:rPr>
        <w:t xml:space="preserve">UN, Committee for the Elimination of Discrimination against Women, General Recommendation No. 19, </w:t>
      </w:r>
      <w:r w:rsidRPr="00012C3F">
        <w:rPr>
          <w:i/>
          <w:color w:val="000000" w:themeColor="text1"/>
          <w:sz w:val="16"/>
          <w:szCs w:val="16"/>
          <w:lang w:val="en-US"/>
        </w:rPr>
        <w:t>Violence against women</w:t>
      </w:r>
      <w:r w:rsidRPr="00012C3F">
        <w:rPr>
          <w:color w:val="000000" w:themeColor="text1"/>
          <w:sz w:val="16"/>
          <w:szCs w:val="16"/>
          <w:lang w:val="en-US"/>
        </w:rPr>
        <w:t>, 1992, para. 6.</w:t>
      </w:r>
    </w:p>
  </w:footnote>
  <w:footnote w:id="335">
    <w:p w14:paraId="70468C04" w14:textId="77777777" w:rsidR="00D24EFE" w:rsidRPr="00012C3F" w:rsidRDefault="00D24EFE" w:rsidP="005B52E1">
      <w:pPr>
        <w:pStyle w:val="Textonotapie"/>
        <w:tabs>
          <w:tab w:val="left" w:pos="567"/>
        </w:tabs>
        <w:spacing w:after="120"/>
        <w:rPr>
          <w:rFonts w:cs="Vrinda"/>
          <w:sz w:val="16"/>
          <w:szCs w:val="16"/>
          <w:lang w:val="en-US"/>
        </w:rPr>
      </w:pPr>
      <w:r w:rsidRPr="00012C3F">
        <w:rPr>
          <w:rStyle w:val="Refdenotaalpie"/>
          <w:rFonts w:eastAsia="Calibri" w:cs="Vrinda"/>
          <w:sz w:val="16"/>
          <w:szCs w:val="16"/>
          <w:lang w:val="en-US"/>
        </w:rPr>
        <w:footnoteRef/>
      </w:r>
      <w:r w:rsidRPr="00012C3F">
        <w:rPr>
          <w:rStyle w:val="Refdenotaalpie"/>
          <w:rFonts w:eastAsia="Calibri" w:cs="Vrinda"/>
          <w:sz w:val="16"/>
          <w:szCs w:val="16"/>
          <w:vertAlign w:val="baseline"/>
          <w:lang w:val="en-US"/>
        </w:rPr>
        <w:tab/>
      </w:r>
      <w:r w:rsidRPr="00012C3F">
        <w:rPr>
          <w:sz w:val="16"/>
          <w:szCs w:val="16"/>
          <w:lang w:val="en-US"/>
        </w:rPr>
        <w:t xml:space="preserve">UN, Committee for the Elimination of Discrimination against Women, General Recommendation No. 19, </w:t>
      </w:r>
      <w:r w:rsidRPr="00012C3F">
        <w:rPr>
          <w:i/>
          <w:sz w:val="16"/>
          <w:szCs w:val="16"/>
          <w:lang w:val="en-US"/>
        </w:rPr>
        <w:t>Violence against women</w:t>
      </w:r>
      <w:r w:rsidRPr="00012C3F">
        <w:rPr>
          <w:sz w:val="16"/>
          <w:szCs w:val="16"/>
          <w:lang w:val="en-US"/>
        </w:rPr>
        <w:t>, 1992,</w:t>
      </w:r>
      <w:r w:rsidRPr="00012C3F">
        <w:rPr>
          <w:rFonts w:cs="Vrinda"/>
          <w:color w:val="000000"/>
          <w:sz w:val="16"/>
          <w:szCs w:val="16"/>
          <w:lang w:val="en-US"/>
        </w:rPr>
        <w:t xml:space="preserve"> para. 1.</w:t>
      </w:r>
    </w:p>
  </w:footnote>
  <w:footnote w:id="336">
    <w:p w14:paraId="5D76647F" w14:textId="77777777" w:rsidR="00D24EFE" w:rsidRPr="00012C3F" w:rsidRDefault="00D24EFE" w:rsidP="005B52E1">
      <w:pPr>
        <w:pStyle w:val="Textonotapie"/>
        <w:tabs>
          <w:tab w:val="left" w:pos="567"/>
        </w:tabs>
        <w:spacing w:after="120"/>
        <w:rPr>
          <w:rFonts w:cs="Vrinda"/>
          <w:sz w:val="16"/>
          <w:szCs w:val="16"/>
          <w:lang w:val="en-US"/>
        </w:rPr>
      </w:pPr>
      <w:r w:rsidRPr="00012C3F">
        <w:rPr>
          <w:rStyle w:val="Refdenotaalpie"/>
          <w:rFonts w:eastAsia="Calibri" w:cs="Vrinda"/>
          <w:sz w:val="16"/>
          <w:szCs w:val="16"/>
          <w:lang w:val="en-US"/>
        </w:rPr>
        <w:footnoteRef/>
      </w:r>
      <w:r w:rsidRPr="00012C3F">
        <w:rPr>
          <w:rStyle w:val="Refdenotaalpie"/>
          <w:rFonts w:eastAsia="Calibri" w:cs="Vrinda"/>
          <w:sz w:val="16"/>
          <w:szCs w:val="16"/>
          <w:vertAlign w:val="baseline"/>
          <w:lang w:val="en-US"/>
        </w:rPr>
        <w:tab/>
      </w:r>
      <w:r w:rsidRPr="00012C3F">
        <w:rPr>
          <w:rFonts w:eastAsia="Calibri" w:cs="Vrinda"/>
          <w:sz w:val="16"/>
          <w:szCs w:val="16"/>
          <w:lang w:val="en-US"/>
        </w:rPr>
        <w:t xml:space="preserve">UN, </w:t>
      </w:r>
      <w:r w:rsidRPr="00012C3F">
        <w:rPr>
          <w:rFonts w:cs="Vrinda"/>
          <w:sz w:val="16"/>
          <w:szCs w:val="16"/>
          <w:lang w:val="en-US"/>
        </w:rPr>
        <w:t xml:space="preserve">Committee on Economic, Social and Cultural Rights, General Comment No. 16, </w:t>
      </w:r>
      <w:r w:rsidRPr="00012C3F">
        <w:rPr>
          <w:rFonts w:cs="Vrinda"/>
          <w:i/>
          <w:sz w:val="16"/>
          <w:szCs w:val="16"/>
          <w:lang w:val="en-US"/>
        </w:rPr>
        <w:t>The equal right of men and women to the enjoyment of economic, social and cultural rights</w:t>
      </w:r>
      <w:r w:rsidRPr="00012C3F">
        <w:rPr>
          <w:rFonts w:cs="Vrinda"/>
          <w:sz w:val="16"/>
          <w:szCs w:val="16"/>
          <w:lang w:val="en-US"/>
        </w:rPr>
        <w:t>, August 11, 2005, para. 27.</w:t>
      </w:r>
    </w:p>
  </w:footnote>
  <w:footnote w:id="337">
    <w:p w14:paraId="21FA3D79"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Theme="majorEastAsia"/>
          <w:sz w:val="16"/>
          <w:szCs w:val="16"/>
          <w:lang w:val="en-US"/>
        </w:rPr>
        <w:footnoteRef/>
      </w:r>
      <w:r w:rsidRPr="00012C3F">
        <w:rPr>
          <w:i/>
          <w:sz w:val="16"/>
          <w:szCs w:val="16"/>
          <w:lang w:val="en-US"/>
        </w:rPr>
        <w:t xml:space="preserve"> </w:t>
      </w:r>
      <w:r w:rsidRPr="00012C3F">
        <w:rPr>
          <w:i/>
          <w:sz w:val="16"/>
          <w:szCs w:val="16"/>
          <w:lang w:val="en-US"/>
        </w:rPr>
        <w:tab/>
        <w:t xml:space="preserve">Cf. </w:t>
      </w:r>
      <w:r w:rsidRPr="00012C3F">
        <w:rPr>
          <w:rFonts w:eastAsia="Calibri"/>
          <w:sz w:val="16"/>
          <w:szCs w:val="16"/>
          <w:lang w:val="en-US" w:eastAsia="en-US" w:bidi="en-US"/>
        </w:rPr>
        <w:t>The Beijing Declaration and Platform for Action of the Fourth World Conference on Women</w:t>
      </w:r>
      <w:r w:rsidRPr="00012C3F">
        <w:rPr>
          <w:sz w:val="16"/>
          <w:szCs w:val="16"/>
          <w:lang w:val="en-US"/>
        </w:rPr>
        <w:t>, A/CONF.177/20, 1995, para. 115.</w:t>
      </w:r>
    </w:p>
  </w:footnote>
  <w:footnote w:id="338">
    <w:p w14:paraId="1814FC90" w14:textId="77777777" w:rsidR="00D24EFE" w:rsidRPr="00012C3F" w:rsidRDefault="00D24EFE" w:rsidP="005B52E1">
      <w:pPr>
        <w:widowControl/>
        <w:tabs>
          <w:tab w:val="left" w:pos="567"/>
        </w:tabs>
        <w:autoSpaceDE w:val="0"/>
        <w:autoSpaceDN w:val="0"/>
        <w:spacing w:after="120" w:line="240" w:lineRule="auto"/>
        <w:textAlignment w:val="auto"/>
        <w:rPr>
          <w:color w:val="000000" w:themeColor="text1"/>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color w:val="000000" w:themeColor="text1"/>
          <w:sz w:val="16"/>
          <w:szCs w:val="16"/>
          <w:lang w:val="en-US"/>
        </w:rPr>
        <w:t>Cf.</w:t>
      </w:r>
      <w:r w:rsidRPr="00012C3F">
        <w:rPr>
          <w:color w:val="000000" w:themeColor="text1"/>
          <w:sz w:val="16"/>
          <w:szCs w:val="16"/>
          <w:lang w:val="en-US"/>
        </w:rPr>
        <w:t xml:space="preserve"> </w:t>
      </w:r>
      <w:r w:rsidRPr="00012C3F">
        <w:rPr>
          <w:sz w:val="16"/>
          <w:szCs w:val="16"/>
          <w:lang w:val="en-US"/>
        </w:rPr>
        <w:t xml:space="preserve">UN, Committee for the Elimination of Discrimination against Women, General Recommendation No. 19, </w:t>
      </w:r>
      <w:r w:rsidRPr="00012C3F">
        <w:rPr>
          <w:i/>
          <w:sz w:val="16"/>
          <w:szCs w:val="16"/>
          <w:lang w:val="en-US"/>
        </w:rPr>
        <w:t>Violence against women</w:t>
      </w:r>
      <w:r w:rsidRPr="00012C3F">
        <w:rPr>
          <w:sz w:val="16"/>
          <w:szCs w:val="16"/>
          <w:lang w:val="en-US"/>
        </w:rPr>
        <w:t xml:space="preserve">, 1992, para. 22; </w:t>
      </w:r>
      <w:r w:rsidRPr="00012C3F">
        <w:rPr>
          <w:rFonts w:eastAsia="Calibri"/>
          <w:sz w:val="16"/>
          <w:szCs w:val="16"/>
          <w:lang w:val="en-US" w:eastAsia="en-US" w:bidi="en-US"/>
        </w:rPr>
        <w:t>the Beijing Declaration and Platform for Action of the Fourth World Conference on Women</w:t>
      </w:r>
      <w:r w:rsidRPr="00012C3F">
        <w:rPr>
          <w:sz w:val="16"/>
          <w:szCs w:val="16"/>
          <w:lang w:val="en-US"/>
        </w:rPr>
        <w:t xml:space="preserve"> A/CONF.177/20, 1995, para. 115; </w:t>
      </w:r>
      <w:r w:rsidRPr="00012C3F">
        <w:rPr>
          <w:color w:val="000000" w:themeColor="text1"/>
          <w:sz w:val="16"/>
          <w:szCs w:val="16"/>
          <w:lang w:val="en-US"/>
        </w:rPr>
        <w:t>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E/CN.4/1999/68/Add.4, January 21, 1999</w:t>
      </w:r>
      <w:r w:rsidRPr="00012C3F">
        <w:rPr>
          <w:sz w:val="16"/>
          <w:szCs w:val="16"/>
          <w:lang w:val="en-US"/>
        </w:rPr>
        <w:t xml:space="preserve">, para. 51; Human Rights Committee, General Comment No. 28, </w:t>
      </w:r>
      <w:r w:rsidRPr="00012C3F">
        <w:rPr>
          <w:i/>
          <w:sz w:val="16"/>
          <w:szCs w:val="16"/>
          <w:lang w:val="en-US"/>
        </w:rPr>
        <w:t>The equality of rights between men and women</w:t>
      </w:r>
      <w:r w:rsidRPr="00012C3F">
        <w:rPr>
          <w:sz w:val="16"/>
          <w:szCs w:val="16"/>
          <w:lang w:val="en-US"/>
        </w:rPr>
        <w:t>, March 29, 2000, paras. 11 and 22, and Report of the Special Rapporteur on torture and other cruel, inhuman or degrading treatment or punishment, Juan E. Méndez, A/HRC/22/53, February 1, 2013,</w:t>
      </w:r>
      <w:r w:rsidRPr="00012C3F">
        <w:rPr>
          <w:rFonts w:cs="Courier New"/>
          <w:color w:val="000000" w:themeColor="text1"/>
          <w:sz w:val="16"/>
          <w:szCs w:val="16"/>
          <w:lang w:val="en-US"/>
        </w:rPr>
        <w:t xml:space="preserve"> para. 48</w:t>
      </w:r>
      <w:r w:rsidRPr="00012C3F">
        <w:rPr>
          <w:rFonts w:eastAsiaTheme="minorHAnsi" w:cs="TimesNewRoman"/>
          <w:sz w:val="16"/>
          <w:szCs w:val="16"/>
          <w:lang w:val="en-US" w:eastAsia="en-US"/>
        </w:rPr>
        <w:t>.</w:t>
      </w:r>
    </w:p>
  </w:footnote>
  <w:footnote w:id="339">
    <w:p w14:paraId="7829DD3A"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pertinent part of Article 5 of the American Convention stipulates that:</w:t>
      </w:r>
    </w:p>
    <w:p w14:paraId="7918EDC2" w14:textId="77777777" w:rsidR="00D24EFE" w:rsidRPr="00012C3F" w:rsidRDefault="00D24EFE" w:rsidP="005B52E1">
      <w:pPr>
        <w:pStyle w:val="Textonotapie"/>
        <w:tabs>
          <w:tab w:val="left" w:pos="567"/>
        </w:tabs>
        <w:spacing w:after="120"/>
        <w:ind w:left="708"/>
        <w:rPr>
          <w:sz w:val="16"/>
          <w:szCs w:val="16"/>
          <w:lang w:val="en-US"/>
        </w:rPr>
      </w:pPr>
      <w:r w:rsidRPr="00012C3F">
        <w:rPr>
          <w:sz w:val="16"/>
          <w:szCs w:val="16"/>
          <w:lang w:val="en-US"/>
        </w:rPr>
        <w:t xml:space="preserve">1. </w:t>
      </w:r>
      <w:r w:rsidRPr="00012C3F">
        <w:rPr>
          <w:spacing w:val="-3"/>
          <w:sz w:val="16"/>
          <w:szCs w:val="16"/>
          <w:lang w:val="en-US"/>
        </w:rPr>
        <w:t>Every person has the right to have his physical, mental, and moral integrity respected</w:t>
      </w:r>
      <w:r w:rsidRPr="00012C3F">
        <w:rPr>
          <w:sz w:val="16"/>
          <w:szCs w:val="16"/>
          <w:lang w:val="en-US"/>
        </w:rPr>
        <w:t>.</w:t>
      </w:r>
    </w:p>
    <w:p w14:paraId="4C6616B3" w14:textId="77777777" w:rsidR="00D24EFE" w:rsidRPr="00012C3F" w:rsidRDefault="00D24EFE" w:rsidP="005B52E1">
      <w:pPr>
        <w:pStyle w:val="Textonotapie"/>
        <w:tabs>
          <w:tab w:val="left" w:pos="567"/>
        </w:tabs>
        <w:spacing w:after="120"/>
        <w:ind w:left="708"/>
        <w:rPr>
          <w:sz w:val="16"/>
          <w:szCs w:val="16"/>
          <w:lang w:val="en-US"/>
        </w:rPr>
      </w:pPr>
      <w:r w:rsidRPr="00012C3F">
        <w:rPr>
          <w:sz w:val="16"/>
          <w:szCs w:val="16"/>
          <w:lang w:val="en-US"/>
        </w:rPr>
        <w:t xml:space="preserve">2. </w:t>
      </w:r>
      <w:r w:rsidRPr="00012C3F">
        <w:rPr>
          <w:spacing w:val="-3"/>
          <w:sz w:val="16"/>
          <w:szCs w:val="16"/>
          <w:lang w:val="en-US"/>
        </w:rPr>
        <w:t>No one shall be subjected to torture or to cruel, inhuman, or degrading punishment or treatment.  All persons deprived of their liberty shall be treated with respect for the inherent dignity of the human person</w:t>
      </w:r>
      <w:r w:rsidRPr="00012C3F">
        <w:rPr>
          <w:sz w:val="16"/>
          <w:szCs w:val="16"/>
          <w:lang w:val="en-US"/>
        </w:rPr>
        <w:t>.</w:t>
      </w:r>
    </w:p>
  </w:footnote>
  <w:footnote w:id="340">
    <w:p w14:paraId="0381A82C"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UN, Report of the Special Rapporteur on torture and other cruel, inhuman or degrading treatment or punishment, Juan E. Méndez, A/HRC/22/53, February 1, 2013 (evidence file, volume VIII, annex 24 to the brief with motions, pleadings and evidence, folios 2412 to 2437).</w:t>
      </w:r>
    </w:p>
  </w:footnote>
  <w:footnote w:id="341">
    <w:p w14:paraId="201D5CFA"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color w:val="000000" w:themeColor="text1"/>
          <w:sz w:val="16"/>
          <w:szCs w:val="16"/>
          <w:lang w:val="en-US"/>
        </w:rPr>
        <w:t>UN, 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E/CN.4/1999/68/Add.4, January 21, 1999</w:t>
      </w:r>
      <w:r w:rsidRPr="00012C3F">
        <w:rPr>
          <w:sz w:val="16"/>
          <w:szCs w:val="16"/>
          <w:lang w:val="en-US"/>
        </w:rPr>
        <w:t xml:space="preserve">, para. 44; Report of the Special Rapporteur on torture and other cruel, inhuman or degrading treatment or punishment, Juan E. Méndez, A/HRC/22/53, February 1, 2013, para. 15, and Committee against Torture, General Comment No. 2, </w:t>
      </w:r>
      <w:r w:rsidRPr="00012C3F">
        <w:rPr>
          <w:i/>
          <w:sz w:val="16"/>
          <w:szCs w:val="16"/>
          <w:lang w:val="en-US"/>
        </w:rPr>
        <w:t>Application of Article 2 by the States Parties</w:t>
      </w:r>
      <w:r w:rsidRPr="00012C3F">
        <w:rPr>
          <w:sz w:val="16"/>
          <w:szCs w:val="16"/>
          <w:lang w:val="en-US"/>
        </w:rPr>
        <w:t>, January 24, 2008, para. 15.</w:t>
      </w:r>
    </w:p>
  </w:footnote>
  <w:footnote w:id="342">
    <w:p w14:paraId="2184B71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UN, Report of the Special Rapporteur on torture and other cruel, inhuman or degrading treatment or punishment, Juan E. Méndez, A/HRC/31/57, January 5, 2016, paras. 5 and 9.</w:t>
      </w:r>
    </w:p>
  </w:footnote>
  <w:footnote w:id="343">
    <w:p w14:paraId="7B71BAA2" w14:textId="77777777" w:rsidR="00D24EFE" w:rsidRPr="00012C3F" w:rsidRDefault="00D24EFE" w:rsidP="005B52E1">
      <w:pPr>
        <w:pStyle w:val="Textonotapie"/>
        <w:tabs>
          <w:tab w:val="left" w:pos="567"/>
          <w:tab w:val="left" w:pos="709"/>
        </w:tabs>
        <w:spacing w:after="120"/>
        <w:rPr>
          <w:i/>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Times"/>
          <w:i/>
          <w:sz w:val="16"/>
          <w:szCs w:val="16"/>
          <w:lang w:val="en-US"/>
        </w:rPr>
        <w:t>Case of Ximenes Lopes v. Brazil, supra</w:t>
      </w:r>
      <w:r w:rsidRPr="00012C3F">
        <w:rPr>
          <w:rFonts w:eastAsia="Times"/>
          <w:sz w:val="16"/>
          <w:szCs w:val="16"/>
          <w:lang w:val="en-US"/>
        </w:rPr>
        <w:t>, paras. 106 and 107.</w:t>
      </w:r>
    </w:p>
  </w:footnote>
  <w:footnote w:id="344">
    <w:p w14:paraId="5511D6A8" w14:textId="77777777" w:rsidR="00D24EFE" w:rsidRPr="00D24EFE" w:rsidRDefault="00D24EFE" w:rsidP="005B52E1">
      <w:pPr>
        <w:pStyle w:val="Textonotapie"/>
        <w:tabs>
          <w:tab w:val="left" w:pos="567"/>
          <w:tab w:val="left" w:pos="709"/>
        </w:tabs>
        <w:spacing w:after="120"/>
        <w:rPr>
          <w:i/>
          <w:sz w:val="16"/>
          <w:szCs w:val="16"/>
          <w:lang w:val="es-CR"/>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Times"/>
          <w:i/>
          <w:sz w:val="16"/>
          <w:szCs w:val="16"/>
          <w:lang w:val="en-US"/>
        </w:rPr>
        <w:t>Case of Ximenes Lopes v. Brazil, supra</w:t>
      </w:r>
      <w:r w:rsidRPr="00012C3F">
        <w:rPr>
          <w:rFonts w:eastAsia="Times"/>
          <w:sz w:val="16"/>
          <w:szCs w:val="16"/>
          <w:lang w:val="en-US"/>
        </w:rPr>
        <w:t xml:space="preserve">, para. </w:t>
      </w:r>
      <w:r w:rsidRPr="00D24EFE">
        <w:rPr>
          <w:rFonts w:eastAsia="Times"/>
          <w:sz w:val="16"/>
          <w:szCs w:val="16"/>
          <w:lang w:val="es-CR"/>
        </w:rPr>
        <w:t>106.</w:t>
      </w:r>
    </w:p>
  </w:footnote>
  <w:footnote w:id="345">
    <w:p w14:paraId="2864C3F9"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Tibi v. Ecuador, supra</w:t>
      </w:r>
      <w:r w:rsidRPr="00D24EFE">
        <w:rPr>
          <w:sz w:val="16"/>
          <w:szCs w:val="16"/>
          <w:lang w:val="es-CR"/>
        </w:rPr>
        <w:t xml:space="preserve">, paras. </w:t>
      </w:r>
      <w:r w:rsidRPr="00012C3F">
        <w:rPr>
          <w:sz w:val="16"/>
          <w:szCs w:val="16"/>
          <w:lang w:val="en-US"/>
        </w:rPr>
        <w:t xml:space="preserve">152 to 156; </w:t>
      </w:r>
      <w:r w:rsidRPr="00012C3F">
        <w:rPr>
          <w:i/>
          <w:sz w:val="16"/>
          <w:szCs w:val="16"/>
          <w:lang w:val="en-US"/>
        </w:rPr>
        <w:t>Case of Montero Aranguren et al. (Retén de Catia) v. Venezuela. Merits reparations and costs</w:t>
      </w:r>
      <w:r w:rsidRPr="00012C3F">
        <w:rPr>
          <w:sz w:val="16"/>
          <w:szCs w:val="16"/>
          <w:lang w:val="en-US"/>
        </w:rPr>
        <w:t xml:space="preserve">. Judgment of July 5, 2006. Series C No. 150, para. 102, and </w:t>
      </w:r>
      <w:r w:rsidRPr="00012C3F">
        <w:rPr>
          <w:i/>
          <w:sz w:val="16"/>
          <w:szCs w:val="16"/>
          <w:lang w:val="en-US"/>
        </w:rPr>
        <w:t>Case of Díaz Peña v. Venezuela. Preliminary objection, merits, reparations and costs</w:t>
      </w:r>
      <w:r w:rsidRPr="00012C3F">
        <w:rPr>
          <w:sz w:val="16"/>
          <w:szCs w:val="16"/>
          <w:lang w:val="en-US"/>
        </w:rPr>
        <w:t>. Judgment of June 26, 2012. Series C No. 244, para. 137.</w:t>
      </w:r>
    </w:p>
  </w:footnote>
  <w:footnote w:id="346">
    <w:p w14:paraId="3CBEF23C"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against Torture, General Comment No. 2, </w:t>
      </w:r>
      <w:r w:rsidRPr="00012C3F">
        <w:rPr>
          <w:i/>
          <w:sz w:val="16"/>
          <w:szCs w:val="16"/>
          <w:lang w:val="en-US"/>
        </w:rPr>
        <w:t>Application of Article 2 by the States Parties</w:t>
      </w:r>
      <w:r w:rsidRPr="00012C3F">
        <w:rPr>
          <w:sz w:val="16"/>
          <w:szCs w:val="16"/>
          <w:lang w:val="en-US"/>
        </w:rPr>
        <w:t>, January 24, 2008, para. 22.</w:t>
      </w:r>
    </w:p>
  </w:footnote>
  <w:footnote w:id="347">
    <w:p w14:paraId="045FCC48"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for the Elimination of Discrimination against Women, General Recommendation No. 19, </w:t>
      </w:r>
      <w:r w:rsidRPr="00012C3F">
        <w:rPr>
          <w:i/>
          <w:sz w:val="16"/>
          <w:szCs w:val="16"/>
          <w:lang w:val="en-US"/>
        </w:rPr>
        <w:t>Violence against women</w:t>
      </w:r>
      <w:r w:rsidRPr="00012C3F">
        <w:rPr>
          <w:sz w:val="16"/>
          <w:szCs w:val="16"/>
          <w:lang w:val="en-US"/>
        </w:rPr>
        <w:t>, 1992, para. 22.</w:t>
      </w:r>
    </w:p>
  </w:footnote>
  <w:footnote w:id="348">
    <w:p w14:paraId="6A2C8985" w14:textId="77777777" w:rsidR="00D24EFE" w:rsidRPr="00012C3F" w:rsidRDefault="00D24EFE" w:rsidP="005B52E1">
      <w:pPr>
        <w:pStyle w:val="Textonotapie"/>
        <w:tabs>
          <w:tab w:val="left" w:pos="567"/>
          <w:tab w:val="left" w:pos="709"/>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ECHR, </w:t>
      </w:r>
      <w:r w:rsidRPr="00012C3F">
        <w:rPr>
          <w:rFonts w:cs="Arial"/>
          <w:i/>
          <w:sz w:val="16"/>
          <w:szCs w:val="16"/>
          <w:lang w:val="en-US" w:eastAsia="es-CR"/>
        </w:rPr>
        <w:t>Case of</w:t>
      </w:r>
      <w:r w:rsidRPr="00012C3F">
        <w:rPr>
          <w:rFonts w:cs="Arial"/>
          <w:sz w:val="16"/>
          <w:szCs w:val="16"/>
          <w:lang w:val="en-US" w:eastAsia="es-CR"/>
        </w:rPr>
        <w:t xml:space="preserve"> </w:t>
      </w:r>
      <w:r w:rsidRPr="00012C3F">
        <w:rPr>
          <w:i/>
          <w:sz w:val="16"/>
          <w:szCs w:val="16"/>
          <w:lang w:val="en-US"/>
        </w:rPr>
        <w:t>V.C. v. Slovakia</w:t>
      </w:r>
      <w:r w:rsidRPr="00012C3F">
        <w:rPr>
          <w:sz w:val="16"/>
          <w:szCs w:val="16"/>
          <w:lang w:val="en-US"/>
        </w:rPr>
        <w:t xml:space="preserve">, No. 18968/07. Judgment of November 8, 2011, para. 118; </w:t>
      </w:r>
      <w:r w:rsidRPr="00012C3F">
        <w:rPr>
          <w:i/>
          <w:sz w:val="16"/>
          <w:szCs w:val="16"/>
          <w:lang w:val="en-US"/>
        </w:rPr>
        <w:t>Case of N.B. v. Slovakia</w:t>
      </w:r>
      <w:r w:rsidRPr="00012C3F">
        <w:rPr>
          <w:sz w:val="16"/>
          <w:szCs w:val="16"/>
          <w:lang w:val="en-US"/>
        </w:rPr>
        <w:t xml:space="preserve">, No. 29518/10. Judgment of June 12, 2012, para. 80, and </w:t>
      </w:r>
      <w:r w:rsidRPr="00012C3F">
        <w:rPr>
          <w:i/>
          <w:sz w:val="16"/>
          <w:szCs w:val="16"/>
          <w:lang w:val="en-US"/>
        </w:rPr>
        <w:t>Case of I.G., M.K. and R.H. v. Slovakia</w:t>
      </w:r>
      <w:r w:rsidRPr="00012C3F">
        <w:rPr>
          <w:sz w:val="16"/>
          <w:szCs w:val="16"/>
          <w:lang w:val="en-US"/>
        </w:rPr>
        <w:t>, No. 15966/04. Judgment of November 13, 2012, para. 123 (evidence file, volume VIII, annexes 26, 27 and 28 to the brief with motions, pleadings and evidence, folios 2474 to 2577).</w:t>
      </w:r>
    </w:p>
  </w:footnote>
  <w:footnote w:id="349">
    <w:p w14:paraId="49A4A954" w14:textId="77777777" w:rsidR="00D24EFE" w:rsidRPr="00012C3F" w:rsidRDefault="00D24EFE" w:rsidP="00CF77B3">
      <w:pPr>
        <w:tabs>
          <w:tab w:val="left" w:pos="426"/>
          <w:tab w:val="left" w:pos="567"/>
          <w:tab w:val="left" w:pos="709"/>
        </w:tabs>
        <w:spacing w:after="120" w:line="240" w:lineRule="auto"/>
        <w:rPr>
          <w:i/>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Loayza Tamayo v. Peru</w:t>
      </w:r>
      <w:r w:rsidRPr="00012C3F">
        <w:rPr>
          <w:sz w:val="16"/>
          <w:szCs w:val="16"/>
          <w:lang w:val="en-US"/>
        </w:rPr>
        <w:t xml:space="preserve">. </w:t>
      </w:r>
      <w:r w:rsidRPr="00D24EFE">
        <w:rPr>
          <w:i/>
          <w:sz w:val="16"/>
          <w:szCs w:val="16"/>
        </w:rPr>
        <w:t>Merits</w:t>
      </w:r>
      <w:r w:rsidRPr="00D24EFE">
        <w:rPr>
          <w:sz w:val="16"/>
          <w:szCs w:val="16"/>
        </w:rPr>
        <w:t xml:space="preserve">, </w:t>
      </w:r>
      <w:r w:rsidRPr="00D24EFE">
        <w:rPr>
          <w:i/>
          <w:sz w:val="16"/>
          <w:szCs w:val="16"/>
        </w:rPr>
        <w:t xml:space="preserve">supra, </w:t>
      </w:r>
      <w:r w:rsidRPr="00D24EFE">
        <w:rPr>
          <w:sz w:val="16"/>
          <w:szCs w:val="16"/>
        </w:rPr>
        <w:t xml:space="preserve">paras. 57 and 58, and </w:t>
      </w:r>
      <w:r w:rsidRPr="00D24EFE">
        <w:rPr>
          <w:i/>
          <w:sz w:val="16"/>
          <w:szCs w:val="16"/>
        </w:rPr>
        <w:t>Case of Herrera Espinoza et al. v. Ecuador, supra</w:t>
      </w:r>
      <w:r w:rsidRPr="00D24EFE">
        <w:rPr>
          <w:sz w:val="16"/>
          <w:szCs w:val="16"/>
        </w:rPr>
        <w:t xml:space="preserve">, para. </w:t>
      </w:r>
      <w:r w:rsidRPr="00012C3F">
        <w:rPr>
          <w:sz w:val="16"/>
          <w:szCs w:val="16"/>
          <w:lang w:val="en-US"/>
        </w:rPr>
        <w:t>87.</w:t>
      </w:r>
    </w:p>
  </w:footnote>
  <w:footnote w:id="350">
    <w:p w14:paraId="4D00D893" w14:textId="77777777" w:rsidR="00D24EFE" w:rsidRPr="00012C3F" w:rsidRDefault="00D24EFE" w:rsidP="005B52E1">
      <w:pPr>
        <w:pStyle w:val="Textonotapie"/>
        <w:tabs>
          <w:tab w:val="left" w:pos="426"/>
          <w:tab w:val="left" w:pos="567"/>
          <w:tab w:val="left" w:pos="709"/>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Ximenes Lopes v. Brazil, supra</w:t>
      </w:r>
      <w:r w:rsidRPr="00012C3F">
        <w:rPr>
          <w:sz w:val="16"/>
          <w:szCs w:val="16"/>
          <w:lang w:val="en-US"/>
        </w:rPr>
        <w:t xml:space="preserve">, para. 127, and </w:t>
      </w:r>
      <w:r w:rsidRPr="00012C3F">
        <w:rPr>
          <w:rFonts w:cs="Courier New"/>
          <w:i/>
          <w:noProof/>
          <w:sz w:val="16"/>
          <w:szCs w:val="16"/>
          <w:lang w:val="en-US"/>
        </w:rPr>
        <w:t>Case of Quispialaya Vilcapoma v. Peru. Preliminary objections, merits, reparations and costs.</w:t>
      </w:r>
      <w:r w:rsidRPr="00012C3F">
        <w:rPr>
          <w:rFonts w:cs="Courier New"/>
          <w:noProof/>
          <w:sz w:val="16"/>
          <w:szCs w:val="16"/>
          <w:lang w:val="en-US"/>
        </w:rPr>
        <w:t xml:space="preserve"> Judgment of November 23, 2015. Series C No. 308, para. 127</w:t>
      </w:r>
      <w:r w:rsidRPr="00012C3F">
        <w:rPr>
          <w:sz w:val="16"/>
          <w:szCs w:val="16"/>
          <w:lang w:val="en-US"/>
        </w:rPr>
        <w:t>.</w:t>
      </w:r>
    </w:p>
  </w:footnote>
  <w:footnote w:id="351">
    <w:p w14:paraId="3481702C" w14:textId="77777777" w:rsidR="00D24EFE" w:rsidRPr="00012C3F" w:rsidRDefault="00D24EFE" w:rsidP="005B52E1">
      <w:pPr>
        <w:tabs>
          <w:tab w:val="left" w:pos="567"/>
        </w:tabs>
        <w:spacing w:after="120" w:line="240" w:lineRule="auto"/>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 xml:space="preserve">The endogenous factors refer to the characteristics of the treatment (duration, method used, way in which the suffering was inflicted, and the physical and mental effects that this may cause), while the exogenous factors refer to the conditions of the person who undergoes such suffering (age, sex, health situation, as well as any other personal circumstances). </w:t>
      </w:r>
      <w:r w:rsidRPr="00012C3F">
        <w:rPr>
          <w:i/>
          <w:sz w:val="16"/>
          <w:szCs w:val="16"/>
          <w:lang w:val="en-US"/>
        </w:rPr>
        <w:t>Cf.</w:t>
      </w:r>
      <w:r w:rsidRPr="00012C3F">
        <w:rPr>
          <w:sz w:val="16"/>
          <w:szCs w:val="16"/>
          <w:lang w:val="en-US"/>
        </w:rPr>
        <w:t xml:space="preserve"> </w:t>
      </w:r>
      <w:r w:rsidRPr="00012C3F">
        <w:rPr>
          <w:rStyle w:val="Textoennegrita"/>
          <w:rFonts w:eastAsia="Calibri"/>
          <w:b w:val="0"/>
          <w:i/>
          <w:color w:val="000000"/>
          <w:sz w:val="16"/>
          <w:szCs w:val="16"/>
          <w:shd w:val="clear" w:color="auto" w:fill="FFFFFF"/>
          <w:lang w:val="en-US"/>
        </w:rPr>
        <w:t>Case of Bueno Alves v. Argentina. Merits reparations and costs.</w:t>
      </w:r>
      <w:r w:rsidRPr="00012C3F">
        <w:rPr>
          <w:rStyle w:val="Textoennegrita"/>
          <w:rFonts w:eastAsia="Calibri"/>
          <w:b w:val="0"/>
          <w:color w:val="000000"/>
          <w:sz w:val="16"/>
          <w:szCs w:val="16"/>
          <w:shd w:val="clear" w:color="auto" w:fill="FFFFFF"/>
          <w:lang w:val="en-US"/>
        </w:rPr>
        <w:t xml:space="preserve"> Judgment of May 11, 2007. Series C No. 164, para. 83, and </w:t>
      </w:r>
      <w:r w:rsidRPr="00012C3F">
        <w:rPr>
          <w:i/>
          <w:sz w:val="16"/>
          <w:szCs w:val="16"/>
          <w:lang w:val="en-US"/>
        </w:rPr>
        <w:t>Case of Norín Catrimán et al. (Leaders, members and activist of the Mapuche Indigenous People) v. Chile, supra</w:t>
      </w:r>
      <w:r w:rsidRPr="00012C3F">
        <w:rPr>
          <w:sz w:val="16"/>
          <w:szCs w:val="16"/>
          <w:lang w:val="en-US"/>
        </w:rPr>
        <w:t>, para. 388</w:t>
      </w:r>
      <w:r w:rsidRPr="00012C3F">
        <w:rPr>
          <w:rStyle w:val="Textoennegrita"/>
          <w:rFonts w:eastAsia="Calibri"/>
          <w:b w:val="0"/>
          <w:color w:val="000000"/>
          <w:sz w:val="16"/>
          <w:szCs w:val="16"/>
          <w:shd w:val="clear" w:color="auto" w:fill="FFFFFF"/>
          <w:lang w:val="en-US"/>
        </w:rPr>
        <w:t>.</w:t>
      </w:r>
    </w:p>
  </w:footnote>
  <w:footnote w:id="352">
    <w:p w14:paraId="64B9099F"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Intravaginal gynecological ultrasound scan of August 14, 2000 (evidence file, volume VII, annex 11 to the submission of the case, folio 2150); Laboratory of Pathology and Cytology Report of August 17, 2000 (evidence file, volume VII, annex 12 to the submission of the case, folio 2152); Intravaginal gynecological ultrasound scan report of August 23, 2000 (evidence file, volume VII, annex 13 to the submission of the case, folio 2154), and Medical certificate signed on September 3, 2000 (evidence file, volume VII, annex 14 to the submission of the case, folio 2156).</w:t>
      </w:r>
    </w:p>
  </w:footnote>
  <w:footnote w:id="353">
    <w:p w14:paraId="29B2F719"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Institute of Therapy and Research on the Aftereffects of State Torture and Violence (ITEI), Psychological examination of I.V. of August 11, 2015 (evidence file, volume VIII, annex 21 to the brief with motions, pleadings and evidence, folios 2374, 2377 and 2379), and Affidavit prepared by Emma Bolshia Bravo Cladera on April 21, 2016 (evidence file, volume XI, affidavits, folios 3923 to 3928).</w:t>
      </w:r>
    </w:p>
  </w:footnote>
  <w:footnote w:id="354">
    <w:p w14:paraId="51BE47DB" w14:textId="77777777" w:rsidR="00D24EFE" w:rsidRPr="00012C3F" w:rsidRDefault="00D24EFE" w:rsidP="00D02595">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Institute of Therapy and Research on the Aftereffects of State Torture and Violence (ITEI), Psychological examination of I.V. of August 11, 2015 (evidence file, volume VIII, annex 21 to the brief with motions, pleadings and evidence, folio 2379).</w:t>
      </w:r>
    </w:p>
  </w:footnote>
  <w:footnote w:id="355">
    <w:p w14:paraId="0BD78B3B"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ITEI, Psychological evaluation of N.V. of August 3, 2015 (evidence file, volume VIII, annex 22 to the brief with motions, pleadings and evidence, folios 2386 to 2397); ITEI, Psychological evaluation of L.A. of July 28, 2015 (evidence file, volume VIII, annex 23 to the brief with motions, pleadings and evidence, folios 2399 to 2410); Affidavit prepared by N.V. on April 22, 2016 (evidence file, volume XI, affidavits, folios 3910 to 3918), and Affidavit prepared by Andre Alois Frederic Gautier on April 21, 2016 (evidence file, volume XI, affidavits, folios 3919 to 3922).</w:t>
      </w:r>
    </w:p>
  </w:footnote>
  <w:footnote w:id="356">
    <w:p w14:paraId="670514C6"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Affidavit prepared by Emma Bolshia Bravo Cladera on April 21, 2016 (evidence file, volume XI, affidavits, folios 3923 to 3928).</w:t>
      </w:r>
    </w:p>
  </w:footnote>
  <w:footnote w:id="357">
    <w:p w14:paraId="48FACE90"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Affidavit prepared by Emma Bolshia Bravo Cladera on April 21, 2016 (evidence file, volume XI, affidavits, folios 3923 to 3928).</w:t>
      </w:r>
    </w:p>
  </w:footnote>
  <w:footnote w:id="358">
    <w:p w14:paraId="58D353F6"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Statement made by I.V. before the Inter-American Court during the public hearing held on May 2, 2016.</w:t>
      </w:r>
    </w:p>
  </w:footnote>
  <w:footnote w:id="359">
    <w:p w14:paraId="3E48E28D"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Calibri"/>
          <w:sz w:val="16"/>
          <w:szCs w:val="16"/>
          <w:lang w:val="en-US"/>
        </w:rPr>
        <w:footnoteRef/>
      </w:r>
      <w:r w:rsidRPr="00012C3F">
        <w:rPr>
          <w:sz w:val="16"/>
          <w:szCs w:val="16"/>
          <w:lang w:val="en-US"/>
        </w:rPr>
        <w:t xml:space="preserve"> </w:t>
      </w:r>
      <w:r w:rsidRPr="00012C3F">
        <w:rPr>
          <w:sz w:val="16"/>
          <w:szCs w:val="16"/>
          <w:lang w:val="en-US"/>
        </w:rPr>
        <w:tab/>
        <w:t xml:space="preserve">Statement made by I.V. before the Inter-American Court during the public hearing held on May 2, 2016. </w:t>
      </w:r>
    </w:p>
  </w:footnote>
  <w:footnote w:id="360">
    <w:p w14:paraId="0D28216E" w14:textId="77777777" w:rsidR="00D24EFE" w:rsidRPr="00012C3F" w:rsidRDefault="00D24EFE" w:rsidP="00E46719">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Article 8(1), stipulates that “[e]</w:t>
      </w:r>
      <w:r w:rsidRPr="00012C3F">
        <w:rPr>
          <w:spacing w:val="-3"/>
          <w:sz w:val="16"/>
          <w:szCs w:val="16"/>
          <w:lang w:val="en-US"/>
        </w:rPr>
        <w:t>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012C3F">
        <w:rPr>
          <w:sz w:val="16"/>
          <w:szCs w:val="16"/>
          <w:lang w:val="en-US"/>
        </w:rPr>
        <w:t>.</w:t>
      </w:r>
    </w:p>
  </w:footnote>
  <w:footnote w:id="361">
    <w:p w14:paraId="57972325"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relevant part of Article 25 establishes that:</w:t>
      </w:r>
    </w:p>
    <w:p w14:paraId="5C2C2665" w14:textId="77777777" w:rsidR="00D24EFE" w:rsidRPr="00012C3F" w:rsidRDefault="00D24EFE" w:rsidP="00E46719">
      <w:pPr>
        <w:pStyle w:val="Textonotapie"/>
        <w:tabs>
          <w:tab w:val="left" w:pos="567"/>
        </w:tabs>
        <w:spacing w:after="120"/>
        <w:ind w:left="567"/>
        <w:rPr>
          <w:sz w:val="16"/>
          <w:szCs w:val="16"/>
          <w:lang w:val="en-US"/>
        </w:rPr>
      </w:pPr>
      <w:r w:rsidRPr="00012C3F">
        <w:rPr>
          <w:sz w:val="16"/>
          <w:szCs w:val="16"/>
          <w:lang w:val="en-US"/>
        </w:rPr>
        <w:t xml:space="preserve">1. </w:t>
      </w:r>
      <w:r w:rsidRPr="00012C3F">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012C3F">
        <w:rPr>
          <w:sz w:val="16"/>
          <w:szCs w:val="16"/>
          <w:lang w:val="en-US"/>
        </w:rPr>
        <w:t>.</w:t>
      </w:r>
    </w:p>
    <w:p w14:paraId="24C9D65F" w14:textId="77777777" w:rsidR="00D24EFE" w:rsidRPr="00012C3F" w:rsidRDefault="00D24EFE" w:rsidP="00E46719">
      <w:pPr>
        <w:tabs>
          <w:tab w:val="left" w:pos="1080"/>
          <w:tab w:val="left" w:pos="1680"/>
          <w:tab w:val="left" w:pos="5400"/>
        </w:tabs>
        <w:suppressAutoHyphens/>
        <w:spacing w:after="120" w:line="240" w:lineRule="auto"/>
        <w:ind w:left="540"/>
        <w:rPr>
          <w:spacing w:val="-3"/>
          <w:sz w:val="16"/>
          <w:szCs w:val="16"/>
          <w:lang w:val="en-US"/>
        </w:rPr>
      </w:pPr>
      <w:r w:rsidRPr="00012C3F">
        <w:rPr>
          <w:sz w:val="16"/>
          <w:szCs w:val="16"/>
          <w:lang w:val="en-US"/>
        </w:rPr>
        <w:t xml:space="preserve">2. Los </w:t>
      </w:r>
      <w:bookmarkStart w:id="163" w:name="_Hlk26030224"/>
      <w:r w:rsidRPr="00012C3F">
        <w:rPr>
          <w:spacing w:val="-3"/>
          <w:sz w:val="16"/>
          <w:szCs w:val="16"/>
          <w:lang w:val="en-US"/>
        </w:rPr>
        <w:t>The States Parties undertake: to ensure that any person claiming such remedy shall have his rights determined by the competent authority provided for by the legal system of the State.”</w:t>
      </w:r>
      <w:bookmarkEnd w:id="163"/>
    </w:p>
  </w:footnote>
  <w:footnote w:id="362">
    <w:p w14:paraId="6E31C0A4" w14:textId="77777777" w:rsidR="00D24EFE" w:rsidRPr="00012C3F" w:rsidRDefault="00D24EFE" w:rsidP="001B5224">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relevant part of Article 7 of the Convention of Belém do Pará stipulates that: “[t]</w:t>
      </w:r>
      <w:r w:rsidRPr="00012C3F">
        <w:rPr>
          <w:rFonts w:cs="Arial"/>
          <w:sz w:val="16"/>
          <w:szCs w:val="16"/>
          <w:lang w:val="en-US"/>
        </w:rPr>
        <w:t>he States Parties condemn all forms of violence against women and agree to pursue, by all appropriate means and without delay, policies to prevent, punish and eradicate such violence and undertake to</w:t>
      </w:r>
      <w:r w:rsidRPr="00012C3F">
        <w:rPr>
          <w:sz w:val="16"/>
          <w:szCs w:val="16"/>
          <w:lang w:val="en-US"/>
        </w:rPr>
        <w:t>:</w:t>
      </w:r>
    </w:p>
    <w:p w14:paraId="05B85462"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w:t>
      </w:r>
    </w:p>
    <w:p w14:paraId="0B89F05F"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 xml:space="preserve">b. </w:t>
      </w:r>
      <w:r w:rsidRPr="00012C3F">
        <w:rPr>
          <w:rFonts w:cs="Arial"/>
          <w:sz w:val="16"/>
          <w:szCs w:val="16"/>
          <w:lang w:val="en-US"/>
        </w:rPr>
        <w:t>apply due diligence to prevent, investigate and impose penalties for violence against women</w:t>
      </w:r>
      <w:r w:rsidRPr="00012C3F">
        <w:rPr>
          <w:sz w:val="16"/>
          <w:szCs w:val="16"/>
          <w:lang w:val="en-US"/>
        </w:rPr>
        <w:t>;</w:t>
      </w:r>
    </w:p>
    <w:p w14:paraId="45D72BE7"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 xml:space="preserve">c. </w:t>
      </w:r>
      <w:r w:rsidRPr="00012C3F">
        <w:rPr>
          <w:rFonts w:cs="Arial"/>
          <w:sz w:val="16"/>
          <w:szCs w:val="16"/>
          <w:lang w:val="en-US"/>
        </w:rPr>
        <w:t>include in their domestic legislation penal, civil, administrative and any other type of provisions that may be needed to prevent, punish and eradicate violence against women and to adopt appropriate administrative measures where necessary</w:t>
      </w:r>
      <w:r w:rsidRPr="00012C3F">
        <w:rPr>
          <w:sz w:val="16"/>
          <w:szCs w:val="16"/>
          <w:lang w:val="en-US"/>
        </w:rPr>
        <w:t>;</w:t>
      </w:r>
    </w:p>
    <w:p w14:paraId="6ABC0A04"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w:t>
      </w:r>
    </w:p>
    <w:p w14:paraId="4AD93822"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 xml:space="preserve">f. </w:t>
      </w:r>
      <w:r w:rsidRPr="00012C3F">
        <w:rPr>
          <w:rFonts w:cs="Arial"/>
          <w:sz w:val="16"/>
          <w:szCs w:val="16"/>
          <w:lang w:val="en-US"/>
        </w:rPr>
        <w:t>establish fair and effective legal procedures for women who have been subjected to violence which include, among others, protective measures, a timely hearing and effective access to such procedures</w:t>
      </w:r>
      <w:r w:rsidRPr="00012C3F">
        <w:rPr>
          <w:sz w:val="16"/>
          <w:szCs w:val="16"/>
          <w:lang w:val="en-US"/>
        </w:rPr>
        <w:t>;</w:t>
      </w:r>
    </w:p>
    <w:p w14:paraId="0A4B53C9" w14:textId="77777777" w:rsidR="00D24EFE" w:rsidRPr="00012C3F" w:rsidRDefault="00D24EFE" w:rsidP="005B52E1">
      <w:pPr>
        <w:pStyle w:val="Textonotapie"/>
        <w:tabs>
          <w:tab w:val="left" w:pos="567"/>
        </w:tabs>
        <w:spacing w:after="120"/>
        <w:ind w:left="567"/>
        <w:rPr>
          <w:sz w:val="16"/>
          <w:szCs w:val="16"/>
          <w:lang w:val="en-US"/>
        </w:rPr>
      </w:pPr>
      <w:r w:rsidRPr="00012C3F">
        <w:rPr>
          <w:sz w:val="16"/>
          <w:szCs w:val="16"/>
          <w:lang w:val="en-US"/>
        </w:rPr>
        <w:t xml:space="preserve">g. </w:t>
      </w:r>
      <w:r w:rsidRPr="00012C3F">
        <w:rPr>
          <w:rFonts w:cs="Arial"/>
          <w:sz w:val="16"/>
          <w:szCs w:val="16"/>
          <w:lang w:val="en-US"/>
        </w:rPr>
        <w:t>establish the necessary legal and administrative mechanisms to ensure that women subjected to violence have effective access to restitution, reparations or other just and effective remedies</w:t>
      </w:r>
      <w:r w:rsidRPr="00012C3F">
        <w:rPr>
          <w:sz w:val="16"/>
          <w:szCs w:val="16"/>
          <w:lang w:val="en-US"/>
        </w:rPr>
        <w:t>.</w:t>
      </w:r>
    </w:p>
  </w:footnote>
  <w:footnote w:id="363">
    <w:p w14:paraId="06D9FAE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iCs/>
          <w:sz w:val="16"/>
          <w:szCs w:val="16"/>
          <w:lang w:val="en-US"/>
        </w:rPr>
        <w:t>Cf. Case of Nadege Dorzema et al. v. Dominican Republic. Merits reparations and costs</w:t>
      </w:r>
      <w:r w:rsidRPr="00012C3F">
        <w:rPr>
          <w:sz w:val="16"/>
          <w:szCs w:val="16"/>
          <w:lang w:val="en-US"/>
        </w:rPr>
        <w:t xml:space="preserve">. Judgment of October 24, 2012. Series C No. 251, paras. 19 and 22, and </w:t>
      </w:r>
      <w:r w:rsidRPr="00012C3F">
        <w:rPr>
          <w:i/>
          <w:sz w:val="16"/>
          <w:szCs w:val="16"/>
          <w:lang w:val="en-US"/>
        </w:rPr>
        <w:t>Case of J. v. Peru. Preliminary objection, merits, reparations and costs.</w:t>
      </w:r>
      <w:r w:rsidRPr="00012C3F">
        <w:rPr>
          <w:sz w:val="16"/>
          <w:szCs w:val="16"/>
          <w:lang w:val="en-US"/>
        </w:rPr>
        <w:t xml:space="preserve"> Judgment of November 27, 2013. Series C No. 275, para. 34.</w:t>
      </w:r>
    </w:p>
  </w:footnote>
  <w:footnote w:id="364">
    <w:p w14:paraId="737BEC59" w14:textId="77777777" w:rsidR="00D24EFE" w:rsidRPr="00012C3F" w:rsidRDefault="00D24EFE" w:rsidP="00657616">
      <w:pPr>
        <w:tabs>
          <w:tab w:val="left" w:pos="567"/>
          <w:tab w:val="left" w:pos="720"/>
        </w:tabs>
        <w:spacing w:after="120" w:line="240" w:lineRule="auto"/>
        <w:rPr>
          <w:rFonts w:cs="Verdana"/>
          <w:bCs/>
          <w:i/>
          <w:iCs/>
          <w:snapToGrid w:val="0"/>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MS Mincho"/>
          <w:i/>
          <w:sz w:val="16"/>
          <w:szCs w:val="16"/>
          <w:lang w:val="en-US"/>
        </w:rPr>
        <w:t xml:space="preserve">Case of </w:t>
      </w:r>
      <w:r w:rsidRPr="00012C3F">
        <w:rPr>
          <w:i/>
          <w:sz w:val="16"/>
          <w:szCs w:val="16"/>
          <w:lang w:val="en-US"/>
        </w:rPr>
        <w:t>Cabrera García and Montiel Flores v. Mexico. Preliminary objection, merits, reparations and costs</w:t>
      </w:r>
      <w:r w:rsidRPr="00012C3F">
        <w:rPr>
          <w:sz w:val="16"/>
          <w:szCs w:val="16"/>
          <w:lang w:val="en-US"/>
        </w:rPr>
        <w:t xml:space="preserve">. Judgment of November 26, 2010. Series C No. 220, para. 16, and </w:t>
      </w:r>
      <w:r w:rsidRPr="00012C3F">
        <w:rPr>
          <w:i/>
          <w:sz w:val="16"/>
          <w:szCs w:val="16"/>
          <w:lang w:val="en-US"/>
        </w:rPr>
        <w:t>Case of Herrera Espinoza et al. v. Ecuador, supra</w:t>
      </w:r>
      <w:r w:rsidRPr="00012C3F">
        <w:rPr>
          <w:sz w:val="16"/>
          <w:szCs w:val="16"/>
          <w:lang w:val="en-US"/>
        </w:rPr>
        <w:t>,</w:t>
      </w:r>
      <w:r w:rsidRPr="00012C3F">
        <w:rPr>
          <w:rFonts w:cs="Courier New"/>
          <w:noProof/>
          <w:sz w:val="16"/>
          <w:szCs w:val="16"/>
          <w:lang w:val="en-US"/>
        </w:rPr>
        <w:t xml:space="preserve"> </w:t>
      </w:r>
      <w:r w:rsidRPr="00012C3F">
        <w:rPr>
          <w:rFonts w:cs="Verdana"/>
          <w:bCs/>
          <w:snapToGrid w:val="0"/>
          <w:sz w:val="16"/>
          <w:szCs w:val="16"/>
          <w:lang w:val="en-US"/>
        </w:rPr>
        <w:t>para. 173.</w:t>
      </w:r>
    </w:p>
  </w:footnote>
  <w:footnote w:id="365">
    <w:p w14:paraId="74271082" w14:textId="77777777" w:rsidR="00D24EFE" w:rsidRPr="00012C3F" w:rsidRDefault="00D24EFE" w:rsidP="005B52E1">
      <w:pPr>
        <w:pStyle w:val="Textonotapie"/>
        <w:tabs>
          <w:tab w:val="left" w:pos="567"/>
        </w:tabs>
        <w:spacing w:after="120"/>
        <w:ind w:right="-90"/>
        <w:rPr>
          <w:sz w:val="16"/>
          <w:szCs w:val="16"/>
          <w:lang w:val="en-US"/>
        </w:rPr>
      </w:pPr>
      <w:r w:rsidRPr="00012C3F">
        <w:rPr>
          <w:sz w:val="16"/>
          <w:szCs w:val="16"/>
          <w:vertAlign w:val="superscript"/>
          <w:lang w:val="en-US"/>
        </w:rPr>
        <w:footnoteRef/>
      </w:r>
      <w:r w:rsidRPr="00012C3F">
        <w:rPr>
          <w:sz w:val="16"/>
          <w:szCs w:val="16"/>
          <w:lang w:val="en-US"/>
        </w:rPr>
        <w:tab/>
      </w:r>
      <w:r w:rsidRPr="00012C3F">
        <w:rPr>
          <w:i/>
          <w:sz w:val="16"/>
          <w:szCs w:val="16"/>
          <w:lang w:val="en-US"/>
        </w:rPr>
        <w:t>Cf. Case of Cabrera García and Montiel Flores v. Mexico</w:t>
      </w:r>
      <w:r w:rsidRPr="00012C3F">
        <w:rPr>
          <w:sz w:val="16"/>
          <w:szCs w:val="16"/>
          <w:lang w:val="en-US"/>
        </w:rPr>
        <w:t xml:space="preserve">, </w:t>
      </w:r>
      <w:r w:rsidRPr="00012C3F">
        <w:rPr>
          <w:i/>
          <w:sz w:val="16"/>
          <w:szCs w:val="16"/>
          <w:lang w:val="en-US"/>
        </w:rPr>
        <w:t>supra</w:t>
      </w:r>
      <w:r w:rsidRPr="00012C3F">
        <w:rPr>
          <w:sz w:val="16"/>
          <w:szCs w:val="16"/>
          <w:lang w:val="en-US"/>
        </w:rPr>
        <w:t xml:space="preserve">, para. </w:t>
      </w:r>
      <w:r w:rsidRPr="00D24EFE">
        <w:rPr>
          <w:sz w:val="16"/>
          <w:szCs w:val="16"/>
          <w:lang w:val="es-CR"/>
        </w:rPr>
        <w:t xml:space="preserve">18, and </w:t>
      </w:r>
      <w:r w:rsidRPr="00D24EFE">
        <w:rPr>
          <w:rFonts w:cs="Courier New"/>
          <w:i/>
          <w:noProof/>
          <w:sz w:val="16"/>
          <w:szCs w:val="16"/>
          <w:lang w:val="es-CR"/>
        </w:rPr>
        <w:t>Case of García Ibarra et al. v. Ecuador, supra</w:t>
      </w:r>
      <w:r w:rsidRPr="00D24EFE">
        <w:rPr>
          <w:rFonts w:cs="Courier New"/>
          <w:noProof/>
          <w:sz w:val="16"/>
          <w:szCs w:val="16"/>
          <w:lang w:val="es-CR"/>
        </w:rPr>
        <w:t xml:space="preserve">, </w:t>
      </w:r>
      <w:r w:rsidRPr="00D24EFE">
        <w:rPr>
          <w:rFonts w:cs="Verdana"/>
          <w:bCs/>
          <w:snapToGrid w:val="0"/>
          <w:sz w:val="16"/>
          <w:szCs w:val="16"/>
          <w:lang w:val="es-CR"/>
        </w:rPr>
        <w:t xml:space="preserve">para. </w:t>
      </w:r>
      <w:r w:rsidRPr="00012C3F">
        <w:rPr>
          <w:sz w:val="16"/>
          <w:szCs w:val="16"/>
          <w:lang w:val="en-US"/>
        </w:rPr>
        <w:t>19.</w:t>
      </w:r>
    </w:p>
  </w:footnote>
  <w:footnote w:id="366">
    <w:p w14:paraId="19B146F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 xml:space="preserve">Case of the “Street Children” (Villagrán Morales et al.) v. Guatemala. </w:t>
      </w:r>
      <w:r w:rsidRPr="00D24EFE">
        <w:rPr>
          <w:i/>
          <w:sz w:val="16"/>
          <w:szCs w:val="16"/>
          <w:lang w:val="es-CR"/>
        </w:rPr>
        <w:t>Merits, supra</w:t>
      </w:r>
      <w:r w:rsidRPr="00D24EFE">
        <w:rPr>
          <w:sz w:val="16"/>
          <w:szCs w:val="16"/>
          <w:lang w:val="es-CR"/>
        </w:rPr>
        <w:t xml:space="preserve">, para. 222, and </w:t>
      </w:r>
      <w:r w:rsidRPr="00D24EFE">
        <w:rPr>
          <w:i/>
          <w:sz w:val="16"/>
          <w:szCs w:val="16"/>
          <w:lang w:val="es-CR"/>
        </w:rPr>
        <w:t>Case of Herrera Espinoza et al. v. Ecuador, supra</w:t>
      </w:r>
      <w:r w:rsidRPr="00D24EFE">
        <w:rPr>
          <w:sz w:val="16"/>
          <w:szCs w:val="16"/>
          <w:lang w:val="es-CR"/>
        </w:rPr>
        <w:t>,</w:t>
      </w:r>
      <w:r w:rsidRPr="00D24EFE">
        <w:rPr>
          <w:rFonts w:cs="Courier New"/>
          <w:noProof/>
          <w:sz w:val="16"/>
          <w:szCs w:val="16"/>
          <w:lang w:val="es-CR"/>
        </w:rPr>
        <w:t xml:space="preserve"> </w:t>
      </w:r>
      <w:r w:rsidRPr="00D24EFE">
        <w:rPr>
          <w:rFonts w:cs="Verdana"/>
          <w:bCs/>
          <w:snapToGrid w:val="0"/>
          <w:sz w:val="16"/>
          <w:szCs w:val="16"/>
          <w:lang w:val="es-CR"/>
        </w:rPr>
        <w:t xml:space="preserve">para. </w:t>
      </w:r>
      <w:r w:rsidRPr="00012C3F">
        <w:rPr>
          <w:rFonts w:cs="Verdana"/>
          <w:bCs/>
          <w:snapToGrid w:val="0"/>
          <w:sz w:val="16"/>
          <w:szCs w:val="16"/>
          <w:lang w:val="en-US"/>
        </w:rPr>
        <w:t>173</w:t>
      </w:r>
      <w:r w:rsidRPr="00012C3F">
        <w:rPr>
          <w:sz w:val="16"/>
          <w:szCs w:val="16"/>
          <w:lang w:val="en-US"/>
        </w:rPr>
        <w:t>.</w:t>
      </w:r>
    </w:p>
  </w:footnote>
  <w:footnote w:id="367">
    <w:p w14:paraId="40FB1478"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Bulacio v. Argentina. Merits reparations and costs</w:t>
      </w:r>
      <w:r w:rsidRPr="00012C3F">
        <w:rPr>
          <w:sz w:val="16"/>
          <w:szCs w:val="16"/>
          <w:lang w:val="en-US"/>
        </w:rPr>
        <w:t xml:space="preserve">. Judgment of September 18, 2003. Series C No. 100, para. 114, and </w:t>
      </w:r>
      <w:r w:rsidRPr="00012C3F">
        <w:rPr>
          <w:rFonts w:cs="Courier New"/>
          <w:i/>
          <w:noProof/>
          <w:sz w:val="16"/>
          <w:szCs w:val="16"/>
          <w:lang w:val="en-US"/>
        </w:rPr>
        <w:t>Case of Quispialaya Vilcapoma v. Peru, supra</w:t>
      </w:r>
      <w:r w:rsidRPr="00012C3F">
        <w:rPr>
          <w:rFonts w:cs="Courier New"/>
          <w:noProof/>
          <w:sz w:val="16"/>
          <w:szCs w:val="16"/>
          <w:lang w:val="en-US"/>
        </w:rPr>
        <w:t xml:space="preserve">, para. </w:t>
      </w:r>
      <w:r w:rsidRPr="00D24EFE">
        <w:rPr>
          <w:rFonts w:cs="Courier New"/>
          <w:noProof/>
          <w:sz w:val="16"/>
          <w:szCs w:val="16"/>
          <w:lang w:val="es-CR"/>
        </w:rPr>
        <w:t>161</w:t>
      </w:r>
      <w:r w:rsidRPr="00D24EFE">
        <w:rPr>
          <w:sz w:val="16"/>
          <w:szCs w:val="16"/>
          <w:lang w:val="es-CR"/>
        </w:rPr>
        <w:t>.</w:t>
      </w:r>
    </w:p>
  </w:footnote>
  <w:footnote w:id="368">
    <w:p w14:paraId="7B4D0AAB" w14:textId="77777777" w:rsidR="00D24EFE" w:rsidRPr="00D24EFE" w:rsidRDefault="00D24EFE" w:rsidP="005B52E1">
      <w:pPr>
        <w:pStyle w:val="Textonotapie"/>
        <w:tabs>
          <w:tab w:val="left" w:pos="567"/>
        </w:tabs>
        <w:spacing w:after="120"/>
        <w:rPr>
          <w:sz w:val="16"/>
          <w:szCs w:val="16"/>
          <w:lang w:val="es-CR"/>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Velásquez Rodríguez v. Honduras. Preliminary objections</w:t>
      </w:r>
      <w:r w:rsidRPr="00D24EFE">
        <w:rPr>
          <w:sz w:val="16"/>
          <w:szCs w:val="16"/>
          <w:lang w:val="es-CR"/>
        </w:rPr>
        <w:t xml:space="preserve">, </w:t>
      </w:r>
      <w:r w:rsidRPr="00D24EFE">
        <w:rPr>
          <w:i/>
          <w:sz w:val="16"/>
          <w:szCs w:val="16"/>
          <w:lang w:val="es-CR"/>
        </w:rPr>
        <w:t>supra</w:t>
      </w:r>
      <w:r w:rsidRPr="00D24EFE">
        <w:rPr>
          <w:sz w:val="16"/>
          <w:szCs w:val="16"/>
          <w:lang w:val="es-CR"/>
        </w:rPr>
        <w:t>,</w:t>
      </w:r>
      <w:r w:rsidRPr="00D24EFE">
        <w:rPr>
          <w:i/>
          <w:sz w:val="16"/>
          <w:szCs w:val="16"/>
          <w:lang w:val="es-CR"/>
        </w:rPr>
        <w:t xml:space="preserve"> </w:t>
      </w:r>
      <w:r w:rsidRPr="00D24EFE">
        <w:rPr>
          <w:sz w:val="16"/>
          <w:szCs w:val="16"/>
          <w:lang w:val="es-CR"/>
        </w:rPr>
        <w:t xml:space="preserve">para. 91, and </w:t>
      </w:r>
      <w:r w:rsidRPr="00D24EFE">
        <w:rPr>
          <w:i/>
          <w:sz w:val="16"/>
          <w:szCs w:val="16"/>
          <w:lang w:val="es-CR"/>
        </w:rPr>
        <w:t>Case of Herrera Espinoza et al. v. Ecuador, supra</w:t>
      </w:r>
      <w:r w:rsidRPr="00D24EFE">
        <w:rPr>
          <w:sz w:val="16"/>
          <w:szCs w:val="16"/>
          <w:lang w:val="es-CR"/>
        </w:rPr>
        <w:t>,</w:t>
      </w:r>
      <w:r w:rsidRPr="00D24EFE">
        <w:rPr>
          <w:rFonts w:cs="Courier New"/>
          <w:noProof/>
          <w:sz w:val="16"/>
          <w:szCs w:val="16"/>
          <w:lang w:val="es-CR"/>
        </w:rPr>
        <w:t xml:space="preserve"> </w:t>
      </w:r>
      <w:r w:rsidRPr="00D24EFE">
        <w:rPr>
          <w:rFonts w:cs="Verdana"/>
          <w:bCs/>
          <w:snapToGrid w:val="0"/>
          <w:sz w:val="16"/>
          <w:szCs w:val="16"/>
          <w:lang w:val="es-CR"/>
        </w:rPr>
        <w:t>paras. 174 and 175</w:t>
      </w:r>
      <w:r w:rsidRPr="00D24EFE">
        <w:rPr>
          <w:sz w:val="16"/>
          <w:szCs w:val="16"/>
          <w:lang w:val="es-CR"/>
        </w:rPr>
        <w:t>.</w:t>
      </w:r>
    </w:p>
  </w:footnote>
  <w:footnote w:id="369">
    <w:p w14:paraId="559F4279" w14:textId="77777777" w:rsidR="00D24EFE" w:rsidRPr="00012C3F" w:rsidRDefault="00D24EFE" w:rsidP="005B52E1">
      <w:pPr>
        <w:tabs>
          <w:tab w:val="left" w:pos="567"/>
        </w:tabs>
        <w:spacing w:after="120" w:line="240" w:lineRule="auto"/>
        <w:rPr>
          <w:bCs/>
          <w:sz w:val="16"/>
          <w:szCs w:val="16"/>
          <w:lang w:val="en-US"/>
        </w:rPr>
      </w:pPr>
      <w:r w:rsidRPr="00012C3F">
        <w:rPr>
          <w:rStyle w:val="Refdenotaalpie"/>
          <w:sz w:val="16"/>
          <w:szCs w:val="16"/>
          <w:lang w:val="en-US"/>
        </w:rPr>
        <w:footnoteRef/>
      </w:r>
      <w:r w:rsidRPr="00D24EFE">
        <w:rPr>
          <w:sz w:val="16"/>
          <w:szCs w:val="16"/>
        </w:rPr>
        <w:t xml:space="preserve"> </w:t>
      </w:r>
      <w:r w:rsidRPr="00D24EFE">
        <w:rPr>
          <w:sz w:val="16"/>
          <w:szCs w:val="16"/>
        </w:rPr>
        <w:tab/>
      </w:r>
      <w:r w:rsidRPr="00D24EFE">
        <w:rPr>
          <w:i/>
          <w:sz w:val="16"/>
          <w:szCs w:val="16"/>
        </w:rPr>
        <w:t>Cf.</w:t>
      </w:r>
      <w:r w:rsidRPr="00D24EFE">
        <w:rPr>
          <w:sz w:val="16"/>
          <w:szCs w:val="16"/>
        </w:rPr>
        <w:t xml:space="preserve"> </w:t>
      </w:r>
      <w:r w:rsidRPr="00D24EFE">
        <w:rPr>
          <w:bCs/>
          <w:i/>
          <w:sz w:val="16"/>
          <w:szCs w:val="16"/>
        </w:rPr>
        <w:t>Case of Velásquez Rodríguez v. Honduras. Preliminary objections, supra,</w:t>
      </w:r>
      <w:r w:rsidRPr="00D24EFE">
        <w:rPr>
          <w:bCs/>
          <w:sz w:val="16"/>
          <w:szCs w:val="16"/>
        </w:rPr>
        <w:t xml:space="preserve"> para. 91</w:t>
      </w:r>
      <w:r w:rsidRPr="00D24EFE">
        <w:rPr>
          <w:sz w:val="16"/>
          <w:szCs w:val="16"/>
        </w:rPr>
        <w:t xml:space="preserve">, and </w:t>
      </w:r>
      <w:r w:rsidRPr="00D24EFE">
        <w:rPr>
          <w:i/>
          <w:sz w:val="16"/>
          <w:szCs w:val="16"/>
        </w:rPr>
        <w:t>Case of Chinchilla Sandoval v. Guatemala, supra</w:t>
      </w:r>
      <w:r w:rsidRPr="00D24EFE">
        <w:rPr>
          <w:sz w:val="16"/>
          <w:szCs w:val="16"/>
        </w:rPr>
        <w:t xml:space="preserve">, para. </w:t>
      </w:r>
      <w:r w:rsidRPr="00012C3F">
        <w:rPr>
          <w:sz w:val="16"/>
          <w:szCs w:val="16"/>
          <w:lang w:val="en-US"/>
        </w:rPr>
        <w:t>233.</w:t>
      </w:r>
    </w:p>
  </w:footnote>
  <w:footnote w:id="370">
    <w:p w14:paraId="59C5FBA4"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Case of Velásquez Rodríguez v. Honduras</w:t>
      </w:r>
      <w:r w:rsidRPr="00012C3F">
        <w:rPr>
          <w:sz w:val="16"/>
          <w:szCs w:val="16"/>
          <w:lang w:val="en-US"/>
        </w:rPr>
        <w:t xml:space="preserve">. </w:t>
      </w:r>
      <w:r w:rsidRPr="00012C3F">
        <w:rPr>
          <w:i/>
          <w:sz w:val="16"/>
          <w:szCs w:val="16"/>
          <w:lang w:val="en-US"/>
        </w:rPr>
        <w:t>Merits</w:t>
      </w:r>
      <w:r w:rsidRPr="00012C3F">
        <w:rPr>
          <w:sz w:val="16"/>
          <w:szCs w:val="16"/>
          <w:lang w:val="en-US"/>
        </w:rPr>
        <w:t xml:space="preserve">, </w:t>
      </w:r>
      <w:r w:rsidRPr="00012C3F">
        <w:rPr>
          <w:i/>
          <w:sz w:val="16"/>
          <w:szCs w:val="16"/>
          <w:lang w:val="en-US"/>
        </w:rPr>
        <w:t>supra</w:t>
      </w:r>
      <w:r w:rsidRPr="00012C3F">
        <w:rPr>
          <w:sz w:val="16"/>
          <w:szCs w:val="16"/>
          <w:lang w:val="en-US"/>
        </w:rPr>
        <w:t>,</w:t>
      </w:r>
      <w:r w:rsidRPr="00012C3F">
        <w:rPr>
          <w:i/>
          <w:sz w:val="16"/>
          <w:szCs w:val="16"/>
          <w:lang w:val="en-US"/>
        </w:rPr>
        <w:t xml:space="preserve"> </w:t>
      </w:r>
      <w:r w:rsidRPr="00012C3F">
        <w:rPr>
          <w:sz w:val="16"/>
          <w:szCs w:val="16"/>
          <w:lang w:val="en-US"/>
        </w:rPr>
        <w:t xml:space="preserve">para. 66, and </w:t>
      </w:r>
      <w:r w:rsidRPr="00012C3F">
        <w:rPr>
          <w:rFonts w:cs="Courier New"/>
          <w:i/>
          <w:noProof/>
          <w:sz w:val="16"/>
          <w:szCs w:val="16"/>
          <w:lang w:val="en-US"/>
        </w:rPr>
        <w:t>Case of the Punta Piedra Garífuna Community and its members v. Honduras. Preliminary objections, merits, reparations and costs.</w:t>
      </w:r>
      <w:r w:rsidRPr="00012C3F">
        <w:rPr>
          <w:rFonts w:cs="Courier New"/>
          <w:noProof/>
          <w:sz w:val="16"/>
          <w:szCs w:val="16"/>
          <w:lang w:val="en-US"/>
        </w:rPr>
        <w:t xml:space="preserve"> Judgment of October 8, 2015. Series C No. 304, para. 241</w:t>
      </w:r>
      <w:r w:rsidRPr="00012C3F">
        <w:rPr>
          <w:sz w:val="16"/>
          <w:szCs w:val="16"/>
          <w:lang w:val="en-US"/>
        </w:rPr>
        <w:t>.</w:t>
      </w:r>
    </w:p>
  </w:footnote>
  <w:footnote w:id="371">
    <w:p w14:paraId="1B539AB2" w14:textId="77777777" w:rsidR="00D24EFE" w:rsidRPr="00012C3F" w:rsidRDefault="00D24EFE" w:rsidP="005B52E1">
      <w:pPr>
        <w:tabs>
          <w:tab w:val="left" w:pos="567"/>
        </w:tabs>
        <w:spacing w:after="120" w:line="240" w:lineRule="auto"/>
        <w:rPr>
          <w:sz w:val="16"/>
          <w:szCs w:val="16"/>
          <w:lang w:val="en-US"/>
        </w:rPr>
      </w:pPr>
      <w:r w:rsidRPr="00012C3F">
        <w:rPr>
          <w:sz w:val="16"/>
          <w:szCs w:val="16"/>
          <w:vertAlign w:val="superscript"/>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Case of the Saramaka People v. Suriname. Preliminary objections, merits, reparations and costs</w:t>
      </w:r>
      <w:r w:rsidRPr="00012C3F">
        <w:rPr>
          <w:sz w:val="16"/>
          <w:szCs w:val="16"/>
          <w:lang w:val="en-US"/>
        </w:rPr>
        <w:t xml:space="preserve">. Judgment of November 28, 2007. Series C No. 172, </w:t>
      </w:r>
      <w:r w:rsidRPr="00012C3F">
        <w:rPr>
          <w:rFonts w:cs="Arial"/>
          <w:sz w:val="16"/>
          <w:szCs w:val="16"/>
          <w:lang w:val="en-US"/>
        </w:rPr>
        <w:t xml:space="preserve">para. 177, and </w:t>
      </w:r>
      <w:r w:rsidRPr="00012C3F">
        <w:rPr>
          <w:rFonts w:cs="Courier New"/>
          <w:i/>
          <w:noProof/>
          <w:sz w:val="16"/>
          <w:szCs w:val="16"/>
          <w:lang w:val="en-US"/>
        </w:rPr>
        <w:t>Case of Ruano Torres et al. v. El Salvador. Merits reparations and costs.</w:t>
      </w:r>
      <w:r w:rsidRPr="00012C3F">
        <w:rPr>
          <w:rFonts w:cs="Courier New"/>
          <w:noProof/>
          <w:sz w:val="16"/>
          <w:szCs w:val="16"/>
          <w:lang w:val="en-US"/>
        </w:rPr>
        <w:t xml:space="preserve"> Judgment of October 5, 2015. Series C No. 303, para. 177</w:t>
      </w:r>
      <w:r w:rsidRPr="00012C3F">
        <w:rPr>
          <w:sz w:val="16"/>
          <w:szCs w:val="16"/>
          <w:lang w:val="en-US"/>
        </w:rPr>
        <w:t>.</w:t>
      </w:r>
    </w:p>
  </w:footnote>
  <w:footnote w:id="372">
    <w:p w14:paraId="71626984" w14:textId="77777777" w:rsidR="00D24EFE" w:rsidRPr="00012C3F" w:rsidRDefault="00D24EFE" w:rsidP="009C5B29">
      <w:pPr>
        <w:pStyle w:val="Sangradetextonormal"/>
        <w:tabs>
          <w:tab w:val="left" w:pos="0"/>
          <w:tab w:val="left" w:pos="567"/>
        </w:tabs>
        <w:ind w:left="0"/>
        <w:jc w:val="both"/>
        <w:outlineLvl w:val="2"/>
        <w:rPr>
          <w:rFonts w:ascii="Verdana" w:hAnsi="Verdana"/>
          <w:sz w:val="16"/>
          <w:szCs w:val="16"/>
          <w:lang w:val="en-US"/>
        </w:rPr>
      </w:pPr>
      <w:r w:rsidRPr="00012C3F">
        <w:rPr>
          <w:rStyle w:val="Refdenotaalpie"/>
          <w:rFonts w:ascii="Verdana" w:hAnsi="Verdana"/>
          <w:sz w:val="16"/>
          <w:szCs w:val="16"/>
          <w:lang w:val="en-US"/>
        </w:rPr>
        <w:footnoteRef/>
      </w:r>
      <w:r w:rsidRPr="00012C3F">
        <w:rPr>
          <w:rFonts w:ascii="Verdana" w:hAnsi="Verdana"/>
          <w:i/>
          <w:sz w:val="16"/>
          <w:szCs w:val="16"/>
          <w:lang w:val="en-US"/>
        </w:rPr>
        <w:t xml:space="preserve"> </w:t>
      </w:r>
      <w:r w:rsidRPr="00012C3F">
        <w:rPr>
          <w:rFonts w:ascii="Verdana" w:hAnsi="Verdana"/>
          <w:sz w:val="16"/>
          <w:szCs w:val="16"/>
          <w:lang w:val="en-US"/>
        </w:rPr>
        <w:tab/>
      </w:r>
      <w:r w:rsidRPr="00012C3F">
        <w:rPr>
          <w:rFonts w:ascii="Verdana" w:hAnsi="Verdana"/>
          <w:i/>
          <w:sz w:val="16"/>
          <w:szCs w:val="16"/>
          <w:lang w:val="en-US"/>
        </w:rPr>
        <w:t>Judicial Guarantees in States of Emergency (Arts. 27.2, 25 and 8 The American Convention on Human Rights)</w:t>
      </w:r>
      <w:r w:rsidRPr="00012C3F">
        <w:rPr>
          <w:rFonts w:ascii="Verdana" w:hAnsi="Verdana"/>
          <w:sz w:val="16"/>
          <w:szCs w:val="16"/>
          <w:lang w:val="en-US"/>
        </w:rPr>
        <w:t>. Advisory Opinion OC-9/87 of October 6, 1987. Series A No. 9, para.</w:t>
      </w:r>
      <w:r w:rsidRPr="00012C3F">
        <w:rPr>
          <w:rFonts w:ascii="Verdana" w:hAnsi="Verdana" w:cs="Arial"/>
          <w:sz w:val="16"/>
          <w:szCs w:val="16"/>
          <w:lang w:val="en-US"/>
        </w:rPr>
        <w:t xml:space="preserve"> 24, and </w:t>
      </w:r>
      <w:r w:rsidRPr="00012C3F">
        <w:rPr>
          <w:rFonts w:ascii="Verdana" w:hAnsi="Verdana" w:cs="Courier New"/>
          <w:i/>
          <w:noProof/>
          <w:sz w:val="16"/>
          <w:szCs w:val="16"/>
          <w:lang w:val="en-US"/>
        </w:rPr>
        <w:t>Case of the Kaliña and Lokono Peoples v. Suriname, supra</w:t>
      </w:r>
      <w:r w:rsidRPr="00012C3F">
        <w:rPr>
          <w:rFonts w:ascii="Verdana" w:hAnsi="Verdana"/>
          <w:sz w:val="16"/>
          <w:szCs w:val="16"/>
          <w:lang w:val="en-US"/>
        </w:rPr>
        <w:t>, para. 237.</w:t>
      </w:r>
    </w:p>
  </w:footnote>
  <w:footnote w:id="373">
    <w:p w14:paraId="6776D866" w14:textId="77777777" w:rsidR="00D24EFE" w:rsidRPr="00D24EFE" w:rsidRDefault="00D24EFE" w:rsidP="009C5B29">
      <w:pPr>
        <w:pStyle w:val="Textonotapie"/>
        <w:tabs>
          <w:tab w:val="left" w:pos="567"/>
        </w:tabs>
        <w:spacing w:after="120"/>
        <w:rPr>
          <w:sz w:val="16"/>
          <w:szCs w:val="16"/>
          <w:lang w:val="es-CR"/>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González et al. (“Cotton Field”) v. Mexico, supra</w:t>
      </w:r>
      <w:r w:rsidRPr="00012C3F">
        <w:rPr>
          <w:sz w:val="16"/>
          <w:szCs w:val="16"/>
          <w:lang w:val="en-US"/>
        </w:rPr>
        <w:t xml:space="preserve">, para. 258, and </w:t>
      </w:r>
      <w:r w:rsidRPr="00012C3F">
        <w:rPr>
          <w:rFonts w:cs="Courier New"/>
          <w:i/>
          <w:noProof/>
          <w:sz w:val="16"/>
          <w:szCs w:val="16"/>
          <w:lang w:val="en-US"/>
        </w:rPr>
        <w:t>Case of Velásquez Paiz et al. v. Guatemala, supra</w:t>
      </w:r>
      <w:r w:rsidRPr="00012C3F">
        <w:rPr>
          <w:rFonts w:cs="Courier New"/>
          <w:noProof/>
          <w:sz w:val="16"/>
          <w:szCs w:val="16"/>
          <w:lang w:val="en-US"/>
        </w:rPr>
        <w:t xml:space="preserve">, paras. </w:t>
      </w:r>
      <w:r w:rsidRPr="00D24EFE">
        <w:rPr>
          <w:rFonts w:cs="Courier New"/>
          <w:noProof/>
          <w:sz w:val="16"/>
          <w:szCs w:val="16"/>
          <w:lang w:val="es-CR"/>
        </w:rPr>
        <w:t>108 and 145</w:t>
      </w:r>
      <w:r w:rsidRPr="00D24EFE">
        <w:rPr>
          <w:sz w:val="16"/>
          <w:szCs w:val="16"/>
          <w:lang w:val="es-CR"/>
        </w:rPr>
        <w:t>.</w:t>
      </w:r>
    </w:p>
  </w:footnote>
  <w:footnote w:id="374">
    <w:p w14:paraId="5558AD2D" w14:textId="77777777" w:rsidR="00D24EFE" w:rsidRPr="00D24EFE" w:rsidRDefault="00D24EFE" w:rsidP="009C5B29">
      <w:pPr>
        <w:pStyle w:val="Textonotapie"/>
        <w:tabs>
          <w:tab w:val="left" w:pos="567"/>
        </w:tabs>
        <w:spacing w:after="120"/>
        <w:rPr>
          <w:sz w:val="16"/>
          <w:szCs w:val="16"/>
          <w:lang w:val="es-CR"/>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sz w:val="16"/>
          <w:szCs w:val="16"/>
          <w:lang w:val="es-CR"/>
        </w:rPr>
        <w:t xml:space="preserve"> </w:t>
      </w:r>
      <w:r w:rsidRPr="00D24EFE">
        <w:rPr>
          <w:i/>
          <w:sz w:val="16"/>
          <w:szCs w:val="16"/>
          <w:lang w:val="es-CR"/>
        </w:rPr>
        <w:t>Case of</w:t>
      </w:r>
      <w:r w:rsidRPr="00D24EFE">
        <w:rPr>
          <w:sz w:val="16"/>
          <w:szCs w:val="16"/>
          <w:lang w:val="es-CR"/>
        </w:rPr>
        <w:t xml:space="preserve"> </w:t>
      </w:r>
      <w:r w:rsidRPr="00D24EFE">
        <w:rPr>
          <w:i/>
          <w:sz w:val="16"/>
          <w:szCs w:val="16"/>
          <w:lang w:val="es-CR"/>
        </w:rPr>
        <w:t>Fernández Ortega et al. v. Mexico, supra</w:t>
      </w:r>
      <w:r w:rsidRPr="00D24EFE">
        <w:rPr>
          <w:sz w:val="16"/>
          <w:szCs w:val="16"/>
          <w:lang w:val="es-CR"/>
        </w:rPr>
        <w:t xml:space="preserve">, para. 193, and </w:t>
      </w:r>
      <w:r w:rsidRPr="00D24EFE">
        <w:rPr>
          <w:rFonts w:cs="Courier New"/>
          <w:i/>
          <w:noProof/>
          <w:sz w:val="16"/>
          <w:szCs w:val="16"/>
          <w:lang w:val="es-CR"/>
        </w:rPr>
        <w:t>Case of Velásquez Paiz et al. v. Guatemala, supra</w:t>
      </w:r>
      <w:r w:rsidRPr="00D24EFE">
        <w:rPr>
          <w:rFonts w:cs="Courier New"/>
          <w:noProof/>
          <w:sz w:val="16"/>
          <w:szCs w:val="16"/>
          <w:lang w:val="es-CR"/>
        </w:rPr>
        <w:t>, para. 108</w:t>
      </w:r>
      <w:r w:rsidRPr="00D24EFE">
        <w:rPr>
          <w:sz w:val="16"/>
          <w:szCs w:val="16"/>
          <w:lang w:val="es-CR"/>
        </w:rPr>
        <w:t>.</w:t>
      </w:r>
    </w:p>
  </w:footnote>
  <w:footnote w:id="375">
    <w:p w14:paraId="45F8754F" w14:textId="77777777" w:rsidR="00D24EFE" w:rsidRPr="00012C3F" w:rsidRDefault="00D24EFE" w:rsidP="009C5B29">
      <w:pPr>
        <w:tabs>
          <w:tab w:val="left" w:pos="567"/>
        </w:tabs>
        <w:spacing w:after="120" w:line="240" w:lineRule="auto"/>
        <w:rPr>
          <w:rFonts w:eastAsiaTheme="minorHAnsi" w:cstheme="minorBidi"/>
          <w:bCs/>
          <w:sz w:val="16"/>
          <w:szCs w:val="16"/>
          <w:lang w:val="en-US" w:eastAsia="en-US"/>
        </w:rPr>
      </w:pPr>
      <w:r w:rsidRPr="00012C3F">
        <w:rPr>
          <w:rStyle w:val="Refdenotaalpie"/>
          <w:sz w:val="16"/>
          <w:szCs w:val="16"/>
          <w:lang w:val="en-US"/>
        </w:rPr>
        <w:footnoteRef/>
      </w:r>
      <w:r w:rsidRPr="00D24EFE">
        <w:rPr>
          <w:sz w:val="16"/>
          <w:szCs w:val="16"/>
        </w:rPr>
        <w:t xml:space="preserve"> </w:t>
      </w:r>
      <w:r w:rsidRPr="00D24EFE">
        <w:rPr>
          <w:sz w:val="16"/>
          <w:szCs w:val="16"/>
        </w:rPr>
        <w:tab/>
      </w:r>
      <w:r w:rsidRPr="00D24EFE">
        <w:rPr>
          <w:rFonts w:eastAsiaTheme="minorHAnsi" w:cstheme="minorBidi"/>
          <w:i/>
          <w:sz w:val="16"/>
          <w:szCs w:val="16"/>
          <w:lang w:eastAsia="en-US"/>
        </w:rPr>
        <w:t>Cf.</w:t>
      </w:r>
      <w:r w:rsidRPr="00D24EFE">
        <w:rPr>
          <w:rFonts w:eastAsiaTheme="minorHAnsi" w:cstheme="minorBidi"/>
          <w:sz w:val="16"/>
          <w:szCs w:val="16"/>
          <w:lang w:eastAsia="en-US"/>
        </w:rPr>
        <w:t xml:space="preserve"> </w:t>
      </w:r>
      <w:r w:rsidRPr="00D24EFE">
        <w:rPr>
          <w:rFonts w:eastAsiaTheme="minorHAnsi" w:cstheme="minorBidi"/>
          <w:i/>
          <w:sz w:val="16"/>
          <w:szCs w:val="16"/>
          <w:lang w:eastAsia="en-US"/>
        </w:rPr>
        <w:t>Case of the Miguel Castro Castro Prison v. Peru, supra</w:t>
      </w:r>
      <w:r w:rsidRPr="00D24EFE">
        <w:rPr>
          <w:rFonts w:eastAsiaTheme="minorHAnsi" w:cstheme="minorBidi"/>
          <w:sz w:val="16"/>
          <w:szCs w:val="16"/>
          <w:lang w:eastAsia="en-US"/>
        </w:rPr>
        <w:t xml:space="preserve">, para. 344; </w:t>
      </w:r>
      <w:r w:rsidRPr="00D24EFE">
        <w:rPr>
          <w:rFonts w:eastAsiaTheme="minorHAnsi" w:cstheme="minorBidi"/>
          <w:i/>
          <w:sz w:val="16"/>
          <w:szCs w:val="16"/>
          <w:lang w:eastAsia="en-US"/>
        </w:rPr>
        <w:t>Case of González et al. (“Cotton Field”) v. Mexico, supra</w:t>
      </w:r>
      <w:r w:rsidRPr="00D24EFE">
        <w:rPr>
          <w:rFonts w:eastAsiaTheme="minorHAnsi" w:cstheme="minorBidi"/>
          <w:sz w:val="16"/>
          <w:szCs w:val="16"/>
          <w:lang w:eastAsia="en-US"/>
        </w:rPr>
        <w:t xml:space="preserve">, para. 287; </w:t>
      </w:r>
      <w:r w:rsidRPr="00D24EFE">
        <w:rPr>
          <w:rFonts w:eastAsiaTheme="minorHAnsi" w:cstheme="minorBidi"/>
          <w:i/>
          <w:sz w:val="16"/>
          <w:szCs w:val="16"/>
          <w:lang w:eastAsia="en-US"/>
        </w:rPr>
        <w:t>Case of</w:t>
      </w:r>
      <w:r w:rsidRPr="00D24EFE">
        <w:rPr>
          <w:rFonts w:eastAsiaTheme="minorHAnsi" w:cstheme="minorBidi"/>
          <w:sz w:val="16"/>
          <w:szCs w:val="16"/>
          <w:lang w:eastAsia="en-US"/>
        </w:rPr>
        <w:t xml:space="preserve"> </w:t>
      </w:r>
      <w:r w:rsidRPr="00D24EFE">
        <w:rPr>
          <w:rFonts w:eastAsiaTheme="minorHAnsi" w:cstheme="minorBidi"/>
          <w:i/>
          <w:sz w:val="16"/>
          <w:szCs w:val="16"/>
          <w:lang w:eastAsia="en-US"/>
        </w:rPr>
        <w:t>Fernández Ortega et al. v. Mexico, supra</w:t>
      </w:r>
      <w:r w:rsidRPr="00D24EFE">
        <w:rPr>
          <w:rFonts w:eastAsiaTheme="minorHAnsi" w:cstheme="minorBidi"/>
          <w:sz w:val="16"/>
          <w:szCs w:val="16"/>
          <w:lang w:eastAsia="en-US"/>
        </w:rPr>
        <w:t xml:space="preserve">, para. 193; </w:t>
      </w:r>
      <w:r w:rsidRPr="00D24EFE">
        <w:rPr>
          <w:rFonts w:eastAsiaTheme="minorHAnsi" w:cstheme="minorBidi"/>
          <w:i/>
          <w:sz w:val="16"/>
          <w:szCs w:val="16"/>
          <w:lang w:eastAsia="en-US"/>
        </w:rPr>
        <w:t>Case of</w:t>
      </w:r>
      <w:r w:rsidRPr="00D24EFE">
        <w:rPr>
          <w:rFonts w:eastAsiaTheme="minorHAnsi" w:cstheme="minorBidi"/>
          <w:sz w:val="16"/>
          <w:szCs w:val="16"/>
          <w:lang w:eastAsia="en-US"/>
        </w:rPr>
        <w:t xml:space="preserve"> </w:t>
      </w:r>
      <w:r w:rsidRPr="00D24EFE">
        <w:rPr>
          <w:rFonts w:eastAsiaTheme="minorHAnsi" w:cstheme="minorBidi"/>
          <w:i/>
          <w:sz w:val="16"/>
          <w:szCs w:val="16"/>
          <w:lang w:eastAsia="en-US"/>
        </w:rPr>
        <w:t>Rosendo Cantú et al. v. Mexico, supra</w:t>
      </w:r>
      <w:r w:rsidRPr="00D24EFE">
        <w:rPr>
          <w:rFonts w:eastAsiaTheme="minorHAnsi" w:cstheme="minorBidi"/>
          <w:sz w:val="16"/>
          <w:szCs w:val="16"/>
          <w:lang w:eastAsia="en-US"/>
        </w:rPr>
        <w:t xml:space="preserve">, paras. 176 and 177; </w:t>
      </w:r>
      <w:r w:rsidRPr="00D24EFE">
        <w:rPr>
          <w:rFonts w:eastAsiaTheme="minorHAnsi" w:cstheme="minorBidi"/>
          <w:i/>
          <w:sz w:val="16"/>
          <w:szCs w:val="16"/>
          <w:lang w:eastAsia="en-US"/>
        </w:rPr>
        <w:t>Case of J. v. Peru, supra</w:t>
      </w:r>
      <w:r w:rsidRPr="00D24EFE">
        <w:rPr>
          <w:rFonts w:eastAsiaTheme="minorHAnsi" w:cstheme="minorBidi"/>
          <w:sz w:val="16"/>
          <w:szCs w:val="16"/>
          <w:lang w:eastAsia="en-US"/>
        </w:rPr>
        <w:t xml:space="preserve">, para. 350; </w:t>
      </w:r>
      <w:r w:rsidRPr="00D24EFE">
        <w:rPr>
          <w:rFonts w:eastAsiaTheme="minorHAnsi" w:cstheme="minorBidi"/>
          <w:i/>
          <w:sz w:val="16"/>
          <w:szCs w:val="16"/>
          <w:lang w:eastAsia="en-US"/>
        </w:rPr>
        <w:t>Case of Veliz Franco et al. v. Guatemala, supra</w:t>
      </w:r>
      <w:r w:rsidRPr="00D24EFE">
        <w:rPr>
          <w:rFonts w:eastAsiaTheme="minorHAnsi" w:cstheme="minorBidi"/>
          <w:sz w:val="16"/>
          <w:szCs w:val="16"/>
          <w:lang w:eastAsia="en-US"/>
        </w:rPr>
        <w:t xml:space="preserve">, para. 185; </w:t>
      </w:r>
      <w:r w:rsidRPr="00D24EFE">
        <w:rPr>
          <w:rFonts w:eastAsiaTheme="minorHAnsi" w:cstheme="minorBidi"/>
          <w:bCs/>
          <w:i/>
          <w:sz w:val="16"/>
          <w:szCs w:val="16"/>
          <w:lang w:eastAsia="en-US"/>
        </w:rPr>
        <w:t>Case of Espinoza Gonzáles v. Peru, supra</w:t>
      </w:r>
      <w:r w:rsidRPr="00D24EFE">
        <w:rPr>
          <w:rFonts w:eastAsiaTheme="minorHAnsi" w:cstheme="minorBidi"/>
          <w:bCs/>
          <w:sz w:val="16"/>
          <w:szCs w:val="16"/>
          <w:lang w:eastAsia="en-US"/>
        </w:rPr>
        <w:t xml:space="preserve">, paras. </w:t>
      </w:r>
      <w:r w:rsidRPr="00012C3F">
        <w:rPr>
          <w:rFonts w:eastAsiaTheme="minorHAnsi" w:cstheme="minorBidi"/>
          <w:bCs/>
          <w:sz w:val="16"/>
          <w:szCs w:val="16"/>
          <w:lang w:val="en-US" w:eastAsia="en-US"/>
        </w:rPr>
        <w:t xml:space="preserve">241 and 242, and </w:t>
      </w:r>
      <w:r w:rsidRPr="00012C3F">
        <w:rPr>
          <w:rFonts w:eastAsiaTheme="minorHAnsi" w:cs="Courier New"/>
          <w:i/>
          <w:noProof/>
          <w:sz w:val="16"/>
          <w:szCs w:val="16"/>
          <w:lang w:val="en-US" w:eastAsia="en-US"/>
        </w:rPr>
        <w:t>Case of Velásquez Paiz et al. v. Guatemala, supra</w:t>
      </w:r>
      <w:r w:rsidRPr="00012C3F">
        <w:rPr>
          <w:rFonts w:eastAsiaTheme="minorHAnsi" w:cs="Courier New"/>
          <w:noProof/>
          <w:sz w:val="16"/>
          <w:szCs w:val="16"/>
          <w:lang w:val="en-US" w:eastAsia="en-US"/>
        </w:rPr>
        <w:t>, paras. 145 and 146.</w:t>
      </w:r>
    </w:p>
  </w:footnote>
  <w:footnote w:id="376">
    <w:p w14:paraId="67B928FF"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UN, </w:t>
      </w:r>
      <w:r w:rsidRPr="00012C3F">
        <w:rPr>
          <w:color w:val="000000" w:themeColor="text1"/>
          <w:sz w:val="16"/>
          <w:szCs w:val="16"/>
          <w:lang w:val="en-US"/>
        </w:rPr>
        <w:t>Report of the Special Rapporteur on violence against women, its causes and consequences</w:t>
      </w:r>
      <w:r w:rsidRPr="00012C3F">
        <w:rPr>
          <w:bCs/>
          <w:sz w:val="16"/>
          <w:szCs w:val="16"/>
          <w:lang w:val="en-US"/>
        </w:rPr>
        <w:t>, Ms. Radhika</w:t>
      </w:r>
      <w:r w:rsidRPr="00012C3F">
        <w:rPr>
          <w:rFonts w:cs="Courier New"/>
          <w:color w:val="000000" w:themeColor="text1"/>
          <w:sz w:val="16"/>
          <w:szCs w:val="16"/>
          <w:lang w:val="en-US"/>
        </w:rPr>
        <w:t xml:space="preserve"> Coomaraswamy</w:t>
      </w:r>
      <w:r w:rsidRPr="00012C3F">
        <w:rPr>
          <w:bCs/>
          <w:sz w:val="16"/>
          <w:szCs w:val="16"/>
          <w:lang w:val="en-US"/>
        </w:rPr>
        <w:t xml:space="preserve">, </w:t>
      </w:r>
      <w:r w:rsidRPr="00012C3F">
        <w:rPr>
          <w:bCs/>
          <w:i/>
          <w:sz w:val="16"/>
          <w:szCs w:val="16"/>
          <w:lang w:val="en-US"/>
        </w:rPr>
        <w:t xml:space="preserve">Policies and practices that impact women’s reproductive rights and contribute to, cause or constitute violence against women, </w:t>
      </w:r>
      <w:r w:rsidRPr="00012C3F">
        <w:rPr>
          <w:bCs/>
          <w:sz w:val="16"/>
          <w:szCs w:val="16"/>
          <w:lang w:val="en-US"/>
        </w:rPr>
        <w:t>E/CN.4/1999/68/Add.4, January 21, 1999</w:t>
      </w:r>
      <w:r w:rsidRPr="00012C3F">
        <w:rPr>
          <w:sz w:val="16"/>
          <w:szCs w:val="16"/>
          <w:lang w:val="en-US"/>
        </w:rPr>
        <w:t>, paras. 44 and 47.</w:t>
      </w:r>
    </w:p>
  </w:footnote>
  <w:footnote w:id="377">
    <w:p w14:paraId="45669B8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on Economic, Social and Cultural Rights, General Comment No. 22, </w:t>
      </w:r>
      <w:r w:rsidRPr="00012C3F">
        <w:rPr>
          <w:i/>
          <w:iCs/>
          <w:sz w:val="16"/>
          <w:szCs w:val="16"/>
          <w:lang w:val="en-US"/>
        </w:rPr>
        <w:t>The right to sexual and reproductive health</w:t>
      </w:r>
      <w:r w:rsidRPr="00012C3F">
        <w:rPr>
          <w:sz w:val="16"/>
          <w:szCs w:val="16"/>
          <w:lang w:val="en-US"/>
        </w:rPr>
        <w:t>, March 4, 2016, para. 40.</w:t>
      </w:r>
    </w:p>
  </w:footnote>
  <w:footnote w:id="378">
    <w:p w14:paraId="0C6A2CB1"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Even though it is not expressly established as genocide, forced sterilization may constitute a genocidal act if, based on paragraphs (b) and (d) of Article 6 of the Rome Statute, it is performed on individuals of a specific “national, ethnical, racial or religious group,” irrespective of the means used to perform the sterilization and provided that the intent is to destroy this group, in whole or in part.</w:t>
      </w:r>
    </w:p>
  </w:footnote>
  <w:footnote w:id="379">
    <w:p w14:paraId="60414C2E" w14:textId="77777777" w:rsidR="00D24EFE" w:rsidRPr="00012C3F" w:rsidRDefault="00D24EFE" w:rsidP="005B52E1">
      <w:pPr>
        <w:pStyle w:val="Textonotapie"/>
        <w:tabs>
          <w:tab w:val="left" w:pos="567"/>
        </w:tabs>
        <w:spacing w:after="120"/>
        <w:rPr>
          <w:rFonts w:eastAsia="MS Mincho"/>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In a case of non-consensual sterilization, the Committee for the Elimination of Discrimination against Women recommended: “[m]</w:t>
      </w:r>
      <w:proofErr w:type="spellStart"/>
      <w:r w:rsidRPr="00012C3F">
        <w:rPr>
          <w:sz w:val="16"/>
          <w:szCs w:val="16"/>
          <w:lang w:val="en-US"/>
        </w:rPr>
        <w:t>onitor</w:t>
      </w:r>
      <w:proofErr w:type="spellEnd"/>
      <w:r w:rsidRPr="00012C3F">
        <w:rPr>
          <w:sz w:val="16"/>
          <w:szCs w:val="16"/>
          <w:lang w:val="en-US"/>
        </w:rPr>
        <w:t xml:space="preserve"> public and private health </w:t>
      </w:r>
      <w:proofErr w:type="spellStart"/>
      <w:r w:rsidRPr="00012C3F">
        <w:rPr>
          <w:sz w:val="16"/>
          <w:szCs w:val="16"/>
          <w:lang w:val="en-US"/>
        </w:rPr>
        <w:t>centres</w:t>
      </w:r>
      <w:proofErr w:type="spellEnd"/>
      <w:r w:rsidRPr="00012C3F">
        <w:rPr>
          <w:sz w:val="16"/>
          <w:szCs w:val="16"/>
          <w:lang w:val="en-US"/>
        </w:rPr>
        <w:t xml:space="preserve">, including hospitals and clinics, which perform sterilization procedures so as to ensure that fully informed consent is being given by the patient before any sterilization procedure is carried out, with appropriate sanctions in place in the event of a breach.” UN, Committee for the Elimination of Discrimination against Women, </w:t>
      </w:r>
      <w:r w:rsidRPr="00012C3F">
        <w:rPr>
          <w:rFonts w:cs="Calibri-Italic"/>
          <w:i/>
          <w:iCs/>
          <w:sz w:val="16"/>
          <w:szCs w:val="16"/>
          <w:lang w:val="en-US"/>
        </w:rPr>
        <w:t>A.S. v. Hungary</w:t>
      </w:r>
      <w:r w:rsidRPr="00012C3F">
        <w:rPr>
          <w:rFonts w:cs="Calibri"/>
          <w:sz w:val="16"/>
          <w:szCs w:val="16"/>
          <w:lang w:val="en-US"/>
        </w:rPr>
        <w:t xml:space="preserve"> (Communication No. 4/2004), CEDAW/C/36/D/4/2004, August 29, 2006</w:t>
      </w:r>
      <w:r w:rsidRPr="00012C3F">
        <w:rPr>
          <w:rFonts w:eastAsia="MS Mincho"/>
          <w:sz w:val="16"/>
          <w:szCs w:val="16"/>
          <w:lang w:val="en-US"/>
        </w:rPr>
        <w:t xml:space="preserve">, para. 11.5. In another case, it urged </w:t>
      </w:r>
      <w:r w:rsidRPr="00012C3F">
        <w:rPr>
          <w:bCs/>
          <w:sz w:val="16"/>
          <w:szCs w:val="16"/>
          <w:lang w:val="en-US"/>
        </w:rPr>
        <w:t>the State “to adopt a comprehensive law protecting women, including disabled women, from forced sterilization and abortion.</w:t>
      </w:r>
      <w:r w:rsidRPr="00012C3F">
        <w:rPr>
          <w:rFonts w:eastAsia="MS Mincho"/>
          <w:sz w:val="16"/>
          <w:szCs w:val="16"/>
          <w:lang w:val="en-US"/>
        </w:rPr>
        <w:t>”</w:t>
      </w:r>
      <w:r w:rsidRPr="00012C3F">
        <w:rPr>
          <w:sz w:val="16"/>
          <w:szCs w:val="16"/>
          <w:lang w:val="en-US"/>
        </w:rPr>
        <w:t xml:space="preserve"> Committee for the Elimination of Discrimination against Women, </w:t>
      </w:r>
      <w:r w:rsidRPr="00012C3F">
        <w:rPr>
          <w:rFonts w:eastAsia="MS Mincho"/>
          <w:sz w:val="16"/>
          <w:szCs w:val="16"/>
          <w:lang w:val="en-US"/>
        </w:rPr>
        <w:t>Concluding observations with regard to Kuwait</w:t>
      </w:r>
      <w:r w:rsidRPr="00012C3F">
        <w:rPr>
          <w:sz w:val="16"/>
          <w:szCs w:val="16"/>
          <w:lang w:val="en-US"/>
        </w:rPr>
        <w:t>, CEDAW/C/KWT/CO/3-4, November 8, 2011, para. 49.</w:t>
      </w:r>
    </w:p>
  </w:footnote>
  <w:footnote w:id="380">
    <w:p w14:paraId="44145E4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UN, Committee for the Elimination of Discrimination against Women, General Recommendation No. 24, </w:t>
      </w:r>
      <w:r w:rsidRPr="00012C3F">
        <w:rPr>
          <w:i/>
          <w:sz w:val="16"/>
          <w:szCs w:val="16"/>
          <w:lang w:val="en-US"/>
        </w:rPr>
        <w:t>Women and health</w:t>
      </w:r>
      <w:r w:rsidRPr="00012C3F">
        <w:rPr>
          <w:sz w:val="16"/>
          <w:szCs w:val="16"/>
          <w:lang w:val="en-US"/>
        </w:rPr>
        <w:t xml:space="preserve">, 1999, </w:t>
      </w:r>
      <w:r w:rsidRPr="00012C3F">
        <w:rPr>
          <w:rFonts w:eastAsia="MS Mincho"/>
          <w:sz w:val="16"/>
          <w:szCs w:val="16"/>
          <w:lang w:val="en-US"/>
        </w:rPr>
        <w:t>para. 22.</w:t>
      </w:r>
    </w:p>
  </w:footnote>
  <w:footnote w:id="381">
    <w:p w14:paraId="5C725E6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UN, Human Rights Committee, Concluding observations with regard to Japan, CCPR/C/79/Add.102, November 19, 1998, para. 31.</w:t>
      </w:r>
    </w:p>
  </w:footnote>
  <w:footnote w:id="382">
    <w:p w14:paraId="2A9D6D1E"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UN, Human Rights Committee, Concluding observations with regard to Slovakia, CCPR/C/SVK/CO/3, April 20, 2011, para. 13.</w:t>
      </w:r>
    </w:p>
  </w:footnote>
  <w:footnote w:id="383">
    <w:p w14:paraId="746FD27D"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UN, Committee against Torture, Concluding observations with regard to Slovakia, CAT/C/SVK/CO/2, December 17,2009, para. 10; Committee against Torture, Concluding observations with regard to Peru, CAT/C/PER/CO/5-6, January 21, 2013, para. 15, and Committee against Torture, Concluding observations with regard to Kenya, CAT/C/KEN/CO/2, June 19, 2013, para. 27.</w:t>
      </w:r>
    </w:p>
  </w:footnote>
  <w:footnote w:id="384">
    <w:p w14:paraId="00EB0744"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UN, Committee on Economic, Social and Cultural Rights, General Comment No. 22, </w:t>
      </w:r>
      <w:r w:rsidRPr="00012C3F">
        <w:rPr>
          <w:i/>
          <w:iCs/>
          <w:sz w:val="16"/>
          <w:szCs w:val="16"/>
          <w:lang w:val="en-US"/>
        </w:rPr>
        <w:t>El derecho a sexual and reproductive health</w:t>
      </w:r>
      <w:r w:rsidRPr="00012C3F">
        <w:rPr>
          <w:sz w:val="16"/>
          <w:szCs w:val="16"/>
          <w:lang w:val="en-US"/>
        </w:rPr>
        <w:t>, March 4, 2016, para. 29.</w:t>
      </w:r>
    </w:p>
  </w:footnote>
  <w:footnote w:id="385">
    <w:p w14:paraId="538266F0"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UN, Report of the Special Rapporteur on torture and other cruel, inhuman or degrading treatment or punishment, Juan E. Méndez, A/HRC/31/57, January 5, 2016, para. 72.e).</w:t>
      </w:r>
    </w:p>
  </w:footnote>
  <w:footnote w:id="386">
    <w:p w14:paraId="4CB3D79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rFonts w:eastAsia="MS Mincho"/>
          <w:sz w:val="16"/>
          <w:szCs w:val="16"/>
          <w:lang w:val="en-US" w:bidi="en-US"/>
        </w:rPr>
        <w:t>United Nations Interagency Statement “Eliminating forced, coercive and otherwise involuntary sterilization," adopted by OHCHR, UN Women, UNAIDS, UNDP, UNFPA, UNICEF and WHO, 2014</w:t>
      </w:r>
      <w:r w:rsidRPr="00012C3F">
        <w:rPr>
          <w:sz w:val="16"/>
          <w:szCs w:val="16"/>
          <w:lang w:val="en-US"/>
        </w:rPr>
        <w:t xml:space="preserve"> (evidence file, volume VIII, annex 25 to the brief with motions, pleadings and evidence, folio 2459).</w:t>
      </w:r>
    </w:p>
  </w:footnote>
  <w:footnote w:id="387">
    <w:p w14:paraId="2A63597C"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 xml:space="preserve">OAS, </w:t>
      </w:r>
      <w:r w:rsidRPr="00012C3F">
        <w:rPr>
          <w:rFonts w:eastAsia="MS Mincho"/>
          <w:sz w:val="16"/>
          <w:szCs w:val="16"/>
          <w:lang w:val="en-US"/>
        </w:rPr>
        <w:t>Second Hemispheric Report on the Implementation of</w:t>
      </w:r>
      <w:r w:rsidRPr="00012C3F">
        <w:rPr>
          <w:rFonts w:eastAsia="MS Mincho"/>
          <w:lang w:val="en-US"/>
        </w:rPr>
        <w:t xml:space="preserve"> </w:t>
      </w:r>
      <w:r w:rsidRPr="00012C3F">
        <w:rPr>
          <w:sz w:val="16"/>
          <w:szCs w:val="16"/>
          <w:lang w:val="en-US"/>
        </w:rPr>
        <w:t>the Convention of Belém do Pará, Mechanism to Follow Up on the Implementation of the Inter-American Convention for the Prevention, Punishment and Eradication of Violence against Women (MESECVI), April 2012, p. 43, Available at:</w:t>
      </w:r>
      <w:r w:rsidRPr="00012C3F">
        <w:rPr>
          <w:lang w:val="en-US"/>
        </w:rPr>
        <w:t xml:space="preserve"> </w:t>
      </w:r>
      <w:hyperlink r:id="rId1" w:history="1">
        <w:r w:rsidRPr="00012C3F">
          <w:rPr>
            <w:rStyle w:val="Hipervnculo"/>
            <w:sz w:val="16"/>
            <w:szCs w:val="16"/>
            <w:lang w:val="en-US"/>
          </w:rPr>
          <w:t>https://www.oas.org/es/mesecvi/docs/MESECVI-SegundoInformeHemisferico-EN.pdf</w:t>
        </w:r>
      </w:hyperlink>
      <w:r w:rsidRPr="00012C3F">
        <w:rPr>
          <w:sz w:val="16"/>
          <w:szCs w:val="16"/>
          <w:lang w:val="en-US"/>
        </w:rPr>
        <w:t>.</w:t>
      </w:r>
    </w:p>
  </w:footnote>
  <w:footnote w:id="388">
    <w:p w14:paraId="406CAD68"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 xml:space="preserve">ECHR, </w:t>
      </w:r>
      <w:r w:rsidRPr="00012C3F">
        <w:rPr>
          <w:rFonts w:cs="Arial"/>
          <w:i/>
          <w:sz w:val="16"/>
          <w:szCs w:val="16"/>
          <w:lang w:val="en-US"/>
        </w:rPr>
        <w:t>Case of</w:t>
      </w:r>
      <w:r w:rsidRPr="00012C3F">
        <w:rPr>
          <w:rFonts w:cs="Arial"/>
          <w:sz w:val="16"/>
          <w:szCs w:val="16"/>
          <w:lang w:val="en-US"/>
        </w:rPr>
        <w:t xml:space="preserve"> </w:t>
      </w:r>
      <w:r w:rsidRPr="00012C3F">
        <w:rPr>
          <w:i/>
          <w:sz w:val="16"/>
          <w:szCs w:val="16"/>
          <w:lang w:val="en-US"/>
        </w:rPr>
        <w:t>V.C. v. Slovakia</w:t>
      </w:r>
      <w:r w:rsidRPr="00012C3F">
        <w:rPr>
          <w:sz w:val="16"/>
          <w:szCs w:val="16"/>
          <w:lang w:val="en-US"/>
        </w:rPr>
        <w:t xml:space="preserve">, No. 18968/07. Judgment of November 8, 2011, paras. 123 to 125. Similarly, </w:t>
      </w:r>
      <w:r w:rsidRPr="00012C3F">
        <w:rPr>
          <w:i/>
          <w:sz w:val="16"/>
          <w:szCs w:val="16"/>
          <w:lang w:val="en-US"/>
        </w:rPr>
        <w:t>Case of N.B. v. Slovakia</w:t>
      </w:r>
      <w:r w:rsidRPr="00012C3F">
        <w:rPr>
          <w:sz w:val="16"/>
          <w:szCs w:val="16"/>
          <w:lang w:val="en-US"/>
        </w:rPr>
        <w:t xml:space="preserve">, No. 29518/10. Judgment of June 12, 2012, para. 84, and </w:t>
      </w:r>
      <w:r w:rsidRPr="00012C3F">
        <w:rPr>
          <w:i/>
          <w:sz w:val="16"/>
          <w:szCs w:val="16"/>
          <w:lang w:val="en-US"/>
        </w:rPr>
        <w:t>Case of I.G., M.K. and R.H. v. Slovakia</w:t>
      </w:r>
      <w:r w:rsidRPr="00012C3F">
        <w:rPr>
          <w:sz w:val="16"/>
          <w:szCs w:val="16"/>
          <w:lang w:val="en-US"/>
        </w:rPr>
        <w:t>, No. 15966/04. Judgment of November 13, 2012, para. 129 (evidence file, volume VIII, annexes 26, 27 and 28 to the brief with motions, pleadings and evidence, folios 2474 to 2577).</w:t>
      </w:r>
    </w:p>
  </w:footnote>
  <w:footnote w:id="389">
    <w:p w14:paraId="244553F0" w14:textId="77777777" w:rsidR="00D24EFE" w:rsidRPr="00012C3F" w:rsidRDefault="00D24EFE" w:rsidP="005B52E1">
      <w:pPr>
        <w:tabs>
          <w:tab w:val="left" w:pos="567"/>
        </w:tabs>
        <w:autoSpaceDE w:val="0"/>
        <w:autoSpaceDN w:val="0"/>
        <w:spacing w:after="120" w:line="240" w:lineRule="auto"/>
        <w:rPr>
          <w:sz w:val="16"/>
          <w:szCs w:val="16"/>
          <w:lang w:val="en-US" w:eastAsia="es-ES"/>
        </w:rPr>
      </w:pPr>
      <w:r w:rsidRPr="00012C3F">
        <w:rPr>
          <w:rStyle w:val="Refdenotaalpie"/>
          <w:sz w:val="16"/>
          <w:szCs w:val="16"/>
          <w:lang w:val="en-US"/>
        </w:rPr>
        <w:footnoteRef/>
      </w:r>
      <w:r w:rsidRPr="00D24EFE">
        <w:rPr>
          <w:sz w:val="16"/>
          <w:szCs w:val="16"/>
        </w:rPr>
        <w:t xml:space="preserve"> </w:t>
      </w:r>
      <w:r w:rsidRPr="00D24EFE">
        <w:rPr>
          <w:sz w:val="16"/>
          <w:szCs w:val="16"/>
        </w:rPr>
        <w:tab/>
      </w:r>
      <w:r w:rsidRPr="00D24EFE">
        <w:rPr>
          <w:i/>
          <w:sz w:val="16"/>
          <w:szCs w:val="16"/>
        </w:rPr>
        <w:t>Cf.</w:t>
      </w:r>
      <w:r w:rsidRPr="00D24EFE">
        <w:rPr>
          <w:sz w:val="16"/>
          <w:szCs w:val="16"/>
        </w:rPr>
        <w:t xml:space="preserve"> </w:t>
      </w:r>
      <w:r w:rsidRPr="00D24EFE">
        <w:rPr>
          <w:i/>
          <w:sz w:val="16"/>
          <w:szCs w:val="16"/>
        </w:rPr>
        <w:t xml:space="preserve">Case of García Prieto et al. v. El Salvador. </w:t>
      </w:r>
      <w:r w:rsidRPr="00012C3F">
        <w:rPr>
          <w:i/>
          <w:sz w:val="16"/>
          <w:szCs w:val="16"/>
          <w:lang w:val="en-US"/>
        </w:rPr>
        <w:t>Preliminary objection, merits, reparations and costs</w:t>
      </w:r>
      <w:r w:rsidRPr="00012C3F">
        <w:rPr>
          <w:sz w:val="16"/>
          <w:szCs w:val="16"/>
          <w:lang w:val="en-US"/>
        </w:rPr>
        <w:t xml:space="preserve">. Judgment of November 20, 2007. Series C No. 168, para. 104, and </w:t>
      </w:r>
      <w:r w:rsidRPr="00012C3F">
        <w:rPr>
          <w:rFonts w:cs="Courier New"/>
          <w:i/>
          <w:noProof/>
          <w:sz w:val="16"/>
          <w:szCs w:val="16"/>
          <w:lang w:val="en-US"/>
        </w:rPr>
        <w:t>Case of Velásquez Paiz et al. v. Guatemala, supra</w:t>
      </w:r>
      <w:r w:rsidRPr="00012C3F">
        <w:rPr>
          <w:rFonts w:cs="Courier New"/>
          <w:noProof/>
          <w:sz w:val="16"/>
          <w:szCs w:val="16"/>
          <w:lang w:val="en-US"/>
        </w:rPr>
        <w:t>, para. 144</w:t>
      </w:r>
      <w:r w:rsidRPr="00012C3F">
        <w:rPr>
          <w:sz w:val="16"/>
          <w:szCs w:val="16"/>
          <w:lang w:val="en-US" w:eastAsia="es-ES"/>
        </w:rPr>
        <w:t>.</w:t>
      </w:r>
    </w:p>
  </w:footnote>
  <w:footnote w:id="390">
    <w:p w14:paraId="12B1D9E9" w14:textId="77777777" w:rsidR="00D24EFE" w:rsidRPr="00012C3F" w:rsidRDefault="00D24EFE" w:rsidP="00DB57C0">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The Preamble to the Constitution of the World Health Organization, which was adopted by the International Health Conference held in New York from June 19 to July 22, 1046, signed on July 22, 1946 and entered into force on April 7, 1948, defines health as “a state of complete physical, mental and social well-being and not merely the absence of disease or infirmity.”</w:t>
      </w:r>
    </w:p>
  </w:footnote>
  <w:footnote w:id="391">
    <w:p w14:paraId="4C016A34"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rFonts w:cs="Verdana"/>
          <w:i/>
          <w:iCs/>
          <w:sz w:val="16"/>
          <w:szCs w:val="16"/>
          <w:lang w:val="es-CR"/>
        </w:rPr>
        <w:t>Case of Velásquez Rodríguez v. Honduras</w:t>
      </w:r>
      <w:r w:rsidRPr="00D24EFE">
        <w:rPr>
          <w:rFonts w:cs="Verdana"/>
          <w:sz w:val="16"/>
          <w:szCs w:val="16"/>
          <w:lang w:val="es-CR"/>
        </w:rPr>
        <w:t xml:space="preserve">. </w:t>
      </w:r>
      <w:r w:rsidRPr="00D24EFE">
        <w:rPr>
          <w:rFonts w:cs="Verdana"/>
          <w:i/>
          <w:sz w:val="16"/>
          <w:szCs w:val="16"/>
          <w:lang w:val="es-CR"/>
        </w:rPr>
        <w:t>Merits</w:t>
      </w:r>
      <w:r w:rsidRPr="00D24EFE">
        <w:rPr>
          <w:rFonts w:cs="Verdana"/>
          <w:sz w:val="16"/>
          <w:szCs w:val="16"/>
          <w:lang w:val="es-CR"/>
        </w:rPr>
        <w:t xml:space="preserve">, </w:t>
      </w:r>
      <w:r w:rsidRPr="00D24EFE">
        <w:rPr>
          <w:rFonts w:cs="Verdana"/>
          <w:i/>
          <w:iCs/>
          <w:sz w:val="16"/>
          <w:szCs w:val="16"/>
          <w:lang w:val="es-CR"/>
        </w:rPr>
        <w:t>supra</w:t>
      </w:r>
      <w:r w:rsidRPr="00D24EFE">
        <w:rPr>
          <w:rFonts w:cs="Verdana"/>
          <w:sz w:val="16"/>
          <w:szCs w:val="16"/>
          <w:lang w:val="es-CR"/>
        </w:rPr>
        <w:t xml:space="preserve">, para. 177, and </w:t>
      </w:r>
      <w:r w:rsidRPr="00D24EFE">
        <w:rPr>
          <w:rFonts w:cs="Courier New"/>
          <w:i/>
          <w:noProof/>
          <w:sz w:val="16"/>
          <w:szCs w:val="16"/>
          <w:lang w:val="es-CR"/>
        </w:rPr>
        <w:t>Case of Quispialaya Vilcapoma v. Peru, supra</w:t>
      </w:r>
      <w:r w:rsidRPr="00D24EFE">
        <w:rPr>
          <w:rFonts w:cs="Courier New"/>
          <w:noProof/>
          <w:sz w:val="16"/>
          <w:szCs w:val="16"/>
          <w:lang w:val="es-CR"/>
        </w:rPr>
        <w:t xml:space="preserve">, para. </w:t>
      </w:r>
      <w:r w:rsidRPr="00012C3F">
        <w:rPr>
          <w:rFonts w:cs="Courier New"/>
          <w:noProof/>
          <w:sz w:val="16"/>
          <w:szCs w:val="16"/>
          <w:lang w:val="en-US"/>
        </w:rPr>
        <w:t>161</w:t>
      </w:r>
      <w:r w:rsidRPr="00012C3F">
        <w:rPr>
          <w:bCs/>
          <w:sz w:val="16"/>
          <w:szCs w:val="16"/>
          <w:lang w:val="en-US"/>
        </w:rPr>
        <w:t>.</w:t>
      </w:r>
    </w:p>
  </w:footnote>
  <w:footnote w:id="392">
    <w:p w14:paraId="6D542D52" w14:textId="77777777" w:rsidR="00D24EFE" w:rsidRPr="00012C3F" w:rsidRDefault="00D24EFE" w:rsidP="005B52E1">
      <w:pPr>
        <w:tabs>
          <w:tab w:val="left" w:pos="567"/>
        </w:tabs>
        <w:spacing w:after="120" w:line="240" w:lineRule="auto"/>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bCs/>
          <w:i/>
          <w:sz w:val="16"/>
          <w:szCs w:val="16"/>
          <w:lang w:val="en-US"/>
        </w:rPr>
        <w:t xml:space="preserve">Case of the Serrano Cruz Sisters v. El Salvador. </w:t>
      </w:r>
      <w:r w:rsidRPr="00012C3F">
        <w:rPr>
          <w:i/>
          <w:sz w:val="16"/>
          <w:szCs w:val="16"/>
          <w:lang w:val="en-US"/>
        </w:rPr>
        <w:t>Merits reparations and costs.</w:t>
      </w:r>
      <w:r w:rsidRPr="00012C3F">
        <w:rPr>
          <w:sz w:val="16"/>
          <w:szCs w:val="16"/>
          <w:lang w:val="en-US"/>
        </w:rPr>
        <w:t xml:space="preserve"> Judgment of March 1, 2005. Series C No. 120, para. 83, and </w:t>
      </w:r>
      <w:r w:rsidRPr="00012C3F">
        <w:rPr>
          <w:rFonts w:cs="Courier New"/>
          <w:i/>
          <w:noProof/>
          <w:sz w:val="16"/>
          <w:szCs w:val="16"/>
          <w:lang w:val="en-US"/>
        </w:rPr>
        <w:t>Case of Velásquez Paiz et al. v. Guatemala, supra</w:t>
      </w:r>
      <w:r w:rsidRPr="00012C3F">
        <w:rPr>
          <w:rFonts w:cs="Courier New"/>
          <w:noProof/>
          <w:sz w:val="16"/>
          <w:szCs w:val="16"/>
          <w:lang w:val="en-US"/>
        </w:rPr>
        <w:t>, para. 143</w:t>
      </w:r>
      <w:r w:rsidRPr="00012C3F">
        <w:rPr>
          <w:bCs/>
          <w:sz w:val="16"/>
          <w:szCs w:val="16"/>
          <w:lang w:val="en-US"/>
        </w:rPr>
        <w:t>.</w:t>
      </w:r>
    </w:p>
  </w:footnote>
  <w:footnote w:id="393">
    <w:p w14:paraId="515B9A39"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iCs/>
          <w:sz w:val="16"/>
          <w:szCs w:val="16"/>
          <w:lang w:val="en-US"/>
        </w:rPr>
        <w:t xml:space="preserve">Brief requesting the annulment of the constitution of the lay court of April 15, </w:t>
      </w:r>
      <w:r w:rsidRPr="00012C3F">
        <w:rPr>
          <w:sz w:val="16"/>
          <w:szCs w:val="16"/>
          <w:lang w:val="en-US"/>
        </w:rPr>
        <w:t xml:space="preserve">2003 (evidence file, volume X, annex 26 to the answering brief, folio 3702), and Brief submitted by Dr. Raúl Gaston Huaylla Rivera, Technical Judge of the First Trial Court, in the case FIS </w:t>
      </w:r>
      <w:r w:rsidRPr="00012C3F">
        <w:rPr>
          <w:rFonts w:cs="Arial"/>
          <w:sz w:val="16"/>
          <w:szCs w:val="16"/>
          <w:lang w:val="en-US"/>
        </w:rPr>
        <w:t xml:space="preserve">No. </w:t>
      </w:r>
      <w:r w:rsidRPr="00012C3F">
        <w:rPr>
          <w:sz w:val="16"/>
          <w:szCs w:val="16"/>
          <w:lang w:val="en-US"/>
        </w:rPr>
        <w:t>894, of May 9, 2003 (evidence file, volume VII, annex 29 to the submission of the case, folio 2209).</w:t>
      </w:r>
    </w:p>
  </w:footnote>
  <w:footnote w:id="394">
    <w:p w14:paraId="42386B3A" w14:textId="77777777" w:rsidR="00D24EFE" w:rsidRPr="00012C3F" w:rsidRDefault="00D24EFE" w:rsidP="005B52E1">
      <w:pPr>
        <w:pStyle w:val="Textonotapie"/>
        <w:tabs>
          <w:tab w:val="left" w:pos="567"/>
          <w:tab w:val="left" w:pos="720"/>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rFonts w:cs="Vrinda"/>
          <w:i/>
          <w:sz w:val="16"/>
          <w:szCs w:val="16"/>
          <w:lang w:val="en-US"/>
        </w:rPr>
        <w:t xml:space="preserve">Cf. </w:t>
      </w:r>
      <w:r w:rsidRPr="00012C3F">
        <w:rPr>
          <w:i/>
          <w:sz w:val="16"/>
          <w:szCs w:val="16"/>
          <w:lang w:val="en-US"/>
        </w:rPr>
        <w:t xml:space="preserve">Case of González et al. </w:t>
      </w:r>
      <w:r w:rsidRPr="00D24EFE">
        <w:rPr>
          <w:i/>
          <w:sz w:val="16"/>
          <w:szCs w:val="16"/>
          <w:lang w:val="es-CR"/>
        </w:rPr>
        <w:t>(“Cotton Field”) v. Mexico, supra,</w:t>
      </w:r>
      <w:r w:rsidRPr="00D24EFE">
        <w:rPr>
          <w:sz w:val="16"/>
          <w:szCs w:val="16"/>
          <w:lang w:val="es-CR"/>
        </w:rPr>
        <w:t xml:space="preserve"> paras. </w:t>
      </w:r>
      <w:r w:rsidRPr="00012C3F">
        <w:rPr>
          <w:sz w:val="16"/>
          <w:szCs w:val="16"/>
          <w:lang w:val="en-US"/>
        </w:rPr>
        <w:t xml:space="preserve">388 and 400, and </w:t>
      </w:r>
      <w:r w:rsidRPr="00012C3F">
        <w:rPr>
          <w:rFonts w:cs="Courier New"/>
          <w:i/>
          <w:noProof/>
          <w:sz w:val="16"/>
          <w:szCs w:val="16"/>
          <w:lang w:val="en-US"/>
        </w:rPr>
        <w:t>Case of Velásquez Paiz et al. v. Guatemala, supra</w:t>
      </w:r>
      <w:r w:rsidRPr="00012C3F">
        <w:rPr>
          <w:rFonts w:cs="Courier New"/>
          <w:noProof/>
          <w:sz w:val="16"/>
          <w:szCs w:val="16"/>
          <w:lang w:val="en-US"/>
        </w:rPr>
        <w:t>, para. 176</w:t>
      </w:r>
      <w:r w:rsidRPr="00012C3F">
        <w:rPr>
          <w:sz w:val="16"/>
          <w:szCs w:val="16"/>
          <w:lang w:val="en-US"/>
        </w:rPr>
        <w:t>.</w:t>
      </w:r>
    </w:p>
  </w:footnote>
  <w:footnote w:id="395">
    <w:p w14:paraId="097666D7"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During the domestic oral trial, when asked if he had felt pressured during the investigation, J.E. stated that “[f]</w:t>
      </w:r>
      <w:proofErr w:type="spellStart"/>
      <w:r w:rsidRPr="00012C3F">
        <w:rPr>
          <w:sz w:val="16"/>
          <w:szCs w:val="16"/>
          <w:lang w:val="en-US"/>
        </w:rPr>
        <w:t>rom</w:t>
      </w:r>
      <w:proofErr w:type="spellEnd"/>
      <w:r w:rsidRPr="00012C3F">
        <w:rPr>
          <w:sz w:val="16"/>
          <w:szCs w:val="16"/>
          <w:lang w:val="en-US"/>
        </w:rPr>
        <w:t xml:space="preserve"> the start of the investigation, I believe this was so; I was summoned by the Immigration Directorate to inquire about my presence […]. [After some inquiries had been made], the report indicated by the representative of the Directorate […] indicated that they were investigating my legal residence status at the request of Dr. Edgar Torrico. During the proceedings, my wife received telephone calls and threats, when the preceding trial ended, we were photographed by someone […], who was a member of the police force […].” Statement made by J.E. on July 27, 2004, according to the record of the oral hearing issued by the Copacabana Trial Court (evidence file, volume XII, annex 1(c)) to the State’s final arguments, folio 4757). See also, </w:t>
      </w:r>
      <w:r w:rsidRPr="00012C3F">
        <w:rPr>
          <w:rStyle w:val="st"/>
          <w:rFonts w:eastAsia="Calibri"/>
          <w:sz w:val="16"/>
          <w:szCs w:val="16"/>
          <w:lang w:val="en-US"/>
        </w:rPr>
        <w:t>the Committee on the Protection of the Rights of All Migrant Workers and Members of their Families</w:t>
      </w:r>
      <w:r w:rsidRPr="00012C3F">
        <w:rPr>
          <w:rStyle w:val="st"/>
          <w:rFonts w:eastAsia="Calibri"/>
          <w:lang w:val="en-US"/>
        </w:rPr>
        <w:t xml:space="preserve"> </w:t>
      </w:r>
      <w:r w:rsidRPr="00012C3F">
        <w:rPr>
          <w:sz w:val="16"/>
          <w:szCs w:val="16"/>
          <w:lang w:val="en-US"/>
        </w:rPr>
        <w:t>(CMW), Consideration of reports submitted by States Parties under Article 73 of the Convention, List of issues to be taken up in connection with the consideration of the initial report of Bolivia, CMW/C/BOL/Q/1, November 30, 2007, para. 11 (evidence file, volume VIII, annex 40 to the brief with motions, pleadings and evidence, folios 2716 to 2720).</w:t>
      </w:r>
    </w:p>
  </w:footnote>
  <w:footnote w:id="396">
    <w:p w14:paraId="1E54069F" w14:textId="77777777" w:rsidR="00D24EFE" w:rsidRPr="00012C3F" w:rsidRDefault="00D24EFE" w:rsidP="005B52E1">
      <w:pPr>
        <w:pStyle w:val="Textonotapie"/>
        <w:tabs>
          <w:tab w:val="left" w:pos="567"/>
        </w:tabs>
        <w:spacing w:after="120"/>
        <w:rPr>
          <w:i/>
          <w:sz w:val="16"/>
          <w:szCs w:val="16"/>
          <w:lang w:val="en-US"/>
        </w:rPr>
      </w:pPr>
      <w:r w:rsidRPr="00012C3F">
        <w:rPr>
          <w:rStyle w:val="Refdenotaalpie"/>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rFonts w:cs="Courier New"/>
          <w:i/>
          <w:noProof/>
          <w:sz w:val="16"/>
          <w:szCs w:val="16"/>
          <w:lang w:val="es-CR"/>
        </w:rPr>
        <w:t>Case of Gonzales Lluy et al. v. Ecuador, supra</w:t>
      </w:r>
      <w:r w:rsidRPr="00D24EFE">
        <w:rPr>
          <w:rFonts w:cs="Courier New"/>
          <w:noProof/>
          <w:sz w:val="16"/>
          <w:szCs w:val="16"/>
          <w:lang w:val="es-CR"/>
        </w:rPr>
        <w:t xml:space="preserve">, para. </w:t>
      </w:r>
      <w:r w:rsidRPr="00012C3F">
        <w:rPr>
          <w:rFonts w:cs="Courier New"/>
          <w:noProof/>
          <w:sz w:val="16"/>
          <w:szCs w:val="16"/>
          <w:lang w:val="en-US"/>
        </w:rPr>
        <w:t>290.</w:t>
      </w:r>
    </w:p>
  </w:footnote>
  <w:footnote w:id="397">
    <w:p w14:paraId="188EC44D"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t>Article 63(1) of the Convention stipulates that “[i]</w:t>
      </w:r>
      <w:r w:rsidRPr="00012C3F">
        <w:rPr>
          <w:spacing w:val="-3"/>
          <w:sz w:val="16"/>
          <w:szCs w:val="16"/>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012C3F">
        <w:rPr>
          <w:sz w:val="16"/>
          <w:szCs w:val="16"/>
          <w:lang w:val="en-US"/>
        </w:rPr>
        <w:t>”</w:t>
      </w:r>
    </w:p>
  </w:footnote>
  <w:footnote w:id="398">
    <w:p w14:paraId="380D7CD7"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bCs/>
          <w:i/>
          <w:sz w:val="16"/>
          <w:szCs w:val="16"/>
          <w:lang w:val="es-CR"/>
        </w:rPr>
        <w:t xml:space="preserve"> Case of Velásquez Rodríguez v. Honduras. </w:t>
      </w:r>
      <w:r w:rsidRPr="00012C3F">
        <w:rPr>
          <w:i/>
          <w:sz w:val="16"/>
          <w:szCs w:val="16"/>
          <w:lang w:val="en-US"/>
        </w:rPr>
        <w:t>Reparations and costs</w:t>
      </w:r>
      <w:r w:rsidRPr="00012C3F">
        <w:rPr>
          <w:sz w:val="16"/>
          <w:szCs w:val="16"/>
          <w:lang w:val="en-US"/>
        </w:rPr>
        <w:t xml:space="preserve">. Judgment of July 21, 1989. </w:t>
      </w:r>
      <w:r w:rsidRPr="00D24EFE">
        <w:rPr>
          <w:sz w:val="16"/>
          <w:szCs w:val="16"/>
          <w:lang w:val="es-CR"/>
        </w:rPr>
        <w:t xml:space="preserve">Series C No. 7, para. 25, and </w:t>
      </w:r>
      <w:r w:rsidRPr="00D24EFE">
        <w:rPr>
          <w:i/>
          <w:sz w:val="16"/>
          <w:szCs w:val="16"/>
          <w:lang w:val="es-CR"/>
        </w:rPr>
        <w:t>Case of Herrera Espinoza et al. v. Ecuador, supra</w:t>
      </w:r>
      <w:r w:rsidRPr="00D24EFE">
        <w:rPr>
          <w:sz w:val="16"/>
          <w:szCs w:val="16"/>
          <w:lang w:val="es-CR"/>
        </w:rPr>
        <w:t>, para. 210</w:t>
      </w:r>
      <w:r w:rsidRPr="00D24EFE">
        <w:rPr>
          <w:bCs/>
          <w:sz w:val="16"/>
          <w:szCs w:val="16"/>
          <w:lang w:val="es-CR"/>
        </w:rPr>
        <w:t>.</w:t>
      </w:r>
    </w:p>
  </w:footnote>
  <w:footnote w:id="399">
    <w:p w14:paraId="787B06CA" w14:textId="77777777" w:rsidR="00D24EFE" w:rsidRPr="00012C3F" w:rsidRDefault="00D24EFE" w:rsidP="005B52E1">
      <w:pPr>
        <w:tabs>
          <w:tab w:val="left" w:pos="567"/>
        </w:tabs>
        <w:spacing w:after="120" w:line="240" w:lineRule="auto"/>
        <w:ind w:right="-90"/>
        <w:rPr>
          <w:sz w:val="16"/>
          <w:szCs w:val="16"/>
          <w:lang w:val="en-US"/>
        </w:rPr>
      </w:pPr>
      <w:r w:rsidRPr="00012C3F">
        <w:rPr>
          <w:rStyle w:val="Refdenotaalpie"/>
          <w:rFonts w:eastAsia="MS Mincho"/>
          <w:sz w:val="16"/>
          <w:szCs w:val="16"/>
          <w:lang w:val="en-US"/>
        </w:rPr>
        <w:footnoteRef/>
      </w:r>
      <w:r w:rsidRPr="00D24EFE">
        <w:rPr>
          <w:sz w:val="16"/>
          <w:szCs w:val="16"/>
        </w:rPr>
        <w:t xml:space="preserve"> </w:t>
      </w:r>
      <w:r w:rsidRPr="00D24EFE">
        <w:rPr>
          <w:sz w:val="16"/>
          <w:szCs w:val="16"/>
        </w:rPr>
        <w:tab/>
      </w:r>
      <w:r w:rsidRPr="00D24EFE">
        <w:rPr>
          <w:i/>
          <w:sz w:val="16"/>
          <w:szCs w:val="16"/>
        </w:rPr>
        <w:t>Cf.</w:t>
      </w:r>
      <w:r w:rsidRPr="00D24EFE">
        <w:rPr>
          <w:bCs/>
          <w:i/>
          <w:sz w:val="16"/>
          <w:szCs w:val="16"/>
        </w:rPr>
        <w:t xml:space="preserve"> Case of Velásquez Rodríguez v. Honduras. </w:t>
      </w:r>
      <w:r w:rsidRPr="00D24EFE">
        <w:rPr>
          <w:i/>
          <w:sz w:val="16"/>
          <w:szCs w:val="16"/>
        </w:rPr>
        <w:t>Reparations and costs, supra</w:t>
      </w:r>
      <w:r w:rsidRPr="00D24EFE">
        <w:rPr>
          <w:sz w:val="16"/>
          <w:szCs w:val="16"/>
        </w:rPr>
        <w:t xml:space="preserve">, para. 26, and </w:t>
      </w:r>
      <w:r w:rsidRPr="00D24EFE">
        <w:rPr>
          <w:i/>
          <w:sz w:val="16"/>
          <w:szCs w:val="16"/>
        </w:rPr>
        <w:t>Case of Herrera Espinoza et al. v. Ecuador, supra</w:t>
      </w:r>
      <w:r w:rsidRPr="00D24EFE">
        <w:rPr>
          <w:sz w:val="16"/>
          <w:szCs w:val="16"/>
        </w:rPr>
        <w:t xml:space="preserve">, para. </w:t>
      </w:r>
      <w:r w:rsidRPr="00012C3F">
        <w:rPr>
          <w:sz w:val="16"/>
          <w:szCs w:val="16"/>
          <w:lang w:val="en-US"/>
        </w:rPr>
        <w:t>210.</w:t>
      </w:r>
    </w:p>
  </w:footnote>
  <w:footnote w:id="400">
    <w:p w14:paraId="22C0668D" w14:textId="77777777" w:rsidR="00D24EFE" w:rsidRPr="00012C3F" w:rsidRDefault="00D24EFE" w:rsidP="005B52E1">
      <w:pPr>
        <w:tabs>
          <w:tab w:val="left" w:pos="567"/>
        </w:tabs>
        <w:spacing w:after="120" w:line="240" w:lineRule="auto"/>
        <w:ind w:right="-9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bCs/>
          <w:i/>
          <w:sz w:val="16"/>
          <w:szCs w:val="16"/>
          <w:lang w:val="en-US"/>
        </w:rPr>
        <w:t xml:space="preserve"> Case of Cantoral Benavides v. Peru. </w:t>
      </w:r>
      <w:r w:rsidRPr="00012C3F">
        <w:rPr>
          <w:i/>
          <w:sz w:val="16"/>
          <w:szCs w:val="16"/>
          <w:lang w:val="en-US"/>
        </w:rPr>
        <w:t>Reparations and costs</w:t>
      </w:r>
      <w:r w:rsidRPr="00012C3F">
        <w:rPr>
          <w:sz w:val="16"/>
          <w:szCs w:val="16"/>
          <w:lang w:val="en-US"/>
        </w:rPr>
        <w:t xml:space="preserve">. Judgment of December 3, 2001. Series C No. 88, paras. 79 to 81, and </w:t>
      </w:r>
      <w:r w:rsidRPr="00012C3F">
        <w:rPr>
          <w:i/>
          <w:sz w:val="16"/>
          <w:szCs w:val="16"/>
          <w:lang w:val="en-US"/>
        </w:rPr>
        <w:t>Case of Herrera Espinoza et al. v. Ecuador, supra</w:t>
      </w:r>
      <w:r w:rsidRPr="00012C3F">
        <w:rPr>
          <w:sz w:val="16"/>
          <w:szCs w:val="16"/>
          <w:lang w:val="en-US"/>
        </w:rPr>
        <w:t>, para. 214.</w:t>
      </w:r>
    </w:p>
  </w:footnote>
  <w:footnote w:id="401">
    <w:p w14:paraId="4A2AE9BE"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Ticona Estrada v. Bolivia. Merits reparations and costs. </w:t>
      </w:r>
      <w:r w:rsidRPr="00012C3F">
        <w:rPr>
          <w:sz w:val="16"/>
          <w:szCs w:val="16"/>
          <w:lang w:val="en-US"/>
        </w:rPr>
        <w:t xml:space="preserve">Judgment of November 27, 2008. </w:t>
      </w:r>
      <w:r w:rsidRPr="00D24EFE">
        <w:rPr>
          <w:sz w:val="16"/>
          <w:szCs w:val="16"/>
          <w:lang w:val="es-CR"/>
        </w:rPr>
        <w:t>Series C No. 191, para. 110,</w:t>
      </w:r>
      <w:r w:rsidRPr="00D24EFE">
        <w:rPr>
          <w:i/>
          <w:sz w:val="16"/>
          <w:szCs w:val="16"/>
          <w:lang w:val="es-CR"/>
        </w:rPr>
        <w:t xml:space="preserve"> and Case of Herrera Espinoza et al. v. Ecuador, supra</w:t>
      </w:r>
      <w:r w:rsidRPr="00D24EFE">
        <w:rPr>
          <w:sz w:val="16"/>
          <w:szCs w:val="16"/>
          <w:lang w:val="es-CR"/>
        </w:rPr>
        <w:t xml:space="preserve">, para. </w:t>
      </w:r>
      <w:r w:rsidRPr="00012C3F">
        <w:rPr>
          <w:sz w:val="16"/>
          <w:szCs w:val="16"/>
          <w:lang w:val="en-US"/>
        </w:rPr>
        <w:t>211.</w:t>
      </w:r>
    </w:p>
  </w:footnote>
  <w:footnote w:id="402">
    <w:p w14:paraId="6B55F28A"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Case of Velásquez Rodríguez. Reparations and costs, supra, </w:t>
      </w:r>
      <w:r w:rsidRPr="00012C3F">
        <w:rPr>
          <w:sz w:val="16"/>
          <w:szCs w:val="16"/>
          <w:lang w:val="en-US"/>
        </w:rPr>
        <w:t xml:space="preserve">paras. </w:t>
      </w:r>
      <w:r w:rsidRPr="00D24EFE">
        <w:rPr>
          <w:sz w:val="16"/>
          <w:szCs w:val="16"/>
          <w:lang w:val="es-CR"/>
        </w:rPr>
        <w:t xml:space="preserve">25 to 27, and </w:t>
      </w:r>
      <w:r w:rsidRPr="00D24EFE">
        <w:rPr>
          <w:i/>
          <w:sz w:val="16"/>
          <w:szCs w:val="16"/>
          <w:lang w:val="es-CR"/>
        </w:rPr>
        <w:t>Case of Herrera Espinoza et al. v. Ecuador, supra</w:t>
      </w:r>
      <w:r w:rsidRPr="00D24EFE">
        <w:rPr>
          <w:sz w:val="16"/>
          <w:szCs w:val="16"/>
          <w:lang w:val="es-CR"/>
        </w:rPr>
        <w:t xml:space="preserve">, para. </w:t>
      </w:r>
      <w:r w:rsidRPr="00012C3F">
        <w:rPr>
          <w:sz w:val="16"/>
          <w:szCs w:val="16"/>
          <w:lang w:val="en-US"/>
        </w:rPr>
        <w:t>213</w:t>
      </w:r>
      <w:r w:rsidRPr="00012C3F">
        <w:rPr>
          <w:bCs/>
          <w:sz w:val="16"/>
          <w:szCs w:val="16"/>
          <w:lang w:val="en-US"/>
        </w:rPr>
        <w:t>.</w:t>
      </w:r>
    </w:p>
  </w:footnote>
  <w:footnote w:id="403">
    <w:p w14:paraId="5B469423"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w:t>
      </w:r>
      <w:r w:rsidRPr="00012C3F">
        <w:rPr>
          <w:sz w:val="16"/>
          <w:szCs w:val="16"/>
          <w:lang w:val="en-US"/>
        </w:rPr>
        <w:t xml:space="preserve"> </w:t>
      </w:r>
      <w:r w:rsidRPr="00012C3F">
        <w:rPr>
          <w:i/>
          <w:sz w:val="16"/>
          <w:szCs w:val="16"/>
          <w:lang w:val="en-US"/>
        </w:rPr>
        <w:t>Case of Barrios Altos v. Peru</w:t>
      </w:r>
      <w:r w:rsidRPr="00012C3F">
        <w:rPr>
          <w:sz w:val="16"/>
          <w:szCs w:val="16"/>
          <w:lang w:val="en-US"/>
        </w:rPr>
        <w:t xml:space="preserve">. </w:t>
      </w:r>
      <w:r w:rsidRPr="00012C3F">
        <w:rPr>
          <w:i/>
          <w:sz w:val="16"/>
          <w:szCs w:val="16"/>
          <w:lang w:val="en-US"/>
        </w:rPr>
        <w:t>Reparations and costs.</w:t>
      </w:r>
      <w:r w:rsidRPr="00012C3F">
        <w:rPr>
          <w:sz w:val="16"/>
          <w:szCs w:val="16"/>
          <w:lang w:val="en-US"/>
        </w:rPr>
        <w:t xml:space="preserve"> Judgment of November 30, 2001. Series C No. 87, paras. 42 and 45, and </w:t>
      </w:r>
      <w:r w:rsidRPr="00012C3F">
        <w:rPr>
          <w:rStyle w:val="Textoennegrita"/>
          <w:b w:val="0"/>
          <w:i/>
          <w:sz w:val="16"/>
          <w:szCs w:val="16"/>
          <w:lang w:val="en-US"/>
        </w:rPr>
        <w:t>Case of Tenorio Roca et al. v. Peru, supra</w:t>
      </w:r>
      <w:r w:rsidRPr="00012C3F">
        <w:rPr>
          <w:rStyle w:val="Textoennegrita"/>
          <w:b w:val="0"/>
          <w:sz w:val="16"/>
          <w:szCs w:val="16"/>
          <w:lang w:val="en-US"/>
        </w:rPr>
        <w:t xml:space="preserve">, para. </w:t>
      </w:r>
      <w:r w:rsidRPr="00D24EFE">
        <w:rPr>
          <w:rStyle w:val="Textoennegrita"/>
          <w:b w:val="0"/>
          <w:sz w:val="16"/>
          <w:szCs w:val="16"/>
          <w:lang w:val="es-CR"/>
        </w:rPr>
        <w:t>284</w:t>
      </w:r>
      <w:r w:rsidRPr="00D24EFE">
        <w:rPr>
          <w:sz w:val="16"/>
          <w:szCs w:val="16"/>
          <w:lang w:val="es-CR"/>
        </w:rPr>
        <w:t>.</w:t>
      </w:r>
    </w:p>
  </w:footnote>
  <w:footnote w:id="404">
    <w:p w14:paraId="3DADF43B"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w:t>
      </w:r>
      <w:r w:rsidRPr="00D24EFE">
        <w:rPr>
          <w:sz w:val="16"/>
          <w:szCs w:val="16"/>
          <w:lang w:val="es-CR"/>
        </w:rPr>
        <w:t xml:space="preserve"> </w:t>
      </w:r>
      <w:r w:rsidRPr="00D24EFE">
        <w:rPr>
          <w:i/>
          <w:sz w:val="16"/>
          <w:szCs w:val="16"/>
          <w:lang w:val="es-CR"/>
        </w:rPr>
        <w:t>Fernández Ortega et al. v. Mexico, supra</w:t>
      </w:r>
      <w:r w:rsidRPr="00D24EFE">
        <w:rPr>
          <w:sz w:val="16"/>
          <w:szCs w:val="16"/>
          <w:lang w:val="es-CR"/>
        </w:rPr>
        <w:t xml:space="preserve">, para. 251, and </w:t>
      </w:r>
      <w:r w:rsidRPr="00D24EFE">
        <w:rPr>
          <w:i/>
          <w:sz w:val="16"/>
          <w:szCs w:val="16"/>
          <w:lang w:val="es-CR"/>
        </w:rPr>
        <w:t>Case of</w:t>
      </w:r>
      <w:r w:rsidRPr="00D24EFE">
        <w:rPr>
          <w:sz w:val="16"/>
          <w:szCs w:val="16"/>
          <w:lang w:val="es-CR"/>
        </w:rPr>
        <w:t xml:space="preserve"> </w:t>
      </w:r>
      <w:r w:rsidRPr="00D24EFE">
        <w:rPr>
          <w:i/>
          <w:sz w:val="16"/>
          <w:szCs w:val="16"/>
          <w:lang w:val="es-CR"/>
        </w:rPr>
        <w:t>Rosendo Cantú et al. v. Mexico, supra</w:t>
      </w:r>
      <w:r w:rsidRPr="00D24EFE">
        <w:rPr>
          <w:sz w:val="16"/>
          <w:szCs w:val="16"/>
          <w:lang w:val="es-CR"/>
        </w:rPr>
        <w:t>, para. 252.</w:t>
      </w:r>
    </w:p>
  </w:footnote>
  <w:footnote w:id="405">
    <w:p w14:paraId="557F5C64" w14:textId="77777777" w:rsidR="00D24EFE" w:rsidRPr="00D24EFE" w:rsidRDefault="00D24EFE" w:rsidP="005B52E1">
      <w:pPr>
        <w:pStyle w:val="Textonotapie"/>
        <w:tabs>
          <w:tab w:val="left" w:pos="567"/>
        </w:tabs>
        <w:spacing w:after="120"/>
        <w:rPr>
          <w:sz w:val="16"/>
          <w:szCs w:val="16"/>
          <w:lang w:val="es-CR"/>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 xml:space="preserve">Cf. </w:t>
      </w:r>
      <w:r w:rsidRPr="00D24EFE">
        <w:rPr>
          <w:bCs/>
          <w:i/>
          <w:color w:val="000000"/>
          <w:sz w:val="16"/>
          <w:szCs w:val="16"/>
          <w:lang w:val="es-CR"/>
        </w:rPr>
        <w:t xml:space="preserve">Case of </w:t>
      </w:r>
      <w:r w:rsidRPr="00D24EFE">
        <w:rPr>
          <w:i/>
          <w:sz w:val="16"/>
          <w:szCs w:val="16"/>
          <w:lang w:val="es-CR"/>
        </w:rPr>
        <w:t>Rosendo Cantú et al. v. Mexico, supra</w:t>
      </w:r>
      <w:r w:rsidRPr="00D24EFE">
        <w:rPr>
          <w:sz w:val="16"/>
          <w:szCs w:val="16"/>
          <w:lang w:val="es-CR"/>
        </w:rPr>
        <w:t xml:space="preserve">, para. 252, and </w:t>
      </w:r>
      <w:r w:rsidRPr="00D24EFE">
        <w:rPr>
          <w:bCs/>
          <w:i/>
          <w:color w:val="000000"/>
          <w:sz w:val="16"/>
          <w:szCs w:val="16"/>
          <w:lang w:val="es-CR"/>
        </w:rPr>
        <w:t>Artavia Murillo et al. (“In vitro fertilization”) v. Costa Rica, supra</w:t>
      </w:r>
      <w:r w:rsidRPr="00D24EFE">
        <w:rPr>
          <w:color w:val="000000"/>
          <w:sz w:val="16"/>
          <w:szCs w:val="16"/>
          <w:lang w:val="es-CR"/>
        </w:rPr>
        <w:t xml:space="preserve">, para. </w:t>
      </w:r>
      <w:r w:rsidRPr="00D24EFE">
        <w:rPr>
          <w:sz w:val="16"/>
          <w:szCs w:val="16"/>
          <w:lang w:val="es-CR"/>
        </w:rPr>
        <w:t>326.</w:t>
      </w:r>
    </w:p>
  </w:footnote>
  <w:footnote w:id="406">
    <w:p w14:paraId="120843D2"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 Case of Cantoral Benavides v. Peru. Reparations and costs, supra</w:t>
      </w:r>
      <w:r w:rsidRPr="00D24EFE">
        <w:rPr>
          <w:sz w:val="16"/>
          <w:szCs w:val="16"/>
          <w:lang w:val="es-CR"/>
        </w:rPr>
        <w:t xml:space="preserve">, para. 79, and </w:t>
      </w:r>
      <w:r w:rsidRPr="00D24EFE">
        <w:rPr>
          <w:i/>
          <w:sz w:val="16"/>
          <w:szCs w:val="16"/>
          <w:lang w:val="es-CR"/>
        </w:rPr>
        <w:t>Case of Herrera Espinoza et al. v. Ecuador, supra</w:t>
      </w:r>
      <w:r w:rsidRPr="00D24EFE">
        <w:rPr>
          <w:sz w:val="16"/>
          <w:szCs w:val="16"/>
          <w:lang w:val="es-CR"/>
        </w:rPr>
        <w:t xml:space="preserve">, para. </w:t>
      </w:r>
      <w:r w:rsidRPr="00012C3F">
        <w:rPr>
          <w:sz w:val="16"/>
          <w:szCs w:val="16"/>
          <w:lang w:val="en-US"/>
        </w:rPr>
        <w:t>227.</w:t>
      </w:r>
    </w:p>
  </w:footnote>
  <w:footnote w:id="407">
    <w:p w14:paraId="621E7A72"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 Cantoral Benavides v. Peru. Reparations and costs</w:t>
      </w:r>
      <w:r w:rsidRPr="00012C3F">
        <w:rPr>
          <w:sz w:val="16"/>
          <w:szCs w:val="16"/>
          <w:lang w:val="en-US"/>
        </w:rPr>
        <w:t xml:space="preserve">, </w:t>
      </w:r>
      <w:r w:rsidRPr="00012C3F">
        <w:rPr>
          <w:i/>
          <w:sz w:val="16"/>
          <w:szCs w:val="16"/>
          <w:lang w:val="en-US"/>
        </w:rPr>
        <w:t>supra</w:t>
      </w:r>
      <w:r w:rsidRPr="00012C3F">
        <w:rPr>
          <w:sz w:val="16"/>
          <w:szCs w:val="16"/>
          <w:lang w:val="en-US"/>
        </w:rPr>
        <w:t xml:space="preserve">, para. 81, and </w:t>
      </w:r>
      <w:r w:rsidRPr="00012C3F">
        <w:rPr>
          <w:rStyle w:val="Textoennegrita"/>
          <w:b w:val="0"/>
          <w:i/>
          <w:sz w:val="16"/>
          <w:szCs w:val="16"/>
          <w:lang w:val="en-US"/>
        </w:rPr>
        <w:t>Case of Tenorio Roca et al. v. Peru, supra</w:t>
      </w:r>
      <w:r w:rsidRPr="00012C3F">
        <w:rPr>
          <w:rStyle w:val="Textoennegrita"/>
          <w:b w:val="0"/>
          <w:sz w:val="16"/>
          <w:szCs w:val="16"/>
          <w:lang w:val="en-US"/>
        </w:rPr>
        <w:t>, para. 293</w:t>
      </w:r>
      <w:r w:rsidRPr="00012C3F">
        <w:rPr>
          <w:sz w:val="16"/>
          <w:szCs w:val="16"/>
          <w:lang w:val="en-US"/>
        </w:rPr>
        <w:t>.</w:t>
      </w:r>
    </w:p>
  </w:footnote>
  <w:footnote w:id="408">
    <w:p w14:paraId="464C593B"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sz w:val="16"/>
          <w:szCs w:val="16"/>
          <w:lang w:val="en-US"/>
        </w:rPr>
        <w:t>Ministerial Resolution No.789 of December 2003 “Manual of technical contraception techniques”; Law 3131 of August 8, 2005, on the exercise of the medical profession; Ministerial Resolution No. 090 of February 26, 2008, adopting the technical document on “Obtaining informed consent”; Ministerial Resolution No. 1 of January 5, 2010, adopting the “Contraception standards, rules, protocols and procedures”; Ministerial Resolution No. 579 of May 7, 2013, issuing the “National standards for clinical care”; Ministerial Resolution No. 47 of 2004, issuing the “Bolivian Code of Medical Ethics and Deontology.”</w:t>
      </w:r>
    </w:p>
  </w:footnote>
  <w:footnote w:id="409">
    <w:p w14:paraId="7A0802E6" w14:textId="77777777" w:rsidR="00D24EFE" w:rsidRPr="00012C3F" w:rsidRDefault="00D24EFE" w:rsidP="005B52E1">
      <w:pPr>
        <w:pStyle w:val="Textonotapie"/>
        <w:tabs>
          <w:tab w:val="left" w:pos="567"/>
        </w:tabs>
        <w:spacing w:after="120"/>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color w:val="000000"/>
          <w:sz w:val="16"/>
          <w:szCs w:val="16"/>
          <w:lang w:val="en-US"/>
        </w:rPr>
        <w:t>Case of Furlan and family v. Argentina, supra</w:t>
      </w:r>
      <w:r w:rsidRPr="00012C3F">
        <w:rPr>
          <w:color w:val="000000"/>
          <w:sz w:val="16"/>
          <w:szCs w:val="16"/>
          <w:lang w:val="en-US"/>
        </w:rPr>
        <w:t>, para. 294.</w:t>
      </w:r>
    </w:p>
  </w:footnote>
  <w:footnote w:id="410">
    <w:p w14:paraId="206422EC" w14:textId="77777777" w:rsidR="00D24EFE" w:rsidRPr="00012C3F" w:rsidRDefault="00D24EFE" w:rsidP="00147093">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color w:val="000000"/>
          <w:sz w:val="16"/>
          <w:szCs w:val="16"/>
          <w:lang w:val="en-US"/>
        </w:rPr>
        <w:t>Case of Furlan and family v. Argentina, supra</w:t>
      </w:r>
      <w:r w:rsidRPr="00012C3F">
        <w:rPr>
          <w:color w:val="000000"/>
          <w:sz w:val="16"/>
          <w:szCs w:val="16"/>
          <w:lang w:val="en-US"/>
        </w:rPr>
        <w:t>, para. 295.</w:t>
      </w:r>
    </w:p>
  </w:footnote>
  <w:footnote w:id="411">
    <w:p w14:paraId="3C9C8AD5"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t xml:space="preserve">Regarding the health care expenses, the representative presented a report on the minimum expenses incurred by I.V., which indicated that, despite attempts to recover the information lost during the incident, it was not possible to recover all the information required to determine the specific items of expenditure. She therefore asked that the Court consider the other medical services justified in annexes 11, 13, 14 to the Merits Report, the expense report presented, the parameters for medical fees in the department of La Paz, and the expenditure that it had not been possible to justify. </w:t>
      </w:r>
    </w:p>
  </w:footnote>
  <w:footnote w:id="412">
    <w:p w14:paraId="5C86D1B6" w14:textId="77777777" w:rsidR="00D24EFE" w:rsidRPr="00012C3F" w:rsidRDefault="00D24EFE" w:rsidP="005B52E1">
      <w:pPr>
        <w:tabs>
          <w:tab w:val="left" w:pos="567"/>
          <w:tab w:val="left" w:pos="709"/>
        </w:tabs>
        <w:spacing w:after="120" w:line="240" w:lineRule="auto"/>
        <w:rPr>
          <w:sz w:val="16"/>
          <w:szCs w:val="16"/>
          <w:lang w:val="en-US"/>
        </w:rPr>
      </w:pPr>
      <w:r w:rsidRPr="00012C3F">
        <w:rPr>
          <w:rStyle w:val="Refdenotaalpie"/>
          <w:rFonts w:eastAsia="MS ????"/>
          <w:sz w:val="16"/>
          <w:szCs w:val="16"/>
          <w:lang w:val="en-US"/>
        </w:rPr>
        <w:footnoteRef/>
      </w:r>
      <w:r w:rsidRPr="00012C3F">
        <w:rPr>
          <w:sz w:val="16"/>
          <w:szCs w:val="16"/>
          <w:lang w:val="en-US"/>
        </w:rPr>
        <w:tab/>
      </w:r>
      <w:r w:rsidRPr="00012C3F">
        <w:rPr>
          <w:bCs/>
          <w:i/>
          <w:sz w:val="16"/>
          <w:szCs w:val="16"/>
          <w:lang w:val="en-US"/>
        </w:rPr>
        <w:t xml:space="preserve">Case of Bámaca Velásquez v. Guatemala. </w:t>
      </w:r>
      <w:r w:rsidRPr="00012C3F">
        <w:rPr>
          <w:i/>
          <w:sz w:val="16"/>
          <w:szCs w:val="16"/>
          <w:lang w:val="en-US"/>
        </w:rPr>
        <w:t>Reparations and costs</w:t>
      </w:r>
      <w:r w:rsidRPr="00012C3F">
        <w:rPr>
          <w:sz w:val="16"/>
          <w:szCs w:val="16"/>
          <w:lang w:val="en-US"/>
        </w:rPr>
        <w:t xml:space="preserve">. Judgment of February 22, 2002. Series C No. 91, para. 43, and </w:t>
      </w:r>
      <w:r w:rsidRPr="00012C3F">
        <w:rPr>
          <w:i/>
          <w:sz w:val="16"/>
          <w:szCs w:val="16"/>
          <w:lang w:val="en-US"/>
        </w:rPr>
        <w:t>Case of Flor Freire v. Ecuador, supra</w:t>
      </w:r>
      <w:r w:rsidRPr="00012C3F">
        <w:rPr>
          <w:sz w:val="16"/>
          <w:szCs w:val="16"/>
          <w:lang w:val="en-US"/>
        </w:rPr>
        <w:t>, para. 251.</w:t>
      </w:r>
    </w:p>
  </w:footnote>
  <w:footnote w:id="413">
    <w:p w14:paraId="3B282622" w14:textId="77777777" w:rsidR="00D24EFE" w:rsidRPr="00012C3F" w:rsidRDefault="00D24EFE" w:rsidP="005B52E1">
      <w:pPr>
        <w:tabs>
          <w:tab w:val="left" w:pos="567"/>
          <w:tab w:val="left" w:pos="720"/>
        </w:tabs>
        <w:spacing w:after="120" w:line="240" w:lineRule="auto"/>
        <w:rPr>
          <w:i/>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bCs/>
          <w:i/>
          <w:sz w:val="16"/>
          <w:szCs w:val="16"/>
          <w:lang w:val="en-US"/>
        </w:rPr>
        <w:t xml:space="preserve">Case of the “Street Children” </w:t>
      </w:r>
      <w:r w:rsidRPr="00012C3F">
        <w:rPr>
          <w:rStyle w:val="Textoennegrita"/>
          <w:b w:val="0"/>
          <w:i/>
          <w:color w:val="000000"/>
          <w:sz w:val="16"/>
          <w:szCs w:val="16"/>
          <w:shd w:val="clear" w:color="auto" w:fill="FFFFFF"/>
          <w:lang w:val="en-US"/>
        </w:rPr>
        <w:t>(Villagrán Morales et al.) v. Guatemala. Reparations and costs</w:t>
      </w:r>
      <w:r w:rsidRPr="00012C3F">
        <w:rPr>
          <w:rStyle w:val="Textoennegrita"/>
          <w:b w:val="0"/>
          <w:color w:val="000000"/>
          <w:sz w:val="16"/>
          <w:szCs w:val="16"/>
          <w:shd w:val="clear" w:color="auto" w:fill="FFFFFF"/>
          <w:lang w:val="en-US"/>
        </w:rPr>
        <w:t>. Judgment of May 26, 2001. Series C No. 77</w:t>
      </w:r>
      <w:r w:rsidRPr="00012C3F">
        <w:rPr>
          <w:bCs/>
          <w:i/>
          <w:sz w:val="16"/>
          <w:szCs w:val="16"/>
          <w:lang w:val="en-US"/>
        </w:rPr>
        <w:t xml:space="preserve">, </w:t>
      </w:r>
      <w:r w:rsidRPr="00012C3F">
        <w:rPr>
          <w:sz w:val="16"/>
          <w:szCs w:val="16"/>
          <w:lang w:val="en-US"/>
        </w:rPr>
        <w:t xml:space="preserve">para. </w:t>
      </w:r>
      <w:r w:rsidRPr="00D24EFE">
        <w:rPr>
          <w:sz w:val="16"/>
          <w:szCs w:val="16"/>
        </w:rPr>
        <w:t xml:space="preserve">84, and </w:t>
      </w:r>
      <w:r w:rsidRPr="00D24EFE">
        <w:rPr>
          <w:i/>
          <w:sz w:val="16"/>
          <w:szCs w:val="16"/>
        </w:rPr>
        <w:t>Case of Herrera Espinoza et al. v. Ecuador, supra</w:t>
      </w:r>
      <w:r w:rsidRPr="00D24EFE">
        <w:rPr>
          <w:sz w:val="16"/>
          <w:szCs w:val="16"/>
        </w:rPr>
        <w:t xml:space="preserve">, para. </w:t>
      </w:r>
      <w:r w:rsidRPr="00012C3F">
        <w:rPr>
          <w:sz w:val="16"/>
          <w:szCs w:val="16"/>
          <w:lang w:val="en-US"/>
        </w:rPr>
        <w:t>241.</w:t>
      </w:r>
    </w:p>
  </w:footnote>
  <w:footnote w:id="414">
    <w:p w14:paraId="0E4BB93A" w14:textId="77777777" w:rsidR="00D24EFE" w:rsidRPr="00012C3F" w:rsidRDefault="00D24EFE" w:rsidP="005B52E1">
      <w:pPr>
        <w:tabs>
          <w:tab w:val="left" w:pos="-540"/>
          <w:tab w:val="left" w:pos="426"/>
          <w:tab w:val="left" w:pos="567"/>
        </w:tabs>
        <w:spacing w:after="120" w:line="240" w:lineRule="auto"/>
        <w:rPr>
          <w:rFonts w:cs="Arial"/>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 xml:space="preserve">Cf. </w:t>
      </w:r>
      <w:r w:rsidRPr="00012C3F">
        <w:rPr>
          <w:bCs/>
          <w:i/>
          <w:sz w:val="16"/>
          <w:szCs w:val="16"/>
          <w:lang w:val="en-US"/>
        </w:rPr>
        <w:t xml:space="preserve">Case of Cantoral Benavides v. Peru. Reparations and costs, supra, </w:t>
      </w:r>
      <w:r w:rsidRPr="00012C3F">
        <w:rPr>
          <w:sz w:val="16"/>
          <w:szCs w:val="16"/>
          <w:lang w:val="en-US"/>
        </w:rPr>
        <w:t xml:space="preserve">para. 53, and </w:t>
      </w:r>
      <w:r w:rsidRPr="00012C3F">
        <w:rPr>
          <w:i/>
          <w:sz w:val="16"/>
          <w:szCs w:val="16"/>
          <w:lang w:val="en-US"/>
        </w:rPr>
        <w:t>Case of Chinchilla Sandoval v. Guatemala, supra</w:t>
      </w:r>
      <w:r w:rsidRPr="00012C3F">
        <w:rPr>
          <w:sz w:val="16"/>
          <w:szCs w:val="16"/>
          <w:lang w:val="en-US"/>
        </w:rPr>
        <w:t>, para. 308</w:t>
      </w:r>
      <w:r w:rsidRPr="00012C3F">
        <w:rPr>
          <w:rFonts w:cs="Arial"/>
          <w:sz w:val="16"/>
          <w:szCs w:val="16"/>
          <w:lang w:val="en-US"/>
        </w:rPr>
        <w:t>.</w:t>
      </w:r>
    </w:p>
  </w:footnote>
  <w:footnote w:id="415">
    <w:p w14:paraId="0A0D9581" w14:textId="77777777" w:rsidR="00D24EFE" w:rsidRPr="00D24EFE" w:rsidRDefault="00D24EFE" w:rsidP="008603DF">
      <w:pPr>
        <w:pStyle w:val="Textonotapie"/>
        <w:tabs>
          <w:tab w:val="left" w:pos="567"/>
          <w:tab w:val="left" w:pos="720"/>
        </w:tabs>
        <w:spacing w:after="120"/>
        <w:rPr>
          <w:sz w:val="16"/>
          <w:szCs w:val="16"/>
          <w:lang w:val="es-CR"/>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r w:rsidRPr="00012C3F">
        <w:rPr>
          <w:bCs/>
          <w:i/>
          <w:sz w:val="16"/>
          <w:szCs w:val="16"/>
          <w:lang w:val="en-US"/>
        </w:rPr>
        <w:t xml:space="preserve">Cf. Case of Garrido and Baigorria v. Argentina. Reparations and costs. </w:t>
      </w:r>
      <w:r w:rsidRPr="00012C3F">
        <w:rPr>
          <w:rStyle w:val="Textoennegrita"/>
          <w:b w:val="0"/>
          <w:color w:val="000000"/>
          <w:sz w:val="16"/>
          <w:szCs w:val="16"/>
          <w:shd w:val="clear" w:color="auto" w:fill="FFFFFF"/>
          <w:lang w:val="en-US"/>
        </w:rPr>
        <w:t xml:space="preserve">Judgment of August 27, 1998. </w:t>
      </w:r>
      <w:r w:rsidRPr="00D24EFE">
        <w:rPr>
          <w:rStyle w:val="Textoennegrita"/>
          <w:b w:val="0"/>
          <w:color w:val="000000"/>
          <w:sz w:val="16"/>
          <w:szCs w:val="16"/>
          <w:shd w:val="clear" w:color="auto" w:fill="FFFFFF"/>
          <w:lang w:val="es-CR"/>
        </w:rPr>
        <w:t>Series C No. 39</w:t>
      </w:r>
      <w:r w:rsidRPr="00D24EFE">
        <w:rPr>
          <w:sz w:val="16"/>
          <w:szCs w:val="16"/>
          <w:lang w:val="es-CR"/>
        </w:rPr>
        <w:t>, para. 82</w:t>
      </w:r>
      <w:r w:rsidRPr="00D24EFE">
        <w:rPr>
          <w:bCs/>
          <w:sz w:val="16"/>
          <w:szCs w:val="16"/>
          <w:lang w:val="es-CR"/>
        </w:rPr>
        <w:t xml:space="preserve">, and </w:t>
      </w:r>
      <w:r w:rsidRPr="00D24EFE">
        <w:rPr>
          <w:rFonts w:cs="Courier New"/>
          <w:i/>
          <w:noProof/>
          <w:sz w:val="16"/>
          <w:szCs w:val="16"/>
          <w:lang w:val="es-CR"/>
        </w:rPr>
        <w:t>Case of Tenorio Roca et al. v. Peru, supra</w:t>
      </w:r>
      <w:r w:rsidRPr="00D24EFE">
        <w:rPr>
          <w:rFonts w:cs="Courier New"/>
          <w:noProof/>
          <w:sz w:val="16"/>
          <w:szCs w:val="16"/>
          <w:lang w:val="es-CR"/>
        </w:rPr>
        <w:t>, para. 342</w:t>
      </w:r>
      <w:r w:rsidRPr="00D24EFE">
        <w:rPr>
          <w:bCs/>
          <w:sz w:val="16"/>
          <w:szCs w:val="16"/>
          <w:lang w:val="es-CR"/>
        </w:rPr>
        <w:t>.</w:t>
      </w:r>
    </w:p>
  </w:footnote>
  <w:footnote w:id="416">
    <w:p w14:paraId="462D2884" w14:textId="77777777" w:rsidR="00D24EFE" w:rsidRPr="00012C3F" w:rsidRDefault="00D24EFE" w:rsidP="005B52E1">
      <w:pPr>
        <w:pStyle w:val="Textonotapie"/>
        <w:tabs>
          <w:tab w:val="left" w:pos="567"/>
          <w:tab w:val="left" w:pos="720"/>
        </w:tabs>
        <w:spacing w:after="120"/>
        <w:rPr>
          <w:sz w:val="16"/>
          <w:szCs w:val="16"/>
          <w:lang w:val="en-US"/>
        </w:rPr>
      </w:pPr>
      <w:r w:rsidRPr="00012C3F">
        <w:rPr>
          <w:rStyle w:val="Refdenotaalpie"/>
          <w:rFonts w:eastAsia="MS ????"/>
          <w:sz w:val="16"/>
          <w:szCs w:val="16"/>
          <w:lang w:val="en-US"/>
        </w:rPr>
        <w:footnoteRef/>
      </w:r>
      <w:r w:rsidRPr="00D24EFE">
        <w:rPr>
          <w:sz w:val="16"/>
          <w:szCs w:val="16"/>
          <w:lang w:val="es-CR"/>
        </w:rPr>
        <w:t xml:space="preserve"> </w:t>
      </w:r>
      <w:r w:rsidRPr="00D24EFE">
        <w:rPr>
          <w:sz w:val="16"/>
          <w:szCs w:val="16"/>
          <w:lang w:val="es-CR"/>
        </w:rPr>
        <w:tab/>
      </w:r>
      <w:r w:rsidRPr="00D24EFE">
        <w:rPr>
          <w:i/>
          <w:sz w:val="16"/>
          <w:szCs w:val="16"/>
          <w:lang w:val="es-CR"/>
        </w:rPr>
        <w:t>Cf.</w:t>
      </w:r>
      <w:r w:rsidRPr="00D24EFE">
        <w:rPr>
          <w:sz w:val="16"/>
          <w:szCs w:val="16"/>
          <w:lang w:val="es-CR"/>
        </w:rPr>
        <w:t xml:space="preserve"> </w:t>
      </w:r>
      <w:r w:rsidRPr="00D24EFE">
        <w:rPr>
          <w:i/>
          <w:sz w:val="16"/>
          <w:szCs w:val="16"/>
          <w:lang w:val="es-CR"/>
        </w:rPr>
        <w:t>Case of Chaparro Álvarez and Lapo Íñiguez v. Ecuador, supra</w:t>
      </w:r>
      <w:r w:rsidRPr="00D24EFE">
        <w:rPr>
          <w:rStyle w:val="Textoennegrita"/>
          <w:b w:val="0"/>
          <w:color w:val="000000"/>
          <w:sz w:val="16"/>
          <w:szCs w:val="16"/>
          <w:shd w:val="clear" w:color="auto" w:fill="FFFFFF"/>
          <w:lang w:val="es-CR"/>
        </w:rPr>
        <w:t>,</w:t>
      </w:r>
      <w:r w:rsidRPr="00D24EFE">
        <w:rPr>
          <w:sz w:val="16"/>
          <w:szCs w:val="16"/>
          <w:lang w:val="es-CR"/>
        </w:rPr>
        <w:t xml:space="preserve"> para. 277, and </w:t>
      </w:r>
      <w:r w:rsidRPr="00D24EFE">
        <w:rPr>
          <w:i/>
          <w:sz w:val="16"/>
          <w:szCs w:val="16"/>
          <w:lang w:val="es-CR"/>
        </w:rPr>
        <w:t>Case of Herrera Espinoza et al. v. Ecuador, supra</w:t>
      </w:r>
      <w:r w:rsidRPr="00D24EFE">
        <w:rPr>
          <w:sz w:val="16"/>
          <w:szCs w:val="16"/>
          <w:lang w:val="es-CR"/>
        </w:rPr>
        <w:t xml:space="preserve">, para. </w:t>
      </w:r>
      <w:r w:rsidRPr="00012C3F">
        <w:rPr>
          <w:sz w:val="16"/>
          <w:szCs w:val="16"/>
          <w:lang w:val="en-US"/>
        </w:rPr>
        <w:t>248</w:t>
      </w:r>
      <w:r w:rsidRPr="00012C3F">
        <w:rPr>
          <w:bCs/>
          <w:sz w:val="16"/>
          <w:szCs w:val="16"/>
          <w:lang w:val="en-US"/>
        </w:rPr>
        <w:t>.</w:t>
      </w:r>
    </w:p>
  </w:footnote>
  <w:footnote w:id="417">
    <w:p w14:paraId="4D7821B3" w14:textId="77777777" w:rsidR="00D24EFE" w:rsidRPr="00012C3F" w:rsidRDefault="00D24EFE" w:rsidP="005B52E1">
      <w:pPr>
        <w:pStyle w:val="Textonotapie"/>
        <w:tabs>
          <w:tab w:val="left" w:pos="567"/>
          <w:tab w:val="left" w:pos="720"/>
        </w:tabs>
        <w:spacing w:after="120"/>
        <w:rPr>
          <w:sz w:val="16"/>
          <w:szCs w:val="16"/>
          <w:lang w:val="en-US"/>
        </w:rPr>
      </w:pPr>
      <w:r w:rsidRPr="00012C3F">
        <w:rPr>
          <w:rStyle w:val="Refdenotaalpie"/>
          <w:rFonts w:eastAsiaTheme="majorEastAsia"/>
          <w:sz w:val="16"/>
          <w:szCs w:val="16"/>
          <w:lang w:val="en-US"/>
        </w:rPr>
        <w:footnoteRef/>
      </w:r>
      <w:r w:rsidRPr="00012C3F">
        <w:rPr>
          <w:sz w:val="16"/>
          <w:szCs w:val="16"/>
          <w:lang w:val="en-US"/>
        </w:rPr>
        <w:t xml:space="preserve"> </w:t>
      </w:r>
      <w:r w:rsidRPr="00012C3F">
        <w:rPr>
          <w:sz w:val="16"/>
          <w:szCs w:val="16"/>
          <w:lang w:val="en-US"/>
        </w:rPr>
        <w:tab/>
      </w:r>
      <w:r w:rsidRPr="00012C3F">
        <w:rPr>
          <w:i/>
          <w:sz w:val="16"/>
          <w:szCs w:val="16"/>
          <w:lang w:val="en-US"/>
        </w:rPr>
        <w:t>Cf. Case of</w:t>
      </w:r>
      <w:r w:rsidRPr="00012C3F">
        <w:rPr>
          <w:sz w:val="16"/>
          <w:szCs w:val="16"/>
          <w:lang w:val="en-US"/>
        </w:rPr>
        <w:t xml:space="preserve"> </w:t>
      </w:r>
      <w:r w:rsidRPr="00012C3F">
        <w:rPr>
          <w:i/>
          <w:sz w:val="16"/>
          <w:szCs w:val="16"/>
          <w:lang w:val="en-US"/>
        </w:rPr>
        <w:t xml:space="preserve">the Xákmok Kásek Indigenous Community v. Paraguay. Merits reparations and costs. </w:t>
      </w:r>
      <w:r w:rsidRPr="00012C3F">
        <w:rPr>
          <w:sz w:val="16"/>
          <w:szCs w:val="16"/>
          <w:lang w:val="en-US"/>
        </w:rPr>
        <w:t xml:space="preserve">Judgment of August 24, 2010. Series C No. 214, para. </w:t>
      </w:r>
      <w:r w:rsidRPr="00D24EFE">
        <w:rPr>
          <w:sz w:val="16"/>
          <w:szCs w:val="16"/>
          <w:lang w:val="es-CR"/>
        </w:rPr>
        <w:t xml:space="preserve">331, and </w:t>
      </w:r>
      <w:r w:rsidRPr="00D24EFE">
        <w:rPr>
          <w:i/>
          <w:sz w:val="16"/>
          <w:szCs w:val="16"/>
          <w:lang w:val="es-CR"/>
        </w:rPr>
        <w:t>Case of Herrera Espinoza et al. v. Ecuador, supra</w:t>
      </w:r>
      <w:r w:rsidRPr="00D24EFE">
        <w:rPr>
          <w:sz w:val="16"/>
          <w:szCs w:val="16"/>
          <w:lang w:val="es-CR"/>
        </w:rPr>
        <w:t xml:space="preserve">, para. </w:t>
      </w:r>
      <w:r w:rsidRPr="00012C3F">
        <w:rPr>
          <w:sz w:val="16"/>
          <w:szCs w:val="16"/>
          <w:lang w:val="en-US"/>
        </w:rPr>
        <w:t>251</w:t>
      </w:r>
      <w:r w:rsidRPr="00012C3F">
        <w:rPr>
          <w:rStyle w:val="Textoennegrita"/>
          <w:b w:val="0"/>
          <w:color w:val="000000"/>
          <w:sz w:val="16"/>
          <w:szCs w:val="16"/>
          <w:shd w:val="clear" w:color="auto" w:fill="FFFFFF"/>
          <w:lang w:val="en-US"/>
        </w:rPr>
        <w:t>.</w:t>
      </w:r>
    </w:p>
  </w:footnote>
  <w:footnote w:id="418">
    <w:p w14:paraId="14B1B063" w14:textId="77777777" w:rsidR="00D24EFE" w:rsidRPr="00012C3F" w:rsidRDefault="00D24EFE" w:rsidP="005B52E1">
      <w:pPr>
        <w:pStyle w:val="Textonotapie"/>
        <w:tabs>
          <w:tab w:val="left" w:pos="567"/>
        </w:tabs>
        <w:spacing w:after="120"/>
        <w:rPr>
          <w:sz w:val="16"/>
          <w:szCs w:val="16"/>
          <w:lang w:val="en-US"/>
        </w:rPr>
      </w:pPr>
      <w:r w:rsidRPr="00012C3F">
        <w:rPr>
          <w:rStyle w:val="Refdenotaalpie"/>
          <w:rFonts w:eastAsia="MS ????"/>
          <w:sz w:val="16"/>
          <w:szCs w:val="16"/>
          <w:lang w:val="en-US"/>
        </w:rPr>
        <w:footnoteRef/>
      </w:r>
      <w:r w:rsidRPr="00012C3F">
        <w:rPr>
          <w:sz w:val="16"/>
          <w:szCs w:val="16"/>
          <w:lang w:val="en-US"/>
        </w:rPr>
        <w:t xml:space="preserve"> </w:t>
      </w:r>
      <w:r w:rsidRPr="00012C3F">
        <w:rPr>
          <w:sz w:val="16"/>
          <w:szCs w:val="16"/>
          <w:lang w:val="en-US"/>
        </w:rPr>
        <w:tab/>
      </w:r>
      <w:bookmarkStart w:id="222" w:name="_Toc200094591"/>
      <w:bookmarkStart w:id="223" w:name="_Toc200283779"/>
      <w:r w:rsidRPr="00012C3F">
        <w:rPr>
          <w:bCs/>
          <w:sz w:val="16"/>
          <w:szCs w:val="16"/>
          <w:lang w:val="en-US"/>
        </w:rPr>
        <w:t>AG/RES. 2426 (XXXVIII-O/08),</w:t>
      </w:r>
      <w:r w:rsidRPr="00012C3F">
        <w:rPr>
          <w:rFonts w:cs="Verdana"/>
          <w:sz w:val="16"/>
          <w:szCs w:val="16"/>
          <w:lang w:val="en-US"/>
        </w:rPr>
        <w:t xml:space="preserve"> </w:t>
      </w:r>
      <w:r w:rsidRPr="00012C3F">
        <w:rPr>
          <w:sz w:val="16"/>
          <w:szCs w:val="16"/>
          <w:lang w:val="en-US"/>
        </w:rPr>
        <w:t>Resolution adopted by the 38</w:t>
      </w:r>
      <w:r w:rsidRPr="00012C3F">
        <w:rPr>
          <w:sz w:val="16"/>
          <w:szCs w:val="16"/>
          <w:vertAlign w:val="superscript"/>
          <w:lang w:val="en-US"/>
        </w:rPr>
        <w:t>th</w:t>
      </w:r>
      <w:r w:rsidRPr="00012C3F">
        <w:rPr>
          <w:sz w:val="16"/>
          <w:szCs w:val="16"/>
          <w:lang w:val="en-US"/>
        </w:rPr>
        <w:t xml:space="preserve"> OAS General Assembly, during the fourth plenary session held on June 3, 2008, “</w:t>
      </w:r>
      <w:r w:rsidRPr="00012C3F">
        <w:rPr>
          <w:i/>
          <w:iCs/>
          <w:sz w:val="16"/>
          <w:szCs w:val="16"/>
          <w:lang w:val="en-US"/>
        </w:rPr>
        <w:t>Establishment of the Legal Assistance Fund of the Inter-American Human Rights System</w:t>
      </w:r>
      <w:r w:rsidRPr="00012C3F">
        <w:rPr>
          <w:sz w:val="16"/>
          <w:szCs w:val="16"/>
          <w:lang w:val="en-US"/>
        </w:rPr>
        <w:t xml:space="preserve">,” Operative paragraph 2(a), </w:t>
      </w:r>
      <w:r w:rsidRPr="00012C3F">
        <w:rPr>
          <w:rFonts w:cs="Verdana"/>
          <w:sz w:val="16"/>
          <w:szCs w:val="16"/>
          <w:lang w:val="en-US"/>
        </w:rPr>
        <w:t xml:space="preserve">and </w:t>
      </w:r>
      <w:r w:rsidRPr="00012C3F">
        <w:rPr>
          <w:sz w:val="16"/>
          <w:szCs w:val="16"/>
          <w:lang w:val="en-US"/>
        </w:rPr>
        <w:t>CP/RES. 963 (1728/09), Resolution adopted on November 11, 2009, by the OAS Permanent Council, “</w:t>
      </w:r>
      <w:r w:rsidRPr="00012C3F">
        <w:rPr>
          <w:i/>
          <w:iCs/>
          <w:sz w:val="16"/>
          <w:szCs w:val="16"/>
          <w:lang w:val="en-US"/>
        </w:rPr>
        <w:t>Rules of Procedure for the Operation of the Legal Assistance Fund of the Inter-American Human Rights System,</w:t>
      </w:r>
      <w:r w:rsidRPr="00012C3F">
        <w:rPr>
          <w:sz w:val="16"/>
          <w:szCs w:val="16"/>
          <w:lang w:val="en-US"/>
        </w:rPr>
        <w:t>” Article 1(1).</w:t>
      </w:r>
      <w:bookmarkEnd w:id="222"/>
      <w:bookmarkEnd w:id="223"/>
    </w:p>
  </w:footnote>
  <w:footnote w:id="419">
    <w:p w14:paraId="7FC89011" w14:textId="77777777" w:rsidR="00D24EFE" w:rsidRPr="00012C3F" w:rsidRDefault="00D24EFE" w:rsidP="00011543">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Para. 155 of the judgment.</w:t>
      </w:r>
    </w:p>
  </w:footnote>
  <w:footnote w:id="420">
    <w:p w14:paraId="4C4BCEAA" w14:textId="77777777" w:rsidR="00D24EFE" w:rsidRPr="00012C3F" w:rsidRDefault="00D24EFE" w:rsidP="00011543">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Para. 147 of the judgment.</w:t>
      </w:r>
    </w:p>
  </w:footnote>
  <w:footnote w:id="421">
    <w:p w14:paraId="13443E94" w14:textId="77777777" w:rsidR="00D24EFE" w:rsidRPr="00012C3F" w:rsidRDefault="00D24EFE" w:rsidP="00011543">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Para. 201 of the judgment.</w:t>
      </w:r>
    </w:p>
  </w:footnote>
  <w:footnote w:id="422">
    <w:p w14:paraId="3C21800B" w14:textId="77777777" w:rsidR="00D24EFE" w:rsidRPr="00012C3F" w:rsidRDefault="00D24EFE" w:rsidP="00011543">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See para. 204 of the judgment.</w:t>
      </w:r>
    </w:p>
  </w:footnote>
  <w:footnote w:id="423">
    <w:p w14:paraId="6C39FC63" w14:textId="77777777" w:rsidR="00D24EFE" w:rsidRPr="00012C3F" w:rsidRDefault="00D24EFE" w:rsidP="00F45866">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See, in particular, paras. 147, 157, 158, 163, 165, 187, 205, 209, 235, 243, 300, 305, 332, 340 and 341 of the judgment.</w:t>
      </w:r>
    </w:p>
  </w:footnote>
  <w:footnote w:id="424">
    <w:p w14:paraId="07944C5E" w14:textId="77777777" w:rsidR="00D24EFE" w:rsidRPr="00012C3F" w:rsidRDefault="00D24EFE" w:rsidP="00F45866">
      <w:pPr>
        <w:pStyle w:val="Textonotapie"/>
        <w:tabs>
          <w:tab w:val="left" w:pos="709"/>
        </w:tabs>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Operative paragraphs 8 and 11 of the judgment.</w:t>
      </w:r>
    </w:p>
  </w:footnote>
  <w:footnote w:id="425">
    <w:p w14:paraId="5F4262ED" w14:textId="77777777" w:rsidR="00D24EFE" w:rsidRPr="005C4FFF" w:rsidRDefault="00D24EFE" w:rsidP="00F45866">
      <w:pPr>
        <w:pStyle w:val="Textonotapie"/>
        <w:rPr>
          <w:sz w:val="16"/>
          <w:szCs w:val="16"/>
          <w:lang w:val="en-US"/>
        </w:rPr>
      </w:pPr>
      <w:r w:rsidRPr="00012C3F">
        <w:rPr>
          <w:rStyle w:val="Refdenotaalpie"/>
          <w:sz w:val="16"/>
          <w:szCs w:val="16"/>
          <w:lang w:val="en-US"/>
        </w:rPr>
        <w:footnoteRef/>
      </w:r>
      <w:r w:rsidRPr="00012C3F">
        <w:rPr>
          <w:sz w:val="16"/>
          <w:szCs w:val="16"/>
          <w:lang w:val="en-US"/>
        </w:rPr>
        <w:t xml:space="preserve"> </w:t>
      </w:r>
      <w:r w:rsidRPr="00012C3F">
        <w:rPr>
          <w:sz w:val="16"/>
          <w:szCs w:val="16"/>
          <w:lang w:val="en-US"/>
        </w:rPr>
        <w:tab/>
        <w:t>Thus, from a perspective of the right to health (sexual and reproductive), I understand that, when reference is made to access to information, and through this to informed consent, the intention is not to indicate that matters of lack or scant information in relation to health (sexual and reproductive) has to be analyzed in light of the right of access to information, because in cases of lack of prior informed consent and enforced or involuntary sterilization, it is the right to sexual and reproductive health that is violated directly and, interdependently, access to information, and not vice versa. Informed consent by means of the accessibility of information is a principle and a fundamental right that, in turn, protects personal autonomy, personal liberty, personal dignity, and the right to raise a family and forms part of the right to sexual and reproductive health.</w:t>
      </w:r>
      <w:r w:rsidRPr="005C4FFF">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6601" w14:textId="77777777" w:rsidR="00D24EFE" w:rsidRPr="006A7984" w:rsidRDefault="00D24EFE" w:rsidP="006A7984">
    <w:pPr>
      <w:pStyle w:val="Encabezado"/>
      <w:jc w:val="center"/>
      <w:rPr>
        <w:rFonts w:ascii="Verdana" w:hAnsi="Verdana"/>
        <w:sz w:val="20"/>
        <w:szCs w:val="20"/>
      </w:rPr>
    </w:pPr>
    <w:r>
      <w:fldChar w:fldCharType="begin"/>
    </w:r>
    <w:r>
      <w:instrText xml:space="preserve"> PAGE   \* MERGEFORMAT </w:instrText>
    </w:r>
    <w:r>
      <w:fldChar w:fldCharType="separate"/>
    </w:r>
    <w:r w:rsidR="00DC7658" w:rsidRPr="00DC7658">
      <w:rPr>
        <w:rFonts w:ascii="Verdana" w:hAnsi="Verdana"/>
        <w:noProof/>
        <w:sz w:val="20"/>
        <w:szCs w:val="20"/>
      </w:rPr>
      <w:t>2</w:t>
    </w:r>
    <w:r>
      <w:rPr>
        <w:rFonts w:ascii="Verdana" w:hAnsi="Verdana"/>
        <w:noProof/>
        <w:sz w:val="20"/>
        <w:szCs w:val="20"/>
      </w:rPr>
      <w:fldChar w:fldCharType="end"/>
    </w:r>
  </w:p>
  <w:p w14:paraId="6A921FCF" w14:textId="77777777" w:rsidR="00D24EFE" w:rsidRPr="00360F95" w:rsidRDefault="00D24EF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BA6"/>
    <w:multiLevelType w:val="hybridMultilevel"/>
    <w:tmpl w:val="8516376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6FB1"/>
    <w:multiLevelType w:val="hybridMultilevel"/>
    <w:tmpl w:val="8CDE8310"/>
    <w:lvl w:ilvl="0" w:tplc="65000EA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713A2E"/>
    <w:multiLevelType w:val="hybridMultilevel"/>
    <w:tmpl w:val="4FE09AD4"/>
    <w:lvl w:ilvl="0" w:tplc="2684E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B5622"/>
    <w:multiLevelType w:val="hybridMultilevel"/>
    <w:tmpl w:val="A68E1DF2"/>
    <w:lvl w:ilvl="0" w:tplc="69D0CB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C79D1"/>
    <w:multiLevelType w:val="hybridMultilevel"/>
    <w:tmpl w:val="6DD6035A"/>
    <w:lvl w:ilvl="0" w:tplc="EB2A3B7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6A0258"/>
    <w:multiLevelType w:val="hybridMultilevel"/>
    <w:tmpl w:val="929294EA"/>
    <w:lvl w:ilvl="0" w:tplc="74DA6BAC">
      <w:start w:val="1"/>
      <w:numFmt w:val="decimal"/>
      <w:lvlText w:val="%1."/>
      <w:lvlJc w:val="left"/>
      <w:pPr>
        <w:ind w:left="720" w:hanging="360"/>
      </w:pPr>
      <w:rPr>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321D19"/>
    <w:multiLevelType w:val="hybridMultilevel"/>
    <w:tmpl w:val="164C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546BC"/>
    <w:multiLevelType w:val="hybridMultilevel"/>
    <w:tmpl w:val="AD424C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3522D22"/>
    <w:multiLevelType w:val="hybridMultilevel"/>
    <w:tmpl w:val="53D466B0"/>
    <w:lvl w:ilvl="0" w:tplc="A4CEF5D4">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9" w15:restartNumberingAfterBreak="0">
    <w:nsid w:val="23B80EDD"/>
    <w:multiLevelType w:val="hybridMultilevel"/>
    <w:tmpl w:val="1EFAD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7A74DB"/>
    <w:multiLevelType w:val="hybridMultilevel"/>
    <w:tmpl w:val="9F60C734"/>
    <w:lvl w:ilvl="0" w:tplc="140A001B">
      <w:start w:val="1"/>
      <w:numFmt w:val="lowerRoman"/>
      <w:lvlText w:val="%1."/>
      <w:lvlJc w:val="righ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11" w15:restartNumberingAfterBreak="0">
    <w:nsid w:val="2BF50802"/>
    <w:multiLevelType w:val="hybridMultilevel"/>
    <w:tmpl w:val="1D0CBE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C6144C9"/>
    <w:multiLevelType w:val="hybridMultilevel"/>
    <w:tmpl w:val="F13298A0"/>
    <w:lvl w:ilvl="0" w:tplc="E1BEE306">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
      </w:rPr>
    </w:lvl>
    <w:lvl w:ilvl="1" w:tplc="24763DA6">
      <w:start w:val="1"/>
      <w:numFmt w:val="lowerLetter"/>
      <w:lvlText w:val="%2)"/>
      <w:lvlJc w:val="left"/>
      <w:pPr>
        <w:tabs>
          <w:tab w:val="num" w:pos="1080"/>
        </w:tabs>
        <w:ind w:left="1080" w:hanging="360"/>
      </w:pPr>
      <w:rPr>
        <w:rFonts w:hint="default"/>
        <w:b/>
        <w:bCs w:val="0"/>
        <w:i/>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26B0358"/>
    <w:multiLevelType w:val="hybridMultilevel"/>
    <w:tmpl w:val="E006F28E"/>
    <w:lvl w:ilvl="0" w:tplc="CA887024">
      <w:start w:val="1"/>
      <w:numFmt w:val="decimal"/>
      <w:lvlText w:val="%1."/>
      <w:lvlJc w:val="left"/>
      <w:pPr>
        <w:ind w:left="360" w:hanging="360"/>
      </w:pPr>
      <w:rPr>
        <w:rFonts w:ascii="Verdana" w:hAnsi="Verdana" w:hint="default"/>
        <w:b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765C3C"/>
    <w:multiLevelType w:val="hybridMultilevel"/>
    <w:tmpl w:val="7FFA18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6C60B6E"/>
    <w:multiLevelType w:val="hybridMultilevel"/>
    <w:tmpl w:val="E930739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8014392"/>
    <w:multiLevelType w:val="hybridMultilevel"/>
    <w:tmpl w:val="E3966DC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15:restartNumberingAfterBreak="0">
    <w:nsid w:val="40110BA6"/>
    <w:multiLevelType w:val="hybridMultilevel"/>
    <w:tmpl w:val="65DAD6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AE2362"/>
    <w:multiLevelType w:val="hybridMultilevel"/>
    <w:tmpl w:val="18C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E4291"/>
    <w:multiLevelType w:val="hybridMultilevel"/>
    <w:tmpl w:val="2FD2D1E6"/>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20" w15:restartNumberingAfterBreak="0">
    <w:nsid w:val="4B9E40FA"/>
    <w:multiLevelType w:val="hybridMultilevel"/>
    <w:tmpl w:val="C0E0C6BA"/>
    <w:lvl w:ilvl="0" w:tplc="CE6698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616A91"/>
    <w:multiLevelType w:val="hybridMultilevel"/>
    <w:tmpl w:val="EAC2DC10"/>
    <w:lvl w:ilvl="0" w:tplc="7FF08C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DC94DA0"/>
    <w:multiLevelType w:val="hybridMultilevel"/>
    <w:tmpl w:val="689247F2"/>
    <w:lvl w:ilvl="0" w:tplc="BC42D3E6">
      <w:start w:val="1"/>
      <w:numFmt w:val="decimal"/>
      <w:lvlText w:val="%1."/>
      <w:lvlJc w:val="left"/>
      <w:pPr>
        <w:ind w:left="360" w:hanging="360"/>
      </w:pPr>
      <w:rPr>
        <w:rFonts w:ascii="Verdana" w:hAnsi="Verdana" w:hint="default"/>
        <w:b w:val="0"/>
        <w:i w:val="0"/>
        <w:sz w:val="20"/>
        <w:szCs w:val="20"/>
        <w:vertAlign w:val="baseline"/>
      </w:rPr>
    </w:lvl>
    <w:lvl w:ilvl="1" w:tplc="0C0A0019">
      <w:start w:val="1"/>
      <w:numFmt w:val="lowerLetter"/>
      <w:lvlText w:val="%2."/>
      <w:lvlJc w:val="left"/>
      <w:pPr>
        <w:ind w:left="5132" w:hanging="360"/>
      </w:pPr>
    </w:lvl>
    <w:lvl w:ilvl="2" w:tplc="F9549E00">
      <w:start w:val="34"/>
      <w:numFmt w:val="bullet"/>
      <w:lvlText w:val="-"/>
      <w:lvlJc w:val="left"/>
      <w:pPr>
        <w:ind w:left="6032" w:hanging="360"/>
      </w:pPr>
      <w:rPr>
        <w:rFonts w:ascii="Verdana" w:eastAsiaTheme="minorEastAsia" w:hAnsi="Verdana" w:cs="Times New Roman" w:hint="default"/>
      </w:r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23"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25" w15:restartNumberingAfterBreak="0">
    <w:nsid w:val="562A4B8D"/>
    <w:multiLevelType w:val="hybridMultilevel"/>
    <w:tmpl w:val="CC743B3C"/>
    <w:lvl w:ilvl="0" w:tplc="C58AE2D0">
      <w:start w:val="1"/>
      <w:numFmt w:val="decimal"/>
      <w:lvlText w:val="%1."/>
      <w:lvlJc w:val="left"/>
      <w:pPr>
        <w:ind w:left="360" w:hanging="360"/>
      </w:pPr>
      <w:rPr>
        <w:b w:val="0"/>
        <w:i w:val="0"/>
        <w:color w:val="auto"/>
        <w:sz w:val="20"/>
        <w:szCs w:val="20"/>
        <w:vertAlign w:val="baseline"/>
        <w:lang w:val="es-ES_tradnl"/>
      </w:rPr>
    </w:lvl>
    <w:lvl w:ilvl="1" w:tplc="CA7A39D2">
      <w:start w:val="1"/>
      <w:numFmt w:val="lowerLetter"/>
      <w:lvlText w:val="%2."/>
      <w:lvlJc w:val="left"/>
      <w:pPr>
        <w:ind w:left="1440" w:hanging="360"/>
      </w:pPr>
      <w:rPr>
        <w:color w:val="auto"/>
      </w:rPr>
    </w:lvl>
    <w:lvl w:ilvl="2" w:tplc="18A029C2">
      <w:start w:val="1"/>
      <w:numFmt w:val="decimal"/>
      <w:lvlText w:val="%3."/>
      <w:lvlJc w:val="right"/>
      <w:pPr>
        <w:ind w:left="2160" w:hanging="180"/>
      </w:pPr>
      <w:rPr>
        <w:rFonts w:ascii="Verdana" w:eastAsia="Times New Roman" w:hAnsi="Verdana" w:cs="Times New Roman"/>
      </w:rPr>
    </w:lvl>
    <w:lvl w:ilvl="3" w:tplc="D9B6BD20">
      <w:start w:val="2"/>
      <w:numFmt w:val="lowerRoman"/>
      <w:lvlText w:val="%4."/>
      <w:lvlJc w:val="left"/>
      <w:pPr>
        <w:ind w:left="3240" w:hanging="720"/>
      </w:pPr>
      <w:rPr>
        <w:rFonts w:hint="default"/>
        <w:i/>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57205B"/>
    <w:multiLevelType w:val="singleLevel"/>
    <w:tmpl w:val="B9326BBC"/>
    <w:lvl w:ilvl="0">
      <w:start w:val="1"/>
      <w:numFmt w:val="decimal"/>
      <w:lvlText w:val="%1."/>
      <w:lvlJc w:val="left"/>
      <w:pPr>
        <w:tabs>
          <w:tab w:val="num" w:pos="720"/>
        </w:tabs>
        <w:ind w:left="720" w:hanging="720"/>
      </w:pPr>
      <w:rPr>
        <w:rFonts w:ascii="Cambria" w:hAnsi="Cambria" w:hint="default"/>
        <w:b w:val="0"/>
        <w:i w:val="0"/>
        <w:sz w:val="20"/>
        <w:szCs w:val="20"/>
      </w:rPr>
    </w:lvl>
  </w:abstractNum>
  <w:abstractNum w:abstractNumId="27" w15:restartNumberingAfterBreak="0">
    <w:nsid w:val="60BE27F1"/>
    <w:multiLevelType w:val="hybridMultilevel"/>
    <w:tmpl w:val="FA2613DC"/>
    <w:lvl w:ilvl="0" w:tplc="3B348E3A">
      <w:start w:val="1"/>
      <w:numFmt w:val="decimal"/>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1F71BDD"/>
    <w:multiLevelType w:val="hybridMultilevel"/>
    <w:tmpl w:val="BCBAC7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2412FDD"/>
    <w:multiLevelType w:val="hybridMultilevel"/>
    <w:tmpl w:val="2FD2D1E6"/>
    <w:lvl w:ilvl="0" w:tplc="140A0015">
      <w:start w:val="1"/>
      <w:numFmt w:val="upperLetter"/>
      <w:lvlText w:val="%1."/>
      <w:lvlJc w:val="left"/>
      <w:pPr>
        <w:ind w:left="2112" w:hanging="360"/>
      </w:pPr>
    </w:lvl>
    <w:lvl w:ilvl="1" w:tplc="140A0019">
      <w:start w:val="1"/>
      <w:numFmt w:val="lowerLetter"/>
      <w:lvlText w:val="%2."/>
      <w:lvlJc w:val="left"/>
      <w:pPr>
        <w:ind w:left="2832" w:hanging="360"/>
      </w:pPr>
    </w:lvl>
    <w:lvl w:ilvl="2" w:tplc="140A001B" w:tentative="1">
      <w:start w:val="1"/>
      <w:numFmt w:val="lowerRoman"/>
      <w:lvlText w:val="%3."/>
      <w:lvlJc w:val="right"/>
      <w:pPr>
        <w:ind w:left="3552" w:hanging="180"/>
      </w:pPr>
    </w:lvl>
    <w:lvl w:ilvl="3" w:tplc="140A000F" w:tentative="1">
      <w:start w:val="1"/>
      <w:numFmt w:val="decimal"/>
      <w:lvlText w:val="%4."/>
      <w:lvlJc w:val="left"/>
      <w:pPr>
        <w:ind w:left="4272" w:hanging="360"/>
      </w:pPr>
    </w:lvl>
    <w:lvl w:ilvl="4" w:tplc="140A0019" w:tentative="1">
      <w:start w:val="1"/>
      <w:numFmt w:val="lowerLetter"/>
      <w:lvlText w:val="%5."/>
      <w:lvlJc w:val="left"/>
      <w:pPr>
        <w:ind w:left="4992" w:hanging="360"/>
      </w:pPr>
    </w:lvl>
    <w:lvl w:ilvl="5" w:tplc="140A001B" w:tentative="1">
      <w:start w:val="1"/>
      <w:numFmt w:val="lowerRoman"/>
      <w:lvlText w:val="%6."/>
      <w:lvlJc w:val="right"/>
      <w:pPr>
        <w:ind w:left="5712" w:hanging="180"/>
      </w:pPr>
    </w:lvl>
    <w:lvl w:ilvl="6" w:tplc="140A000F" w:tentative="1">
      <w:start w:val="1"/>
      <w:numFmt w:val="decimal"/>
      <w:lvlText w:val="%7."/>
      <w:lvlJc w:val="left"/>
      <w:pPr>
        <w:ind w:left="6432" w:hanging="360"/>
      </w:pPr>
    </w:lvl>
    <w:lvl w:ilvl="7" w:tplc="140A0019" w:tentative="1">
      <w:start w:val="1"/>
      <w:numFmt w:val="lowerLetter"/>
      <w:lvlText w:val="%8."/>
      <w:lvlJc w:val="left"/>
      <w:pPr>
        <w:ind w:left="7152" w:hanging="360"/>
      </w:pPr>
    </w:lvl>
    <w:lvl w:ilvl="8" w:tplc="140A001B" w:tentative="1">
      <w:start w:val="1"/>
      <w:numFmt w:val="lowerRoman"/>
      <w:lvlText w:val="%9."/>
      <w:lvlJc w:val="right"/>
      <w:pPr>
        <w:ind w:left="7872" w:hanging="180"/>
      </w:pPr>
    </w:lvl>
  </w:abstractNum>
  <w:abstractNum w:abstractNumId="30" w15:restartNumberingAfterBreak="0">
    <w:nsid w:val="644D24C7"/>
    <w:multiLevelType w:val="hybridMultilevel"/>
    <w:tmpl w:val="4D5AC696"/>
    <w:lvl w:ilvl="0" w:tplc="3C38A242">
      <w:start w:val="1"/>
      <w:numFmt w:val="lowerRoman"/>
      <w:lvlText w:val="%1."/>
      <w:lvlJc w:val="left"/>
      <w:pPr>
        <w:ind w:left="2407" w:hanging="720"/>
      </w:pPr>
    </w:lvl>
    <w:lvl w:ilvl="1" w:tplc="140A0019">
      <w:start w:val="1"/>
      <w:numFmt w:val="lowerLetter"/>
      <w:lvlText w:val="%2."/>
      <w:lvlJc w:val="left"/>
      <w:pPr>
        <w:ind w:left="2767" w:hanging="360"/>
      </w:pPr>
    </w:lvl>
    <w:lvl w:ilvl="2" w:tplc="140A001B">
      <w:start w:val="1"/>
      <w:numFmt w:val="lowerRoman"/>
      <w:lvlText w:val="%3."/>
      <w:lvlJc w:val="right"/>
      <w:pPr>
        <w:ind w:left="3487" w:hanging="180"/>
      </w:pPr>
    </w:lvl>
    <w:lvl w:ilvl="3" w:tplc="140A000F">
      <w:start w:val="1"/>
      <w:numFmt w:val="decimal"/>
      <w:lvlText w:val="%4."/>
      <w:lvlJc w:val="left"/>
      <w:pPr>
        <w:ind w:left="4207" w:hanging="360"/>
      </w:pPr>
    </w:lvl>
    <w:lvl w:ilvl="4" w:tplc="140A0019">
      <w:start w:val="1"/>
      <w:numFmt w:val="lowerLetter"/>
      <w:lvlText w:val="%5."/>
      <w:lvlJc w:val="left"/>
      <w:pPr>
        <w:ind w:left="4927" w:hanging="360"/>
      </w:pPr>
    </w:lvl>
    <w:lvl w:ilvl="5" w:tplc="140A001B">
      <w:start w:val="1"/>
      <w:numFmt w:val="lowerRoman"/>
      <w:lvlText w:val="%6."/>
      <w:lvlJc w:val="right"/>
      <w:pPr>
        <w:ind w:left="5647" w:hanging="180"/>
      </w:pPr>
    </w:lvl>
    <w:lvl w:ilvl="6" w:tplc="140A000F">
      <w:start w:val="1"/>
      <w:numFmt w:val="decimal"/>
      <w:lvlText w:val="%7."/>
      <w:lvlJc w:val="left"/>
      <w:pPr>
        <w:ind w:left="6367" w:hanging="360"/>
      </w:pPr>
    </w:lvl>
    <w:lvl w:ilvl="7" w:tplc="140A0019">
      <w:start w:val="1"/>
      <w:numFmt w:val="lowerLetter"/>
      <w:lvlText w:val="%8."/>
      <w:lvlJc w:val="left"/>
      <w:pPr>
        <w:ind w:left="7087" w:hanging="360"/>
      </w:pPr>
    </w:lvl>
    <w:lvl w:ilvl="8" w:tplc="140A001B">
      <w:start w:val="1"/>
      <w:numFmt w:val="lowerRoman"/>
      <w:lvlText w:val="%9."/>
      <w:lvlJc w:val="right"/>
      <w:pPr>
        <w:ind w:left="7807" w:hanging="180"/>
      </w:pPr>
    </w:lvl>
  </w:abstractNum>
  <w:abstractNum w:abstractNumId="31" w15:restartNumberingAfterBreak="0">
    <w:nsid w:val="6450298B"/>
    <w:multiLevelType w:val="hybridMultilevel"/>
    <w:tmpl w:val="30B27332"/>
    <w:lvl w:ilvl="0" w:tplc="DD687880">
      <w:start w:val="1"/>
      <w:numFmt w:val="decimal"/>
      <w:lvlText w:val="%1."/>
      <w:lvlJc w:val="left"/>
      <w:pPr>
        <w:ind w:left="1710" w:hanging="360"/>
      </w:pPr>
      <w:rPr>
        <w:rFonts w:ascii="Verdana" w:hAnsi="Verdana" w:hint="default"/>
        <w:b w:val="0"/>
        <w:i w:val="0"/>
        <w:color w:val="auto"/>
        <w:sz w:val="20"/>
        <w:szCs w:val="20"/>
      </w:rPr>
    </w:lvl>
    <w:lvl w:ilvl="1" w:tplc="E088421C">
      <w:start w:val="1"/>
      <w:numFmt w:val="lowerLetter"/>
      <w:lvlText w:val="%2)"/>
      <w:lvlJc w:val="left"/>
      <w:pPr>
        <w:ind w:left="1440" w:hanging="360"/>
      </w:pPr>
      <w:rPr>
        <w:rFonts w:hint="default"/>
        <w: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40692B"/>
    <w:multiLevelType w:val="hybridMultilevel"/>
    <w:tmpl w:val="384C4D1C"/>
    <w:lvl w:ilvl="0" w:tplc="70A26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01C77"/>
    <w:multiLevelType w:val="hybridMultilevel"/>
    <w:tmpl w:val="855EF884"/>
    <w:lvl w:ilvl="0" w:tplc="140A0019">
      <w:start w:val="1"/>
      <w:numFmt w:val="lowerLetter"/>
      <w:lvlText w:val="%1."/>
      <w:lvlJc w:val="left"/>
      <w:pPr>
        <w:ind w:left="1900" w:hanging="360"/>
      </w:pPr>
    </w:lvl>
    <w:lvl w:ilvl="1" w:tplc="140A0019" w:tentative="1">
      <w:start w:val="1"/>
      <w:numFmt w:val="lowerLetter"/>
      <w:lvlText w:val="%2."/>
      <w:lvlJc w:val="left"/>
      <w:pPr>
        <w:ind w:left="2620" w:hanging="360"/>
      </w:pPr>
    </w:lvl>
    <w:lvl w:ilvl="2" w:tplc="140A001B" w:tentative="1">
      <w:start w:val="1"/>
      <w:numFmt w:val="lowerRoman"/>
      <w:lvlText w:val="%3."/>
      <w:lvlJc w:val="right"/>
      <w:pPr>
        <w:ind w:left="3340" w:hanging="180"/>
      </w:pPr>
    </w:lvl>
    <w:lvl w:ilvl="3" w:tplc="140A000F" w:tentative="1">
      <w:start w:val="1"/>
      <w:numFmt w:val="decimal"/>
      <w:lvlText w:val="%4."/>
      <w:lvlJc w:val="left"/>
      <w:pPr>
        <w:ind w:left="4060" w:hanging="360"/>
      </w:pPr>
    </w:lvl>
    <w:lvl w:ilvl="4" w:tplc="140A0019" w:tentative="1">
      <w:start w:val="1"/>
      <w:numFmt w:val="lowerLetter"/>
      <w:lvlText w:val="%5."/>
      <w:lvlJc w:val="left"/>
      <w:pPr>
        <w:ind w:left="4780" w:hanging="360"/>
      </w:pPr>
    </w:lvl>
    <w:lvl w:ilvl="5" w:tplc="140A001B" w:tentative="1">
      <w:start w:val="1"/>
      <w:numFmt w:val="lowerRoman"/>
      <w:lvlText w:val="%6."/>
      <w:lvlJc w:val="right"/>
      <w:pPr>
        <w:ind w:left="5500" w:hanging="180"/>
      </w:pPr>
    </w:lvl>
    <w:lvl w:ilvl="6" w:tplc="140A000F" w:tentative="1">
      <w:start w:val="1"/>
      <w:numFmt w:val="decimal"/>
      <w:lvlText w:val="%7."/>
      <w:lvlJc w:val="left"/>
      <w:pPr>
        <w:ind w:left="6220" w:hanging="360"/>
      </w:pPr>
    </w:lvl>
    <w:lvl w:ilvl="7" w:tplc="140A0019" w:tentative="1">
      <w:start w:val="1"/>
      <w:numFmt w:val="lowerLetter"/>
      <w:lvlText w:val="%8."/>
      <w:lvlJc w:val="left"/>
      <w:pPr>
        <w:ind w:left="6940" w:hanging="360"/>
      </w:pPr>
    </w:lvl>
    <w:lvl w:ilvl="8" w:tplc="140A001B" w:tentative="1">
      <w:start w:val="1"/>
      <w:numFmt w:val="lowerRoman"/>
      <w:lvlText w:val="%9."/>
      <w:lvlJc w:val="right"/>
      <w:pPr>
        <w:ind w:left="7660" w:hanging="180"/>
      </w:pPr>
    </w:lvl>
  </w:abstractNum>
  <w:abstractNum w:abstractNumId="34" w15:restartNumberingAfterBreak="0">
    <w:nsid w:val="72DC2AC7"/>
    <w:multiLevelType w:val="hybridMultilevel"/>
    <w:tmpl w:val="C28ACB1A"/>
    <w:lvl w:ilvl="0" w:tplc="2536CD2C">
      <w:start w:val="1"/>
      <w:numFmt w:val="decimal"/>
      <w:lvlText w:val="%1."/>
      <w:lvlJc w:val="left"/>
      <w:pPr>
        <w:tabs>
          <w:tab w:val="num" w:pos="360"/>
        </w:tabs>
        <w:ind w:left="360" w:hanging="360"/>
      </w:pPr>
      <w:rPr>
        <w:rFonts w:ascii="Verdana" w:hAnsi="Verdana" w:hint="default"/>
        <w:b w:val="0"/>
        <w:i w:val="0"/>
        <w:color w:val="auto"/>
        <w:sz w:val="20"/>
        <w:szCs w:val="20"/>
        <w:lang w:val="es-EC"/>
      </w:rPr>
    </w:lvl>
    <w:lvl w:ilvl="1" w:tplc="64A22312">
      <w:start w:val="1"/>
      <w:numFmt w:val="lowerLetter"/>
      <w:lvlText w:val="%2)"/>
      <w:lvlJc w:val="left"/>
      <w:pPr>
        <w:tabs>
          <w:tab w:val="num" w:pos="1440"/>
        </w:tabs>
        <w:ind w:left="1440" w:hanging="360"/>
      </w:pPr>
      <w:rPr>
        <w:rFonts w:hint="default"/>
        <w:i w:val="0"/>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5B4371"/>
    <w:multiLevelType w:val="hybridMultilevel"/>
    <w:tmpl w:val="86D88ACE"/>
    <w:lvl w:ilvl="0" w:tplc="0409000F">
      <w:start w:val="1"/>
      <w:numFmt w:val="upperRoman"/>
      <w:lvlText w:val="%1."/>
      <w:lvlJc w:val="left"/>
      <w:pPr>
        <w:tabs>
          <w:tab w:val="num" w:pos="780"/>
        </w:tabs>
        <w:ind w:left="780" w:hanging="720"/>
      </w:pPr>
      <w:rPr>
        <w:rFonts w:ascii="Verdana" w:hAnsi="Verdana" w:hint="default"/>
        <w:sz w:val="18"/>
      </w:rPr>
    </w:lvl>
    <w:lvl w:ilvl="1" w:tplc="04090019">
      <w:start w:val="1"/>
      <w:numFmt w:val="bullet"/>
      <w:lvlText w:val=""/>
      <w:lvlJc w:val="left"/>
      <w:pPr>
        <w:tabs>
          <w:tab w:val="num" w:pos="1140"/>
        </w:tabs>
        <w:ind w:left="1140" w:hanging="360"/>
      </w:pPr>
      <w:rPr>
        <w:rFonts w:ascii="Symbol" w:hAnsi="Symbol" w:hint="default"/>
        <w:sz w:val="1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6" w15:restartNumberingAfterBreak="0">
    <w:nsid w:val="75911174"/>
    <w:multiLevelType w:val="hybridMultilevel"/>
    <w:tmpl w:val="69C62D2E"/>
    <w:lvl w:ilvl="0" w:tplc="BF6AF83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40DAC"/>
    <w:multiLevelType w:val="hybridMultilevel"/>
    <w:tmpl w:val="064AB2C6"/>
    <w:lvl w:ilvl="0" w:tplc="E1C61730">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9" w15:restartNumberingAfterBreak="0">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7A501886"/>
    <w:multiLevelType w:val="hybridMultilevel"/>
    <w:tmpl w:val="30AED766"/>
    <w:lvl w:ilvl="0" w:tplc="CE6698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B80200B"/>
    <w:multiLevelType w:val="hybridMultilevel"/>
    <w:tmpl w:val="6D863B6E"/>
    <w:lvl w:ilvl="0" w:tplc="4630028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C867CB5"/>
    <w:multiLevelType w:val="hybridMultilevel"/>
    <w:tmpl w:val="72EE8A04"/>
    <w:lvl w:ilvl="0" w:tplc="5DB2D3BE">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64D32"/>
    <w:multiLevelType w:val="hybridMultilevel"/>
    <w:tmpl w:val="54CEECC8"/>
    <w:lvl w:ilvl="0" w:tplc="4C64F774">
      <w:start w:val="1"/>
      <w:numFmt w:val="decimal"/>
      <w:lvlText w:val="%1."/>
      <w:lvlJc w:val="left"/>
      <w:pPr>
        <w:tabs>
          <w:tab w:val="num" w:pos="1247"/>
        </w:tabs>
      </w:pPr>
      <w:rPr>
        <w:rFonts w:ascii="Verdana" w:eastAsia="Times New Roman" w:hAnsi="Verdana" w:cs="Times New Roman"/>
        <w:b w:val="0"/>
        <w:i w:val="0"/>
        <w:color w:val="auto"/>
        <w:sz w:val="20"/>
        <w:lang w:val="es-CO"/>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EC75A7F"/>
    <w:multiLevelType w:val="hybridMultilevel"/>
    <w:tmpl w:val="1AFA5C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8"/>
  </w:num>
  <w:num w:numId="4">
    <w:abstractNumId w:val="31"/>
  </w:num>
  <w:num w:numId="5">
    <w:abstractNumId w:val="3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4"/>
  </w:num>
  <w:num w:numId="10">
    <w:abstractNumId w:val="33"/>
  </w:num>
  <w:num w:numId="11">
    <w:abstractNumId w:val="10"/>
  </w:num>
  <w:num w:numId="12">
    <w:abstractNumId w:val="44"/>
  </w:num>
  <w:num w:numId="13">
    <w:abstractNumId w:val="28"/>
  </w:num>
  <w:num w:numId="14">
    <w:abstractNumId w:val="6"/>
  </w:num>
  <w:num w:numId="15">
    <w:abstractNumId w:val="16"/>
  </w:num>
  <w:num w:numId="16">
    <w:abstractNumId w:val="14"/>
  </w:num>
  <w:num w:numId="17">
    <w:abstractNumId w:val="7"/>
  </w:num>
  <w:num w:numId="18">
    <w:abstractNumId w:val="27"/>
  </w:num>
  <w:num w:numId="19">
    <w:abstractNumId w:val="13"/>
  </w:num>
  <w:num w:numId="20">
    <w:abstractNumId w:val="29"/>
  </w:num>
  <w:num w:numId="21">
    <w:abstractNumId w:val="43"/>
  </w:num>
  <w:num w:numId="22">
    <w:abstractNumId w:val="25"/>
  </w:num>
  <w:num w:numId="23">
    <w:abstractNumId w:val="36"/>
  </w:num>
  <w:num w:numId="24">
    <w:abstractNumId w:val="15"/>
  </w:num>
  <w:num w:numId="25">
    <w:abstractNumId w:val="1"/>
  </w:num>
  <w:num w:numId="26">
    <w:abstractNumId w:val="17"/>
  </w:num>
  <w:num w:numId="27">
    <w:abstractNumId w:val="2"/>
  </w:num>
  <w:num w:numId="28">
    <w:abstractNumId w:val="18"/>
  </w:num>
  <w:num w:numId="29">
    <w:abstractNumId w:val="0"/>
  </w:num>
  <w:num w:numId="30">
    <w:abstractNumId w:val="32"/>
  </w:num>
  <w:num w:numId="31">
    <w:abstractNumId w:val="3"/>
  </w:num>
  <w:num w:numId="32">
    <w:abstractNumId w:val="42"/>
  </w:num>
  <w:num w:numId="33">
    <w:abstractNumId w:val="21"/>
  </w:num>
  <w:num w:numId="34">
    <w:abstractNumId w:val="11"/>
  </w:num>
  <w:num w:numId="35">
    <w:abstractNumId w:val="40"/>
  </w:num>
  <w:num w:numId="36">
    <w:abstractNumId w:val="20"/>
  </w:num>
  <w:num w:numId="37">
    <w:abstractNumId w:val="41"/>
  </w:num>
  <w:num w:numId="38">
    <w:abstractNumId w:val="4"/>
  </w:num>
  <w:num w:numId="39">
    <w:abstractNumId w:val="34"/>
  </w:num>
  <w:num w:numId="40">
    <w:abstractNumId w:val="8"/>
  </w:num>
  <w:num w:numId="41">
    <w:abstractNumId w:val="5"/>
  </w:num>
  <w:num w:numId="42">
    <w:abstractNumId w:val="37"/>
  </w:num>
  <w:num w:numId="43">
    <w:abstractNumId w:val="19"/>
  </w:num>
  <w:num w:numId="44">
    <w:abstractNumId w:val="23"/>
  </w:num>
  <w:num w:numId="45">
    <w:abstractNumId w:val="9"/>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BDD"/>
    <w:rsid w:val="00000131"/>
    <w:rsid w:val="00000433"/>
    <w:rsid w:val="0000057A"/>
    <w:rsid w:val="000005DD"/>
    <w:rsid w:val="00000D64"/>
    <w:rsid w:val="000013E8"/>
    <w:rsid w:val="00001866"/>
    <w:rsid w:val="0000214E"/>
    <w:rsid w:val="000041B7"/>
    <w:rsid w:val="0000442C"/>
    <w:rsid w:val="00004B34"/>
    <w:rsid w:val="00004B71"/>
    <w:rsid w:val="00004CCB"/>
    <w:rsid w:val="00004D9C"/>
    <w:rsid w:val="00006405"/>
    <w:rsid w:val="00007977"/>
    <w:rsid w:val="00007D98"/>
    <w:rsid w:val="0001019C"/>
    <w:rsid w:val="00010CFA"/>
    <w:rsid w:val="00011543"/>
    <w:rsid w:val="0001173B"/>
    <w:rsid w:val="00011740"/>
    <w:rsid w:val="000122E9"/>
    <w:rsid w:val="00012C3F"/>
    <w:rsid w:val="000136CC"/>
    <w:rsid w:val="00013978"/>
    <w:rsid w:val="00014157"/>
    <w:rsid w:val="00015342"/>
    <w:rsid w:val="0001567D"/>
    <w:rsid w:val="00015DB9"/>
    <w:rsid w:val="00015E21"/>
    <w:rsid w:val="00016122"/>
    <w:rsid w:val="000166FA"/>
    <w:rsid w:val="00016B6D"/>
    <w:rsid w:val="000170FA"/>
    <w:rsid w:val="00017359"/>
    <w:rsid w:val="00017C10"/>
    <w:rsid w:val="00020A9A"/>
    <w:rsid w:val="000219C5"/>
    <w:rsid w:val="00021A6D"/>
    <w:rsid w:val="00021BE1"/>
    <w:rsid w:val="00022FA6"/>
    <w:rsid w:val="00023643"/>
    <w:rsid w:val="00025E57"/>
    <w:rsid w:val="000272DF"/>
    <w:rsid w:val="000277A2"/>
    <w:rsid w:val="000279A8"/>
    <w:rsid w:val="00030828"/>
    <w:rsid w:val="00030D94"/>
    <w:rsid w:val="00030E2E"/>
    <w:rsid w:val="00030FED"/>
    <w:rsid w:val="000315FE"/>
    <w:rsid w:val="0003189C"/>
    <w:rsid w:val="00031D84"/>
    <w:rsid w:val="0003268B"/>
    <w:rsid w:val="000326B5"/>
    <w:rsid w:val="00032981"/>
    <w:rsid w:val="00032C84"/>
    <w:rsid w:val="00032D30"/>
    <w:rsid w:val="00032E6D"/>
    <w:rsid w:val="000339A2"/>
    <w:rsid w:val="00034C26"/>
    <w:rsid w:val="00035A18"/>
    <w:rsid w:val="000360B5"/>
    <w:rsid w:val="0003709D"/>
    <w:rsid w:val="00037611"/>
    <w:rsid w:val="0003786E"/>
    <w:rsid w:val="00037A15"/>
    <w:rsid w:val="00040BA7"/>
    <w:rsid w:val="000412C5"/>
    <w:rsid w:val="000423C6"/>
    <w:rsid w:val="0004293C"/>
    <w:rsid w:val="00042C39"/>
    <w:rsid w:val="00042D8A"/>
    <w:rsid w:val="000435D5"/>
    <w:rsid w:val="00043B83"/>
    <w:rsid w:val="00044325"/>
    <w:rsid w:val="0004488C"/>
    <w:rsid w:val="00047A3B"/>
    <w:rsid w:val="0005049A"/>
    <w:rsid w:val="0005131A"/>
    <w:rsid w:val="00051707"/>
    <w:rsid w:val="00051985"/>
    <w:rsid w:val="00051F3F"/>
    <w:rsid w:val="000525AA"/>
    <w:rsid w:val="00053076"/>
    <w:rsid w:val="00053475"/>
    <w:rsid w:val="00053B96"/>
    <w:rsid w:val="00053DEB"/>
    <w:rsid w:val="000542BC"/>
    <w:rsid w:val="0005490E"/>
    <w:rsid w:val="0005494C"/>
    <w:rsid w:val="00055993"/>
    <w:rsid w:val="0005710F"/>
    <w:rsid w:val="000572F7"/>
    <w:rsid w:val="00057F48"/>
    <w:rsid w:val="000600E0"/>
    <w:rsid w:val="00060FFF"/>
    <w:rsid w:val="00062285"/>
    <w:rsid w:val="0006464E"/>
    <w:rsid w:val="0006512F"/>
    <w:rsid w:val="00066D4A"/>
    <w:rsid w:val="0006774C"/>
    <w:rsid w:val="00067BC3"/>
    <w:rsid w:val="00067E98"/>
    <w:rsid w:val="000704CD"/>
    <w:rsid w:val="00070941"/>
    <w:rsid w:val="00072121"/>
    <w:rsid w:val="000723CB"/>
    <w:rsid w:val="0007256D"/>
    <w:rsid w:val="000732AE"/>
    <w:rsid w:val="00073A86"/>
    <w:rsid w:val="00073ECE"/>
    <w:rsid w:val="00074DBF"/>
    <w:rsid w:val="0007552A"/>
    <w:rsid w:val="00075585"/>
    <w:rsid w:val="00075931"/>
    <w:rsid w:val="00075B12"/>
    <w:rsid w:val="000775B9"/>
    <w:rsid w:val="00080CCE"/>
    <w:rsid w:val="0008155F"/>
    <w:rsid w:val="00081B05"/>
    <w:rsid w:val="00082225"/>
    <w:rsid w:val="00082283"/>
    <w:rsid w:val="00082A67"/>
    <w:rsid w:val="00082AC3"/>
    <w:rsid w:val="00084D24"/>
    <w:rsid w:val="00084D8C"/>
    <w:rsid w:val="000852DF"/>
    <w:rsid w:val="00085704"/>
    <w:rsid w:val="00085BDD"/>
    <w:rsid w:val="00085C23"/>
    <w:rsid w:val="00085FE6"/>
    <w:rsid w:val="00086920"/>
    <w:rsid w:val="00086B49"/>
    <w:rsid w:val="00086DFF"/>
    <w:rsid w:val="0009029E"/>
    <w:rsid w:val="0009041D"/>
    <w:rsid w:val="00091030"/>
    <w:rsid w:val="000932A6"/>
    <w:rsid w:val="0009339A"/>
    <w:rsid w:val="000937EB"/>
    <w:rsid w:val="0009464E"/>
    <w:rsid w:val="0009469C"/>
    <w:rsid w:val="00095E76"/>
    <w:rsid w:val="00097021"/>
    <w:rsid w:val="00097502"/>
    <w:rsid w:val="000977B9"/>
    <w:rsid w:val="000A0FEB"/>
    <w:rsid w:val="000A19C2"/>
    <w:rsid w:val="000A1D79"/>
    <w:rsid w:val="000A257A"/>
    <w:rsid w:val="000A30A9"/>
    <w:rsid w:val="000A373E"/>
    <w:rsid w:val="000A435D"/>
    <w:rsid w:val="000A4835"/>
    <w:rsid w:val="000A4DC1"/>
    <w:rsid w:val="000A5483"/>
    <w:rsid w:val="000A59F0"/>
    <w:rsid w:val="000A5E7C"/>
    <w:rsid w:val="000A5FC8"/>
    <w:rsid w:val="000A6094"/>
    <w:rsid w:val="000A6BEC"/>
    <w:rsid w:val="000A6D89"/>
    <w:rsid w:val="000A701A"/>
    <w:rsid w:val="000A72F5"/>
    <w:rsid w:val="000A775B"/>
    <w:rsid w:val="000A7866"/>
    <w:rsid w:val="000A7CBB"/>
    <w:rsid w:val="000B00FB"/>
    <w:rsid w:val="000B0801"/>
    <w:rsid w:val="000B08FF"/>
    <w:rsid w:val="000B12F8"/>
    <w:rsid w:val="000B18D8"/>
    <w:rsid w:val="000B1D4F"/>
    <w:rsid w:val="000B1E30"/>
    <w:rsid w:val="000B252B"/>
    <w:rsid w:val="000B4230"/>
    <w:rsid w:val="000B5D06"/>
    <w:rsid w:val="000B6B01"/>
    <w:rsid w:val="000B6E81"/>
    <w:rsid w:val="000B6F1B"/>
    <w:rsid w:val="000B7373"/>
    <w:rsid w:val="000B747A"/>
    <w:rsid w:val="000B7A68"/>
    <w:rsid w:val="000C0406"/>
    <w:rsid w:val="000C1B19"/>
    <w:rsid w:val="000C2265"/>
    <w:rsid w:val="000C2E18"/>
    <w:rsid w:val="000C3041"/>
    <w:rsid w:val="000C3436"/>
    <w:rsid w:val="000C3DF5"/>
    <w:rsid w:val="000C44D9"/>
    <w:rsid w:val="000C49C6"/>
    <w:rsid w:val="000C4D4F"/>
    <w:rsid w:val="000C54B0"/>
    <w:rsid w:val="000C5821"/>
    <w:rsid w:val="000C5D8A"/>
    <w:rsid w:val="000C69ED"/>
    <w:rsid w:val="000C797C"/>
    <w:rsid w:val="000C7C05"/>
    <w:rsid w:val="000C7F5C"/>
    <w:rsid w:val="000D080E"/>
    <w:rsid w:val="000D0A98"/>
    <w:rsid w:val="000D0AE0"/>
    <w:rsid w:val="000D11D5"/>
    <w:rsid w:val="000D1638"/>
    <w:rsid w:val="000D1FDF"/>
    <w:rsid w:val="000D230F"/>
    <w:rsid w:val="000D264C"/>
    <w:rsid w:val="000D2734"/>
    <w:rsid w:val="000D2B4C"/>
    <w:rsid w:val="000D2D98"/>
    <w:rsid w:val="000D309F"/>
    <w:rsid w:val="000D3303"/>
    <w:rsid w:val="000D4F2A"/>
    <w:rsid w:val="000D4F90"/>
    <w:rsid w:val="000D5CD4"/>
    <w:rsid w:val="000D6F86"/>
    <w:rsid w:val="000D7768"/>
    <w:rsid w:val="000E01D3"/>
    <w:rsid w:val="000E0704"/>
    <w:rsid w:val="000E0902"/>
    <w:rsid w:val="000E0C09"/>
    <w:rsid w:val="000E117B"/>
    <w:rsid w:val="000E11D6"/>
    <w:rsid w:val="000E1C11"/>
    <w:rsid w:val="000E307E"/>
    <w:rsid w:val="000E33C8"/>
    <w:rsid w:val="000E47C8"/>
    <w:rsid w:val="000E4E75"/>
    <w:rsid w:val="000E53C9"/>
    <w:rsid w:val="000E6B1F"/>
    <w:rsid w:val="000E6E63"/>
    <w:rsid w:val="000E73D9"/>
    <w:rsid w:val="000E7866"/>
    <w:rsid w:val="000E7C80"/>
    <w:rsid w:val="000F072D"/>
    <w:rsid w:val="000F14B8"/>
    <w:rsid w:val="000F2206"/>
    <w:rsid w:val="000F26A4"/>
    <w:rsid w:val="000F2AAB"/>
    <w:rsid w:val="000F32AA"/>
    <w:rsid w:val="000F35F9"/>
    <w:rsid w:val="000F37C9"/>
    <w:rsid w:val="000F44C5"/>
    <w:rsid w:val="000F6179"/>
    <w:rsid w:val="000F7278"/>
    <w:rsid w:val="000F735E"/>
    <w:rsid w:val="000F78D0"/>
    <w:rsid w:val="000F7EA2"/>
    <w:rsid w:val="0010034A"/>
    <w:rsid w:val="001008EF"/>
    <w:rsid w:val="00100ACF"/>
    <w:rsid w:val="0010100E"/>
    <w:rsid w:val="00103520"/>
    <w:rsid w:val="00104B22"/>
    <w:rsid w:val="00107455"/>
    <w:rsid w:val="0010746C"/>
    <w:rsid w:val="00107617"/>
    <w:rsid w:val="00107649"/>
    <w:rsid w:val="00110716"/>
    <w:rsid w:val="00110B3D"/>
    <w:rsid w:val="00111B66"/>
    <w:rsid w:val="001123F2"/>
    <w:rsid w:val="0011342A"/>
    <w:rsid w:val="001135DA"/>
    <w:rsid w:val="0011383A"/>
    <w:rsid w:val="0011398E"/>
    <w:rsid w:val="00113FF5"/>
    <w:rsid w:val="00114577"/>
    <w:rsid w:val="0011473D"/>
    <w:rsid w:val="0011543E"/>
    <w:rsid w:val="0011659B"/>
    <w:rsid w:val="001165F9"/>
    <w:rsid w:val="00116807"/>
    <w:rsid w:val="00117945"/>
    <w:rsid w:val="0012020B"/>
    <w:rsid w:val="00120592"/>
    <w:rsid w:val="00120E41"/>
    <w:rsid w:val="001216F5"/>
    <w:rsid w:val="00122A38"/>
    <w:rsid w:val="0012335E"/>
    <w:rsid w:val="001242D0"/>
    <w:rsid w:val="00124478"/>
    <w:rsid w:val="00124A33"/>
    <w:rsid w:val="001254DE"/>
    <w:rsid w:val="00125A17"/>
    <w:rsid w:val="00125F25"/>
    <w:rsid w:val="00125F33"/>
    <w:rsid w:val="0012612E"/>
    <w:rsid w:val="00126DBA"/>
    <w:rsid w:val="00127556"/>
    <w:rsid w:val="00130362"/>
    <w:rsid w:val="00130531"/>
    <w:rsid w:val="0013059C"/>
    <w:rsid w:val="0013081F"/>
    <w:rsid w:val="00130944"/>
    <w:rsid w:val="00131356"/>
    <w:rsid w:val="001317E8"/>
    <w:rsid w:val="00132270"/>
    <w:rsid w:val="0013235D"/>
    <w:rsid w:val="0013307D"/>
    <w:rsid w:val="00133B67"/>
    <w:rsid w:val="00134BEC"/>
    <w:rsid w:val="00135580"/>
    <w:rsid w:val="00136108"/>
    <w:rsid w:val="00136EDE"/>
    <w:rsid w:val="0013791D"/>
    <w:rsid w:val="0013799D"/>
    <w:rsid w:val="0014134B"/>
    <w:rsid w:val="0014155F"/>
    <w:rsid w:val="00141692"/>
    <w:rsid w:val="001422EC"/>
    <w:rsid w:val="00142649"/>
    <w:rsid w:val="0014280F"/>
    <w:rsid w:val="00145811"/>
    <w:rsid w:val="00145A34"/>
    <w:rsid w:val="00145EDA"/>
    <w:rsid w:val="00147093"/>
    <w:rsid w:val="00147721"/>
    <w:rsid w:val="00147909"/>
    <w:rsid w:val="00150189"/>
    <w:rsid w:val="00150C5B"/>
    <w:rsid w:val="001512CA"/>
    <w:rsid w:val="00151E4D"/>
    <w:rsid w:val="00151EBB"/>
    <w:rsid w:val="00151FD1"/>
    <w:rsid w:val="001521C3"/>
    <w:rsid w:val="00152B77"/>
    <w:rsid w:val="00152FBF"/>
    <w:rsid w:val="001532C0"/>
    <w:rsid w:val="00153315"/>
    <w:rsid w:val="00153436"/>
    <w:rsid w:val="001535F8"/>
    <w:rsid w:val="001544FC"/>
    <w:rsid w:val="00155E8E"/>
    <w:rsid w:val="00156A04"/>
    <w:rsid w:val="001579D1"/>
    <w:rsid w:val="00160819"/>
    <w:rsid w:val="001617ED"/>
    <w:rsid w:val="00162D62"/>
    <w:rsid w:val="00162DF3"/>
    <w:rsid w:val="0016313E"/>
    <w:rsid w:val="00164083"/>
    <w:rsid w:val="00164743"/>
    <w:rsid w:val="0016488D"/>
    <w:rsid w:val="00164F7B"/>
    <w:rsid w:val="0016566A"/>
    <w:rsid w:val="001656F7"/>
    <w:rsid w:val="001667A9"/>
    <w:rsid w:val="00166F3E"/>
    <w:rsid w:val="00167365"/>
    <w:rsid w:val="001705C2"/>
    <w:rsid w:val="0017120B"/>
    <w:rsid w:val="001713A1"/>
    <w:rsid w:val="00171A5D"/>
    <w:rsid w:val="00171B4B"/>
    <w:rsid w:val="00171F67"/>
    <w:rsid w:val="001721BD"/>
    <w:rsid w:val="00172FE0"/>
    <w:rsid w:val="00173D28"/>
    <w:rsid w:val="0017413F"/>
    <w:rsid w:val="00174D2D"/>
    <w:rsid w:val="0017539B"/>
    <w:rsid w:val="001754D4"/>
    <w:rsid w:val="001755D5"/>
    <w:rsid w:val="0017602D"/>
    <w:rsid w:val="001760C9"/>
    <w:rsid w:val="001763B2"/>
    <w:rsid w:val="001770EA"/>
    <w:rsid w:val="00177292"/>
    <w:rsid w:val="00177399"/>
    <w:rsid w:val="001773EF"/>
    <w:rsid w:val="00177605"/>
    <w:rsid w:val="00177A56"/>
    <w:rsid w:val="00177D3C"/>
    <w:rsid w:val="00180117"/>
    <w:rsid w:val="00180AD7"/>
    <w:rsid w:val="001826D8"/>
    <w:rsid w:val="00182A7C"/>
    <w:rsid w:val="00183265"/>
    <w:rsid w:val="001841C5"/>
    <w:rsid w:val="0018429A"/>
    <w:rsid w:val="001860D1"/>
    <w:rsid w:val="00186404"/>
    <w:rsid w:val="001878A1"/>
    <w:rsid w:val="00190CCC"/>
    <w:rsid w:val="00190E75"/>
    <w:rsid w:val="0019170F"/>
    <w:rsid w:val="0019187D"/>
    <w:rsid w:val="00191950"/>
    <w:rsid w:val="00192CF7"/>
    <w:rsid w:val="001932EF"/>
    <w:rsid w:val="00194FF1"/>
    <w:rsid w:val="001950BC"/>
    <w:rsid w:val="00195333"/>
    <w:rsid w:val="0019584C"/>
    <w:rsid w:val="00195867"/>
    <w:rsid w:val="00196E41"/>
    <w:rsid w:val="001975E2"/>
    <w:rsid w:val="00197D5A"/>
    <w:rsid w:val="001A113C"/>
    <w:rsid w:val="001A2BBA"/>
    <w:rsid w:val="001A2E32"/>
    <w:rsid w:val="001A3986"/>
    <w:rsid w:val="001A5C40"/>
    <w:rsid w:val="001A5E4F"/>
    <w:rsid w:val="001A622B"/>
    <w:rsid w:val="001A751D"/>
    <w:rsid w:val="001A76EC"/>
    <w:rsid w:val="001A7B45"/>
    <w:rsid w:val="001B0177"/>
    <w:rsid w:val="001B02F1"/>
    <w:rsid w:val="001B0324"/>
    <w:rsid w:val="001B1EF7"/>
    <w:rsid w:val="001B334A"/>
    <w:rsid w:val="001B5224"/>
    <w:rsid w:val="001B53DF"/>
    <w:rsid w:val="001B5AD7"/>
    <w:rsid w:val="001B7255"/>
    <w:rsid w:val="001B7433"/>
    <w:rsid w:val="001B7E69"/>
    <w:rsid w:val="001C013B"/>
    <w:rsid w:val="001C03B7"/>
    <w:rsid w:val="001C0876"/>
    <w:rsid w:val="001C0D25"/>
    <w:rsid w:val="001C2E6D"/>
    <w:rsid w:val="001C3A7A"/>
    <w:rsid w:val="001C43D1"/>
    <w:rsid w:val="001C46AD"/>
    <w:rsid w:val="001C4B9F"/>
    <w:rsid w:val="001C5850"/>
    <w:rsid w:val="001C5F7B"/>
    <w:rsid w:val="001C696E"/>
    <w:rsid w:val="001C6B55"/>
    <w:rsid w:val="001C7633"/>
    <w:rsid w:val="001D0D75"/>
    <w:rsid w:val="001D1354"/>
    <w:rsid w:val="001D1448"/>
    <w:rsid w:val="001D2174"/>
    <w:rsid w:val="001D2A64"/>
    <w:rsid w:val="001D33AE"/>
    <w:rsid w:val="001D3E76"/>
    <w:rsid w:val="001D3F0C"/>
    <w:rsid w:val="001D4863"/>
    <w:rsid w:val="001D523B"/>
    <w:rsid w:val="001D5D94"/>
    <w:rsid w:val="001D6B4F"/>
    <w:rsid w:val="001E0790"/>
    <w:rsid w:val="001E1CBD"/>
    <w:rsid w:val="001E1D73"/>
    <w:rsid w:val="001E272C"/>
    <w:rsid w:val="001E5AFC"/>
    <w:rsid w:val="001E651F"/>
    <w:rsid w:val="001E71CE"/>
    <w:rsid w:val="001E73F2"/>
    <w:rsid w:val="001E79BE"/>
    <w:rsid w:val="001F009F"/>
    <w:rsid w:val="001F033C"/>
    <w:rsid w:val="001F0787"/>
    <w:rsid w:val="001F313A"/>
    <w:rsid w:val="001F3E25"/>
    <w:rsid w:val="001F570C"/>
    <w:rsid w:val="001F604C"/>
    <w:rsid w:val="001F67C0"/>
    <w:rsid w:val="001F770D"/>
    <w:rsid w:val="001F7B33"/>
    <w:rsid w:val="00200019"/>
    <w:rsid w:val="002006E9"/>
    <w:rsid w:val="002035CD"/>
    <w:rsid w:val="00203A6C"/>
    <w:rsid w:val="00203B8D"/>
    <w:rsid w:val="00204D29"/>
    <w:rsid w:val="0020518D"/>
    <w:rsid w:val="002063D5"/>
    <w:rsid w:val="0020768A"/>
    <w:rsid w:val="00210616"/>
    <w:rsid w:val="002108C0"/>
    <w:rsid w:val="00210DF6"/>
    <w:rsid w:val="00210F0F"/>
    <w:rsid w:val="0021162F"/>
    <w:rsid w:val="00211E7C"/>
    <w:rsid w:val="00212DA0"/>
    <w:rsid w:val="00213F42"/>
    <w:rsid w:val="0021414B"/>
    <w:rsid w:val="00214252"/>
    <w:rsid w:val="002143A9"/>
    <w:rsid w:val="00215038"/>
    <w:rsid w:val="00215790"/>
    <w:rsid w:val="00215DF3"/>
    <w:rsid w:val="00216D7B"/>
    <w:rsid w:val="002179E6"/>
    <w:rsid w:val="00217C59"/>
    <w:rsid w:val="002201C8"/>
    <w:rsid w:val="002205F3"/>
    <w:rsid w:val="00221042"/>
    <w:rsid w:val="0022111B"/>
    <w:rsid w:val="002215BF"/>
    <w:rsid w:val="002217FA"/>
    <w:rsid w:val="00223B1E"/>
    <w:rsid w:val="00223B9F"/>
    <w:rsid w:val="00223DC5"/>
    <w:rsid w:val="00224CF6"/>
    <w:rsid w:val="00225327"/>
    <w:rsid w:val="0022594B"/>
    <w:rsid w:val="00225F9C"/>
    <w:rsid w:val="00227F83"/>
    <w:rsid w:val="00230372"/>
    <w:rsid w:val="002304F8"/>
    <w:rsid w:val="00231052"/>
    <w:rsid w:val="00231122"/>
    <w:rsid w:val="00232B5E"/>
    <w:rsid w:val="00232EE0"/>
    <w:rsid w:val="00232F0D"/>
    <w:rsid w:val="0023392F"/>
    <w:rsid w:val="00234364"/>
    <w:rsid w:val="002345C0"/>
    <w:rsid w:val="0023528D"/>
    <w:rsid w:val="002355B1"/>
    <w:rsid w:val="00235748"/>
    <w:rsid w:val="00236127"/>
    <w:rsid w:val="00236C13"/>
    <w:rsid w:val="00241F19"/>
    <w:rsid w:val="002423DE"/>
    <w:rsid w:val="00242684"/>
    <w:rsid w:val="00242C27"/>
    <w:rsid w:val="00245D81"/>
    <w:rsid w:val="00246255"/>
    <w:rsid w:val="00246782"/>
    <w:rsid w:val="002476ED"/>
    <w:rsid w:val="002504A1"/>
    <w:rsid w:val="00250809"/>
    <w:rsid w:val="00250B81"/>
    <w:rsid w:val="002517F2"/>
    <w:rsid w:val="00251DEC"/>
    <w:rsid w:val="00252231"/>
    <w:rsid w:val="00253415"/>
    <w:rsid w:val="00257B0D"/>
    <w:rsid w:val="00257B56"/>
    <w:rsid w:val="00257C75"/>
    <w:rsid w:val="002606EA"/>
    <w:rsid w:val="00260F52"/>
    <w:rsid w:val="00261285"/>
    <w:rsid w:val="00261E01"/>
    <w:rsid w:val="00261FCE"/>
    <w:rsid w:val="00262786"/>
    <w:rsid w:val="002628BF"/>
    <w:rsid w:val="00262AE4"/>
    <w:rsid w:val="00263423"/>
    <w:rsid w:val="00263BD6"/>
    <w:rsid w:val="00263F88"/>
    <w:rsid w:val="0026404B"/>
    <w:rsid w:val="00264796"/>
    <w:rsid w:val="0026509B"/>
    <w:rsid w:val="00265B04"/>
    <w:rsid w:val="00265BD9"/>
    <w:rsid w:val="00266D66"/>
    <w:rsid w:val="00267054"/>
    <w:rsid w:val="002675AE"/>
    <w:rsid w:val="00270638"/>
    <w:rsid w:val="0027107F"/>
    <w:rsid w:val="0027127F"/>
    <w:rsid w:val="00271E24"/>
    <w:rsid w:val="00274D37"/>
    <w:rsid w:val="002755C3"/>
    <w:rsid w:val="002756CE"/>
    <w:rsid w:val="002758B6"/>
    <w:rsid w:val="00275B80"/>
    <w:rsid w:val="00275D74"/>
    <w:rsid w:val="0027661C"/>
    <w:rsid w:val="00276A87"/>
    <w:rsid w:val="00277001"/>
    <w:rsid w:val="00277354"/>
    <w:rsid w:val="002773E7"/>
    <w:rsid w:val="002774BE"/>
    <w:rsid w:val="00277C1E"/>
    <w:rsid w:val="00277EBB"/>
    <w:rsid w:val="00280180"/>
    <w:rsid w:val="0028033B"/>
    <w:rsid w:val="0028036A"/>
    <w:rsid w:val="002807C6"/>
    <w:rsid w:val="00280806"/>
    <w:rsid w:val="00280F09"/>
    <w:rsid w:val="00281FD8"/>
    <w:rsid w:val="00283330"/>
    <w:rsid w:val="002850E6"/>
    <w:rsid w:val="00286F68"/>
    <w:rsid w:val="0028766B"/>
    <w:rsid w:val="002878EC"/>
    <w:rsid w:val="00287A07"/>
    <w:rsid w:val="00287C82"/>
    <w:rsid w:val="00287FC4"/>
    <w:rsid w:val="0029043A"/>
    <w:rsid w:val="00290CED"/>
    <w:rsid w:val="00291795"/>
    <w:rsid w:val="002925AA"/>
    <w:rsid w:val="002934F2"/>
    <w:rsid w:val="00294D2D"/>
    <w:rsid w:val="002953DB"/>
    <w:rsid w:val="00295906"/>
    <w:rsid w:val="00295CFC"/>
    <w:rsid w:val="00295FF0"/>
    <w:rsid w:val="002961DA"/>
    <w:rsid w:val="00296802"/>
    <w:rsid w:val="00296ABC"/>
    <w:rsid w:val="002977A8"/>
    <w:rsid w:val="002A02FD"/>
    <w:rsid w:val="002A0A1A"/>
    <w:rsid w:val="002A0A51"/>
    <w:rsid w:val="002A11C4"/>
    <w:rsid w:val="002A17D5"/>
    <w:rsid w:val="002A188F"/>
    <w:rsid w:val="002A1F62"/>
    <w:rsid w:val="002A22B8"/>
    <w:rsid w:val="002A285B"/>
    <w:rsid w:val="002A41C4"/>
    <w:rsid w:val="002A4265"/>
    <w:rsid w:val="002A4402"/>
    <w:rsid w:val="002A45EC"/>
    <w:rsid w:val="002A463B"/>
    <w:rsid w:val="002A47A3"/>
    <w:rsid w:val="002A488F"/>
    <w:rsid w:val="002A4CAB"/>
    <w:rsid w:val="002A50DB"/>
    <w:rsid w:val="002A5123"/>
    <w:rsid w:val="002A51CA"/>
    <w:rsid w:val="002A5605"/>
    <w:rsid w:val="002A5D01"/>
    <w:rsid w:val="002A61EB"/>
    <w:rsid w:val="002A63FD"/>
    <w:rsid w:val="002A698E"/>
    <w:rsid w:val="002A7602"/>
    <w:rsid w:val="002B01CB"/>
    <w:rsid w:val="002B0943"/>
    <w:rsid w:val="002B0D2F"/>
    <w:rsid w:val="002B1A6F"/>
    <w:rsid w:val="002B1C33"/>
    <w:rsid w:val="002B2180"/>
    <w:rsid w:val="002B240B"/>
    <w:rsid w:val="002B460F"/>
    <w:rsid w:val="002B493C"/>
    <w:rsid w:val="002B5243"/>
    <w:rsid w:val="002B54CB"/>
    <w:rsid w:val="002B5619"/>
    <w:rsid w:val="002B5B79"/>
    <w:rsid w:val="002B7B3B"/>
    <w:rsid w:val="002B7BEC"/>
    <w:rsid w:val="002C0526"/>
    <w:rsid w:val="002C1937"/>
    <w:rsid w:val="002C199F"/>
    <w:rsid w:val="002C2235"/>
    <w:rsid w:val="002C2258"/>
    <w:rsid w:val="002C2B46"/>
    <w:rsid w:val="002C3F2F"/>
    <w:rsid w:val="002C4395"/>
    <w:rsid w:val="002C45F0"/>
    <w:rsid w:val="002C5668"/>
    <w:rsid w:val="002C56A5"/>
    <w:rsid w:val="002C5AE0"/>
    <w:rsid w:val="002C646D"/>
    <w:rsid w:val="002C78D7"/>
    <w:rsid w:val="002D0041"/>
    <w:rsid w:val="002D0B3A"/>
    <w:rsid w:val="002D178D"/>
    <w:rsid w:val="002D20D9"/>
    <w:rsid w:val="002D219E"/>
    <w:rsid w:val="002D2D7E"/>
    <w:rsid w:val="002D3E5E"/>
    <w:rsid w:val="002D4428"/>
    <w:rsid w:val="002D481C"/>
    <w:rsid w:val="002D48AE"/>
    <w:rsid w:val="002D490E"/>
    <w:rsid w:val="002D4AF2"/>
    <w:rsid w:val="002D5393"/>
    <w:rsid w:val="002D54E6"/>
    <w:rsid w:val="002D5C4F"/>
    <w:rsid w:val="002D64C1"/>
    <w:rsid w:val="002D74B1"/>
    <w:rsid w:val="002D74EC"/>
    <w:rsid w:val="002D755D"/>
    <w:rsid w:val="002D76C1"/>
    <w:rsid w:val="002E0259"/>
    <w:rsid w:val="002E0435"/>
    <w:rsid w:val="002E1325"/>
    <w:rsid w:val="002E1C87"/>
    <w:rsid w:val="002E2489"/>
    <w:rsid w:val="002E3DEB"/>
    <w:rsid w:val="002E41C7"/>
    <w:rsid w:val="002E51A7"/>
    <w:rsid w:val="002E5AE5"/>
    <w:rsid w:val="002E6439"/>
    <w:rsid w:val="002E6629"/>
    <w:rsid w:val="002E6E7D"/>
    <w:rsid w:val="002E7B3D"/>
    <w:rsid w:val="002F009E"/>
    <w:rsid w:val="002F0436"/>
    <w:rsid w:val="002F05BB"/>
    <w:rsid w:val="002F13EB"/>
    <w:rsid w:val="002F18A4"/>
    <w:rsid w:val="002F1FC5"/>
    <w:rsid w:val="002F2481"/>
    <w:rsid w:val="002F278F"/>
    <w:rsid w:val="002F2869"/>
    <w:rsid w:val="002F2FB1"/>
    <w:rsid w:val="002F381E"/>
    <w:rsid w:val="002F4CB5"/>
    <w:rsid w:val="002F4E0E"/>
    <w:rsid w:val="002F5E37"/>
    <w:rsid w:val="002F5F28"/>
    <w:rsid w:val="002F63BF"/>
    <w:rsid w:val="002F67EC"/>
    <w:rsid w:val="00300233"/>
    <w:rsid w:val="00300424"/>
    <w:rsid w:val="00300432"/>
    <w:rsid w:val="00300A42"/>
    <w:rsid w:val="00300D33"/>
    <w:rsid w:val="0030107B"/>
    <w:rsid w:val="0030109D"/>
    <w:rsid w:val="0030145D"/>
    <w:rsid w:val="00301C6B"/>
    <w:rsid w:val="00302950"/>
    <w:rsid w:val="0030317F"/>
    <w:rsid w:val="0030381D"/>
    <w:rsid w:val="003041C3"/>
    <w:rsid w:val="0030498F"/>
    <w:rsid w:val="00305C47"/>
    <w:rsid w:val="00306849"/>
    <w:rsid w:val="00306A29"/>
    <w:rsid w:val="00307E6C"/>
    <w:rsid w:val="00307E84"/>
    <w:rsid w:val="00310431"/>
    <w:rsid w:val="003108B8"/>
    <w:rsid w:val="00311A9C"/>
    <w:rsid w:val="00311B5D"/>
    <w:rsid w:val="0031214D"/>
    <w:rsid w:val="00312217"/>
    <w:rsid w:val="00312D11"/>
    <w:rsid w:val="00313F31"/>
    <w:rsid w:val="00315090"/>
    <w:rsid w:val="003155AD"/>
    <w:rsid w:val="00315C5F"/>
    <w:rsid w:val="003160E8"/>
    <w:rsid w:val="003163B7"/>
    <w:rsid w:val="00316FBC"/>
    <w:rsid w:val="0031710B"/>
    <w:rsid w:val="0031725D"/>
    <w:rsid w:val="00317532"/>
    <w:rsid w:val="003176B8"/>
    <w:rsid w:val="00320BB4"/>
    <w:rsid w:val="00322D69"/>
    <w:rsid w:val="0032362E"/>
    <w:rsid w:val="00323B3A"/>
    <w:rsid w:val="0032498A"/>
    <w:rsid w:val="00324A17"/>
    <w:rsid w:val="00324DB0"/>
    <w:rsid w:val="00324DFF"/>
    <w:rsid w:val="003258E8"/>
    <w:rsid w:val="00326672"/>
    <w:rsid w:val="003270BD"/>
    <w:rsid w:val="00327F49"/>
    <w:rsid w:val="00330396"/>
    <w:rsid w:val="00332034"/>
    <w:rsid w:val="003326A2"/>
    <w:rsid w:val="0033298B"/>
    <w:rsid w:val="00332EA1"/>
    <w:rsid w:val="00334425"/>
    <w:rsid w:val="00335B72"/>
    <w:rsid w:val="00335C32"/>
    <w:rsid w:val="00335E6E"/>
    <w:rsid w:val="00337427"/>
    <w:rsid w:val="00337F39"/>
    <w:rsid w:val="00340404"/>
    <w:rsid w:val="00341393"/>
    <w:rsid w:val="00341BF1"/>
    <w:rsid w:val="00341C5A"/>
    <w:rsid w:val="00341CDC"/>
    <w:rsid w:val="00342D38"/>
    <w:rsid w:val="003430A8"/>
    <w:rsid w:val="0034439B"/>
    <w:rsid w:val="00346477"/>
    <w:rsid w:val="00346688"/>
    <w:rsid w:val="00346A60"/>
    <w:rsid w:val="00347B9F"/>
    <w:rsid w:val="0035061C"/>
    <w:rsid w:val="0035139B"/>
    <w:rsid w:val="0035263A"/>
    <w:rsid w:val="00352A6D"/>
    <w:rsid w:val="0035348F"/>
    <w:rsid w:val="003539BE"/>
    <w:rsid w:val="00354417"/>
    <w:rsid w:val="003555F3"/>
    <w:rsid w:val="00356E2C"/>
    <w:rsid w:val="00356E5D"/>
    <w:rsid w:val="00357DE8"/>
    <w:rsid w:val="00360357"/>
    <w:rsid w:val="0036056E"/>
    <w:rsid w:val="00360666"/>
    <w:rsid w:val="003608F6"/>
    <w:rsid w:val="00360D48"/>
    <w:rsid w:val="00360E36"/>
    <w:rsid w:val="00360F95"/>
    <w:rsid w:val="00361B6A"/>
    <w:rsid w:val="00362A13"/>
    <w:rsid w:val="00362A2A"/>
    <w:rsid w:val="00362CC1"/>
    <w:rsid w:val="00362DB2"/>
    <w:rsid w:val="00363BEE"/>
    <w:rsid w:val="00364371"/>
    <w:rsid w:val="00364B77"/>
    <w:rsid w:val="0036691F"/>
    <w:rsid w:val="00366CB9"/>
    <w:rsid w:val="003670DF"/>
    <w:rsid w:val="00370DD4"/>
    <w:rsid w:val="00370FCA"/>
    <w:rsid w:val="00371F4B"/>
    <w:rsid w:val="003730AC"/>
    <w:rsid w:val="003737A1"/>
    <w:rsid w:val="00373CD6"/>
    <w:rsid w:val="00374633"/>
    <w:rsid w:val="00374897"/>
    <w:rsid w:val="00374C1A"/>
    <w:rsid w:val="00374D79"/>
    <w:rsid w:val="00374DA6"/>
    <w:rsid w:val="00374EE5"/>
    <w:rsid w:val="00375A37"/>
    <w:rsid w:val="003765A7"/>
    <w:rsid w:val="00377495"/>
    <w:rsid w:val="003801F3"/>
    <w:rsid w:val="003810C4"/>
    <w:rsid w:val="0038230F"/>
    <w:rsid w:val="003827FB"/>
    <w:rsid w:val="0038290B"/>
    <w:rsid w:val="003834BA"/>
    <w:rsid w:val="00383BCB"/>
    <w:rsid w:val="00384158"/>
    <w:rsid w:val="00384386"/>
    <w:rsid w:val="003848FD"/>
    <w:rsid w:val="00384CD3"/>
    <w:rsid w:val="003852C8"/>
    <w:rsid w:val="00385F97"/>
    <w:rsid w:val="00386BA9"/>
    <w:rsid w:val="003878F0"/>
    <w:rsid w:val="00391572"/>
    <w:rsid w:val="0039254B"/>
    <w:rsid w:val="00392A25"/>
    <w:rsid w:val="00393690"/>
    <w:rsid w:val="00393931"/>
    <w:rsid w:val="00394B9A"/>
    <w:rsid w:val="0039676A"/>
    <w:rsid w:val="00397EA9"/>
    <w:rsid w:val="003A15F8"/>
    <w:rsid w:val="003A1EE9"/>
    <w:rsid w:val="003A2292"/>
    <w:rsid w:val="003A236A"/>
    <w:rsid w:val="003A30FF"/>
    <w:rsid w:val="003A3EF8"/>
    <w:rsid w:val="003A4487"/>
    <w:rsid w:val="003A45E0"/>
    <w:rsid w:val="003A46E0"/>
    <w:rsid w:val="003A6657"/>
    <w:rsid w:val="003A7633"/>
    <w:rsid w:val="003A7739"/>
    <w:rsid w:val="003B010F"/>
    <w:rsid w:val="003B0185"/>
    <w:rsid w:val="003B1465"/>
    <w:rsid w:val="003B274A"/>
    <w:rsid w:val="003B2FED"/>
    <w:rsid w:val="003B3B17"/>
    <w:rsid w:val="003B481B"/>
    <w:rsid w:val="003B4921"/>
    <w:rsid w:val="003B4BAE"/>
    <w:rsid w:val="003B5AE5"/>
    <w:rsid w:val="003B6A98"/>
    <w:rsid w:val="003B6F74"/>
    <w:rsid w:val="003B7E40"/>
    <w:rsid w:val="003C0CC7"/>
    <w:rsid w:val="003C122A"/>
    <w:rsid w:val="003C2B4C"/>
    <w:rsid w:val="003C4534"/>
    <w:rsid w:val="003C68B2"/>
    <w:rsid w:val="003C69E7"/>
    <w:rsid w:val="003C7B72"/>
    <w:rsid w:val="003D03EA"/>
    <w:rsid w:val="003D0D9C"/>
    <w:rsid w:val="003D1148"/>
    <w:rsid w:val="003D148B"/>
    <w:rsid w:val="003D1BAB"/>
    <w:rsid w:val="003D1DC1"/>
    <w:rsid w:val="003D1DED"/>
    <w:rsid w:val="003D221D"/>
    <w:rsid w:val="003D2912"/>
    <w:rsid w:val="003D34BB"/>
    <w:rsid w:val="003D36BF"/>
    <w:rsid w:val="003D3A4A"/>
    <w:rsid w:val="003D51CA"/>
    <w:rsid w:val="003D55AD"/>
    <w:rsid w:val="003D5699"/>
    <w:rsid w:val="003D592C"/>
    <w:rsid w:val="003D5C15"/>
    <w:rsid w:val="003D5EFF"/>
    <w:rsid w:val="003D618E"/>
    <w:rsid w:val="003D7674"/>
    <w:rsid w:val="003E1017"/>
    <w:rsid w:val="003E1128"/>
    <w:rsid w:val="003E1D49"/>
    <w:rsid w:val="003E1ECD"/>
    <w:rsid w:val="003E2646"/>
    <w:rsid w:val="003E42C5"/>
    <w:rsid w:val="003E495C"/>
    <w:rsid w:val="003E49CC"/>
    <w:rsid w:val="003E549A"/>
    <w:rsid w:val="003E676B"/>
    <w:rsid w:val="003E74F4"/>
    <w:rsid w:val="003E7BB0"/>
    <w:rsid w:val="003E7CFD"/>
    <w:rsid w:val="003F01F0"/>
    <w:rsid w:val="003F0556"/>
    <w:rsid w:val="003F06F1"/>
    <w:rsid w:val="003F0817"/>
    <w:rsid w:val="003F107B"/>
    <w:rsid w:val="003F1D7C"/>
    <w:rsid w:val="003F1E3C"/>
    <w:rsid w:val="003F27B2"/>
    <w:rsid w:val="003F3006"/>
    <w:rsid w:val="003F35D0"/>
    <w:rsid w:val="003F4368"/>
    <w:rsid w:val="003F43EC"/>
    <w:rsid w:val="003F59FE"/>
    <w:rsid w:val="003F5C05"/>
    <w:rsid w:val="003F760A"/>
    <w:rsid w:val="004001C4"/>
    <w:rsid w:val="00400469"/>
    <w:rsid w:val="0040047C"/>
    <w:rsid w:val="00401AC4"/>
    <w:rsid w:val="00401EA7"/>
    <w:rsid w:val="0040215C"/>
    <w:rsid w:val="00402215"/>
    <w:rsid w:val="0040300B"/>
    <w:rsid w:val="00404460"/>
    <w:rsid w:val="0040507C"/>
    <w:rsid w:val="004060AF"/>
    <w:rsid w:val="004068BC"/>
    <w:rsid w:val="00407E71"/>
    <w:rsid w:val="00410B28"/>
    <w:rsid w:val="00410DB8"/>
    <w:rsid w:val="00411066"/>
    <w:rsid w:val="004111C3"/>
    <w:rsid w:val="0041169A"/>
    <w:rsid w:val="00411D22"/>
    <w:rsid w:val="004135D6"/>
    <w:rsid w:val="00413F6D"/>
    <w:rsid w:val="00414F4D"/>
    <w:rsid w:val="0041557F"/>
    <w:rsid w:val="004155AB"/>
    <w:rsid w:val="00415836"/>
    <w:rsid w:val="00415E9A"/>
    <w:rsid w:val="00416DFA"/>
    <w:rsid w:val="00416EC0"/>
    <w:rsid w:val="00417E1B"/>
    <w:rsid w:val="004203FF"/>
    <w:rsid w:val="0042042C"/>
    <w:rsid w:val="00420BB7"/>
    <w:rsid w:val="004214E3"/>
    <w:rsid w:val="0042225E"/>
    <w:rsid w:val="004222DC"/>
    <w:rsid w:val="004225C5"/>
    <w:rsid w:val="0042308A"/>
    <w:rsid w:val="0042314F"/>
    <w:rsid w:val="004236FA"/>
    <w:rsid w:val="004239E3"/>
    <w:rsid w:val="00424B63"/>
    <w:rsid w:val="0042562B"/>
    <w:rsid w:val="004307E1"/>
    <w:rsid w:val="00430983"/>
    <w:rsid w:val="0043100B"/>
    <w:rsid w:val="004311FD"/>
    <w:rsid w:val="00431327"/>
    <w:rsid w:val="00431F9F"/>
    <w:rsid w:val="00432C15"/>
    <w:rsid w:val="00432D8A"/>
    <w:rsid w:val="00433F5D"/>
    <w:rsid w:val="0043433B"/>
    <w:rsid w:val="00434483"/>
    <w:rsid w:val="004345DD"/>
    <w:rsid w:val="00434B81"/>
    <w:rsid w:val="00434BAF"/>
    <w:rsid w:val="00435129"/>
    <w:rsid w:val="00435259"/>
    <w:rsid w:val="004367F6"/>
    <w:rsid w:val="00436D11"/>
    <w:rsid w:val="0043704C"/>
    <w:rsid w:val="00437918"/>
    <w:rsid w:val="00437A56"/>
    <w:rsid w:val="00437B83"/>
    <w:rsid w:val="00437EB8"/>
    <w:rsid w:val="0044053E"/>
    <w:rsid w:val="004418E0"/>
    <w:rsid w:val="004419A9"/>
    <w:rsid w:val="00441D3D"/>
    <w:rsid w:val="00442BB2"/>
    <w:rsid w:val="00442CC5"/>
    <w:rsid w:val="00442F78"/>
    <w:rsid w:val="004437D1"/>
    <w:rsid w:val="00444091"/>
    <w:rsid w:val="00444319"/>
    <w:rsid w:val="00444526"/>
    <w:rsid w:val="004448A5"/>
    <w:rsid w:val="00444B4C"/>
    <w:rsid w:val="0044516E"/>
    <w:rsid w:val="00445339"/>
    <w:rsid w:val="004456F1"/>
    <w:rsid w:val="00445E28"/>
    <w:rsid w:val="00446D11"/>
    <w:rsid w:val="00450D62"/>
    <w:rsid w:val="0045122A"/>
    <w:rsid w:val="00451625"/>
    <w:rsid w:val="004523E0"/>
    <w:rsid w:val="0045242E"/>
    <w:rsid w:val="00452BE4"/>
    <w:rsid w:val="00452EE0"/>
    <w:rsid w:val="004534B6"/>
    <w:rsid w:val="004540C3"/>
    <w:rsid w:val="0045413E"/>
    <w:rsid w:val="00454EEA"/>
    <w:rsid w:val="00454FEF"/>
    <w:rsid w:val="00455825"/>
    <w:rsid w:val="00455A2C"/>
    <w:rsid w:val="004568E1"/>
    <w:rsid w:val="00456F5F"/>
    <w:rsid w:val="004575DE"/>
    <w:rsid w:val="00457742"/>
    <w:rsid w:val="00457766"/>
    <w:rsid w:val="00460078"/>
    <w:rsid w:val="004605F3"/>
    <w:rsid w:val="0046240C"/>
    <w:rsid w:val="0046269E"/>
    <w:rsid w:val="004627A1"/>
    <w:rsid w:val="00462AA4"/>
    <w:rsid w:val="0046460D"/>
    <w:rsid w:val="00465A3E"/>
    <w:rsid w:val="00465B7D"/>
    <w:rsid w:val="00465B8C"/>
    <w:rsid w:val="00465FCF"/>
    <w:rsid w:val="00466488"/>
    <w:rsid w:val="00466C3A"/>
    <w:rsid w:val="00467311"/>
    <w:rsid w:val="0046731A"/>
    <w:rsid w:val="004707E3"/>
    <w:rsid w:val="00470F52"/>
    <w:rsid w:val="00470F9C"/>
    <w:rsid w:val="0047130D"/>
    <w:rsid w:val="00471A10"/>
    <w:rsid w:val="00471B72"/>
    <w:rsid w:val="0047214C"/>
    <w:rsid w:val="00472FC5"/>
    <w:rsid w:val="0047305D"/>
    <w:rsid w:val="00473343"/>
    <w:rsid w:val="00473CF8"/>
    <w:rsid w:val="00473D19"/>
    <w:rsid w:val="00474932"/>
    <w:rsid w:val="0047501D"/>
    <w:rsid w:val="00475387"/>
    <w:rsid w:val="00476690"/>
    <w:rsid w:val="004766A7"/>
    <w:rsid w:val="00476F87"/>
    <w:rsid w:val="004773AB"/>
    <w:rsid w:val="00477BFF"/>
    <w:rsid w:val="0048005A"/>
    <w:rsid w:val="004808FE"/>
    <w:rsid w:val="00481778"/>
    <w:rsid w:val="004817B0"/>
    <w:rsid w:val="00481C3B"/>
    <w:rsid w:val="004822DA"/>
    <w:rsid w:val="00482E11"/>
    <w:rsid w:val="00483013"/>
    <w:rsid w:val="00483CE1"/>
    <w:rsid w:val="00483E0B"/>
    <w:rsid w:val="00484C68"/>
    <w:rsid w:val="004854EF"/>
    <w:rsid w:val="004863BE"/>
    <w:rsid w:val="00486AF7"/>
    <w:rsid w:val="00486D71"/>
    <w:rsid w:val="004900E4"/>
    <w:rsid w:val="004914D2"/>
    <w:rsid w:val="0049199F"/>
    <w:rsid w:val="00491B37"/>
    <w:rsid w:val="00491B95"/>
    <w:rsid w:val="004920F4"/>
    <w:rsid w:val="0049258D"/>
    <w:rsid w:val="0049291B"/>
    <w:rsid w:val="00493EFF"/>
    <w:rsid w:val="0049422F"/>
    <w:rsid w:val="004959F0"/>
    <w:rsid w:val="00495C9F"/>
    <w:rsid w:val="00496EE1"/>
    <w:rsid w:val="004A072B"/>
    <w:rsid w:val="004A0B57"/>
    <w:rsid w:val="004A116E"/>
    <w:rsid w:val="004A1210"/>
    <w:rsid w:val="004A1602"/>
    <w:rsid w:val="004A1A70"/>
    <w:rsid w:val="004A1B11"/>
    <w:rsid w:val="004A27D9"/>
    <w:rsid w:val="004A2CE4"/>
    <w:rsid w:val="004A3A26"/>
    <w:rsid w:val="004A4192"/>
    <w:rsid w:val="004A424B"/>
    <w:rsid w:val="004A4B3D"/>
    <w:rsid w:val="004A4FA6"/>
    <w:rsid w:val="004A51E5"/>
    <w:rsid w:val="004A5218"/>
    <w:rsid w:val="004A5897"/>
    <w:rsid w:val="004A5A15"/>
    <w:rsid w:val="004A6440"/>
    <w:rsid w:val="004A647D"/>
    <w:rsid w:val="004A66B5"/>
    <w:rsid w:val="004A6E03"/>
    <w:rsid w:val="004A71AF"/>
    <w:rsid w:val="004A757F"/>
    <w:rsid w:val="004A781B"/>
    <w:rsid w:val="004B1140"/>
    <w:rsid w:val="004B2395"/>
    <w:rsid w:val="004B2A92"/>
    <w:rsid w:val="004B32A6"/>
    <w:rsid w:val="004B3F7A"/>
    <w:rsid w:val="004B47EE"/>
    <w:rsid w:val="004B50F2"/>
    <w:rsid w:val="004B58EC"/>
    <w:rsid w:val="004B5F0E"/>
    <w:rsid w:val="004B69B5"/>
    <w:rsid w:val="004B7B1D"/>
    <w:rsid w:val="004C02A8"/>
    <w:rsid w:val="004C15EA"/>
    <w:rsid w:val="004C24DE"/>
    <w:rsid w:val="004C2A62"/>
    <w:rsid w:val="004C3332"/>
    <w:rsid w:val="004C341F"/>
    <w:rsid w:val="004C3A8C"/>
    <w:rsid w:val="004C45AC"/>
    <w:rsid w:val="004C4759"/>
    <w:rsid w:val="004C5154"/>
    <w:rsid w:val="004C5B8B"/>
    <w:rsid w:val="004C5E16"/>
    <w:rsid w:val="004C6FCC"/>
    <w:rsid w:val="004C7691"/>
    <w:rsid w:val="004C7F6D"/>
    <w:rsid w:val="004D073D"/>
    <w:rsid w:val="004D0BDF"/>
    <w:rsid w:val="004D0D5D"/>
    <w:rsid w:val="004D1873"/>
    <w:rsid w:val="004D1969"/>
    <w:rsid w:val="004D1EA5"/>
    <w:rsid w:val="004D1EF8"/>
    <w:rsid w:val="004D2954"/>
    <w:rsid w:val="004D4585"/>
    <w:rsid w:val="004D4E43"/>
    <w:rsid w:val="004D659E"/>
    <w:rsid w:val="004E0261"/>
    <w:rsid w:val="004E03F6"/>
    <w:rsid w:val="004E179E"/>
    <w:rsid w:val="004E28D5"/>
    <w:rsid w:val="004E2C6C"/>
    <w:rsid w:val="004E38EA"/>
    <w:rsid w:val="004E3DCA"/>
    <w:rsid w:val="004E3FE8"/>
    <w:rsid w:val="004E43C0"/>
    <w:rsid w:val="004E4EB7"/>
    <w:rsid w:val="004E5057"/>
    <w:rsid w:val="004E5082"/>
    <w:rsid w:val="004E5810"/>
    <w:rsid w:val="004E5D37"/>
    <w:rsid w:val="004E6620"/>
    <w:rsid w:val="004F0A13"/>
    <w:rsid w:val="004F1888"/>
    <w:rsid w:val="004F32C5"/>
    <w:rsid w:val="004F459F"/>
    <w:rsid w:val="004F5B3D"/>
    <w:rsid w:val="004F6AD0"/>
    <w:rsid w:val="004F7AF2"/>
    <w:rsid w:val="0050012E"/>
    <w:rsid w:val="005006C3"/>
    <w:rsid w:val="00500E43"/>
    <w:rsid w:val="0050125C"/>
    <w:rsid w:val="00501966"/>
    <w:rsid w:val="00502B43"/>
    <w:rsid w:val="00502C5F"/>
    <w:rsid w:val="0050312F"/>
    <w:rsid w:val="00503639"/>
    <w:rsid w:val="00505CB6"/>
    <w:rsid w:val="00505D00"/>
    <w:rsid w:val="005073A4"/>
    <w:rsid w:val="0050793D"/>
    <w:rsid w:val="005108A8"/>
    <w:rsid w:val="00510A23"/>
    <w:rsid w:val="00510A90"/>
    <w:rsid w:val="00510B39"/>
    <w:rsid w:val="00511A03"/>
    <w:rsid w:val="00512765"/>
    <w:rsid w:val="00512C11"/>
    <w:rsid w:val="0051442A"/>
    <w:rsid w:val="00514AD5"/>
    <w:rsid w:val="00514B47"/>
    <w:rsid w:val="005155B4"/>
    <w:rsid w:val="0051570D"/>
    <w:rsid w:val="00515FB4"/>
    <w:rsid w:val="005161F4"/>
    <w:rsid w:val="00516FA0"/>
    <w:rsid w:val="0051702C"/>
    <w:rsid w:val="00517E1A"/>
    <w:rsid w:val="005213C8"/>
    <w:rsid w:val="0052281A"/>
    <w:rsid w:val="00522F92"/>
    <w:rsid w:val="00523160"/>
    <w:rsid w:val="00523226"/>
    <w:rsid w:val="0052367E"/>
    <w:rsid w:val="00523CB7"/>
    <w:rsid w:val="00523FA6"/>
    <w:rsid w:val="00524176"/>
    <w:rsid w:val="00524DB5"/>
    <w:rsid w:val="00525E92"/>
    <w:rsid w:val="00525ED8"/>
    <w:rsid w:val="00525FDC"/>
    <w:rsid w:val="00527C83"/>
    <w:rsid w:val="00530CA7"/>
    <w:rsid w:val="00530E99"/>
    <w:rsid w:val="00531741"/>
    <w:rsid w:val="00531D0E"/>
    <w:rsid w:val="00532A07"/>
    <w:rsid w:val="00532BC1"/>
    <w:rsid w:val="00532DA9"/>
    <w:rsid w:val="00533480"/>
    <w:rsid w:val="00533BCD"/>
    <w:rsid w:val="00534252"/>
    <w:rsid w:val="00534E55"/>
    <w:rsid w:val="00534EB4"/>
    <w:rsid w:val="0053539A"/>
    <w:rsid w:val="00535B64"/>
    <w:rsid w:val="0053642E"/>
    <w:rsid w:val="0053644E"/>
    <w:rsid w:val="00536EF6"/>
    <w:rsid w:val="00537C69"/>
    <w:rsid w:val="0054061E"/>
    <w:rsid w:val="00540684"/>
    <w:rsid w:val="0054087F"/>
    <w:rsid w:val="005419F8"/>
    <w:rsid w:val="00544148"/>
    <w:rsid w:val="00545693"/>
    <w:rsid w:val="00545820"/>
    <w:rsid w:val="00545E1D"/>
    <w:rsid w:val="00546701"/>
    <w:rsid w:val="0054681A"/>
    <w:rsid w:val="005474C2"/>
    <w:rsid w:val="00550480"/>
    <w:rsid w:val="0055158C"/>
    <w:rsid w:val="00552DD8"/>
    <w:rsid w:val="00553514"/>
    <w:rsid w:val="00553D1C"/>
    <w:rsid w:val="0055554E"/>
    <w:rsid w:val="005555BA"/>
    <w:rsid w:val="00555720"/>
    <w:rsid w:val="00555DF5"/>
    <w:rsid w:val="00556339"/>
    <w:rsid w:val="005568FD"/>
    <w:rsid w:val="0055703C"/>
    <w:rsid w:val="005617C7"/>
    <w:rsid w:val="00561F4D"/>
    <w:rsid w:val="005620B3"/>
    <w:rsid w:val="005624D3"/>
    <w:rsid w:val="005629BB"/>
    <w:rsid w:val="00562EF2"/>
    <w:rsid w:val="00564842"/>
    <w:rsid w:val="00565413"/>
    <w:rsid w:val="00565870"/>
    <w:rsid w:val="005661A9"/>
    <w:rsid w:val="00566357"/>
    <w:rsid w:val="00567681"/>
    <w:rsid w:val="00567CD2"/>
    <w:rsid w:val="00570C15"/>
    <w:rsid w:val="00570EA8"/>
    <w:rsid w:val="005715BA"/>
    <w:rsid w:val="00572128"/>
    <w:rsid w:val="00572657"/>
    <w:rsid w:val="00572831"/>
    <w:rsid w:val="00572F3A"/>
    <w:rsid w:val="005730BA"/>
    <w:rsid w:val="0057415B"/>
    <w:rsid w:val="005747CB"/>
    <w:rsid w:val="00574CEA"/>
    <w:rsid w:val="00575BC2"/>
    <w:rsid w:val="005763AA"/>
    <w:rsid w:val="00576689"/>
    <w:rsid w:val="005804E7"/>
    <w:rsid w:val="005813EC"/>
    <w:rsid w:val="0058236F"/>
    <w:rsid w:val="00582C07"/>
    <w:rsid w:val="00582DDD"/>
    <w:rsid w:val="00582F88"/>
    <w:rsid w:val="00583403"/>
    <w:rsid w:val="005836B4"/>
    <w:rsid w:val="00583824"/>
    <w:rsid w:val="00583A5C"/>
    <w:rsid w:val="00583A77"/>
    <w:rsid w:val="00583DC0"/>
    <w:rsid w:val="00583DD6"/>
    <w:rsid w:val="005847E3"/>
    <w:rsid w:val="00586518"/>
    <w:rsid w:val="00586523"/>
    <w:rsid w:val="00586752"/>
    <w:rsid w:val="005869A5"/>
    <w:rsid w:val="00586FF1"/>
    <w:rsid w:val="00587BD6"/>
    <w:rsid w:val="0059016D"/>
    <w:rsid w:val="00590559"/>
    <w:rsid w:val="00590618"/>
    <w:rsid w:val="00590D49"/>
    <w:rsid w:val="005918A0"/>
    <w:rsid w:val="00591941"/>
    <w:rsid w:val="00591A35"/>
    <w:rsid w:val="00591C57"/>
    <w:rsid w:val="00592420"/>
    <w:rsid w:val="00593E9B"/>
    <w:rsid w:val="0059400B"/>
    <w:rsid w:val="00594072"/>
    <w:rsid w:val="005946A6"/>
    <w:rsid w:val="005946CD"/>
    <w:rsid w:val="0059470B"/>
    <w:rsid w:val="00594B2E"/>
    <w:rsid w:val="00594CE1"/>
    <w:rsid w:val="005955E5"/>
    <w:rsid w:val="00595D7E"/>
    <w:rsid w:val="005960A9"/>
    <w:rsid w:val="00596E5A"/>
    <w:rsid w:val="00597361"/>
    <w:rsid w:val="0059795E"/>
    <w:rsid w:val="005A0B77"/>
    <w:rsid w:val="005A16FB"/>
    <w:rsid w:val="005A2370"/>
    <w:rsid w:val="005A27AA"/>
    <w:rsid w:val="005A34F9"/>
    <w:rsid w:val="005A3CF5"/>
    <w:rsid w:val="005A48FE"/>
    <w:rsid w:val="005A5E7B"/>
    <w:rsid w:val="005A66B7"/>
    <w:rsid w:val="005A6FC7"/>
    <w:rsid w:val="005A730E"/>
    <w:rsid w:val="005A75E7"/>
    <w:rsid w:val="005A79EA"/>
    <w:rsid w:val="005B071D"/>
    <w:rsid w:val="005B0906"/>
    <w:rsid w:val="005B283C"/>
    <w:rsid w:val="005B2D4A"/>
    <w:rsid w:val="005B2D83"/>
    <w:rsid w:val="005B306E"/>
    <w:rsid w:val="005B3B3D"/>
    <w:rsid w:val="005B4304"/>
    <w:rsid w:val="005B4670"/>
    <w:rsid w:val="005B4C57"/>
    <w:rsid w:val="005B4D8A"/>
    <w:rsid w:val="005B52E1"/>
    <w:rsid w:val="005B5EE0"/>
    <w:rsid w:val="005B5FE7"/>
    <w:rsid w:val="005B62B6"/>
    <w:rsid w:val="005B6F56"/>
    <w:rsid w:val="005B7901"/>
    <w:rsid w:val="005B7EA5"/>
    <w:rsid w:val="005C07BE"/>
    <w:rsid w:val="005C3110"/>
    <w:rsid w:val="005C4FFF"/>
    <w:rsid w:val="005C5213"/>
    <w:rsid w:val="005C5479"/>
    <w:rsid w:val="005C5516"/>
    <w:rsid w:val="005C564E"/>
    <w:rsid w:val="005C5A6E"/>
    <w:rsid w:val="005C7B93"/>
    <w:rsid w:val="005C7DFE"/>
    <w:rsid w:val="005D003D"/>
    <w:rsid w:val="005D04FF"/>
    <w:rsid w:val="005D0B77"/>
    <w:rsid w:val="005D0C7A"/>
    <w:rsid w:val="005D202F"/>
    <w:rsid w:val="005D2883"/>
    <w:rsid w:val="005D30A2"/>
    <w:rsid w:val="005D382F"/>
    <w:rsid w:val="005D459B"/>
    <w:rsid w:val="005D4761"/>
    <w:rsid w:val="005D4AAE"/>
    <w:rsid w:val="005D5050"/>
    <w:rsid w:val="005D55C1"/>
    <w:rsid w:val="005D55EB"/>
    <w:rsid w:val="005D5CFE"/>
    <w:rsid w:val="005D615E"/>
    <w:rsid w:val="005D64A7"/>
    <w:rsid w:val="005D657F"/>
    <w:rsid w:val="005D68AD"/>
    <w:rsid w:val="005D7460"/>
    <w:rsid w:val="005D7628"/>
    <w:rsid w:val="005E01C8"/>
    <w:rsid w:val="005E0B32"/>
    <w:rsid w:val="005E11F1"/>
    <w:rsid w:val="005E1605"/>
    <w:rsid w:val="005E18C3"/>
    <w:rsid w:val="005E18C4"/>
    <w:rsid w:val="005E1B9D"/>
    <w:rsid w:val="005E23C4"/>
    <w:rsid w:val="005E3877"/>
    <w:rsid w:val="005E4241"/>
    <w:rsid w:val="005E45C2"/>
    <w:rsid w:val="005E5012"/>
    <w:rsid w:val="005E505F"/>
    <w:rsid w:val="005E6643"/>
    <w:rsid w:val="005E73C1"/>
    <w:rsid w:val="005E7B72"/>
    <w:rsid w:val="005F0632"/>
    <w:rsid w:val="005F0942"/>
    <w:rsid w:val="005F0AE5"/>
    <w:rsid w:val="005F34DA"/>
    <w:rsid w:val="005F3969"/>
    <w:rsid w:val="005F3F45"/>
    <w:rsid w:val="005F5171"/>
    <w:rsid w:val="005F5AFD"/>
    <w:rsid w:val="005F5D90"/>
    <w:rsid w:val="005F687F"/>
    <w:rsid w:val="005F7362"/>
    <w:rsid w:val="005F76BB"/>
    <w:rsid w:val="005F7B3D"/>
    <w:rsid w:val="005F7E29"/>
    <w:rsid w:val="00600DD9"/>
    <w:rsid w:val="00601D88"/>
    <w:rsid w:val="00602517"/>
    <w:rsid w:val="00602A58"/>
    <w:rsid w:val="006036FE"/>
    <w:rsid w:val="006038BC"/>
    <w:rsid w:val="00604E4C"/>
    <w:rsid w:val="0060530D"/>
    <w:rsid w:val="0060562F"/>
    <w:rsid w:val="00605782"/>
    <w:rsid w:val="006060D6"/>
    <w:rsid w:val="00606749"/>
    <w:rsid w:val="006069D3"/>
    <w:rsid w:val="00606CAB"/>
    <w:rsid w:val="00606F0D"/>
    <w:rsid w:val="006078F8"/>
    <w:rsid w:val="00607FEE"/>
    <w:rsid w:val="0061015A"/>
    <w:rsid w:val="006118FE"/>
    <w:rsid w:val="00611ED2"/>
    <w:rsid w:val="00612B35"/>
    <w:rsid w:val="00612C39"/>
    <w:rsid w:val="00612DC3"/>
    <w:rsid w:val="00612ECC"/>
    <w:rsid w:val="006137ED"/>
    <w:rsid w:val="00613C00"/>
    <w:rsid w:val="006145CE"/>
    <w:rsid w:val="006158E5"/>
    <w:rsid w:val="006160FD"/>
    <w:rsid w:val="0061673A"/>
    <w:rsid w:val="006168D5"/>
    <w:rsid w:val="00616DDA"/>
    <w:rsid w:val="00617031"/>
    <w:rsid w:val="0061771F"/>
    <w:rsid w:val="00617CE8"/>
    <w:rsid w:val="006206B7"/>
    <w:rsid w:val="006219A3"/>
    <w:rsid w:val="006234FE"/>
    <w:rsid w:val="00623889"/>
    <w:rsid w:val="00623C22"/>
    <w:rsid w:val="006247BB"/>
    <w:rsid w:val="006256C3"/>
    <w:rsid w:val="0062647A"/>
    <w:rsid w:val="0062664E"/>
    <w:rsid w:val="00626BE4"/>
    <w:rsid w:val="00627007"/>
    <w:rsid w:val="006270A9"/>
    <w:rsid w:val="00627657"/>
    <w:rsid w:val="0063023F"/>
    <w:rsid w:val="006309C6"/>
    <w:rsid w:val="00631F52"/>
    <w:rsid w:val="006320D8"/>
    <w:rsid w:val="006323AD"/>
    <w:rsid w:val="006324DE"/>
    <w:rsid w:val="00632DC0"/>
    <w:rsid w:val="006339A7"/>
    <w:rsid w:val="00635183"/>
    <w:rsid w:val="00635772"/>
    <w:rsid w:val="00635B7F"/>
    <w:rsid w:val="00635E15"/>
    <w:rsid w:val="0063655F"/>
    <w:rsid w:val="0063695C"/>
    <w:rsid w:val="00636E55"/>
    <w:rsid w:val="0063790F"/>
    <w:rsid w:val="00640E30"/>
    <w:rsid w:val="00641088"/>
    <w:rsid w:val="00641350"/>
    <w:rsid w:val="00642B69"/>
    <w:rsid w:val="0064345D"/>
    <w:rsid w:val="00643664"/>
    <w:rsid w:val="00643CDD"/>
    <w:rsid w:val="00646A09"/>
    <w:rsid w:val="00646DAF"/>
    <w:rsid w:val="00646DFC"/>
    <w:rsid w:val="00647808"/>
    <w:rsid w:val="00647C76"/>
    <w:rsid w:val="00647DAE"/>
    <w:rsid w:val="006500A3"/>
    <w:rsid w:val="006502BC"/>
    <w:rsid w:val="00651F0A"/>
    <w:rsid w:val="00654175"/>
    <w:rsid w:val="006546A6"/>
    <w:rsid w:val="00654917"/>
    <w:rsid w:val="00654AB8"/>
    <w:rsid w:val="00654B3D"/>
    <w:rsid w:val="0065621C"/>
    <w:rsid w:val="00656D15"/>
    <w:rsid w:val="0065705B"/>
    <w:rsid w:val="00657616"/>
    <w:rsid w:val="006601BF"/>
    <w:rsid w:val="00660869"/>
    <w:rsid w:val="00661E6A"/>
    <w:rsid w:val="00662CFA"/>
    <w:rsid w:val="006655E4"/>
    <w:rsid w:val="00665CDA"/>
    <w:rsid w:val="006664B2"/>
    <w:rsid w:val="00666EB0"/>
    <w:rsid w:val="0067116F"/>
    <w:rsid w:val="006725E2"/>
    <w:rsid w:val="00672A28"/>
    <w:rsid w:val="00672DA2"/>
    <w:rsid w:val="00674531"/>
    <w:rsid w:val="0067469B"/>
    <w:rsid w:val="0067571B"/>
    <w:rsid w:val="006758BF"/>
    <w:rsid w:val="00677C4E"/>
    <w:rsid w:val="006801CD"/>
    <w:rsid w:val="0068183F"/>
    <w:rsid w:val="006833AF"/>
    <w:rsid w:val="00683734"/>
    <w:rsid w:val="00684042"/>
    <w:rsid w:val="006841BA"/>
    <w:rsid w:val="00684B38"/>
    <w:rsid w:val="00684EE0"/>
    <w:rsid w:val="00685AA1"/>
    <w:rsid w:val="00685F27"/>
    <w:rsid w:val="00686A8C"/>
    <w:rsid w:val="00686B03"/>
    <w:rsid w:val="00686F27"/>
    <w:rsid w:val="00687A07"/>
    <w:rsid w:val="00687A15"/>
    <w:rsid w:val="006905D0"/>
    <w:rsid w:val="00690E9C"/>
    <w:rsid w:val="0069199E"/>
    <w:rsid w:val="00692A3A"/>
    <w:rsid w:val="00692FAE"/>
    <w:rsid w:val="00693023"/>
    <w:rsid w:val="00693029"/>
    <w:rsid w:val="00693379"/>
    <w:rsid w:val="00693F02"/>
    <w:rsid w:val="00694053"/>
    <w:rsid w:val="0069453F"/>
    <w:rsid w:val="00694610"/>
    <w:rsid w:val="00695168"/>
    <w:rsid w:val="006954EE"/>
    <w:rsid w:val="00695A9E"/>
    <w:rsid w:val="00696506"/>
    <w:rsid w:val="00696E4E"/>
    <w:rsid w:val="0069764D"/>
    <w:rsid w:val="006A0692"/>
    <w:rsid w:val="006A0957"/>
    <w:rsid w:val="006A0B0C"/>
    <w:rsid w:val="006A0FF4"/>
    <w:rsid w:val="006A1060"/>
    <w:rsid w:val="006A1285"/>
    <w:rsid w:val="006A16C8"/>
    <w:rsid w:val="006A302D"/>
    <w:rsid w:val="006A46F9"/>
    <w:rsid w:val="006A4F6B"/>
    <w:rsid w:val="006A552C"/>
    <w:rsid w:val="006A671B"/>
    <w:rsid w:val="006A6F80"/>
    <w:rsid w:val="006A725F"/>
    <w:rsid w:val="006A770C"/>
    <w:rsid w:val="006A7984"/>
    <w:rsid w:val="006B0A71"/>
    <w:rsid w:val="006B17E0"/>
    <w:rsid w:val="006B1865"/>
    <w:rsid w:val="006B18E9"/>
    <w:rsid w:val="006B1BC8"/>
    <w:rsid w:val="006B2309"/>
    <w:rsid w:val="006B25F3"/>
    <w:rsid w:val="006B28C3"/>
    <w:rsid w:val="006B31A2"/>
    <w:rsid w:val="006B54EE"/>
    <w:rsid w:val="006B6580"/>
    <w:rsid w:val="006B6A49"/>
    <w:rsid w:val="006B7316"/>
    <w:rsid w:val="006B7531"/>
    <w:rsid w:val="006B77A4"/>
    <w:rsid w:val="006B77D7"/>
    <w:rsid w:val="006C0820"/>
    <w:rsid w:val="006C08B5"/>
    <w:rsid w:val="006C1013"/>
    <w:rsid w:val="006C128C"/>
    <w:rsid w:val="006C2683"/>
    <w:rsid w:val="006C2C6C"/>
    <w:rsid w:val="006C32D0"/>
    <w:rsid w:val="006C37C9"/>
    <w:rsid w:val="006C3E33"/>
    <w:rsid w:val="006C564D"/>
    <w:rsid w:val="006C5CE7"/>
    <w:rsid w:val="006C5FA3"/>
    <w:rsid w:val="006C6A15"/>
    <w:rsid w:val="006C6F9D"/>
    <w:rsid w:val="006C705C"/>
    <w:rsid w:val="006C7606"/>
    <w:rsid w:val="006D0111"/>
    <w:rsid w:val="006D27EC"/>
    <w:rsid w:val="006D3097"/>
    <w:rsid w:val="006D3C42"/>
    <w:rsid w:val="006D3F9E"/>
    <w:rsid w:val="006D484D"/>
    <w:rsid w:val="006D4C33"/>
    <w:rsid w:val="006D5B7D"/>
    <w:rsid w:val="006D5C94"/>
    <w:rsid w:val="006D69CD"/>
    <w:rsid w:val="006D715F"/>
    <w:rsid w:val="006D754E"/>
    <w:rsid w:val="006D75F7"/>
    <w:rsid w:val="006D7709"/>
    <w:rsid w:val="006D787F"/>
    <w:rsid w:val="006D7ECE"/>
    <w:rsid w:val="006E0894"/>
    <w:rsid w:val="006E0CC2"/>
    <w:rsid w:val="006E114C"/>
    <w:rsid w:val="006E1E9D"/>
    <w:rsid w:val="006E2468"/>
    <w:rsid w:val="006E34A3"/>
    <w:rsid w:val="006E44F6"/>
    <w:rsid w:val="006E452C"/>
    <w:rsid w:val="006E472A"/>
    <w:rsid w:val="006E5661"/>
    <w:rsid w:val="006E579E"/>
    <w:rsid w:val="006E5F5E"/>
    <w:rsid w:val="006E71D6"/>
    <w:rsid w:val="006E754A"/>
    <w:rsid w:val="006F10C3"/>
    <w:rsid w:val="006F1855"/>
    <w:rsid w:val="006F1EDE"/>
    <w:rsid w:val="006F28E9"/>
    <w:rsid w:val="006F29E3"/>
    <w:rsid w:val="006F2C0B"/>
    <w:rsid w:val="006F43CE"/>
    <w:rsid w:val="006F448C"/>
    <w:rsid w:val="006F4DEC"/>
    <w:rsid w:val="006F5048"/>
    <w:rsid w:val="006F54B8"/>
    <w:rsid w:val="006F5646"/>
    <w:rsid w:val="006F5B8D"/>
    <w:rsid w:val="006F6796"/>
    <w:rsid w:val="006F6C66"/>
    <w:rsid w:val="006F75F3"/>
    <w:rsid w:val="006F77C0"/>
    <w:rsid w:val="00700536"/>
    <w:rsid w:val="00701139"/>
    <w:rsid w:val="00702B1D"/>
    <w:rsid w:val="0070330E"/>
    <w:rsid w:val="007043A1"/>
    <w:rsid w:val="00704856"/>
    <w:rsid w:val="007057F7"/>
    <w:rsid w:val="007065C5"/>
    <w:rsid w:val="00706BB3"/>
    <w:rsid w:val="00706CE6"/>
    <w:rsid w:val="0070729A"/>
    <w:rsid w:val="0070743B"/>
    <w:rsid w:val="0070744E"/>
    <w:rsid w:val="00707C6F"/>
    <w:rsid w:val="00710780"/>
    <w:rsid w:val="0071118D"/>
    <w:rsid w:val="007113F5"/>
    <w:rsid w:val="00711488"/>
    <w:rsid w:val="00711774"/>
    <w:rsid w:val="00711ED9"/>
    <w:rsid w:val="0071233F"/>
    <w:rsid w:val="0071238B"/>
    <w:rsid w:val="00712C2D"/>
    <w:rsid w:val="00713261"/>
    <w:rsid w:val="007145A9"/>
    <w:rsid w:val="0071582F"/>
    <w:rsid w:val="00715CEA"/>
    <w:rsid w:val="007162F0"/>
    <w:rsid w:val="00716C30"/>
    <w:rsid w:val="00716C7D"/>
    <w:rsid w:val="007173C5"/>
    <w:rsid w:val="00720C15"/>
    <w:rsid w:val="00721176"/>
    <w:rsid w:val="0072265A"/>
    <w:rsid w:val="00722FC1"/>
    <w:rsid w:val="0072329F"/>
    <w:rsid w:val="00724CF8"/>
    <w:rsid w:val="00724EF4"/>
    <w:rsid w:val="00726590"/>
    <w:rsid w:val="00727570"/>
    <w:rsid w:val="007276BD"/>
    <w:rsid w:val="00727880"/>
    <w:rsid w:val="00727911"/>
    <w:rsid w:val="0073006E"/>
    <w:rsid w:val="007305A3"/>
    <w:rsid w:val="0073067B"/>
    <w:rsid w:val="00730CA7"/>
    <w:rsid w:val="00730CC2"/>
    <w:rsid w:val="007331BA"/>
    <w:rsid w:val="007334E5"/>
    <w:rsid w:val="00735197"/>
    <w:rsid w:val="00736AA2"/>
    <w:rsid w:val="00737380"/>
    <w:rsid w:val="007379EB"/>
    <w:rsid w:val="00740376"/>
    <w:rsid w:val="007410B1"/>
    <w:rsid w:val="007416CA"/>
    <w:rsid w:val="00742CEC"/>
    <w:rsid w:val="00742FE0"/>
    <w:rsid w:val="007435D7"/>
    <w:rsid w:val="00744CDD"/>
    <w:rsid w:val="00744FDE"/>
    <w:rsid w:val="0074553C"/>
    <w:rsid w:val="0074598D"/>
    <w:rsid w:val="007470FF"/>
    <w:rsid w:val="00747194"/>
    <w:rsid w:val="00750097"/>
    <w:rsid w:val="007501BB"/>
    <w:rsid w:val="00751BB7"/>
    <w:rsid w:val="007526A9"/>
    <w:rsid w:val="00753606"/>
    <w:rsid w:val="00754CDB"/>
    <w:rsid w:val="00755164"/>
    <w:rsid w:val="00755620"/>
    <w:rsid w:val="007567C2"/>
    <w:rsid w:val="00756801"/>
    <w:rsid w:val="00757AA1"/>
    <w:rsid w:val="00757B12"/>
    <w:rsid w:val="007603A1"/>
    <w:rsid w:val="00760507"/>
    <w:rsid w:val="00760B51"/>
    <w:rsid w:val="00761234"/>
    <w:rsid w:val="00761F3B"/>
    <w:rsid w:val="00761FF9"/>
    <w:rsid w:val="00764B38"/>
    <w:rsid w:val="0076525E"/>
    <w:rsid w:val="00765481"/>
    <w:rsid w:val="00765681"/>
    <w:rsid w:val="0076681C"/>
    <w:rsid w:val="007678C4"/>
    <w:rsid w:val="00767D07"/>
    <w:rsid w:val="00767D21"/>
    <w:rsid w:val="00771E3B"/>
    <w:rsid w:val="007733E6"/>
    <w:rsid w:val="0077554A"/>
    <w:rsid w:val="007763C9"/>
    <w:rsid w:val="00777CBF"/>
    <w:rsid w:val="00780C9B"/>
    <w:rsid w:val="00780E58"/>
    <w:rsid w:val="00781759"/>
    <w:rsid w:val="00781D9B"/>
    <w:rsid w:val="0078278A"/>
    <w:rsid w:val="00782FF7"/>
    <w:rsid w:val="00784296"/>
    <w:rsid w:val="007847DE"/>
    <w:rsid w:val="00785188"/>
    <w:rsid w:val="007851C5"/>
    <w:rsid w:val="00785BBD"/>
    <w:rsid w:val="00785D5B"/>
    <w:rsid w:val="0078709C"/>
    <w:rsid w:val="00787D9C"/>
    <w:rsid w:val="00790345"/>
    <w:rsid w:val="00790B32"/>
    <w:rsid w:val="00791071"/>
    <w:rsid w:val="00791118"/>
    <w:rsid w:val="00791285"/>
    <w:rsid w:val="00791CC4"/>
    <w:rsid w:val="00791DD6"/>
    <w:rsid w:val="00794CC2"/>
    <w:rsid w:val="007958BC"/>
    <w:rsid w:val="0079674D"/>
    <w:rsid w:val="00797662"/>
    <w:rsid w:val="007A0443"/>
    <w:rsid w:val="007A0F0B"/>
    <w:rsid w:val="007A10F3"/>
    <w:rsid w:val="007A111F"/>
    <w:rsid w:val="007A17A3"/>
    <w:rsid w:val="007A17DE"/>
    <w:rsid w:val="007A1A14"/>
    <w:rsid w:val="007A1D73"/>
    <w:rsid w:val="007A2416"/>
    <w:rsid w:val="007A2614"/>
    <w:rsid w:val="007A2A90"/>
    <w:rsid w:val="007A3D65"/>
    <w:rsid w:val="007A42E1"/>
    <w:rsid w:val="007A48A3"/>
    <w:rsid w:val="007A4BD8"/>
    <w:rsid w:val="007A5FA4"/>
    <w:rsid w:val="007A632E"/>
    <w:rsid w:val="007A6CEA"/>
    <w:rsid w:val="007A6F15"/>
    <w:rsid w:val="007A7252"/>
    <w:rsid w:val="007A7B2C"/>
    <w:rsid w:val="007B0C04"/>
    <w:rsid w:val="007B1148"/>
    <w:rsid w:val="007B1A25"/>
    <w:rsid w:val="007B230B"/>
    <w:rsid w:val="007B23E9"/>
    <w:rsid w:val="007B292C"/>
    <w:rsid w:val="007B389A"/>
    <w:rsid w:val="007B4CF3"/>
    <w:rsid w:val="007B4E6C"/>
    <w:rsid w:val="007B60BD"/>
    <w:rsid w:val="007B6452"/>
    <w:rsid w:val="007B6AF3"/>
    <w:rsid w:val="007B788A"/>
    <w:rsid w:val="007B7A6A"/>
    <w:rsid w:val="007B7F69"/>
    <w:rsid w:val="007C0FB1"/>
    <w:rsid w:val="007C28D2"/>
    <w:rsid w:val="007C2917"/>
    <w:rsid w:val="007C30DE"/>
    <w:rsid w:val="007C37B3"/>
    <w:rsid w:val="007C3FDE"/>
    <w:rsid w:val="007C43EF"/>
    <w:rsid w:val="007C5375"/>
    <w:rsid w:val="007C5A47"/>
    <w:rsid w:val="007C64CC"/>
    <w:rsid w:val="007C71EB"/>
    <w:rsid w:val="007D00D9"/>
    <w:rsid w:val="007D08D3"/>
    <w:rsid w:val="007D09EC"/>
    <w:rsid w:val="007D1512"/>
    <w:rsid w:val="007D2815"/>
    <w:rsid w:val="007D2A94"/>
    <w:rsid w:val="007D37D5"/>
    <w:rsid w:val="007D496D"/>
    <w:rsid w:val="007D61D6"/>
    <w:rsid w:val="007D7D81"/>
    <w:rsid w:val="007E06C9"/>
    <w:rsid w:val="007E08D6"/>
    <w:rsid w:val="007E0EC1"/>
    <w:rsid w:val="007E0F4E"/>
    <w:rsid w:val="007E2412"/>
    <w:rsid w:val="007E2554"/>
    <w:rsid w:val="007E2FB5"/>
    <w:rsid w:val="007E3026"/>
    <w:rsid w:val="007E3BD5"/>
    <w:rsid w:val="007E472C"/>
    <w:rsid w:val="007E5248"/>
    <w:rsid w:val="007E52FE"/>
    <w:rsid w:val="007E5683"/>
    <w:rsid w:val="007E5FDF"/>
    <w:rsid w:val="007E5FF3"/>
    <w:rsid w:val="007E7BCF"/>
    <w:rsid w:val="007F1D5B"/>
    <w:rsid w:val="007F2550"/>
    <w:rsid w:val="007F2E2D"/>
    <w:rsid w:val="007F313F"/>
    <w:rsid w:val="007F348D"/>
    <w:rsid w:val="007F3A86"/>
    <w:rsid w:val="007F3F8A"/>
    <w:rsid w:val="007F4A16"/>
    <w:rsid w:val="007F5673"/>
    <w:rsid w:val="007F57F9"/>
    <w:rsid w:val="007F6915"/>
    <w:rsid w:val="007F6D85"/>
    <w:rsid w:val="00800077"/>
    <w:rsid w:val="008008A5"/>
    <w:rsid w:val="00800C58"/>
    <w:rsid w:val="00801F6D"/>
    <w:rsid w:val="00803310"/>
    <w:rsid w:val="00803672"/>
    <w:rsid w:val="00803C26"/>
    <w:rsid w:val="00804282"/>
    <w:rsid w:val="00804FA0"/>
    <w:rsid w:val="008052FA"/>
    <w:rsid w:val="008057AA"/>
    <w:rsid w:val="0080616B"/>
    <w:rsid w:val="008063D2"/>
    <w:rsid w:val="00806688"/>
    <w:rsid w:val="00807D42"/>
    <w:rsid w:val="00810637"/>
    <w:rsid w:val="008108C4"/>
    <w:rsid w:val="00810C63"/>
    <w:rsid w:val="00812345"/>
    <w:rsid w:val="008126CE"/>
    <w:rsid w:val="00812DC7"/>
    <w:rsid w:val="00812EC2"/>
    <w:rsid w:val="0081403F"/>
    <w:rsid w:val="00814600"/>
    <w:rsid w:val="0081491F"/>
    <w:rsid w:val="00816AE4"/>
    <w:rsid w:val="00817F8F"/>
    <w:rsid w:val="00820CEC"/>
    <w:rsid w:val="00820FD4"/>
    <w:rsid w:val="00821074"/>
    <w:rsid w:val="00822B95"/>
    <w:rsid w:val="008236DF"/>
    <w:rsid w:val="00823735"/>
    <w:rsid w:val="00823AB0"/>
    <w:rsid w:val="00824008"/>
    <w:rsid w:val="008240FF"/>
    <w:rsid w:val="0082425E"/>
    <w:rsid w:val="0082496B"/>
    <w:rsid w:val="00825DC4"/>
    <w:rsid w:val="008264B6"/>
    <w:rsid w:val="00827BF9"/>
    <w:rsid w:val="00827DEC"/>
    <w:rsid w:val="00830298"/>
    <w:rsid w:val="00830A32"/>
    <w:rsid w:val="008311E2"/>
    <w:rsid w:val="008326B6"/>
    <w:rsid w:val="00832AF9"/>
    <w:rsid w:val="00832D31"/>
    <w:rsid w:val="00832F9D"/>
    <w:rsid w:val="00832FF9"/>
    <w:rsid w:val="00833C77"/>
    <w:rsid w:val="00834A2E"/>
    <w:rsid w:val="00834C0D"/>
    <w:rsid w:val="00836B35"/>
    <w:rsid w:val="00836B72"/>
    <w:rsid w:val="00836D38"/>
    <w:rsid w:val="008374C7"/>
    <w:rsid w:val="008376E9"/>
    <w:rsid w:val="008379AC"/>
    <w:rsid w:val="00840233"/>
    <w:rsid w:val="00840E72"/>
    <w:rsid w:val="00841FF6"/>
    <w:rsid w:val="00842188"/>
    <w:rsid w:val="00842932"/>
    <w:rsid w:val="00842B31"/>
    <w:rsid w:val="00842B58"/>
    <w:rsid w:val="00843450"/>
    <w:rsid w:val="00843CB6"/>
    <w:rsid w:val="00843F40"/>
    <w:rsid w:val="0084418C"/>
    <w:rsid w:val="008446C9"/>
    <w:rsid w:val="00845187"/>
    <w:rsid w:val="00845737"/>
    <w:rsid w:val="008466E0"/>
    <w:rsid w:val="00846785"/>
    <w:rsid w:val="0084691F"/>
    <w:rsid w:val="008501AE"/>
    <w:rsid w:val="00850630"/>
    <w:rsid w:val="00850E99"/>
    <w:rsid w:val="00850EF9"/>
    <w:rsid w:val="008518DE"/>
    <w:rsid w:val="00851A12"/>
    <w:rsid w:val="00852318"/>
    <w:rsid w:val="00852B4B"/>
    <w:rsid w:val="0085451F"/>
    <w:rsid w:val="00855665"/>
    <w:rsid w:val="008557E8"/>
    <w:rsid w:val="00855904"/>
    <w:rsid w:val="008562EA"/>
    <w:rsid w:val="00856442"/>
    <w:rsid w:val="00856608"/>
    <w:rsid w:val="008603DF"/>
    <w:rsid w:val="0086090E"/>
    <w:rsid w:val="00860B19"/>
    <w:rsid w:val="00861B53"/>
    <w:rsid w:val="0086210B"/>
    <w:rsid w:val="0086493F"/>
    <w:rsid w:val="008651FD"/>
    <w:rsid w:val="00865B4E"/>
    <w:rsid w:val="00865F49"/>
    <w:rsid w:val="008660E9"/>
    <w:rsid w:val="00867066"/>
    <w:rsid w:val="00867E7F"/>
    <w:rsid w:val="00867F2F"/>
    <w:rsid w:val="00870022"/>
    <w:rsid w:val="008701B5"/>
    <w:rsid w:val="00871BF3"/>
    <w:rsid w:val="00871DD7"/>
    <w:rsid w:val="00871EF3"/>
    <w:rsid w:val="00873335"/>
    <w:rsid w:val="00874DF5"/>
    <w:rsid w:val="00875C8A"/>
    <w:rsid w:val="00875D6F"/>
    <w:rsid w:val="0087641E"/>
    <w:rsid w:val="008764BB"/>
    <w:rsid w:val="008772EA"/>
    <w:rsid w:val="00877DF8"/>
    <w:rsid w:val="0088079E"/>
    <w:rsid w:val="00880D4E"/>
    <w:rsid w:val="008812C0"/>
    <w:rsid w:val="008815C2"/>
    <w:rsid w:val="00882938"/>
    <w:rsid w:val="008834E4"/>
    <w:rsid w:val="008840C9"/>
    <w:rsid w:val="008849DA"/>
    <w:rsid w:val="0088537F"/>
    <w:rsid w:val="00885648"/>
    <w:rsid w:val="00885672"/>
    <w:rsid w:val="00885853"/>
    <w:rsid w:val="00885D58"/>
    <w:rsid w:val="00885EE8"/>
    <w:rsid w:val="008873C4"/>
    <w:rsid w:val="0088767D"/>
    <w:rsid w:val="00887822"/>
    <w:rsid w:val="00890389"/>
    <w:rsid w:val="00890857"/>
    <w:rsid w:val="00890A16"/>
    <w:rsid w:val="00890EB6"/>
    <w:rsid w:val="00891108"/>
    <w:rsid w:val="00891C09"/>
    <w:rsid w:val="008920BF"/>
    <w:rsid w:val="0089259F"/>
    <w:rsid w:val="00894628"/>
    <w:rsid w:val="00894AC0"/>
    <w:rsid w:val="00895A39"/>
    <w:rsid w:val="00896F96"/>
    <w:rsid w:val="00897847"/>
    <w:rsid w:val="00897895"/>
    <w:rsid w:val="00897ABB"/>
    <w:rsid w:val="00897E62"/>
    <w:rsid w:val="008A0C5E"/>
    <w:rsid w:val="008A1115"/>
    <w:rsid w:val="008A1467"/>
    <w:rsid w:val="008A1B7C"/>
    <w:rsid w:val="008A36C6"/>
    <w:rsid w:val="008A43A5"/>
    <w:rsid w:val="008A4E99"/>
    <w:rsid w:val="008A5119"/>
    <w:rsid w:val="008A610E"/>
    <w:rsid w:val="008A6487"/>
    <w:rsid w:val="008A7A0F"/>
    <w:rsid w:val="008B06CE"/>
    <w:rsid w:val="008B11A2"/>
    <w:rsid w:val="008B1A12"/>
    <w:rsid w:val="008B1E81"/>
    <w:rsid w:val="008B233D"/>
    <w:rsid w:val="008B35F7"/>
    <w:rsid w:val="008B3984"/>
    <w:rsid w:val="008B46FE"/>
    <w:rsid w:val="008B4719"/>
    <w:rsid w:val="008B4865"/>
    <w:rsid w:val="008B5F35"/>
    <w:rsid w:val="008B60C4"/>
    <w:rsid w:val="008B617C"/>
    <w:rsid w:val="008B6294"/>
    <w:rsid w:val="008C033C"/>
    <w:rsid w:val="008C0723"/>
    <w:rsid w:val="008C1E30"/>
    <w:rsid w:val="008C1E33"/>
    <w:rsid w:val="008C289B"/>
    <w:rsid w:val="008C29B5"/>
    <w:rsid w:val="008C3321"/>
    <w:rsid w:val="008C3536"/>
    <w:rsid w:val="008C36B0"/>
    <w:rsid w:val="008C38A5"/>
    <w:rsid w:val="008C3DBC"/>
    <w:rsid w:val="008C453D"/>
    <w:rsid w:val="008C576D"/>
    <w:rsid w:val="008C5DA0"/>
    <w:rsid w:val="008C5F52"/>
    <w:rsid w:val="008C6226"/>
    <w:rsid w:val="008C750D"/>
    <w:rsid w:val="008C7E07"/>
    <w:rsid w:val="008C7FE4"/>
    <w:rsid w:val="008D0202"/>
    <w:rsid w:val="008D0691"/>
    <w:rsid w:val="008D0B77"/>
    <w:rsid w:val="008D0DAC"/>
    <w:rsid w:val="008D14D4"/>
    <w:rsid w:val="008D1A20"/>
    <w:rsid w:val="008D21C1"/>
    <w:rsid w:val="008D2C24"/>
    <w:rsid w:val="008D3BF2"/>
    <w:rsid w:val="008D4EB8"/>
    <w:rsid w:val="008D5BE4"/>
    <w:rsid w:val="008D5BE8"/>
    <w:rsid w:val="008D609E"/>
    <w:rsid w:val="008D6DBF"/>
    <w:rsid w:val="008D6F8B"/>
    <w:rsid w:val="008D74EE"/>
    <w:rsid w:val="008D7D5E"/>
    <w:rsid w:val="008E0570"/>
    <w:rsid w:val="008E2178"/>
    <w:rsid w:val="008E2676"/>
    <w:rsid w:val="008E2FAF"/>
    <w:rsid w:val="008E33B8"/>
    <w:rsid w:val="008E380A"/>
    <w:rsid w:val="008E3C9D"/>
    <w:rsid w:val="008E4584"/>
    <w:rsid w:val="008E467A"/>
    <w:rsid w:val="008E5458"/>
    <w:rsid w:val="008E67B3"/>
    <w:rsid w:val="008E6A18"/>
    <w:rsid w:val="008E7378"/>
    <w:rsid w:val="008E756E"/>
    <w:rsid w:val="008E769B"/>
    <w:rsid w:val="008F0341"/>
    <w:rsid w:val="008F1A1F"/>
    <w:rsid w:val="008F1F44"/>
    <w:rsid w:val="008F2376"/>
    <w:rsid w:val="008F281D"/>
    <w:rsid w:val="008F4160"/>
    <w:rsid w:val="008F476F"/>
    <w:rsid w:val="008F5266"/>
    <w:rsid w:val="008F606A"/>
    <w:rsid w:val="008F60B6"/>
    <w:rsid w:val="008F6F5D"/>
    <w:rsid w:val="008F7091"/>
    <w:rsid w:val="008F7B38"/>
    <w:rsid w:val="008F7DD9"/>
    <w:rsid w:val="009014AF"/>
    <w:rsid w:val="0090190B"/>
    <w:rsid w:val="009020F5"/>
    <w:rsid w:val="00902B4C"/>
    <w:rsid w:val="00902D92"/>
    <w:rsid w:val="009066F0"/>
    <w:rsid w:val="00906B4E"/>
    <w:rsid w:val="00906ED3"/>
    <w:rsid w:val="0090722C"/>
    <w:rsid w:val="00907338"/>
    <w:rsid w:val="00907D51"/>
    <w:rsid w:val="00910C78"/>
    <w:rsid w:val="00910EA7"/>
    <w:rsid w:val="00910F6C"/>
    <w:rsid w:val="00911143"/>
    <w:rsid w:val="00911489"/>
    <w:rsid w:val="009117BE"/>
    <w:rsid w:val="009120B4"/>
    <w:rsid w:val="009124DA"/>
    <w:rsid w:val="00913694"/>
    <w:rsid w:val="009137CF"/>
    <w:rsid w:val="00915C06"/>
    <w:rsid w:val="00915C50"/>
    <w:rsid w:val="00915FF6"/>
    <w:rsid w:val="009169F4"/>
    <w:rsid w:val="00916B35"/>
    <w:rsid w:val="00916B75"/>
    <w:rsid w:val="00916C0C"/>
    <w:rsid w:val="00916FDC"/>
    <w:rsid w:val="00917B15"/>
    <w:rsid w:val="009209EC"/>
    <w:rsid w:val="009213AE"/>
    <w:rsid w:val="00921596"/>
    <w:rsid w:val="0092192B"/>
    <w:rsid w:val="00921FDB"/>
    <w:rsid w:val="0092321F"/>
    <w:rsid w:val="00923F1E"/>
    <w:rsid w:val="009243C1"/>
    <w:rsid w:val="00925FAA"/>
    <w:rsid w:val="00926D1B"/>
    <w:rsid w:val="00926D33"/>
    <w:rsid w:val="009278B1"/>
    <w:rsid w:val="00927C7A"/>
    <w:rsid w:val="00927FDF"/>
    <w:rsid w:val="00930D2E"/>
    <w:rsid w:val="0093185C"/>
    <w:rsid w:val="009319C4"/>
    <w:rsid w:val="00932F9E"/>
    <w:rsid w:val="00933E5E"/>
    <w:rsid w:val="00933FD4"/>
    <w:rsid w:val="00934796"/>
    <w:rsid w:val="009351CD"/>
    <w:rsid w:val="009358A0"/>
    <w:rsid w:val="00936568"/>
    <w:rsid w:val="00940E4E"/>
    <w:rsid w:val="009417B7"/>
    <w:rsid w:val="00942DFB"/>
    <w:rsid w:val="009436CF"/>
    <w:rsid w:val="009446BC"/>
    <w:rsid w:val="0094554D"/>
    <w:rsid w:val="00945A37"/>
    <w:rsid w:val="00945A6E"/>
    <w:rsid w:val="009468B2"/>
    <w:rsid w:val="00953023"/>
    <w:rsid w:val="00954685"/>
    <w:rsid w:val="00954835"/>
    <w:rsid w:val="0095485C"/>
    <w:rsid w:val="00955D19"/>
    <w:rsid w:val="00955F4A"/>
    <w:rsid w:val="0095623E"/>
    <w:rsid w:val="0095689A"/>
    <w:rsid w:val="00957B4E"/>
    <w:rsid w:val="00961E6A"/>
    <w:rsid w:val="00962CEB"/>
    <w:rsid w:val="00965668"/>
    <w:rsid w:val="00965E4A"/>
    <w:rsid w:val="00966BDF"/>
    <w:rsid w:val="009677E7"/>
    <w:rsid w:val="00967A2C"/>
    <w:rsid w:val="00967B67"/>
    <w:rsid w:val="00967C8C"/>
    <w:rsid w:val="00967FCB"/>
    <w:rsid w:val="009727AF"/>
    <w:rsid w:val="009728B2"/>
    <w:rsid w:val="00972ACF"/>
    <w:rsid w:val="00973D32"/>
    <w:rsid w:val="00973FE6"/>
    <w:rsid w:val="00974664"/>
    <w:rsid w:val="0097487C"/>
    <w:rsid w:val="00974B49"/>
    <w:rsid w:val="00974E1B"/>
    <w:rsid w:val="00975E30"/>
    <w:rsid w:val="00976759"/>
    <w:rsid w:val="00977A63"/>
    <w:rsid w:val="00980B14"/>
    <w:rsid w:val="009810B5"/>
    <w:rsid w:val="009814F8"/>
    <w:rsid w:val="0098165A"/>
    <w:rsid w:val="009816FB"/>
    <w:rsid w:val="00981872"/>
    <w:rsid w:val="00982A11"/>
    <w:rsid w:val="00983591"/>
    <w:rsid w:val="00983B8A"/>
    <w:rsid w:val="0098569D"/>
    <w:rsid w:val="00985A98"/>
    <w:rsid w:val="00985C83"/>
    <w:rsid w:val="00985E20"/>
    <w:rsid w:val="0098635C"/>
    <w:rsid w:val="009867D6"/>
    <w:rsid w:val="00987714"/>
    <w:rsid w:val="00987F91"/>
    <w:rsid w:val="009900CF"/>
    <w:rsid w:val="009908FD"/>
    <w:rsid w:val="009910C4"/>
    <w:rsid w:val="00991597"/>
    <w:rsid w:val="0099287A"/>
    <w:rsid w:val="0099348C"/>
    <w:rsid w:val="0099356C"/>
    <w:rsid w:val="009943EE"/>
    <w:rsid w:val="009945AE"/>
    <w:rsid w:val="0099485F"/>
    <w:rsid w:val="00994879"/>
    <w:rsid w:val="00994B32"/>
    <w:rsid w:val="00994C8A"/>
    <w:rsid w:val="00995B44"/>
    <w:rsid w:val="00995F87"/>
    <w:rsid w:val="00996363"/>
    <w:rsid w:val="009963BB"/>
    <w:rsid w:val="00997CF0"/>
    <w:rsid w:val="009A0060"/>
    <w:rsid w:val="009A04A2"/>
    <w:rsid w:val="009A0520"/>
    <w:rsid w:val="009A0C93"/>
    <w:rsid w:val="009A1370"/>
    <w:rsid w:val="009A1DB8"/>
    <w:rsid w:val="009A2250"/>
    <w:rsid w:val="009A38EB"/>
    <w:rsid w:val="009A3CA5"/>
    <w:rsid w:val="009A3CB2"/>
    <w:rsid w:val="009A4445"/>
    <w:rsid w:val="009A51A6"/>
    <w:rsid w:val="009A7037"/>
    <w:rsid w:val="009B04EC"/>
    <w:rsid w:val="009B0534"/>
    <w:rsid w:val="009B0EAA"/>
    <w:rsid w:val="009B0EC4"/>
    <w:rsid w:val="009B1767"/>
    <w:rsid w:val="009B220F"/>
    <w:rsid w:val="009B27E0"/>
    <w:rsid w:val="009B28C6"/>
    <w:rsid w:val="009B2C99"/>
    <w:rsid w:val="009B2DB7"/>
    <w:rsid w:val="009B2FB2"/>
    <w:rsid w:val="009B320D"/>
    <w:rsid w:val="009B3C96"/>
    <w:rsid w:val="009B607B"/>
    <w:rsid w:val="009B6633"/>
    <w:rsid w:val="009B67CE"/>
    <w:rsid w:val="009B6C09"/>
    <w:rsid w:val="009C054F"/>
    <w:rsid w:val="009C0B90"/>
    <w:rsid w:val="009C137E"/>
    <w:rsid w:val="009C1C2E"/>
    <w:rsid w:val="009C1FCF"/>
    <w:rsid w:val="009C22FA"/>
    <w:rsid w:val="009C4168"/>
    <w:rsid w:val="009C4178"/>
    <w:rsid w:val="009C43B6"/>
    <w:rsid w:val="009C473D"/>
    <w:rsid w:val="009C4A3C"/>
    <w:rsid w:val="009C5B29"/>
    <w:rsid w:val="009C5FE9"/>
    <w:rsid w:val="009C76BC"/>
    <w:rsid w:val="009C7793"/>
    <w:rsid w:val="009C7A84"/>
    <w:rsid w:val="009D01BA"/>
    <w:rsid w:val="009D11EF"/>
    <w:rsid w:val="009D12A7"/>
    <w:rsid w:val="009D3EE9"/>
    <w:rsid w:val="009D420B"/>
    <w:rsid w:val="009D443F"/>
    <w:rsid w:val="009D4913"/>
    <w:rsid w:val="009D546A"/>
    <w:rsid w:val="009D5E29"/>
    <w:rsid w:val="009D6205"/>
    <w:rsid w:val="009D6B92"/>
    <w:rsid w:val="009E12B4"/>
    <w:rsid w:val="009E259D"/>
    <w:rsid w:val="009E26D6"/>
    <w:rsid w:val="009E2D35"/>
    <w:rsid w:val="009E3966"/>
    <w:rsid w:val="009E43F7"/>
    <w:rsid w:val="009E5AD1"/>
    <w:rsid w:val="009E5D7F"/>
    <w:rsid w:val="009E6277"/>
    <w:rsid w:val="009E6D8D"/>
    <w:rsid w:val="009E6E53"/>
    <w:rsid w:val="009F015A"/>
    <w:rsid w:val="009F098B"/>
    <w:rsid w:val="009F0D62"/>
    <w:rsid w:val="009F0E23"/>
    <w:rsid w:val="009F0F61"/>
    <w:rsid w:val="009F0FC8"/>
    <w:rsid w:val="009F112A"/>
    <w:rsid w:val="009F1A09"/>
    <w:rsid w:val="009F1F26"/>
    <w:rsid w:val="009F30EC"/>
    <w:rsid w:val="009F3187"/>
    <w:rsid w:val="009F4886"/>
    <w:rsid w:val="009F48CA"/>
    <w:rsid w:val="009F52EA"/>
    <w:rsid w:val="009F565E"/>
    <w:rsid w:val="009F6426"/>
    <w:rsid w:val="009F687B"/>
    <w:rsid w:val="009F6E7D"/>
    <w:rsid w:val="009F790E"/>
    <w:rsid w:val="009F7D42"/>
    <w:rsid w:val="00A01AA9"/>
    <w:rsid w:val="00A03804"/>
    <w:rsid w:val="00A03C5B"/>
    <w:rsid w:val="00A053F1"/>
    <w:rsid w:val="00A055CB"/>
    <w:rsid w:val="00A05AAF"/>
    <w:rsid w:val="00A063FD"/>
    <w:rsid w:val="00A074F3"/>
    <w:rsid w:val="00A11150"/>
    <w:rsid w:val="00A11333"/>
    <w:rsid w:val="00A12BA9"/>
    <w:rsid w:val="00A132A2"/>
    <w:rsid w:val="00A1332B"/>
    <w:rsid w:val="00A14B91"/>
    <w:rsid w:val="00A15704"/>
    <w:rsid w:val="00A15F78"/>
    <w:rsid w:val="00A1637E"/>
    <w:rsid w:val="00A166A7"/>
    <w:rsid w:val="00A169C0"/>
    <w:rsid w:val="00A17650"/>
    <w:rsid w:val="00A176E2"/>
    <w:rsid w:val="00A22A01"/>
    <w:rsid w:val="00A22E8D"/>
    <w:rsid w:val="00A235D7"/>
    <w:rsid w:val="00A24269"/>
    <w:rsid w:val="00A24670"/>
    <w:rsid w:val="00A246A1"/>
    <w:rsid w:val="00A24B7F"/>
    <w:rsid w:val="00A256D4"/>
    <w:rsid w:val="00A2587C"/>
    <w:rsid w:val="00A26522"/>
    <w:rsid w:val="00A26F4E"/>
    <w:rsid w:val="00A26FFD"/>
    <w:rsid w:val="00A2783A"/>
    <w:rsid w:val="00A279EB"/>
    <w:rsid w:val="00A27BE6"/>
    <w:rsid w:val="00A30508"/>
    <w:rsid w:val="00A307E5"/>
    <w:rsid w:val="00A309F3"/>
    <w:rsid w:val="00A30E34"/>
    <w:rsid w:val="00A319C1"/>
    <w:rsid w:val="00A32354"/>
    <w:rsid w:val="00A328F6"/>
    <w:rsid w:val="00A32E83"/>
    <w:rsid w:val="00A340D0"/>
    <w:rsid w:val="00A34109"/>
    <w:rsid w:val="00A34D22"/>
    <w:rsid w:val="00A34F70"/>
    <w:rsid w:val="00A3578B"/>
    <w:rsid w:val="00A3617C"/>
    <w:rsid w:val="00A36D68"/>
    <w:rsid w:val="00A371D3"/>
    <w:rsid w:val="00A37590"/>
    <w:rsid w:val="00A37593"/>
    <w:rsid w:val="00A37648"/>
    <w:rsid w:val="00A37C03"/>
    <w:rsid w:val="00A37E3B"/>
    <w:rsid w:val="00A40487"/>
    <w:rsid w:val="00A4114A"/>
    <w:rsid w:val="00A415D0"/>
    <w:rsid w:val="00A4184D"/>
    <w:rsid w:val="00A42106"/>
    <w:rsid w:val="00A43FE8"/>
    <w:rsid w:val="00A44CEA"/>
    <w:rsid w:val="00A44D1B"/>
    <w:rsid w:val="00A44FD8"/>
    <w:rsid w:val="00A45DF0"/>
    <w:rsid w:val="00A464D8"/>
    <w:rsid w:val="00A46AD1"/>
    <w:rsid w:val="00A473DF"/>
    <w:rsid w:val="00A4758A"/>
    <w:rsid w:val="00A50544"/>
    <w:rsid w:val="00A507E2"/>
    <w:rsid w:val="00A516FC"/>
    <w:rsid w:val="00A524E0"/>
    <w:rsid w:val="00A52E82"/>
    <w:rsid w:val="00A536F2"/>
    <w:rsid w:val="00A538B5"/>
    <w:rsid w:val="00A54114"/>
    <w:rsid w:val="00A54761"/>
    <w:rsid w:val="00A54991"/>
    <w:rsid w:val="00A558B0"/>
    <w:rsid w:val="00A56563"/>
    <w:rsid w:val="00A60103"/>
    <w:rsid w:val="00A60538"/>
    <w:rsid w:val="00A61050"/>
    <w:rsid w:val="00A62420"/>
    <w:rsid w:val="00A62F04"/>
    <w:rsid w:val="00A637AA"/>
    <w:rsid w:val="00A63BDD"/>
    <w:rsid w:val="00A64210"/>
    <w:rsid w:val="00A645BB"/>
    <w:rsid w:val="00A6468A"/>
    <w:rsid w:val="00A65E31"/>
    <w:rsid w:val="00A65ECD"/>
    <w:rsid w:val="00A67061"/>
    <w:rsid w:val="00A67230"/>
    <w:rsid w:val="00A6746A"/>
    <w:rsid w:val="00A675BC"/>
    <w:rsid w:val="00A67D93"/>
    <w:rsid w:val="00A70429"/>
    <w:rsid w:val="00A710F6"/>
    <w:rsid w:val="00A7133E"/>
    <w:rsid w:val="00A71482"/>
    <w:rsid w:val="00A72600"/>
    <w:rsid w:val="00A72628"/>
    <w:rsid w:val="00A72663"/>
    <w:rsid w:val="00A72BD7"/>
    <w:rsid w:val="00A7309A"/>
    <w:rsid w:val="00A73EE4"/>
    <w:rsid w:val="00A740DF"/>
    <w:rsid w:val="00A74954"/>
    <w:rsid w:val="00A75652"/>
    <w:rsid w:val="00A7669A"/>
    <w:rsid w:val="00A76F9F"/>
    <w:rsid w:val="00A77311"/>
    <w:rsid w:val="00A777D4"/>
    <w:rsid w:val="00A804C6"/>
    <w:rsid w:val="00A809A6"/>
    <w:rsid w:val="00A8292F"/>
    <w:rsid w:val="00A84CA0"/>
    <w:rsid w:val="00A85909"/>
    <w:rsid w:val="00A878DB"/>
    <w:rsid w:val="00A90211"/>
    <w:rsid w:val="00A90265"/>
    <w:rsid w:val="00A903C7"/>
    <w:rsid w:val="00A90433"/>
    <w:rsid w:val="00A92F2B"/>
    <w:rsid w:val="00A93182"/>
    <w:rsid w:val="00A93967"/>
    <w:rsid w:val="00A9444B"/>
    <w:rsid w:val="00A94D8D"/>
    <w:rsid w:val="00A94E12"/>
    <w:rsid w:val="00A95AEB"/>
    <w:rsid w:val="00A95BE9"/>
    <w:rsid w:val="00A95E0D"/>
    <w:rsid w:val="00A96991"/>
    <w:rsid w:val="00A9708C"/>
    <w:rsid w:val="00A9765D"/>
    <w:rsid w:val="00A97EE0"/>
    <w:rsid w:val="00AA0687"/>
    <w:rsid w:val="00AA1A44"/>
    <w:rsid w:val="00AA21E1"/>
    <w:rsid w:val="00AA34D5"/>
    <w:rsid w:val="00AA380D"/>
    <w:rsid w:val="00AA413F"/>
    <w:rsid w:val="00AA4CD3"/>
    <w:rsid w:val="00AA539D"/>
    <w:rsid w:val="00AA56B4"/>
    <w:rsid w:val="00AA62BF"/>
    <w:rsid w:val="00AA6CD7"/>
    <w:rsid w:val="00AA7EA3"/>
    <w:rsid w:val="00AB084F"/>
    <w:rsid w:val="00AB19C1"/>
    <w:rsid w:val="00AB1E05"/>
    <w:rsid w:val="00AB2D60"/>
    <w:rsid w:val="00AB2E29"/>
    <w:rsid w:val="00AB3639"/>
    <w:rsid w:val="00AB3988"/>
    <w:rsid w:val="00AB3F01"/>
    <w:rsid w:val="00AB49CB"/>
    <w:rsid w:val="00AB551F"/>
    <w:rsid w:val="00AB5703"/>
    <w:rsid w:val="00AB5813"/>
    <w:rsid w:val="00AB5AB5"/>
    <w:rsid w:val="00AB5C13"/>
    <w:rsid w:val="00AB5E1D"/>
    <w:rsid w:val="00AC0004"/>
    <w:rsid w:val="00AC0815"/>
    <w:rsid w:val="00AC11E1"/>
    <w:rsid w:val="00AC1B2A"/>
    <w:rsid w:val="00AC1CA9"/>
    <w:rsid w:val="00AC2794"/>
    <w:rsid w:val="00AC3521"/>
    <w:rsid w:val="00AC6062"/>
    <w:rsid w:val="00AC63AE"/>
    <w:rsid w:val="00AC693E"/>
    <w:rsid w:val="00AC6BF4"/>
    <w:rsid w:val="00AC6D4E"/>
    <w:rsid w:val="00AC78B2"/>
    <w:rsid w:val="00AC78B6"/>
    <w:rsid w:val="00AC7939"/>
    <w:rsid w:val="00AC7D4F"/>
    <w:rsid w:val="00AD0116"/>
    <w:rsid w:val="00AD03C2"/>
    <w:rsid w:val="00AD07BD"/>
    <w:rsid w:val="00AD0A94"/>
    <w:rsid w:val="00AD1189"/>
    <w:rsid w:val="00AD18F3"/>
    <w:rsid w:val="00AD1D5F"/>
    <w:rsid w:val="00AD1E2B"/>
    <w:rsid w:val="00AD27F6"/>
    <w:rsid w:val="00AD28A6"/>
    <w:rsid w:val="00AD29A3"/>
    <w:rsid w:val="00AD2AD3"/>
    <w:rsid w:val="00AD329E"/>
    <w:rsid w:val="00AD3B94"/>
    <w:rsid w:val="00AD41C1"/>
    <w:rsid w:val="00AD60B7"/>
    <w:rsid w:val="00AD61CE"/>
    <w:rsid w:val="00AD627C"/>
    <w:rsid w:val="00AD6B91"/>
    <w:rsid w:val="00AD750C"/>
    <w:rsid w:val="00AD76A2"/>
    <w:rsid w:val="00AE04A9"/>
    <w:rsid w:val="00AE0661"/>
    <w:rsid w:val="00AE0729"/>
    <w:rsid w:val="00AE192D"/>
    <w:rsid w:val="00AE270B"/>
    <w:rsid w:val="00AE2CD6"/>
    <w:rsid w:val="00AE33E5"/>
    <w:rsid w:val="00AE3D63"/>
    <w:rsid w:val="00AE3F0D"/>
    <w:rsid w:val="00AE47C6"/>
    <w:rsid w:val="00AE589E"/>
    <w:rsid w:val="00AE58F8"/>
    <w:rsid w:val="00AE6FAB"/>
    <w:rsid w:val="00AF015C"/>
    <w:rsid w:val="00AF0800"/>
    <w:rsid w:val="00AF0C20"/>
    <w:rsid w:val="00AF1623"/>
    <w:rsid w:val="00AF24CB"/>
    <w:rsid w:val="00AF2FF9"/>
    <w:rsid w:val="00AF471C"/>
    <w:rsid w:val="00AF6019"/>
    <w:rsid w:val="00AF6616"/>
    <w:rsid w:val="00AF6914"/>
    <w:rsid w:val="00AF7166"/>
    <w:rsid w:val="00AF76D1"/>
    <w:rsid w:val="00AF7A40"/>
    <w:rsid w:val="00AF7A50"/>
    <w:rsid w:val="00AF7CB6"/>
    <w:rsid w:val="00B000F3"/>
    <w:rsid w:val="00B00201"/>
    <w:rsid w:val="00B00242"/>
    <w:rsid w:val="00B00256"/>
    <w:rsid w:val="00B00294"/>
    <w:rsid w:val="00B00C4C"/>
    <w:rsid w:val="00B02163"/>
    <w:rsid w:val="00B0478F"/>
    <w:rsid w:val="00B04DD4"/>
    <w:rsid w:val="00B0601C"/>
    <w:rsid w:val="00B0764D"/>
    <w:rsid w:val="00B07C9D"/>
    <w:rsid w:val="00B11851"/>
    <w:rsid w:val="00B1199F"/>
    <w:rsid w:val="00B12F32"/>
    <w:rsid w:val="00B13829"/>
    <w:rsid w:val="00B145FE"/>
    <w:rsid w:val="00B14AA8"/>
    <w:rsid w:val="00B14DC5"/>
    <w:rsid w:val="00B15F5A"/>
    <w:rsid w:val="00B164A2"/>
    <w:rsid w:val="00B202C3"/>
    <w:rsid w:val="00B207A2"/>
    <w:rsid w:val="00B211B4"/>
    <w:rsid w:val="00B21DD5"/>
    <w:rsid w:val="00B22112"/>
    <w:rsid w:val="00B22FA0"/>
    <w:rsid w:val="00B231B0"/>
    <w:rsid w:val="00B2417E"/>
    <w:rsid w:val="00B24384"/>
    <w:rsid w:val="00B24FAD"/>
    <w:rsid w:val="00B2546F"/>
    <w:rsid w:val="00B257AF"/>
    <w:rsid w:val="00B25807"/>
    <w:rsid w:val="00B25D97"/>
    <w:rsid w:val="00B26051"/>
    <w:rsid w:val="00B3091C"/>
    <w:rsid w:val="00B332C0"/>
    <w:rsid w:val="00B33907"/>
    <w:rsid w:val="00B33B07"/>
    <w:rsid w:val="00B340E2"/>
    <w:rsid w:val="00B34249"/>
    <w:rsid w:val="00B357BB"/>
    <w:rsid w:val="00B35A2A"/>
    <w:rsid w:val="00B36506"/>
    <w:rsid w:val="00B365AA"/>
    <w:rsid w:val="00B37096"/>
    <w:rsid w:val="00B376A4"/>
    <w:rsid w:val="00B41F76"/>
    <w:rsid w:val="00B43E7D"/>
    <w:rsid w:val="00B4498E"/>
    <w:rsid w:val="00B44EE9"/>
    <w:rsid w:val="00B4529F"/>
    <w:rsid w:val="00B45977"/>
    <w:rsid w:val="00B45E0B"/>
    <w:rsid w:val="00B46168"/>
    <w:rsid w:val="00B46338"/>
    <w:rsid w:val="00B469FE"/>
    <w:rsid w:val="00B47043"/>
    <w:rsid w:val="00B47BE3"/>
    <w:rsid w:val="00B47F2F"/>
    <w:rsid w:val="00B47F8D"/>
    <w:rsid w:val="00B5001E"/>
    <w:rsid w:val="00B50F1E"/>
    <w:rsid w:val="00B51167"/>
    <w:rsid w:val="00B5139E"/>
    <w:rsid w:val="00B51700"/>
    <w:rsid w:val="00B51763"/>
    <w:rsid w:val="00B51D0B"/>
    <w:rsid w:val="00B51D8E"/>
    <w:rsid w:val="00B51E3C"/>
    <w:rsid w:val="00B5213F"/>
    <w:rsid w:val="00B524B7"/>
    <w:rsid w:val="00B528F7"/>
    <w:rsid w:val="00B5312C"/>
    <w:rsid w:val="00B531FC"/>
    <w:rsid w:val="00B537B8"/>
    <w:rsid w:val="00B53B61"/>
    <w:rsid w:val="00B55DA8"/>
    <w:rsid w:val="00B55FE3"/>
    <w:rsid w:val="00B56AF1"/>
    <w:rsid w:val="00B5705B"/>
    <w:rsid w:val="00B57B64"/>
    <w:rsid w:val="00B57D59"/>
    <w:rsid w:val="00B60E2D"/>
    <w:rsid w:val="00B612CF"/>
    <w:rsid w:val="00B62957"/>
    <w:rsid w:val="00B631DD"/>
    <w:rsid w:val="00B635D2"/>
    <w:rsid w:val="00B646E3"/>
    <w:rsid w:val="00B655DD"/>
    <w:rsid w:val="00B65FE0"/>
    <w:rsid w:val="00B6721C"/>
    <w:rsid w:val="00B67758"/>
    <w:rsid w:val="00B67799"/>
    <w:rsid w:val="00B67BFE"/>
    <w:rsid w:val="00B701EA"/>
    <w:rsid w:val="00B70973"/>
    <w:rsid w:val="00B71BC9"/>
    <w:rsid w:val="00B72C0C"/>
    <w:rsid w:val="00B732EB"/>
    <w:rsid w:val="00B7376E"/>
    <w:rsid w:val="00B73C14"/>
    <w:rsid w:val="00B73D96"/>
    <w:rsid w:val="00B74197"/>
    <w:rsid w:val="00B74230"/>
    <w:rsid w:val="00B745B4"/>
    <w:rsid w:val="00B7476C"/>
    <w:rsid w:val="00B75431"/>
    <w:rsid w:val="00B7674C"/>
    <w:rsid w:val="00B76CA5"/>
    <w:rsid w:val="00B7767F"/>
    <w:rsid w:val="00B77C5B"/>
    <w:rsid w:val="00B801A3"/>
    <w:rsid w:val="00B8023F"/>
    <w:rsid w:val="00B80CB2"/>
    <w:rsid w:val="00B80E69"/>
    <w:rsid w:val="00B81479"/>
    <w:rsid w:val="00B81E4D"/>
    <w:rsid w:val="00B822B3"/>
    <w:rsid w:val="00B825BC"/>
    <w:rsid w:val="00B82C2E"/>
    <w:rsid w:val="00B837A4"/>
    <w:rsid w:val="00B845A5"/>
    <w:rsid w:val="00B85280"/>
    <w:rsid w:val="00B8529E"/>
    <w:rsid w:val="00B863E2"/>
    <w:rsid w:val="00B86E15"/>
    <w:rsid w:val="00B86FF9"/>
    <w:rsid w:val="00B870E9"/>
    <w:rsid w:val="00B9271C"/>
    <w:rsid w:val="00B92A72"/>
    <w:rsid w:val="00B942EC"/>
    <w:rsid w:val="00B94478"/>
    <w:rsid w:val="00B95978"/>
    <w:rsid w:val="00B960C1"/>
    <w:rsid w:val="00B96624"/>
    <w:rsid w:val="00B9662E"/>
    <w:rsid w:val="00B97516"/>
    <w:rsid w:val="00B97993"/>
    <w:rsid w:val="00BA0FC3"/>
    <w:rsid w:val="00BA177B"/>
    <w:rsid w:val="00BA2DC8"/>
    <w:rsid w:val="00BA457D"/>
    <w:rsid w:val="00BA477E"/>
    <w:rsid w:val="00BA47CA"/>
    <w:rsid w:val="00BA499D"/>
    <w:rsid w:val="00BA4E1E"/>
    <w:rsid w:val="00BA5356"/>
    <w:rsid w:val="00BA5BD2"/>
    <w:rsid w:val="00BA7301"/>
    <w:rsid w:val="00BA74D6"/>
    <w:rsid w:val="00BA7D11"/>
    <w:rsid w:val="00BB0C1D"/>
    <w:rsid w:val="00BB0DBE"/>
    <w:rsid w:val="00BB0E16"/>
    <w:rsid w:val="00BB15B5"/>
    <w:rsid w:val="00BB25CB"/>
    <w:rsid w:val="00BB2744"/>
    <w:rsid w:val="00BB27BE"/>
    <w:rsid w:val="00BB29CB"/>
    <w:rsid w:val="00BB369A"/>
    <w:rsid w:val="00BB427E"/>
    <w:rsid w:val="00BB480A"/>
    <w:rsid w:val="00BB4D06"/>
    <w:rsid w:val="00BB6A71"/>
    <w:rsid w:val="00BB74B0"/>
    <w:rsid w:val="00BB7957"/>
    <w:rsid w:val="00BB7AE2"/>
    <w:rsid w:val="00BC0288"/>
    <w:rsid w:val="00BC0687"/>
    <w:rsid w:val="00BC0785"/>
    <w:rsid w:val="00BC1140"/>
    <w:rsid w:val="00BC1D77"/>
    <w:rsid w:val="00BC2DF3"/>
    <w:rsid w:val="00BC32E7"/>
    <w:rsid w:val="00BC3DB4"/>
    <w:rsid w:val="00BC3E69"/>
    <w:rsid w:val="00BC4020"/>
    <w:rsid w:val="00BC4353"/>
    <w:rsid w:val="00BC4CA3"/>
    <w:rsid w:val="00BC5592"/>
    <w:rsid w:val="00BC55F6"/>
    <w:rsid w:val="00BC5600"/>
    <w:rsid w:val="00BC64B4"/>
    <w:rsid w:val="00BC65F7"/>
    <w:rsid w:val="00BC72F7"/>
    <w:rsid w:val="00BC7398"/>
    <w:rsid w:val="00BC74DD"/>
    <w:rsid w:val="00BD0179"/>
    <w:rsid w:val="00BD0211"/>
    <w:rsid w:val="00BD056C"/>
    <w:rsid w:val="00BD26CD"/>
    <w:rsid w:val="00BD30A1"/>
    <w:rsid w:val="00BD3B0B"/>
    <w:rsid w:val="00BD5858"/>
    <w:rsid w:val="00BD5F93"/>
    <w:rsid w:val="00BD6078"/>
    <w:rsid w:val="00BD7A99"/>
    <w:rsid w:val="00BD7FA2"/>
    <w:rsid w:val="00BE0170"/>
    <w:rsid w:val="00BE1197"/>
    <w:rsid w:val="00BE17ED"/>
    <w:rsid w:val="00BE20C1"/>
    <w:rsid w:val="00BE25EC"/>
    <w:rsid w:val="00BE2AB0"/>
    <w:rsid w:val="00BE3FB3"/>
    <w:rsid w:val="00BE45B8"/>
    <w:rsid w:val="00BE4A81"/>
    <w:rsid w:val="00BE4EA2"/>
    <w:rsid w:val="00BE5699"/>
    <w:rsid w:val="00BE5A0C"/>
    <w:rsid w:val="00BE7893"/>
    <w:rsid w:val="00BF024D"/>
    <w:rsid w:val="00BF02DA"/>
    <w:rsid w:val="00BF02DB"/>
    <w:rsid w:val="00BF0F73"/>
    <w:rsid w:val="00BF1081"/>
    <w:rsid w:val="00BF17BF"/>
    <w:rsid w:val="00BF180E"/>
    <w:rsid w:val="00BF248D"/>
    <w:rsid w:val="00BF294B"/>
    <w:rsid w:val="00BF32D6"/>
    <w:rsid w:val="00BF3F1D"/>
    <w:rsid w:val="00BF4942"/>
    <w:rsid w:val="00BF5271"/>
    <w:rsid w:val="00BF65F5"/>
    <w:rsid w:val="00BF673B"/>
    <w:rsid w:val="00BF6A57"/>
    <w:rsid w:val="00BF798C"/>
    <w:rsid w:val="00C00A35"/>
    <w:rsid w:val="00C01C52"/>
    <w:rsid w:val="00C02390"/>
    <w:rsid w:val="00C0261D"/>
    <w:rsid w:val="00C0273E"/>
    <w:rsid w:val="00C02811"/>
    <w:rsid w:val="00C0349E"/>
    <w:rsid w:val="00C041B6"/>
    <w:rsid w:val="00C04CA6"/>
    <w:rsid w:val="00C04DE1"/>
    <w:rsid w:val="00C063ED"/>
    <w:rsid w:val="00C06F01"/>
    <w:rsid w:val="00C075B4"/>
    <w:rsid w:val="00C07F65"/>
    <w:rsid w:val="00C10979"/>
    <w:rsid w:val="00C114B8"/>
    <w:rsid w:val="00C11747"/>
    <w:rsid w:val="00C11E77"/>
    <w:rsid w:val="00C1274C"/>
    <w:rsid w:val="00C12F6C"/>
    <w:rsid w:val="00C12FEB"/>
    <w:rsid w:val="00C1336D"/>
    <w:rsid w:val="00C13AFF"/>
    <w:rsid w:val="00C13CC1"/>
    <w:rsid w:val="00C13D33"/>
    <w:rsid w:val="00C1462B"/>
    <w:rsid w:val="00C149D9"/>
    <w:rsid w:val="00C151E3"/>
    <w:rsid w:val="00C156F6"/>
    <w:rsid w:val="00C16DEA"/>
    <w:rsid w:val="00C2038D"/>
    <w:rsid w:val="00C20A64"/>
    <w:rsid w:val="00C22646"/>
    <w:rsid w:val="00C22D74"/>
    <w:rsid w:val="00C22ECC"/>
    <w:rsid w:val="00C23D09"/>
    <w:rsid w:val="00C23D9C"/>
    <w:rsid w:val="00C2427A"/>
    <w:rsid w:val="00C24A33"/>
    <w:rsid w:val="00C25E27"/>
    <w:rsid w:val="00C26AC2"/>
    <w:rsid w:val="00C26B30"/>
    <w:rsid w:val="00C26F98"/>
    <w:rsid w:val="00C2705B"/>
    <w:rsid w:val="00C27685"/>
    <w:rsid w:val="00C302EE"/>
    <w:rsid w:val="00C303D1"/>
    <w:rsid w:val="00C3050C"/>
    <w:rsid w:val="00C33D5B"/>
    <w:rsid w:val="00C340FB"/>
    <w:rsid w:val="00C3414B"/>
    <w:rsid w:val="00C3479F"/>
    <w:rsid w:val="00C35068"/>
    <w:rsid w:val="00C362F2"/>
    <w:rsid w:val="00C3678E"/>
    <w:rsid w:val="00C36B12"/>
    <w:rsid w:val="00C37B3C"/>
    <w:rsid w:val="00C37B59"/>
    <w:rsid w:val="00C409CE"/>
    <w:rsid w:val="00C409F9"/>
    <w:rsid w:val="00C4122C"/>
    <w:rsid w:val="00C4126C"/>
    <w:rsid w:val="00C41375"/>
    <w:rsid w:val="00C42418"/>
    <w:rsid w:val="00C429EB"/>
    <w:rsid w:val="00C434C9"/>
    <w:rsid w:val="00C43AF9"/>
    <w:rsid w:val="00C46E0A"/>
    <w:rsid w:val="00C470A3"/>
    <w:rsid w:val="00C471ED"/>
    <w:rsid w:val="00C47906"/>
    <w:rsid w:val="00C50746"/>
    <w:rsid w:val="00C50795"/>
    <w:rsid w:val="00C5084D"/>
    <w:rsid w:val="00C50A0B"/>
    <w:rsid w:val="00C50FCB"/>
    <w:rsid w:val="00C51805"/>
    <w:rsid w:val="00C51B54"/>
    <w:rsid w:val="00C52428"/>
    <w:rsid w:val="00C527BA"/>
    <w:rsid w:val="00C5553A"/>
    <w:rsid w:val="00C564CF"/>
    <w:rsid w:val="00C569AC"/>
    <w:rsid w:val="00C56A67"/>
    <w:rsid w:val="00C57E28"/>
    <w:rsid w:val="00C60C6C"/>
    <w:rsid w:val="00C60F32"/>
    <w:rsid w:val="00C61523"/>
    <w:rsid w:val="00C63938"/>
    <w:rsid w:val="00C6414C"/>
    <w:rsid w:val="00C641E9"/>
    <w:rsid w:val="00C65573"/>
    <w:rsid w:val="00C663AB"/>
    <w:rsid w:val="00C663C3"/>
    <w:rsid w:val="00C667C8"/>
    <w:rsid w:val="00C677C5"/>
    <w:rsid w:val="00C67B5D"/>
    <w:rsid w:val="00C67F3A"/>
    <w:rsid w:val="00C70062"/>
    <w:rsid w:val="00C70798"/>
    <w:rsid w:val="00C707AB"/>
    <w:rsid w:val="00C71C72"/>
    <w:rsid w:val="00C7277C"/>
    <w:rsid w:val="00C72F93"/>
    <w:rsid w:val="00C73387"/>
    <w:rsid w:val="00C734EA"/>
    <w:rsid w:val="00C73A98"/>
    <w:rsid w:val="00C73AD8"/>
    <w:rsid w:val="00C73C3E"/>
    <w:rsid w:val="00C73F6F"/>
    <w:rsid w:val="00C741BD"/>
    <w:rsid w:val="00C743BA"/>
    <w:rsid w:val="00C74A03"/>
    <w:rsid w:val="00C75417"/>
    <w:rsid w:val="00C754CF"/>
    <w:rsid w:val="00C768EB"/>
    <w:rsid w:val="00C81709"/>
    <w:rsid w:val="00C82E2C"/>
    <w:rsid w:val="00C831E9"/>
    <w:rsid w:val="00C83B56"/>
    <w:rsid w:val="00C83C5F"/>
    <w:rsid w:val="00C84707"/>
    <w:rsid w:val="00C85E37"/>
    <w:rsid w:val="00C85E4C"/>
    <w:rsid w:val="00C86320"/>
    <w:rsid w:val="00C870C0"/>
    <w:rsid w:val="00C8740F"/>
    <w:rsid w:val="00C876A2"/>
    <w:rsid w:val="00C900A2"/>
    <w:rsid w:val="00C91358"/>
    <w:rsid w:val="00C9138B"/>
    <w:rsid w:val="00C9237C"/>
    <w:rsid w:val="00C92775"/>
    <w:rsid w:val="00C92904"/>
    <w:rsid w:val="00C929DE"/>
    <w:rsid w:val="00C9313A"/>
    <w:rsid w:val="00C93405"/>
    <w:rsid w:val="00C93FB2"/>
    <w:rsid w:val="00C9641E"/>
    <w:rsid w:val="00C96FD1"/>
    <w:rsid w:val="00C97666"/>
    <w:rsid w:val="00C9777B"/>
    <w:rsid w:val="00CA0B0F"/>
    <w:rsid w:val="00CA0D9D"/>
    <w:rsid w:val="00CA16B2"/>
    <w:rsid w:val="00CA2395"/>
    <w:rsid w:val="00CA2E2D"/>
    <w:rsid w:val="00CA45D0"/>
    <w:rsid w:val="00CA4D91"/>
    <w:rsid w:val="00CA4F20"/>
    <w:rsid w:val="00CA632B"/>
    <w:rsid w:val="00CA6420"/>
    <w:rsid w:val="00CA6E47"/>
    <w:rsid w:val="00CA78D6"/>
    <w:rsid w:val="00CA7981"/>
    <w:rsid w:val="00CB178D"/>
    <w:rsid w:val="00CB2028"/>
    <w:rsid w:val="00CB2A88"/>
    <w:rsid w:val="00CB435C"/>
    <w:rsid w:val="00CB4D44"/>
    <w:rsid w:val="00CB4DCB"/>
    <w:rsid w:val="00CB5329"/>
    <w:rsid w:val="00CB635A"/>
    <w:rsid w:val="00CB695F"/>
    <w:rsid w:val="00CB6E8D"/>
    <w:rsid w:val="00CB7970"/>
    <w:rsid w:val="00CB79E4"/>
    <w:rsid w:val="00CC0149"/>
    <w:rsid w:val="00CC17C6"/>
    <w:rsid w:val="00CC232E"/>
    <w:rsid w:val="00CC261A"/>
    <w:rsid w:val="00CC28FC"/>
    <w:rsid w:val="00CC3098"/>
    <w:rsid w:val="00CC3523"/>
    <w:rsid w:val="00CC363B"/>
    <w:rsid w:val="00CC3CAA"/>
    <w:rsid w:val="00CC43E9"/>
    <w:rsid w:val="00CC4A5D"/>
    <w:rsid w:val="00CC4FD1"/>
    <w:rsid w:val="00CC67AB"/>
    <w:rsid w:val="00CC6BE8"/>
    <w:rsid w:val="00CD0139"/>
    <w:rsid w:val="00CD065A"/>
    <w:rsid w:val="00CD0EB9"/>
    <w:rsid w:val="00CD12BD"/>
    <w:rsid w:val="00CD15E7"/>
    <w:rsid w:val="00CD1FFA"/>
    <w:rsid w:val="00CD2303"/>
    <w:rsid w:val="00CD2D3D"/>
    <w:rsid w:val="00CD3B28"/>
    <w:rsid w:val="00CD3B6C"/>
    <w:rsid w:val="00CD3FD7"/>
    <w:rsid w:val="00CD5C6F"/>
    <w:rsid w:val="00CD5E53"/>
    <w:rsid w:val="00CD686A"/>
    <w:rsid w:val="00CD6FAC"/>
    <w:rsid w:val="00CE03DC"/>
    <w:rsid w:val="00CE17F9"/>
    <w:rsid w:val="00CE2959"/>
    <w:rsid w:val="00CE3358"/>
    <w:rsid w:val="00CE4313"/>
    <w:rsid w:val="00CE43D0"/>
    <w:rsid w:val="00CE447E"/>
    <w:rsid w:val="00CE44B6"/>
    <w:rsid w:val="00CE4AD1"/>
    <w:rsid w:val="00CE5858"/>
    <w:rsid w:val="00CE64F8"/>
    <w:rsid w:val="00CE6832"/>
    <w:rsid w:val="00CE6D18"/>
    <w:rsid w:val="00CE77BD"/>
    <w:rsid w:val="00CE7F66"/>
    <w:rsid w:val="00CF0022"/>
    <w:rsid w:val="00CF068B"/>
    <w:rsid w:val="00CF17F1"/>
    <w:rsid w:val="00CF1A5D"/>
    <w:rsid w:val="00CF1CA2"/>
    <w:rsid w:val="00CF1DD9"/>
    <w:rsid w:val="00CF3F2F"/>
    <w:rsid w:val="00CF45A7"/>
    <w:rsid w:val="00CF5623"/>
    <w:rsid w:val="00CF585F"/>
    <w:rsid w:val="00CF63E8"/>
    <w:rsid w:val="00CF770D"/>
    <w:rsid w:val="00CF77B3"/>
    <w:rsid w:val="00CF7D0F"/>
    <w:rsid w:val="00D00965"/>
    <w:rsid w:val="00D017AF"/>
    <w:rsid w:val="00D0228E"/>
    <w:rsid w:val="00D02439"/>
    <w:rsid w:val="00D02595"/>
    <w:rsid w:val="00D0265F"/>
    <w:rsid w:val="00D02881"/>
    <w:rsid w:val="00D032B2"/>
    <w:rsid w:val="00D039BD"/>
    <w:rsid w:val="00D03A38"/>
    <w:rsid w:val="00D04CCC"/>
    <w:rsid w:val="00D05E7B"/>
    <w:rsid w:val="00D0617F"/>
    <w:rsid w:val="00D06231"/>
    <w:rsid w:val="00D071F6"/>
    <w:rsid w:val="00D074A1"/>
    <w:rsid w:val="00D07B06"/>
    <w:rsid w:val="00D10EE8"/>
    <w:rsid w:val="00D112BF"/>
    <w:rsid w:val="00D119A9"/>
    <w:rsid w:val="00D11C66"/>
    <w:rsid w:val="00D12002"/>
    <w:rsid w:val="00D127EB"/>
    <w:rsid w:val="00D12BF7"/>
    <w:rsid w:val="00D12C87"/>
    <w:rsid w:val="00D13227"/>
    <w:rsid w:val="00D133E9"/>
    <w:rsid w:val="00D13792"/>
    <w:rsid w:val="00D15268"/>
    <w:rsid w:val="00D15315"/>
    <w:rsid w:val="00D159BA"/>
    <w:rsid w:val="00D167CF"/>
    <w:rsid w:val="00D205DE"/>
    <w:rsid w:val="00D20AA9"/>
    <w:rsid w:val="00D210EE"/>
    <w:rsid w:val="00D21815"/>
    <w:rsid w:val="00D21D21"/>
    <w:rsid w:val="00D22445"/>
    <w:rsid w:val="00D22661"/>
    <w:rsid w:val="00D22E25"/>
    <w:rsid w:val="00D2362D"/>
    <w:rsid w:val="00D241B8"/>
    <w:rsid w:val="00D249A9"/>
    <w:rsid w:val="00D24E24"/>
    <w:rsid w:val="00D24E5A"/>
    <w:rsid w:val="00D24EFE"/>
    <w:rsid w:val="00D2540E"/>
    <w:rsid w:val="00D25F41"/>
    <w:rsid w:val="00D25FD2"/>
    <w:rsid w:val="00D26619"/>
    <w:rsid w:val="00D26D66"/>
    <w:rsid w:val="00D2737A"/>
    <w:rsid w:val="00D27A9B"/>
    <w:rsid w:val="00D30439"/>
    <w:rsid w:val="00D312A7"/>
    <w:rsid w:val="00D319E1"/>
    <w:rsid w:val="00D31A7D"/>
    <w:rsid w:val="00D31E95"/>
    <w:rsid w:val="00D33504"/>
    <w:rsid w:val="00D33554"/>
    <w:rsid w:val="00D34891"/>
    <w:rsid w:val="00D36411"/>
    <w:rsid w:val="00D37F43"/>
    <w:rsid w:val="00D40284"/>
    <w:rsid w:val="00D405C1"/>
    <w:rsid w:val="00D407D4"/>
    <w:rsid w:val="00D408FE"/>
    <w:rsid w:val="00D417DB"/>
    <w:rsid w:val="00D4215C"/>
    <w:rsid w:val="00D42D55"/>
    <w:rsid w:val="00D43115"/>
    <w:rsid w:val="00D43723"/>
    <w:rsid w:val="00D43941"/>
    <w:rsid w:val="00D44167"/>
    <w:rsid w:val="00D447CF"/>
    <w:rsid w:val="00D44F80"/>
    <w:rsid w:val="00D4593C"/>
    <w:rsid w:val="00D459E1"/>
    <w:rsid w:val="00D46AC3"/>
    <w:rsid w:val="00D50476"/>
    <w:rsid w:val="00D506FE"/>
    <w:rsid w:val="00D52374"/>
    <w:rsid w:val="00D52EFD"/>
    <w:rsid w:val="00D53260"/>
    <w:rsid w:val="00D532F2"/>
    <w:rsid w:val="00D534AF"/>
    <w:rsid w:val="00D539BA"/>
    <w:rsid w:val="00D55F24"/>
    <w:rsid w:val="00D56902"/>
    <w:rsid w:val="00D5703A"/>
    <w:rsid w:val="00D57336"/>
    <w:rsid w:val="00D61933"/>
    <w:rsid w:val="00D61CF0"/>
    <w:rsid w:val="00D61D4C"/>
    <w:rsid w:val="00D62517"/>
    <w:rsid w:val="00D62756"/>
    <w:rsid w:val="00D630CE"/>
    <w:rsid w:val="00D63730"/>
    <w:rsid w:val="00D64073"/>
    <w:rsid w:val="00D643D2"/>
    <w:rsid w:val="00D64DA1"/>
    <w:rsid w:val="00D653F1"/>
    <w:rsid w:val="00D66264"/>
    <w:rsid w:val="00D66C80"/>
    <w:rsid w:val="00D674A1"/>
    <w:rsid w:val="00D677EF"/>
    <w:rsid w:val="00D67B15"/>
    <w:rsid w:val="00D67F92"/>
    <w:rsid w:val="00D715C8"/>
    <w:rsid w:val="00D715D6"/>
    <w:rsid w:val="00D71968"/>
    <w:rsid w:val="00D71FF7"/>
    <w:rsid w:val="00D7241F"/>
    <w:rsid w:val="00D7299F"/>
    <w:rsid w:val="00D72D96"/>
    <w:rsid w:val="00D72F7F"/>
    <w:rsid w:val="00D7367A"/>
    <w:rsid w:val="00D7436F"/>
    <w:rsid w:val="00D74921"/>
    <w:rsid w:val="00D7533F"/>
    <w:rsid w:val="00D75459"/>
    <w:rsid w:val="00D7634E"/>
    <w:rsid w:val="00D76542"/>
    <w:rsid w:val="00D76766"/>
    <w:rsid w:val="00D771B7"/>
    <w:rsid w:val="00D77368"/>
    <w:rsid w:val="00D800FD"/>
    <w:rsid w:val="00D8020C"/>
    <w:rsid w:val="00D8179B"/>
    <w:rsid w:val="00D81A86"/>
    <w:rsid w:val="00D83467"/>
    <w:rsid w:val="00D849EA"/>
    <w:rsid w:val="00D85261"/>
    <w:rsid w:val="00D86A9A"/>
    <w:rsid w:val="00D871D2"/>
    <w:rsid w:val="00D871E8"/>
    <w:rsid w:val="00D87AE4"/>
    <w:rsid w:val="00D90ADF"/>
    <w:rsid w:val="00D90AFD"/>
    <w:rsid w:val="00D913A8"/>
    <w:rsid w:val="00D916D5"/>
    <w:rsid w:val="00D91C02"/>
    <w:rsid w:val="00D921A7"/>
    <w:rsid w:val="00D925AB"/>
    <w:rsid w:val="00D933F5"/>
    <w:rsid w:val="00D9340B"/>
    <w:rsid w:val="00D934F3"/>
    <w:rsid w:val="00D9393D"/>
    <w:rsid w:val="00D940AD"/>
    <w:rsid w:val="00D943BD"/>
    <w:rsid w:val="00D94E84"/>
    <w:rsid w:val="00D95C67"/>
    <w:rsid w:val="00D968D8"/>
    <w:rsid w:val="00D97344"/>
    <w:rsid w:val="00D97A51"/>
    <w:rsid w:val="00D97BC2"/>
    <w:rsid w:val="00D97C20"/>
    <w:rsid w:val="00DA01A2"/>
    <w:rsid w:val="00DA05D5"/>
    <w:rsid w:val="00DA0E76"/>
    <w:rsid w:val="00DA2738"/>
    <w:rsid w:val="00DA29DD"/>
    <w:rsid w:val="00DA2B84"/>
    <w:rsid w:val="00DA4A46"/>
    <w:rsid w:val="00DA4B2F"/>
    <w:rsid w:val="00DA5641"/>
    <w:rsid w:val="00DA5A79"/>
    <w:rsid w:val="00DA5ACC"/>
    <w:rsid w:val="00DA5AE7"/>
    <w:rsid w:val="00DA5CF5"/>
    <w:rsid w:val="00DA6A54"/>
    <w:rsid w:val="00DA72C1"/>
    <w:rsid w:val="00DB07A7"/>
    <w:rsid w:val="00DB08D1"/>
    <w:rsid w:val="00DB0BF0"/>
    <w:rsid w:val="00DB28C0"/>
    <w:rsid w:val="00DB2DCF"/>
    <w:rsid w:val="00DB3AAC"/>
    <w:rsid w:val="00DB3C08"/>
    <w:rsid w:val="00DB4615"/>
    <w:rsid w:val="00DB4CD3"/>
    <w:rsid w:val="00DB57C0"/>
    <w:rsid w:val="00DB5B6B"/>
    <w:rsid w:val="00DB5E05"/>
    <w:rsid w:val="00DB5EC3"/>
    <w:rsid w:val="00DB607D"/>
    <w:rsid w:val="00DB6542"/>
    <w:rsid w:val="00DB6B4D"/>
    <w:rsid w:val="00DB6F2C"/>
    <w:rsid w:val="00DB7022"/>
    <w:rsid w:val="00DB72D6"/>
    <w:rsid w:val="00DC01BC"/>
    <w:rsid w:val="00DC0857"/>
    <w:rsid w:val="00DC0E63"/>
    <w:rsid w:val="00DC111A"/>
    <w:rsid w:val="00DC1C97"/>
    <w:rsid w:val="00DC1DD6"/>
    <w:rsid w:val="00DC2B5B"/>
    <w:rsid w:val="00DC2BED"/>
    <w:rsid w:val="00DC33DB"/>
    <w:rsid w:val="00DC3943"/>
    <w:rsid w:val="00DC4DC6"/>
    <w:rsid w:val="00DC7658"/>
    <w:rsid w:val="00DC7A53"/>
    <w:rsid w:val="00DC7B28"/>
    <w:rsid w:val="00DC7D35"/>
    <w:rsid w:val="00DD0F9E"/>
    <w:rsid w:val="00DD2367"/>
    <w:rsid w:val="00DD2A3F"/>
    <w:rsid w:val="00DD2D75"/>
    <w:rsid w:val="00DD3C94"/>
    <w:rsid w:val="00DD47CA"/>
    <w:rsid w:val="00DD49DF"/>
    <w:rsid w:val="00DD577D"/>
    <w:rsid w:val="00DD5966"/>
    <w:rsid w:val="00DD5A9A"/>
    <w:rsid w:val="00DD6E95"/>
    <w:rsid w:val="00DD78C7"/>
    <w:rsid w:val="00DD7B2C"/>
    <w:rsid w:val="00DE0AE2"/>
    <w:rsid w:val="00DE16C3"/>
    <w:rsid w:val="00DE1DE3"/>
    <w:rsid w:val="00DE3428"/>
    <w:rsid w:val="00DE38DD"/>
    <w:rsid w:val="00DE419B"/>
    <w:rsid w:val="00DE4E2F"/>
    <w:rsid w:val="00DE5E83"/>
    <w:rsid w:val="00DE6240"/>
    <w:rsid w:val="00DE6893"/>
    <w:rsid w:val="00DE728A"/>
    <w:rsid w:val="00DE7305"/>
    <w:rsid w:val="00DE7EDB"/>
    <w:rsid w:val="00DF0C3D"/>
    <w:rsid w:val="00DF1FBB"/>
    <w:rsid w:val="00DF39DA"/>
    <w:rsid w:val="00DF3B7C"/>
    <w:rsid w:val="00DF3CCC"/>
    <w:rsid w:val="00DF4998"/>
    <w:rsid w:val="00DF5943"/>
    <w:rsid w:val="00DF5BD3"/>
    <w:rsid w:val="00DF695C"/>
    <w:rsid w:val="00DF6CAC"/>
    <w:rsid w:val="00DF71A5"/>
    <w:rsid w:val="00DF7411"/>
    <w:rsid w:val="00E0027A"/>
    <w:rsid w:val="00E00902"/>
    <w:rsid w:val="00E00BA5"/>
    <w:rsid w:val="00E010DD"/>
    <w:rsid w:val="00E020C8"/>
    <w:rsid w:val="00E03098"/>
    <w:rsid w:val="00E05AF0"/>
    <w:rsid w:val="00E06043"/>
    <w:rsid w:val="00E060D2"/>
    <w:rsid w:val="00E06A16"/>
    <w:rsid w:val="00E077B6"/>
    <w:rsid w:val="00E101E2"/>
    <w:rsid w:val="00E10644"/>
    <w:rsid w:val="00E10AF3"/>
    <w:rsid w:val="00E10E63"/>
    <w:rsid w:val="00E1123D"/>
    <w:rsid w:val="00E112EF"/>
    <w:rsid w:val="00E11CD9"/>
    <w:rsid w:val="00E126B7"/>
    <w:rsid w:val="00E12888"/>
    <w:rsid w:val="00E1299C"/>
    <w:rsid w:val="00E12B07"/>
    <w:rsid w:val="00E12FCE"/>
    <w:rsid w:val="00E13CC6"/>
    <w:rsid w:val="00E13E33"/>
    <w:rsid w:val="00E143D3"/>
    <w:rsid w:val="00E1447C"/>
    <w:rsid w:val="00E14FA3"/>
    <w:rsid w:val="00E158E4"/>
    <w:rsid w:val="00E15A19"/>
    <w:rsid w:val="00E16176"/>
    <w:rsid w:val="00E16F0C"/>
    <w:rsid w:val="00E17499"/>
    <w:rsid w:val="00E17AF2"/>
    <w:rsid w:val="00E20060"/>
    <w:rsid w:val="00E20B3F"/>
    <w:rsid w:val="00E220E0"/>
    <w:rsid w:val="00E22400"/>
    <w:rsid w:val="00E2242C"/>
    <w:rsid w:val="00E22A7F"/>
    <w:rsid w:val="00E2323D"/>
    <w:rsid w:val="00E2329B"/>
    <w:rsid w:val="00E235D4"/>
    <w:rsid w:val="00E2370F"/>
    <w:rsid w:val="00E23D00"/>
    <w:rsid w:val="00E24183"/>
    <w:rsid w:val="00E25004"/>
    <w:rsid w:val="00E26C77"/>
    <w:rsid w:val="00E27C29"/>
    <w:rsid w:val="00E3057D"/>
    <w:rsid w:val="00E31DDC"/>
    <w:rsid w:val="00E32190"/>
    <w:rsid w:val="00E32A7F"/>
    <w:rsid w:val="00E33046"/>
    <w:rsid w:val="00E33221"/>
    <w:rsid w:val="00E336E5"/>
    <w:rsid w:val="00E3447E"/>
    <w:rsid w:val="00E34C1A"/>
    <w:rsid w:val="00E3572A"/>
    <w:rsid w:val="00E35E14"/>
    <w:rsid w:val="00E363D6"/>
    <w:rsid w:val="00E36E0B"/>
    <w:rsid w:val="00E37695"/>
    <w:rsid w:val="00E37ADF"/>
    <w:rsid w:val="00E37D44"/>
    <w:rsid w:val="00E37F0D"/>
    <w:rsid w:val="00E40761"/>
    <w:rsid w:val="00E41098"/>
    <w:rsid w:val="00E41204"/>
    <w:rsid w:val="00E41546"/>
    <w:rsid w:val="00E41A00"/>
    <w:rsid w:val="00E41BF1"/>
    <w:rsid w:val="00E430CE"/>
    <w:rsid w:val="00E445BA"/>
    <w:rsid w:val="00E44B9B"/>
    <w:rsid w:val="00E459D5"/>
    <w:rsid w:val="00E46719"/>
    <w:rsid w:val="00E47EF0"/>
    <w:rsid w:val="00E50443"/>
    <w:rsid w:val="00E51FFF"/>
    <w:rsid w:val="00E52B4F"/>
    <w:rsid w:val="00E53F07"/>
    <w:rsid w:val="00E54588"/>
    <w:rsid w:val="00E54AB5"/>
    <w:rsid w:val="00E55228"/>
    <w:rsid w:val="00E55458"/>
    <w:rsid w:val="00E55BFB"/>
    <w:rsid w:val="00E56A72"/>
    <w:rsid w:val="00E57DF5"/>
    <w:rsid w:val="00E60972"/>
    <w:rsid w:val="00E61ABE"/>
    <w:rsid w:val="00E61ED7"/>
    <w:rsid w:val="00E6268D"/>
    <w:rsid w:val="00E6297A"/>
    <w:rsid w:val="00E62A87"/>
    <w:rsid w:val="00E631AA"/>
    <w:rsid w:val="00E648A2"/>
    <w:rsid w:val="00E65D23"/>
    <w:rsid w:val="00E663C7"/>
    <w:rsid w:val="00E70C54"/>
    <w:rsid w:val="00E714E5"/>
    <w:rsid w:val="00E71553"/>
    <w:rsid w:val="00E71A37"/>
    <w:rsid w:val="00E71B21"/>
    <w:rsid w:val="00E720DF"/>
    <w:rsid w:val="00E72F0A"/>
    <w:rsid w:val="00E730BD"/>
    <w:rsid w:val="00E7432A"/>
    <w:rsid w:val="00E7432D"/>
    <w:rsid w:val="00E748EB"/>
    <w:rsid w:val="00E75AC0"/>
    <w:rsid w:val="00E75F4D"/>
    <w:rsid w:val="00E76911"/>
    <w:rsid w:val="00E76F78"/>
    <w:rsid w:val="00E77CA5"/>
    <w:rsid w:val="00E804B0"/>
    <w:rsid w:val="00E804DE"/>
    <w:rsid w:val="00E80585"/>
    <w:rsid w:val="00E80778"/>
    <w:rsid w:val="00E81743"/>
    <w:rsid w:val="00E819C1"/>
    <w:rsid w:val="00E81E82"/>
    <w:rsid w:val="00E82269"/>
    <w:rsid w:val="00E826CE"/>
    <w:rsid w:val="00E8345B"/>
    <w:rsid w:val="00E87DE3"/>
    <w:rsid w:val="00E90C39"/>
    <w:rsid w:val="00E90EA4"/>
    <w:rsid w:val="00E91557"/>
    <w:rsid w:val="00E91CF7"/>
    <w:rsid w:val="00E931DA"/>
    <w:rsid w:val="00E936EE"/>
    <w:rsid w:val="00E93930"/>
    <w:rsid w:val="00E9455A"/>
    <w:rsid w:val="00E94E06"/>
    <w:rsid w:val="00E96629"/>
    <w:rsid w:val="00E96A8C"/>
    <w:rsid w:val="00E972F2"/>
    <w:rsid w:val="00E97634"/>
    <w:rsid w:val="00E97B58"/>
    <w:rsid w:val="00EA0BA8"/>
    <w:rsid w:val="00EA1BC2"/>
    <w:rsid w:val="00EA25B1"/>
    <w:rsid w:val="00EA2746"/>
    <w:rsid w:val="00EA2F5A"/>
    <w:rsid w:val="00EA7091"/>
    <w:rsid w:val="00EA7244"/>
    <w:rsid w:val="00EA74FE"/>
    <w:rsid w:val="00EB0077"/>
    <w:rsid w:val="00EB007F"/>
    <w:rsid w:val="00EB1D96"/>
    <w:rsid w:val="00EB1E64"/>
    <w:rsid w:val="00EB2046"/>
    <w:rsid w:val="00EB34D2"/>
    <w:rsid w:val="00EB3F3D"/>
    <w:rsid w:val="00EB4290"/>
    <w:rsid w:val="00EB440E"/>
    <w:rsid w:val="00EB49EB"/>
    <w:rsid w:val="00EB4C39"/>
    <w:rsid w:val="00EB5B7C"/>
    <w:rsid w:val="00EB5C06"/>
    <w:rsid w:val="00EB5FDD"/>
    <w:rsid w:val="00EB676C"/>
    <w:rsid w:val="00EB6905"/>
    <w:rsid w:val="00EC0AA6"/>
    <w:rsid w:val="00EC1907"/>
    <w:rsid w:val="00EC35D8"/>
    <w:rsid w:val="00EC3B84"/>
    <w:rsid w:val="00EC44F9"/>
    <w:rsid w:val="00EC4ED5"/>
    <w:rsid w:val="00EC6FD6"/>
    <w:rsid w:val="00EC7024"/>
    <w:rsid w:val="00EC7384"/>
    <w:rsid w:val="00EC75D6"/>
    <w:rsid w:val="00EC7AED"/>
    <w:rsid w:val="00EC7F72"/>
    <w:rsid w:val="00EC7F78"/>
    <w:rsid w:val="00ED07B2"/>
    <w:rsid w:val="00ED0A59"/>
    <w:rsid w:val="00ED0C38"/>
    <w:rsid w:val="00ED1045"/>
    <w:rsid w:val="00ED105D"/>
    <w:rsid w:val="00ED1C54"/>
    <w:rsid w:val="00ED1DBA"/>
    <w:rsid w:val="00ED2088"/>
    <w:rsid w:val="00ED2388"/>
    <w:rsid w:val="00ED25C7"/>
    <w:rsid w:val="00ED2FF2"/>
    <w:rsid w:val="00ED3B2E"/>
    <w:rsid w:val="00ED4147"/>
    <w:rsid w:val="00ED41F7"/>
    <w:rsid w:val="00ED5EA0"/>
    <w:rsid w:val="00ED68FB"/>
    <w:rsid w:val="00ED6DBC"/>
    <w:rsid w:val="00ED7496"/>
    <w:rsid w:val="00ED7723"/>
    <w:rsid w:val="00ED7C0B"/>
    <w:rsid w:val="00EE275E"/>
    <w:rsid w:val="00EE2D33"/>
    <w:rsid w:val="00EE311B"/>
    <w:rsid w:val="00EE33AC"/>
    <w:rsid w:val="00EE3C15"/>
    <w:rsid w:val="00EE3E7F"/>
    <w:rsid w:val="00EE5350"/>
    <w:rsid w:val="00EE5B68"/>
    <w:rsid w:val="00EE5DB6"/>
    <w:rsid w:val="00EE62F5"/>
    <w:rsid w:val="00EE6764"/>
    <w:rsid w:val="00EE6DED"/>
    <w:rsid w:val="00EE75B9"/>
    <w:rsid w:val="00EE7950"/>
    <w:rsid w:val="00EE7AF5"/>
    <w:rsid w:val="00EE7DAA"/>
    <w:rsid w:val="00EF07B8"/>
    <w:rsid w:val="00EF2336"/>
    <w:rsid w:val="00EF2384"/>
    <w:rsid w:val="00EF264F"/>
    <w:rsid w:val="00EF2AFC"/>
    <w:rsid w:val="00EF3C45"/>
    <w:rsid w:val="00EF4115"/>
    <w:rsid w:val="00EF4540"/>
    <w:rsid w:val="00EF483B"/>
    <w:rsid w:val="00EF4B3E"/>
    <w:rsid w:val="00EF4C88"/>
    <w:rsid w:val="00EF5452"/>
    <w:rsid w:val="00EF5C5A"/>
    <w:rsid w:val="00EF602C"/>
    <w:rsid w:val="00EF6F7C"/>
    <w:rsid w:val="00EF7A01"/>
    <w:rsid w:val="00F00053"/>
    <w:rsid w:val="00F005DA"/>
    <w:rsid w:val="00F00AA0"/>
    <w:rsid w:val="00F02416"/>
    <w:rsid w:val="00F02843"/>
    <w:rsid w:val="00F035DC"/>
    <w:rsid w:val="00F0448F"/>
    <w:rsid w:val="00F05CB5"/>
    <w:rsid w:val="00F06247"/>
    <w:rsid w:val="00F07712"/>
    <w:rsid w:val="00F07D0C"/>
    <w:rsid w:val="00F07DED"/>
    <w:rsid w:val="00F10587"/>
    <w:rsid w:val="00F10695"/>
    <w:rsid w:val="00F10CDE"/>
    <w:rsid w:val="00F1129C"/>
    <w:rsid w:val="00F12600"/>
    <w:rsid w:val="00F1293D"/>
    <w:rsid w:val="00F13F3B"/>
    <w:rsid w:val="00F15AA2"/>
    <w:rsid w:val="00F15C52"/>
    <w:rsid w:val="00F15CDC"/>
    <w:rsid w:val="00F15D7B"/>
    <w:rsid w:val="00F168A5"/>
    <w:rsid w:val="00F169AE"/>
    <w:rsid w:val="00F16F27"/>
    <w:rsid w:val="00F17255"/>
    <w:rsid w:val="00F179D6"/>
    <w:rsid w:val="00F21627"/>
    <w:rsid w:val="00F21A4F"/>
    <w:rsid w:val="00F21C5F"/>
    <w:rsid w:val="00F22958"/>
    <w:rsid w:val="00F2382F"/>
    <w:rsid w:val="00F23D3A"/>
    <w:rsid w:val="00F254A5"/>
    <w:rsid w:val="00F255A3"/>
    <w:rsid w:val="00F259E7"/>
    <w:rsid w:val="00F26107"/>
    <w:rsid w:val="00F26236"/>
    <w:rsid w:val="00F26784"/>
    <w:rsid w:val="00F26F4F"/>
    <w:rsid w:val="00F319F9"/>
    <w:rsid w:val="00F31A2D"/>
    <w:rsid w:val="00F31CE7"/>
    <w:rsid w:val="00F31F89"/>
    <w:rsid w:val="00F32062"/>
    <w:rsid w:val="00F348B2"/>
    <w:rsid w:val="00F3547D"/>
    <w:rsid w:val="00F35C1B"/>
    <w:rsid w:val="00F36076"/>
    <w:rsid w:val="00F36723"/>
    <w:rsid w:val="00F36CFC"/>
    <w:rsid w:val="00F36FE0"/>
    <w:rsid w:val="00F37001"/>
    <w:rsid w:val="00F3738A"/>
    <w:rsid w:val="00F37C51"/>
    <w:rsid w:val="00F404D3"/>
    <w:rsid w:val="00F40601"/>
    <w:rsid w:val="00F41DB9"/>
    <w:rsid w:val="00F42857"/>
    <w:rsid w:val="00F4337D"/>
    <w:rsid w:val="00F43566"/>
    <w:rsid w:val="00F45866"/>
    <w:rsid w:val="00F45F1A"/>
    <w:rsid w:val="00F45F54"/>
    <w:rsid w:val="00F46094"/>
    <w:rsid w:val="00F462EF"/>
    <w:rsid w:val="00F4640C"/>
    <w:rsid w:val="00F46834"/>
    <w:rsid w:val="00F46A6E"/>
    <w:rsid w:val="00F47785"/>
    <w:rsid w:val="00F478D4"/>
    <w:rsid w:val="00F47B73"/>
    <w:rsid w:val="00F47CE8"/>
    <w:rsid w:val="00F50258"/>
    <w:rsid w:val="00F50AAC"/>
    <w:rsid w:val="00F51A4B"/>
    <w:rsid w:val="00F52123"/>
    <w:rsid w:val="00F5287E"/>
    <w:rsid w:val="00F5371A"/>
    <w:rsid w:val="00F54D8B"/>
    <w:rsid w:val="00F55848"/>
    <w:rsid w:val="00F56AA8"/>
    <w:rsid w:val="00F56EBF"/>
    <w:rsid w:val="00F57C5C"/>
    <w:rsid w:val="00F57EE3"/>
    <w:rsid w:val="00F60572"/>
    <w:rsid w:val="00F607F4"/>
    <w:rsid w:val="00F60DDA"/>
    <w:rsid w:val="00F619B6"/>
    <w:rsid w:val="00F61C4D"/>
    <w:rsid w:val="00F626D6"/>
    <w:rsid w:val="00F62A21"/>
    <w:rsid w:val="00F62FF3"/>
    <w:rsid w:val="00F634C9"/>
    <w:rsid w:val="00F63B16"/>
    <w:rsid w:val="00F63F35"/>
    <w:rsid w:val="00F63FF1"/>
    <w:rsid w:val="00F64690"/>
    <w:rsid w:val="00F6481E"/>
    <w:rsid w:val="00F64AEA"/>
    <w:rsid w:val="00F6671B"/>
    <w:rsid w:val="00F718DB"/>
    <w:rsid w:val="00F733B6"/>
    <w:rsid w:val="00F735CE"/>
    <w:rsid w:val="00F73FB6"/>
    <w:rsid w:val="00F74EE0"/>
    <w:rsid w:val="00F7533B"/>
    <w:rsid w:val="00F75425"/>
    <w:rsid w:val="00F75770"/>
    <w:rsid w:val="00F757E2"/>
    <w:rsid w:val="00F75804"/>
    <w:rsid w:val="00F75F42"/>
    <w:rsid w:val="00F7616B"/>
    <w:rsid w:val="00F766C6"/>
    <w:rsid w:val="00F76AB1"/>
    <w:rsid w:val="00F76CCA"/>
    <w:rsid w:val="00F77702"/>
    <w:rsid w:val="00F778D8"/>
    <w:rsid w:val="00F779E5"/>
    <w:rsid w:val="00F8105A"/>
    <w:rsid w:val="00F815DB"/>
    <w:rsid w:val="00F82021"/>
    <w:rsid w:val="00F82B65"/>
    <w:rsid w:val="00F84166"/>
    <w:rsid w:val="00F84CA0"/>
    <w:rsid w:val="00F855EC"/>
    <w:rsid w:val="00F85ACA"/>
    <w:rsid w:val="00F86030"/>
    <w:rsid w:val="00F86E10"/>
    <w:rsid w:val="00F8723F"/>
    <w:rsid w:val="00F90264"/>
    <w:rsid w:val="00F90CA4"/>
    <w:rsid w:val="00F91EBE"/>
    <w:rsid w:val="00F925D5"/>
    <w:rsid w:val="00F93279"/>
    <w:rsid w:val="00F9328C"/>
    <w:rsid w:val="00F95960"/>
    <w:rsid w:val="00F9623A"/>
    <w:rsid w:val="00F96291"/>
    <w:rsid w:val="00F97467"/>
    <w:rsid w:val="00FA018A"/>
    <w:rsid w:val="00FA146D"/>
    <w:rsid w:val="00FA1E3B"/>
    <w:rsid w:val="00FA24A7"/>
    <w:rsid w:val="00FA28BC"/>
    <w:rsid w:val="00FA2A14"/>
    <w:rsid w:val="00FA2D16"/>
    <w:rsid w:val="00FA36E8"/>
    <w:rsid w:val="00FA42D2"/>
    <w:rsid w:val="00FA522A"/>
    <w:rsid w:val="00FA56FE"/>
    <w:rsid w:val="00FA6913"/>
    <w:rsid w:val="00FA6D75"/>
    <w:rsid w:val="00FB04FA"/>
    <w:rsid w:val="00FB0B3D"/>
    <w:rsid w:val="00FB0C2A"/>
    <w:rsid w:val="00FB0C73"/>
    <w:rsid w:val="00FB0CFD"/>
    <w:rsid w:val="00FB1DF8"/>
    <w:rsid w:val="00FB1E4E"/>
    <w:rsid w:val="00FB2400"/>
    <w:rsid w:val="00FB251F"/>
    <w:rsid w:val="00FB2832"/>
    <w:rsid w:val="00FB39C4"/>
    <w:rsid w:val="00FB3DB2"/>
    <w:rsid w:val="00FB431E"/>
    <w:rsid w:val="00FB4B09"/>
    <w:rsid w:val="00FB5361"/>
    <w:rsid w:val="00FB680E"/>
    <w:rsid w:val="00FB6B39"/>
    <w:rsid w:val="00FB764C"/>
    <w:rsid w:val="00FB78AA"/>
    <w:rsid w:val="00FB7C42"/>
    <w:rsid w:val="00FC0D25"/>
    <w:rsid w:val="00FC1CF1"/>
    <w:rsid w:val="00FC2074"/>
    <w:rsid w:val="00FC210C"/>
    <w:rsid w:val="00FC226E"/>
    <w:rsid w:val="00FC2379"/>
    <w:rsid w:val="00FC28B0"/>
    <w:rsid w:val="00FC32B1"/>
    <w:rsid w:val="00FC358A"/>
    <w:rsid w:val="00FC3967"/>
    <w:rsid w:val="00FC39C1"/>
    <w:rsid w:val="00FC3BB0"/>
    <w:rsid w:val="00FC473A"/>
    <w:rsid w:val="00FC573B"/>
    <w:rsid w:val="00FC5B00"/>
    <w:rsid w:val="00FC609F"/>
    <w:rsid w:val="00FC6D6B"/>
    <w:rsid w:val="00FC7151"/>
    <w:rsid w:val="00FC770E"/>
    <w:rsid w:val="00FD1913"/>
    <w:rsid w:val="00FD1A32"/>
    <w:rsid w:val="00FD388E"/>
    <w:rsid w:val="00FD41A9"/>
    <w:rsid w:val="00FD4F89"/>
    <w:rsid w:val="00FD5032"/>
    <w:rsid w:val="00FD768B"/>
    <w:rsid w:val="00FD78FB"/>
    <w:rsid w:val="00FD7A2F"/>
    <w:rsid w:val="00FE0291"/>
    <w:rsid w:val="00FE0541"/>
    <w:rsid w:val="00FE07E9"/>
    <w:rsid w:val="00FE1B84"/>
    <w:rsid w:val="00FE1EE1"/>
    <w:rsid w:val="00FE24B1"/>
    <w:rsid w:val="00FE27BF"/>
    <w:rsid w:val="00FE29FE"/>
    <w:rsid w:val="00FE2AF8"/>
    <w:rsid w:val="00FE3826"/>
    <w:rsid w:val="00FE39FB"/>
    <w:rsid w:val="00FE56DA"/>
    <w:rsid w:val="00FE78E0"/>
    <w:rsid w:val="00FE7FDB"/>
    <w:rsid w:val="00FF0F2E"/>
    <w:rsid w:val="00FF12DA"/>
    <w:rsid w:val="00FF1703"/>
    <w:rsid w:val="00FF19ED"/>
    <w:rsid w:val="00FF1B44"/>
    <w:rsid w:val="00FF20F4"/>
    <w:rsid w:val="00FF23D8"/>
    <w:rsid w:val="00FF3F70"/>
    <w:rsid w:val="00FF3FCB"/>
    <w:rsid w:val="00FF504A"/>
    <w:rsid w:val="00FF5512"/>
    <w:rsid w:val="00FF5843"/>
    <w:rsid w:val="00FF614F"/>
    <w:rsid w:val="00FF7A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2F06D"/>
  <w15:docId w15:val="{DCAD33E9-5FAB-4CA3-B1CA-98FB2DBE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Ttulo1">
    <w:name w:val="heading 1"/>
    <w:aliases w:val="Título Verdana"/>
    <w:basedOn w:val="Normal"/>
    <w:next w:val="Normal"/>
    <w:link w:val="Ttulo1C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Ttulo2">
    <w:name w:val="heading 2"/>
    <w:basedOn w:val="Normal"/>
    <w:next w:val="Normal"/>
    <w:link w:val="Ttulo2Car"/>
    <w:uiPriority w:val="9"/>
    <w:semiHidden/>
    <w:unhideWhenUsed/>
    <w:qFormat/>
    <w:rsid w:val="008920B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Ttulo4">
    <w:name w:val="heading 4"/>
    <w:basedOn w:val="Normal"/>
    <w:next w:val="Normal"/>
    <w:link w:val="Ttulo4Car"/>
    <w:uiPriority w:val="9"/>
    <w:semiHidden/>
    <w:unhideWhenUsed/>
    <w:qFormat/>
    <w:rsid w:val="008920BF"/>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085BDD"/>
    <w:rPr>
      <w:rFonts w:ascii="Verdana" w:eastAsia="MS ????" w:hAnsi="Verdana" w:cs="Times New Roman"/>
      <w:b/>
      <w:bCs/>
      <w:caps/>
      <w:snapToGrid w:val="0"/>
      <w:spacing w:val="-2"/>
      <w:sz w:val="20"/>
      <w:szCs w:val="20"/>
      <w:lang w:val="x-none" w:eastAsia="es-ES"/>
    </w:rPr>
  </w:style>
  <w:style w:type="character" w:customStyle="1" w:styleId="Ttulo3Car">
    <w:name w:val="Título 3 Car"/>
    <w:basedOn w:val="Fuentedeprrafopredeter"/>
    <w:link w:val="Ttulo3"/>
    <w:uiPriority w:val="9"/>
    <w:rsid w:val="00085BDD"/>
    <w:rPr>
      <w:rFonts w:ascii="Verdana" w:eastAsia="Calibri" w:hAnsi="Verdana" w:cs="Times New Roman"/>
      <w:b/>
      <w:spacing w:val="-2"/>
      <w:sz w:val="20"/>
      <w:szCs w:val="20"/>
      <w:lang w:val="es-ES" w:eastAsia="x-none"/>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085BDD"/>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085BDD"/>
    <w:pPr>
      <w:spacing w:line="240" w:lineRule="auto"/>
    </w:pPr>
    <w:rPr>
      <w:sz w:val="20"/>
      <w:szCs w:val="20"/>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085BDD"/>
    <w:rPr>
      <w:rFonts w:ascii="Verdana" w:eastAsia="Times New Roman" w:hAnsi="Verdana" w:cs="Times New Roman"/>
      <w:sz w:val="20"/>
      <w:szCs w:val="20"/>
      <w:lang w:val="es-ES_tradnl" w:eastAsia="x-none"/>
    </w:rPr>
  </w:style>
  <w:style w:type="character" w:styleId="Textoennegrita">
    <w:name w:val="Strong"/>
    <w:uiPriority w:val="22"/>
    <w:qFormat/>
    <w:rsid w:val="00085BDD"/>
    <w:rPr>
      <w:b/>
      <w:bCs/>
    </w:rPr>
  </w:style>
  <w:style w:type="paragraph" w:styleId="Prrafodelista">
    <w:name w:val="List Paragraph"/>
    <w:aliases w:val="List Paragraph2,Lista vistosa - Énfasis 11,Párrafo de lista1,Footnote,List Paragraph1"/>
    <w:basedOn w:val="Normal"/>
    <w:link w:val="PrrafodelistaCar"/>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Cuadrculamedia1-nfasis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Textonotapie"/>
    <w:autoRedefine/>
    <w:qFormat/>
    <w:rsid w:val="00475387"/>
    <w:pPr>
      <w:widowControl/>
      <w:numPr>
        <w:numId w:val="3"/>
      </w:numPr>
      <w:tabs>
        <w:tab w:val="left" w:pos="720"/>
      </w:tabs>
      <w:adjustRightInd/>
      <w:spacing w:before="120" w:after="120"/>
      <w:textAlignment w:val="auto"/>
    </w:pPr>
    <w:rPr>
      <w:bCs/>
      <w:noProof/>
      <w:lang w:eastAsia="es-ES"/>
    </w:rPr>
  </w:style>
  <w:style w:type="table" w:styleId="Cuadrculamedia1-nfasis2">
    <w:name w:val="Medium Grid 1 Accent 2"/>
    <w:basedOn w:val="Tabla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Fuentedeprrafopredeter"/>
    <w:rsid w:val="006C37C9"/>
    <w:rPr>
      <w:sz w:val="20"/>
      <w:szCs w:val="20"/>
      <w:lang w:val="en-US"/>
    </w:rPr>
  </w:style>
  <w:style w:type="paragraph" w:styleId="Encabezado">
    <w:name w:val="header"/>
    <w:basedOn w:val="Normal"/>
    <w:link w:val="EncabezadoC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6C37C9"/>
    <w:rPr>
      <w:lang w:val="en-US"/>
    </w:rPr>
  </w:style>
  <w:style w:type="paragraph" w:styleId="Piedepgina">
    <w:name w:val="footer"/>
    <w:basedOn w:val="Normal"/>
    <w:link w:val="PiedepginaC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6C37C9"/>
    <w:rPr>
      <w:lang w:val="en-US"/>
    </w:rPr>
  </w:style>
  <w:style w:type="paragraph" w:styleId="Textonotaalfinal">
    <w:name w:val="endnote text"/>
    <w:basedOn w:val="Normal"/>
    <w:link w:val="TextonotaalfinalC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TextonotaalfinalCar">
    <w:name w:val="Texto nota al final Car"/>
    <w:basedOn w:val="Fuentedeprrafopredeter"/>
    <w:link w:val="Textonotaalfinal"/>
    <w:uiPriority w:val="99"/>
    <w:semiHidden/>
    <w:rsid w:val="006C37C9"/>
    <w:rPr>
      <w:sz w:val="20"/>
      <w:szCs w:val="20"/>
      <w:lang w:val="en-US"/>
    </w:rPr>
  </w:style>
  <w:style w:type="character" w:styleId="Hipervnculo">
    <w:name w:val="Hyperlink"/>
    <w:basedOn w:val="Fuentedeprrafopredeter"/>
    <w:uiPriority w:val="99"/>
    <w:unhideWhenUsed/>
    <w:rsid w:val="006C37C9"/>
    <w:rPr>
      <w:color w:val="0000FF" w:themeColor="hyperlink"/>
      <w:u w:val="single"/>
    </w:rPr>
  </w:style>
  <w:style w:type="character" w:styleId="Hipervnculovisitado">
    <w:name w:val="FollowedHyperlink"/>
    <w:basedOn w:val="Fuentedeprrafopredeter"/>
    <w:uiPriority w:val="99"/>
    <w:semiHidden/>
    <w:unhideWhenUsed/>
    <w:rsid w:val="006C37C9"/>
    <w:rPr>
      <w:color w:val="800080" w:themeColor="followedHyperlink"/>
      <w:u w:val="single"/>
    </w:rPr>
  </w:style>
  <w:style w:type="paragraph" w:styleId="Textodeglobo">
    <w:name w:val="Balloon Text"/>
    <w:basedOn w:val="Normal"/>
    <w:link w:val="TextodegloboC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C37C9"/>
    <w:rPr>
      <w:rFonts w:ascii="Tahoma" w:hAnsi="Tahoma" w:cs="Tahoma"/>
      <w:sz w:val="16"/>
      <w:szCs w:val="16"/>
    </w:rPr>
  </w:style>
  <w:style w:type="paragraph" w:styleId="TtuloTDC">
    <w:name w:val="TOC Heading"/>
    <w:basedOn w:val="Ttulo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DC1">
    <w:name w:val="toc 1"/>
    <w:basedOn w:val="Normal"/>
    <w:next w:val="Normal"/>
    <w:autoRedefine/>
    <w:uiPriority w:val="39"/>
    <w:unhideWhenUsed/>
    <w:rsid w:val="00E16176"/>
    <w:pPr>
      <w:spacing w:after="100"/>
    </w:pPr>
  </w:style>
  <w:style w:type="paragraph" w:styleId="TD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D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Nmerodelnea">
    <w:name w:val="line number"/>
    <w:basedOn w:val="Fuentedeprrafopredeter"/>
    <w:uiPriority w:val="99"/>
    <w:semiHidden/>
    <w:unhideWhenUsed/>
    <w:rsid w:val="00D407D4"/>
  </w:style>
  <w:style w:type="character" w:styleId="Refdecomentario">
    <w:name w:val="annotation reference"/>
    <w:basedOn w:val="Fuentedeprrafopredeter"/>
    <w:uiPriority w:val="99"/>
    <w:semiHidden/>
    <w:unhideWhenUsed/>
    <w:rsid w:val="007A1A14"/>
    <w:rPr>
      <w:sz w:val="16"/>
      <w:szCs w:val="16"/>
    </w:rPr>
  </w:style>
  <w:style w:type="paragraph" w:styleId="Textocomentario">
    <w:name w:val="annotation text"/>
    <w:basedOn w:val="Normal"/>
    <w:link w:val="TextocomentarioCar"/>
    <w:uiPriority w:val="99"/>
    <w:semiHidden/>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semiHidden/>
    <w:rsid w:val="007A1A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A1A14"/>
    <w:rPr>
      <w:b/>
      <w:bCs/>
    </w:rPr>
  </w:style>
  <w:style w:type="character" w:customStyle="1" w:styleId="AsuntodelcomentarioCar">
    <w:name w:val="Asunto del comentario Car"/>
    <w:basedOn w:val="TextocomentarioCar"/>
    <w:link w:val="Asuntodelcomentario"/>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Sinlista"/>
    <w:uiPriority w:val="99"/>
    <w:semiHidden/>
    <w:unhideWhenUsed/>
    <w:rsid w:val="008920BF"/>
  </w:style>
  <w:style w:type="character" w:customStyle="1" w:styleId="Ttulo2Car">
    <w:name w:val="Título 2 Car"/>
    <w:basedOn w:val="Fuentedeprrafopredeter"/>
    <w:link w:val="Ttulo2"/>
    <w:uiPriority w:val="9"/>
    <w:semiHidden/>
    <w:rsid w:val="008920BF"/>
    <w:rPr>
      <w:rFonts w:ascii="Cambria" w:eastAsia="Times New Roman" w:hAnsi="Cambria" w:cs="Times New Roman"/>
      <w:b/>
      <w:bCs/>
      <w:color w:val="4F81BD"/>
      <w:sz w:val="26"/>
      <w:szCs w:val="26"/>
      <w:lang w:eastAsia="es-CR"/>
    </w:rPr>
  </w:style>
  <w:style w:type="character" w:customStyle="1" w:styleId="Ttulo4Car">
    <w:name w:val="Título 4 Car"/>
    <w:basedOn w:val="Fuentedeprrafopredeter"/>
    <w:link w:val="Ttulo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Listavistosa-nfasis1"/>
    <w:uiPriority w:val="99"/>
    <w:locked/>
    <w:rsid w:val="008920BF"/>
    <w:rPr>
      <w:rFonts w:ascii="Verdana" w:eastAsia="Times New Roman" w:hAnsi="Verdana"/>
      <w:lang w:val="es-ES_tradnl" w:eastAsia="en-US"/>
    </w:rPr>
  </w:style>
  <w:style w:type="character" w:customStyle="1" w:styleId="column01">
    <w:name w:val="column01"/>
    <w:basedOn w:val="Fuentedeprrafopredeter"/>
    <w:rsid w:val="008920BF"/>
  </w:style>
  <w:style w:type="table" w:customStyle="1" w:styleId="ColorfulList-Accent11">
    <w:name w:val="Colorful List - Accent 11"/>
    <w:basedOn w:val="Tablanormal"/>
    <w:next w:val="Listavistosa-nfasis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Sangradetextonormal">
    <w:name w:val="Body Text Indent"/>
    <w:basedOn w:val="Normal"/>
    <w:link w:val="SangradetextonormalC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SangradetextonormalCar">
    <w:name w:val="Sangría de texto normal Car"/>
    <w:basedOn w:val="Fuentedeprrafopredeter"/>
    <w:link w:val="Sangradetextonormal"/>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Fuentedeprrafopredeter"/>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conformatoprevio">
    <w:name w:val="HTML Preformatted"/>
    <w:basedOn w:val="Normal"/>
    <w:link w:val="HTMLconformatoprevioC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8920BF"/>
    <w:rPr>
      <w:rFonts w:ascii="Courier New" w:eastAsia="Times New Roman" w:hAnsi="Courier New" w:cs="Courier New"/>
      <w:sz w:val="20"/>
      <w:szCs w:val="20"/>
      <w:lang w:val="en-US"/>
    </w:rPr>
  </w:style>
  <w:style w:type="character" w:customStyle="1" w:styleId="Heading2Char1">
    <w:name w:val="Heading 2 Char1"/>
    <w:basedOn w:val="Fuentedeprrafopredeter"/>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Fuentedeprrafopredeter"/>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Listavistosa-nfasis1">
    <w:name w:val="Colorful List Accent 1"/>
    <w:basedOn w:val="Tabla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Fuentedeprrafopredeter"/>
    <w:rsid w:val="00502B43"/>
  </w:style>
  <w:style w:type="character" w:customStyle="1" w:styleId="s6b621b36">
    <w:name w:val="s6b621b36"/>
    <w:basedOn w:val="Fuentedeprrafopredeter"/>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nfasis">
    <w:name w:val="Emphasis"/>
    <w:uiPriority w:val="20"/>
    <w:qFormat/>
    <w:rsid w:val="00502B43"/>
    <w:rPr>
      <w:b/>
      <w:bCs/>
      <w:i/>
      <w:iCs/>
      <w:spacing w:val="10"/>
      <w:bdr w:val="none" w:sz="0" w:space="0" w:color="auto"/>
      <w:shd w:val="clear" w:color="auto" w:fill="auto"/>
    </w:rPr>
  </w:style>
  <w:style w:type="paragraph" w:styleId="TD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PrrafodelistaCar">
    <w:name w:val="Párrafo de lista Car"/>
    <w:aliases w:val="List Paragraph2 Car,Lista vistosa - Énfasis 11 Car,Párrafo de lista1 Car,Footnote Car,List Paragraph1 Car"/>
    <w:basedOn w:val="Fuentedeprrafopredeter"/>
    <w:link w:val="Prrafodelista"/>
    <w:uiPriority w:val="34"/>
    <w:rsid w:val="005624D3"/>
    <w:rPr>
      <w:rFonts w:ascii="Verdana" w:eastAsia="Times New Roman" w:hAnsi="Verdana" w:cs="Times New Roman"/>
      <w:sz w:val="24"/>
      <w:szCs w:val="24"/>
      <w:lang w:eastAsia="es-CR"/>
    </w:rPr>
  </w:style>
  <w:style w:type="character" w:customStyle="1" w:styleId="Hipervnculo1">
    <w:name w:val="Hipervínculo1"/>
    <w:basedOn w:val="Fuentedeprrafopredeter"/>
    <w:uiPriority w:val="99"/>
    <w:unhideWhenUsed/>
    <w:rsid w:val="00D534AF"/>
    <w:rPr>
      <w:color w:val="0000FF"/>
      <w:u w:val="single"/>
    </w:rPr>
  </w:style>
  <w:style w:type="character" w:customStyle="1" w:styleId="Ttulo6Car">
    <w:name w:val="Título 6 Car"/>
    <w:basedOn w:val="Fuentedeprrafopredeter"/>
    <w:link w:val="Ttulo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Ttulo5Car">
    <w:name w:val="Título 5 Car"/>
    <w:basedOn w:val="Fuentedeprrafopredeter"/>
    <w:link w:val="Ttulo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Nmerodepgina">
    <w:name w:val="page number"/>
    <w:basedOn w:val="Fuentedeprrafopredeter"/>
    <w:uiPriority w:val="99"/>
    <w:semiHidden/>
    <w:unhideWhenUsed/>
    <w:rsid w:val="00011543"/>
  </w:style>
  <w:style w:type="paragraph" w:styleId="Textoindependiente">
    <w:name w:val="Body Text"/>
    <w:basedOn w:val="Normal"/>
    <w:link w:val="TextoindependienteCar"/>
    <w:uiPriority w:val="99"/>
    <w:semiHidden/>
    <w:unhideWhenUsed/>
    <w:rsid w:val="00326672"/>
    <w:pPr>
      <w:spacing w:after="120"/>
    </w:pPr>
  </w:style>
  <w:style w:type="character" w:customStyle="1" w:styleId="TextoindependienteCar">
    <w:name w:val="Texto independiente Car"/>
    <w:basedOn w:val="Fuentedeprrafopredeter"/>
    <w:link w:val="Textoindependiente"/>
    <w:uiPriority w:val="99"/>
    <w:semiHidden/>
    <w:rsid w:val="00326672"/>
    <w:rPr>
      <w:rFonts w:ascii="Verdana" w:eastAsia="Times New Roman" w:hAnsi="Verdana" w:cs="Times New Roman"/>
      <w:sz w:val="24"/>
      <w:szCs w:val="24"/>
      <w:lang w:eastAsia="es-CR"/>
    </w:rPr>
  </w:style>
  <w:style w:type="character" w:customStyle="1" w:styleId="med1">
    <w:name w:val="med1"/>
    <w:basedOn w:val="Fuentedeprrafopredeter"/>
    <w:rsid w:val="000B6F1B"/>
  </w:style>
  <w:style w:type="paragraph" w:styleId="Cita">
    <w:name w:val="Quote"/>
    <w:basedOn w:val="Textoindependiente"/>
    <w:next w:val="Normal"/>
    <w:link w:val="CitaCar"/>
    <w:qFormat/>
    <w:rsid w:val="00AB3F01"/>
    <w:pPr>
      <w:widowControl/>
      <w:adjustRightInd/>
      <w:spacing w:after="0" w:line="240" w:lineRule="auto"/>
      <w:ind w:left="720" w:right="720"/>
      <w:textAlignment w:val="auto"/>
    </w:pPr>
    <w:rPr>
      <w:rFonts w:ascii="Calibri" w:hAnsi="Calibri"/>
      <w:sz w:val="20"/>
      <w:szCs w:val="22"/>
      <w:lang w:val="en-US" w:eastAsia="en-US"/>
    </w:rPr>
  </w:style>
  <w:style w:type="character" w:customStyle="1" w:styleId="CitaCar">
    <w:name w:val="Cita Car"/>
    <w:basedOn w:val="Fuentedeprrafopredeter"/>
    <w:link w:val="Cita"/>
    <w:rsid w:val="00AB3F01"/>
    <w:rPr>
      <w:rFonts w:ascii="Calibri" w:eastAsia="Times New Roman" w:hAnsi="Calibri" w:cs="Times New Roman"/>
      <w:sz w:val="20"/>
      <w:lang w:val="en-US"/>
    </w:rPr>
  </w:style>
  <w:style w:type="character" w:customStyle="1" w:styleId="tagtrans">
    <w:name w:val="tag_trans"/>
    <w:basedOn w:val="Fuentedeprrafopredeter"/>
    <w:rsid w:val="00D5703A"/>
  </w:style>
  <w:style w:type="paragraph" w:customStyle="1" w:styleId="Footnotes">
    <w:name w:val="Footnotes"/>
    <w:basedOn w:val="Textonotapie"/>
    <w:autoRedefine/>
    <w:qFormat/>
    <w:rsid w:val="006C2683"/>
    <w:pPr>
      <w:widowControl/>
      <w:adjustRightInd/>
      <w:spacing w:after="120"/>
      <w:ind w:firstLine="709"/>
      <w:textAlignment w:val="auto"/>
    </w:pPr>
    <w:rPr>
      <w:rFonts w:ascii="Cambria" w:hAnsi="Cambria"/>
      <w:sz w:val="16"/>
      <w:szCs w:val="16"/>
      <w:lang w:val="en-US" w:eastAsia="en-US"/>
    </w:rPr>
  </w:style>
  <w:style w:type="character" w:customStyle="1" w:styleId="e24kjd">
    <w:name w:val="e24kjd"/>
    <w:basedOn w:val="Fuentedeprrafopredeter"/>
    <w:rsid w:val="00D34891"/>
  </w:style>
  <w:style w:type="character" w:customStyle="1" w:styleId="st">
    <w:name w:val="st"/>
    <w:basedOn w:val="Fuentedeprrafopredeter"/>
    <w:rsid w:val="00D34891"/>
  </w:style>
  <w:style w:type="character" w:customStyle="1" w:styleId="highlight">
    <w:name w:val="highlight"/>
    <w:basedOn w:val="Fuentedeprrafopredeter"/>
    <w:rsid w:val="002D490E"/>
  </w:style>
  <w:style w:type="paragraph" w:customStyle="1" w:styleId="ColorfulGrid-Accent11">
    <w:name w:val="Colorful Grid - Accent 11"/>
    <w:basedOn w:val="Textoindependiente"/>
    <w:next w:val="Normal"/>
    <w:link w:val="ColorfulGrid-Accent1Char"/>
    <w:qFormat/>
    <w:rsid w:val="0013307D"/>
    <w:pPr>
      <w:widowControl/>
      <w:adjustRightInd/>
      <w:spacing w:after="0" w:line="240" w:lineRule="auto"/>
      <w:ind w:left="720" w:right="720"/>
      <w:textAlignment w:val="auto"/>
    </w:pPr>
    <w:rPr>
      <w:rFonts w:ascii="Calibri" w:hAnsi="Calibri"/>
      <w:sz w:val="20"/>
      <w:szCs w:val="22"/>
      <w:lang w:val="en-US" w:eastAsia="en-US"/>
    </w:rPr>
  </w:style>
  <w:style w:type="character" w:customStyle="1" w:styleId="ColorfulGrid-Accent1Char">
    <w:name w:val="Colorful Grid - Accent 1 Char"/>
    <w:link w:val="ColorfulGrid-Accent11"/>
    <w:rsid w:val="0013307D"/>
    <w:rPr>
      <w:rFonts w:ascii="Calibri" w:eastAsia="Times New Roman" w:hAnsi="Calibri" w:cs="Times New Roman"/>
      <w:sz w:val="20"/>
      <w:lang w:val="en-US"/>
    </w:rPr>
  </w:style>
  <w:style w:type="character" w:customStyle="1" w:styleId="Mencinsinresolver1">
    <w:name w:val="Mención sin resolver1"/>
    <w:basedOn w:val="Fuentedeprrafopredeter"/>
    <w:uiPriority w:val="99"/>
    <w:semiHidden/>
    <w:unhideWhenUsed/>
    <w:rsid w:val="0037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212281300">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310524029">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mesecvi/docs/MESECVI-SegundoInformeHemisferico-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866D-4A54-46CB-9B87-485CCE7D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52901</Words>
  <Characters>290957</Characters>
  <Application>Microsoft Office Word</Application>
  <DocSecurity>0</DocSecurity>
  <Lines>2424</Lines>
  <Paragraphs>686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2020-06-04T21:54:00Z</cp:lastPrinted>
  <dcterms:created xsi:type="dcterms:W3CDTF">2020-06-04T21:54:00Z</dcterms:created>
  <dcterms:modified xsi:type="dcterms:W3CDTF">2020-06-04T21:55:00Z</dcterms:modified>
</cp:coreProperties>
</file>